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EC51F" w14:textId="77777777" w:rsidR="001C38E0" w:rsidRDefault="001C38E0" w:rsidP="001C38E0">
      <w:pPr>
        <w:spacing w:line="276" w:lineRule="auto"/>
        <w:jc w:val="center"/>
        <w:rPr>
          <w:rFonts w:ascii="Arial" w:hAnsi="Arial" w:cs="Arial"/>
          <w:b/>
          <w:sz w:val="28"/>
          <w:szCs w:val="28"/>
        </w:rPr>
      </w:pPr>
      <w:r w:rsidRPr="00270CD3">
        <w:rPr>
          <w:rFonts w:ascii="Arial" w:hAnsi="Arial" w:cs="Arial"/>
          <w:b/>
          <w:sz w:val="28"/>
          <w:szCs w:val="28"/>
        </w:rPr>
        <w:t xml:space="preserve">Mercury Inventory for New Zealand: </w:t>
      </w:r>
      <w:r>
        <w:rPr>
          <w:rFonts w:ascii="Arial" w:hAnsi="Arial" w:cs="Arial"/>
          <w:b/>
          <w:sz w:val="28"/>
          <w:szCs w:val="28"/>
        </w:rPr>
        <w:t>2024</w:t>
      </w:r>
    </w:p>
    <w:p w14:paraId="3F76468E" w14:textId="77777777" w:rsidR="001C38E0" w:rsidRDefault="001C38E0" w:rsidP="001C38E0">
      <w:pPr>
        <w:spacing w:line="276" w:lineRule="auto"/>
        <w:jc w:val="center"/>
        <w:rPr>
          <w:rFonts w:ascii="Arial" w:hAnsi="Arial" w:cs="Arial"/>
          <w:b/>
          <w:sz w:val="28"/>
          <w:szCs w:val="28"/>
        </w:rPr>
      </w:pPr>
    </w:p>
    <w:p w14:paraId="73386582" w14:textId="77777777" w:rsidR="001C38E0" w:rsidRDefault="001C38E0" w:rsidP="001C38E0">
      <w:pPr>
        <w:spacing w:after="960"/>
        <w:jc w:val="center"/>
        <w:rPr>
          <w:rFonts w:ascii="Arial" w:hAnsi="Arial" w:cs="Arial"/>
          <w:b/>
          <w:sz w:val="24"/>
          <w:szCs w:val="24"/>
        </w:rPr>
      </w:pPr>
      <w:r>
        <w:rPr>
          <w:rFonts w:ascii="Arial" w:hAnsi="Arial" w:cs="Arial"/>
          <w:b/>
          <w:bCs/>
          <w:noProof/>
          <w:sz w:val="28"/>
        </w:rPr>
        <w:drawing>
          <wp:inline distT="0" distB="0" distL="0" distR="0" wp14:anchorId="5E63DDC7" wp14:editId="43D964E5">
            <wp:extent cx="5554133" cy="5625164"/>
            <wp:effectExtent l="0" t="0" r="0" b="1270"/>
            <wp:docPr id="1619564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64099" name="Picture 161956409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94937" cy="5767768"/>
                    </a:xfrm>
                    <a:prstGeom prst="rect">
                      <a:avLst/>
                    </a:prstGeom>
                  </pic:spPr>
                </pic:pic>
              </a:graphicData>
            </a:graphic>
          </wp:inline>
        </w:drawing>
      </w:r>
    </w:p>
    <w:p w14:paraId="4E682BF4" w14:textId="77777777" w:rsidR="008A54DD" w:rsidRPr="00ED6A25" w:rsidRDefault="00270CD3" w:rsidP="008A54DD">
      <w:pPr>
        <w:jc w:val="center"/>
        <w:rPr>
          <w:rFonts w:ascii="Arial" w:hAnsi="Arial" w:cs="Arial"/>
          <w:b/>
          <w:sz w:val="22"/>
          <w:szCs w:val="24"/>
        </w:rPr>
      </w:pPr>
      <w:r w:rsidRPr="00270CD3">
        <w:rPr>
          <w:rFonts w:ascii="Arial" w:hAnsi="Arial" w:cs="Arial"/>
          <w:b/>
          <w:sz w:val="24"/>
          <w:szCs w:val="24"/>
        </w:rPr>
        <w:t>Report to the Ministry for the Environment</w:t>
      </w:r>
    </w:p>
    <w:p w14:paraId="29FEC895" w14:textId="77777777" w:rsidR="008A54DD" w:rsidRDefault="008A54DD" w:rsidP="008A54DD">
      <w:pPr>
        <w:spacing w:after="240"/>
        <w:jc w:val="center"/>
        <w:rPr>
          <w:rFonts w:ascii="Arial" w:hAnsi="Arial" w:cs="Arial"/>
          <w:b/>
          <w:sz w:val="22"/>
          <w:szCs w:val="24"/>
        </w:rPr>
      </w:pPr>
    </w:p>
    <w:p w14:paraId="7C7C3A0A" w14:textId="7192DB95" w:rsidR="00270CD3" w:rsidRPr="00ED6A25" w:rsidRDefault="00270CD3" w:rsidP="008A54DD">
      <w:pPr>
        <w:spacing w:after="240"/>
        <w:jc w:val="center"/>
        <w:rPr>
          <w:rFonts w:ascii="Arial" w:hAnsi="Arial" w:cs="Arial"/>
          <w:b/>
          <w:sz w:val="22"/>
          <w:szCs w:val="24"/>
        </w:rPr>
      </w:pPr>
      <w:r w:rsidRPr="00ED6A25">
        <w:rPr>
          <w:rFonts w:ascii="Arial" w:hAnsi="Arial" w:cs="Arial"/>
          <w:b/>
          <w:sz w:val="22"/>
          <w:szCs w:val="24"/>
        </w:rPr>
        <w:t xml:space="preserve">Prepared by </w:t>
      </w:r>
      <w:r w:rsidR="00D90479" w:rsidRPr="00ED6A25">
        <w:rPr>
          <w:rFonts w:ascii="Arial" w:hAnsi="Arial" w:cs="Arial"/>
          <w:b/>
          <w:sz w:val="22"/>
          <w:szCs w:val="24"/>
        </w:rPr>
        <w:t xml:space="preserve">Alistair </w:t>
      </w:r>
      <w:r w:rsidR="00990A55">
        <w:rPr>
          <w:rFonts w:ascii="Arial" w:hAnsi="Arial" w:cs="Arial"/>
          <w:b/>
          <w:sz w:val="22"/>
          <w:szCs w:val="24"/>
        </w:rPr>
        <w:t>Bingham, JCL Air &amp; Environment</w:t>
      </w:r>
      <w:r w:rsidR="00D90479" w:rsidRPr="00ED6A25">
        <w:rPr>
          <w:rFonts w:ascii="Arial" w:hAnsi="Arial" w:cs="Arial"/>
          <w:b/>
          <w:sz w:val="22"/>
          <w:szCs w:val="24"/>
        </w:rPr>
        <w:t xml:space="preserve"> Limited </w:t>
      </w:r>
    </w:p>
    <w:p w14:paraId="44CB8180" w14:textId="77777777" w:rsidR="00270CD3" w:rsidRPr="00ED6A25" w:rsidRDefault="00270CD3" w:rsidP="00270CD3">
      <w:pPr>
        <w:jc w:val="center"/>
        <w:rPr>
          <w:rFonts w:ascii="Arial" w:hAnsi="Arial" w:cs="Arial"/>
          <w:b/>
          <w:sz w:val="22"/>
          <w:szCs w:val="24"/>
        </w:rPr>
      </w:pPr>
    </w:p>
    <w:p w14:paraId="4E33ECAE" w14:textId="77777777" w:rsidR="00270CD3" w:rsidRPr="00ED6A25" w:rsidRDefault="00270CD3" w:rsidP="00270CD3">
      <w:pPr>
        <w:jc w:val="center"/>
        <w:rPr>
          <w:rFonts w:ascii="Arial" w:hAnsi="Arial" w:cs="Arial"/>
          <w:b/>
          <w:sz w:val="22"/>
          <w:szCs w:val="24"/>
        </w:rPr>
      </w:pPr>
      <w:r w:rsidRPr="00ED6A25">
        <w:rPr>
          <w:rFonts w:ascii="Arial" w:hAnsi="Arial" w:cs="Arial"/>
          <w:b/>
          <w:sz w:val="22"/>
          <w:szCs w:val="24"/>
        </w:rPr>
        <w:t xml:space="preserve">Reviewed by </w:t>
      </w:r>
      <w:r w:rsidR="00D90479">
        <w:rPr>
          <w:rFonts w:ascii="Arial" w:hAnsi="Arial" w:cs="Arial"/>
          <w:b/>
          <w:sz w:val="22"/>
          <w:szCs w:val="24"/>
        </w:rPr>
        <w:t>Jenny Simpson, Tonkin &amp; Taylor Ltd</w:t>
      </w:r>
    </w:p>
    <w:p w14:paraId="12C26278" w14:textId="78D8C60E" w:rsidR="00270CD3" w:rsidRDefault="00270CD3" w:rsidP="00270CD3">
      <w:pPr>
        <w:jc w:val="center"/>
        <w:rPr>
          <w:rFonts w:ascii="Arial" w:hAnsi="Arial" w:cs="Arial"/>
          <w:b/>
          <w:sz w:val="22"/>
          <w:szCs w:val="24"/>
        </w:rPr>
      </w:pPr>
    </w:p>
    <w:p w14:paraId="2F3307BD" w14:textId="4713B6F9" w:rsidR="00186023" w:rsidRDefault="00C92D4B" w:rsidP="00270CD3">
      <w:pPr>
        <w:jc w:val="center"/>
        <w:rPr>
          <w:rFonts w:ascii="Arial" w:hAnsi="Arial" w:cs="Arial"/>
          <w:b/>
          <w:sz w:val="22"/>
          <w:szCs w:val="24"/>
        </w:rPr>
      </w:pPr>
      <w:r>
        <w:rPr>
          <w:rFonts w:ascii="Arial" w:hAnsi="Arial" w:cs="Arial"/>
          <w:b/>
          <w:sz w:val="22"/>
          <w:szCs w:val="24"/>
        </w:rPr>
        <w:t>May</w:t>
      </w:r>
      <w:r w:rsidR="00186023">
        <w:rPr>
          <w:rFonts w:ascii="Arial" w:hAnsi="Arial" w:cs="Arial"/>
          <w:b/>
          <w:sz w:val="22"/>
          <w:szCs w:val="24"/>
        </w:rPr>
        <w:t xml:space="preserve"> 202</w:t>
      </w:r>
      <w:r>
        <w:rPr>
          <w:rFonts w:ascii="Arial" w:hAnsi="Arial" w:cs="Arial"/>
          <w:b/>
          <w:sz w:val="22"/>
          <w:szCs w:val="24"/>
        </w:rPr>
        <w:t>6</w:t>
      </w:r>
    </w:p>
    <w:p w14:paraId="0B5EDBEC" w14:textId="36B0BB54" w:rsidR="00FD0BE5" w:rsidRDefault="00FD0BE5">
      <w:pPr>
        <w:spacing w:after="0"/>
        <w:rPr>
          <w:rFonts w:ascii="Arial" w:hAnsi="Arial" w:cs="Arial"/>
          <w:b/>
          <w:sz w:val="22"/>
          <w:szCs w:val="24"/>
        </w:rPr>
      </w:pPr>
      <w:r>
        <w:rPr>
          <w:rFonts w:ascii="Arial" w:hAnsi="Arial" w:cs="Arial"/>
          <w:b/>
          <w:sz w:val="22"/>
          <w:szCs w:val="24"/>
        </w:rPr>
        <w:br w:type="page"/>
      </w:r>
    </w:p>
    <w:p w14:paraId="350F619A" w14:textId="77777777" w:rsidR="00FD0BE5" w:rsidRDefault="00FD0BE5" w:rsidP="00270CD3">
      <w:pPr>
        <w:jc w:val="center"/>
        <w:rPr>
          <w:rFonts w:ascii="Arial" w:hAnsi="Arial" w:cs="Arial"/>
          <w:b/>
          <w:sz w:val="22"/>
          <w:szCs w:val="24"/>
        </w:rPr>
      </w:pPr>
    </w:p>
    <w:p w14:paraId="7AB82C93" w14:textId="77777777" w:rsidR="00FD0BE5" w:rsidRDefault="00FD0BE5" w:rsidP="00270CD3">
      <w:pPr>
        <w:jc w:val="center"/>
        <w:rPr>
          <w:rFonts w:ascii="Arial" w:hAnsi="Arial" w:cs="Arial"/>
          <w:b/>
          <w:sz w:val="22"/>
          <w:szCs w:val="24"/>
        </w:rPr>
      </w:pPr>
    </w:p>
    <w:p w14:paraId="51CD19BE" w14:textId="77777777" w:rsidR="00FD0BE5" w:rsidRDefault="00FD0BE5" w:rsidP="00270CD3">
      <w:pPr>
        <w:jc w:val="center"/>
        <w:rPr>
          <w:rFonts w:ascii="Arial" w:hAnsi="Arial" w:cs="Arial"/>
          <w:b/>
          <w:sz w:val="22"/>
          <w:szCs w:val="24"/>
        </w:rPr>
      </w:pPr>
    </w:p>
    <w:p w14:paraId="0FC5E708" w14:textId="77777777" w:rsidR="00FD0BE5" w:rsidRDefault="00FD0BE5" w:rsidP="00270CD3">
      <w:pPr>
        <w:jc w:val="center"/>
        <w:rPr>
          <w:rFonts w:ascii="Arial" w:hAnsi="Arial" w:cs="Arial"/>
          <w:b/>
          <w:sz w:val="22"/>
          <w:szCs w:val="24"/>
        </w:rPr>
      </w:pPr>
    </w:p>
    <w:p w14:paraId="5508BBFB" w14:textId="77777777" w:rsidR="00FD0BE5" w:rsidRDefault="00FD0BE5" w:rsidP="00270CD3">
      <w:pPr>
        <w:jc w:val="center"/>
        <w:rPr>
          <w:rFonts w:ascii="Arial" w:hAnsi="Arial" w:cs="Arial"/>
          <w:b/>
          <w:sz w:val="22"/>
          <w:szCs w:val="24"/>
        </w:rPr>
      </w:pPr>
    </w:p>
    <w:p w14:paraId="371EAD06" w14:textId="77777777" w:rsidR="00FD0BE5" w:rsidRDefault="00FD0BE5" w:rsidP="00270CD3">
      <w:pPr>
        <w:jc w:val="center"/>
        <w:rPr>
          <w:rFonts w:ascii="Arial" w:hAnsi="Arial" w:cs="Arial"/>
          <w:b/>
          <w:sz w:val="22"/>
          <w:szCs w:val="24"/>
        </w:rPr>
      </w:pPr>
    </w:p>
    <w:p w14:paraId="75B210A5" w14:textId="77777777" w:rsidR="00FD0BE5" w:rsidRDefault="00FD0BE5" w:rsidP="00270CD3">
      <w:pPr>
        <w:jc w:val="center"/>
        <w:rPr>
          <w:rFonts w:ascii="Arial" w:hAnsi="Arial" w:cs="Arial"/>
          <w:b/>
          <w:sz w:val="22"/>
          <w:szCs w:val="24"/>
        </w:rPr>
      </w:pPr>
    </w:p>
    <w:p w14:paraId="600CFEAB" w14:textId="77777777" w:rsidR="00FD0BE5" w:rsidRDefault="00FD0BE5" w:rsidP="00270CD3">
      <w:pPr>
        <w:jc w:val="center"/>
        <w:rPr>
          <w:rFonts w:ascii="Arial" w:hAnsi="Arial" w:cs="Arial"/>
          <w:b/>
          <w:sz w:val="22"/>
          <w:szCs w:val="24"/>
        </w:rPr>
      </w:pPr>
    </w:p>
    <w:p w14:paraId="361C8107" w14:textId="77777777" w:rsidR="00FD0BE5" w:rsidRDefault="00FD0BE5" w:rsidP="00270CD3">
      <w:pPr>
        <w:jc w:val="center"/>
        <w:rPr>
          <w:rFonts w:ascii="Arial" w:hAnsi="Arial" w:cs="Arial"/>
          <w:b/>
          <w:sz w:val="22"/>
          <w:szCs w:val="24"/>
        </w:rPr>
      </w:pPr>
    </w:p>
    <w:p w14:paraId="41C2C820" w14:textId="77777777" w:rsidR="00FD0BE5" w:rsidRDefault="00FD0BE5" w:rsidP="00270CD3">
      <w:pPr>
        <w:jc w:val="center"/>
        <w:rPr>
          <w:rFonts w:ascii="Arial" w:hAnsi="Arial" w:cs="Arial"/>
          <w:b/>
          <w:sz w:val="22"/>
          <w:szCs w:val="24"/>
        </w:rPr>
      </w:pPr>
    </w:p>
    <w:p w14:paraId="3515B17E" w14:textId="77777777" w:rsidR="00FD0BE5" w:rsidRDefault="00FD0BE5" w:rsidP="00270CD3">
      <w:pPr>
        <w:jc w:val="center"/>
        <w:rPr>
          <w:rFonts w:ascii="Arial" w:hAnsi="Arial" w:cs="Arial"/>
          <w:b/>
          <w:sz w:val="22"/>
          <w:szCs w:val="24"/>
        </w:rPr>
      </w:pPr>
    </w:p>
    <w:p w14:paraId="69D21B59" w14:textId="77777777" w:rsidR="00FD0BE5" w:rsidRDefault="00FD0BE5" w:rsidP="00270CD3">
      <w:pPr>
        <w:jc w:val="center"/>
        <w:rPr>
          <w:rFonts w:ascii="Arial" w:hAnsi="Arial" w:cs="Arial"/>
          <w:b/>
          <w:sz w:val="22"/>
          <w:szCs w:val="24"/>
        </w:rPr>
      </w:pPr>
    </w:p>
    <w:p w14:paraId="304984E6" w14:textId="77777777" w:rsidR="00FD0BE5" w:rsidRDefault="00FD0BE5" w:rsidP="00270CD3">
      <w:pPr>
        <w:jc w:val="center"/>
        <w:rPr>
          <w:rFonts w:ascii="Arial" w:hAnsi="Arial" w:cs="Arial"/>
          <w:b/>
          <w:sz w:val="22"/>
          <w:szCs w:val="24"/>
        </w:rPr>
      </w:pPr>
    </w:p>
    <w:p w14:paraId="2ADE63A1" w14:textId="77777777" w:rsidR="00FD0BE5" w:rsidRDefault="00FD0BE5" w:rsidP="00270CD3">
      <w:pPr>
        <w:jc w:val="center"/>
        <w:rPr>
          <w:rFonts w:ascii="Arial" w:hAnsi="Arial" w:cs="Arial"/>
          <w:b/>
          <w:sz w:val="22"/>
          <w:szCs w:val="24"/>
        </w:rPr>
      </w:pPr>
    </w:p>
    <w:p w14:paraId="244F2F21" w14:textId="77777777" w:rsidR="00FD0BE5" w:rsidRDefault="00FD0BE5" w:rsidP="00270CD3">
      <w:pPr>
        <w:jc w:val="center"/>
        <w:rPr>
          <w:rFonts w:ascii="Arial" w:hAnsi="Arial" w:cs="Arial"/>
          <w:b/>
          <w:sz w:val="22"/>
          <w:szCs w:val="24"/>
        </w:rPr>
      </w:pPr>
    </w:p>
    <w:p w14:paraId="188B3767" w14:textId="77777777" w:rsidR="00FD0BE5" w:rsidRDefault="00FD0BE5" w:rsidP="00270CD3">
      <w:pPr>
        <w:jc w:val="center"/>
        <w:rPr>
          <w:rFonts w:ascii="Arial" w:hAnsi="Arial" w:cs="Arial"/>
          <w:b/>
          <w:sz w:val="22"/>
          <w:szCs w:val="24"/>
        </w:rPr>
      </w:pPr>
    </w:p>
    <w:p w14:paraId="3BB7F9AF" w14:textId="77777777" w:rsidR="00FD0BE5" w:rsidRDefault="00FD0BE5" w:rsidP="00270CD3">
      <w:pPr>
        <w:jc w:val="center"/>
        <w:rPr>
          <w:rFonts w:ascii="Arial" w:hAnsi="Arial" w:cs="Arial"/>
          <w:b/>
          <w:sz w:val="22"/>
          <w:szCs w:val="24"/>
        </w:rPr>
      </w:pPr>
    </w:p>
    <w:p w14:paraId="442E47BF" w14:textId="77777777" w:rsidR="00FD0BE5" w:rsidRDefault="00FD0BE5" w:rsidP="00270CD3">
      <w:pPr>
        <w:jc w:val="center"/>
        <w:rPr>
          <w:rFonts w:ascii="Arial" w:hAnsi="Arial" w:cs="Arial"/>
          <w:b/>
          <w:sz w:val="22"/>
          <w:szCs w:val="24"/>
        </w:rPr>
      </w:pPr>
    </w:p>
    <w:p w14:paraId="4CF435B5" w14:textId="77777777" w:rsidR="00FD0BE5" w:rsidRDefault="00FD0BE5" w:rsidP="00270CD3">
      <w:pPr>
        <w:jc w:val="center"/>
        <w:rPr>
          <w:rFonts w:ascii="Arial" w:hAnsi="Arial" w:cs="Arial"/>
          <w:b/>
          <w:sz w:val="22"/>
          <w:szCs w:val="24"/>
        </w:rPr>
      </w:pPr>
    </w:p>
    <w:p w14:paraId="2A3B625B" w14:textId="77777777" w:rsidR="00FD0BE5" w:rsidRDefault="00FD0BE5" w:rsidP="00270CD3">
      <w:pPr>
        <w:jc w:val="center"/>
        <w:rPr>
          <w:rFonts w:ascii="Arial" w:hAnsi="Arial" w:cs="Arial"/>
          <w:b/>
          <w:sz w:val="22"/>
          <w:szCs w:val="24"/>
        </w:rPr>
      </w:pPr>
    </w:p>
    <w:p w14:paraId="7F9ACDF3" w14:textId="77777777" w:rsidR="00FD0BE5" w:rsidRDefault="00FD0BE5" w:rsidP="00270CD3">
      <w:pPr>
        <w:jc w:val="center"/>
        <w:rPr>
          <w:rFonts w:ascii="Arial" w:hAnsi="Arial" w:cs="Arial"/>
          <w:b/>
          <w:sz w:val="22"/>
          <w:szCs w:val="24"/>
        </w:rPr>
      </w:pPr>
    </w:p>
    <w:p w14:paraId="3C4013A0" w14:textId="77777777" w:rsidR="00FD0BE5" w:rsidRDefault="00FD0BE5" w:rsidP="00270CD3">
      <w:pPr>
        <w:jc w:val="center"/>
        <w:rPr>
          <w:rFonts w:ascii="Arial" w:hAnsi="Arial" w:cs="Arial"/>
          <w:b/>
          <w:sz w:val="22"/>
          <w:szCs w:val="24"/>
        </w:rPr>
      </w:pPr>
    </w:p>
    <w:p w14:paraId="35DEC290" w14:textId="77777777" w:rsidR="00FD0BE5" w:rsidRDefault="00FD0BE5" w:rsidP="00270CD3">
      <w:pPr>
        <w:jc w:val="center"/>
        <w:rPr>
          <w:rFonts w:ascii="Arial" w:hAnsi="Arial" w:cs="Arial"/>
          <w:b/>
          <w:sz w:val="22"/>
          <w:szCs w:val="24"/>
        </w:rPr>
      </w:pPr>
    </w:p>
    <w:p w14:paraId="1E2B13DE" w14:textId="77777777" w:rsidR="00FD0BE5" w:rsidRDefault="00FD0BE5" w:rsidP="00270CD3">
      <w:pPr>
        <w:jc w:val="center"/>
        <w:rPr>
          <w:rFonts w:ascii="Arial" w:hAnsi="Arial" w:cs="Arial"/>
          <w:b/>
          <w:sz w:val="22"/>
          <w:szCs w:val="24"/>
        </w:rPr>
      </w:pPr>
    </w:p>
    <w:p w14:paraId="7B50338C" w14:textId="77777777" w:rsidR="00FD0BE5" w:rsidRDefault="00FD0BE5" w:rsidP="00270CD3">
      <w:pPr>
        <w:jc w:val="center"/>
        <w:rPr>
          <w:rFonts w:ascii="Arial" w:hAnsi="Arial" w:cs="Arial"/>
          <w:b/>
          <w:sz w:val="22"/>
          <w:szCs w:val="24"/>
        </w:rPr>
      </w:pPr>
    </w:p>
    <w:p w14:paraId="153FFD76" w14:textId="77777777" w:rsidR="00FD0BE5" w:rsidRDefault="00FD0BE5" w:rsidP="00270CD3">
      <w:pPr>
        <w:jc w:val="center"/>
        <w:rPr>
          <w:rFonts w:ascii="Arial" w:hAnsi="Arial" w:cs="Arial"/>
          <w:b/>
          <w:sz w:val="22"/>
          <w:szCs w:val="24"/>
        </w:rPr>
      </w:pPr>
    </w:p>
    <w:p w14:paraId="2803DD27" w14:textId="77777777" w:rsidR="00FD0BE5" w:rsidRDefault="00FD0BE5" w:rsidP="00270CD3">
      <w:pPr>
        <w:jc w:val="center"/>
        <w:rPr>
          <w:rFonts w:ascii="Arial" w:hAnsi="Arial" w:cs="Arial"/>
          <w:b/>
          <w:sz w:val="22"/>
          <w:szCs w:val="24"/>
        </w:rPr>
      </w:pPr>
    </w:p>
    <w:p w14:paraId="5A36E9CB" w14:textId="77777777" w:rsidR="00FD0BE5" w:rsidRDefault="00FD0BE5" w:rsidP="00270CD3">
      <w:pPr>
        <w:jc w:val="center"/>
        <w:rPr>
          <w:rFonts w:ascii="Arial" w:hAnsi="Arial" w:cs="Arial"/>
          <w:b/>
          <w:sz w:val="22"/>
          <w:szCs w:val="24"/>
        </w:rPr>
      </w:pPr>
    </w:p>
    <w:p w14:paraId="1D1E63F3" w14:textId="77777777" w:rsidR="00FD0BE5" w:rsidRDefault="00FD0BE5" w:rsidP="00270CD3">
      <w:pPr>
        <w:jc w:val="center"/>
        <w:rPr>
          <w:rFonts w:ascii="Arial" w:hAnsi="Arial" w:cs="Arial"/>
          <w:b/>
          <w:sz w:val="22"/>
          <w:szCs w:val="24"/>
        </w:rPr>
      </w:pPr>
    </w:p>
    <w:p w14:paraId="7224C08C" w14:textId="77777777" w:rsidR="00FD0BE5" w:rsidRDefault="00FD0BE5" w:rsidP="00270CD3">
      <w:pPr>
        <w:jc w:val="center"/>
        <w:rPr>
          <w:rFonts w:ascii="Arial" w:hAnsi="Arial" w:cs="Arial"/>
          <w:b/>
          <w:sz w:val="22"/>
          <w:szCs w:val="24"/>
        </w:rPr>
      </w:pPr>
    </w:p>
    <w:p w14:paraId="7EB4EF7A" w14:textId="77777777" w:rsidR="00FD0BE5" w:rsidRDefault="00FD0BE5" w:rsidP="00270CD3">
      <w:pPr>
        <w:jc w:val="center"/>
        <w:rPr>
          <w:rFonts w:ascii="Arial" w:hAnsi="Arial" w:cs="Arial"/>
          <w:b/>
          <w:sz w:val="22"/>
          <w:szCs w:val="24"/>
        </w:rPr>
      </w:pPr>
    </w:p>
    <w:p w14:paraId="0E1A7414" w14:textId="77777777" w:rsidR="00FD0BE5" w:rsidRPr="007D3677" w:rsidRDefault="00FD0BE5" w:rsidP="00FD0BE5">
      <w:pPr>
        <w:jc w:val="both"/>
      </w:pPr>
      <w:r w:rsidRPr="007D3677">
        <w:t>DISCLAIMER</w:t>
      </w:r>
    </w:p>
    <w:p w14:paraId="27E3D698" w14:textId="77777777" w:rsidR="00FD0BE5" w:rsidRDefault="00FD0BE5" w:rsidP="00FD0BE5">
      <w:pPr>
        <w:jc w:val="both"/>
        <w:rPr>
          <w:rFonts w:ascii="Arial" w:hAnsi="Arial" w:cs="Arial"/>
        </w:rPr>
      </w:pPr>
    </w:p>
    <w:p w14:paraId="6AAC48F4" w14:textId="77777777" w:rsidR="00FD0BE5" w:rsidRPr="007D3677" w:rsidRDefault="00FD0BE5" w:rsidP="00FD0BE5">
      <w:pPr>
        <w:jc w:val="both"/>
      </w:pPr>
      <w:r>
        <w:t>JCL Air and Environment</w:t>
      </w:r>
      <w:r w:rsidRPr="007D3677">
        <w:t xml:space="preserve"> Ltd accepts no liability with respect to this publication’s use other than by the </w:t>
      </w:r>
      <w:r>
        <w:t>Ministry for the Environment</w:t>
      </w:r>
      <w:r w:rsidRPr="007D3677">
        <w:t>. This publication may not be reproduced or copied in any form with</w:t>
      </w:r>
      <w:r>
        <w:t>out the permission of the Ministry</w:t>
      </w:r>
      <w:r w:rsidRPr="007D3677">
        <w:t>.</w:t>
      </w:r>
    </w:p>
    <w:p w14:paraId="0F6E1B50" w14:textId="77777777" w:rsidR="00FD0BE5" w:rsidRPr="00ED6A25" w:rsidRDefault="00FD0BE5" w:rsidP="00270CD3">
      <w:pPr>
        <w:jc w:val="center"/>
        <w:rPr>
          <w:rFonts w:ascii="Arial" w:hAnsi="Arial" w:cs="Arial"/>
          <w:b/>
          <w:sz w:val="22"/>
          <w:szCs w:val="24"/>
        </w:rPr>
      </w:pPr>
    </w:p>
    <w:p w14:paraId="17C045DD" w14:textId="77777777" w:rsidR="00394F37" w:rsidRDefault="00394F37" w:rsidP="00106EC9">
      <w:pPr>
        <w:jc w:val="both"/>
        <w:rPr>
          <w:rFonts w:ascii="Arial" w:hAnsi="Arial" w:cs="Arial"/>
        </w:rPr>
      </w:pPr>
    </w:p>
    <w:p w14:paraId="0F1AC762" w14:textId="4DF6D352" w:rsidR="00FD0BE5" w:rsidRPr="00186023" w:rsidRDefault="00FD0BE5" w:rsidP="00106EC9">
      <w:pPr>
        <w:jc w:val="both"/>
        <w:rPr>
          <w:rFonts w:ascii="Arial" w:hAnsi="Arial" w:cs="Arial"/>
        </w:rPr>
        <w:sectPr w:rsidR="00FD0BE5" w:rsidRPr="00186023" w:rsidSect="00394F37">
          <w:headerReference w:type="default" r:id="rId13"/>
          <w:footerReference w:type="default" r:id="rId14"/>
          <w:pgSz w:w="11907" w:h="16840" w:code="9"/>
          <w:pgMar w:top="1418" w:right="1418" w:bottom="1440" w:left="1418" w:header="720" w:footer="720" w:gutter="0"/>
          <w:pgNumType w:fmt="lowerRoman" w:start="1"/>
          <w:cols w:space="720"/>
          <w:titlePg/>
        </w:sectPr>
      </w:pPr>
    </w:p>
    <w:p w14:paraId="1E780902" w14:textId="77777777" w:rsidR="004D23FE" w:rsidRPr="00270CD3" w:rsidRDefault="004D23FE" w:rsidP="00994F11">
      <w:pPr>
        <w:jc w:val="center"/>
        <w:rPr>
          <w:rFonts w:ascii="Arial" w:hAnsi="Arial" w:cs="Arial"/>
          <w:b/>
          <w:sz w:val="28"/>
          <w:szCs w:val="28"/>
        </w:rPr>
      </w:pPr>
      <w:r w:rsidRPr="00270CD3">
        <w:rPr>
          <w:rFonts w:ascii="Arial" w:hAnsi="Arial" w:cs="Arial"/>
          <w:b/>
          <w:sz w:val="28"/>
          <w:szCs w:val="28"/>
        </w:rPr>
        <w:t>Executive Summary</w:t>
      </w:r>
    </w:p>
    <w:p w14:paraId="22C23EC0" w14:textId="0E32E456" w:rsidR="00B77743" w:rsidRDefault="00D8449F" w:rsidP="00D3487E">
      <w:pPr>
        <w:spacing w:line="300" w:lineRule="atLeast"/>
        <w:jc w:val="both"/>
        <w:rPr>
          <w:szCs w:val="18"/>
        </w:rPr>
      </w:pPr>
      <w:r w:rsidRPr="00270CD3">
        <w:rPr>
          <w:szCs w:val="18"/>
        </w:rPr>
        <w:t xml:space="preserve">This report provides </w:t>
      </w:r>
      <w:r w:rsidR="008A4BA2">
        <w:rPr>
          <w:szCs w:val="18"/>
        </w:rPr>
        <w:t>an inventory of the annual distribution</w:t>
      </w:r>
      <w:r w:rsidR="00A14971" w:rsidRPr="00270CD3">
        <w:rPr>
          <w:szCs w:val="18"/>
        </w:rPr>
        <w:t xml:space="preserve"> </w:t>
      </w:r>
      <w:r w:rsidR="008A4BA2">
        <w:rPr>
          <w:szCs w:val="18"/>
        </w:rPr>
        <w:t xml:space="preserve">of mercury and mercury-containing goods and materials in </w:t>
      </w:r>
      <w:r w:rsidR="00A14971" w:rsidRPr="00270CD3">
        <w:rPr>
          <w:szCs w:val="18"/>
        </w:rPr>
        <w:t>New Zealand</w:t>
      </w:r>
      <w:r w:rsidR="0024649B">
        <w:rPr>
          <w:szCs w:val="18"/>
        </w:rPr>
        <w:t>,</w:t>
      </w:r>
      <w:r w:rsidR="0024649B" w:rsidRPr="0024649B">
        <w:rPr>
          <w:szCs w:val="18"/>
        </w:rPr>
        <w:t xml:space="preserve"> </w:t>
      </w:r>
      <w:r w:rsidR="0024649B">
        <w:rPr>
          <w:szCs w:val="18"/>
        </w:rPr>
        <w:t>from anthropogenic (man-made) sources</w:t>
      </w:r>
      <w:r w:rsidR="00D90479">
        <w:rPr>
          <w:szCs w:val="18"/>
        </w:rPr>
        <w:t>, for a base year of</w:t>
      </w:r>
      <w:r w:rsidR="00BB0D09">
        <w:rPr>
          <w:szCs w:val="18"/>
        </w:rPr>
        <w:t xml:space="preserve"> </w:t>
      </w:r>
      <w:r w:rsidR="00DA0E41">
        <w:rPr>
          <w:szCs w:val="18"/>
        </w:rPr>
        <w:t>2024</w:t>
      </w:r>
      <w:r w:rsidR="00A14971" w:rsidRPr="00270CD3">
        <w:rPr>
          <w:szCs w:val="18"/>
        </w:rPr>
        <w:t xml:space="preserve">. </w:t>
      </w:r>
      <w:r w:rsidRPr="00270CD3">
        <w:rPr>
          <w:szCs w:val="18"/>
        </w:rPr>
        <w:t xml:space="preserve">It has been </w:t>
      </w:r>
      <w:r w:rsidR="0024649B">
        <w:rPr>
          <w:szCs w:val="18"/>
        </w:rPr>
        <w:t>produced</w:t>
      </w:r>
      <w:r w:rsidR="0024649B" w:rsidRPr="00270CD3">
        <w:rPr>
          <w:szCs w:val="18"/>
        </w:rPr>
        <w:t xml:space="preserve"> </w:t>
      </w:r>
      <w:r w:rsidRPr="00270CD3">
        <w:rPr>
          <w:szCs w:val="18"/>
        </w:rPr>
        <w:t xml:space="preserve">under </w:t>
      </w:r>
      <w:r w:rsidR="0024649B">
        <w:rPr>
          <w:szCs w:val="18"/>
        </w:rPr>
        <w:t xml:space="preserve">a </w:t>
      </w:r>
      <w:r w:rsidRPr="00270CD3">
        <w:rPr>
          <w:szCs w:val="18"/>
        </w:rPr>
        <w:t xml:space="preserve">contract to the New Zealand </w:t>
      </w:r>
      <w:r w:rsidR="00A14971" w:rsidRPr="00270CD3">
        <w:rPr>
          <w:szCs w:val="18"/>
        </w:rPr>
        <w:t xml:space="preserve">Ministry for the </w:t>
      </w:r>
      <w:r w:rsidRPr="00270CD3">
        <w:rPr>
          <w:szCs w:val="18"/>
        </w:rPr>
        <w:t>Environment</w:t>
      </w:r>
      <w:r w:rsidR="00D90479">
        <w:rPr>
          <w:szCs w:val="18"/>
        </w:rPr>
        <w:t>, and builds on the information reported in previous inventories for 2008</w:t>
      </w:r>
      <w:r w:rsidR="005C1C64">
        <w:rPr>
          <w:szCs w:val="18"/>
        </w:rPr>
        <w:t>,</w:t>
      </w:r>
      <w:r w:rsidR="00BB0D09">
        <w:rPr>
          <w:szCs w:val="18"/>
        </w:rPr>
        <w:t xml:space="preserve"> </w:t>
      </w:r>
      <w:r w:rsidR="00D90479">
        <w:rPr>
          <w:szCs w:val="18"/>
        </w:rPr>
        <w:t>2012</w:t>
      </w:r>
      <w:r w:rsidR="00C92D4B">
        <w:rPr>
          <w:szCs w:val="18"/>
        </w:rPr>
        <w:t xml:space="preserve">, </w:t>
      </w:r>
      <w:r w:rsidR="005C1C64">
        <w:rPr>
          <w:szCs w:val="18"/>
        </w:rPr>
        <w:t>2016</w:t>
      </w:r>
      <w:r w:rsidR="00C92D4B">
        <w:rPr>
          <w:szCs w:val="18"/>
        </w:rPr>
        <w:t xml:space="preserve"> and 2020</w:t>
      </w:r>
      <w:r w:rsidR="00930CE4">
        <w:rPr>
          <w:szCs w:val="18"/>
        </w:rPr>
        <w:t>.</w:t>
      </w:r>
    </w:p>
    <w:p w14:paraId="15FA9F05" w14:textId="516E756F" w:rsidR="004F73EE" w:rsidRPr="00804FC8" w:rsidRDefault="008A4BA2" w:rsidP="008D5436">
      <w:pPr>
        <w:spacing w:line="300" w:lineRule="atLeast"/>
        <w:jc w:val="both"/>
        <w:rPr>
          <w:lang w:val="en-AU"/>
        </w:rPr>
      </w:pPr>
      <w:r>
        <w:rPr>
          <w:szCs w:val="18"/>
        </w:rPr>
        <w:t>The inventory</w:t>
      </w:r>
      <w:r w:rsidR="00DA0E41">
        <w:rPr>
          <w:szCs w:val="18"/>
        </w:rPr>
        <w:t xml:space="preserve"> </w:t>
      </w:r>
      <w:r>
        <w:rPr>
          <w:szCs w:val="18"/>
        </w:rPr>
        <w:t xml:space="preserve">has been prepared generally in accordance with the guidance provided in </w:t>
      </w:r>
      <w:r>
        <w:t xml:space="preserve">the </w:t>
      </w:r>
      <w:r w:rsidRPr="00CF5EC6">
        <w:t xml:space="preserve">UNEP </w:t>
      </w:r>
      <w:r w:rsidRPr="002D6CD9">
        <w:rPr>
          <w:i/>
        </w:rPr>
        <w:t xml:space="preserve">Toolkit </w:t>
      </w:r>
      <w:r w:rsidRPr="0094046F">
        <w:rPr>
          <w:i/>
        </w:rPr>
        <w:t>for identification and quantification of mercury releases</w:t>
      </w:r>
      <w:r>
        <w:t xml:space="preserve"> (the Toolkit)</w:t>
      </w:r>
      <w:r w:rsidR="00520C8E">
        <w:t xml:space="preserve">. </w:t>
      </w:r>
      <w:r w:rsidR="004F73EE">
        <w:t>The latest version of the Toolkit</w:t>
      </w:r>
      <w:r w:rsidR="005C1C64">
        <w:t xml:space="preserve">, published in </w:t>
      </w:r>
      <w:r w:rsidR="009D0D1B">
        <w:t>2023</w:t>
      </w:r>
      <w:r w:rsidR="004F73EE">
        <w:t xml:space="preserve"> </w:t>
      </w:r>
      <w:r w:rsidR="00EF389F">
        <w:t>has been used to provide the basic framework for this work</w:t>
      </w:r>
      <w:r w:rsidR="004F73EE">
        <w:t xml:space="preserve">. </w:t>
      </w:r>
      <w:r w:rsidR="004F73EE" w:rsidRPr="00804FC8">
        <w:rPr>
          <w:lang w:val="en-AU"/>
        </w:rPr>
        <w:t>Th</w:t>
      </w:r>
      <w:r w:rsidR="00EF389F">
        <w:rPr>
          <w:lang w:val="en-AU"/>
        </w:rPr>
        <w:t>e</w:t>
      </w:r>
      <w:r w:rsidR="004F73EE" w:rsidRPr="00804FC8">
        <w:rPr>
          <w:lang w:val="en-AU"/>
        </w:rPr>
        <w:t xml:space="preserve"> </w:t>
      </w:r>
      <w:r w:rsidR="004F73EE">
        <w:rPr>
          <w:lang w:val="en-AU"/>
        </w:rPr>
        <w:t xml:space="preserve">methodology </w:t>
      </w:r>
      <w:r w:rsidR="007966FC">
        <w:rPr>
          <w:lang w:val="en-AU"/>
        </w:rPr>
        <w:t xml:space="preserve">involves the collection of activity data for a wide range of possible mercury sources, coupled with calculations to determine the </w:t>
      </w:r>
      <w:r w:rsidR="008D5436" w:rsidRPr="008D5436">
        <w:rPr>
          <w:lang w:val="en-AU"/>
        </w:rPr>
        <w:t>quantities of mercury brought into, or mobilised, within the country</w:t>
      </w:r>
      <w:r w:rsidR="008D5436">
        <w:rPr>
          <w:lang w:val="en-AU"/>
        </w:rPr>
        <w:t xml:space="preserve"> (the </w:t>
      </w:r>
      <w:r w:rsidR="008D5436" w:rsidRPr="008D5436">
        <w:rPr>
          <w:b/>
          <w:lang w:val="en-AU"/>
        </w:rPr>
        <w:t>Inputs</w:t>
      </w:r>
      <w:r w:rsidR="008D5436">
        <w:rPr>
          <w:lang w:val="en-AU"/>
        </w:rPr>
        <w:t>)</w:t>
      </w:r>
      <w:r w:rsidR="00874536">
        <w:rPr>
          <w:lang w:val="en-AU"/>
        </w:rPr>
        <w:t>,</w:t>
      </w:r>
      <w:r w:rsidR="008D5436">
        <w:rPr>
          <w:lang w:val="en-AU"/>
        </w:rPr>
        <w:t xml:space="preserve"> and </w:t>
      </w:r>
      <w:r w:rsidR="008D5436" w:rsidRPr="008D5436">
        <w:rPr>
          <w:lang w:val="en-AU"/>
        </w:rPr>
        <w:t xml:space="preserve">the quantities of mercury released into </w:t>
      </w:r>
      <w:r w:rsidR="00874536">
        <w:rPr>
          <w:lang w:val="en-AU"/>
        </w:rPr>
        <w:t xml:space="preserve">the </w:t>
      </w:r>
      <w:r w:rsidR="008D5436" w:rsidRPr="008D5436">
        <w:rPr>
          <w:lang w:val="en-AU"/>
        </w:rPr>
        <w:t>different environmental compartments of air, water, land, and releases in wastes or in products</w:t>
      </w:r>
      <w:r w:rsidR="008D5436">
        <w:rPr>
          <w:lang w:val="en-AU"/>
        </w:rPr>
        <w:t xml:space="preserve"> (the </w:t>
      </w:r>
      <w:r w:rsidR="008D5436" w:rsidRPr="008D5436">
        <w:rPr>
          <w:b/>
          <w:lang w:val="en-AU"/>
        </w:rPr>
        <w:t>Outputs</w:t>
      </w:r>
      <w:r w:rsidR="008D5436">
        <w:rPr>
          <w:lang w:val="en-AU"/>
        </w:rPr>
        <w:t>)</w:t>
      </w:r>
      <w:r w:rsidR="008D5436" w:rsidRPr="008D5436">
        <w:rPr>
          <w:lang w:val="en-AU"/>
        </w:rPr>
        <w:t>.</w:t>
      </w:r>
    </w:p>
    <w:p w14:paraId="5A86D247" w14:textId="77777777" w:rsidR="007E24CE" w:rsidRPr="007E24CE" w:rsidRDefault="007E24CE" w:rsidP="003833D6">
      <w:pPr>
        <w:spacing w:line="300" w:lineRule="atLeast"/>
        <w:jc w:val="both"/>
        <w:rPr>
          <w:rFonts w:ascii="Arial" w:hAnsi="Arial" w:cs="Arial"/>
          <w:b/>
          <w:szCs w:val="18"/>
        </w:rPr>
      </w:pPr>
      <w:r w:rsidRPr="007E24CE">
        <w:rPr>
          <w:rFonts w:ascii="Arial" w:hAnsi="Arial" w:cs="Arial"/>
          <w:b/>
          <w:szCs w:val="18"/>
        </w:rPr>
        <w:t>Estimated mercury inputs and outputs</w:t>
      </w:r>
    </w:p>
    <w:p w14:paraId="600C126C" w14:textId="49D6EE31" w:rsidR="003C227D" w:rsidRDefault="002F11BC" w:rsidP="003833D6">
      <w:pPr>
        <w:spacing w:line="300" w:lineRule="atLeast"/>
        <w:jc w:val="both"/>
        <w:rPr>
          <w:szCs w:val="18"/>
        </w:rPr>
      </w:pPr>
      <w:r>
        <w:rPr>
          <w:szCs w:val="18"/>
        </w:rPr>
        <w:t>The primary results of this assessment ar</w:t>
      </w:r>
      <w:r w:rsidR="00D979D3">
        <w:rPr>
          <w:szCs w:val="18"/>
        </w:rPr>
        <w:t xml:space="preserve">e summarised in </w:t>
      </w:r>
      <w:r w:rsidR="00FA4378">
        <w:rPr>
          <w:szCs w:val="18"/>
        </w:rPr>
        <w:t>the table below</w:t>
      </w:r>
      <w:r w:rsidR="00D979D3">
        <w:rPr>
          <w:szCs w:val="18"/>
        </w:rPr>
        <w:t>.</w:t>
      </w:r>
      <w:r w:rsidR="00746776">
        <w:rPr>
          <w:szCs w:val="18"/>
        </w:rPr>
        <w:t xml:space="preserve"> Bracketed results are mean of the range.</w:t>
      </w:r>
    </w:p>
    <w:tbl>
      <w:tblPr>
        <w:tblStyle w:val="TableGrid"/>
        <w:tblW w:w="9072" w:type="dxa"/>
        <w:tblInd w:w="108" w:type="dxa"/>
        <w:tblLook w:val="04A0" w:firstRow="1" w:lastRow="0" w:firstColumn="1" w:lastColumn="0" w:noHBand="0" w:noVBand="1"/>
      </w:tblPr>
      <w:tblGrid>
        <w:gridCol w:w="1668"/>
        <w:gridCol w:w="1371"/>
        <w:gridCol w:w="1384"/>
        <w:gridCol w:w="1140"/>
        <w:gridCol w:w="1303"/>
        <w:gridCol w:w="1027"/>
        <w:gridCol w:w="1179"/>
      </w:tblGrid>
      <w:tr w:rsidR="003C227D" w:rsidRPr="00C92D4B" w14:paraId="54724784" w14:textId="77777777" w:rsidTr="000679BC">
        <w:tc>
          <w:tcPr>
            <w:tcW w:w="1668" w:type="dxa"/>
            <w:vMerge w:val="restart"/>
            <w:vAlign w:val="center"/>
          </w:tcPr>
          <w:p w14:paraId="058AC802" w14:textId="77777777" w:rsidR="003C227D" w:rsidRPr="000B1B79" w:rsidRDefault="003C227D" w:rsidP="00325CE9">
            <w:pPr>
              <w:spacing w:before="60" w:after="60"/>
              <w:rPr>
                <w:rFonts w:ascii="Arial" w:hAnsi="Arial" w:cs="Arial"/>
                <w:b/>
                <w:sz w:val="16"/>
                <w:szCs w:val="16"/>
              </w:rPr>
            </w:pPr>
            <w:r w:rsidRPr="000B1B79">
              <w:rPr>
                <w:rFonts w:ascii="Arial" w:hAnsi="Arial" w:cs="Arial"/>
                <w:b/>
                <w:sz w:val="16"/>
                <w:szCs w:val="16"/>
              </w:rPr>
              <w:t>Category</w:t>
            </w:r>
          </w:p>
        </w:tc>
        <w:tc>
          <w:tcPr>
            <w:tcW w:w="1371" w:type="dxa"/>
            <w:vMerge w:val="restart"/>
            <w:vAlign w:val="center"/>
          </w:tcPr>
          <w:p w14:paraId="3827A9B4" w14:textId="77777777" w:rsidR="003C227D" w:rsidRPr="000B1B79" w:rsidRDefault="003C227D" w:rsidP="00325CE9">
            <w:pPr>
              <w:spacing w:before="60" w:after="60"/>
              <w:jc w:val="center"/>
              <w:rPr>
                <w:rFonts w:ascii="Arial" w:hAnsi="Arial" w:cs="Arial"/>
                <w:b/>
                <w:sz w:val="16"/>
                <w:szCs w:val="16"/>
              </w:rPr>
            </w:pPr>
            <w:r w:rsidRPr="000B1B79">
              <w:rPr>
                <w:rFonts w:ascii="Arial" w:hAnsi="Arial" w:cs="Arial"/>
                <w:b/>
                <w:sz w:val="16"/>
                <w:szCs w:val="16"/>
              </w:rPr>
              <w:t>Mercury Inputs, kg/year</w:t>
            </w:r>
          </w:p>
        </w:tc>
        <w:tc>
          <w:tcPr>
            <w:tcW w:w="6033" w:type="dxa"/>
            <w:gridSpan w:val="5"/>
            <w:vAlign w:val="center"/>
          </w:tcPr>
          <w:p w14:paraId="64A621F9" w14:textId="77777777" w:rsidR="003C227D" w:rsidRPr="000B1B79" w:rsidRDefault="003C227D" w:rsidP="00325CE9">
            <w:pPr>
              <w:spacing w:before="60" w:after="60"/>
              <w:jc w:val="center"/>
              <w:rPr>
                <w:rFonts w:ascii="Arial" w:hAnsi="Arial" w:cs="Arial"/>
                <w:b/>
                <w:sz w:val="16"/>
                <w:szCs w:val="16"/>
              </w:rPr>
            </w:pPr>
            <w:r w:rsidRPr="000B1B79">
              <w:rPr>
                <w:rFonts w:ascii="Arial" w:hAnsi="Arial" w:cs="Arial"/>
                <w:b/>
                <w:sz w:val="16"/>
                <w:szCs w:val="16"/>
              </w:rPr>
              <w:t>Mercury Outputs, kg/yr</w:t>
            </w:r>
          </w:p>
        </w:tc>
      </w:tr>
      <w:tr w:rsidR="003C227D" w:rsidRPr="00C92D4B" w14:paraId="31B826E6" w14:textId="77777777" w:rsidTr="009D0D1B">
        <w:tc>
          <w:tcPr>
            <w:tcW w:w="1668" w:type="dxa"/>
            <w:vMerge/>
            <w:vAlign w:val="center"/>
          </w:tcPr>
          <w:p w14:paraId="3F2E68AC" w14:textId="77777777" w:rsidR="003C227D" w:rsidRPr="000B1B79" w:rsidRDefault="003C227D" w:rsidP="00325CE9">
            <w:pPr>
              <w:spacing w:before="60" w:after="60"/>
              <w:rPr>
                <w:rFonts w:ascii="Arial" w:hAnsi="Arial" w:cs="Arial"/>
                <w:b/>
                <w:sz w:val="16"/>
                <w:szCs w:val="16"/>
              </w:rPr>
            </w:pPr>
          </w:p>
        </w:tc>
        <w:tc>
          <w:tcPr>
            <w:tcW w:w="1371" w:type="dxa"/>
            <w:vMerge/>
          </w:tcPr>
          <w:p w14:paraId="72726087" w14:textId="77777777" w:rsidR="003C227D" w:rsidRPr="000B1B79" w:rsidRDefault="003C227D" w:rsidP="00325CE9">
            <w:pPr>
              <w:spacing w:before="60" w:after="60"/>
              <w:jc w:val="both"/>
              <w:rPr>
                <w:rFonts w:ascii="Arial" w:hAnsi="Arial" w:cs="Arial"/>
                <w:b/>
                <w:sz w:val="16"/>
                <w:szCs w:val="16"/>
              </w:rPr>
            </w:pPr>
          </w:p>
        </w:tc>
        <w:tc>
          <w:tcPr>
            <w:tcW w:w="1384" w:type="dxa"/>
            <w:vAlign w:val="center"/>
          </w:tcPr>
          <w:p w14:paraId="28EE1747" w14:textId="77777777" w:rsidR="003C227D" w:rsidRPr="000B1B79" w:rsidRDefault="003C227D" w:rsidP="00325CE9">
            <w:pPr>
              <w:spacing w:before="60" w:after="60"/>
              <w:jc w:val="center"/>
              <w:rPr>
                <w:rFonts w:ascii="Arial" w:hAnsi="Arial" w:cs="Arial"/>
                <w:b/>
                <w:sz w:val="16"/>
                <w:szCs w:val="16"/>
              </w:rPr>
            </w:pPr>
            <w:r w:rsidRPr="000B1B79">
              <w:rPr>
                <w:rFonts w:ascii="Arial" w:hAnsi="Arial" w:cs="Arial"/>
                <w:b/>
                <w:sz w:val="16"/>
                <w:szCs w:val="16"/>
              </w:rPr>
              <w:t>Air</w:t>
            </w:r>
          </w:p>
        </w:tc>
        <w:tc>
          <w:tcPr>
            <w:tcW w:w="1140" w:type="dxa"/>
            <w:vAlign w:val="center"/>
          </w:tcPr>
          <w:p w14:paraId="50FFB890" w14:textId="77777777" w:rsidR="003C227D" w:rsidRPr="000B1B79" w:rsidRDefault="003C227D" w:rsidP="00325CE9">
            <w:pPr>
              <w:spacing w:before="60" w:after="60"/>
              <w:jc w:val="center"/>
              <w:rPr>
                <w:rFonts w:ascii="Arial" w:hAnsi="Arial" w:cs="Arial"/>
                <w:b/>
                <w:sz w:val="16"/>
                <w:szCs w:val="16"/>
              </w:rPr>
            </w:pPr>
            <w:r w:rsidRPr="000B1B79">
              <w:rPr>
                <w:rFonts w:ascii="Arial" w:hAnsi="Arial" w:cs="Arial"/>
                <w:b/>
                <w:sz w:val="16"/>
                <w:szCs w:val="16"/>
              </w:rPr>
              <w:t>Water</w:t>
            </w:r>
          </w:p>
        </w:tc>
        <w:tc>
          <w:tcPr>
            <w:tcW w:w="1303" w:type="dxa"/>
            <w:vAlign w:val="center"/>
          </w:tcPr>
          <w:p w14:paraId="7D5847DF" w14:textId="77777777" w:rsidR="003C227D" w:rsidRPr="000B1B79" w:rsidRDefault="003C227D" w:rsidP="00325CE9">
            <w:pPr>
              <w:spacing w:before="60" w:after="60"/>
              <w:jc w:val="center"/>
              <w:rPr>
                <w:rFonts w:ascii="Arial" w:hAnsi="Arial" w:cs="Arial"/>
                <w:b/>
                <w:sz w:val="16"/>
                <w:szCs w:val="16"/>
              </w:rPr>
            </w:pPr>
            <w:r w:rsidRPr="000B1B79">
              <w:rPr>
                <w:rFonts w:ascii="Arial" w:hAnsi="Arial" w:cs="Arial"/>
                <w:b/>
                <w:sz w:val="16"/>
                <w:szCs w:val="16"/>
              </w:rPr>
              <w:t>Land</w:t>
            </w:r>
          </w:p>
        </w:tc>
        <w:tc>
          <w:tcPr>
            <w:tcW w:w="1027" w:type="dxa"/>
            <w:vAlign w:val="center"/>
          </w:tcPr>
          <w:p w14:paraId="3ECA34DE" w14:textId="77777777" w:rsidR="003C227D" w:rsidRPr="000B1B79" w:rsidRDefault="003C227D" w:rsidP="00325CE9">
            <w:pPr>
              <w:spacing w:before="60" w:after="60"/>
              <w:jc w:val="center"/>
              <w:rPr>
                <w:rFonts w:ascii="Arial" w:hAnsi="Arial" w:cs="Arial"/>
                <w:b/>
                <w:sz w:val="16"/>
                <w:szCs w:val="16"/>
              </w:rPr>
            </w:pPr>
            <w:r w:rsidRPr="000B1B79">
              <w:rPr>
                <w:rFonts w:ascii="Arial" w:hAnsi="Arial" w:cs="Arial"/>
                <w:b/>
                <w:sz w:val="16"/>
                <w:szCs w:val="16"/>
              </w:rPr>
              <w:t>Product</w:t>
            </w:r>
          </w:p>
        </w:tc>
        <w:tc>
          <w:tcPr>
            <w:tcW w:w="1179" w:type="dxa"/>
            <w:vAlign w:val="center"/>
          </w:tcPr>
          <w:p w14:paraId="6E5AF00D" w14:textId="77777777" w:rsidR="003C227D" w:rsidRPr="000B1B79" w:rsidRDefault="003C227D" w:rsidP="00325CE9">
            <w:pPr>
              <w:spacing w:before="60" w:after="60"/>
              <w:jc w:val="center"/>
              <w:rPr>
                <w:rFonts w:ascii="Arial" w:hAnsi="Arial" w:cs="Arial"/>
                <w:b/>
                <w:sz w:val="16"/>
                <w:szCs w:val="16"/>
              </w:rPr>
            </w:pPr>
            <w:r w:rsidRPr="000B1B79">
              <w:rPr>
                <w:rFonts w:ascii="Arial" w:hAnsi="Arial" w:cs="Arial"/>
                <w:b/>
                <w:sz w:val="16"/>
                <w:szCs w:val="16"/>
              </w:rPr>
              <w:t>Waste</w:t>
            </w:r>
          </w:p>
        </w:tc>
      </w:tr>
      <w:tr w:rsidR="00110685" w:rsidRPr="00C92D4B" w14:paraId="6911FE37" w14:textId="77777777" w:rsidTr="009D0D1B">
        <w:tc>
          <w:tcPr>
            <w:tcW w:w="1668" w:type="dxa"/>
            <w:vAlign w:val="center"/>
          </w:tcPr>
          <w:p w14:paraId="00B908EB" w14:textId="77777777" w:rsidR="00110685" w:rsidRPr="009D0D1B" w:rsidRDefault="00110685" w:rsidP="00110685">
            <w:pPr>
              <w:spacing w:before="60" w:after="60"/>
              <w:rPr>
                <w:rFonts w:ascii="Arial" w:hAnsi="Arial" w:cs="Arial"/>
                <w:sz w:val="16"/>
                <w:szCs w:val="16"/>
              </w:rPr>
            </w:pPr>
            <w:r w:rsidRPr="009D0D1B">
              <w:rPr>
                <w:rFonts w:ascii="Arial" w:hAnsi="Arial" w:cs="Arial"/>
                <w:sz w:val="16"/>
                <w:szCs w:val="16"/>
              </w:rPr>
              <w:t xml:space="preserve">1. Extraction and use of fuels/energy sources </w:t>
            </w:r>
          </w:p>
        </w:tc>
        <w:tc>
          <w:tcPr>
            <w:tcW w:w="1371" w:type="dxa"/>
            <w:vAlign w:val="center"/>
          </w:tcPr>
          <w:p w14:paraId="5597DE29" w14:textId="037C28CA" w:rsidR="00110685" w:rsidRPr="009D0D1B" w:rsidRDefault="00110685" w:rsidP="00110685">
            <w:pPr>
              <w:spacing w:line="300" w:lineRule="atLeast"/>
              <w:jc w:val="center"/>
              <w:rPr>
                <w:rFonts w:ascii="Arial" w:hAnsi="Arial" w:cs="Arial"/>
                <w:sz w:val="16"/>
                <w:szCs w:val="16"/>
              </w:rPr>
            </w:pPr>
            <w:r w:rsidRPr="00E16750">
              <w:rPr>
                <w:rFonts w:ascii="Arial" w:hAnsi="Arial" w:cs="Arial"/>
                <w:sz w:val="16"/>
                <w:szCs w:val="16"/>
              </w:rPr>
              <w:t>35</w:t>
            </w:r>
            <w:r w:rsidR="001D254B">
              <w:rPr>
                <w:rFonts w:ascii="Arial" w:hAnsi="Arial" w:cs="Arial"/>
                <w:sz w:val="16"/>
                <w:szCs w:val="16"/>
              </w:rPr>
              <w:t>8</w:t>
            </w:r>
            <w:r w:rsidRPr="00E16750">
              <w:rPr>
                <w:rFonts w:ascii="Arial" w:hAnsi="Arial" w:cs="Arial"/>
                <w:sz w:val="16"/>
                <w:szCs w:val="16"/>
              </w:rPr>
              <w:t xml:space="preserve"> - 273</w:t>
            </w:r>
            <w:r w:rsidR="001D254B">
              <w:rPr>
                <w:rFonts w:ascii="Arial" w:hAnsi="Arial" w:cs="Arial"/>
                <w:sz w:val="16"/>
                <w:szCs w:val="16"/>
              </w:rPr>
              <w:t>3</w:t>
            </w:r>
            <w:r w:rsidRPr="00E16750">
              <w:rPr>
                <w:rFonts w:ascii="Arial" w:hAnsi="Arial" w:cs="Arial"/>
                <w:sz w:val="16"/>
                <w:szCs w:val="16"/>
              </w:rPr>
              <w:t xml:space="preserve"> (154</w:t>
            </w:r>
            <w:r w:rsidR="001D254B">
              <w:rPr>
                <w:rFonts w:ascii="Arial" w:hAnsi="Arial" w:cs="Arial"/>
                <w:sz w:val="16"/>
                <w:szCs w:val="16"/>
              </w:rPr>
              <w:t>6</w:t>
            </w:r>
            <w:r w:rsidRPr="00E16750">
              <w:rPr>
                <w:rFonts w:ascii="Arial" w:hAnsi="Arial" w:cs="Arial"/>
                <w:sz w:val="16"/>
                <w:szCs w:val="16"/>
              </w:rPr>
              <w:t>)</w:t>
            </w:r>
          </w:p>
        </w:tc>
        <w:tc>
          <w:tcPr>
            <w:tcW w:w="1384" w:type="dxa"/>
            <w:vAlign w:val="center"/>
          </w:tcPr>
          <w:p w14:paraId="3E32ACFA" w14:textId="05B341E3" w:rsidR="00110685" w:rsidRPr="009D0D1B" w:rsidRDefault="00110685" w:rsidP="00110685">
            <w:pPr>
              <w:spacing w:line="300" w:lineRule="atLeast"/>
              <w:jc w:val="center"/>
              <w:rPr>
                <w:rFonts w:ascii="Arial" w:hAnsi="Arial" w:cs="Arial"/>
                <w:sz w:val="16"/>
                <w:szCs w:val="16"/>
              </w:rPr>
            </w:pPr>
            <w:r w:rsidRPr="00E16750">
              <w:rPr>
                <w:rFonts w:ascii="Arial" w:hAnsi="Arial" w:cs="Arial"/>
                <w:sz w:val="16"/>
                <w:szCs w:val="16"/>
              </w:rPr>
              <w:t>34</w:t>
            </w:r>
            <w:r w:rsidR="001D254B">
              <w:rPr>
                <w:rFonts w:ascii="Arial" w:hAnsi="Arial" w:cs="Arial"/>
                <w:sz w:val="16"/>
                <w:szCs w:val="16"/>
              </w:rPr>
              <w:t>8</w:t>
            </w:r>
            <w:r w:rsidRPr="00E16750">
              <w:rPr>
                <w:rFonts w:ascii="Arial" w:hAnsi="Arial" w:cs="Arial"/>
                <w:sz w:val="16"/>
                <w:szCs w:val="16"/>
              </w:rPr>
              <w:t xml:space="preserve"> – 249</w:t>
            </w:r>
            <w:r w:rsidR="001D254B">
              <w:rPr>
                <w:rFonts w:ascii="Arial" w:hAnsi="Arial" w:cs="Arial"/>
                <w:sz w:val="16"/>
                <w:szCs w:val="16"/>
              </w:rPr>
              <w:t xml:space="preserve">4 </w:t>
            </w:r>
            <w:r w:rsidRPr="00E16750">
              <w:rPr>
                <w:rFonts w:ascii="Arial" w:hAnsi="Arial" w:cs="Arial"/>
                <w:sz w:val="16"/>
                <w:szCs w:val="16"/>
              </w:rPr>
              <w:t>(14</w:t>
            </w:r>
            <w:r w:rsidR="001D254B">
              <w:rPr>
                <w:rFonts w:ascii="Arial" w:hAnsi="Arial" w:cs="Arial"/>
                <w:sz w:val="16"/>
                <w:szCs w:val="16"/>
              </w:rPr>
              <w:t>21</w:t>
            </w:r>
            <w:r w:rsidRPr="00E16750">
              <w:rPr>
                <w:rFonts w:ascii="Arial" w:hAnsi="Arial" w:cs="Arial"/>
                <w:sz w:val="16"/>
                <w:szCs w:val="16"/>
              </w:rPr>
              <w:t>)</w:t>
            </w:r>
          </w:p>
        </w:tc>
        <w:tc>
          <w:tcPr>
            <w:tcW w:w="1140" w:type="dxa"/>
            <w:vAlign w:val="center"/>
          </w:tcPr>
          <w:p w14:paraId="3922CF35" w14:textId="1B087CF7" w:rsidR="00110685" w:rsidRPr="009D0D1B" w:rsidRDefault="00110685" w:rsidP="00110685">
            <w:pPr>
              <w:spacing w:line="300" w:lineRule="atLeast"/>
              <w:jc w:val="center"/>
              <w:rPr>
                <w:rFonts w:ascii="Arial" w:hAnsi="Arial" w:cs="Arial"/>
                <w:sz w:val="16"/>
                <w:szCs w:val="16"/>
              </w:rPr>
            </w:pPr>
            <w:r w:rsidRPr="00E16750">
              <w:rPr>
                <w:rFonts w:ascii="Arial" w:hAnsi="Arial" w:cs="Arial"/>
                <w:sz w:val="16"/>
                <w:szCs w:val="16"/>
              </w:rPr>
              <w:t>6.46 – 58.8 (32.6)</w:t>
            </w:r>
          </w:p>
        </w:tc>
        <w:tc>
          <w:tcPr>
            <w:tcW w:w="1303" w:type="dxa"/>
            <w:vAlign w:val="center"/>
          </w:tcPr>
          <w:p w14:paraId="0773FCAC" w14:textId="61831765" w:rsidR="00110685" w:rsidRPr="009D0D1B" w:rsidRDefault="00110685" w:rsidP="00110685">
            <w:pPr>
              <w:spacing w:line="300" w:lineRule="atLeast"/>
              <w:jc w:val="center"/>
              <w:rPr>
                <w:rFonts w:ascii="Arial" w:hAnsi="Arial" w:cs="Arial"/>
                <w:sz w:val="16"/>
                <w:szCs w:val="16"/>
              </w:rPr>
            </w:pPr>
            <w:r w:rsidRPr="00E16750">
              <w:rPr>
                <w:rFonts w:ascii="Arial" w:hAnsi="Arial" w:cs="Arial"/>
                <w:sz w:val="16"/>
                <w:szCs w:val="16"/>
              </w:rPr>
              <w:t>2.3</w:t>
            </w:r>
            <w:r>
              <w:rPr>
                <w:rFonts w:ascii="Arial" w:hAnsi="Arial" w:cs="Arial"/>
                <w:sz w:val="16"/>
                <w:szCs w:val="16"/>
              </w:rPr>
              <w:t>1</w:t>
            </w:r>
            <w:r w:rsidRPr="00E16750">
              <w:rPr>
                <w:rFonts w:ascii="Arial" w:hAnsi="Arial" w:cs="Arial"/>
                <w:sz w:val="16"/>
                <w:szCs w:val="16"/>
              </w:rPr>
              <w:t xml:space="preserve"> – 17.1 (9.70)</w:t>
            </w:r>
          </w:p>
        </w:tc>
        <w:tc>
          <w:tcPr>
            <w:tcW w:w="1027" w:type="dxa"/>
            <w:vAlign w:val="center"/>
          </w:tcPr>
          <w:p w14:paraId="07B112DA" w14:textId="1E5F19C7" w:rsidR="00110685" w:rsidRPr="009D0D1B" w:rsidRDefault="00110685" w:rsidP="00110685">
            <w:pPr>
              <w:spacing w:line="300" w:lineRule="atLeast"/>
              <w:jc w:val="center"/>
              <w:rPr>
                <w:rFonts w:ascii="Arial" w:hAnsi="Arial" w:cs="Arial"/>
                <w:sz w:val="16"/>
                <w:szCs w:val="16"/>
              </w:rPr>
            </w:pPr>
            <w:r w:rsidRPr="00BE7F5A">
              <w:rPr>
                <w:rFonts w:ascii="Arial" w:hAnsi="Arial" w:cs="Arial"/>
                <w:sz w:val="16"/>
                <w:szCs w:val="16"/>
              </w:rPr>
              <w:t>-</w:t>
            </w:r>
            <w:r w:rsidRPr="00BE7F5A" w:rsidDel="00AE1467">
              <w:rPr>
                <w:rFonts w:ascii="Arial" w:hAnsi="Arial" w:cs="Arial"/>
                <w:sz w:val="16"/>
                <w:szCs w:val="16"/>
              </w:rPr>
              <w:t>-</w:t>
            </w:r>
          </w:p>
        </w:tc>
        <w:tc>
          <w:tcPr>
            <w:tcW w:w="1179" w:type="dxa"/>
            <w:vAlign w:val="center"/>
          </w:tcPr>
          <w:p w14:paraId="2F2CE9CC" w14:textId="0E70814C" w:rsidR="00110685" w:rsidRPr="009D0D1B" w:rsidRDefault="00110685" w:rsidP="00110685">
            <w:pPr>
              <w:spacing w:line="300" w:lineRule="atLeast"/>
              <w:jc w:val="center"/>
              <w:rPr>
                <w:rFonts w:ascii="Arial" w:hAnsi="Arial" w:cs="Arial"/>
                <w:sz w:val="16"/>
                <w:szCs w:val="16"/>
              </w:rPr>
            </w:pPr>
            <w:r w:rsidRPr="00E16750">
              <w:rPr>
                <w:rFonts w:ascii="Arial" w:hAnsi="Arial" w:cs="Arial"/>
                <w:sz w:val="16"/>
                <w:szCs w:val="16"/>
              </w:rPr>
              <w:t>1.</w:t>
            </w:r>
            <w:r w:rsidR="001D254B">
              <w:rPr>
                <w:rFonts w:ascii="Arial" w:hAnsi="Arial" w:cs="Arial"/>
                <w:sz w:val="16"/>
                <w:szCs w:val="16"/>
              </w:rPr>
              <w:t>7</w:t>
            </w:r>
            <w:r w:rsidRPr="00E16750">
              <w:rPr>
                <w:rFonts w:ascii="Arial" w:hAnsi="Arial" w:cs="Arial"/>
                <w:sz w:val="16"/>
                <w:szCs w:val="16"/>
              </w:rPr>
              <w:t xml:space="preserve"> – 16</w:t>
            </w:r>
            <w:r>
              <w:rPr>
                <w:rFonts w:ascii="Arial" w:hAnsi="Arial" w:cs="Arial"/>
                <w:sz w:val="16"/>
                <w:szCs w:val="16"/>
              </w:rPr>
              <w:t>3</w:t>
            </w:r>
            <w:r w:rsidRPr="00E16750">
              <w:rPr>
                <w:rFonts w:ascii="Arial" w:hAnsi="Arial" w:cs="Arial"/>
                <w:sz w:val="16"/>
                <w:szCs w:val="16"/>
              </w:rPr>
              <w:t xml:space="preserve"> (82.</w:t>
            </w:r>
            <w:r w:rsidR="001D254B">
              <w:rPr>
                <w:rFonts w:ascii="Arial" w:hAnsi="Arial" w:cs="Arial"/>
                <w:sz w:val="16"/>
                <w:szCs w:val="16"/>
              </w:rPr>
              <w:t>4</w:t>
            </w:r>
            <w:r w:rsidRPr="00E16750">
              <w:rPr>
                <w:rFonts w:ascii="Arial" w:hAnsi="Arial" w:cs="Arial"/>
                <w:sz w:val="16"/>
                <w:szCs w:val="16"/>
              </w:rPr>
              <w:t>)</w:t>
            </w:r>
          </w:p>
        </w:tc>
      </w:tr>
      <w:tr w:rsidR="00110685" w:rsidRPr="00C92D4B" w14:paraId="0FDD4EB3" w14:textId="77777777" w:rsidTr="009D0D1B">
        <w:tc>
          <w:tcPr>
            <w:tcW w:w="1668" w:type="dxa"/>
            <w:vAlign w:val="center"/>
          </w:tcPr>
          <w:p w14:paraId="72526C47" w14:textId="685337E7" w:rsidR="00110685" w:rsidRPr="00C92D4B" w:rsidRDefault="00110685" w:rsidP="00110685">
            <w:pPr>
              <w:spacing w:before="60" w:after="60"/>
              <w:ind w:left="34"/>
              <w:rPr>
                <w:rFonts w:ascii="Arial" w:hAnsi="Arial" w:cs="Arial"/>
                <w:sz w:val="16"/>
                <w:szCs w:val="16"/>
                <w:highlight w:val="yellow"/>
              </w:rPr>
            </w:pPr>
            <w:r w:rsidRPr="009D0D1B">
              <w:rPr>
                <w:rFonts w:ascii="Arial" w:hAnsi="Arial" w:cs="Arial"/>
                <w:sz w:val="16"/>
                <w:szCs w:val="16"/>
              </w:rPr>
              <w:t xml:space="preserve">2. Primary (virgin) metal production </w:t>
            </w:r>
          </w:p>
        </w:tc>
        <w:tc>
          <w:tcPr>
            <w:tcW w:w="1371" w:type="dxa"/>
            <w:vAlign w:val="center"/>
          </w:tcPr>
          <w:p w14:paraId="5F10DA00" w14:textId="15A93681" w:rsidR="00110685" w:rsidRPr="00A0529D" w:rsidRDefault="00110685" w:rsidP="00110685">
            <w:pPr>
              <w:spacing w:line="300" w:lineRule="atLeast"/>
              <w:jc w:val="center"/>
              <w:rPr>
                <w:rFonts w:ascii="Arial" w:hAnsi="Arial" w:cs="Arial"/>
                <w:bCs/>
                <w:sz w:val="16"/>
                <w:szCs w:val="16"/>
                <w:highlight w:val="yellow"/>
              </w:rPr>
            </w:pPr>
            <w:r w:rsidRPr="008F7061">
              <w:rPr>
                <w:rFonts w:ascii="Arial" w:hAnsi="Arial" w:cs="Arial"/>
                <w:bCs/>
                <w:sz w:val="16"/>
                <w:szCs w:val="16"/>
              </w:rPr>
              <w:t>257 – 391</w:t>
            </w:r>
            <w:r>
              <w:rPr>
                <w:rFonts w:ascii="Arial" w:hAnsi="Arial" w:cs="Arial"/>
                <w:bCs/>
                <w:sz w:val="16"/>
                <w:szCs w:val="16"/>
              </w:rPr>
              <w:t xml:space="preserve"> </w:t>
            </w:r>
            <w:r w:rsidRPr="008F7061">
              <w:rPr>
                <w:rFonts w:ascii="Arial" w:hAnsi="Arial" w:cs="Arial"/>
                <w:bCs/>
                <w:sz w:val="16"/>
                <w:szCs w:val="16"/>
              </w:rPr>
              <w:t>(324)</w:t>
            </w:r>
          </w:p>
        </w:tc>
        <w:tc>
          <w:tcPr>
            <w:tcW w:w="1384" w:type="dxa"/>
            <w:vAlign w:val="center"/>
          </w:tcPr>
          <w:p w14:paraId="248815BB" w14:textId="6F4D0D49" w:rsidR="00110685" w:rsidRPr="00A0529D" w:rsidRDefault="00110685" w:rsidP="00110685">
            <w:pPr>
              <w:spacing w:line="300" w:lineRule="atLeast"/>
              <w:jc w:val="center"/>
              <w:rPr>
                <w:rFonts w:ascii="Arial" w:hAnsi="Arial" w:cs="Arial"/>
                <w:bCs/>
                <w:sz w:val="16"/>
                <w:szCs w:val="16"/>
                <w:highlight w:val="yellow"/>
              </w:rPr>
            </w:pPr>
            <w:r w:rsidRPr="008F7061">
              <w:rPr>
                <w:rFonts w:ascii="Arial" w:hAnsi="Arial" w:cs="Arial"/>
                <w:bCs/>
                <w:sz w:val="16"/>
                <w:szCs w:val="16"/>
              </w:rPr>
              <w:t>28.7 – 89.</w:t>
            </w:r>
            <w:r>
              <w:rPr>
                <w:rFonts w:ascii="Arial" w:hAnsi="Arial" w:cs="Arial"/>
                <w:bCs/>
                <w:sz w:val="16"/>
                <w:szCs w:val="16"/>
              </w:rPr>
              <w:t>9</w:t>
            </w:r>
            <w:r w:rsidRPr="008F7061">
              <w:rPr>
                <w:rFonts w:ascii="Arial" w:hAnsi="Arial" w:cs="Arial"/>
                <w:bCs/>
                <w:sz w:val="16"/>
                <w:szCs w:val="16"/>
              </w:rPr>
              <w:t xml:space="preserve"> (59.</w:t>
            </w:r>
            <w:r>
              <w:rPr>
                <w:rFonts w:ascii="Arial" w:hAnsi="Arial" w:cs="Arial"/>
                <w:bCs/>
                <w:sz w:val="16"/>
                <w:szCs w:val="16"/>
              </w:rPr>
              <w:t>3</w:t>
            </w:r>
            <w:r w:rsidRPr="008F7061">
              <w:rPr>
                <w:rFonts w:ascii="Arial" w:hAnsi="Arial" w:cs="Arial"/>
                <w:bCs/>
                <w:sz w:val="16"/>
                <w:szCs w:val="16"/>
              </w:rPr>
              <w:t>)</w:t>
            </w:r>
          </w:p>
        </w:tc>
        <w:tc>
          <w:tcPr>
            <w:tcW w:w="1140" w:type="dxa"/>
            <w:vAlign w:val="center"/>
          </w:tcPr>
          <w:p w14:paraId="13B677B6" w14:textId="75A7BD03" w:rsidR="00110685" w:rsidRPr="00A0529D" w:rsidRDefault="00110685" w:rsidP="00110685">
            <w:pPr>
              <w:spacing w:line="300" w:lineRule="atLeast"/>
              <w:jc w:val="center"/>
              <w:rPr>
                <w:rFonts w:ascii="Arial" w:hAnsi="Arial" w:cs="Arial"/>
                <w:bCs/>
                <w:sz w:val="16"/>
                <w:szCs w:val="16"/>
                <w:highlight w:val="yellow"/>
              </w:rPr>
            </w:pPr>
            <w:r w:rsidRPr="008F7061">
              <w:rPr>
                <w:rFonts w:ascii="Arial" w:hAnsi="Arial" w:cs="Arial"/>
                <w:bCs/>
                <w:sz w:val="16"/>
                <w:szCs w:val="16"/>
              </w:rPr>
              <w:t>10.8 – 18.</w:t>
            </w:r>
            <w:r>
              <w:rPr>
                <w:rFonts w:ascii="Arial" w:hAnsi="Arial" w:cs="Arial"/>
                <w:bCs/>
                <w:sz w:val="16"/>
                <w:szCs w:val="16"/>
              </w:rPr>
              <w:t>9</w:t>
            </w:r>
            <w:r w:rsidRPr="008F7061">
              <w:rPr>
                <w:rFonts w:ascii="Arial" w:hAnsi="Arial" w:cs="Arial"/>
                <w:bCs/>
                <w:sz w:val="16"/>
                <w:szCs w:val="16"/>
              </w:rPr>
              <w:t xml:space="preserve"> (14.8)</w:t>
            </w:r>
          </w:p>
        </w:tc>
        <w:tc>
          <w:tcPr>
            <w:tcW w:w="1303" w:type="dxa"/>
            <w:vAlign w:val="center"/>
          </w:tcPr>
          <w:p w14:paraId="5A1B2D40" w14:textId="254C9D65" w:rsidR="00110685" w:rsidRPr="00A0529D" w:rsidRDefault="00110685" w:rsidP="00110685">
            <w:pPr>
              <w:spacing w:line="300" w:lineRule="atLeast"/>
              <w:jc w:val="center"/>
              <w:rPr>
                <w:rFonts w:ascii="Arial" w:hAnsi="Arial" w:cs="Arial"/>
                <w:bCs/>
                <w:sz w:val="16"/>
                <w:szCs w:val="16"/>
                <w:highlight w:val="yellow"/>
              </w:rPr>
            </w:pPr>
            <w:r w:rsidRPr="008F7061">
              <w:rPr>
                <w:rFonts w:ascii="Arial" w:hAnsi="Arial" w:cs="Arial"/>
                <w:bCs/>
                <w:sz w:val="16"/>
                <w:szCs w:val="16"/>
              </w:rPr>
              <w:t>155 – 220 (18</w:t>
            </w:r>
            <w:r>
              <w:rPr>
                <w:rFonts w:ascii="Arial" w:hAnsi="Arial" w:cs="Arial"/>
                <w:bCs/>
                <w:sz w:val="16"/>
                <w:szCs w:val="16"/>
              </w:rPr>
              <w:t>8</w:t>
            </w:r>
            <w:r w:rsidRPr="008F7061">
              <w:rPr>
                <w:rFonts w:ascii="Arial" w:hAnsi="Arial" w:cs="Arial"/>
                <w:bCs/>
                <w:sz w:val="16"/>
                <w:szCs w:val="16"/>
              </w:rPr>
              <w:t>)</w:t>
            </w:r>
          </w:p>
        </w:tc>
        <w:tc>
          <w:tcPr>
            <w:tcW w:w="1027" w:type="dxa"/>
            <w:vAlign w:val="center"/>
          </w:tcPr>
          <w:p w14:paraId="5FA3C990" w14:textId="164B7506" w:rsidR="00110685" w:rsidRPr="00A0529D" w:rsidRDefault="00110685" w:rsidP="00110685">
            <w:pPr>
              <w:spacing w:line="300" w:lineRule="atLeast"/>
              <w:jc w:val="center"/>
              <w:rPr>
                <w:rFonts w:ascii="Arial" w:hAnsi="Arial" w:cs="Arial"/>
                <w:bCs/>
                <w:sz w:val="16"/>
                <w:szCs w:val="16"/>
                <w:highlight w:val="yellow"/>
              </w:rPr>
            </w:pPr>
            <w:r w:rsidRPr="008F7061">
              <w:rPr>
                <w:rFonts w:ascii="Arial" w:hAnsi="Arial" w:cs="Arial"/>
                <w:bCs/>
                <w:sz w:val="16"/>
                <w:szCs w:val="16"/>
              </w:rPr>
              <w:t>5.6</w:t>
            </w:r>
            <w:r>
              <w:rPr>
                <w:rFonts w:ascii="Arial" w:hAnsi="Arial" w:cs="Arial"/>
                <w:bCs/>
                <w:sz w:val="16"/>
                <w:szCs w:val="16"/>
              </w:rPr>
              <w:t>9</w:t>
            </w:r>
          </w:p>
        </w:tc>
        <w:tc>
          <w:tcPr>
            <w:tcW w:w="1179" w:type="dxa"/>
            <w:vAlign w:val="center"/>
          </w:tcPr>
          <w:p w14:paraId="297886EF" w14:textId="75C58CB1" w:rsidR="00110685" w:rsidRPr="00A0529D" w:rsidRDefault="00110685" w:rsidP="00110685">
            <w:pPr>
              <w:spacing w:line="300" w:lineRule="atLeast"/>
              <w:jc w:val="center"/>
              <w:rPr>
                <w:rFonts w:ascii="Arial" w:hAnsi="Arial" w:cs="Arial"/>
                <w:bCs/>
                <w:sz w:val="16"/>
                <w:szCs w:val="16"/>
                <w:highlight w:val="yellow"/>
              </w:rPr>
            </w:pPr>
            <w:r w:rsidRPr="008F7061">
              <w:rPr>
                <w:rFonts w:ascii="Arial" w:hAnsi="Arial" w:cs="Arial"/>
                <w:bCs/>
                <w:sz w:val="16"/>
                <w:szCs w:val="16"/>
              </w:rPr>
              <w:t>5</w:t>
            </w:r>
            <w:r>
              <w:rPr>
                <w:rFonts w:ascii="Arial" w:hAnsi="Arial" w:cs="Arial"/>
                <w:bCs/>
                <w:sz w:val="16"/>
                <w:szCs w:val="16"/>
              </w:rPr>
              <w:t>7.0</w:t>
            </w:r>
          </w:p>
        </w:tc>
      </w:tr>
      <w:tr w:rsidR="00110685" w:rsidRPr="00C92D4B" w14:paraId="6BE5943A" w14:textId="77777777" w:rsidTr="009D0D1B">
        <w:tc>
          <w:tcPr>
            <w:tcW w:w="1668" w:type="dxa"/>
            <w:vAlign w:val="center"/>
          </w:tcPr>
          <w:p w14:paraId="3820F4A1" w14:textId="0A29BF26" w:rsidR="00110685" w:rsidRPr="009D0D1B" w:rsidRDefault="00110685" w:rsidP="00110685">
            <w:pPr>
              <w:spacing w:before="60" w:after="60"/>
              <w:ind w:left="34"/>
              <w:rPr>
                <w:rFonts w:ascii="Arial" w:hAnsi="Arial" w:cs="Arial"/>
                <w:sz w:val="16"/>
                <w:szCs w:val="16"/>
              </w:rPr>
            </w:pPr>
            <w:r w:rsidRPr="009D0D1B">
              <w:rPr>
                <w:rFonts w:ascii="Arial" w:hAnsi="Arial" w:cs="Arial"/>
                <w:sz w:val="16"/>
                <w:szCs w:val="16"/>
              </w:rPr>
              <w:t>3. Production of minerals and materials</w:t>
            </w:r>
            <w:r w:rsidR="00DE3C59">
              <w:rPr>
                <w:rFonts w:ascii="Arial" w:hAnsi="Arial" w:cs="Arial"/>
                <w:sz w:val="16"/>
                <w:szCs w:val="16"/>
              </w:rPr>
              <w:t xml:space="preserve"> with mercury impurities</w:t>
            </w:r>
          </w:p>
        </w:tc>
        <w:tc>
          <w:tcPr>
            <w:tcW w:w="1371" w:type="dxa"/>
            <w:vAlign w:val="center"/>
          </w:tcPr>
          <w:p w14:paraId="6355A8E4" w14:textId="18DFB72B" w:rsidR="00110685" w:rsidRPr="009D0D1B" w:rsidRDefault="00110685" w:rsidP="00110685">
            <w:pPr>
              <w:spacing w:line="300" w:lineRule="atLeast"/>
              <w:jc w:val="center"/>
              <w:rPr>
                <w:rFonts w:ascii="Arial" w:hAnsi="Arial" w:cs="Arial"/>
                <w:sz w:val="16"/>
                <w:szCs w:val="16"/>
              </w:rPr>
            </w:pPr>
            <w:r>
              <w:rPr>
                <w:rFonts w:ascii="Arial" w:hAnsi="Arial" w:cs="Arial"/>
                <w:sz w:val="16"/>
                <w:szCs w:val="16"/>
              </w:rPr>
              <w:t>138</w:t>
            </w:r>
            <w:r w:rsidRPr="006B7E65">
              <w:rPr>
                <w:rFonts w:ascii="Arial" w:hAnsi="Arial" w:cs="Arial"/>
                <w:sz w:val="16"/>
                <w:szCs w:val="16"/>
              </w:rPr>
              <w:t xml:space="preserve"> – </w:t>
            </w:r>
            <w:r>
              <w:rPr>
                <w:rFonts w:ascii="Arial" w:hAnsi="Arial" w:cs="Arial"/>
                <w:sz w:val="16"/>
                <w:szCs w:val="16"/>
              </w:rPr>
              <w:t>154</w:t>
            </w:r>
            <w:r w:rsidRPr="006B7E65">
              <w:rPr>
                <w:rFonts w:ascii="Arial" w:hAnsi="Arial" w:cs="Arial"/>
                <w:sz w:val="16"/>
                <w:szCs w:val="16"/>
              </w:rPr>
              <w:t>(</w:t>
            </w:r>
            <w:r>
              <w:rPr>
                <w:rFonts w:ascii="Arial" w:hAnsi="Arial" w:cs="Arial"/>
                <w:sz w:val="16"/>
                <w:szCs w:val="16"/>
              </w:rPr>
              <w:t>146</w:t>
            </w:r>
            <w:r w:rsidRPr="006B7E65">
              <w:rPr>
                <w:rFonts w:ascii="Arial" w:hAnsi="Arial" w:cs="Arial"/>
                <w:sz w:val="16"/>
                <w:szCs w:val="16"/>
              </w:rPr>
              <w:t>)</w:t>
            </w:r>
          </w:p>
        </w:tc>
        <w:tc>
          <w:tcPr>
            <w:tcW w:w="1384" w:type="dxa"/>
            <w:vAlign w:val="center"/>
          </w:tcPr>
          <w:p w14:paraId="683D1BF3" w14:textId="07CB1CA4" w:rsidR="00110685" w:rsidRPr="009D0D1B" w:rsidRDefault="00110685" w:rsidP="00110685">
            <w:pPr>
              <w:spacing w:line="300" w:lineRule="atLeast"/>
              <w:jc w:val="center"/>
              <w:rPr>
                <w:rFonts w:ascii="Arial" w:hAnsi="Arial" w:cs="Arial"/>
                <w:sz w:val="16"/>
                <w:szCs w:val="16"/>
              </w:rPr>
            </w:pPr>
            <w:r>
              <w:rPr>
                <w:rFonts w:ascii="Arial" w:hAnsi="Arial" w:cs="Arial"/>
                <w:sz w:val="16"/>
                <w:szCs w:val="16"/>
              </w:rPr>
              <w:t xml:space="preserve">0.92 -2.27 </w:t>
            </w:r>
            <w:r w:rsidRPr="006B7E65">
              <w:rPr>
                <w:rFonts w:ascii="Arial" w:hAnsi="Arial" w:cs="Arial"/>
                <w:sz w:val="16"/>
                <w:szCs w:val="16"/>
              </w:rPr>
              <w:t xml:space="preserve"> (</w:t>
            </w:r>
            <w:r>
              <w:rPr>
                <w:rFonts w:ascii="Arial" w:hAnsi="Arial" w:cs="Arial"/>
                <w:sz w:val="16"/>
                <w:szCs w:val="16"/>
              </w:rPr>
              <w:t>1.60</w:t>
            </w:r>
            <w:r w:rsidRPr="006B7E65">
              <w:rPr>
                <w:rFonts w:ascii="Arial" w:hAnsi="Arial" w:cs="Arial"/>
                <w:sz w:val="16"/>
                <w:szCs w:val="16"/>
              </w:rPr>
              <w:t>)</w:t>
            </w:r>
          </w:p>
        </w:tc>
        <w:tc>
          <w:tcPr>
            <w:tcW w:w="1140" w:type="dxa"/>
            <w:vAlign w:val="center"/>
          </w:tcPr>
          <w:p w14:paraId="0B66336A" w14:textId="748B25CD" w:rsidR="00110685" w:rsidRPr="009D0D1B" w:rsidRDefault="00110685" w:rsidP="00110685">
            <w:pPr>
              <w:spacing w:line="300" w:lineRule="atLeast"/>
              <w:jc w:val="center"/>
              <w:rPr>
                <w:rFonts w:ascii="Arial" w:hAnsi="Arial" w:cs="Arial"/>
                <w:sz w:val="16"/>
                <w:szCs w:val="16"/>
              </w:rPr>
            </w:pPr>
            <w:r w:rsidRPr="006B7E65">
              <w:rPr>
                <w:rFonts w:ascii="Arial" w:hAnsi="Arial" w:cs="Arial"/>
                <w:sz w:val="16"/>
                <w:szCs w:val="16"/>
              </w:rPr>
              <w:t>-</w:t>
            </w:r>
          </w:p>
        </w:tc>
        <w:tc>
          <w:tcPr>
            <w:tcW w:w="1303" w:type="dxa"/>
            <w:vAlign w:val="center"/>
          </w:tcPr>
          <w:p w14:paraId="6ACF1FD4" w14:textId="4BD5DB72" w:rsidR="00110685" w:rsidRPr="009D0D1B" w:rsidRDefault="00110685" w:rsidP="00110685">
            <w:pPr>
              <w:spacing w:line="300" w:lineRule="atLeast"/>
              <w:jc w:val="center"/>
              <w:rPr>
                <w:rFonts w:ascii="Arial" w:hAnsi="Arial" w:cs="Arial"/>
                <w:sz w:val="16"/>
                <w:szCs w:val="16"/>
              </w:rPr>
            </w:pPr>
            <w:r>
              <w:rPr>
                <w:rFonts w:ascii="Arial" w:hAnsi="Arial" w:cs="Arial"/>
                <w:sz w:val="16"/>
                <w:szCs w:val="16"/>
              </w:rPr>
              <w:t>137</w:t>
            </w:r>
            <w:r w:rsidRPr="006B7E65">
              <w:rPr>
                <w:rFonts w:ascii="Arial" w:hAnsi="Arial" w:cs="Arial"/>
                <w:sz w:val="16"/>
                <w:szCs w:val="16"/>
              </w:rPr>
              <w:t xml:space="preserve"> – </w:t>
            </w:r>
            <w:r>
              <w:rPr>
                <w:rFonts w:ascii="Arial" w:hAnsi="Arial" w:cs="Arial"/>
                <w:sz w:val="16"/>
                <w:szCs w:val="16"/>
              </w:rPr>
              <w:t xml:space="preserve">151 </w:t>
            </w:r>
            <w:r w:rsidRPr="006B7E65">
              <w:rPr>
                <w:rFonts w:ascii="Arial" w:hAnsi="Arial" w:cs="Arial"/>
                <w:sz w:val="16"/>
                <w:szCs w:val="16"/>
              </w:rPr>
              <w:t>(</w:t>
            </w:r>
            <w:r>
              <w:rPr>
                <w:rFonts w:ascii="Arial" w:hAnsi="Arial" w:cs="Arial"/>
                <w:sz w:val="16"/>
                <w:szCs w:val="16"/>
              </w:rPr>
              <w:t>144</w:t>
            </w:r>
            <w:r w:rsidRPr="006B7E65">
              <w:rPr>
                <w:rFonts w:ascii="Arial" w:hAnsi="Arial" w:cs="Arial"/>
                <w:sz w:val="16"/>
                <w:szCs w:val="16"/>
              </w:rPr>
              <w:t>)</w:t>
            </w:r>
          </w:p>
        </w:tc>
        <w:tc>
          <w:tcPr>
            <w:tcW w:w="1027" w:type="dxa"/>
            <w:vAlign w:val="center"/>
          </w:tcPr>
          <w:p w14:paraId="2704FC4E" w14:textId="383C3E78" w:rsidR="00110685" w:rsidRPr="009D0D1B" w:rsidRDefault="00110685" w:rsidP="00110685">
            <w:pPr>
              <w:spacing w:line="300" w:lineRule="atLeast"/>
              <w:jc w:val="center"/>
              <w:rPr>
                <w:rFonts w:ascii="Arial" w:hAnsi="Arial" w:cs="Arial"/>
                <w:sz w:val="16"/>
                <w:szCs w:val="16"/>
              </w:rPr>
            </w:pPr>
            <w:r>
              <w:rPr>
                <w:rFonts w:ascii="Arial" w:hAnsi="Arial" w:cs="Arial"/>
                <w:sz w:val="16"/>
                <w:szCs w:val="16"/>
              </w:rPr>
              <w:t>0.394-0.973 (0.683)</w:t>
            </w:r>
          </w:p>
        </w:tc>
        <w:tc>
          <w:tcPr>
            <w:tcW w:w="1179" w:type="dxa"/>
            <w:vAlign w:val="center"/>
          </w:tcPr>
          <w:p w14:paraId="05501295" w14:textId="69CB3C79" w:rsidR="00110685" w:rsidRPr="009D0D1B" w:rsidRDefault="00110685" w:rsidP="00110685">
            <w:pPr>
              <w:spacing w:line="300" w:lineRule="atLeast"/>
              <w:jc w:val="center"/>
              <w:rPr>
                <w:rFonts w:ascii="Arial" w:hAnsi="Arial" w:cs="Arial"/>
                <w:color w:val="FFFFFF" w:themeColor="background1"/>
                <w:sz w:val="16"/>
                <w:szCs w:val="16"/>
              </w:rPr>
            </w:pPr>
            <w:r w:rsidRPr="006B7E65">
              <w:rPr>
                <w:rFonts w:ascii="Arial" w:hAnsi="Arial" w:cs="Arial"/>
                <w:sz w:val="16"/>
                <w:szCs w:val="16"/>
              </w:rPr>
              <w:t>-</w:t>
            </w:r>
          </w:p>
        </w:tc>
      </w:tr>
      <w:tr w:rsidR="00110685" w:rsidRPr="00C92D4B" w14:paraId="0C7E1DC5" w14:textId="77777777" w:rsidTr="009D0D1B">
        <w:tc>
          <w:tcPr>
            <w:tcW w:w="1668" w:type="dxa"/>
            <w:vAlign w:val="center"/>
          </w:tcPr>
          <w:p w14:paraId="61745474" w14:textId="2A5E6CFC" w:rsidR="00110685" w:rsidRPr="00C92D4B" w:rsidRDefault="00110685" w:rsidP="00110685">
            <w:pPr>
              <w:spacing w:before="60" w:after="60"/>
              <w:ind w:left="34"/>
              <w:rPr>
                <w:rFonts w:ascii="Arial" w:hAnsi="Arial" w:cs="Arial"/>
                <w:sz w:val="16"/>
                <w:szCs w:val="16"/>
                <w:highlight w:val="yellow"/>
              </w:rPr>
            </w:pPr>
            <w:r w:rsidRPr="009D0D1B">
              <w:rPr>
                <w:rFonts w:ascii="Arial" w:hAnsi="Arial" w:cs="Arial"/>
                <w:sz w:val="16"/>
                <w:szCs w:val="16"/>
              </w:rPr>
              <w:t xml:space="preserve">4. Intentional use </w:t>
            </w:r>
            <w:r w:rsidR="00DE3C59">
              <w:rPr>
                <w:rFonts w:ascii="Arial" w:hAnsi="Arial" w:cs="Arial"/>
                <w:sz w:val="16"/>
                <w:szCs w:val="16"/>
              </w:rPr>
              <w:t xml:space="preserve">of mercury </w:t>
            </w:r>
            <w:r w:rsidRPr="009D0D1B">
              <w:rPr>
                <w:rFonts w:ascii="Arial" w:hAnsi="Arial" w:cs="Arial"/>
                <w:sz w:val="16"/>
                <w:szCs w:val="16"/>
              </w:rPr>
              <w:t xml:space="preserve">in industrial processes </w:t>
            </w:r>
          </w:p>
        </w:tc>
        <w:tc>
          <w:tcPr>
            <w:tcW w:w="1371" w:type="dxa"/>
            <w:vAlign w:val="center"/>
          </w:tcPr>
          <w:p w14:paraId="46D8C8D2" w14:textId="6F6CE4B1" w:rsidR="00110685" w:rsidRPr="009D0D1B" w:rsidRDefault="00110685" w:rsidP="00110685">
            <w:pPr>
              <w:spacing w:before="60" w:after="60"/>
              <w:jc w:val="center"/>
              <w:rPr>
                <w:rFonts w:ascii="Arial" w:hAnsi="Arial" w:cs="Arial"/>
                <w:sz w:val="16"/>
                <w:szCs w:val="16"/>
              </w:rPr>
            </w:pPr>
            <w:r w:rsidRPr="00ED3B2F">
              <w:rPr>
                <w:rFonts w:ascii="Arial" w:hAnsi="Arial" w:cs="Arial"/>
                <w:sz w:val="16"/>
                <w:szCs w:val="16"/>
              </w:rPr>
              <w:t>-</w:t>
            </w:r>
          </w:p>
        </w:tc>
        <w:tc>
          <w:tcPr>
            <w:tcW w:w="1384" w:type="dxa"/>
            <w:vAlign w:val="center"/>
          </w:tcPr>
          <w:p w14:paraId="059D0299" w14:textId="50F3F279" w:rsidR="00110685" w:rsidRPr="009D0D1B" w:rsidRDefault="00110685" w:rsidP="00110685">
            <w:pPr>
              <w:spacing w:before="60" w:after="60"/>
              <w:jc w:val="center"/>
              <w:rPr>
                <w:rFonts w:ascii="Arial" w:hAnsi="Arial" w:cs="Arial"/>
                <w:sz w:val="16"/>
                <w:szCs w:val="16"/>
              </w:rPr>
            </w:pPr>
            <w:r w:rsidRPr="00ED3B2F">
              <w:rPr>
                <w:rFonts w:ascii="Arial" w:hAnsi="Arial" w:cs="Arial"/>
                <w:sz w:val="16"/>
                <w:szCs w:val="16"/>
              </w:rPr>
              <w:t>-</w:t>
            </w:r>
          </w:p>
        </w:tc>
        <w:tc>
          <w:tcPr>
            <w:tcW w:w="1140" w:type="dxa"/>
            <w:vAlign w:val="center"/>
          </w:tcPr>
          <w:p w14:paraId="7379670B" w14:textId="49A48975" w:rsidR="00110685" w:rsidRPr="009D0D1B" w:rsidRDefault="00110685" w:rsidP="00110685">
            <w:pPr>
              <w:spacing w:before="60" w:after="60"/>
              <w:jc w:val="center"/>
              <w:rPr>
                <w:rFonts w:ascii="Arial" w:hAnsi="Arial" w:cs="Arial"/>
                <w:sz w:val="16"/>
                <w:szCs w:val="16"/>
              </w:rPr>
            </w:pPr>
            <w:r w:rsidRPr="00ED3B2F">
              <w:rPr>
                <w:rFonts w:ascii="Arial" w:hAnsi="Arial" w:cs="Arial"/>
                <w:sz w:val="16"/>
                <w:szCs w:val="16"/>
              </w:rPr>
              <w:t>-</w:t>
            </w:r>
          </w:p>
        </w:tc>
        <w:tc>
          <w:tcPr>
            <w:tcW w:w="1303" w:type="dxa"/>
            <w:vAlign w:val="center"/>
          </w:tcPr>
          <w:p w14:paraId="13730B6F" w14:textId="7A070C82" w:rsidR="00110685" w:rsidRPr="009D0D1B" w:rsidRDefault="00110685" w:rsidP="00110685">
            <w:pPr>
              <w:spacing w:before="60" w:after="60"/>
              <w:jc w:val="center"/>
              <w:rPr>
                <w:rFonts w:ascii="Arial" w:hAnsi="Arial" w:cs="Arial"/>
                <w:sz w:val="16"/>
                <w:szCs w:val="16"/>
              </w:rPr>
            </w:pPr>
            <w:r w:rsidRPr="00ED3B2F">
              <w:rPr>
                <w:rFonts w:ascii="Arial" w:hAnsi="Arial" w:cs="Arial"/>
                <w:sz w:val="16"/>
                <w:szCs w:val="16"/>
              </w:rPr>
              <w:t>-</w:t>
            </w:r>
          </w:p>
        </w:tc>
        <w:tc>
          <w:tcPr>
            <w:tcW w:w="1027" w:type="dxa"/>
            <w:vAlign w:val="center"/>
          </w:tcPr>
          <w:p w14:paraId="3F8A4D4F" w14:textId="3EE11086" w:rsidR="00110685" w:rsidRPr="009D0D1B" w:rsidRDefault="00110685" w:rsidP="00110685">
            <w:pPr>
              <w:spacing w:before="60" w:after="60"/>
              <w:jc w:val="center"/>
              <w:rPr>
                <w:rFonts w:ascii="Arial" w:hAnsi="Arial" w:cs="Arial"/>
                <w:sz w:val="16"/>
                <w:szCs w:val="16"/>
              </w:rPr>
            </w:pPr>
            <w:r w:rsidRPr="00ED3B2F">
              <w:rPr>
                <w:rFonts w:ascii="Arial" w:hAnsi="Arial" w:cs="Arial"/>
                <w:sz w:val="16"/>
                <w:szCs w:val="16"/>
              </w:rPr>
              <w:t>-</w:t>
            </w:r>
          </w:p>
        </w:tc>
        <w:tc>
          <w:tcPr>
            <w:tcW w:w="1179" w:type="dxa"/>
            <w:vAlign w:val="center"/>
          </w:tcPr>
          <w:p w14:paraId="37C49B14" w14:textId="4E502440" w:rsidR="00110685" w:rsidRPr="009D0D1B" w:rsidRDefault="00110685" w:rsidP="00110685">
            <w:pPr>
              <w:spacing w:before="60" w:after="60"/>
              <w:jc w:val="center"/>
              <w:rPr>
                <w:rFonts w:ascii="Arial" w:hAnsi="Arial" w:cs="Arial"/>
                <w:sz w:val="16"/>
                <w:szCs w:val="16"/>
              </w:rPr>
            </w:pPr>
            <w:r w:rsidRPr="00ED3B2F">
              <w:rPr>
                <w:rFonts w:ascii="Arial" w:hAnsi="Arial" w:cs="Arial"/>
                <w:sz w:val="16"/>
                <w:szCs w:val="16"/>
              </w:rPr>
              <w:t>-</w:t>
            </w:r>
          </w:p>
        </w:tc>
      </w:tr>
      <w:tr w:rsidR="00110685" w:rsidRPr="00C92D4B" w14:paraId="4F87E54E" w14:textId="77777777" w:rsidTr="009D0D1B">
        <w:tc>
          <w:tcPr>
            <w:tcW w:w="1668" w:type="dxa"/>
            <w:vAlign w:val="center"/>
          </w:tcPr>
          <w:p w14:paraId="5D48B753" w14:textId="74D11B7F" w:rsidR="00110685" w:rsidRPr="00C92D4B" w:rsidRDefault="00110685" w:rsidP="00110685">
            <w:pPr>
              <w:spacing w:before="60" w:after="60"/>
              <w:ind w:left="34"/>
              <w:rPr>
                <w:rFonts w:ascii="Arial" w:hAnsi="Arial" w:cs="Arial"/>
                <w:sz w:val="16"/>
                <w:szCs w:val="16"/>
                <w:highlight w:val="yellow"/>
              </w:rPr>
            </w:pPr>
            <w:r w:rsidRPr="009D0D1B">
              <w:rPr>
                <w:rFonts w:ascii="Arial" w:hAnsi="Arial" w:cs="Arial"/>
                <w:sz w:val="16"/>
                <w:szCs w:val="16"/>
              </w:rPr>
              <w:t>5. Consumer products with intentional use</w:t>
            </w:r>
            <w:r w:rsidR="00DE3C59">
              <w:rPr>
                <w:rFonts w:ascii="Arial" w:hAnsi="Arial" w:cs="Arial"/>
                <w:sz w:val="16"/>
                <w:szCs w:val="16"/>
              </w:rPr>
              <w:t xml:space="preserve"> of mercury</w:t>
            </w:r>
          </w:p>
        </w:tc>
        <w:tc>
          <w:tcPr>
            <w:tcW w:w="1371" w:type="dxa"/>
            <w:vAlign w:val="center"/>
          </w:tcPr>
          <w:p w14:paraId="49ADE429" w14:textId="4B358CC0" w:rsidR="00110685" w:rsidRPr="000679BC" w:rsidRDefault="00110685" w:rsidP="00110685">
            <w:pPr>
              <w:spacing w:line="300" w:lineRule="atLeast"/>
              <w:jc w:val="center"/>
              <w:rPr>
                <w:rFonts w:ascii="Arial" w:hAnsi="Arial" w:cs="Arial"/>
                <w:bCs/>
                <w:sz w:val="16"/>
                <w:szCs w:val="16"/>
                <w:highlight w:val="yellow"/>
              </w:rPr>
            </w:pPr>
            <w:r>
              <w:rPr>
                <w:rFonts w:ascii="Arial" w:hAnsi="Arial" w:cs="Arial"/>
                <w:bCs/>
                <w:sz w:val="16"/>
                <w:szCs w:val="16"/>
              </w:rPr>
              <w:t>71.1 – 76.8 (73.9)</w:t>
            </w:r>
          </w:p>
        </w:tc>
        <w:tc>
          <w:tcPr>
            <w:tcW w:w="1384" w:type="dxa"/>
            <w:vAlign w:val="center"/>
          </w:tcPr>
          <w:p w14:paraId="2F16E026" w14:textId="30E9DA07" w:rsidR="00110685" w:rsidRPr="000679BC" w:rsidRDefault="00110685" w:rsidP="00110685">
            <w:pPr>
              <w:spacing w:line="300" w:lineRule="atLeast"/>
              <w:jc w:val="center"/>
              <w:rPr>
                <w:rFonts w:ascii="Arial" w:hAnsi="Arial" w:cs="Arial"/>
                <w:bCs/>
                <w:sz w:val="16"/>
                <w:szCs w:val="16"/>
                <w:highlight w:val="yellow"/>
              </w:rPr>
            </w:pPr>
            <w:r>
              <w:rPr>
                <w:rFonts w:ascii="Arial" w:hAnsi="Arial" w:cs="Arial"/>
                <w:bCs/>
                <w:sz w:val="16"/>
                <w:szCs w:val="16"/>
              </w:rPr>
              <w:t>0.76 – 1.05</w:t>
            </w:r>
            <w:r w:rsidRPr="009D0D1B">
              <w:rPr>
                <w:rFonts w:ascii="Arial" w:hAnsi="Arial" w:cs="Arial"/>
                <w:bCs/>
                <w:sz w:val="16"/>
                <w:szCs w:val="16"/>
              </w:rPr>
              <w:t xml:space="preserve"> (</w:t>
            </w:r>
            <w:r>
              <w:rPr>
                <w:rFonts w:ascii="Arial" w:hAnsi="Arial" w:cs="Arial"/>
                <w:bCs/>
                <w:sz w:val="16"/>
                <w:szCs w:val="16"/>
              </w:rPr>
              <w:t>0.90</w:t>
            </w:r>
            <w:r w:rsidRPr="009D0D1B">
              <w:rPr>
                <w:rFonts w:ascii="Arial" w:hAnsi="Arial" w:cs="Arial"/>
                <w:bCs/>
                <w:sz w:val="16"/>
                <w:szCs w:val="16"/>
              </w:rPr>
              <w:t>)</w:t>
            </w:r>
          </w:p>
        </w:tc>
        <w:tc>
          <w:tcPr>
            <w:tcW w:w="1140" w:type="dxa"/>
            <w:vAlign w:val="center"/>
          </w:tcPr>
          <w:p w14:paraId="1BA1D0D2" w14:textId="3175C950" w:rsidR="00110685" w:rsidRPr="000679BC" w:rsidRDefault="00110685" w:rsidP="00110685">
            <w:pPr>
              <w:spacing w:line="300" w:lineRule="atLeast"/>
              <w:jc w:val="center"/>
              <w:rPr>
                <w:rFonts w:ascii="Arial" w:hAnsi="Arial" w:cs="Arial"/>
                <w:bCs/>
                <w:sz w:val="16"/>
                <w:szCs w:val="16"/>
                <w:highlight w:val="yellow"/>
              </w:rPr>
            </w:pPr>
            <w:r w:rsidRPr="000B1B79">
              <w:rPr>
                <w:rFonts w:ascii="Arial" w:hAnsi="Arial" w:cs="Arial"/>
                <w:bCs/>
                <w:sz w:val="16"/>
                <w:szCs w:val="16"/>
              </w:rPr>
              <w:t>0.00015- 0.0015 (0.00083)</w:t>
            </w:r>
          </w:p>
        </w:tc>
        <w:tc>
          <w:tcPr>
            <w:tcW w:w="1303" w:type="dxa"/>
            <w:vAlign w:val="center"/>
          </w:tcPr>
          <w:p w14:paraId="29D4D8EA" w14:textId="60DF6C5F" w:rsidR="00110685" w:rsidRPr="000679BC" w:rsidRDefault="00110685" w:rsidP="00110685">
            <w:pPr>
              <w:spacing w:line="300" w:lineRule="atLeast"/>
              <w:jc w:val="center"/>
              <w:rPr>
                <w:rFonts w:ascii="Arial" w:hAnsi="Arial" w:cs="Arial"/>
                <w:bCs/>
                <w:sz w:val="16"/>
                <w:szCs w:val="16"/>
                <w:highlight w:val="yellow"/>
              </w:rPr>
            </w:pPr>
            <w:r>
              <w:rPr>
                <w:rFonts w:ascii="Arial" w:hAnsi="Arial" w:cs="Arial"/>
                <w:bCs/>
                <w:sz w:val="16"/>
                <w:szCs w:val="16"/>
              </w:rPr>
              <w:t>0.64</w:t>
            </w:r>
          </w:p>
        </w:tc>
        <w:tc>
          <w:tcPr>
            <w:tcW w:w="1027" w:type="dxa"/>
            <w:vAlign w:val="center"/>
          </w:tcPr>
          <w:p w14:paraId="65924D91" w14:textId="0F741756" w:rsidR="00110685" w:rsidRPr="000679BC" w:rsidRDefault="00110685" w:rsidP="00110685">
            <w:pPr>
              <w:spacing w:line="300" w:lineRule="atLeast"/>
              <w:jc w:val="center"/>
              <w:rPr>
                <w:rFonts w:ascii="Arial" w:hAnsi="Arial" w:cs="Arial"/>
                <w:bCs/>
                <w:sz w:val="16"/>
                <w:szCs w:val="16"/>
                <w:highlight w:val="yellow"/>
              </w:rPr>
            </w:pPr>
            <w:r w:rsidRPr="009D0D1B">
              <w:rPr>
                <w:rFonts w:ascii="Arial" w:hAnsi="Arial" w:cs="Arial"/>
                <w:bCs/>
                <w:sz w:val="16"/>
                <w:szCs w:val="16"/>
              </w:rPr>
              <w:t>28.</w:t>
            </w:r>
            <w:r>
              <w:rPr>
                <w:rFonts w:ascii="Arial" w:hAnsi="Arial" w:cs="Arial"/>
                <w:bCs/>
                <w:sz w:val="16"/>
                <w:szCs w:val="16"/>
              </w:rPr>
              <w:t>9</w:t>
            </w:r>
          </w:p>
        </w:tc>
        <w:tc>
          <w:tcPr>
            <w:tcW w:w="1179" w:type="dxa"/>
            <w:vAlign w:val="center"/>
          </w:tcPr>
          <w:p w14:paraId="38B6953C" w14:textId="4096A8FB" w:rsidR="00110685" w:rsidRPr="000679BC" w:rsidRDefault="00110685" w:rsidP="00110685">
            <w:pPr>
              <w:spacing w:line="300" w:lineRule="atLeast"/>
              <w:jc w:val="center"/>
              <w:rPr>
                <w:rFonts w:ascii="Arial" w:hAnsi="Arial" w:cs="Arial"/>
                <w:bCs/>
                <w:sz w:val="16"/>
                <w:szCs w:val="16"/>
                <w:highlight w:val="yellow"/>
              </w:rPr>
            </w:pPr>
            <w:r>
              <w:rPr>
                <w:rFonts w:ascii="Arial" w:hAnsi="Arial" w:cs="Arial"/>
                <w:bCs/>
                <w:sz w:val="16"/>
                <w:szCs w:val="16"/>
              </w:rPr>
              <w:t>40.8 – 46.3 (43.6)</w:t>
            </w:r>
          </w:p>
        </w:tc>
      </w:tr>
      <w:tr w:rsidR="00110685" w:rsidRPr="00C92D4B" w14:paraId="4C63133F" w14:textId="77777777" w:rsidTr="009D0D1B">
        <w:tc>
          <w:tcPr>
            <w:tcW w:w="1668" w:type="dxa"/>
            <w:vAlign w:val="center"/>
          </w:tcPr>
          <w:p w14:paraId="2B74B841" w14:textId="77777777" w:rsidR="00110685" w:rsidRPr="00C92D4B" w:rsidRDefault="00110685" w:rsidP="00110685">
            <w:pPr>
              <w:spacing w:before="60" w:after="60"/>
              <w:ind w:left="34"/>
              <w:rPr>
                <w:rFonts w:ascii="Arial" w:hAnsi="Arial" w:cs="Arial"/>
                <w:sz w:val="16"/>
                <w:szCs w:val="16"/>
                <w:highlight w:val="yellow"/>
              </w:rPr>
            </w:pPr>
            <w:r w:rsidRPr="009D0D1B">
              <w:rPr>
                <w:rFonts w:ascii="Arial" w:hAnsi="Arial" w:cs="Arial"/>
                <w:sz w:val="16"/>
                <w:szCs w:val="16"/>
              </w:rPr>
              <w:t xml:space="preserve">6. Other intentional products/processes </w:t>
            </w:r>
          </w:p>
        </w:tc>
        <w:tc>
          <w:tcPr>
            <w:tcW w:w="1371" w:type="dxa"/>
            <w:vAlign w:val="center"/>
          </w:tcPr>
          <w:p w14:paraId="37CD6410" w14:textId="41C96194" w:rsidR="00110685" w:rsidRPr="00FB0F6B" w:rsidRDefault="00110685" w:rsidP="00110685">
            <w:pPr>
              <w:spacing w:line="300" w:lineRule="atLeast"/>
              <w:jc w:val="center"/>
              <w:rPr>
                <w:rFonts w:ascii="Arial" w:hAnsi="Arial" w:cs="Arial"/>
                <w:bCs/>
                <w:sz w:val="16"/>
                <w:szCs w:val="16"/>
                <w:highlight w:val="yellow"/>
              </w:rPr>
            </w:pPr>
            <w:r w:rsidRPr="006B7E65">
              <w:rPr>
                <w:rFonts w:ascii="Arial" w:hAnsi="Arial" w:cs="Arial"/>
                <w:bCs/>
                <w:sz w:val="16"/>
                <w:szCs w:val="16"/>
              </w:rPr>
              <w:t>3.4</w:t>
            </w:r>
            <w:r>
              <w:rPr>
                <w:rFonts w:ascii="Arial" w:hAnsi="Arial" w:cs="Arial"/>
                <w:bCs/>
                <w:sz w:val="16"/>
                <w:szCs w:val="16"/>
              </w:rPr>
              <w:t>3</w:t>
            </w:r>
          </w:p>
        </w:tc>
        <w:tc>
          <w:tcPr>
            <w:tcW w:w="1384" w:type="dxa"/>
            <w:vAlign w:val="center"/>
          </w:tcPr>
          <w:p w14:paraId="5D849A78" w14:textId="5A2F1C2C" w:rsidR="00110685" w:rsidRPr="00FB0F6B" w:rsidRDefault="00110685" w:rsidP="00110685">
            <w:pPr>
              <w:spacing w:line="300" w:lineRule="atLeast"/>
              <w:jc w:val="center"/>
              <w:rPr>
                <w:rFonts w:ascii="Arial" w:hAnsi="Arial" w:cs="Arial"/>
                <w:bCs/>
                <w:sz w:val="16"/>
                <w:szCs w:val="16"/>
                <w:highlight w:val="yellow"/>
              </w:rPr>
            </w:pPr>
            <w:r w:rsidRPr="006B7E65">
              <w:rPr>
                <w:rFonts w:ascii="Arial" w:hAnsi="Arial" w:cs="Arial"/>
                <w:bCs/>
                <w:sz w:val="16"/>
                <w:szCs w:val="16"/>
              </w:rPr>
              <w:t>0.116</w:t>
            </w:r>
          </w:p>
        </w:tc>
        <w:tc>
          <w:tcPr>
            <w:tcW w:w="1140" w:type="dxa"/>
            <w:vAlign w:val="center"/>
          </w:tcPr>
          <w:p w14:paraId="4326D392" w14:textId="51015E6C" w:rsidR="00110685" w:rsidRPr="00FB0F6B" w:rsidRDefault="00110685" w:rsidP="00110685">
            <w:pPr>
              <w:spacing w:line="300" w:lineRule="atLeast"/>
              <w:jc w:val="center"/>
              <w:rPr>
                <w:rFonts w:ascii="Arial" w:hAnsi="Arial" w:cs="Arial"/>
                <w:bCs/>
                <w:sz w:val="16"/>
                <w:szCs w:val="16"/>
                <w:highlight w:val="yellow"/>
              </w:rPr>
            </w:pPr>
            <w:r w:rsidRPr="006B7E65">
              <w:rPr>
                <w:rFonts w:ascii="Arial" w:hAnsi="Arial" w:cs="Arial"/>
                <w:bCs/>
                <w:sz w:val="16"/>
                <w:szCs w:val="16"/>
              </w:rPr>
              <w:t>0.403</w:t>
            </w:r>
          </w:p>
        </w:tc>
        <w:tc>
          <w:tcPr>
            <w:tcW w:w="1303" w:type="dxa"/>
            <w:vAlign w:val="center"/>
          </w:tcPr>
          <w:p w14:paraId="438F6A0C" w14:textId="061F52E7" w:rsidR="00110685" w:rsidRPr="00FB0F6B" w:rsidRDefault="00110685" w:rsidP="00110685">
            <w:pPr>
              <w:spacing w:line="300" w:lineRule="atLeast"/>
              <w:jc w:val="center"/>
              <w:rPr>
                <w:rFonts w:ascii="Arial" w:hAnsi="Arial" w:cs="Arial"/>
                <w:bCs/>
                <w:sz w:val="16"/>
                <w:szCs w:val="16"/>
                <w:highlight w:val="yellow"/>
              </w:rPr>
            </w:pPr>
            <w:r w:rsidRPr="006B7E65">
              <w:rPr>
                <w:rFonts w:ascii="Arial" w:hAnsi="Arial" w:cs="Arial"/>
                <w:bCs/>
                <w:sz w:val="16"/>
                <w:szCs w:val="16"/>
              </w:rPr>
              <w:t>-</w:t>
            </w:r>
          </w:p>
        </w:tc>
        <w:tc>
          <w:tcPr>
            <w:tcW w:w="1027" w:type="dxa"/>
            <w:vAlign w:val="center"/>
          </w:tcPr>
          <w:p w14:paraId="6FE41850" w14:textId="1ACD61E3" w:rsidR="00110685" w:rsidRPr="00FB0F6B" w:rsidRDefault="00110685" w:rsidP="00110685">
            <w:pPr>
              <w:spacing w:line="300" w:lineRule="atLeast"/>
              <w:jc w:val="center"/>
              <w:rPr>
                <w:rFonts w:ascii="Arial" w:hAnsi="Arial" w:cs="Arial"/>
                <w:bCs/>
                <w:sz w:val="16"/>
                <w:szCs w:val="16"/>
                <w:highlight w:val="yellow"/>
              </w:rPr>
            </w:pPr>
            <w:r w:rsidRPr="006B7E65">
              <w:rPr>
                <w:rFonts w:ascii="Arial" w:hAnsi="Arial" w:cs="Arial"/>
                <w:bCs/>
                <w:sz w:val="16"/>
                <w:szCs w:val="16"/>
              </w:rPr>
              <w:t>1.10</w:t>
            </w:r>
          </w:p>
        </w:tc>
        <w:tc>
          <w:tcPr>
            <w:tcW w:w="1179" w:type="dxa"/>
            <w:vAlign w:val="center"/>
          </w:tcPr>
          <w:p w14:paraId="1C85999E" w14:textId="7725BCB8" w:rsidR="00110685" w:rsidRPr="00FB0F6B" w:rsidRDefault="00110685" w:rsidP="00110685">
            <w:pPr>
              <w:spacing w:line="300" w:lineRule="atLeast"/>
              <w:jc w:val="center"/>
              <w:rPr>
                <w:rFonts w:ascii="Arial" w:hAnsi="Arial" w:cs="Arial"/>
                <w:bCs/>
                <w:sz w:val="16"/>
                <w:szCs w:val="16"/>
                <w:highlight w:val="yellow"/>
              </w:rPr>
            </w:pPr>
            <w:r w:rsidRPr="006B7E65">
              <w:rPr>
                <w:rFonts w:ascii="Arial" w:hAnsi="Arial" w:cs="Arial"/>
                <w:bCs/>
                <w:sz w:val="16"/>
                <w:szCs w:val="16"/>
              </w:rPr>
              <w:t>1.8</w:t>
            </w:r>
            <w:r>
              <w:rPr>
                <w:rFonts w:ascii="Arial" w:hAnsi="Arial" w:cs="Arial"/>
                <w:bCs/>
                <w:sz w:val="16"/>
                <w:szCs w:val="16"/>
              </w:rPr>
              <w:t>1</w:t>
            </w:r>
          </w:p>
        </w:tc>
      </w:tr>
      <w:tr w:rsidR="00110685" w:rsidRPr="00C92D4B" w14:paraId="60DC470C" w14:textId="77777777" w:rsidTr="009D0D1B">
        <w:tc>
          <w:tcPr>
            <w:tcW w:w="1668" w:type="dxa"/>
            <w:vAlign w:val="center"/>
          </w:tcPr>
          <w:p w14:paraId="0FE6315B" w14:textId="77777777" w:rsidR="00110685" w:rsidRPr="009D0D1B" w:rsidRDefault="00110685" w:rsidP="00110685">
            <w:pPr>
              <w:spacing w:before="60" w:after="60"/>
              <w:ind w:left="34"/>
              <w:rPr>
                <w:rFonts w:ascii="Arial" w:hAnsi="Arial" w:cs="Arial"/>
                <w:sz w:val="16"/>
                <w:szCs w:val="16"/>
              </w:rPr>
            </w:pPr>
            <w:r w:rsidRPr="009D0D1B">
              <w:rPr>
                <w:rFonts w:ascii="Arial" w:hAnsi="Arial" w:cs="Arial"/>
                <w:sz w:val="16"/>
                <w:szCs w:val="16"/>
              </w:rPr>
              <w:t xml:space="preserve">7. Production of recycled metals </w:t>
            </w:r>
          </w:p>
        </w:tc>
        <w:tc>
          <w:tcPr>
            <w:tcW w:w="1371" w:type="dxa"/>
            <w:vAlign w:val="center"/>
          </w:tcPr>
          <w:p w14:paraId="0D001EE4" w14:textId="26FFCFAA" w:rsidR="00110685" w:rsidRPr="009D0D1B" w:rsidRDefault="00110685" w:rsidP="00110685">
            <w:pPr>
              <w:spacing w:before="60" w:after="60"/>
              <w:jc w:val="center"/>
              <w:rPr>
                <w:rFonts w:ascii="Arial" w:hAnsi="Arial" w:cs="Arial"/>
                <w:sz w:val="16"/>
                <w:szCs w:val="16"/>
              </w:rPr>
            </w:pPr>
            <w:r w:rsidRPr="00ED3B2F">
              <w:rPr>
                <w:rFonts w:ascii="Arial" w:hAnsi="Arial" w:cs="Arial"/>
                <w:sz w:val="16"/>
                <w:szCs w:val="16"/>
              </w:rPr>
              <w:t>-</w:t>
            </w:r>
          </w:p>
        </w:tc>
        <w:tc>
          <w:tcPr>
            <w:tcW w:w="1384" w:type="dxa"/>
            <w:vAlign w:val="center"/>
          </w:tcPr>
          <w:p w14:paraId="58ADD875" w14:textId="1328779A" w:rsidR="00110685" w:rsidRPr="009D0D1B" w:rsidRDefault="00110685" w:rsidP="00110685">
            <w:pPr>
              <w:spacing w:before="60" w:after="60"/>
              <w:jc w:val="center"/>
              <w:rPr>
                <w:rFonts w:ascii="Arial" w:hAnsi="Arial" w:cs="Arial"/>
                <w:sz w:val="16"/>
                <w:szCs w:val="16"/>
              </w:rPr>
            </w:pPr>
            <w:r w:rsidRPr="00ED3B2F">
              <w:rPr>
                <w:rFonts w:ascii="Arial" w:hAnsi="Arial" w:cs="Arial"/>
                <w:sz w:val="16"/>
                <w:szCs w:val="16"/>
              </w:rPr>
              <w:t>-</w:t>
            </w:r>
          </w:p>
        </w:tc>
        <w:tc>
          <w:tcPr>
            <w:tcW w:w="1140" w:type="dxa"/>
            <w:vAlign w:val="center"/>
          </w:tcPr>
          <w:p w14:paraId="2055F339" w14:textId="7D9F545D" w:rsidR="00110685" w:rsidRPr="009D0D1B" w:rsidRDefault="00110685" w:rsidP="00110685">
            <w:pPr>
              <w:spacing w:before="60" w:after="60"/>
              <w:jc w:val="center"/>
              <w:rPr>
                <w:rFonts w:ascii="Arial" w:hAnsi="Arial" w:cs="Arial"/>
                <w:sz w:val="16"/>
                <w:szCs w:val="16"/>
              </w:rPr>
            </w:pPr>
            <w:r w:rsidRPr="00ED3B2F">
              <w:rPr>
                <w:rFonts w:ascii="Arial" w:hAnsi="Arial" w:cs="Arial"/>
                <w:sz w:val="16"/>
                <w:szCs w:val="16"/>
              </w:rPr>
              <w:t>-</w:t>
            </w:r>
          </w:p>
        </w:tc>
        <w:tc>
          <w:tcPr>
            <w:tcW w:w="1303" w:type="dxa"/>
            <w:vAlign w:val="center"/>
          </w:tcPr>
          <w:p w14:paraId="1C6088B5" w14:textId="62700435" w:rsidR="00110685" w:rsidRPr="009D0D1B" w:rsidRDefault="00110685" w:rsidP="00110685">
            <w:pPr>
              <w:spacing w:before="60" w:after="60"/>
              <w:jc w:val="center"/>
              <w:rPr>
                <w:rFonts w:ascii="Arial" w:hAnsi="Arial" w:cs="Arial"/>
                <w:sz w:val="16"/>
                <w:szCs w:val="16"/>
              </w:rPr>
            </w:pPr>
            <w:r w:rsidRPr="00ED3B2F">
              <w:rPr>
                <w:rFonts w:ascii="Arial" w:hAnsi="Arial" w:cs="Arial"/>
                <w:sz w:val="16"/>
                <w:szCs w:val="16"/>
              </w:rPr>
              <w:t>-</w:t>
            </w:r>
          </w:p>
        </w:tc>
        <w:tc>
          <w:tcPr>
            <w:tcW w:w="1027" w:type="dxa"/>
            <w:vAlign w:val="center"/>
          </w:tcPr>
          <w:p w14:paraId="3E6947AB" w14:textId="034ACF01" w:rsidR="00110685" w:rsidRPr="009D0D1B" w:rsidRDefault="00110685" w:rsidP="00110685">
            <w:pPr>
              <w:spacing w:before="60" w:after="60"/>
              <w:jc w:val="center"/>
              <w:rPr>
                <w:rFonts w:ascii="Arial" w:hAnsi="Arial" w:cs="Arial"/>
                <w:sz w:val="16"/>
                <w:szCs w:val="16"/>
              </w:rPr>
            </w:pPr>
            <w:r w:rsidRPr="00ED3B2F">
              <w:rPr>
                <w:rFonts w:ascii="Arial" w:hAnsi="Arial" w:cs="Arial"/>
                <w:sz w:val="16"/>
                <w:szCs w:val="16"/>
              </w:rPr>
              <w:t>-</w:t>
            </w:r>
          </w:p>
        </w:tc>
        <w:tc>
          <w:tcPr>
            <w:tcW w:w="1179" w:type="dxa"/>
            <w:vAlign w:val="center"/>
          </w:tcPr>
          <w:p w14:paraId="67EF42A3" w14:textId="1727B698" w:rsidR="00110685" w:rsidRPr="009D0D1B" w:rsidRDefault="00110685" w:rsidP="00110685">
            <w:pPr>
              <w:spacing w:before="60" w:after="60"/>
              <w:jc w:val="center"/>
              <w:rPr>
                <w:rFonts w:ascii="Arial" w:hAnsi="Arial" w:cs="Arial"/>
                <w:sz w:val="16"/>
                <w:szCs w:val="16"/>
              </w:rPr>
            </w:pPr>
            <w:r w:rsidRPr="00ED3B2F">
              <w:rPr>
                <w:rFonts w:ascii="Arial" w:hAnsi="Arial" w:cs="Arial"/>
                <w:sz w:val="16"/>
                <w:szCs w:val="16"/>
              </w:rPr>
              <w:t>-</w:t>
            </w:r>
          </w:p>
        </w:tc>
      </w:tr>
      <w:tr w:rsidR="00110685" w:rsidRPr="00C92D4B" w14:paraId="64BF90F6" w14:textId="77777777" w:rsidTr="009D0D1B">
        <w:tc>
          <w:tcPr>
            <w:tcW w:w="1668" w:type="dxa"/>
            <w:vAlign w:val="center"/>
          </w:tcPr>
          <w:p w14:paraId="7D9E7D69" w14:textId="77777777" w:rsidR="00110685" w:rsidRPr="00C92D4B" w:rsidRDefault="00110685" w:rsidP="00110685">
            <w:pPr>
              <w:spacing w:before="60" w:after="60"/>
              <w:ind w:left="34"/>
              <w:rPr>
                <w:rFonts w:ascii="Arial" w:hAnsi="Arial" w:cs="Arial"/>
                <w:sz w:val="16"/>
                <w:szCs w:val="16"/>
                <w:highlight w:val="yellow"/>
              </w:rPr>
            </w:pPr>
            <w:r w:rsidRPr="009D0D1B">
              <w:rPr>
                <w:rFonts w:ascii="Arial" w:hAnsi="Arial" w:cs="Arial"/>
                <w:sz w:val="16"/>
                <w:szCs w:val="16"/>
              </w:rPr>
              <w:t xml:space="preserve">8. Waste incineration </w:t>
            </w:r>
          </w:p>
        </w:tc>
        <w:tc>
          <w:tcPr>
            <w:tcW w:w="1371" w:type="dxa"/>
            <w:vAlign w:val="center"/>
          </w:tcPr>
          <w:p w14:paraId="443E0E1F" w14:textId="07E031BE" w:rsidR="00110685" w:rsidRPr="00FB0F6B" w:rsidRDefault="00110685" w:rsidP="00110685">
            <w:pPr>
              <w:spacing w:line="300" w:lineRule="atLeast"/>
              <w:jc w:val="center"/>
              <w:rPr>
                <w:rFonts w:ascii="Arial" w:hAnsi="Arial" w:cs="Arial"/>
                <w:bCs/>
                <w:sz w:val="16"/>
                <w:szCs w:val="16"/>
                <w:highlight w:val="yellow"/>
              </w:rPr>
            </w:pPr>
            <w:r w:rsidRPr="006B7E65">
              <w:rPr>
                <w:rFonts w:ascii="Arial" w:hAnsi="Arial" w:cs="Arial"/>
                <w:bCs/>
                <w:sz w:val="16"/>
                <w:szCs w:val="16"/>
              </w:rPr>
              <w:t>15.</w:t>
            </w:r>
            <w:r>
              <w:rPr>
                <w:rFonts w:ascii="Arial" w:hAnsi="Arial" w:cs="Arial"/>
                <w:bCs/>
                <w:sz w:val="16"/>
                <w:szCs w:val="16"/>
              </w:rPr>
              <w:t>4</w:t>
            </w:r>
            <w:r w:rsidRPr="006B7E65">
              <w:rPr>
                <w:rFonts w:ascii="Arial" w:hAnsi="Arial" w:cs="Arial"/>
                <w:bCs/>
                <w:sz w:val="16"/>
                <w:szCs w:val="16"/>
              </w:rPr>
              <w:t xml:space="preserve"> – 20.5</w:t>
            </w:r>
            <w:r w:rsidRPr="006B7E65">
              <w:rPr>
                <w:rFonts w:ascii="Arial" w:hAnsi="Arial" w:cs="Arial"/>
                <w:bCs/>
                <w:sz w:val="16"/>
                <w:szCs w:val="16"/>
              </w:rPr>
              <w:br/>
              <w:t>(1</w:t>
            </w:r>
            <w:r>
              <w:rPr>
                <w:rFonts w:ascii="Arial" w:hAnsi="Arial" w:cs="Arial"/>
                <w:bCs/>
                <w:sz w:val="16"/>
                <w:szCs w:val="16"/>
              </w:rPr>
              <w:t>8.0</w:t>
            </w:r>
            <w:r w:rsidRPr="006B7E65">
              <w:rPr>
                <w:rFonts w:ascii="Arial" w:hAnsi="Arial" w:cs="Arial"/>
                <w:bCs/>
                <w:sz w:val="16"/>
                <w:szCs w:val="16"/>
              </w:rPr>
              <w:t>)</w:t>
            </w:r>
          </w:p>
        </w:tc>
        <w:tc>
          <w:tcPr>
            <w:tcW w:w="1384" w:type="dxa"/>
            <w:vAlign w:val="center"/>
          </w:tcPr>
          <w:p w14:paraId="1BB0812C" w14:textId="5571F075" w:rsidR="00110685" w:rsidRPr="00FB0F6B" w:rsidRDefault="00110685" w:rsidP="00110685">
            <w:pPr>
              <w:spacing w:line="300" w:lineRule="atLeast"/>
              <w:jc w:val="center"/>
              <w:rPr>
                <w:rFonts w:ascii="Arial" w:hAnsi="Arial" w:cs="Arial"/>
                <w:bCs/>
                <w:sz w:val="16"/>
                <w:szCs w:val="16"/>
                <w:highlight w:val="yellow"/>
              </w:rPr>
            </w:pPr>
            <w:r w:rsidRPr="006B7E65">
              <w:rPr>
                <w:rFonts w:ascii="Arial" w:hAnsi="Arial" w:cs="Arial"/>
                <w:bCs/>
                <w:sz w:val="16"/>
                <w:szCs w:val="16"/>
              </w:rPr>
              <w:t>14.</w:t>
            </w:r>
            <w:r>
              <w:rPr>
                <w:rFonts w:ascii="Arial" w:hAnsi="Arial" w:cs="Arial"/>
                <w:bCs/>
                <w:sz w:val="16"/>
                <w:szCs w:val="16"/>
              </w:rPr>
              <w:t>4</w:t>
            </w:r>
            <w:r w:rsidRPr="006B7E65">
              <w:rPr>
                <w:rFonts w:ascii="Arial" w:hAnsi="Arial" w:cs="Arial"/>
                <w:bCs/>
                <w:sz w:val="16"/>
                <w:szCs w:val="16"/>
              </w:rPr>
              <w:t xml:space="preserve"> – 19.</w:t>
            </w:r>
            <w:r>
              <w:rPr>
                <w:rFonts w:ascii="Arial" w:hAnsi="Arial" w:cs="Arial"/>
                <w:bCs/>
                <w:sz w:val="16"/>
                <w:szCs w:val="16"/>
              </w:rPr>
              <w:t>6</w:t>
            </w:r>
            <w:r w:rsidRPr="006B7E65">
              <w:rPr>
                <w:rFonts w:ascii="Arial" w:hAnsi="Arial" w:cs="Arial"/>
                <w:bCs/>
                <w:sz w:val="16"/>
                <w:szCs w:val="16"/>
              </w:rPr>
              <w:br/>
              <w:t>(1</w:t>
            </w:r>
            <w:r>
              <w:rPr>
                <w:rFonts w:ascii="Arial" w:hAnsi="Arial" w:cs="Arial"/>
                <w:bCs/>
                <w:sz w:val="16"/>
                <w:szCs w:val="16"/>
              </w:rPr>
              <w:t>7.0</w:t>
            </w:r>
            <w:r w:rsidRPr="006B7E65">
              <w:rPr>
                <w:rFonts w:ascii="Arial" w:hAnsi="Arial" w:cs="Arial"/>
                <w:bCs/>
                <w:sz w:val="16"/>
                <w:szCs w:val="16"/>
              </w:rPr>
              <w:t>)</w:t>
            </w:r>
          </w:p>
        </w:tc>
        <w:tc>
          <w:tcPr>
            <w:tcW w:w="1140" w:type="dxa"/>
            <w:vAlign w:val="center"/>
          </w:tcPr>
          <w:p w14:paraId="5D583A84" w14:textId="40180051" w:rsidR="00110685" w:rsidRPr="00FB0F6B" w:rsidRDefault="00110685" w:rsidP="00110685">
            <w:pPr>
              <w:spacing w:line="300" w:lineRule="atLeast"/>
              <w:jc w:val="center"/>
              <w:rPr>
                <w:rFonts w:ascii="Arial" w:hAnsi="Arial" w:cs="Arial"/>
                <w:bCs/>
                <w:sz w:val="16"/>
                <w:szCs w:val="16"/>
                <w:highlight w:val="yellow"/>
              </w:rPr>
            </w:pPr>
            <w:r w:rsidRPr="006B7E65">
              <w:rPr>
                <w:rFonts w:ascii="Arial" w:hAnsi="Arial" w:cs="Arial"/>
                <w:bCs/>
                <w:sz w:val="16"/>
                <w:szCs w:val="16"/>
              </w:rPr>
              <w:t>-</w:t>
            </w:r>
          </w:p>
        </w:tc>
        <w:tc>
          <w:tcPr>
            <w:tcW w:w="1303" w:type="dxa"/>
            <w:vAlign w:val="center"/>
          </w:tcPr>
          <w:p w14:paraId="1CC9C960" w14:textId="3393CB3F" w:rsidR="00110685" w:rsidRPr="00FB0F6B" w:rsidRDefault="00110685" w:rsidP="00110685">
            <w:pPr>
              <w:spacing w:line="300" w:lineRule="atLeast"/>
              <w:jc w:val="center"/>
              <w:rPr>
                <w:rFonts w:ascii="Arial" w:hAnsi="Arial" w:cs="Arial"/>
                <w:bCs/>
                <w:sz w:val="16"/>
                <w:szCs w:val="16"/>
                <w:highlight w:val="yellow"/>
              </w:rPr>
            </w:pPr>
            <w:r w:rsidRPr="006B7E65">
              <w:rPr>
                <w:rFonts w:ascii="Arial" w:hAnsi="Arial" w:cs="Arial"/>
                <w:bCs/>
                <w:sz w:val="16"/>
                <w:szCs w:val="16"/>
              </w:rPr>
              <w:t>-</w:t>
            </w:r>
          </w:p>
        </w:tc>
        <w:tc>
          <w:tcPr>
            <w:tcW w:w="1027" w:type="dxa"/>
            <w:vAlign w:val="center"/>
          </w:tcPr>
          <w:p w14:paraId="043F1F2D" w14:textId="517A7E00" w:rsidR="00110685" w:rsidRPr="00FB0F6B" w:rsidRDefault="00110685" w:rsidP="00110685">
            <w:pPr>
              <w:spacing w:line="300" w:lineRule="atLeast"/>
              <w:jc w:val="center"/>
              <w:rPr>
                <w:rFonts w:ascii="Arial" w:hAnsi="Arial" w:cs="Arial"/>
                <w:bCs/>
                <w:sz w:val="16"/>
                <w:szCs w:val="16"/>
                <w:highlight w:val="yellow"/>
              </w:rPr>
            </w:pPr>
            <w:r w:rsidRPr="006B7E65">
              <w:rPr>
                <w:rFonts w:ascii="Arial" w:hAnsi="Arial" w:cs="Arial"/>
                <w:bCs/>
                <w:sz w:val="16"/>
                <w:szCs w:val="16"/>
              </w:rPr>
              <w:t>-</w:t>
            </w:r>
          </w:p>
        </w:tc>
        <w:tc>
          <w:tcPr>
            <w:tcW w:w="1179" w:type="dxa"/>
            <w:vAlign w:val="center"/>
          </w:tcPr>
          <w:p w14:paraId="049BB6C7" w14:textId="43BEF011" w:rsidR="00110685" w:rsidRPr="00FB0F6B" w:rsidRDefault="00110685" w:rsidP="00110685">
            <w:pPr>
              <w:spacing w:line="300" w:lineRule="atLeast"/>
              <w:jc w:val="center"/>
              <w:rPr>
                <w:rFonts w:ascii="Arial" w:hAnsi="Arial" w:cs="Arial"/>
                <w:bCs/>
                <w:sz w:val="16"/>
                <w:szCs w:val="16"/>
                <w:highlight w:val="yellow"/>
              </w:rPr>
            </w:pPr>
            <w:r w:rsidRPr="006B7E65">
              <w:rPr>
                <w:rFonts w:ascii="Arial" w:hAnsi="Arial" w:cs="Arial"/>
                <w:bCs/>
                <w:sz w:val="16"/>
                <w:szCs w:val="16"/>
              </w:rPr>
              <w:t>0.975</w:t>
            </w:r>
          </w:p>
        </w:tc>
      </w:tr>
      <w:tr w:rsidR="00110685" w:rsidRPr="00C92D4B" w14:paraId="4C3BF556" w14:textId="77777777" w:rsidTr="009D0D1B">
        <w:tc>
          <w:tcPr>
            <w:tcW w:w="1668" w:type="dxa"/>
            <w:vAlign w:val="center"/>
          </w:tcPr>
          <w:p w14:paraId="24290EB3" w14:textId="27CB31B7" w:rsidR="00110685" w:rsidRPr="009D0D1B" w:rsidRDefault="00110685" w:rsidP="00110685">
            <w:pPr>
              <w:spacing w:before="60" w:after="60"/>
              <w:ind w:left="34"/>
              <w:rPr>
                <w:rFonts w:ascii="Arial" w:hAnsi="Arial" w:cs="Arial"/>
                <w:sz w:val="16"/>
                <w:szCs w:val="16"/>
              </w:rPr>
            </w:pPr>
            <w:r w:rsidRPr="009D0D1B">
              <w:rPr>
                <w:rFonts w:ascii="Arial" w:hAnsi="Arial" w:cs="Arial"/>
                <w:sz w:val="16"/>
                <w:szCs w:val="16"/>
              </w:rPr>
              <w:t>9. Waste deposit</w:t>
            </w:r>
            <w:r w:rsidR="00DE3C59">
              <w:rPr>
                <w:rFonts w:ascii="Arial" w:hAnsi="Arial" w:cs="Arial"/>
                <w:sz w:val="16"/>
                <w:szCs w:val="16"/>
              </w:rPr>
              <w:t>ion</w:t>
            </w:r>
            <w:r w:rsidRPr="009D0D1B">
              <w:rPr>
                <w:rFonts w:ascii="Arial" w:hAnsi="Arial" w:cs="Arial"/>
                <w:sz w:val="16"/>
                <w:szCs w:val="16"/>
              </w:rPr>
              <w:t xml:space="preserve">/landfill and wastewater treatment </w:t>
            </w:r>
          </w:p>
        </w:tc>
        <w:tc>
          <w:tcPr>
            <w:tcW w:w="1371" w:type="dxa"/>
            <w:vAlign w:val="center"/>
          </w:tcPr>
          <w:p w14:paraId="5625C0FE" w14:textId="71B2DFD0" w:rsidR="00110685" w:rsidRPr="009D0D1B" w:rsidRDefault="00110685" w:rsidP="00110685">
            <w:pPr>
              <w:spacing w:line="300" w:lineRule="atLeast"/>
              <w:jc w:val="center"/>
              <w:rPr>
                <w:rFonts w:ascii="Arial" w:hAnsi="Arial" w:cs="Arial"/>
                <w:sz w:val="16"/>
                <w:szCs w:val="16"/>
              </w:rPr>
            </w:pPr>
            <w:r w:rsidRPr="00EF72E4">
              <w:rPr>
                <w:rFonts w:ascii="Arial" w:hAnsi="Arial" w:cs="Arial"/>
                <w:bCs/>
                <w:sz w:val="16"/>
                <w:szCs w:val="16"/>
              </w:rPr>
              <w:t>336</w:t>
            </w:r>
            <w:r>
              <w:rPr>
                <w:rFonts w:ascii="Arial" w:hAnsi="Arial" w:cs="Arial"/>
                <w:bCs/>
                <w:sz w:val="16"/>
                <w:szCs w:val="16"/>
              </w:rPr>
              <w:t>6</w:t>
            </w:r>
            <w:r w:rsidRPr="00EF72E4">
              <w:rPr>
                <w:rFonts w:ascii="Arial" w:hAnsi="Arial" w:cs="Arial"/>
                <w:bCs/>
                <w:sz w:val="16"/>
                <w:szCs w:val="16"/>
              </w:rPr>
              <w:t xml:space="preserve"> – 976</w:t>
            </w:r>
            <w:r>
              <w:rPr>
                <w:rFonts w:ascii="Arial" w:hAnsi="Arial" w:cs="Arial"/>
                <w:bCs/>
                <w:sz w:val="16"/>
                <w:szCs w:val="16"/>
              </w:rPr>
              <w:t>3</w:t>
            </w:r>
            <w:r w:rsidRPr="00EF72E4">
              <w:rPr>
                <w:rFonts w:ascii="Arial" w:hAnsi="Arial" w:cs="Arial"/>
                <w:bCs/>
                <w:sz w:val="16"/>
                <w:szCs w:val="16"/>
              </w:rPr>
              <w:t xml:space="preserve"> (6564)</w:t>
            </w:r>
          </w:p>
        </w:tc>
        <w:tc>
          <w:tcPr>
            <w:tcW w:w="1384" w:type="dxa"/>
            <w:vAlign w:val="center"/>
          </w:tcPr>
          <w:p w14:paraId="0169B38F" w14:textId="3961D85A" w:rsidR="00110685" w:rsidRPr="009D0D1B" w:rsidRDefault="00110685" w:rsidP="00110685">
            <w:pPr>
              <w:spacing w:line="300" w:lineRule="atLeast"/>
              <w:jc w:val="center"/>
              <w:rPr>
                <w:rFonts w:ascii="Arial" w:hAnsi="Arial" w:cs="Arial"/>
                <w:sz w:val="16"/>
                <w:szCs w:val="16"/>
              </w:rPr>
            </w:pPr>
            <w:r w:rsidRPr="00EF72E4">
              <w:rPr>
                <w:rFonts w:ascii="Arial" w:hAnsi="Arial" w:cs="Arial"/>
                <w:bCs/>
                <w:sz w:val="16"/>
                <w:szCs w:val="16"/>
              </w:rPr>
              <w:t>30.</w:t>
            </w:r>
            <w:r>
              <w:rPr>
                <w:rFonts w:ascii="Arial" w:hAnsi="Arial" w:cs="Arial"/>
                <w:bCs/>
                <w:sz w:val="16"/>
                <w:szCs w:val="16"/>
              </w:rPr>
              <w:t>3</w:t>
            </w:r>
          </w:p>
        </w:tc>
        <w:tc>
          <w:tcPr>
            <w:tcW w:w="1140" w:type="dxa"/>
            <w:vAlign w:val="center"/>
          </w:tcPr>
          <w:p w14:paraId="4F1A1BE9" w14:textId="4FF1E1BB" w:rsidR="00110685" w:rsidRPr="009D0D1B" w:rsidRDefault="00110685" w:rsidP="00110685">
            <w:pPr>
              <w:spacing w:line="300" w:lineRule="atLeast"/>
              <w:jc w:val="center"/>
              <w:rPr>
                <w:rFonts w:ascii="Arial" w:hAnsi="Arial" w:cs="Arial"/>
                <w:sz w:val="16"/>
                <w:szCs w:val="16"/>
              </w:rPr>
            </w:pPr>
            <w:r w:rsidRPr="00EF72E4">
              <w:rPr>
                <w:rFonts w:ascii="Arial" w:hAnsi="Arial" w:cs="Arial"/>
                <w:bCs/>
                <w:sz w:val="16"/>
                <w:szCs w:val="16"/>
              </w:rPr>
              <w:t>168.6 – 3367 (176</w:t>
            </w:r>
            <w:r>
              <w:rPr>
                <w:rFonts w:ascii="Arial" w:hAnsi="Arial" w:cs="Arial"/>
                <w:bCs/>
                <w:sz w:val="16"/>
                <w:szCs w:val="16"/>
              </w:rPr>
              <w:t>8</w:t>
            </w:r>
            <w:r w:rsidRPr="00EF72E4">
              <w:rPr>
                <w:rFonts w:ascii="Arial" w:hAnsi="Arial" w:cs="Arial"/>
                <w:bCs/>
                <w:sz w:val="16"/>
                <w:szCs w:val="16"/>
              </w:rPr>
              <w:t>)</w:t>
            </w:r>
          </w:p>
        </w:tc>
        <w:tc>
          <w:tcPr>
            <w:tcW w:w="1303" w:type="dxa"/>
            <w:vAlign w:val="center"/>
          </w:tcPr>
          <w:p w14:paraId="37ADA4DE" w14:textId="449981C5" w:rsidR="00110685" w:rsidRPr="009D0D1B" w:rsidRDefault="00110685" w:rsidP="00110685">
            <w:pPr>
              <w:spacing w:line="300" w:lineRule="atLeast"/>
              <w:jc w:val="center"/>
              <w:rPr>
                <w:rFonts w:ascii="Arial" w:hAnsi="Arial" w:cs="Arial"/>
                <w:sz w:val="16"/>
                <w:szCs w:val="16"/>
              </w:rPr>
            </w:pPr>
            <w:r w:rsidRPr="00A97D78">
              <w:rPr>
                <w:rFonts w:ascii="Arial" w:hAnsi="Arial" w:cs="Arial"/>
                <w:bCs/>
                <w:sz w:val="16"/>
                <w:szCs w:val="16"/>
              </w:rPr>
              <w:t>67.3 – 134</w:t>
            </w:r>
            <w:r>
              <w:rPr>
                <w:rFonts w:ascii="Arial" w:hAnsi="Arial" w:cs="Arial"/>
                <w:bCs/>
                <w:sz w:val="16"/>
                <w:szCs w:val="16"/>
              </w:rPr>
              <w:t>7</w:t>
            </w:r>
            <w:r w:rsidRPr="00A97D78">
              <w:rPr>
                <w:rFonts w:ascii="Arial" w:hAnsi="Arial" w:cs="Arial"/>
                <w:bCs/>
                <w:sz w:val="16"/>
                <w:szCs w:val="16"/>
              </w:rPr>
              <w:t xml:space="preserve"> (707</w:t>
            </w:r>
            <w:r>
              <w:rPr>
                <w:rFonts w:ascii="Arial" w:hAnsi="Arial" w:cs="Arial"/>
                <w:bCs/>
                <w:sz w:val="16"/>
                <w:szCs w:val="16"/>
              </w:rPr>
              <w:t>)</w:t>
            </w:r>
          </w:p>
        </w:tc>
        <w:tc>
          <w:tcPr>
            <w:tcW w:w="1027" w:type="dxa"/>
            <w:vAlign w:val="center"/>
          </w:tcPr>
          <w:p w14:paraId="1B9ABB2F" w14:textId="32CE79EC" w:rsidR="00110685" w:rsidRPr="009D0D1B" w:rsidRDefault="00110685" w:rsidP="00110685">
            <w:pPr>
              <w:spacing w:line="300" w:lineRule="atLeast"/>
              <w:jc w:val="center"/>
              <w:rPr>
                <w:rFonts w:ascii="Arial" w:hAnsi="Arial" w:cs="Arial"/>
                <w:sz w:val="16"/>
                <w:szCs w:val="16"/>
              </w:rPr>
            </w:pPr>
            <w:r w:rsidRPr="00BE7F5A">
              <w:rPr>
                <w:rFonts w:ascii="Arial" w:hAnsi="Arial" w:cs="Arial"/>
                <w:bCs/>
                <w:sz w:val="16"/>
                <w:szCs w:val="16"/>
              </w:rPr>
              <w:t>-</w:t>
            </w:r>
          </w:p>
        </w:tc>
        <w:tc>
          <w:tcPr>
            <w:tcW w:w="1179" w:type="dxa"/>
            <w:vAlign w:val="center"/>
          </w:tcPr>
          <w:p w14:paraId="1A0BA815" w14:textId="3A93FF7E" w:rsidR="00110685" w:rsidRPr="009D0D1B" w:rsidRDefault="00110685" w:rsidP="00110685">
            <w:pPr>
              <w:spacing w:line="300" w:lineRule="atLeast"/>
              <w:jc w:val="center"/>
              <w:rPr>
                <w:rFonts w:ascii="Arial" w:hAnsi="Arial" w:cs="Arial"/>
                <w:sz w:val="16"/>
                <w:szCs w:val="16"/>
              </w:rPr>
            </w:pPr>
            <w:r w:rsidRPr="00A97D78">
              <w:rPr>
                <w:rFonts w:ascii="Arial" w:hAnsi="Arial" w:cs="Arial"/>
                <w:bCs/>
                <w:sz w:val="16"/>
                <w:szCs w:val="16"/>
              </w:rPr>
              <w:t>101 – 2020 (106</w:t>
            </w:r>
            <w:r>
              <w:rPr>
                <w:rFonts w:ascii="Arial" w:hAnsi="Arial" w:cs="Arial"/>
                <w:bCs/>
                <w:sz w:val="16"/>
                <w:szCs w:val="16"/>
              </w:rPr>
              <w:t>1</w:t>
            </w:r>
            <w:r w:rsidRPr="00A97D78">
              <w:rPr>
                <w:rFonts w:ascii="Arial" w:hAnsi="Arial" w:cs="Arial"/>
                <w:bCs/>
                <w:sz w:val="16"/>
                <w:szCs w:val="16"/>
              </w:rPr>
              <w:t>)</w:t>
            </w:r>
          </w:p>
        </w:tc>
      </w:tr>
      <w:tr w:rsidR="00110685" w:rsidRPr="00C92D4B" w14:paraId="1EFF7BD2" w14:textId="77777777" w:rsidTr="009D0D1B">
        <w:tc>
          <w:tcPr>
            <w:tcW w:w="1668" w:type="dxa"/>
            <w:tcBorders>
              <w:bottom w:val="single" w:sz="12" w:space="0" w:color="auto"/>
            </w:tcBorders>
            <w:vAlign w:val="center"/>
          </w:tcPr>
          <w:p w14:paraId="333FB790" w14:textId="77777777" w:rsidR="00110685" w:rsidRPr="009D0D1B" w:rsidRDefault="00110685" w:rsidP="00110685">
            <w:pPr>
              <w:spacing w:before="60" w:after="60"/>
              <w:ind w:left="-42"/>
              <w:rPr>
                <w:rFonts w:ascii="Arial" w:hAnsi="Arial" w:cs="Arial"/>
                <w:sz w:val="16"/>
                <w:szCs w:val="16"/>
              </w:rPr>
            </w:pPr>
            <w:r w:rsidRPr="009D0D1B">
              <w:rPr>
                <w:rFonts w:ascii="Arial" w:hAnsi="Arial" w:cs="Arial"/>
                <w:sz w:val="16"/>
                <w:szCs w:val="16"/>
              </w:rPr>
              <w:t xml:space="preserve">10. Crematoria and cemeteries </w:t>
            </w:r>
          </w:p>
        </w:tc>
        <w:tc>
          <w:tcPr>
            <w:tcW w:w="1371" w:type="dxa"/>
            <w:vAlign w:val="center"/>
          </w:tcPr>
          <w:p w14:paraId="2E71E88E" w14:textId="03D53F61" w:rsidR="00110685" w:rsidRPr="009D0D1B" w:rsidRDefault="00110685" w:rsidP="00110685">
            <w:pPr>
              <w:spacing w:line="300" w:lineRule="atLeast"/>
              <w:jc w:val="center"/>
              <w:rPr>
                <w:rFonts w:ascii="Arial" w:hAnsi="Arial" w:cs="Arial"/>
                <w:sz w:val="16"/>
                <w:szCs w:val="16"/>
              </w:rPr>
            </w:pPr>
            <w:r w:rsidRPr="00EF72E4">
              <w:rPr>
                <w:rFonts w:ascii="Arial" w:hAnsi="Arial" w:cs="Arial"/>
                <w:bCs/>
                <w:sz w:val="16"/>
                <w:szCs w:val="16"/>
              </w:rPr>
              <w:t>36.</w:t>
            </w:r>
            <w:r>
              <w:rPr>
                <w:rFonts w:ascii="Arial" w:hAnsi="Arial" w:cs="Arial"/>
                <w:bCs/>
                <w:sz w:val="16"/>
                <w:szCs w:val="16"/>
              </w:rPr>
              <w:t>5</w:t>
            </w:r>
            <w:r w:rsidRPr="00EF72E4">
              <w:rPr>
                <w:rFonts w:ascii="Arial" w:hAnsi="Arial" w:cs="Arial"/>
                <w:bCs/>
                <w:sz w:val="16"/>
                <w:szCs w:val="16"/>
              </w:rPr>
              <w:t xml:space="preserve"> – 14</w:t>
            </w:r>
            <w:r>
              <w:rPr>
                <w:rFonts w:ascii="Arial" w:hAnsi="Arial" w:cs="Arial"/>
                <w:bCs/>
                <w:sz w:val="16"/>
                <w:szCs w:val="16"/>
              </w:rPr>
              <w:t>6</w:t>
            </w:r>
            <w:r w:rsidRPr="00EF72E4">
              <w:rPr>
                <w:rFonts w:ascii="Arial" w:hAnsi="Arial" w:cs="Arial"/>
                <w:bCs/>
                <w:sz w:val="16"/>
                <w:szCs w:val="16"/>
              </w:rPr>
              <w:br/>
              <w:t>(91.</w:t>
            </w:r>
            <w:r w:rsidR="009D440B">
              <w:rPr>
                <w:rFonts w:ascii="Arial" w:hAnsi="Arial" w:cs="Arial"/>
                <w:bCs/>
                <w:sz w:val="16"/>
                <w:szCs w:val="16"/>
              </w:rPr>
              <w:t>1)</w:t>
            </w:r>
          </w:p>
        </w:tc>
        <w:tc>
          <w:tcPr>
            <w:tcW w:w="1384" w:type="dxa"/>
            <w:vAlign w:val="center"/>
          </w:tcPr>
          <w:p w14:paraId="62F34FDF" w14:textId="5D2D73C8" w:rsidR="00110685" w:rsidRPr="009D0D1B" w:rsidRDefault="00110685" w:rsidP="00110685">
            <w:pPr>
              <w:spacing w:line="300" w:lineRule="atLeast"/>
              <w:jc w:val="center"/>
              <w:rPr>
                <w:rFonts w:ascii="Arial" w:hAnsi="Arial" w:cs="Arial"/>
                <w:sz w:val="16"/>
                <w:szCs w:val="16"/>
              </w:rPr>
            </w:pPr>
            <w:r w:rsidRPr="00A97D78">
              <w:rPr>
                <w:rFonts w:ascii="Arial" w:hAnsi="Arial" w:cs="Arial"/>
                <w:bCs/>
                <w:sz w:val="16"/>
                <w:szCs w:val="16"/>
              </w:rPr>
              <w:t>25.4 – 10</w:t>
            </w:r>
            <w:r>
              <w:rPr>
                <w:rFonts w:ascii="Arial" w:hAnsi="Arial" w:cs="Arial"/>
                <w:bCs/>
                <w:sz w:val="16"/>
                <w:szCs w:val="16"/>
              </w:rPr>
              <w:t>2</w:t>
            </w:r>
            <w:r w:rsidRPr="00A97D78">
              <w:rPr>
                <w:rFonts w:ascii="Arial" w:hAnsi="Arial" w:cs="Arial"/>
                <w:bCs/>
                <w:sz w:val="16"/>
                <w:szCs w:val="16"/>
              </w:rPr>
              <w:t xml:space="preserve"> (63.57)</w:t>
            </w:r>
          </w:p>
        </w:tc>
        <w:tc>
          <w:tcPr>
            <w:tcW w:w="1140" w:type="dxa"/>
            <w:vAlign w:val="center"/>
          </w:tcPr>
          <w:p w14:paraId="2B4C185F" w14:textId="5967A3AF" w:rsidR="00110685" w:rsidRPr="009D0D1B" w:rsidRDefault="00110685" w:rsidP="00110685">
            <w:pPr>
              <w:spacing w:line="300" w:lineRule="atLeast"/>
              <w:jc w:val="center"/>
              <w:rPr>
                <w:rFonts w:ascii="Arial" w:hAnsi="Arial" w:cs="Arial"/>
                <w:sz w:val="16"/>
                <w:szCs w:val="16"/>
              </w:rPr>
            </w:pPr>
            <w:r w:rsidRPr="00EF72E4">
              <w:rPr>
                <w:rFonts w:ascii="Arial" w:hAnsi="Arial" w:cs="Arial"/>
                <w:bCs/>
                <w:sz w:val="16"/>
                <w:szCs w:val="16"/>
              </w:rPr>
              <w:t>-</w:t>
            </w:r>
          </w:p>
        </w:tc>
        <w:tc>
          <w:tcPr>
            <w:tcW w:w="1303" w:type="dxa"/>
            <w:vAlign w:val="center"/>
          </w:tcPr>
          <w:p w14:paraId="214FBFBE" w14:textId="1C266485" w:rsidR="00110685" w:rsidRPr="009D0D1B" w:rsidRDefault="00110685" w:rsidP="00110685">
            <w:pPr>
              <w:spacing w:line="300" w:lineRule="atLeast"/>
              <w:jc w:val="center"/>
              <w:rPr>
                <w:rFonts w:ascii="Arial" w:hAnsi="Arial" w:cs="Arial"/>
                <w:sz w:val="16"/>
                <w:szCs w:val="16"/>
              </w:rPr>
            </w:pPr>
            <w:r w:rsidRPr="00A97D78">
              <w:rPr>
                <w:rFonts w:ascii="Arial" w:hAnsi="Arial" w:cs="Arial"/>
                <w:bCs/>
                <w:sz w:val="16"/>
                <w:szCs w:val="16"/>
              </w:rPr>
              <w:t>11.0 – 44.1 (27.</w:t>
            </w:r>
            <w:r>
              <w:rPr>
                <w:rFonts w:ascii="Arial" w:hAnsi="Arial" w:cs="Arial"/>
                <w:bCs/>
                <w:sz w:val="16"/>
                <w:szCs w:val="16"/>
              </w:rPr>
              <w:t>6</w:t>
            </w:r>
            <w:r w:rsidRPr="00A97D78">
              <w:rPr>
                <w:rFonts w:ascii="Arial" w:hAnsi="Arial" w:cs="Arial"/>
                <w:bCs/>
                <w:sz w:val="16"/>
                <w:szCs w:val="16"/>
              </w:rPr>
              <w:t>)</w:t>
            </w:r>
          </w:p>
        </w:tc>
        <w:tc>
          <w:tcPr>
            <w:tcW w:w="1027" w:type="dxa"/>
            <w:vAlign w:val="center"/>
          </w:tcPr>
          <w:p w14:paraId="0B7B9D97" w14:textId="6022CD88" w:rsidR="00110685" w:rsidRPr="009D0D1B" w:rsidRDefault="00110685" w:rsidP="00110685">
            <w:pPr>
              <w:spacing w:line="300" w:lineRule="atLeast"/>
              <w:jc w:val="center"/>
              <w:rPr>
                <w:rFonts w:ascii="Arial" w:hAnsi="Arial" w:cs="Arial"/>
                <w:sz w:val="16"/>
                <w:szCs w:val="16"/>
              </w:rPr>
            </w:pPr>
            <w:r w:rsidRPr="00BE7F5A">
              <w:rPr>
                <w:rFonts w:ascii="Arial" w:hAnsi="Arial" w:cs="Arial"/>
                <w:sz w:val="16"/>
                <w:szCs w:val="16"/>
              </w:rPr>
              <w:t>-</w:t>
            </w:r>
          </w:p>
        </w:tc>
        <w:tc>
          <w:tcPr>
            <w:tcW w:w="1179" w:type="dxa"/>
            <w:vAlign w:val="center"/>
          </w:tcPr>
          <w:p w14:paraId="20595ADC" w14:textId="06CA0D37" w:rsidR="00110685" w:rsidRPr="009D0D1B" w:rsidRDefault="00110685" w:rsidP="00110685">
            <w:pPr>
              <w:spacing w:line="300" w:lineRule="atLeast"/>
              <w:jc w:val="center"/>
              <w:rPr>
                <w:rFonts w:ascii="Arial" w:hAnsi="Arial" w:cs="Arial"/>
                <w:sz w:val="16"/>
                <w:szCs w:val="16"/>
              </w:rPr>
            </w:pPr>
            <w:r w:rsidRPr="00BE7F5A">
              <w:rPr>
                <w:rFonts w:ascii="Arial" w:hAnsi="Arial" w:cs="Arial"/>
                <w:sz w:val="16"/>
                <w:szCs w:val="16"/>
              </w:rPr>
              <w:t>-</w:t>
            </w:r>
          </w:p>
        </w:tc>
      </w:tr>
      <w:tr w:rsidR="00110685" w:rsidRPr="00C92D4B" w14:paraId="5C8953B1" w14:textId="77777777" w:rsidTr="009D0D1B">
        <w:tc>
          <w:tcPr>
            <w:tcW w:w="1668" w:type="dxa"/>
            <w:tcBorders>
              <w:top w:val="single" w:sz="12" w:space="0" w:color="auto"/>
              <w:left w:val="single" w:sz="12" w:space="0" w:color="auto"/>
              <w:bottom w:val="single" w:sz="12" w:space="0" w:color="auto"/>
              <w:right w:val="single" w:sz="12" w:space="0" w:color="auto"/>
            </w:tcBorders>
            <w:vAlign w:val="center"/>
          </w:tcPr>
          <w:p w14:paraId="4A3DEF38" w14:textId="76FA238B" w:rsidR="00110685" w:rsidRPr="009D0D1B" w:rsidRDefault="00110685" w:rsidP="00110685">
            <w:pPr>
              <w:spacing w:before="60" w:after="60"/>
              <w:ind w:left="-42"/>
              <w:rPr>
                <w:rFonts w:ascii="Arial" w:hAnsi="Arial" w:cs="Arial"/>
                <w:b/>
                <w:sz w:val="16"/>
                <w:szCs w:val="16"/>
              </w:rPr>
            </w:pPr>
            <w:r w:rsidRPr="009D0D1B">
              <w:rPr>
                <w:rFonts w:ascii="Arial" w:hAnsi="Arial" w:cs="Arial"/>
                <w:b/>
                <w:sz w:val="16"/>
                <w:szCs w:val="16"/>
              </w:rPr>
              <w:t>Totals</w:t>
            </w:r>
          </w:p>
        </w:tc>
        <w:tc>
          <w:tcPr>
            <w:tcW w:w="1371" w:type="dxa"/>
            <w:tcBorders>
              <w:top w:val="single" w:sz="12" w:space="0" w:color="auto"/>
              <w:left w:val="single" w:sz="12" w:space="0" w:color="auto"/>
              <w:bottom w:val="single" w:sz="12" w:space="0" w:color="auto"/>
              <w:right w:val="single" w:sz="12" w:space="0" w:color="auto"/>
            </w:tcBorders>
            <w:vAlign w:val="center"/>
          </w:tcPr>
          <w:p w14:paraId="450F1F92" w14:textId="19A89D92" w:rsidR="00110685" w:rsidRPr="009D0D1B" w:rsidRDefault="00110685" w:rsidP="00110685">
            <w:pPr>
              <w:spacing w:before="60" w:after="60"/>
              <w:jc w:val="center"/>
              <w:rPr>
                <w:rFonts w:ascii="Arial" w:hAnsi="Arial" w:cs="Arial"/>
                <w:b/>
                <w:sz w:val="16"/>
                <w:szCs w:val="16"/>
              </w:rPr>
            </w:pPr>
            <w:r w:rsidRPr="00975470">
              <w:rPr>
                <w:rFonts w:ascii="Arial" w:hAnsi="Arial" w:cs="Arial"/>
                <w:b/>
                <w:sz w:val="16"/>
                <w:szCs w:val="16"/>
              </w:rPr>
              <w:t>4</w:t>
            </w:r>
            <w:r>
              <w:rPr>
                <w:rFonts w:ascii="Arial" w:hAnsi="Arial" w:cs="Arial"/>
                <w:b/>
                <w:sz w:val="16"/>
                <w:szCs w:val="16"/>
              </w:rPr>
              <w:t>,</w:t>
            </w:r>
            <w:r w:rsidRPr="00975470">
              <w:rPr>
                <w:rFonts w:ascii="Arial" w:hAnsi="Arial" w:cs="Arial"/>
                <w:b/>
                <w:sz w:val="16"/>
                <w:szCs w:val="16"/>
              </w:rPr>
              <w:t>24</w:t>
            </w:r>
            <w:r>
              <w:rPr>
                <w:rFonts w:ascii="Arial" w:hAnsi="Arial" w:cs="Arial"/>
                <w:b/>
                <w:sz w:val="16"/>
                <w:szCs w:val="16"/>
              </w:rPr>
              <w:t>4</w:t>
            </w:r>
            <w:r w:rsidRPr="00975470">
              <w:rPr>
                <w:rFonts w:ascii="Arial" w:hAnsi="Arial" w:cs="Arial"/>
                <w:b/>
                <w:sz w:val="16"/>
                <w:szCs w:val="16"/>
              </w:rPr>
              <w:t xml:space="preserve"> – 13</w:t>
            </w:r>
            <w:r>
              <w:rPr>
                <w:rFonts w:ascii="Arial" w:hAnsi="Arial" w:cs="Arial"/>
                <w:b/>
                <w:sz w:val="16"/>
                <w:szCs w:val="16"/>
              </w:rPr>
              <w:t>,2</w:t>
            </w:r>
            <w:r w:rsidRPr="00975470">
              <w:rPr>
                <w:rFonts w:ascii="Arial" w:hAnsi="Arial" w:cs="Arial"/>
                <w:b/>
                <w:sz w:val="16"/>
                <w:szCs w:val="16"/>
              </w:rPr>
              <w:t>85 (8</w:t>
            </w:r>
            <w:r>
              <w:rPr>
                <w:rFonts w:ascii="Arial" w:hAnsi="Arial" w:cs="Arial"/>
                <w:b/>
                <w:sz w:val="16"/>
                <w:szCs w:val="16"/>
              </w:rPr>
              <w:t>76</w:t>
            </w:r>
            <w:r w:rsidR="001D254B">
              <w:rPr>
                <w:rFonts w:ascii="Arial" w:hAnsi="Arial" w:cs="Arial"/>
                <w:b/>
                <w:sz w:val="16"/>
                <w:szCs w:val="16"/>
              </w:rPr>
              <w:t>6</w:t>
            </w:r>
            <w:r w:rsidRPr="00975470">
              <w:rPr>
                <w:rFonts w:ascii="Arial" w:hAnsi="Arial" w:cs="Arial"/>
                <w:b/>
                <w:sz w:val="16"/>
                <w:szCs w:val="16"/>
              </w:rPr>
              <w:t>)</w:t>
            </w:r>
          </w:p>
        </w:tc>
        <w:tc>
          <w:tcPr>
            <w:tcW w:w="1384" w:type="dxa"/>
            <w:tcBorders>
              <w:top w:val="single" w:sz="12" w:space="0" w:color="auto"/>
              <w:left w:val="single" w:sz="12" w:space="0" w:color="auto"/>
              <w:bottom w:val="single" w:sz="12" w:space="0" w:color="auto"/>
              <w:right w:val="single" w:sz="12" w:space="0" w:color="auto"/>
            </w:tcBorders>
            <w:vAlign w:val="center"/>
          </w:tcPr>
          <w:p w14:paraId="703AF0EA" w14:textId="5CF1C2C1" w:rsidR="00110685" w:rsidRPr="009D0D1B" w:rsidRDefault="00110685" w:rsidP="00110685">
            <w:pPr>
              <w:spacing w:before="60" w:after="60"/>
              <w:jc w:val="center"/>
              <w:rPr>
                <w:rFonts w:ascii="Arial" w:hAnsi="Arial" w:cs="Arial"/>
                <w:b/>
                <w:sz w:val="16"/>
                <w:szCs w:val="16"/>
              </w:rPr>
            </w:pPr>
            <w:r w:rsidRPr="00975470">
              <w:rPr>
                <w:rFonts w:ascii="Arial" w:hAnsi="Arial" w:cs="Arial"/>
                <w:b/>
                <w:sz w:val="16"/>
                <w:szCs w:val="16"/>
              </w:rPr>
              <w:t>44</w:t>
            </w:r>
            <w:r>
              <w:rPr>
                <w:rFonts w:ascii="Arial" w:hAnsi="Arial" w:cs="Arial"/>
                <w:b/>
                <w:sz w:val="16"/>
                <w:szCs w:val="16"/>
              </w:rPr>
              <w:t>7</w:t>
            </w:r>
            <w:r w:rsidRPr="00975470">
              <w:rPr>
                <w:rFonts w:ascii="Arial" w:hAnsi="Arial" w:cs="Arial"/>
                <w:b/>
                <w:sz w:val="16"/>
                <w:szCs w:val="16"/>
              </w:rPr>
              <w:t xml:space="preserve"> – 2</w:t>
            </w:r>
            <w:r>
              <w:rPr>
                <w:rFonts w:ascii="Arial" w:hAnsi="Arial" w:cs="Arial"/>
                <w:b/>
                <w:sz w:val="16"/>
                <w:szCs w:val="16"/>
              </w:rPr>
              <w:t>,</w:t>
            </w:r>
            <w:r w:rsidRPr="00975470">
              <w:rPr>
                <w:rFonts w:ascii="Arial" w:hAnsi="Arial" w:cs="Arial"/>
                <w:b/>
                <w:sz w:val="16"/>
                <w:szCs w:val="16"/>
              </w:rPr>
              <w:t>7</w:t>
            </w:r>
            <w:r>
              <w:rPr>
                <w:rFonts w:ascii="Arial" w:hAnsi="Arial" w:cs="Arial"/>
                <w:b/>
                <w:sz w:val="16"/>
                <w:szCs w:val="16"/>
              </w:rPr>
              <w:t>3</w:t>
            </w:r>
            <w:r w:rsidRPr="00975470">
              <w:rPr>
                <w:rFonts w:ascii="Arial" w:hAnsi="Arial" w:cs="Arial"/>
                <w:b/>
                <w:sz w:val="16"/>
                <w:szCs w:val="16"/>
              </w:rPr>
              <w:t>6 (1</w:t>
            </w:r>
            <w:r>
              <w:rPr>
                <w:rFonts w:ascii="Arial" w:hAnsi="Arial" w:cs="Arial"/>
                <w:b/>
                <w:sz w:val="16"/>
                <w:szCs w:val="16"/>
              </w:rPr>
              <w:t>,</w:t>
            </w:r>
            <w:r w:rsidRPr="00975470">
              <w:rPr>
                <w:rFonts w:ascii="Arial" w:hAnsi="Arial" w:cs="Arial"/>
                <w:b/>
                <w:sz w:val="16"/>
                <w:szCs w:val="16"/>
              </w:rPr>
              <w:t>5</w:t>
            </w:r>
            <w:r>
              <w:rPr>
                <w:rFonts w:ascii="Arial" w:hAnsi="Arial" w:cs="Arial"/>
                <w:b/>
                <w:sz w:val="16"/>
                <w:szCs w:val="16"/>
              </w:rPr>
              <w:t>9</w:t>
            </w:r>
            <w:r w:rsidR="001D254B">
              <w:rPr>
                <w:rFonts w:ascii="Arial" w:hAnsi="Arial" w:cs="Arial"/>
                <w:b/>
                <w:sz w:val="16"/>
                <w:szCs w:val="16"/>
              </w:rPr>
              <w:t>4</w:t>
            </w:r>
            <w:r w:rsidRPr="00975470">
              <w:rPr>
                <w:rFonts w:ascii="Arial" w:hAnsi="Arial" w:cs="Arial"/>
                <w:b/>
                <w:sz w:val="16"/>
                <w:szCs w:val="16"/>
              </w:rPr>
              <w:t>)</w:t>
            </w:r>
          </w:p>
        </w:tc>
        <w:tc>
          <w:tcPr>
            <w:tcW w:w="1140" w:type="dxa"/>
            <w:tcBorders>
              <w:top w:val="single" w:sz="12" w:space="0" w:color="auto"/>
              <w:left w:val="single" w:sz="12" w:space="0" w:color="auto"/>
              <w:bottom w:val="single" w:sz="12" w:space="0" w:color="auto"/>
              <w:right w:val="single" w:sz="12" w:space="0" w:color="auto"/>
            </w:tcBorders>
            <w:vAlign w:val="center"/>
          </w:tcPr>
          <w:p w14:paraId="203928C9" w14:textId="1B4DCC81" w:rsidR="00110685" w:rsidRPr="009D0D1B" w:rsidRDefault="00110685" w:rsidP="00110685">
            <w:pPr>
              <w:spacing w:before="60" w:after="60"/>
              <w:jc w:val="center"/>
              <w:rPr>
                <w:rFonts w:ascii="Arial" w:hAnsi="Arial" w:cs="Arial"/>
                <w:b/>
                <w:sz w:val="16"/>
                <w:szCs w:val="16"/>
              </w:rPr>
            </w:pPr>
            <w:r w:rsidRPr="00975470">
              <w:rPr>
                <w:rFonts w:ascii="Arial" w:hAnsi="Arial" w:cs="Arial"/>
                <w:b/>
                <w:sz w:val="16"/>
                <w:szCs w:val="16"/>
              </w:rPr>
              <w:t>186 – 3,445 (1,816)</w:t>
            </w:r>
          </w:p>
        </w:tc>
        <w:tc>
          <w:tcPr>
            <w:tcW w:w="1303" w:type="dxa"/>
            <w:tcBorders>
              <w:top w:val="single" w:sz="12" w:space="0" w:color="auto"/>
              <w:left w:val="single" w:sz="12" w:space="0" w:color="auto"/>
              <w:bottom w:val="single" w:sz="12" w:space="0" w:color="auto"/>
              <w:right w:val="single" w:sz="12" w:space="0" w:color="auto"/>
            </w:tcBorders>
            <w:vAlign w:val="center"/>
          </w:tcPr>
          <w:p w14:paraId="4BDE7086" w14:textId="4DA04C9E" w:rsidR="00110685" w:rsidRPr="009D0D1B" w:rsidRDefault="00110685" w:rsidP="00110685">
            <w:pPr>
              <w:spacing w:before="60" w:after="60"/>
              <w:jc w:val="center"/>
              <w:rPr>
                <w:rFonts w:ascii="Arial" w:hAnsi="Arial" w:cs="Arial"/>
                <w:b/>
                <w:sz w:val="16"/>
                <w:szCs w:val="16"/>
              </w:rPr>
            </w:pPr>
            <w:r w:rsidRPr="00975470">
              <w:rPr>
                <w:rFonts w:ascii="Arial" w:hAnsi="Arial" w:cs="Arial"/>
                <w:b/>
                <w:sz w:val="16"/>
                <w:szCs w:val="16"/>
              </w:rPr>
              <w:t>37</w:t>
            </w:r>
            <w:r>
              <w:rPr>
                <w:rFonts w:ascii="Arial" w:hAnsi="Arial" w:cs="Arial"/>
                <w:b/>
                <w:sz w:val="16"/>
                <w:szCs w:val="16"/>
              </w:rPr>
              <w:t>3</w:t>
            </w:r>
            <w:r w:rsidRPr="00975470">
              <w:rPr>
                <w:rFonts w:ascii="Arial" w:hAnsi="Arial" w:cs="Arial"/>
                <w:b/>
                <w:sz w:val="16"/>
                <w:szCs w:val="16"/>
              </w:rPr>
              <w:t xml:space="preserve"> – 1,7</w:t>
            </w:r>
            <w:r>
              <w:rPr>
                <w:rFonts w:ascii="Arial" w:hAnsi="Arial" w:cs="Arial"/>
                <w:b/>
                <w:sz w:val="16"/>
                <w:szCs w:val="16"/>
              </w:rPr>
              <w:t>8</w:t>
            </w:r>
            <w:r w:rsidRPr="00975470">
              <w:rPr>
                <w:rFonts w:ascii="Arial" w:hAnsi="Arial" w:cs="Arial"/>
                <w:b/>
                <w:sz w:val="16"/>
                <w:szCs w:val="16"/>
              </w:rPr>
              <w:t>0- (1,0</w:t>
            </w:r>
            <w:r>
              <w:rPr>
                <w:rFonts w:ascii="Arial" w:hAnsi="Arial" w:cs="Arial"/>
                <w:b/>
                <w:sz w:val="16"/>
                <w:szCs w:val="16"/>
              </w:rPr>
              <w:t>76</w:t>
            </w:r>
            <w:r w:rsidRPr="00975470">
              <w:rPr>
                <w:rFonts w:ascii="Arial" w:hAnsi="Arial" w:cs="Arial"/>
                <w:b/>
                <w:sz w:val="16"/>
                <w:szCs w:val="16"/>
              </w:rPr>
              <w:t>)</w:t>
            </w:r>
          </w:p>
        </w:tc>
        <w:tc>
          <w:tcPr>
            <w:tcW w:w="1027" w:type="dxa"/>
            <w:tcBorders>
              <w:top w:val="single" w:sz="12" w:space="0" w:color="auto"/>
              <w:left w:val="single" w:sz="12" w:space="0" w:color="auto"/>
              <w:bottom w:val="single" w:sz="12" w:space="0" w:color="auto"/>
              <w:right w:val="single" w:sz="12" w:space="0" w:color="auto"/>
            </w:tcBorders>
            <w:vAlign w:val="center"/>
          </w:tcPr>
          <w:p w14:paraId="2F8FA5CA" w14:textId="6381DFA4" w:rsidR="00110685" w:rsidRPr="009D0D1B" w:rsidRDefault="00110685" w:rsidP="00110685">
            <w:pPr>
              <w:spacing w:before="60" w:after="60"/>
              <w:jc w:val="center"/>
              <w:rPr>
                <w:rFonts w:ascii="Arial" w:hAnsi="Arial" w:cs="Arial"/>
                <w:b/>
                <w:sz w:val="16"/>
                <w:szCs w:val="16"/>
              </w:rPr>
            </w:pPr>
            <w:r w:rsidRPr="00261DA3">
              <w:rPr>
                <w:rFonts w:ascii="Arial" w:hAnsi="Arial" w:cs="Arial"/>
                <w:b/>
                <w:sz w:val="16"/>
                <w:szCs w:val="16"/>
              </w:rPr>
              <w:t>36.0 – 36.6 (36.3)</w:t>
            </w:r>
          </w:p>
        </w:tc>
        <w:tc>
          <w:tcPr>
            <w:tcW w:w="1179" w:type="dxa"/>
            <w:tcBorders>
              <w:top w:val="single" w:sz="12" w:space="0" w:color="auto"/>
              <w:left w:val="single" w:sz="12" w:space="0" w:color="auto"/>
              <w:bottom w:val="single" w:sz="12" w:space="0" w:color="auto"/>
              <w:right w:val="single" w:sz="12" w:space="0" w:color="auto"/>
            </w:tcBorders>
            <w:vAlign w:val="center"/>
          </w:tcPr>
          <w:p w14:paraId="34D7F972" w14:textId="69AC8879" w:rsidR="00110685" w:rsidRPr="009D0D1B" w:rsidRDefault="00110685" w:rsidP="00110685">
            <w:pPr>
              <w:spacing w:before="60" w:after="60"/>
              <w:jc w:val="center"/>
              <w:rPr>
                <w:rFonts w:ascii="Arial" w:hAnsi="Arial" w:cs="Arial"/>
                <w:b/>
                <w:sz w:val="16"/>
                <w:szCs w:val="16"/>
              </w:rPr>
            </w:pPr>
            <w:r w:rsidRPr="00261DA3">
              <w:rPr>
                <w:rFonts w:ascii="Arial" w:hAnsi="Arial" w:cs="Arial"/>
                <w:b/>
                <w:sz w:val="16"/>
                <w:szCs w:val="16"/>
              </w:rPr>
              <w:t>20</w:t>
            </w:r>
            <w:r>
              <w:rPr>
                <w:rFonts w:ascii="Arial" w:hAnsi="Arial" w:cs="Arial"/>
                <w:b/>
                <w:sz w:val="16"/>
                <w:szCs w:val="16"/>
              </w:rPr>
              <w:t>3</w:t>
            </w:r>
            <w:r w:rsidRPr="00261DA3">
              <w:rPr>
                <w:rFonts w:ascii="Arial" w:hAnsi="Arial" w:cs="Arial"/>
                <w:b/>
                <w:sz w:val="16"/>
                <w:szCs w:val="16"/>
              </w:rPr>
              <w:t xml:space="preserve"> – 2</w:t>
            </w:r>
            <w:r>
              <w:rPr>
                <w:rFonts w:ascii="Arial" w:hAnsi="Arial" w:cs="Arial"/>
                <w:b/>
                <w:sz w:val="16"/>
                <w:szCs w:val="16"/>
              </w:rPr>
              <w:t>289</w:t>
            </w:r>
            <w:r w:rsidRPr="00261DA3">
              <w:rPr>
                <w:rFonts w:ascii="Arial" w:hAnsi="Arial" w:cs="Arial"/>
                <w:b/>
                <w:sz w:val="16"/>
                <w:szCs w:val="16"/>
              </w:rPr>
              <w:t xml:space="preserve"> (12</w:t>
            </w:r>
            <w:r>
              <w:rPr>
                <w:rFonts w:ascii="Arial" w:hAnsi="Arial" w:cs="Arial"/>
                <w:b/>
                <w:sz w:val="16"/>
                <w:szCs w:val="16"/>
              </w:rPr>
              <w:t>46</w:t>
            </w:r>
            <w:r w:rsidRPr="00261DA3">
              <w:rPr>
                <w:rFonts w:ascii="Arial" w:hAnsi="Arial" w:cs="Arial"/>
                <w:b/>
                <w:sz w:val="16"/>
                <w:szCs w:val="16"/>
              </w:rPr>
              <w:t>)</w:t>
            </w:r>
          </w:p>
        </w:tc>
      </w:tr>
    </w:tbl>
    <w:p w14:paraId="0EDFD5B0" w14:textId="27093463" w:rsidR="00E124F3" w:rsidRDefault="0059685F" w:rsidP="00E124F3">
      <w:pPr>
        <w:spacing w:before="120" w:line="300" w:lineRule="atLeast"/>
        <w:jc w:val="both"/>
        <w:rPr>
          <w:szCs w:val="18"/>
        </w:rPr>
      </w:pPr>
      <w:r w:rsidRPr="009D0D1B">
        <w:rPr>
          <w:szCs w:val="18"/>
        </w:rPr>
        <w:t>(Note</w:t>
      </w:r>
      <w:r w:rsidR="00E124F3" w:rsidRPr="009D0D1B">
        <w:rPr>
          <w:szCs w:val="18"/>
        </w:rPr>
        <w:t xml:space="preserve">: </w:t>
      </w:r>
      <w:bookmarkStart w:id="0" w:name="OLE_LINK2"/>
      <w:r w:rsidR="004E4440" w:rsidRPr="009D0D1B">
        <w:rPr>
          <w:szCs w:val="18"/>
        </w:rPr>
        <w:t>L</w:t>
      </w:r>
      <w:r w:rsidR="00746776" w:rsidRPr="009D0D1B">
        <w:rPr>
          <w:szCs w:val="18"/>
        </w:rPr>
        <w:t xml:space="preserve">andfill reservoir </w:t>
      </w:r>
      <w:r w:rsidR="001C247A" w:rsidRPr="009D0D1B">
        <w:rPr>
          <w:szCs w:val="18"/>
        </w:rPr>
        <w:t>(</w:t>
      </w:r>
      <w:r w:rsidR="008C288C" w:rsidRPr="009D0D1B">
        <w:rPr>
          <w:szCs w:val="18"/>
        </w:rPr>
        <w:t>2998</w:t>
      </w:r>
      <w:r w:rsidR="001C247A" w:rsidRPr="009D0D1B">
        <w:rPr>
          <w:szCs w:val="18"/>
        </w:rPr>
        <w:t xml:space="preserve"> kg) </w:t>
      </w:r>
      <w:r w:rsidR="004E4440" w:rsidRPr="009D0D1B">
        <w:rPr>
          <w:szCs w:val="18"/>
        </w:rPr>
        <w:t>is not included in outputs here so</w:t>
      </w:r>
      <w:r w:rsidR="00746776" w:rsidRPr="009D0D1B">
        <w:rPr>
          <w:szCs w:val="18"/>
        </w:rPr>
        <w:t xml:space="preserve"> total outputs will not equal total inputs</w:t>
      </w:r>
      <w:bookmarkEnd w:id="0"/>
      <w:r w:rsidR="002D6491" w:rsidRPr="009D0D1B">
        <w:rPr>
          <w:szCs w:val="18"/>
        </w:rPr>
        <w:t>. Also the totals in the table may not exactly equal the sum of displayed data, due to rounding.)</w:t>
      </w:r>
    </w:p>
    <w:p w14:paraId="5CC75725" w14:textId="059C503B" w:rsidR="00520C8E" w:rsidRPr="009D0D1B" w:rsidRDefault="00520C8E" w:rsidP="00520C8E">
      <w:pPr>
        <w:spacing w:line="300" w:lineRule="atLeast"/>
        <w:jc w:val="both"/>
        <w:rPr>
          <w:szCs w:val="18"/>
        </w:rPr>
      </w:pPr>
      <w:r w:rsidRPr="009D0D1B">
        <w:rPr>
          <w:szCs w:val="18"/>
        </w:rPr>
        <w:t xml:space="preserve">By far the greatest quantities in the inputs column are for category </w:t>
      </w:r>
      <w:r w:rsidR="00040C9D">
        <w:rPr>
          <w:szCs w:val="18"/>
        </w:rPr>
        <w:t>nine</w:t>
      </w:r>
      <w:r w:rsidRPr="009D0D1B">
        <w:rPr>
          <w:szCs w:val="18"/>
        </w:rPr>
        <w:t xml:space="preserve">, waste disposal. </w:t>
      </w:r>
      <w:r w:rsidR="003E7FFB" w:rsidRPr="009D0D1B">
        <w:rPr>
          <w:szCs w:val="18"/>
        </w:rPr>
        <w:t>However, m</w:t>
      </w:r>
      <w:r w:rsidRPr="009D0D1B">
        <w:rPr>
          <w:szCs w:val="18"/>
        </w:rPr>
        <w:t>ost of the mercury in the solid waste stream is placed into long-term storage (ie. controlled landfill), rather than being mobilised into the environment.</w:t>
      </w:r>
      <w:r w:rsidR="00E124F3" w:rsidRPr="009D0D1B">
        <w:rPr>
          <w:szCs w:val="18"/>
        </w:rPr>
        <w:t xml:space="preserve"> This was assigned to a ‘Reservoir’ output category, which has not been included in the table.</w:t>
      </w:r>
      <w:r w:rsidR="00C009A1" w:rsidRPr="009D0D1B">
        <w:rPr>
          <w:szCs w:val="18"/>
        </w:rPr>
        <w:t xml:space="preserve"> As a result, the total quantity of outputs shown in the table is much less than the total inputs.</w:t>
      </w:r>
    </w:p>
    <w:p w14:paraId="6C42054E" w14:textId="77777777" w:rsidR="0040389B" w:rsidRPr="009D0D1B" w:rsidRDefault="00520C8E" w:rsidP="0040389B">
      <w:pPr>
        <w:spacing w:line="300" w:lineRule="atLeast"/>
        <w:jc w:val="both"/>
        <w:rPr>
          <w:szCs w:val="18"/>
        </w:rPr>
      </w:pPr>
      <w:r w:rsidRPr="009D0D1B">
        <w:rPr>
          <w:szCs w:val="18"/>
        </w:rPr>
        <w:t xml:space="preserve">Apart from the waste category, the next highest input </w:t>
      </w:r>
      <w:r w:rsidR="0040389B" w:rsidRPr="009D0D1B">
        <w:rPr>
          <w:szCs w:val="18"/>
        </w:rPr>
        <w:t>is the extraction and use of fuels and other energy sources, with the dominant contributor here being geothermal energy.</w:t>
      </w:r>
    </w:p>
    <w:p w14:paraId="6666FC15" w14:textId="78C57EA4" w:rsidR="00520C8E" w:rsidRPr="009D0D1B" w:rsidRDefault="0040389B" w:rsidP="00520C8E">
      <w:pPr>
        <w:spacing w:line="300" w:lineRule="atLeast"/>
        <w:jc w:val="both"/>
        <w:rPr>
          <w:szCs w:val="18"/>
        </w:rPr>
      </w:pPr>
      <w:r w:rsidRPr="009D0D1B">
        <w:rPr>
          <w:szCs w:val="18"/>
        </w:rPr>
        <w:t xml:space="preserve">The next highest input category </w:t>
      </w:r>
      <w:r w:rsidR="00520C8E" w:rsidRPr="009D0D1B">
        <w:rPr>
          <w:szCs w:val="18"/>
        </w:rPr>
        <w:t xml:space="preserve">is from primary metal production and, in particular gold and silver mining. In this case, the bulk of the inputs and outputs are associated with the extraction of very large volumes of ore, which contain very small amounts of mercury. </w:t>
      </w:r>
    </w:p>
    <w:p w14:paraId="6540B13C" w14:textId="3D52EDDC" w:rsidR="003E7FFB" w:rsidRPr="009D0D1B" w:rsidRDefault="003E7FFB" w:rsidP="002B63E7">
      <w:pPr>
        <w:spacing w:line="300" w:lineRule="atLeast"/>
        <w:jc w:val="both"/>
        <w:rPr>
          <w:rFonts w:ascii="Arial" w:hAnsi="Arial" w:cs="Arial"/>
          <w:b/>
          <w:szCs w:val="18"/>
        </w:rPr>
      </w:pPr>
      <w:r w:rsidRPr="009D0D1B">
        <w:rPr>
          <w:rFonts w:ascii="Arial" w:hAnsi="Arial" w:cs="Arial"/>
          <w:b/>
          <w:szCs w:val="18"/>
        </w:rPr>
        <w:t>Inputs from individual sources</w:t>
      </w:r>
    </w:p>
    <w:p w14:paraId="017EC1D7" w14:textId="69C15708" w:rsidR="00161050" w:rsidRPr="009D0D1B" w:rsidRDefault="00520C8E" w:rsidP="003E7FFB">
      <w:pPr>
        <w:spacing w:after="240" w:line="300" w:lineRule="atLeast"/>
        <w:jc w:val="both"/>
        <w:rPr>
          <w:szCs w:val="18"/>
        </w:rPr>
      </w:pPr>
      <w:r w:rsidRPr="009D0D1B">
        <w:rPr>
          <w:szCs w:val="18"/>
        </w:rPr>
        <w:t>The relative inputs from each of the individual sources identified in the inventory are illustrated in the figure below, with the size of each bar giving an indication of the level of uncertainty associated with each estimate.</w:t>
      </w:r>
      <w:r w:rsidR="002B63E7" w:rsidRPr="009D0D1B">
        <w:rPr>
          <w:szCs w:val="18"/>
        </w:rPr>
        <w:t xml:space="preserve"> As shown in the figure, the most significant input sources are </w:t>
      </w:r>
      <w:r w:rsidR="00983F51" w:rsidRPr="009D0D1B">
        <w:rPr>
          <w:szCs w:val="18"/>
        </w:rPr>
        <w:t xml:space="preserve">waste water treatment and disposal, </w:t>
      </w:r>
      <w:r w:rsidR="002B63E7" w:rsidRPr="009D0D1B">
        <w:rPr>
          <w:szCs w:val="18"/>
        </w:rPr>
        <w:t>solid waste disposal (landfills), the extraction and utilisation of geothermal energy</w:t>
      </w:r>
      <w:r w:rsidR="00983F51" w:rsidRPr="009D0D1B">
        <w:rPr>
          <w:szCs w:val="18"/>
        </w:rPr>
        <w:t xml:space="preserve">, </w:t>
      </w:r>
      <w:r w:rsidR="00AC02A3">
        <w:rPr>
          <w:szCs w:val="18"/>
        </w:rPr>
        <w:t xml:space="preserve">large scale </w:t>
      </w:r>
      <w:r w:rsidR="00EE76E4" w:rsidRPr="009D0D1B">
        <w:rPr>
          <w:szCs w:val="18"/>
        </w:rPr>
        <w:t>gold and silver mining</w:t>
      </w:r>
      <w:r w:rsidR="00983F51" w:rsidRPr="009D0D1B">
        <w:rPr>
          <w:szCs w:val="18"/>
        </w:rPr>
        <w:t xml:space="preserve"> and phosphate fertiliser application.</w:t>
      </w:r>
      <w:r w:rsidR="002B63E7" w:rsidRPr="009D0D1B">
        <w:rPr>
          <w:szCs w:val="18"/>
        </w:rPr>
        <w:t xml:space="preserve"> The extraction and processing of natural gas may also be a significant contributor but the uncertainties associated with the estimates for this source are very high</w:t>
      </w:r>
      <w:r w:rsidR="00C009A1" w:rsidRPr="009D0D1B">
        <w:rPr>
          <w:szCs w:val="18"/>
        </w:rPr>
        <w:t xml:space="preserve">, as indicated by the </w:t>
      </w:r>
      <w:r w:rsidR="00617A9A" w:rsidRPr="009D0D1B">
        <w:rPr>
          <w:szCs w:val="18"/>
        </w:rPr>
        <w:t xml:space="preserve">relative </w:t>
      </w:r>
      <w:r w:rsidR="00C009A1" w:rsidRPr="009D0D1B">
        <w:rPr>
          <w:szCs w:val="18"/>
        </w:rPr>
        <w:t>size of</w:t>
      </w:r>
      <w:r w:rsidR="00617A9A" w:rsidRPr="009D0D1B">
        <w:rPr>
          <w:szCs w:val="18"/>
        </w:rPr>
        <w:t xml:space="preserve"> the error</w:t>
      </w:r>
      <w:r w:rsidR="00F36CB3" w:rsidRPr="009D0D1B">
        <w:rPr>
          <w:szCs w:val="18"/>
        </w:rPr>
        <w:t xml:space="preserve"> bar.</w:t>
      </w:r>
    </w:p>
    <w:p w14:paraId="591A6299" w14:textId="269FF8BA" w:rsidR="00DF5D1C" w:rsidRDefault="00EC2D50" w:rsidP="003E7FFB">
      <w:pPr>
        <w:spacing w:after="240" w:line="300" w:lineRule="atLeast"/>
        <w:jc w:val="both"/>
        <w:rPr>
          <w:szCs w:val="18"/>
          <w:highlight w:val="yellow"/>
        </w:rPr>
      </w:pPr>
      <w:r>
        <w:rPr>
          <w:noProof/>
        </w:rPr>
        <w:drawing>
          <wp:inline distT="0" distB="0" distL="0" distR="0" wp14:anchorId="5C531369" wp14:editId="212076BA">
            <wp:extent cx="5760085" cy="2860040"/>
            <wp:effectExtent l="0" t="0" r="18415" b="10160"/>
            <wp:docPr id="1667425996" name="Chart 1">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54F0FF" w14:textId="41D28231" w:rsidR="00C86ADD" w:rsidRPr="009D0D1B" w:rsidRDefault="00AF3F93" w:rsidP="00F36CB3">
      <w:pPr>
        <w:spacing w:line="300" w:lineRule="atLeast"/>
        <w:jc w:val="both"/>
        <w:rPr>
          <w:szCs w:val="18"/>
        </w:rPr>
      </w:pPr>
      <w:bookmarkStart w:id="1" w:name="OLE_LINK1"/>
      <w:r w:rsidRPr="009D0D1B">
        <w:rPr>
          <w:szCs w:val="18"/>
        </w:rPr>
        <w:t xml:space="preserve">The estimated </w:t>
      </w:r>
      <w:r w:rsidR="008B09A8" w:rsidRPr="009D0D1B">
        <w:rPr>
          <w:szCs w:val="18"/>
        </w:rPr>
        <w:t xml:space="preserve">total </w:t>
      </w:r>
      <w:r w:rsidRPr="009D0D1B">
        <w:rPr>
          <w:szCs w:val="18"/>
        </w:rPr>
        <w:t>input</w:t>
      </w:r>
      <w:r w:rsidR="008B09A8" w:rsidRPr="009D0D1B">
        <w:rPr>
          <w:szCs w:val="18"/>
        </w:rPr>
        <w:t xml:space="preserve"> </w:t>
      </w:r>
      <w:r w:rsidRPr="009D0D1B">
        <w:rPr>
          <w:szCs w:val="18"/>
        </w:rPr>
        <w:t xml:space="preserve">of mercury for </w:t>
      </w:r>
      <w:r w:rsidR="008B09A8" w:rsidRPr="009D0D1B">
        <w:rPr>
          <w:szCs w:val="18"/>
        </w:rPr>
        <w:t>Ne</w:t>
      </w:r>
      <w:r w:rsidR="00347D3E" w:rsidRPr="009D0D1B">
        <w:rPr>
          <w:szCs w:val="18"/>
        </w:rPr>
        <w:t xml:space="preserve">w </w:t>
      </w:r>
      <w:r w:rsidR="008B09A8" w:rsidRPr="009D0D1B">
        <w:rPr>
          <w:szCs w:val="18"/>
        </w:rPr>
        <w:t xml:space="preserve">Zealand for </w:t>
      </w:r>
      <w:r w:rsidR="00431D3B" w:rsidRPr="009D0D1B">
        <w:rPr>
          <w:szCs w:val="18"/>
        </w:rPr>
        <w:t xml:space="preserve">2024 </w:t>
      </w:r>
      <w:r w:rsidRPr="009D0D1B">
        <w:rPr>
          <w:szCs w:val="18"/>
        </w:rPr>
        <w:t xml:space="preserve">is </w:t>
      </w:r>
      <w:r w:rsidR="00CE69E5" w:rsidRPr="009D0D1B">
        <w:rPr>
          <w:szCs w:val="18"/>
        </w:rPr>
        <w:t>8,</w:t>
      </w:r>
      <w:r w:rsidR="00110685">
        <w:rPr>
          <w:szCs w:val="18"/>
        </w:rPr>
        <w:t>76</w:t>
      </w:r>
      <w:r w:rsidR="008A54DD">
        <w:rPr>
          <w:szCs w:val="18"/>
        </w:rPr>
        <w:t>6</w:t>
      </w:r>
      <w:r w:rsidR="00265A32" w:rsidRPr="009D0D1B">
        <w:rPr>
          <w:szCs w:val="18"/>
        </w:rPr>
        <w:t xml:space="preserve"> kg which is</w:t>
      </w:r>
      <w:r w:rsidR="00CE69E5" w:rsidRPr="009D0D1B">
        <w:rPr>
          <w:szCs w:val="18"/>
        </w:rPr>
        <w:t xml:space="preserve"> </w:t>
      </w:r>
      <w:r w:rsidR="00110685">
        <w:rPr>
          <w:szCs w:val="18"/>
        </w:rPr>
        <w:t>52</w:t>
      </w:r>
      <w:r w:rsidR="008A54DD">
        <w:rPr>
          <w:szCs w:val="18"/>
        </w:rPr>
        <w:t>5</w:t>
      </w:r>
      <w:r w:rsidR="0057331F">
        <w:rPr>
          <w:szCs w:val="18"/>
        </w:rPr>
        <w:t xml:space="preserve"> kg </w:t>
      </w:r>
      <w:r w:rsidR="00CE69E5" w:rsidRPr="009D0D1B">
        <w:rPr>
          <w:szCs w:val="18"/>
        </w:rPr>
        <w:t xml:space="preserve">less </w:t>
      </w:r>
      <w:r w:rsidR="00265A32" w:rsidRPr="009D0D1B">
        <w:rPr>
          <w:szCs w:val="18"/>
        </w:rPr>
        <w:t xml:space="preserve">than the </w:t>
      </w:r>
      <w:r w:rsidR="00431D3B" w:rsidRPr="009D0D1B">
        <w:rPr>
          <w:szCs w:val="18"/>
        </w:rPr>
        <w:t>9,291</w:t>
      </w:r>
      <w:r w:rsidR="00265A32" w:rsidRPr="009D0D1B">
        <w:rPr>
          <w:szCs w:val="18"/>
        </w:rPr>
        <w:t xml:space="preserve"> kg estimated for </w:t>
      </w:r>
      <w:r w:rsidR="00431D3B" w:rsidRPr="009D0D1B">
        <w:rPr>
          <w:szCs w:val="18"/>
        </w:rPr>
        <w:t>2020</w:t>
      </w:r>
      <w:r w:rsidR="00265A32" w:rsidRPr="009D0D1B">
        <w:rPr>
          <w:szCs w:val="18"/>
        </w:rPr>
        <w:t>.</w:t>
      </w:r>
      <w:r w:rsidR="00C86ADD" w:rsidRPr="009D0D1B">
        <w:rPr>
          <w:szCs w:val="18"/>
        </w:rPr>
        <w:t xml:space="preserve"> </w:t>
      </w:r>
    </w:p>
    <w:p w14:paraId="7A8BB83F" w14:textId="67D3726A" w:rsidR="00C86ADD" w:rsidRPr="009D0D1B" w:rsidRDefault="00226AC7" w:rsidP="00F36CB3">
      <w:pPr>
        <w:spacing w:line="300" w:lineRule="atLeast"/>
        <w:jc w:val="both"/>
        <w:rPr>
          <w:szCs w:val="18"/>
        </w:rPr>
      </w:pPr>
      <w:r>
        <w:rPr>
          <w:szCs w:val="18"/>
        </w:rPr>
        <w:t>Compared to 2020 t</w:t>
      </w:r>
      <w:r w:rsidR="00C86ADD" w:rsidRPr="009D0D1B">
        <w:rPr>
          <w:szCs w:val="18"/>
        </w:rPr>
        <w:t>he biggest mercury reduction for an individual source occurred for landfills</w:t>
      </w:r>
      <w:r w:rsidR="00CF0701">
        <w:rPr>
          <w:szCs w:val="18"/>
        </w:rPr>
        <w:t>,</w:t>
      </w:r>
      <w:r w:rsidR="00C86ADD" w:rsidRPr="009D0D1B">
        <w:rPr>
          <w:szCs w:val="18"/>
        </w:rPr>
        <w:t xml:space="preserve"> which had a 2024 input 421 kg less than for 2020 </w:t>
      </w:r>
      <w:r w:rsidR="00AC02A3">
        <w:rPr>
          <w:szCs w:val="18"/>
        </w:rPr>
        <w:t xml:space="preserve">resulting from </w:t>
      </w:r>
      <w:r w:rsidR="00C86ADD" w:rsidRPr="009D0D1B">
        <w:rPr>
          <w:szCs w:val="18"/>
        </w:rPr>
        <w:t xml:space="preserve">a significant reduction of waste going to landfill. </w:t>
      </w:r>
      <w:r w:rsidR="00AC02A3">
        <w:rPr>
          <w:szCs w:val="18"/>
        </w:rPr>
        <w:t>Large scale g</w:t>
      </w:r>
      <w:r w:rsidR="00C86ADD" w:rsidRPr="009D0D1B">
        <w:rPr>
          <w:szCs w:val="18"/>
        </w:rPr>
        <w:t xml:space="preserve">old mining </w:t>
      </w:r>
      <w:r w:rsidR="00AC02A3">
        <w:rPr>
          <w:szCs w:val="18"/>
        </w:rPr>
        <w:t>(</w:t>
      </w:r>
      <w:r w:rsidR="00C86ADD" w:rsidRPr="009D0D1B">
        <w:rPr>
          <w:szCs w:val="18"/>
        </w:rPr>
        <w:t>not using mercury amalgamation</w:t>
      </w:r>
      <w:r w:rsidR="00AC02A3">
        <w:rPr>
          <w:szCs w:val="18"/>
        </w:rPr>
        <w:t>)</w:t>
      </w:r>
      <w:r w:rsidR="00C86ADD" w:rsidRPr="009D0D1B">
        <w:rPr>
          <w:szCs w:val="18"/>
        </w:rPr>
        <w:t xml:space="preserve"> also saw a significant reduction of 189 kg for 2024 which was due to </w:t>
      </w:r>
      <w:r w:rsidR="00CF0701">
        <w:rPr>
          <w:szCs w:val="18"/>
        </w:rPr>
        <w:t xml:space="preserve">a decrease in </w:t>
      </w:r>
      <w:r w:rsidR="00C86ADD" w:rsidRPr="009D0D1B">
        <w:rPr>
          <w:szCs w:val="18"/>
        </w:rPr>
        <w:t xml:space="preserve">the mercury concentration </w:t>
      </w:r>
      <w:r w:rsidR="00CF0701">
        <w:rPr>
          <w:szCs w:val="18"/>
        </w:rPr>
        <w:t>of</w:t>
      </w:r>
      <w:r w:rsidR="00C86ADD" w:rsidRPr="009D0D1B">
        <w:rPr>
          <w:szCs w:val="18"/>
        </w:rPr>
        <w:t xml:space="preserve"> ore</w:t>
      </w:r>
      <w:r w:rsidR="007C5375">
        <w:rPr>
          <w:szCs w:val="18"/>
        </w:rPr>
        <w:t xml:space="preserve"> at the M</w:t>
      </w:r>
      <w:r w:rsidR="00043C30">
        <w:rPr>
          <w:szCs w:val="18"/>
        </w:rPr>
        <w:t>a</w:t>
      </w:r>
      <w:r w:rsidR="007C5375">
        <w:rPr>
          <w:szCs w:val="18"/>
        </w:rPr>
        <w:t>c</w:t>
      </w:r>
      <w:r w:rsidR="00043C30">
        <w:rPr>
          <w:szCs w:val="18"/>
        </w:rPr>
        <w:t>r</w:t>
      </w:r>
      <w:r w:rsidR="007C5375">
        <w:rPr>
          <w:szCs w:val="18"/>
        </w:rPr>
        <w:t>aes mine</w:t>
      </w:r>
      <w:r w:rsidR="00C86ADD" w:rsidRPr="009D0D1B">
        <w:rPr>
          <w:szCs w:val="18"/>
        </w:rPr>
        <w:t>. Other large reductions were observed for natural gas (59 kg) fertilisers (55 kg), dental amalgam (46 kg)</w:t>
      </w:r>
      <w:r w:rsidR="00EB46E6">
        <w:rPr>
          <w:szCs w:val="18"/>
        </w:rPr>
        <w:t xml:space="preserve"> </w:t>
      </w:r>
      <w:r w:rsidR="00C86ADD" w:rsidRPr="009D0D1B">
        <w:rPr>
          <w:szCs w:val="18"/>
        </w:rPr>
        <w:t>and coal combustion in boilers</w:t>
      </w:r>
      <w:r w:rsidR="00930CE4">
        <w:rPr>
          <w:szCs w:val="18"/>
        </w:rPr>
        <w:t xml:space="preserve"> (21 kg)</w:t>
      </w:r>
      <w:r w:rsidR="00EB46E6">
        <w:rPr>
          <w:szCs w:val="18"/>
        </w:rPr>
        <w:t xml:space="preserve"> </w:t>
      </w:r>
      <w:r>
        <w:rPr>
          <w:szCs w:val="18"/>
        </w:rPr>
        <w:t xml:space="preserve">all </w:t>
      </w:r>
      <w:r w:rsidR="00EB46E6">
        <w:rPr>
          <w:szCs w:val="18"/>
        </w:rPr>
        <w:t xml:space="preserve">arising from reduced consumption of </w:t>
      </w:r>
      <w:r w:rsidR="00AC02A3">
        <w:rPr>
          <w:szCs w:val="18"/>
        </w:rPr>
        <w:t>materials</w:t>
      </w:r>
      <w:r w:rsidR="00EB46E6">
        <w:rPr>
          <w:szCs w:val="18"/>
        </w:rPr>
        <w:t xml:space="preserve">. The reduction for </w:t>
      </w:r>
      <w:r w:rsidR="00EB46E6" w:rsidRPr="00DD5FA6">
        <w:rPr>
          <w:szCs w:val="18"/>
        </w:rPr>
        <w:t>batteries</w:t>
      </w:r>
      <w:r w:rsidR="00EB46E6">
        <w:rPr>
          <w:szCs w:val="18"/>
        </w:rPr>
        <w:t xml:space="preserve"> (30 kg) </w:t>
      </w:r>
      <w:r w:rsidR="00C86ADD" w:rsidRPr="009D0D1B">
        <w:rPr>
          <w:szCs w:val="18"/>
        </w:rPr>
        <w:t>was mostly due to the acceptance that cylindrical alkaline batteries are now mercury free</w:t>
      </w:r>
      <w:r w:rsidR="00040C9D">
        <w:rPr>
          <w:szCs w:val="18"/>
        </w:rPr>
        <w:t>.</w:t>
      </w:r>
    </w:p>
    <w:p w14:paraId="77707E14" w14:textId="36AC10A1" w:rsidR="00A00BA6" w:rsidRPr="009D0D1B" w:rsidRDefault="003D6541" w:rsidP="00F36CB3">
      <w:pPr>
        <w:spacing w:line="300" w:lineRule="atLeast"/>
        <w:jc w:val="both"/>
        <w:rPr>
          <w:szCs w:val="18"/>
        </w:rPr>
      </w:pPr>
      <w:r w:rsidRPr="009D0D1B">
        <w:rPr>
          <w:szCs w:val="18"/>
        </w:rPr>
        <w:t xml:space="preserve">On the other hand </w:t>
      </w:r>
      <w:r w:rsidR="003025E0" w:rsidRPr="009D0D1B">
        <w:rPr>
          <w:szCs w:val="18"/>
        </w:rPr>
        <w:t>some sources have seen significant increases in their mercury estimates</w:t>
      </w:r>
      <w:r w:rsidR="00A00BA6" w:rsidRPr="009D0D1B">
        <w:rPr>
          <w:szCs w:val="18"/>
        </w:rPr>
        <w:t xml:space="preserve">. </w:t>
      </w:r>
      <w:r w:rsidR="003025E0" w:rsidRPr="009D0D1B">
        <w:rPr>
          <w:szCs w:val="18"/>
        </w:rPr>
        <w:t xml:space="preserve">The estimated releases from </w:t>
      </w:r>
      <w:r w:rsidR="00C86ADD" w:rsidRPr="009D0D1B">
        <w:rPr>
          <w:szCs w:val="18"/>
        </w:rPr>
        <w:t>wastewater were 231 kg higher for 2024 compared to 2020 mostly due to population increase. Geothermal power emissions were also 119 kg higher as a result of new geothermal power stations coming on-line increasing the consumption of geothermal stream.</w:t>
      </w:r>
      <w:r w:rsidR="0063725F" w:rsidRPr="009D0D1B">
        <w:rPr>
          <w:szCs w:val="18"/>
        </w:rPr>
        <w:t xml:space="preserve"> </w:t>
      </w:r>
    </w:p>
    <w:bookmarkEnd w:id="1"/>
    <w:p w14:paraId="7358825B" w14:textId="2F9F1B19" w:rsidR="00935A9E" w:rsidRPr="009D0D1B" w:rsidRDefault="00520C8E" w:rsidP="003833D6">
      <w:pPr>
        <w:spacing w:line="300" w:lineRule="atLeast"/>
        <w:jc w:val="both"/>
        <w:rPr>
          <w:rFonts w:ascii="Arial" w:hAnsi="Arial" w:cs="Arial"/>
          <w:b/>
          <w:szCs w:val="18"/>
        </w:rPr>
      </w:pPr>
      <w:r w:rsidRPr="009D0D1B">
        <w:rPr>
          <w:rFonts w:ascii="Arial" w:hAnsi="Arial" w:cs="Arial"/>
          <w:b/>
          <w:szCs w:val="18"/>
        </w:rPr>
        <w:t>Estimated mercury outputs</w:t>
      </w:r>
    </w:p>
    <w:p w14:paraId="035FE52C" w14:textId="77777777" w:rsidR="001F0EC5" w:rsidRDefault="001F0EC5" w:rsidP="00F36CB3">
      <w:pPr>
        <w:spacing w:line="300" w:lineRule="atLeast"/>
        <w:jc w:val="both"/>
        <w:rPr>
          <w:szCs w:val="18"/>
        </w:rPr>
      </w:pPr>
      <w:r w:rsidRPr="009D0D1B">
        <w:rPr>
          <w:szCs w:val="18"/>
        </w:rPr>
        <w:t>The distributions of outputs to air, water, land, waste, and in products, are summarised in a series of charts given in Section 14 of this report, and the key points noted from these charts are as follows:</w:t>
      </w:r>
    </w:p>
    <w:p w14:paraId="2AD6006F" w14:textId="77777777" w:rsidR="00226AC7" w:rsidRPr="00EF72E4" w:rsidRDefault="00226AC7" w:rsidP="00226AC7">
      <w:pPr>
        <w:numPr>
          <w:ilvl w:val="0"/>
          <w:numId w:val="21"/>
        </w:numPr>
        <w:spacing w:line="300" w:lineRule="atLeast"/>
        <w:rPr>
          <w:szCs w:val="18"/>
        </w:rPr>
      </w:pPr>
      <w:r w:rsidRPr="00EF72E4">
        <w:rPr>
          <w:szCs w:val="18"/>
        </w:rPr>
        <w:t xml:space="preserve">The outputs to air are dominated by fuel/energy use, especially geothermal. Other notable contributors, in decreasing order of significance are </w:t>
      </w:r>
      <w:r>
        <w:rPr>
          <w:szCs w:val="18"/>
        </w:rPr>
        <w:t xml:space="preserve">crematoria, </w:t>
      </w:r>
      <w:r w:rsidRPr="00EF72E4">
        <w:rPr>
          <w:szCs w:val="18"/>
        </w:rPr>
        <w:t>primary metal production, waste disposal and waste incineration.</w:t>
      </w:r>
    </w:p>
    <w:p w14:paraId="6EDB696E" w14:textId="77777777" w:rsidR="00226AC7" w:rsidRPr="00EF72E4" w:rsidRDefault="00226AC7" w:rsidP="00226AC7">
      <w:pPr>
        <w:numPr>
          <w:ilvl w:val="0"/>
          <w:numId w:val="21"/>
        </w:numPr>
        <w:spacing w:line="300" w:lineRule="atLeast"/>
        <w:rPr>
          <w:szCs w:val="18"/>
        </w:rPr>
      </w:pPr>
      <w:r w:rsidRPr="00EF72E4">
        <w:rPr>
          <w:szCs w:val="18"/>
        </w:rPr>
        <w:t>The outputs to water are totally dominated by waste disposal, especially wastewater discharges. Extraction and use of fuels and primary metal production are the next most significant contributors.</w:t>
      </w:r>
    </w:p>
    <w:p w14:paraId="72688942" w14:textId="77777777" w:rsidR="00226AC7" w:rsidRPr="00EF72E4" w:rsidRDefault="00226AC7" w:rsidP="00226AC7">
      <w:pPr>
        <w:numPr>
          <w:ilvl w:val="0"/>
          <w:numId w:val="21"/>
        </w:numPr>
        <w:spacing w:line="300" w:lineRule="atLeast"/>
        <w:rPr>
          <w:szCs w:val="18"/>
        </w:rPr>
      </w:pPr>
      <w:r w:rsidRPr="009D0D1B">
        <w:rPr>
          <w:szCs w:val="18"/>
        </w:rPr>
        <w:t xml:space="preserve">The outputs to land are dominated by waste disposal </w:t>
      </w:r>
      <w:r>
        <w:rPr>
          <w:szCs w:val="18"/>
        </w:rPr>
        <w:t xml:space="preserve">with primary metal production (largely gold mining), </w:t>
      </w:r>
      <w:r w:rsidRPr="009D0D1B">
        <w:rPr>
          <w:szCs w:val="18"/>
        </w:rPr>
        <w:t>production of minerals with mercury impurities</w:t>
      </w:r>
      <w:r>
        <w:rPr>
          <w:szCs w:val="18"/>
        </w:rPr>
        <w:t xml:space="preserve"> (largely phosphate fertilisers) and cemeteries also making significant contributions</w:t>
      </w:r>
      <w:r w:rsidRPr="009D0D1B">
        <w:rPr>
          <w:szCs w:val="18"/>
        </w:rPr>
        <w:t>.</w:t>
      </w:r>
      <w:r w:rsidRPr="00EF72E4" w:rsidDel="00CB2FBA">
        <w:rPr>
          <w:szCs w:val="18"/>
        </w:rPr>
        <w:t xml:space="preserve"> </w:t>
      </w:r>
    </w:p>
    <w:p w14:paraId="2F66A330" w14:textId="77777777" w:rsidR="00226AC7" w:rsidRPr="00EF72E4" w:rsidRDefault="00226AC7" w:rsidP="00226AC7">
      <w:pPr>
        <w:numPr>
          <w:ilvl w:val="0"/>
          <w:numId w:val="21"/>
        </w:numPr>
        <w:spacing w:line="300" w:lineRule="atLeast"/>
        <w:rPr>
          <w:szCs w:val="18"/>
        </w:rPr>
      </w:pPr>
      <w:r w:rsidRPr="009D0D1B">
        <w:rPr>
          <w:szCs w:val="18"/>
        </w:rPr>
        <w:t xml:space="preserve">The outputs to products are comprised </w:t>
      </w:r>
      <w:r>
        <w:rPr>
          <w:szCs w:val="18"/>
        </w:rPr>
        <w:t>mostly</w:t>
      </w:r>
      <w:r w:rsidRPr="009D0D1B">
        <w:rPr>
          <w:szCs w:val="18"/>
        </w:rPr>
        <w:t xml:space="preserve"> of consumer products with intentional use of mercury</w:t>
      </w:r>
      <w:r>
        <w:rPr>
          <w:szCs w:val="18"/>
        </w:rPr>
        <w:t xml:space="preserve"> (largely pharmaceuticals) and production of primary metals.</w:t>
      </w:r>
    </w:p>
    <w:p w14:paraId="0F8F25CF" w14:textId="0D379221" w:rsidR="00226AC7" w:rsidRPr="00EF72E4" w:rsidRDefault="00226AC7" w:rsidP="00226AC7">
      <w:pPr>
        <w:numPr>
          <w:ilvl w:val="0"/>
          <w:numId w:val="21"/>
        </w:numPr>
        <w:spacing w:line="300" w:lineRule="atLeast"/>
        <w:rPr>
          <w:szCs w:val="18"/>
        </w:rPr>
      </w:pPr>
      <w:r w:rsidRPr="009D0D1B">
        <w:rPr>
          <w:szCs w:val="18"/>
        </w:rPr>
        <w:t xml:space="preserve">The outputs to waste feature waste disposal as the largest sources with other notable contributions from </w:t>
      </w:r>
      <w:r>
        <w:rPr>
          <w:szCs w:val="18"/>
        </w:rPr>
        <w:t xml:space="preserve">extraction and use of fuels (dominated by </w:t>
      </w:r>
      <w:r w:rsidR="00313C8C">
        <w:rPr>
          <w:szCs w:val="18"/>
        </w:rPr>
        <w:t xml:space="preserve">natural </w:t>
      </w:r>
      <w:r>
        <w:rPr>
          <w:szCs w:val="18"/>
        </w:rPr>
        <w:t>gas extraction), primary metal production and consumer products with intentional use of mercury.</w:t>
      </w:r>
    </w:p>
    <w:p w14:paraId="6F67AE66" w14:textId="77777777" w:rsidR="00520C8E" w:rsidRDefault="00520C8E" w:rsidP="003833D6">
      <w:pPr>
        <w:spacing w:line="300" w:lineRule="atLeast"/>
        <w:jc w:val="both"/>
        <w:rPr>
          <w:szCs w:val="18"/>
        </w:rPr>
      </w:pPr>
    </w:p>
    <w:p w14:paraId="03C91CF2" w14:textId="77777777" w:rsidR="00465E90" w:rsidRDefault="00465E90" w:rsidP="00CD619F">
      <w:pPr>
        <w:spacing w:line="300" w:lineRule="atLeast"/>
        <w:jc w:val="both"/>
        <w:rPr>
          <w:szCs w:val="18"/>
        </w:rPr>
      </w:pPr>
    </w:p>
    <w:p w14:paraId="55682EA1" w14:textId="77777777" w:rsidR="00251E8B" w:rsidRDefault="00251E8B" w:rsidP="00CD619F">
      <w:pPr>
        <w:spacing w:line="300" w:lineRule="atLeast"/>
        <w:jc w:val="both"/>
        <w:rPr>
          <w:szCs w:val="18"/>
        </w:rPr>
        <w:sectPr w:rsidR="00251E8B" w:rsidSect="00DA42D9">
          <w:footerReference w:type="default" r:id="rId16"/>
          <w:pgSz w:w="11907" w:h="16840" w:code="9"/>
          <w:pgMar w:top="1418" w:right="1418" w:bottom="1440" w:left="1418" w:header="720" w:footer="720" w:gutter="0"/>
          <w:pgNumType w:fmt="lowerRoman" w:start="1"/>
          <w:cols w:space="720"/>
        </w:sectPr>
      </w:pPr>
    </w:p>
    <w:p w14:paraId="18D1B19B" w14:textId="77777777" w:rsidR="00994F11" w:rsidRPr="00270CD3" w:rsidRDefault="00994F11" w:rsidP="003833D6">
      <w:pPr>
        <w:spacing w:line="300" w:lineRule="atLeast"/>
        <w:jc w:val="center"/>
        <w:rPr>
          <w:rFonts w:ascii="Arial" w:hAnsi="Arial" w:cs="Arial"/>
          <w:b/>
          <w:sz w:val="28"/>
          <w:szCs w:val="28"/>
        </w:rPr>
      </w:pPr>
      <w:r w:rsidRPr="00270CD3">
        <w:rPr>
          <w:rFonts w:ascii="Arial" w:hAnsi="Arial" w:cs="Arial"/>
          <w:b/>
          <w:sz w:val="28"/>
          <w:szCs w:val="28"/>
        </w:rPr>
        <w:t>Contents</w:t>
      </w:r>
    </w:p>
    <w:p w14:paraId="3F9735FD" w14:textId="77777777" w:rsidR="00C05182" w:rsidRPr="00FA4378" w:rsidRDefault="00C05182" w:rsidP="003833D6">
      <w:pPr>
        <w:spacing w:line="300" w:lineRule="atLeast"/>
        <w:jc w:val="both"/>
        <w:rPr>
          <w:rFonts w:asciiTheme="minorHAnsi" w:hAnsiTheme="minorHAnsi" w:cstheme="minorHAnsi"/>
        </w:rPr>
      </w:pPr>
    </w:p>
    <w:p w14:paraId="575BD3C6" w14:textId="4F58E439" w:rsidR="00AB4194" w:rsidRDefault="00774991">
      <w:pPr>
        <w:pStyle w:val="TOC1"/>
        <w:rPr>
          <w:rFonts w:asciiTheme="minorHAnsi" w:eastAsiaTheme="minorEastAsia" w:hAnsiTheme="minorHAnsi" w:cstheme="minorBidi"/>
          <w:b w:val="0"/>
          <w:sz w:val="22"/>
          <w:szCs w:val="22"/>
          <w:lang w:val="en-NZ" w:eastAsia="en-NZ"/>
        </w:rPr>
      </w:pPr>
      <w:r>
        <w:rPr>
          <w:rFonts w:asciiTheme="minorHAnsi" w:hAnsiTheme="minorHAnsi" w:cstheme="minorHAnsi"/>
          <w:b w:val="0"/>
        </w:rPr>
        <w:fldChar w:fldCharType="begin"/>
      </w:r>
      <w:r>
        <w:rPr>
          <w:rFonts w:asciiTheme="minorHAnsi" w:hAnsiTheme="minorHAnsi" w:cstheme="minorHAnsi"/>
          <w:b w:val="0"/>
        </w:rPr>
        <w:instrText xml:space="preserve"> TOC \o "1-3" \h \z \u </w:instrText>
      </w:r>
      <w:r>
        <w:rPr>
          <w:rFonts w:asciiTheme="minorHAnsi" w:hAnsiTheme="minorHAnsi" w:cstheme="minorHAnsi"/>
          <w:b w:val="0"/>
        </w:rPr>
        <w:fldChar w:fldCharType="separate"/>
      </w:r>
      <w:hyperlink w:anchor="_Toc110355501" w:history="1">
        <w:r w:rsidR="00AB4194" w:rsidRPr="000A73EF">
          <w:rPr>
            <w:rStyle w:val="Hyperlink"/>
          </w:rPr>
          <w:t>Units and abbreviations</w:t>
        </w:r>
        <w:r w:rsidR="00AB4194">
          <w:rPr>
            <w:webHidden/>
          </w:rPr>
          <w:tab/>
        </w:r>
        <w:r w:rsidR="00AB4194">
          <w:rPr>
            <w:webHidden/>
          </w:rPr>
          <w:fldChar w:fldCharType="begin"/>
        </w:r>
        <w:r w:rsidR="00AB4194">
          <w:rPr>
            <w:webHidden/>
          </w:rPr>
          <w:instrText xml:space="preserve"> PAGEREF _Toc110355501 \h </w:instrText>
        </w:r>
        <w:r w:rsidR="00AB4194">
          <w:rPr>
            <w:webHidden/>
          </w:rPr>
        </w:r>
        <w:r w:rsidR="00AB4194">
          <w:rPr>
            <w:webHidden/>
          </w:rPr>
          <w:fldChar w:fldCharType="separate"/>
        </w:r>
        <w:r w:rsidR="00892B2D">
          <w:rPr>
            <w:webHidden/>
          </w:rPr>
          <w:t>vii</w:t>
        </w:r>
        <w:r w:rsidR="00AB4194">
          <w:rPr>
            <w:webHidden/>
          </w:rPr>
          <w:fldChar w:fldCharType="end"/>
        </w:r>
      </w:hyperlink>
    </w:p>
    <w:p w14:paraId="78D82965" w14:textId="2A36E981" w:rsidR="00AB4194" w:rsidRDefault="00AB4194">
      <w:pPr>
        <w:pStyle w:val="TOC1"/>
        <w:rPr>
          <w:rFonts w:asciiTheme="minorHAnsi" w:eastAsiaTheme="minorEastAsia" w:hAnsiTheme="minorHAnsi" w:cstheme="minorBidi"/>
          <w:b w:val="0"/>
          <w:sz w:val="22"/>
          <w:szCs w:val="22"/>
          <w:lang w:val="en-NZ" w:eastAsia="en-NZ"/>
        </w:rPr>
      </w:pPr>
      <w:hyperlink w:anchor="_Toc110355502" w:history="1">
        <w:r w:rsidRPr="000A73EF">
          <w:rPr>
            <w:rStyle w:val="Hyperlink"/>
            <w:rFonts w:cs="Arial"/>
            <w:bCs/>
          </w:rPr>
          <w:t>1</w:t>
        </w:r>
        <w:r>
          <w:rPr>
            <w:rFonts w:asciiTheme="minorHAnsi" w:eastAsiaTheme="minorEastAsia" w:hAnsiTheme="minorHAnsi" w:cstheme="minorBidi"/>
            <w:b w:val="0"/>
            <w:sz w:val="22"/>
            <w:szCs w:val="22"/>
            <w:lang w:val="en-NZ" w:eastAsia="en-NZ"/>
          </w:rPr>
          <w:tab/>
        </w:r>
        <w:r w:rsidRPr="000A73EF">
          <w:rPr>
            <w:rStyle w:val="Hyperlink"/>
            <w:rFonts w:cs="Arial"/>
            <w:bCs/>
          </w:rPr>
          <w:t>Introduction</w:t>
        </w:r>
        <w:r>
          <w:rPr>
            <w:webHidden/>
          </w:rPr>
          <w:tab/>
        </w:r>
        <w:r>
          <w:rPr>
            <w:webHidden/>
          </w:rPr>
          <w:fldChar w:fldCharType="begin"/>
        </w:r>
        <w:r>
          <w:rPr>
            <w:webHidden/>
          </w:rPr>
          <w:instrText xml:space="preserve"> PAGEREF _Toc110355502 \h </w:instrText>
        </w:r>
        <w:r>
          <w:rPr>
            <w:webHidden/>
          </w:rPr>
        </w:r>
        <w:r>
          <w:rPr>
            <w:webHidden/>
          </w:rPr>
          <w:fldChar w:fldCharType="separate"/>
        </w:r>
        <w:r w:rsidR="00892B2D">
          <w:rPr>
            <w:webHidden/>
          </w:rPr>
          <w:t>1</w:t>
        </w:r>
        <w:r>
          <w:rPr>
            <w:webHidden/>
          </w:rPr>
          <w:fldChar w:fldCharType="end"/>
        </w:r>
      </w:hyperlink>
    </w:p>
    <w:p w14:paraId="17B8F910" w14:textId="402530B7" w:rsidR="00AB4194" w:rsidRDefault="00AB4194">
      <w:pPr>
        <w:pStyle w:val="TOC2"/>
        <w:rPr>
          <w:rFonts w:asciiTheme="minorHAnsi" w:eastAsiaTheme="minorEastAsia" w:hAnsiTheme="minorHAnsi" w:cstheme="minorBidi"/>
          <w:noProof/>
          <w:sz w:val="22"/>
          <w:szCs w:val="22"/>
          <w:lang w:eastAsia="en-NZ"/>
        </w:rPr>
      </w:pPr>
      <w:hyperlink w:anchor="_Toc110355503" w:history="1">
        <w:r w:rsidRPr="000A73EF">
          <w:rPr>
            <w:rStyle w:val="Hyperlink"/>
            <w:noProof/>
          </w:rPr>
          <w:t>1.1</w:t>
        </w:r>
        <w:r>
          <w:rPr>
            <w:rFonts w:asciiTheme="minorHAnsi" w:eastAsiaTheme="minorEastAsia" w:hAnsiTheme="minorHAnsi" w:cstheme="minorBidi"/>
            <w:noProof/>
            <w:sz w:val="22"/>
            <w:szCs w:val="22"/>
            <w:lang w:eastAsia="en-NZ"/>
          </w:rPr>
          <w:tab/>
        </w:r>
        <w:r w:rsidRPr="000A73EF">
          <w:rPr>
            <w:rStyle w:val="Hyperlink"/>
            <w:noProof/>
          </w:rPr>
          <w:t>Background</w:t>
        </w:r>
        <w:r>
          <w:rPr>
            <w:noProof/>
            <w:webHidden/>
          </w:rPr>
          <w:tab/>
        </w:r>
        <w:r>
          <w:rPr>
            <w:noProof/>
            <w:webHidden/>
          </w:rPr>
          <w:fldChar w:fldCharType="begin"/>
        </w:r>
        <w:r>
          <w:rPr>
            <w:noProof/>
            <w:webHidden/>
          </w:rPr>
          <w:instrText xml:space="preserve"> PAGEREF _Toc110355503 \h </w:instrText>
        </w:r>
        <w:r>
          <w:rPr>
            <w:noProof/>
            <w:webHidden/>
          </w:rPr>
        </w:r>
        <w:r>
          <w:rPr>
            <w:noProof/>
            <w:webHidden/>
          </w:rPr>
          <w:fldChar w:fldCharType="separate"/>
        </w:r>
        <w:r w:rsidR="00892B2D">
          <w:rPr>
            <w:noProof/>
            <w:webHidden/>
          </w:rPr>
          <w:t>1</w:t>
        </w:r>
        <w:r>
          <w:rPr>
            <w:noProof/>
            <w:webHidden/>
          </w:rPr>
          <w:fldChar w:fldCharType="end"/>
        </w:r>
      </w:hyperlink>
    </w:p>
    <w:p w14:paraId="2E37878C" w14:textId="1193BE10" w:rsidR="00AB4194" w:rsidRDefault="00AB4194">
      <w:pPr>
        <w:pStyle w:val="TOC2"/>
        <w:rPr>
          <w:rFonts w:asciiTheme="minorHAnsi" w:eastAsiaTheme="minorEastAsia" w:hAnsiTheme="minorHAnsi" w:cstheme="minorBidi"/>
          <w:noProof/>
          <w:sz w:val="22"/>
          <w:szCs w:val="22"/>
          <w:lang w:eastAsia="en-NZ"/>
        </w:rPr>
      </w:pPr>
      <w:hyperlink w:anchor="_Toc110355504" w:history="1">
        <w:r w:rsidRPr="000A73EF">
          <w:rPr>
            <w:rStyle w:val="Hyperlink"/>
            <w:noProof/>
          </w:rPr>
          <w:t>1.2</w:t>
        </w:r>
        <w:r>
          <w:rPr>
            <w:rFonts w:asciiTheme="minorHAnsi" w:eastAsiaTheme="minorEastAsia" w:hAnsiTheme="minorHAnsi" w:cstheme="minorBidi"/>
            <w:noProof/>
            <w:sz w:val="22"/>
            <w:szCs w:val="22"/>
            <w:lang w:eastAsia="en-NZ"/>
          </w:rPr>
          <w:tab/>
        </w:r>
        <w:r w:rsidRPr="000A73EF">
          <w:rPr>
            <w:rStyle w:val="Hyperlink"/>
            <w:noProof/>
          </w:rPr>
          <w:t>Methodology</w:t>
        </w:r>
        <w:r>
          <w:rPr>
            <w:noProof/>
            <w:webHidden/>
          </w:rPr>
          <w:tab/>
        </w:r>
        <w:r>
          <w:rPr>
            <w:noProof/>
            <w:webHidden/>
          </w:rPr>
          <w:fldChar w:fldCharType="begin"/>
        </w:r>
        <w:r>
          <w:rPr>
            <w:noProof/>
            <w:webHidden/>
          </w:rPr>
          <w:instrText xml:space="preserve"> PAGEREF _Toc110355504 \h </w:instrText>
        </w:r>
        <w:r>
          <w:rPr>
            <w:noProof/>
            <w:webHidden/>
          </w:rPr>
        </w:r>
        <w:r>
          <w:rPr>
            <w:noProof/>
            <w:webHidden/>
          </w:rPr>
          <w:fldChar w:fldCharType="separate"/>
        </w:r>
        <w:r w:rsidR="00892B2D">
          <w:rPr>
            <w:noProof/>
            <w:webHidden/>
          </w:rPr>
          <w:t>2</w:t>
        </w:r>
        <w:r>
          <w:rPr>
            <w:noProof/>
            <w:webHidden/>
          </w:rPr>
          <w:fldChar w:fldCharType="end"/>
        </w:r>
      </w:hyperlink>
    </w:p>
    <w:p w14:paraId="2357CA32" w14:textId="51CF11B0" w:rsidR="00AB4194" w:rsidRDefault="00AB4194">
      <w:pPr>
        <w:pStyle w:val="TOC2"/>
        <w:rPr>
          <w:rFonts w:asciiTheme="minorHAnsi" w:eastAsiaTheme="minorEastAsia" w:hAnsiTheme="minorHAnsi" w:cstheme="minorBidi"/>
          <w:noProof/>
          <w:sz w:val="22"/>
          <w:szCs w:val="22"/>
          <w:lang w:eastAsia="en-NZ"/>
        </w:rPr>
      </w:pPr>
      <w:hyperlink w:anchor="_Toc110355505" w:history="1">
        <w:r w:rsidRPr="000A73EF">
          <w:rPr>
            <w:rStyle w:val="Hyperlink"/>
            <w:noProof/>
          </w:rPr>
          <w:t>1.3</w:t>
        </w:r>
        <w:r>
          <w:rPr>
            <w:rFonts w:asciiTheme="minorHAnsi" w:eastAsiaTheme="minorEastAsia" w:hAnsiTheme="minorHAnsi" w:cstheme="minorBidi"/>
            <w:noProof/>
            <w:sz w:val="22"/>
            <w:szCs w:val="22"/>
            <w:lang w:eastAsia="en-NZ"/>
          </w:rPr>
          <w:tab/>
        </w:r>
        <w:r w:rsidRPr="000A73EF">
          <w:rPr>
            <w:rStyle w:val="Hyperlink"/>
            <w:noProof/>
          </w:rPr>
          <w:t>Report layout and content</w:t>
        </w:r>
        <w:r>
          <w:rPr>
            <w:noProof/>
            <w:webHidden/>
          </w:rPr>
          <w:tab/>
        </w:r>
        <w:r>
          <w:rPr>
            <w:noProof/>
            <w:webHidden/>
          </w:rPr>
          <w:fldChar w:fldCharType="begin"/>
        </w:r>
        <w:r>
          <w:rPr>
            <w:noProof/>
            <w:webHidden/>
          </w:rPr>
          <w:instrText xml:space="preserve"> PAGEREF _Toc110355505 \h </w:instrText>
        </w:r>
        <w:r>
          <w:rPr>
            <w:noProof/>
            <w:webHidden/>
          </w:rPr>
        </w:r>
        <w:r>
          <w:rPr>
            <w:noProof/>
            <w:webHidden/>
          </w:rPr>
          <w:fldChar w:fldCharType="separate"/>
        </w:r>
        <w:r w:rsidR="00892B2D">
          <w:rPr>
            <w:noProof/>
            <w:webHidden/>
          </w:rPr>
          <w:t>2</w:t>
        </w:r>
        <w:r>
          <w:rPr>
            <w:noProof/>
            <w:webHidden/>
          </w:rPr>
          <w:fldChar w:fldCharType="end"/>
        </w:r>
      </w:hyperlink>
    </w:p>
    <w:p w14:paraId="79F4ACD0" w14:textId="17E7509A" w:rsidR="00AB4194" w:rsidRDefault="00AB4194">
      <w:pPr>
        <w:pStyle w:val="TOC1"/>
        <w:rPr>
          <w:rFonts w:asciiTheme="minorHAnsi" w:eastAsiaTheme="minorEastAsia" w:hAnsiTheme="minorHAnsi" w:cstheme="minorBidi"/>
          <w:b w:val="0"/>
          <w:sz w:val="22"/>
          <w:szCs w:val="22"/>
          <w:lang w:val="en-NZ" w:eastAsia="en-NZ"/>
        </w:rPr>
      </w:pPr>
      <w:hyperlink w:anchor="_Toc110355506" w:history="1">
        <w:r w:rsidRPr="000A73EF">
          <w:rPr>
            <w:rStyle w:val="Hyperlink"/>
          </w:rPr>
          <w:t>2</w:t>
        </w:r>
        <w:r>
          <w:rPr>
            <w:rFonts w:asciiTheme="minorHAnsi" w:eastAsiaTheme="minorEastAsia" w:hAnsiTheme="minorHAnsi" w:cstheme="minorBidi"/>
            <w:b w:val="0"/>
            <w:sz w:val="22"/>
            <w:szCs w:val="22"/>
            <w:lang w:val="en-NZ" w:eastAsia="en-NZ"/>
          </w:rPr>
          <w:tab/>
        </w:r>
        <w:r w:rsidRPr="000A73EF">
          <w:rPr>
            <w:rStyle w:val="Hyperlink"/>
          </w:rPr>
          <w:t>Inventory methodology</w:t>
        </w:r>
        <w:r>
          <w:rPr>
            <w:webHidden/>
          </w:rPr>
          <w:tab/>
        </w:r>
        <w:r>
          <w:rPr>
            <w:webHidden/>
          </w:rPr>
          <w:fldChar w:fldCharType="begin"/>
        </w:r>
        <w:r>
          <w:rPr>
            <w:webHidden/>
          </w:rPr>
          <w:instrText xml:space="preserve"> PAGEREF _Toc110355506 \h </w:instrText>
        </w:r>
        <w:r>
          <w:rPr>
            <w:webHidden/>
          </w:rPr>
        </w:r>
        <w:r>
          <w:rPr>
            <w:webHidden/>
          </w:rPr>
          <w:fldChar w:fldCharType="separate"/>
        </w:r>
        <w:r w:rsidR="00892B2D">
          <w:rPr>
            <w:webHidden/>
          </w:rPr>
          <w:t>3</w:t>
        </w:r>
        <w:r>
          <w:rPr>
            <w:webHidden/>
          </w:rPr>
          <w:fldChar w:fldCharType="end"/>
        </w:r>
      </w:hyperlink>
    </w:p>
    <w:p w14:paraId="3A96A0CC" w14:textId="02E689CE" w:rsidR="00AB4194" w:rsidRDefault="00AB4194">
      <w:pPr>
        <w:pStyle w:val="TOC2"/>
        <w:rPr>
          <w:rFonts w:asciiTheme="minorHAnsi" w:eastAsiaTheme="minorEastAsia" w:hAnsiTheme="minorHAnsi" w:cstheme="minorBidi"/>
          <w:noProof/>
          <w:sz w:val="22"/>
          <w:szCs w:val="22"/>
          <w:lang w:eastAsia="en-NZ"/>
        </w:rPr>
      </w:pPr>
      <w:hyperlink w:anchor="_Toc110355507" w:history="1">
        <w:r w:rsidRPr="000A73EF">
          <w:rPr>
            <w:rStyle w:val="Hyperlink"/>
            <w:noProof/>
          </w:rPr>
          <w:t>2.1</w:t>
        </w:r>
        <w:r>
          <w:rPr>
            <w:rFonts w:asciiTheme="minorHAnsi" w:eastAsiaTheme="minorEastAsia" w:hAnsiTheme="minorHAnsi" w:cstheme="minorBidi"/>
            <w:noProof/>
            <w:sz w:val="22"/>
            <w:szCs w:val="22"/>
            <w:lang w:eastAsia="en-NZ"/>
          </w:rPr>
          <w:tab/>
        </w:r>
        <w:r w:rsidRPr="000A73EF">
          <w:rPr>
            <w:rStyle w:val="Hyperlink"/>
            <w:noProof/>
          </w:rPr>
          <w:t>The UNEP Mercury Toolkit</w:t>
        </w:r>
        <w:r>
          <w:rPr>
            <w:noProof/>
            <w:webHidden/>
          </w:rPr>
          <w:tab/>
        </w:r>
        <w:r>
          <w:rPr>
            <w:noProof/>
            <w:webHidden/>
          </w:rPr>
          <w:fldChar w:fldCharType="begin"/>
        </w:r>
        <w:r>
          <w:rPr>
            <w:noProof/>
            <w:webHidden/>
          </w:rPr>
          <w:instrText xml:space="preserve"> PAGEREF _Toc110355507 \h </w:instrText>
        </w:r>
        <w:r>
          <w:rPr>
            <w:noProof/>
            <w:webHidden/>
          </w:rPr>
        </w:r>
        <w:r>
          <w:rPr>
            <w:noProof/>
            <w:webHidden/>
          </w:rPr>
          <w:fldChar w:fldCharType="separate"/>
        </w:r>
        <w:r w:rsidR="00892B2D">
          <w:rPr>
            <w:noProof/>
            <w:webHidden/>
          </w:rPr>
          <w:t>3</w:t>
        </w:r>
        <w:r>
          <w:rPr>
            <w:noProof/>
            <w:webHidden/>
          </w:rPr>
          <w:fldChar w:fldCharType="end"/>
        </w:r>
      </w:hyperlink>
    </w:p>
    <w:p w14:paraId="3FA3880D" w14:textId="2274AD1A" w:rsidR="00AB4194" w:rsidRDefault="00AB4194">
      <w:pPr>
        <w:pStyle w:val="TOC2"/>
        <w:rPr>
          <w:rFonts w:asciiTheme="minorHAnsi" w:eastAsiaTheme="minorEastAsia" w:hAnsiTheme="minorHAnsi" w:cstheme="minorBidi"/>
          <w:noProof/>
          <w:sz w:val="22"/>
          <w:szCs w:val="22"/>
          <w:lang w:eastAsia="en-NZ"/>
        </w:rPr>
      </w:pPr>
      <w:hyperlink w:anchor="_Toc110355508" w:history="1">
        <w:r w:rsidRPr="000A73EF">
          <w:rPr>
            <w:rStyle w:val="Hyperlink"/>
            <w:noProof/>
          </w:rPr>
          <w:t>2.2</w:t>
        </w:r>
        <w:r>
          <w:rPr>
            <w:rFonts w:asciiTheme="minorHAnsi" w:eastAsiaTheme="minorEastAsia" w:hAnsiTheme="minorHAnsi" w:cstheme="minorBidi"/>
            <w:noProof/>
            <w:sz w:val="22"/>
            <w:szCs w:val="22"/>
            <w:lang w:eastAsia="en-NZ"/>
          </w:rPr>
          <w:tab/>
        </w:r>
        <w:r w:rsidRPr="000A73EF">
          <w:rPr>
            <w:rStyle w:val="Hyperlink"/>
            <w:noProof/>
          </w:rPr>
          <w:t>Toolkit methodology</w:t>
        </w:r>
        <w:r>
          <w:rPr>
            <w:noProof/>
            <w:webHidden/>
          </w:rPr>
          <w:tab/>
        </w:r>
        <w:r>
          <w:rPr>
            <w:noProof/>
            <w:webHidden/>
          </w:rPr>
          <w:fldChar w:fldCharType="begin"/>
        </w:r>
        <w:r>
          <w:rPr>
            <w:noProof/>
            <w:webHidden/>
          </w:rPr>
          <w:instrText xml:space="preserve"> PAGEREF _Toc110355508 \h </w:instrText>
        </w:r>
        <w:r>
          <w:rPr>
            <w:noProof/>
            <w:webHidden/>
          </w:rPr>
        </w:r>
        <w:r>
          <w:rPr>
            <w:noProof/>
            <w:webHidden/>
          </w:rPr>
          <w:fldChar w:fldCharType="separate"/>
        </w:r>
        <w:r w:rsidR="00892B2D">
          <w:rPr>
            <w:noProof/>
            <w:webHidden/>
          </w:rPr>
          <w:t>3</w:t>
        </w:r>
        <w:r>
          <w:rPr>
            <w:noProof/>
            <w:webHidden/>
          </w:rPr>
          <w:fldChar w:fldCharType="end"/>
        </w:r>
      </w:hyperlink>
    </w:p>
    <w:p w14:paraId="7FA741AC" w14:textId="2D4CC330" w:rsidR="00AB4194" w:rsidRDefault="00AB4194">
      <w:pPr>
        <w:pStyle w:val="TOC2"/>
        <w:rPr>
          <w:rFonts w:asciiTheme="minorHAnsi" w:eastAsiaTheme="minorEastAsia" w:hAnsiTheme="minorHAnsi" w:cstheme="minorBidi"/>
          <w:noProof/>
          <w:sz w:val="22"/>
          <w:szCs w:val="22"/>
          <w:lang w:eastAsia="en-NZ"/>
        </w:rPr>
      </w:pPr>
      <w:hyperlink w:anchor="_Toc110355509" w:history="1">
        <w:r w:rsidRPr="000A73EF">
          <w:rPr>
            <w:rStyle w:val="Hyperlink"/>
            <w:noProof/>
          </w:rPr>
          <w:t>2.3</w:t>
        </w:r>
        <w:r>
          <w:rPr>
            <w:rFonts w:asciiTheme="minorHAnsi" w:eastAsiaTheme="minorEastAsia" w:hAnsiTheme="minorHAnsi" w:cstheme="minorBidi"/>
            <w:noProof/>
            <w:sz w:val="22"/>
            <w:szCs w:val="22"/>
            <w:lang w:eastAsia="en-NZ"/>
          </w:rPr>
          <w:tab/>
        </w:r>
        <w:r w:rsidRPr="000A73EF">
          <w:rPr>
            <w:rStyle w:val="Hyperlink"/>
            <w:noProof/>
          </w:rPr>
          <w:t>Reference year</w:t>
        </w:r>
        <w:r>
          <w:rPr>
            <w:noProof/>
            <w:webHidden/>
          </w:rPr>
          <w:tab/>
        </w:r>
        <w:r>
          <w:rPr>
            <w:noProof/>
            <w:webHidden/>
          </w:rPr>
          <w:fldChar w:fldCharType="begin"/>
        </w:r>
        <w:r>
          <w:rPr>
            <w:noProof/>
            <w:webHidden/>
          </w:rPr>
          <w:instrText xml:space="preserve"> PAGEREF _Toc110355509 \h </w:instrText>
        </w:r>
        <w:r>
          <w:rPr>
            <w:noProof/>
            <w:webHidden/>
          </w:rPr>
        </w:r>
        <w:r>
          <w:rPr>
            <w:noProof/>
            <w:webHidden/>
          </w:rPr>
          <w:fldChar w:fldCharType="separate"/>
        </w:r>
        <w:r w:rsidR="00892B2D">
          <w:rPr>
            <w:noProof/>
            <w:webHidden/>
          </w:rPr>
          <w:t>4</w:t>
        </w:r>
        <w:r>
          <w:rPr>
            <w:noProof/>
            <w:webHidden/>
          </w:rPr>
          <w:fldChar w:fldCharType="end"/>
        </w:r>
      </w:hyperlink>
    </w:p>
    <w:p w14:paraId="4E8F535A" w14:textId="257CCC9F" w:rsidR="00AB4194" w:rsidRDefault="00AB4194">
      <w:pPr>
        <w:pStyle w:val="TOC2"/>
        <w:rPr>
          <w:rFonts w:asciiTheme="minorHAnsi" w:eastAsiaTheme="minorEastAsia" w:hAnsiTheme="minorHAnsi" w:cstheme="minorBidi"/>
          <w:noProof/>
          <w:sz w:val="22"/>
          <w:szCs w:val="22"/>
          <w:lang w:eastAsia="en-NZ"/>
        </w:rPr>
      </w:pPr>
      <w:hyperlink w:anchor="_Toc110355510" w:history="1">
        <w:r w:rsidRPr="000A73EF">
          <w:rPr>
            <w:rStyle w:val="Hyperlink"/>
            <w:noProof/>
          </w:rPr>
          <w:t>2.4</w:t>
        </w:r>
        <w:r>
          <w:rPr>
            <w:rFonts w:asciiTheme="minorHAnsi" w:eastAsiaTheme="minorEastAsia" w:hAnsiTheme="minorHAnsi" w:cstheme="minorBidi"/>
            <w:noProof/>
            <w:sz w:val="22"/>
            <w:szCs w:val="22"/>
            <w:lang w:eastAsia="en-NZ"/>
          </w:rPr>
          <w:tab/>
        </w:r>
        <w:r w:rsidRPr="000A73EF">
          <w:rPr>
            <w:rStyle w:val="Hyperlink"/>
            <w:noProof/>
          </w:rPr>
          <w:t>Reporting</w:t>
        </w:r>
        <w:r>
          <w:rPr>
            <w:noProof/>
            <w:webHidden/>
          </w:rPr>
          <w:tab/>
        </w:r>
        <w:r>
          <w:rPr>
            <w:noProof/>
            <w:webHidden/>
          </w:rPr>
          <w:fldChar w:fldCharType="begin"/>
        </w:r>
        <w:r>
          <w:rPr>
            <w:noProof/>
            <w:webHidden/>
          </w:rPr>
          <w:instrText xml:space="preserve"> PAGEREF _Toc110355510 \h </w:instrText>
        </w:r>
        <w:r>
          <w:rPr>
            <w:noProof/>
            <w:webHidden/>
          </w:rPr>
        </w:r>
        <w:r>
          <w:rPr>
            <w:noProof/>
            <w:webHidden/>
          </w:rPr>
          <w:fldChar w:fldCharType="separate"/>
        </w:r>
        <w:r w:rsidR="00892B2D">
          <w:rPr>
            <w:noProof/>
            <w:webHidden/>
          </w:rPr>
          <w:t>4</w:t>
        </w:r>
        <w:r>
          <w:rPr>
            <w:noProof/>
            <w:webHidden/>
          </w:rPr>
          <w:fldChar w:fldCharType="end"/>
        </w:r>
      </w:hyperlink>
    </w:p>
    <w:p w14:paraId="6B7D84E0" w14:textId="2C950373" w:rsidR="00AB4194" w:rsidRDefault="00AB4194">
      <w:pPr>
        <w:pStyle w:val="TOC1"/>
        <w:rPr>
          <w:rFonts w:asciiTheme="minorHAnsi" w:eastAsiaTheme="minorEastAsia" w:hAnsiTheme="minorHAnsi" w:cstheme="minorBidi"/>
          <w:b w:val="0"/>
          <w:sz w:val="22"/>
          <w:szCs w:val="22"/>
          <w:lang w:val="en-NZ" w:eastAsia="en-NZ"/>
        </w:rPr>
      </w:pPr>
      <w:hyperlink w:anchor="_Toc110355511" w:history="1">
        <w:r w:rsidRPr="000A73EF">
          <w:rPr>
            <w:rStyle w:val="Hyperlink"/>
            <w:rFonts w:cs="Arial"/>
            <w:bCs/>
          </w:rPr>
          <w:t>3</w:t>
        </w:r>
        <w:r>
          <w:rPr>
            <w:rFonts w:asciiTheme="minorHAnsi" w:eastAsiaTheme="minorEastAsia" w:hAnsiTheme="minorHAnsi" w:cstheme="minorBidi"/>
            <w:b w:val="0"/>
            <w:sz w:val="22"/>
            <w:szCs w:val="22"/>
            <w:lang w:val="en-NZ" w:eastAsia="en-NZ"/>
          </w:rPr>
          <w:tab/>
        </w:r>
        <w:r w:rsidRPr="000A73EF">
          <w:rPr>
            <w:rStyle w:val="Hyperlink"/>
            <w:rFonts w:cs="Arial"/>
            <w:bCs/>
          </w:rPr>
          <w:t>Extraction and use of fuels/energy sources</w:t>
        </w:r>
        <w:r>
          <w:rPr>
            <w:webHidden/>
          </w:rPr>
          <w:tab/>
        </w:r>
        <w:r>
          <w:rPr>
            <w:webHidden/>
          </w:rPr>
          <w:fldChar w:fldCharType="begin"/>
        </w:r>
        <w:r>
          <w:rPr>
            <w:webHidden/>
          </w:rPr>
          <w:instrText xml:space="preserve"> PAGEREF _Toc110355511 \h </w:instrText>
        </w:r>
        <w:r>
          <w:rPr>
            <w:webHidden/>
          </w:rPr>
        </w:r>
        <w:r>
          <w:rPr>
            <w:webHidden/>
          </w:rPr>
          <w:fldChar w:fldCharType="separate"/>
        </w:r>
        <w:r w:rsidR="00892B2D">
          <w:rPr>
            <w:webHidden/>
          </w:rPr>
          <w:t>6</w:t>
        </w:r>
        <w:r>
          <w:rPr>
            <w:webHidden/>
          </w:rPr>
          <w:fldChar w:fldCharType="end"/>
        </w:r>
      </w:hyperlink>
    </w:p>
    <w:p w14:paraId="495F75C4" w14:textId="2B2D54AE" w:rsidR="00AB4194" w:rsidRDefault="00AB4194">
      <w:pPr>
        <w:pStyle w:val="TOC2"/>
        <w:rPr>
          <w:rFonts w:asciiTheme="minorHAnsi" w:eastAsiaTheme="minorEastAsia" w:hAnsiTheme="minorHAnsi" w:cstheme="minorBidi"/>
          <w:noProof/>
          <w:sz w:val="22"/>
          <w:szCs w:val="22"/>
          <w:lang w:eastAsia="en-NZ"/>
        </w:rPr>
      </w:pPr>
      <w:hyperlink w:anchor="_Toc110355512" w:history="1">
        <w:r w:rsidRPr="000A73EF">
          <w:rPr>
            <w:rStyle w:val="Hyperlink"/>
            <w:noProof/>
          </w:rPr>
          <w:t>3.1</w:t>
        </w:r>
        <w:r>
          <w:rPr>
            <w:rFonts w:asciiTheme="minorHAnsi" w:eastAsiaTheme="minorEastAsia" w:hAnsiTheme="minorHAnsi" w:cstheme="minorBidi"/>
            <w:noProof/>
            <w:sz w:val="22"/>
            <w:szCs w:val="22"/>
            <w:lang w:eastAsia="en-NZ"/>
          </w:rPr>
          <w:tab/>
        </w:r>
        <w:r w:rsidRPr="000A73EF">
          <w:rPr>
            <w:rStyle w:val="Hyperlink"/>
            <w:noProof/>
          </w:rPr>
          <w:t>Coal combustion in large power plants</w:t>
        </w:r>
        <w:r>
          <w:rPr>
            <w:noProof/>
            <w:webHidden/>
          </w:rPr>
          <w:tab/>
        </w:r>
        <w:r>
          <w:rPr>
            <w:noProof/>
            <w:webHidden/>
          </w:rPr>
          <w:fldChar w:fldCharType="begin"/>
        </w:r>
        <w:r>
          <w:rPr>
            <w:noProof/>
            <w:webHidden/>
          </w:rPr>
          <w:instrText xml:space="preserve"> PAGEREF _Toc110355512 \h </w:instrText>
        </w:r>
        <w:r>
          <w:rPr>
            <w:noProof/>
            <w:webHidden/>
          </w:rPr>
        </w:r>
        <w:r>
          <w:rPr>
            <w:noProof/>
            <w:webHidden/>
          </w:rPr>
          <w:fldChar w:fldCharType="separate"/>
        </w:r>
        <w:r w:rsidR="00892B2D">
          <w:rPr>
            <w:noProof/>
            <w:webHidden/>
          </w:rPr>
          <w:t>6</w:t>
        </w:r>
        <w:r>
          <w:rPr>
            <w:noProof/>
            <w:webHidden/>
          </w:rPr>
          <w:fldChar w:fldCharType="end"/>
        </w:r>
      </w:hyperlink>
    </w:p>
    <w:p w14:paraId="6E35CBB9" w14:textId="44B7828A" w:rsidR="00AB4194" w:rsidRDefault="00AB4194">
      <w:pPr>
        <w:pStyle w:val="TOC2"/>
        <w:rPr>
          <w:rFonts w:asciiTheme="minorHAnsi" w:eastAsiaTheme="minorEastAsia" w:hAnsiTheme="minorHAnsi" w:cstheme="minorBidi"/>
          <w:noProof/>
          <w:sz w:val="22"/>
          <w:szCs w:val="22"/>
          <w:lang w:eastAsia="en-NZ"/>
        </w:rPr>
      </w:pPr>
      <w:hyperlink w:anchor="_Toc110355513" w:history="1">
        <w:r w:rsidRPr="000A73EF">
          <w:rPr>
            <w:rStyle w:val="Hyperlink"/>
            <w:noProof/>
          </w:rPr>
          <w:t>3.2</w:t>
        </w:r>
        <w:r>
          <w:rPr>
            <w:rFonts w:asciiTheme="minorHAnsi" w:eastAsiaTheme="minorEastAsia" w:hAnsiTheme="minorHAnsi" w:cstheme="minorBidi"/>
            <w:noProof/>
            <w:sz w:val="22"/>
            <w:szCs w:val="22"/>
            <w:lang w:eastAsia="en-NZ"/>
          </w:rPr>
          <w:tab/>
        </w:r>
        <w:r w:rsidRPr="000A73EF">
          <w:rPr>
            <w:rStyle w:val="Hyperlink"/>
            <w:noProof/>
          </w:rPr>
          <w:t>Other coal use</w:t>
        </w:r>
        <w:r>
          <w:rPr>
            <w:noProof/>
            <w:webHidden/>
          </w:rPr>
          <w:tab/>
        </w:r>
        <w:r>
          <w:rPr>
            <w:noProof/>
            <w:webHidden/>
          </w:rPr>
          <w:fldChar w:fldCharType="begin"/>
        </w:r>
        <w:r>
          <w:rPr>
            <w:noProof/>
            <w:webHidden/>
          </w:rPr>
          <w:instrText xml:space="preserve"> PAGEREF _Toc110355513 \h </w:instrText>
        </w:r>
        <w:r>
          <w:rPr>
            <w:noProof/>
            <w:webHidden/>
          </w:rPr>
        </w:r>
        <w:r>
          <w:rPr>
            <w:noProof/>
            <w:webHidden/>
          </w:rPr>
          <w:fldChar w:fldCharType="separate"/>
        </w:r>
        <w:r w:rsidR="00892B2D">
          <w:rPr>
            <w:noProof/>
            <w:webHidden/>
          </w:rPr>
          <w:t>8</w:t>
        </w:r>
        <w:r>
          <w:rPr>
            <w:noProof/>
            <w:webHidden/>
          </w:rPr>
          <w:fldChar w:fldCharType="end"/>
        </w:r>
      </w:hyperlink>
    </w:p>
    <w:p w14:paraId="20D56B26" w14:textId="5C5F8BCD" w:rsidR="00AB4194" w:rsidRDefault="00AB4194">
      <w:pPr>
        <w:pStyle w:val="TOC2"/>
        <w:rPr>
          <w:rFonts w:asciiTheme="minorHAnsi" w:eastAsiaTheme="minorEastAsia" w:hAnsiTheme="minorHAnsi" w:cstheme="minorBidi"/>
          <w:noProof/>
          <w:sz w:val="22"/>
          <w:szCs w:val="22"/>
          <w:lang w:eastAsia="en-NZ"/>
        </w:rPr>
      </w:pPr>
      <w:hyperlink w:anchor="_Toc110355514" w:history="1">
        <w:r w:rsidRPr="000A73EF">
          <w:rPr>
            <w:rStyle w:val="Hyperlink"/>
            <w:noProof/>
          </w:rPr>
          <w:t>3.3</w:t>
        </w:r>
        <w:r>
          <w:rPr>
            <w:rFonts w:asciiTheme="minorHAnsi" w:eastAsiaTheme="minorEastAsia" w:hAnsiTheme="minorHAnsi" w:cstheme="minorBidi"/>
            <w:noProof/>
            <w:sz w:val="22"/>
            <w:szCs w:val="22"/>
            <w:lang w:eastAsia="en-NZ"/>
          </w:rPr>
          <w:tab/>
        </w:r>
        <w:r w:rsidRPr="000A73EF">
          <w:rPr>
            <w:rStyle w:val="Hyperlink"/>
            <w:noProof/>
          </w:rPr>
          <w:t>Mineral oils - extraction, refining and use</w:t>
        </w:r>
        <w:r>
          <w:rPr>
            <w:noProof/>
            <w:webHidden/>
          </w:rPr>
          <w:tab/>
        </w:r>
        <w:r>
          <w:rPr>
            <w:noProof/>
            <w:webHidden/>
          </w:rPr>
          <w:fldChar w:fldCharType="begin"/>
        </w:r>
        <w:r>
          <w:rPr>
            <w:noProof/>
            <w:webHidden/>
          </w:rPr>
          <w:instrText xml:space="preserve"> PAGEREF _Toc110355514 \h </w:instrText>
        </w:r>
        <w:r>
          <w:rPr>
            <w:noProof/>
            <w:webHidden/>
          </w:rPr>
        </w:r>
        <w:r>
          <w:rPr>
            <w:noProof/>
            <w:webHidden/>
          </w:rPr>
          <w:fldChar w:fldCharType="separate"/>
        </w:r>
        <w:r w:rsidR="00892B2D">
          <w:rPr>
            <w:noProof/>
            <w:webHidden/>
          </w:rPr>
          <w:t>11</w:t>
        </w:r>
        <w:r>
          <w:rPr>
            <w:noProof/>
            <w:webHidden/>
          </w:rPr>
          <w:fldChar w:fldCharType="end"/>
        </w:r>
      </w:hyperlink>
    </w:p>
    <w:p w14:paraId="367C5CDC" w14:textId="3A32D998" w:rsidR="00AB4194" w:rsidRDefault="00AB4194">
      <w:pPr>
        <w:pStyle w:val="TOC2"/>
        <w:rPr>
          <w:rFonts w:asciiTheme="minorHAnsi" w:eastAsiaTheme="minorEastAsia" w:hAnsiTheme="minorHAnsi" w:cstheme="minorBidi"/>
          <w:noProof/>
          <w:sz w:val="22"/>
          <w:szCs w:val="22"/>
          <w:lang w:eastAsia="en-NZ"/>
        </w:rPr>
      </w:pPr>
      <w:hyperlink w:anchor="_Toc110355515" w:history="1">
        <w:r w:rsidRPr="000A73EF">
          <w:rPr>
            <w:rStyle w:val="Hyperlink"/>
            <w:noProof/>
          </w:rPr>
          <w:t>3.4</w:t>
        </w:r>
        <w:r>
          <w:rPr>
            <w:rFonts w:asciiTheme="minorHAnsi" w:eastAsiaTheme="minorEastAsia" w:hAnsiTheme="minorHAnsi" w:cstheme="minorBidi"/>
            <w:noProof/>
            <w:sz w:val="22"/>
            <w:szCs w:val="22"/>
            <w:lang w:eastAsia="en-NZ"/>
          </w:rPr>
          <w:tab/>
        </w:r>
        <w:r w:rsidRPr="000A73EF">
          <w:rPr>
            <w:rStyle w:val="Hyperlink"/>
            <w:noProof/>
          </w:rPr>
          <w:t>Natural gas - extraction, refining and use</w:t>
        </w:r>
        <w:r>
          <w:rPr>
            <w:noProof/>
            <w:webHidden/>
          </w:rPr>
          <w:tab/>
        </w:r>
        <w:r>
          <w:rPr>
            <w:noProof/>
            <w:webHidden/>
          </w:rPr>
          <w:fldChar w:fldCharType="begin"/>
        </w:r>
        <w:r>
          <w:rPr>
            <w:noProof/>
            <w:webHidden/>
          </w:rPr>
          <w:instrText xml:space="preserve"> PAGEREF _Toc110355515 \h </w:instrText>
        </w:r>
        <w:r>
          <w:rPr>
            <w:noProof/>
            <w:webHidden/>
          </w:rPr>
        </w:r>
        <w:r>
          <w:rPr>
            <w:noProof/>
            <w:webHidden/>
          </w:rPr>
          <w:fldChar w:fldCharType="separate"/>
        </w:r>
        <w:r w:rsidR="00892B2D">
          <w:rPr>
            <w:noProof/>
            <w:webHidden/>
          </w:rPr>
          <w:t>13</w:t>
        </w:r>
        <w:r>
          <w:rPr>
            <w:noProof/>
            <w:webHidden/>
          </w:rPr>
          <w:fldChar w:fldCharType="end"/>
        </w:r>
      </w:hyperlink>
    </w:p>
    <w:p w14:paraId="5C032568" w14:textId="61E5C7B1" w:rsidR="00AB4194" w:rsidRDefault="00AB4194">
      <w:pPr>
        <w:pStyle w:val="TOC2"/>
        <w:rPr>
          <w:rFonts w:asciiTheme="minorHAnsi" w:eastAsiaTheme="minorEastAsia" w:hAnsiTheme="minorHAnsi" w:cstheme="minorBidi"/>
          <w:noProof/>
          <w:sz w:val="22"/>
          <w:szCs w:val="22"/>
          <w:lang w:eastAsia="en-NZ"/>
        </w:rPr>
      </w:pPr>
      <w:hyperlink w:anchor="_Toc110355516" w:history="1">
        <w:r w:rsidRPr="000A73EF">
          <w:rPr>
            <w:rStyle w:val="Hyperlink"/>
            <w:rFonts w:eastAsia="Calibri"/>
            <w:noProof/>
          </w:rPr>
          <w:t>3.5</w:t>
        </w:r>
        <w:r>
          <w:rPr>
            <w:rFonts w:asciiTheme="minorHAnsi" w:eastAsiaTheme="minorEastAsia" w:hAnsiTheme="minorHAnsi" w:cstheme="minorBidi"/>
            <w:noProof/>
            <w:sz w:val="22"/>
            <w:szCs w:val="22"/>
            <w:lang w:eastAsia="en-NZ"/>
          </w:rPr>
          <w:tab/>
        </w:r>
        <w:r w:rsidRPr="000A73EF">
          <w:rPr>
            <w:rStyle w:val="Hyperlink"/>
            <w:rFonts w:eastAsia="Calibri"/>
            <w:noProof/>
          </w:rPr>
          <w:t>Other fossil fuels – extraction and use</w:t>
        </w:r>
        <w:r>
          <w:rPr>
            <w:noProof/>
            <w:webHidden/>
          </w:rPr>
          <w:tab/>
        </w:r>
        <w:r>
          <w:rPr>
            <w:noProof/>
            <w:webHidden/>
          </w:rPr>
          <w:fldChar w:fldCharType="begin"/>
        </w:r>
        <w:r>
          <w:rPr>
            <w:noProof/>
            <w:webHidden/>
          </w:rPr>
          <w:instrText xml:space="preserve"> PAGEREF _Toc110355516 \h </w:instrText>
        </w:r>
        <w:r>
          <w:rPr>
            <w:noProof/>
            <w:webHidden/>
          </w:rPr>
        </w:r>
        <w:r>
          <w:rPr>
            <w:noProof/>
            <w:webHidden/>
          </w:rPr>
          <w:fldChar w:fldCharType="separate"/>
        </w:r>
        <w:r w:rsidR="00892B2D">
          <w:rPr>
            <w:noProof/>
            <w:webHidden/>
          </w:rPr>
          <w:t>14</w:t>
        </w:r>
        <w:r>
          <w:rPr>
            <w:noProof/>
            <w:webHidden/>
          </w:rPr>
          <w:fldChar w:fldCharType="end"/>
        </w:r>
      </w:hyperlink>
    </w:p>
    <w:p w14:paraId="7FBEFD8A" w14:textId="4D3EBB5E" w:rsidR="00AB4194" w:rsidRDefault="00AB4194">
      <w:pPr>
        <w:pStyle w:val="TOC2"/>
        <w:rPr>
          <w:rFonts w:asciiTheme="minorHAnsi" w:eastAsiaTheme="minorEastAsia" w:hAnsiTheme="minorHAnsi" w:cstheme="minorBidi"/>
          <w:noProof/>
          <w:sz w:val="22"/>
          <w:szCs w:val="22"/>
          <w:lang w:eastAsia="en-NZ"/>
        </w:rPr>
      </w:pPr>
      <w:hyperlink w:anchor="_Toc110355517" w:history="1">
        <w:r w:rsidRPr="000A73EF">
          <w:rPr>
            <w:rStyle w:val="Hyperlink"/>
            <w:rFonts w:eastAsia="Calibri"/>
            <w:noProof/>
          </w:rPr>
          <w:t>3.6</w:t>
        </w:r>
        <w:r>
          <w:rPr>
            <w:rFonts w:asciiTheme="minorHAnsi" w:eastAsiaTheme="minorEastAsia" w:hAnsiTheme="minorHAnsi" w:cstheme="minorBidi"/>
            <w:noProof/>
            <w:sz w:val="22"/>
            <w:szCs w:val="22"/>
            <w:lang w:eastAsia="en-NZ"/>
          </w:rPr>
          <w:tab/>
        </w:r>
        <w:r w:rsidRPr="000A73EF">
          <w:rPr>
            <w:rStyle w:val="Hyperlink"/>
            <w:rFonts w:eastAsia="Calibri"/>
            <w:noProof/>
          </w:rPr>
          <w:t>Biomass-fired power and heat production</w:t>
        </w:r>
        <w:r>
          <w:rPr>
            <w:noProof/>
            <w:webHidden/>
          </w:rPr>
          <w:tab/>
        </w:r>
        <w:r>
          <w:rPr>
            <w:noProof/>
            <w:webHidden/>
          </w:rPr>
          <w:fldChar w:fldCharType="begin"/>
        </w:r>
        <w:r>
          <w:rPr>
            <w:noProof/>
            <w:webHidden/>
          </w:rPr>
          <w:instrText xml:space="preserve"> PAGEREF _Toc110355517 \h </w:instrText>
        </w:r>
        <w:r>
          <w:rPr>
            <w:noProof/>
            <w:webHidden/>
          </w:rPr>
        </w:r>
        <w:r>
          <w:rPr>
            <w:noProof/>
            <w:webHidden/>
          </w:rPr>
          <w:fldChar w:fldCharType="separate"/>
        </w:r>
        <w:r w:rsidR="00892B2D">
          <w:rPr>
            <w:noProof/>
            <w:webHidden/>
          </w:rPr>
          <w:t>14</w:t>
        </w:r>
        <w:r>
          <w:rPr>
            <w:noProof/>
            <w:webHidden/>
          </w:rPr>
          <w:fldChar w:fldCharType="end"/>
        </w:r>
      </w:hyperlink>
    </w:p>
    <w:p w14:paraId="5D119383" w14:textId="6F329CAA" w:rsidR="00AB4194" w:rsidRDefault="00AB4194">
      <w:pPr>
        <w:pStyle w:val="TOC2"/>
        <w:rPr>
          <w:rFonts w:asciiTheme="minorHAnsi" w:eastAsiaTheme="minorEastAsia" w:hAnsiTheme="minorHAnsi" w:cstheme="minorBidi"/>
          <w:noProof/>
          <w:sz w:val="22"/>
          <w:szCs w:val="22"/>
          <w:lang w:eastAsia="en-NZ"/>
        </w:rPr>
      </w:pPr>
      <w:hyperlink w:anchor="_Toc110355518" w:history="1">
        <w:r w:rsidRPr="000A73EF">
          <w:rPr>
            <w:rStyle w:val="Hyperlink"/>
            <w:rFonts w:eastAsia="Calibri"/>
            <w:noProof/>
          </w:rPr>
          <w:t>3.7</w:t>
        </w:r>
        <w:r>
          <w:rPr>
            <w:rFonts w:asciiTheme="minorHAnsi" w:eastAsiaTheme="minorEastAsia" w:hAnsiTheme="minorHAnsi" w:cstheme="minorBidi"/>
            <w:noProof/>
            <w:sz w:val="22"/>
            <w:szCs w:val="22"/>
            <w:lang w:eastAsia="en-NZ"/>
          </w:rPr>
          <w:tab/>
        </w:r>
        <w:r w:rsidRPr="000A73EF">
          <w:rPr>
            <w:rStyle w:val="Hyperlink"/>
            <w:rFonts w:eastAsia="Calibri"/>
            <w:noProof/>
          </w:rPr>
          <w:t>Geothermal power production and use</w:t>
        </w:r>
        <w:r>
          <w:rPr>
            <w:noProof/>
            <w:webHidden/>
          </w:rPr>
          <w:tab/>
        </w:r>
        <w:r>
          <w:rPr>
            <w:noProof/>
            <w:webHidden/>
          </w:rPr>
          <w:fldChar w:fldCharType="begin"/>
        </w:r>
        <w:r>
          <w:rPr>
            <w:noProof/>
            <w:webHidden/>
          </w:rPr>
          <w:instrText xml:space="preserve"> PAGEREF _Toc110355518 \h </w:instrText>
        </w:r>
        <w:r>
          <w:rPr>
            <w:noProof/>
            <w:webHidden/>
          </w:rPr>
        </w:r>
        <w:r>
          <w:rPr>
            <w:noProof/>
            <w:webHidden/>
          </w:rPr>
          <w:fldChar w:fldCharType="separate"/>
        </w:r>
        <w:r w:rsidR="00892B2D">
          <w:rPr>
            <w:noProof/>
            <w:webHidden/>
          </w:rPr>
          <w:t>15</w:t>
        </w:r>
        <w:r>
          <w:rPr>
            <w:noProof/>
            <w:webHidden/>
          </w:rPr>
          <w:fldChar w:fldCharType="end"/>
        </w:r>
      </w:hyperlink>
    </w:p>
    <w:p w14:paraId="0654F683" w14:textId="3D802652" w:rsidR="00AB4194" w:rsidRDefault="00AB4194">
      <w:pPr>
        <w:pStyle w:val="TOC2"/>
        <w:rPr>
          <w:rFonts w:asciiTheme="minorHAnsi" w:eastAsiaTheme="minorEastAsia" w:hAnsiTheme="minorHAnsi" w:cstheme="minorBidi"/>
          <w:noProof/>
          <w:sz w:val="22"/>
          <w:szCs w:val="22"/>
          <w:lang w:eastAsia="en-NZ"/>
        </w:rPr>
      </w:pPr>
      <w:hyperlink w:anchor="_Toc110355519" w:history="1">
        <w:r w:rsidRPr="000A73EF">
          <w:rPr>
            <w:rStyle w:val="Hyperlink"/>
            <w:rFonts w:eastAsia="Calibri"/>
            <w:noProof/>
          </w:rPr>
          <w:t>3.8</w:t>
        </w:r>
        <w:r>
          <w:rPr>
            <w:rFonts w:asciiTheme="minorHAnsi" w:eastAsiaTheme="minorEastAsia" w:hAnsiTheme="minorHAnsi" w:cstheme="minorBidi"/>
            <w:noProof/>
            <w:sz w:val="22"/>
            <w:szCs w:val="22"/>
            <w:lang w:eastAsia="en-NZ"/>
          </w:rPr>
          <w:tab/>
        </w:r>
        <w:r w:rsidRPr="000A73EF">
          <w:rPr>
            <w:rStyle w:val="Hyperlink"/>
            <w:rFonts w:eastAsia="Calibri"/>
            <w:noProof/>
          </w:rPr>
          <w:t>Summary for this category</w:t>
        </w:r>
        <w:r>
          <w:rPr>
            <w:noProof/>
            <w:webHidden/>
          </w:rPr>
          <w:tab/>
        </w:r>
        <w:r>
          <w:rPr>
            <w:noProof/>
            <w:webHidden/>
          </w:rPr>
          <w:fldChar w:fldCharType="begin"/>
        </w:r>
        <w:r>
          <w:rPr>
            <w:noProof/>
            <w:webHidden/>
          </w:rPr>
          <w:instrText xml:space="preserve"> PAGEREF _Toc110355519 \h </w:instrText>
        </w:r>
        <w:r>
          <w:rPr>
            <w:noProof/>
            <w:webHidden/>
          </w:rPr>
        </w:r>
        <w:r>
          <w:rPr>
            <w:noProof/>
            <w:webHidden/>
          </w:rPr>
          <w:fldChar w:fldCharType="separate"/>
        </w:r>
        <w:r w:rsidR="00892B2D">
          <w:rPr>
            <w:noProof/>
            <w:webHidden/>
          </w:rPr>
          <w:t>17</w:t>
        </w:r>
        <w:r>
          <w:rPr>
            <w:noProof/>
            <w:webHidden/>
          </w:rPr>
          <w:fldChar w:fldCharType="end"/>
        </w:r>
      </w:hyperlink>
    </w:p>
    <w:p w14:paraId="0481C4FA" w14:textId="7004898F" w:rsidR="00AB4194" w:rsidRDefault="00AB4194">
      <w:pPr>
        <w:pStyle w:val="TOC1"/>
        <w:rPr>
          <w:rFonts w:asciiTheme="minorHAnsi" w:eastAsiaTheme="minorEastAsia" w:hAnsiTheme="minorHAnsi" w:cstheme="minorBidi"/>
          <w:b w:val="0"/>
          <w:sz w:val="22"/>
          <w:szCs w:val="22"/>
          <w:lang w:val="en-NZ" w:eastAsia="en-NZ"/>
        </w:rPr>
      </w:pPr>
      <w:hyperlink w:anchor="_Toc110355520" w:history="1">
        <w:r w:rsidRPr="000A73EF">
          <w:rPr>
            <w:rStyle w:val="Hyperlink"/>
          </w:rPr>
          <w:t>4</w:t>
        </w:r>
        <w:r>
          <w:rPr>
            <w:rFonts w:asciiTheme="minorHAnsi" w:eastAsiaTheme="minorEastAsia" w:hAnsiTheme="minorHAnsi" w:cstheme="minorBidi"/>
            <w:b w:val="0"/>
            <w:sz w:val="22"/>
            <w:szCs w:val="22"/>
            <w:lang w:val="en-NZ" w:eastAsia="en-NZ"/>
          </w:rPr>
          <w:tab/>
        </w:r>
        <w:r w:rsidRPr="000A73EF">
          <w:rPr>
            <w:rStyle w:val="Hyperlink"/>
          </w:rPr>
          <w:t>Primary (virgin) metal production</w:t>
        </w:r>
        <w:r>
          <w:rPr>
            <w:webHidden/>
          </w:rPr>
          <w:tab/>
        </w:r>
        <w:r>
          <w:rPr>
            <w:webHidden/>
          </w:rPr>
          <w:fldChar w:fldCharType="begin"/>
        </w:r>
        <w:r>
          <w:rPr>
            <w:webHidden/>
          </w:rPr>
          <w:instrText xml:space="preserve"> PAGEREF _Toc110355520 \h </w:instrText>
        </w:r>
        <w:r>
          <w:rPr>
            <w:webHidden/>
          </w:rPr>
        </w:r>
        <w:r>
          <w:rPr>
            <w:webHidden/>
          </w:rPr>
          <w:fldChar w:fldCharType="separate"/>
        </w:r>
        <w:r w:rsidR="00892B2D">
          <w:rPr>
            <w:webHidden/>
          </w:rPr>
          <w:t>18</w:t>
        </w:r>
        <w:r>
          <w:rPr>
            <w:webHidden/>
          </w:rPr>
          <w:fldChar w:fldCharType="end"/>
        </w:r>
      </w:hyperlink>
    </w:p>
    <w:p w14:paraId="016E65F1" w14:textId="16E7ED8E" w:rsidR="00AB4194" w:rsidRDefault="00AB4194">
      <w:pPr>
        <w:pStyle w:val="TOC2"/>
        <w:rPr>
          <w:rFonts w:asciiTheme="minorHAnsi" w:eastAsiaTheme="minorEastAsia" w:hAnsiTheme="minorHAnsi" w:cstheme="minorBidi"/>
          <w:noProof/>
          <w:sz w:val="22"/>
          <w:szCs w:val="22"/>
          <w:lang w:eastAsia="en-NZ"/>
        </w:rPr>
      </w:pPr>
      <w:hyperlink w:anchor="_Toc110355521" w:history="1">
        <w:r w:rsidRPr="000A73EF">
          <w:rPr>
            <w:rStyle w:val="Hyperlink"/>
            <w:noProof/>
          </w:rPr>
          <w:t>4.1</w:t>
        </w:r>
        <w:r>
          <w:rPr>
            <w:rFonts w:asciiTheme="minorHAnsi" w:eastAsiaTheme="minorEastAsia" w:hAnsiTheme="minorHAnsi" w:cstheme="minorBidi"/>
            <w:noProof/>
            <w:sz w:val="22"/>
            <w:szCs w:val="22"/>
            <w:lang w:eastAsia="en-NZ"/>
          </w:rPr>
          <w:tab/>
        </w:r>
        <w:r w:rsidRPr="000A73EF">
          <w:rPr>
            <w:rStyle w:val="Hyperlink"/>
            <w:noProof/>
          </w:rPr>
          <w:t>Primary metals not produced in New Zealand</w:t>
        </w:r>
        <w:r>
          <w:rPr>
            <w:noProof/>
            <w:webHidden/>
          </w:rPr>
          <w:tab/>
        </w:r>
        <w:r>
          <w:rPr>
            <w:noProof/>
            <w:webHidden/>
          </w:rPr>
          <w:fldChar w:fldCharType="begin"/>
        </w:r>
        <w:r>
          <w:rPr>
            <w:noProof/>
            <w:webHidden/>
          </w:rPr>
          <w:instrText xml:space="preserve"> PAGEREF _Toc110355521 \h </w:instrText>
        </w:r>
        <w:r>
          <w:rPr>
            <w:noProof/>
            <w:webHidden/>
          </w:rPr>
        </w:r>
        <w:r>
          <w:rPr>
            <w:noProof/>
            <w:webHidden/>
          </w:rPr>
          <w:fldChar w:fldCharType="separate"/>
        </w:r>
        <w:r w:rsidR="00892B2D">
          <w:rPr>
            <w:noProof/>
            <w:webHidden/>
          </w:rPr>
          <w:t>18</w:t>
        </w:r>
        <w:r>
          <w:rPr>
            <w:noProof/>
            <w:webHidden/>
          </w:rPr>
          <w:fldChar w:fldCharType="end"/>
        </w:r>
      </w:hyperlink>
    </w:p>
    <w:p w14:paraId="03498E18" w14:textId="0CE92266" w:rsidR="00AB4194" w:rsidRDefault="00AB4194">
      <w:pPr>
        <w:pStyle w:val="TOC2"/>
        <w:rPr>
          <w:rFonts w:asciiTheme="minorHAnsi" w:eastAsiaTheme="minorEastAsia" w:hAnsiTheme="minorHAnsi" w:cstheme="minorBidi"/>
          <w:noProof/>
          <w:sz w:val="22"/>
          <w:szCs w:val="22"/>
          <w:lang w:eastAsia="en-NZ"/>
        </w:rPr>
      </w:pPr>
      <w:hyperlink w:anchor="_Toc110355522" w:history="1">
        <w:r w:rsidRPr="000A73EF">
          <w:rPr>
            <w:rStyle w:val="Hyperlink"/>
            <w:noProof/>
          </w:rPr>
          <w:t>4.2</w:t>
        </w:r>
        <w:r>
          <w:rPr>
            <w:rFonts w:asciiTheme="minorHAnsi" w:eastAsiaTheme="minorEastAsia" w:hAnsiTheme="minorHAnsi" w:cstheme="minorBidi"/>
            <w:noProof/>
            <w:sz w:val="22"/>
            <w:szCs w:val="22"/>
            <w:lang w:eastAsia="en-NZ"/>
          </w:rPr>
          <w:tab/>
        </w:r>
        <w:r w:rsidRPr="000A73EF">
          <w:rPr>
            <w:rStyle w:val="Hyperlink"/>
            <w:noProof/>
          </w:rPr>
          <w:t>Gold and silver, using mercury amalgamation</w:t>
        </w:r>
        <w:r>
          <w:rPr>
            <w:noProof/>
            <w:webHidden/>
          </w:rPr>
          <w:tab/>
        </w:r>
        <w:r>
          <w:rPr>
            <w:noProof/>
            <w:webHidden/>
          </w:rPr>
          <w:fldChar w:fldCharType="begin"/>
        </w:r>
        <w:r>
          <w:rPr>
            <w:noProof/>
            <w:webHidden/>
          </w:rPr>
          <w:instrText xml:space="preserve"> PAGEREF _Toc110355522 \h </w:instrText>
        </w:r>
        <w:r>
          <w:rPr>
            <w:noProof/>
            <w:webHidden/>
          </w:rPr>
        </w:r>
        <w:r>
          <w:rPr>
            <w:noProof/>
            <w:webHidden/>
          </w:rPr>
          <w:fldChar w:fldCharType="separate"/>
        </w:r>
        <w:r w:rsidR="00892B2D">
          <w:rPr>
            <w:noProof/>
            <w:webHidden/>
          </w:rPr>
          <w:t>18</w:t>
        </w:r>
        <w:r>
          <w:rPr>
            <w:noProof/>
            <w:webHidden/>
          </w:rPr>
          <w:fldChar w:fldCharType="end"/>
        </w:r>
      </w:hyperlink>
    </w:p>
    <w:p w14:paraId="37DCE365" w14:textId="3BB3E740" w:rsidR="00AB4194" w:rsidRDefault="00AB4194">
      <w:pPr>
        <w:pStyle w:val="TOC2"/>
        <w:rPr>
          <w:rFonts w:asciiTheme="minorHAnsi" w:eastAsiaTheme="minorEastAsia" w:hAnsiTheme="minorHAnsi" w:cstheme="minorBidi"/>
          <w:noProof/>
          <w:sz w:val="22"/>
          <w:szCs w:val="22"/>
          <w:lang w:eastAsia="en-NZ"/>
        </w:rPr>
      </w:pPr>
      <w:hyperlink w:anchor="_Toc110355523" w:history="1">
        <w:r w:rsidRPr="000A73EF">
          <w:rPr>
            <w:rStyle w:val="Hyperlink"/>
            <w:noProof/>
          </w:rPr>
          <w:t>4.3</w:t>
        </w:r>
        <w:r>
          <w:rPr>
            <w:rFonts w:asciiTheme="minorHAnsi" w:eastAsiaTheme="minorEastAsia" w:hAnsiTheme="minorHAnsi" w:cstheme="minorBidi"/>
            <w:noProof/>
            <w:sz w:val="22"/>
            <w:szCs w:val="22"/>
            <w:lang w:eastAsia="en-NZ"/>
          </w:rPr>
          <w:tab/>
        </w:r>
        <w:r w:rsidRPr="000A73EF">
          <w:rPr>
            <w:rStyle w:val="Hyperlink"/>
            <w:noProof/>
          </w:rPr>
          <w:t>Gold and silver, not using mercury amalgamation</w:t>
        </w:r>
        <w:r>
          <w:rPr>
            <w:noProof/>
            <w:webHidden/>
          </w:rPr>
          <w:tab/>
        </w:r>
        <w:r>
          <w:rPr>
            <w:noProof/>
            <w:webHidden/>
          </w:rPr>
          <w:fldChar w:fldCharType="begin"/>
        </w:r>
        <w:r>
          <w:rPr>
            <w:noProof/>
            <w:webHidden/>
          </w:rPr>
          <w:instrText xml:space="preserve"> PAGEREF _Toc110355523 \h </w:instrText>
        </w:r>
        <w:r>
          <w:rPr>
            <w:noProof/>
            <w:webHidden/>
          </w:rPr>
        </w:r>
        <w:r>
          <w:rPr>
            <w:noProof/>
            <w:webHidden/>
          </w:rPr>
          <w:fldChar w:fldCharType="separate"/>
        </w:r>
        <w:r w:rsidR="00892B2D">
          <w:rPr>
            <w:noProof/>
            <w:webHidden/>
          </w:rPr>
          <w:t>19</w:t>
        </w:r>
        <w:r>
          <w:rPr>
            <w:noProof/>
            <w:webHidden/>
          </w:rPr>
          <w:fldChar w:fldCharType="end"/>
        </w:r>
      </w:hyperlink>
    </w:p>
    <w:p w14:paraId="300C7344" w14:textId="50C5FBAA" w:rsidR="00AB4194" w:rsidRDefault="00AB4194">
      <w:pPr>
        <w:pStyle w:val="TOC2"/>
        <w:rPr>
          <w:rFonts w:asciiTheme="minorHAnsi" w:eastAsiaTheme="minorEastAsia" w:hAnsiTheme="minorHAnsi" w:cstheme="minorBidi"/>
          <w:noProof/>
          <w:sz w:val="22"/>
          <w:szCs w:val="22"/>
          <w:lang w:eastAsia="en-NZ"/>
        </w:rPr>
      </w:pPr>
      <w:hyperlink w:anchor="_Toc110355524" w:history="1">
        <w:r w:rsidRPr="000A73EF">
          <w:rPr>
            <w:rStyle w:val="Hyperlink"/>
            <w:noProof/>
          </w:rPr>
          <w:t>4.4</w:t>
        </w:r>
        <w:r>
          <w:rPr>
            <w:rFonts w:asciiTheme="minorHAnsi" w:eastAsiaTheme="minorEastAsia" w:hAnsiTheme="minorHAnsi" w:cstheme="minorBidi"/>
            <w:noProof/>
            <w:sz w:val="22"/>
            <w:szCs w:val="22"/>
            <w:lang w:eastAsia="en-NZ"/>
          </w:rPr>
          <w:tab/>
        </w:r>
        <w:r w:rsidRPr="000A73EF">
          <w:rPr>
            <w:rStyle w:val="Hyperlink"/>
            <w:noProof/>
          </w:rPr>
          <w:t>Aluminium production</w:t>
        </w:r>
        <w:r>
          <w:rPr>
            <w:noProof/>
            <w:webHidden/>
          </w:rPr>
          <w:tab/>
        </w:r>
        <w:r>
          <w:rPr>
            <w:noProof/>
            <w:webHidden/>
          </w:rPr>
          <w:fldChar w:fldCharType="begin"/>
        </w:r>
        <w:r>
          <w:rPr>
            <w:noProof/>
            <w:webHidden/>
          </w:rPr>
          <w:instrText xml:space="preserve"> PAGEREF _Toc110355524 \h </w:instrText>
        </w:r>
        <w:r>
          <w:rPr>
            <w:noProof/>
            <w:webHidden/>
          </w:rPr>
        </w:r>
        <w:r>
          <w:rPr>
            <w:noProof/>
            <w:webHidden/>
          </w:rPr>
          <w:fldChar w:fldCharType="separate"/>
        </w:r>
        <w:r w:rsidR="00892B2D">
          <w:rPr>
            <w:noProof/>
            <w:webHidden/>
          </w:rPr>
          <w:t>21</w:t>
        </w:r>
        <w:r>
          <w:rPr>
            <w:noProof/>
            <w:webHidden/>
          </w:rPr>
          <w:fldChar w:fldCharType="end"/>
        </w:r>
      </w:hyperlink>
    </w:p>
    <w:p w14:paraId="68AED390" w14:textId="06E8CDCE" w:rsidR="00AB4194" w:rsidRDefault="00AB4194">
      <w:pPr>
        <w:pStyle w:val="TOC2"/>
        <w:rPr>
          <w:rFonts w:asciiTheme="minorHAnsi" w:eastAsiaTheme="minorEastAsia" w:hAnsiTheme="minorHAnsi" w:cstheme="minorBidi"/>
          <w:noProof/>
          <w:sz w:val="22"/>
          <w:szCs w:val="22"/>
          <w:lang w:eastAsia="en-NZ"/>
        </w:rPr>
      </w:pPr>
      <w:hyperlink w:anchor="_Toc110355525" w:history="1">
        <w:r w:rsidRPr="000A73EF">
          <w:rPr>
            <w:rStyle w:val="Hyperlink"/>
            <w:noProof/>
          </w:rPr>
          <w:t>4.5</w:t>
        </w:r>
        <w:r>
          <w:rPr>
            <w:rFonts w:asciiTheme="minorHAnsi" w:eastAsiaTheme="minorEastAsia" w:hAnsiTheme="minorHAnsi" w:cstheme="minorBidi"/>
            <w:noProof/>
            <w:sz w:val="22"/>
            <w:szCs w:val="22"/>
            <w:lang w:eastAsia="en-NZ"/>
          </w:rPr>
          <w:tab/>
        </w:r>
        <w:r w:rsidRPr="000A73EF">
          <w:rPr>
            <w:rStyle w:val="Hyperlink"/>
            <w:noProof/>
          </w:rPr>
          <w:t>Ferrous metal production (iron and steel)</w:t>
        </w:r>
        <w:r>
          <w:rPr>
            <w:noProof/>
            <w:webHidden/>
          </w:rPr>
          <w:tab/>
        </w:r>
        <w:r>
          <w:rPr>
            <w:noProof/>
            <w:webHidden/>
          </w:rPr>
          <w:fldChar w:fldCharType="begin"/>
        </w:r>
        <w:r>
          <w:rPr>
            <w:noProof/>
            <w:webHidden/>
          </w:rPr>
          <w:instrText xml:space="preserve"> PAGEREF _Toc110355525 \h </w:instrText>
        </w:r>
        <w:r>
          <w:rPr>
            <w:noProof/>
            <w:webHidden/>
          </w:rPr>
        </w:r>
        <w:r>
          <w:rPr>
            <w:noProof/>
            <w:webHidden/>
          </w:rPr>
          <w:fldChar w:fldCharType="separate"/>
        </w:r>
        <w:r w:rsidR="00892B2D">
          <w:rPr>
            <w:noProof/>
            <w:webHidden/>
          </w:rPr>
          <w:t>21</w:t>
        </w:r>
        <w:r>
          <w:rPr>
            <w:noProof/>
            <w:webHidden/>
          </w:rPr>
          <w:fldChar w:fldCharType="end"/>
        </w:r>
      </w:hyperlink>
    </w:p>
    <w:p w14:paraId="15F72FAE" w14:textId="301F94B8" w:rsidR="00AB4194" w:rsidRDefault="00AB4194">
      <w:pPr>
        <w:pStyle w:val="TOC2"/>
        <w:rPr>
          <w:rFonts w:asciiTheme="minorHAnsi" w:eastAsiaTheme="minorEastAsia" w:hAnsiTheme="minorHAnsi" w:cstheme="minorBidi"/>
          <w:noProof/>
          <w:sz w:val="22"/>
          <w:szCs w:val="22"/>
          <w:lang w:eastAsia="en-NZ"/>
        </w:rPr>
      </w:pPr>
      <w:hyperlink w:anchor="_Toc110355526" w:history="1">
        <w:r w:rsidRPr="000A73EF">
          <w:rPr>
            <w:rStyle w:val="Hyperlink"/>
            <w:rFonts w:eastAsia="Calibri"/>
            <w:noProof/>
          </w:rPr>
          <w:t>4.6</w:t>
        </w:r>
        <w:r>
          <w:rPr>
            <w:rFonts w:asciiTheme="minorHAnsi" w:eastAsiaTheme="minorEastAsia" w:hAnsiTheme="minorHAnsi" w:cstheme="minorBidi"/>
            <w:noProof/>
            <w:sz w:val="22"/>
            <w:szCs w:val="22"/>
            <w:lang w:eastAsia="en-NZ"/>
          </w:rPr>
          <w:tab/>
        </w:r>
        <w:r w:rsidRPr="000A73EF">
          <w:rPr>
            <w:rStyle w:val="Hyperlink"/>
            <w:rFonts w:eastAsia="Calibri"/>
            <w:noProof/>
          </w:rPr>
          <w:t>Summary for this category</w:t>
        </w:r>
        <w:r>
          <w:rPr>
            <w:noProof/>
            <w:webHidden/>
          </w:rPr>
          <w:tab/>
        </w:r>
        <w:r>
          <w:rPr>
            <w:noProof/>
            <w:webHidden/>
          </w:rPr>
          <w:fldChar w:fldCharType="begin"/>
        </w:r>
        <w:r>
          <w:rPr>
            <w:noProof/>
            <w:webHidden/>
          </w:rPr>
          <w:instrText xml:space="preserve"> PAGEREF _Toc110355526 \h </w:instrText>
        </w:r>
        <w:r>
          <w:rPr>
            <w:noProof/>
            <w:webHidden/>
          </w:rPr>
        </w:r>
        <w:r>
          <w:rPr>
            <w:noProof/>
            <w:webHidden/>
          </w:rPr>
          <w:fldChar w:fldCharType="separate"/>
        </w:r>
        <w:r w:rsidR="00892B2D">
          <w:rPr>
            <w:noProof/>
            <w:webHidden/>
          </w:rPr>
          <w:t>23</w:t>
        </w:r>
        <w:r>
          <w:rPr>
            <w:noProof/>
            <w:webHidden/>
          </w:rPr>
          <w:fldChar w:fldCharType="end"/>
        </w:r>
      </w:hyperlink>
    </w:p>
    <w:p w14:paraId="46ECDD0F" w14:textId="7CB70936" w:rsidR="00AB4194" w:rsidRDefault="00AB4194">
      <w:pPr>
        <w:pStyle w:val="TOC1"/>
        <w:rPr>
          <w:rFonts w:asciiTheme="minorHAnsi" w:eastAsiaTheme="minorEastAsia" w:hAnsiTheme="minorHAnsi" w:cstheme="minorBidi"/>
          <w:b w:val="0"/>
          <w:sz w:val="22"/>
          <w:szCs w:val="22"/>
          <w:lang w:val="en-NZ" w:eastAsia="en-NZ"/>
        </w:rPr>
      </w:pPr>
      <w:hyperlink w:anchor="_Toc110355527" w:history="1">
        <w:r w:rsidRPr="000A73EF">
          <w:rPr>
            <w:rStyle w:val="Hyperlink"/>
          </w:rPr>
          <w:t>5</w:t>
        </w:r>
        <w:r>
          <w:rPr>
            <w:rFonts w:asciiTheme="minorHAnsi" w:eastAsiaTheme="minorEastAsia" w:hAnsiTheme="minorHAnsi" w:cstheme="minorBidi"/>
            <w:b w:val="0"/>
            <w:sz w:val="22"/>
            <w:szCs w:val="22"/>
            <w:lang w:val="en-NZ" w:eastAsia="en-NZ"/>
          </w:rPr>
          <w:tab/>
        </w:r>
        <w:r w:rsidRPr="000A73EF">
          <w:rPr>
            <w:rStyle w:val="Hyperlink"/>
          </w:rPr>
          <w:t>Production of minerals and materials with mercury impurities</w:t>
        </w:r>
        <w:r>
          <w:rPr>
            <w:webHidden/>
          </w:rPr>
          <w:tab/>
        </w:r>
        <w:r>
          <w:rPr>
            <w:webHidden/>
          </w:rPr>
          <w:fldChar w:fldCharType="begin"/>
        </w:r>
        <w:r>
          <w:rPr>
            <w:webHidden/>
          </w:rPr>
          <w:instrText xml:space="preserve"> PAGEREF _Toc110355527 \h </w:instrText>
        </w:r>
        <w:r>
          <w:rPr>
            <w:webHidden/>
          </w:rPr>
        </w:r>
        <w:r>
          <w:rPr>
            <w:webHidden/>
          </w:rPr>
          <w:fldChar w:fldCharType="separate"/>
        </w:r>
        <w:r w:rsidR="00892B2D">
          <w:rPr>
            <w:webHidden/>
          </w:rPr>
          <w:t>24</w:t>
        </w:r>
        <w:r>
          <w:rPr>
            <w:webHidden/>
          </w:rPr>
          <w:fldChar w:fldCharType="end"/>
        </w:r>
      </w:hyperlink>
    </w:p>
    <w:p w14:paraId="07E960CB" w14:textId="553F1131" w:rsidR="00AB4194" w:rsidRDefault="00AB4194">
      <w:pPr>
        <w:pStyle w:val="TOC2"/>
        <w:rPr>
          <w:rFonts w:asciiTheme="minorHAnsi" w:eastAsiaTheme="minorEastAsia" w:hAnsiTheme="minorHAnsi" w:cstheme="minorBidi"/>
          <w:noProof/>
          <w:sz w:val="22"/>
          <w:szCs w:val="22"/>
          <w:lang w:eastAsia="en-NZ"/>
        </w:rPr>
      </w:pPr>
      <w:hyperlink w:anchor="_Toc110355528" w:history="1">
        <w:r w:rsidRPr="000A73EF">
          <w:rPr>
            <w:rStyle w:val="Hyperlink"/>
            <w:noProof/>
          </w:rPr>
          <w:t>5.1</w:t>
        </w:r>
        <w:r>
          <w:rPr>
            <w:rFonts w:asciiTheme="minorHAnsi" w:eastAsiaTheme="minorEastAsia" w:hAnsiTheme="minorHAnsi" w:cstheme="minorBidi"/>
            <w:noProof/>
            <w:sz w:val="22"/>
            <w:szCs w:val="22"/>
            <w:lang w:eastAsia="en-NZ"/>
          </w:rPr>
          <w:tab/>
        </w:r>
        <w:r w:rsidRPr="000A73EF">
          <w:rPr>
            <w:rStyle w:val="Hyperlink"/>
            <w:noProof/>
          </w:rPr>
          <w:t>Cement production</w:t>
        </w:r>
        <w:r>
          <w:rPr>
            <w:noProof/>
            <w:webHidden/>
          </w:rPr>
          <w:tab/>
        </w:r>
        <w:r>
          <w:rPr>
            <w:noProof/>
            <w:webHidden/>
          </w:rPr>
          <w:fldChar w:fldCharType="begin"/>
        </w:r>
        <w:r>
          <w:rPr>
            <w:noProof/>
            <w:webHidden/>
          </w:rPr>
          <w:instrText xml:space="preserve"> PAGEREF _Toc110355528 \h </w:instrText>
        </w:r>
        <w:r>
          <w:rPr>
            <w:noProof/>
            <w:webHidden/>
          </w:rPr>
        </w:r>
        <w:r>
          <w:rPr>
            <w:noProof/>
            <w:webHidden/>
          </w:rPr>
          <w:fldChar w:fldCharType="separate"/>
        </w:r>
        <w:r w:rsidR="00892B2D">
          <w:rPr>
            <w:noProof/>
            <w:webHidden/>
          </w:rPr>
          <w:t>24</w:t>
        </w:r>
        <w:r>
          <w:rPr>
            <w:noProof/>
            <w:webHidden/>
          </w:rPr>
          <w:fldChar w:fldCharType="end"/>
        </w:r>
      </w:hyperlink>
    </w:p>
    <w:p w14:paraId="1F330525" w14:textId="2202BB03" w:rsidR="00AB4194" w:rsidRDefault="00AB4194">
      <w:pPr>
        <w:pStyle w:val="TOC2"/>
        <w:rPr>
          <w:rFonts w:asciiTheme="minorHAnsi" w:eastAsiaTheme="minorEastAsia" w:hAnsiTheme="minorHAnsi" w:cstheme="minorBidi"/>
          <w:noProof/>
          <w:sz w:val="22"/>
          <w:szCs w:val="22"/>
          <w:lang w:eastAsia="en-NZ"/>
        </w:rPr>
      </w:pPr>
      <w:hyperlink w:anchor="_Toc110355529" w:history="1">
        <w:r w:rsidRPr="000A73EF">
          <w:rPr>
            <w:rStyle w:val="Hyperlink"/>
            <w:noProof/>
          </w:rPr>
          <w:t>5.2</w:t>
        </w:r>
        <w:r>
          <w:rPr>
            <w:rFonts w:asciiTheme="minorHAnsi" w:eastAsiaTheme="minorEastAsia" w:hAnsiTheme="minorHAnsi" w:cstheme="minorBidi"/>
            <w:noProof/>
            <w:sz w:val="22"/>
            <w:szCs w:val="22"/>
            <w:lang w:eastAsia="en-NZ"/>
          </w:rPr>
          <w:tab/>
        </w:r>
        <w:r w:rsidRPr="000A73EF">
          <w:rPr>
            <w:rStyle w:val="Hyperlink"/>
            <w:noProof/>
          </w:rPr>
          <w:t>Pulp and paper production</w:t>
        </w:r>
        <w:r>
          <w:rPr>
            <w:noProof/>
            <w:webHidden/>
          </w:rPr>
          <w:tab/>
        </w:r>
        <w:r>
          <w:rPr>
            <w:noProof/>
            <w:webHidden/>
          </w:rPr>
          <w:fldChar w:fldCharType="begin"/>
        </w:r>
        <w:r>
          <w:rPr>
            <w:noProof/>
            <w:webHidden/>
          </w:rPr>
          <w:instrText xml:space="preserve"> PAGEREF _Toc110355529 \h </w:instrText>
        </w:r>
        <w:r>
          <w:rPr>
            <w:noProof/>
            <w:webHidden/>
          </w:rPr>
        </w:r>
        <w:r>
          <w:rPr>
            <w:noProof/>
            <w:webHidden/>
          </w:rPr>
          <w:fldChar w:fldCharType="separate"/>
        </w:r>
        <w:r w:rsidR="00892B2D">
          <w:rPr>
            <w:noProof/>
            <w:webHidden/>
          </w:rPr>
          <w:t>25</w:t>
        </w:r>
        <w:r>
          <w:rPr>
            <w:noProof/>
            <w:webHidden/>
          </w:rPr>
          <w:fldChar w:fldCharType="end"/>
        </w:r>
      </w:hyperlink>
    </w:p>
    <w:p w14:paraId="0359152B" w14:textId="250DF04F" w:rsidR="00AB4194" w:rsidRDefault="00AB4194">
      <w:pPr>
        <w:pStyle w:val="TOC2"/>
        <w:rPr>
          <w:rFonts w:asciiTheme="minorHAnsi" w:eastAsiaTheme="minorEastAsia" w:hAnsiTheme="minorHAnsi" w:cstheme="minorBidi"/>
          <w:noProof/>
          <w:sz w:val="22"/>
          <w:szCs w:val="22"/>
          <w:lang w:eastAsia="en-NZ"/>
        </w:rPr>
      </w:pPr>
      <w:hyperlink w:anchor="_Toc110355530" w:history="1">
        <w:r w:rsidRPr="000A73EF">
          <w:rPr>
            <w:rStyle w:val="Hyperlink"/>
            <w:noProof/>
          </w:rPr>
          <w:t>5.3</w:t>
        </w:r>
        <w:r>
          <w:rPr>
            <w:rFonts w:asciiTheme="minorHAnsi" w:eastAsiaTheme="minorEastAsia" w:hAnsiTheme="minorHAnsi" w:cstheme="minorBidi"/>
            <w:noProof/>
            <w:sz w:val="22"/>
            <w:szCs w:val="22"/>
            <w:lang w:eastAsia="en-NZ"/>
          </w:rPr>
          <w:tab/>
        </w:r>
        <w:r w:rsidRPr="000A73EF">
          <w:rPr>
            <w:rStyle w:val="Hyperlink"/>
            <w:noProof/>
          </w:rPr>
          <w:t>Production of lime and light-weight aggregate</w:t>
        </w:r>
        <w:r>
          <w:rPr>
            <w:noProof/>
            <w:webHidden/>
          </w:rPr>
          <w:tab/>
        </w:r>
        <w:r>
          <w:rPr>
            <w:noProof/>
            <w:webHidden/>
          </w:rPr>
          <w:fldChar w:fldCharType="begin"/>
        </w:r>
        <w:r>
          <w:rPr>
            <w:noProof/>
            <w:webHidden/>
          </w:rPr>
          <w:instrText xml:space="preserve"> PAGEREF _Toc110355530 \h </w:instrText>
        </w:r>
        <w:r>
          <w:rPr>
            <w:noProof/>
            <w:webHidden/>
          </w:rPr>
        </w:r>
        <w:r>
          <w:rPr>
            <w:noProof/>
            <w:webHidden/>
          </w:rPr>
          <w:fldChar w:fldCharType="separate"/>
        </w:r>
        <w:r w:rsidR="00892B2D">
          <w:rPr>
            <w:noProof/>
            <w:webHidden/>
          </w:rPr>
          <w:t>25</w:t>
        </w:r>
        <w:r>
          <w:rPr>
            <w:noProof/>
            <w:webHidden/>
          </w:rPr>
          <w:fldChar w:fldCharType="end"/>
        </w:r>
      </w:hyperlink>
    </w:p>
    <w:p w14:paraId="0B8DB2FE" w14:textId="0B3ECF24" w:rsidR="00AB4194" w:rsidRDefault="00AB4194">
      <w:pPr>
        <w:pStyle w:val="TOC2"/>
        <w:rPr>
          <w:rFonts w:asciiTheme="minorHAnsi" w:eastAsiaTheme="minorEastAsia" w:hAnsiTheme="minorHAnsi" w:cstheme="minorBidi"/>
          <w:noProof/>
          <w:sz w:val="22"/>
          <w:szCs w:val="22"/>
          <w:lang w:eastAsia="en-NZ"/>
        </w:rPr>
      </w:pPr>
      <w:hyperlink w:anchor="_Toc110355531" w:history="1">
        <w:r w:rsidRPr="000A73EF">
          <w:rPr>
            <w:rStyle w:val="Hyperlink"/>
            <w:noProof/>
          </w:rPr>
          <w:t>5.4</w:t>
        </w:r>
        <w:r>
          <w:rPr>
            <w:rFonts w:asciiTheme="minorHAnsi" w:eastAsiaTheme="minorEastAsia" w:hAnsiTheme="minorHAnsi" w:cstheme="minorBidi"/>
            <w:noProof/>
            <w:sz w:val="22"/>
            <w:szCs w:val="22"/>
            <w:lang w:eastAsia="en-NZ"/>
          </w:rPr>
          <w:tab/>
        </w:r>
        <w:r w:rsidRPr="000A73EF">
          <w:rPr>
            <w:rStyle w:val="Hyperlink"/>
            <w:noProof/>
          </w:rPr>
          <w:t>Other minerals and materials</w:t>
        </w:r>
        <w:r>
          <w:rPr>
            <w:noProof/>
            <w:webHidden/>
          </w:rPr>
          <w:tab/>
        </w:r>
        <w:r>
          <w:rPr>
            <w:noProof/>
            <w:webHidden/>
          </w:rPr>
          <w:fldChar w:fldCharType="begin"/>
        </w:r>
        <w:r>
          <w:rPr>
            <w:noProof/>
            <w:webHidden/>
          </w:rPr>
          <w:instrText xml:space="preserve"> PAGEREF _Toc110355531 \h </w:instrText>
        </w:r>
        <w:r>
          <w:rPr>
            <w:noProof/>
            <w:webHidden/>
          </w:rPr>
        </w:r>
        <w:r>
          <w:rPr>
            <w:noProof/>
            <w:webHidden/>
          </w:rPr>
          <w:fldChar w:fldCharType="separate"/>
        </w:r>
        <w:r w:rsidR="00892B2D">
          <w:rPr>
            <w:noProof/>
            <w:webHidden/>
          </w:rPr>
          <w:t>26</w:t>
        </w:r>
        <w:r>
          <w:rPr>
            <w:noProof/>
            <w:webHidden/>
          </w:rPr>
          <w:fldChar w:fldCharType="end"/>
        </w:r>
      </w:hyperlink>
    </w:p>
    <w:p w14:paraId="56187FBB" w14:textId="4628C415" w:rsidR="00AB4194" w:rsidRDefault="00AB4194">
      <w:pPr>
        <w:pStyle w:val="TOC2"/>
        <w:rPr>
          <w:rFonts w:asciiTheme="minorHAnsi" w:eastAsiaTheme="minorEastAsia" w:hAnsiTheme="minorHAnsi" w:cstheme="minorBidi"/>
          <w:noProof/>
          <w:sz w:val="22"/>
          <w:szCs w:val="22"/>
          <w:lang w:eastAsia="en-NZ"/>
        </w:rPr>
      </w:pPr>
      <w:hyperlink w:anchor="_Toc110355532" w:history="1">
        <w:r w:rsidRPr="000A73EF">
          <w:rPr>
            <w:rStyle w:val="Hyperlink"/>
            <w:rFonts w:eastAsia="Calibri"/>
            <w:noProof/>
          </w:rPr>
          <w:t>5.5</w:t>
        </w:r>
        <w:r>
          <w:rPr>
            <w:rFonts w:asciiTheme="minorHAnsi" w:eastAsiaTheme="minorEastAsia" w:hAnsiTheme="minorHAnsi" w:cstheme="minorBidi"/>
            <w:noProof/>
            <w:sz w:val="22"/>
            <w:szCs w:val="22"/>
            <w:lang w:eastAsia="en-NZ"/>
          </w:rPr>
          <w:tab/>
        </w:r>
        <w:r w:rsidRPr="000A73EF">
          <w:rPr>
            <w:rStyle w:val="Hyperlink"/>
            <w:rFonts w:eastAsia="Calibri"/>
            <w:noProof/>
          </w:rPr>
          <w:t>Summary for this category</w:t>
        </w:r>
        <w:r>
          <w:rPr>
            <w:noProof/>
            <w:webHidden/>
          </w:rPr>
          <w:tab/>
        </w:r>
        <w:r>
          <w:rPr>
            <w:noProof/>
            <w:webHidden/>
          </w:rPr>
          <w:fldChar w:fldCharType="begin"/>
        </w:r>
        <w:r>
          <w:rPr>
            <w:noProof/>
            <w:webHidden/>
          </w:rPr>
          <w:instrText xml:space="preserve"> PAGEREF _Toc110355532 \h </w:instrText>
        </w:r>
        <w:r>
          <w:rPr>
            <w:noProof/>
            <w:webHidden/>
          </w:rPr>
        </w:r>
        <w:r>
          <w:rPr>
            <w:noProof/>
            <w:webHidden/>
          </w:rPr>
          <w:fldChar w:fldCharType="separate"/>
        </w:r>
        <w:r w:rsidR="00892B2D">
          <w:rPr>
            <w:noProof/>
            <w:webHidden/>
          </w:rPr>
          <w:t>29</w:t>
        </w:r>
        <w:r>
          <w:rPr>
            <w:noProof/>
            <w:webHidden/>
          </w:rPr>
          <w:fldChar w:fldCharType="end"/>
        </w:r>
      </w:hyperlink>
    </w:p>
    <w:p w14:paraId="04E91163" w14:textId="3BD18501" w:rsidR="00AB4194" w:rsidRDefault="00AB4194">
      <w:pPr>
        <w:pStyle w:val="TOC1"/>
        <w:rPr>
          <w:rFonts w:asciiTheme="minorHAnsi" w:eastAsiaTheme="minorEastAsia" w:hAnsiTheme="minorHAnsi" w:cstheme="minorBidi"/>
          <w:b w:val="0"/>
          <w:sz w:val="22"/>
          <w:szCs w:val="22"/>
          <w:lang w:val="en-NZ" w:eastAsia="en-NZ"/>
        </w:rPr>
      </w:pPr>
      <w:hyperlink w:anchor="_Toc110355533" w:history="1">
        <w:r w:rsidRPr="000A73EF">
          <w:rPr>
            <w:rStyle w:val="Hyperlink"/>
          </w:rPr>
          <w:t>6</w:t>
        </w:r>
        <w:r>
          <w:rPr>
            <w:rFonts w:asciiTheme="minorHAnsi" w:eastAsiaTheme="minorEastAsia" w:hAnsiTheme="minorHAnsi" w:cstheme="minorBidi"/>
            <w:b w:val="0"/>
            <w:sz w:val="22"/>
            <w:szCs w:val="22"/>
            <w:lang w:val="en-NZ" w:eastAsia="en-NZ"/>
          </w:rPr>
          <w:tab/>
        </w:r>
        <w:r w:rsidRPr="000A73EF">
          <w:rPr>
            <w:rStyle w:val="Hyperlink"/>
          </w:rPr>
          <w:t>Intentional use of mercury in industrial processes</w:t>
        </w:r>
        <w:r>
          <w:rPr>
            <w:webHidden/>
          </w:rPr>
          <w:tab/>
        </w:r>
        <w:r>
          <w:rPr>
            <w:webHidden/>
          </w:rPr>
          <w:fldChar w:fldCharType="begin"/>
        </w:r>
        <w:r>
          <w:rPr>
            <w:webHidden/>
          </w:rPr>
          <w:instrText xml:space="preserve"> PAGEREF _Toc110355533 \h </w:instrText>
        </w:r>
        <w:r>
          <w:rPr>
            <w:webHidden/>
          </w:rPr>
        </w:r>
        <w:r>
          <w:rPr>
            <w:webHidden/>
          </w:rPr>
          <w:fldChar w:fldCharType="separate"/>
        </w:r>
        <w:r w:rsidR="00892B2D">
          <w:rPr>
            <w:webHidden/>
          </w:rPr>
          <w:t>30</w:t>
        </w:r>
        <w:r>
          <w:rPr>
            <w:webHidden/>
          </w:rPr>
          <w:fldChar w:fldCharType="end"/>
        </w:r>
      </w:hyperlink>
    </w:p>
    <w:p w14:paraId="7C4CBE61" w14:textId="404BF4DF" w:rsidR="00AB4194" w:rsidRDefault="00AB4194">
      <w:pPr>
        <w:pStyle w:val="TOC2"/>
        <w:rPr>
          <w:rFonts w:asciiTheme="minorHAnsi" w:eastAsiaTheme="minorEastAsia" w:hAnsiTheme="minorHAnsi" w:cstheme="minorBidi"/>
          <w:noProof/>
          <w:sz w:val="22"/>
          <w:szCs w:val="22"/>
          <w:lang w:eastAsia="en-NZ"/>
        </w:rPr>
      </w:pPr>
      <w:hyperlink w:anchor="_Toc110355534" w:history="1">
        <w:r w:rsidRPr="000A73EF">
          <w:rPr>
            <w:rStyle w:val="Hyperlink"/>
            <w:noProof/>
          </w:rPr>
          <w:t>6.1</w:t>
        </w:r>
        <w:r>
          <w:rPr>
            <w:rFonts w:asciiTheme="minorHAnsi" w:eastAsiaTheme="minorEastAsia" w:hAnsiTheme="minorHAnsi" w:cstheme="minorBidi"/>
            <w:noProof/>
            <w:sz w:val="22"/>
            <w:szCs w:val="22"/>
            <w:lang w:eastAsia="en-NZ"/>
          </w:rPr>
          <w:tab/>
        </w:r>
        <w:r w:rsidRPr="000A73EF">
          <w:rPr>
            <w:rStyle w:val="Hyperlink"/>
            <w:noProof/>
          </w:rPr>
          <w:t>Industrial uses of mercury in New Zealand</w:t>
        </w:r>
        <w:r>
          <w:rPr>
            <w:noProof/>
            <w:webHidden/>
          </w:rPr>
          <w:tab/>
        </w:r>
        <w:r>
          <w:rPr>
            <w:noProof/>
            <w:webHidden/>
          </w:rPr>
          <w:fldChar w:fldCharType="begin"/>
        </w:r>
        <w:r>
          <w:rPr>
            <w:noProof/>
            <w:webHidden/>
          </w:rPr>
          <w:instrText xml:space="preserve"> PAGEREF _Toc110355534 \h </w:instrText>
        </w:r>
        <w:r>
          <w:rPr>
            <w:noProof/>
            <w:webHidden/>
          </w:rPr>
        </w:r>
        <w:r>
          <w:rPr>
            <w:noProof/>
            <w:webHidden/>
          </w:rPr>
          <w:fldChar w:fldCharType="separate"/>
        </w:r>
        <w:r w:rsidR="00892B2D">
          <w:rPr>
            <w:noProof/>
            <w:webHidden/>
          </w:rPr>
          <w:t>30</w:t>
        </w:r>
        <w:r>
          <w:rPr>
            <w:noProof/>
            <w:webHidden/>
          </w:rPr>
          <w:fldChar w:fldCharType="end"/>
        </w:r>
      </w:hyperlink>
    </w:p>
    <w:p w14:paraId="27309104" w14:textId="72B5920E" w:rsidR="00AB4194" w:rsidRDefault="00AB4194">
      <w:pPr>
        <w:pStyle w:val="TOC1"/>
        <w:rPr>
          <w:rFonts w:asciiTheme="minorHAnsi" w:eastAsiaTheme="minorEastAsia" w:hAnsiTheme="minorHAnsi" w:cstheme="minorBidi"/>
          <w:b w:val="0"/>
          <w:sz w:val="22"/>
          <w:szCs w:val="22"/>
          <w:lang w:val="en-NZ" w:eastAsia="en-NZ"/>
        </w:rPr>
      </w:pPr>
      <w:hyperlink w:anchor="_Toc110355535" w:history="1">
        <w:r w:rsidRPr="000A73EF">
          <w:rPr>
            <w:rStyle w:val="Hyperlink"/>
          </w:rPr>
          <w:t>7</w:t>
        </w:r>
        <w:r>
          <w:rPr>
            <w:rFonts w:asciiTheme="minorHAnsi" w:eastAsiaTheme="minorEastAsia" w:hAnsiTheme="minorHAnsi" w:cstheme="minorBidi"/>
            <w:b w:val="0"/>
            <w:sz w:val="22"/>
            <w:szCs w:val="22"/>
            <w:lang w:val="en-NZ" w:eastAsia="en-NZ"/>
          </w:rPr>
          <w:tab/>
        </w:r>
        <w:r w:rsidRPr="000A73EF">
          <w:rPr>
            <w:rStyle w:val="Hyperlink"/>
          </w:rPr>
          <w:t>Consumer products with intentional use of mercury</w:t>
        </w:r>
        <w:r>
          <w:rPr>
            <w:webHidden/>
          </w:rPr>
          <w:tab/>
        </w:r>
        <w:r>
          <w:rPr>
            <w:webHidden/>
          </w:rPr>
          <w:fldChar w:fldCharType="begin"/>
        </w:r>
        <w:r>
          <w:rPr>
            <w:webHidden/>
          </w:rPr>
          <w:instrText xml:space="preserve"> PAGEREF _Toc110355535 \h </w:instrText>
        </w:r>
        <w:r>
          <w:rPr>
            <w:webHidden/>
          </w:rPr>
        </w:r>
        <w:r>
          <w:rPr>
            <w:webHidden/>
          </w:rPr>
          <w:fldChar w:fldCharType="separate"/>
        </w:r>
        <w:r w:rsidR="00892B2D">
          <w:rPr>
            <w:webHidden/>
          </w:rPr>
          <w:t>31</w:t>
        </w:r>
        <w:r>
          <w:rPr>
            <w:webHidden/>
          </w:rPr>
          <w:fldChar w:fldCharType="end"/>
        </w:r>
      </w:hyperlink>
    </w:p>
    <w:p w14:paraId="0D381103" w14:textId="38532340" w:rsidR="00AB4194" w:rsidRDefault="00AB4194">
      <w:pPr>
        <w:pStyle w:val="TOC2"/>
        <w:rPr>
          <w:rFonts w:asciiTheme="minorHAnsi" w:eastAsiaTheme="minorEastAsia" w:hAnsiTheme="minorHAnsi" w:cstheme="minorBidi"/>
          <w:noProof/>
          <w:sz w:val="22"/>
          <w:szCs w:val="22"/>
          <w:lang w:eastAsia="en-NZ"/>
        </w:rPr>
      </w:pPr>
      <w:hyperlink w:anchor="_Toc110355536" w:history="1">
        <w:r w:rsidRPr="000A73EF">
          <w:rPr>
            <w:rStyle w:val="Hyperlink"/>
            <w:noProof/>
          </w:rPr>
          <w:t>7.1</w:t>
        </w:r>
        <w:r>
          <w:rPr>
            <w:rFonts w:asciiTheme="minorHAnsi" w:eastAsiaTheme="minorEastAsia" w:hAnsiTheme="minorHAnsi" w:cstheme="minorBidi"/>
            <w:noProof/>
            <w:sz w:val="22"/>
            <w:szCs w:val="22"/>
            <w:lang w:eastAsia="en-NZ"/>
          </w:rPr>
          <w:tab/>
        </w:r>
        <w:r w:rsidRPr="000A73EF">
          <w:rPr>
            <w:rStyle w:val="Hyperlink"/>
            <w:noProof/>
          </w:rPr>
          <w:t>Mercury thermometers</w:t>
        </w:r>
        <w:r>
          <w:rPr>
            <w:noProof/>
            <w:webHidden/>
          </w:rPr>
          <w:tab/>
        </w:r>
        <w:r>
          <w:rPr>
            <w:noProof/>
            <w:webHidden/>
          </w:rPr>
          <w:fldChar w:fldCharType="begin"/>
        </w:r>
        <w:r>
          <w:rPr>
            <w:noProof/>
            <w:webHidden/>
          </w:rPr>
          <w:instrText xml:space="preserve"> PAGEREF _Toc110355536 \h </w:instrText>
        </w:r>
        <w:r>
          <w:rPr>
            <w:noProof/>
            <w:webHidden/>
          </w:rPr>
        </w:r>
        <w:r>
          <w:rPr>
            <w:noProof/>
            <w:webHidden/>
          </w:rPr>
          <w:fldChar w:fldCharType="separate"/>
        </w:r>
        <w:r w:rsidR="00892B2D">
          <w:rPr>
            <w:noProof/>
            <w:webHidden/>
          </w:rPr>
          <w:t>31</w:t>
        </w:r>
        <w:r>
          <w:rPr>
            <w:noProof/>
            <w:webHidden/>
          </w:rPr>
          <w:fldChar w:fldCharType="end"/>
        </w:r>
      </w:hyperlink>
    </w:p>
    <w:p w14:paraId="3AF1494D" w14:textId="7F206041" w:rsidR="00AB4194" w:rsidRDefault="00AB4194">
      <w:pPr>
        <w:pStyle w:val="TOC2"/>
        <w:rPr>
          <w:rFonts w:asciiTheme="minorHAnsi" w:eastAsiaTheme="minorEastAsia" w:hAnsiTheme="minorHAnsi" w:cstheme="minorBidi"/>
          <w:noProof/>
          <w:sz w:val="22"/>
          <w:szCs w:val="22"/>
          <w:lang w:eastAsia="en-NZ"/>
        </w:rPr>
      </w:pPr>
      <w:hyperlink w:anchor="_Toc110355537" w:history="1">
        <w:r w:rsidRPr="000A73EF">
          <w:rPr>
            <w:rStyle w:val="Hyperlink"/>
            <w:noProof/>
          </w:rPr>
          <w:t>7.2</w:t>
        </w:r>
        <w:r>
          <w:rPr>
            <w:rFonts w:asciiTheme="minorHAnsi" w:eastAsiaTheme="minorEastAsia" w:hAnsiTheme="minorHAnsi" w:cstheme="minorBidi"/>
            <w:noProof/>
            <w:sz w:val="22"/>
            <w:szCs w:val="22"/>
            <w:lang w:eastAsia="en-NZ"/>
          </w:rPr>
          <w:tab/>
        </w:r>
        <w:r w:rsidRPr="000A73EF">
          <w:rPr>
            <w:rStyle w:val="Hyperlink"/>
            <w:noProof/>
          </w:rPr>
          <w:t>Electrical and electronic switches, contacts and relays</w:t>
        </w:r>
        <w:r>
          <w:rPr>
            <w:noProof/>
            <w:webHidden/>
          </w:rPr>
          <w:tab/>
        </w:r>
        <w:r>
          <w:rPr>
            <w:noProof/>
            <w:webHidden/>
          </w:rPr>
          <w:fldChar w:fldCharType="begin"/>
        </w:r>
        <w:r>
          <w:rPr>
            <w:noProof/>
            <w:webHidden/>
          </w:rPr>
          <w:instrText xml:space="preserve"> PAGEREF _Toc110355537 \h </w:instrText>
        </w:r>
        <w:r>
          <w:rPr>
            <w:noProof/>
            <w:webHidden/>
          </w:rPr>
        </w:r>
        <w:r>
          <w:rPr>
            <w:noProof/>
            <w:webHidden/>
          </w:rPr>
          <w:fldChar w:fldCharType="separate"/>
        </w:r>
        <w:r w:rsidR="00892B2D">
          <w:rPr>
            <w:noProof/>
            <w:webHidden/>
          </w:rPr>
          <w:t>32</w:t>
        </w:r>
        <w:r>
          <w:rPr>
            <w:noProof/>
            <w:webHidden/>
          </w:rPr>
          <w:fldChar w:fldCharType="end"/>
        </w:r>
      </w:hyperlink>
    </w:p>
    <w:p w14:paraId="5595E510" w14:textId="2B017E81" w:rsidR="00AB4194" w:rsidRDefault="00AB4194">
      <w:pPr>
        <w:pStyle w:val="TOC2"/>
        <w:rPr>
          <w:rFonts w:asciiTheme="minorHAnsi" w:eastAsiaTheme="minorEastAsia" w:hAnsiTheme="minorHAnsi" w:cstheme="minorBidi"/>
          <w:noProof/>
          <w:sz w:val="22"/>
          <w:szCs w:val="22"/>
          <w:lang w:eastAsia="en-NZ"/>
        </w:rPr>
      </w:pPr>
      <w:hyperlink w:anchor="_Toc110355538" w:history="1">
        <w:r w:rsidRPr="000A73EF">
          <w:rPr>
            <w:rStyle w:val="Hyperlink"/>
            <w:noProof/>
          </w:rPr>
          <w:t>7.3</w:t>
        </w:r>
        <w:r>
          <w:rPr>
            <w:rFonts w:asciiTheme="minorHAnsi" w:eastAsiaTheme="minorEastAsia" w:hAnsiTheme="minorHAnsi" w:cstheme="minorBidi"/>
            <w:noProof/>
            <w:sz w:val="22"/>
            <w:szCs w:val="22"/>
            <w:lang w:eastAsia="en-NZ"/>
          </w:rPr>
          <w:tab/>
        </w:r>
        <w:r w:rsidRPr="000A73EF">
          <w:rPr>
            <w:rStyle w:val="Hyperlink"/>
            <w:noProof/>
          </w:rPr>
          <w:t>Light sources (lamps)</w:t>
        </w:r>
        <w:r>
          <w:rPr>
            <w:noProof/>
            <w:webHidden/>
          </w:rPr>
          <w:tab/>
        </w:r>
        <w:r>
          <w:rPr>
            <w:noProof/>
            <w:webHidden/>
          </w:rPr>
          <w:fldChar w:fldCharType="begin"/>
        </w:r>
        <w:r>
          <w:rPr>
            <w:noProof/>
            <w:webHidden/>
          </w:rPr>
          <w:instrText xml:space="preserve"> PAGEREF _Toc110355538 \h </w:instrText>
        </w:r>
        <w:r>
          <w:rPr>
            <w:noProof/>
            <w:webHidden/>
          </w:rPr>
        </w:r>
        <w:r>
          <w:rPr>
            <w:noProof/>
            <w:webHidden/>
          </w:rPr>
          <w:fldChar w:fldCharType="separate"/>
        </w:r>
        <w:r w:rsidR="00892B2D">
          <w:rPr>
            <w:noProof/>
            <w:webHidden/>
          </w:rPr>
          <w:t>34</w:t>
        </w:r>
        <w:r>
          <w:rPr>
            <w:noProof/>
            <w:webHidden/>
          </w:rPr>
          <w:fldChar w:fldCharType="end"/>
        </w:r>
      </w:hyperlink>
    </w:p>
    <w:p w14:paraId="72818BB3" w14:textId="18B9BEC9" w:rsidR="00AB4194" w:rsidRDefault="00AB4194">
      <w:pPr>
        <w:pStyle w:val="TOC2"/>
        <w:rPr>
          <w:rFonts w:asciiTheme="minorHAnsi" w:eastAsiaTheme="minorEastAsia" w:hAnsiTheme="minorHAnsi" w:cstheme="minorBidi"/>
          <w:noProof/>
          <w:sz w:val="22"/>
          <w:szCs w:val="22"/>
          <w:lang w:eastAsia="en-NZ"/>
        </w:rPr>
      </w:pPr>
      <w:hyperlink w:anchor="_Toc110355539" w:history="1">
        <w:r w:rsidRPr="000A73EF">
          <w:rPr>
            <w:rStyle w:val="Hyperlink"/>
            <w:noProof/>
          </w:rPr>
          <w:t>7.4</w:t>
        </w:r>
        <w:r>
          <w:rPr>
            <w:rFonts w:asciiTheme="minorHAnsi" w:eastAsiaTheme="minorEastAsia" w:hAnsiTheme="minorHAnsi" w:cstheme="minorBidi"/>
            <w:noProof/>
            <w:sz w:val="22"/>
            <w:szCs w:val="22"/>
            <w:lang w:eastAsia="en-NZ"/>
          </w:rPr>
          <w:tab/>
        </w:r>
        <w:r w:rsidRPr="000A73EF">
          <w:rPr>
            <w:rStyle w:val="Hyperlink"/>
            <w:noProof/>
          </w:rPr>
          <w:t>Light sources (LCD screens)</w:t>
        </w:r>
        <w:r>
          <w:rPr>
            <w:noProof/>
            <w:webHidden/>
          </w:rPr>
          <w:tab/>
        </w:r>
        <w:r>
          <w:rPr>
            <w:noProof/>
            <w:webHidden/>
          </w:rPr>
          <w:fldChar w:fldCharType="begin"/>
        </w:r>
        <w:r>
          <w:rPr>
            <w:noProof/>
            <w:webHidden/>
          </w:rPr>
          <w:instrText xml:space="preserve"> PAGEREF _Toc110355539 \h </w:instrText>
        </w:r>
        <w:r>
          <w:rPr>
            <w:noProof/>
            <w:webHidden/>
          </w:rPr>
        </w:r>
        <w:r>
          <w:rPr>
            <w:noProof/>
            <w:webHidden/>
          </w:rPr>
          <w:fldChar w:fldCharType="separate"/>
        </w:r>
        <w:r w:rsidR="00892B2D">
          <w:rPr>
            <w:noProof/>
            <w:webHidden/>
          </w:rPr>
          <w:t>37</w:t>
        </w:r>
        <w:r>
          <w:rPr>
            <w:noProof/>
            <w:webHidden/>
          </w:rPr>
          <w:fldChar w:fldCharType="end"/>
        </w:r>
      </w:hyperlink>
    </w:p>
    <w:p w14:paraId="6ED939A7" w14:textId="2593E82B" w:rsidR="00AB4194" w:rsidRDefault="00AB4194">
      <w:pPr>
        <w:pStyle w:val="TOC2"/>
        <w:rPr>
          <w:rFonts w:asciiTheme="minorHAnsi" w:eastAsiaTheme="minorEastAsia" w:hAnsiTheme="minorHAnsi" w:cstheme="minorBidi"/>
          <w:noProof/>
          <w:sz w:val="22"/>
          <w:szCs w:val="22"/>
          <w:lang w:eastAsia="en-NZ"/>
        </w:rPr>
      </w:pPr>
      <w:hyperlink w:anchor="_Toc110355540" w:history="1">
        <w:r w:rsidRPr="000A73EF">
          <w:rPr>
            <w:rStyle w:val="Hyperlink"/>
            <w:noProof/>
          </w:rPr>
          <w:t>7.5</w:t>
        </w:r>
        <w:r>
          <w:rPr>
            <w:rFonts w:asciiTheme="minorHAnsi" w:eastAsiaTheme="minorEastAsia" w:hAnsiTheme="minorHAnsi" w:cstheme="minorBidi"/>
            <w:noProof/>
            <w:sz w:val="22"/>
            <w:szCs w:val="22"/>
            <w:lang w:eastAsia="en-NZ"/>
          </w:rPr>
          <w:tab/>
        </w:r>
        <w:r w:rsidRPr="000A73EF">
          <w:rPr>
            <w:rStyle w:val="Hyperlink"/>
            <w:noProof/>
          </w:rPr>
          <w:t>Batteries</w:t>
        </w:r>
        <w:r>
          <w:rPr>
            <w:noProof/>
            <w:webHidden/>
          </w:rPr>
          <w:tab/>
        </w:r>
        <w:r>
          <w:rPr>
            <w:noProof/>
            <w:webHidden/>
          </w:rPr>
          <w:fldChar w:fldCharType="begin"/>
        </w:r>
        <w:r>
          <w:rPr>
            <w:noProof/>
            <w:webHidden/>
          </w:rPr>
          <w:instrText xml:space="preserve"> PAGEREF _Toc110355540 \h </w:instrText>
        </w:r>
        <w:r>
          <w:rPr>
            <w:noProof/>
            <w:webHidden/>
          </w:rPr>
        </w:r>
        <w:r>
          <w:rPr>
            <w:noProof/>
            <w:webHidden/>
          </w:rPr>
          <w:fldChar w:fldCharType="separate"/>
        </w:r>
        <w:r w:rsidR="00892B2D">
          <w:rPr>
            <w:noProof/>
            <w:webHidden/>
          </w:rPr>
          <w:t>37</w:t>
        </w:r>
        <w:r>
          <w:rPr>
            <w:noProof/>
            <w:webHidden/>
          </w:rPr>
          <w:fldChar w:fldCharType="end"/>
        </w:r>
      </w:hyperlink>
    </w:p>
    <w:p w14:paraId="1E859D9A" w14:textId="16368F60" w:rsidR="00AB4194" w:rsidRDefault="00AB4194">
      <w:pPr>
        <w:pStyle w:val="TOC2"/>
        <w:rPr>
          <w:rFonts w:asciiTheme="minorHAnsi" w:eastAsiaTheme="minorEastAsia" w:hAnsiTheme="minorHAnsi" w:cstheme="minorBidi"/>
          <w:noProof/>
          <w:sz w:val="22"/>
          <w:szCs w:val="22"/>
          <w:lang w:eastAsia="en-NZ"/>
        </w:rPr>
      </w:pPr>
      <w:hyperlink w:anchor="_Toc110355541" w:history="1">
        <w:r w:rsidRPr="000A73EF">
          <w:rPr>
            <w:rStyle w:val="Hyperlink"/>
            <w:noProof/>
          </w:rPr>
          <w:t>7.6</w:t>
        </w:r>
        <w:r>
          <w:rPr>
            <w:rFonts w:asciiTheme="minorHAnsi" w:eastAsiaTheme="minorEastAsia" w:hAnsiTheme="minorHAnsi" w:cstheme="minorBidi"/>
            <w:noProof/>
            <w:sz w:val="22"/>
            <w:szCs w:val="22"/>
            <w:lang w:eastAsia="en-NZ"/>
          </w:rPr>
          <w:tab/>
        </w:r>
        <w:r w:rsidRPr="000A73EF">
          <w:rPr>
            <w:rStyle w:val="Hyperlink"/>
            <w:noProof/>
          </w:rPr>
          <w:t>Polyurethanes with mercury catalyst</w:t>
        </w:r>
        <w:r>
          <w:rPr>
            <w:noProof/>
            <w:webHidden/>
          </w:rPr>
          <w:tab/>
        </w:r>
        <w:r>
          <w:rPr>
            <w:noProof/>
            <w:webHidden/>
          </w:rPr>
          <w:fldChar w:fldCharType="begin"/>
        </w:r>
        <w:r>
          <w:rPr>
            <w:noProof/>
            <w:webHidden/>
          </w:rPr>
          <w:instrText xml:space="preserve"> PAGEREF _Toc110355541 \h </w:instrText>
        </w:r>
        <w:r>
          <w:rPr>
            <w:noProof/>
            <w:webHidden/>
          </w:rPr>
        </w:r>
        <w:r>
          <w:rPr>
            <w:noProof/>
            <w:webHidden/>
          </w:rPr>
          <w:fldChar w:fldCharType="separate"/>
        </w:r>
        <w:r w:rsidR="00892B2D">
          <w:rPr>
            <w:noProof/>
            <w:webHidden/>
          </w:rPr>
          <w:t>41</w:t>
        </w:r>
        <w:r>
          <w:rPr>
            <w:noProof/>
            <w:webHidden/>
          </w:rPr>
          <w:fldChar w:fldCharType="end"/>
        </w:r>
      </w:hyperlink>
    </w:p>
    <w:p w14:paraId="06FBE003" w14:textId="630BCE73" w:rsidR="00AB4194" w:rsidRDefault="00AB4194">
      <w:pPr>
        <w:pStyle w:val="TOC2"/>
        <w:rPr>
          <w:rFonts w:asciiTheme="minorHAnsi" w:eastAsiaTheme="minorEastAsia" w:hAnsiTheme="minorHAnsi" w:cstheme="minorBidi"/>
          <w:noProof/>
          <w:sz w:val="22"/>
          <w:szCs w:val="22"/>
          <w:lang w:eastAsia="en-NZ"/>
        </w:rPr>
      </w:pPr>
      <w:hyperlink w:anchor="_Toc110355542" w:history="1">
        <w:r w:rsidRPr="000A73EF">
          <w:rPr>
            <w:rStyle w:val="Hyperlink"/>
            <w:noProof/>
          </w:rPr>
          <w:t>7.7</w:t>
        </w:r>
        <w:r>
          <w:rPr>
            <w:rFonts w:asciiTheme="minorHAnsi" w:eastAsiaTheme="minorEastAsia" w:hAnsiTheme="minorHAnsi" w:cstheme="minorBidi"/>
            <w:noProof/>
            <w:sz w:val="22"/>
            <w:szCs w:val="22"/>
            <w:lang w:eastAsia="en-NZ"/>
          </w:rPr>
          <w:tab/>
        </w:r>
        <w:r w:rsidRPr="000A73EF">
          <w:rPr>
            <w:rStyle w:val="Hyperlink"/>
            <w:noProof/>
          </w:rPr>
          <w:t>Biocides and pesticides</w:t>
        </w:r>
        <w:r>
          <w:rPr>
            <w:noProof/>
            <w:webHidden/>
          </w:rPr>
          <w:tab/>
        </w:r>
        <w:r>
          <w:rPr>
            <w:noProof/>
            <w:webHidden/>
          </w:rPr>
          <w:fldChar w:fldCharType="begin"/>
        </w:r>
        <w:r>
          <w:rPr>
            <w:noProof/>
            <w:webHidden/>
          </w:rPr>
          <w:instrText xml:space="preserve"> PAGEREF _Toc110355542 \h </w:instrText>
        </w:r>
        <w:r>
          <w:rPr>
            <w:noProof/>
            <w:webHidden/>
          </w:rPr>
        </w:r>
        <w:r>
          <w:rPr>
            <w:noProof/>
            <w:webHidden/>
          </w:rPr>
          <w:fldChar w:fldCharType="separate"/>
        </w:r>
        <w:r w:rsidR="00892B2D">
          <w:rPr>
            <w:noProof/>
            <w:webHidden/>
          </w:rPr>
          <w:t>41</w:t>
        </w:r>
        <w:r>
          <w:rPr>
            <w:noProof/>
            <w:webHidden/>
          </w:rPr>
          <w:fldChar w:fldCharType="end"/>
        </w:r>
      </w:hyperlink>
    </w:p>
    <w:p w14:paraId="07CD7603" w14:textId="1EC0A211" w:rsidR="00AB4194" w:rsidRDefault="00AB4194">
      <w:pPr>
        <w:pStyle w:val="TOC2"/>
        <w:rPr>
          <w:rFonts w:asciiTheme="minorHAnsi" w:eastAsiaTheme="minorEastAsia" w:hAnsiTheme="minorHAnsi" w:cstheme="minorBidi"/>
          <w:noProof/>
          <w:sz w:val="22"/>
          <w:szCs w:val="22"/>
          <w:lang w:eastAsia="en-NZ"/>
        </w:rPr>
      </w:pPr>
      <w:hyperlink w:anchor="_Toc110355543" w:history="1">
        <w:r w:rsidRPr="000A73EF">
          <w:rPr>
            <w:rStyle w:val="Hyperlink"/>
            <w:noProof/>
          </w:rPr>
          <w:t>7.8</w:t>
        </w:r>
        <w:r>
          <w:rPr>
            <w:rFonts w:asciiTheme="minorHAnsi" w:eastAsiaTheme="minorEastAsia" w:hAnsiTheme="minorHAnsi" w:cstheme="minorBidi"/>
            <w:noProof/>
            <w:sz w:val="22"/>
            <w:szCs w:val="22"/>
            <w:lang w:eastAsia="en-NZ"/>
          </w:rPr>
          <w:tab/>
        </w:r>
        <w:r w:rsidRPr="000A73EF">
          <w:rPr>
            <w:rStyle w:val="Hyperlink"/>
            <w:noProof/>
          </w:rPr>
          <w:t>Paints</w:t>
        </w:r>
        <w:r>
          <w:rPr>
            <w:noProof/>
            <w:webHidden/>
          </w:rPr>
          <w:tab/>
        </w:r>
        <w:r>
          <w:rPr>
            <w:noProof/>
            <w:webHidden/>
          </w:rPr>
          <w:fldChar w:fldCharType="begin"/>
        </w:r>
        <w:r>
          <w:rPr>
            <w:noProof/>
            <w:webHidden/>
          </w:rPr>
          <w:instrText xml:space="preserve"> PAGEREF _Toc110355543 \h </w:instrText>
        </w:r>
        <w:r>
          <w:rPr>
            <w:noProof/>
            <w:webHidden/>
          </w:rPr>
        </w:r>
        <w:r>
          <w:rPr>
            <w:noProof/>
            <w:webHidden/>
          </w:rPr>
          <w:fldChar w:fldCharType="separate"/>
        </w:r>
        <w:r w:rsidR="00892B2D">
          <w:rPr>
            <w:noProof/>
            <w:webHidden/>
          </w:rPr>
          <w:t>41</w:t>
        </w:r>
        <w:r>
          <w:rPr>
            <w:noProof/>
            <w:webHidden/>
          </w:rPr>
          <w:fldChar w:fldCharType="end"/>
        </w:r>
      </w:hyperlink>
    </w:p>
    <w:p w14:paraId="7034F6ED" w14:textId="6EB7A3C4" w:rsidR="00AB4194" w:rsidRDefault="00AB4194">
      <w:pPr>
        <w:pStyle w:val="TOC2"/>
        <w:rPr>
          <w:rFonts w:asciiTheme="minorHAnsi" w:eastAsiaTheme="minorEastAsia" w:hAnsiTheme="minorHAnsi" w:cstheme="minorBidi"/>
          <w:noProof/>
          <w:sz w:val="22"/>
          <w:szCs w:val="22"/>
          <w:lang w:eastAsia="en-NZ"/>
        </w:rPr>
      </w:pPr>
      <w:hyperlink w:anchor="_Toc110355544" w:history="1">
        <w:r w:rsidRPr="000A73EF">
          <w:rPr>
            <w:rStyle w:val="Hyperlink"/>
            <w:noProof/>
          </w:rPr>
          <w:t>7.9</w:t>
        </w:r>
        <w:r>
          <w:rPr>
            <w:rFonts w:asciiTheme="minorHAnsi" w:eastAsiaTheme="minorEastAsia" w:hAnsiTheme="minorHAnsi" w:cstheme="minorBidi"/>
            <w:noProof/>
            <w:sz w:val="22"/>
            <w:szCs w:val="22"/>
            <w:lang w:eastAsia="en-NZ"/>
          </w:rPr>
          <w:tab/>
        </w:r>
        <w:r w:rsidRPr="000A73EF">
          <w:rPr>
            <w:rStyle w:val="Hyperlink"/>
            <w:noProof/>
          </w:rPr>
          <w:t>Pharmaceuticals for human and veterinary use</w:t>
        </w:r>
        <w:r>
          <w:rPr>
            <w:noProof/>
            <w:webHidden/>
          </w:rPr>
          <w:tab/>
        </w:r>
        <w:r>
          <w:rPr>
            <w:noProof/>
            <w:webHidden/>
          </w:rPr>
          <w:fldChar w:fldCharType="begin"/>
        </w:r>
        <w:r>
          <w:rPr>
            <w:noProof/>
            <w:webHidden/>
          </w:rPr>
          <w:instrText xml:space="preserve"> PAGEREF _Toc110355544 \h </w:instrText>
        </w:r>
        <w:r>
          <w:rPr>
            <w:noProof/>
            <w:webHidden/>
          </w:rPr>
        </w:r>
        <w:r>
          <w:rPr>
            <w:noProof/>
            <w:webHidden/>
          </w:rPr>
          <w:fldChar w:fldCharType="separate"/>
        </w:r>
        <w:r w:rsidR="00892B2D">
          <w:rPr>
            <w:noProof/>
            <w:webHidden/>
          </w:rPr>
          <w:t>41</w:t>
        </w:r>
        <w:r>
          <w:rPr>
            <w:noProof/>
            <w:webHidden/>
          </w:rPr>
          <w:fldChar w:fldCharType="end"/>
        </w:r>
      </w:hyperlink>
    </w:p>
    <w:p w14:paraId="3AF1D7E3" w14:textId="625A62F1" w:rsidR="00AB4194" w:rsidRDefault="00AB4194">
      <w:pPr>
        <w:pStyle w:val="TOC2"/>
        <w:rPr>
          <w:rFonts w:asciiTheme="minorHAnsi" w:eastAsiaTheme="minorEastAsia" w:hAnsiTheme="minorHAnsi" w:cstheme="minorBidi"/>
          <w:noProof/>
          <w:sz w:val="22"/>
          <w:szCs w:val="22"/>
          <w:lang w:eastAsia="en-NZ"/>
        </w:rPr>
      </w:pPr>
      <w:hyperlink w:anchor="_Toc110355545" w:history="1">
        <w:r w:rsidRPr="000A73EF">
          <w:rPr>
            <w:rStyle w:val="Hyperlink"/>
            <w:noProof/>
          </w:rPr>
          <w:t>7.10</w:t>
        </w:r>
        <w:r>
          <w:rPr>
            <w:rFonts w:asciiTheme="minorHAnsi" w:eastAsiaTheme="minorEastAsia" w:hAnsiTheme="minorHAnsi" w:cstheme="minorBidi"/>
            <w:noProof/>
            <w:sz w:val="22"/>
            <w:szCs w:val="22"/>
            <w:lang w:eastAsia="en-NZ"/>
          </w:rPr>
          <w:tab/>
        </w:r>
        <w:r w:rsidRPr="000A73EF">
          <w:rPr>
            <w:rStyle w:val="Hyperlink"/>
            <w:noProof/>
          </w:rPr>
          <w:t>Cosmetics and related products</w:t>
        </w:r>
        <w:r>
          <w:rPr>
            <w:noProof/>
            <w:webHidden/>
          </w:rPr>
          <w:tab/>
        </w:r>
        <w:r>
          <w:rPr>
            <w:noProof/>
            <w:webHidden/>
          </w:rPr>
          <w:fldChar w:fldCharType="begin"/>
        </w:r>
        <w:r>
          <w:rPr>
            <w:noProof/>
            <w:webHidden/>
          </w:rPr>
          <w:instrText xml:space="preserve"> PAGEREF _Toc110355545 \h </w:instrText>
        </w:r>
        <w:r>
          <w:rPr>
            <w:noProof/>
            <w:webHidden/>
          </w:rPr>
        </w:r>
        <w:r>
          <w:rPr>
            <w:noProof/>
            <w:webHidden/>
          </w:rPr>
          <w:fldChar w:fldCharType="separate"/>
        </w:r>
        <w:r w:rsidR="00892B2D">
          <w:rPr>
            <w:noProof/>
            <w:webHidden/>
          </w:rPr>
          <w:t>42</w:t>
        </w:r>
        <w:r>
          <w:rPr>
            <w:noProof/>
            <w:webHidden/>
          </w:rPr>
          <w:fldChar w:fldCharType="end"/>
        </w:r>
      </w:hyperlink>
    </w:p>
    <w:p w14:paraId="6AF3E79E" w14:textId="52001994" w:rsidR="00AB4194" w:rsidRDefault="00AB4194">
      <w:pPr>
        <w:pStyle w:val="TOC2"/>
        <w:rPr>
          <w:rFonts w:asciiTheme="minorHAnsi" w:eastAsiaTheme="minorEastAsia" w:hAnsiTheme="minorHAnsi" w:cstheme="minorBidi"/>
          <w:noProof/>
          <w:sz w:val="22"/>
          <w:szCs w:val="22"/>
          <w:lang w:eastAsia="en-NZ"/>
        </w:rPr>
      </w:pPr>
      <w:hyperlink w:anchor="_Toc110355546" w:history="1">
        <w:r w:rsidRPr="000A73EF">
          <w:rPr>
            <w:rStyle w:val="Hyperlink"/>
            <w:rFonts w:eastAsia="Calibri"/>
            <w:noProof/>
          </w:rPr>
          <w:t>7.11</w:t>
        </w:r>
        <w:r>
          <w:rPr>
            <w:rFonts w:asciiTheme="minorHAnsi" w:eastAsiaTheme="minorEastAsia" w:hAnsiTheme="minorHAnsi" w:cstheme="minorBidi"/>
            <w:noProof/>
            <w:sz w:val="22"/>
            <w:szCs w:val="22"/>
            <w:lang w:eastAsia="en-NZ"/>
          </w:rPr>
          <w:tab/>
        </w:r>
        <w:r w:rsidRPr="000A73EF">
          <w:rPr>
            <w:rStyle w:val="Hyperlink"/>
            <w:rFonts w:eastAsia="Calibri"/>
            <w:noProof/>
          </w:rPr>
          <w:t>Summary for this category</w:t>
        </w:r>
        <w:r>
          <w:rPr>
            <w:noProof/>
            <w:webHidden/>
          </w:rPr>
          <w:tab/>
        </w:r>
        <w:r>
          <w:rPr>
            <w:noProof/>
            <w:webHidden/>
          </w:rPr>
          <w:fldChar w:fldCharType="begin"/>
        </w:r>
        <w:r>
          <w:rPr>
            <w:noProof/>
            <w:webHidden/>
          </w:rPr>
          <w:instrText xml:space="preserve"> PAGEREF _Toc110355546 \h </w:instrText>
        </w:r>
        <w:r>
          <w:rPr>
            <w:noProof/>
            <w:webHidden/>
          </w:rPr>
        </w:r>
        <w:r>
          <w:rPr>
            <w:noProof/>
            <w:webHidden/>
          </w:rPr>
          <w:fldChar w:fldCharType="separate"/>
        </w:r>
        <w:r w:rsidR="00892B2D">
          <w:rPr>
            <w:noProof/>
            <w:webHidden/>
          </w:rPr>
          <w:t>42</w:t>
        </w:r>
        <w:r>
          <w:rPr>
            <w:noProof/>
            <w:webHidden/>
          </w:rPr>
          <w:fldChar w:fldCharType="end"/>
        </w:r>
      </w:hyperlink>
    </w:p>
    <w:p w14:paraId="2A099588" w14:textId="4453A4C9" w:rsidR="00AB4194" w:rsidRDefault="00AB4194">
      <w:pPr>
        <w:pStyle w:val="TOC1"/>
        <w:rPr>
          <w:rFonts w:asciiTheme="minorHAnsi" w:eastAsiaTheme="minorEastAsia" w:hAnsiTheme="minorHAnsi" w:cstheme="minorBidi"/>
          <w:b w:val="0"/>
          <w:sz w:val="22"/>
          <w:szCs w:val="22"/>
          <w:lang w:val="en-NZ" w:eastAsia="en-NZ"/>
        </w:rPr>
      </w:pPr>
      <w:hyperlink w:anchor="_Toc110355547" w:history="1">
        <w:r w:rsidRPr="000A73EF">
          <w:rPr>
            <w:rStyle w:val="Hyperlink"/>
          </w:rPr>
          <w:t>8</w:t>
        </w:r>
        <w:r>
          <w:rPr>
            <w:rFonts w:asciiTheme="minorHAnsi" w:eastAsiaTheme="minorEastAsia" w:hAnsiTheme="minorHAnsi" w:cstheme="minorBidi"/>
            <w:b w:val="0"/>
            <w:sz w:val="22"/>
            <w:szCs w:val="22"/>
            <w:lang w:val="en-NZ" w:eastAsia="en-NZ"/>
          </w:rPr>
          <w:tab/>
        </w:r>
        <w:r w:rsidRPr="000A73EF">
          <w:rPr>
            <w:rStyle w:val="Hyperlink"/>
          </w:rPr>
          <w:t>Other intentional product/process uses</w:t>
        </w:r>
        <w:r>
          <w:rPr>
            <w:webHidden/>
          </w:rPr>
          <w:tab/>
        </w:r>
        <w:r>
          <w:rPr>
            <w:webHidden/>
          </w:rPr>
          <w:fldChar w:fldCharType="begin"/>
        </w:r>
        <w:r>
          <w:rPr>
            <w:webHidden/>
          </w:rPr>
          <w:instrText xml:space="preserve"> PAGEREF _Toc110355547 \h </w:instrText>
        </w:r>
        <w:r>
          <w:rPr>
            <w:webHidden/>
          </w:rPr>
        </w:r>
        <w:r>
          <w:rPr>
            <w:webHidden/>
          </w:rPr>
          <w:fldChar w:fldCharType="separate"/>
        </w:r>
        <w:r w:rsidR="00892B2D">
          <w:rPr>
            <w:webHidden/>
          </w:rPr>
          <w:t>43</w:t>
        </w:r>
        <w:r>
          <w:rPr>
            <w:webHidden/>
          </w:rPr>
          <w:fldChar w:fldCharType="end"/>
        </w:r>
      </w:hyperlink>
    </w:p>
    <w:p w14:paraId="4CBA4312" w14:textId="1A2EDE8E" w:rsidR="00AB4194" w:rsidRDefault="00AB4194">
      <w:pPr>
        <w:pStyle w:val="TOC2"/>
        <w:rPr>
          <w:rFonts w:asciiTheme="minorHAnsi" w:eastAsiaTheme="minorEastAsia" w:hAnsiTheme="minorHAnsi" w:cstheme="minorBidi"/>
          <w:noProof/>
          <w:sz w:val="22"/>
          <w:szCs w:val="22"/>
          <w:lang w:eastAsia="en-NZ"/>
        </w:rPr>
      </w:pPr>
      <w:hyperlink w:anchor="_Toc110355548" w:history="1">
        <w:r w:rsidRPr="000A73EF">
          <w:rPr>
            <w:rStyle w:val="Hyperlink"/>
            <w:noProof/>
          </w:rPr>
          <w:t>8.1</w:t>
        </w:r>
        <w:r>
          <w:rPr>
            <w:rFonts w:asciiTheme="minorHAnsi" w:eastAsiaTheme="minorEastAsia" w:hAnsiTheme="minorHAnsi" w:cstheme="minorBidi"/>
            <w:noProof/>
            <w:sz w:val="22"/>
            <w:szCs w:val="22"/>
            <w:lang w:eastAsia="en-NZ"/>
          </w:rPr>
          <w:tab/>
        </w:r>
        <w:r w:rsidRPr="000A73EF">
          <w:rPr>
            <w:rStyle w:val="Hyperlink"/>
            <w:noProof/>
          </w:rPr>
          <w:t>Dental mercury amalgam fillings</w:t>
        </w:r>
        <w:r>
          <w:rPr>
            <w:noProof/>
            <w:webHidden/>
          </w:rPr>
          <w:tab/>
        </w:r>
        <w:r>
          <w:rPr>
            <w:noProof/>
            <w:webHidden/>
          </w:rPr>
          <w:fldChar w:fldCharType="begin"/>
        </w:r>
        <w:r>
          <w:rPr>
            <w:noProof/>
            <w:webHidden/>
          </w:rPr>
          <w:instrText xml:space="preserve"> PAGEREF _Toc110355548 \h </w:instrText>
        </w:r>
        <w:r>
          <w:rPr>
            <w:noProof/>
            <w:webHidden/>
          </w:rPr>
        </w:r>
        <w:r>
          <w:rPr>
            <w:noProof/>
            <w:webHidden/>
          </w:rPr>
          <w:fldChar w:fldCharType="separate"/>
        </w:r>
        <w:r w:rsidR="00892B2D">
          <w:rPr>
            <w:noProof/>
            <w:webHidden/>
          </w:rPr>
          <w:t>43</w:t>
        </w:r>
        <w:r>
          <w:rPr>
            <w:noProof/>
            <w:webHidden/>
          </w:rPr>
          <w:fldChar w:fldCharType="end"/>
        </w:r>
      </w:hyperlink>
    </w:p>
    <w:p w14:paraId="20ABDA04" w14:textId="508064C3" w:rsidR="00AB4194" w:rsidRDefault="00AB4194">
      <w:pPr>
        <w:pStyle w:val="TOC2"/>
        <w:rPr>
          <w:rFonts w:asciiTheme="minorHAnsi" w:eastAsiaTheme="minorEastAsia" w:hAnsiTheme="minorHAnsi" w:cstheme="minorBidi"/>
          <w:noProof/>
          <w:sz w:val="22"/>
          <w:szCs w:val="22"/>
          <w:lang w:eastAsia="en-NZ"/>
        </w:rPr>
      </w:pPr>
      <w:hyperlink w:anchor="_Toc110355549" w:history="1">
        <w:r w:rsidRPr="000A73EF">
          <w:rPr>
            <w:rStyle w:val="Hyperlink"/>
            <w:noProof/>
          </w:rPr>
          <w:t>8.2</w:t>
        </w:r>
        <w:r>
          <w:rPr>
            <w:rFonts w:asciiTheme="minorHAnsi" w:eastAsiaTheme="minorEastAsia" w:hAnsiTheme="minorHAnsi" w:cstheme="minorBidi"/>
            <w:noProof/>
            <w:sz w:val="22"/>
            <w:szCs w:val="22"/>
            <w:lang w:eastAsia="en-NZ"/>
          </w:rPr>
          <w:tab/>
        </w:r>
        <w:r w:rsidRPr="000A73EF">
          <w:rPr>
            <w:rStyle w:val="Hyperlink"/>
            <w:noProof/>
          </w:rPr>
          <w:t>Manometers and gauges</w:t>
        </w:r>
        <w:r>
          <w:rPr>
            <w:noProof/>
            <w:webHidden/>
          </w:rPr>
          <w:tab/>
        </w:r>
        <w:r>
          <w:rPr>
            <w:noProof/>
            <w:webHidden/>
          </w:rPr>
          <w:fldChar w:fldCharType="begin"/>
        </w:r>
        <w:r>
          <w:rPr>
            <w:noProof/>
            <w:webHidden/>
          </w:rPr>
          <w:instrText xml:space="preserve"> PAGEREF _Toc110355549 \h </w:instrText>
        </w:r>
        <w:r>
          <w:rPr>
            <w:noProof/>
            <w:webHidden/>
          </w:rPr>
        </w:r>
        <w:r>
          <w:rPr>
            <w:noProof/>
            <w:webHidden/>
          </w:rPr>
          <w:fldChar w:fldCharType="separate"/>
        </w:r>
        <w:r w:rsidR="00892B2D">
          <w:rPr>
            <w:noProof/>
            <w:webHidden/>
          </w:rPr>
          <w:t>44</w:t>
        </w:r>
        <w:r>
          <w:rPr>
            <w:noProof/>
            <w:webHidden/>
          </w:rPr>
          <w:fldChar w:fldCharType="end"/>
        </w:r>
      </w:hyperlink>
    </w:p>
    <w:p w14:paraId="7BD78213" w14:textId="54C07BBC" w:rsidR="00AB4194" w:rsidRDefault="00AB4194">
      <w:pPr>
        <w:pStyle w:val="TOC2"/>
        <w:rPr>
          <w:rFonts w:asciiTheme="minorHAnsi" w:eastAsiaTheme="minorEastAsia" w:hAnsiTheme="minorHAnsi" w:cstheme="minorBidi"/>
          <w:noProof/>
          <w:sz w:val="22"/>
          <w:szCs w:val="22"/>
          <w:lang w:eastAsia="en-NZ"/>
        </w:rPr>
      </w:pPr>
      <w:hyperlink w:anchor="_Toc110355550" w:history="1">
        <w:r w:rsidRPr="000A73EF">
          <w:rPr>
            <w:rStyle w:val="Hyperlink"/>
            <w:noProof/>
          </w:rPr>
          <w:t>8.3</w:t>
        </w:r>
        <w:r>
          <w:rPr>
            <w:rFonts w:asciiTheme="minorHAnsi" w:eastAsiaTheme="minorEastAsia" w:hAnsiTheme="minorHAnsi" w:cstheme="minorBidi"/>
            <w:noProof/>
            <w:sz w:val="22"/>
            <w:szCs w:val="22"/>
            <w:lang w:eastAsia="en-NZ"/>
          </w:rPr>
          <w:tab/>
        </w:r>
        <w:r w:rsidRPr="000A73EF">
          <w:rPr>
            <w:rStyle w:val="Hyperlink"/>
            <w:noProof/>
          </w:rPr>
          <w:t>Laboratory chemicals and equipment</w:t>
        </w:r>
        <w:r>
          <w:rPr>
            <w:noProof/>
            <w:webHidden/>
          </w:rPr>
          <w:tab/>
        </w:r>
        <w:r>
          <w:rPr>
            <w:noProof/>
            <w:webHidden/>
          </w:rPr>
          <w:fldChar w:fldCharType="begin"/>
        </w:r>
        <w:r>
          <w:rPr>
            <w:noProof/>
            <w:webHidden/>
          </w:rPr>
          <w:instrText xml:space="preserve"> PAGEREF _Toc110355550 \h </w:instrText>
        </w:r>
        <w:r>
          <w:rPr>
            <w:noProof/>
            <w:webHidden/>
          </w:rPr>
        </w:r>
        <w:r>
          <w:rPr>
            <w:noProof/>
            <w:webHidden/>
          </w:rPr>
          <w:fldChar w:fldCharType="separate"/>
        </w:r>
        <w:r w:rsidR="00892B2D">
          <w:rPr>
            <w:noProof/>
            <w:webHidden/>
          </w:rPr>
          <w:t>44</w:t>
        </w:r>
        <w:r>
          <w:rPr>
            <w:noProof/>
            <w:webHidden/>
          </w:rPr>
          <w:fldChar w:fldCharType="end"/>
        </w:r>
      </w:hyperlink>
    </w:p>
    <w:p w14:paraId="15A5FCB4" w14:textId="796B414A" w:rsidR="00AB4194" w:rsidRDefault="00AB4194">
      <w:pPr>
        <w:pStyle w:val="TOC2"/>
        <w:rPr>
          <w:rFonts w:asciiTheme="minorHAnsi" w:eastAsiaTheme="minorEastAsia" w:hAnsiTheme="minorHAnsi" w:cstheme="minorBidi"/>
          <w:noProof/>
          <w:sz w:val="22"/>
          <w:szCs w:val="22"/>
          <w:lang w:eastAsia="en-NZ"/>
        </w:rPr>
      </w:pPr>
      <w:hyperlink w:anchor="_Toc110355551" w:history="1">
        <w:r w:rsidRPr="000A73EF">
          <w:rPr>
            <w:rStyle w:val="Hyperlink"/>
            <w:noProof/>
          </w:rPr>
          <w:t>8.4</w:t>
        </w:r>
        <w:r>
          <w:rPr>
            <w:rFonts w:asciiTheme="minorHAnsi" w:eastAsiaTheme="minorEastAsia" w:hAnsiTheme="minorHAnsi" w:cstheme="minorBidi"/>
            <w:noProof/>
            <w:sz w:val="22"/>
            <w:szCs w:val="22"/>
            <w:lang w:eastAsia="en-NZ"/>
          </w:rPr>
          <w:tab/>
        </w:r>
        <w:r w:rsidRPr="000A73EF">
          <w:rPr>
            <w:rStyle w:val="Hyperlink"/>
            <w:noProof/>
          </w:rPr>
          <w:t>Mercury use in religious rituals and folklore medicine</w:t>
        </w:r>
        <w:r>
          <w:rPr>
            <w:noProof/>
            <w:webHidden/>
          </w:rPr>
          <w:tab/>
        </w:r>
        <w:r>
          <w:rPr>
            <w:noProof/>
            <w:webHidden/>
          </w:rPr>
          <w:fldChar w:fldCharType="begin"/>
        </w:r>
        <w:r>
          <w:rPr>
            <w:noProof/>
            <w:webHidden/>
          </w:rPr>
          <w:instrText xml:space="preserve"> PAGEREF _Toc110355551 \h </w:instrText>
        </w:r>
        <w:r>
          <w:rPr>
            <w:noProof/>
            <w:webHidden/>
          </w:rPr>
        </w:r>
        <w:r>
          <w:rPr>
            <w:noProof/>
            <w:webHidden/>
          </w:rPr>
          <w:fldChar w:fldCharType="separate"/>
        </w:r>
        <w:r w:rsidR="00892B2D">
          <w:rPr>
            <w:noProof/>
            <w:webHidden/>
          </w:rPr>
          <w:t>45</w:t>
        </w:r>
        <w:r>
          <w:rPr>
            <w:noProof/>
            <w:webHidden/>
          </w:rPr>
          <w:fldChar w:fldCharType="end"/>
        </w:r>
      </w:hyperlink>
    </w:p>
    <w:p w14:paraId="1BDC4B27" w14:textId="0A98744B" w:rsidR="00AB4194" w:rsidRDefault="00AB4194">
      <w:pPr>
        <w:pStyle w:val="TOC2"/>
        <w:rPr>
          <w:rFonts w:asciiTheme="minorHAnsi" w:eastAsiaTheme="minorEastAsia" w:hAnsiTheme="minorHAnsi" w:cstheme="minorBidi"/>
          <w:noProof/>
          <w:sz w:val="22"/>
          <w:szCs w:val="22"/>
          <w:lang w:eastAsia="en-NZ"/>
        </w:rPr>
      </w:pPr>
      <w:hyperlink w:anchor="_Toc110355552" w:history="1">
        <w:r w:rsidRPr="000A73EF">
          <w:rPr>
            <w:rStyle w:val="Hyperlink"/>
            <w:noProof/>
          </w:rPr>
          <w:t>8.5</w:t>
        </w:r>
        <w:r>
          <w:rPr>
            <w:rFonts w:asciiTheme="minorHAnsi" w:eastAsiaTheme="minorEastAsia" w:hAnsiTheme="minorHAnsi" w:cstheme="minorBidi"/>
            <w:noProof/>
            <w:sz w:val="22"/>
            <w:szCs w:val="22"/>
            <w:lang w:eastAsia="en-NZ"/>
          </w:rPr>
          <w:tab/>
        </w:r>
        <w:r w:rsidRPr="000A73EF">
          <w:rPr>
            <w:rStyle w:val="Hyperlink"/>
            <w:noProof/>
          </w:rPr>
          <w:t>Miscellaneous product uses and other sources</w:t>
        </w:r>
        <w:r>
          <w:rPr>
            <w:noProof/>
            <w:webHidden/>
          </w:rPr>
          <w:tab/>
        </w:r>
        <w:r>
          <w:rPr>
            <w:noProof/>
            <w:webHidden/>
          </w:rPr>
          <w:fldChar w:fldCharType="begin"/>
        </w:r>
        <w:r>
          <w:rPr>
            <w:noProof/>
            <w:webHidden/>
          </w:rPr>
          <w:instrText xml:space="preserve"> PAGEREF _Toc110355552 \h </w:instrText>
        </w:r>
        <w:r>
          <w:rPr>
            <w:noProof/>
            <w:webHidden/>
          </w:rPr>
        </w:r>
        <w:r>
          <w:rPr>
            <w:noProof/>
            <w:webHidden/>
          </w:rPr>
          <w:fldChar w:fldCharType="separate"/>
        </w:r>
        <w:r w:rsidR="00892B2D">
          <w:rPr>
            <w:noProof/>
            <w:webHidden/>
          </w:rPr>
          <w:t>45</w:t>
        </w:r>
        <w:r>
          <w:rPr>
            <w:noProof/>
            <w:webHidden/>
          </w:rPr>
          <w:fldChar w:fldCharType="end"/>
        </w:r>
      </w:hyperlink>
    </w:p>
    <w:p w14:paraId="6D3BCEC3" w14:textId="6BCEEF01" w:rsidR="00AB4194" w:rsidRDefault="00AB4194">
      <w:pPr>
        <w:pStyle w:val="TOC2"/>
        <w:rPr>
          <w:rFonts w:asciiTheme="minorHAnsi" w:eastAsiaTheme="minorEastAsia" w:hAnsiTheme="minorHAnsi" w:cstheme="minorBidi"/>
          <w:noProof/>
          <w:sz w:val="22"/>
          <w:szCs w:val="22"/>
          <w:lang w:eastAsia="en-NZ"/>
        </w:rPr>
      </w:pPr>
      <w:hyperlink w:anchor="_Toc110355553" w:history="1">
        <w:r w:rsidRPr="000A73EF">
          <w:rPr>
            <w:rStyle w:val="Hyperlink"/>
            <w:rFonts w:eastAsia="Calibri"/>
            <w:noProof/>
          </w:rPr>
          <w:t>8.6</w:t>
        </w:r>
        <w:r>
          <w:rPr>
            <w:rFonts w:asciiTheme="minorHAnsi" w:eastAsiaTheme="minorEastAsia" w:hAnsiTheme="minorHAnsi" w:cstheme="minorBidi"/>
            <w:noProof/>
            <w:sz w:val="22"/>
            <w:szCs w:val="22"/>
            <w:lang w:eastAsia="en-NZ"/>
          </w:rPr>
          <w:tab/>
        </w:r>
        <w:r w:rsidRPr="000A73EF">
          <w:rPr>
            <w:rStyle w:val="Hyperlink"/>
            <w:rFonts w:eastAsia="Calibri"/>
            <w:noProof/>
          </w:rPr>
          <w:t>Summary for this category</w:t>
        </w:r>
        <w:r>
          <w:rPr>
            <w:noProof/>
            <w:webHidden/>
          </w:rPr>
          <w:tab/>
        </w:r>
        <w:r>
          <w:rPr>
            <w:noProof/>
            <w:webHidden/>
          </w:rPr>
          <w:fldChar w:fldCharType="begin"/>
        </w:r>
        <w:r>
          <w:rPr>
            <w:noProof/>
            <w:webHidden/>
          </w:rPr>
          <w:instrText xml:space="preserve"> PAGEREF _Toc110355553 \h </w:instrText>
        </w:r>
        <w:r>
          <w:rPr>
            <w:noProof/>
            <w:webHidden/>
          </w:rPr>
        </w:r>
        <w:r>
          <w:rPr>
            <w:noProof/>
            <w:webHidden/>
          </w:rPr>
          <w:fldChar w:fldCharType="separate"/>
        </w:r>
        <w:r w:rsidR="00892B2D">
          <w:rPr>
            <w:noProof/>
            <w:webHidden/>
          </w:rPr>
          <w:t>46</w:t>
        </w:r>
        <w:r>
          <w:rPr>
            <w:noProof/>
            <w:webHidden/>
          </w:rPr>
          <w:fldChar w:fldCharType="end"/>
        </w:r>
      </w:hyperlink>
    </w:p>
    <w:p w14:paraId="2A780681" w14:textId="2006DB03" w:rsidR="00AB4194" w:rsidRDefault="00AB4194">
      <w:pPr>
        <w:pStyle w:val="TOC1"/>
        <w:rPr>
          <w:rFonts w:asciiTheme="minorHAnsi" w:eastAsiaTheme="minorEastAsia" w:hAnsiTheme="minorHAnsi" w:cstheme="minorBidi"/>
          <w:b w:val="0"/>
          <w:sz w:val="22"/>
          <w:szCs w:val="22"/>
          <w:lang w:val="en-NZ" w:eastAsia="en-NZ"/>
        </w:rPr>
      </w:pPr>
      <w:hyperlink w:anchor="_Toc110355554" w:history="1">
        <w:r w:rsidRPr="000A73EF">
          <w:rPr>
            <w:rStyle w:val="Hyperlink"/>
          </w:rPr>
          <w:t>9</w:t>
        </w:r>
        <w:r>
          <w:rPr>
            <w:rFonts w:asciiTheme="minorHAnsi" w:eastAsiaTheme="minorEastAsia" w:hAnsiTheme="minorHAnsi" w:cstheme="minorBidi"/>
            <w:b w:val="0"/>
            <w:sz w:val="22"/>
            <w:szCs w:val="22"/>
            <w:lang w:val="en-NZ" w:eastAsia="en-NZ"/>
          </w:rPr>
          <w:tab/>
        </w:r>
        <w:r w:rsidRPr="000A73EF">
          <w:rPr>
            <w:rStyle w:val="Hyperlink"/>
          </w:rPr>
          <w:t>Production of recycled metals (secondary metal production)</w:t>
        </w:r>
        <w:r>
          <w:rPr>
            <w:webHidden/>
          </w:rPr>
          <w:tab/>
        </w:r>
        <w:r>
          <w:rPr>
            <w:webHidden/>
          </w:rPr>
          <w:fldChar w:fldCharType="begin"/>
        </w:r>
        <w:r>
          <w:rPr>
            <w:webHidden/>
          </w:rPr>
          <w:instrText xml:space="preserve"> PAGEREF _Toc110355554 \h </w:instrText>
        </w:r>
        <w:r>
          <w:rPr>
            <w:webHidden/>
          </w:rPr>
        </w:r>
        <w:r>
          <w:rPr>
            <w:webHidden/>
          </w:rPr>
          <w:fldChar w:fldCharType="separate"/>
        </w:r>
        <w:r w:rsidR="00892B2D">
          <w:rPr>
            <w:webHidden/>
          </w:rPr>
          <w:t>47</w:t>
        </w:r>
        <w:r>
          <w:rPr>
            <w:webHidden/>
          </w:rPr>
          <w:fldChar w:fldCharType="end"/>
        </w:r>
      </w:hyperlink>
    </w:p>
    <w:p w14:paraId="599E397C" w14:textId="00CB9D3E" w:rsidR="00AB4194" w:rsidRDefault="00AB4194">
      <w:pPr>
        <w:pStyle w:val="TOC2"/>
        <w:rPr>
          <w:rFonts w:asciiTheme="minorHAnsi" w:eastAsiaTheme="minorEastAsia" w:hAnsiTheme="minorHAnsi" w:cstheme="minorBidi"/>
          <w:noProof/>
          <w:sz w:val="22"/>
          <w:szCs w:val="22"/>
          <w:lang w:eastAsia="en-NZ"/>
        </w:rPr>
      </w:pPr>
      <w:hyperlink w:anchor="_Toc110355555" w:history="1">
        <w:r w:rsidRPr="000A73EF">
          <w:rPr>
            <w:rStyle w:val="Hyperlink"/>
            <w:noProof/>
          </w:rPr>
          <w:t>9.1</w:t>
        </w:r>
        <w:r>
          <w:rPr>
            <w:rFonts w:asciiTheme="minorHAnsi" w:eastAsiaTheme="minorEastAsia" w:hAnsiTheme="minorHAnsi" w:cstheme="minorBidi"/>
            <w:noProof/>
            <w:sz w:val="22"/>
            <w:szCs w:val="22"/>
            <w:lang w:eastAsia="en-NZ"/>
          </w:rPr>
          <w:tab/>
        </w:r>
        <w:r w:rsidRPr="000A73EF">
          <w:rPr>
            <w:rStyle w:val="Hyperlink"/>
            <w:noProof/>
          </w:rPr>
          <w:t>Recycled mercury</w:t>
        </w:r>
        <w:r>
          <w:rPr>
            <w:noProof/>
            <w:webHidden/>
          </w:rPr>
          <w:tab/>
        </w:r>
        <w:r>
          <w:rPr>
            <w:noProof/>
            <w:webHidden/>
          </w:rPr>
          <w:fldChar w:fldCharType="begin"/>
        </w:r>
        <w:r>
          <w:rPr>
            <w:noProof/>
            <w:webHidden/>
          </w:rPr>
          <w:instrText xml:space="preserve"> PAGEREF _Toc110355555 \h </w:instrText>
        </w:r>
        <w:r>
          <w:rPr>
            <w:noProof/>
            <w:webHidden/>
          </w:rPr>
        </w:r>
        <w:r>
          <w:rPr>
            <w:noProof/>
            <w:webHidden/>
          </w:rPr>
          <w:fldChar w:fldCharType="separate"/>
        </w:r>
        <w:r w:rsidR="00892B2D">
          <w:rPr>
            <w:noProof/>
            <w:webHidden/>
          </w:rPr>
          <w:t>47</w:t>
        </w:r>
        <w:r>
          <w:rPr>
            <w:noProof/>
            <w:webHidden/>
          </w:rPr>
          <w:fldChar w:fldCharType="end"/>
        </w:r>
      </w:hyperlink>
    </w:p>
    <w:p w14:paraId="261033D9" w14:textId="4BAD9ADD" w:rsidR="00AB4194" w:rsidRDefault="00AB4194">
      <w:pPr>
        <w:pStyle w:val="TOC2"/>
        <w:rPr>
          <w:rFonts w:asciiTheme="minorHAnsi" w:eastAsiaTheme="minorEastAsia" w:hAnsiTheme="minorHAnsi" w:cstheme="minorBidi"/>
          <w:noProof/>
          <w:sz w:val="22"/>
          <w:szCs w:val="22"/>
          <w:lang w:eastAsia="en-NZ"/>
        </w:rPr>
      </w:pPr>
      <w:hyperlink w:anchor="_Toc110355556" w:history="1">
        <w:r w:rsidRPr="000A73EF">
          <w:rPr>
            <w:rStyle w:val="Hyperlink"/>
            <w:noProof/>
          </w:rPr>
          <w:t>9.2</w:t>
        </w:r>
        <w:r>
          <w:rPr>
            <w:rFonts w:asciiTheme="minorHAnsi" w:eastAsiaTheme="minorEastAsia" w:hAnsiTheme="minorHAnsi" w:cstheme="minorBidi"/>
            <w:noProof/>
            <w:sz w:val="22"/>
            <w:szCs w:val="22"/>
            <w:lang w:eastAsia="en-NZ"/>
          </w:rPr>
          <w:tab/>
        </w:r>
        <w:r w:rsidRPr="000A73EF">
          <w:rPr>
            <w:rStyle w:val="Hyperlink"/>
            <w:noProof/>
          </w:rPr>
          <w:t>Ferrous metals (secondary steel)</w:t>
        </w:r>
        <w:r>
          <w:rPr>
            <w:noProof/>
            <w:webHidden/>
          </w:rPr>
          <w:tab/>
        </w:r>
        <w:r>
          <w:rPr>
            <w:noProof/>
            <w:webHidden/>
          </w:rPr>
          <w:fldChar w:fldCharType="begin"/>
        </w:r>
        <w:r>
          <w:rPr>
            <w:noProof/>
            <w:webHidden/>
          </w:rPr>
          <w:instrText xml:space="preserve"> PAGEREF _Toc110355556 \h </w:instrText>
        </w:r>
        <w:r>
          <w:rPr>
            <w:noProof/>
            <w:webHidden/>
          </w:rPr>
        </w:r>
        <w:r>
          <w:rPr>
            <w:noProof/>
            <w:webHidden/>
          </w:rPr>
          <w:fldChar w:fldCharType="separate"/>
        </w:r>
        <w:r w:rsidR="00892B2D">
          <w:rPr>
            <w:noProof/>
            <w:webHidden/>
          </w:rPr>
          <w:t>47</w:t>
        </w:r>
        <w:r>
          <w:rPr>
            <w:noProof/>
            <w:webHidden/>
          </w:rPr>
          <w:fldChar w:fldCharType="end"/>
        </w:r>
      </w:hyperlink>
    </w:p>
    <w:p w14:paraId="56A1D197" w14:textId="4856FDA0" w:rsidR="00AB4194" w:rsidRDefault="00AB4194">
      <w:pPr>
        <w:pStyle w:val="TOC2"/>
        <w:rPr>
          <w:rFonts w:asciiTheme="minorHAnsi" w:eastAsiaTheme="minorEastAsia" w:hAnsiTheme="minorHAnsi" w:cstheme="minorBidi"/>
          <w:noProof/>
          <w:sz w:val="22"/>
          <w:szCs w:val="22"/>
          <w:lang w:eastAsia="en-NZ"/>
        </w:rPr>
      </w:pPr>
      <w:hyperlink w:anchor="_Toc110355557" w:history="1">
        <w:r w:rsidRPr="000A73EF">
          <w:rPr>
            <w:rStyle w:val="Hyperlink"/>
            <w:noProof/>
          </w:rPr>
          <w:t>9.3</w:t>
        </w:r>
        <w:r>
          <w:rPr>
            <w:rFonts w:asciiTheme="minorHAnsi" w:eastAsiaTheme="minorEastAsia" w:hAnsiTheme="minorHAnsi" w:cstheme="minorBidi"/>
            <w:noProof/>
            <w:sz w:val="22"/>
            <w:szCs w:val="22"/>
            <w:lang w:eastAsia="en-NZ"/>
          </w:rPr>
          <w:tab/>
        </w:r>
        <w:r w:rsidRPr="000A73EF">
          <w:rPr>
            <w:rStyle w:val="Hyperlink"/>
            <w:noProof/>
          </w:rPr>
          <w:t>Production of other recycled metals</w:t>
        </w:r>
        <w:r>
          <w:rPr>
            <w:noProof/>
            <w:webHidden/>
          </w:rPr>
          <w:tab/>
        </w:r>
        <w:r>
          <w:rPr>
            <w:noProof/>
            <w:webHidden/>
          </w:rPr>
          <w:fldChar w:fldCharType="begin"/>
        </w:r>
        <w:r>
          <w:rPr>
            <w:noProof/>
            <w:webHidden/>
          </w:rPr>
          <w:instrText xml:space="preserve"> PAGEREF _Toc110355557 \h </w:instrText>
        </w:r>
        <w:r>
          <w:rPr>
            <w:noProof/>
            <w:webHidden/>
          </w:rPr>
        </w:r>
        <w:r>
          <w:rPr>
            <w:noProof/>
            <w:webHidden/>
          </w:rPr>
          <w:fldChar w:fldCharType="separate"/>
        </w:r>
        <w:r w:rsidR="00892B2D">
          <w:rPr>
            <w:noProof/>
            <w:webHidden/>
          </w:rPr>
          <w:t>47</w:t>
        </w:r>
        <w:r>
          <w:rPr>
            <w:noProof/>
            <w:webHidden/>
          </w:rPr>
          <w:fldChar w:fldCharType="end"/>
        </w:r>
      </w:hyperlink>
    </w:p>
    <w:p w14:paraId="18F26BD1" w14:textId="36AF64C4" w:rsidR="00AB4194" w:rsidRDefault="00AB4194">
      <w:pPr>
        <w:pStyle w:val="TOC2"/>
        <w:rPr>
          <w:rFonts w:asciiTheme="minorHAnsi" w:eastAsiaTheme="minorEastAsia" w:hAnsiTheme="minorHAnsi" w:cstheme="minorBidi"/>
          <w:noProof/>
          <w:sz w:val="22"/>
          <w:szCs w:val="22"/>
          <w:lang w:eastAsia="en-NZ"/>
        </w:rPr>
      </w:pPr>
      <w:hyperlink w:anchor="_Toc110355558" w:history="1">
        <w:r w:rsidRPr="000A73EF">
          <w:rPr>
            <w:rStyle w:val="Hyperlink"/>
            <w:rFonts w:eastAsia="Calibri"/>
            <w:noProof/>
          </w:rPr>
          <w:t>9.4</w:t>
        </w:r>
        <w:r>
          <w:rPr>
            <w:rFonts w:asciiTheme="minorHAnsi" w:eastAsiaTheme="minorEastAsia" w:hAnsiTheme="minorHAnsi" w:cstheme="minorBidi"/>
            <w:noProof/>
            <w:sz w:val="22"/>
            <w:szCs w:val="22"/>
            <w:lang w:eastAsia="en-NZ"/>
          </w:rPr>
          <w:tab/>
        </w:r>
        <w:r w:rsidRPr="000A73EF">
          <w:rPr>
            <w:rStyle w:val="Hyperlink"/>
            <w:rFonts w:eastAsia="Calibri"/>
            <w:noProof/>
          </w:rPr>
          <w:t>Summary for this category</w:t>
        </w:r>
        <w:r>
          <w:rPr>
            <w:noProof/>
            <w:webHidden/>
          </w:rPr>
          <w:tab/>
        </w:r>
        <w:r>
          <w:rPr>
            <w:noProof/>
            <w:webHidden/>
          </w:rPr>
          <w:fldChar w:fldCharType="begin"/>
        </w:r>
        <w:r>
          <w:rPr>
            <w:noProof/>
            <w:webHidden/>
          </w:rPr>
          <w:instrText xml:space="preserve"> PAGEREF _Toc110355558 \h </w:instrText>
        </w:r>
        <w:r>
          <w:rPr>
            <w:noProof/>
            <w:webHidden/>
          </w:rPr>
        </w:r>
        <w:r>
          <w:rPr>
            <w:noProof/>
            <w:webHidden/>
          </w:rPr>
          <w:fldChar w:fldCharType="separate"/>
        </w:r>
        <w:r w:rsidR="00892B2D">
          <w:rPr>
            <w:noProof/>
            <w:webHidden/>
          </w:rPr>
          <w:t>47</w:t>
        </w:r>
        <w:r>
          <w:rPr>
            <w:noProof/>
            <w:webHidden/>
          </w:rPr>
          <w:fldChar w:fldCharType="end"/>
        </w:r>
      </w:hyperlink>
    </w:p>
    <w:p w14:paraId="271F023A" w14:textId="4522BF27" w:rsidR="00AB4194" w:rsidRDefault="00AB4194">
      <w:pPr>
        <w:pStyle w:val="TOC1"/>
        <w:rPr>
          <w:rFonts w:asciiTheme="minorHAnsi" w:eastAsiaTheme="minorEastAsia" w:hAnsiTheme="minorHAnsi" w:cstheme="minorBidi"/>
          <w:b w:val="0"/>
          <w:sz w:val="22"/>
          <w:szCs w:val="22"/>
          <w:lang w:val="en-NZ" w:eastAsia="en-NZ"/>
        </w:rPr>
      </w:pPr>
      <w:hyperlink w:anchor="_Toc110355559" w:history="1">
        <w:r w:rsidRPr="000A73EF">
          <w:rPr>
            <w:rStyle w:val="Hyperlink"/>
          </w:rPr>
          <w:t>10</w:t>
        </w:r>
        <w:r>
          <w:rPr>
            <w:rFonts w:asciiTheme="minorHAnsi" w:eastAsiaTheme="minorEastAsia" w:hAnsiTheme="minorHAnsi" w:cstheme="minorBidi"/>
            <w:b w:val="0"/>
            <w:sz w:val="22"/>
            <w:szCs w:val="22"/>
            <w:lang w:val="en-NZ" w:eastAsia="en-NZ"/>
          </w:rPr>
          <w:tab/>
        </w:r>
        <w:r w:rsidRPr="000A73EF">
          <w:rPr>
            <w:rStyle w:val="Hyperlink"/>
          </w:rPr>
          <w:t>Waste incineration</w:t>
        </w:r>
        <w:r>
          <w:rPr>
            <w:webHidden/>
          </w:rPr>
          <w:tab/>
        </w:r>
        <w:r>
          <w:rPr>
            <w:webHidden/>
          </w:rPr>
          <w:fldChar w:fldCharType="begin"/>
        </w:r>
        <w:r>
          <w:rPr>
            <w:webHidden/>
          </w:rPr>
          <w:instrText xml:space="preserve"> PAGEREF _Toc110355559 \h </w:instrText>
        </w:r>
        <w:r>
          <w:rPr>
            <w:webHidden/>
          </w:rPr>
        </w:r>
        <w:r>
          <w:rPr>
            <w:webHidden/>
          </w:rPr>
          <w:fldChar w:fldCharType="separate"/>
        </w:r>
        <w:r w:rsidR="00892B2D">
          <w:rPr>
            <w:webHidden/>
          </w:rPr>
          <w:t>48</w:t>
        </w:r>
        <w:r>
          <w:rPr>
            <w:webHidden/>
          </w:rPr>
          <w:fldChar w:fldCharType="end"/>
        </w:r>
      </w:hyperlink>
    </w:p>
    <w:p w14:paraId="6BA5219E" w14:textId="27AB951C" w:rsidR="00AB4194" w:rsidRDefault="00AB4194">
      <w:pPr>
        <w:pStyle w:val="TOC2"/>
        <w:rPr>
          <w:rFonts w:asciiTheme="minorHAnsi" w:eastAsiaTheme="minorEastAsia" w:hAnsiTheme="minorHAnsi" w:cstheme="minorBidi"/>
          <w:noProof/>
          <w:sz w:val="22"/>
          <w:szCs w:val="22"/>
          <w:lang w:eastAsia="en-NZ"/>
        </w:rPr>
      </w:pPr>
      <w:hyperlink w:anchor="_Toc110355560" w:history="1">
        <w:r w:rsidRPr="000A73EF">
          <w:rPr>
            <w:rStyle w:val="Hyperlink"/>
            <w:noProof/>
          </w:rPr>
          <w:t>10.1</w:t>
        </w:r>
        <w:r>
          <w:rPr>
            <w:rFonts w:asciiTheme="minorHAnsi" w:eastAsiaTheme="minorEastAsia" w:hAnsiTheme="minorHAnsi" w:cstheme="minorBidi"/>
            <w:noProof/>
            <w:sz w:val="22"/>
            <w:szCs w:val="22"/>
            <w:lang w:eastAsia="en-NZ"/>
          </w:rPr>
          <w:tab/>
        </w:r>
        <w:r w:rsidRPr="000A73EF">
          <w:rPr>
            <w:rStyle w:val="Hyperlink"/>
            <w:noProof/>
          </w:rPr>
          <w:t>Municipal waste incineration</w:t>
        </w:r>
        <w:r>
          <w:rPr>
            <w:noProof/>
            <w:webHidden/>
          </w:rPr>
          <w:tab/>
        </w:r>
        <w:r>
          <w:rPr>
            <w:noProof/>
            <w:webHidden/>
          </w:rPr>
          <w:fldChar w:fldCharType="begin"/>
        </w:r>
        <w:r>
          <w:rPr>
            <w:noProof/>
            <w:webHidden/>
          </w:rPr>
          <w:instrText xml:space="preserve"> PAGEREF _Toc110355560 \h </w:instrText>
        </w:r>
        <w:r>
          <w:rPr>
            <w:noProof/>
            <w:webHidden/>
          </w:rPr>
        </w:r>
        <w:r>
          <w:rPr>
            <w:noProof/>
            <w:webHidden/>
          </w:rPr>
          <w:fldChar w:fldCharType="separate"/>
        </w:r>
        <w:r w:rsidR="00892B2D">
          <w:rPr>
            <w:noProof/>
            <w:webHidden/>
          </w:rPr>
          <w:t>48</w:t>
        </w:r>
        <w:r>
          <w:rPr>
            <w:noProof/>
            <w:webHidden/>
          </w:rPr>
          <w:fldChar w:fldCharType="end"/>
        </w:r>
      </w:hyperlink>
    </w:p>
    <w:p w14:paraId="39078D3B" w14:textId="73E55319" w:rsidR="00AB4194" w:rsidRDefault="00AB4194">
      <w:pPr>
        <w:pStyle w:val="TOC2"/>
        <w:rPr>
          <w:rFonts w:asciiTheme="minorHAnsi" w:eastAsiaTheme="minorEastAsia" w:hAnsiTheme="minorHAnsi" w:cstheme="minorBidi"/>
          <w:noProof/>
          <w:sz w:val="22"/>
          <w:szCs w:val="22"/>
          <w:lang w:eastAsia="en-NZ"/>
        </w:rPr>
      </w:pPr>
      <w:hyperlink w:anchor="_Toc110355561" w:history="1">
        <w:r w:rsidRPr="000A73EF">
          <w:rPr>
            <w:rStyle w:val="Hyperlink"/>
            <w:noProof/>
          </w:rPr>
          <w:t>10.2</w:t>
        </w:r>
        <w:r>
          <w:rPr>
            <w:rFonts w:asciiTheme="minorHAnsi" w:eastAsiaTheme="minorEastAsia" w:hAnsiTheme="minorHAnsi" w:cstheme="minorBidi"/>
            <w:noProof/>
            <w:sz w:val="22"/>
            <w:szCs w:val="22"/>
            <w:lang w:eastAsia="en-NZ"/>
          </w:rPr>
          <w:tab/>
        </w:r>
        <w:r w:rsidRPr="000A73EF">
          <w:rPr>
            <w:rStyle w:val="Hyperlink"/>
            <w:noProof/>
          </w:rPr>
          <w:t>Hazardous waste incineration</w:t>
        </w:r>
        <w:r>
          <w:rPr>
            <w:noProof/>
            <w:webHidden/>
          </w:rPr>
          <w:tab/>
        </w:r>
        <w:r>
          <w:rPr>
            <w:noProof/>
            <w:webHidden/>
          </w:rPr>
          <w:fldChar w:fldCharType="begin"/>
        </w:r>
        <w:r>
          <w:rPr>
            <w:noProof/>
            <w:webHidden/>
          </w:rPr>
          <w:instrText xml:space="preserve"> PAGEREF _Toc110355561 \h </w:instrText>
        </w:r>
        <w:r>
          <w:rPr>
            <w:noProof/>
            <w:webHidden/>
          </w:rPr>
        </w:r>
        <w:r>
          <w:rPr>
            <w:noProof/>
            <w:webHidden/>
          </w:rPr>
          <w:fldChar w:fldCharType="separate"/>
        </w:r>
        <w:r w:rsidR="00892B2D">
          <w:rPr>
            <w:noProof/>
            <w:webHidden/>
          </w:rPr>
          <w:t>48</w:t>
        </w:r>
        <w:r>
          <w:rPr>
            <w:noProof/>
            <w:webHidden/>
          </w:rPr>
          <w:fldChar w:fldCharType="end"/>
        </w:r>
      </w:hyperlink>
    </w:p>
    <w:p w14:paraId="71C1DA63" w14:textId="2538A326" w:rsidR="00AB4194" w:rsidRDefault="00AB4194">
      <w:pPr>
        <w:pStyle w:val="TOC2"/>
        <w:rPr>
          <w:rFonts w:asciiTheme="minorHAnsi" w:eastAsiaTheme="minorEastAsia" w:hAnsiTheme="minorHAnsi" w:cstheme="minorBidi"/>
          <w:noProof/>
          <w:sz w:val="22"/>
          <w:szCs w:val="22"/>
          <w:lang w:eastAsia="en-NZ"/>
        </w:rPr>
      </w:pPr>
      <w:hyperlink w:anchor="_Toc110355562" w:history="1">
        <w:r w:rsidRPr="000A73EF">
          <w:rPr>
            <w:rStyle w:val="Hyperlink"/>
            <w:noProof/>
          </w:rPr>
          <w:t>10.3</w:t>
        </w:r>
        <w:r>
          <w:rPr>
            <w:rFonts w:asciiTheme="minorHAnsi" w:eastAsiaTheme="minorEastAsia" w:hAnsiTheme="minorHAnsi" w:cstheme="minorBidi"/>
            <w:noProof/>
            <w:sz w:val="22"/>
            <w:szCs w:val="22"/>
            <w:lang w:eastAsia="en-NZ"/>
          </w:rPr>
          <w:tab/>
        </w:r>
        <w:r w:rsidRPr="000A73EF">
          <w:rPr>
            <w:rStyle w:val="Hyperlink"/>
            <w:noProof/>
          </w:rPr>
          <w:t>Medical waste incineration</w:t>
        </w:r>
        <w:r>
          <w:rPr>
            <w:noProof/>
            <w:webHidden/>
          </w:rPr>
          <w:tab/>
        </w:r>
        <w:r>
          <w:rPr>
            <w:noProof/>
            <w:webHidden/>
          </w:rPr>
          <w:fldChar w:fldCharType="begin"/>
        </w:r>
        <w:r>
          <w:rPr>
            <w:noProof/>
            <w:webHidden/>
          </w:rPr>
          <w:instrText xml:space="preserve"> PAGEREF _Toc110355562 \h </w:instrText>
        </w:r>
        <w:r>
          <w:rPr>
            <w:noProof/>
            <w:webHidden/>
          </w:rPr>
        </w:r>
        <w:r>
          <w:rPr>
            <w:noProof/>
            <w:webHidden/>
          </w:rPr>
          <w:fldChar w:fldCharType="separate"/>
        </w:r>
        <w:r w:rsidR="00892B2D">
          <w:rPr>
            <w:noProof/>
            <w:webHidden/>
          </w:rPr>
          <w:t>48</w:t>
        </w:r>
        <w:r>
          <w:rPr>
            <w:noProof/>
            <w:webHidden/>
          </w:rPr>
          <w:fldChar w:fldCharType="end"/>
        </w:r>
      </w:hyperlink>
    </w:p>
    <w:p w14:paraId="34E3EC85" w14:textId="577B6F50" w:rsidR="00AB4194" w:rsidRDefault="00AB4194">
      <w:pPr>
        <w:pStyle w:val="TOC2"/>
        <w:rPr>
          <w:rFonts w:asciiTheme="minorHAnsi" w:eastAsiaTheme="minorEastAsia" w:hAnsiTheme="minorHAnsi" w:cstheme="minorBidi"/>
          <w:noProof/>
          <w:sz w:val="22"/>
          <w:szCs w:val="22"/>
          <w:lang w:eastAsia="en-NZ"/>
        </w:rPr>
      </w:pPr>
      <w:hyperlink w:anchor="_Toc110355563" w:history="1">
        <w:r w:rsidRPr="000A73EF">
          <w:rPr>
            <w:rStyle w:val="Hyperlink"/>
            <w:noProof/>
          </w:rPr>
          <w:t>10.4</w:t>
        </w:r>
        <w:r>
          <w:rPr>
            <w:rFonts w:asciiTheme="minorHAnsi" w:eastAsiaTheme="minorEastAsia" w:hAnsiTheme="minorHAnsi" w:cstheme="minorBidi"/>
            <w:noProof/>
            <w:sz w:val="22"/>
            <w:szCs w:val="22"/>
            <w:lang w:eastAsia="en-NZ"/>
          </w:rPr>
          <w:tab/>
        </w:r>
        <w:r w:rsidRPr="000A73EF">
          <w:rPr>
            <w:rStyle w:val="Hyperlink"/>
            <w:noProof/>
          </w:rPr>
          <w:t>Sewage sludge incineration</w:t>
        </w:r>
        <w:r>
          <w:rPr>
            <w:noProof/>
            <w:webHidden/>
          </w:rPr>
          <w:tab/>
        </w:r>
        <w:r>
          <w:rPr>
            <w:noProof/>
            <w:webHidden/>
          </w:rPr>
          <w:fldChar w:fldCharType="begin"/>
        </w:r>
        <w:r>
          <w:rPr>
            <w:noProof/>
            <w:webHidden/>
          </w:rPr>
          <w:instrText xml:space="preserve"> PAGEREF _Toc110355563 \h </w:instrText>
        </w:r>
        <w:r>
          <w:rPr>
            <w:noProof/>
            <w:webHidden/>
          </w:rPr>
        </w:r>
        <w:r>
          <w:rPr>
            <w:noProof/>
            <w:webHidden/>
          </w:rPr>
          <w:fldChar w:fldCharType="separate"/>
        </w:r>
        <w:r w:rsidR="00892B2D">
          <w:rPr>
            <w:noProof/>
            <w:webHidden/>
          </w:rPr>
          <w:t>49</w:t>
        </w:r>
        <w:r>
          <w:rPr>
            <w:noProof/>
            <w:webHidden/>
          </w:rPr>
          <w:fldChar w:fldCharType="end"/>
        </w:r>
      </w:hyperlink>
    </w:p>
    <w:p w14:paraId="26F57B2A" w14:textId="4518719E" w:rsidR="00AB4194" w:rsidRDefault="00AB4194">
      <w:pPr>
        <w:pStyle w:val="TOC2"/>
        <w:rPr>
          <w:rFonts w:asciiTheme="minorHAnsi" w:eastAsiaTheme="minorEastAsia" w:hAnsiTheme="minorHAnsi" w:cstheme="minorBidi"/>
          <w:noProof/>
          <w:sz w:val="22"/>
          <w:szCs w:val="22"/>
          <w:lang w:eastAsia="en-NZ"/>
        </w:rPr>
      </w:pPr>
      <w:hyperlink w:anchor="_Toc110355564" w:history="1">
        <w:r w:rsidRPr="000A73EF">
          <w:rPr>
            <w:rStyle w:val="Hyperlink"/>
            <w:noProof/>
          </w:rPr>
          <w:t>10.5</w:t>
        </w:r>
        <w:r>
          <w:rPr>
            <w:rFonts w:asciiTheme="minorHAnsi" w:eastAsiaTheme="minorEastAsia" w:hAnsiTheme="minorHAnsi" w:cstheme="minorBidi"/>
            <w:noProof/>
            <w:sz w:val="22"/>
            <w:szCs w:val="22"/>
            <w:lang w:eastAsia="en-NZ"/>
          </w:rPr>
          <w:tab/>
        </w:r>
        <w:r w:rsidRPr="000A73EF">
          <w:rPr>
            <w:rStyle w:val="Hyperlink"/>
            <w:noProof/>
          </w:rPr>
          <w:t>Informal incineration</w:t>
        </w:r>
        <w:r>
          <w:rPr>
            <w:noProof/>
            <w:webHidden/>
          </w:rPr>
          <w:tab/>
        </w:r>
        <w:r>
          <w:rPr>
            <w:noProof/>
            <w:webHidden/>
          </w:rPr>
          <w:fldChar w:fldCharType="begin"/>
        </w:r>
        <w:r>
          <w:rPr>
            <w:noProof/>
            <w:webHidden/>
          </w:rPr>
          <w:instrText xml:space="preserve"> PAGEREF _Toc110355564 \h </w:instrText>
        </w:r>
        <w:r>
          <w:rPr>
            <w:noProof/>
            <w:webHidden/>
          </w:rPr>
        </w:r>
        <w:r>
          <w:rPr>
            <w:noProof/>
            <w:webHidden/>
          </w:rPr>
          <w:fldChar w:fldCharType="separate"/>
        </w:r>
        <w:r w:rsidR="00892B2D">
          <w:rPr>
            <w:noProof/>
            <w:webHidden/>
          </w:rPr>
          <w:t>49</w:t>
        </w:r>
        <w:r>
          <w:rPr>
            <w:noProof/>
            <w:webHidden/>
          </w:rPr>
          <w:fldChar w:fldCharType="end"/>
        </w:r>
      </w:hyperlink>
    </w:p>
    <w:p w14:paraId="3282D3B9" w14:textId="7B3CB9C6" w:rsidR="00AB4194" w:rsidRDefault="00AB4194">
      <w:pPr>
        <w:pStyle w:val="TOC2"/>
        <w:rPr>
          <w:rFonts w:asciiTheme="minorHAnsi" w:eastAsiaTheme="minorEastAsia" w:hAnsiTheme="minorHAnsi" w:cstheme="minorBidi"/>
          <w:noProof/>
          <w:sz w:val="22"/>
          <w:szCs w:val="22"/>
          <w:lang w:eastAsia="en-NZ"/>
        </w:rPr>
      </w:pPr>
      <w:hyperlink w:anchor="_Toc110355565" w:history="1">
        <w:r w:rsidRPr="000A73EF">
          <w:rPr>
            <w:rStyle w:val="Hyperlink"/>
            <w:noProof/>
          </w:rPr>
          <w:t>10.6</w:t>
        </w:r>
        <w:r>
          <w:rPr>
            <w:rFonts w:asciiTheme="minorHAnsi" w:eastAsiaTheme="minorEastAsia" w:hAnsiTheme="minorHAnsi" w:cstheme="minorBidi"/>
            <w:noProof/>
            <w:sz w:val="22"/>
            <w:szCs w:val="22"/>
            <w:lang w:eastAsia="en-NZ"/>
          </w:rPr>
          <w:tab/>
        </w:r>
        <w:r w:rsidRPr="000A73EF">
          <w:rPr>
            <w:rStyle w:val="Hyperlink"/>
            <w:noProof/>
          </w:rPr>
          <w:t>Other incineration</w:t>
        </w:r>
        <w:r>
          <w:rPr>
            <w:noProof/>
            <w:webHidden/>
          </w:rPr>
          <w:tab/>
        </w:r>
        <w:r>
          <w:rPr>
            <w:noProof/>
            <w:webHidden/>
          </w:rPr>
          <w:fldChar w:fldCharType="begin"/>
        </w:r>
        <w:r>
          <w:rPr>
            <w:noProof/>
            <w:webHidden/>
          </w:rPr>
          <w:instrText xml:space="preserve"> PAGEREF _Toc110355565 \h </w:instrText>
        </w:r>
        <w:r>
          <w:rPr>
            <w:noProof/>
            <w:webHidden/>
          </w:rPr>
        </w:r>
        <w:r>
          <w:rPr>
            <w:noProof/>
            <w:webHidden/>
          </w:rPr>
          <w:fldChar w:fldCharType="separate"/>
        </w:r>
        <w:r w:rsidR="00892B2D">
          <w:rPr>
            <w:noProof/>
            <w:webHidden/>
          </w:rPr>
          <w:t>50</w:t>
        </w:r>
        <w:r>
          <w:rPr>
            <w:noProof/>
            <w:webHidden/>
          </w:rPr>
          <w:fldChar w:fldCharType="end"/>
        </w:r>
      </w:hyperlink>
    </w:p>
    <w:p w14:paraId="60013566" w14:textId="6A9C66B5" w:rsidR="00AB4194" w:rsidRDefault="00AB4194">
      <w:pPr>
        <w:pStyle w:val="TOC2"/>
        <w:rPr>
          <w:rFonts w:asciiTheme="minorHAnsi" w:eastAsiaTheme="minorEastAsia" w:hAnsiTheme="minorHAnsi" w:cstheme="minorBidi"/>
          <w:noProof/>
          <w:sz w:val="22"/>
          <w:szCs w:val="22"/>
          <w:lang w:eastAsia="en-NZ"/>
        </w:rPr>
      </w:pPr>
      <w:hyperlink w:anchor="_Toc110355566" w:history="1">
        <w:r w:rsidRPr="000A73EF">
          <w:rPr>
            <w:rStyle w:val="Hyperlink"/>
            <w:rFonts w:eastAsia="Calibri"/>
            <w:noProof/>
          </w:rPr>
          <w:t>10.7</w:t>
        </w:r>
        <w:r>
          <w:rPr>
            <w:rFonts w:asciiTheme="minorHAnsi" w:eastAsiaTheme="minorEastAsia" w:hAnsiTheme="minorHAnsi" w:cstheme="minorBidi"/>
            <w:noProof/>
            <w:sz w:val="22"/>
            <w:szCs w:val="22"/>
            <w:lang w:eastAsia="en-NZ"/>
          </w:rPr>
          <w:tab/>
        </w:r>
        <w:r w:rsidRPr="000A73EF">
          <w:rPr>
            <w:rStyle w:val="Hyperlink"/>
            <w:rFonts w:eastAsia="Calibri"/>
            <w:noProof/>
          </w:rPr>
          <w:t>Summary for this category</w:t>
        </w:r>
        <w:r>
          <w:rPr>
            <w:noProof/>
            <w:webHidden/>
          </w:rPr>
          <w:tab/>
        </w:r>
        <w:r>
          <w:rPr>
            <w:noProof/>
            <w:webHidden/>
          </w:rPr>
          <w:fldChar w:fldCharType="begin"/>
        </w:r>
        <w:r>
          <w:rPr>
            <w:noProof/>
            <w:webHidden/>
          </w:rPr>
          <w:instrText xml:space="preserve"> PAGEREF _Toc110355566 \h </w:instrText>
        </w:r>
        <w:r>
          <w:rPr>
            <w:noProof/>
            <w:webHidden/>
          </w:rPr>
        </w:r>
        <w:r>
          <w:rPr>
            <w:noProof/>
            <w:webHidden/>
          </w:rPr>
          <w:fldChar w:fldCharType="separate"/>
        </w:r>
        <w:r w:rsidR="00892B2D">
          <w:rPr>
            <w:noProof/>
            <w:webHidden/>
          </w:rPr>
          <w:t>51</w:t>
        </w:r>
        <w:r>
          <w:rPr>
            <w:noProof/>
            <w:webHidden/>
          </w:rPr>
          <w:fldChar w:fldCharType="end"/>
        </w:r>
      </w:hyperlink>
    </w:p>
    <w:p w14:paraId="296A780D" w14:textId="2F7C6F96" w:rsidR="00AB4194" w:rsidRDefault="00AB4194">
      <w:pPr>
        <w:pStyle w:val="TOC1"/>
        <w:rPr>
          <w:rFonts w:asciiTheme="minorHAnsi" w:eastAsiaTheme="minorEastAsia" w:hAnsiTheme="minorHAnsi" w:cstheme="minorBidi"/>
          <w:b w:val="0"/>
          <w:sz w:val="22"/>
          <w:szCs w:val="22"/>
          <w:lang w:val="en-NZ" w:eastAsia="en-NZ"/>
        </w:rPr>
      </w:pPr>
      <w:hyperlink w:anchor="_Toc110355567" w:history="1">
        <w:r w:rsidRPr="000A73EF">
          <w:rPr>
            <w:rStyle w:val="Hyperlink"/>
          </w:rPr>
          <w:t>11</w:t>
        </w:r>
        <w:r>
          <w:rPr>
            <w:rFonts w:asciiTheme="minorHAnsi" w:eastAsiaTheme="minorEastAsia" w:hAnsiTheme="minorHAnsi" w:cstheme="minorBidi"/>
            <w:b w:val="0"/>
            <w:sz w:val="22"/>
            <w:szCs w:val="22"/>
            <w:lang w:val="en-NZ" w:eastAsia="en-NZ"/>
          </w:rPr>
          <w:tab/>
        </w:r>
        <w:r w:rsidRPr="000A73EF">
          <w:rPr>
            <w:rStyle w:val="Hyperlink"/>
          </w:rPr>
          <w:t>Waste deposition/landfilling and wastewater treatment</w:t>
        </w:r>
        <w:r>
          <w:rPr>
            <w:webHidden/>
          </w:rPr>
          <w:tab/>
        </w:r>
        <w:r>
          <w:rPr>
            <w:webHidden/>
          </w:rPr>
          <w:fldChar w:fldCharType="begin"/>
        </w:r>
        <w:r>
          <w:rPr>
            <w:webHidden/>
          </w:rPr>
          <w:instrText xml:space="preserve"> PAGEREF _Toc110355567 \h </w:instrText>
        </w:r>
        <w:r>
          <w:rPr>
            <w:webHidden/>
          </w:rPr>
        </w:r>
        <w:r>
          <w:rPr>
            <w:webHidden/>
          </w:rPr>
          <w:fldChar w:fldCharType="separate"/>
        </w:r>
        <w:r w:rsidR="00892B2D">
          <w:rPr>
            <w:webHidden/>
          </w:rPr>
          <w:t>52</w:t>
        </w:r>
        <w:r>
          <w:rPr>
            <w:webHidden/>
          </w:rPr>
          <w:fldChar w:fldCharType="end"/>
        </w:r>
      </w:hyperlink>
    </w:p>
    <w:p w14:paraId="748C5712" w14:textId="2DC25168" w:rsidR="00AB4194" w:rsidRDefault="00AB4194">
      <w:pPr>
        <w:pStyle w:val="TOC2"/>
        <w:rPr>
          <w:rFonts w:asciiTheme="minorHAnsi" w:eastAsiaTheme="minorEastAsia" w:hAnsiTheme="minorHAnsi" w:cstheme="minorBidi"/>
          <w:noProof/>
          <w:sz w:val="22"/>
          <w:szCs w:val="22"/>
          <w:lang w:eastAsia="en-NZ"/>
        </w:rPr>
      </w:pPr>
      <w:hyperlink w:anchor="_Toc110355568" w:history="1">
        <w:r w:rsidRPr="000A73EF">
          <w:rPr>
            <w:rStyle w:val="Hyperlink"/>
            <w:noProof/>
          </w:rPr>
          <w:t>11.1</w:t>
        </w:r>
        <w:r>
          <w:rPr>
            <w:rFonts w:asciiTheme="minorHAnsi" w:eastAsiaTheme="minorEastAsia" w:hAnsiTheme="minorHAnsi" w:cstheme="minorBidi"/>
            <w:noProof/>
            <w:sz w:val="22"/>
            <w:szCs w:val="22"/>
            <w:lang w:eastAsia="en-NZ"/>
          </w:rPr>
          <w:tab/>
        </w:r>
        <w:r w:rsidRPr="000A73EF">
          <w:rPr>
            <w:rStyle w:val="Hyperlink"/>
            <w:noProof/>
          </w:rPr>
          <w:t>Controlled landfill/deposition</w:t>
        </w:r>
        <w:r>
          <w:rPr>
            <w:noProof/>
            <w:webHidden/>
          </w:rPr>
          <w:tab/>
        </w:r>
        <w:r>
          <w:rPr>
            <w:noProof/>
            <w:webHidden/>
          </w:rPr>
          <w:fldChar w:fldCharType="begin"/>
        </w:r>
        <w:r>
          <w:rPr>
            <w:noProof/>
            <w:webHidden/>
          </w:rPr>
          <w:instrText xml:space="preserve"> PAGEREF _Toc110355568 \h </w:instrText>
        </w:r>
        <w:r>
          <w:rPr>
            <w:noProof/>
            <w:webHidden/>
          </w:rPr>
        </w:r>
        <w:r>
          <w:rPr>
            <w:noProof/>
            <w:webHidden/>
          </w:rPr>
          <w:fldChar w:fldCharType="separate"/>
        </w:r>
        <w:r w:rsidR="00892B2D">
          <w:rPr>
            <w:noProof/>
            <w:webHidden/>
          </w:rPr>
          <w:t>52</w:t>
        </w:r>
        <w:r>
          <w:rPr>
            <w:noProof/>
            <w:webHidden/>
          </w:rPr>
          <w:fldChar w:fldCharType="end"/>
        </w:r>
      </w:hyperlink>
    </w:p>
    <w:p w14:paraId="46F55143" w14:textId="7AD6A508" w:rsidR="00AB4194" w:rsidRDefault="00AB4194">
      <w:pPr>
        <w:pStyle w:val="TOC2"/>
        <w:rPr>
          <w:rFonts w:asciiTheme="minorHAnsi" w:eastAsiaTheme="minorEastAsia" w:hAnsiTheme="minorHAnsi" w:cstheme="minorBidi"/>
          <w:noProof/>
          <w:sz w:val="22"/>
          <w:szCs w:val="22"/>
          <w:lang w:eastAsia="en-NZ"/>
        </w:rPr>
      </w:pPr>
      <w:hyperlink w:anchor="_Toc110355569" w:history="1">
        <w:r w:rsidRPr="000A73EF">
          <w:rPr>
            <w:rStyle w:val="Hyperlink"/>
            <w:noProof/>
          </w:rPr>
          <w:t>11.2</w:t>
        </w:r>
        <w:r>
          <w:rPr>
            <w:rFonts w:asciiTheme="minorHAnsi" w:eastAsiaTheme="minorEastAsia" w:hAnsiTheme="minorHAnsi" w:cstheme="minorBidi"/>
            <w:noProof/>
            <w:sz w:val="22"/>
            <w:szCs w:val="22"/>
            <w:lang w:eastAsia="en-NZ"/>
          </w:rPr>
          <w:tab/>
        </w:r>
        <w:r w:rsidRPr="000A73EF">
          <w:rPr>
            <w:rStyle w:val="Hyperlink"/>
            <w:noProof/>
          </w:rPr>
          <w:t>Diffuse deposition, informal disposal and dumping</w:t>
        </w:r>
        <w:r>
          <w:rPr>
            <w:noProof/>
            <w:webHidden/>
          </w:rPr>
          <w:tab/>
        </w:r>
        <w:r>
          <w:rPr>
            <w:noProof/>
            <w:webHidden/>
          </w:rPr>
          <w:fldChar w:fldCharType="begin"/>
        </w:r>
        <w:r>
          <w:rPr>
            <w:noProof/>
            <w:webHidden/>
          </w:rPr>
          <w:instrText xml:space="preserve"> PAGEREF _Toc110355569 \h </w:instrText>
        </w:r>
        <w:r>
          <w:rPr>
            <w:noProof/>
            <w:webHidden/>
          </w:rPr>
        </w:r>
        <w:r>
          <w:rPr>
            <w:noProof/>
            <w:webHidden/>
          </w:rPr>
          <w:fldChar w:fldCharType="separate"/>
        </w:r>
        <w:r w:rsidR="00892B2D">
          <w:rPr>
            <w:noProof/>
            <w:webHidden/>
          </w:rPr>
          <w:t>53</w:t>
        </w:r>
        <w:r>
          <w:rPr>
            <w:noProof/>
            <w:webHidden/>
          </w:rPr>
          <w:fldChar w:fldCharType="end"/>
        </w:r>
      </w:hyperlink>
    </w:p>
    <w:p w14:paraId="4C3B5DC4" w14:textId="0F46C1CE" w:rsidR="00AB4194" w:rsidRDefault="00AB4194">
      <w:pPr>
        <w:pStyle w:val="TOC2"/>
        <w:rPr>
          <w:rFonts w:asciiTheme="minorHAnsi" w:eastAsiaTheme="minorEastAsia" w:hAnsiTheme="minorHAnsi" w:cstheme="minorBidi"/>
          <w:noProof/>
          <w:sz w:val="22"/>
          <w:szCs w:val="22"/>
          <w:lang w:eastAsia="en-NZ"/>
        </w:rPr>
      </w:pPr>
      <w:hyperlink w:anchor="_Toc110355570" w:history="1">
        <w:r w:rsidRPr="000A73EF">
          <w:rPr>
            <w:rStyle w:val="Hyperlink"/>
            <w:noProof/>
          </w:rPr>
          <w:t>11.3</w:t>
        </w:r>
        <w:r>
          <w:rPr>
            <w:rFonts w:asciiTheme="minorHAnsi" w:eastAsiaTheme="minorEastAsia" w:hAnsiTheme="minorHAnsi" w:cstheme="minorBidi"/>
            <w:noProof/>
            <w:sz w:val="22"/>
            <w:szCs w:val="22"/>
            <w:lang w:eastAsia="en-NZ"/>
          </w:rPr>
          <w:tab/>
        </w:r>
        <w:r w:rsidRPr="000A73EF">
          <w:rPr>
            <w:rStyle w:val="Hyperlink"/>
            <w:noProof/>
          </w:rPr>
          <w:t>Wastewater treatment systems</w:t>
        </w:r>
        <w:r>
          <w:rPr>
            <w:noProof/>
            <w:webHidden/>
          </w:rPr>
          <w:tab/>
        </w:r>
        <w:r>
          <w:rPr>
            <w:noProof/>
            <w:webHidden/>
          </w:rPr>
          <w:fldChar w:fldCharType="begin"/>
        </w:r>
        <w:r>
          <w:rPr>
            <w:noProof/>
            <w:webHidden/>
          </w:rPr>
          <w:instrText xml:space="preserve"> PAGEREF _Toc110355570 \h </w:instrText>
        </w:r>
        <w:r>
          <w:rPr>
            <w:noProof/>
            <w:webHidden/>
          </w:rPr>
        </w:r>
        <w:r>
          <w:rPr>
            <w:noProof/>
            <w:webHidden/>
          </w:rPr>
          <w:fldChar w:fldCharType="separate"/>
        </w:r>
        <w:r w:rsidR="00892B2D">
          <w:rPr>
            <w:noProof/>
            <w:webHidden/>
          </w:rPr>
          <w:t>54</w:t>
        </w:r>
        <w:r>
          <w:rPr>
            <w:noProof/>
            <w:webHidden/>
          </w:rPr>
          <w:fldChar w:fldCharType="end"/>
        </w:r>
      </w:hyperlink>
    </w:p>
    <w:p w14:paraId="1C890DA9" w14:textId="2D21B089" w:rsidR="00AB4194" w:rsidRDefault="00AB4194">
      <w:pPr>
        <w:pStyle w:val="TOC2"/>
        <w:rPr>
          <w:rFonts w:asciiTheme="minorHAnsi" w:eastAsiaTheme="minorEastAsia" w:hAnsiTheme="minorHAnsi" w:cstheme="minorBidi"/>
          <w:noProof/>
          <w:sz w:val="22"/>
          <w:szCs w:val="22"/>
          <w:lang w:eastAsia="en-NZ"/>
        </w:rPr>
      </w:pPr>
      <w:hyperlink w:anchor="_Toc110355571" w:history="1">
        <w:r w:rsidRPr="000A73EF">
          <w:rPr>
            <w:rStyle w:val="Hyperlink"/>
            <w:noProof/>
          </w:rPr>
          <w:t>11.4</w:t>
        </w:r>
        <w:r>
          <w:rPr>
            <w:rFonts w:asciiTheme="minorHAnsi" w:eastAsiaTheme="minorEastAsia" w:hAnsiTheme="minorHAnsi" w:cstheme="minorBidi"/>
            <w:noProof/>
            <w:sz w:val="22"/>
            <w:szCs w:val="22"/>
            <w:lang w:eastAsia="en-NZ"/>
          </w:rPr>
          <w:tab/>
        </w:r>
        <w:r w:rsidRPr="000A73EF">
          <w:rPr>
            <w:rStyle w:val="Hyperlink"/>
            <w:noProof/>
          </w:rPr>
          <w:t>Specialist waste disposal services</w:t>
        </w:r>
        <w:r>
          <w:rPr>
            <w:noProof/>
            <w:webHidden/>
          </w:rPr>
          <w:tab/>
        </w:r>
        <w:r>
          <w:rPr>
            <w:noProof/>
            <w:webHidden/>
          </w:rPr>
          <w:fldChar w:fldCharType="begin"/>
        </w:r>
        <w:r>
          <w:rPr>
            <w:noProof/>
            <w:webHidden/>
          </w:rPr>
          <w:instrText xml:space="preserve"> PAGEREF _Toc110355571 \h </w:instrText>
        </w:r>
        <w:r>
          <w:rPr>
            <w:noProof/>
            <w:webHidden/>
          </w:rPr>
        </w:r>
        <w:r>
          <w:rPr>
            <w:noProof/>
            <w:webHidden/>
          </w:rPr>
          <w:fldChar w:fldCharType="separate"/>
        </w:r>
        <w:r w:rsidR="00892B2D">
          <w:rPr>
            <w:noProof/>
            <w:webHidden/>
          </w:rPr>
          <w:t>55</w:t>
        </w:r>
        <w:r>
          <w:rPr>
            <w:noProof/>
            <w:webHidden/>
          </w:rPr>
          <w:fldChar w:fldCharType="end"/>
        </w:r>
      </w:hyperlink>
    </w:p>
    <w:p w14:paraId="50DDBD9F" w14:textId="0755D322" w:rsidR="00AB4194" w:rsidRDefault="00AB4194">
      <w:pPr>
        <w:pStyle w:val="TOC2"/>
        <w:rPr>
          <w:rFonts w:asciiTheme="minorHAnsi" w:eastAsiaTheme="minorEastAsia" w:hAnsiTheme="minorHAnsi" w:cstheme="minorBidi"/>
          <w:noProof/>
          <w:sz w:val="22"/>
          <w:szCs w:val="22"/>
          <w:lang w:eastAsia="en-NZ"/>
        </w:rPr>
      </w:pPr>
      <w:hyperlink w:anchor="_Toc110355572" w:history="1">
        <w:r w:rsidRPr="000A73EF">
          <w:rPr>
            <w:rStyle w:val="Hyperlink"/>
            <w:rFonts w:eastAsia="Calibri"/>
            <w:noProof/>
          </w:rPr>
          <w:t>11.5</w:t>
        </w:r>
        <w:r>
          <w:rPr>
            <w:rFonts w:asciiTheme="minorHAnsi" w:eastAsiaTheme="minorEastAsia" w:hAnsiTheme="minorHAnsi" w:cstheme="minorBidi"/>
            <w:noProof/>
            <w:sz w:val="22"/>
            <w:szCs w:val="22"/>
            <w:lang w:eastAsia="en-NZ"/>
          </w:rPr>
          <w:tab/>
        </w:r>
        <w:r w:rsidRPr="000A73EF">
          <w:rPr>
            <w:rStyle w:val="Hyperlink"/>
            <w:rFonts w:eastAsia="Calibri"/>
            <w:noProof/>
          </w:rPr>
          <w:t>Summary for this category</w:t>
        </w:r>
        <w:r>
          <w:rPr>
            <w:noProof/>
            <w:webHidden/>
          </w:rPr>
          <w:tab/>
        </w:r>
        <w:r>
          <w:rPr>
            <w:noProof/>
            <w:webHidden/>
          </w:rPr>
          <w:fldChar w:fldCharType="begin"/>
        </w:r>
        <w:r>
          <w:rPr>
            <w:noProof/>
            <w:webHidden/>
          </w:rPr>
          <w:instrText xml:space="preserve"> PAGEREF _Toc110355572 \h </w:instrText>
        </w:r>
        <w:r>
          <w:rPr>
            <w:noProof/>
            <w:webHidden/>
          </w:rPr>
        </w:r>
        <w:r>
          <w:rPr>
            <w:noProof/>
            <w:webHidden/>
          </w:rPr>
          <w:fldChar w:fldCharType="separate"/>
        </w:r>
        <w:r w:rsidR="00892B2D">
          <w:rPr>
            <w:noProof/>
            <w:webHidden/>
          </w:rPr>
          <w:t>56</w:t>
        </w:r>
        <w:r>
          <w:rPr>
            <w:noProof/>
            <w:webHidden/>
          </w:rPr>
          <w:fldChar w:fldCharType="end"/>
        </w:r>
      </w:hyperlink>
    </w:p>
    <w:p w14:paraId="65C06390" w14:textId="235ED021" w:rsidR="00AB4194" w:rsidRDefault="00AB4194">
      <w:pPr>
        <w:pStyle w:val="TOC1"/>
        <w:rPr>
          <w:rFonts w:asciiTheme="minorHAnsi" w:eastAsiaTheme="minorEastAsia" w:hAnsiTheme="minorHAnsi" w:cstheme="minorBidi"/>
          <w:b w:val="0"/>
          <w:sz w:val="22"/>
          <w:szCs w:val="22"/>
          <w:lang w:val="en-NZ" w:eastAsia="en-NZ"/>
        </w:rPr>
      </w:pPr>
      <w:hyperlink w:anchor="_Toc110355573" w:history="1">
        <w:r w:rsidRPr="000A73EF">
          <w:rPr>
            <w:rStyle w:val="Hyperlink"/>
          </w:rPr>
          <w:t>12</w:t>
        </w:r>
        <w:r>
          <w:rPr>
            <w:rFonts w:asciiTheme="minorHAnsi" w:eastAsiaTheme="minorEastAsia" w:hAnsiTheme="minorHAnsi" w:cstheme="minorBidi"/>
            <w:b w:val="0"/>
            <w:sz w:val="22"/>
            <w:szCs w:val="22"/>
            <w:lang w:val="en-NZ" w:eastAsia="en-NZ"/>
          </w:rPr>
          <w:tab/>
        </w:r>
        <w:r w:rsidRPr="000A73EF">
          <w:rPr>
            <w:rStyle w:val="Hyperlink"/>
          </w:rPr>
          <w:t>Crematoria and cemeteries</w:t>
        </w:r>
        <w:r>
          <w:rPr>
            <w:webHidden/>
          </w:rPr>
          <w:tab/>
        </w:r>
        <w:r>
          <w:rPr>
            <w:webHidden/>
          </w:rPr>
          <w:fldChar w:fldCharType="begin"/>
        </w:r>
        <w:r>
          <w:rPr>
            <w:webHidden/>
          </w:rPr>
          <w:instrText xml:space="preserve"> PAGEREF _Toc110355573 \h </w:instrText>
        </w:r>
        <w:r>
          <w:rPr>
            <w:webHidden/>
          </w:rPr>
        </w:r>
        <w:r>
          <w:rPr>
            <w:webHidden/>
          </w:rPr>
          <w:fldChar w:fldCharType="separate"/>
        </w:r>
        <w:r w:rsidR="00892B2D">
          <w:rPr>
            <w:webHidden/>
          </w:rPr>
          <w:t>57</w:t>
        </w:r>
        <w:r>
          <w:rPr>
            <w:webHidden/>
          </w:rPr>
          <w:fldChar w:fldCharType="end"/>
        </w:r>
      </w:hyperlink>
    </w:p>
    <w:p w14:paraId="20B86D3F" w14:textId="045EAAF7" w:rsidR="00AB4194" w:rsidRDefault="00AB4194">
      <w:pPr>
        <w:pStyle w:val="TOC2"/>
        <w:rPr>
          <w:rFonts w:asciiTheme="minorHAnsi" w:eastAsiaTheme="minorEastAsia" w:hAnsiTheme="minorHAnsi" w:cstheme="minorBidi"/>
          <w:noProof/>
          <w:sz w:val="22"/>
          <w:szCs w:val="22"/>
          <w:lang w:eastAsia="en-NZ"/>
        </w:rPr>
      </w:pPr>
      <w:hyperlink w:anchor="_Toc110355574" w:history="1">
        <w:r w:rsidRPr="000A73EF">
          <w:rPr>
            <w:rStyle w:val="Hyperlink"/>
            <w:noProof/>
          </w:rPr>
          <w:t>12.1</w:t>
        </w:r>
        <w:r>
          <w:rPr>
            <w:rFonts w:asciiTheme="minorHAnsi" w:eastAsiaTheme="minorEastAsia" w:hAnsiTheme="minorHAnsi" w:cstheme="minorBidi"/>
            <w:noProof/>
            <w:sz w:val="22"/>
            <w:szCs w:val="22"/>
            <w:lang w:eastAsia="en-NZ"/>
          </w:rPr>
          <w:tab/>
        </w:r>
        <w:r w:rsidRPr="000A73EF">
          <w:rPr>
            <w:rStyle w:val="Hyperlink"/>
            <w:noProof/>
          </w:rPr>
          <w:t>Crematoria and cemeteries</w:t>
        </w:r>
        <w:r>
          <w:rPr>
            <w:noProof/>
            <w:webHidden/>
          </w:rPr>
          <w:tab/>
        </w:r>
        <w:r>
          <w:rPr>
            <w:noProof/>
            <w:webHidden/>
          </w:rPr>
          <w:fldChar w:fldCharType="begin"/>
        </w:r>
        <w:r>
          <w:rPr>
            <w:noProof/>
            <w:webHidden/>
          </w:rPr>
          <w:instrText xml:space="preserve"> PAGEREF _Toc110355574 \h </w:instrText>
        </w:r>
        <w:r>
          <w:rPr>
            <w:noProof/>
            <w:webHidden/>
          </w:rPr>
        </w:r>
        <w:r>
          <w:rPr>
            <w:noProof/>
            <w:webHidden/>
          </w:rPr>
          <w:fldChar w:fldCharType="separate"/>
        </w:r>
        <w:r w:rsidR="00892B2D">
          <w:rPr>
            <w:noProof/>
            <w:webHidden/>
          </w:rPr>
          <w:t>57</w:t>
        </w:r>
        <w:r>
          <w:rPr>
            <w:noProof/>
            <w:webHidden/>
          </w:rPr>
          <w:fldChar w:fldCharType="end"/>
        </w:r>
      </w:hyperlink>
    </w:p>
    <w:p w14:paraId="5E43CCDF" w14:textId="04FFC98C" w:rsidR="00AB4194" w:rsidRDefault="00AB4194">
      <w:pPr>
        <w:pStyle w:val="TOC2"/>
        <w:rPr>
          <w:rFonts w:asciiTheme="minorHAnsi" w:eastAsiaTheme="minorEastAsia" w:hAnsiTheme="minorHAnsi" w:cstheme="minorBidi"/>
          <w:noProof/>
          <w:sz w:val="22"/>
          <w:szCs w:val="22"/>
          <w:lang w:eastAsia="en-NZ"/>
        </w:rPr>
      </w:pPr>
      <w:hyperlink w:anchor="_Toc110355575" w:history="1">
        <w:r w:rsidRPr="000A73EF">
          <w:rPr>
            <w:rStyle w:val="Hyperlink"/>
            <w:rFonts w:eastAsia="Calibri"/>
            <w:noProof/>
          </w:rPr>
          <w:t>12.2</w:t>
        </w:r>
        <w:r>
          <w:rPr>
            <w:rFonts w:asciiTheme="minorHAnsi" w:eastAsiaTheme="minorEastAsia" w:hAnsiTheme="minorHAnsi" w:cstheme="minorBidi"/>
            <w:noProof/>
            <w:sz w:val="22"/>
            <w:szCs w:val="22"/>
            <w:lang w:eastAsia="en-NZ"/>
          </w:rPr>
          <w:tab/>
        </w:r>
        <w:r w:rsidRPr="000A73EF">
          <w:rPr>
            <w:rStyle w:val="Hyperlink"/>
            <w:rFonts w:eastAsia="Calibri"/>
            <w:noProof/>
          </w:rPr>
          <w:t>Summary for this category</w:t>
        </w:r>
        <w:r>
          <w:rPr>
            <w:noProof/>
            <w:webHidden/>
          </w:rPr>
          <w:tab/>
        </w:r>
        <w:r>
          <w:rPr>
            <w:noProof/>
            <w:webHidden/>
          </w:rPr>
          <w:fldChar w:fldCharType="begin"/>
        </w:r>
        <w:r>
          <w:rPr>
            <w:noProof/>
            <w:webHidden/>
          </w:rPr>
          <w:instrText xml:space="preserve"> PAGEREF _Toc110355575 \h </w:instrText>
        </w:r>
        <w:r>
          <w:rPr>
            <w:noProof/>
            <w:webHidden/>
          </w:rPr>
        </w:r>
        <w:r>
          <w:rPr>
            <w:noProof/>
            <w:webHidden/>
          </w:rPr>
          <w:fldChar w:fldCharType="separate"/>
        </w:r>
        <w:r w:rsidR="00892B2D">
          <w:rPr>
            <w:noProof/>
            <w:webHidden/>
          </w:rPr>
          <w:t>58</w:t>
        </w:r>
        <w:r>
          <w:rPr>
            <w:noProof/>
            <w:webHidden/>
          </w:rPr>
          <w:fldChar w:fldCharType="end"/>
        </w:r>
      </w:hyperlink>
    </w:p>
    <w:p w14:paraId="6A176FAF" w14:textId="306C870A" w:rsidR="00AB4194" w:rsidRDefault="00AB4194">
      <w:pPr>
        <w:pStyle w:val="TOC1"/>
        <w:rPr>
          <w:rFonts w:asciiTheme="minorHAnsi" w:eastAsiaTheme="minorEastAsia" w:hAnsiTheme="minorHAnsi" w:cstheme="minorBidi"/>
          <w:b w:val="0"/>
          <w:sz w:val="22"/>
          <w:szCs w:val="22"/>
          <w:lang w:val="en-NZ" w:eastAsia="en-NZ"/>
        </w:rPr>
      </w:pPr>
      <w:hyperlink w:anchor="_Toc110355576" w:history="1">
        <w:r w:rsidRPr="000A73EF">
          <w:rPr>
            <w:rStyle w:val="Hyperlink"/>
          </w:rPr>
          <w:t>13</w:t>
        </w:r>
        <w:r>
          <w:rPr>
            <w:rFonts w:asciiTheme="minorHAnsi" w:eastAsiaTheme="minorEastAsia" w:hAnsiTheme="minorHAnsi" w:cstheme="minorBidi"/>
            <w:b w:val="0"/>
            <w:sz w:val="22"/>
            <w:szCs w:val="22"/>
            <w:lang w:val="en-NZ" w:eastAsia="en-NZ"/>
          </w:rPr>
          <w:tab/>
        </w:r>
        <w:r w:rsidRPr="000A73EF">
          <w:rPr>
            <w:rStyle w:val="Hyperlink"/>
          </w:rPr>
          <w:t>Potential hotspots</w:t>
        </w:r>
        <w:r>
          <w:rPr>
            <w:webHidden/>
          </w:rPr>
          <w:tab/>
        </w:r>
        <w:r>
          <w:rPr>
            <w:webHidden/>
          </w:rPr>
          <w:fldChar w:fldCharType="begin"/>
        </w:r>
        <w:r>
          <w:rPr>
            <w:webHidden/>
          </w:rPr>
          <w:instrText xml:space="preserve"> PAGEREF _Toc110355576 \h </w:instrText>
        </w:r>
        <w:r>
          <w:rPr>
            <w:webHidden/>
          </w:rPr>
        </w:r>
        <w:r>
          <w:rPr>
            <w:webHidden/>
          </w:rPr>
          <w:fldChar w:fldCharType="separate"/>
        </w:r>
        <w:r w:rsidR="00892B2D">
          <w:rPr>
            <w:webHidden/>
          </w:rPr>
          <w:t>59</w:t>
        </w:r>
        <w:r>
          <w:rPr>
            <w:webHidden/>
          </w:rPr>
          <w:fldChar w:fldCharType="end"/>
        </w:r>
      </w:hyperlink>
    </w:p>
    <w:p w14:paraId="20248343" w14:textId="69F9FAD7" w:rsidR="00AB4194" w:rsidRDefault="00AB4194">
      <w:pPr>
        <w:pStyle w:val="TOC1"/>
        <w:rPr>
          <w:rFonts w:asciiTheme="minorHAnsi" w:eastAsiaTheme="minorEastAsia" w:hAnsiTheme="minorHAnsi" w:cstheme="minorBidi"/>
          <w:b w:val="0"/>
          <w:sz w:val="22"/>
          <w:szCs w:val="22"/>
          <w:lang w:val="en-NZ" w:eastAsia="en-NZ"/>
        </w:rPr>
      </w:pPr>
      <w:hyperlink w:anchor="_Toc110355577" w:history="1">
        <w:r w:rsidRPr="000A73EF">
          <w:rPr>
            <w:rStyle w:val="Hyperlink"/>
          </w:rPr>
          <w:t>14</w:t>
        </w:r>
        <w:r>
          <w:rPr>
            <w:rFonts w:asciiTheme="minorHAnsi" w:eastAsiaTheme="minorEastAsia" w:hAnsiTheme="minorHAnsi" w:cstheme="minorBidi"/>
            <w:b w:val="0"/>
            <w:sz w:val="22"/>
            <w:szCs w:val="22"/>
            <w:lang w:val="en-NZ" w:eastAsia="en-NZ"/>
          </w:rPr>
          <w:tab/>
        </w:r>
        <w:r w:rsidRPr="000A73EF">
          <w:rPr>
            <w:rStyle w:val="Hyperlink"/>
          </w:rPr>
          <w:t>Summary and discussion</w:t>
        </w:r>
        <w:r>
          <w:rPr>
            <w:webHidden/>
          </w:rPr>
          <w:tab/>
        </w:r>
        <w:r>
          <w:rPr>
            <w:webHidden/>
          </w:rPr>
          <w:fldChar w:fldCharType="begin"/>
        </w:r>
        <w:r>
          <w:rPr>
            <w:webHidden/>
          </w:rPr>
          <w:instrText xml:space="preserve"> PAGEREF _Toc110355577 \h </w:instrText>
        </w:r>
        <w:r>
          <w:rPr>
            <w:webHidden/>
          </w:rPr>
        </w:r>
        <w:r>
          <w:rPr>
            <w:webHidden/>
          </w:rPr>
          <w:fldChar w:fldCharType="separate"/>
        </w:r>
        <w:r w:rsidR="00892B2D">
          <w:rPr>
            <w:webHidden/>
          </w:rPr>
          <w:t>60</w:t>
        </w:r>
        <w:r>
          <w:rPr>
            <w:webHidden/>
          </w:rPr>
          <w:fldChar w:fldCharType="end"/>
        </w:r>
      </w:hyperlink>
    </w:p>
    <w:p w14:paraId="33CC7064" w14:textId="76F5A9AA" w:rsidR="00AB4194" w:rsidRDefault="00AB4194">
      <w:pPr>
        <w:pStyle w:val="TOC2"/>
        <w:rPr>
          <w:rFonts w:asciiTheme="minorHAnsi" w:eastAsiaTheme="minorEastAsia" w:hAnsiTheme="minorHAnsi" w:cstheme="minorBidi"/>
          <w:noProof/>
          <w:sz w:val="22"/>
          <w:szCs w:val="22"/>
          <w:lang w:eastAsia="en-NZ"/>
        </w:rPr>
      </w:pPr>
      <w:hyperlink w:anchor="_Toc110355578" w:history="1">
        <w:r w:rsidRPr="000A73EF">
          <w:rPr>
            <w:rStyle w:val="Hyperlink"/>
            <w:noProof/>
          </w:rPr>
          <w:t>14.1</w:t>
        </w:r>
        <w:r>
          <w:rPr>
            <w:rFonts w:asciiTheme="minorHAnsi" w:eastAsiaTheme="minorEastAsia" w:hAnsiTheme="minorHAnsi" w:cstheme="minorBidi"/>
            <w:noProof/>
            <w:sz w:val="22"/>
            <w:szCs w:val="22"/>
            <w:lang w:eastAsia="en-NZ"/>
          </w:rPr>
          <w:tab/>
        </w:r>
        <w:r w:rsidRPr="000A73EF">
          <w:rPr>
            <w:rStyle w:val="Hyperlink"/>
            <w:noProof/>
          </w:rPr>
          <w:t>High level summary of mercury inputs and outputs</w:t>
        </w:r>
        <w:r>
          <w:rPr>
            <w:noProof/>
            <w:webHidden/>
          </w:rPr>
          <w:tab/>
        </w:r>
        <w:r>
          <w:rPr>
            <w:noProof/>
            <w:webHidden/>
          </w:rPr>
          <w:fldChar w:fldCharType="begin"/>
        </w:r>
        <w:r>
          <w:rPr>
            <w:noProof/>
            <w:webHidden/>
          </w:rPr>
          <w:instrText xml:space="preserve"> PAGEREF _Toc110355578 \h </w:instrText>
        </w:r>
        <w:r>
          <w:rPr>
            <w:noProof/>
            <w:webHidden/>
          </w:rPr>
        </w:r>
        <w:r>
          <w:rPr>
            <w:noProof/>
            <w:webHidden/>
          </w:rPr>
          <w:fldChar w:fldCharType="separate"/>
        </w:r>
        <w:r w:rsidR="00892B2D">
          <w:rPr>
            <w:noProof/>
            <w:webHidden/>
          </w:rPr>
          <w:t>60</w:t>
        </w:r>
        <w:r>
          <w:rPr>
            <w:noProof/>
            <w:webHidden/>
          </w:rPr>
          <w:fldChar w:fldCharType="end"/>
        </w:r>
      </w:hyperlink>
    </w:p>
    <w:p w14:paraId="45007801" w14:textId="09B15627" w:rsidR="00AB4194" w:rsidRDefault="00AB4194">
      <w:pPr>
        <w:pStyle w:val="TOC2"/>
        <w:rPr>
          <w:rFonts w:asciiTheme="minorHAnsi" w:eastAsiaTheme="minorEastAsia" w:hAnsiTheme="minorHAnsi" w:cstheme="minorBidi"/>
          <w:noProof/>
          <w:sz w:val="22"/>
          <w:szCs w:val="22"/>
          <w:lang w:eastAsia="en-NZ"/>
        </w:rPr>
      </w:pPr>
      <w:hyperlink w:anchor="_Toc110355579" w:history="1">
        <w:r w:rsidRPr="000A73EF">
          <w:rPr>
            <w:rStyle w:val="Hyperlink"/>
            <w:noProof/>
          </w:rPr>
          <w:t>14.2</w:t>
        </w:r>
        <w:r>
          <w:rPr>
            <w:rFonts w:asciiTheme="minorHAnsi" w:eastAsiaTheme="minorEastAsia" w:hAnsiTheme="minorHAnsi" w:cstheme="minorBidi"/>
            <w:noProof/>
            <w:sz w:val="22"/>
            <w:szCs w:val="22"/>
            <w:lang w:eastAsia="en-NZ"/>
          </w:rPr>
          <w:tab/>
        </w:r>
        <w:r w:rsidRPr="000A73EF">
          <w:rPr>
            <w:rStyle w:val="Hyperlink"/>
            <w:noProof/>
          </w:rPr>
          <w:t>Source by source summary of mercury inputs</w:t>
        </w:r>
        <w:r>
          <w:rPr>
            <w:noProof/>
            <w:webHidden/>
          </w:rPr>
          <w:tab/>
        </w:r>
        <w:r>
          <w:rPr>
            <w:noProof/>
            <w:webHidden/>
          </w:rPr>
          <w:fldChar w:fldCharType="begin"/>
        </w:r>
        <w:r>
          <w:rPr>
            <w:noProof/>
            <w:webHidden/>
          </w:rPr>
          <w:instrText xml:space="preserve"> PAGEREF _Toc110355579 \h </w:instrText>
        </w:r>
        <w:r>
          <w:rPr>
            <w:noProof/>
            <w:webHidden/>
          </w:rPr>
        </w:r>
        <w:r>
          <w:rPr>
            <w:noProof/>
            <w:webHidden/>
          </w:rPr>
          <w:fldChar w:fldCharType="separate"/>
        </w:r>
        <w:r w:rsidR="00892B2D">
          <w:rPr>
            <w:noProof/>
            <w:webHidden/>
          </w:rPr>
          <w:t>61</w:t>
        </w:r>
        <w:r>
          <w:rPr>
            <w:noProof/>
            <w:webHidden/>
          </w:rPr>
          <w:fldChar w:fldCharType="end"/>
        </w:r>
      </w:hyperlink>
    </w:p>
    <w:p w14:paraId="3E08A9BC" w14:textId="6469AEAC" w:rsidR="00AB4194" w:rsidRDefault="00AB4194">
      <w:pPr>
        <w:pStyle w:val="TOC2"/>
        <w:rPr>
          <w:rFonts w:asciiTheme="minorHAnsi" w:eastAsiaTheme="minorEastAsia" w:hAnsiTheme="minorHAnsi" w:cstheme="minorBidi"/>
          <w:noProof/>
          <w:sz w:val="22"/>
          <w:szCs w:val="22"/>
          <w:lang w:eastAsia="en-NZ"/>
        </w:rPr>
      </w:pPr>
      <w:hyperlink w:anchor="_Toc110355580" w:history="1">
        <w:r w:rsidRPr="000A73EF">
          <w:rPr>
            <w:rStyle w:val="Hyperlink"/>
            <w:noProof/>
          </w:rPr>
          <w:t>14.3</w:t>
        </w:r>
        <w:r>
          <w:rPr>
            <w:rFonts w:asciiTheme="minorHAnsi" w:eastAsiaTheme="minorEastAsia" w:hAnsiTheme="minorHAnsi" w:cstheme="minorBidi"/>
            <w:noProof/>
            <w:sz w:val="22"/>
            <w:szCs w:val="22"/>
            <w:lang w:eastAsia="en-NZ"/>
          </w:rPr>
          <w:tab/>
        </w:r>
        <w:r w:rsidRPr="000A73EF">
          <w:rPr>
            <w:rStyle w:val="Hyperlink"/>
            <w:noProof/>
          </w:rPr>
          <w:t>Changes in mercury inputs since 2016</w:t>
        </w:r>
        <w:r>
          <w:rPr>
            <w:noProof/>
            <w:webHidden/>
          </w:rPr>
          <w:tab/>
        </w:r>
        <w:r>
          <w:rPr>
            <w:noProof/>
            <w:webHidden/>
          </w:rPr>
          <w:fldChar w:fldCharType="begin"/>
        </w:r>
        <w:r>
          <w:rPr>
            <w:noProof/>
            <w:webHidden/>
          </w:rPr>
          <w:instrText xml:space="preserve"> PAGEREF _Toc110355580 \h </w:instrText>
        </w:r>
        <w:r>
          <w:rPr>
            <w:noProof/>
            <w:webHidden/>
          </w:rPr>
        </w:r>
        <w:r>
          <w:rPr>
            <w:noProof/>
            <w:webHidden/>
          </w:rPr>
          <w:fldChar w:fldCharType="separate"/>
        </w:r>
        <w:r w:rsidR="00892B2D">
          <w:rPr>
            <w:noProof/>
            <w:webHidden/>
          </w:rPr>
          <w:t>62</w:t>
        </w:r>
        <w:r>
          <w:rPr>
            <w:noProof/>
            <w:webHidden/>
          </w:rPr>
          <w:fldChar w:fldCharType="end"/>
        </w:r>
      </w:hyperlink>
    </w:p>
    <w:p w14:paraId="6D64764C" w14:textId="647EA6BC" w:rsidR="00AB4194" w:rsidRDefault="00AB4194">
      <w:pPr>
        <w:pStyle w:val="TOC2"/>
        <w:rPr>
          <w:rFonts w:asciiTheme="minorHAnsi" w:eastAsiaTheme="minorEastAsia" w:hAnsiTheme="minorHAnsi" w:cstheme="minorBidi"/>
          <w:noProof/>
          <w:sz w:val="22"/>
          <w:szCs w:val="22"/>
          <w:lang w:eastAsia="en-NZ"/>
        </w:rPr>
      </w:pPr>
      <w:hyperlink w:anchor="_Toc110355581" w:history="1">
        <w:r w:rsidRPr="000A73EF">
          <w:rPr>
            <w:rStyle w:val="Hyperlink"/>
            <w:noProof/>
          </w:rPr>
          <w:t>14.4</w:t>
        </w:r>
        <w:r>
          <w:rPr>
            <w:rFonts w:asciiTheme="minorHAnsi" w:eastAsiaTheme="minorEastAsia" w:hAnsiTheme="minorHAnsi" w:cstheme="minorBidi"/>
            <w:noProof/>
            <w:sz w:val="22"/>
            <w:szCs w:val="22"/>
            <w:lang w:eastAsia="en-NZ"/>
          </w:rPr>
          <w:tab/>
        </w:r>
        <w:r w:rsidRPr="000A73EF">
          <w:rPr>
            <w:rStyle w:val="Hyperlink"/>
            <w:noProof/>
          </w:rPr>
          <w:t>Summary of mercury outputs</w:t>
        </w:r>
        <w:r>
          <w:rPr>
            <w:noProof/>
            <w:webHidden/>
          </w:rPr>
          <w:tab/>
        </w:r>
        <w:r>
          <w:rPr>
            <w:noProof/>
            <w:webHidden/>
          </w:rPr>
          <w:fldChar w:fldCharType="begin"/>
        </w:r>
        <w:r>
          <w:rPr>
            <w:noProof/>
            <w:webHidden/>
          </w:rPr>
          <w:instrText xml:space="preserve"> PAGEREF _Toc110355581 \h </w:instrText>
        </w:r>
        <w:r>
          <w:rPr>
            <w:noProof/>
            <w:webHidden/>
          </w:rPr>
        </w:r>
        <w:r>
          <w:rPr>
            <w:noProof/>
            <w:webHidden/>
          </w:rPr>
          <w:fldChar w:fldCharType="separate"/>
        </w:r>
        <w:r w:rsidR="00892B2D">
          <w:rPr>
            <w:noProof/>
            <w:webHidden/>
          </w:rPr>
          <w:t>64</w:t>
        </w:r>
        <w:r>
          <w:rPr>
            <w:noProof/>
            <w:webHidden/>
          </w:rPr>
          <w:fldChar w:fldCharType="end"/>
        </w:r>
      </w:hyperlink>
    </w:p>
    <w:p w14:paraId="421B3C1E" w14:textId="52B60A8F" w:rsidR="00AB4194" w:rsidRDefault="00AB4194">
      <w:pPr>
        <w:pStyle w:val="TOC1"/>
        <w:rPr>
          <w:rFonts w:asciiTheme="minorHAnsi" w:eastAsiaTheme="minorEastAsia" w:hAnsiTheme="minorHAnsi" w:cstheme="minorBidi"/>
          <w:b w:val="0"/>
          <w:sz w:val="22"/>
          <w:szCs w:val="22"/>
          <w:lang w:val="en-NZ" w:eastAsia="en-NZ"/>
        </w:rPr>
      </w:pPr>
      <w:hyperlink w:anchor="_Toc110355582" w:history="1">
        <w:r w:rsidRPr="000A73EF">
          <w:rPr>
            <w:rStyle w:val="Hyperlink"/>
          </w:rPr>
          <w:t>15</w:t>
        </w:r>
        <w:r>
          <w:rPr>
            <w:rFonts w:asciiTheme="minorHAnsi" w:eastAsiaTheme="minorEastAsia" w:hAnsiTheme="minorHAnsi" w:cstheme="minorBidi"/>
            <w:b w:val="0"/>
            <w:sz w:val="22"/>
            <w:szCs w:val="22"/>
            <w:lang w:val="en-NZ" w:eastAsia="en-NZ"/>
          </w:rPr>
          <w:tab/>
        </w:r>
        <w:r w:rsidRPr="000A73EF">
          <w:rPr>
            <w:rStyle w:val="Hyperlink"/>
          </w:rPr>
          <w:t>List of References</w:t>
        </w:r>
        <w:r>
          <w:rPr>
            <w:webHidden/>
          </w:rPr>
          <w:tab/>
        </w:r>
        <w:r>
          <w:rPr>
            <w:webHidden/>
          </w:rPr>
          <w:fldChar w:fldCharType="begin"/>
        </w:r>
        <w:r>
          <w:rPr>
            <w:webHidden/>
          </w:rPr>
          <w:instrText xml:space="preserve"> PAGEREF _Toc110355582 \h </w:instrText>
        </w:r>
        <w:r>
          <w:rPr>
            <w:webHidden/>
          </w:rPr>
        </w:r>
        <w:r>
          <w:rPr>
            <w:webHidden/>
          </w:rPr>
          <w:fldChar w:fldCharType="separate"/>
        </w:r>
        <w:r w:rsidR="00892B2D">
          <w:rPr>
            <w:webHidden/>
          </w:rPr>
          <w:t>70</w:t>
        </w:r>
        <w:r>
          <w:rPr>
            <w:webHidden/>
          </w:rPr>
          <w:fldChar w:fldCharType="end"/>
        </w:r>
      </w:hyperlink>
    </w:p>
    <w:p w14:paraId="2AC7D51E" w14:textId="2537D249" w:rsidR="00C869FA" w:rsidRPr="00270CD3" w:rsidRDefault="00774991" w:rsidP="00323917">
      <w:pPr>
        <w:spacing w:after="0" w:line="360" w:lineRule="auto"/>
        <w:jc w:val="both"/>
        <w:rPr>
          <w:rFonts w:ascii="Arial" w:hAnsi="Arial" w:cs="Arial"/>
          <w:b/>
          <w:sz w:val="28"/>
          <w:szCs w:val="28"/>
        </w:rPr>
      </w:pPr>
      <w:r>
        <w:rPr>
          <w:rFonts w:asciiTheme="minorHAnsi" w:hAnsiTheme="minorHAnsi" w:cstheme="minorHAnsi"/>
          <w:b/>
          <w:noProof/>
          <w:lang w:val="en-US"/>
        </w:rPr>
        <w:fldChar w:fldCharType="end"/>
      </w:r>
      <w:r w:rsidR="00C869FA">
        <w:rPr>
          <w:rFonts w:ascii="Arial" w:hAnsi="Arial" w:cs="Arial"/>
          <w:b/>
          <w:sz w:val="28"/>
          <w:szCs w:val="28"/>
        </w:rPr>
        <w:t>Table of Tables</w:t>
      </w:r>
    </w:p>
    <w:p w14:paraId="6C8F0AA4" w14:textId="587607B1" w:rsidR="00403501" w:rsidRDefault="002E4B98">
      <w:pPr>
        <w:pStyle w:val="TableofFigures"/>
        <w:rPr>
          <w:rFonts w:asciiTheme="minorHAnsi" w:eastAsiaTheme="minorEastAsia" w:hAnsiTheme="minorHAnsi" w:cstheme="minorBidi"/>
          <w:noProof/>
          <w:sz w:val="22"/>
          <w:szCs w:val="22"/>
          <w:lang w:eastAsia="en-NZ"/>
        </w:rPr>
      </w:pPr>
      <w:r w:rsidRPr="00C32831">
        <w:fldChar w:fldCharType="begin"/>
      </w:r>
      <w:r w:rsidRPr="00C32831">
        <w:instrText xml:space="preserve"> TOC \h \z \c "Table" </w:instrText>
      </w:r>
      <w:r w:rsidRPr="00C32831">
        <w:fldChar w:fldCharType="separate"/>
      </w:r>
      <w:hyperlink w:anchor="_Toc110355459" w:history="1">
        <w:r w:rsidR="00403501" w:rsidRPr="009441CA">
          <w:rPr>
            <w:rStyle w:val="Hyperlink"/>
            <w:rFonts w:cs="Arial"/>
            <w:noProof/>
          </w:rPr>
          <w:t>Table 3</w:t>
        </w:r>
        <w:r w:rsidR="00403501" w:rsidRPr="009441CA">
          <w:rPr>
            <w:rStyle w:val="Hyperlink"/>
            <w:rFonts w:cs="Arial"/>
            <w:noProof/>
          </w:rPr>
          <w:noBreakHyphen/>
          <w:t>1:  Toolkit framework for category 1 - extraction and use of fuels/energy sources</w:t>
        </w:r>
        <w:r w:rsidR="00403501">
          <w:rPr>
            <w:noProof/>
            <w:webHidden/>
          </w:rPr>
          <w:tab/>
        </w:r>
        <w:r w:rsidR="00403501">
          <w:rPr>
            <w:noProof/>
            <w:webHidden/>
          </w:rPr>
          <w:fldChar w:fldCharType="begin"/>
        </w:r>
        <w:r w:rsidR="00403501">
          <w:rPr>
            <w:noProof/>
            <w:webHidden/>
          </w:rPr>
          <w:instrText xml:space="preserve"> PAGEREF _Toc110355459 \h </w:instrText>
        </w:r>
        <w:r w:rsidR="00403501">
          <w:rPr>
            <w:noProof/>
            <w:webHidden/>
          </w:rPr>
        </w:r>
        <w:r w:rsidR="00403501">
          <w:rPr>
            <w:noProof/>
            <w:webHidden/>
          </w:rPr>
          <w:fldChar w:fldCharType="separate"/>
        </w:r>
        <w:r w:rsidR="00892B2D">
          <w:rPr>
            <w:noProof/>
            <w:webHidden/>
          </w:rPr>
          <w:t>6</w:t>
        </w:r>
        <w:r w:rsidR="00403501">
          <w:rPr>
            <w:noProof/>
            <w:webHidden/>
          </w:rPr>
          <w:fldChar w:fldCharType="end"/>
        </w:r>
      </w:hyperlink>
    </w:p>
    <w:p w14:paraId="46981ACE" w14:textId="253C6A4C" w:rsidR="00403501" w:rsidRDefault="00403501">
      <w:pPr>
        <w:pStyle w:val="TableofFigures"/>
        <w:rPr>
          <w:rFonts w:asciiTheme="minorHAnsi" w:eastAsiaTheme="minorEastAsia" w:hAnsiTheme="minorHAnsi" w:cstheme="minorBidi"/>
          <w:noProof/>
          <w:sz w:val="22"/>
          <w:szCs w:val="22"/>
          <w:lang w:eastAsia="en-NZ"/>
        </w:rPr>
      </w:pPr>
      <w:hyperlink w:anchor="_Toc110355460" w:history="1">
        <w:r w:rsidRPr="009441CA">
          <w:rPr>
            <w:rStyle w:val="Hyperlink"/>
            <w:rFonts w:cs="Arial"/>
            <w:noProof/>
          </w:rPr>
          <w:t>Table 3</w:t>
        </w:r>
        <w:r w:rsidRPr="009441CA">
          <w:rPr>
            <w:rStyle w:val="Hyperlink"/>
            <w:rFonts w:cs="Arial"/>
            <w:noProof/>
          </w:rPr>
          <w:noBreakHyphen/>
          <w:t>2:  Input and output estimates for coal combustion in large power plants</w:t>
        </w:r>
        <w:r>
          <w:rPr>
            <w:noProof/>
            <w:webHidden/>
          </w:rPr>
          <w:tab/>
        </w:r>
        <w:r>
          <w:rPr>
            <w:noProof/>
            <w:webHidden/>
          </w:rPr>
          <w:fldChar w:fldCharType="begin"/>
        </w:r>
        <w:r>
          <w:rPr>
            <w:noProof/>
            <w:webHidden/>
          </w:rPr>
          <w:instrText xml:space="preserve"> PAGEREF _Toc110355460 \h </w:instrText>
        </w:r>
        <w:r>
          <w:rPr>
            <w:noProof/>
            <w:webHidden/>
          </w:rPr>
        </w:r>
        <w:r>
          <w:rPr>
            <w:noProof/>
            <w:webHidden/>
          </w:rPr>
          <w:fldChar w:fldCharType="separate"/>
        </w:r>
        <w:r w:rsidR="00892B2D">
          <w:rPr>
            <w:noProof/>
            <w:webHidden/>
          </w:rPr>
          <w:t>7</w:t>
        </w:r>
        <w:r>
          <w:rPr>
            <w:noProof/>
            <w:webHidden/>
          </w:rPr>
          <w:fldChar w:fldCharType="end"/>
        </w:r>
      </w:hyperlink>
    </w:p>
    <w:p w14:paraId="544939F6" w14:textId="7810376E" w:rsidR="00403501" w:rsidRDefault="00403501">
      <w:pPr>
        <w:pStyle w:val="TableofFigures"/>
        <w:rPr>
          <w:rFonts w:asciiTheme="minorHAnsi" w:eastAsiaTheme="minorEastAsia" w:hAnsiTheme="minorHAnsi" w:cstheme="minorBidi"/>
          <w:noProof/>
          <w:sz w:val="22"/>
          <w:szCs w:val="22"/>
          <w:lang w:eastAsia="en-NZ"/>
        </w:rPr>
      </w:pPr>
      <w:hyperlink w:anchor="_Toc110355461" w:history="1">
        <w:r w:rsidRPr="009441CA">
          <w:rPr>
            <w:rStyle w:val="Hyperlink"/>
            <w:rFonts w:cs="Arial"/>
            <w:noProof/>
          </w:rPr>
          <w:t>Table 3</w:t>
        </w:r>
        <w:r w:rsidRPr="009441CA">
          <w:rPr>
            <w:rStyle w:val="Hyperlink"/>
            <w:rFonts w:cs="Arial"/>
            <w:noProof/>
          </w:rPr>
          <w:noBreakHyphen/>
          <w:t>3:  Input and output estimates for other coal combustion</w:t>
        </w:r>
        <w:r>
          <w:rPr>
            <w:noProof/>
            <w:webHidden/>
          </w:rPr>
          <w:tab/>
        </w:r>
        <w:r>
          <w:rPr>
            <w:noProof/>
            <w:webHidden/>
          </w:rPr>
          <w:fldChar w:fldCharType="begin"/>
        </w:r>
        <w:r>
          <w:rPr>
            <w:noProof/>
            <w:webHidden/>
          </w:rPr>
          <w:instrText xml:space="preserve"> PAGEREF _Toc110355461 \h </w:instrText>
        </w:r>
        <w:r>
          <w:rPr>
            <w:noProof/>
            <w:webHidden/>
          </w:rPr>
        </w:r>
        <w:r>
          <w:rPr>
            <w:noProof/>
            <w:webHidden/>
          </w:rPr>
          <w:fldChar w:fldCharType="separate"/>
        </w:r>
        <w:r w:rsidR="00892B2D">
          <w:rPr>
            <w:noProof/>
            <w:webHidden/>
          </w:rPr>
          <w:t>10</w:t>
        </w:r>
        <w:r>
          <w:rPr>
            <w:noProof/>
            <w:webHidden/>
          </w:rPr>
          <w:fldChar w:fldCharType="end"/>
        </w:r>
      </w:hyperlink>
    </w:p>
    <w:p w14:paraId="18416624" w14:textId="1A50E5F9" w:rsidR="00403501" w:rsidRDefault="00403501">
      <w:pPr>
        <w:pStyle w:val="TableofFigures"/>
        <w:rPr>
          <w:rFonts w:asciiTheme="minorHAnsi" w:eastAsiaTheme="minorEastAsia" w:hAnsiTheme="minorHAnsi" w:cstheme="minorBidi"/>
          <w:noProof/>
          <w:sz w:val="22"/>
          <w:szCs w:val="22"/>
          <w:lang w:eastAsia="en-NZ"/>
        </w:rPr>
      </w:pPr>
      <w:hyperlink w:anchor="_Toc110355462" w:history="1">
        <w:r w:rsidRPr="009441CA">
          <w:rPr>
            <w:rStyle w:val="Hyperlink"/>
            <w:rFonts w:cs="Arial"/>
            <w:noProof/>
          </w:rPr>
          <w:t>Table 3</w:t>
        </w:r>
        <w:r w:rsidRPr="009441CA">
          <w:rPr>
            <w:rStyle w:val="Hyperlink"/>
            <w:rFonts w:cs="Arial"/>
            <w:noProof/>
          </w:rPr>
          <w:noBreakHyphen/>
          <w:t>4:</w:t>
        </w:r>
        <w:r w:rsidRPr="009441CA">
          <w:rPr>
            <w:rStyle w:val="Hyperlink"/>
            <w:noProof/>
          </w:rPr>
          <w:t xml:space="preserve">  </w:t>
        </w:r>
        <w:r w:rsidRPr="009441CA">
          <w:rPr>
            <w:rStyle w:val="Hyperlink"/>
            <w:rFonts w:cs="Arial"/>
            <w:noProof/>
          </w:rPr>
          <w:t>Input and output estimates for mineral oils - extraction, refining and use</w:t>
        </w:r>
        <w:r>
          <w:rPr>
            <w:noProof/>
            <w:webHidden/>
          </w:rPr>
          <w:tab/>
        </w:r>
        <w:r>
          <w:rPr>
            <w:noProof/>
            <w:webHidden/>
          </w:rPr>
          <w:fldChar w:fldCharType="begin"/>
        </w:r>
        <w:r>
          <w:rPr>
            <w:noProof/>
            <w:webHidden/>
          </w:rPr>
          <w:instrText xml:space="preserve"> PAGEREF _Toc110355462 \h </w:instrText>
        </w:r>
        <w:r>
          <w:rPr>
            <w:noProof/>
            <w:webHidden/>
          </w:rPr>
        </w:r>
        <w:r>
          <w:rPr>
            <w:noProof/>
            <w:webHidden/>
          </w:rPr>
          <w:fldChar w:fldCharType="separate"/>
        </w:r>
        <w:r w:rsidR="00892B2D">
          <w:rPr>
            <w:noProof/>
            <w:webHidden/>
          </w:rPr>
          <w:t>12</w:t>
        </w:r>
        <w:r>
          <w:rPr>
            <w:noProof/>
            <w:webHidden/>
          </w:rPr>
          <w:fldChar w:fldCharType="end"/>
        </w:r>
      </w:hyperlink>
    </w:p>
    <w:p w14:paraId="1FF82967" w14:textId="2AD1F36A" w:rsidR="00403501" w:rsidRDefault="00403501">
      <w:pPr>
        <w:pStyle w:val="TableofFigures"/>
        <w:rPr>
          <w:rFonts w:asciiTheme="minorHAnsi" w:eastAsiaTheme="minorEastAsia" w:hAnsiTheme="minorHAnsi" w:cstheme="minorBidi"/>
          <w:noProof/>
          <w:sz w:val="22"/>
          <w:szCs w:val="22"/>
          <w:lang w:eastAsia="en-NZ"/>
        </w:rPr>
      </w:pPr>
      <w:hyperlink w:anchor="_Toc110355463" w:history="1">
        <w:r w:rsidRPr="009441CA">
          <w:rPr>
            <w:rStyle w:val="Hyperlink"/>
            <w:rFonts w:cs="Arial"/>
            <w:noProof/>
          </w:rPr>
          <w:t>Table 3</w:t>
        </w:r>
        <w:r w:rsidRPr="009441CA">
          <w:rPr>
            <w:rStyle w:val="Hyperlink"/>
            <w:rFonts w:cs="Arial"/>
            <w:noProof/>
          </w:rPr>
          <w:noBreakHyphen/>
          <w:t xml:space="preserve">5: </w:t>
        </w:r>
        <w:r w:rsidRPr="009441CA">
          <w:rPr>
            <w:rStyle w:val="Hyperlink"/>
            <w:noProof/>
          </w:rPr>
          <w:t xml:space="preserve"> </w:t>
        </w:r>
        <w:r w:rsidRPr="009441CA">
          <w:rPr>
            <w:rStyle w:val="Hyperlink"/>
            <w:rFonts w:cs="Arial"/>
            <w:noProof/>
          </w:rPr>
          <w:t>Input and output estimates for natural gas - extraction, refining and use</w:t>
        </w:r>
        <w:r>
          <w:rPr>
            <w:noProof/>
            <w:webHidden/>
          </w:rPr>
          <w:tab/>
        </w:r>
        <w:r>
          <w:rPr>
            <w:noProof/>
            <w:webHidden/>
          </w:rPr>
          <w:fldChar w:fldCharType="begin"/>
        </w:r>
        <w:r>
          <w:rPr>
            <w:noProof/>
            <w:webHidden/>
          </w:rPr>
          <w:instrText xml:space="preserve"> PAGEREF _Toc110355463 \h </w:instrText>
        </w:r>
        <w:r>
          <w:rPr>
            <w:noProof/>
            <w:webHidden/>
          </w:rPr>
        </w:r>
        <w:r>
          <w:rPr>
            <w:noProof/>
            <w:webHidden/>
          </w:rPr>
          <w:fldChar w:fldCharType="separate"/>
        </w:r>
        <w:r w:rsidR="00892B2D">
          <w:rPr>
            <w:noProof/>
            <w:webHidden/>
          </w:rPr>
          <w:t>13</w:t>
        </w:r>
        <w:r>
          <w:rPr>
            <w:noProof/>
            <w:webHidden/>
          </w:rPr>
          <w:fldChar w:fldCharType="end"/>
        </w:r>
      </w:hyperlink>
    </w:p>
    <w:p w14:paraId="0E592259" w14:textId="2224BC5D" w:rsidR="00403501" w:rsidRDefault="00403501">
      <w:pPr>
        <w:pStyle w:val="TableofFigures"/>
        <w:rPr>
          <w:rFonts w:asciiTheme="minorHAnsi" w:eastAsiaTheme="minorEastAsia" w:hAnsiTheme="minorHAnsi" w:cstheme="minorBidi"/>
          <w:noProof/>
          <w:sz w:val="22"/>
          <w:szCs w:val="22"/>
          <w:lang w:eastAsia="en-NZ"/>
        </w:rPr>
      </w:pPr>
      <w:hyperlink w:anchor="_Toc110355464" w:history="1">
        <w:r w:rsidRPr="009441CA">
          <w:rPr>
            <w:rStyle w:val="Hyperlink"/>
            <w:rFonts w:cs="Arial"/>
            <w:noProof/>
          </w:rPr>
          <w:t>Table 3</w:t>
        </w:r>
        <w:r w:rsidRPr="009441CA">
          <w:rPr>
            <w:rStyle w:val="Hyperlink"/>
            <w:rFonts w:cs="Arial"/>
            <w:noProof/>
          </w:rPr>
          <w:noBreakHyphen/>
          <w:t>6:</w:t>
        </w:r>
        <w:r w:rsidRPr="009441CA">
          <w:rPr>
            <w:rStyle w:val="Hyperlink"/>
            <w:noProof/>
          </w:rPr>
          <w:t xml:space="preserve">  </w:t>
        </w:r>
        <w:r w:rsidRPr="009441CA">
          <w:rPr>
            <w:rStyle w:val="Hyperlink"/>
            <w:rFonts w:cs="Arial"/>
            <w:noProof/>
          </w:rPr>
          <w:t>Input and output estimates for biomass-fired power and heat production</w:t>
        </w:r>
        <w:r>
          <w:rPr>
            <w:noProof/>
            <w:webHidden/>
          </w:rPr>
          <w:tab/>
        </w:r>
        <w:r>
          <w:rPr>
            <w:noProof/>
            <w:webHidden/>
          </w:rPr>
          <w:fldChar w:fldCharType="begin"/>
        </w:r>
        <w:r>
          <w:rPr>
            <w:noProof/>
            <w:webHidden/>
          </w:rPr>
          <w:instrText xml:space="preserve"> PAGEREF _Toc110355464 \h </w:instrText>
        </w:r>
        <w:r>
          <w:rPr>
            <w:noProof/>
            <w:webHidden/>
          </w:rPr>
        </w:r>
        <w:r>
          <w:rPr>
            <w:noProof/>
            <w:webHidden/>
          </w:rPr>
          <w:fldChar w:fldCharType="separate"/>
        </w:r>
        <w:r w:rsidR="00892B2D">
          <w:rPr>
            <w:noProof/>
            <w:webHidden/>
          </w:rPr>
          <w:t>15</w:t>
        </w:r>
        <w:r>
          <w:rPr>
            <w:noProof/>
            <w:webHidden/>
          </w:rPr>
          <w:fldChar w:fldCharType="end"/>
        </w:r>
      </w:hyperlink>
    </w:p>
    <w:p w14:paraId="0C876037" w14:textId="1BBEB650" w:rsidR="00403501" w:rsidRDefault="00403501">
      <w:pPr>
        <w:pStyle w:val="TableofFigures"/>
        <w:rPr>
          <w:rFonts w:asciiTheme="minorHAnsi" w:eastAsiaTheme="minorEastAsia" w:hAnsiTheme="minorHAnsi" w:cstheme="minorBidi"/>
          <w:noProof/>
          <w:sz w:val="22"/>
          <w:szCs w:val="22"/>
          <w:lang w:eastAsia="en-NZ"/>
        </w:rPr>
      </w:pPr>
      <w:hyperlink w:anchor="_Toc110355465" w:history="1">
        <w:r w:rsidRPr="009441CA">
          <w:rPr>
            <w:rStyle w:val="Hyperlink"/>
            <w:rFonts w:cs="Arial"/>
            <w:noProof/>
          </w:rPr>
          <w:t>Table 3</w:t>
        </w:r>
        <w:r w:rsidRPr="009441CA">
          <w:rPr>
            <w:rStyle w:val="Hyperlink"/>
            <w:rFonts w:cs="Arial"/>
            <w:noProof/>
          </w:rPr>
          <w:noBreakHyphen/>
          <w:t xml:space="preserve">7: </w:t>
        </w:r>
        <w:r w:rsidRPr="009441CA">
          <w:rPr>
            <w:rStyle w:val="Hyperlink"/>
            <w:noProof/>
          </w:rPr>
          <w:t xml:space="preserve"> </w:t>
        </w:r>
        <w:r w:rsidRPr="009441CA">
          <w:rPr>
            <w:rStyle w:val="Hyperlink"/>
            <w:rFonts w:cs="Arial"/>
            <w:noProof/>
          </w:rPr>
          <w:t>Input and output estimates for geothermal power production and use</w:t>
        </w:r>
        <w:r>
          <w:rPr>
            <w:noProof/>
            <w:webHidden/>
          </w:rPr>
          <w:tab/>
        </w:r>
        <w:r>
          <w:rPr>
            <w:noProof/>
            <w:webHidden/>
          </w:rPr>
          <w:fldChar w:fldCharType="begin"/>
        </w:r>
        <w:r>
          <w:rPr>
            <w:noProof/>
            <w:webHidden/>
          </w:rPr>
          <w:instrText xml:space="preserve"> PAGEREF _Toc110355465 \h </w:instrText>
        </w:r>
        <w:r>
          <w:rPr>
            <w:noProof/>
            <w:webHidden/>
          </w:rPr>
        </w:r>
        <w:r>
          <w:rPr>
            <w:noProof/>
            <w:webHidden/>
          </w:rPr>
          <w:fldChar w:fldCharType="separate"/>
        </w:r>
        <w:r w:rsidR="00892B2D">
          <w:rPr>
            <w:noProof/>
            <w:webHidden/>
          </w:rPr>
          <w:t>16</w:t>
        </w:r>
        <w:r>
          <w:rPr>
            <w:noProof/>
            <w:webHidden/>
          </w:rPr>
          <w:fldChar w:fldCharType="end"/>
        </w:r>
      </w:hyperlink>
    </w:p>
    <w:p w14:paraId="4082D414" w14:textId="7F0BF681" w:rsidR="00403501" w:rsidRDefault="00403501">
      <w:pPr>
        <w:pStyle w:val="TableofFigures"/>
        <w:rPr>
          <w:rFonts w:asciiTheme="minorHAnsi" w:eastAsiaTheme="minorEastAsia" w:hAnsiTheme="minorHAnsi" w:cstheme="minorBidi"/>
          <w:noProof/>
          <w:sz w:val="22"/>
          <w:szCs w:val="22"/>
          <w:lang w:eastAsia="en-NZ"/>
        </w:rPr>
      </w:pPr>
      <w:hyperlink w:anchor="_Toc110355466" w:history="1">
        <w:r w:rsidRPr="009441CA">
          <w:rPr>
            <w:rStyle w:val="Hyperlink"/>
            <w:rFonts w:cs="Arial"/>
            <w:noProof/>
          </w:rPr>
          <w:t>Table 3</w:t>
        </w:r>
        <w:r w:rsidRPr="009441CA">
          <w:rPr>
            <w:rStyle w:val="Hyperlink"/>
            <w:rFonts w:cs="Arial"/>
            <w:noProof/>
          </w:rPr>
          <w:noBreakHyphen/>
          <w:t>8:  Summary of inputs and outputs for the fuel use category, for 2020</w:t>
        </w:r>
        <w:r>
          <w:rPr>
            <w:noProof/>
            <w:webHidden/>
          </w:rPr>
          <w:tab/>
        </w:r>
        <w:r>
          <w:rPr>
            <w:noProof/>
            <w:webHidden/>
          </w:rPr>
          <w:fldChar w:fldCharType="begin"/>
        </w:r>
        <w:r>
          <w:rPr>
            <w:noProof/>
            <w:webHidden/>
          </w:rPr>
          <w:instrText xml:space="preserve"> PAGEREF _Toc110355466 \h </w:instrText>
        </w:r>
        <w:r>
          <w:rPr>
            <w:noProof/>
            <w:webHidden/>
          </w:rPr>
        </w:r>
        <w:r>
          <w:rPr>
            <w:noProof/>
            <w:webHidden/>
          </w:rPr>
          <w:fldChar w:fldCharType="separate"/>
        </w:r>
        <w:r w:rsidR="00892B2D">
          <w:rPr>
            <w:noProof/>
            <w:webHidden/>
          </w:rPr>
          <w:t>17</w:t>
        </w:r>
        <w:r>
          <w:rPr>
            <w:noProof/>
            <w:webHidden/>
          </w:rPr>
          <w:fldChar w:fldCharType="end"/>
        </w:r>
      </w:hyperlink>
    </w:p>
    <w:p w14:paraId="760EE2A5" w14:textId="6162E570" w:rsidR="00403501" w:rsidRDefault="00403501">
      <w:pPr>
        <w:pStyle w:val="TableofFigures"/>
        <w:rPr>
          <w:rFonts w:asciiTheme="minorHAnsi" w:eastAsiaTheme="minorEastAsia" w:hAnsiTheme="minorHAnsi" w:cstheme="minorBidi"/>
          <w:noProof/>
          <w:sz w:val="22"/>
          <w:szCs w:val="22"/>
          <w:lang w:eastAsia="en-NZ"/>
        </w:rPr>
      </w:pPr>
      <w:hyperlink w:anchor="_Toc110355467" w:history="1">
        <w:r w:rsidRPr="009441CA">
          <w:rPr>
            <w:rStyle w:val="Hyperlink"/>
            <w:rFonts w:cs="Arial"/>
            <w:noProof/>
          </w:rPr>
          <w:t>Table 4</w:t>
        </w:r>
        <w:r w:rsidRPr="009441CA">
          <w:rPr>
            <w:rStyle w:val="Hyperlink"/>
            <w:rFonts w:cs="Arial"/>
            <w:noProof/>
          </w:rPr>
          <w:noBreakHyphen/>
          <w:t>1:</w:t>
        </w:r>
        <w:r w:rsidRPr="009441CA">
          <w:rPr>
            <w:rStyle w:val="Hyperlink"/>
            <w:noProof/>
          </w:rPr>
          <w:t xml:space="preserve">  </w:t>
        </w:r>
        <w:r w:rsidRPr="009441CA">
          <w:rPr>
            <w:rStyle w:val="Hyperlink"/>
            <w:rFonts w:cs="Arial"/>
            <w:noProof/>
          </w:rPr>
          <w:t>Toolkit framework for category 2 – primary metal production</w:t>
        </w:r>
        <w:r>
          <w:rPr>
            <w:noProof/>
            <w:webHidden/>
          </w:rPr>
          <w:tab/>
        </w:r>
        <w:r>
          <w:rPr>
            <w:noProof/>
            <w:webHidden/>
          </w:rPr>
          <w:fldChar w:fldCharType="begin"/>
        </w:r>
        <w:r>
          <w:rPr>
            <w:noProof/>
            <w:webHidden/>
          </w:rPr>
          <w:instrText xml:space="preserve"> PAGEREF _Toc110355467 \h </w:instrText>
        </w:r>
        <w:r>
          <w:rPr>
            <w:noProof/>
            <w:webHidden/>
          </w:rPr>
        </w:r>
        <w:r>
          <w:rPr>
            <w:noProof/>
            <w:webHidden/>
          </w:rPr>
          <w:fldChar w:fldCharType="separate"/>
        </w:r>
        <w:r w:rsidR="00892B2D">
          <w:rPr>
            <w:noProof/>
            <w:webHidden/>
          </w:rPr>
          <w:t>18</w:t>
        </w:r>
        <w:r>
          <w:rPr>
            <w:noProof/>
            <w:webHidden/>
          </w:rPr>
          <w:fldChar w:fldCharType="end"/>
        </w:r>
      </w:hyperlink>
    </w:p>
    <w:p w14:paraId="3419DCE9" w14:textId="331A2C03" w:rsidR="00403501" w:rsidRDefault="00403501">
      <w:pPr>
        <w:pStyle w:val="TableofFigures"/>
        <w:rPr>
          <w:rFonts w:asciiTheme="minorHAnsi" w:eastAsiaTheme="minorEastAsia" w:hAnsiTheme="minorHAnsi" w:cstheme="minorBidi"/>
          <w:noProof/>
          <w:sz w:val="22"/>
          <w:szCs w:val="22"/>
          <w:lang w:eastAsia="en-NZ"/>
        </w:rPr>
      </w:pPr>
      <w:hyperlink w:anchor="_Toc110355468" w:history="1">
        <w:r w:rsidRPr="009441CA">
          <w:rPr>
            <w:rStyle w:val="Hyperlink"/>
            <w:rFonts w:cs="Arial"/>
            <w:noProof/>
          </w:rPr>
          <w:t>Table 4</w:t>
        </w:r>
        <w:r w:rsidRPr="009441CA">
          <w:rPr>
            <w:rStyle w:val="Hyperlink"/>
            <w:rFonts w:cs="Arial"/>
            <w:noProof/>
          </w:rPr>
          <w:noBreakHyphen/>
          <w:t>2:</w:t>
        </w:r>
        <w:r w:rsidRPr="009441CA">
          <w:rPr>
            <w:rStyle w:val="Hyperlink"/>
            <w:noProof/>
          </w:rPr>
          <w:t xml:space="preserve">  </w:t>
        </w:r>
        <w:r w:rsidRPr="009441CA">
          <w:rPr>
            <w:rStyle w:val="Hyperlink"/>
            <w:rFonts w:cs="Arial"/>
            <w:noProof/>
          </w:rPr>
          <w:t>Input and output estimates for gold and silver production using mercury</w:t>
        </w:r>
        <w:r>
          <w:rPr>
            <w:noProof/>
            <w:webHidden/>
          </w:rPr>
          <w:tab/>
        </w:r>
        <w:r>
          <w:rPr>
            <w:noProof/>
            <w:webHidden/>
          </w:rPr>
          <w:fldChar w:fldCharType="begin"/>
        </w:r>
        <w:r>
          <w:rPr>
            <w:noProof/>
            <w:webHidden/>
          </w:rPr>
          <w:instrText xml:space="preserve"> PAGEREF _Toc110355468 \h </w:instrText>
        </w:r>
        <w:r>
          <w:rPr>
            <w:noProof/>
            <w:webHidden/>
          </w:rPr>
        </w:r>
        <w:r>
          <w:rPr>
            <w:noProof/>
            <w:webHidden/>
          </w:rPr>
          <w:fldChar w:fldCharType="separate"/>
        </w:r>
        <w:r w:rsidR="00892B2D">
          <w:rPr>
            <w:noProof/>
            <w:webHidden/>
          </w:rPr>
          <w:t>19</w:t>
        </w:r>
        <w:r>
          <w:rPr>
            <w:noProof/>
            <w:webHidden/>
          </w:rPr>
          <w:fldChar w:fldCharType="end"/>
        </w:r>
      </w:hyperlink>
    </w:p>
    <w:p w14:paraId="5F3CB1FB" w14:textId="2E64037D" w:rsidR="00403501" w:rsidRDefault="00403501">
      <w:pPr>
        <w:pStyle w:val="TableofFigures"/>
        <w:rPr>
          <w:rFonts w:asciiTheme="minorHAnsi" w:eastAsiaTheme="minorEastAsia" w:hAnsiTheme="minorHAnsi" w:cstheme="minorBidi"/>
          <w:noProof/>
          <w:sz w:val="22"/>
          <w:szCs w:val="22"/>
          <w:lang w:eastAsia="en-NZ"/>
        </w:rPr>
      </w:pPr>
      <w:hyperlink w:anchor="_Toc110355469" w:history="1">
        <w:r w:rsidRPr="009441CA">
          <w:rPr>
            <w:rStyle w:val="Hyperlink"/>
            <w:rFonts w:cs="Arial"/>
            <w:noProof/>
          </w:rPr>
          <w:t>Table 4</w:t>
        </w:r>
        <w:r w:rsidRPr="009441CA">
          <w:rPr>
            <w:rStyle w:val="Hyperlink"/>
            <w:rFonts w:cs="Arial"/>
            <w:noProof/>
          </w:rPr>
          <w:noBreakHyphen/>
          <w:t>3:</w:t>
        </w:r>
        <w:r w:rsidRPr="009441CA">
          <w:rPr>
            <w:rStyle w:val="Hyperlink"/>
            <w:noProof/>
          </w:rPr>
          <w:t xml:space="preserve">  </w:t>
        </w:r>
        <w:r w:rsidRPr="009441CA">
          <w:rPr>
            <w:rStyle w:val="Hyperlink"/>
            <w:rFonts w:cs="Arial"/>
            <w:noProof/>
          </w:rPr>
          <w:t>Input and output estimates for gold and silver production not using mercury</w:t>
        </w:r>
        <w:r>
          <w:rPr>
            <w:noProof/>
            <w:webHidden/>
          </w:rPr>
          <w:tab/>
        </w:r>
        <w:r>
          <w:rPr>
            <w:noProof/>
            <w:webHidden/>
          </w:rPr>
          <w:fldChar w:fldCharType="begin"/>
        </w:r>
        <w:r>
          <w:rPr>
            <w:noProof/>
            <w:webHidden/>
          </w:rPr>
          <w:instrText xml:space="preserve"> PAGEREF _Toc110355469 \h </w:instrText>
        </w:r>
        <w:r>
          <w:rPr>
            <w:noProof/>
            <w:webHidden/>
          </w:rPr>
        </w:r>
        <w:r>
          <w:rPr>
            <w:noProof/>
            <w:webHidden/>
          </w:rPr>
          <w:fldChar w:fldCharType="separate"/>
        </w:r>
        <w:r w:rsidR="00892B2D">
          <w:rPr>
            <w:noProof/>
            <w:webHidden/>
          </w:rPr>
          <w:t>20</w:t>
        </w:r>
        <w:r>
          <w:rPr>
            <w:noProof/>
            <w:webHidden/>
          </w:rPr>
          <w:fldChar w:fldCharType="end"/>
        </w:r>
      </w:hyperlink>
    </w:p>
    <w:p w14:paraId="3684D422" w14:textId="22432944" w:rsidR="00403501" w:rsidRDefault="00403501">
      <w:pPr>
        <w:pStyle w:val="TableofFigures"/>
        <w:rPr>
          <w:rFonts w:asciiTheme="minorHAnsi" w:eastAsiaTheme="minorEastAsia" w:hAnsiTheme="minorHAnsi" w:cstheme="minorBidi"/>
          <w:noProof/>
          <w:sz w:val="22"/>
          <w:szCs w:val="22"/>
          <w:lang w:eastAsia="en-NZ"/>
        </w:rPr>
      </w:pPr>
      <w:hyperlink w:anchor="_Toc110355470" w:history="1">
        <w:r w:rsidRPr="009441CA">
          <w:rPr>
            <w:rStyle w:val="Hyperlink"/>
            <w:rFonts w:cs="Arial"/>
            <w:noProof/>
          </w:rPr>
          <w:t>Table 4</w:t>
        </w:r>
        <w:r w:rsidRPr="009441CA">
          <w:rPr>
            <w:rStyle w:val="Hyperlink"/>
            <w:rFonts w:cs="Arial"/>
            <w:noProof/>
          </w:rPr>
          <w:noBreakHyphen/>
          <w:t xml:space="preserve">4: </w:t>
        </w:r>
        <w:r w:rsidRPr="009441CA">
          <w:rPr>
            <w:rStyle w:val="Hyperlink"/>
            <w:noProof/>
          </w:rPr>
          <w:t xml:space="preserve"> </w:t>
        </w:r>
        <w:r w:rsidRPr="009441CA">
          <w:rPr>
            <w:rStyle w:val="Hyperlink"/>
            <w:rFonts w:cs="Arial"/>
            <w:noProof/>
          </w:rPr>
          <w:t>Input and output estimates for primary ferrous metal production</w:t>
        </w:r>
        <w:r>
          <w:rPr>
            <w:noProof/>
            <w:webHidden/>
          </w:rPr>
          <w:tab/>
        </w:r>
        <w:r>
          <w:rPr>
            <w:noProof/>
            <w:webHidden/>
          </w:rPr>
          <w:fldChar w:fldCharType="begin"/>
        </w:r>
        <w:r>
          <w:rPr>
            <w:noProof/>
            <w:webHidden/>
          </w:rPr>
          <w:instrText xml:space="preserve"> PAGEREF _Toc110355470 \h </w:instrText>
        </w:r>
        <w:r>
          <w:rPr>
            <w:noProof/>
            <w:webHidden/>
          </w:rPr>
        </w:r>
        <w:r>
          <w:rPr>
            <w:noProof/>
            <w:webHidden/>
          </w:rPr>
          <w:fldChar w:fldCharType="separate"/>
        </w:r>
        <w:r w:rsidR="00892B2D">
          <w:rPr>
            <w:noProof/>
            <w:webHidden/>
          </w:rPr>
          <w:t>22</w:t>
        </w:r>
        <w:r>
          <w:rPr>
            <w:noProof/>
            <w:webHidden/>
          </w:rPr>
          <w:fldChar w:fldCharType="end"/>
        </w:r>
      </w:hyperlink>
    </w:p>
    <w:p w14:paraId="20CAF00C" w14:textId="6C3C8FDF" w:rsidR="00403501" w:rsidRDefault="00403501">
      <w:pPr>
        <w:pStyle w:val="TableofFigures"/>
        <w:rPr>
          <w:rFonts w:asciiTheme="minorHAnsi" w:eastAsiaTheme="minorEastAsia" w:hAnsiTheme="minorHAnsi" w:cstheme="minorBidi"/>
          <w:noProof/>
          <w:sz w:val="22"/>
          <w:szCs w:val="22"/>
          <w:lang w:eastAsia="en-NZ"/>
        </w:rPr>
      </w:pPr>
      <w:hyperlink w:anchor="_Toc110355471" w:history="1">
        <w:r w:rsidRPr="009441CA">
          <w:rPr>
            <w:rStyle w:val="Hyperlink"/>
            <w:rFonts w:cs="Arial"/>
            <w:noProof/>
          </w:rPr>
          <w:t>Table 4</w:t>
        </w:r>
        <w:r w:rsidRPr="009441CA">
          <w:rPr>
            <w:rStyle w:val="Hyperlink"/>
            <w:rFonts w:cs="Arial"/>
            <w:noProof/>
          </w:rPr>
          <w:noBreakHyphen/>
          <w:t>5:  Summary of inputs and outputs for the primary metal production category for 2020</w:t>
        </w:r>
        <w:r>
          <w:rPr>
            <w:noProof/>
            <w:webHidden/>
          </w:rPr>
          <w:tab/>
        </w:r>
        <w:r>
          <w:rPr>
            <w:noProof/>
            <w:webHidden/>
          </w:rPr>
          <w:fldChar w:fldCharType="begin"/>
        </w:r>
        <w:r>
          <w:rPr>
            <w:noProof/>
            <w:webHidden/>
          </w:rPr>
          <w:instrText xml:space="preserve"> PAGEREF _Toc110355471 \h </w:instrText>
        </w:r>
        <w:r>
          <w:rPr>
            <w:noProof/>
            <w:webHidden/>
          </w:rPr>
        </w:r>
        <w:r>
          <w:rPr>
            <w:noProof/>
            <w:webHidden/>
          </w:rPr>
          <w:fldChar w:fldCharType="separate"/>
        </w:r>
        <w:r w:rsidR="00892B2D">
          <w:rPr>
            <w:noProof/>
            <w:webHidden/>
          </w:rPr>
          <w:t>23</w:t>
        </w:r>
        <w:r>
          <w:rPr>
            <w:noProof/>
            <w:webHidden/>
          </w:rPr>
          <w:fldChar w:fldCharType="end"/>
        </w:r>
      </w:hyperlink>
    </w:p>
    <w:p w14:paraId="2467D214" w14:textId="3DA8FB8C" w:rsidR="00403501" w:rsidRDefault="00403501">
      <w:pPr>
        <w:pStyle w:val="TableofFigures"/>
        <w:rPr>
          <w:rFonts w:asciiTheme="minorHAnsi" w:eastAsiaTheme="minorEastAsia" w:hAnsiTheme="minorHAnsi" w:cstheme="minorBidi"/>
          <w:noProof/>
          <w:sz w:val="22"/>
          <w:szCs w:val="22"/>
          <w:lang w:eastAsia="en-NZ"/>
        </w:rPr>
      </w:pPr>
      <w:hyperlink w:anchor="_Toc110355472" w:history="1">
        <w:r w:rsidRPr="009441CA">
          <w:rPr>
            <w:rStyle w:val="Hyperlink"/>
            <w:rFonts w:cs="Arial"/>
            <w:noProof/>
          </w:rPr>
          <w:t>Table 5</w:t>
        </w:r>
        <w:r w:rsidRPr="009441CA">
          <w:rPr>
            <w:rStyle w:val="Hyperlink"/>
            <w:rFonts w:cs="Arial"/>
            <w:noProof/>
          </w:rPr>
          <w:noBreakHyphen/>
          <w:t>1:  Toolkit framework for category 3 –production of minerals and materials with mercury impurities</w:t>
        </w:r>
        <w:r>
          <w:rPr>
            <w:noProof/>
            <w:webHidden/>
          </w:rPr>
          <w:tab/>
        </w:r>
        <w:r>
          <w:rPr>
            <w:noProof/>
            <w:webHidden/>
          </w:rPr>
          <w:fldChar w:fldCharType="begin"/>
        </w:r>
        <w:r>
          <w:rPr>
            <w:noProof/>
            <w:webHidden/>
          </w:rPr>
          <w:instrText xml:space="preserve"> PAGEREF _Toc110355472 \h </w:instrText>
        </w:r>
        <w:r>
          <w:rPr>
            <w:noProof/>
            <w:webHidden/>
          </w:rPr>
        </w:r>
        <w:r>
          <w:rPr>
            <w:noProof/>
            <w:webHidden/>
          </w:rPr>
          <w:fldChar w:fldCharType="separate"/>
        </w:r>
        <w:r w:rsidR="00892B2D">
          <w:rPr>
            <w:noProof/>
            <w:webHidden/>
          </w:rPr>
          <w:t>24</w:t>
        </w:r>
        <w:r>
          <w:rPr>
            <w:noProof/>
            <w:webHidden/>
          </w:rPr>
          <w:fldChar w:fldCharType="end"/>
        </w:r>
      </w:hyperlink>
    </w:p>
    <w:p w14:paraId="3DF31B50" w14:textId="68CF3F43" w:rsidR="00403501" w:rsidRDefault="00403501">
      <w:pPr>
        <w:pStyle w:val="TableofFigures"/>
        <w:rPr>
          <w:rFonts w:asciiTheme="minorHAnsi" w:eastAsiaTheme="minorEastAsia" w:hAnsiTheme="minorHAnsi" w:cstheme="minorBidi"/>
          <w:noProof/>
          <w:sz w:val="22"/>
          <w:szCs w:val="22"/>
          <w:lang w:eastAsia="en-NZ"/>
        </w:rPr>
      </w:pPr>
      <w:hyperlink w:anchor="_Toc110355473" w:history="1">
        <w:r w:rsidRPr="009441CA">
          <w:rPr>
            <w:rStyle w:val="Hyperlink"/>
            <w:rFonts w:cs="Arial"/>
            <w:noProof/>
          </w:rPr>
          <w:t>Table 5</w:t>
        </w:r>
        <w:r w:rsidRPr="009441CA">
          <w:rPr>
            <w:rStyle w:val="Hyperlink"/>
            <w:rFonts w:cs="Arial"/>
            <w:noProof/>
          </w:rPr>
          <w:noBreakHyphen/>
          <w:t>2:</w:t>
        </w:r>
        <w:r w:rsidRPr="009441CA">
          <w:rPr>
            <w:rStyle w:val="Hyperlink"/>
            <w:noProof/>
          </w:rPr>
          <w:t xml:space="preserve">  </w:t>
        </w:r>
        <w:r w:rsidRPr="009441CA">
          <w:rPr>
            <w:rStyle w:val="Hyperlink"/>
            <w:rFonts w:cs="Arial"/>
            <w:noProof/>
          </w:rPr>
          <w:t>Input and output estimates for cement production</w:t>
        </w:r>
        <w:r>
          <w:rPr>
            <w:noProof/>
            <w:webHidden/>
          </w:rPr>
          <w:tab/>
        </w:r>
        <w:r>
          <w:rPr>
            <w:noProof/>
            <w:webHidden/>
          </w:rPr>
          <w:fldChar w:fldCharType="begin"/>
        </w:r>
        <w:r>
          <w:rPr>
            <w:noProof/>
            <w:webHidden/>
          </w:rPr>
          <w:instrText xml:space="preserve"> PAGEREF _Toc110355473 \h </w:instrText>
        </w:r>
        <w:r>
          <w:rPr>
            <w:noProof/>
            <w:webHidden/>
          </w:rPr>
        </w:r>
        <w:r>
          <w:rPr>
            <w:noProof/>
            <w:webHidden/>
          </w:rPr>
          <w:fldChar w:fldCharType="separate"/>
        </w:r>
        <w:r w:rsidR="00892B2D">
          <w:rPr>
            <w:noProof/>
            <w:webHidden/>
          </w:rPr>
          <w:t>25</w:t>
        </w:r>
        <w:r>
          <w:rPr>
            <w:noProof/>
            <w:webHidden/>
          </w:rPr>
          <w:fldChar w:fldCharType="end"/>
        </w:r>
      </w:hyperlink>
    </w:p>
    <w:p w14:paraId="326BA1EE" w14:textId="2882FE56" w:rsidR="00403501" w:rsidRDefault="00403501">
      <w:pPr>
        <w:pStyle w:val="TableofFigures"/>
        <w:rPr>
          <w:rFonts w:asciiTheme="minorHAnsi" w:eastAsiaTheme="minorEastAsia" w:hAnsiTheme="minorHAnsi" w:cstheme="minorBidi"/>
          <w:noProof/>
          <w:sz w:val="22"/>
          <w:szCs w:val="22"/>
          <w:lang w:eastAsia="en-NZ"/>
        </w:rPr>
      </w:pPr>
      <w:hyperlink w:anchor="_Toc110355474" w:history="1">
        <w:r w:rsidRPr="009441CA">
          <w:rPr>
            <w:rStyle w:val="Hyperlink"/>
            <w:rFonts w:cs="Arial"/>
            <w:noProof/>
          </w:rPr>
          <w:t>Table 5</w:t>
        </w:r>
        <w:r w:rsidRPr="009441CA">
          <w:rPr>
            <w:rStyle w:val="Hyperlink"/>
            <w:rFonts w:cs="Arial"/>
            <w:noProof/>
          </w:rPr>
          <w:noBreakHyphen/>
          <w:t>3:</w:t>
        </w:r>
        <w:r w:rsidRPr="009441CA">
          <w:rPr>
            <w:rStyle w:val="Hyperlink"/>
            <w:noProof/>
          </w:rPr>
          <w:t xml:space="preserve">  </w:t>
        </w:r>
        <w:r w:rsidRPr="009441CA">
          <w:rPr>
            <w:rStyle w:val="Hyperlink"/>
            <w:rFonts w:cs="Arial"/>
            <w:noProof/>
          </w:rPr>
          <w:t>Input and output estimates for lime production</w:t>
        </w:r>
        <w:r>
          <w:rPr>
            <w:noProof/>
            <w:webHidden/>
          </w:rPr>
          <w:tab/>
        </w:r>
        <w:r>
          <w:rPr>
            <w:noProof/>
            <w:webHidden/>
          </w:rPr>
          <w:fldChar w:fldCharType="begin"/>
        </w:r>
        <w:r>
          <w:rPr>
            <w:noProof/>
            <w:webHidden/>
          </w:rPr>
          <w:instrText xml:space="preserve"> PAGEREF _Toc110355474 \h </w:instrText>
        </w:r>
        <w:r>
          <w:rPr>
            <w:noProof/>
            <w:webHidden/>
          </w:rPr>
        </w:r>
        <w:r>
          <w:rPr>
            <w:noProof/>
            <w:webHidden/>
          </w:rPr>
          <w:fldChar w:fldCharType="separate"/>
        </w:r>
        <w:r w:rsidR="00892B2D">
          <w:rPr>
            <w:noProof/>
            <w:webHidden/>
          </w:rPr>
          <w:t>26</w:t>
        </w:r>
        <w:r>
          <w:rPr>
            <w:noProof/>
            <w:webHidden/>
          </w:rPr>
          <w:fldChar w:fldCharType="end"/>
        </w:r>
      </w:hyperlink>
    </w:p>
    <w:p w14:paraId="66300771" w14:textId="4B24D652" w:rsidR="00403501" w:rsidRDefault="00403501">
      <w:pPr>
        <w:pStyle w:val="TableofFigures"/>
        <w:rPr>
          <w:rFonts w:asciiTheme="minorHAnsi" w:eastAsiaTheme="minorEastAsia" w:hAnsiTheme="minorHAnsi" w:cstheme="minorBidi"/>
          <w:noProof/>
          <w:sz w:val="22"/>
          <w:szCs w:val="22"/>
          <w:lang w:eastAsia="en-NZ"/>
        </w:rPr>
      </w:pPr>
      <w:hyperlink w:anchor="_Toc110355475" w:history="1">
        <w:r w:rsidRPr="009441CA">
          <w:rPr>
            <w:rStyle w:val="Hyperlink"/>
            <w:rFonts w:cs="Arial"/>
            <w:noProof/>
          </w:rPr>
          <w:t>Table 5</w:t>
        </w:r>
        <w:r w:rsidRPr="009441CA">
          <w:rPr>
            <w:rStyle w:val="Hyperlink"/>
            <w:rFonts w:cs="Arial"/>
            <w:noProof/>
          </w:rPr>
          <w:noBreakHyphen/>
          <w:t>4:</w:t>
        </w:r>
        <w:r w:rsidRPr="009441CA">
          <w:rPr>
            <w:rStyle w:val="Hyperlink"/>
            <w:noProof/>
          </w:rPr>
          <w:t xml:space="preserve">  </w:t>
        </w:r>
        <w:r w:rsidRPr="009441CA">
          <w:rPr>
            <w:rStyle w:val="Hyperlink"/>
            <w:rFonts w:cs="Arial"/>
            <w:noProof/>
          </w:rPr>
          <w:t>Input and output estimates for other mineral products</w:t>
        </w:r>
        <w:r>
          <w:rPr>
            <w:noProof/>
            <w:webHidden/>
          </w:rPr>
          <w:tab/>
        </w:r>
        <w:r>
          <w:rPr>
            <w:noProof/>
            <w:webHidden/>
          </w:rPr>
          <w:fldChar w:fldCharType="begin"/>
        </w:r>
        <w:r>
          <w:rPr>
            <w:noProof/>
            <w:webHidden/>
          </w:rPr>
          <w:instrText xml:space="preserve"> PAGEREF _Toc110355475 \h </w:instrText>
        </w:r>
        <w:r>
          <w:rPr>
            <w:noProof/>
            <w:webHidden/>
          </w:rPr>
        </w:r>
        <w:r>
          <w:rPr>
            <w:noProof/>
            <w:webHidden/>
          </w:rPr>
          <w:fldChar w:fldCharType="separate"/>
        </w:r>
        <w:r w:rsidR="00892B2D">
          <w:rPr>
            <w:noProof/>
            <w:webHidden/>
          </w:rPr>
          <w:t>29</w:t>
        </w:r>
        <w:r>
          <w:rPr>
            <w:noProof/>
            <w:webHidden/>
          </w:rPr>
          <w:fldChar w:fldCharType="end"/>
        </w:r>
      </w:hyperlink>
    </w:p>
    <w:p w14:paraId="5B9A6E0A" w14:textId="085D4671" w:rsidR="00403501" w:rsidRDefault="00403501">
      <w:pPr>
        <w:pStyle w:val="TableofFigures"/>
        <w:rPr>
          <w:rFonts w:asciiTheme="minorHAnsi" w:eastAsiaTheme="minorEastAsia" w:hAnsiTheme="minorHAnsi" w:cstheme="minorBidi"/>
          <w:noProof/>
          <w:sz w:val="22"/>
          <w:szCs w:val="22"/>
          <w:lang w:eastAsia="en-NZ"/>
        </w:rPr>
      </w:pPr>
      <w:hyperlink w:anchor="_Toc110355476" w:history="1">
        <w:r w:rsidRPr="009441CA">
          <w:rPr>
            <w:rStyle w:val="Hyperlink"/>
            <w:rFonts w:cs="Arial"/>
            <w:noProof/>
          </w:rPr>
          <w:t>Table 5</w:t>
        </w:r>
        <w:r w:rsidRPr="009441CA">
          <w:rPr>
            <w:rStyle w:val="Hyperlink"/>
            <w:rFonts w:cs="Arial"/>
            <w:noProof/>
          </w:rPr>
          <w:noBreakHyphen/>
          <w:t>5:  Summary of inputs and outputs for production of minerals and related materials with mercury impurities for 2020</w:t>
        </w:r>
        <w:r>
          <w:rPr>
            <w:noProof/>
            <w:webHidden/>
          </w:rPr>
          <w:tab/>
        </w:r>
        <w:r>
          <w:rPr>
            <w:noProof/>
            <w:webHidden/>
          </w:rPr>
          <w:fldChar w:fldCharType="begin"/>
        </w:r>
        <w:r>
          <w:rPr>
            <w:noProof/>
            <w:webHidden/>
          </w:rPr>
          <w:instrText xml:space="preserve"> PAGEREF _Toc110355476 \h </w:instrText>
        </w:r>
        <w:r>
          <w:rPr>
            <w:noProof/>
            <w:webHidden/>
          </w:rPr>
        </w:r>
        <w:r>
          <w:rPr>
            <w:noProof/>
            <w:webHidden/>
          </w:rPr>
          <w:fldChar w:fldCharType="separate"/>
        </w:r>
        <w:r w:rsidR="00892B2D">
          <w:rPr>
            <w:noProof/>
            <w:webHidden/>
          </w:rPr>
          <w:t>29</w:t>
        </w:r>
        <w:r>
          <w:rPr>
            <w:noProof/>
            <w:webHidden/>
          </w:rPr>
          <w:fldChar w:fldCharType="end"/>
        </w:r>
      </w:hyperlink>
    </w:p>
    <w:p w14:paraId="4E7C565D" w14:textId="04B80740" w:rsidR="00403501" w:rsidRDefault="00403501">
      <w:pPr>
        <w:pStyle w:val="TableofFigures"/>
        <w:rPr>
          <w:rFonts w:asciiTheme="minorHAnsi" w:eastAsiaTheme="minorEastAsia" w:hAnsiTheme="minorHAnsi" w:cstheme="minorBidi"/>
          <w:noProof/>
          <w:sz w:val="22"/>
          <w:szCs w:val="22"/>
          <w:lang w:eastAsia="en-NZ"/>
        </w:rPr>
      </w:pPr>
      <w:hyperlink w:anchor="_Toc110355477" w:history="1">
        <w:r w:rsidRPr="009441CA">
          <w:rPr>
            <w:rStyle w:val="Hyperlink"/>
            <w:rFonts w:cs="Arial"/>
            <w:noProof/>
          </w:rPr>
          <w:t>Table 6</w:t>
        </w:r>
        <w:r w:rsidRPr="009441CA">
          <w:rPr>
            <w:rStyle w:val="Hyperlink"/>
            <w:rFonts w:cs="Arial"/>
            <w:noProof/>
          </w:rPr>
          <w:noBreakHyphen/>
          <w:t>1:</w:t>
        </w:r>
        <w:r w:rsidRPr="009441CA">
          <w:rPr>
            <w:rStyle w:val="Hyperlink"/>
            <w:noProof/>
          </w:rPr>
          <w:t xml:space="preserve">  </w:t>
        </w:r>
        <w:r w:rsidRPr="009441CA">
          <w:rPr>
            <w:rStyle w:val="Hyperlink"/>
            <w:rFonts w:cs="Arial"/>
            <w:noProof/>
          </w:rPr>
          <w:t>Toolkit framework for category 4 – intentional use of mercury in industrial processes</w:t>
        </w:r>
        <w:r>
          <w:rPr>
            <w:noProof/>
            <w:webHidden/>
          </w:rPr>
          <w:tab/>
        </w:r>
        <w:r>
          <w:rPr>
            <w:noProof/>
            <w:webHidden/>
          </w:rPr>
          <w:fldChar w:fldCharType="begin"/>
        </w:r>
        <w:r>
          <w:rPr>
            <w:noProof/>
            <w:webHidden/>
          </w:rPr>
          <w:instrText xml:space="preserve"> PAGEREF _Toc110355477 \h </w:instrText>
        </w:r>
        <w:r>
          <w:rPr>
            <w:noProof/>
            <w:webHidden/>
          </w:rPr>
        </w:r>
        <w:r>
          <w:rPr>
            <w:noProof/>
            <w:webHidden/>
          </w:rPr>
          <w:fldChar w:fldCharType="separate"/>
        </w:r>
        <w:r w:rsidR="00892B2D">
          <w:rPr>
            <w:noProof/>
            <w:webHidden/>
          </w:rPr>
          <w:t>30</w:t>
        </w:r>
        <w:r>
          <w:rPr>
            <w:noProof/>
            <w:webHidden/>
          </w:rPr>
          <w:fldChar w:fldCharType="end"/>
        </w:r>
      </w:hyperlink>
    </w:p>
    <w:p w14:paraId="130A1ABC" w14:textId="0CCC07E6" w:rsidR="00403501" w:rsidRDefault="00403501">
      <w:pPr>
        <w:pStyle w:val="TableofFigures"/>
        <w:rPr>
          <w:rFonts w:asciiTheme="minorHAnsi" w:eastAsiaTheme="minorEastAsia" w:hAnsiTheme="minorHAnsi" w:cstheme="minorBidi"/>
          <w:noProof/>
          <w:sz w:val="22"/>
          <w:szCs w:val="22"/>
          <w:lang w:eastAsia="en-NZ"/>
        </w:rPr>
      </w:pPr>
      <w:hyperlink w:anchor="_Toc110355478" w:history="1">
        <w:r w:rsidRPr="009441CA">
          <w:rPr>
            <w:rStyle w:val="Hyperlink"/>
            <w:rFonts w:cs="Arial"/>
            <w:noProof/>
          </w:rPr>
          <w:t>Table 7</w:t>
        </w:r>
        <w:r w:rsidRPr="009441CA">
          <w:rPr>
            <w:rStyle w:val="Hyperlink"/>
            <w:rFonts w:cs="Arial"/>
            <w:noProof/>
          </w:rPr>
          <w:noBreakHyphen/>
          <w:t>1:</w:t>
        </w:r>
        <w:r w:rsidRPr="009441CA">
          <w:rPr>
            <w:rStyle w:val="Hyperlink"/>
            <w:noProof/>
          </w:rPr>
          <w:t xml:space="preserve">  </w:t>
        </w:r>
        <w:r w:rsidRPr="009441CA">
          <w:rPr>
            <w:rStyle w:val="Hyperlink"/>
            <w:rFonts w:cs="Arial"/>
            <w:noProof/>
          </w:rPr>
          <w:t>Toolkit framework for category 5 – consumer products with intentional use of mercury</w:t>
        </w:r>
        <w:r>
          <w:rPr>
            <w:noProof/>
            <w:webHidden/>
          </w:rPr>
          <w:tab/>
        </w:r>
        <w:r>
          <w:rPr>
            <w:noProof/>
            <w:webHidden/>
          </w:rPr>
          <w:fldChar w:fldCharType="begin"/>
        </w:r>
        <w:r>
          <w:rPr>
            <w:noProof/>
            <w:webHidden/>
          </w:rPr>
          <w:instrText xml:space="preserve"> PAGEREF _Toc110355478 \h </w:instrText>
        </w:r>
        <w:r>
          <w:rPr>
            <w:noProof/>
            <w:webHidden/>
          </w:rPr>
        </w:r>
        <w:r>
          <w:rPr>
            <w:noProof/>
            <w:webHidden/>
          </w:rPr>
          <w:fldChar w:fldCharType="separate"/>
        </w:r>
        <w:r w:rsidR="00892B2D">
          <w:rPr>
            <w:noProof/>
            <w:webHidden/>
          </w:rPr>
          <w:t>31</w:t>
        </w:r>
        <w:r>
          <w:rPr>
            <w:noProof/>
            <w:webHidden/>
          </w:rPr>
          <w:fldChar w:fldCharType="end"/>
        </w:r>
      </w:hyperlink>
    </w:p>
    <w:p w14:paraId="05B055D3" w14:textId="6433C874" w:rsidR="00403501" w:rsidRDefault="00403501">
      <w:pPr>
        <w:pStyle w:val="TableofFigures"/>
        <w:rPr>
          <w:rFonts w:asciiTheme="minorHAnsi" w:eastAsiaTheme="minorEastAsia" w:hAnsiTheme="minorHAnsi" w:cstheme="minorBidi"/>
          <w:noProof/>
          <w:sz w:val="22"/>
          <w:szCs w:val="22"/>
          <w:lang w:eastAsia="en-NZ"/>
        </w:rPr>
      </w:pPr>
      <w:hyperlink w:anchor="_Toc110355479" w:history="1">
        <w:r w:rsidRPr="009441CA">
          <w:rPr>
            <w:rStyle w:val="Hyperlink"/>
            <w:rFonts w:cs="Arial"/>
            <w:noProof/>
          </w:rPr>
          <w:t>Table 7</w:t>
        </w:r>
        <w:r w:rsidRPr="009441CA">
          <w:rPr>
            <w:rStyle w:val="Hyperlink"/>
            <w:rFonts w:cs="Arial"/>
            <w:noProof/>
          </w:rPr>
          <w:noBreakHyphen/>
          <w:t>2:</w:t>
        </w:r>
        <w:r w:rsidRPr="009441CA">
          <w:rPr>
            <w:rStyle w:val="Hyperlink"/>
            <w:noProof/>
          </w:rPr>
          <w:t xml:space="preserve">  </w:t>
        </w:r>
        <w:r w:rsidRPr="009441CA">
          <w:rPr>
            <w:rStyle w:val="Hyperlink"/>
            <w:rFonts w:cs="Arial"/>
            <w:noProof/>
          </w:rPr>
          <w:t>Input and output estimates for mercury thermometers</w:t>
        </w:r>
        <w:r>
          <w:rPr>
            <w:noProof/>
            <w:webHidden/>
          </w:rPr>
          <w:tab/>
        </w:r>
        <w:r>
          <w:rPr>
            <w:noProof/>
            <w:webHidden/>
          </w:rPr>
          <w:fldChar w:fldCharType="begin"/>
        </w:r>
        <w:r>
          <w:rPr>
            <w:noProof/>
            <w:webHidden/>
          </w:rPr>
          <w:instrText xml:space="preserve"> PAGEREF _Toc110355479 \h </w:instrText>
        </w:r>
        <w:r>
          <w:rPr>
            <w:noProof/>
            <w:webHidden/>
          </w:rPr>
        </w:r>
        <w:r>
          <w:rPr>
            <w:noProof/>
            <w:webHidden/>
          </w:rPr>
          <w:fldChar w:fldCharType="separate"/>
        </w:r>
        <w:r w:rsidR="00892B2D">
          <w:rPr>
            <w:noProof/>
            <w:webHidden/>
          </w:rPr>
          <w:t>32</w:t>
        </w:r>
        <w:r>
          <w:rPr>
            <w:noProof/>
            <w:webHidden/>
          </w:rPr>
          <w:fldChar w:fldCharType="end"/>
        </w:r>
      </w:hyperlink>
    </w:p>
    <w:p w14:paraId="58D9239E" w14:textId="12E952B8" w:rsidR="00403501" w:rsidRDefault="00403501">
      <w:pPr>
        <w:pStyle w:val="TableofFigures"/>
        <w:rPr>
          <w:rFonts w:asciiTheme="minorHAnsi" w:eastAsiaTheme="minorEastAsia" w:hAnsiTheme="minorHAnsi" w:cstheme="minorBidi"/>
          <w:noProof/>
          <w:sz w:val="22"/>
          <w:szCs w:val="22"/>
          <w:lang w:eastAsia="en-NZ"/>
        </w:rPr>
      </w:pPr>
      <w:hyperlink w:anchor="_Toc110355480" w:history="1">
        <w:r w:rsidRPr="009441CA">
          <w:rPr>
            <w:rStyle w:val="Hyperlink"/>
            <w:rFonts w:cs="Arial"/>
            <w:noProof/>
          </w:rPr>
          <w:t>Table 7</w:t>
        </w:r>
        <w:r w:rsidRPr="009441CA">
          <w:rPr>
            <w:rStyle w:val="Hyperlink"/>
            <w:rFonts w:cs="Arial"/>
            <w:noProof/>
          </w:rPr>
          <w:noBreakHyphen/>
          <w:t>3:</w:t>
        </w:r>
        <w:r w:rsidRPr="009441CA">
          <w:rPr>
            <w:rStyle w:val="Hyperlink"/>
            <w:noProof/>
          </w:rPr>
          <w:t xml:space="preserve">  </w:t>
        </w:r>
        <w:r w:rsidRPr="009441CA">
          <w:rPr>
            <w:rStyle w:val="Hyperlink"/>
            <w:rFonts w:cs="Arial"/>
            <w:noProof/>
          </w:rPr>
          <w:t>Input and output estimates for mercury switches and relays</w:t>
        </w:r>
        <w:r>
          <w:rPr>
            <w:noProof/>
            <w:webHidden/>
          </w:rPr>
          <w:tab/>
        </w:r>
        <w:r>
          <w:rPr>
            <w:noProof/>
            <w:webHidden/>
          </w:rPr>
          <w:fldChar w:fldCharType="begin"/>
        </w:r>
        <w:r>
          <w:rPr>
            <w:noProof/>
            <w:webHidden/>
          </w:rPr>
          <w:instrText xml:space="preserve"> PAGEREF _Toc110355480 \h </w:instrText>
        </w:r>
        <w:r>
          <w:rPr>
            <w:noProof/>
            <w:webHidden/>
          </w:rPr>
        </w:r>
        <w:r>
          <w:rPr>
            <w:noProof/>
            <w:webHidden/>
          </w:rPr>
          <w:fldChar w:fldCharType="separate"/>
        </w:r>
        <w:r w:rsidR="00892B2D">
          <w:rPr>
            <w:noProof/>
            <w:webHidden/>
          </w:rPr>
          <w:t>33</w:t>
        </w:r>
        <w:r>
          <w:rPr>
            <w:noProof/>
            <w:webHidden/>
          </w:rPr>
          <w:fldChar w:fldCharType="end"/>
        </w:r>
      </w:hyperlink>
    </w:p>
    <w:p w14:paraId="1D38456F" w14:textId="3C5E2583" w:rsidR="00403501" w:rsidRDefault="00403501">
      <w:pPr>
        <w:pStyle w:val="TableofFigures"/>
        <w:rPr>
          <w:rFonts w:asciiTheme="minorHAnsi" w:eastAsiaTheme="minorEastAsia" w:hAnsiTheme="minorHAnsi" w:cstheme="minorBidi"/>
          <w:noProof/>
          <w:sz w:val="22"/>
          <w:szCs w:val="22"/>
          <w:lang w:eastAsia="en-NZ"/>
        </w:rPr>
      </w:pPr>
      <w:hyperlink w:anchor="_Toc110355481" w:history="1">
        <w:r w:rsidRPr="009441CA">
          <w:rPr>
            <w:rStyle w:val="Hyperlink"/>
            <w:rFonts w:cs="Arial"/>
            <w:noProof/>
          </w:rPr>
          <w:t>Table 7</w:t>
        </w:r>
        <w:r w:rsidRPr="009441CA">
          <w:rPr>
            <w:rStyle w:val="Hyperlink"/>
            <w:rFonts w:cs="Arial"/>
            <w:noProof/>
          </w:rPr>
          <w:noBreakHyphen/>
          <w:t>4:  Input estimates for lamps</w:t>
        </w:r>
        <w:r>
          <w:rPr>
            <w:noProof/>
            <w:webHidden/>
          </w:rPr>
          <w:tab/>
        </w:r>
        <w:r>
          <w:rPr>
            <w:noProof/>
            <w:webHidden/>
          </w:rPr>
          <w:fldChar w:fldCharType="begin"/>
        </w:r>
        <w:r>
          <w:rPr>
            <w:noProof/>
            <w:webHidden/>
          </w:rPr>
          <w:instrText xml:space="preserve"> PAGEREF _Toc110355481 \h </w:instrText>
        </w:r>
        <w:r>
          <w:rPr>
            <w:noProof/>
            <w:webHidden/>
          </w:rPr>
        </w:r>
        <w:r>
          <w:rPr>
            <w:noProof/>
            <w:webHidden/>
          </w:rPr>
          <w:fldChar w:fldCharType="separate"/>
        </w:r>
        <w:r w:rsidR="00892B2D">
          <w:rPr>
            <w:noProof/>
            <w:webHidden/>
          </w:rPr>
          <w:t>36</w:t>
        </w:r>
        <w:r>
          <w:rPr>
            <w:noProof/>
            <w:webHidden/>
          </w:rPr>
          <w:fldChar w:fldCharType="end"/>
        </w:r>
      </w:hyperlink>
    </w:p>
    <w:p w14:paraId="12CC6F6B" w14:textId="4AAD0687" w:rsidR="00403501" w:rsidRDefault="00403501">
      <w:pPr>
        <w:pStyle w:val="TableofFigures"/>
        <w:rPr>
          <w:rFonts w:asciiTheme="minorHAnsi" w:eastAsiaTheme="minorEastAsia" w:hAnsiTheme="minorHAnsi" w:cstheme="minorBidi"/>
          <w:noProof/>
          <w:sz w:val="22"/>
          <w:szCs w:val="22"/>
          <w:lang w:eastAsia="en-NZ"/>
        </w:rPr>
      </w:pPr>
      <w:hyperlink w:anchor="_Toc110355482" w:history="1">
        <w:r w:rsidRPr="009441CA">
          <w:rPr>
            <w:rStyle w:val="Hyperlink"/>
            <w:rFonts w:cs="Arial"/>
            <w:noProof/>
          </w:rPr>
          <w:t>Table 7</w:t>
        </w:r>
        <w:r w:rsidRPr="009441CA">
          <w:rPr>
            <w:rStyle w:val="Hyperlink"/>
            <w:rFonts w:cs="Arial"/>
            <w:noProof/>
          </w:rPr>
          <w:noBreakHyphen/>
          <w:t>5:  Input and output estimates for mercury lamps</w:t>
        </w:r>
        <w:r>
          <w:rPr>
            <w:noProof/>
            <w:webHidden/>
          </w:rPr>
          <w:tab/>
        </w:r>
        <w:r>
          <w:rPr>
            <w:noProof/>
            <w:webHidden/>
          </w:rPr>
          <w:fldChar w:fldCharType="begin"/>
        </w:r>
        <w:r>
          <w:rPr>
            <w:noProof/>
            <w:webHidden/>
          </w:rPr>
          <w:instrText xml:space="preserve"> PAGEREF _Toc110355482 \h </w:instrText>
        </w:r>
        <w:r>
          <w:rPr>
            <w:noProof/>
            <w:webHidden/>
          </w:rPr>
        </w:r>
        <w:r>
          <w:rPr>
            <w:noProof/>
            <w:webHidden/>
          </w:rPr>
          <w:fldChar w:fldCharType="separate"/>
        </w:r>
        <w:r w:rsidR="00892B2D">
          <w:rPr>
            <w:noProof/>
            <w:webHidden/>
          </w:rPr>
          <w:t>37</w:t>
        </w:r>
        <w:r>
          <w:rPr>
            <w:noProof/>
            <w:webHidden/>
          </w:rPr>
          <w:fldChar w:fldCharType="end"/>
        </w:r>
      </w:hyperlink>
    </w:p>
    <w:p w14:paraId="47DB2946" w14:textId="3ACE659E" w:rsidR="00403501" w:rsidRDefault="00403501">
      <w:pPr>
        <w:pStyle w:val="TableofFigures"/>
        <w:rPr>
          <w:rFonts w:asciiTheme="minorHAnsi" w:eastAsiaTheme="minorEastAsia" w:hAnsiTheme="minorHAnsi" w:cstheme="minorBidi"/>
          <w:noProof/>
          <w:sz w:val="22"/>
          <w:szCs w:val="22"/>
          <w:lang w:eastAsia="en-NZ"/>
        </w:rPr>
      </w:pPr>
      <w:hyperlink w:anchor="_Toc110355483" w:history="1">
        <w:r w:rsidRPr="009441CA">
          <w:rPr>
            <w:rStyle w:val="Hyperlink"/>
            <w:rFonts w:cs="Arial"/>
            <w:noProof/>
          </w:rPr>
          <w:t>Table 7</w:t>
        </w:r>
        <w:r w:rsidRPr="009441CA">
          <w:rPr>
            <w:rStyle w:val="Hyperlink"/>
            <w:rFonts w:cs="Arial"/>
            <w:noProof/>
          </w:rPr>
          <w:noBreakHyphen/>
          <w:t>6:  Estimated mercury inputs for batteries</w:t>
        </w:r>
        <w:r>
          <w:rPr>
            <w:noProof/>
            <w:webHidden/>
          </w:rPr>
          <w:tab/>
        </w:r>
        <w:r>
          <w:rPr>
            <w:noProof/>
            <w:webHidden/>
          </w:rPr>
          <w:fldChar w:fldCharType="begin"/>
        </w:r>
        <w:r>
          <w:rPr>
            <w:noProof/>
            <w:webHidden/>
          </w:rPr>
          <w:instrText xml:space="preserve"> PAGEREF _Toc110355483 \h </w:instrText>
        </w:r>
        <w:r>
          <w:rPr>
            <w:noProof/>
            <w:webHidden/>
          </w:rPr>
        </w:r>
        <w:r>
          <w:rPr>
            <w:noProof/>
            <w:webHidden/>
          </w:rPr>
          <w:fldChar w:fldCharType="separate"/>
        </w:r>
        <w:r w:rsidR="00892B2D">
          <w:rPr>
            <w:noProof/>
            <w:webHidden/>
          </w:rPr>
          <w:t>40</w:t>
        </w:r>
        <w:r>
          <w:rPr>
            <w:noProof/>
            <w:webHidden/>
          </w:rPr>
          <w:fldChar w:fldCharType="end"/>
        </w:r>
      </w:hyperlink>
    </w:p>
    <w:p w14:paraId="3DCB2E42" w14:textId="4C22C0E6" w:rsidR="00403501" w:rsidRDefault="00403501">
      <w:pPr>
        <w:pStyle w:val="TableofFigures"/>
        <w:rPr>
          <w:rFonts w:asciiTheme="minorHAnsi" w:eastAsiaTheme="minorEastAsia" w:hAnsiTheme="minorHAnsi" w:cstheme="minorBidi"/>
          <w:noProof/>
          <w:sz w:val="22"/>
          <w:szCs w:val="22"/>
          <w:lang w:eastAsia="en-NZ"/>
        </w:rPr>
      </w:pPr>
      <w:hyperlink w:anchor="_Toc110355484" w:history="1">
        <w:r w:rsidRPr="009441CA">
          <w:rPr>
            <w:rStyle w:val="Hyperlink"/>
            <w:rFonts w:cs="Arial"/>
            <w:noProof/>
          </w:rPr>
          <w:t>Table 7</w:t>
        </w:r>
        <w:r w:rsidRPr="009441CA">
          <w:rPr>
            <w:rStyle w:val="Hyperlink"/>
            <w:rFonts w:cs="Arial"/>
            <w:noProof/>
          </w:rPr>
          <w:noBreakHyphen/>
          <w:t>7:  Input and output estimates for batteries</w:t>
        </w:r>
        <w:r>
          <w:rPr>
            <w:noProof/>
            <w:webHidden/>
          </w:rPr>
          <w:tab/>
        </w:r>
        <w:r>
          <w:rPr>
            <w:noProof/>
            <w:webHidden/>
          </w:rPr>
          <w:fldChar w:fldCharType="begin"/>
        </w:r>
        <w:r>
          <w:rPr>
            <w:noProof/>
            <w:webHidden/>
          </w:rPr>
          <w:instrText xml:space="preserve"> PAGEREF _Toc110355484 \h </w:instrText>
        </w:r>
        <w:r>
          <w:rPr>
            <w:noProof/>
            <w:webHidden/>
          </w:rPr>
        </w:r>
        <w:r>
          <w:rPr>
            <w:noProof/>
            <w:webHidden/>
          </w:rPr>
          <w:fldChar w:fldCharType="separate"/>
        </w:r>
        <w:r w:rsidR="00892B2D">
          <w:rPr>
            <w:noProof/>
            <w:webHidden/>
          </w:rPr>
          <w:t>40</w:t>
        </w:r>
        <w:r>
          <w:rPr>
            <w:noProof/>
            <w:webHidden/>
          </w:rPr>
          <w:fldChar w:fldCharType="end"/>
        </w:r>
      </w:hyperlink>
    </w:p>
    <w:p w14:paraId="36BA6CEC" w14:textId="31C55112" w:rsidR="00403501" w:rsidRDefault="00403501">
      <w:pPr>
        <w:pStyle w:val="TableofFigures"/>
        <w:rPr>
          <w:rFonts w:asciiTheme="minorHAnsi" w:eastAsiaTheme="minorEastAsia" w:hAnsiTheme="minorHAnsi" w:cstheme="minorBidi"/>
          <w:noProof/>
          <w:sz w:val="22"/>
          <w:szCs w:val="22"/>
          <w:lang w:eastAsia="en-NZ"/>
        </w:rPr>
      </w:pPr>
      <w:hyperlink w:anchor="_Toc110355485" w:history="1">
        <w:r w:rsidRPr="009441CA">
          <w:rPr>
            <w:rStyle w:val="Hyperlink"/>
            <w:rFonts w:cs="Arial"/>
            <w:noProof/>
          </w:rPr>
          <w:t>Table 7</w:t>
        </w:r>
        <w:r w:rsidRPr="009441CA">
          <w:rPr>
            <w:rStyle w:val="Hyperlink"/>
            <w:rFonts w:cs="Arial"/>
            <w:noProof/>
          </w:rPr>
          <w:noBreakHyphen/>
          <w:t>8:  Summary of inputs and outputs for consumer products with intentional use of mercury for 2020</w:t>
        </w:r>
        <w:r>
          <w:rPr>
            <w:noProof/>
            <w:webHidden/>
          </w:rPr>
          <w:tab/>
        </w:r>
        <w:r>
          <w:rPr>
            <w:noProof/>
            <w:webHidden/>
          </w:rPr>
          <w:fldChar w:fldCharType="begin"/>
        </w:r>
        <w:r>
          <w:rPr>
            <w:noProof/>
            <w:webHidden/>
          </w:rPr>
          <w:instrText xml:space="preserve"> PAGEREF _Toc110355485 \h </w:instrText>
        </w:r>
        <w:r>
          <w:rPr>
            <w:noProof/>
            <w:webHidden/>
          </w:rPr>
        </w:r>
        <w:r>
          <w:rPr>
            <w:noProof/>
            <w:webHidden/>
          </w:rPr>
          <w:fldChar w:fldCharType="separate"/>
        </w:r>
        <w:r w:rsidR="00892B2D">
          <w:rPr>
            <w:noProof/>
            <w:webHidden/>
          </w:rPr>
          <w:t>42</w:t>
        </w:r>
        <w:r>
          <w:rPr>
            <w:noProof/>
            <w:webHidden/>
          </w:rPr>
          <w:fldChar w:fldCharType="end"/>
        </w:r>
      </w:hyperlink>
    </w:p>
    <w:p w14:paraId="28F1767F" w14:textId="6B1DF41E" w:rsidR="00403501" w:rsidRDefault="00403501">
      <w:pPr>
        <w:pStyle w:val="TableofFigures"/>
        <w:rPr>
          <w:rFonts w:asciiTheme="minorHAnsi" w:eastAsiaTheme="minorEastAsia" w:hAnsiTheme="minorHAnsi" w:cstheme="minorBidi"/>
          <w:noProof/>
          <w:sz w:val="22"/>
          <w:szCs w:val="22"/>
          <w:lang w:eastAsia="en-NZ"/>
        </w:rPr>
      </w:pPr>
      <w:hyperlink w:anchor="_Toc110355486" w:history="1">
        <w:r w:rsidRPr="009441CA">
          <w:rPr>
            <w:rStyle w:val="Hyperlink"/>
            <w:rFonts w:cs="Arial"/>
            <w:noProof/>
          </w:rPr>
          <w:t>Table 8</w:t>
        </w:r>
        <w:r w:rsidRPr="009441CA">
          <w:rPr>
            <w:rStyle w:val="Hyperlink"/>
            <w:rFonts w:cs="Arial"/>
            <w:noProof/>
          </w:rPr>
          <w:noBreakHyphen/>
          <w:t>1:</w:t>
        </w:r>
        <w:r w:rsidRPr="009441CA">
          <w:rPr>
            <w:rStyle w:val="Hyperlink"/>
            <w:noProof/>
          </w:rPr>
          <w:t xml:space="preserve">  </w:t>
        </w:r>
        <w:r w:rsidRPr="009441CA">
          <w:rPr>
            <w:rStyle w:val="Hyperlink"/>
            <w:rFonts w:cs="Arial"/>
            <w:noProof/>
          </w:rPr>
          <w:t>Toolkit framework for category 6 – other intentional product/process uses</w:t>
        </w:r>
        <w:r>
          <w:rPr>
            <w:noProof/>
            <w:webHidden/>
          </w:rPr>
          <w:tab/>
        </w:r>
        <w:r>
          <w:rPr>
            <w:noProof/>
            <w:webHidden/>
          </w:rPr>
          <w:fldChar w:fldCharType="begin"/>
        </w:r>
        <w:r>
          <w:rPr>
            <w:noProof/>
            <w:webHidden/>
          </w:rPr>
          <w:instrText xml:space="preserve"> PAGEREF _Toc110355486 \h </w:instrText>
        </w:r>
        <w:r>
          <w:rPr>
            <w:noProof/>
            <w:webHidden/>
          </w:rPr>
        </w:r>
        <w:r>
          <w:rPr>
            <w:noProof/>
            <w:webHidden/>
          </w:rPr>
          <w:fldChar w:fldCharType="separate"/>
        </w:r>
        <w:r w:rsidR="00892B2D">
          <w:rPr>
            <w:noProof/>
            <w:webHidden/>
          </w:rPr>
          <w:t>43</w:t>
        </w:r>
        <w:r>
          <w:rPr>
            <w:noProof/>
            <w:webHidden/>
          </w:rPr>
          <w:fldChar w:fldCharType="end"/>
        </w:r>
      </w:hyperlink>
    </w:p>
    <w:p w14:paraId="525BBB08" w14:textId="4D5029CB" w:rsidR="00403501" w:rsidRDefault="00403501">
      <w:pPr>
        <w:pStyle w:val="TableofFigures"/>
        <w:rPr>
          <w:rFonts w:asciiTheme="minorHAnsi" w:eastAsiaTheme="minorEastAsia" w:hAnsiTheme="minorHAnsi" w:cstheme="minorBidi"/>
          <w:noProof/>
          <w:sz w:val="22"/>
          <w:szCs w:val="22"/>
          <w:lang w:eastAsia="en-NZ"/>
        </w:rPr>
      </w:pPr>
      <w:hyperlink w:anchor="_Toc110355487" w:history="1">
        <w:r w:rsidRPr="009441CA">
          <w:rPr>
            <w:rStyle w:val="Hyperlink"/>
            <w:rFonts w:cs="Arial"/>
            <w:noProof/>
          </w:rPr>
          <w:t>Table 8</w:t>
        </w:r>
        <w:r w:rsidRPr="009441CA">
          <w:rPr>
            <w:rStyle w:val="Hyperlink"/>
            <w:rFonts w:cs="Arial"/>
            <w:noProof/>
          </w:rPr>
          <w:noBreakHyphen/>
          <w:t>2:</w:t>
        </w:r>
        <w:r w:rsidRPr="009441CA">
          <w:rPr>
            <w:rStyle w:val="Hyperlink"/>
            <w:noProof/>
          </w:rPr>
          <w:t xml:space="preserve">  </w:t>
        </w:r>
        <w:r w:rsidRPr="009441CA">
          <w:rPr>
            <w:rStyle w:val="Hyperlink"/>
            <w:rFonts w:cs="Arial"/>
            <w:noProof/>
          </w:rPr>
          <w:t>Input and output estimates for mercury dental amalgam</w:t>
        </w:r>
        <w:r>
          <w:rPr>
            <w:noProof/>
            <w:webHidden/>
          </w:rPr>
          <w:tab/>
        </w:r>
        <w:r>
          <w:rPr>
            <w:noProof/>
            <w:webHidden/>
          </w:rPr>
          <w:fldChar w:fldCharType="begin"/>
        </w:r>
        <w:r>
          <w:rPr>
            <w:noProof/>
            <w:webHidden/>
          </w:rPr>
          <w:instrText xml:space="preserve"> PAGEREF _Toc110355487 \h </w:instrText>
        </w:r>
        <w:r>
          <w:rPr>
            <w:noProof/>
            <w:webHidden/>
          </w:rPr>
        </w:r>
        <w:r>
          <w:rPr>
            <w:noProof/>
            <w:webHidden/>
          </w:rPr>
          <w:fldChar w:fldCharType="separate"/>
        </w:r>
        <w:r w:rsidR="00892B2D">
          <w:rPr>
            <w:noProof/>
            <w:webHidden/>
          </w:rPr>
          <w:t>44</w:t>
        </w:r>
        <w:r>
          <w:rPr>
            <w:noProof/>
            <w:webHidden/>
          </w:rPr>
          <w:fldChar w:fldCharType="end"/>
        </w:r>
      </w:hyperlink>
    </w:p>
    <w:p w14:paraId="2422F408" w14:textId="624B2BC3" w:rsidR="00403501" w:rsidRDefault="00403501">
      <w:pPr>
        <w:pStyle w:val="TableofFigures"/>
        <w:rPr>
          <w:rFonts w:asciiTheme="minorHAnsi" w:eastAsiaTheme="minorEastAsia" w:hAnsiTheme="minorHAnsi" w:cstheme="minorBidi"/>
          <w:noProof/>
          <w:sz w:val="22"/>
          <w:szCs w:val="22"/>
          <w:lang w:eastAsia="en-NZ"/>
        </w:rPr>
      </w:pPr>
      <w:hyperlink w:anchor="_Toc110355488" w:history="1">
        <w:r w:rsidRPr="009441CA">
          <w:rPr>
            <w:rStyle w:val="Hyperlink"/>
            <w:rFonts w:cs="Arial"/>
            <w:noProof/>
          </w:rPr>
          <w:t>Table 8</w:t>
        </w:r>
        <w:r w:rsidRPr="009441CA">
          <w:rPr>
            <w:rStyle w:val="Hyperlink"/>
            <w:rFonts w:cs="Arial"/>
            <w:noProof/>
          </w:rPr>
          <w:noBreakHyphen/>
          <w:t xml:space="preserve">3: </w:t>
        </w:r>
        <w:r w:rsidRPr="009441CA">
          <w:rPr>
            <w:rStyle w:val="Hyperlink"/>
            <w:noProof/>
          </w:rPr>
          <w:t xml:space="preserve"> </w:t>
        </w:r>
        <w:r w:rsidRPr="009441CA">
          <w:rPr>
            <w:rStyle w:val="Hyperlink"/>
            <w:rFonts w:cs="Arial"/>
            <w:noProof/>
          </w:rPr>
          <w:t>Input and output estimates for laboratory chemicals</w:t>
        </w:r>
        <w:r>
          <w:rPr>
            <w:noProof/>
            <w:webHidden/>
          </w:rPr>
          <w:tab/>
        </w:r>
        <w:r>
          <w:rPr>
            <w:noProof/>
            <w:webHidden/>
          </w:rPr>
          <w:fldChar w:fldCharType="begin"/>
        </w:r>
        <w:r>
          <w:rPr>
            <w:noProof/>
            <w:webHidden/>
          </w:rPr>
          <w:instrText xml:space="preserve"> PAGEREF _Toc110355488 \h </w:instrText>
        </w:r>
        <w:r>
          <w:rPr>
            <w:noProof/>
            <w:webHidden/>
          </w:rPr>
        </w:r>
        <w:r>
          <w:rPr>
            <w:noProof/>
            <w:webHidden/>
          </w:rPr>
          <w:fldChar w:fldCharType="separate"/>
        </w:r>
        <w:r w:rsidR="00892B2D">
          <w:rPr>
            <w:noProof/>
            <w:webHidden/>
          </w:rPr>
          <w:t>45</w:t>
        </w:r>
        <w:r>
          <w:rPr>
            <w:noProof/>
            <w:webHidden/>
          </w:rPr>
          <w:fldChar w:fldCharType="end"/>
        </w:r>
      </w:hyperlink>
    </w:p>
    <w:p w14:paraId="6BF88D60" w14:textId="7B409676" w:rsidR="00403501" w:rsidRDefault="00403501">
      <w:pPr>
        <w:pStyle w:val="TableofFigures"/>
        <w:rPr>
          <w:rFonts w:asciiTheme="minorHAnsi" w:eastAsiaTheme="minorEastAsia" w:hAnsiTheme="minorHAnsi" w:cstheme="minorBidi"/>
          <w:noProof/>
          <w:sz w:val="22"/>
          <w:szCs w:val="22"/>
          <w:lang w:eastAsia="en-NZ"/>
        </w:rPr>
      </w:pPr>
      <w:hyperlink w:anchor="_Toc110355489" w:history="1">
        <w:r w:rsidRPr="009441CA">
          <w:rPr>
            <w:rStyle w:val="Hyperlink"/>
            <w:rFonts w:cs="Arial"/>
            <w:noProof/>
          </w:rPr>
          <w:t>Table 8</w:t>
        </w:r>
        <w:r w:rsidRPr="009441CA">
          <w:rPr>
            <w:rStyle w:val="Hyperlink"/>
            <w:rFonts w:cs="Arial"/>
            <w:noProof/>
          </w:rPr>
          <w:noBreakHyphen/>
          <w:t>4:  Summary of inputs and outputs for other intentional product/process uses for 2020</w:t>
        </w:r>
        <w:r>
          <w:rPr>
            <w:noProof/>
            <w:webHidden/>
          </w:rPr>
          <w:tab/>
        </w:r>
        <w:r>
          <w:rPr>
            <w:noProof/>
            <w:webHidden/>
          </w:rPr>
          <w:fldChar w:fldCharType="begin"/>
        </w:r>
        <w:r>
          <w:rPr>
            <w:noProof/>
            <w:webHidden/>
          </w:rPr>
          <w:instrText xml:space="preserve"> PAGEREF _Toc110355489 \h </w:instrText>
        </w:r>
        <w:r>
          <w:rPr>
            <w:noProof/>
            <w:webHidden/>
          </w:rPr>
        </w:r>
        <w:r>
          <w:rPr>
            <w:noProof/>
            <w:webHidden/>
          </w:rPr>
          <w:fldChar w:fldCharType="separate"/>
        </w:r>
        <w:r w:rsidR="00892B2D">
          <w:rPr>
            <w:noProof/>
            <w:webHidden/>
          </w:rPr>
          <w:t>46</w:t>
        </w:r>
        <w:r>
          <w:rPr>
            <w:noProof/>
            <w:webHidden/>
          </w:rPr>
          <w:fldChar w:fldCharType="end"/>
        </w:r>
      </w:hyperlink>
    </w:p>
    <w:p w14:paraId="39549E1A" w14:textId="62DF0F0F" w:rsidR="00403501" w:rsidRDefault="00403501">
      <w:pPr>
        <w:pStyle w:val="TableofFigures"/>
        <w:rPr>
          <w:rFonts w:asciiTheme="minorHAnsi" w:eastAsiaTheme="minorEastAsia" w:hAnsiTheme="minorHAnsi" w:cstheme="minorBidi"/>
          <w:noProof/>
          <w:sz w:val="22"/>
          <w:szCs w:val="22"/>
          <w:lang w:eastAsia="en-NZ"/>
        </w:rPr>
      </w:pPr>
      <w:hyperlink w:anchor="_Toc110355490" w:history="1">
        <w:r w:rsidRPr="009441CA">
          <w:rPr>
            <w:rStyle w:val="Hyperlink"/>
            <w:rFonts w:cs="Arial"/>
            <w:noProof/>
          </w:rPr>
          <w:t>Table 9</w:t>
        </w:r>
        <w:r w:rsidRPr="009441CA">
          <w:rPr>
            <w:rStyle w:val="Hyperlink"/>
            <w:rFonts w:cs="Arial"/>
            <w:noProof/>
          </w:rPr>
          <w:noBreakHyphen/>
          <w:t>1:</w:t>
        </w:r>
        <w:r w:rsidRPr="009441CA">
          <w:rPr>
            <w:rStyle w:val="Hyperlink"/>
            <w:noProof/>
          </w:rPr>
          <w:t xml:space="preserve">  </w:t>
        </w:r>
        <w:r w:rsidRPr="009441CA">
          <w:rPr>
            <w:rStyle w:val="Hyperlink"/>
            <w:rFonts w:cs="Arial"/>
            <w:noProof/>
          </w:rPr>
          <w:t>Toolkit framework for category 7 –production of recycled metals (secondary metal production)</w:t>
        </w:r>
        <w:r>
          <w:rPr>
            <w:noProof/>
            <w:webHidden/>
          </w:rPr>
          <w:tab/>
        </w:r>
        <w:r>
          <w:rPr>
            <w:noProof/>
            <w:webHidden/>
          </w:rPr>
          <w:fldChar w:fldCharType="begin"/>
        </w:r>
        <w:r>
          <w:rPr>
            <w:noProof/>
            <w:webHidden/>
          </w:rPr>
          <w:instrText xml:space="preserve"> PAGEREF _Toc110355490 \h </w:instrText>
        </w:r>
        <w:r>
          <w:rPr>
            <w:noProof/>
            <w:webHidden/>
          </w:rPr>
        </w:r>
        <w:r>
          <w:rPr>
            <w:noProof/>
            <w:webHidden/>
          </w:rPr>
          <w:fldChar w:fldCharType="separate"/>
        </w:r>
        <w:r w:rsidR="00892B2D">
          <w:rPr>
            <w:noProof/>
            <w:webHidden/>
          </w:rPr>
          <w:t>47</w:t>
        </w:r>
        <w:r>
          <w:rPr>
            <w:noProof/>
            <w:webHidden/>
          </w:rPr>
          <w:fldChar w:fldCharType="end"/>
        </w:r>
      </w:hyperlink>
    </w:p>
    <w:p w14:paraId="48DCC75E" w14:textId="48F2BA45" w:rsidR="00403501" w:rsidRDefault="00403501">
      <w:pPr>
        <w:pStyle w:val="TableofFigures"/>
        <w:rPr>
          <w:rFonts w:asciiTheme="minorHAnsi" w:eastAsiaTheme="minorEastAsia" w:hAnsiTheme="minorHAnsi" w:cstheme="minorBidi"/>
          <w:noProof/>
          <w:sz w:val="22"/>
          <w:szCs w:val="22"/>
          <w:lang w:eastAsia="en-NZ"/>
        </w:rPr>
      </w:pPr>
      <w:hyperlink w:anchor="_Toc110355492" w:history="1">
        <w:r w:rsidRPr="009441CA">
          <w:rPr>
            <w:rStyle w:val="Hyperlink"/>
            <w:rFonts w:cs="Arial"/>
            <w:noProof/>
          </w:rPr>
          <w:t>Table 10</w:t>
        </w:r>
        <w:r w:rsidRPr="009441CA">
          <w:rPr>
            <w:rStyle w:val="Hyperlink"/>
            <w:rFonts w:cs="Arial"/>
            <w:noProof/>
          </w:rPr>
          <w:noBreakHyphen/>
          <w:t>1:</w:t>
        </w:r>
        <w:r w:rsidRPr="009441CA">
          <w:rPr>
            <w:rStyle w:val="Hyperlink"/>
            <w:noProof/>
          </w:rPr>
          <w:t xml:space="preserve"> </w:t>
        </w:r>
        <w:r w:rsidRPr="009441CA">
          <w:rPr>
            <w:rStyle w:val="Hyperlink"/>
            <w:rFonts w:cs="Arial"/>
            <w:noProof/>
          </w:rPr>
          <w:t>Toolkit framework for category 8 – waste incineration</w:t>
        </w:r>
        <w:r>
          <w:rPr>
            <w:noProof/>
            <w:webHidden/>
          </w:rPr>
          <w:tab/>
        </w:r>
        <w:r>
          <w:rPr>
            <w:noProof/>
            <w:webHidden/>
          </w:rPr>
          <w:fldChar w:fldCharType="begin"/>
        </w:r>
        <w:r>
          <w:rPr>
            <w:noProof/>
            <w:webHidden/>
          </w:rPr>
          <w:instrText xml:space="preserve"> PAGEREF _Toc110355492 \h </w:instrText>
        </w:r>
        <w:r>
          <w:rPr>
            <w:noProof/>
            <w:webHidden/>
          </w:rPr>
        </w:r>
        <w:r>
          <w:rPr>
            <w:noProof/>
            <w:webHidden/>
          </w:rPr>
          <w:fldChar w:fldCharType="separate"/>
        </w:r>
        <w:r w:rsidR="00892B2D">
          <w:rPr>
            <w:noProof/>
            <w:webHidden/>
          </w:rPr>
          <w:t>48</w:t>
        </w:r>
        <w:r>
          <w:rPr>
            <w:noProof/>
            <w:webHidden/>
          </w:rPr>
          <w:fldChar w:fldCharType="end"/>
        </w:r>
      </w:hyperlink>
    </w:p>
    <w:p w14:paraId="58D93165" w14:textId="22F87796" w:rsidR="00403501" w:rsidRDefault="00403501">
      <w:pPr>
        <w:pStyle w:val="TableofFigures"/>
        <w:rPr>
          <w:rFonts w:asciiTheme="minorHAnsi" w:eastAsiaTheme="minorEastAsia" w:hAnsiTheme="minorHAnsi" w:cstheme="minorBidi"/>
          <w:noProof/>
          <w:sz w:val="22"/>
          <w:szCs w:val="22"/>
          <w:lang w:eastAsia="en-NZ"/>
        </w:rPr>
      </w:pPr>
      <w:hyperlink w:anchor="_Toc110355493" w:history="1">
        <w:r w:rsidRPr="009441CA">
          <w:rPr>
            <w:rStyle w:val="Hyperlink"/>
            <w:rFonts w:cs="Arial"/>
            <w:noProof/>
          </w:rPr>
          <w:t>Table 10</w:t>
        </w:r>
        <w:r w:rsidRPr="009441CA">
          <w:rPr>
            <w:rStyle w:val="Hyperlink"/>
            <w:rFonts w:cs="Arial"/>
            <w:noProof/>
          </w:rPr>
          <w:noBreakHyphen/>
          <w:t>2: Summary of inputs and outputs for waste incineration for 2020</w:t>
        </w:r>
        <w:r>
          <w:rPr>
            <w:noProof/>
            <w:webHidden/>
          </w:rPr>
          <w:tab/>
        </w:r>
        <w:r>
          <w:rPr>
            <w:noProof/>
            <w:webHidden/>
          </w:rPr>
          <w:fldChar w:fldCharType="begin"/>
        </w:r>
        <w:r>
          <w:rPr>
            <w:noProof/>
            <w:webHidden/>
          </w:rPr>
          <w:instrText xml:space="preserve"> PAGEREF _Toc110355493 \h </w:instrText>
        </w:r>
        <w:r>
          <w:rPr>
            <w:noProof/>
            <w:webHidden/>
          </w:rPr>
        </w:r>
        <w:r>
          <w:rPr>
            <w:noProof/>
            <w:webHidden/>
          </w:rPr>
          <w:fldChar w:fldCharType="separate"/>
        </w:r>
        <w:r w:rsidR="00892B2D">
          <w:rPr>
            <w:noProof/>
            <w:webHidden/>
          </w:rPr>
          <w:t>51</w:t>
        </w:r>
        <w:r>
          <w:rPr>
            <w:noProof/>
            <w:webHidden/>
          </w:rPr>
          <w:fldChar w:fldCharType="end"/>
        </w:r>
      </w:hyperlink>
    </w:p>
    <w:p w14:paraId="1F48DE23" w14:textId="5F77CE2B" w:rsidR="00403501" w:rsidRDefault="00403501">
      <w:pPr>
        <w:pStyle w:val="TableofFigures"/>
        <w:rPr>
          <w:rFonts w:asciiTheme="minorHAnsi" w:eastAsiaTheme="minorEastAsia" w:hAnsiTheme="minorHAnsi" w:cstheme="minorBidi"/>
          <w:noProof/>
          <w:sz w:val="22"/>
          <w:szCs w:val="22"/>
          <w:lang w:eastAsia="en-NZ"/>
        </w:rPr>
      </w:pPr>
      <w:hyperlink w:anchor="_Toc110355494" w:history="1">
        <w:r w:rsidRPr="009441CA">
          <w:rPr>
            <w:rStyle w:val="Hyperlink"/>
            <w:rFonts w:cs="Arial"/>
            <w:noProof/>
          </w:rPr>
          <w:t>Table 11</w:t>
        </w:r>
        <w:r w:rsidRPr="009441CA">
          <w:rPr>
            <w:rStyle w:val="Hyperlink"/>
            <w:rFonts w:cs="Arial"/>
            <w:noProof/>
          </w:rPr>
          <w:noBreakHyphen/>
          <w:t>1:</w:t>
        </w:r>
        <w:r w:rsidRPr="009441CA">
          <w:rPr>
            <w:rStyle w:val="Hyperlink"/>
            <w:noProof/>
          </w:rPr>
          <w:t xml:space="preserve"> </w:t>
        </w:r>
        <w:r w:rsidRPr="009441CA">
          <w:rPr>
            <w:rStyle w:val="Hyperlink"/>
            <w:rFonts w:cs="Arial"/>
            <w:noProof/>
          </w:rPr>
          <w:t>Toolkit framework for category 9 – waste deposition/landfilling and wastewater treatment</w:t>
        </w:r>
        <w:r>
          <w:rPr>
            <w:noProof/>
            <w:webHidden/>
          </w:rPr>
          <w:tab/>
        </w:r>
        <w:r>
          <w:rPr>
            <w:noProof/>
            <w:webHidden/>
          </w:rPr>
          <w:fldChar w:fldCharType="begin"/>
        </w:r>
        <w:r>
          <w:rPr>
            <w:noProof/>
            <w:webHidden/>
          </w:rPr>
          <w:instrText xml:space="preserve"> PAGEREF _Toc110355494 \h </w:instrText>
        </w:r>
        <w:r>
          <w:rPr>
            <w:noProof/>
            <w:webHidden/>
          </w:rPr>
        </w:r>
        <w:r>
          <w:rPr>
            <w:noProof/>
            <w:webHidden/>
          </w:rPr>
          <w:fldChar w:fldCharType="separate"/>
        </w:r>
        <w:r w:rsidR="00892B2D">
          <w:rPr>
            <w:noProof/>
            <w:webHidden/>
          </w:rPr>
          <w:t>52</w:t>
        </w:r>
        <w:r>
          <w:rPr>
            <w:noProof/>
            <w:webHidden/>
          </w:rPr>
          <w:fldChar w:fldCharType="end"/>
        </w:r>
      </w:hyperlink>
    </w:p>
    <w:p w14:paraId="497EB483" w14:textId="68B15A4E" w:rsidR="00403501" w:rsidRDefault="00403501">
      <w:pPr>
        <w:pStyle w:val="TableofFigures"/>
        <w:rPr>
          <w:rFonts w:asciiTheme="minorHAnsi" w:eastAsiaTheme="minorEastAsia" w:hAnsiTheme="minorHAnsi" w:cstheme="minorBidi"/>
          <w:noProof/>
          <w:sz w:val="22"/>
          <w:szCs w:val="22"/>
          <w:lang w:eastAsia="en-NZ"/>
        </w:rPr>
      </w:pPr>
      <w:hyperlink w:anchor="_Toc110355495" w:history="1">
        <w:r w:rsidRPr="009441CA">
          <w:rPr>
            <w:rStyle w:val="Hyperlink"/>
            <w:rFonts w:cs="Arial"/>
            <w:noProof/>
          </w:rPr>
          <w:t>Table 11</w:t>
        </w:r>
        <w:r w:rsidRPr="009441CA">
          <w:rPr>
            <w:rStyle w:val="Hyperlink"/>
            <w:rFonts w:cs="Arial"/>
            <w:noProof/>
          </w:rPr>
          <w:noBreakHyphen/>
          <w:t>2:</w:t>
        </w:r>
        <w:r w:rsidRPr="009441CA">
          <w:rPr>
            <w:rStyle w:val="Hyperlink"/>
            <w:noProof/>
          </w:rPr>
          <w:t xml:space="preserve"> </w:t>
        </w:r>
        <w:r w:rsidRPr="009441CA">
          <w:rPr>
            <w:rStyle w:val="Hyperlink"/>
            <w:rFonts w:cs="Arial"/>
            <w:noProof/>
          </w:rPr>
          <w:t>Input and output estimates for controlled landfill</w:t>
        </w:r>
        <w:r>
          <w:rPr>
            <w:noProof/>
            <w:webHidden/>
          </w:rPr>
          <w:tab/>
        </w:r>
        <w:r>
          <w:rPr>
            <w:noProof/>
            <w:webHidden/>
          </w:rPr>
          <w:fldChar w:fldCharType="begin"/>
        </w:r>
        <w:r>
          <w:rPr>
            <w:noProof/>
            <w:webHidden/>
          </w:rPr>
          <w:instrText xml:space="preserve"> PAGEREF _Toc110355495 \h </w:instrText>
        </w:r>
        <w:r>
          <w:rPr>
            <w:noProof/>
            <w:webHidden/>
          </w:rPr>
        </w:r>
        <w:r>
          <w:rPr>
            <w:noProof/>
            <w:webHidden/>
          </w:rPr>
          <w:fldChar w:fldCharType="separate"/>
        </w:r>
        <w:r w:rsidR="00892B2D">
          <w:rPr>
            <w:noProof/>
            <w:webHidden/>
          </w:rPr>
          <w:t>53</w:t>
        </w:r>
        <w:r>
          <w:rPr>
            <w:noProof/>
            <w:webHidden/>
          </w:rPr>
          <w:fldChar w:fldCharType="end"/>
        </w:r>
      </w:hyperlink>
    </w:p>
    <w:p w14:paraId="1CDFF097" w14:textId="61E8E7F9" w:rsidR="00403501" w:rsidRDefault="00403501">
      <w:pPr>
        <w:pStyle w:val="TableofFigures"/>
        <w:rPr>
          <w:rFonts w:asciiTheme="minorHAnsi" w:eastAsiaTheme="minorEastAsia" w:hAnsiTheme="minorHAnsi" w:cstheme="minorBidi"/>
          <w:noProof/>
          <w:sz w:val="22"/>
          <w:szCs w:val="22"/>
          <w:lang w:eastAsia="en-NZ"/>
        </w:rPr>
      </w:pPr>
      <w:hyperlink w:anchor="_Toc110355496" w:history="1">
        <w:r w:rsidRPr="009441CA">
          <w:rPr>
            <w:rStyle w:val="Hyperlink"/>
            <w:rFonts w:cs="Arial"/>
            <w:noProof/>
          </w:rPr>
          <w:t>Table 11</w:t>
        </w:r>
        <w:r w:rsidRPr="009441CA">
          <w:rPr>
            <w:rStyle w:val="Hyperlink"/>
            <w:rFonts w:cs="Arial"/>
            <w:noProof/>
          </w:rPr>
          <w:noBreakHyphen/>
          <w:t>3:</w:t>
        </w:r>
        <w:r w:rsidRPr="009441CA">
          <w:rPr>
            <w:rStyle w:val="Hyperlink"/>
            <w:noProof/>
          </w:rPr>
          <w:t xml:space="preserve"> </w:t>
        </w:r>
        <w:r w:rsidRPr="009441CA">
          <w:rPr>
            <w:rStyle w:val="Hyperlink"/>
            <w:rFonts w:cs="Arial"/>
            <w:noProof/>
          </w:rPr>
          <w:t>Input and output estimates for wastewater treatment plants</w:t>
        </w:r>
        <w:r>
          <w:rPr>
            <w:noProof/>
            <w:webHidden/>
          </w:rPr>
          <w:tab/>
        </w:r>
        <w:r>
          <w:rPr>
            <w:noProof/>
            <w:webHidden/>
          </w:rPr>
          <w:fldChar w:fldCharType="begin"/>
        </w:r>
        <w:r>
          <w:rPr>
            <w:noProof/>
            <w:webHidden/>
          </w:rPr>
          <w:instrText xml:space="preserve"> PAGEREF _Toc110355496 \h </w:instrText>
        </w:r>
        <w:r>
          <w:rPr>
            <w:noProof/>
            <w:webHidden/>
          </w:rPr>
        </w:r>
        <w:r>
          <w:rPr>
            <w:noProof/>
            <w:webHidden/>
          </w:rPr>
          <w:fldChar w:fldCharType="separate"/>
        </w:r>
        <w:r w:rsidR="00892B2D">
          <w:rPr>
            <w:noProof/>
            <w:webHidden/>
          </w:rPr>
          <w:t>55</w:t>
        </w:r>
        <w:r>
          <w:rPr>
            <w:noProof/>
            <w:webHidden/>
          </w:rPr>
          <w:fldChar w:fldCharType="end"/>
        </w:r>
      </w:hyperlink>
    </w:p>
    <w:p w14:paraId="561D9304" w14:textId="1BE9FFC8" w:rsidR="00403501" w:rsidRDefault="00403501">
      <w:pPr>
        <w:pStyle w:val="TableofFigures"/>
        <w:rPr>
          <w:rFonts w:asciiTheme="minorHAnsi" w:eastAsiaTheme="minorEastAsia" w:hAnsiTheme="minorHAnsi" w:cstheme="minorBidi"/>
          <w:noProof/>
          <w:sz w:val="22"/>
          <w:szCs w:val="22"/>
          <w:lang w:eastAsia="en-NZ"/>
        </w:rPr>
      </w:pPr>
      <w:hyperlink w:anchor="_Toc110355497" w:history="1">
        <w:r w:rsidRPr="009441CA">
          <w:rPr>
            <w:rStyle w:val="Hyperlink"/>
            <w:rFonts w:cs="Arial"/>
            <w:noProof/>
          </w:rPr>
          <w:t>Table 11</w:t>
        </w:r>
        <w:r w:rsidRPr="009441CA">
          <w:rPr>
            <w:rStyle w:val="Hyperlink"/>
            <w:rFonts w:cs="Arial"/>
            <w:noProof/>
          </w:rPr>
          <w:noBreakHyphen/>
          <w:t>4: Summary of inputs and outputs for waste deposition/landfilling and wastewater treatment for 2020</w:t>
        </w:r>
        <w:r>
          <w:rPr>
            <w:noProof/>
            <w:webHidden/>
          </w:rPr>
          <w:tab/>
        </w:r>
        <w:r>
          <w:rPr>
            <w:noProof/>
            <w:webHidden/>
          </w:rPr>
          <w:fldChar w:fldCharType="begin"/>
        </w:r>
        <w:r>
          <w:rPr>
            <w:noProof/>
            <w:webHidden/>
          </w:rPr>
          <w:instrText xml:space="preserve"> PAGEREF _Toc110355497 \h </w:instrText>
        </w:r>
        <w:r>
          <w:rPr>
            <w:noProof/>
            <w:webHidden/>
          </w:rPr>
        </w:r>
        <w:r>
          <w:rPr>
            <w:noProof/>
            <w:webHidden/>
          </w:rPr>
          <w:fldChar w:fldCharType="separate"/>
        </w:r>
        <w:r w:rsidR="00892B2D">
          <w:rPr>
            <w:noProof/>
            <w:webHidden/>
          </w:rPr>
          <w:t>56</w:t>
        </w:r>
        <w:r>
          <w:rPr>
            <w:noProof/>
            <w:webHidden/>
          </w:rPr>
          <w:fldChar w:fldCharType="end"/>
        </w:r>
      </w:hyperlink>
    </w:p>
    <w:p w14:paraId="479DE934" w14:textId="3DCB895E" w:rsidR="00403501" w:rsidRDefault="00403501">
      <w:pPr>
        <w:pStyle w:val="TableofFigures"/>
        <w:rPr>
          <w:rFonts w:asciiTheme="minorHAnsi" w:eastAsiaTheme="minorEastAsia" w:hAnsiTheme="minorHAnsi" w:cstheme="minorBidi"/>
          <w:noProof/>
          <w:sz w:val="22"/>
          <w:szCs w:val="22"/>
          <w:lang w:eastAsia="en-NZ"/>
        </w:rPr>
      </w:pPr>
      <w:hyperlink w:anchor="_Toc110355498" w:history="1">
        <w:r w:rsidRPr="009441CA">
          <w:rPr>
            <w:rStyle w:val="Hyperlink"/>
            <w:rFonts w:cs="Arial"/>
            <w:noProof/>
          </w:rPr>
          <w:t>Table 12</w:t>
        </w:r>
        <w:r w:rsidRPr="009441CA">
          <w:rPr>
            <w:rStyle w:val="Hyperlink"/>
            <w:rFonts w:cs="Arial"/>
            <w:noProof/>
          </w:rPr>
          <w:noBreakHyphen/>
          <w:t>1:</w:t>
        </w:r>
        <w:r w:rsidRPr="009441CA">
          <w:rPr>
            <w:rStyle w:val="Hyperlink"/>
            <w:noProof/>
          </w:rPr>
          <w:t xml:space="preserve"> </w:t>
        </w:r>
        <w:r w:rsidRPr="009441CA">
          <w:rPr>
            <w:rStyle w:val="Hyperlink"/>
            <w:rFonts w:cs="Arial"/>
            <w:noProof/>
          </w:rPr>
          <w:t>Toolkit framework for category 10 – crematoria and cemeteries</w:t>
        </w:r>
        <w:r>
          <w:rPr>
            <w:noProof/>
            <w:webHidden/>
          </w:rPr>
          <w:tab/>
        </w:r>
        <w:r>
          <w:rPr>
            <w:noProof/>
            <w:webHidden/>
          </w:rPr>
          <w:fldChar w:fldCharType="begin"/>
        </w:r>
        <w:r>
          <w:rPr>
            <w:noProof/>
            <w:webHidden/>
          </w:rPr>
          <w:instrText xml:space="preserve"> PAGEREF _Toc110355498 \h </w:instrText>
        </w:r>
        <w:r>
          <w:rPr>
            <w:noProof/>
            <w:webHidden/>
          </w:rPr>
        </w:r>
        <w:r>
          <w:rPr>
            <w:noProof/>
            <w:webHidden/>
          </w:rPr>
          <w:fldChar w:fldCharType="separate"/>
        </w:r>
        <w:r w:rsidR="00892B2D">
          <w:rPr>
            <w:noProof/>
            <w:webHidden/>
          </w:rPr>
          <w:t>57</w:t>
        </w:r>
        <w:r>
          <w:rPr>
            <w:noProof/>
            <w:webHidden/>
          </w:rPr>
          <w:fldChar w:fldCharType="end"/>
        </w:r>
      </w:hyperlink>
    </w:p>
    <w:p w14:paraId="1008472F" w14:textId="7174F615" w:rsidR="00403501" w:rsidRDefault="00403501">
      <w:pPr>
        <w:pStyle w:val="TableofFigures"/>
        <w:rPr>
          <w:rFonts w:asciiTheme="minorHAnsi" w:eastAsiaTheme="minorEastAsia" w:hAnsiTheme="minorHAnsi" w:cstheme="minorBidi"/>
          <w:noProof/>
          <w:sz w:val="22"/>
          <w:szCs w:val="22"/>
          <w:lang w:eastAsia="en-NZ"/>
        </w:rPr>
      </w:pPr>
      <w:hyperlink w:anchor="_Toc110355499" w:history="1">
        <w:r w:rsidRPr="009441CA">
          <w:rPr>
            <w:rStyle w:val="Hyperlink"/>
            <w:rFonts w:cs="Arial"/>
            <w:noProof/>
          </w:rPr>
          <w:t>Table 12</w:t>
        </w:r>
        <w:r w:rsidRPr="009441CA">
          <w:rPr>
            <w:rStyle w:val="Hyperlink"/>
            <w:rFonts w:cs="Arial"/>
            <w:noProof/>
          </w:rPr>
          <w:noBreakHyphen/>
          <w:t>2:</w:t>
        </w:r>
        <w:r w:rsidRPr="009441CA">
          <w:rPr>
            <w:rStyle w:val="Hyperlink"/>
            <w:noProof/>
          </w:rPr>
          <w:t xml:space="preserve"> </w:t>
        </w:r>
        <w:r w:rsidRPr="009441CA">
          <w:rPr>
            <w:rStyle w:val="Hyperlink"/>
            <w:rFonts w:cs="Arial"/>
            <w:noProof/>
          </w:rPr>
          <w:t>Input and output estimates for cremation and cemeteries</w:t>
        </w:r>
        <w:r>
          <w:rPr>
            <w:noProof/>
            <w:webHidden/>
          </w:rPr>
          <w:tab/>
        </w:r>
        <w:r>
          <w:rPr>
            <w:noProof/>
            <w:webHidden/>
          </w:rPr>
          <w:fldChar w:fldCharType="begin"/>
        </w:r>
        <w:r>
          <w:rPr>
            <w:noProof/>
            <w:webHidden/>
          </w:rPr>
          <w:instrText xml:space="preserve"> PAGEREF _Toc110355499 \h </w:instrText>
        </w:r>
        <w:r>
          <w:rPr>
            <w:noProof/>
            <w:webHidden/>
          </w:rPr>
        </w:r>
        <w:r>
          <w:rPr>
            <w:noProof/>
            <w:webHidden/>
          </w:rPr>
          <w:fldChar w:fldCharType="separate"/>
        </w:r>
        <w:r w:rsidR="00892B2D">
          <w:rPr>
            <w:noProof/>
            <w:webHidden/>
          </w:rPr>
          <w:t>57</w:t>
        </w:r>
        <w:r>
          <w:rPr>
            <w:noProof/>
            <w:webHidden/>
          </w:rPr>
          <w:fldChar w:fldCharType="end"/>
        </w:r>
      </w:hyperlink>
    </w:p>
    <w:p w14:paraId="289FA101" w14:textId="4C23E956" w:rsidR="00403501" w:rsidRDefault="00403501">
      <w:pPr>
        <w:pStyle w:val="TableofFigures"/>
        <w:rPr>
          <w:rFonts w:asciiTheme="minorHAnsi" w:eastAsiaTheme="minorEastAsia" w:hAnsiTheme="minorHAnsi" w:cstheme="minorBidi"/>
          <w:noProof/>
          <w:sz w:val="22"/>
          <w:szCs w:val="22"/>
          <w:lang w:eastAsia="en-NZ"/>
        </w:rPr>
      </w:pPr>
      <w:hyperlink w:anchor="_Toc110355500" w:history="1">
        <w:r w:rsidRPr="009441CA">
          <w:rPr>
            <w:rStyle w:val="Hyperlink"/>
            <w:rFonts w:cs="Arial"/>
            <w:noProof/>
          </w:rPr>
          <w:t>Table 12</w:t>
        </w:r>
        <w:r w:rsidRPr="009441CA">
          <w:rPr>
            <w:rStyle w:val="Hyperlink"/>
            <w:rFonts w:cs="Arial"/>
            <w:noProof/>
          </w:rPr>
          <w:noBreakHyphen/>
          <w:t>3: Summary of inputs and outputs for crematoria and cemeteries for 2020</w:t>
        </w:r>
        <w:r>
          <w:rPr>
            <w:noProof/>
            <w:webHidden/>
          </w:rPr>
          <w:tab/>
        </w:r>
        <w:r>
          <w:rPr>
            <w:noProof/>
            <w:webHidden/>
          </w:rPr>
          <w:fldChar w:fldCharType="begin"/>
        </w:r>
        <w:r>
          <w:rPr>
            <w:noProof/>
            <w:webHidden/>
          </w:rPr>
          <w:instrText xml:space="preserve"> PAGEREF _Toc110355500 \h </w:instrText>
        </w:r>
        <w:r>
          <w:rPr>
            <w:noProof/>
            <w:webHidden/>
          </w:rPr>
        </w:r>
        <w:r>
          <w:rPr>
            <w:noProof/>
            <w:webHidden/>
          </w:rPr>
          <w:fldChar w:fldCharType="separate"/>
        </w:r>
        <w:r w:rsidR="00892B2D">
          <w:rPr>
            <w:noProof/>
            <w:webHidden/>
          </w:rPr>
          <w:t>58</w:t>
        </w:r>
        <w:r>
          <w:rPr>
            <w:noProof/>
            <w:webHidden/>
          </w:rPr>
          <w:fldChar w:fldCharType="end"/>
        </w:r>
      </w:hyperlink>
    </w:p>
    <w:p w14:paraId="6CBF97E4" w14:textId="0EF06F6B" w:rsidR="00C869FA" w:rsidRPr="00277208" w:rsidRDefault="002E4B98" w:rsidP="00C32831">
      <w:pPr>
        <w:pStyle w:val="TableofFigures"/>
      </w:pPr>
      <w:r w:rsidRPr="00C32831">
        <w:fldChar w:fldCharType="end"/>
      </w:r>
    </w:p>
    <w:p w14:paraId="0D32EE95" w14:textId="77777777" w:rsidR="00CB22D5" w:rsidRDefault="00CB22D5" w:rsidP="00164767">
      <w:pPr>
        <w:tabs>
          <w:tab w:val="left" w:pos="1134"/>
        </w:tabs>
        <w:outlineLvl w:val="0"/>
        <w:rPr>
          <w:rFonts w:ascii="Arial" w:hAnsi="Arial"/>
          <w:b/>
          <w:sz w:val="28"/>
          <w:lang w:val="en-US"/>
        </w:rPr>
      </w:pPr>
      <w:r w:rsidRPr="00CB22D5">
        <w:rPr>
          <w:rFonts w:ascii="Arial" w:hAnsi="Arial"/>
          <w:b/>
          <w:lang w:val="en-US"/>
        </w:rPr>
        <w:br w:type="page"/>
      </w:r>
      <w:bookmarkStart w:id="2" w:name="_Toc476462699"/>
      <w:bookmarkStart w:id="3" w:name="_Toc476463075"/>
      <w:bookmarkStart w:id="4" w:name="_Toc275531156"/>
      <w:bookmarkStart w:id="5" w:name="_Toc275532171"/>
      <w:bookmarkStart w:id="6" w:name="_Toc110355501"/>
      <w:r w:rsidRPr="00CB22D5">
        <w:rPr>
          <w:rFonts w:ascii="Arial" w:hAnsi="Arial"/>
          <w:b/>
          <w:sz w:val="28"/>
          <w:lang w:val="en-US"/>
        </w:rPr>
        <w:t>Units and abbreviations</w:t>
      </w:r>
      <w:bookmarkEnd w:id="2"/>
      <w:bookmarkEnd w:id="3"/>
      <w:bookmarkEnd w:id="4"/>
      <w:bookmarkEnd w:id="5"/>
      <w:bookmarkEnd w:id="6"/>
    </w:p>
    <w:p w14:paraId="75F77B34" w14:textId="77777777" w:rsidR="00CB22D5" w:rsidRPr="00CB22D5" w:rsidRDefault="00CB22D5" w:rsidP="00CB22D5">
      <w:pPr>
        <w:rPr>
          <w:lang w:val="en-US"/>
        </w:rPr>
      </w:pPr>
    </w:p>
    <w:tbl>
      <w:tblPr>
        <w:tblW w:w="0" w:type="auto"/>
        <w:tblLayout w:type="fixed"/>
        <w:tblLook w:val="0000" w:firstRow="0" w:lastRow="0" w:firstColumn="0" w:lastColumn="0" w:noHBand="0" w:noVBand="0"/>
      </w:tblPr>
      <w:tblGrid>
        <w:gridCol w:w="1818"/>
        <w:gridCol w:w="6654"/>
      </w:tblGrid>
      <w:tr w:rsidR="007E3C3B" w:rsidRPr="00CB22D5" w14:paraId="21B95E39" w14:textId="77777777" w:rsidTr="00B075A6">
        <w:trPr>
          <w:cantSplit/>
          <w:trHeight w:val="340"/>
        </w:trPr>
        <w:tc>
          <w:tcPr>
            <w:tcW w:w="8472" w:type="dxa"/>
            <w:gridSpan w:val="2"/>
            <w:vAlign w:val="center"/>
          </w:tcPr>
          <w:p w14:paraId="323E791F" w14:textId="77777777" w:rsidR="007E3C3B" w:rsidRPr="00CB22D5" w:rsidRDefault="007E3C3B" w:rsidP="007E3C3B">
            <w:pPr>
              <w:spacing w:line="300" w:lineRule="atLeast"/>
              <w:ind w:left="284"/>
              <w:rPr>
                <w:rFonts w:ascii="Arial" w:hAnsi="Arial" w:cs="Arial"/>
                <w:b/>
                <w:sz w:val="22"/>
                <w:szCs w:val="22"/>
                <w:lang w:val="en-US"/>
              </w:rPr>
            </w:pPr>
            <w:r w:rsidRPr="00CB22D5">
              <w:rPr>
                <w:rFonts w:ascii="Arial" w:hAnsi="Arial" w:cs="Arial"/>
                <w:b/>
                <w:sz w:val="22"/>
                <w:szCs w:val="22"/>
                <w:lang w:val="en-US"/>
              </w:rPr>
              <w:t>Units</w:t>
            </w:r>
          </w:p>
        </w:tc>
      </w:tr>
      <w:tr w:rsidR="00CB22D5" w:rsidRPr="00CB22D5" w14:paraId="07E354E7" w14:textId="77777777" w:rsidTr="007E3C3B">
        <w:trPr>
          <w:cantSplit/>
          <w:trHeight w:val="340"/>
        </w:trPr>
        <w:tc>
          <w:tcPr>
            <w:tcW w:w="1818" w:type="dxa"/>
            <w:vAlign w:val="center"/>
          </w:tcPr>
          <w:p w14:paraId="5F6080E1" w14:textId="77777777" w:rsidR="00CB22D5" w:rsidRPr="00CB22D5" w:rsidRDefault="00CB22D5" w:rsidP="007E3C3B">
            <w:pPr>
              <w:spacing w:after="0" w:line="300" w:lineRule="atLeast"/>
              <w:ind w:left="284"/>
              <w:rPr>
                <w:lang w:val="en-US"/>
              </w:rPr>
            </w:pPr>
            <w:r w:rsidRPr="00CB22D5">
              <w:rPr>
                <w:lang w:val="en-US"/>
              </w:rPr>
              <w:t>°C</w:t>
            </w:r>
          </w:p>
        </w:tc>
        <w:tc>
          <w:tcPr>
            <w:tcW w:w="6654" w:type="dxa"/>
            <w:vAlign w:val="center"/>
          </w:tcPr>
          <w:p w14:paraId="143D1F38" w14:textId="77777777" w:rsidR="00CB22D5" w:rsidRPr="00CB22D5" w:rsidRDefault="00CB22D5" w:rsidP="007E3C3B">
            <w:pPr>
              <w:spacing w:after="0" w:line="300" w:lineRule="atLeast"/>
              <w:ind w:left="284"/>
              <w:rPr>
                <w:lang w:val="en-US"/>
              </w:rPr>
            </w:pPr>
            <w:r w:rsidRPr="00CB22D5">
              <w:rPr>
                <w:lang w:val="en-US"/>
              </w:rPr>
              <w:t>degrees Celsius or centigrade</w:t>
            </w:r>
          </w:p>
        </w:tc>
      </w:tr>
      <w:tr w:rsidR="00CB22D5" w:rsidRPr="00CB22D5" w14:paraId="4B1B51AF" w14:textId="77777777" w:rsidTr="007E3C3B">
        <w:trPr>
          <w:cantSplit/>
          <w:trHeight w:val="340"/>
        </w:trPr>
        <w:tc>
          <w:tcPr>
            <w:tcW w:w="1818" w:type="dxa"/>
            <w:vAlign w:val="center"/>
          </w:tcPr>
          <w:p w14:paraId="373CE62E" w14:textId="77777777" w:rsidR="00CB22D5" w:rsidRPr="00CB22D5" w:rsidRDefault="00CB22D5" w:rsidP="007E3C3B">
            <w:pPr>
              <w:spacing w:after="0" w:line="300" w:lineRule="atLeast"/>
              <w:ind w:left="284"/>
              <w:rPr>
                <w:lang w:val="en-US"/>
              </w:rPr>
            </w:pPr>
            <w:r w:rsidRPr="00CB22D5">
              <w:rPr>
                <w:lang w:val="en-US"/>
              </w:rPr>
              <w:t>g</w:t>
            </w:r>
          </w:p>
        </w:tc>
        <w:tc>
          <w:tcPr>
            <w:tcW w:w="6654" w:type="dxa"/>
            <w:vAlign w:val="center"/>
          </w:tcPr>
          <w:p w14:paraId="36573865" w14:textId="77777777" w:rsidR="00CB22D5" w:rsidRPr="00CB22D5" w:rsidRDefault="00CB22D5" w:rsidP="007E3C3B">
            <w:pPr>
              <w:spacing w:after="0" w:line="300" w:lineRule="atLeast"/>
              <w:ind w:left="284"/>
              <w:rPr>
                <w:lang w:val="en-US"/>
              </w:rPr>
            </w:pPr>
            <w:r w:rsidRPr="00CB22D5">
              <w:rPr>
                <w:lang w:val="en-US"/>
              </w:rPr>
              <w:t>gram</w:t>
            </w:r>
          </w:p>
        </w:tc>
      </w:tr>
      <w:tr w:rsidR="00CB22D5" w:rsidRPr="00CB22D5" w14:paraId="36843AA1" w14:textId="77777777" w:rsidTr="007E3C3B">
        <w:trPr>
          <w:cantSplit/>
          <w:trHeight w:val="340"/>
        </w:trPr>
        <w:tc>
          <w:tcPr>
            <w:tcW w:w="1818" w:type="dxa"/>
            <w:vAlign w:val="center"/>
          </w:tcPr>
          <w:p w14:paraId="72197BFD" w14:textId="77777777" w:rsidR="00CB22D5" w:rsidRPr="00CB22D5" w:rsidRDefault="00CB22D5" w:rsidP="007E3C3B">
            <w:pPr>
              <w:spacing w:after="0" w:line="300" w:lineRule="atLeast"/>
              <w:ind w:left="284"/>
              <w:rPr>
                <w:lang w:val="en-US"/>
              </w:rPr>
            </w:pPr>
            <w:r w:rsidRPr="00CB22D5">
              <w:rPr>
                <w:lang w:val="en-US"/>
              </w:rPr>
              <w:t>kg</w:t>
            </w:r>
          </w:p>
        </w:tc>
        <w:tc>
          <w:tcPr>
            <w:tcW w:w="6654" w:type="dxa"/>
            <w:vAlign w:val="center"/>
          </w:tcPr>
          <w:p w14:paraId="56B69BCF" w14:textId="77777777" w:rsidR="00CB22D5" w:rsidRPr="00CB22D5" w:rsidRDefault="00CB22D5" w:rsidP="007E3C3B">
            <w:pPr>
              <w:spacing w:after="0" w:line="300" w:lineRule="atLeast"/>
              <w:ind w:left="284"/>
              <w:rPr>
                <w:lang w:val="en-US"/>
              </w:rPr>
            </w:pPr>
            <w:r w:rsidRPr="00CB22D5">
              <w:rPr>
                <w:lang w:val="en-US"/>
              </w:rPr>
              <w:t>kilogram (10</w:t>
            </w:r>
            <w:r w:rsidRPr="00CB22D5">
              <w:rPr>
                <w:vertAlign w:val="superscript"/>
                <w:lang w:val="en-US"/>
              </w:rPr>
              <w:t>3</w:t>
            </w:r>
            <w:r w:rsidRPr="00CB22D5">
              <w:rPr>
                <w:lang w:val="en-US"/>
              </w:rPr>
              <w:t xml:space="preserve"> </w:t>
            </w:r>
            <w:r w:rsidR="007E3C3B">
              <w:rPr>
                <w:lang w:val="en-US"/>
              </w:rPr>
              <w:t>o</w:t>
            </w:r>
            <w:r w:rsidR="00444002">
              <w:rPr>
                <w:lang w:val="en-US"/>
              </w:rPr>
              <w:t>r</w:t>
            </w:r>
            <w:r w:rsidR="007E3C3B">
              <w:rPr>
                <w:lang w:val="en-US"/>
              </w:rPr>
              <w:t xml:space="preserve"> 1 thousand </w:t>
            </w:r>
            <w:r w:rsidRPr="00CB22D5">
              <w:rPr>
                <w:lang w:val="en-US"/>
              </w:rPr>
              <w:t>grams)</w:t>
            </w:r>
          </w:p>
        </w:tc>
      </w:tr>
      <w:tr w:rsidR="00CB22D5" w:rsidRPr="00CB22D5" w14:paraId="3F0C93DC" w14:textId="77777777" w:rsidTr="007E3C3B">
        <w:trPr>
          <w:cantSplit/>
          <w:trHeight w:val="340"/>
        </w:trPr>
        <w:tc>
          <w:tcPr>
            <w:tcW w:w="1818" w:type="dxa"/>
            <w:vAlign w:val="center"/>
          </w:tcPr>
          <w:p w14:paraId="09C9F195" w14:textId="77777777" w:rsidR="00CB22D5" w:rsidRPr="00CB22D5" w:rsidRDefault="00CB22D5" w:rsidP="007E3C3B">
            <w:pPr>
              <w:spacing w:after="0" w:line="300" w:lineRule="atLeast"/>
              <w:ind w:left="284"/>
              <w:rPr>
                <w:lang w:val="en-US"/>
              </w:rPr>
            </w:pPr>
            <w:r w:rsidRPr="00CB22D5">
              <w:rPr>
                <w:lang w:val="en-US"/>
              </w:rPr>
              <w:t>tonne</w:t>
            </w:r>
          </w:p>
        </w:tc>
        <w:tc>
          <w:tcPr>
            <w:tcW w:w="6654" w:type="dxa"/>
            <w:vAlign w:val="center"/>
          </w:tcPr>
          <w:p w14:paraId="2345925C" w14:textId="77777777" w:rsidR="00CB22D5" w:rsidRPr="00CB22D5" w:rsidRDefault="00CB22D5" w:rsidP="007E3C3B">
            <w:pPr>
              <w:spacing w:after="0" w:line="300" w:lineRule="atLeast"/>
              <w:ind w:left="284"/>
              <w:rPr>
                <w:lang w:val="en-US"/>
              </w:rPr>
            </w:pPr>
            <w:r w:rsidRPr="00CB22D5">
              <w:rPr>
                <w:lang w:val="en-US"/>
              </w:rPr>
              <w:t>10</w:t>
            </w:r>
            <w:r w:rsidRPr="00CB22D5">
              <w:rPr>
                <w:vertAlign w:val="superscript"/>
                <w:lang w:val="en-US"/>
              </w:rPr>
              <w:t>6</w:t>
            </w:r>
            <w:r w:rsidRPr="00CB22D5">
              <w:rPr>
                <w:lang w:val="en-US"/>
              </w:rPr>
              <w:t xml:space="preserve"> </w:t>
            </w:r>
            <w:r w:rsidR="007E3C3B" w:rsidRPr="007E3C3B">
              <w:rPr>
                <w:lang w:val="en-US"/>
              </w:rPr>
              <w:t xml:space="preserve">or 1 million </w:t>
            </w:r>
            <w:r w:rsidRPr="00CB22D5">
              <w:rPr>
                <w:lang w:val="en-US"/>
              </w:rPr>
              <w:t>grams</w:t>
            </w:r>
          </w:p>
        </w:tc>
      </w:tr>
      <w:tr w:rsidR="00CB22D5" w:rsidRPr="00CB22D5" w14:paraId="0CF3C12D" w14:textId="77777777" w:rsidTr="007E3C3B">
        <w:trPr>
          <w:cantSplit/>
          <w:trHeight w:val="340"/>
        </w:trPr>
        <w:tc>
          <w:tcPr>
            <w:tcW w:w="1818" w:type="dxa"/>
            <w:vAlign w:val="center"/>
          </w:tcPr>
          <w:p w14:paraId="609140DA" w14:textId="77777777" w:rsidR="00CB22D5" w:rsidRPr="00CB22D5" w:rsidRDefault="00AB0741" w:rsidP="007E3C3B">
            <w:pPr>
              <w:spacing w:after="0" w:line="300" w:lineRule="atLeast"/>
              <w:ind w:left="284"/>
              <w:rPr>
                <w:lang w:val="en-US"/>
              </w:rPr>
            </w:pPr>
            <w:r>
              <w:rPr>
                <w:lang w:val="en-US"/>
              </w:rPr>
              <w:t>Mt</w:t>
            </w:r>
          </w:p>
        </w:tc>
        <w:tc>
          <w:tcPr>
            <w:tcW w:w="6654" w:type="dxa"/>
            <w:vAlign w:val="center"/>
          </w:tcPr>
          <w:p w14:paraId="3F71D48B" w14:textId="77777777" w:rsidR="00CB22D5" w:rsidRPr="00CB22D5" w:rsidRDefault="00AB0741" w:rsidP="007E3C3B">
            <w:pPr>
              <w:spacing w:after="0" w:line="300" w:lineRule="atLeast"/>
              <w:ind w:left="284"/>
              <w:rPr>
                <w:lang w:val="en-US"/>
              </w:rPr>
            </w:pPr>
            <w:r>
              <w:rPr>
                <w:lang w:val="en-US"/>
              </w:rPr>
              <w:t>mega</w:t>
            </w:r>
            <w:r w:rsidR="00CB22D5" w:rsidRPr="00CB22D5">
              <w:rPr>
                <w:lang w:val="en-US"/>
              </w:rPr>
              <w:t>tonne (10</w:t>
            </w:r>
            <w:r w:rsidR="00CB22D5" w:rsidRPr="00CB22D5">
              <w:rPr>
                <w:vertAlign w:val="superscript"/>
                <w:lang w:val="en-US"/>
              </w:rPr>
              <w:t>6</w:t>
            </w:r>
            <w:r w:rsidR="00CB22D5" w:rsidRPr="00CB22D5">
              <w:rPr>
                <w:lang w:val="en-US"/>
              </w:rPr>
              <w:t xml:space="preserve"> </w:t>
            </w:r>
            <w:r w:rsidR="007E3C3B">
              <w:rPr>
                <w:lang w:val="en-US"/>
              </w:rPr>
              <w:t xml:space="preserve">or 1 million </w:t>
            </w:r>
            <w:r w:rsidR="00CB22D5" w:rsidRPr="00CB22D5">
              <w:rPr>
                <w:lang w:val="en-US"/>
              </w:rPr>
              <w:t>tonnes)</w:t>
            </w:r>
          </w:p>
        </w:tc>
      </w:tr>
      <w:tr w:rsidR="00CB22D5" w:rsidRPr="00CB22D5" w14:paraId="0C2AEF82" w14:textId="77777777" w:rsidTr="007E3C3B">
        <w:trPr>
          <w:cantSplit/>
          <w:trHeight w:val="340"/>
        </w:trPr>
        <w:tc>
          <w:tcPr>
            <w:tcW w:w="1818" w:type="dxa"/>
            <w:vAlign w:val="center"/>
          </w:tcPr>
          <w:p w14:paraId="7E46854E" w14:textId="77777777" w:rsidR="00CB22D5" w:rsidRPr="00CB22D5" w:rsidRDefault="00CB22D5" w:rsidP="007E3C3B">
            <w:pPr>
              <w:spacing w:after="0" w:line="300" w:lineRule="atLeast"/>
              <w:ind w:left="284"/>
              <w:rPr>
                <w:lang w:val="en-US"/>
              </w:rPr>
            </w:pPr>
            <w:r w:rsidRPr="00CB22D5">
              <w:rPr>
                <w:lang w:val="en-US"/>
              </w:rPr>
              <w:fldChar w:fldCharType="begin"/>
            </w:r>
            <w:r w:rsidRPr="00CB22D5">
              <w:rPr>
                <w:lang w:val="en-US"/>
              </w:rPr>
              <w:instrText>symbol 109 \f "Symbol" \s 10</w:instrText>
            </w:r>
            <w:r w:rsidRPr="00CB22D5">
              <w:rPr>
                <w:lang w:val="en-US"/>
              </w:rPr>
              <w:fldChar w:fldCharType="separate"/>
            </w:r>
            <w:r w:rsidRPr="00CB22D5">
              <w:rPr>
                <w:rFonts w:ascii="Symbol" w:hAnsi="Symbol"/>
                <w:lang w:val="en-US"/>
              </w:rPr>
              <w:t>m</w:t>
            </w:r>
            <w:r w:rsidRPr="00CB22D5">
              <w:rPr>
                <w:lang w:val="en-US"/>
              </w:rPr>
              <w:fldChar w:fldCharType="end"/>
            </w:r>
            <w:r w:rsidRPr="00CB22D5">
              <w:rPr>
                <w:lang w:val="en-US"/>
              </w:rPr>
              <w:t>g</w:t>
            </w:r>
          </w:p>
        </w:tc>
        <w:tc>
          <w:tcPr>
            <w:tcW w:w="6654" w:type="dxa"/>
            <w:vAlign w:val="center"/>
          </w:tcPr>
          <w:p w14:paraId="7274F6BF" w14:textId="77777777" w:rsidR="00CB22D5" w:rsidRPr="00CB22D5" w:rsidRDefault="00CB22D5" w:rsidP="007E3C3B">
            <w:pPr>
              <w:spacing w:after="0" w:line="300" w:lineRule="atLeast"/>
              <w:ind w:left="284"/>
              <w:rPr>
                <w:lang w:val="en-US"/>
              </w:rPr>
            </w:pPr>
            <w:r w:rsidRPr="00CB22D5">
              <w:rPr>
                <w:lang w:val="en-US"/>
              </w:rPr>
              <w:t>microgram (10</w:t>
            </w:r>
            <w:r w:rsidRPr="00CB22D5">
              <w:rPr>
                <w:vertAlign w:val="superscript"/>
                <w:lang w:val="en-US"/>
              </w:rPr>
              <w:t>-6</w:t>
            </w:r>
            <w:r w:rsidRPr="00CB22D5">
              <w:rPr>
                <w:lang w:val="en-US"/>
              </w:rPr>
              <w:t xml:space="preserve"> </w:t>
            </w:r>
            <w:r w:rsidR="007E3C3B" w:rsidRPr="00CB22D5">
              <w:rPr>
                <w:lang w:val="en-US"/>
              </w:rPr>
              <w:t>grams</w:t>
            </w:r>
            <w:r w:rsidR="007E3C3B">
              <w:rPr>
                <w:lang w:val="en-US"/>
              </w:rPr>
              <w:t xml:space="preserve"> or 1 millionth of a gram</w:t>
            </w:r>
            <w:r w:rsidRPr="00CB22D5">
              <w:rPr>
                <w:lang w:val="en-US"/>
              </w:rPr>
              <w:t>)</w:t>
            </w:r>
          </w:p>
        </w:tc>
      </w:tr>
      <w:tr w:rsidR="00CB22D5" w:rsidRPr="00CB22D5" w14:paraId="42D2AB52" w14:textId="77777777" w:rsidTr="007E3C3B">
        <w:trPr>
          <w:cantSplit/>
          <w:trHeight w:val="340"/>
        </w:trPr>
        <w:tc>
          <w:tcPr>
            <w:tcW w:w="1818" w:type="dxa"/>
            <w:vAlign w:val="center"/>
          </w:tcPr>
          <w:p w14:paraId="6632F3EA" w14:textId="77777777" w:rsidR="00CB22D5" w:rsidRPr="00CB22D5" w:rsidRDefault="00CB22D5" w:rsidP="007E3C3B">
            <w:pPr>
              <w:spacing w:after="0" w:line="300" w:lineRule="atLeast"/>
              <w:ind w:left="284"/>
              <w:rPr>
                <w:lang w:val="en-US"/>
              </w:rPr>
            </w:pPr>
            <w:r w:rsidRPr="00CB22D5">
              <w:rPr>
                <w:lang w:val="en-US"/>
              </w:rPr>
              <w:t>MJ</w:t>
            </w:r>
          </w:p>
        </w:tc>
        <w:tc>
          <w:tcPr>
            <w:tcW w:w="6654" w:type="dxa"/>
            <w:vAlign w:val="center"/>
          </w:tcPr>
          <w:p w14:paraId="4BC43FDC" w14:textId="77777777" w:rsidR="00CB22D5" w:rsidRPr="00CB22D5" w:rsidRDefault="00CB22D5" w:rsidP="007E3C3B">
            <w:pPr>
              <w:spacing w:after="0" w:line="300" w:lineRule="atLeast"/>
              <w:ind w:left="284"/>
              <w:rPr>
                <w:lang w:val="en-US"/>
              </w:rPr>
            </w:pPr>
            <w:r w:rsidRPr="00CB22D5">
              <w:rPr>
                <w:lang w:val="en-US"/>
              </w:rPr>
              <w:t>megajoule (10</w:t>
            </w:r>
            <w:r w:rsidRPr="00CB22D5">
              <w:rPr>
                <w:vertAlign w:val="superscript"/>
                <w:lang w:val="en-US"/>
              </w:rPr>
              <w:t>6</w:t>
            </w:r>
            <w:r w:rsidR="007E3C3B" w:rsidRPr="007E3C3B">
              <w:rPr>
                <w:lang w:val="en-US"/>
              </w:rPr>
              <w:t xml:space="preserve"> or 1 million </w:t>
            </w:r>
            <w:r w:rsidR="007E3C3B">
              <w:rPr>
                <w:lang w:val="en-US"/>
              </w:rPr>
              <w:t>j</w:t>
            </w:r>
            <w:r w:rsidRPr="00CB22D5">
              <w:rPr>
                <w:lang w:val="en-US"/>
              </w:rPr>
              <w:t>oules)</w:t>
            </w:r>
          </w:p>
        </w:tc>
      </w:tr>
      <w:tr w:rsidR="00CB22D5" w:rsidRPr="00CB22D5" w14:paraId="42ACA1DC" w14:textId="77777777" w:rsidTr="007E3C3B">
        <w:trPr>
          <w:cantSplit/>
          <w:trHeight w:val="340"/>
        </w:trPr>
        <w:tc>
          <w:tcPr>
            <w:tcW w:w="1818" w:type="dxa"/>
            <w:vAlign w:val="center"/>
          </w:tcPr>
          <w:p w14:paraId="27033ECF" w14:textId="77777777" w:rsidR="00CB22D5" w:rsidRPr="00CB22D5" w:rsidRDefault="00CB22D5" w:rsidP="007E3C3B">
            <w:pPr>
              <w:spacing w:after="0" w:line="300" w:lineRule="atLeast"/>
              <w:ind w:left="284"/>
              <w:rPr>
                <w:lang w:val="en-US"/>
              </w:rPr>
            </w:pPr>
            <w:r w:rsidRPr="00CB22D5">
              <w:rPr>
                <w:lang w:val="en-US"/>
              </w:rPr>
              <w:t>GJ</w:t>
            </w:r>
          </w:p>
        </w:tc>
        <w:tc>
          <w:tcPr>
            <w:tcW w:w="6654" w:type="dxa"/>
            <w:vAlign w:val="center"/>
          </w:tcPr>
          <w:p w14:paraId="428D52C2" w14:textId="77777777" w:rsidR="00CB22D5" w:rsidRPr="00CB22D5" w:rsidRDefault="00CB22D5" w:rsidP="007E3C3B">
            <w:pPr>
              <w:spacing w:after="0" w:line="300" w:lineRule="atLeast"/>
              <w:ind w:left="284"/>
              <w:rPr>
                <w:lang w:val="en-US"/>
              </w:rPr>
            </w:pPr>
            <w:r w:rsidRPr="00CB22D5">
              <w:rPr>
                <w:lang w:val="en-US"/>
              </w:rPr>
              <w:t>gigajoule (10</w:t>
            </w:r>
            <w:r w:rsidRPr="00CB22D5">
              <w:rPr>
                <w:vertAlign w:val="superscript"/>
                <w:lang w:val="en-US"/>
              </w:rPr>
              <w:t>9</w:t>
            </w:r>
            <w:r w:rsidRPr="00CB22D5">
              <w:rPr>
                <w:lang w:val="en-US"/>
              </w:rPr>
              <w:t xml:space="preserve"> </w:t>
            </w:r>
            <w:r w:rsidR="007E3C3B" w:rsidRPr="007E3C3B">
              <w:rPr>
                <w:lang w:val="en-US"/>
              </w:rPr>
              <w:t xml:space="preserve">or 1 </w:t>
            </w:r>
            <w:r w:rsidR="007E3C3B">
              <w:rPr>
                <w:lang w:val="en-US"/>
              </w:rPr>
              <w:t xml:space="preserve">thousand </w:t>
            </w:r>
            <w:r w:rsidR="007E3C3B" w:rsidRPr="007E3C3B">
              <w:rPr>
                <w:lang w:val="en-US"/>
              </w:rPr>
              <w:t xml:space="preserve">million </w:t>
            </w:r>
            <w:r w:rsidRPr="00CB22D5">
              <w:rPr>
                <w:lang w:val="en-US"/>
              </w:rPr>
              <w:t>joules)</w:t>
            </w:r>
          </w:p>
        </w:tc>
      </w:tr>
      <w:tr w:rsidR="00CB22D5" w:rsidRPr="00CB22D5" w14:paraId="1E5D8BD4" w14:textId="77777777" w:rsidTr="007E3C3B">
        <w:trPr>
          <w:cantSplit/>
          <w:trHeight w:val="340"/>
        </w:trPr>
        <w:tc>
          <w:tcPr>
            <w:tcW w:w="1818" w:type="dxa"/>
            <w:vAlign w:val="center"/>
          </w:tcPr>
          <w:p w14:paraId="73CA5667" w14:textId="77777777" w:rsidR="00CB22D5" w:rsidRPr="00CB22D5" w:rsidRDefault="00CB22D5" w:rsidP="007E3C3B">
            <w:pPr>
              <w:spacing w:after="0" w:line="300" w:lineRule="atLeast"/>
              <w:ind w:left="284"/>
              <w:rPr>
                <w:lang w:val="en-US"/>
              </w:rPr>
            </w:pPr>
            <w:r w:rsidRPr="00CB22D5">
              <w:rPr>
                <w:lang w:val="en-US"/>
              </w:rPr>
              <w:t>TJ</w:t>
            </w:r>
          </w:p>
        </w:tc>
        <w:tc>
          <w:tcPr>
            <w:tcW w:w="6654" w:type="dxa"/>
            <w:vAlign w:val="center"/>
          </w:tcPr>
          <w:p w14:paraId="34619352" w14:textId="77777777" w:rsidR="00CB22D5" w:rsidRPr="00CB22D5" w:rsidRDefault="00CB22D5" w:rsidP="007E3C3B">
            <w:pPr>
              <w:spacing w:after="0" w:line="300" w:lineRule="atLeast"/>
              <w:ind w:left="284"/>
              <w:rPr>
                <w:lang w:val="en-US"/>
              </w:rPr>
            </w:pPr>
            <w:r w:rsidRPr="00CB22D5">
              <w:rPr>
                <w:lang w:val="en-US"/>
              </w:rPr>
              <w:t>terajoule (10</w:t>
            </w:r>
            <w:r w:rsidRPr="00CB22D5">
              <w:rPr>
                <w:vertAlign w:val="superscript"/>
                <w:lang w:val="en-US"/>
              </w:rPr>
              <w:t>12</w:t>
            </w:r>
            <w:r w:rsidRPr="00CB22D5">
              <w:rPr>
                <w:lang w:val="en-US"/>
              </w:rPr>
              <w:t xml:space="preserve"> </w:t>
            </w:r>
            <w:r w:rsidR="007E3C3B" w:rsidRPr="007E3C3B">
              <w:rPr>
                <w:lang w:val="en-US"/>
              </w:rPr>
              <w:t xml:space="preserve">or 1 million million </w:t>
            </w:r>
            <w:r w:rsidRPr="00CB22D5">
              <w:rPr>
                <w:lang w:val="en-US"/>
              </w:rPr>
              <w:t>joules)</w:t>
            </w:r>
          </w:p>
        </w:tc>
      </w:tr>
      <w:tr w:rsidR="00CB22D5" w:rsidRPr="00CB22D5" w14:paraId="05C6BBFE" w14:textId="77777777" w:rsidTr="007E3C3B">
        <w:trPr>
          <w:cantSplit/>
          <w:trHeight w:val="340"/>
        </w:trPr>
        <w:tc>
          <w:tcPr>
            <w:tcW w:w="1818" w:type="dxa"/>
            <w:vAlign w:val="center"/>
          </w:tcPr>
          <w:p w14:paraId="05CA1218" w14:textId="77777777" w:rsidR="00CB22D5" w:rsidRPr="00CB22D5" w:rsidRDefault="00CB22D5" w:rsidP="007E3C3B">
            <w:pPr>
              <w:spacing w:after="0" w:line="300" w:lineRule="atLeast"/>
              <w:ind w:left="284"/>
              <w:rPr>
                <w:lang w:val="en-US"/>
              </w:rPr>
            </w:pPr>
            <w:r w:rsidRPr="00CB22D5">
              <w:rPr>
                <w:lang w:val="en-US"/>
              </w:rPr>
              <w:t>PJ</w:t>
            </w:r>
          </w:p>
        </w:tc>
        <w:tc>
          <w:tcPr>
            <w:tcW w:w="6654" w:type="dxa"/>
            <w:vAlign w:val="center"/>
          </w:tcPr>
          <w:p w14:paraId="3424E089" w14:textId="77777777" w:rsidR="00CB22D5" w:rsidRPr="00CB22D5" w:rsidRDefault="00CB22D5" w:rsidP="007E3C3B">
            <w:pPr>
              <w:spacing w:after="0" w:line="300" w:lineRule="atLeast"/>
              <w:ind w:left="284"/>
              <w:rPr>
                <w:lang w:val="en-US"/>
              </w:rPr>
            </w:pPr>
            <w:r w:rsidRPr="00CB22D5">
              <w:rPr>
                <w:lang w:val="en-US"/>
              </w:rPr>
              <w:t>petajoule (10</w:t>
            </w:r>
            <w:r w:rsidRPr="00CB22D5">
              <w:rPr>
                <w:vertAlign w:val="superscript"/>
                <w:lang w:val="en-US"/>
              </w:rPr>
              <w:t>15</w:t>
            </w:r>
            <w:r w:rsidRPr="00CB22D5">
              <w:rPr>
                <w:lang w:val="en-US"/>
              </w:rPr>
              <w:t xml:space="preserve"> </w:t>
            </w:r>
            <w:r w:rsidR="007E3C3B" w:rsidRPr="007E3C3B">
              <w:rPr>
                <w:lang w:val="en-US"/>
              </w:rPr>
              <w:t xml:space="preserve">or 1 </w:t>
            </w:r>
            <w:r w:rsidR="007E3C3B">
              <w:rPr>
                <w:lang w:val="en-US"/>
              </w:rPr>
              <w:t xml:space="preserve">thousand </w:t>
            </w:r>
            <w:r w:rsidR="007E3C3B" w:rsidRPr="007E3C3B">
              <w:rPr>
                <w:lang w:val="en-US"/>
              </w:rPr>
              <w:t>million</w:t>
            </w:r>
            <w:r w:rsidR="007E3C3B">
              <w:rPr>
                <w:lang w:val="en-US"/>
              </w:rPr>
              <w:t xml:space="preserve"> million </w:t>
            </w:r>
            <w:r w:rsidRPr="00CB22D5">
              <w:rPr>
                <w:lang w:val="en-US"/>
              </w:rPr>
              <w:t>joules)</w:t>
            </w:r>
          </w:p>
        </w:tc>
      </w:tr>
      <w:tr w:rsidR="00CB22D5" w:rsidRPr="00CB22D5" w14:paraId="26896471" w14:textId="77777777" w:rsidTr="007E3C3B">
        <w:trPr>
          <w:cantSplit/>
          <w:trHeight w:val="340"/>
        </w:trPr>
        <w:tc>
          <w:tcPr>
            <w:tcW w:w="1818" w:type="dxa"/>
            <w:vAlign w:val="center"/>
          </w:tcPr>
          <w:p w14:paraId="3426B90B" w14:textId="77777777" w:rsidR="00CB22D5" w:rsidRPr="00CB22D5" w:rsidRDefault="00CB22D5" w:rsidP="007E3C3B">
            <w:pPr>
              <w:spacing w:after="0" w:line="300" w:lineRule="atLeast"/>
              <w:ind w:left="284"/>
              <w:rPr>
                <w:lang w:val="en-US"/>
              </w:rPr>
            </w:pPr>
            <w:r w:rsidRPr="00CB22D5">
              <w:rPr>
                <w:lang w:val="en-US"/>
              </w:rPr>
              <w:t>L</w:t>
            </w:r>
          </w:p>
        </w:tc>
        <w:tc>
          <w:tcPr>
            <w:tcW w:w="6654" w:type="dxa"/>
            <w:vAlign w:val="center"/>
          </w:tcPr>
          <w:p w14:paraId="4C95B68F" w14:textId="77777777" w:rsidR="00CB22D5" w:rsidRPr="00CB22D5" w:rsidRDefault="00CB22D5" w:rsidP="007E3C3B">
            <w:pPr>
              <w:spacing w:after="0" w:line="300" w:lineRule="atLeast"/>
              <w:ind w:left="284"/>
              <w:rPr>
                <w:lang w:val="en-US"/>
              </w:rPr>
            </w:pPr>
            <w:r w:rsidRPr="00CB22D5">
              <w:rPr>
                <w:lang w:val="en-US"/>
              </w:rPr>
              <w:t>litre</w:t>
            </w:r>
          </w:p>
        </w:tc>
      </w:tr>
      <w:tr w:rsidR="00CB22D5" w:rsidRPr="00CB22D5" w14:paraId="108264F9" w14:textId="77777777" w:rsidTr="007E3C3B">
        <w:trPr>
          <w:cantSplit/>
          <w:trHeight w:val="340"/>
        </w:trPr>
        <w:tc>
          <w:tcPr>
            <w:tcW w:w="1818" w:type="dxa"/>
            <w:vAlign w:val="center"/>
          </w:tcPr>
          <w:p w14:paraId="7FDF0A61" w14:textId="77777777" w:rsidR="00CB22D5" w:rsidRPr="00CB22D5" w:rsidRDefault="00CB22D5" w:rsidP="007E3C3B">
            <w:pPr>
              <w:spacing w:after="0" w:line="300" w:lineRule="atLeast"/>
              <w:ind w:left="284"/>
              <w:rPr>
                <w:lang w:val="en-US"/>
              </w:rPr>
            </w:pPr>
            <w:r w:rsidRPr="00CB22D5">
              <w:rPr>
                <w:lang w:val="en-US"/>
              </w:rPr>
              <w:t>m</w:t>
            </w:r>
            <w:r w:rsidRPr="00CB22D5">
              <w:rPr>
                <w:vertAlign w:val="superscript"/>
                <w:lang w:val="en-US"/>
              </w:rPr>
              <w:t>3</w:t>
            </w:r>
          </w:p>
        </w:tc>
        <w:tc>
          <w:tcPr>
            <w:tcW w:w="6654" w:type="dxa"/>
            <w:vAlign w:val="center"/>
          </w:tcPr>
          <w:p w14:paraId="2A9E2872" w14:textId="77777777" w:rsidR="00CB22D5" w:rsidRPr="00CB22D5" w:rsidRDefault="00CB22D5" w:rsidP="007E3C3B">
            <w:pPr>
              <w:spacing w:after="0" w:line="300" w:lineRule="atLeast"/>
              <w:ind w:left="284"/>
              <w:rPr>
                <w:lang w:val="en-US"/>
              </w:rPr>
            </w:pPr>
            <w:r w:rsidRPr="00CB22D5">
              <w:rPr>
                <w:lang w:val="en-US"/>
              </w:rPr>
              <w:t>cubic metre</w:t>
            </w:r>
          </w:p>
        </w:tc>
      </w:tr>
      <w:tr w:rsidR="00CB22D5" w:rsidRPr="00CB22D5" w14:paraId="47BAE678" w14:textId="77777777" w:rsidTr="007E3C3B">
        <w:trPr>
          <w:cantSplit/>
          <w:trHeight w:val="340"/>
        </w:trPr>
        <w:tc>
          <w:tcPr>
            <w:tcW w:w="1818" w:type="dxa"/>
            <w:vAlign w:val="center"/>
          </w:tcPr>
          <w:p w14:paraId="756869D6" w14:textId="77777777" w:rsidR="00CB22D5" w:rsidRPr="00CB22D5" w:rsidRDefault="00CB22D5" w:rsidP="007E3C3B">
            <w:pPr>
              <w:spacing w:after="0" w:line="300" w:lineRule="atLeast"/>
              <w:ind w:left="284"/>
              <w:rPr>
                <w:lang w:val="en-US"/>
              </w:rPr>
            </w:pPr>
            <w:r w:rsidRPr="00CB22D5">
              <w:rPr>
                <w:lang w:val="en-US"/>
              </w:rPr>
              <w:t>ppm</w:t>
            </w:r>
          </w:p>
        </w:tc>
        <w:tc>
          <w:tcPr>
            <w:tcW w:w="6654" w:type="dxa"/>
            <w:vAlign w:val="center"/>
          </w:tcPr>
          <w:p w14:paraId="41B13E96" w14:textId="77777777" w:rsidR="00CB22D5" w:rsidRPr="00CB22D5" w:rsidRDefault="00CB22D5" w:rsidP="007E3C3B">
            <w:pPr>
              <w:spacing w:after="0" w:line="300" w:lineRule="atLeast"/>
              <w:ind w:left="284"/>
              <w:rPr>
                <w:lang w:val="en-US"/>
              </w:rPr>
            </w:pPr>
            <w:r w:rsidRPr="00CB22D5">
              <w:rPr>
                <w:lang w:val="en-US"/>
              </w:rPr>
              <w:t>parts per million</w:t>
            </w:r>
          </w:p>
        </w:tc>
      </w:tr>
      <w:tr w:rsidR="00CB22D5" w:rsidRPr="00CB22D5" w14:paraId="3DBFA81C" w14:textId="77777777" w:rsidTr="007E3C3B">
        <w:trPr>
          <w:cantSplit/>
          <w:trHeight w:val="340"/>
        </w:trPr>
        <w:tc>
          <w:tcPr>
            <w:tcW w:w="1818" w:type="dxa"/>
            <w:vAlign w:val="center"/>
          </w:tcPr>
          <w:p w14:paraId="68286B99" w14:textId="77777777" w:rsidR="00CB22D5" w:rsidRPr="00CB22D5" w:rsidRDefault="00CB22D5" w:rsidP="007E3C3B">
            <w:pPr>
              <w:spacing w:after="0" w:line="300" w:lineRule="atLeast"/>
              <w:ind w:left="284"/>
              <w:rPr>
                <w:lang w:val="en-US"/>
              </w:rPr>
            </w:pPr>
            <w:r w:rsidRPr="00CB22D5">
              <w:rPr>
                <w:lang w:val="en-US"/>
              </w:rPr>
              <w:t>kW</w:t>
            </w:r>
          </w:p>
        </w:tc>
        <w:tc>
          <w:tcPr>
            <w:tcW w:w="6654" w:type="dxa"/>
            <w:vAlign w:val="center"/>
          </w:tcPr>
          <w:p w14:paraId="71B4BCE6" w14:textId="77777777" w:rsidR="00CB22D5" w:rsidRPr="00CB22D5" w:rsidRDefault="00CB22D5" w:rsidP="007E3C3B">
            <w:pPr>
              <w:spacing w:after="0" w:line="300" w:lineRule="atLeast"/>
              <w:ind w:left="284"/>
              <w:rPr>
                <w:lang w:val="en-US"/>
              </w:rPr>
            </w:pPr>
            <w:r w:rsidRPr="00CB22D5">
              <w:rPr>
                <w:lang w:val="en-US"/>
              </w:rPr>
              <w:t>kilowatt (10</w:t>
            </w:r>
            <w:r w:rsidRPr="00CB22D5">
              <w:rPr>
                <w:vertAlign w:val="superscript"/>
                <w:lang w:val="en-US"/>
              </w:rPr>
              <w:t>3</w:t>
            </w:r>
            <w:r w:rsidRPr="00CB22D5">
              <w:rPr>
                <w:lang w:val="en-US"/>
              </w:rPr>
              <w:t xml:space="preserve"> </w:t>
            </w:r>
            <w:r w:rsidR="007E3C3B">
              <w:rPr>
                <w:lang w:val="en-US"/>
              </w:rPr>
              <w:t xml:space="preserve">or 1 thousand </w:t>
            </w:r>
            <w:r w:rsidRPr="00CB22D5">
              <w:rPr>
                <w:lang w:val="en-US"/>
              </w:rPr>
              <w:t>watts</w:t>
            </w:r>
            <w:r w:rsidR="007E3C3B">
              <w:rPr>
                <w:lang w:val="en-US"/>
              </w:rPr>
              <w:t xml:space="preserve"> of thermal or electrical energy</w:t>
            </w:r>
            <w:r w:rsidRPr="00CB22D5">
              <w:rPr>
                <w:lang w:val="en-US"/>
              </w:rPr>
              <w:t>)</w:t>
            </w:r>
          </w:p>
        </w:tc>
      </w:tr>
      <w:tr w:rsidR="00CB22D5" w:rsidRPr="00CB22D5" w14:paraId="684ED77F" w14:textId="77777777" w:rsidTr="007E3C3B">
        <w:trPr>
          <w:cantSplit/>
          <w:trHeight w:val="340"/>
        </w:trPr>
        <w:tc>
          <w:tcPr>
            <w:tcW w:w="1818" w:type="dxa"/>
            <w:vAlign w:val="center"/>
          </w:tcPr>
          <w:p w14:paraId="7CA10B04" w14:textId="77777777" w:rsidR="00CB22D5" w:rsidRPr="00CB22D5" w:rsidRDefault="00CB22D5" w:rsidP="007E3C3B">
            <w:pPr>
              <w:spacing w:after="0" w:line="300" w:lineRule="atLeast"/>
              <w:ind w:left="284"/>
              <w:rPr>
                <w:lang w:val="en-US"/>
              </w:rPr>
            </w:pPr>
            <w:r w:rsidRPr="00CB22D5">
              <w:rPr>
                <w:lang w:val="en-US"/>
              </w:rPr>
              <w:t>kWh</w:t>
            </w:r>
          </w:p>
        </w:tc>
        <w:tc>
          <w:tcPr>
            <w:tcW w:w="6654" w:type="dxa"/>
            <w:vAlign w:val="center"/>
          </w:tcPr>
          <w:p w14:paraId="49309848" w14:textId="77777777" w:rsidR="00CB22D5" w:rsidRPr="00CB22D5" w:rsidRDefault="00CB22D5" w:rsidP="007E3C3B">
            <w:pPr>
              <w:spacing w:after="0" w:line="300" w:lineRule="atLeast"/>
              <w:ind w:left="284"/>
              <w:rPr>
                <w:lang w:val="en-US"/>
              </w:rPr>
            </w:pPr>
            <w:r w:rsidRPr="00CB22D5">
              <w:rPr>
                <w:lang w:val="en-US"/>
              </w:rPr>
              <w:t>kilowatt-hour</w:t>
            </w:r>
            <w:r w:rsidR="007E3C3B">
              <w:rPr>
                <w:lang w:val="en-US"/>
              </w:rPr>
              <w:t xml:space="preserve"> (equivalent to 1 kilowatt generated or consumed over 1 hour)</w:t>
            </w:r>
          </w:p>
        </w:tc>
      </w:tr>
      <w:tr w:rsidR="00CB22D5" w:rsidRPr="00CB22D5" w14:paraId="7CE0F369" w14:textId="77777777" w:rsidTr="007E3C3B">
        <w:trPr>
          <w:cantSplit/>
          <w:trHeight w:val="340"/>
        </w:trPr>
        <w:tc>
          <w:tcPr>
            <w:tcW w:w="1818" w:type="dxa"/>
            <w:vAlign w:val="center"/>
          </w:tcPr>
          <w:p w14:paraId="33AE1F12" w14:textId="77777777" w:rsidR="00CB22D5" w:rsidRPr="00CB22D5" w:rsidRDefault="00CB22D5" w:rsidP="007E3C3B">
            <w:pPr>
              <w:spacing w:after="0" w:line="300" w:lineRule="atLeast"/>
              <w:ind w:left="284"/>
              <w:rPr>
                <w:lang w:val="en-US"/>
              </w:rPr>
            </w:pPr>
            <w:r w:rsidRPr="00CB22D5">
              <w:rPr>
                <w:lang w:val="en-US"/>
              </w:rPr>
              <w:t>MW</w:t>
            </w:r>
          </w:p>
        </w:tc>
        <w:tc>
          <w:tcPr>
            <w:tcW w:w="6654" w:type="dxa"/>
            <w:vAlign w:val="center"/>
          </w:tcPr>
          <w:p w14:paraId="39EAB9A6" w14:textId="77777777" w:rsidR="00CB22D5" w:rsidRPr="00CB22D5" w:rsidRDefault="00CB22D5" w:rsidP="007E3C3B">
            <w:pPr>
              <w:spacing w:after="0" w:line="300" w:lineRule="atLeast"/>
              <w:ind w:left="284"/>
              <w:rPr>
                <w:lang w:val="en-US"/>
              </w:rPr>
            </w:pPr>
            <w:r w:rsidRPr="00CB22D5">
              <w:rPr>
                <w:lang w:val="en-US"/>
              </w:rPr>
              <w:t>megawatt (10</w:t>
            </w:r>
            <w:r w:rsidRPr="00CB22D5">
              <w:rPr>
                <w:vertAlign w:val="superscript"/>
                <w:lang w:val="en-US"/>
              </w:rPr>
              <w:t>6</w:t>
            </w:r>
            <w:r w:rsidRPr="00CB22D5">
              <w:rPr>
                <w:lang w:val="en-US"/>
              </w:rPr>
              <w:t xml:space="preserve"> </w:t>
            </w:r>
            <w:r w:rsidR="007E3C3B" w:rsidRPr="007E3C3B">
              <w:rPr>
                <w:lang w:val="en-US"/>
              </w:rPr>
              <w:t xml:space="preserve">or 1 million </w:t>
            </w:r>
            <w:r w:rsidRPr="00CB22D5">
              <w:rPr>
                <w:lang w:val="en-US"/>
              </w:rPr>
              <w:t>watts</w:t>
            </w:r>
            <w:r w:rsidR="007E3C3B">
              <w:rPr>
                <w:lang w:val="en-US"/>
              </w:rPr>
              <w:t xml:space="preserve"> of thermal energy</w:t>
            </w:r>
            <w:r w:rsidRPr="00CB22D5">
              <w:rPr>
                <w:lang w:val="en-US"/>
              </w:rPr>
              <w:t>)</w:t>
            </w:r>
          </w:p>
        </w:tc>
      </w:tr>
      <w:tr w:rsidR="007E3C3B" w:rsidRPr="00CB22D5" w14:paraId="14E68AC1" w14:textId="77777777" w:rsidTr="007E3C3B">
        <w:trPr>
          <w:cantSplit/>
          <w:trHeight w:val="340"/>
        </w:trPr>
        <w:tc>
          <w:tcPr>
            <w:tcW w:w="1818" w:type="dxa"/>
            <w:vAlign w:val="center"/>
          </w:tcPr>
          <w:p w14:paraId="5CE708BE" w14:textId="77777777" w:rsidR="007E3C3B" w:rsidRPr="00CB22D5" w:rsidRDefault="007E3C3B" w:rsidP="007E3C3B">
            <w:pPr>
              <w:spacing w:after="0" w:line="300" w:lineRule="atLeast"/>
              <w:ind w:left="284"/>
              <w:rPr>
                <w:lang w:val="en-US"/>
              </w:rPr>
            </w:pPr>
            <w:r>
              <w:rPr>
                <w:lang w:val="en-US"/>
              </w:rPr>
              <w:t>MWe</w:t>
            </w:r>
          </w:p>
        </w:tc>
        <w:tc>
          <w:tcPr>
            <w:tcW w:w="6654" w:type="dxa"/>
            <w:vAlign w:val="center"/>
          </w:tcPr>
          <w:p w14:paraId="264735C5" w14:textId="77777777" w:rsidR="007E3C3B" w:rsidRPr="00CB22D5" w:rsidRDefault="007E3C3B" w:rsidP="007E3C3B">
            <w:pPr>
              <w:spacing w:after="0" w:line="300" w:lineRule="atLeast"/>
              <w:ind w:left="284"/>
              <w:rPr>
                <w:lang w:val="en-US"/>
              </w:rPr>
            </w:pPr>
            <w:r>
              <w:rPr>
                <w:lang w:val="en-US"/>
              </w:rPr>
              <w:t>megawatt of electrical energy</w:t>
            </w:r>
          </w:p>
        </w:tc>
      </w:tr>
      <w:tr w:rsidR="00CB22D5" w:rsidRPr="00CB22D5" w14:paraId="48911308" w14:textId="77777777" w:rsidTr="007E3C3B">
        <w:trPr>
          <w:cantSplit/>
          <w:trHeight w:val="340"/>
        </w:trPr>
        <w:tc>
          <w:tcPr>
            <w:tcW w:w="1818" w:type="dxa"/>
            <w:vAlign w:val="center"/>
          </w:tcPr>
          <w:p w14:paraId="6B65CCD3" w14:textId="77777777" w:rsidR="00CB22D5" w:rsidRPr="00CB22D5" w:rsidRDefault="00CB22D5" w:rsidP="007E3C3B">
            <w:pPr>
              <w:spacing w:after="0" w:line="300" w:lineRule="atLeast"/>
              <w:ind w:left="284"/>
              <w:rPr>
                <w:lang w:val="en-US"/>
              </w:rPr>
            </w:pPr>
            <w:r w:rsidRPr="00CB22D5">
              <w:rPr>
                <w:lang w:val="en-US"/>
              </w:rPr>
              <w:t>GWh</w:t>
            </w:r>
          </w:p>
        </w:tc>
        <w:tc>
          <w:tcPr>
            <w:tcW w:w="6654" w:type="dxa"/>
            <w:vAlign w:val="center"/>
          </w:tcPr>
          <w:p w14:paraId="3B6FBC21" w14:textId="77777777" w:rsidR="00CB22D5" w:rsidRPr="00CB22D5" w:rsidRDefault="00CB22D5" w:rsidP="007E3C3B">
            <w:pPr>
              <w:spacing w:after="0" w:line="300" w:lineRule="atLeast"/>
              <w:ind w:left="284"/>
              <w:rPr>
                <w:lang w:val="en-US"/>
              </w:rPr>
            </w:pPr>
            <w:r w:rsidRPr="00CB22D5">
              <w:rPr>
                <w:lang w:val="en-US"/>
              </w:rPr>
              <w:t>gigawatt-hour</w:t>
            </w:r>
            <w:r w:rsidR="007E3C3B">
              <w:rPr>
                <w:lang w:val="en-US"/>
              </w:rPr>
              <w:t xml:space="preserve"> (equivalent to 1 thousand million watts consumed over 1 hour)</w:t>
            </w:r>
          </w:p>
        </w:tc>
      </w:tr>
      <w:tr w:rsidR="007E3C3B" w:rsidRPr="00CB22D5" w14:paraId="47E94D53" w14:textId="77777777" w:rsidTr="00B075A6">
        <w:trPr>
          <w:cantSplit/>
          <w:trHeight w:val="340"/>
        </w:trPr>
        <w:tc>
          <w:tcPr>
            <w:tcW w:w="8472" w:type="dxa"/>
            <w:gridSpan w:val="2"/>
            <w:vAlign w:val="center"/>
          </w:tcPr>
          <w:p w14:paraId="0093F9F8" w14:textId="77777777" w:rsidR="007E3C3B" w:rsidRPr="00CB22D5" w:rsidRDefault="007E3C3B" w:rsidP="007E3C3B">
            <w:pPr>
              <w:spacing w:before="120" w:line="300" w:lineRule="atLeast"/>
              <w:ind w:left="284"/>
              <w:rPr>
                <w:rFonts w:ascii="Arial" w:hAnsi="Arial" w:cs="Arial"/>
                <w:b/>
                <w:sz w:val="22"/>
                <w:szCs w:val="22"/>
                <w:lang w:val="en-US"/>
              </w:rPr>
            </w:pPr>
            <w:r w:rsidRPr="00CB22D5">
              <w:rPr>
                <w:rFonts w:ascii="Arial" w:hAnsi="Arial" w:cs="Arial"/>
                <w:b/>
                <w:sz w:val="22"/>
                <w:szCs w:val="22"/>
                <w:lang w:val="en-US"/>
              </w:rPr>
              <w:t>Abbreviations</w:t>
            </w:r>
          </w:p>
        </w:tc>
      </w:tr>
      <w:tr w:rsidR="00B56CE9" w:rsidRPr="00CB22D5" w14:paraId="341DDB73" w14:textId="77777777" w:rsidTr="007E3C3B">
        <w:trPr>
          <w:cantSplit/>
          <w:trHeight w:val="340"/>
        </w:trPr>
        <w:tc>
          <w:tcPr>
            <w:tcW w:w="1818" w:type="dxa"/>
            <w:vAlign w:val="center"/>
          </w:tcPr>
          <w:p w14:paraId="660347AC" w14:textId="7878A271" w:rsidR="00B56CE9" w:rsidRDefault="00B56CE9" w:rsidP="007E3C3B">
            <w:pPr>
              <w:spacing w:after="0" w:line="300" w:lineRule="atLeast"/>
              <w:ind w:left="284"/>
              <w:rPr>
                <w:lang w:val="en-US"/>
              </w:rPr>
            </w:pPr>
            <w:r>
              <w:rPr>
                <w:lang w:val="en-US"/>
              </w:rPr>
              <w:t>EECA</w:t>
            </w:r>
          </w:p>
        </w:tc>
        <w:tc>
          <w:tcPr>
            <w:tcW w:w="6654" w:type="dxa"/>
            <w:vAlign w:val="center"/>
          </w:tcPr>
          <w:p w14:paraId="26E180FB" w14:textId="67FE742C" w:rsidR="00B56CE9" w:rsidRDefault="00B56CE9" w:rsidP="007E3C3B">
            <w:pPr>
              <w:spacing w:after="0" w:line="300" w:lineRule="atLeast"/>
              <w:ind w:left="284"/>
              <w:rPr>
                <w:lang w:val="en-US"/>
              </w:rPr>
            </w:pPr>
            <w:r>
              <w:rPr>
                <w:lang w:val="en-US"/>
              </w:rPr>
              <w:t>Energy Efficiency &amp; Conservation Authority</w:t>
            </w:r>
          </w:p>
        </w:tc>
      </w:tr>
      <w:tr w:rsidR="00687885" w:rsidRPr="00CB22D5" w14:paraId="076DC67A" w14:textId="77777777" w:rsidTr="007E3C3B">
        <w:trPr>
          <w:cantSplit/>
          <w:trHeight w:val="340"/>
        </w:trPr>
        <w:tc>
          <w:tcPr>
            <w:tcW w:w="1818" w:type="dxa"/>
            <w:vAlign w:val="center"/>
          </w:tcPr>
          <w:p w14:paraId="5C4845C3" w14:textId="77777777" w:rsidR="00687885" w:rsidRDefault="00687885" w:rsidP="007E3C3B">
            <w:pPr>
              <w:spacing w:after="0" w:line="300" w:lineRule="atLeast"/>
              <w:ind w:left="284"/>
              <w:rPr>
                <w:lang w:val="en-US"/>
              </w:rPr>
            </w:pPr>
            <w:r>
              <w:rPr>
                <w:lang w:val="en-US"/>
              </w:rPr>
              <w:t>EU</w:t>
            </w:r>
          </w:p>
        </w:tc>
        <w:tc>
          <w:tcPr>
            <w:tcW w:w="6654" w:type="dxa"/>
            <w:vAlign w:val="center"/>
          </w:tcPr>
          <w:p w14:paraId="5BA9429F" w14:textId="77777777" w:rsidR="00687885" w:rsidRDefault="00687885" w:rsidP="007E3C3B">
            <w:pPr>
              <w:spacing w:after="0" w:line="300" w:lineRule="atLeast"/>
              <w:ind w:left="284"/>
              <w:rPr>
                <w:lang w:val="en-US"/>
              </w:rPr>
            </w:pPr>
            <w:r>
              <w:rPr>
                <w:lang w:val="en-US"/>
              </w:rPr>
              <w:t>European Union</w:t>
            </w:r>
          </w:p>
        </w:tc>
      </w:tr>
      <w:tr w:rsidR="00CB22D5" w:rsidRPr="00CB22D5" w14:paraId="5E1CC5EB" w14:textId="77777777" w:rsidTr="007E3C3B">
        <w:trPr>
          <w:cantSplit/>
          <w:trHeight w:val="340"/>
        </w:trPr>
        <w:tc>
          <w:tcPr>
            <w:tcW w:w="1818" w:type="dxa"/>
            <w:vAlign w:val="center"/>
          </w:tcPr>
          <w:p w14:paraId="2A63B574" w14:textId="77777777" w:rsidR="00CB22D5" w:rsidRPr="00CB22D5" w:rsidRDefault="00CB22D5" w:rsidP="007E3C3B">
            <w:pPr>
              <w:spacing w:after="0" w:line="300" w:lineRule="atLeast"/>
              <w:ind w:left="284"/>
              <w:rPr>
                <w:lang w:val="en-US"/>
              </w:rPr>
            </w:pPr>
            <w:r w:rsidRPr="00CB22D5">
              <w:rPr>
                <w:lang w:val="en-US"/>
              </w:rPr>
              <w:t>LPG</w:t>
            </w:r>
          </w:p>
        </w:tc>
        <w:tc>
          <w:tcPr>
            <w:tcW w:w="6654" w:type="dxa"/>
            <w:vAlign w:val="center"/>
          </w:tcPr>
          <w:p w14:paraId="4E34E407" w14:textId="77777777" w:rsidR="00CB22D5" w:rsidRPr="00CB22D5" w:rsidRDefault="00CB22D5" w:rsidP="007E3C3B">
            <w:pPr>
              <w:spacing w:after="0" w:line="300" w:lineRule="atLeast"/>
              <w:ind w:left="284"/>
              <w:rPr>
                <w:lang w:val="en-US"/>
              </w:rPr>
            </w:pPr>
            <w:r w:rsidRPr="00CB22D5">
              <w:rPr>
                <w:lang w:val="en-US"/>
              </w:rPr>
              <w:t>liquefied petroleum gas</w:t>
            </w:r>
          </w:p>
        </w:tc>
      </w:tr>
      <w:tr w:rsidR="00D42F4F" w:rsidRPr="00CB22D5" w14:paraId="5107AEBD" w14:textId="77777777" w:rsidTr="007E3C3B">
        <w:trPr>
          <w:cantSplit/>
          <w:trHeight w:val="340"/>
        </w:trPr>
        <w:tc>
          <w:tcPr>
            <w:tcW w:w="1818" w:type="dxa"/>
            <w:vAlign w:val="center"/>
          </w:tcPr>
          <w:p w14:paraId="10E1BF5C" w14:textId="77777777" w:rsidR="00D42F4F" w:rsidRPr="00CB22D5" w:rsidRDefault="00D42F4F" w:rsidP="007E3C3B">
            <w:pPr>
              <w:spacing w:after="0" w:line="300" w:lineRule="atLeast"/>
              <w:ind w:left="284"/>
              <w:rPr>
                <w:lang w:val="en-US"/>
              </w:rPr>
            </w:pPr>
            <w:r>
              <w:rPr>
                <w:lang w:val="en-US"/>
              </w:rPr>
              <w:t>RMA</w:t>
            </w:r>
          </w:p>
        </w:tc>
        <w:tc>
          <w:tcPr>
            <w:tcW w:w="6654" w:type="dxa"/>
            <w:vAlign w:val="center"/>
          </w:tcPr>
          <w:p w14:paraId="3F76F0FB" w14:textId="77777777" w:rsidR="00D42F4F" w:rsidRPr="00CB22D5" w:rsidRDefault="00D42F4F" w:rsidP="007E3C3B">
            <w:pPr>
              <w:spacing w:after="0" w:line="300" w:lineRule="atLeast"/>
              <w:ind w:left="284"/>
              <w:rPr>
                <w:lang w:val="en-US"/>
              </w:rPr>
            </w:pPr>
            <w:r>
              <w:rPr>
                <w:lang w:val="en-US"/>
              </w:rPr>
              <w:t>Resource Management Act</w:t>
            </w:r>
            <w:r w:rsidR="00CD05AD">
              <w:rPr>
                <w:lang w:val="en-US"/>
              </w:rPr>
              <w:t xml:space="preserve"> 1991</w:t>
            </w:r>
          </w:p>
        </w:tc>
      </w:tr>
      <w:tr w:rsidR="00CB22D5" w:rsidRPr="00CB22D5" w14:paraId="60BE87D0" w14:textId="77777777" w:rsidTr="007E3C3B">
        <w:trPr>
          <w:cantSplit/>
          <w:trHeight w:val="340"/>
        </w:trPr>
        <w:tc>
          <w:tcPr>
            <w:tcW w:w="1818" w:type="dxa"/>
            <w:vAlign w:val="center"/>
          </w:tcPr>
          <w:p w14:paraId="7A3DBB99" w14:textId="77777777" w:rsidR="00CB22D5" w:rsidRPr="00CB22D5" w:rsidRDefault="00CB22D5" w:rsidP="007E3C3B">
            <w:pPr>
              <w:spacing w:after="0" w:line="300" w:lineRule="atLeast"/>
              <w:ind w:left="284"/>
              <w:rPr>
                <w:lang w:val="en-US"/>
              </w:rPr>
            </w:pPr>
            <w:r w:rsidRPr="00CB22D5">
              <w:rPr>
                <w:lang w:val="en-US"/>
              </w:rPr>
              <w:t>UNEP</w:t>
            </w:r>
          </w:p>
        </w:tc>
        <w:tc>
          <w:tcPr>
            <w:tcW w:w="6654" w:type="dxa"/>
            <w:vAlign w:val="center"/>
          </w:tcPr>
          <w:p w14:paraId="2D52E8ED" w14:textId="77777777" w:rsidR="00CB22D5" w:rsidRPr="00CB22D5" w:rsidRDefault="00CB22D5" w:rsidP="007E3C3B">
            <w:pPr>
              <w:spacing w:after="0" w:line="300" w:lineRule="atLeast"/>
              <w:ind w:left="284"/>
              <w:rPr>
                <w:lang w:val="en-US"/>
              </w:rPr>
            </w:pPr>
            <w:r w:rsidRPr="00CB22D5">
              <w:rPr>
                <w:lang w:val="en-US"/>
              </w:rPr>
              <w:t>United Nations Environment Programme</w:t>
            </w:r>
          </w:p>
        </w:tc>
      </w:tr>
      <w:tr w:rsidR="00CB22D5" w:rsidRPr="00CB22D5" w14:paraId="345E9598" w14:textId="77777777" w:rsidTr="007E3C3B">
        <w:trPr>
          <w:cantSplit/>
          <w:trHeight w:val="340"/>
        </w:trPr>
        <w:tc>
          <w:tcPr>
            <w:tcW w:w="1818" w:type="dxa"/>
            <w:vAlign w:val="center"/>
          </w:tcPr>
          <w:p w14:paraId="1E2B254D" w14:textId="77777777" w:rsidR="00CB22D5" w:rsidRPr="00CB22D5" w:rsidRDefault="00CB22D5" w:rsidP="007E3C3B">
            <w:pPr>
              <w:spacing w:after="0" w:line="300" w:lineRule="atLeast"/>
              <w:ind w:left="284"/>
              <w:rPr>
                <w:lang w:val="en-US"/>
              </w:rPr>
            </w:pPr>
            <w:r w:rsidRPr="00CB22D5">
              <w:rPr>
                <w:lang w:val="en-US"/>
              </w:rPr>
              <w:t>USA</w:t>
            </w:r>
          </w:p>
        </w:tc>
        <w:tc>
          <w:tcPr>
            <w:tcW w:w="6654" w:type="dxa"/>
            <w:vAlign w:val="center"/>
          </w:tcPr>
          <w:p w14:paraId="7842C3CD" w14:textId="77777777" w:rsidR="00CB22D5" w:rsidRPr="00CB22D5" w:rsidRDefault="00CB22D5" w:rsidP="007E3C3B">
            <w:pPr>
              <w:spacing w:after="0" w:line="300" w:lineRule="atLeast"/>
              <w:ind w:left="284"/>
              <w:rPr>
                <w:lang w:val="en-US"/>
              </w:rPr>
            </w:pPr>
            <w:r w:rsidRPr="00CB22D5">
              <w:rPr>
                <w:lang w:val="en-US"/>
              </w:rPr>
              <w:t>United States of America</w:t>
            </w:r>
          </w:p>
        </w:tc>
      </w:tr>
      <w:tr w:rsidR="00CB22D5" w:rsidRPr="00CB22D5" w14:paraId="24F5C5C8" w14:textId="77777777" w:rsidTr="007E3C3B">
        <w:trPr>
          <w:cantSplit/>
          <w:trHeight w:val="340"/>
        </w:trPr>
        <w:tc>
          <w:tcPr>
            <w:tcW w:w="1818" w:type="dxa"/>
            <w:vAlign w:val="center"/>
          </w:tcPr>
          <w:p w14:paraId="2B9DC774" w14:textId="77777777" w:rsidR="00CB22D5" w:rsidRPr="00CB22D5" w:rsidRDefault="00CB22D5" w:rsidP="007E3C3B">
            <w:pPr>
              <w:spacing w:after="0" w:line="300" w:lineRule="atLeast"/>
              <w:ind w:left="284"/>
              <w:rPr>
                <w:lang w:val="en-US"/>
              </w:rPr>
            </w:pPr>
            <w:r w:rsidRPr="00CB22D5">
              <w:rPr>
                <w:lang w:val="en-US"/>
              </w:rPr>
              <w:t>US EPA</w:t>
            </w:r>
          </w:p>
        </w:tc>
        <w:tc>
          <w:tcPr>
            <w:tcW w:w="6654" w:type="dxa"/>
            <w:vAlign w:val="center"/>
          </w:tcPr>
          <w:p w14:paraId="5EF981CF" w14:textId="77777777" w:rsidR="00CB22D5" w:rsidRPr="00CB22D5" w:rsidRDefault="00CB22D5" w:rsidP="007E3C3B">
            <w:pPr>
              <w:spacing w:after="0" w:line="300" w:lineRule="atLeast"/>
              <w:ind w:left="284"/>
              <w:rPr>
                <w:lang w:val="en-US"/>
              </w:rPr>
            </w:pPr>
            <w:r w:rsidRPr="00CB22D5">
              <w:rPr>
                <w:lang w:val="en-US"/>
              </w:rPr>
              <w:t>United States Environmental Protection Agency</w:t>
            </w:r>
          </w:p>
        </w:tc>
      </w:tr>
      <w:tr w:rsidR="00CB22D5" w:rsidRPr="00CB22D5" w14:paraId="2AE07228" w14:textId="77777777" w:rsidTr="007E3C3B">
        <w:trPr>
          <w:cantSplit/>
          <w:trHeight w:val="340"/>
        </w:trPr>
        <w:tc>
          <w:tcPr>
            <w:tcW w:w="1818" w:type="dxa"/>
            <w:vAlign w:val="center"/>
          </w:tcPr>
          <w:p w14:paraId="03B14C7F" w14:textId="5647CCAC" w:rsidR="00CB22D5" w:rsidRPr="00CB22D5" w:rsidRDefault="00CB22D5" w:rsidP="007E3C3B">
            <w:pPr>
              <w:spacing w:after="0" w:line="300" w:lineRule="atLeast"/>
              <w:ind w:left="284"/>
              <w:rPr>
                <w:lang w:val="en-US"/>
              </w:rPr>
            </w:pPr>
          </w:p>
        </w:tc>
        <w:tc>
          <w:tcPr>
            <w:tcW w:w="6654" w:type="dxa"/>
            <w:vAlign w:val="center"/>
          </w:tcPr>
          <w:p w14:paraId="43D05883" w14:textId="477B0A52" w:rsidR="00CB22D5" w:rsidRPr="00CB22D5" w:rsidRDefault="00CB22D5" w:rsidP="007E3C3B">
            <w:pPr>
              <w:spacing w:after="0" w:line="300" w:lineRule="atLeast"/>
              <w:ind w:left="284"/>
              <w:rPr>
                <w:lang w:val="en-US"/>
              </w:rPr>
            </w:pPr>
          </w:p>
        </w:tc>
      </w:tr>
    </w:tbl>
    <w:p w14:paraId="7F8836D4" w14:textId="77777777" w:rsidR="00CB22D5" w:rsidRPr="00CB22D5" w:rsidRDefault="00CB22D5" w:rsidP="007E3C3B">
      <w:pPr>
        <w:widowControl w:val="0"/>
        <w:spacing w:after="0" w:line="300" w:lineRule="atLeast"/>
        <w:ind w:left="284"/>
        <w:rPr>
          <w:lang w:val="en-US"/>
        </w:rPr>
      </w:pPr>
    </w:p>
    <w:p w14:paraId="27AC5C1A" w14:textId="77777777" w:rsidR="00C05182" w:rsidRPr="00270CD3" w:rsidRDefault="00C05182" w:rsidP="003833D6">
      <w:pPr>
        <w:spacing w:line="300" w:lineRule="atLeast"/>
        <w:jc w:val="both"/>
      </w:pPr>
    </w:p>
    <w:p w14:paraId="1A56194E" w14:textId="77777777" w:rsidR="00C05182" w:rsidRPr="00270CD3" w:rsidRDefault="00C05182" w:rsidP="00270CD3">
      <w:pPr>
        <w:spacing w:line="360" w:lineRule="auto"/>
        <w:jc w:val="both"/>
        <w:sectPr w:rsidR="00C05182" w:rsidRPr="00270CD3" w:rsidSect="00251E8B">
          <w:headerReference w:type="default" r:id="rId17"/>
          <w:footerReference w:type="default" r:id="rId18"/>
          <w:pgSz w:w="11907" w:h="16840" w:code="9"/>
          <w:pgMar w:top="1418" w:right="1418" w:bottom="1440" w:left="1418" w:header="720" w:footer="720" w:gutter="0"/>
          <w:pgNumType w:fmt="lowerRoman"/>
          <w:cols w:space="720"/>
        </w:sectPr>
      </w:pPr>
    </w:p>
    <w:p w14:paraId="77E5286E" w14:textId="5FD57178" w:rsidR="00A62C53" w:rsidRPr="00CD27A9" w:rsidRDefault="00A14971" w:rsidP="00CD27A9">
      <w:pPr>
        <w:jc w:val="center"/>
        <w:rPr>
          <w:rFonts w:ascii="Arial" w:hAnsi="Arial" w:cs="Arial"/>
          <w:b/>
          <w:sz w:val="28"/>
          <w:szCs w:val="28"/>
        </w:rPr>
      </w:pPr>
      <w:r w:rsidRPr="00270CD3">
        <w:rPr>
          <w:rFonts w:ascii="Arial" w:hAnsi="Arial" w:cs="Arial"/>
          <w:b/>
          <w:sz w:val="28"/>
          <w:szCs w:val="28"/>
        </w:rPr>
        <w:t xml:space="preserve">Mercury Inventory for New Zealand: </w:t>
      </w:r>
      <w:r w:rsidR="00D66B4A">
        <w:rPr>
          <w:rFonts w:ascii="Arial" w:hAnsi="Arial" w:cs="Arial"/>
          <w:b/>
          <w:sz w:val="28"/>
          <w:szCs w:val="28"/>
        </w:rPr>
        <w:t>202</w:t>
      </w:r>
      <w:r w:rsidR="00C92D4B">
        <w:rPr>
          <w:rFonts w:ascii="Arial" w:hAnsi="Arial" w:cs="Arial"/>
          <w:b/>
          <w:sz w:val="28"/>
          <w:szCs w:val="28"/>
        </w:rPr>
        <w:t>4</w:t>
      </w:r>
    </w:p>
    <w:p w14:paraId="2D4CEB70" w14:textId="77777777" w:rsidR="00F13B43" w:rsidRPr="00F0772D" w:rsidRDefault="00E721F0" w:rsidP="00903E7B">
      <w:pPr>
        <w:pStyle w:val="Heading1"/>
        <w:rPr>
          <w:rFonts w:cs="Arial"/>
          <w:b w:val="0"/>
          <w:bCs/>
        </w:rPr>
      </w:pPr>
      <w:bookmarkStart w:id="7" w:name="_Toc313528452"/>
      <w:bookmarkStart w:id="8" w:name="_Toc348266173"/>
      <w:bookmarkStart w:id="9" w:name="_Toc110355502"/>
      <w:r w:rsidRPr="00F0772D">
        <w:rPr>
          <w:rFonts w:cs="Arial"/>
          <w:bCs/>
        </w:rPr>
        <w:t>Introduction</w:t>
      </w:r>
      <w:bookmarkEnd w:id="7"/>
      <w:bookmarkEnd w:id="8"/>
      <w:bookmarkEnd w:id="9"/>
    </w:p>
    <w:p w14:paraId="7AF0FBAE" w14:textId="59E77CE3" w:rsidR="0024649B" w:rsidRDefault="0024649B" w:rsidP="0024649B">
      <w:pPr>
        <w:spacing w:line="300" w:lineRule="atLeast"/>
        <w:jc w:val="both"/>
        <w:rPr>
          <w:szCs w:val="18"/>
        </w:rPr>
      </w:pPr>
      <w:r w:rsidRPr="00270CD3">
        <w:rPr>
          <w:szCs w:val="18"/>
        </w:rPr>
        <w:t xml:space="preserve">This report provides </w:t>
      </w:r>
      <w:r>
        <w:rPr>
          <w:szCs w:val="18"/>
        </w:rPr>
        <w:t>an inventory of the annual distribution</w:t>
      </w:r>
      <w:r w:rsidRPr="00270CD3">
        <w:rPr>
          <w:szCs w:val="18"/>
        </w:rPr>
        <w:t xml:space="preserve"> </w:t>
      </w:r>
      <w:r>
        <w:rPr>
          <w:szCs w:val="18"/>
        </w:rPr>
        <w:t xml:space="preserve">of mercury and mercury-containing goods and materials in </w:t>
      </w:r>
      <w:r w:rsidRPr="00270CD3">
        <w:rPr>
          <w:szCs w:val="18"/>
        </w:rPr>
        <w:t>New Zealand</w:t>
      </w:r>
      <w:r>
        <w:rPr>
          <w:szCs w:val="18"/>
        </w:rPr>
        <w:t>, from anthropogenic (man-made) sources</w:t>
      </w:r>
      <w:r w:rsidR="00E10B98">
        <w:rPr>
          <w:szCs w:val="18"/>
        </w:rPr>
        <w:t>,</w:t>
      </w:r>
      <w:r w:rsidR="00E10B98" w:rsidRPr="00E10B98">
        <w:rPr>
          <w:szCs w:val="18"/>
        </w:rPr>
        <w:t xml:space="preserve"> </w:t>
      </w:r>
      <w:r w:rsidR="00E10B98">
        <w:rPr>
          <w:szCs w:val="18"/>
        </w:rPr>
        <w:t>for a base year of 20</w:t>
      </w:r>
      <w:r w:rsidR="005F6774">
        <w:rPr>
          <w:szCs w:val="18"/>
        </w:rPr>
        <w:t>2</w:t>
      </w:r>
      <w:r w:rsidR="00C92D4B">
        <w:rPr>
          <w:szCs w:val="18"/>
        </w:rPr>
        <w:t>4</w:t>
      </w:r>
      <w:r w:rsidR="00E10B98" w:rsidRPr="00270CD3">
        <w:rPr>
          <w:szCs w:val="18"/>
        </w:rPr>
        <w:t xml:space="preserve">. It has been </w:t>
      </w:r>
      <w:r w:rsidR="00E10B98">
        <w:rPr>
          <w:szCs w:val="18"/>
        </w:rPr>
        <w:t>produced</w:t>
      </w:r>
      <w:r w:rsidR="00E10B98" w:rsidRPr="00270CD3">
        <w:rPr>
          <w:szCs w:val="18"/>
        </w:rPr>
        <w:t xml:space="preserve"> under </w:t>
      </w:r>
      <w:r w:rsidR="00E10B98">
        <w:rPr>
          <w:szCs w:val="18"/>
        </w:rPr>
        <w:t xml:space="preserve">a </w:t>
      </w:r>
      <w:r w:rsidR="00E10B98" w:rsidRPr="00270CD3">
        <w:rPr>
          <w:szCs w:val="18"/>
        </w:rPr>
        <w:t>contract to the New Zealand Ministry for the Environment</w:t>
      </w:r>
      <w:r w:rsidR="00E10B98">
        <w:rPr>
          <w:szCs w:val="18"/>
        </w:rPr>
        <w:t>, and builds on the information reported in previous inventories for 2008</w:t>
      </w:r>
      <w:r w:rsidR="005F6774">
        <w:rPr>
          <w:szCs w:val="18"/>
        </w:rPr>
        <w:t>,</w:t>
      </w:r>
      <w:r w:rsidR="00E10B98">
        <w:rPr>
          <w:szCs w:val="18"/>
        </w:rPr>
        <w:t xml:space="preserve"> 2012</w:t>
      </w:r>
      <w:r w:rsidR="00C92D4B">
        <w:rPr>
          <w:szCs w:val="18"/>
        </w:rPr>
        <w:t xml:space="preserve">, </w:t>
      </w:r>
      <w:r w:rsidR="005F6774">
        <w:rPr>
          <w:szCs w:val="18"/>
        </w:rPr>
        <w:t>2016</w:t>
      </w:r>
      <w:r w:rsidR="00AB4194">
        <w:rPr>
          <w:szCs w:val="18"/>
        </w:rPr>
        <w:t xml:space="preserve"> </w:t>
      </w:r>
      <w:r w:rsidR="00C92D4B">
        <w:rPr>
          <w:szCs w:val="18"/>
        </w:rPr>
        <w:t xml:space="preserve">and 2020 </w:t>
      </w:r>
      <w:r w:rsidR="00E10B98">
        <w:rPr>
          <w:szCs w:val="18"/>
        </w:rPr>
        <w:t>(MfE, 2008</w:t>
      </w:r>
      <w:r w:rsidR="005F6774">
        <w:rPr>
          <w:szCs w:val="18"/>
        </w:rPr>
        <w:t xml:space="preserve">, </w:t>
      </w:r>
      <w:r w:rsidR="00E10B98">
        <w:rPr>
          <w:szCs w:val="18"/>
        </w:rPr>
        <w:t>MfE</w:t>
      </w:r>
      <w:r w:rsidR="003946F8">
        <w:rPr>
          <w:szCs w:val="18"/>
        </w:rPr>
        <w:t xml:space="preserve"> </w:t>
      </w:r>
      <w:r w:rsidR="00E10B98">
        <w:rPr>
          <w:szCs w:val="18"/>
        </w:rPr>
        <w:t>2013</w:t>
      </w:r>
      <w:r w:rsidR="00C92D4B">
        <w:rPr>
          <w:szCs w:val="18"/>
        </w:rPr>
        <w:t xml:space="preserve">, </w:t>
      </w:r>
      <w:r w:rsidR="005F6774">
        <w:rPr>
          <w:szCs w:val="18"/>
        </w:rPr>
        <w:t>MfE 201</w:t>
      </w:r>
      <w:r w:rsidR="00062104">
        <w:rPr>
          <w:szCs w:val="18"/>
        </w:rPr>
        <w:t>8</w:t>
      </w:r>
      <w:r w:rsidR="00C92D4B">
        <w:rPr>
          <w:szCs w:val="18"/>
        </w:rPr>
        <w:t>, MfE 2022</w:t>
      </w:r>
      <w:r w:rsidR="00E10B98">
        <w:rPr>
          <w:szCs w:val="18"/>
        </w:rPr>
        <w:t>).</w:t>
      </w:r>
    </w:p>
    <w:p w14:paraId="09F433CE" w14:textId="5C0A5518" w:rsidR="0024649B" w:rsidRPr="00270CD3" w:rsidRDefault="0024649B" w:rsidP="0024649B">
      <w:pPr>
        <w:spacing w:line="300" w:lineRule="atLeast"/>
        <w:jc w:val="both"/>
        <w:rPr>
          <w:szCs w:val="18"/>
        </w:rPr>
      </w:pPr>
      <w:r>
        <w:rPr>
          <w:szCs w:val="18"/>
        </w:rPr>
        <w:t xml:space="preserve">The inventory has been prepared generally in accordance with the guidance provided in </w:t>
      </w:r>
      <w:r>
        <w:t xml:space="preserve">the UNEP </w:t>
      </w:r>
      <w:r w:rsidRPr="002D6CD9">
        <w:rPr>
          <w:i/>
        </w:rPr>
        <w:t xml:space="preserve">Toolkit </w:t>
      </w:r>
      <w:r w:rsidRPr="00E00DC4">
        <w:rPr>
          <w:i/>
        </w:rPr>
        <w:t>for identification and quantification of mercury releases</w:t>
      </w:r>
      <w:r>
        <w:t xml:space="preserve"> (the UNEP Toolkit), which aims to </w:t>
      </w:r>
      <w:r w:rsidRPr="008A4BA2">
        <w:t xml:space="preserve">assist countries to build a knowledge base that identifies </w:t>
      </w:r>
      <w:r>
        <w:t xml:space="preserve">the </w:t>
      </w:r>
      <w:r w:rsidRPr="008A4BA2">
        <w:t>sources of mercury releases in their country and estimates or quantifies the releases</w:t>
      </w:r>
      <w:r w:rsidR="00AC02A3">
        <w:t xml:space="preserve"> (UNEP, 2023)</w:t>
      </w:r>
      <w:r>
        <w:t>. This information is expected to assist in decision-making with regard to possible control measures on mercury releases; in communicating with stakeholders; and in monitoring changes over time.</w:t>
      </w:r>
    </w:p>
    <w:p w14:paraId="78742765" w14:textId="77777777" w:rsidR="005A7C86" w:rsidRPr="00F0772D" w:rsidRDefault="000E7152" w:rsidP="002A030F">
      <w:pPr>
        <w:pStyle w:val="Heading2"/>
      </w:pPr>
      <w:bookmarkStart w:id="10" w:name="_Toc348266174"/>
      <w:bookmarkStart w:id="11" w:name="_Toc110355503"/>
      <w:r w:rsidRPr="002A030F">
        <w:t>Background</w:t>
      </w:r>
      <w:bookmarkEnd w:id="10"/>
      <w:bookmarkEnd w:id="11"/>
    </w:p>
    <w:p w14:paraId="693A8773" w14:textId="33BA9628" w:rsidR="00127C60" w:rsidRPr="00270CD3" w:rsidRDefault="00C42D24" w:rsidP="00127C60">
      <w:pPr>
        <w:spacing w:line="300" w:lineRule="atLeast"/>
        <w:jc w:val="both"/>
        <w:rPr>
          <w:szCs w:val="18"/>
        </w:rPr>
      </w:pPr>
      <w:r>
        <w:t>After negotiation</w:t>
      </w:r>
      <w:r w:rsidR="00055C2C">
        <w:t>,</w:t>
      </w:r>
      <w:r>
        <w:t xml:space="preserve"> t</w:t>
      </w:r>
      <w:r w:rsidRPr="00261E65">
        <w:t xml:space="preserve">he text of the </w:t>
      </w:r>
      <w:r>
        <w:t>Minamata Convention was formulated in January 2013. It was adopted by the Conference of Plenopotentiaries in October 2013, and in the following year was was signed by 127 states. The Convention came into force on 16 August 2017 after ratification by 50 countries (UNEP, 2024)</w:t>
      </w:r>
      <w:r w:rsidR="006E78B6">
        <w:t>.</w:t>
      </w:r>
      <w:r>
        <w:t xml:space="preserve"> New Zealand is a signatory nation but has not yet ratified.</w:t>
      </w:r>
      <w:r w:rsidR="00F30FF6">
        <w:t xml:space="preserve"> Ratification requires that a state aligns its legislation and policies to comply with the obligations of the Convention. New Zealand is currently considering the legislative changes necessary to achieve ratification. With regard to New Zealand’s </w:t>
      </w:r>
      <w:r w:rsidR="006E78B6">
        <w:t>obligations</w:t>
      </w:r>
      <w:r w:rsidR="00F30FF6">
        <w:t xml:space="preserve"> </w:t>
      </w:r>
      <w:r w:rsidR="0039607A">
        <w:t>in the interim</w:t>
      </w:r>
      <w:r w:rsidR="009123F3">
        <w:t>,</w:t>
      </w:r>
      <w:r w:rsidR="0039607A">
        <w:t xml:space="preserve"> </w:t>
      </w:r>
      <w:r w:rsidR="00F30FF6">
        <w:t xml:space="preserve">the Convention provides the following advice: </w:t>
      </w:r>
      <w:r w:rsidR="00F30FF6" w:rsidRPr="002A6B8B">
        <w:rPr>
          <w:i/>
          <w:iCs/>
        </w:rPr>
        <w:t>The signature is the formal expression of intent to be bound and become a party but it does not prejudge ratification. The signature does not bear legal obligation as such; however, a State is expected to refrain from acts that would defeat the object and purpose of a treaty it has signed</w:t>
      </w:r>
      <w:r w:rsidR="002A6B8B">
        <w:t xml:space="preserve"> </w:t>
      </w:r>
      <w:r w:rsidR="0039607A">
        <w:t>(UNEP, 2022)</w:t>
      </w:r>
      <w:r w:rsidR="00F30FF6" w:rsidRPr="00F30FF6">
        <w:t xml:space="preserve">. </w:t>
      </w:r>
    </w:p>
    <w:p w14:paraId="3B743615" w14:textId="254AF2C9" w:rsidR="00127C60" w:rsidRPr="00270CD3" w:rsidRDefault="00C42D24" w:rsidP="00127C60">
      <w:pPr>
        <w:spacing w:line="300" w:lineRule="atLeast"/>
        <w:jc w:val="both"/>
        <w:rPr>
          <w:szCs w:val="18"/>
        </w:rPr>
      </w:pPr>
      <w:r>
        <w:t>The objective of the Convention is to protect human health and the environment from anthropogenic emissions and releases of mercury and mercury compounds. Measures to achieve this include</w:t>
      </w:r>
      <w:r w:rsidR="00431D3B">
        <w:t>:</w:t>
      </w:r>
      <w:r>
        <w:t xml:space="preserve"> controlling the supply and trade of mercury, setting limits on primary mercury mining, controlling products to which mercury is added and controlling processes in which mercury or mercury compounds are used. It is expected that member state adoption of the Convention obligations will lead to an overall reduction in mercury levels in the environment over time.</w:t>
      </w:r>
    </w:p>
    <w:p w14:paraId="0489D7FD" w14:textId="59547475" w:rsidR="00127C60" w:rsidRPr="00270CD3" w:rsidRDefault="00C42D24" w:rsidP="00127C60">
      <w:pPr>
        <w:spacing w:line="300" w:lineRule="atLeast"/>
        <w:jc w:val="both"/>
        <w:rPr>
          <w:szCs w:val="18"/>
        </w:rPr>
      </w:pPr>
      <w:r>
        <w:t xml:space="preserve">The Minamata Convention holds a Conference of Parties (COP) every one or two years and these are opportunities to make changes and improvements to regulations. </w:t>
      </w:r>
      <w:r w:rsidR="00F12076">
        <w:t xml:space="preserve">There have been two COP meetings since the last inventory update. In </w:t>
      </w:r>
      <w:r>
        <w:t xml:space="preserve">COP 5, </w:t>
      </w:r>
      <w:r w:rsidR="00F12076">
        <w:t>held</w:t>
      </w:r>
      <w:r>
        <w:t xml:space="preserve"> in November 2023</w:t>
      </w:r>
      <w:r w:rsidR="00F12076">
        <w:t>,</w:t>
      </w:r>
      <w:r>
        <w:t xml:space="preserve"> agreement was reached to phase out additional products containing mercury including certain fluorescent lamps, button batteries, switches and relays</w:t>
      </w:r>
      <w:r w:rsidR="00F12076">
        <w:t xml:space="preserve"> and to ban m</w:t>
      </w:r>
      <w:r>
        <w:t>ercury containing cosmetics</w:t>
      </w:r>
      <w:r w:rsidR="00AC02A3">
        <w:t xml:space="preserve"> </w:t>
      </w:r>
      <w:r>
        <w:t>(UNEP, 2024)</w:t>
      </w:r>
      <w:r w:rsidR="00F12076">
        <w:t>. COP 6, held in November 2025, agreed to phase out the use of mercury dental amalgam by 2034</w:t>
      </w:r>
      <w:r w:rsidR="005E4D4F">
        <w:t xml:space="preserve"> (UNEP, 2025)</w:t>
      </w:r>
      <w:r w:rsidR="00F12076">
        <w:t>.</w:t>
      </w:r>
    </w:p>
    <w:p w14:paraId="1B184B6C" w14:textId="181F43F1" w:rsidR="00193252" w:rsidRPr="00F571AB" w:rsidRDefault="00C42D24" w:rsidP="009D0D1B">
      <w:pPr>
        <w:spacing w:line="300" w:lineRule="atLeast"/>
        <w:jc w:val="both"/>
        <w:rPr>
          <w:szCs w:val="18"/>
        </w:rPr>
      </w:pPr>
      <w:r>
        <w:t xml:space="preserve">The Convention’s regulations are specified in 14 Articles each of which cover different aspects of mercury control.  The requirement for signatories to compile national mercury inventories is contained in Article 9 entitled “Releases” where clause 6 states: </w:t>
      </w:r>
      <w:r w:rsidRPr="002A6B8B">
        <w:rPr>
          <w:i/>
          <w:iCs/>
        </w:rPr>
        <w:t>Each Party shall establish, as soon as practicable and no later than five years after the date of entry into force of the Convention for it, and maintain thereafter, an inventory of releases from relevant sources.</w:t>
      </w:r>
      <w:r>
        <w:t xml:space="preserve"> </w:t>
      </w:r>
    </w:p>
    <w:p w14:paraId="6D38E006" w14:textId="385DA55D" w:rsidR="0028482F" w:rsidRPr="003833D6" w:rsidRDefault="00C42D24" w:rsidP="003833D6">
      <w:pPr>
        <w:spacing w:line="300" w:lineRule="atLeast"/>
        <w:jc w:val="both"/>
      </w:pPr>
      <w:r>
        <w:t>This document is New Zealand’s fifth mercury inventory. T</w:t>
      </w:r>
      <w:r w:rsidR="005F6774">
        <w:t>he</w:t>
      </w:r>
      <w:r w:rsidR="003A65F5">
        <w:t xml:space="preserve"> </w:t>
      </w:r>
      <w:r w:rsidR="005F6774">
        <w:t>2008 and 2012</w:t>
      </w:r>
      <w:r w:rsidR="00193252">
        <w:t xml:space="preserve"> New Zealand mercury inventor</w:t>
      </w:r>
      <w:r w:rsidR="003A65F5">
        <w:t>i</w:t>
      </w:r>
      <w:r w:rsidR="00193252">
        <w:t>e</w:t>
      </w:r>
      <w:r w:rsidR="003A65F5">
        <w:t xml:space="preserve">s </w:t>
      </w:r>
      <w:r w:rsidR="00193252">
        <w:t>provided background information for the government leading up to the decision to sign the Convention</w:t>
      </w:r>
      <w:r w:rsidR="001416E8">
        <w:t xml:space="preserve"> with the 2016, 2020 and the current inventory prepared after it came into force. All </w:t>
      </w:r>
      <w:r w:rsidR="00AB58B6">
        <w:t>I</w:t>
      </w:r>
      <w:r w:rsidR="002B2C6F">
        <w:t xml:space="preserve">nventories </w:t>
      </w:r>
      <w:r w:rsidR="001416E8">
        <w:t xml:space="preserve">have been </w:t>
      </w:r>
      <w:r w:rsidR="00AB58B6">
        <w:t xml:space="preserve">prepared in accordance with the UNEP mandated approach described as the “Mercury Toolkit” which is discussed in </w:t>
      </w:r>
      <w:r w:rsidR="001416E8">
        <w:t>Section 2.1</w:t>
      </w:r>
      <w:r w:rsidR="00AB58B6">
        <w:t xml:space="preserve">. </w:t>
      </w:r>
      <w:r w:rsidR="00E73BC7">
        <w:t>Th</w:t>
      </w:r>
      <w:r w:rsidR="00AB58B6">
        <w:t>e Toolkit process</w:t>
      </w:r>
      <w:r w:rsidR="00193252">
        <w:t xml:space="preserve"> assist</w:t>
      </w:r>
      <w:r w:rsidR="00AB58B6">
        <w:t>s</w:t>
      </w:r>
      <w:r w:rsidR="00193252">
        <w:t xml:space="preserve"> in </w:t>
      </w:r>
      <w:r w:rsidR="003A65F5">
        <w:t>identif</w:t>
      </w:r>
      <w:r w:rsidR="00193252">
        <w:t>ying</w:t>
      </w:r>
      <w:r w:rsidR="003A65F5">
        <w:t xml:space="preserve"> the most significant sources of mercury and mercury-containing goods and materials</w:t>
      </w:r>
      <w:r w:rsidR="00193252">
        <w:t xml:space="preserve"> in New Zealand</w:t>
      </w:r>
      <w:r w:rsidR="003A65F5">
        <w:t xml:space="preserve">, and the activities, and key individuals or organisations, associated with these (the stakeholders). </w:t>
      </w:r>
    </w:p>
    <w:p w14:paraId="39F7262A" w14:textId="77777777" w:rsidR="00EB0BD0" w:rsidRPr="00F0772D" w:rsidRDefault="00EB0BD0" w:rsidP="00135B26">
      <w:pPr>
        <w:pStyle w:val="Heading2"/>
      </w:pPr>
      <w:bookmarkStart w:id="12" w:name="_Toc348266176"/>
      <w:bookmarkStart w:id="13" w:name="_Toc110355504"/>
      <w:r w:rsidRPr="00F0772D">
        <w:t>Methodology</w:t>
      </w:r>
      <w:bookmarkEnd w:id="12"/>
      <w:bookmarkEnd w:id="13"/>
    </w:p>
    <w:p w14:paraId="597FE6F5" w14:textId="5A129FA8" w:rsidR="00804FC8" w:rsidRPr="00804FC8" w:rsidRDefault="00077237" w:rsidP="00804FC8">
      <w:pPr>
        <w:spacing w:line="300" w:lineRule="atLeast"/>
        <w:jc w:val="both"/>
        <w:rPr>
          <w:lang w:val="en-AU"/>
        </w:rPr>
      </w:pPr>
      <w:r>
        <w:t xml:space="preserve">The basic methodology used for this work was the latest version of the UNEP Toolkit, which was published in </w:t>
      </w:r>
      <w:r w:rsidR="00A7324B">
        <w:t>February</w:t>
      </w:r>
      <w:r w:rsidR="009123F3">
        <w:t xml:space="preserve"> 2023</w:t>
      </w:r>
      <w:r>
        <w:t>.</w:t>
      </w:r>
      <w:r w:rsidR="00193252">
        <w:t xml:space="preserve"> </w:t>
      </w:r>
      <w:r w:rsidR="00804FC8" w:rsidRPr="00804FC8">
        <w:rPr>
          <w:lang w:val="en-AU"/>
        </w:rPr>
        <w:t xml:space="preserve">This </w:t>
      </w:r>
      <w:r w:rsidR="00804FC8">
        <w:rPr>
          <w:lang w:val="en-AU"/>
        </w:rPr>
        <w:t xml:space="preserve">methodology was applied </w:t>
      </w:r>
      <w:r w:rsidR="00804FC8" w:rsidRPr="00804FC8">
        <w:rPr>
          <w:lang w:val="en-AU"/>
        </w:rPr>
        <w:t>using the following general approach:</w:t>
      </w:r>
    </w:p>
    <w:p w14:paraId="1ACC2CB5" w14:textId="5DFC07F2" w:rsidR="00804FC8" w:rsidRPr="00804FC8" w:rsidRDefault="00E44C9D" w:rsidP="00804FC8">
      <w:pPr>
        <w:numPr>
          <w:ilvl w:val="0"/>
          <w:numId w:val="11"/>
        </w:numPr>
        <w:spacing w:line="300" w:lineRule="atLeast"/>
        <w:jc w:val="both"/>
        <w:rPr>
          <w:lang w:val="en-AU"/>
        </w:rPr>
      </w:pPr>
      <w:r w:rsidRPr="00804FC8">
        <w:rPr>
          <w:lang w:val="en-AU"/>
        </w:rPr>
        <w:t>Review</w:t>
      </w:r>
      <w:r>
        <w:rPr>
          <w:lang w:val="en-AU"/>
        </w:rPr>
        <w:t>s</w:t>
      </w:r>
      <w:r w:rsidRPr="00804FC8">
        <w:rPr>
          <w:lang w:val="en-AU"/>
        </w:rPr>
        <w:t xml:space="preserve"> </w:t>
      </w:r>
      <w:r w:rsidR="00804FC8" w:rsidRPr="00804FC8">
        <w:rPr>
          <w:lang w:val="en-AU"/>
        </w:rPr>
        <w:t xml:space="preserve">of the information given in the updated Toolkit for each source category, </w:t>
      </w:r>
      <w:r w:rsidR="00193252">
        <w:rPr>
          <w:lang w:val="en-AU"/>
        </w:rPr>
        <w:t xml:space="preserve">noting in particular any significant changes since the previous version, which was published in </w:t>
      </w:r>
      <w:r w:rsidR="009123F3">
        <w:rPr>
          <w:lang w:val="en-AU"/>
        </w:rPr>
        <w:t>December 2019</w:t>
      </w:r>
    </w:p>
    <w:p w14:paraId="25DBDE38" w14:textId="77777777" w:rsidR="00804FC8" w:rsidRPr="00804FC8" w:rsidRDefault="00E44C9D" w:rsidP="00804FC8">
      <w:pPr>
        <w:numPr>
          <w:ilvl w:val="0"/>
          <w:numId w:val="11"/>
        </w:numPr>
        <w:spacing w:line="300" w:lineRule="atLeast"/>
        <w:jc w:val="both"/>
        <w:rPr>
          <w:lang w:val="en-AU"/>
        </w:rPr>
      </w:pPr>
      <w:r w:rsidRPr="00804FC8">
        <w:rPr>
          <w:lang w:val="en-AU"/>
        </w:rPr>
        <w:t xml:space="preserve">Contacts </w:t>
      </w:r>
      <w:r w:rsidR="00804FC8" w:rsidRPr="00804FC8">
        <w:rPr>
          <w:lang w:val="en-AU"/>
        </w:rPr>
        <w:t>with government agencies, importers, manufacturers, industry associations, regional and local councils</w:t>
      </w:r>
      <w:r w:rsidR="00477C3B">
        <w:rPr>
          <w:lang w:val="en-AU"/>
        </w:rPr>
        <w:t>,</w:t>
      </w:r>
      <w:r w:rsidR="00804FC8" w:rsidRPr="00804FC8">
        <w:rPr>
          <w:lang w:val="en-AU"/>
        </w:rPr>
        <w:t xml:space="preserve"> as appropriate</w:t>
      </w:r>
      <w:r w:rsidR="00477C3B">
        <w:rPr>
          <w:lang w:val="en-AU"/>
        </w:rPr>
        <w:t>,</w:t>
      </w:r>
      <w:r w:rsidR="00804FC8" w:rsidRPr="00804FC8">
        <w:rPr>
          <w:lang w:val="en-AU"/>
        </w:rPr>
        <w:t xml:space="preserve"> to obtain up to date activity data and/or release </w:t>
      </w:r>
      <w:r>
        <w:rPr>
          <w:lang w:val="en-AU"/>
        </w:rPr>
        <w:t>information</w:t>
      </w:r>
      <w:r w:rsidR="00804FC8">
        <w:rPr>
          <w:lang w:val="en-AU"/>
        </w:rPr>
        <w:t>.</w:t>
      </w:r>
    </w:p>
    <w:p w14:paraId="7EE8C23D" w14:textId="16DE31C0" w:rsidR="00804FC8" w:rsidRPr="00804FC8" w:rsidRDefault="00E44C9D" w:rsidP="00804FC8">
      <w:pPr>
        <w:numPr>
          <w:ilvl w:val="0"/>
          <w:numId w:val="11"/>
        </w:numPr>
        <w:spacing w:line="300" w:lineRule="atLeast"/>
        <w:jc w:val="both"/>
        <w:rPr>
          <w:lang w:val="en-AU"/>
        </w:rPr>
      </w:pPr>
      <w:r w:rsidRPr="00804FC8">
        <w:rPr>
          <w:lang w:val="en-AU"/>
        </w:rPr>
        <w:t>Input</w:t>
      </w:r>
      <w:r w:rsidR="00804FC8" w:rsidRPr="00804FC8">
        <w:rPr>
          <w:lang w:val="en-AU"/>
        </w:rPr>
        <w:t>/output calculations using the Toolkit spreadsheet and drafting of the relevant subsec</w:t>
      </w:r>
      <w:r w:rsidR="00804FC8">
        <w:rPr>
          <w:lang w:val="en-AU"/>
        </w:rPr>
        <w:t>tions of the inventory report</w:t>
      </w:r>
      <w:r>
        <w:rPr>
          <w:lang w:val="en-AU"/>
        </w:rPr>
        <w:t>, including overall summary and analysis sections</w:t>
      </w:r>
      <w:r w:rsidR="00804FC8">
        <w:rPr>
          <w:lang w:val="en-AU"/>
        </w:rPr>
        <w:t>.</w:t>
      </w:r>
      <w:r w:rsidR="00A93797">
        <w:rPr>
          <w:lang w:val="en-AU"/>
        </w:rPr>
        <w:t xml:space="preserve"> Wherever possible local output factors have been determined</w:t>
      </w:r>
      <w:r w:rsidR="00737DF0">
        <w:rPr>
          <w:lang w:val="en-AU"/>
        </w:rPr>
        <w:t>,</w:t>
      </w:r>
      <w:r w:rsidR="00A93797">
        <w:rPr>
          <w:lang w:val="en-AU"/>
        </w:rPr>
        <w:t xml:space="preserve"> with use of Toolkit default factors </w:t>
      </w:r>
      <w:r w:rsidR="00737DF0">
        <w:rPr>
          <w:lang w:val="en-AU"/>
        </w:rPr>
        <w:t>reserved for situations where this was not feasible or practicable.</w:t>
      </w:r>
    </w:p>
    <w:p w14:paraId="42708B55" w14:textId="77777777" w:rsidR="005A7C86" w:rsidRPr="00F0772D" w:rsidRDefault="005A7C86" w:rsidP="00135B26">
      <w:pPr>
        <w:pStyle w:val="Heading2"/>
      </w:pPr>
      <w:bookmarkStart w:id="14" w:name="_Toc348266177"/>
      <w:bookmarkStart w:id="15" w:name="_Toc110355505"/>
      <w:r w:rsidRPr="00F0772D">
        <w:t>Re</w:t>
      </w:r>
      <w:r w:rsidR="000B300C" w:rsidRPr="00F0772D">
        <w:t xml:space="preserve">port </w:t>
      </w:r>
      <w:r w:rsidR="00A97D5C" w:rsidRPr="00F0772D">
        <w:t>layout and content</w:t>
      </w:r>
      <w:bookmarkEnd w:id="14"/>
      <w:bookmarkEnd w:id="15"/>
    </w:p>
    <w:p w14:paraId="729E0861" w14:textId="77777777" w:rsidR="00D800A7" w:rsidRDefault="00E44C9D" w:rsidP="003833D6">
      <w:pPr>
        <w:spacing w:line="300" w:lineRule="atLeast"/>
        <w:jc w:val="both"/>
        <w:rPr>
          <w:lang w:val="en-AU"/>
        </w:rPr>
      </w:pPr>
      <w:r>
        <w:t xml:space="preserve">Details of the UNEP Toolkit methodology and </w:t>
      </w:r>
      <w:r w:rsidR="000F11EC">
        <w:t>related</w:t>
      </w:r>
      <w:r>
        <w:t xml:space="preserve"> aspects are presented in section 2</w:t>
      </w:r>
      <w:r w:rsidR="00193252">
        <w:t xml:space="preserve"> of this report</w:t>
      </w:r>
      <w:r>
        <w:t xml:space="preserve">. This is followed by individual sections covering each of the 11 Toolkit source categories, a summary and </w:t>
      </w:r>
      <w:r w:rsidR="00B95933">
        <w:t xml:space="preserve">discussion </w:t>
      </w:r>
      <w:r>
        <w:t xml:space="preserve">section, and a </w:t>
      </w:r>
      <w:r w:rsidR="00804FC8" w:rsidRPr="00804FC8">
        <w:rPr>
          <w:lang w:val="en-AU"/>
        </w:rPr>
        <w:t xml:space="preserve">section containing </w:t>
      </w:r>
      <w:r w:rsidR="000F11EC">
        <w:rPr>
          <w:lang w:val="en-AU"/>
        </w:rPr>
        <w:t>relevant industry profiles.</w:t>
      </w:r>
    </w:p>
    <w:p w14:paraId="33B45C89" w14:textId="77777777" w:rsidR="002B5F06" w:rsidRPr="00A311F7" w:rsidRDefault="00696CB4" w:rsidP="00060565">
      <w:pPr>
        <w:pStyle w:val="Heading1"/>
      </w:pPr>
      <w:r>
        <w:rPr>
          <w:rFonts w:ascii="Verdana" w:hAnsi="Verdana"/>
        </w:rPr>
        <w:br w:type="page"/>
      </w:r>
      <w:bookmarkStart w:id="16" w:name="_Toc110355506"/>
      <w:r w:rsidR="00A97D5C" w:rsidRPr="00A311F7">
        <w:t xml:space="preserve">Inventory </w:t>
      </w:r>
      <w:r w:rsidR="00E713A0">
        <w:t>methodology</w:t>
      </w:r>
      <w:bookmarkEnd w:id="16"/>
    </w:p>
    <w:p w14:paraId="294ED1CE" w14:textId="77777777" w:rsidR="0010783B" w:rsidRPr="00055C2C" w:rsidRDefault="00E713A0" w:rsidP="00C13971">
      <w:pPr>
        <w:pStyle w:val="Heading2"/>
      </w:pPr>
      <w:bookmarkStart w:id="17" w:name="_Toc110355507"/>
      <w:r w:rsidRPr="00055C2C">
        <w:t>The UNEP Mercury Toolkit</w:t>
      </w:r>
      <w:bookmarkEnd w:id="17"/>
    </w:p>
    <w:p w14:paraId="47AD0CF5" w14:textId="2FF5EEBA" w:rsidR="001416E8" w:rsidRPr="00D91936" w:rsidRDefault="003950F2" w:rsidP="00D91936">
      <w:pPr>
        <w:spacing w:line="300" w:lineRule="atLeast"/>
        <w:jc w:val="both"/>
        <w:rPr>
          <w:szCs w:val="24"/>
        </w:rPr>
      </w:pPr>
      <w:r w:rsidRPr="00055C2C">
        <w:rPr>
          <w:szCs w:val="24"/>
        </w:rPr>
        <w:t>The UNEP Toolkit was first published a</w:t>
      </w:r>
      <w:r w:rsidR="00E73BC7" w:rsidRPr="00055C2C">
        <w:rPr>
          <w:szCs w:val="24"/>
        </w:rPr>
        <w:t>s</w:t>
      </w:r>
      <w:r w:rsidRPr="00055C2C">
        <w:rPr>
          <w:szCs w:val="24"/>
        </w:rPr>
        <w:t xml:space="preserve"> a pilot draft in November 2005, and this was the version used in the preparation of the 2008 Inventory Report. </w:t>
      </w:r>
      <w:r w:rsidR="00B42A55" w:rsidRPr="009D0D1B">
        <w:rPr>
          <w:szCs w:val="24"/>
        </w:rPr>
        <w:t>The most recent revisions of the Toolkit a</w:t>
      </w:r>
      <w:r w:rsidR="00055C2C">
        <w:rPr>
          <w:szCs w:val="24"/>
        </w:rPr>
        <w:t xml:space="preserve">vailable </w:t>
      </w:r>
      <w:r w:rsidR="00B42A55" w:rsidRPr="009D0D1B">
        <w:rPr>
          <w:szCs w:val="24"/>
        </w:rPr>
        <w:t xml:space="preserve">were used for the other inventories: 2012: version 1.2 </w:t>
      </w:r>
      <w:r w:rsidR="002E669D" w:rsidRPr="009D0D1B">
        <w:rPr>
          <w:szCs w:val="24"/>
        </w:rPr>
        <w:t>(UNEP, 2013), 2016: v</w:t>
      </w:r>
      <w:r w:rsidR="00B42A55" w:rsidRPr="009D0D1B">
        <w:rPr>
          <w:szCs w:val="24"/>
        </w:rPr>
        <w:t xml:space="preserve">ersion </w:t>
      </w:r>
      <w:r w:rsidR="002E669D" w:rsidRPr="009D0D1B">
        <w:rPr>
          <w:szCs w:val="24"/>
        </w:rPr>
        <w:t>1.</w:t>
      </w:r>
      <w:r w:rsidR="00B42A55" w:rsidRPr="009D0D1B">
        <w:rPr>
          <w:szCs w:val="24"/>
        </w:rPr>
        <w:t>4</w:t>
      </w:r>
      <w:r w:rsidR="002E669D" w:rsidRPr="009D0D1B">
        <w:rPr>
          <w:szCs w:val="24"/>
        </w:rPr>
        <w:t xml:space="preserve"> (UNEP, 2017</w:t>
      </w:r>
      <w:r w:rsidR="009E1089" w:rsidRPr="009D0D1B">
        <w:rPr>
          <w:szCs w:val="24"/>
        </w:rPr>
        <w:t>),</w:t>
      </w:r>
      <w:r w:rsidR="00B42A55" w:rsidRPr="009D0D1B">
        <w:rPr>
          <w:szCs w:val="24"/>
        </w:rPr>
        <w:t xml:space="preserve"> 2020: version 1.5 (UNEP,</w:t>
      </w:r>
      <w:r w:rsidR="00AC02A3">
        <w:rPr>
          <w:szCs w:val="24"/>
        </w:rPr>
        <w:t xml:space="preserve"> </w:t>
      </w:r>
      <w:r w:rsidR="00B42A55" w:rsidRPr="009D0D1B">
        <w:rPr>
          <w:szCs w:val="24"/>
        </w:rPr>
        <w:t xml:space="preserve">2019). </w:t>
      </w:r>
      <w:r w:rsidR="009422F6" w:rsidRPr="00055C2C">
        <w:rPr>
          <w:szCs w:val="24"/>
        </w:rPr>
        <w:t>T</w:t>
      </w:r>
      <w:r w:rsidR="00956DCF" w:rsidRPr="00055C2C">
        <w:rPr>
          <w:szCs w:val="24"/>
        </w:rPr>
        <w:t>he most recent version (v</w:t>
      </w:r>
      <w:r w:rsidR="00B42A55" w:rsidRPr="000B1B79">
        <w:rPr>
          <w:szCs w:val="24"/>
        </w:rPr>
        <w:t>ersion</w:t>
      </w:r>
      <w:r w:rsidR="00956DCF" w:rsidRPr="00055C2C">
        <w:rPr>
          <w:szCs w:val="24"/>
        </w:rPr>
        <w:t>1.</w:t>
      </w:r>
      <w:r w:rsidR="00BE7321">
        <w:rPr>
          <w:szCs w:val="24"/>
        </w:rPr>
        <w:t>7</w:t>
      </w:r>
      <w:r w:rsidR="00956DCF" w:rsidRPr="00055C2C">
        <w:rPr>
          <w:szCs w:val="24"/>
        </w:rPr>
        <w:t xml:space="preserve">) was published in </w:t>
      </w:r>
      <w:r w:rsidR="00BE7321">
        <w:rPr>
          <w:szCs w:val="24"/>
        </w:rPr>
        <w:t>February</w:t>
      </w:r>
      <w:r w:rsidR="00B42A55" w:rsidRPr="000B1B79">
        <w:rPr>
          <w:szCs w:val="24"/>
        </w:rPr>
        <w:t xml:space="preserve"> 2023</w:t>
      </w:r>
      <w:r w:rsidR="009422F6" w:rsidRPr="00055C2C">
        <w:rPr>
          <w:szCs w:val="24"/>
        </w:rPr>
        <w:t xml:space="preserve"> </w:t>
      </w:r>
      <w:r w:rsidR="002C7A52" w:rsidRPr="00055C2C">
        <w:rPr>
          <w:szCs w:val="24"/>
        </w:rPr>
        <w:t>(UNEP, 20</w:t>
      </w:r>
      <w:r w:rsidR="00B42A55" w:rsidRPr="000B1B79">
        <w:rPr>
          <w:szCs w:val="24"/>
        </w:rPr>
        <w:t>23</w:t>
      </w:r>
      <w:r w:rsidR="002C7A52" w:rsidRPr="00055C2C">
        <w:rPr>
          <w:szCs w:val="24"/>
        </w:rPr>
        <w:t>).</w:t>
      </w:r>
      <w:r w:rsidR="00956DCF" w:rsidRPr="00055C2C">
        <w:rPr>
          <w:szCs w:val="24"/>
        </w:rPr>
        <w:t xml:space="preserve"> </w:t>
      </w:r>
      <w:r w:rsidR="002C7A52" w:rsidRPr="00055C2C">
        <w:rPr>
          <w:szCs w:val="24"/>
        </w:rPr>
        <w:t>This version of the Toolkit was</w:t>
      </w:r>
      <w:r w:rsidR="00956DCF" w:rsidRPr="00055C2C">
        <w:rPr>
          <w:szCs w:val="24"/>
        </w:rPr>
        <w:t xml:space="preserve"> used for the current work</w:t>
      </w:r>
      <w:r w:rsidR="009422F6" w:rsidRPr="00055C2C">
        <w:rPr>
          <w:szCs w:val="24"/>
        </w:rPr>
        <w:t xml:space="preserve">. </w:t>
      </w:r>
      <w:r w:rsidR="00D91936">
        <w:rPr>
          <w:szCs w:val="24"/>
        </w:rPr>
        <w:t>Only one change</w:t>
      </w:r>
      <w:r w:rsidR="009422F6" w:rsidRPr="00055C2C">
        <w:rPr>
          <w:szCs w:val="24"/>
        </w:rPr>
        <w:t xml:space="preserve"> to input factors </w:t>
      </w:r>
      <w:r w:rsidR="00D91936">
        <w:rPr>
          <w:szCs w:val="24"/>
        </w:rPr>
        <w:t xml:space="preserve">was relevant for New Zealand. </w:t>
      </w:r>
      <w:r w:rsidR="001416E8" w:rsidRPr="006F1845">
        <w:t>The input factor for "Electrical switches and relays with mercury" was updated based on newer data from the EU. This will result in lower mercury input and output estimates for this sub-category.</w:t>
      </w:r>
    </w:p>
    <w:p w14:paraId="054B523D" w14:textId="77777777" w:rsidR="00E6084A" w:rsidRPr="009E1089" w:rsidRDefault="00E6084A" w:rsidP="00E6084A">
      <w:pPr>
        <w:spacing w:line="300" w:lineRule="atLeast"/>
        <w:jc w:val="both"/>
        <w:rPr>
          <w:szCs w:val="24"/>
        </w:rPr>
      </w:pPr>
      <w:r w:rsidRPr="009E1089">
        <w:rPr>
          <w:szCs w:val="24"/>
        </w:rPr>
        <w:t xml:space="preserve">The Toolkit is intended to provide a simple methodology and accompanying database to enable the assembly of consistent national and regional mercury inventories. It comprises a UNEP recommended procedure for the effective compilation of source and release inventories of mercury. Comparable sets of mercury source release data </w:t>
      </w:r>
      <w:r w:rsidR="00956DCF" w:rsidRPr="009E1089">
        <w:rPr>
          <w:szCs w:val="24"/>
        </w:rPr>
        <w:t>are intended to</w:t>
      </w:r>
      <w:r w:rsidR="00532FBA" w:rsidRPr="009E1089">
        <w:rPr>
          <w:szCs w:val="24"/>
        </w:rPr>
        <w:t xml:space="preserve"> </w:t>
      </w:r>
      <w:r w:rsidRPr="009E1089">
        <w:rPr>
          <w:szCs w:val="24"/>
        </w:rPr>
        <w:t xml:space="preserve">enhance international co-operation, discussion, goal definition and assistance. </w:t>
      </w:r>
    </w:p>
    <w:p w14:paraId="359EAB01" w14:textId="757D24E9" w:rsidR="00E6084A" w:rsidRPr="009E1089" w:rsidRDefault="00E6084A" w:rsidP="00E6084A">
      <w:pPr>
        <w:spacing w:line="300" w:lineRule="atLeast"/>
        <w:jc w:val="both"/>
        <w:rPr>
          <w:szCs w:val="24"/>
        </w:rPr>
      </w:pPr>
      <w:r w:rsidRPr="009E1089">
        <w:rPr>
          <w:szCs w:val="24"/>
        </w:rPr>
        <w:t xml:space="preserve">The Toolkit includes two levels for inventory assessment; an overview </w:t>
      </w:r>
      <w:r w:rsidR="00CA44FD" w:rsidRPr="009E1089">
        <w:rPr>
          <w:szCs w:val="24"/>
        </w:rPr>
        <w:t>(</w:t>
      </w:r>
      <w:r w:rsidRPr="009E1089">
        <w:rPr>
          <w:szCs w:val="24"/>
        </w:rPr>
        <w:t>Level 1</w:t>
      </w:r>
      <w:r w:rsidR="00CA44FD" w:rsidRPr="009E1089">
        <w:rPr>
          <w:szCs w:val="24"/>
        </w:rPr>
        <w:t>)</w:t>
      </w:r>
      <w:r w:rsidRPr="009E1089">
        <w:rPr>
          <w:szCs w:val="24"/>
        </w:rPr>
        <w:t xml:space="preserve"> and a detailed source by source assessment</w:t>
      </w:r>
      <w:r w:rsidR="00CA44FD" w:rsidRPr="009E1089">
        <w:rPr>
          <w:szCs w:val="24"/>
        </w:rPr>
        <w:t xml:space="preserve"> (</w:t>
      </w:r>
      <w:r w:rsidRPr="009E1089">
        <w:rPr>
          <w:szCs w:val="24"/>
        </w:rPr>
        <w:t>Level 2</w:t>
      </w:r>
      <w:r w:rsidR="00CA44FD" w:rsidRPr="009E1089">
        <w:rPr>
          <w:szCs w:val="24"/>
        </w:rPr>
        <w:t>)</w:t>
      </w:r>
      <w:r w:rsidRPr="009E1089">
        <w:rPr>
          <w:szCs w:val="24"/>
        </w:rPr>
        <w:t>. The Level 2 option is designed to be adaptable to differences between countries, but it must be stressed that it is still just a screening tool. It is designed to ensure the positive identification of the bulk of significant sources, rather than the unattainable goal of 100 per cent accuracy.</w:t>
      </w:r>
    </w:p>
    <w:p w14:paraId="23130BB9" w14:textId="5AF39806" w:rsidR="00E6084A" w:rsidRDefault="00566592" w:rsidP="00E6084A">
      <w:pPr>
        <w:spacing w:line="300" w:lineRule="atLeast"/>
        <w:jc w:val="both"/>
        <w:rPr>
          <w:szCs w:val="24"/>
        </w:rPr>
      </w:pPr>
      <w:r w:rsidRPr="009E1089">
        <w:rPr>
          <w:szCs w:val="24"/>
        </w:rPr>
        <w:t>Both t</w:t>
      </w:r>
      <w:r w:rsidR="00E6084A" w:rsidRPr="009E1089">
        <w:rPr>
          <w:szCs w:val="24"/>
        </w:rPr>
        <w:t xml:space="preserve">he </w:t>
      </w:r>
      <w:r w:rsidRPr="009E1089">
        <w:rPr>
          <w:szCs w:val="24"/>
        </w:rPr>
        <w:t xml:space="preserve">current inventory and </w:t>
      </w:r>
      <w:r w:rsidR="00E73BC7" w:rsidRPr="009E1089">
        <w:rPr>
          <w:szCs w:val="24"/>
        </w:rPr>
        <w:t>those previously prepared</w:t>
      </w:r>
      <w:r w:rsidRPr="009E1089">
        <w:rPr>
          <w:szCs w:val="24"/>
        </w:rPr>
        <w:t xml:space="preserve"> are based on the use of the </w:t>
      </w:r>
      <w:r w:rsidR="00E6084A" w:rsidRPr="009E1089">
        <w:rPr>
          <w:szCs w:val="24"/>
        </w:rPr>
        <w:t xml:space="preserve">Level 2 </w:t>
      </w:r>
      <w:r w:rsidRPr="009E1089">
        <w:rPr>
          <w:szCs w:val="24"/>
        </w:rPr>
        <w:t>option.</w:t>
      </w:r>
      <w:r w:rsidR="00E6084A" w:rsidRPr="009E1089">
        <w:rPr>
          <w:szCs w:val="24"/>
        </w:rPr>
        <w:t xml:space="preserve"> The Toolkit documentation is supported by an Excel spreadsheet, which has also been used for this assessment.</w:t>
      </w:r>
    </w:p>
    <w:p w14:paraId="2CB58130" w14:textId="77777777" w:rsidR="0082411F" w:rsidRPr="003833D6" w:rsidRDefault="007506CA" w:rsidP="00135B26">
      <w:pPr>
        <w:pStyle w:val="Heading2"/>
      </w:pPr>
      <w:bookmarkStart w:id="18" w:name="_Toc110355508"/>
      <w:r>
        <w:t>Toolkit m</w:t>
      </w:r>
      <w:r w:rsidR="00E713A0">
        <w:t>ethodology</w:t>
      </w:r>
      <w:bookmarkEnd w:id="18"/>
    </w:p>
    <w:p w14:paraId="4A29E521" w14:textId="77777777" w:rsidR="00E713A0" w:rsidRDefault="00452DB7" w:rsidP="003833D6">
      <w:pPr>
        <w:spacing w:line="300" w:lineRule="atLeast"/>
        <w:jc w:val="both"/>
        <w:rPr>
          <w:szCs w:val="24"/>
        </w:rPr>
      </w:pPr>
      <w:r>
        <w:rPr>
          <w:szCs w:val="24"/>
        </w:rPr>
        <w:t>The Toolkit considers potential mercury inputs and outputs for the following s</w:t>
      </w:r>
      <w:r w:rsidR="00E713A0">
        <w:rPr>
          <w:szCs w:val="24"/>
        </w:rPr>
        <w:t>ource categories</w:t>
      </w:r>
      <w:r w:rsidR="00A013B3">
        <w:rPr>
          <w:rStyle w:val="FootnoteReference"/>
          <w:szCs w:val="24"/>
        </w:rPr>
        <w:footnoteReference w:id="1"/>
      </w:r>
      <w:r w:rsidR="00532FBA">
        <w:rPr>
          <w:szCs w:val="24"/>
        </w:rPr>
        <w:t>:</w:t>
      </w:r>
    </w:p>
    <w:p w14:paraId="444802E6" w14:textId="77777777" w:rsidR="00A013B3" w:rsidRPr="00A013B3" w:rsidRDefault="00A013B3" w:rsidP="00A013B3">
      <w:pPr>
        <w:numPr>
          <w:ilvl w:val="0"/>
          <w:numId w:val="12"/>
        </w:numPr>
        <w:spacing w:line="300" w:lineRule="atLeast"/>
        <w:jc w:val="both"/>
        <w:rPr>
          <w:szCs w:val="24"/>
        </w:rPr>
      </w:pPr>
      <w:r w:rsidRPr="00A013B3">
        <w:rPr>
          <w:szCs w:val="24"/>
        </w:rPr>
        <w:t xml:space="preserve">Extraction and use of fuels/energy sources </w:t>
      </w:r>
    </w:p>
    <w:p w14:paraId="19A3F837" w14:textId="77777777" w:rsidR="00A013B3" w:rsidRPr="00A013B3" w:rsidRDefault="00A013B3" w:rsidP="00A013B3">
      <w:pPr>
        <w:numPr>
          <w:ilvl w:val="0"/>
          <w:numId w:val="12"/>
        </w:numPr>
        <w:spacing w:line="300" w:lineRule="atLeast"/>
        <w:jc w:val="both"/>
        <w:rPr>
          <w:szCs w:val="24"/>
        </w:rPr>
      </w:pPr>
      <w:r w:rsidRPr="00A013B3">
        <w:rPr>
          <w:szCs w:val="24"/>
        </w:rPr>
        <w:t xml:space="preserve">Primary (virgin) metal production </w:t>
      </w:r>
    </w:p>
    <w:p w14:paraId="42761479" w14:textId="77777777" w:rsidR="00A013B3" w:rsidRPr="00A013B3" w:rsidRDefault="00A013B3" w:rsidP="00A013B3">
      <w:pPr>
        <w:numPr>
          <w:ilvl w:val="0"/>
          <w:numId w:val="12"/>
        </w:numPr>
        <w:spacing w:line="300" w:lineRule="atLeast"/>
        <w:jc w:val="both"/>
        <w:rPr>
          <w:szCs w:val="24"/>
        </w:rPr>
      </w:pPr>
      <w:r w:rsidRPr="00A013B3">
        <w:rPr>
          <w:szCs w:val="24"/>
        </w:rPr>
        <w:t>Production of other minerals and materials</w:t>
      </w:r>
      <w:r>
        <w:rPr>
          <w:szCs w:val="24"/>
        </w:rPr>
        <w:t xml:space="preserve"> </w:t>
      </w:r>
      <w:r w:rsidRPr="00A013B3">
        <w:rPr>
          <w:szCs w:val="24"/>
        </w:rPr>
        <w:t xml:space="preserve">with mercury impurities </w:t>
      </w:r>
    </w:p>
    <w:p w14:paraId="46FC2C2A" w14:textId="77777777" w:rsidR="00A013B3" w:rsidRPr="00A013B3" w:rsidRDefault="00A013B3" w:rsidP="00A013B3">
      <w:pPr>
        <w:numPr>
          <w:ilvl w:val="0"/>
          <w:numId w:val="12"/>
        </w:numPr>
        <w:spacing w:line="300" w:lineRule="atLeast"/>
        <w:jc w:val="both"/>
        <w:rPr>
          <w:szCs w:val="24"/>
        </w:rPr>
      </w:pPr>
      <w:r w:rsidRPr="00A013B3">
        <w:rPr>
          <w:szCs w:val="24"/>
        </w:rPr>
        <w:t>Intentional use of mercury in industrial</w:t>
      </w:r>
      <w:r>
        <w:rPr>
          <w:szCs w:val="24"/>
        </w:rPr>
        <w:t xml:space="preserve"> </w:t>
      </w:r>
      <w:r w:rsidRPr="00A013B3">
        <w:rPr>
          <w:szCs w:val="24"/>
        </w:rPr>
        <w:t xml:space="preserve">processes </w:t>
      </w:r>
    </w:p>
    <w:p w14:paraId="533728AA" w14:textId="77777777" w:rsidR="00A013B3" w:rsidRPr="00A013B3" w:rsidRDefault="00A013B3" w:rsidP="00A013B3">
      <w:pPr>
        <w:numPr>
          <w:ilvl w:val="0"/>
          <w:numId w:val="12"/>
        </w:numPr>
        <w:spacing w:line="300" w:lineRule="atLeast"/>
        <w:jc w:val="both"/>
        <w:rPr>
          <w:szCs w:val="24"/>
        </w:rPr>
      </w:pPr>
      <w:r w:rsidRPr="00A013B3">
        <w:rPr>
          <w:szCs w:val="24"/>
        </w:rPr>
        <w:t>Consumer products with intentional use of</w:t>
      </w:r>
      <w:r>
        <w:rPr>
          <w:szCs w:val="24"/>
        </w:rPr>
        <w:t xml:space="preserve"> </w:t>
      </w:r>
      <w:r w:rsidRPr="00A013B3">
        <w:rPr>
          <w:szCs w:val="24"/>
        </w:rPr>
        <w:t xml:space="preserve">mercury </w:t>
      </w:r>
    </w:p>
    <w:p w14:paraId="061FE0B2" w14:textId="77777777" w:rsidR="00A013B3" w:rsidRPr="00A013B3" w:rsidRDefault="00A013B3" w:rsidP="00A013B3">
      <w:pPr>
        <w:numPr>
          <w:ilvl w:val="0"/>
          <w:numId w:val="12"/>
        </w:numPr>
        <w:spacing w:line="300" w:lineRule="atLeast"/>
        <w:jc w:val="both"/>
        <w:rPr>
          <w:szCs w:val="24"/>
        </w:rPr>
      </w:pPr>
      <w:r w:rsidRPr="00A013B3">
        <w:rPr>
          <w:szCs w:val="24"/>
        </w:rPr>
        <w:t xml:space="preserve">Other intentional product/process uses </w:t>
      </w:r>
    </w:p>
    <w:p w14:paraId="0FFBC577" w14:textId="77777777" w:rsidR="00A013B3" w:rsidRPr="00A013B3" w:rsidRDefault="00A013B3" w:rsidP="00A013B3">
      <w:pPr>
        <w:numPr>
          <w:ilvl w:val="0"/>
          <w:numId w:val="12"/>
        </w:numPr>
        <w:spacing w:line="300" w:lineRule="atLeast"/>
        <w:jc w:val="both"/>
        <w:rPr>
          <w:szCs w:val="24"/>
        </w:rPr>
      </w:pPr>
      <w:r w:rsidRPr="00A013B3">
        <w:rPr>
          <w:szCs w:val="24"/>
        </w:rPr>
        <w:t>Production of recycled metals</w:t>
      </w:r>
      <w:r>
        <w:rPr>
          <w:szCs w:val="24"/>
        </w:rPr>
        <w:t xml:space="preserve"> (secondary</w:t>
      </w:r>
      <w:r w:rsidRPr="00A013B3">
        <w:rPr>
          <w:szCs w:val="24"/>
        </w:rPr>
        <w:t xml:space="preserve"> metal production) </w:t>
      </w:r>
    </w:p>
    <w:p w14:paraId="48D30D91" w14:textId="77777777" w:rsidR="00A013B3" w:rsidRPr="00A013B3" w:rsidRDefault="00A013B3" w:rsidP="00A013B3">
      <w:pPr>
        <w:numPr>
          <w:ilvl w:val="0"/>
          <w:numId w:val="12"/>
        </w:numPr>
        <w:spacing w:line="300" w:lineRule="atLeast"/>
        <w:jc w:val="both"/>
        <w:rPr>
          <w:szCs w:val="24"/>
        </w:rPr>
      </w:pPr>
      <w:r w:rsidRPr="00A013B3">
        <w:rPr>
          <w:szCs w:val="24"/>
        </w:rPr>
        <w:t xml:space="preserve">Waste incineration </w:t>
      </w:r>
    </w:p>
    <w:p w14:paraId="63BC5B60" w14:textId="77777777" w:rsidR="00A013B3" w:rsidRPr="00A013B3" w:rsidRDefault="00A013B3" w:rsidP="00A013B3">
      <w:pPr>
        <w:numPr>
          <w:ilvl w:val="0"/>
          <w:numId w:val="12"/>
        </w:numPr>
        <w:spacing w:line="300" w:lineRule="atLeast"/>
        <w:jc w:val="both"/>
        <w:rPr>
          <w:szCs w:val="24"/>
        </w:rPr>
      </w:pPr>
      <w:r w:rsidRPr="00A013B3">
        <w:rPr>
          <w:szCs w:val="24"/>
        </w:rPr>
        <w:t xml:space="preserve">Waste deposition/landfilling and wastewater treatment </w:t>
      </w:r>
    </w:p>
    <w:p w14:paraId="4C0A5AB3" w14:textId="77777777" w:rsidR="00A013B3" w:rsidRPr="00A013B3" w:rsidRDefault="00A013B3" w:rsidP="00A013B3">
      <w:pPr>
        <w:numPr>
          <w:ilvl w:val="0"/>
          <w:numId w:val="12"/>
        </w:numPr>
        <w:spacing w:line="300" w:lineRule="atLeast"/>
        <w:jc w:val="both"/>
        <w:rPr>
          <w:szCs w:val="24"/>
        </w:rPr>
      </w:pPr>
      <w:r w:rsidRPr="00A013B3">
        <w:rPr>
          <w:szCs w:val="24"/>
        </w:rPr>
        <w:t xml:space="preserve">Crematoria and cemeteries </w:t>
      </w:r>
    </w:p>
    <w:p w14:paraId="4446634A" w14:textId="769EAE98" w:rsidR="00D91936" w:rsidRDefault="00A013B3" w:rsidP="00A013B3">
      <w:pPr>
        <w:numPr>
          <w:ilvl w:val="0"/>
          <w:numId w:val="12"/>
        </w:numPr>
        <w:spacing w:line="300" w:lineRule="atLeast"/>
        <w:jc w:val="both"/>
        <w:rPr>
          <w:szCs w:val="24"/>
        </w:rPr>
      </w:pPr>
      <w:r w:rsidRPr="00A013B3">
        <w:rPr>
          <w:szCs w:val="24"/>
        </w:rPr>
        <w:t>Identification of potential hot-spots</w:t>
      </w:r>
    </w:p>
    <w:p w14:paraId="409D06B6" w14:textId="77777777" w:rsidR="00D91936" w:rsidRDefault="00D91936">
      <w:pPr>
        <w:spacing w:after="0"/>
        <w:rPr>
          <w:szCs w:val="24"/>
        </w:rPr>
      </w:pPr>
      <w:r>
        <w:rPr>
          <w:szCs w:val="24"/>
        </w:rPr>
        <w:br w:type="page"/>
      </w:r>
    </w:p>
    <w:p w14:paraId="6CFB56BA" w14:textId="77777777" w:rsidR="00A013B3" w:rsidRPr="00A013B3" w:rsidRDefault="009048D3" w:rsidP="003833D6">
      <w:pPr>
        <w:spacing w:line="300" w:lineRule="atLeast"/>
        <w:jc w:val="both"/>
        <w:rPr>
          <w:rFonts w:ascii="Arial" w:hAnsi="Arial" w:cs="Arial"/>
          <w:b/>
          <w:szCs w:val="24"/>
        </w:rPr>
      </w:pPr>
      <w:r w:rsidRPr="00A013B3">
        <w:rPr>
          <w:rFonts w:ascii="Arial" w:hAnsi="Arial" w:cs="Arial"/>
          <w:b/>
          <w:szCs w:val="24"/>
        </w:rPr>
        <w:t>Terminology</w:t>
      </w:r>
    </w:p>
    <w:p w14:paraId="013B01E7" w14:textId="77777777" w:rsidR="00FA6046" w:rsidRDefault="00695BF7" w:rsidP="003833D6">
      <w:pPr>
        <w:spacing w:line="300" w:lineRule="atLeast"/>
        <w:jc w:val="both"/>
        <w:rPr>
          <w:szCs w:val="24"/>
        </w:rPr>
      </w:pPr>
      <w:r>
        <w:rPr>
          <w:szCs w:val="24"/>
        </w:rPr>
        <w:t>The two key terms used in the Toolkit are inputs and outputs.</w:t>
      </w:r>
    </w:p>
    <w:p w14:paraId="4FC4B6C9" w14:textId="77777777" w:rsidR="00695BF7" w:rsidRDefault="00695BF7" w:rsidP="00695BF7">
      <w:pPr>
        <w:tabs>
          <w:tab w:val="left" w:pos="1701"/>
        </w:tabs>
        <w:spacing w:line="300" w:lineRule="atLeast"/>
        <w:ind w:left="720"/>
        <w:jc w:val="both"/>
        <w:rPr>
          <w:szCs w:val="24"/>
        </w:rPr>
      </w:pPr>
      <w:r w:rsidRPr="00695BF7">
        <w:rPr>
          <w:b/>
          <w:szCs w:val="24"/>
        </w:rPr>
        <w:t>Inputs</w:t>
      </w:r>
      <w:r>
        <w:rPr>
          <w:szCs w:val="24"/>
        </w:rPr>
        <w:t>:</w:t>
      </w:r>
      <w:r>
        <w:rPr>
          <w:szCs w:val="24"/>
        </w:rPr>
        <w:tab/>
        <w:t>refers to the quantities of mercury brought into, or mobilised, within the country.</w:t>
      </w:r>
    </w:p>
    <w:p w14:paraId="48A51BE1" w14:textId="77777777" w:rsidR="00695BF7" w:rsidRDefault="00695BF7" w:rsidP="00695BF7">
      <w:pPr>
        <w:tabs>
          <w:tab w:val="left" w:pos="1701"/>
        </w:tabs>
        <w:spacing w:line="300" w:lineRule="atLeast"/>
        <w:ind w:left="1701" w:hanging="981"/>
        <w:jc w:val="both"/>
        <w:rPr>
          <w:szCs w:val="24"/>
        </w:rPr>
      </w:pPr>
      <w:r w:rsidRPr="00695BF7">
        <w:rPr>
          <w:b/>
          <w:szCs w:val="24"/>
        </w:rPr>
        <w:t>Outputs</w:t>
      </w:r>
      <w:r w:rsidR="00532FBA">
        <w:rPr>
          <w:b/>
          <w:szCs w:val="24"/>
        </w:rPr>
        <w:t>:</w:t>
      </w:r>
      <w:r>
        <w:rPr>
          <w:szCs w:val="24"/>
        </w:rPr>
        <w:tab/>
        <w:t>refers to the quantities of mercury released into different environmental compartments of air, water, land, and releases in wastes or in products.</w:t>
      </w:r>
      <w:r w:rsidR="000B51C9">
        <w:rPr>
          <w:szCs w:val="24"/>
        </w:rPr>
        <w:t xml:space="preserve"> </w:t>
      </w:r>
    </w:p>
    <w:p w14:paraId="012B6A66" w14:textId="77777777" w:rsidR="00694457" w:rsidRDefault="00694457" w:rsidP="00694457">
      <w:pPr>
        <w:tabs>
          <w:tab w:val="left" w:pos="1701"/>
        </w:tabs>
        <w:spacing w:line="300" w:lineRule="atLeast"/>
        <w:jc w:val="both"/>
        <w:rPr>
          <w:szCs w:val="24"/>
        </w:rPr>
      </w:pPr>
      <w:r>
        <w:rPr>
          <w:szCs w:val="24"/>
        </w:rPr>
        <w:t xml:space="preserve">There is potential for confusion round the use of </w:t>
      </w:r>
      <w:r w:rsidR="00A76581">
        <w:rPr>
          <w:szCs w:val="24"/>
        </w:rPr>
        <w:t xml:space="preserve">some of </w:t>
      </w:r>
      <w:r>
        <w:rPr>
          <w:szCs w:val="24"/>
        </w:rPr>
        <w:t>the output terms, and especially the differen</w:t>
      </w:r>
      <w:r w:rsidR="00A76581">
        <w:rPr>
          <w:szCs w:val="24"/>
        </w:rPr>
        <w:t>ce</w:t>
      </w:r>
      <w:r w:rsidR="00190856">
        <w:rPr>
          <w:szCs w:val="24"/>
        </w:rPr>
        <w:t>s</w:t>
      </w:r>
      <w:r>
        <w:rPr>
          <w:szCs w:val="24"/>
        </w:rPr>
        <w:t xml:space="preserve"> between discharge</w:t>
      </w:r>
      <w:r w:rsidR="00190856">
        <w:rPr>
          <w:szCs w:val="24"/>
        </w:rPr>
        <w:t>s</w:t>
      </w:r>
      <w:r>
        <w:rPr>
          <w:szCs w:val="24"/>
        </w:rPr>
        <w:t xml:space="preserve"> to land</w:t>
      </w:r>
      <w:r w:rsidR="00190856">
        <w:rPr>
          <w:szCs w:val="24"/>
        </w:rPr>
        <w:t>, materials</w:t>
      </w:r>
      <w:r>
        <w:rPr>
          <w:szCs w:val="24"/>
        </w:rPr>
        <w:t xml:space="preserve"> </w:t>
      </w:r>
      <w:r w:rsidR="00190856">
        <w:rPr>
          <w:szCs w:val="24"/>
        </w:rPr>
        <w:t xml:space="preserve">disposed to land as </w:t>
      </w:r>
      <w:r>
        <w:rPr>
          <w:szCs w:val="24"/>
        </w:rPr>
        <w:t>waste</w:t>
      </w:r>
      <w:r w:rsidR="00190856">
        <w:rPr>
          <w:szCs w:val="24"/>
        </w:rPr>
        <w:t>s</w:t>
      </w:r>
      <w:r w:rsidR="00A76581">
        <w:rPr>
          <w:szCs w:val="24"/>
        </w:rPr>
        <w:t>; and wastes that are recycled or reused</w:t>
      </w:r>
      <w:r>
        <w:rPr>
          <w:szCs w:val="24"/>
        </w:rPr>
        <w:t xml:space="preserve">. </w:t>
      </w:r>
      <w:r w:rsidR="00A76581">
        <w:rPr>
          <w:szCs w:val="24"/>
        </w:rPr>
        <w:t>T</w:t>
      </w:r>
      <w:r>
        <w:rPr>
          <w:szCs w:val="24"/>
        </w:rPr>
        <w:t xml:space="preserve">he following approach has been adopted for </w:t>
      </w:r>
      <w:r w:rsidR="00A76581">
        <w:rPr>
          <w:szCs w:val="24"/>
        </w:rPr>
        <w:t xml:space="preserve">differentiating between </w:t>
      </w:r>
      <w:r>
        <w:rPr>
          <w:szCs w:val="24"/>
        </w:rPr>
        <w:t>these terms:</w:t>
      </w:r>
    </w:p>
    <w:p w14:paraId="799D6E7E" w14:textId="77C7C73B" w:rsidR="00A76581" w:rsidRDefault="00A76581" w:rsidP="00190856">
      <w:pPr>
        <w:tabs>
          <w:tab w:val="left" w:pos="1701"/>
        </w:tabs>
        <w:spacing w:line="300" w:lineRule="atLeast"/>
        <w:ind w:left="720"/>
        <w:jc w:val="both"/>
        <w:rPr>
          <w:szCs w:val="24"/>
        </w:rPr>
      </w:pPr>
      <w:r>
        <w:rPr>
          <w:szCs w:val="24"/>
        </w:rPr>
        <w:t xml:space="preserve">The </w:t>
      </w:r>
      <w:r w:rsidRPr="0094046F">
        <w:rPr>
          <w:b/>
          <w:szCs w:val="24"/>
        </w:rPr>
        <w:t>land</w:t>
      </w:r>
      <w:r>
        <w:rPr>
          <w:szCs w:val="24"/>
        </w:rPr>
        <w:t xml:space="preserve"> output category </w:t>
      </w:r>
      <w:r w:rsidR="00DF3C50">
        <w:rPr>
          <w:szCs w:val="24"/>
        </w:rPr>
        <w:t>has only</w:t>
      </w:r>
      <w:r>
        <w:rPr>
          <w:szCs w:val="24"/>
        </w:rPr>
        <w:t xml:space="preserve"> be</w:t>
      </w:r>
      <w:r w:rsidR="00DF3C50">
        <w:rPr>
          <w:szCs w:val="24"/>
        </w:rPr>
        <w:t>en</w:t>
      </w:r>
      <w:r>
        <w:rPr>
          <w:szCs w:val="24"/>
        </w:rPr>
        <w:t xml:space="preserve"> used for materials which are deposited directly </w:t>
      </w:r>
      <w:r w:rsidR="00DF3C50">
        <w:rPr>
          <w:szCs w:val="24"/>
        </w:rPr>
        <w:t xml:space="preserve">to land </w:t>
      </w:r>
      <w:r>
        <w:rPr>
          <w:szCs w:val="24"/>
        </w:rPr>
        <w:t>during processing (eg drilling muds from oil exploration and production)</w:t>
      </w:r>
      <w:r w:rsidR="00DF3C50">
        <w:rPr>
          <w:szCs w:val="24"/>
        </w:rPr>
        <w:t xml:space="preserve"> or which are disposed in a waste treatment facility directly associated with the processing operation (eg</w:t>
      </w:r>
      <w:r w:rsidR="00062A7E">
        <w:rPr>
          <w:szCs w:val="24"/>
        </w:rPr>
        <w:t>,</w:t>
      </w:r>
      <w:r w:rsidR="00DF3C50">
        <w:rPr>
          <w:szCs w:val="24"/>
        </w:rPr>
        <w:t xml:space="preserve"> a tailings dam for a mining operation, or an ash disposal facility for a large power plant).</w:t>
      </w:r>
    </w:p>
    <w:p w14:paraId="27A4D4C2" w14:textId="77777777" w:rsidR="00694457" w:rsidRDefault="00A76581" w:rsidP="00190856">
      <w:pPr>
        <w:tabs>
          <w:tab w:val="left" w:pos="1701"/>
        </w:tabs>
        <w:spacing w:line="300" w:lineRule="atLeast"/>
        <w:ind w:left="720"/>
        <w:jc w:val="both"/>
        <w:rPr>
          <w:szCs w:val="24"/>
        </w:rPr>
      </w:pPr>
      <w:r>
        <w:rPr>
          <w:szCs w:val="24"/>
        </w:rPr>
        <w:t xml:space="preserve">Wastes that are </w:t>
      </w:r>
      <w:r w:rsidR="00DF3C50">
        <w:rPr>
          <w:szCs w:val="24"/>
        </w:rPr>
        <w:t xml:space="preserve">sent directly to a municipal landfill and those taken away by a waste contractor for treatment and disposal (which may include </w:t>
      </w:r>
      <w:r w:rsidR="00190856">
        <w:rPr>
          <w:szCs w:val="24"/>
        </w:rPr>
        <w:t xml:space="preserve">disposal </w:t>
      </w:r>
      <w:r w:rsidR="00DF3C50">
        <w:rPr>
          <w:szCs w:val="24"/>
        </w:rPr>
        <w:t xml:space="preserve">to landfill) have all been classified as </w:t>
      </w:r>
      <w:r w:rsidR="00DF3C50" w:rsidRPr="0094046F">
        <w:rPr>
          <w:b/>
          <w:szCs w:val="24"/>
        </w:rPr>
        <w:t>wastes</w:t>
      </w:r>
      <w:r w:rsidR="00DF3C50">
        <w:rPr>
          <w:szCs w:val="24"/>
        </w:rPr>
        <w:t>.</w:t>
      </w:r>
    </w:p>
    <w:p w14:paraId="7982D497" w14:textId="77777777" w:rsidR="00DF3C50" w:rsidRDefault="00190856" w:rsidP="00190856">
      <w:pPr>
        <w:tabs>
          <w:tab w:val="left" w:pos="1701"/>
        </w:tabs>
        <w:spacing w:line="300" w:lineRule="atLeast"/>
        <w:ind w:left="720"/>
        <w:jc w:val="both"/>
        <w:rPr>
          <w:szCs w:val="24"/>
        </w:rPr>
      </w:pPr>
      <w:r>
        <w:rPr>
          <w:szCs w:val="24"/>
        </w:rPr>
        <w:t xml:space="preserve">Wastes that are sold, or taken away by a contractor, for recycling and reuse have been classified as </w:t>
      </w:r>
      <w:r w:rsidRPr="0094046F">
        <w:rPr>
          <w:b/>
          <w:szCs w:val="24"/>
        </w:rPr>
        <w:t>products</w:t>
      </w:r>
      <w:r>
        <w:rPr>
          <w:szCs w:val="24"/>
        </w:rPr>
        <w:t>.</w:t>
      </w:r>
    </w:p>
    <w:p w14:paraId="2B2294F3" w14:textId="77777777" w:rsidR="00A013B3" w:rsidRPr="00A013B3" w:rsidRDefault="00A013B3" w:rsidP="003833D6">
      <w:pPr>
        <w:spacing w:line="300" w:lineRule="atLeast"/>
        <w:jc w:val="both"/>
        <w:rPr>
          <w:rFonts w:ascii="Arial" w:hAnsi="Arial" w:cs="Arial"/>
          <w:b/>
          <w:szCs w:val="24"/>
        </w:rPr>
      </w:pPr>
      <w:r w:rsidRPr="00A013B3">
        <w:rPr>
          <w:rFonts w:ascii="Arial" w:hAnsi="Arial" w:cs="Arial"/>
          <w:b/>
          <w:szCs w:val="24"/>
        </w:rPr>
        <w:t>Methodology for estimating inputs and outputs</w:t>
      </w:r>
    </w:p>
    <w:p w14:paraId="68B8FDED" w14:textId="77777777" w:rsidR="00A013B3" w:rsidRDefault="00695BF7" w:rsidP="003833D6">
      <w:pPr>
        <w:spacing w:line="300" w:lineRule="atLeast"/>
        <w:jc w:val="both"/>
        <w:rPr>
          <w:szCs w:val="24"/>
        </w:rPr>
      </w:pPr>
      <w:r>
        <w:rPr>
          <w:szCs w:val="24"/>
        </w:rPr>
        <w:t>The basic methodology for estimating inputs and outputs starts with the annual activity rate for a source, which is multiplied by the mercury content of the input material. The activity data may be based on the numbers of individual items imported, the quantities of raw materials or fuels used, or the annual production rate.</w:t>
      </w:r>
    </w:p>
    <w:p w14:paraId="1BF24A29" w14:textId="77777777" w:rsidR="00695BF7" w:rsidRDefault="00695BF7" w:rsidP="003833D6">
      <w:pPr>
        <w:spacing w:line="300" w:lineRule="atLeast"/>
        <w:jc w:val="both"/>
        <w:rPr>
          <w:szCs w:val="24"/>
        </w:rPr>
      </w:pPr>
      <w:r>
        <w:rPr>
          <w:szCs w:val="24"/>
        </w:rPr>
        <w:t xml:space="preserve">The outputs are estimated from the information </w:t>
      </w:r>
      <w:r w:rsidR="00532FBA">
        <w:rPr>
          <w:szCs w:val="24"/>
        </w:rPr>
        <w:t xml:space="preserve">available </w:t>
      </w:r>
      <w:r>
        <w:rPr>
          <w:szCs w:val="24"/>
        </w:rPr>
        <w:t>for each source on the rates of release to the different environmental compartments. Generally this information takes the form of individual factors showing the proportion of inputs distributed to each compartment.</w:t>
      </w:r>
    </w:p>
    <w:p w14:paraId="3913D14D" w14:textId="77777777" w:rsidR="00695BF7" w:rsidRDefault="00695BF7" w:rsidP="003833D6">
      <w:pPr>
        <w:spacing w:line="300" w:lineRule="atLeast"/>
        <w:jc w:val="both"/>
        <w:rPr>
          <w:szCs w:val="24"/>
        </w:rPr>
      </w:pPr>
      <w:r>
        <w:rPr>
          <w:szCs w:val="24"/>
        </w:rPr>
        <w:t>The overall methodology is summarised in the Toolkit as follows:</w:t>
      </w:r>
    </w:p>
    <w:p w14:paraId="4851389C" w14:textId="77777777" w:rsidR="00695BF7" w:rsidRPr="00F44938" w:rsidRDefault="00695BF7" w:rsidP="00F44938">
      <w:pPr>
        <w:spacing w:line="300" w:lineRule="atLeast"/>
        <w:ind w:left="5760" w:hanging="5040"/>
        <w:jc w:val="both"/>
        <w:rPr>
          <w:i/>
          <w:szCs w:val="24"/>
        </w:rPr>
      </w:pPr>
      <w:r w:rsidRPr="00F44938">
        <w:rPr>
          <w:i/>
          <w:szCs w:val="24"/>
        </w:rPr>
        <w:t xml:space="preserve">Estimated mercury release to </w:t>
      </w:r>
      <w:r w:rsidR="00F44938" w:rsidRPr="00F44938">
        <w:rPr>
          <w:i/>
          <w:szCs w:val="24"/>
        </w:rPr>
        <w:t xml:space="preserve">each </w:t>
      </w:r>
      <w:r w:rsidRPr="00F44938">
        <w:rPr>
          <w:i/>
          <w:szCs w:val="24"/>
        </w:rPr>
        <w:t xml:space="preserve">pathway = activity rate * input factor * output distribution factor for </w:t>
      </w:r>
      <w:r w:rsidR="00F44938" w:rsidRPr="00F44938">
        <w:rPr>
          <w:i/>
          <w:szCs w:val="24"/>
        </w:rPr>
        <w:t>that pathway</w:t>
      </w:r>
    </w:p>
    <w:p w14:paraId="6EF59701" w14:textId="77777777" w:rsidR="00695BF7" w:rsidRPr="00695BF7" w:rsidRDefault="00F44938" w:rsidP="003833D6">
      <w:pPr>
        <w:spacing w:line="300" w:lineRule="atLeast"/>
        <w:jc w:val="both"/>
        <w:rPr>
          <w:rFonts w:ascii="Arial" w:hAnsi="Arial" w:cs="Arial"/>
          <w:b/>
          <w:szCs w:val="24"/>
        </w:rPr>
      </w:pPr>
      <w:r>
        <w:rPr>
          <w:rFonts w:ascii="Arial" w:hAnsi="Arial" w:cs="Arial"/>
          <w:b/>
          <w:szCs w:val="24"/>
        </w:rPr>
        <w:t xml:space="preserve">Toolkit </w:t>
      </w:r>
      <w:r w:rsidR="00695BF7" w:rsidRPr="00695BF7">
        <w:rPr>
          <w:rFonts w:ascii="Arial" w:hAnsi="Arial" w:cs="Arial"/>
          <w:b/>
          <w:szCs w:val="24"/>
        </w:rPr>
        <w:t>default factors</w:t>
      </w:r>
    </w:p>
    <w:p w14:paraId="5EAEF580" w14:textId="77777777" w:rsidR="00695BF7" w:rsidRDefault="00F44938" w:rsidP="003833D6">
      <w:pPr>
        <w:spacing w:line="300" w:lineRule="atLeast"/>
        <w:jc w:val="both"/>
        <w:rPr>
          <w:szCs w:val="24"/>
        </w:rPr>
      </w:pPr>
      <w:r>
        <w:rPr>
          <w:szCs w:val="24"/>
        </w:rPr>
        <w:t>The Toolkit provides default input and output factors for some, but not all, of the mercury sources. These are based on reviews of published information, and are intended for use when national factors are not available. Each of the default factors is usually expressed as a range of possible values, along with a recommended ‘intermediate’ value. The Toolkit default factors have been used for many of the current estimates.</w:t>
      </w:r>
    </w:p>
    <w:p w14:paraId="790D1E51" w14:textId="77777777" w:rsidR="00E713A0" w:rsidRDefault="00E713A0" w:rsidP="00E713A0">
      <w:pPr>
        <w:pStyle w:val="Heading2"/>
      </w:pPr>
      <w:bookmarkStart w:id="19" w:name="_Toc110355509"/>
      <w:r>
        <w:t>Reference year</w:t>
      </w:r>
      <w:bookmarkEnd w:id="19"/>
    </w:p>
    <w:p w14:paraId="3A443F3F" w14:textId="7D200539" w:rsidR="0059685F" w:rsidRPr="009001F9" w:rsidRDefault="00F44938" w:rsidP="009001F9">
      <w:pPr>
        <w:spacing w:line="300" w:lineRule="atLeast"/>
        <w:jc w:val="both"/>
        <w:rPr>
          <w:szCs w:val="24"/>
        </w:rPr>
      </w:pPr>
      <w:r>
        <w:rPr>
          <w:szCs w:val="24"/>
        </w:rPr>
        <w:t>The reference yea</w:t>
      </w:r>
      <w:r w:rsidR="00566592">
        <w:rPr>
          <w:szCs w:val="24"/>
        </w:rPr>
        <w:t xml:space="preserve">r for this inventory is the </w:t>
      </w:r>
      <w:r w:rsidR="00E73BC7">
        <w:rPr>
          <w:szCs w:val="24"/>
        </w:rPr>
        <w:t>202</w:t>
      </w:r>
      <w:r w:rsidR="002B2C6F">
        <w:rPr>
          <w:szCs w:val="24"/>
        </w:rPr>
        <w:t>4</w:t>
      </w:r>
      <w:r w:rsidR="00D20BA6">
        <w:rPr>
          <w:szCs w:val="24"/>
        </w:rPr>
        <w:t xml:space="preserve"> </w:t>
      </w:r>
      <w:r>
        <w:rPr>
          <w:szCs w:val="24"/>
        </w:rPr>
        <w:t xml:space="preserve">calendar year, and </w:t>
      </w:r>
      <w:r w:rsidR="00722BBC">
        <w:rPr>
          <w:szCs w:val="24"/>
        </w:rPr>
        <w:t xml:space="preserve">the </w:t>
      </w:r>
      <w:r>
        <w:rPr>
          <w:szCs w:val="24"/>
        </w:rPr>
        <w:t xml:space="preserve">activity data </w:t>
      </w:r>
      <w:r w:rsidR="00722BBC">
        <w:rPr>
          <w:szCs w:val="24"/>
        </w:rPr>
        <w:t>for th</w:t>
      </w:r>
      <w:r w:rsidR="00532FBA">
        <w:rPr>
          <w:szCs w:val="24"/>
        </w:rPr>
        <w:t>at</w:t>
      </w:r>
      <w:r w:rsidR="00722BBC">
        <w:rPr>
          <w:szCs w:val="24"/>
        </w:rPr>
        <w:t xml:space="preserve"> year </w:t>
      </w:r>
      <w:r>
        <w:rPr>
          <w:szCs w:val="24"/>
        </w:rPr>
        <w:t xml:space="preserve">has been used wherever possible. However, the use of data from earlier years has been noted where relevant. </w:t>
      </w:r>
      <w:bookmarkStart w:id="20" w:name="_Toc313528457"/>
    </w:p>
    <w:p w14:paraId="44ECDAD1" w14:textId="6A9A3DDD" w:rsidR="003053AF" w:rsidRPr="003833D6" w:rsidRDefault="00E713A0" w:rsidP="00135B26">
      <w:pPr>
        <w:pStyle w:val="Heading2"/>
      </w:pPr>
      <w:bookmarkStart w:id="21" w:name="_Toc110355510"/>
      <w:r>
        <w:t>R</w:t>
      </w:r>
      <w:r w:rsidR="00F44938">
        <w:t>eporting</w:t>
      </w:r>
      <w:bookmarkEnd w:id="21"/>
    </w:p>
    <w:p w14:paraId="4D9352D3" w14:textId="77777777" w:rsidR="008E3038" w:rsidRDefault="00C440E0" w:rsidP="003833D6">
      <w:pPr>
        <w:spacing w:line="300" w:lineRule="atLeast"/>
        <w:jc w:val="both"/>
        <w:rPr>
          <w:szCs w:val="24"/>
        </w:rPr>
      </w:pPr>
      <w:r>
        <w:rPr>
          <w:szCs w:val="24"/>
        </w:rPr>
        <w:t>The estimated mercury inputs and outputs have been reported for each source in units of kilograms of mercury per year. In most cases, the results are reported as a range of values, to reflect the uncertainties in the estimates. The results for each source are also given certainty estimates, in accordance with the following general approach:</w:t>
      </w:r>
    </w:p>
    <w:p w14:paraId="27DD4CC2" w14:textId="77777777" w:rsidR="00C440E0" w:rsidRPr="00C440E0" w:rsidRDefault="00C440E0" w:rsidP="00C440E0">
      <w:pPr>
        <w:spacing w:line="300" w:lineRule="atLeast"/>
        <w:ind w:left="720"/>
        <w:jc w:val="both"/>
        <w:rPr>
          <w:b/>
          <w:szCs w:val="24"/>
          <w:lang w:val="en-US"/>
        </w:rPr>
      </w:pPr>
      <w:bookmarkStart w:id="22" w:name="_Toc313528459"/>
      <w:bookmarkEnd w:id="20"/>
      <w:r w:rsidRPr="00C440E0">
        <w:rPr>
          <w:b/>
          <w:szCs w:val="24"/>
          <w:lang w:val="en-US"/>
        </w:rPr>
        <w:t>Activity data</w:t>
      </w:r>
    </w:p>
    <w:p w14:paraId="6FD67BBA" w14:textId="77777777" w:rsidR="00C440E0" w:rsidRPr="00C440E0" w:rsidRDefault="00C440E0" w:rsidP="00C440E0">
      <w:pPr>
        <w:numPr>
          <w:ilvl w:val="0"/>
          <w:numId w:val="13"/>
        </w:numPr>
        <w:spacing w:line="300" w:lineRule="atLeast"/>
        <w:jc w:val="both"/>
        <w:rPr>
          <w:szCs w:val="24"/>
          <w:lang w:val="en-US"/>
        </w:rPr>
      </w:pPr>
      <w:r w:rsidRPr="00C440E0">
        <w:rPr>
          <w:szCs w:val="24"/>
          <w:lang w:val="en-US"/>
        </w:rPr>
        <w:t xml:space="preserve">A high certainty ranking was assigned if the </w:t>
      </w:r>
      <w:r>
        <w:rPr>
          <w:szCs w:val="24"/>
          <w:lang w:val="en-US"/>
        </w:rPr>
        <w:t xml:space="preserve">assessment was </w:t>
      </w:r>
      <w:r w:rsidRPr="00C440E0">
        <w:rPr>
          <w:szCs w:val="24"/>
          <w:lang w:val="en-US"/>
        </w:rPr>
        <w:t xml:space="preserve">based on </w:t>
      </w:r>
      <w:r>
        <w:rPr>
          <w:szCs w:val="24"/>
          <w:lang w:val="en-US"/>
        </w:rPr>
        <w:t xml:space="preserve">national or </w:t>
      </w:r>
      <w:r w:rsidRPr="00C440E0">
        <w:rPr>
          <w:szCs w:val="24"/>
          <w:lang w:val="en-US"/>
        </w:rPr>
        <w:t xml:space="preserve">specific industry data, or </w:t>
      </w:r>
      <w:r>
        <w:rPr>
          <w:szCs w:val="24"/>
          <w:lang w:val="en-US"/>
        </w:rPr>
        <w:t>was</w:t>
      </w:r>
      <w:r w:rsidRPr="00C440E0">
        <w:rPr>
          <w:szCs w:val="24"/>
          <w:lang w:val="en-US"/>
        </w:rPr>
        <w:t xml:space="preserve"> derived from comprehensive survey data;</w:t>
      </w:r>
    </w:p>
    <w:p w14:paraId="125572D4" w14:textId="77777777" w:rsidR="00C440E0" w:rsidRPr="00C440E0" w:rsidRDefault="00C440E0" w:rsidP="00C440E0">
      <w:pPr>
        <w:numPr>
          <w:ilvl w:val="0"/>
          <w:numId w:val="13"/>
        </w:numPr>
        <w:spacing w:line="300" w:lineRule="atLeast"/>
        <w:jc w:val="both"/>
        <w:rPr>
          <w:szCs w:val="24"/>
          <w:lang w:val="en-US"/>
        </w:rPr>
      </w:pPr>
      <w:r w:rsidRPr="00C440E0">
        <w:rPr>
          <w:szCs w:val="24"/>
          <w:lang w:val="en-US"/>
        </w:rPr>
        <w:t>A medium certainty ranking was applied if limited data were available, or the data were modified to account for confounding factors;</w:t>
      </w:r>
    </w:p>
    <w:p w14:paraId="7322E3FD" w14:textId="77777777" w:rsidR="00C440E0" w:rsidRPr="00C440E0" w:rsidRDefault="00C440E0" w:rsidP="00C440E0">
      <w:pPr>
        <w:numPr>
          <w:ilvl w:val="0"/>
          <w:numId w:val="13"/>
        </w:numPr>
        <w:spacing w:line="300" w:lineRule="atLeast"/>
        <w:jc w:val="both"/>
        <w:rPr>
          <w:szCs w:val="24"/>
          <w:lang w:val="en-US"/>
        </w:rPr>
      </w:pPr>
      <w:r w:rsidRPr="00C440E0">
        <w:rPr>
          <w:szCs w:val="24"/>
          <w:lang w:val="en-US"/>
        </w:rPr>
        <w:t>A low certainty ranking was assigned if there was no data available, and the level of activity was based on subjective assessment.</w:t>
      </w:r>
    </w:p>
    <w:p w14:paraId="1C914ADC" w14:textId="77777777" w:rsidR="00C440E0" w:rsidRPr="00C440E0" w:rsidRDefault="00C440E0" w:rsidP="00C440E0">
      <w:pPr>
        <w:spacing w:line="300" w:lineRule="atLeast"/>
        <w:ind w:left="720"/>
        <w:jc w:val="both"/>
        <w:rPr>
          <w:b/>
          <w:szCs w:val="24"/>
          <w:lang w:val="en-US"/>
        </w:rPr>
      </w:pPr>
      <w:r w:rsidRPr="00C440E0">
        <w:rPr>
          <w:b/>
          <w:szCs w:val="24"/>
          <w:lang w:val="en-US"/>
        </w:rPr>
        <w:t>Input and output estimates</w:t>
      </w:r>
    </w:p>
    <w:p w14:paraId="0CF1ADC5" w14:textId="77777777" w:rsidR="00C440E0" w:rsidRPr="00C440E0" w:rsidRDefault="00C440E0" w:rsidP="00C440E0">
      <w:pPr>
        <w:numPr>
          <w:ilvl w:val="0"/>
          <w:numId w:val="14"/>
        </w:numPr>
        <w:spacing w:line="300" w:lineRule="atLeast"/>
        <w:jc w:val="both"/>
        <w:rPr>
          <w:szCs w:val="24"/>
          <w:lang w:val="en-US"/>
        </w:rPr>
      </w:pPr>
      <w:r w:rsidRPr="00C440E0">
        <w:rPr>
          <w:szCs w:val="24"/>
          <w:lang w:val="en-US"/>
        </w:rPr>
        <w:t xml:space="preserve">A high certainty ranking was assigned if a reasonable amount of </w:t>
      </w:r>
      <w:r>
        <w:rPr>
          <w:szCs w:val="24"/>
          <w:lang w:val="en-US"/>
        </w:rPr>
        <w:t xml:space="preserve">mercury content data and/or </w:t>
      </w:r>
      <w:r w:rsidRPr="00C440E0">
        <w:rPr>
          <w:szCs w:val="24"/>
          <w:lang w:val="en-US"/>
        </w:rPr>
        <w:t>emissions data were available for the specific sources;</w:t>
      </w:r>
    </w:p>
    <w:p w14:paraId="2EA41BDC" w14:textId="77777777" w:rsidR="00C440E0" w:rsidRPr="00C440E0" w:rsidRDefault="00C440E0" w:rsidP="00C440E0">
      <w:pPr>
        <w:numPr>
          <w:ilvl w:val="0"/>
          <w:numId w:val="14"/>
        </w:numPr>
        <w:spacing w:line="300" w:lineRule="atLeast"/>
        <w:jc w:val="both"/>
        <w:rPr>
          <w:szCs w:val="24"/>
          <w:lang w:val="en-US"/>
        </w:rPr>
      </w:pPr>
      <w:r w:rsidRPr="00C440E0">
        <w:rPr>
          <w:szCs w:val="24"/>
          <w:lang w:val="en-US"/>
        </w:rPr>
        <w:t>A medium certainty ranking was assigned if the mercury content data and/or emissions data was limited</w:t>
      </w:r>
      <w:r>
        <w:rPr>
          <w:szCs w:val="24"/>
          <w:lang w:val="en-US"/>
        </w:rPr>
        <w:t>;</w:t>
      </w:r>
    </w:p>
    <w:p w14:paraId="68CD90B9" w14:textId="77777777" w:rsidR="00C440E0" w:rsidRPr="00C440E0" w:rsidRDefault="00C440E0" w:rsidP="00C440E0">
      <w:pPr>
        <w:numPr>
          <w:ilvl w:val="0"/>
          <w:numId w:val="14"/>
        </w:numPr>
        <w:spacing w:line="300" w:lineRule="atLeast"/>
        <w:jc w:val="both"/>
        <w:rPr>
          <w:szCs w:val="24"/>
          <w:lang w:val="en-US"/>
        </w:rPr>
      </w:pPr>
      <w:r w:rsidRPr="00C440E0">
        <w:rPr>
          <w:szCs w:val="24"/>
          <w:lang w:val="en-US"/>
        </w:rPr>
        <w:t>A low certainty was assigned if there were no New Zealand data available, and the estimate</w:t>
      </w:r>
      <w:r>
        <w:rPr>
          <w:szCs w:val="24"/>
          <w:lang w:val="en-US"/>
        </w:rPr>
        <w:t>s</w:t>
      </w:r>
      <w:r w:rsidRPr="00C440E0">
        <w:rPr>
          <w:szCs w:val="24"/>
          <w:lang w:val="en-US"/>
        </w:rPr>
        <w:t xml:space="preserve"> </w:t>
      </w:r>
      <w:r>
        <w:rPr>
          <w:szCs w:val="24"/>
          <w:lang w:val="en-US"/>
        </w:rPr>
        <w:t>were</w:t>
      </w:r>
      <w:r w:rsidRPr="00C440E0">
        <w:rPr>
          <w:szCs w:val="24"/>
          <w:lang w:val="en-US"/>
        </w:rPr>
        <w:t xml:space="preserve"> based solely on </w:t>
      </w:r>
      <w:r>
        <w:rPr>
          <w:szCs w:val="24"/>
          <w:lang w:val="en-US"/>
        </w:rPr>
        <w:t>the</w:t>
      </w:r>
      <w:r w:rsidRPr="00C440E0">
        <w:rPr>
          <w:szCs w:val="24"/>
          <w:lang w:val="en-US"/>
        </w:rPr>
        <w:t xml:space="preserve"> Toolkit</w:t>
      </w:r>
      <w:r>
        <w:rPr>
          <w:szCs w:val="24"/>
          <w:lang w:val="en-US"/>
        </w:rPr>
        <w:t xml:space="preserve"> default</w:t>
      </w:r>
      <w:r w:rsidRPr="00C440E0">
        <w:rPr>
          <w:szCs w:val="24"/>
          <w:lang w:val="en-US"/>
        </w:rPr>
        <w:t xml:space="preserve"> factors.</w:t>
      </w:r>
    </w:p>
    <w:p w14:paraId="31360630" w14:textId="77777777" w:rsidR="00BD3343" w:rsidRDefault="00BD3343" w:rsidP="00F44938">
      <w:pPr>
        <w:spacing w:line="300" w:lineRule="atLeast"/>
        <w:jc w:val="both"/>
        <w:rPr>
          <w:rFonts w:ascii="Arial" w:hAnsi="Arial" w:cs="Arial"/>
          <w:b/>
          <w:szCs w:val="24"/>
        </w:rPr>
      </w:pPr>
      <w:r>
        <w:rPr>
          <w:rFonts w:ascii="Arial" w:hAnsi="Arial" w:cs="Arial"/>
          <w:b/>
          <w:szCs w:val="24"/>
        </w:rPr>
        <w:t>Precision</w:t>
      </w:r>
    </w:p>
    <w:p w14:paraId="00983862" w14:textId="77777777" w:rsidR="00BD3343" w:rsidRDefault="00BD3343" w:rsidP="00BD3343">
      <w:pPr>
        <w:spacing w:line="300" w:lineRule="atLeast"/>
        <w:jc w:val="both"/>
        <w:rPr>
          <w:szCs w:val="24"/>
        </w:rPr>
      </w:pPr>
      <w:r>
        <w:rPr>
          <w:szCs w:val="24"/>
        </w:rPr>
        <w:t>The input and output estimates have been calculated to a high level of precision – typically to 1 to 3 decimal places. However, the results have been rounded off when calculating group and overall totals, to better reflect the uncertainties in the estimates. As a result, the t</w:t>
      </w:r>
      <w:r w:rsidRPr="00BD3343">
        <w:rPr>
          <w:szCs w:val="24"/>
        </w:rPr>
        <w:t xml:space="preserve">otals </w:t>
      </w:r>
      <w:r>
        <w:rPr>
          <w:szCs w:val="24"/>
        </w:rPr>
        <w:t xml:space="preserve">shown in some tables </w:t>
      </w:r>
      <w:r w:rsidRPr="00BD3343">
        <w:rPr>
          <w:szCs w:val="24"/>
        </w:rPr>
        <w:t>may not exactly equal</w:t>
      </w:r>
      <w:r>
        <w:rPr>
          <w:szCs w:val="24"/>
        </w:rPr>
        <w:t xml:space="preserve"> </w:t>
      </w:r>
      <w:r w:rsidRPr="00BD3343">
        <w:rPr>
          <w:szCs w:val="24"/>
        </w:rPr>
        <w:t xml:space="preserve">the sum of </w:t>
      </w:r>
      <w:r>
        <w:rPr>
          <w:szCs w:val="24"/>
        </w:rPr>
        <w:t xml:space="preserve">the </w:t>
      </w:r>
      <w:r w:rsidRPr="00BD3343">
        <w:rPr>
          <w:szCs w:val="24"/>
        </w:rPr>
        <w:t>displayed</w:t>
      </w:r>
      <w:r>
        <w:rPr>
          <w:szCs w:val="24"/>
        </w:rPr>
        <w:t xml:space="preserve"> data.</w:t>
      </w:r>
    </w:p>
    <w:p w14:paraId="6AB7AC04" w14:textId="77777777" w:rsidR="00F44938" w:rsidRPr="00D21533" w:rsidRDefault="00F44938" w:rsidP="00F44938">
      <w:pPr>
        <w:spacing w:line="300" w:lineRule="atLeast"/>
        <w:jc w:val="both"/>
        <w:rPr>
          <w:rFonts w:ascii="Arial" w:hAnsi="Arial" w:cs="Arial"/>
          <w:b/>
          <w:szCs w:val="24"/>
        </w:rPr>
      </w:pPr>
      <w:r w:rsidRPr="00D21533">
        <w:rPr>
          <w:rFonts w:ascii="Arial" w:hAnsi="Arial" w:cs="Arial"/>
          <w:b/>
          <w:szCs w:val="24"/>
        </w:rPr>
        <w:t>Double accounting</w:t>
      </w:r>
    </w:p>
    <w:p w14:paraId="234EF9EF" w14:textId="388CB760" w:rsidR="00EB0022" w:rsidRDefault="00C440E0" w:rsidP="00F44938">
      <w:pPr>
        <w:spacing w:line="300" w:lineRule="atLeast"/>
        <w:jc w:val="both"/>
        <w:rPr>
          <w:szCs w:val="24"/>
        </w:rPr>
      </w:pPr>
      <w:r>
        <w:rPr>
          <w:szCs w:val="24"/>
        </w:rPr>
        <w:t xml:space="preserve">Wherever possible, double accounting has been avoided. For example the inputs and outputs from the coal used in steel manufacture </w:t>
      </w:r>
      <w:r w:rsidR="00D21533">
        <w:rPr>
          <w:szCs w:val="24"/>
        </w:rPr>
        <w:t>were</w:t>
      </w:r>
      <w:r>
        <w:rPr>
          <w:szCs w:val="24"/>
        </w:rPr>
        <w:t xml:space="preserve"> subtracted from the estimates for national coal usage. </w:t>
      </w:r>
      <w:r w:rsidR="00190856">
        <w:rPr>
          <w:szCs w:val="24"/>
        </w:rPr>
        <w:t>Another example of potential</w:t>
      </w:r>
      <w:r w:rsidR="00D21533">
        <w:rPr>
          <w:szCs w:val="24"/>
        </w:rPr>
        <w:t xml:space="preserve"> double accounting </w:t>
      </w:r>
      <w:r w:rsidR="0098345B">
        <w:rPr>
          <w:szCs w:val="24"/>
        </w:rPr>
        <w:t>relates to the differentiation noted previously for waste materials that are taken away for recycling and reuse</w:t>
      </w:r>
      <w:r w:rsidR="00D21533">
        <w:rPr>
          <w:szCs w:val="24"/>
        </w:rPr>
        <w:t xml:space="preserve">. </w:t>
      </w:r>
      <w:r w:rsidR="0098345B">
        <w:rPr>
          <w:szCs w:val="24"/>
        </w:rPr>
        <w:t>One</w:t>
      </w:r>
      <w:r w:rsidR="00D21533">
        <w:rPr>
          <w:szCs w:val="24"/>
        </w:rPr>
        <w:t xml:space="preserve"> example of this is liquid mercury</w:t>
      </w:r>
      <w:r w:rsidR="0098345B">
        <w:rPr>
          <w:szCs w:val="24"/>
        </w:rPr>
        <w:t>,</w:t>
      </w:r>
      <w:r w:rsidR="00532FBA">
        <w:rPr>
          <w:szCs w:val="24"/>
        </w:rPr>
        <w:t xml:space="preserve"> </w:t>
      </w:r>
      <w:r w:rsidR="0098345B">
        <w:rPr>
          <w:szCs w:val="24"/>
        </w:rPr>
        <w:t xml:space="preserve">which can be </w:t>
      </w:r>
      <w:r w:rsidR="00D21533">
        <w:rPr>
          <w:szCs w:val="24"/>
        </w:rPr>
        <w:t xml:space="preserve">collected </w:t>
      </w:r>
      <w:r w:rsidR="0098345B">
        <w:rPr>
          <w:szCs w:val="24"/>
        </w:rPr>
        <w:t>from a variety of sources</w:t>
      </w:r>
      <w:r w:rsidR="00D21533">
        <w:rPr>
          <w:szCs w:val="24"/>
        </w:rPr>
        <w:t>; but is then transferred to a mercury recycler; and is then sold to small-scale gold miners and ultimately becomes a discharge to air, water and land.</w:t>
      </w:r>
      <w:r w:rsidR="0098345B">
        <w:rPr>
          <w:szCs w:val="24"/>
        </w:rPr>
        <w:t xml:space="preserve"> The double accounting here has been avoided by classifying the initial waste as a product.</w:t>
      </w:r>
    </w:p>
    <w:p w14:paraId="27D71B05" w14:textId="77777777" w:rsidR="00F44938" w:rsidRPr="00D21533" w:rsidRDefault="00D21533" w:rsidP="00F44938">
      <w:pPr>
        <w:spacing w:line="300" w:lineRule="atLeast"/>
        <w:jc w:val="both"/>
        <w:rPr>
          <w:rFonts w:ascii="Arial" w:hAnsi="Arial" w:cs="Arial"/>
          <w:b/>
          <w:szCs w:val="24"/>
        </w:rPr>
      </w:pPr>
      <w:r w:rsidRPr="00D21533">
        <w:rPr>
          <w:rFonts w:ascii="Arial" w:hAnsi="Arial" w:cs="Arial"/>
          <w:b/>
          <w:szCs w:val="24"/>
        </w:rPr>
        <w:t>Reservoirs/stock</w:t>
      </w:r>
      <w:r w:rsidR="00351FE2">
        <w:rPr>
          <w:rFonts w:ascii="Arial" w:hAnsi="Arial" w:cs="Arial"/>
          <w:b/>
          <w:szCs w:val="24"/>
        </w:rPr>
        <w:t>s</w:t>
      </w:r>
      <w:r w:rsidRPr="00D21533">
        <w:rPr>
          <w:rFonts w:ascii="Arial" w:hAnsi="Arial" w:cs="Arial"/>
          <w:b/>
          <w:szCs w:val="24"/>
        </w:rPr>
        <w:t>/exports</w:t>
      </w:r>
    </w:p>
    <w:p w14:paraId="02345674" w14:textId="77777777" w:rsidR="00F42639" w:rsidRDefault="00D21533" w:rsidP="003833D6">
      <w:pPr>
        <w:spacing w:line="300" w:lineRule="atLeast"/>
        <w:jc w:val="both"/>
        <w:rPr>
          <w:szCs w:val="24"/>
        </w:rPr>
      </w:pPr>
      <w:r>
        <w:rPr>
          <w:szCs w:val="24"/>
        </w:rPr>
        <w:t>The focus of the inventory is on annual inputs and outputs for New Zealand. However, there are also some significant reservoirs</w:t>
      </w:r>
      <w:r w:rsidR="00351FE2">
        <w:rPr>
          <w:szCs w:val="24"/>
        </w:rPr>
        <w:t xml:space="preserve"> or stock holdings</w:t>
      </w:r>
      <w:r>
        <w:rPr>
          <w:szCs w:val="24"/>
        </w:rPr>
        <w:t xml:space="preserve">, which may not change very much from year to year. One example of this is the mercury in blood pressure devices </w:t>
      </w:r>
      <w:r w:rsidR="00202370">
        <w:rPr>
          <w:szCs w:val="24"/>
        </w:rPr>
        <w:t xml:space="preserve">(sphygmomanometers) </w:t>
      </w:r>
      <w:r>
        <w:rPr>
          <w:szCs w:val="24"/>
        </w:rPr>
        <w:t>that are still used by many medical professional</w:t>
      </w:r>
      <w:r w:rsidR="00C8044F">
        <w:rPr>
          <w:szCs w:val="24"/>
        </w:rPr>
        <w:t>s</w:t>
      </w:r>
      <w:r>
        <w:rPr>
          <w:szCs w:val="24"/>
        </w:rPr>
        <w:t xml:space="preserve">. </w:t>
      </w:r>
      <w:r w:rsidR="00202370">
        <w:rPr>
          <w:szCs w:val="24"/>
        </w:rPr>
        <w:t xml:space="preserve">These reservoirs or stocks have been noted at the relevant points in the main body of the report and </w:t>
      </w:r>
      <w:r w:rsidR="00C8044F">
        <w:rPr>
          <w:szCs w:val="24"/>
        </w:rPr>
        <w:t xml:space="preserve">have </w:t>
      </w:r>
      <w:r w:rsidR="00202370">
        <w:rPr>
          <w:szCs w:val="24"/>
        </w:rPr>
        <w:t>also be</w:t>
      </w:r>
      <w:r w:rsidR="00C8044F">
        <w:rPr>
          <w:szCs w:val="24"/>
        </w:rPr>
        <w:t>en</w:t>
      </w:r>
      <w:r w:rsidR="00202370">
        <w:rPr>
          <w:szCs w:val="24"/>
        </w:rPr>
        <w:t xml:space="preserve"> identified separately in the data summaries.</w:t>
      </w:r>
    </w:p>
    <w:p w14:paraId="2CE54621" w14:textId="1C5534F7" w:rsidR="00202370" w:rsidRPr="00C817BD" w:rsidRDefault="00202370" w:rsidP="003833D6">
      <w:pPr>
        <w:spacing w:line="300" w:lineRule="atLeast"/>
        <w:jc w:val="both"/>
        <w:rPr>
          <w:szCs w:val="24"/>
        </w:rPr>
      </w:pPr>
      <w:r>
        <w:rPr>
          <w:szCs w:val="24"/>
        </w:rPr>
        <w:t xml:space="preserve">Another matter that </w:t>
      </w:r>
      <w:r w:rsidR="00C8044F">
        <w:rPr>
          <w:szCs w:val="24"/>
        </w:rPr>
        <w:t xml:space="preserve">has </w:t>
      </w:r>
      <w:r>
        <w:rPr>
          <w:szCs w:val="24"/>
        </w:rPr>
        <w:t>also be</w:t>
      </w:r>
      <w:r w:rsidR="00C8044F">
        <w:rPr>
          <w:szCs w:val="24"/>
        </w:rPr>
        <w:t>en</w:t>
      </w:r>
      <w:r>
        <w:rPr>
          <w:szCs w:val="24"/>
        </w:rPr>
        <w:t xml:space="preserve"> noted is the export </w:t>
      </w:r>
      <w:r w:rsidR="00CE0DFE">
        <w:rPr>
          <w:szCs w:val="24"/>
        </w:rPr>
        <w:t>of mercury-containing products and materials</w:t>
      </w:r>
      <w:r>
        <w:rPr>
          <w:szCs w:val="24"/>
        </w:rPr>
        <w:t xml:space="preserve">. These </w:t>
      </w:r>
      <w:r w:rsidR="00CE0DFE">
        <w:rPr>
          <w:szCs w:val="24"/>
        </w:rPr>
        <w:t>are</w:t>
      </w:r>
      <w:r>
        <w:rPr>
          <w:szCs w:val="24"/>
        </w:rPr>
        <w:t xml:space="preserve"> identified in the overall national accounting, usually as a </w:t>
      </w:r>
      <w:r w:rsidR="00CE0DFE">
        <w:rPr>
          <w:szCs w:val="24"/>
        </w:rPr>
        <w:t xml:space="preserve">product </w:t>
      </w:r>
      <w:r>
        <w:rPr>
          <w:szCs w:val="24"/>
        </w:rPr>
        <w:t>or</w:t>
      </w:r>
      <w:r w:rsidR="00CE0DFE" w:rsidRPr="00CE0DFE">
        <w:rPr>
          <w:szCs w:val="24"/>
        </w:rPr>
        <w:t xml:space="preserve"> </w:t>
      </w:r>
      <w:r w:rsidR="00CE0DFE">
        <w:rPr>
          <w:szCs w:val="24"/>
        </w:rPr>
        <w:t>waste</w:t>
      </w:r>
      <w:r>
        <w:rPr>
          <w:szCs w:val="24"/>
        </w:rPr>
        <w:t xml:space="preserve">, but </w:t>
      </w:r>
      <w:r w:rsidR="00C8044F">
        <w:rPr>
          <w:szCs w:val="24"/>
        </w:rPr>
        <w:t xml:space="preserve">should </w:t>
      </w:r>
      <w:r>
        <w:rPr>
          <w:szCs w:val="24"/>
        </w:rPr>
        <w:t>also be flagged as eventually being removed from the national stocks.</w:t>
      </w:r>
    </w:p>
    <w:bookmarkEnd w:id="22"/>
    <w:p w14:paraId="53FE7C9C" w14:textId="1A5F73E6" w:rsidR="00AC7DC8" w:rsidRPr="00055C2C" w:rsidRDefault="00870D23" w:rsidP="009001F9">
      <w:pPr>
        <w:pStyle w:val="Heading1"/>
        <w:spacing w:line="260" w:lineRule="exact"/>
        <w:rPr>
          <w:rFonts w:cs="Arial"/>
          <w:b w:val="0"/>
          <w:bCs/>
        </w:rPr>
      </w:pPr>
      <w:r>
        <w:rPr>
          <w:rFonts w:ascii="Verdana" w:hAnsi="Verdana"/>
          <w:bCs/>
        </w:rPr>
        <w:br w:type="page"/>
      </w:r>
      <w:bookmarkStart w:id="23" w:name="_Toc110355511"/>
      <w:bookmarkStart w:id="24" w:name="_Toc313528461"/>
      <w:r w:rsidR="00B11F8B" w:rsidRPr="00055C2C">
        <w:rPr>
          <w:rFonts w:cs="Arial"/>
          <w:bCs/>
        </w:rPr>
        <w:t xml:space="preserve">Extraction and </w:t>
      </w:r>
      <w:r w:rsidR="00A97D5C" w:rsidRPr="00055C2C">
        <w:rPr>
          <w:rFonts w:cs="Arial"/>
          <w:bCs/>
        </w:rPr>
        <w:t>use of fuels/energy sources</w:t>
      </w:r>
      <w:bookmarkEnd w:id="23"/>
    </w:p>
    <w:p w14:paraId="64FF617C" w14:textId="5BDD30E2" w:rsidR="00A63D3B" w:rsidRPr="003833D6" w:rsidRDefault="000F06F4" w:rsidP="003833D6">
      <w:pPr>
        <w:spacing w:line="300" w:lineRule="atLeast"/>
        <w:jc w:val="both"/>
        <w:rPr>
          <w:szCs w:val="18"/>
        </w:rPr>
      </w:pPr>
      <w:r w:rsidRPr="003833D6">
        <w:rPr>
          <w:szCs w:val="18"/>
        </w:rPr>
        <w:t xml:space="preserve">This category </w:t>
      </w:r>
      <w:r w:rsidR="00BC73AD">
        <w:rPr>
          <w:szCs w:val="18"/>
        </w:rPr>
        <w:t>covers all forms of energy use including fossil fuels, biomass, biogas and geothermal energy</w:t>
      </w:r>
      <w:r w:rsidR="00C738EC">
        <w:rPr>
          <w:szCs w:val="18"/>
        </w:rPr>
        <w:t xml:space="preserve"> (UNEP, </w:t>
      </w:r>
      <w:r w:rsidR="00B51E8B">
        <w:rPr>
          <w:szCs w:val="18"/>
        </w:rPr>
        <w:t>2023</w:t>
      </w:r>
      <w:r w:rsidR="00C817BD">
        <w:rPr>
          <w:szCs w:val="18"/>
        </w:rPr>
        <w:t>)</w:t>
      </w:r>
      <w:r w:rsidR="00BC73AD">
        <w:rPr>
          <w:szCs w:val="18"/>
        </w:rPr>
        <w:t>. It includes the fuel and energy used for electricity generation and in cogeneration plants, direct fuel use in industrial facilities</w:t>
      </w:r>
      <w:r w:rsidR="00BC73AD">
        <w:rPr>
          <w:rStyle w:val="FootnoteReference"/>
          <w:szCs w:val="18"/>
        </w:rPr>
        <w:footnoteReference w:id="2"/>
      </w:r>
      <w:r w:rsidR="00BC73AD">
        <w:rPr>
          <w:szCs w:val="18"/>
        </w:rPr>
        <w:t xml:space="preserve">, and </w:t>
      </w:r>
      <w:r w:rsidR="00094C6A">
        <w:rPr>
          <w:szCs w:val="18"/>
        </w:rPr>
        <w:t xml:space="preserve">the </w:t>
      </w:r>
      <w:r w:rsidR="00BC73AD">
        <w:rPr>
          <w:szCs w:val="18"/>
        </w:rPr>
        <w:t xml:space="preserve">fuel used for commercial and residential cooking and heating. It also covers fuel used for transportation, and the energy used in the initial production (refining) of that fuel. </w:t>
      </w:r>
      <w:r w:rsidRPr="003833D6">
        <w:rPr>
          <w:szCs w:val="18"/>
        </w:rPr>
        <w:t xml:space="preserve">The seven sub-categories within this source </w:t>
      </w:r>
      <w:r w:rsidR="00E1319A">
        <w:rPr>
          <w:szCs w:val="18"/>
        </w:rPr>
        <w:t>group</w:t>
      </w:r>
      <w:r w:rsidRPr="003833D6">
        <w:rPr>
          <w:szCs w:val="18"/>
        </w:rPr>
        <w:t xml:space="preserve"> are shown</w:t>
      </w:r>
      <w:r w:rsidR="00BC73AD">
        <w:rPr>
          <w:szCs w:val="18"/>
        </w:rPr>
        <w:t xml:space="preserve"> in </w:t>
      </w:r>
      <w:r w:rsidR="00BC73AD" w:rsidRPr="00BC73AD">
        <w:rPr>
          <w:szCs w:val="18"/>
        </w:rPr>
        <w:fldChar w:fldCharType="begin"/>
      </w:r>
      <w:r w:rsidR="00BC73AD" w:rsidRPr="00BC73AD">
        <w:rPr>
          <w:szCs w:val="18"/>
        </w:rPr>
        <w:instrText xml:space="preserve"> REF _Ref358187561 \h </w:instrText>
      </w:r>
      <w:r w:rsidR="00BC73AD">
        <w:rPr>
          <w:szCs w:val="18"/>
        </w:rPr>
        <w:instrText xml:space="preserve"> \* MERGEFORMAT </w:instrText>
      </w:r>
      <w:r w:rsidR="00BC73AD" w:rsidRPr="00BC73AD">
        <w:rPr>
          <w:szCs w:val="18"/>
        </w:rPr>
      </w:r>
      <w:r w:rsidR="00BC73AD" w:rsidRPr="00BC73AD">
        <w:rPr>
          <w:szCs w:val="18"/>
        </w:rPr>
        <w:fldChar w:fldCharType="separate"/>
      </w:r>
      <w:r w:rsidR="00892B2D" w:rsidRPr="00892B2D">
        <w:t xml:space="preserve">Table </w:t>
      </w:r>
      <w:r w:rsidR="00892B2D" w:rsidRPr="00892B2D">
        <w:rPr>
          <w:noProof/>
        </w:rPr>
        <w:t>3</w:t>
      </w:r>
      <w:r w:rsidR="00892B2D" w:rsidRPr="00892B2D">
        <w:rPr>
          <w:noProof/>
        </w:rPr>
        <w:noBreakHyphen/>
        <w:t>1</w:t>
      </w:r>
      <w:r w:rsidR="00BC73AD" w:rsidRPr="00BC73AD">
        <w:rPr>
          <w:szCs w:val="18"/>
        </w:rPr>
        <w:fldChar w:fldCharType="end"/>
      </w:r>
      <w:r w:rsidR="00BC73AD">
        <w:rPr>
          <w:szCs w:val="18"/>
        </w:rPr>
        <w:t xml:space="preserve"> </w:t>
      </w:r>
      <w:r w:rsidRPr="003833D6">
        <w:rPr>
          <w:szCs w:val="18"/>
        </w:rPr>
        <w:t>below</w:t>
      </w:r>
      <w:r w:rsidR="00DB09D1">
        <w:rPr>
          <w:szCs w:val="18"/>
        </w:rPr>
        <w:t>, which has been copied directly from the Toolkit</w:t>
      </w:r>
      <w:r w:rsidRPr="003833D6">
        <w:rPr>
          <w:szCs w:val="18"/>
        </w:rPr>
        <w:t xml:space="preserve">. The main pathways of mercury releases are </w:t>
      </w:r>
      <w:r w:rsidR="00094C6A">
        <w:rPr>
          <w:szCs w:val="18"/>
        </w:rPr>
        <w:t xml:space="preserve">to </w:t>
      </w:r>
      <w:r w:rsidRPr="003833D6">
        <w:rPr>
          <w:szCs w:val="18"/>
        </w:rPr>
        <w:t xml:space="preserve">air, water and waste/residues. Land may also be a release pathway in domestic heating and cooking, either using </w:t>
      </w:r>
      <w:r w:rsidR="00094C6A" w:rsidRPr="003833D6">
        <w:rPr>
          <w:szCs w:val="18"/>
        </w:rPr>
        <w:t>wood</w:t>
      </w:r>
      <w:r w:rsidR="00094C6A">
        <w:rPr>
          <w:szCs w:val="18"/>
        </w:rPr>
        <w:t>y</w:t>
      </w:r>
      <w:r w:rsidR="00094C6A" w:rsidRPr="003833D6">
        <w:rPr>
          <w:szCs w:val="18"/>
        </w:rPr>
        <w:t xml:space="preserve"> </w:t>
      </w:r>
      <w:r w:rsidRPr="003833D6">
        <w:rPr>
          <w:szCs w:val="18"/>
        </w:rPr>
        <w:t xml:space="preserve">biomass or fossil fuels, and from </w:t>
      </w:r>
      <w:r w:rsidR="00094C6A">
        <w:rPr>
          <w:szCs w:val="18"/>
        </w:rPr>
        <w:t xml:space="preserve">the </w:t>
      </w:r>
      <w:r w:rsidRPr="003833D6">
        <w:rPr>
          <w:szCs w:val="18"/>
        </w:rPr>
        <w:t xml:space="preserve">extraction of mineral oil. </w:t>
      </w:r>
      <w:r w:rsidR="00094C6A">
        <w:rPr>
          <w:szCs w:val="18"/>
        </w:rPr>
        <w:t>In addition, land is often the ultimate receptor for wastes and residues</w:t>
      </w:r>
      <w:r w:rsidRPr="003833D6">
        <w:rPr>
          <w:szCs w:val="18"/>
        </w:rPr>
        <w:t>.</w:t>
      </w:r>
    </w:p>
    <w:p w14:paraId="344BB2B5" w14:textId="0A98B1A6" w:rsidR="00A63D3B" w:rsidRPr="003D7CC9" w:rsidRDefault="00A63D3B" w:rsidP="008F11FE">
      <w:pPr>
        <w:pStyle w:val="Caption"/>
        <w:spacing w:before="240"/>
        <w:rPr>
          <w:rFonts w:ascii="Arial" w:hAnsi="Arial" w:cs="Arial"/>
        </w:rPr>
      </w:pPr>
      <w:bookmarkStart w:id="25" w:name="_Ref358187561"/>
      <w:bookmarkStart w:id="26" w:name="_Toc110355459"/>
      <w:r w:rsidRPr="003D7CC9">
        <w:rPr>
          <w:rFonts w:ascii="Arial" w:hAnsi="Arial" w:cs="Arial"/>
        </w:rPr>
        <w:t xml:space="preserve">Table </w:t>
      </w:r>
      <w:r w:rsidR="00390C9F">
        <w:rPr>
          <w:rFonts w:ascii="Arial" w:hAnsi="Arial" w:cs="Arial"/>
        </w:rPr>
        <w:fldChar w:fldCharType="begin"/>
      </w:r>
      <w:r w:rsidR="00390C9F">
        <w:rPr>
          <w:rFonts w:ascii="Arial" w:hAnsi="Arial" w:cs="Arial"/>
        </w:rPr>
        <w:instrText xml:space="preserve"> STYLEREF 1 \s </w:instrText>
      </w:r>
      <w:r w:rsidR="00390C9F">
        <w:rPr>
          <w:rFonts w:ascii="Arial" w:hAnsi="Arial" w:cs="Arial"/>
        </w:rPr>
        <w:fldChar w:fldCharType="separate"/>
      </w:r>
      <w:r w:rsidR="00892B2D">
        <w:rPr>
          <w:rFonts w:ascii="Arial" w:hAnsi="Arial" w:cs="Arial"/>
          <w:noProof/>
        </w:rPr>
        <w:t>3</w:t>
      </w:r>
      <w:r w:rsidR="00390C9F">
        <w:rPr>
          <w:rFonts w:ascii="Arial" w:hAnsi="Arial" w:cs="Arial"/>
        </w:rPr>
        <w:fldChar w:fldCharType="end"/>
      </w:r>
      <w:r w:rsidR="00390C9F">
        <w:rPr>
          <w:rFonts w:ascii="Arial" w:hAnsi="Arial" w:cs="Arial"/>
        </w:rPr>
        <w:noBreakHyphen/>
      </w:r>
      <w:r w:rsidR="00390C9F">
        <w:rPr>
          <w:rFonts w:ascii="Arial" w:hAnsi="Arial" w:cs="Arial"/>
        </w:rPr>
        <w:fldChar w:fldCharType="begin"/>
      </w:r>
      <w:r w:rsidR="00390C9F">
        <w:rPr>
          <w:rFonts w:ascii="Arial" w:hAnsi="Arial" w:cs="Arial"/>
        </w:rPr>
        <w:instrText xml:space="preserve"> SEQ Table \* ARABIC \s 1 </w:instrText>
      </w:r>
      <w:r w:rsidR="00390C9F">
        <w:rPr>
          <w:rFonts w:ascii="Arial" w:hAnsi="Arial" w:cs="Arial"/>
        </w:rPr>
        <w:fldChar w:fldCharType="separate"/>
      </w:r>
      <w:r w:rsidR="00892B2D">
        <w:rPr>
          <w:rFonts w:ascii="Arial" w:hAnsi="Arial" w:cs="Arial"/>
          <w:noProof/>
        </w:rPr>
        <w:t>1</w:t>
      </w:r>
      <w:r w:rsidR="00390C9F">
        <w:rPr>
          <w:rFonts w:ascii="Arial" w:hAnsi="Arial" w:cs="Arial"/>
        </w:rPr>
        <w:fldChar w:fldCharType="end"/>
      </w:r>
      <w:bookmarkEnd w:id="25"/>
      <w:r>
        <w:rPr>
          <w:rFonts w:ascii="Arial" w:hAnsi="Arial" w:cs="Arial"/>
        </w:rPr>
        <w:t>:</w:t>
      </w:r>
      <w:r w:rsidR="00183044">
        <w:rPr>
          <w:rFonts w:ascii="Arial" w:hAnsi="Arial" w:cs="Arial"/>
        </w:rPr>
        <w:t xml:space="preserve"> </w:t>
      </w:r>
      <w:r w:rsidRPr="003D7CC9">
        <w:rPr>
          <w:rFonts w:ascii="Arial" w:hAnsi="Arial" w:cs="Arial"/>
        </w:rPr>
        <w:t xml:space="preserve"> T</w:t>
      </w:r>
      <w:r>
        <w:rPr>
          <w:rFonts w:ascii="Arial" w:hAnsi="Arial" w:cs="Arial"/>
        </w:rPr>
        <w:t xml:space="preserve">oolkit </w:t>
      </w:r>
      <w:r w:rsidR="00A97D5C">
        <w:rPr>
          <w:rFonts w:ascii="Arial" w:hAnsi="Arial" w:cs="Arial"/>
        </w:rPr>
        <w:t>framework for category 1 -</w:t>
      </w:r>
      <w:r w:rsidR="00A97D5C" w:rsidRPr="003D7CC9">
        <w:rPr>
          <w:rFonts w:ascii="Arial" w:hAnsi="Arial" w:cs="Arial"/>
        </w:rPr>
        <w:t xml:space="preserve"> extraction and use of fuels/energy sources</w:t>
      </w:r>
      <w:bookmarkEnd w:id="2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93"/>
        <w:gridCol w:w="850"/>
        <w:gridCol w:w="851"/>
        <w:gridCol w:w="851"/>
        <w:gridCol w:w="992"/>
        <w:gridCol w:w="992"/>
        <w:gridCol w:w="1099"/>
      </w:tblGrid>
      <w:tr w:rsidR="004901F2" w:rsidRPr="004901F2" w14:paraId="49846884" w14:textId="77777777" w:rsidTr="00A63D3B">
        <w:tc>
          <w:tcPr>
            <w:tcW w:w="851" w:type="dxa"/>
            <w:vAlign w:val="center"/>
          </w:tcPr>
          <w:p w14:paraId="5713895E" w14:textId="77777777" w:rsidR="00263924" w:rsidRPr="004901F2" w:rsidRDefault="00F2709B" w:rsidP="004901F2">
            <w:pPr>
              <w:spacing w:before="40" w:after="40" w:line="300" w:lineRule="atLeast"/>
              <w:jc w:val="center"/>
              <w:rPr>
                <w:rFonts w:ascii="Arial" w:hAnsi="Arial" w:cs="Arial"/>
                <w:b/>
                <w:sz w:val="16"/>
                <w:szCs w:val="16"/>
              </w:rPr>
            </w:pPr>
            <w:r w:rsidRPr="004901F2">
              <w:rPr>
                <w:rFonts w:ascii="Arial" w:hAnsi="Arial" w:cs="Arial"/>
                <w:b/>
                <w:sz w:val="16"/>
                <w:szCs w:val="16"/>
              </w:rPr>
              <w:t xml:space="preserve">Toolkit </w:t>
            </w:r>
            <w:r w:rsidR="00263924" w:rsidRPr="004901F2">
              <w:rPr>
                <w:rFonts w:ascii="Arial" w:hAnsi="Arial" w:cs="Arial"/>
                <w:b/>
                <w:sz w:val="16"/>
                <w:szCs w:val="16"/>
              </w:rPr>
              <w:t>Chapter</w:t>
            </w:r>
          </w:p>
        </w:tc>
        <w:tc>
          <w:tcPr>
            <w:tcW w:w="2693" w:type="dxa"/>
            <w:vAlign w:val="center"/>
          </w:tcPr>
          <w:p w14:paraId="2389BD28" w14:textId="77777777" w:rsidR="00263924" w:rsidRPr="004901F2" w:rsidRDefault="00263924" w:rsidP="004901F2">
            <w:pPr>
              <w:spacing w:before="40" w:after="40" w:line="300" w:lineRule="atLeast"/>
              <w:jc w:val="center"/>
              <w:rPr>
                <w:rFonts w:ascii="Arial" w:hAnsi="Arial" w:cs="Arial"/>
                <w:b/>
                <w:sz w:val="16"/>
                <w:szCs w:val="16"/>
              </w:rPr>
            </w:pPr>
            <w:r w:rsidRPr="004901F2">
              <w:rPr>
                <w:rFonts w:ascii="Arial" w:hAnsi="Arial" w:cs="Arial"/>
                <w:b/>
                <w:sz w:val="16"/>
                <w:szCs w:val="16"/>
              </w:rPr>
              <w:t>Sub-category</w:t>
            </w:r>
          </w:p>
        </w:tc>
        <w:tc>
          <w:tcPr>
            <w:tcW w:w="850" w:type="dxa"/>
            <w:vAlign w:val="center"/>
          </w:tcPr>
          <w:p w14:paraId="762A717C" w14:textId="77777777" w:rsidR="00263924" w:rsidRPr="004901F2" w:rsidRDefault="00F2709B" w:rsidP="004901F2">
            <w:pPr>
              <w:spacing w:before="40" w:after="40" w:line="300" w:lineRule="atLeast"/>
              <w:jc w:val="center"/>
              <w:rPr>
                <w:rFonts w:ascii="Arial" w:hAnsi="Arial" w:cs="Arial"/>
                <w:b/>
                <w:sz w:val="16"/>
                <w:szCs w:val="16"/>
              </w:rPr>
            </w:pPr>
            <w:r w:rsidRPr="004901F2">
              <w:rPr>
                <w:rFonts w:ascii="Arial" w:hAnsi="Arial" w:cs="Arial"/>
                <w:b/>
                <w:sz w:val="16"/>
                <w:szCs w:val="16"/>
              </w:rPr>
              <w:t>Air</w:t>
            </w:r>
          </w:p>
        </w:tc>
        <w:tc>
          <w:tcPr>
            <w:tcW w:w="851" w:type="dxa"/>
            <w:vAlign w:val="center"/>
          </w:tcPr>
          <w:p w14:paraId="5550869A" w14:textId="77777777" w:rsidR="00263924" w:rsidRPr="004901F2" w:rsidRDefault="00F2709B" w:rsidP="004901F2">
            <w:pPr>
              <w:spacing w:before="40" w:after="40" w:line="300" w:lineRule="atLeast"/>
              <w:jc w:val="center"/>
              <w:rPr>
                <w:rFonts w:ascii="Arial" w:hAnsi="Arial" w:cs="Arial"/>
                <w:b/>
                <w:sz w:val="16"/>
                <w:szCs w:val="16"/>
              </w:rPr>
            </w:pPr>
            <w:r w:rsidRPr="004901F2">
              <w:rPr>
                <w:rFonts w:ascii="Arial" w:hAnsi="Arial" w:cs="Arial"/>
                <w:b/>
                <w:sz w:val="16"/>
                <w:szCs w:val="16"/>
              </w:rPr>
              <w:t>Water</w:t>
            </w:r>
          </w:p>
        </w:tc>
        <w:tc>
          <w:tcPr>
            <w:tcW w:w="851" w:type="dxa"/>
            <w:vAlign w:val="center"/>
          </w:tcPr>
          <w:p w14:paraId="0D4892CC" w14:textId="77777777" w:rsidR="00263924" w:rsidRPr="004901F2" w:rsidRDefault="00F2709B" w:rsidP="004901F2">
            <w:pPr>
              <w:spacing w:before="40" w:after="40" w:line="300" w:lineRule="atLeast"/>
              <w:jc w:val="center"/>
              <w:rPr>
                <w:rFonts w:ascii="Arial" w:hAnsi="Arial" w:cs="Arial"/>
                <w:b/>
                <w:sz w:val="16"/>
                <w:szCs w:val="16"/>
              </w:rPr>
            </w:pPr>
            <w:r w:rsidRPr="004901F2">
              <w:rPr>
                <w:rFonts w:ascii="Arial" w:hAnsi="Arial" w:cs="Arial"/>
                <w:b/>
                <w:sz w:val="16"/>
                <w:szCs w:val="16"/>
              </w:rPr>
              <w:t>Land</w:t>
            </w:r>
          </w:p>
        </w:tc>
        <w:tc>
          <w:tcPr>
            <w:tcW w:w="992" w:type="dxa"/>
            <w:vAlign w:val="center"/>
          </w:tcPr>
          <w:p w14:paraId="34344F36" w14:textId="77777777" w:rsidR="00263924" w:rsidRPr="004901F2" w:rsidRDefault="00F2709B" w:rsidP="004901F2">
            <w:pPr>
              <w:spacing w:before="40" w:after="40" w:line="300" w:lineRule="atLeast"/>
              <w:jc w:val="center"/>
              <w:rPr>
                <w:rFonts w:ascii="Arial" w:hAnsi="Arial" w:cs="Arial"/>
                <w:b/>
                <w:sz w:val="16"/>
                <w:szCs w:val="16"/>
              </w:rPr>
            </w:pPr>
            <w:r w:rsidRPr="004901F2">
              <w:rPr>
                <w:rFonts w:ascii="Arial" w:hAnsi="Arial" w:cs="Arial"/>
                <w:b/>
                <w:sz w:val="16"/>
                <w:szCs w:val="16"/>
              </w:rPr>
              <w:t>Product</w:t>
            </w:r>
          </w:p>
        </w:tc>
        <w:tc>
          <w:tcPr>
            <w:tcW w:w="992" w:type="dxa"/>
            <w:vAlign w:val="center"/>
          </w:tcPr>
          <w:p w14:paraId="55CF9FCF" w14:textId="77777777" w:rsidR="00263924" w:rsidRPr="004901F2" w:rsidRDefault="00F2709B" w:rsidP="004901F2">
            <w:pPr>
              <w:spacing w:before="40" w:after="40" w:line="300" w:lineRule="atLeast"/>
              <w:jc w:val="center"/>
              <w:rPr>
                <w:rFonts w:ascii="Arial" w:hAnsi="Arial" w:cs="Arial"/>
                <w:b/>
                <w:sz w:val="16"/>
                <w:szCs w:val="16"/>
              </w:rPr>
            </w:pPr>
            <w:r w:rsidRPr="004901F2">
              <w:rPr>
                <w:rFonts w:ascii="Arial" w:hAnsi="Arial" w:cs="Arial"/>
                <w:b/>
                <w:sz w:val="16"/>
                <w:szCs w:val="16"/>
              </w:rPr>
              <w:t>Waste/ residue</w:t>
            </w:r>
          </w:p>
        </w:tc>
        <w:tc>
          <w:tcPr>
            <w:tcW w:w="1099" w:type="dxa"/>
            <w:vAlign w:val="center"/>
          </w:tcPr>
          <w:p w14:paraId="1932B632" w14:textId="77777777" w:rsidR="00263924" w:rsidRPr="004901F2" w:rsidRDefault="00F2709B" w:rsidP="004901F2">
            <w:pPr>
              <w:spacing w:before="40" w:after="40" w:line="300" w:lineRule="atLeast"/>
              <w:jc w:val="center"/>
              <w:rPr>
                <w:rFonts w:ascii="Arial" w:hAnsi="Arial" w:cs="Arial"/>
                <w:b/>
                <w:sz w:val="16"/>
                <w:szCs w:val="16"/>
              </w:rPr>
            </w:pPr>
            <w:r w:rsidRPr="004901F2">
              <w:rPr>
                <w:rFonts w:ascii="Arial" w:hAnsi="Arial" w:cs="Arial"/>
                <w:b/>
                <w:sz w:val="16"/>
                <w:szCs w:val="16"/>
              </w:rPr>
              <w:t>Main approach</w:t>
            </w:r>
          </w:p>
        </w:tc>
      </w:tr>
      <w:tr w:rsidR="004901F2" w:rsidRPr="004901F2" w14:paraId="4A3085BF" w14:textId="77777777" w:rsidTr="00A63D3B">
        <w:tc>
          <w:tcPr>
            <w:tcW w:w="851" w:type="dxa"/>
            <w:vAlign w:val="center"/>
          </w:tcPr>
          <w:p w14:paraId="77AA6D50" w14:textId="77777777" w:rsidR="00263924" w:rsidRPr="004901F2" w:rsidRDefault="00F2709B" w:rsidP="004901F2">
            <w:pPr>
              <w:spacing w:before="40" w:after="40" w:line="300" w:lineRule="atLeast"/>
              <w:rPr>
                <w:rFonts w:ascii="Arial" w:hAnsi="Arial" w:cs="Arial"/>
                <w:sz w:val="16"/>
                <w:szCs w:val="16"/>
              </w:rPr>
            </w:pPr>
            <w:r w:rsidRPr="004901F2">
              <w:rPr>
                <w:rFonts w:ascii="Arial" w:hAnsi="Arial" w:cs="Arial"/>
                <w:sz w:val="16"/>
                <w:szCs w:val="16"/>
              </w:rPr>
              <w:t>5.1.1</w:t>
            </w:r>
          </w:p>
        </w:tc>
        <w:tc>
          <w:tcPr>
            <w:tcW w:w="2693" w:type="dxa"/>
            <w:vAlign w:val="center"/>
          </w:tcPr>
          <w:p w14:paraId="60307C57" w14:textId="77777777" w:rsidR="00263924" w:rsidRPr="004901F2" w:rsidRDefault="00263924" w:rsidP="004901F2">
            <w:pPr>
              <w:spacing w:line="300" w:lineRule="atLeast"/>
              <w:rPr>
                <w:rFonts w:ascii="Arial" w:hAnsi="Arial" w:cs="Arial"/>
                <w:sz w:val="16"/>
                <w:szCs w:val="16"/>
              </w:rPr>
            </w:pPr>
            <w:r w:rsidRPr="004901F2">
              <w:rPr>
                <w:rFonts w:ascii="Arial" w:hAnsi="Arial" w:cs="Arial"/>
                <w:sz w:val="16"/>
                <w:szCs w:val="16"/>
              </w:rPr>
              <w:t>Coal combustion in large power plants</w:t>
            </w:r>
          </w:p>
        </w:tc>
        <w:tc>
          <w:tcPr>
            <w:tcW w:w="850" w:type="dxa"/>
            <w:vAlign w:val="center"/>
          </w:tcPr>
          <w:p w14:paraId="3F1EED32" w14:textId="77777777" w:rsidR="00263924" w:rsidRPr="004901F2" w:rsidRDefault="00F2709B" w:rsidP="004901F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207E7DF8" w14:textId="77777777" w:rsidR="00263924" w:rsidRPr="004901F2" w:rsidRDefault="00F2709B" w:rsidP="004901F2">
            <w:pPr>
              <w:spacing w:before="40" w:after="40" w:line="300" w:lineRule="atLeast"/>
              <w:jc w:val="center"/>
              <w:rPr>
                <w:rFonts w:ascii="Arial" w:hAnsi="Arial" w:cs="Arial"/>
                <w:sz w:val="16"/>
                <w:szCs w:val="16"/>
              </w:rPr>
            </w:pPr>
            <w:r w:rsidRPr="004901F2">
              <w:rPr>
                <w:rFonts w:ascii="Arial" w:hAnsi="Arial" w:cs="Arial"/>
                <w:sz w:val="16"/>
                <w:szCs w:val="16"/>
              </w:rPr>
              <w:t>x</w:t>
            </w:r>
          </w:p>
        </w:tc>
        <w:tc>
          <w:tcPr>
            <w:tcW w:w="851" w:type="dxa"/>
            <w:vAlign w:val="center"/>
          </w:tcPr>
          <w:p w14:paraId="2FB34EAA" w14:textId="77777777" w:rsidR="00263924" w:rsidRPr="004901F2" w:rsidRDefault="00F2709B" w:rsidP="004901F2">
            <w:pPr>
              <w:spacing w:before="40" w:after="40" w:line="300" w:lineRule="atLeast"/>
              <w:jc w:val="center"/>
              <w:rPr>
                <w:rFonts w:ascii="Arial" w:hAnsi="Arial" w:cs="Arial"/>
                <w:sz w:val="16"/>
                <w:szCs w:val="16"/>
              </w:rPr>
            </w:pPr>
            <w:r w:rsidRPr="004901F2">
              <w:rPr>
                <w:rFonts w:ascii="Arial" w:hAnsi="Arial" w:cs="Arial"/>
                <w:sz w:val="16"/>
                <w:szCs w:val="16"/>
              </w:rPr>
              <w:t>x</w:t>
            </w:r>
          </w:p>
        </w:tc>
        <w:tc>
          <w:tcPr>
            <w:tcW w:w="992" w:type="dxa"/>
            <w:vAlign w:val="center"/>
          </w:tcPr>
          <w:p w14:paraId="0CDD92BF" w14:textId="77777777" w:rsidR="00263924" w:rsidRPr="004901F2" w:rsidRDefault="00F2709B" w:rsidP="004901F2">
            <w:pPr>
              <w:spacing w:before="40" w:after="40" w:line="300" w:lineRule="atLeast"/>
              <w:jc w:val="center"/>
              <w:rPr>
                <w:rFonts w:ascii="Arial" w:hAnsi="Arial" w:cs="Arial"/>
                <w:sz w:val="16"/>
                <w:szCs w:val="16"/>
              </w:rPr>
            </w:pPr>
            <w:r w:rsidRPr="004901F2">
              <w:rPr>
                <w:rFonts w:ascii="Arial" w:hAnsi="Arial" w:cs="Arial"/>
                <w:sz w:val="16"/>
                <w:szCs w:val="16"/>
              </w:rPr>
              <w:t>x</w:t>
            </w:r>
          </w:p>
        </w:tc>
        <w:tc>
          <w:tcPr>
            <w:tcW w:w="992" w:type="dxa"/>
            <w:vAlign w:val="center"/>
          </w:tcPr>
          <w:p w14:paraId="2B536BB3" w14:textId="77777777" w:rsidR="00263924" w:rsidRPr="004901F2" w:rsidRDefault="00F2709B" w:rsidP="004901F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1099" w:type="dxa"/>
            <w:vAlign w:val="center"/>
          </w:tcPr>
          <w:p w14:paraId="3A57825A" w14:textId="77777777" w:rsidR="00263924" w:rsidRPr="004901F2" w:rsidRDefault="00F2709B" w:rsidP="004901F2">
            <w:pPr>
              <w:spacing w:before="40" w:after="40" w:line="300" w:lineRule="atLeast"/>
              <w:jc w:val="center"/>
              <w:rPr>
                <w:rFonts w:ascii="Arial" w:hAnsi="Arial" w:cs="Arial"/>
                <w:sz w:val="16"/>
                <w:szCs w:val="16"/>
              </w:rPr>
            </w:pPr>
            <w:r w:rsidRPr="004901F2">
              <w:rPr>
                <w:rFonts w:ascii="Arial" w:hAnsi="Arial" w:cs="Arial"/>
                <w:sz w:val="16"/>
                <w:szCs w:val="16"/>
              </w:rPr>
              <w:t>PS</w:t>
            </w:r>
          </w:p>
        </w:tc>
      </w:tr>
      <w:tr w:rsidR="004901F2" w:rsidRPr="004901F2" w14:paraId="39B98AC7" w14:textId="77777777" w:rsidTr="00A63D3B">
        <w:tc>
          <w:tcPr>
            <w:tcW w:w="851" w:type="dxa"/>
            <w:vAlign w:val="center"/>
          </w:tcPr>
          <w:p w14:paraId="4287BC11" w14:textId="77777777" w:rsidR="00263924" w:rsidRPr="004901F2" w:rsidRDefault="00F2709B" w:rsidP="004901F2">
            <w:pPr>
              <w:spacing w:before="40" w:after="40" w:line="300" w:lineRule="atLeast"/>
              <w:rPr>
                <w:rFonts w:ascii="Arial" w:hAnsi="Arial" w:cs="Arial"/>
                <w:sz w:val="16"/>
                <w:szCs w:val="16"/>
              </w:rPr>
            </w:pPr>
            <w:r w:rsidRPr="004901F2">
              <w:rPr>
                <w:rFonts w:ascii="Arial" w:hAnsi="Arial" w:cs="Arial"/>
                <w:sz w:val="16"/>
                <w:szCs w:val="16"/>
              </w:rPr>
              <w:t>5.1.2</w:t>
            </w:r>
          </w:p>
        </w:tc>
        <w:tc>
          <w:tcPr>
            <w:tcW w:w="2693" w:type="dxa"/>
            <w:vAlign w:val="center"/>
          </w:tcPr>
          <w:p w14:paraId="6C469D2F" w14:textId="77777777" w:rsidR="00263924" w:rsidRPr="004901F2" w:rsidRDefault="00263924" w:rsidP="004901F2">
            <w:pPr>
              <w:spacing w:before="40" w:after="40" w:line="300" w:lineRule="atLeast"/>
              <w:rPr>
                <w:rFonts w:ascii="Arial" w:hAnsi="Arial" w:cs="Arial"/>
                <w:sz w:val="16"/>
                <w:szCs w:val="16"/>
              </w:rPr>
            </w:pPr>
            <w:r w:rsidRPr="004901F2">
              <w:rPr>
                <w:rFonts w:ascii="Arial" w:hAnsi="Arial" w:cs="Arial"/>
                <w:sz w:val="16"/>
                <w:szCs w:val="16"/>
              </w:rPr>
              <w:t>Other coal combustion</w:t>
            </w:r>
          </w:p>
        </w:tc>
        <w:tc>
          <w:tcPr>
            <w:tcW w:w="850" w:type="dxa"/>
            <w:vAlign w:val="center"/>
          </w:tcPr>
          <w:p w14:paraId="6C08F913" w14:textId="77777777" w:rsidR="00263924" w:rsidRPr="004901F2" w:rsidRDefault="00F2709B" w:rsidP="004901F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2F484869" w14:textId="77777777" w:rsidR="00263924" w:rsidRPr="004901F2" w:rsidRDefault="00263924" w:rsidP="004901F2">
            <w:pPr>
              <w:spacing w:before="40" w:after="40" w:line="300" w:lineRule="atLeast"/>
              <w:jc w:val="center"/>
              <w:rPr>
                <w:rFonts w:ascii="Arial" w:hAnsi="Arial" w:cs="Arial"/>
                <w:sz w:val="16"/>
                <w:szCs w:val="16"/>
              </w:rPr>
            </w:pPr>
          </w:p>
        </w:tc>
        <w:tc>
          <w:tcPr>
            <w:tcW w:w="851" w:type="dxa"/>
            <w:vAlign w:val="center"/>
          </w:tcPr>
          <w:p w14:paraId="030EBD63" w14:textId="77777777" w:rsidR="00263924" w:rsidRPr="004901F2" w:rsidRDefault="00F2709B" w:rsidP="004901F2">
            <w:pPr>
              <w:spacing w:before="40" w:after="40" w:line="300" w:lineRule="atLeast"/>
              <w:jc w:val="center"/>
              <w:rPr>
                <w:rFonts w:ascii="Arial" w:hAnsi="Arial" w:cs="Arial"/>
                <w:sz w:val="16"/>
                <w:szCs w:val="16"/>
              </w:rPr>
            </w:pPr>
            <w:r w:rsidRPr="004901F2">
              <w:rPr>
                <w:rFonts w:ascii="Arial" w:hAnsi="Arial" w:cs="Arial"/>
                <w:sz w:val="16"/>
                <w:szCs w:val="16"/>
              </w:rPr>
              <w:t>x</w:t>
            </w:r>
          </w:p>
        </w:tc>
        <w:tc>
          <w:tcPr>
            <w:tcW w:w="992" w:type="dxa"/>
            <w:vAlign w:val="center"/>
          </w:tcPr>
          <w:p w14:paraId="67843F40" w14:textId="77777777" w:rsidR="00263924" w:rsidRPr="004901F2" w:rsidRDefault="00F2709B" w:rsidP="004901F2">
            <w:pPr>
              <w:spacing w:before="40" w:after="40" w:line="300" w:lineRule="atLeast"/>
              <w:jc w:val="center"/>
              <w:rPr>
                <w:rFonts w:ascii="Arial" w:hAnsi="Arial" w:cs="Arial"/>
                <w:sz w:val="16"/>
                <w:szCs w:val="16"/>
              </w:rPr>
            </w:pPr>
            <w:r w:rsidRPr="004901F2">
              <w:rPr>
                <w:rFonts w:ascii="Arial" w:hAnsi="Arial" w:cs="Arial"/>
                <w:sz w:val="16"/>
                <w:szCs w:val="16"/>
              </w:rPr>
              <w:t>x</w:t>
            </w:r>
          </w:p>
        </w:tc>
        <w:tc>
          <w:tcPr>
            <w:tcW w:w="992" w:type="dxa"/>
            <w:vAlign w:val="center"/>
          </w:tcPr>
          <w:p w14:paraId="577B749C" w14:textId="77777777" w:rsidR="00263924" w:rsidRPr="004901F2" w:rsidRDefault="00F2709B" w:rsidP="004901F2">
            <w:pPr>
              <w:spacing w:before="40" w:after="40" w:line="300" w:lineRule="atLeast"/>
              <w:jc w:val="center"/>
              <w:rPr>
                <w:rFonts w:ascii="Arial" w:hAnsi="Arial" w:cs="Arial"/>
                <w:sz w:val="16"/>
                <w:szCs w:val="16"/>
              </w:rPr>
            </w:pPr>
            <w:r w:rsidRPr="004901F2">
              <w:rPr>
                <w:rFonts w:ascii="Arial" w:hAnsi="Arial" w:cs="Arial"/>
                <w:sz w:val="16"/>
                <w:szCs w:val="16"/>
              </w:rPr>
              <w:t>x</w:t>
            </w:r>
          </w:p>
        </w:tc>
        <w:tc>
          <w:tcPr>
            <w:tcW w:w="1099" w:type="dxa"/>
            <w:vAlign w:val="center"/>
          </w:tcPr>
          <w:p w14:paraId="363566E7" w14:textId="77777777" w:rsidR="00263924" w:rsidRPr="004901F2" w:rsidRDefault="00F2709B" w:rsidP="004901F2">
            <w:pPr>
              <w:spacing w:before="40" w:after="40" w:line="300" w:lineRule="atLeast"/>
              <w:jc w:val="center"/>
              <w:rPr>
                <w:rFonts w:ascii="Arial" w:hAnsi="Arial" w:cs="Arial"/>
                <w:sz w:val="16"/>
                <w:szCs w:val="16"/>
              </w:rPr>
            </w:pPr>
            <w:r w:rsidRPr="004901F2">
              <w:rPr>
                <w:rFonts w:ascii="Arial" w:hAnsi="Arial" w:cs="Arial"/>
                <w:sz w:val="16"/>
                <w:szCs w:val="16"/>
              </w:rPr>
              <w:t>OW</w:t>
            </w:r>
          </w:p>
        </w:tc>
      </w:tr>
      <w:tr w:rsidR="004901F2" w:rsidRPr="004901F2" w14:paraId="2DC8A889" w14:textId="77777777" w:rsidTr="00A63D3B">
        <w:tc>
          <w:tcPr>
            <w:tcW w:w="851" w:type="dxa"/>
            <w:vAlign w:val="center"/>
          </w:tcPr>
          <w:p w14:paraId="1E0DCC7C" w14:textId="77777777" w:rsidR="00263924" w:rsidRPr="004901F2" w:rsidRDefault="00F2709B" w:rsidP="004901F2">
            <w:pPr>
              <w:spacing w:before="40" w:after="40" w:line="300" w:lineRule="atLeast"/>
              <w:rPr>
                <w:rFonts w:ascii="Arial" w:hAnsi="Arial" w:cs="Arial"/>
                <w:sz w:val="16"/>
                <w:szCs w:val="16"/>
              </w:rPr>
            </w:pPr>
            <w:r w:rsidRPr="004901F2">
              <w:rPr>
                <w:rFonts w:ascii="Arial" w:hAnsi="Arial" w:cs="Arial"/>
                <w:sz w:val="16"/>
                <w:szCs w:val="16"/>
              </w:rPr>
              <w:t>5.1.3</w:t>
            </w:r>
          </w:p>
        </w:tc>
        <w:tc>
          <w:tcPr>
            <w:tcW w:w="2693" w:type="dxa"/>
            <w:vAlign w:val="center"/>
          </w:tcPr>
          <w:p w14:paraId="126A82DF" w14:textId="77777777" w:rsidR="00263924" w:rsidRPr="004901F2" w:rsidRDefault="00263924" w:rsidP="004901F2">
            <w:pPr>
              <w:spacing w:line="300" w:lineRule="atLeast"/>
              <w:rPr>
                <w:rFonts w:ascii="Arial" w:hAnsi="Arial" w:cs="Arial"/>
                <w:sz w:val="16"/>
                <w:szCs w:val="16"/>
              </w:rPr>
            </w:pPr>
            <w:r w:rsidRPr="004901F2">
              <w:rPr>
                <w:rFonts w:ascii="Arial" w:hAnsi="Arial" w:cs="Arial"/>
                <w:sz w:val="16"/>
                <w:szCs w:val="16"/>
              </w:rPr>
              <w:t>Extraction, refining and use of mineral oil</w:t>
            </w:r>
          </w:p>
        </w:tc>
        <w:tc>
          <w:tcPr>
            <w:tcW w:w="850" w:type="dxa"/>
            <w:vAlign w:val="center"/>
          </w:tcPr>
          <w:p w14:paraId="1B2B65FA" w14:textId="77777777" w:rsidR="00263924" w:rsidRPr="004901F2" w:rsidRDefault="00F2709B" w:rsidP="004901F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6AF3EDCD" w14:textId="77777777" w:rsidR="00263924" w:rsidRPr="004901F2" w:rsidRDefault="00F2709B" w:rsidP="004901F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2AF6C457" w14:textId="77777777" w:rsidR="00263924" w:rsidRPr="004901F2" w:rsidRDefault="00F2709B" w:rsidP="004901F2">
            <w:pPr>
              <w:spacing w:before="40" w:after="40" w:line="300" w:lineRule="atLeast"/>
              <w:jc w:val="center"/>
              <w:rPr>
                <w:rFonts w:ascii="Arial" w:hAnsi="Arial" w:cs="Arial"/>
                <w:sz w:val="16"/>
                <w:szCs w:val="16"/>
              </w:rPr>
            </w:pPr>
            <w:r w:rsidRPr="004901F2">
              <w:rPr>
                <w:rFonts w:ascii="Arial" w:hAnsi="Arial" w:cs="Arial"/>
                <w:sz w:val="16"/>
                <w:szCs w:val="16"/>
              </w:rPr>
              <w:t>x</w:t>
            </w:r>
          </w:p>
        </w:tc>
        <w:tc>
          <w:tcPr>
            <w:tcW w:w="992" w:type="dxa"/>
            <w:vAlign w:val="center"/>
          </w:tcPr>
          <w:p w14:paraId="57D7029D" w14:textId="77777777" w:rsidR="00263924" w:rsidRPr="004901F2" w:rsidRDefault="00F2709B" w:rsidP="004901F2">
            <w:pPr>
              <w:spacing w:before="40" w:after="40" w:line="300" w:lineRule="atLeast"/>
              <w:jc w:val="center"/>
              <w:rPr>
                <w:rFonts w:ascii="Arial" w:hAnsi="Arial" w:cs="Arial"/>
                <w:sz w:val="16"/>
                <w:szCs w:val="16"/>
              </w:rPr>
            </w:pPr>
            <w:r w:rsidRPr="004901F2">
              <w:rPr>
                <w:rFonts w:ascii="Arial" w:hAnsi="Arial" w:cs="Arial"/>
                <w:sz w:val="16"/>
                <w:szCs w:val="16"/>
              </w:rPr>
              <w:t>x</w:t>
            </w:r>
          </w:p>
        </w:tc>
        <w:tc>
          <w:tcPr>
            <w:tcW w:w="992" w:type="dxa"/>
            <w:vAlign w:val="center"/>
          </w:tcPr>
          <w:p w14:paraId="6E8C2609" w14:textId="77777777" w:rsidR="00263924" w:rsidRPr="004901F2" w:rsidRDefault="00F2709B" w:rsidP="004901F2">
            <w:pPr>
              <w:spacing w:before="40" w:after="40" w:line="300" w:lineRule="atLeast"/>
              <w:jc w:val="center"/>
              <w:rPr>
                <w:rFonts w:ascii="Arial" w:hAnsi="Arial" w:cs="Arial"/>
                <w:sz w:val="16"/>
                <w:szCs w:val="16"/>
              </w:rPr>
            </w:pPr>
            <w:r w:rsidRPr="004901F2">
              <w:rPr>
                <w:rFonts w:ascii="Arial" w:hAnsi="Arial" w:cs="Arial"/>
                <w:sz w:val="16"/>
                <w:szCs w:val="16"/>
              </w:rPr>
              <w:t>x</w:t>
            </w:r>
          </w:p>
        </w:tc>
        <w:tc>
          <w:tcPr>
            <w:tcW w:w="1099" w:type="dxa"/>
            <w:vAlign w:val="center"/>
          </w:tcPr>
          <w:p w14:paraId="119C21C8" w14:textId="77777777" w:rsidR="00263924" w:rsidRPr="004901F2" w:rsidRDefault="00F2709B" w:rsidP="004901F2">
            <w:pPr>
              <w:spacing w:before="40" w:after="40" w:line="300" w:lineRule="atLeast"/>
              <w:jc w:val="center"/>
              <w:rPr>
                <w:rFonts w:ascii="Arial" w:hAnsi="Arial" w:cs="Arial"/>
                <w:sz w:val="16"/>
                <w:szCs w:val="16"/>
              </w:rPr>
            </w:pPr>
            <w:r w:rsidRPr="004901F2">
              <w:rPr>
                <w:rFonts w:ascii="Arial" w:hAnsi="Arial" w:cs="Arial"/>
                <w:sz w:val="16"/>
                <w:szCs w:val="16"/>
              </w:rPr>
              <w:t>OW/PS</w:t>
            </w:r>
          </w:p>
        </w:tc>
      </w:tr>
      <w:tr w:rsidR="004901F2" w:rsidRPr="004901F2" w14:paraId="337BC0C5" w14:textId="77777777" w:rsidTr="00A63D3B">
        <w:tc>
          <w:tcPr>
            <w:tcW w:w="851" w:type="dxa"/>
            <w:vAlign w:val="center"/>
          </w:tcPr>
          <w:p w14:paraId="05F65010" w14:textId="77777777" w:rsidR="00263924" w:rsidRPr="004901F2" w:rsidRDefault="00F2709B" w:rsidP="004901F2">
            <w:pPr>
              <w:spacing w:before="40" w:after="40" w:line="300" w:lineRule="atLeast"/>
              <w:rPr>
                <w:rFonts w:ascii="Arial" w:hAnsi="Arial" w:cs="Arial"/>
                <w:sz w:val="16"/>
                <w:szCs w:val="16"/>
              </w:rPr>
            </w:pPr>
            <w:r w:rsidRPr="004901F2">
              <w:rPr>
                <w:rFonts w:ascii="Arial" w:hAnsi="Arial" w:cs="Arial"/>
                <w:sz w:val="16"/>
                <w:szCs w:val="16"/>
              </w:rPr>
              <w:t>5.1.4</w:t>
            </w:r>
          </w:p>
        </w:tc>
        <w:tc>
          <w:tcPr>
            <w:tcW w:w="2693" w:type="dxa"/>
            <w:vAlign w:val="center"/>
          </w:tcPr>
          <w:p w14:paraId="556A2371" w14:textId="77777777" w:rsidR="00263924" w:rsidRPr="004901F2" w:rsidRDefault="00263924" w:rsidP="004901F2">
            <w:pPr>
              <w:spacing w:line="300" w:lineRule="atLeast"/>
              <w:rPr>
                <w:rFonts w:ascii="Arial" w:hAnsi="Arial" w:cs="Arial"/>
                <w:sz w:val="16"/>
                <w:szCs w:val="16"/>
              </w:rPr>
            </w:pPr>
            <w:r w:rsidRPr="004901F2">
              <w:rPr>
                <w:rFonts w:ascii="Arial" w:hAnsi="Arial" w:cs="Arial"/>
                <w:sz w:val="16"/>
                <w:szCs w:val="16"/>
              </w:rPr>
              <w:t>Extraction, refining and use of natural gas</w:t>
            </w:r>
          </w:p>
        </w:tc>
        <w:tc>
          <w:tcPr>
            <w:tcW w:w="850" w:type="dxa"/>
            <w:vAlign w:val="center"/>
          </w:tcPr>
          <w:p w14:paraId="63DE97A4" w14:textId="77777777" w:rsidR="00263924" w:rsidRPr="004901F2" w:rsidRDefault="00F2709B" w:rsidP="004901F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6D6C5680" w14:textId="77777777" w:rsidR="00263924" w:rsidRPr="004901F2" w:rsidRDefault="00F2709B" w:rsidP="004901F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703F6A3A" w14:textId="77777777" w:rsidR="00263924" w:rsidRPr="004901F2" w:rsidRDefault="00F2709B" w:rsidP="004901F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992" w:type="dxa"/>
            <w:vAlign w:val="center"/>
          </w:tcPr>
          <w:p w14:paraId="4BDB2B7B" w14:textId="77777777" w:rsidR="00263924" w:rsidRPr="004901F2" w:rsidRDefault="00263924" w:rsidP="004901F2">
            <w:pPr>
              <w:spacing w:before="40" w:after="40" w:line="300" w:lineRule="atLeast"/>
              <w:jc w:val="center"/>
              <w:rPr>
                <w:rFonts w:ascii="Arial" w:hAnsi="Arial" w:cs="Arial"/>
                <w:sz w:val="16"/>
                <w:szCs w:val="16"/>
              </w:rPr>
            </w:pPr>
          </w:p>
        </w:tc>
        <w:tc>
          <w:tcPr>
            <w:tcW w:w="992" w:type="dxa"/>
            <w:vAlign w:val="center"/>
          </w:tcPr>
          <w:p w14:paraId="321FE3A1" w14:textId="77777777" w:rsidR="00263924" w:rsidRPr="004901F2" w:rsidRDefault="00F2709B" w:rsidP="004901F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1099" w:type="dxa"/>
            <w:vAlign w:val="center"/>
          </w:tcPr>
          <w:p w14:paraId="0C6C5814" w14:textId="77777777" w:rsidR="00263924" w:rsidRPr="004901F2" w:rsidRDefault="00F2709B" w:rsidP="004901F2">
            <w:pPr>
              <w:spacing w:before="40" w:after="40" w:line="300" w:lineRule="atLeast"/>
              <w:jc w:val="center"/>
              <w:rPr>
                <w:rFonts w:ascii="Arial" w:hAnsi="Arial" w:cs="Arial"/>
                <w:sz w:val="16"/>
                <w:szCs w:val="16"/>
              </w:rPr>
            </w:pPr>
            <w:r w:rsidRPr="004901F2">
              <w:rPr>
                <w:rFonts w:ascii="Arial" w:hAnsi="Arial" w:cs="Arial"/>
                <w:sz w:val="16"/>
                <w:szCs w:val="16"/>
              </w:rPr>
              <w:t>OW/PS</w:t>
            </w:r>
          </w:p>
        </w:tc>
      </w:tr>
      <w:tr w:rsidR="004901F2" w:rsidRPr="004901F2" w14:paraId="1FF85739" w14:textId="77777777" w:rsidTr="00A63D3B">
        <w:tc>
          <w:tcPr>
            <w:tcW w:w="851" w:type="dxa"/>
            <w:vAlign w:val="center"/>
          </w:tcPr>
          <w:p w14:paraId="2D9F26AD" w14:textId="77777777" w:rsidR="00263924" w:rsidRPr="004901F2" w:rsidRDefault="00F2709B" w:rsidP="004901F2">
            <w:pPr>
              <w:spacing w:before="40" w:after="40" w:line="300" w:lineRule="atLeast"/>
              <w:rPr>
                <w:rFonts w:ascii="Arial" w:hAnsi="Arial" w:cs="Arial"/>
                <w:sz w:val="16"/>
                <w:szCs w:val="16"/>
              </w:rPr>
            </w:pPr>
            <w:r w:rsidRPr="004901F2">
              <w:rPr>
                <w:rFonts w:ascii="Arial" w:hAnsi="Arial" w:cs="Arial"/>
                <w:sz w:val="16"/>
                <w:szCs w:val="16"/>
              </w:rPr>
              <w:t>5.1.5</w:t>
            </w:r>
          </w:p>
        </w:tc>
        <w:tc>
          <w:tcPr>
            <w:tcW w:w="2693" w:type="dxa"/>
            <w:vAlign w:val="center"/>
          </w:tcPr>
          <w:p w14:paraId="4D9B7DE8" w14:textId="77777777" w:rsidR="00263924" w:rsidRPr="004901F2" w:rsidRDefault="00F2709B" w:rsidP="004901F2">
            <w:pPr>
              <w:spacing w:line="300" w:lineRule="atLeast"/>
              <w:rPr>
                <w:rFonts w:ascii="Arial" w:hAnsi="Arial" w:cs="Arial"/>
                <w:sz w:val="16"/>
                <w:szCs w:val="16"/>
              </w:rPr>
            </w:pPr>
            <w:r w:rsidRPr="004901F2">
              <w:rPr>
                <w:rFonts w:ascii="Arial" w:hAnsi="Arial" w:cs="Arial"/>
                <w:sz w:val="16"/>
                <w:szCs w:val="16"/>
              </w:rPr>
              <w:t>Extraction and use of other fossil fuels</w:t>
            </w:r>
          </w:p>
        </w:tc>
        <w:tc>
          <w:tcPr>
            <w:tcW w:w="850" w:type="dxa"/>
            <w:vAlign w:val="center"/>
          </w:tcPr>
          <w:p w14:paraId="613A1CEC" w14:textId="77777777" w:rsidR="00263924" w:rsidRPr="004901F2" w:rsidRDefault="00F2709B" w:rsidP="004901F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0D747C4E" w14:textId="77777777" w:rsidR="00263924" w:rsidRPr="004901F2" w:rsidRDefault="00F2709B" w:rsidP="004901F2">
            <w:pPr>
              <w:spacing w:before="40" w:after="40" w:line="300" w:lineRule="atLeast"/>
              <w:jc w:val="center"/>
              <w:rPr>
                <w:rFonts w:ascii="Arial" w:hAnsi="Arial" w:cs="Arial"/>
                <w:sz w:val="16"/>
                <w:szCs w:val="16"/>
              </w:rPr>
            </w:pPr>
            <w:r w:rsidRPr="004901F2">
              <w:rPr>
                <w:rFonts w:ascii="Arial" w:hAnsi="Arial" w:cs="Arial"/>
                <w:sz w:val="16"/>
                <w:szCs w:val="16"/>
              </w:rPr>
              <w:t>x</w:t>
            </w:r>
          </w:p>
        </w:tc>
        <w:tc>
          <w:tcPr>
            <w:tcW w:w="851" w:type="dxa"/>
            <w:vAlign w:val="center"/>
          </w:tcPr>
          <w:p w14:paraId="48D16565" w14:textId="77777777" w:rsidR="00263924" w:rsidRPr="004901F2" w:rsidRDefault="00F2709B" w:rsidP="004901F2">
            <w:pPr>
              <w:spacing w:before="40" w:after="40" w:line="300" w:lineRule="atLeast"/>
              <w:jc w:val="center"/>
              <w:rPr>
                <w:rFonts w:ascii="Arial" w:hAnsi="Arial" w:cs="Arial"/>
                <w:sz w:val="16"/>
                <w:szCs w:val="16"/>
              </w:rPr>
            </w:pPr>
            <w:r w:rsidRPr="004901F2">
              <w:rPr>
                <w:rFonts w:ascii="Arial" w:hAnsi="Arial" w:cs="Arial"/>
                <w:sz w:val="16"/>
                <w:szCs w:val="16"/>
              </w:rPr>
              <w:t>x</w:t>
            </w:r>
          </w:p>
        </w:tc>
        <w:tc>
          <w:tcPr>
            <w:tcW w:w="992" w:type="dxa"/>
            <w:vAlign w:val="center"/>
          </w:tcPr>
          <w:p w14:paraId="242BC236" w14:textId="77777777" w:rsidR="00263924" w:rsidRPr="004901F2" w:rsidRDefault="00263924" w:rsidP="004901F2">
            <w:pPr>
              <w:spacing w:before="40" w:after="40" w:line="300" w:lineRule="atLeast"/>
              <w:jc w:val="center"/>
              <w:rPr>
                <w:rFonts w:ascii="Arial" w:hAnsi="Arial" w:cs="Arial"/>
                <w:sz w:val="16"/>
                <w:szCs w:val="16"/>
              </w:rPr>
            </w:pPr>
          </w:p>
        </w:tc>
        <w:tc>
          <w:tcPr>
            <w:tcW w:w="992" w:type="dxa"/>
            <w:vAlign w:val="center"/>
          </w:tcPr>
          <w:p w14:paraId="3DC66862" w14:textId="77777777" w:rsidR="00263924" w:rsidRPr="004901F2" w:rsidRDefault="00F2709B" w:rsidP="004901F2">
            <w:pPr>
              <w:spacing w:before="40" w:after="40" w:line="300" w:lineRule="atLeast"/>
              <w:jc w:val="center"/>
              <w:rPr>
                <w:rFonts w:ascii="Arial" w:hAnsi="Arial" w:cs="Arial"/>
                <w:sz w:val="16"/>
                <w:szCs w:val="16"/>
              </w:rPr>
            </w:pPr>
            <w:r w:rsidRPr="004901F2">
              <w:rPr>
                <w:rFonts w:ascii="Arial" w:hAnsi="Arial" w:cs="Arial"/>
                <w:sz w:val="16"/>
                <w:szCs w:val="16"/>
              </w:rPr>
              <w:t>x</w:t>
            </w:r>
          </w:p>
        </w:tc>
        <w:tc>
          <w:tcPr>
            <w:tcW w:w="1099" w:type="dxa"/>
            <w:vAlign w:val="center"/>
          </w:tcPr>
          <w:p w14:paraId="7F9F5E79" w14:textId="77777777" w:rsidR="00263924" w:rsidRPr="004901F2" w:rsidRDefault="00F2709B" w:rsidP="004901F2">
            <w:pPr>
              <w:spacing w:before="40" w:after="40" w:line="300" w:lineRule="atLeast"/>
              <w:jc w:val="center"/>
              <w:rPr>
                <w:rFonts w:ascii="Arial" w:hAnsi="Arial" w:cs="Arial"/>
                <w:sz w:val="16"/>
                <w:szCs w:val="16"/>
              </w:rPr>
            </w:pPr>
            <w:r w:rsidRPr="004901F2">
              <w:rPr>
                <w:rFonts w:ascii="Arial" w:hAnsi="Arial" w:cs="Arial"/>
                <w:sz w:val="16"/>
                <w:szCs w:val="16"/>
              </w:rPr>
              <w:t>OW</w:t>
            </w:r>
          </w:p>
        </w:tc>
      </w:tr>
      <w:tr w:rsidR="004901F2" w:rsidRPr="004901F2" w14:paraId="054F8E88" w14:textId="77777777" w:rsidTr="00A63D3B">
        <w:tc>
          <w:tcPr>
            <w:tcW w:w="851" w:type="dxa"/>
            <w:vAlign w:val="center"/>
          </w:tcPr>
          <w:p w14:paraId="1536E493" w14:textId="77777777" w:rsidR="00263924" w:rsidRPr="004901F2" w:rsidRDefault="00F2709B" w:rsidP="004901F2">
            <w:pPr>
              <w:spacing w:before="40" w:after="40" w:line="300" w:lineRule="atLeast"/>
              <w:rPr>
                <w:rFonts w:ascii="Arial" w:hAnsi="Arial" w:cs="Arial"/>
                <w:sz w:val="16"/>
                <w:szCs w:val="16"/>
              </w:rPr>
            </w:pPr>
            <w:r w:rsidRPr="004901F2">
              <w:rPr>
                <w:rFonts w:ascii="Arial" w:hAnsi="Arial" w:cs="Arial"/>
                <w:sz w:val="16"/>
                <w:szCs w:val="16"/>
              </w:rPr>
              <w:t>5.1.6</w:t>
            </w:r>
          </w:p>
        </w:tc>
        <w:tc>
          <w:tcPr>
            <w:tcW w:w="2693" w:type="dxa"/>
            <w:vAlign w:val="center"/>
          </w:tcPr>
          <w:p w14:paraId="75EB9E16" w14:textId="77777777" w:rsidR="00263924" w:rsidRPr="004901F2" w:rsidRDefault="00F2709B" w:rsidP="004901F2">
            <w:pPr>
              <w:spacing w:before="40" w:after="40" w:line="300" w:lineRule="atLeast"/>
              <w:rPr>
                <w:rFonts w:ascii="Arial" w:hAnsi="Arial" w:cs="Arial"/>
                <w:sz w:val="16"/>
                <w:szCs w:val="16"/>
              </w:rPr>
            </w:pPr>
            <w:r w:rsidRPr="004901F2">
              <w:rPr>
                <w:rFonts w:ascii="Arial" w:hAnsi="Arial" w:cs="Arial"/>
                <w:sz w:val="16"/>
                <w:szCs w:val="16"/>
              </w:rPr>
              <w:t>Biomass fired power and heat production</w:t>
            </w:r>
          </w:p>
        </w:tc>
        <w:tc>
          <w:tcPr>
            <w:tcW w:w="850" w:type="dxa"/>
            <w:vAlign w:val="center"/>
          </w:tcPr>
          <w:p w14:paraId="6B1CA528" w14:textId="77777777" w:rsidR="00263924" w:rsidRPr="004901F2" w:rsidRDefault="00F2709B" w:rsidP="004901F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44F8D06A" w14:textId="77777777" w:rsidR="00263924" w:rsidRPr="004901F2" w:rsidRDefault="00F2709B" w:rsidP="004901F2">
            <w:pPr>
              <w:spacing w:before="40" w:after="40" w:line="300" w:lineRule="atLeast"/>
              <w:jc w:val="center"/>
              <w:rPr>
                <w:rFonts w:ascii="Arial" w:hAnsi="Arial" w:cs="Arial"/>
                <w:sz w:val="16"/>
                <w:szCs w:val="16"/>
              </w:rPr>
            </w:pPr>
            <w:r w:rsidRPr="004901F2">
              <w:rPr>
                <w:rFonts w:ascii="Arial" w:hAnsi="Arial" w:cs="Arial"/>
                <w:sz w:val="16"/>
                <w:szCs w:val="16"/>
              </w:rPr>
              <w:t>x</w:t>
            </w:r>
          </w:p>
        </w:tc>
        <w:tc>
          <w:tcPr>
            <w:tcW w:w="851" w:type="dxa"/>
            <w:vAlign w:val="center"/>
          </w:tcPr>
          <w:p w14:paraId="1860471B" w14:textId="77777777" w:rsidR="00263924" w:rsidRPr="004901F2" w:rsidRDefault="00F2709B" w:rsidP="004901F2">
            <w:pPr>
              <w:spacing w:before="40" w:after="40" w:line="300" w:lineRule="atLeast"/>
              <w:jc w:val="center"/>
              <w:rPr>
                <w:rFonts w:ascii="Arial" w:hAnsi="Arial" w:cs="Arial"/>
                <w:sz w:val="16"/>
                <w:szCs w:val="16"/>
              </w:rPr>
            </w:pPr>
            <w:r w:rsidRPr="004901F2">
              <w:rPr>
                <w:rFonts w:ascii="Arial" w:hAnsi="Arial" w:cs="Arial"/>
                <w:sz w:val="16"/>
                <w:szCs w:val="16"/>
              </w:rPr>
              <w:t>x</w:t>
            </w:r>
          </w:p>
        </w:tc>
        <w:tc>
          <w:tcPr>
            <w:tcW w:w="992" w:type="dxa"/>
            <w:vAlign w:val="center"/>
          </w:tcPr>
          <w:p w14:paraId="40948D0F" w14:textId="77777777" w:rsidR="00263924" w:rsidRPr="004901F2" w:rsidRDefault="00263924" w:rsidP="004901F2">
            <w:pPr>
              <w:spacing w:before="40" w:after="40" w:line="300" w:lineRule="atLeast"/>
              <w:jc w:val="center"/>
              <w:rPr>
                <w:rFonts w:ascii="Arial" w:hAnsi="Arial" w:cs="Arial"/>
                <w:sz w:val="16"/>
                <w:szCs w:val="16"/>
              </w:rPr>
            </w:pPr>
          </w:p>
        </w:tc>
        <w:tc>
          <w:tcPr>
            <w:tcW w:w="992" w:type="dxa"/>
            <w:vAlign w:val="center"/>
          </w:tcPr>
          <w:p w14:paraId="1DF43F69" w14:textId="77777777" w:rsidR="00263924" w:rsidRPr="004901F2" w:rsidRDefault="00F2709B" w:rsidP="004901F2">
            <w:pPr>
              <w:spacing w:before="40" w:after="40" w:line="300" w:lineRule="atLeast"/>
              <w:jc w:val="center"/>
              <w:rPr>
                <w:rFonts w:ascii="Arial" w:hAnsi="Arial" w:cs="Arial"/>
                <w:sz w:val="16"/>
                <w:szCs w:val="16"/>
              </w:rPr>
            </w:pPr>
            <w:r w:rsidRPr="004901F2">
              <w:rPr>
                <w:rFonts w:ascii="Arial" w:hAnsi="Arial" w:cs="Arial"/>
                <w:sz w:val="16"/>
                <w:szCs w:val="16"/>
              </w:rPr>
              <w:t>x</w:t>
            </w:r>
          </w:p>
        </w:tc>
        <w:tc>
          <w:tcPr>
            <w:tcW w:w="1099" w:type="dxa"/>
            <w:vAlign w:val="center"/>
          </w:tcPr>
          <w:p w14:paraId="3E315325" w14:textId="77777777" w:rsidR="00263924" w:rsidRPr="004901F2" w:rsidRDefault="00F2709B" w:rsidP="004901F2">
            <w:pPr>
              <w:spacing w:before="40" w:after="40" w:line="300" w:lineRule="atLeast"/>
              <w:jc w:val="center"/>
              <w:rPr>
                <w:rFonts w:ascii="Arial" w:hAnsi="Arial" w:cs="Arial"/>
                <w:sz w:val="16"/>
                <w:szCs w:val="16"/>
              </w:rPr>
            </w:pPr>
            <w:r w:rsidRPr="004901F2">
              <w:rPr>
                <w:rFonts w:ascii="Arial" w:hAnsi="Arial" w:cs="Arial"/>
                <w:sz w:val="16"/>
                <w:szCs w:val="16"/>
              </w:rPr>
              <w:t>OW</w:t>
            </w:r>
          </w:p>
        </w:tc>
      </w:tr>
      <w:tr w:rsidR="004901F2" w:rsidRPr="004901F2" w14:paraId="00BB6CEE" w14:textId="77777777" w:rsidTr="00A63D3B">
        <w:tc>
          <w:tcPr>
            <w:tcW w:w="851" w:type="dxa"/>
            <w:vAlign w:val="center"/>
          </w:tcPr>
          <w:p w14:paraId="581BB3F2" w14:textId="77777777" w:rsidR="00263924" w:rsidRPr="004901F2" w:rsidRDefault="00F2709B" w:rsidP="004901F2">
            <w:pPr>
              <w:spacing w:before="40" w:after="40" w:line="300" w:lineRule="atLeast"/>
              <w:rPr>
                <w:rFonts w:ascii="Arial" w:hAnsi="Arial" w:cs="Arial"/>
                <w:sz w:val="16"/>
                <w:szCs w:val="16"/>
              </w:rPr>
            </w:pPr>
            <w:r w:rsidRPr="004901F2">
              <w:rPr>
                <w:rFonts w:ascii="Arial" w:hAnsi="Arial" w:cs="Arial"/>
                <w:sz w:val="16"/>
                <w:szCs w:val="16"/>
              </w:rPr>
              <w:t>5.1.7</w:t>
            </w:r>
          </w:p>
        </w:tc>
        <w:tc>
          <w:tcPr>
            <w:tcW w:w="2693" w:type="dxa"/>
            <w:vAlign w:val="center"/>
          </w:tcPr>
          <w:p w14:paraId="39D34220" w14:textId="77777777" w:rsidR="00263924" w:rsidRPr="004901F2" w:rsidRDefault="00F2709B" w:rsidP="004901F2">
            <w:pPr>
              <w:spacing w:before="40" w:after="40" w:line="300" w:lineRule="atLeast"/>
              <w:rPr>
                <w:rFonts w:ascii="Arial" w:hAnsi="Arial" w:cs="Arial"/>
                <w:sz w:val="16"/>
                <w:szCs w:val="16"/>
              </w:rPr>
            </w:pPr>
            <w:r w:rsidRPr="004901F2">
              <w:rPr>
                <w:rFonts w:ascii="Arial" w:hAnsi="Arial" w:cs="Arial"/>
                <w:sz w:val="16"/>
                <w:szCs w:val="16"/>
              </w:rPr>
              <w:t>Geothermal power production</w:t>
            </w:r>
          </w:p>
        </w:tc>
        <w:tc>
          <w:tcPr>
            <w:tcW w:w="850" w:type="dxa"/>
            <w:vAlign w:val="center"/>
          </w:tcPr>
          <w:p w14:paraId="789C9F16" w14:textId="77777777" w:rsidR="00263924" w:rsidRPr="004901F2" w:rsidRDefault="00F2709B" w:rsidP="004901F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2B900A8D" w14:textId="77777777" w:rsidR="00263924" w:rsidRPr="004901F2" w:rsidRDefault="00263924" w:rsidP="004901F2">
            <w:pPr>
              <w:spacing w:before="40" w:after="40" w:line="300" w:lineRule="atLeast"/>
              <w:jc w:val="center"/>
              <w:rPr>
                <w:rFonts w:ascii="Arial" w:hAnsi="Arial" w:cs="Arial"/>
                <w:sz w:val="16"/>
                <w:szCs w:val="16"/>
              </w:rPr>
            </w:pPr>
          </w:p>
        </w:tc>
        <w:tc>
          <w:tcPr>
            <w:tcW w:w="851" w:type="dxa"/>
            <w:vAlign w:val="center"/>
          </w:tcPr>
          <w:p w14:paraId="4FF18AEE" w14:textId="77777777" w:rsidR="00263924" w:rsidRPr="004901F2" w:rsidRDefault="00263924" w:rsidP="004901F2">
            <w:pPr>
              <w:spacing w:before="40" w:after="40" w:line="300" w:lineRule="atLeast"/>
              <w:jc w:val="center"/>
              <w:rPr>
                <w:rFonts w:ascii="Arial" w:hAnsi="Arial" w:cs="Arial"/>
                <w:sz w:val="16"/>
                <w:szCs w:val="16"/>
              </w:rPr>
            </w:pPr>
          </w:p>
        </w:tc>
        <w:tc>
          <w:tcPr>
            <w:tcW w:w="992" w:type="dxa"/>
            <w:vAlign w:val="center"/>
          </w:tcPr>
          <w:p w14:paraId="006B9FC9" w14:textId="77777777" w:rsidR="00263924" w:rsidRPr="004901F2" w:rsidRDefault="00263924" w:rsidP="004901F2">
            <w:pPr>
              <w:spacing w:before="40" w:after="40" w:line="300" w:lineRule="atLeast"/>
              <w:jc w:val="center"/>
              <w:rPr>
                <w:rFonts w:ascii="Arial" w:hAnsi="Arial" w:cs="Arial"/>
                <w:sz w:val="16"/>
                <w:szCs w:val="16"/>
              </w:rPr>
            </w:pPr>
          </w:p>
        </w:tc>
        <w:tc>
          <w:tcPr>
            <w:tcW w:w="992" w:type="dxa"/>
            <w:vAlign w:val="center"/>
          </w:tcPr>
          <w:p w14:paraId="3BDD94E5" w14:textId="77777777" w:rsidR="00263924" w:rsidRPr="004901F2" w:rsidRDefault="00263924" w:rsidP="004901F2">
            <w:pPr>
              <w:spacing w:before="40" w:after="40" w:line="300" w:lineRule="atLeast"/>
              <w:jc w:val="center"/>
              <w:rPr>
                <w:rFonts w:ascii="Arial" w:hAnsi="Arial" w:cs="Arial"/>
                <w:sz w:val="16"/>
                <w:szCs w:val="16"/>
              </w:rPr>
            </w:pPr>
          </w:p>
        </w:tc>
        <w:tc>
          <w:tcPr>
            <w:tcW w:w="1099" w:type="dxa"/>
            <w:vAlign w:val="center"/>
          </w:tcPr>
          <w:p w14:paraId="3EA5FBD8" w14:textId="77777777" w:rsidR="00263924" w:rsidRPr="004901F2" w:rsidRDefault="00F2709B" w:rsidP="004901F2">
            <w:pPr>
              <w:spacing w:before="40" w:after="40" w:line="300" w:lineRule="atLeast"/>
              <w:jc w:val="center"/>
              <w:rPr>
                <w:rFonts w:ascii="Arial" w:hAnsi="Arial" w:cs="Arial"/>
                <w:sz w:val="16"/>
                <w:szCs w:val="16"/>
              </w:rPr>
            </w:pPr>
            <w:r w:rsidRPr="004901F2">
              <w:rPr>
                <w:rFonts w:ascii="Arial" w:hAnsi="Arial" w:cs="Arial"/>
                <w:sz w:val="16"/>
                <w:szCs w:val="16"/>
              </w:rPr>
              <w:t>PS</w:t>
            </w:r>
          </w:p>
        </w:tc>
      </w:tr>
    </w:tbl>
    <w:p w14:paraId="314EA9AC" w14:textId="77777777" w:rsidR="00263924" w:rsidRPr="00582EF2" w:rsidRDefault="00263924" w:rsidP="00D979C5">
      <w:pPr>
        <w:spacing w:before="60" w:after="60" w:line="260" w:lineRule="exact"/>
        <w:jc w:val="both"/>
        <w:rPr>
          <w:rFonts w:ascii="Arial" w:hAnsi="Arial" w:cs="Arial"/>
          <w:sz w:val="16"/>
          <w:szCs w:val="18"/>
        </w:rPr>
      </w:pPr>
      <w:r w:rsidRPr="00582EF2">
        <w:rPr>
          <w:rFonts w:ascii="Arial" w:hAnsi="Arial" w:cs="Arial"/>
          <w:sz w:val="16"/>
          <w:szCs w:val="18"/>
        </w:rPr>
        <w:t xml:space="preserve">Notes: </w:t>
      </w:r>
      <w:r w:rsidR="00F2709B" w:rsidRPr="00582EF2">
        <w:rPr>
          <w:rFonts w:ascii="Arial" w:hAnsi="Arial" w:cs="Arial"/>
          <w:sz w:val="16"/>
          <w:szCs w:val="18"/>
        </w:rPr>
        <w:tab/>
      </w:r>
      <w:r w:rsidRPr="00582EF2">
        <w:rPr>
          <w:rFonts w:ascii="Arial" w:hAnsi="Arial" w:cs="Arial"/>
          <w:sz w:val="16"/>
          <w:szCs w:val="18"/>
        </w:rPr>
        <w:t>PS = Point source by point source approach; OW = National/overview approach;</w:t>
      </w:r>
    </w:p>
    <w:p w14:paraId="31D002B4" w14:textId="77777777" w:rsidR="00263924" w:rsidRPr="00582EF2" w:rsidRDefault="00263924" w:rsidP="00D979C5">
      <w:pPr>
        <w:spacing w:after="60" w:line="260" w:lineRule="exact"/>
        <w:ind w:firstLine="720"/>
        <w:jc w:val="both"/>
        <w:rPr>
          <w:rFonts w:ascii="Arial" w:hAnsi="Arial" w:cs="Arial"/>
          <w:sz w:val="16"/>
          <w:szCs w:val="18"/>
        </w:rPr>
      </w:pPr>
      <w:r w:rsidRPr="00582EF2">
        <w:rPr>
          <w:rFonts w:ascii="Arial" w:hAnsi="Arial" w:cs="Arial"/>
          <w:b/>
          <w:sz w:val="16"/>
          <w:szCs w:val="18"/>
        </w:rPr>
        <w:t>X</w:t>
      </w:r>
      <w:r w:rsidRPr="00582EF2">
        <w:rPr>
          <w:rFonts w:ascii="Arial" w:hAnsi="Arial" w:cs="Arial"/>
          <w:sz w:val="16"/>
          <w:szCs w:val="18"/>
        </w:rPr>
        <w:t xml:space="preserve"> - Release pathway expected to be predominant for the sub-category;</w:t>
      </w:r>
    </w:p>
    <w:p w14:paraId="140482DB" w14:textId="77777777" w:rsidR="004A5E45" w:rsidRPr="00582EF2" w:rsidRDefault="00263924" w:rsidP="00D979C5">
      <w:pPr>
        <w:spacing w:after="60" w:line="260" w:lineRule="exact"/>
        <w:ind w:firstLine="720"/>
        <w:jc w:val="both"/>
        <w:rPr>
          <w:rFonts w:ascii="Arial" w:hAnsi="Arial" w:cs="Arial"/>
          <w:sz w:val="16"/>
          <w:szCs w:val="18"/>
        </w:rPr>
      </w:pPr>
      <w:r w:rsidRPr="00582EF2">
        <w:rPr>
          <w:rFonts w:ascii="Arial" w:hAnsi="Arial" w:cs="Arial"/>
          <w:sz w:val="16"/>
          <w:szCs w:val="18"/>
        </w:rPr>
        <w:t>x - Additional release pathways to be considered, depending on specific source and national situation.</w:t>
      </w:r>
    </w:p>
    <w:p w14:paraId="0C1CC405" w14:textId="77777777" w:rsidR="00A51AE5" w:rsidRPr="00A311F7" w:rsidRDefault="00B11F8B" w:rsidP="00135B26">
      <w:pPr>
        <w:pStyle w:val="Heading2"/>
      </w:pPr>
      <w:bookmarkStart w:id="27" w:name="_Toc110355512"/>
      <w:r w:rsidRPr="00A311F7">
        <w:t xml:space="preserve">Coal </w:t>
      </w:r>
      <w:r w:rsidR="00A97D5C" w:rsidRPr="00A311F7">
        <w:t>combustion in large power plants</w:t>
      </w:r>
      <w:bookmarkEnd w:id="27"/>
    </w:p>
    <w:p w14:paraId="4698B557" w14:textId="69CBA18C" w:rsidR="00886F6F" w:rsidRDefault="002343BA" w:rsidP="003833D6">
      <w:pPr>
        <w:spacing w:line="300" w:lineRule="atLeast"/>
        <w:jc w:val="both"/>
        <w:rPr>
          <w:szCs w:val="18"/>
        </w:rPr>
      </w:pPr>
      <w:r>
        <w:rPr>
          <w:szCs w:val="18"/>
        </w:rPr>
        <w:t xml:space="preserve">The UNEP </w:t>
      </w:r>
      <w:r w:rsidR="00886F6F">
        <w:rPr>
          <w:szCs w:val="18"/>
        </w:rPr>
        <w:t xml:space="preserve">Toolkit </w:t>
      </w:r>
      <w:r>
        <w:rPr>
          <w:szCs w:val="18"/>
        </w:rPr>
        <w:t xml:space="preserve">defines large power plants as those with a capacity greater than </w:t>
      </w:r>
      <w:r w:rsidR="00886F6F">
        <w:rPr>
          <w:szCs w:val="18"/>
        </w:rPr>
        <w:t>300MW</w:t>
      </w:r>
      <w:r>
        <w:rPr>
          <w:szCs w:val="18"/>
        </w:rPr>
        <w:t xml:space="preserve">. The only coal-fired installation of this size within New Zealand is the Huntly Power Station </w:t>
      </w:r>
      <w:r w:rsidR="002B4DAC">
        <w:rPr>
          <w:szCs w:val="18"/>
        </w:rPr>
        <w:t xml:space="preserve">run by Genesis Energy </w:t>
      </w:r>
      <w:r>
        <w:rPr>
          <w:szCs w:val="18"/>
        </w:rPr>
        <w:t>which, when first built, had a capacity of 1000 MW</w:t>
      </w:r>
      <w:r w:rsidR="00B0333C">
        <w:rPr>
          <w:szCs w:val="18"/>
        </w:rPr>
        <w:t>.</w:t>
      </w:r>
      <w:r>
        <w:rPr>
          <w:szCs w:val="18"/>
        </w:rPr>
        <w:t xml:space="preserve"> This was based on four separate </w:t>
      </w:r>
      <w:r w:rsidR="00B2648D">
        <w:rPr>
          <w:szCs w:val="18"/>
        </w:rPr>
        <w:t>Rankine</w:t>
      </w:r>
      <w:r w:rsidR="0016055E">
        <w:rPr>
          <w:szCs w:val="18"/>
        </w:rPr>
        <w:t xml:space="preserve"> </w:t>
      </w:r>
      <w:r>
        <w:rPr>
          <w:szCs w:val="18"/>
        </w:rPr>
        <w:t>units of 250 MW each</w:t>
      </w:r>
      <w:r w:rsidR="0016055E">
        <w:rPr>
          <w:szCs w:val="18"/>
        </w:rPr>
        <w:t xml:space="preserve"> – known as Units 1 to 4</w:t>
      </w:r>
      <w:r w:rsidR="00142FE7">
        <w:rPr>
          <w:szCs w:val="18"/>
        </w:rPr>
        <w:t xml:space="preserve"> </w:t>
      </w:r>
      <w:r w:rsidR="0016055E">
        <w:rPr>
          <w:szCs w:val="18"/>
        </w:rPr>
        <w:t xml:space="preserve">- </w:t>
      </w:r>
      <w:r>
        <w:rPr>
          <w:szCs w:val="18"/>
        </w:rPr>
        <w:t xml:space="preserve">which could be fired on natural gas or coal. </w:t>
      </w:r>
      <w:r w:rsidR="00C54EEE">
        <w:rPr>
          <w:szCs w:val="18"/>
        </w:rPr>
        <w:t>One of the Rankine units has since been decommissioned permanently but three units were in full operation in 202</w:t>
      </w:r>
      <w:r w:rsidR="00BC53DC">
        <w:rPr>
          <w:szCs w:val="18"/>
        </w:rPr>
        <w:t>4</w:t>
      </w:r>
      <w:r w:rsidR="00B0333C">
        <w:rPr>
          <w:szCs w:val="18"/>
        </w:rPr>
        <w:t xml:space="preserve"> (MBIE,2025).</w:t>
      </w:r>
    </w:p>
    <w:p w14:paraId="6B71B1AB" w14:textId="02A42BE9" w:rsidR="0016055E" w:rsidRDefault="003926C7" w:rsidP="003833D6">
      <w:pPr>
        <w:spacing w:line="300" w:lineRule="atLeast"/>
        <w:jc w:val="both"/>
        <w:rPr>
          <w:szCs w:val="18"/>
        </w:rPr>
      </w:pPr>
      <w:r>
        <w:rPr>
          <w:szCs w:val="18"/>
        </w:rPr>
        <w:t>The amount of coal burnt in any particular year at Huntly power station is dependent on a number of factors including the amount of electricity that can be provided by hydro generation</w:t>
      </w:r>
      <w:r w:rsidR="00577A6D">
        <w:rPr>
          <w:szCs w:val="18"/>
        </w:rPr>
        <w:t>.</w:t>
      </w:r>
      <w:r w:rsidR="00402F49">
        <w:rPr>
          <w:szCs w:val="18"/>
        </w:rPr>
        <w:t xml:space="preserve"> 202</w:t>
      </w:r>
      <w:r w:rsidR="00BC53DC">
        <w:rPr>
          <w:szCs w:val="18"/>
        </w:rPr>
        <w:t>4 was an unfavourable year for hydro generation</w:t>
      </w:r>
      <w:r w:rsidR="002B23AB">
        <w:rPr>
          <w:szCs w:val="18"/>
        </w:rPr>
        <w:t xml:space="preserve"> and coupled with lower gas supply </w:t>
      </w:r>
      <w:r w:rsidR="00E62771">
        <w:rPr>
          <w:szCs w:val="18"/>
        </w:rPr>
        <w:t xml:space="preserve">and an un-planned outage </w:t>
      </w:r>
      <w:r w:rsidR="002B23AB">
        <w:rPr>
          <w:szCs w:val="18"/>
        </w:rPr>
        <w:t>for Huntly’s Unit 5 combined cycle gas turbine meant that coal use tripled from 5.68 PJ in 2023 to 18.47 PJ in 2024 (MBIE, 2025).</w:t>
      </w:r>
      <w:r w:rsidR="004A7B0B">
        <w:rPr>
          <w:szCs w:val="18"/>
        </w:rPr>
        <w:t>)</w:t>
      </w:r>
      <w:r w:rsidR="004A7B0B">
        <w:rPr>
          <w:rStyle w:val="FootnoteReference"/>
          <w:szCs w:val="18"/>
        </w:rPr>
        <w:footnoteReference w:id="3"/>
      </w:r>
      <w:r w:rsidR="00400A19" w:rsidRPr="00D20BA6">
        <w:rPr>
          <w:szCs w:val="18"/>
          <w:vertAlign w:val="superscript"/>
        </w:rPr>
        <w:t>,</w:t>
      </w:r>
      <w:r w:rsidR="004A7B0B">
        <w:rPr>
          <w:rStyle w:val="FootnoteReference"/>
          <w:szCs w:val="18"/>
        </w:rPr>
        <w:footnoteReference w:id="4"/>
      </w:r>
      <w:r w:rsidR="004A7B0B">
        <w:rPr>
          <w:szCs w:val="18"/>
        </w:rPr>
        <w:t>.</w:t>
      </w:r>
      <w:r w:rsidR="00400A19">
        <w:rPr>
          <w:szCs w:val="18"/>
        </w:rPr>
        <w:t xml:space="preserve"> </w:t>
      </w:r>
      <w:r w:rsidR="00A616A0">
        <w:rPr>
          <w:szCs w:val="18"/>
        </w:rPr>
        <w:t xml:space="preserve">2024 </w:t>
      </w:r>
      <w:r w:rsidR="00400A19">
        <w:rPr>
          <w:szCs w:val="18"/>
        </w:rPr>
        <w:t xml:space="preserve">coal consumption </w:t>
      </w:r>
      <w:r w:rsidR="00A616A0">
        <w:rPr>
          <w:szCs w:val="18"/>
        </w:rPr>
        <w:t>was in fact comparable to the 19.5 PJ used in the previous 2020 Inventory which was also a dry year.</w:t>
      </w:r>
    </w:p>
    <w:p w14:paraId="280DDA89" w14:textId="67F2588F" w:rsidR="002B4DAC" w:rsidRDefault="002B4DAC" w:rsidP="003833D6">
      <w:pPr>
        <w:spacing w:line="300" w:lineRule="atLeast"/>
        <w:jc w:val="both"/>
        <w:rPr>
          <w:szCs w:val="18"/>
        </w:rPr>
      </w:pPr>
      <w:r>
        <w:rPr>
          <w:szCs w:val="18"/>
        </w:rPr>
        <w:t>Genesis Energy is currently working to replace coal with biomass (carbonised wood pellets) and are targeting biomass use to exceed coal use by FY 28 provided a suitable fuel supply can be arranged (Genesis Energy, 2025)</w:t>
      </w:r>
    </w:p>
    <w:p w14:paraId="25F34555" w14:textId="2CA22494" w:rsidR="00764FC4" w:rsidRPr="003833D6" w:rsidRDefault="00764FC4" w:rsidP="00764FC4">
      <w:pPr>
        <w:spacing w:line="300" w:lineRule="atLeast"/>
        <w:jc w:val="both"/>
        <w:rPr>
          <w:szCs w:val="18"/>
        </w:rPr>
      </w:pPr>
      <w:r w:rsidRPr="009C5570">
        <w:rPr>
          <w:szCs w:val="18"/>
        </w:rPr>
        <w:t xml:space="preserve">The coal used at Huntly Power Station </w:t>
      </w:r>
      <w:r w:rsidRPr="00D20BA6">
        <w:rPr>
          <w:szCs w:val="18"/>
        </w:rPr>
        <w:t xml:space="preserve">in 2024 was principally coal imported from Indonesia comprising 85% with the remainder </w:t>
      </w:r>
      <w:r w:rsidRPr="009C5570">
        <w:rPr>
          <w:szCs w:val="18"/>
        </w:rPr>
        <w:t>Waikato sub-bituminous coal</w:t>
      </w:r>
      <w:r w:rsidRPr="00D20BA6">
        <w:rPr>
          <w:szCs w:val="18"/>
        </w:rPr>
        <w:t xml:space="preserve"> </w:t>
      </w:r>
      <w:r w:rsidRPr="009C5570">
        <w:rPr>
          <w:szCs w:val="18"/>
        </w:rPr>
        <w:t>from the Rotowaro mine</w:t>
      </w:r>
      <w:r w:rsidRPr="00D20BA6">
        <w:rPr>
          <w:szCs w:val="18"/>
        </w:rPr>
        <w:t>.</w:t>
      </w:r>
      <w:r w:rsidRPr="009C5570">
        <w:rPr>
          <w:szCs w:val="18"/>
        </w:rPr>
        <w:t xml:space="preserve"> The total coal consumption by Huntly Power Station in </w:t>
      </w:r>
      <w:r w:rsidRPr="00D20BA6">
        <w:rPr>
          <w:szCs w:val="18"/>
        </w:rPr>
        <w:t xml:space="preserve">2024 </w:t>
      </w:r>
      <w:r w:rsidRPr="009C5570">
        <w:rPr>
          <w:szCs w:val="18"/>
        </w:rPr>
        <w:t xml:space="preserve">was </w:t>
      </w:r>
      <w:r w:rsidRPr="00D20BA6">
        <w:rPr>
          <w:szCs w:val="18"/>
        </w:rPr>
        <w:t>870,446</w:t>
      </w:r>
      <w:r w:rsidRPr="009C5570">
        <w:rPr>
          <w:szCs w:val="18"/>
        </w:rPr>
        <w:t xml:space="preserve"> tonnes</w:t>
      </w:r>
      <w:r w:rsidRPr="00D20BA6">
        <w:rPr>
          <w:szCs w:val="18"/>
        </w:rPr>
        <w:t xml:space="preserve"> </w:t>
      </w:r>
      <w:r w:rsidRPr="009C5570">
        <w:rPr>
          <w:szCs w:val="18"/>
        </w:rPr>
        <w:t>(</w:t>
      </w:r>
      <w:r w:rsidRPr="00D20BA6">
        <w:rPr>
          <w:szCs w:val="18"/>
        </w:rPr>
        <w:t>M Hodges</w:t>
      </w:r>
      <w:r w:rsidRPr="009C5570">
        <w:rPr>
          <w:szCs w:val="18"/>
        </w:rPr>
        <w:t>, Genesis Energy, pers comm, 202</w:t>
      </w:r>
      <w:r w:rsidRPr="00D20BA6">
        <w:rPr>
          <w:szCs w:val="18"/>
        </w:rPr>
        <w:t>5</w:t>
      </w:r>
      <w:r w:rsidRPr="009C5570">
        <w:rPr>
          <w:szCs w:val="18"/>
        </w:rPr>
        <w:t>).</w:t>
      </w:r>
    </w:p>
    <w:p w14:paraId="0B0F6627" w14:textId="69B373BA" w:rsidR="00E75E39" w:rsidRDefault="00764FC4" w:rsidP="003833D6">
      <w:pPr>
        <w:spacing w:line="300" w:lineRule="atLeast"/>
        <w:jc w:val="both"/>
        <w:rPr>
          <w:szCs w:val="18"/>
        </w:rPr>
      </w:pPr>
      <w:r>
        <w:rPr>
          <w:szCs w:val="18"/>
        </w:rPr>
        <w:t>T</w:t>
      </w:r>
      <w:r w:rsidR="002821B0">
        <w:rPr>
          <w:szCs w:val="18"/>
        </w:rPr>
        <w:t>he m</w:t>
      </w:r>
      <w:r w:rsidR="003A0193">
        <w:rPr>
          <w:szCs w:val="18"/>
        </w:rPr>
        <w:t xml:space="preserve">ercury content </w:t>
      </w:r>
      <w:r w:rsidR="002821B0">
        <w:rPr>
          <w:szCs w:val="18"/>
        </w:rPr>
        <w:t xml:space="preserve">of the coal used at Huntly Power Station </w:t>
      </w:r>
      <w:r w:rsidR="00A236B5">
        <w:rPr>
          <w:szCs w:val="18"/>
        </w:rPr>
        <w:t>was summarised in the 2012</w:t>
      </w:r>
      <w:r w:rsidR="00885385">
        <w:rPr>
          <w:szCs w:val="18"/>
        </w:rPr>
        <w:t xml:space="preserve"> Inventory Report and no new data is available. </w:t>
      </w:r>
      <w:r w:rsidR="00E75E39">
        <w:rPr>
          <w:szCs w:val="18"/>
        </w:rPr>
        <w:t>The</w:t>
      </w:r>
      <w:r w:rsidR="00885385">
        <w:rPr>
          <w:szCs w:val="18"/>
        </w:rPr>
        <w:t>refore the</w:t>
      </w:r>
      <w:r w:rsidR="00E75E39">
        <w:rPr>
          <w:szCs w:val="18"/>
        </w:rPr>
        <w:t xml:space="preserve"> mercury input calculations </w:t>
      </w:r>
      <w:r w:rsidR="00885385">
        <w:rPr>
          <w:szCs w:val="18"/>
        </w:rPr>
        <w:t xml:space="preserve">have been based on the same range as used for the 2012 estimates </w:t>
      </w:r>
      <w:r w:rsidR="00E75E39">
        <w:rPr>
          <w:szCs w:val="18"/>
        </w:rPr>
        <w:t>(ie 0.0</w:t>
      </w:r>
      <w:r w:rsidR="00E1319A">
        <w:rPr>
          <w:szCs w:val="18"/>
        </w:rPr>
        <w:t>2</w:t>
      </w:r>
      <w:r w:rsidR="00885385">
        <w:rPr>
          <w:szCs w:val="18"/>
        </w:rPr>
        <w:t xml:space="preserve"> – 0.19 mg/kg</w:t>
      </w:r>
      <w:r w:rsidR="00E75E39">
        <w:rPr>
          <w:szCs w:val="18"/>
        </w:rPr>
        <w:t xml:space="preserve">, with no distinction between </w:t>
      </w:r>
      <w:r w:rsidR="00885385">
        <w:rPr>
          <w:szCs w:val="18"/>
        </w:rPr>
        <w:t>Waikato</w:t>
      </w:r>
      <w:r w:rsidR="00E75E39">
        <w:rPr>
          <w:szCs w:val="18"/>
        </w:rPr>
        <w:t xml:space="preserve"> and Indonesian coal</w:t>
      </w:r>
      <w:r w:rsidR="00885385">
        <w:rPr>
          <w:szCs w:val="18"/>
        </w:rPr>
        <w:t>)</w:t>
      </w:r>
      <w:r w:rsidR="00E75E39">
        <w:rPr>
          <w:szCs w:val="18"/>
        </w:rPr>
        <w:t>.</w:t>
      </w:r>
    </w:p>
    <w:p w14:paraId="68CE98AB" w14:textId="77777777" w:rsidR="00284760" w:rsidRDefault="00E75E39" w:rsidP="003833D6">
      <w:pPr>
        <w:spacing w:line="300" w:lineRule="atLeast"/>
        <w:jc w:val="both"/>
        <w:rPr>
          <w:szCs w:val="18"/>
        </w:rPr>
      </w:pPr>
      <w:r>
        <w:rPr>
          <w:szCs w:val="18"/>
        </w:rPr>
        <w:t>The Huntly Power Station units are fitted with electrostatic precipitators for the control of particulate emissions to air</w:t>
      </w:r>
      <w:r w:rsidR="00885385">
        <w:rPr>
          <w:szCs w:val="18"/>
        </w:rPr>
        <w:t xml:space="preserve">, and the output calculations are based on </w:t>
      </w:r>
      <w:r>
        <w:rPr>
          <w:szCs w:val="18"/>
        </w:rPr>
        <w:t xml:space="preserve">the Toolkit default factors </w:t>
      </w:r>
      <w:r w:rsidR="00885385">
        <w:rPr>
          <w:szCs w:val="18"/>
        </w:rPr>
        <w:t>of</w:t>
      </w:r>
      <w:r>
        <w:rPr>
          <w:szCs w:val="18"/>
        </w:rPr>
        <w:t xml:space="preserve"> 90% </w:t>
      </w:r>
      <w:r w:rsidR="00885385">
        <w:rPr>
          <w:szCs w:val="18"/>
        </w:rPr>
        <w:t xml:space="preserve">being released </w:t>
      </w:r>
      <w:r>
        <w:rPr>
          <w:szCs w:val="18"/>
        </w:rPr>
        <w:t>to air</w:t>
      </w:r>
      <w:r w:rsidR="002F4E3D">
        <w:rPr>
          <w:szCs w:val="18"/>
        </w:rPr>
        <w:t xml:space="preserve"> and</w:t>
      </w:r>
      <w:r>
        <w:rPr>
          <w:szCs w:val="18"/>
        </w:rPr>
        <w:t xml:space="preserve"> 10% to ash</w:t>
      </w:r>
      <w:r w:rsidR="00885385">
        <w:rPr>
          <w:szCs w:val="18"/>
        </w:rPr>
        <w:t xml:space="preserve">. </w:t>
      </w:r>
      <w:r w:rsidR="00555C25">
        <w:rPr>
          <w:szCs w:val="18"/>
        </w:rPr>
        <w:t>T</w:t>
      </w:r>
      <w:r>
        <w:rPr>
          <w:szCs w:val="18"/>
        </w:rPr>
        <w:t>he fly</w:t>
      </w:r>
      <w:r w:rsidR="00284760">
        <w:rPr>
          <w:szCs w:val="18"/>
        </w:rPr>
        <w:t xml:space="preserve"> </w:t>
      </w:r>
      <w:r>
        <w:rPr>
          <w:szCs w:val="18"/>
        </w:rPr>
        <w:t>ash collected by the Huntly precipitators is disposed to land in a specially designed ash disposal facility</w:t>
      </w:r>
      <w:r w:rsidR="002F4E3D">
        <w:rPr>
          <w:szCs w:val="18"/>
        </w:rPr>
        <w:t xml:space="preserve"> and</w:t>
      </w:r>
      <w:r w:rsidR="00555C25">
        <w:rPr>
          <w:szCs w:val="18"/>
        </w:rPr>
        <w:t>,</w:t>
      </w:r>
      <w:r w:rsidR="00555C25" w:rsidRPr="00555C25">
        <w:rPr>
          <w:szCs w:val="18"/>
        </w:rPr>
        <w:t xml:space="preserve"> </w:t>
      </w:r>
      <w:r w:rsidR="002F4E3D">
        <w:rPr>
          <w:szCs w:val="18"/>
        </w:rPr>
        <w:t>in accordance with the rationale provided in section 2.2, has been classed as a release to land.</w:t>
      </w:r>
    </w:p>
    <w:p w14:paraId="58C3C24B" w14:textId="6EDA3470" w:rsidR="00284760" w:rsidRDefault="00284760" w:rsidP="003833D6">
      <w:pPr>
        <w:spacing w:line="300" w:lineRule="atLeast"/>
        <w:jc w:val="both"/>
        <w:rPr>
          <w:szCs w:val="18"/>
        </w:rPr>
      </w:pPr>
      <w:r>
        <w:rPr>
          <w:szCs w:val="18"/>
        </w:rPr>
        <w:t>The mercury input and out</w:t>
      </w:r>
      <w:r w:rsidR="00964BDB">
        <w:rPr>
          <w:szCs w:val="18"/>
        </w:rPr>
        <w:t>put calculations for the power s</w:t>
      </w:r>
      <w:r>
        <w:rPr>
          <w:szCs w:val="18"/>
        </w:rPr>
        <w:t xml:space="preserve">tation are shown </w:t>
      </w:r>
      <w:r w:rsidRPr="00284760">
        <w:rPr>
          <w:szCs w:val="18"/>
        </w:rPr>
        <w:t xml:space="preserve">in </w:t>
      </w:r>
      <w:r w:rsidR="00964BDB" w:rsidRPr="00964BDB">
        <w:rPr>
          <w:szCs w:val="18"/>
        </w:rPr>
        <w:fldChar w:fldCharType="begin"/>
      </w:r>
      <w:r w:rsidR="00964BDB" w:rsidRPr="00964BDB">
        <w:rPr>
          <w:szCs w:val="18"/>
        </w:rPr>
        <w:instrText xml:space="preserve"> REF _Ref358282609 \h </w:instrText>
      </w:r>
      <w:r w:rsidR="00964BDB">
        <w:rPr>
          <w:szCs w:val="18"/>
        </w:rPr>
        <w:instrText xml:space="preserve"> \* MERGEFORMAT </w:instrText>
      </w:r>
      <w:r w:rsidR="00964BDB" w:rsidRPr="00964BDB">
        <w:rPr>
          <w:szCs w:val="18"/>
        </w:rPr>
      </w:r>
      <w:r w:rsidR="00964BDB" w:rsidRPr="00964BDB">
        <w:rPr>
          <w:szCs w:val="18"/>
        </w:rPr>
        <w:fldChar w:fldCharType="separate"/>
      </w:r>
      <w:r w:rsidR="00892B2D" w:rsidRPr="00892B2D">
        <w:t xml:space="preserve">Table </w:t>
      </w:r>
      <w:r w:rsidR="00892B2D" w:rsidRPr="00892B2D">
        <w:rPr>
          <w:noProof/>
        </w:rPr>
        <w:t>3</w:t>
      </w:r>
      <w:r w:rsidR="00892B2D" w:rsidRPr="00892B2D">
        <w:rPr>
          <w:noProof/>
        </w:rPr>
        <w:noBreakHyphen/>
        <w:t>2</w:t>
      </w:r>
      <w:r w:rsidR="00964BDB" w:rsidRPr="00964BDB">
        <w:rPr>
          <w:szCs w:val="18"/>
        </w:rPr>
        <w:fldChar w:fldCharType="end"/>
      </w:r>
      <w:r w:rsidR="00885385">
        <w:rPr>
          <w:szCs w:val="18"/>
        </w:rPr>
        <w:t xml:space="preserve">, along with the previous </w:t>
      </w:r>
      <w:r w:rsidR="00056EF0">
        <w:rPr>
          <w:szCs w:val="18"/>
        </w:rPr>
        <w:t xml:space="preserve">Inventory </w:t>
      </w:r>
      <w:r w:rsidR="00885385">
        <w:rPr>
          <w:szCs w:val="18"/>
        </w:rPr>
        <w:t>estimates.</w:t>
      </w:r>
    </w:p>
    <w:p w14:paraId="69019FD8" w14:textId="061F55E7" w:rsidR="00284760" w:rsidRPr="00284760" w:rsidRDefault="00284760" w:rsidP="008F11FE">
      <w:pPr>
        <w:pStyle w:val="Caption"/>
        <w:spacing w:before="240"/>
        <w:rPr>
          <w:rFonts w:ascii="Arial" w:hAnsi="Arial" w:cs="Arial"/>
          <w:szCs w:val="18"/>
        </w:rPr>
      </w:pPr>
      <w:bookmarkStart w:id="28" w:name="_Ref358282609"/>
      <w:bookmarkStart w:id="29" w:name="_Toc110355460"/>
      <w:r w:rsidRPr="00284760">
        <w:rPr>
          <w:rFonts w:ascii="Arial" w:hAnsi="Arial" w:cs="Arial"/>
        </w:rPr>
        <w:t xml:space="preserve">Table </w:t>
      </w:r>
      <w:r w:rsidR="00390C9F">
        <w:rPr>
          <w:rFonts w:ascii="Arial" w:hAnsi="Arial" w:cs="Arial"/>
        </w:rPr>
        <w:fldChar w:fldCharType="begin"/>
      </w:r>
      <w:r w:rsidR="00390C9F">
        <w:rPr>
          <w:rFonts w:ascii="Arial" w:hAnsi="Arial" w:cs="Arial"/>
        </w:rPr>
        <w:instrText xml:space="preserve"> STYLEREF 1 \s </w:instrText>
      </w:r>
      <w:r w:rsidR="00390C9F">
        <w:rPr>
          <w:rFonts w:ascii="Arial" w:hAnsi="Arial" w:cs="Arial"/>
        </w:rPr>
        <w:fldChar w:fldCharType="separate"/>
      </w:r>
      <w:r w:rsidR="00892B2D">
        <w:rPr>
          <w:rFonts w:ascii="Arial" w:hAnsi="Arial" w:cs="Arial"/>
          <w:noProof/>
        </w:rPr>
        <w:t>3</w:t>
      </w:r>
      <w:r w:rsidR="00390C9F">
        <w:rPr>
          <w:rFonts w:ascii="Arial" w:hAnsi="Arial" w:cs="Arial"/>
        </w:rPr>
        <w:fldChar w:fldCharType="end"/>
      </w:r>
      <w:r w:rsidR="00390C9F">
        <w:rPr>
          <w:rFonts w:ascii="Arial" w:hAnsi="Arial" w:cs="Arial"/>
        </w:rPr>
        <w:noBreakHyphen/>
      </w:r>
      <w:r w:rsidR="00390C9F">
        <w:rPr>
          <w:rFonts w:ascii="Arial" w:hAnsi="Arial" w:cs="Arial"/>
        </w:rPr>
        <w:fldChar w:fldCharType="begin"/>
      </w:r>
      <w:r w:rsidR="00390C9F">
        <w:rPr>
          <w:rFonts w:ascii="Arial" w:hAnsi="Arial" w:cs="Arial"/>
        </w:rPr>
        <w:instrText xml:space="preserve"> SEQ Table \* ARABIC \s 1 </w:instrText>
      </w:r>
      <w:r w:rsidR="00390C9F">
        <w:rPr>
          <w:rFonts w:ascii="Arial" w:hAnsi="Arial" w:cs="Arial"/>
        </w:rPr>
        <w:fldChar w:fldCharType="separate"/>
      </w:r>
      <w:r w:rsidR="00892B2D">
        <w:rPr>
          <w:rFonts w:ascii="Arial" w:hAnsi="Arial" w:cs="Arial"/>
          <w:noProof/>
        </w:rPr>
        <w:t>2</w:t>
      </w:r>
      <w:r w:rsidR="00390C9F">
        <w:rPr>
          <w:rFonts w:ascii="Arial" w:hAnsi="Arial" w:cs="Arial"/>
        </w:rPr>
        <w:fldChar w:fldCharType="end"/>
      </w:r>
      <w:bookmarkEnd w:id="28"/>
      <w:r w:rsidRPr="00284760">
        <w:rPr>
          <w:rFonts w:ascii="Arial" w:hAnsi="Arial" w:cs="Arial"/>
        </w:rPr>
        <w:t>:</w:t>
      </w:r>
      <w:r w:rsidR="00183044">
        <w:rPr>
          <w:rFonts w:ascii="Arial" w:hAnsi="Arial" w:cs="Arial"/>
        </w:rPr>
        <w:t xml:space="preserve"> </w:t>
      </w:r>
      <w:r w:rsidRPr="00284760">
        <w:rPr>
          <w:rFonts w:ascii="Arial" w:hAnsi="Arial" w:cs="Arial"/>
        </w:rPr>
        <w:t xml:space="preserve"> Input and </w:t>
      </w:r>
      <w:r w:rsidR="00A97D5C" w:rsidRPr="00284760">
        <w:rPr>
          <w:rFonts w:ascii="Arial" w:hAnsi="Arial" w:cs="Arial"/>
        </w:rPr>
        <w:t>output estimates for coal combustion in large power plants</w:t>
      </w:r>
      <w:bookmarkEnd w:id="29"/>
    </w:p>
    <w:tbl>
      <w:tblPr>
        <w:tblStyle w:val="TableGrid"/>
        <w:tblW w:w="9067" w:type="dxa"/>
        <w:tblLook w:val="04A0" w:firstRow="1" w:lastRow="0" w:firstColumn="1" w:lastColumn="0" w:noHBand="0" w:noVBand="1"/>
      </w:tblPr>
      <w:tblGrid>
        <w:gridCol w:w="1868"/>
        <w:gridCol w:w="1253"/>
        <w:gridCol w:w="1376"/>
        <w:gridCol w:w="1499"/>
        <w:gridCol w:w="1512"/>
        <w:gridCol w:w="1559"/>
      </w:tblGrid>
      <w:tr w:rsidR="00EA2CDB" w14:paraId="4720FC1E" w14:textId="77777777" w:rsidTr="00EB7D4D">
        <w:tc>
          <w:tcPr>
            <w:tcW w:w="1868" w:type="dxa"/>
            <w:vMerge w:val="restart"/>
            <w:vAlign w:val="center"/>
          </w:tcPr>
          <w:p w14:paraId="7E5E112F" w14:textId="77777777" w:rsidR="00F31685" w:rsidRPr="00F31685" w:rsidRDefault="00F31685" w:rsidP="00F31685">
            <w:pPr>
              <w:spacing w:line="300" w:lineRule="atLeast"/>
              <w:jc w:val="center"/>
              <w:rPr>
                <w:rFonts w:ascii="Arial" w:hAnsi="Arial" w:cs="Arial"/>
                <w:b/>
                <w:sz w:val="16"/>
                <w:szCs w:val="16"/>
              </w:rPr>
            </w:pPr>
            <w:r w:rsidRPr="00F31685">
              <w:rPr>
                <w:rFonts w:ascii="Arial" w:hAnsi="Arial" w:cs="Arial"/>
                <w:b/>
                <w:sz w:val="16"/>
                <w:szCs w:val="16"/>
              </w:rPr>
              <w:t>Source</w:t>
            </w:r>
          </w:p>
        </w:tc>
        <w:tc>
          <w:tcPr>
            <w:tcW w:w="1253" w:type="dxa"/>
            <w:vMerge w:val="restart"/>
            <w:vAlign w:val="center"/>
          </w:tcPr>
          <w:p w14:paraId="79C6319B" w14:textId="77777777" w:rsidR="00F31685" w:rsidRPr="00F31685" w:rsidRDefault="00F31685" w:rsidP="00F31685">
            <w:pPr>
              <w:spacing w:line="300" w:lineRule="atLeast"/>
              <w:jc w:val="center"/>
              <w:rPr>
                <w:rFonts w:ascii="Arial" w:hAnsi="Arial" w:cs="Arial"/>
                <w:b/>
                <w:sz w:val="16"/>
                <w:szCs w:val="16"/>
              </w:rPr>
            </w:pPr>
            <w:r w:rsidRPr="00F31685">
              <w:rPr>
                <w:rFonts w:ascii="Arial" w:hAnsi="Arial" w:cs="Arial"/>
                <w:b/>
                <w:sz w:val="16"/>
                <w:szCs w:val="16"/>
              </w:rPr>
              <w:t>Activity Rate, tonnes/yr</w:t>
            </w:r>
          </w:p>
        </w:tc>
        <w:tc>
          <w:tcPr>
            <w:tcW w:w="1376" w:type="dxa"/>
            <w:vMerge w:val="restart"/>
            <w:vAlign w:val="center"/>
          </w:tcPr>
          <w:p w14:paraId="4369F920" w14:textId="77777777" w:rsidR="00F31685" w:rsidRPr="00F31685" w:rsidRDefault="00F31685" w:rsidP="00F31685">
            <w:pPr>
              <w:spacing w:line="300" w:lineRule="atLeast"/>
              <w:jc w:val="center"/>
              <w:rPr>
                <w:rFonts w:ascii="Arial" w:hAnsi="Arial" w:cs="Arial"/>
                <w:b/>
                <w:sz w:val="16"/>
                <w:szCs w:val="16"/>
              </w:rPr>
            </w:pPr>
            <w:r w:rsidRPr="00F31685">
              <w:rPr>
                <w:rFonts w:ascii="Arial" w:hAnsi="Arial" w:cs="Arial"/>
                <w:b/>
                <w:sz w:val="16"/>
                <w:szCs w:val="16"/>
              </w:rPr>
              <w:t>Mercury content, mg/kg</w:t>
            </w:r>
          </w:p>
        </w:tc>
        <w:tc>
          <w:tcPr>
            <w:tcW w:w="1499" w:type="dxa"/>
            <w:vMerge w:val="restart"/>
            <w:vAlign w:val="center"/>
          </w:tcPr>
          <w:p w14:paraId="5387172B" w14:textId="77777777" w:rsidR="00F31685" w:rsidRPr="00F31685" w:rsidRDefault="00F31685" w:rsidP="00F31685">
            <w:pPr>
              <w:spacing w:line="300" w:lineRule="atLeast"/>
              <w:jc w:val="center"/>
              <w:rPr>
                <w:rFonts w:ascii="Arial" w:hAnsi="Arial" w:cs="Arial"/>
                <w:b/>
                <w:sz w:val="16"/>
                <w:szCs w:val="16"/>
              </w:rPr>
            </w:pPr>
            <w:r w:rsidRPr="00F31685">
              <w:rPr>
                <w:rFonts w:ascii="Arial" w:hAnsi="Arial" w:cs="Arial"/>
                <w:b/>
                <w:sz w:val="16"/>
                <w:szCs w:val="16"/>
              </w:rPr>
              <w:t>Annual Mercury Inputs, kg/yr</w:t>
            </w:r>
          </w:p>
        </w:tc>
        <w:tc>
          <w:tcPr>
            <w:tcW w:w="3071" w:type="dxa"/>
            <w:gridSpan w:val="2"/>
            <w:vAlign w:val="center"/>
          </w:tcPr>
          <w:p w14:paraId="00909E99" w14:textId="77777777" w:rsidR="00F31685" w:rsidRPr="00F31685" w:rsidRDefault="00F31685" w:rsidP="00F31685">
            <w:pPr>
              <w:spacing w:line="300" w:lineRule="atLeast"/>
              <w:jc w:val="center"/>
              <w:rPr>
                <w:rFonts w:ascii="Arial" w:hAnsi="Arial" w:cs="Arial"/>
                <w:b/>
                <w:sz w:val="16"/>
                <w:szCs w:val="16"/>
              </w:rPr>
            </w:pPr>
            <w:r w:rsidRPr="00F31685">
              <w:rPr>
                <w:rFonts w:ascii="Arial" w:hAnsi="Arial" w:cs="Arial"/>
                <w:b/>
                <w:sz w:val="16"/>
                <w:szCs w:val="16"/>
              </w:rPr>
              <w:t>Annual Mercury Outputs, kg/yr</w:t>
            </w:r>
          </w:p>
        </w:tc>
      </w:tr>
      <w:tr w:rsidR="00EA2CDB" w14:paraId="4583A06B" w14:textId="77777777" w:rsidTr="00EB7D4D">
        <w:tc>
          <w:tcPr>
            <w:tcW w:w="1868" w:type="dxa"/>
            <w:vMerge/>
            <w:vAlign w:val="center"/>
          </w:tcPr>
          <w:p w14:paraId="5774EF01" w14:textId="77777777" w:rsidR="00F31685" w:rsidRPr="00F31685" w:rsidRDefault="00F31685" w:rsidP="00F31685">
            <w:pPr>
              <w:spacing w:line="300" w:lineRule="atLeast"/>
              <w:jc w:val="center"/>
              <w:rPr>
                <w:rFonts w:ascii="Arial" w:hAnsi="Arial" w:cs="Arial"/>
                <w:b/>
                <w:sz w:val="16"/>
                <w:szCs w:val="16"/>
              </w:rPr>
            </w:pPr>
          </w:p>
        </w:tc>
        <w:tc>
          <w:tcPr>
            <w:tcW w:w="1253" w:type="dxa"/>
            <w:vMerge/>
            <w:vAlign w:val="center"/>
          </w:tcPr>
          <w:p w14:paraId="3C01D214" w14:textId="77777777" w:rsidR="00F31685" w:rsidRPr="00F31685" w:rsidRDefault="00F31685" w:rsidP="00F31685">
            <w:pPr>
              <w:spacing w:line="300" w:lineRule="atLeast"/>
              <w:jc w:val="center"/>
              <w:rPr>
                <w:rFonts w:ascii="Arial" w:hAnsi="Arial" w:cs="Arial"/>
                <w:b/>
                <w:sz w:val="16"/>
                <w:szCs w:val="16"/>
              </w:rPr>
            </w:pPr>
          </w:p>
        </w:tc>
        <w:tc>
          <w:tcPr>
            <w:tcW w:w="1376" w:type="dxa"/>
            <w:vMerge/>
            <w:vAlign w:val="center"/>
          </w:tcPr>
          <w:p w14:paraId="2CE52581" w14:textId="77777777" w:rsidR="00F31685" w:rsidRPr="00F31685" w:rsidRDefault="00F31685" w:rsidP="00F31685">
            <w:pPr>
              <w:spacing w:line="300" w:lineRule="atLeast"/>
              <w:jc w:val="center"/>
              <w:rPr>
                <w:rFonts w:ascii="Arial" w:hAnsi="Arial" w:cs="Arial"/>
                <w:b/>
                <w:sz w:val="16"/>
                <w:szCs w:val="16"/>
              </w:rPr>
            </w:pPr>
          </w:p>
        </w:tc>
        <w:tc>
          <w:tcPr>
            <w:tcW w:w="1499" w:type="dxa"/>
            <w:vMerge/>
            <w:vAlign w:val="center"/>
          </w:tcPr>
          <w:p w14:paraId="6DDC9057" w14:textId="77777777" w:rsidR="00F31685" w:rsidRPr="00F31685" w:rsidRDefault="00F31685" w:rsidP="00F31685">
            <w:pPr>
              <w:spacing w:line="300" w:lineRule="atLeast"/>
              <w:jc w:val="center"/>
              <w:rPr>
                <w:rFonts w:ascii="Arial" w:hAnsi="Arial" w:cs="Arial"/>
                <w:b/>
                <w:sz w:val="16"/>
                <w:szCs w:val="16"/>
              </w:rPr>
            </w:pPr>
          </w:p>
        </w:tc>
        <w:tc>
          <w:tcPr>
            <w:tcW w:w="1512" w:type="dxa"/>
            <w:vAlign w:val="center"/>
          </w:tcPr>
          <w:p w14:paraId="419A4893" w14:textId="77777777" w:rsidR="00F31685" w:rsidRPr="00F31685" w:rsidRDefault="00F31685" w:rsidP="00F31685">
            <w:pPr>
              <w:spacing w:line="300" w:lineRule="atLeast"/>
              <w:jc w:val="center"/>
              <w:rPr>
                <w:rFonts w:ascii="Arial" w:hAnsi="Arial" w:cs="Arial"/>
                <w:b/>
                <w:sz w:val="16"/>
                <w:szCs w:val="16"/>
              </w:rPr>
            </w:pPr>
            <w:r w:rsidRPr="00F31685">
              <w:rPr>
                <w:rFonts w:ascii="Arial" w:hAnsi="Arial" w:cs="Arial"/>
                <w:b/>
                <w:sz w:val="16"/>
                <w:szCs w:val="16"/>
              </w:rPr>
              <w:t>Air</w:t>
            </w:r>
          </w:p>
        </w:tc>
        <w:tc>
          <w:tcPr>
            <w:tcW w:w="1559" w:type="dxa"/>
            <w:vAlign w:val="center"/>
          </w:tcPr>
          <w:p w14:paraId="56DF09B1" w14:textId="77777777" w:rsidR="00F31685" w:rsidRPr="00F31685" w:rsidRDefault="002F4E3D" w:rsidP="00F31685">
            <w:pPr>
              <w:spacing w:line="300" w:lineRule="atLeast"/>
              <w:jc w:val="center"/>
              <w:rPr>
                <w:rFonts w:ascii="Arial" w:hAnsi="Arial" w:cs="Arial"/>
                <w:b/>
                <w:sz w:val="16"/>
                <w:szCs w:val="16"/>
              </w:rPr>
            </w:pPr>
            <w:r>
              <w:rPr>
                <w:rFonts w:ascii="Arial" w:hAnsi="Arial" w:cs="Arial"/>
                <w:b/>
                <w:sz w:val="16"/>
                <w:szCs w:val="16"/>
              </w:rPr>
              <w:t>Land</w:t>
            </w:r>
          </w:p>
        </w:tc>
      </w:tr>
      <w:tr w:rsidR="00EA2CDB" w14:paraId="0AD7475B" w14:textId="77777777" w:rsidTr="00EB7D4D">
        <w:tc>
          <w:tcPr>
            <w:tcW w:w="1868" w:type="dxa"/>
            <w:vAlign w:val="center"/>
          </w:tcPr>
          <w:p w14:paraId="65AE0FE5" w14:textId="77777777" w:rsidR="00F31685" w:rsidRPr="00F31685" w:rsidRDefault="00F31685" w:rsidP="0094046F">
            <w:pPr>
              <w:spacing w:line="300" w:lineRule="atLeast"/>
              <w:rPr>
                <w:rFonts w:ascii="Arial" w:hAnsi="Arial" w:cs="Arial"/>
                <w:sz w:val="16"/>
                <w:szCs w:val="16"/>
              </w:rPr>
            </w:pPr>
            <w:r w:rsidRPr="00F31685">
              <w:rPr>
                <w:rFonts w:ascii="Arial" w:hAnsi="Arial" w:cs="Arial"/>
                <w:sz w:val="16"/>
                <w:szCs w:val="16"/>
              </w:rPr>
              <w:t>Huntly Power Station</w:t>
            </w:r>
            <w:r w:rsidR="00885385">
              <w:rPr>
                <w:rFonts w:ascii="Arial" w:hAnsi="Arial" w:cs="Arial"/>
                <w:sz w:val="16"/>
                <w:szCs w:val="16"/>
              </w:rPr>
              <w:t xml:space="preserve">, </w:t>
            </w:r>
            <w:r w:rsidR="00885385" w:rsidRPr="0011501E">
              <w:rPr>
                <w:rFonts w:ascii="Arial" w:hAnsi="Arial" w:cs="Arial"/>
                <w:sz w:val="16"/>
                <w:szCs w:val="16"/>
              </w:rPr>
              <w:t>2012</w:t>
            </w:r>
          </w:p>
        </w:tc>
        <w:tc>
          <w:tcPr>
            <w:tcW w:w="1253" w:type="dxa"/>
            <w:vAlign w:val="center"/>
          </w:tcPr>
          <w:p w14:paraId="61A4BB07" w14:textId="77777777" w:rsidR="00F31685" w:rsidRPr="00F31685" w:rsidRDefault="00C57E98" w:rsidP="00C57E98">
            <w:pPr>
              <w:spacing w:line="300" w:lineRule="atLeast"/>
              <w:jc w:val="center"/>
              <w:rPr>
                <w:rFonts w:ascii="Arial" w:hAnsi="Arial" w:cs="Arial"/>
                <w:sz w:val="16"/>
                <w:szCs w:val="16"/>
              </w:rPr>
            </w:pPr>
            <w:r>
              <w:rPr>
                <w:rFonts w:ascii="Arial" w:hAnsi="Arial" w:cs="Arial"/>
                <w:sz w:val="16"/>
                <w:szCs w:val="16"/>
              </w:rPr>
              <w:t>1,2</w:t>
            </w:r>
            <w:r w:rsidR="00F31685" w:rsidRPr="00C57E98">
              <w:rPr>
                <w:rFonts w:ascii="Arial" w:hAnsi="Arial" w:cs="Arial"/>
                <w:sz w:val="16"/>
                <w:szCs w:val="16"/>
              </w:rPr>
              <w:t>70,000</w:t>
            </w:r>
          </w:p>
        </w:tc>
        <w:tc>
          <w:tcPr>
            <w:tcW w:w="1376" w:type="dxa"/>
            <w:vAlign w:val="center"/>
          </w:tcPr>
          <w:p w14:paraId="07A7D888" w14:textId="77777777" w:rsidR="00F31685" w:rsidRPr="00F31685" w:rsidRDefault="00E1319A" w:rsidP="00F31685">
            <w:pPr>
              <w:spacing w:line="300" w:lineRule="atLeast"/>
              <w:jc w:val="center"/>
              <w:rPr>
                <w:rFonts w:ascii="Arial" w:hAnsi="Arial" w:cs="Arial"/>
                <w:sz w:val="16"/>
                <w:szCs w:val="16"/>
              </w:rPr>
            </w:pPr>
            <w:r>
              <w:rPr>
                <w:rFonts w:ascii="Arial" w:hAnsi="Arial" w:cs="Arial"/>
                <w:sz w:val="16"/>
                <w:szCs w:val="16"/>
              </w:rPr>
              <w:t>0.02</w:t>
            </w:r>
            <w:r w:rsidR="00F31685">
              <w:rPr>
                <w:rFonts w:ascii="Arial" w:hAnsi="Arial" w:cs="Arial"/>
                <w:sz w:val="16"/>
                <w:szCs w:val="16"/>
              </w:rPr>
              <w:t xml:space="preserve"> - 0.19</w:t>
            </w:r>
          </w:p>
        </w:tc>
        <w:tc>
          <w:tcPr>
            <w:tcW w:w="1499" w:type="dxa"/>
            <w:vAlign w:val="center"/>
          </w:tcPr>
          <w:p w14:paraId="4D2A9CD7" w14:textId="30F4289D" w:rsidR="00F31685" w:rsidRPr="00F31685" w:rsidRDefault="00C57E98" w:rsidP="00C57E98">
            <w:pPr>
              <w:spacing w:line="300" w:lineRule="atLeast"/>
              <w:jc w:val="center"/>
              <w:rPr>
                <w:rFonts w:ascii="Arial" w:hAnsi="Arial" w:cs="Arial"/>
                <w:sz w:val="16"/>
                <w:szCs w:val="16"/>
              </w:rPr>
            </w:pPr>
            <w:r>
              <w:rPr>
                <w:rFonts w:ascii="Arial" w:hAnsi="Arial" w:cs="Arial"/>
                <w:sz w:val="16"/>
                <w:szCs w:val="16"/>
              </w:rPr>
              <w:t>25.4</w:t>
            </w:r>
            <w:r w:rsidR="00F31685">
              <w:rPr>
                <w:rFonts w:ascii="Arial" w:hAnsi="Arial" w:cs="Arial"/>
                <w:sz w:val="16"/>
                <w:szCs w:val="16"/>
              </w:rPr>
              <w:t xml:space="preserve"> </w:t>
            </w:r>
            <w:r w:rsidR="001E70FA">
              <w:rPr>
                <w:rFonts w:ascii="Arial" w:hAnsi="Arial" w:cs="Arial"/>
                <w:sz w:val="16"/>
                <w:szCs w:val="16"/>
              </w:rPr>
              <w:t>–</w:t>
            </w:r>
            <w:r w:rsidR="00F31685">
              <w:rPr>
                <w:rFonts w:ascii="Arial" w:hAnsi="Arial" w:cs="Arial"/>
                <w:sz w:val="16"/>
                <w:szCs w:val="16"/>
              </w:rPr>
              <w:t xml:space="preserve"> </w:t>
            </w:r>
            <w:r>
              <w:rPr>
                <w:rFonts w:ascii="Arial" w:hAnsi="Arial" w:cs="Arial"/>
                <w:sz w:val="16"/>
                <w:szCs w:val="16"/>
              </w:rPr>
              <w:t>241</w:t>
            </w:r>
            <w:r w:rsidR="001E70FA">
              <w:rPr>
                <w:rFonts w:ascii="Arial" w:hAnsi="Arial" w:cs="Arial"/>
                <w:sz w:val="16"/>
                <w:szCs w:val="16"/>
              </w:rPr>
              <w:t xml:space="preserve"> (</w:t>
            </w:r>
            <w:r>
              <w:rPr>
                <w:rFonts w:ascii="Arial" w:hAnsi="Arial" w:cs="Arial"/>
                <w:sz w:val="16"/>
                <w:szCs w:val="16"/>
              </w:rPr>
              <w:t>13</w:t>
            </w:r>
            <w:r w:rsidR="001E70FA">
              <w:rPr>
                <w:rFonts w:ascii="Arial" w:hAnsi="Arial" w:cs="Arial"/>
                <w:sz w:val="16"/>
                <w:szCs w:val="16"/>
              </w:rPr>
              <w:t>3)</w:t>
            </w:r>
          </w:p>
        </w:tc>
        <w:tc>
          <w:tcPr>
            <w:tcW w:w="1512" w:type="dxa"/>
            <w:vAlign w:val="center"/>
          </w:tcPr>
          <w:p w14:paraId="76CFD039" w14:textId="0DA95B82" w:rsidR="00F31685" w:rsidRPr="00F31685" w:rsidRDefault="00C57E98" w:rsidP="00C57E98">
            <w:pPr>
              <w:spacing w:line="300" w:lineRule="atLeast"/>
              <w:jc w:val="center"/>
              <w:rPr>
                <w:rFonts w:ascii="Arial" w:hAnsi="Arial" w:cs="Arial"/>
                <w:sz w:val="16"/>
                <w:szCs w:val="16"/>
              </w:rPr>
            </w:pPr>
            <w:r>
              <w:rPr>
                <w:rFonts w:ascii="Arial" w:hAnsi="Arial" w:cs="Arial"/>
                <w:sz w:val="16"/>
                <w:szCs w:val="16"/>
              </w:rPr>
              <w:t>2</w:t>
            </w:r>
            <w:r w:rsidR="00F31685">
              <w:rPr>
                <w:rFonts w:ascii="Arial" w:hAnsi="Arial" w:cs="Arial"/>
                <w:sz w:val="16"/>
                <w:szCs w:val="16"/>
              </w:rPr>
              <w:t>2.</w:t>
            </w:r>
            <w:r w:rsidR="00CE2AE9">
              <w:rPr>
                <w:rFonts w:ascii="Arial" w:hAnsi="Arial" w:cs="Arial"/>
                <w:sz w:val="16"/>
                <w:szCs w:val="16"/>
              </w:rPr>
              <w:t>9</w:t>
            </w:r>
            <w:r w:rsidR="00F31685">
              <w:rPr>
                <w:rFonts w:ascii="Arial" w:hAnsi="Arial" w:cs="Arial"/>
                <w:sz w:val="16"/>
                <w:szCs w:val="16"/>
              </w:rPr>
              <w:t xml:space="preserve"> – </w:t>
            </w:r>
            <w:r>
              <w:rPr>
                <w:rFonts w:ascii="Arial" w:hAnsi="Arial" w:cs="Arial"/>
                <w:sz w:val="16"/>
                <w:szCs w:val="16"/>
              </w:rPr>
              <w:t>2</w:t>
            </w:r>
            <w:r w:rsidR="00F31685">
              <w:rPr>
                <w:rFonts w:ascii="Arial" w:hAnsi="Arial" w:cs="Arial"/>
                <w:sz w:val="16"/>
                <w:szCs w:val="16"/>
              </w:rPr>
              <w:t>1</w:t>
            </w:r>
            <w:r>
              <w:rPr>
                <w:rFonts w:ascii="Arial" w:hAnsi="Arial" w:cs="Arial"/>
                <w:sz w:val="16"/>
                <w:szCs w:val="16"/>
              </w:rPr>
              <w:t>7</w:t>
            </w:r>
            <w:r w:rsidR="00D91936">
              <w:rPr>
                <w:rFonts w:ascii="Arial" w:hAnsi="Arial" w:cs="Arial"/>
                <w:sz w:val="16"/>
                <w:szCs w:val="16"/>
              </w:rPr>
              <w:t xml:space="preserve"> </w:t>
            </w:r>
            <w:r>
              <w:rPr>
                <w:rFonts w:ascii="Arial" w:hAnsi="Arial" w:cs="Arial"/>
                <w:sz w:val="16"/>
                <w:szCs w:val="16"/>
              </w:rPr>
              <w:t>(120.0</w:t>
            </w:r>
            <w:r w:rsidR="001E70FA">
              <w:rPr>
                <w:rFonts w:ascii="Arial" w:hAnsi="Arial" w:cs="Arial"/>
                <w:sz w:val="16"/>
                <w:szCs w:val="16"/>
              </w:rPr>
              <w:t>)</w:t>
            </w:r>
          </w:p>
        </w:tc>
        <w:tc>
          <w:tcPr>
            <w:tcW w:w="1559" w:type="dxa"/>
            <w:vAlign w:val="center"/>
          </w:tcPr>
          <w:p w14:paraId="1D741F08" w14:textId="197C41CD" w:rsidR="00F31685" w:rsidRPr="00F31685" w:rsidRDefault="00C57E98" w:rsidP="00C57E98">
            <w:pPr>
              <w:spacing w:line="300" w:lineRule="atLeast"/>
              <w:jc w:val="center"/>
              <w:rPr>
                <w:rFonts w:ascii="Arial" w:hAnsi="Arial" w:cs="Arial"/>
                <w:sz w:val="16"/>
                <w:szCs w:val="16"/>
              </w:rPr>
            </w:pPr>
            <w:r>
              <w:rPr>
                <w:rFonts w:ascii="Arial" w:hAnsi="Arial" w:cs="Arial"/>
                <w:sz w:val="16"/>
                <w:szCs w:val="16"/>
              </w:rPr>
              <w:t>2</w:t>
            </w:r>
            <w:r w:rsidR="00F31685">
              <w:rPr>
                <w:rFonts w:ascii="Arial" w:hAnsi="Arial" w:cs="Arial"/>
                <w:sz w:val="16"/>
                <w:szCs w:val="16"/>
              </w:rPr>
              <w:t>.</w:t>
            </w:r>
            <w:r>
              <w:rPr>
                <w:rFonts w:ascii="Arial" w:hAnsi="Arial" w:cs="Arial"/>
                <w:sz w:val="16"/>
                <w:szCs w:val="16"/>
              </w:rPr>
              <w:t>5</w:t>
            </w:r>
            <w:r w:rsidR="00F31685">
              <w:rPr>
                <w:rFonts w:ascii="Arial" w:hAnsi="Arial" w:cs="Arial"/>
                <w:sz w:val="16"/>
                <w:szCs w:val="16"/>
              </w:rPr>
              <w:t xml:space="preserve"> – </w:t>
            </w:r>
            <w:r>
              <w:rPr>
                <w:rFonts w:ascii="Arial" w:hAnsi="Arial" w:cs="Arial"/>
                <w:sz w:val="16"/>
                <w:szCs w:val="16"/>
              </w:rPr>
              <w:t>24</w:t>
            </w:r>
            <w:r w:rsidR="00F31685">
              <w:rPr>
                <w:rFonts w:ascii="Arial" w:hAnsi="Arial" w:cs="Arial"/>
                <w:sz w:val="16"/>
                <w:szCs w:val="16"/>
              </w:rPr>
              <w:t>.</w:t>
            </w:r>
            <w:r>
              <w:rPr>
                <w:rFonts w:ascii="Arial" w:hAnsi="Arial" w:cs="Arial"/>
                <w:sz w:val="16"/>
                <w:szCs w:val="16"/>
              </w:rPr>
              <w:t>1</w:t>
            </w:r>
            <w:r w:rsidR="001E70FA">
              <w:rPr>
                <w:rFonts w:ascii="Arial" w:hAnsi="Arial" w:cs="Arial"/>
                <w:sz w:val="16"/>
                <w:szCs w:val="16"/>
              </w:rPr>
              <w:t xml:space="preserve"> (</w:t>
            </w:r>
            <w:r w:rsidR="00CE2AE9">
              <w:rPr>
                <w:rFonts w:ascii="Arial" w:hAnsi="Arial" w:cs="Arial"/>
                <w:sz w:val="16"/>
                <w:szCs w:val="16"/>
              </w:rPr>
              <w:t>13.3</w:t>
            </w:r>
            <w:r w:rsidR="001E70FA">
              <w:rPr>
                <w:rFonts w:ascii="Arial" w:hAnsi="Arial" w:cs="Arial"/>
                <w:sz w:val="16"/>
                <w:szCs w:val="16"/>
              </w:rPr>
              <w:t>)</w:t>
            </w:r>
          </w:p>
        </w:tc>
      </w:tr>
      <w:tr w:rsidR="00EA2CDB" w14:paraId="557DB900" w14:textId="77777777" w:rsidTr="00EB7D4D">
        <w:tc>
          <w:tcPr>
            <w:tcW w:w="1868" w:type="dxa"/>
            <w:vAlign w:val="center"/>
          </w:tcPr>
          <w:p w14:paraId="7FD9328A" w14:textId="77777777" w:rsidR="00885385" w:rsidRPr="0011501E" w:rsidRDefault="00885385" w:rsidP="00885385">
            <w:pPr>
              <w:spacing w:line="300" w:lineRule="atLeast"/>
              <w:rPr>
                <w:rFonts w:ascii="Arial" w:hAnsi="Arial" w:cs="Arial"/>
                <w:sz w:val="16"/>
                <w:szCs w:val="16"/>
              </w:rPr>
            </w:pPr>
            <w:r w:rsidRPr="0011501E">
              <w:rPr>
                <w:rFonts w:ascii="Arial" w:hAnsi="Arial" w:cs="Arial"/>
                <w:sz w:val="16"/>
                <w:szCs w:val="16"/>
              </w:rPr>
              <w:t>Huntly Power Station, 2016</w:t>
            </w:r>
          </w:p>
        </w:tc>
        <w:tc>
          <w:tcPr>
            <w:tcW w:w="1253" w:type="dxa"/>
            <w:vAlign w:val="center"/>
          </w:tcPr>
          <w:p w14:paraId="4A74D916" w14:textId="0F4FDDCC" w:rsidR="00885385" w:rsidRPr="00F31685" w:rsidRDefault="008051CC" w:rsidP="00885385">
            <w:pPr>
              <w:spacing w:line="300" w:lineRule="atLeast"/>
              <w:jc w:val="center"/>
              <w:rPr>
                <w:rFonts w:ascii="Arial" w:hAnsi="Arial" w:cs="Arial"/>
                <w:sz w:val="16"/>
                <w:szCs w:val="16"/>
              </w:rPr>
            </w:pPr>
            <w:r>
              <w:rPr>
                <w:rFonts w:ascii="Arial" w:hAnsi="Arial" w:cs="Arial"/>
                <w:sz w:val="16"/>
                <w:szCs w:val="16"/>
              </w:rPr>
              <w:t>223,242</w:t>
            </w:r>
          </w:p>
        </w:tc>
        <w:tc>
          <w:tcPr>
            <w:tcW w:w="1376" w:type="dxa"/>
            <w:vAlign w:val="center"/>
          </w:tcPr>
          <w:p w14:paraId="7FB8EBB1" w14:textId="77777777" w:rsidR="00885385" w:rsidRPr="00F31685" w:rsidRDefault="00885385" w:rsidP="00885385">
            <w:pPr>
              <w:spacing w:line="300" w:lineRule="atLeast"/>
              <w:jc w:val="center"/>
              <w:rPr>
                <w:rFonts w:ascii="Arial" w:hAnsi="Arial" w:cs="Arial"/>
                <w:sz w:val="16"/>
                <w:szCs w:val="16"/>
              </w:rPr>
            </w:pPr>
            <w:r>
              <w:rPr>
                <w:rFonts w:ascii="Arial" w:hAnsi="Arial" w:cs="Arial"/>
                <w:sz w:val="16"/>
                <w:szCs w:val="16"/>
              </w:rPr>
              <w:t>0.02 - 0.19</w:t>
            </w:r>
          </w:p>
        </w:tc>
        <w:tc>
          <w:tcPr>
            <w:tcW w:w="1499" w:type="dxa"/>
            <w:vAlign w:val="center"/>
          </w:tcPr>
          <w:p w14:paraId="7436E92C" w14:textId="3EC33AB9" w:rsidR="00885385" w:rsidRPr="00F31685" w:rsidRDefault="00CE2AE9" w:rsidP="00CE2AE9">
            <w:pPr>
              <w:spacing w:line="300" w:lineRule="atLeast"/>
              <w:jc w:val="center"/>
              <w:rPr>
                <w:rFonts w:ascii="Arial" w:hAnsi="Arial" w:cs="Arial"/>
                <w:sz w:val="16"/>
                <w:szCs w:val="16"/>
              </w:rPr>
            </w:pPr>
            <w:r>
              <w:rPr>
                <w:rFonts w:ascii="Arial" w:hAnsi="Arial" w:cs="Arial"/>
                <w:sz w:val="16"/>
                <w:szCs w:val="16"/>
              </w:rPr>
              <w:t>4.5</w:t>
            </w:r>
            <w:r w:rsidR="00885385">
              <w:rPr>
                <w:rFonts w:ascii="Arial" w:hAnsi="Arial" w:cs="Arial"/>
                <w:sz w:val="16"/>
                <w:szCs w:val="16"/>
              </w:rPr>
              <w:t xml:space="preserve"> – 42.4 (23.4)</w:t>
            </w:r>
          </w:p>
        </w:tc>
        <w:tc>
          <w:tcPr>
            <w:tcW w:w="1512" w:type="dxa"/>
            <w:vAlign w:val="center"/>
          </w:tcPr>
          <w:p w14:paraId="799C3132" w14:textId="11A3DC8F" w:rsidR="00885385" w:rsidRPr="00F31685" w:rsidRDefault="00885385" w:rsidP="00CE2AE9">
            <w:pPr>
              <w:spacing w:line="300" w:lineRule="atLeast"/>
              <w:jc w:val="center"/>
              <w:rPr>
                <w:rFonts w:ascii="Arial" w:hAnsi="Arial" w:cs="Arial"/>
                <w:sz w:val="16"/>
                <w:szCs w:val="16"/>
              </w:rPr>
            </w:pPr>
            <w:r>
              <w:rPr>
                <w:rFonts w:ascii="Arial" w:hAnsi="Arial" w:cs="Arial"/>
                <w:sz w:val="16"/>
                <w:szCs w:val="16"/>
              </w:rPr>
              <w:t>4.0– 38.</w:t>
            </w:r>
            <w:r w:rsidR="00CE2AE9">
              <w:rPr>
                <w:rFonts w:ascii="Arial" w:hAnsi="Arial" w:cs="Arial"/>
                <w:sz w:val="16"/>
                <w:szCs w:val="16"/>
              </w:rPr>
              <w:t>2</w:t>
            </w:r>
            <w:r w:rsidR="00EB7D4D">
              <w:rPr>
                <w:rFonts w:ascii="Arial" w:hAnsi="Arial" w:cs="Arial"/>
                <w:sz w:val="16"/>
                <w:szCs w:val="16"/>
              </w:rPr>
              <w:t xml:space="preserve"> </w:t>
            </w:r>
            <w:r>
              <w:rPr>
                <w:rFonts w:ascii="Arial" w:hAnsi="Arial" w:cs="Arial"/>
                <w:sz w:val="16"/>
                <w:szCs w:val="16"/>
              </w:rPr>
              <w:t>(21.</w:t>
            </w:r>
            <w:r w:rsidR="003D3961">
              <w:rPr>
                <w:rFonts w:ascii="Arial" w:hAnsi="Arial" w:cs="Arial"/>
                <w:sz w:val="16"/>
                <w:szCs w:val="16"/>
              </w:rPr>
              <w:t>1</w:t>
            </w:r>
            <w:r>
              <w:rPr>
                <w:rFonts w:ascii="Arial" w:hAnsi="Arial" w:cs="Arial"/>
                <w:sz w:val="16"/>
                <w:szCs w:val="16"/>
              </w:rPr>
              <w:t>)</w:t>
            </w:r>
          </w:p>
        </w:tc>
        <w:tc>
          <w:tcPr>
            <w:tcW w:w="1559" w:type="dxa"/>
            <w:vAlign w:val="center"/>
          </w:tcPr>
          <w:p w14:paraId="781840E0" w14:textId="74AF12A7" w:rsidR="00885385" w:rsidRPr="00F31685" w:rsidRDefault="00885385" w:rsidP="003D3961">
            <w:pPr>
              <w:spacing w:line="300" w:lineRule="atLeast"/>
              <w:jc w:val="center"/>
              <w:rPr>
                <w:rFonts w:ascii="Arial" w:hAnsi="Arial" w:cs="Arial"/>
                <w:sz w:val="16"/>
                <w:szCs w:val="16"/>
              </w:rPr>
            </w:pPr>
            <w:r>
              <w:rPr>
                <w:rFonts w:ascii="Arial" w:hAnsi="Arial" w:cs="Arial"/>
                <w:sz w:val="16"/>
                <w:szCs w:val="16"/>
              </w:rPr>
              <w:t>0</w:t>
            </w:r>
            <w:r w:rsidR="00CE2AE9">
              <w:rPr>
                <w:rFonts w:ascii="Arial" w:hAnsi="Arial" w:cs="Arial"/>
                <w:sz w:val="16"/>
                <w:szCs w:val="16"/>
              </w:rPr>
              <w:t>.</w:t>
            </w:r>
            <w:r w:rsidR="00882D32">
              <w:rPr>
                <w:rFonts w:ascii="Arial" w:hAnsi="Arial" w:cs="Arial"/>
                <w:sz w:val="16"/>
                <w:szCs w:val="16"/>
              </w:rPr>
              <w:t>5</w:t>
            </w:r>
            <w:r>
              <w:rPr>
                <w:rFonts w:ascii="Arial" w:hAnsi="Arial" w:cs="Arial"/>
                <w:sz w:val="16"/>
                <w:szCs w:val="16"/>
              </w:rPr>
              <w:t xml:space="preserve"> – 4.2 </w:t>
            </w:r>
            <w:r w:rsidR="00CE2AE9">
              <w:rPr>
                <w:rFonts w:ascii="Arial" w:hAnsi="Arial" w:cs="Arial"/>
                <w:sz w:val="16"/>
                <w:szCs w:val="16"/>
              </w:rPr>
              <w:t>(2.3</w:t>
            </w:r>
            <w:r>
              <w:rPr>
                <w:rFonts w:ascii="Arial" w:hAnsi="Arial" w:cs="Arial"/>
                <w:sz w:val="16"/>
                <w:szCs w:val="16"/>
              </w:rPr>
              <w:t>)</w:t>
            </w:r>
          </w:p>
        </w:tc>
      </w:tr>
      <w:tr w:rsidR="00EA2CDB" w14:paraId="25590C3D" w14:textId="77777777" w:rsidTr="00EB7D4D">
        <w:tc>
          <w:tcPr>
            <w:tcW w:w="1868" w:type="dxa"/>
            <w:vAlign w:val="center"/>
          </w:tcPr>
          <w:p w14:paraId="61C386B6" w14:textId="548BCB70" w:rsidR="006E6E20" w:rsidRPr="0011501E" w:rsidRDefault="006E6E20" w:rsidP="00885385">
            <w:pPr>
              <w:spacing w:line="300" w:lineRule="atLeast"/>
              <w:rPr>
                <w:rFonts w:ascii="Arial" w:hAnsi="Arial" w:cs="Arial"/>
                <w:sz w:val="16"/>
                <w:szCs w:val="16"/>
              </w:rPr>
            </w:pPr>
            <w:r>
              <w:rPr>
                <w:rFonts w:ascii="Arial" w:hAnsi="Arial" w:cs="Arial"/>
                <w:sz w:val="16"/>
                <w:szCs w:val="16"/>
              </w:rPr>
              <w:t>Huntly Power Station, 2020</w:t>
            </w:r>
          </w:p>
        </w:tc>
        <w:tc>
          <w:tcPr>
            <w:tcW w:w="1253" w:type="dxa"/>
            <w:vAlign w:val="center"/>
          </w:tcPr>
          <w:p w14:paraId="2513DE71" w14:textId="482F12F1" w:rsidR="006E6E20" w:rsidRDefault="008051CC" w:rsidP="00885385">
            <w:pPr>
              <w:spacing w:line="300" w:lineRule="atLeast"/>
              <w:jc w:val="center"/>
              <w:rPr>
                <w:rFonts w:ascii="Arial" w:hAnsi="Arial" w:cs="Arial"/>
                <w:sz w:val="16"/>
                <w:szCs w:val="16"/>
              </w:rPr>
            </w:pPr>
            <w:r>
              <w:rPr>
                <w:rFonts w:ascii="Arial" w:hAnsi="Arial" w:cs="Arial"/>
                <w:sz w:val="16"/>
                <w:szCs w:val="16"/>
              </w:rPr>
              <w:t>8</w:t>
            </w:r>
            <w:r w:rsidR="00853EC8">
              <w:rPr>
                <w:rFonts w:ascii="Arial" w:hAnsi="Arial" w:cs="Arial"/>
                <w:sz w:val="16"/>
                <w:szCs w:val="16"/>
              </w:rPr>
              <w:t>98,500</w:t>
            </w:r>
          </w:p>
        </w:tc>
        <w:tc>
          <w:tcPr>
            <w:tcW w:w="1376" w:type="dxa"/>
            <w:vAlign w:val="center"/>
          </w:tcPr>
          <w:p w14:paraId="0649653A" w14:textId="134718DF" w:rsidR="006E6E20" w:rsidRDefault="008051CC" w:rsidP="00885385">
            <w:pPr>
              <w:spacing w:line="300" w:lineRule="atLeast"/>
              <w:jc w:val="center"/>
              <w:rPr>
                <w:rFonts w:ascii="Arial" w:hAnsi="Arial" w:cs="Arial"/>
                <w:sz w:val="16"/>
                <w:szCs w:val="16"/>
              </w:rPr>
            </w:pPr>
            <w:r>
              <w:rPr>
                <w:rFonts w:ascii="Arial" w:hAnsi="Arial" w:cs="Arial"/>
                <w:sz w:val="16"/>
                <w:szCs w:val="16"/>
              </w:rPr>
              <w:t>0.02 -0.19</w:t>
            </w:r>
          </w:p>
        </w:tc>
        <w:tc>
          <w:tcPr>
            <w:tcW w:w="1499" w:type="dxa"/>
            <w:vAlign w:val="center"/>
          </w:tcPr>
          <w:p w14:paraId="48BD232F" w14:textId="61D59573" w:rsidR="006E6E20" w:rsidRDefault="00853EC8" w:rsidP="00CE2AE9">
            <w:pPr>
              <w:spacing w:line="300" w:lineRule="atLeast"/>
              <w:jc w:val="center"/>
              <w:rPr>
                <w:rFonts w:ascii="Arial" w:hAnsi="Arial" w:cs="Arial"/>
                <w:sz w:val="16"/>
                <w:szCs w:val="16"/>
              </w:rPr>
            </w:pPr>
            <w:r>
              <w:rPr>
                <w:rFonts w:ascii="Arial" w:hAnsi="Arial" w:cs="Arial"/>
                <w:sz w:val="16"/>
                <w:szCs w:val="16"/>
              </w:rPr>
              <w:t>18.0</w:t>
            </w:r>
            <w:r w:rsidR="004979A5">
              <w:rPr>
                <w:rFonts w:ascii="Arial" w:hAnsi="Arial" w:cs="Arial"/>
                <w:sz w:val="16"/>
                <w:szCs w:val="16"/>
              </w:rPr>
              <w:t xml:space="preserve"> – </w:t>
            </w:r>
            <w:r>
              <w:rPr>
                <w:rFonts w:ascii="Arial" w:hAnsi="Arial" w:cs="Arial"/>
                <w:sz w:val="16"/>
                <w:szCs w:val="16"/>
              </w:rPr>
              <w:t>17</w:t>
            </w:r>
            <w:r w:rsidR="00D91936">
              <w:rPr>
                <w:rFonts w:ascii="Arial" w:hAnsi="Arial" w:cs="Arial"/>
                <w:sz w:val="16"/>
                <w:szCs w:val="16"/>
              </w:rPr>
              <w:t xml:space="preserve">1 </w:t>
            </w:r>
            <w:r w:rsidR="004979A5">
              <w:rPr>
                <w:rFonts w:ascii="Arial" w:hAnsi="Arial" w:cs="Arial"/>
                <w:sz w:val="16"/>
                <w:szCs w:val="16"/>
              </w:rPr>
              <w:t>(</w:t>
            </w:r>
            <w:r w:rsidR="00F31D8C">
              <w:rPr>
                <w:rFonts w:ascii="Arial" w:hAnsi="Arial" w:cs="Arial"/>
                <w:sz w:val="16"/>
                <w:szCs w:val="16"/>
              </w:rPr>
              <w:t>94.</w:t>
            </w:r>
            <w:r w:rsidR="00F7723B">
              <w:rPr>
                <w:rFonts w:ascii="Arial" w:hAnsi="Arial" w:cs="Arial"/>
                <w:sz w:val="16"/>
                <w:szCs w:val="16"/>
              </w:rPr>
              <w:t>3</w:t>
            </w:r>
            <w:r w:rsidR="004979A5">
              <w:rPr>
                <w:rFonts w:ascii="Arial" w:hAnsi="Arial" w:cs="Arial"/>
                <w:sz w:val="16"/>
                <w:szCs w:val="16"/>
              </w:rPr>
              <w:t>)</w:t>
            </w:r>
          </w:p>
        </w:tc>
        <w:tc>
          <w:tcPr>
            <w:tcW w:w="1512" w:type="dxa"/>
            <w:vAlign w:val="center"/>
          </w:tcPr>
          <w:p w14:paraId="1AFB95FF" w14:textId="16DBBE56" w:rsidR="006E6E20" w:rsidRDefault="00F31D8C" w:rsidP="00CE2AE9">
            <w:pPr>
              <w:spacing w:line="300" w:lineRule="atLeast"/>
              <w:jc w:val="center"/>
              <w:rPr>
                <w:rFonts w:ascii="Arial" w:hAnsi="Arial" w:cs="Arial"/>
                <w:sz w:val="16"/>
                <w:szCs w:val="16"/>
              </w:rPr>
            </w:pPr>
            <w:r>
              <w:rPr>
                <w:rFonts w:ascii="Arial" w:hAnsi="Arial" w:cs="Arial"/>
                <w:sz w:val="16"/>
                <w:szCs w:val="16"/>
              </w:rPr>
              <w:t>16.2</w:t>
            </w:r>
            <w:r w:rsidR="004979A5">
              <w:rPr>
                <w:rFonts w:ascii="Arial" w:hAnsi="Arial" w:cs="Arial"/>
                <w:sz w:val="16"/>
                <w:szCs w:val="16"/>
              </w:rPr>
              <w:t xml:space="preserve"> – 1</w:t>
            </w:r>
            <w:r>
              <w:rPr>
                <w:rFonts w:ascii="Arial" w:hAnsi="Arial" w:cs="Arial"/>
                <w:sz w:val="16"/>
                <w:szCs w:val="16"/>
              </w:rPr>
              <w:t>5</w:t>
            </w:r>
            <w:r w:rsidR="00D91936">
              <w:rPr>
                <w:rFonts w:ascii="Arial" w:hAnsi="Arial" w:cs="Arial"/>
                <w:sz w:val="16"/>
                <w:szCs w:val="16"/>
              </w:rPr>
              <w:t>4</w:t>
            </w:r>
            <w:r w:rsidR="004979A5">
              <w:rPr>
                <w:rFonts w:ascii="Arial" w:hAnsi="Arial" w:cs="Arial"/>
                <w:sz w:val="16"/>
                <w:szCs w:val="16"/>
              </w:rPr>
              <w:t xml:space="preserve"> (</w:t>
            </w:r>
            <w:r>
              <w:rPr>
                <w:rFonts w:ascii="Arial" w:hAnsi="Arial" w:cs="Arial"/>
                <w:sz w:val="16"/>
                <w:szCs w:val="16"/>
              </w:rPr>
              <w:t>84.9</w:t>
            </w:r>
            <w:r w:rsidR="004979A5">
              <w:rPr>
                <w:rFonts w:ascii="Arial" w:hAnsi="Arial" w:cs="Arial"/>
                <w:sz w:val="16"/>
                <w:szCs w:val="16"/>
              </w:rPr>
              <w:t>)</w:t>
            </w:r>
          </w:p>
        </w:tc>
        <w:tc>
          <w:tcPr>
            <w:tcW w:w="1559" w:type="dxa"/>
            <w:vAlign w:val="center"/>
          </w:tcPr>
          <w:p w14:paraId="40B61BE6" w14:textId="77F464F5" w:rsidR="006E6E20" w:rsidRDefault="004979A5" w:rsidP="003D3961">
            <w:pPr>
              <w:spacing w:line="300" w:lineRule="atLeast"/>
              <w:jc w:val="center"/>
              <w:rPr>
                <w:rFonts w:ascii="Arial" w:hAnsi="Arial" w:cs="Arial"/>
                <w:sz w:val="16"/>
                <w:szCs w:val="16"/>
              </w:rPr>
            </w:pPr>
            <w:r>
              <w:rPr>
                <w:rFonts w:ascii="Arial" w:hAnsi="Arial" w:cs="Arial"/>
                <w:sz w:val="16"/>
                <w:szCs w:val="16"/>
              </w:rPr>
              <w:t>1.</w:t>
            </w:r>
            <w:r w:rsidR="00F31D8C">
              <w:rPr>
                <w:rFonts w:ascii="Arial" w:hAnsi="Arial" w:cs="Arial"/>
                <w:sz w:val="16"/>
                <w:szCs w:val="16"/>
              </w:rPr>
              <w:t>8</w:t>
            </w:r>
            <w:r>
              <w:rPr>
                <w:rFonts w:ascii="Arial" w:hAnsi="Arial" w:cs="Arial"/>
                <w:sz w:val="16"/>
                <w:szCs w:val="16"/>
              </w:rPr>
              <w:t xml:space="preserve"> – 1</w:t>
            </w:r>
            <w:r w:rsidR="00F31D8C">
              <w:rPr>
                <w:rFonts w:ascii="Arial" w:hAnsi="Arial" w:cs="Arial"/>
                <w:sz w:val="16"/>
                <w:szCs w:val="16"/>
              </w:rPr>
              <w:t>7.1</w:t>
            </w:r>
            <w:r>
              <w:rPr>
                <w:rFonts w:ascii="Arial" w:hAnsi="Arial" w:cs="Arial"/>
                <w:sz w:val="16"/>
                <w:szCs w:val="16"/>
              </w:rPr>
              <w:t xml:space="preserve"> (</w:t>
            </w:r>
            <w:r w:rsidR="00F31D8C">
              <w:rPr>
                <w:rFonts w:ascii="Arial" w:hAnsi="Arial" w:cs="Arial"/>
                <w:sz w:val="16"/>
                <w:szCs w:val="16"/>
              </w:rPr>
              <w:t>9.45</w:t>
            </w:r>
            <w:r>
              <w:rPr>
                <w:rFonts w:ascii="Arial" w:hAnsi="Arial" w:cs="Arial"/>
                <w:sz w:val="16"/>
                <w:szCs w:val="16"/>
              </w:rPr>
              <w:t>)</w:t>
            </w:r>
          </w:p>
        </w:tc>
      </w:tr>
      <w:tr w:rsidR="00764FC4" w14:paraId="4CAD942C" w14:textId="77777777" w:rsidTr="00EB7D4D">
        <w:tc>
          <w:tcPr>
            <w:tcW w:w="1868" w:type="dxa"/>
            <w:vAlign w:val="center"/>
          </w:tcPr>
          <w:p w14:paraId="490375B9" w14:textId="57DBEA7A" w:rsidR="00764FC4" w:rsidRDefault="00764FC4" w:rsidP="00764FC4">
            <w:pPr>
              <w:spacing w:line="300" w:lineRule="atLeast"/>
              <w:rPr>
                <w:rFonts w:ascii="Arial" w:hAnsi="Arial" w:cs="Arial"/>
                <w:sz w:val="16"/>
                <w:szCs w:val="16"/>
              </w:rPr>
            </w:pPr>
            <w:r>
              <w:rPr>
                <w:rFonts w:ascii="Arial" w:hAnsi="Arial" w:cs="Arial"/>
                <w:sz w:val="16"/>
                <w:szCs w:val="16"/>
              </w:rPr>
              <w:t>Huntly Power Station, 202</w:t>
            </w:r>
            <w:r w:rsidR="004B658A">
              <w:rPr>
                <w:rFonts w:ascii="Arial" w:hAnsi="Arial" w:cs="Arial"/>
                <w:sz w:val="16"/>
                <w:szCs w:val="16"/>
              </w:rPr>
              <w:t>4</w:t>
            </w:r>
          </w:p>
        </w:tc>
        <w:tc>
          <w:tcPr>
            <w:tcW w:w="1253" w:type="dxa"/>
            <w:vAlign w:val="center"/>
          </w:tcPr>
          <w:p w14:paraId="24C81266" w14:textId="1FE28AE1" w:rsidR="00764FC4" w:rsidRDefault="00764FC4" w:rsidP="00764FC4">
            <w:pPr>
              <w:spacing w:line="300" w:lineRule="atLeast"/>
              <w:jc w:val="center"/>
              <w:rPr>
                <w:rFonts w:ascii="Arial" w:hAnsi="Arial" w:cs="Arial"/>
                <w:sz w:val="16"/>
                <w:szCs w:val="16"/>
              </w:rPr>
            </w:pPr>
            <w:r>
              <w:rPr>
                <w:rFonts w:ascii="Arial" w:hAnsi="Arial" w:cs="Arial"/>
                <w:sz w:val="16"/>
                <w:szCs w:val="16"/>
              </w:rPr>
              <w:t>870,446</w:t>
            </w:r>
          </w:p>
        </w:tc>
        <w:tc>
          <w:tcPr>
            <w:tcW w:w="1376" w:type="dxa"/>
            <w:vAlign w:val="center"/>
          </w:tcPr>
          <w:p w14:paraId="2A76A4E1" w14:textId="2E0F370B" w:rsidR="00764FC4" w:rsidRDefault="00764FC4" w:rsidP="00764FC4">
            <w:pPr>
              <w:spacing w:line="300" w:lineRule="atLeast"/>
              <w:jc w:val="center"/>
              <w:rPr>
                <w:rFonts w:ascii="Arial" w:hAnsi="Arial" w:cs="Arial"/>
                <w:sz w:val="16"/>
                <w:szCs w:val="16"/>
              </w:rPr>
            </w:pPr>
            <w:r>
              <w:rPr>
                <w:rFonts w:ascii="Arial" w:hAnsi="Arial" w:cs="Arial"/>
                <w:sz w:val="16"/>
                <w:szCs w:val="16"/>
              </w:rPr>
              <w:t>0.02 -0.19</w:t>
            </w:r>
          </w:p>
        </w:tc>
        <w:tc>
          <w:tcPr>
            <w:tcW w:w="1499" w:type="dxa"/>
            <w:vAlign w:val="center"/>
          </w:tcPr>
          <w:p w14:paraId="24A00CB4" w14:textId="13DB8897" w:rsidR="00764FC4" w:rsidRDefault="00764FC4" w:rsidP="00764FC4">
            <w:pPr>
              <w:spacing w:line="300" w:lineRule="atLeast"/>
              <w:jc w:val="center"/>
              <w:rPr>
                <w:rFonts w:ascii="Arial" w:hAnsi="Arial" w:cs="Arial"/>
                <w:sz w:val="16"/>
                <w:szCs w:val="16"/>
              </w:rPr>
            </w:pPr>
            <w:r>
              <w:rPr>
                <w:rFonts w:ascii="Arial" w:hAnsi="Arial" w:cs="Arial"/>
                <w:sz w:val="16"/>
                <w:szCs w:val="16"/>
              </w:rPr>
              <w:t>17.4 – 165 (91.</w:t>
            </w:r>
            <w:r w:rsidR="00EB7D4D">
              <w:rPr>
                <w:rFonts w:ascii="Arial" w:hAnsi="Arial" w:cs="Arial"/>
                <w:sz w:val="16"/>
                <w:szCs w:val="16"/>
              </w:rPr>
              <w:t>4</w:t>
            </w:r>
            <w:r>
              <w:rPr>
                <w:rFonts w:ascii="Arial" w:hAnsi="Arial" w:cs="Arial"/>
                <w:sz w:val="16"/>
                <w:szCs w:val="16"/>
              </w:rPr>
              <w:t>)</w:t>
            </w:r>
          </w:p>
        </w:tc>
        <w:tc>
          <w:tcPr>
            <w:tcW w:w="1512" w:type="dxa"/>
            <w:vAlign w:val="center"/>
          </w:tcPr>
          <w:p w14:paraId="2B141B60" w14:textId="79FA6789" w:rsidR="00764FC4" w:rsidRDefault="00764FC4" w:rsidP="00764FC4">
            <w:pPr>
              <w:spacing w:line="300" w:lineRule="atLeast"/>
              <w:jc w:val="center"/>
              <w:rPr>
                <w:rFonts w:ascii="Arial" w:hAnsi="Arial" w:cs="Arial"/>
                <w:sz w:val="16"/>
                <w:szCs w:val="16"/>
              </w:rPr>
            </w:pPr>
            <w:r>
              <w:rPr>
                <w:rFonts w:ascii="Arial" w:hAnsi="Arial" w:cs="Arial"/>
                <w:sz w:val="16"/>
                <w:szCs w:val="16"/>
              </w:rPr>
              <w:t>15.</w:t>
            </w:r>
            <w:r w:rsidR="00EB7D4D">
              <w:rPr>
                <w:rFonts w:ascii="Arial" w:hAnsi="Arial" w:cs="Arial"/>
                <w:sz w:val="16"/>
                <w:szCs w:val="16"/>
              </w:rPr>
              <w:t>7</w:t>
            </w:r>
            <w:r>
              <w:rPr>
                <w:rFonts w:ascii="Arial" w:hAnsi="Arial" w:cs="Arial"/>
                <w:sz w:val="16"/>
                <w:szCs w:val="16"/>
              </w:rPr>
              <w:t xml:space="preserve"> – 14</w:t>
            </w:r>
            <w:r w:rsidR="00EB7D4D">
              <w:rPr>
                <w:rFonts w:ascii="Arial" w:hAnsi="Arial" w:cs="Arial"/>
                <w:sz w:val="16"/>
                <w:szCs w:val="16"/>
              </w:rPr>
              <w:t xml:space="preserve">9 </w:t>
            </w:r>
            <w:r>
              <w:rPr>
                <w:rFonts w:ascii="Arial" w:hAnsi="Arial" w:cs="Arial"/>
                <w:sz w:val="16"/>
                <w:szCs w:val="16"/>
              </w:rPr>
              <w:t>(82.</w:t>
            </w:r>
            <w:r w:rsidR="00EB7D4D">
              <w:rPr>
                <w:rFonts w:ascii="Arial" w:hAnsi="Arial" w:cs="Arial"/>
                <w:sz w:val="16"/>
                <w:szCs w:val="16"/>
              </w:rPr>
              <w:t>3</w:t>
            </w:r>
            <w:r>
              <w:rPr>
                <w:rFonts w:ascii="Arial" w:hAnsi="Arial" w:cs="Arial"/>
                <w:sz w:val="16"/>
                <w:szCs w:val="16"/>
              </w:rPr>
              <w:t>)</w:t>
            </w:r>
          </w:p>
        </w:tc>
        <w:tc>
          <w:tcPr>
            <w:tcW w:w="1559" w:type="dxa"/>
            <w:vAlign w:val="center"/>
          </w:tcPr>
          <w:p w14:paraId="3D6AFE61" w14:textId="0CDB6E62" w:rsidR="00764FC4" w:rsidRDefault="00764FC4" w:rsidP="00764FC4">
            <w:pPr>
              <w:spacing w:line="300" w:lineRule="atLeast"/>
              <w:jc w:val="center"/>
              <w:rPr>
                <w:rFonts w:ascii="Arial" w:hAnsi="Arial" w:cs="Arial"/>
                <w:sz w:val="16"/>
                <w:szCs w:val="16"/>
              </w:rPr>
            </w:pPr>
            <w:r>
              <w:rPr>
                <w:rFonts w:ascii="Arial" w:hAnsi="Arial" w:cs="Arial"/>
                <w:sz w:val="16"/>
                <w:szCs w:val="16"/>
              </w:rPr>
              <w:t>1.74 – 16.5</w:t>
            </w:r>
            <w:r w:rsidR="00EB7D4D">
              <w:rPr>
                <w:rFonts w:ascii="Arial" w:hAnsi="Arial" w:cs="Arial"/>
                <w:sz w:val="16"/>
                <w:szCs w:val="16"/>
              </w:rPr>
              <w:t xml:space="preserve"> </w:t>
            </w:r>
            <w:r>
              <w:rPr>
                <w:rFonts w:ascii="Arial" w:hAnsi="Arial" w:cs="Arial"/>
                <w:sz w:val="16"/>
                <w:szCs w:val="16"/>
              </w:rPr>
              <w:t xml:space="preserve">(9.14) </w:t>
            </w:r>
          </w:p>
        </w:tc>
      </w:tr>
    </w:tbl>
    <w:p w14:paraId="532F16EE" w14:textId="311236B4" w:rsidR="008A3186" w:rsidRPr="0059685F" w:rsidRDefault="0059685F" w:rsidP="008F11FE">
      <w:pPr>
        <w:spacing w:before="120" w:line="300" w:lineRule="atLeast"/>
        <w:jc w:val="both"/>
        <w:rPr>
          <w:szCs w:val="18"/>
        </w:rPr>
      </w:pPr>
      <w:r w:rsidRPr="0059685F">
        <w:rPr>
          <w:szCs w:val="18"/>
        </w:rPr>
        <w:t>(Note: the numbers shown in brackets in this and most other tables are the means of the reported ranges</w:t>
      </w:r>
      <w:r w:rsidR="004A227C">
        <w:rPr>
          <w:szCs w:val="18"/>
        </w:rPr>
        <w:t>.</w:t>
      </w:r>
      <w:r w:rsidRPr="0059685F">
        <w:rPr>
          <w:szCs w:val="18"/>
        </w:rPr>
        <w:t>)</w:t>
      </w:r>
    </w:p>
    <w:p w14:paraId="508F91CF" w14:textId="77777777" w:rsidR="0028681C" w:rsidRPr="00BE17CF" w:rsidRDefault="0028681C" w:rsidP="008F11FE">
      <w:pPr>
        <w:spacing w:before="120" w:line="300" w:lineRule="atLeast"/>
        <w:jc w:val="both"/>
        <w:rPr>
          <w:rFonts w:ascii="Arial" w:hAnsi="Arial" w:cs="Arial"/>
          <w:b/>
          <w:szCs w:val="18"/>
        </w:rPr>
      </w:pPr>
      <w:r w:rsidRPr="00BE17CF">
        <w:rPr>
          <w:rFonts w:ascii="Arial" w:hAnsi="Arial" w:cs="Arial"/>
          <w:b/>
          <w:szCs w:val="18"/>
        </w:rPr>
        <w:t xml:space="preserve">Certainty </w:t>
      </w:r>
      <w:r w:rsidR="00A97D5C" w:rsidRPr="00BE17CF">
        <w:rPr>
          <w:rFonts w:ascii="Arial" w:hAnsi="Arial" w:cs="Arial"/>
          <w:b/>
          <w:szCs w:val="18"/>
        </w:rPr>
        <w:t>assessment</w:t>
      </w:r>
    </w:p>
    <w:p w14:paraId="2ED99AE0" w14:textId="77777777" w:rsidR="00506F24" w:rsidRDefault="00506F24" w:rsidP="00506F24">
      <w:pPr>
        <w:tabs>
          <w:tab w:val="left" w:pos="1985"/>
        </w:tabs>
        <w:spacing w:line="300" w:lineRule="atLeast"/>
        <w:jc w:val="both"/>
        <w:rPr>
          <w:szCs w:val="18"/>
        </w:rPr>
      </w:pPr>
      <w:r>
        <w:rPr>
          <w:szCs w:val="18"/>
        </w:rPr>
        <w:t xml:space="preserve">Activity data: </w:t>
      </w:r>
      <w:r>
        <w:rPr>
          <w:szCs w:val="18"/>
        </w:rPr>
        <w:tab/>
        <w:t xml:space="preserve">HIGH (because it was obtained from </w:t>
      </w:r>
      <w:r w:rsidR="00B57DFF">
        <w:rPr>
          <w:szCs w:val="18"/>
        </w:rPr>
        <w:t>the plant operator</w:t>
      </w:r>
      <w:r>
        <w:rPr>
          <w:szCs w:val="18"/>
        </w:rPr>
        <w:t>)</w:t>
      </w:r>
    </w:p>
    <w:p w14:paraId="6D1753B2" w14:textId="77777777" w:rsidR="00506F24" w:rsidRDefault="00506F24" w:rsidP="00506F24">
      <w:pPr>
        <w:tabs>
          <w:tab w:val="left" w:pos="1985"/>
        </w:tabs>
        <w:spacing w:line="300" w:lineRule="atLeast"/>
        <w:jc w:val="both"/>
        <w:rPr>
          <w:szCs w:val="18"/>
        </w:rPr>
      </w:pPr>
      <w:r>
        <w:rPr>
          <w:szCs w:val="18"/>
        </w:rPr>
        <w:t xml:space="preserve">Input estimates: </w:t>
      </w:r>
      <w:r>
        <w:rPr>
          <w:szCs w:val="18"/>
        </w:rPr>
        <w:tab/>
        <w:t>MEDIUM (because they are based on a range of coal analyses)</w:t>
      </w:r>
    </w:p>
    <w:p w14:paraId="2718D005" w14:textId="48D99B3C" w:rsidR="00674F40" w:rsidRDefault="00506F24" w:rsidP="00D20BA6">
      <w:pPr>
        <w:tabs>
          <w:tab w:val="left" w:pos="1985"/>
        </w:tabs>
        <w:spacing w:line="300" w:lineRule="atLeast"/>
        <w:jc w:val="both"/>
        <w:rPr>
          <w:szCs w:val="18"/>
        </w:rPr>
      </w:pPr>
      <w:r>
        <w:rPr>
          <w:szCs w:val="18"/>
        </w:rPr>
        <w:t xml:space="preserve">Output estimates: </w:t>
      </w:r>
      <w:r>
        <w:rPr>
          <w:szCs w:val="18"/>
        </w:rPr>
        <w:tab/>
        <w:t>LOW (because they are based on the default Toolkit output factors).</w:t>
      </w:r>
    </w:p>
    <w:p w14:paraId="7DF11BCA" w14:textId="28EE4C7D" w:rsidR="00A51AE5" w:rsidRPr="00C0444A" w:rsidRDefault="00B11F8B" w:rsidP="00135B26">
      <w:pPr>
        <w:pStyle w:val="Heading2"/>
      </w:pPr>
      <w:bookmarkStart w:id="30" w:name="_Toc110355513"/>
      <w:r w:rsidRPr="00C0444A">
        <w:t xml:space="preserve">Other </w:t>
      </w:r>
      <w:r w:rsidR="00A97D5C" w:rsidRPr="00C0444A">
        <w:t>coal use</w:t>
      </w:r>
      <w:bookmarkEnd w:id="30"/>
    </w:p>
    <w:p w14:paraId="25C41BA1" w14:textId="77777777" w:rsidR="00871103" w:rsidRPr="00C0444A" w:rsidRDefault="00F0025A" w:rsidP="003833D6">
      <w:pPr>
        <w:spacing w:line="300" w:lineRule="atLeast"/>
        <w:jc w:val="both"/>
        <w:rPr>
          <w:szCs w:val="18"/>
        </w:rPr>
      </w:pPr>
      <w:r w:rsidRPr="00C0444A">
        <w:rPr>
          <w:szCs w:val="18"/>
        </w:rPr>
        <w:t>T</w:t>
      </w:r>
      <w:r w:rsidR="00871103" w:rsidRPr="00C0444A">
        <w:rPr>
          <w:szCs w:val="18"/>
        </w:rPr>
        <w:t xml:space="preserve">his Toolkit sub-category </w:t>
      </w:r>
      <w:r w:rsidR="00FD0BE8" w:rsidRPr="00C0444A">
        <w:rPr>
          <w:szCs w:val="18"/>
        </w:rPr>
        <w:t xml:space="preserve">covers all other uses of coal. </w:t>
      </w:r>
      <w:r w:rsidR="00871103" w:rsidRPr="00C0444A">
        <w:rPr>
          <w:szCs w:val="18"/>
        </w:rPr>
        <w:t xml:space="preserve">It also considers potential releases from </w:t>
      </w:r>
      <w:r w:rsidR="00FE04A2" w:rsidRPr="00C0444A">
        <w:rPr>
          <w:szCs w:val="18"/>
        </w:rPr>
        <w:t>coal washing</w:t>
      </w:r>
      <w:r w:rsidR="00DC6A03" w:rsidRPr="00C0444A">
        <w:rPr>
          <w:szCs w:val="18"/>
        </w:rPr>
        <w:t>.</w:t>
      </w:r>
      <w:r w:rsidR="00871103" w:rsidRPr="00C0444A">
        <w:rPr>
          <w:szCs w:val="18"/>
        </w:rPr>
        <w:t xml:space="preserve"> </w:t>
      </w:r>
    </w:p>
    <w:p w14:paraId="6F64C414" w14:textId="61E82E2A" w:rsidR="00424C63" w:rsidRDefault="00424C63" w:rsidP="003833D6">
      <w:pPr>
        <w:spacing w:line="300" w:lineRule="atLeast"/>
        <w:jc w:val="both"/>
        <w:rPr>
          <w:rFonts w:ascii="Arial" w:hAnsi="Arial" w:cs="Arial"/>
          <w:b/>
          <w:szCs w:val="18"/>
        </w:rPr>
      </w:pPr>
      <w:r w:rsidRPr="00C0444A">
        <w:rPr>
          <w:rFonts w:ascii="Arial" w:hAnsi="Arial" w:cs="Arial"/>
          <w:b/>
          <w:szCs w:val="18"/>
        </w:rPr>
        <w:t xml:space="preserve">Coal </w:t>
      </w:r>
      <w:r w:rsidR="00A97D5C" w:rsidRPr="00C0444A">
        <w:rPr>
          <w:rFonts w:ascii="Arial" w:hAnsi="Arial" w:cs="Arial"/>
          <w:b/>
          <w:szCs w:val="18"/>
        </w:rPr>
        <w:t>production and use</w:t>
      </w:r>
    </w:p>
    <w:p w14:paraId="5F5BECA5" w14:textId="721CF0AC" w:rsidR="00583A0E" w:rsidRDefault="00C128E1" w:rsidP="00C128E1">
      <w:pPr>
        <w:spacing w:line="300" w:lineRule="atLeast"/>
        <w:jc w:val="both"/>
        <w:rPr>
          <w:szCs w:val="18"/>
        </w:rPr>
      </w:pPr>
      <w:r>
        <w:rPr>
          <w:szCs w:val="18"/>
        </w:rPr>
        <w:t>New Zealand produces three types of coal – bi</w:t>
      </w:r>
      <w:r w:rsidR="003B3ACA">
        <w:rPr>
          <w:szCs w:val="18"/>
        </w:rPr>
        <w:t>tu</w:t>
      </w:r>
      <w:r>
        <w:rPr>
          <w:szCs w:val="18"/>
        </w:rPr>
        <w:t>minous, sub-b</w:t>
      </w:r>
      <w:r w:rsidR="003B3ACA">
        <w:rPr>
          <w:szCs w:val="18"/>
        </w:rPr>
        <w:t>itu</w:t>
      </w:r>
      <w:r>
        <w:rPr>
          <w:szCs w:val="18"/>
        </w:rPr>
        <w:t>minous and lignite. B</w:t>
      </w:r>
      <w:r w:rsidR="00131B95">
        <w:rPr>
          <w:szCs w:val="18"/>
        </w:rPr>
        <w:t>itumin</w:t>
      </w:r>
      <w:r>
        <w:rPr>
          <w:szCs w:val="18"/>
        </w:rPr>
        <w:t xml:space="preserve">ous coal has the highest energy value </w:t>
      </w:r>
      <w:r w:rsidR="000E7F42">
        <w:rPr>
          <w:szCs w:val="18"/>
        </w:rPr>
        <w:t>and is mined solely on the South Island’s West Coast. Of New Zealand’s total production of bituminous coal in 202</w:t>
      </w:r>
      <w:r w:rsidR="00D5471E">
        <w:rPr>
          <w:szCs w:val="18"/>
        </w:rPr>
        <w:t>4</w:t>
      </w:r>
      <w:r w:rsidR="000E7F42">
        <w:rPr>
          <w:szCs w:val="18"/>
        </w:rPr>
        <w:t xml:space="preserve"> (</w:t>
      </w:r>
      <w:r w:rsidR="00A06631">
        <w:rPr>
          <w:szCs w:val="18"/>
        </w:rPr>
        <w:t>1,</w:t>
      </w:r>
      <w:r w:rsidR="00D5471E">
        <w:rPr>
          <w:szCs w:val="18"/>
        </w:rPr>
        <w:t>209</w:t>
      </w:r>
      <w:r w:rsidR="00A06631">
        <w:rPr>
          <w:szCs w:val="18"/>
        </w:rPr>
        <w:t>,</w:t>
      </w:r>
      <w:r w:rsidR="00D5471E">
        <w:rPr>
          <w:szCs w:val="18"/>
        </w:rPr>
        <w:t>649</w:t>
      </w:r>
      <w:r w:rsidR="00A06631">
        <w:rPr>
          <w:szCs w:val="18"/>
        </w:rPr>
        <w:t xml:space="preserve"> </w:t>
      </w:r>
      <w:r w:rsidR="000E7F42">
        <w:rPr>
          <w:szCs w:val="18"/>
        </w:rPr>
        <w:t>tonnes) almost all was exported (</w:t>
      </w:r>
      <w:r w:rsidR="00A06631">
        <w:rPr>
          <w:szCs w:val="18"/>
        </w:rPr>
        <w:t>1,</w:t>
      </w:r>
      <w:r w:rsidR="00264D00">
        <w:rPr>
          <w:szCs w:val="18"/>
        </w:rPr>
        <w:t>089</w:t>
      </w:r>
      <w:r w:rsidR="00A06631">
        <w:rPr>
          <w:szCs w:val="18"/>
        </w:rPr>
        <w:t>,</w:t>
      </w:r>
      <w:r w:rsidR="00264D00">
        <w:rPr>
          <w:szCs w:val="18"/>
        </w:rPr>
        <w:t>854</w:t>
      </w:r>
      <w:r w:rsidR="000E7F42">
        <w:rPr>
          <w:szCs w:val="18"/>
        </w:rPr>
        <w:t xml:space="preserve"> tonnes) to be used as coking coal in the world’s steel blast furnaces</w:t>
      </w:r>
      <w:r w:rsidR="00AF17A2">
        <w:rPr>
          <w:szCs w:val="18"/>
        </w:rPr>
        <w:t xml:space="preserve"> (MBIE 202</w:t>
      </w:r>
      <w:r w:rsidR="00264D00">
        <w:rPr>
          <w:szCs w:val="18"/>
        </w:rPr>
        <w:t>5</w:t>
      </w:r>
      <w:r w:rsidR="00AF17A2">
        <w:rPr>
          <w:szCs w:val="18"/>
        </w:rPr>
        <w:t>)</w:t>
      </w:r>
      <w:r w:rsidR="000E7F42">
        <w:rPr>
          <w:szCs w:val="18"/>
        </w:rPr>
        <w:t xml:space="preserve">. </w:t>
      </w:r>
    </w:p>
    <w:p w14:paraId="5D73B486" w14:textId="504245EB" w:rsidR="00C128E1" w:rsidRDefault="000E7F42" w:rsidP="00C128E1">
      <w:pPr>
        <w:spacing w:line="300" w:lineRule="atLeast"/>
        <w:jc w:val="both"/>
        <w:rPr>
          <w:szCs w:val="18"/>
        </w:rPr>
      </w:pPr>
      <w:r>
        <w:rPr>
          <w:szCs w:val="18"/>
        </w:rPr>
        <w:t>Lignite has the lowest energy of the three coal types and is mined chiefly at two Southland coal fields – Waimumu and Ashers (N</w:t>
      </w:r>
      <w:r w:rsidR="00583A0E">
        <w:rPr>
          <w:szCs w:val="18"/>
        </w:rPr>
        <w:t>Z Petroleum and Minerals 2022) and is used in the lower South Island.</w:t>
      </w:r>
      <w:r w:rsidR="00A06631">
        <w:rPr>
          <w:szCs w:val="18"/>
        </w:rPr>
        <w:t xml:space="preserve"> New Zealand produced </w:t>
      </w:r>
      <w:r w:rsidR="00264D00">
        <w:rPr>
          <w:szCs w:val="18"/>
        </w:rPr>
        <w:t>239,877</w:t>
      </w:r>
      <w:r w:rsidR="00A06631">
        <w:rPr>
          <w:szCs w:val="18"/>
        </w:rPr>
        <w:t xml:space="preserve"> tonnes of lignite in 202</w:t>
      </w:r>
      <w:r w:rsidR="00264D00">
        <w:rPr>
          <w:szCs w:val="18"/>
        </w:rPr>
        <w:t>4</w:t>
      </w:r>
      <w:r w:rsidR="00AF17A2">
        <w:rPr>
          <w:szCs w:val="18"/>
        </w:rPr>
        <w:t xml:space="preserve"> (MBIE 202</w:t>
      </w:r>
      <w:r w:rsidR="00264D00">
        <w:rPr>
          <w:szCs w:val="18"/>
        </w:rPr>
        <w:t>5</w:t>
      </w:r>
      <w:r w:rsidR="00AF17A2">
        <w:rPr>
          <w:szCs w:val="18"/>
        </w:rPr>
        <w:t>)</w:t>
      </w:r>
    </w:p>
    <w:p w14:paraId="0EE054BE" w14:textId="20CB5E04" w:rsidR="00264D00" w:rsidRDefault="00583A0E" w:rsidP="003833D6">
      <w:pPr>
        <w:spacing w:line="300" w:lineRule="atLeast"/>
        <w:jc w:val="both"/>
        <w:rPr>
          <w:szCs w:val="18"/>
        </w:rPr>
      </w:pPr>
      <w:r>
        <w:rPr>
          <w:szCs w:val="18"/>
        </w:rPr>
        <w:t>Sub-b</w:t>
      </w:r>
      <w:r w:rsidR="00131B95">
        <w:rPr>
          <w:szCs w:val="18"/>
        </w:rPr>
        <w:t>itu</w:t>
      </w:r>
      <w:r>
        <w:rPr>
          <w:szCs w:val="18"/>
        </w:rPr>
        <w:t>minous coal is intermediate in energy quality and is mined at several opencast mines in both the North Island and the South Island</w:t>
      </w:r>
      <w:r w:rsidR="004F5BD6">
        <w:rPr>
          <w:szCs w:val="18"/>
        </w:rPr>
        <w:t xml:space="preserve"> with pro</w:t>
      </w:r>
      <w:r w:rsidR="00BE4ED9">
        <w:rPr>
          <w:szCs w:val="18"/>
        </w:rPr>
        <w:t>duction figures of 1,059,500 tonnes</w:t>
      </w:r>
      <w:r>
        <w:rPr>
          <w:szCs w:val="18"/>
        </w:rPr>
        <w:t xml:space="preserve">. </w:t>
      </w:r>
      <w:r w:rsidR="00264D00">
        <w:rPr>
          <w:szCs w:val="18"/>
        </w:rPr>
        <w:t xml:space="preserve">The New Zealand Steel plant at Glenbrook and Huntly Power Station are major </w:t>
      </w:r>
      <w:r w:rsidR="004F5BD6">
        <w:rPr>
          <w:szCs w:val="18"/>
        </w:rPr>
        <w:t xml:space="preserve">sub-bituminous </w:t>
      </w:r>
      <w:r w:rsidR="00264D00">
        <w:rPr>
          <w:szCs w:val="18"/>
        </w:rPr>
        <w:t xml:space="preserve">users in the North Island </w:t>
      </w:r>
      <w:r w:rsidR="004F5BD6">
        <w:rPr>
          <w:szCs w:val="18"/>
        </w:rPr>
        <w:t>while the food manufacturing industry is the principal South Island user</w:t>
      </w:r>
      <w:r w:rsidR="0099009A">
        <w:rPr>
          <w:szCs w:val="18"/>
        </w:rPr>
        <w:t xml:space="preserve"> </w:t>
      </w:r>
      <w:r w:rsidR="004F5BD6">
        <w:rPr>
          <w:szCs w:val="18"/>
        </w:rPr>
        <w:t>(MBIE, 2025).</w:t>
      </w:r>
      <w:r w:rsidR="00291C2B">
        <w:rPr>
          <w:szCs w:val="18"/>
        </w:rPr>
        <w:t xml:space="preserve"> </w:t>
      </w:r>
    </w:p>
    <w:p w14:paraId="656A63DE" w14:textId="3B921A7F" w:rsidR="00AF17A2" w:rsidRPr="00351B54" w:rsidRDefault="00AF17A2" w:rsidP="003833D6">
      <w:pPr>
        <w:spacing w:line="300" w:lineRule="atLeast"/>
        <w:jc w:val="both"/>
        <w:rPr>
          <w:szCs w:val="18"/>
        </w:rPr>
      </w:pPr>
      <w:r>
        <w:rPr>
          <w:szCs w:val="18"/>
        </w:rPr>
        <w:t>In addition to domestic coal production</w:t>
      </w:r>
      <w:r w:rsidR="00D66B4A">
        <w:rPr>
          <w:szCs w:val="18"/>
        </w:rPr>
        <w:t>,</w:t>
      </w:r>
      <w:r>
        <w:rPr>
          <w:szCs w:val="18"/>
        </w:rPr>
        <w:t xml:space="preserve"> New Zealand also imports significant quantities. In 202</w:t>
      </w:r>
      <w:r w:rsidR="004F5BD6">
        <w:rPr>
          <w:szCs w:val="18"/>
        </w:rPr>
        <w:t>4</w:t>
      </w:r>
      <w:r>
        <w:rPr>
          <w:szCs w:val="18"/>
        </w:rPr>
        <w:t xml:space="preserve"> New Zealand imported </w:t>
      </w:r>
      <w:r w:rsidR="004F5BD6">
        <w:rPr>
          <w:szCs w:val="18"/>
        </w:rPr>
        <w:t xml:space="preserve">1,014,562 </w:t>
      </w:r>
      <w:r>
        <w:rPr>
          <w:szCs w:val="18"/>
        </w:rPr>
        <w:t>tonnes of coal, mostly sub</w:t>
      </w:r>
      <w:r w:rsidR="00CE2DBD">
        <w:rPr>
          <w:szCs w:val="18"/>
        </w:rPr>
        <w:t>-</w:t>
      </w:r>
      <w:r>
        <w:rPr>
          <w:szCs w:val="18"/>
        </w:rPr>
        <w:t>b</w:t>
      </w:r>
      <w:r w:rsidR="00131B95">
        <w:rPr>
          <w:szCs w:val="18"/>
        </w:rPr>
        <w:t>itu</w:t>
      </w:r>
      <w:r>
        <w:rPr>
          <w:szCs w:val="18"/>
        </w:rPr>
        <w:t>minous from Indonesia</w:t>
      </w:r>
      <w:r w:rsidR="00CE2DBD">
        <w:rPr>
          <w:szCs w:val="18"/>
        </w:rPr>
        <w:t xml:space="preserve"> (MBIE 202</w:t>
      </w:r>
      <w:r w:rsidR="00BE4ED9">
        <w:rPr>
          <w:szCs w:val="18"/>
        </w:rPr>
        <w:t>5</w:t>
      </w:r>
      <w:r w:rsidR="00CE2DBD">
        <w:rPr>
          <w:szCs w:val="18"/>
        </w:rPr>
        <w:t>)</w:t>
      </w:r>
      <w:r>
        <w:rPr>
          <w:szCs w:val="18"/>
        </w:rPr>
        <w:t>.</w:t>
      </w:r>
    </w:p>
    <w:p w14:paraId="0D15CA7B" w14:textId="69C8B1A9" w:rsidR="00C0444A" w:rsidRPr="001E553C" w:rsidRDefault="00CE2DBD" w:rsidP="00C0444A">
      <w:pPr>
        <w:spacing w:line="300" w:lineRule="atLeast"/>
        <w:jc w:val="both"/>
        <w:rPr>
          <w:szCs w:val="18"/>
        </w:rPr>
      </w:pPr>
      <w:r>
        <w:rPr>
          <w:szCs w:val="18"/>
        </w:rPr>
        <w:t>T</w:t>
      </w:r>
      <w:r w:rsidR="00C0444A" w:rsidRPr="001E553C">
        <w:rPr>
          <w:szCs w:val="18"/>
        </w:rPr>
        <w:t>otal national coal consumption in 20</w:t>
      </w:r>
      <w:r>
        <w:rPr>
          <w:szCs w:val="18"/>
        </w:rPr>
        <w:t>2</w:t>
      </w:r>
      <w:r w:rsidR="00043C30">
        <w:rPr>
          <w:szCs w:val="18"/>
        </w:rPr>
        <w:t>4</w:t>
      </w:r>
      <w:r w:rsidR="00C0444A" w:rsidRPr="001E553C">
        <w:rPr>
          <w:szCs w:val="18"/>
        </w:rPr>
        <w:t xml:space="preserve"> </w:t>
      </w:r>
      <w:r>
        <w:rPr>
          <w:szCs w:val="18"/>
        </w:rPr>
        <w:t xml:space="preserve">was </w:t>
      </w:r>
      <w:r w:rsidR="00BE4ED9">
        <w:rPr>
          <w:szCs w:val="18"/>
        </w:rPr>
        <w:t xml:space="preserve">2,490,498 </w:t>
      </w:r>
      <w:r w:rsidR="00C0444A" w:rsidRPr="001E553C">
        <w:rPr>
          <w:szCs w:val="18"/>
        </w:rPr>
        <w:t>tonnes</w:t>
      </w:r>
      <w:r>
        <w:rPr>
          <w:szCs w:val="18"/>
        </w:rPr>
        <w:t xml:space="preserve"> (MBIE 202</w:t>
      </w:r>
      <w:r w:rsidR="004F5BD6">
        <w:rPr>
          <w:szCs w:val="18"/>
        </w:rPr>
        <w:t>5</w:t>
      </w:r>
      <w:r>
        <w:rPr>
          <w:szCs w:val="18"/>
        </w:rPr>
        <w:t xml:space="preserve">). About half of this coal </w:t>
      </w:r>
      <w:r w:rsidR="00D66B4A">
        <w:rPr>
          <w:szCs w:val="18"/>
        </w:rPr>
        <w:t>was</w:t>
      </w:r>
      <w:r>
        <w:rPr>
          <w:szCs w:val="18"/>
        </w:rPr>
        <w:t xml:space="preserve"> used for electricity generation and primary steel manufacturing with food manufacturing being another large coal consumer</w:t>
      </w:r>
      <w:r w:rsidR="003107E0">
        <w:rPr>
          <w:szCs w:val="18"/>
        </w:rPr>
        <w:t>,</w:t>
      </w:r>
      <w:r>
        <w:rPr>
          <w:szCs w:val="18"/>
        </w:rPr>
        <w:t xml:space="preserve"> </w:t>
      </w:r>
      <w:r w:rsidR="001A762F">
        <w:rPr>
          <w:szCs w:val="18"/>
        </w:rPr>
        <w:t>particularly in the South Island</w:t>
      </w:r>
      <w:r w:rsidR="00D66B4A">
        <w:rPr>
          <w:szCs w:val="18"/>
        </w:rPr>
        <w:t xml:space="preserve"> where there is no access to reticulated natural gas</w:t>
      </w:r>
      <w:r w:rsidR="001A762F">
        <w:rPr>
          <w:szCs w:val="18"/>
        </w:rPr>
        <w:t>.</w:t>
      </w:r>
      <w:r w:rsidR="00C0444A" w:rsidRPr="001E553C">
        <w:rPr>
          <w:szCs w:val="18"/>
        </w:rPr>
        <w:t xml:space="preserve"> The distribution of domestic coal consumption across </w:t>
      </w:r>
      <w:r w:rsidR="001A762F">
        <w:rPr>
          <w:szCs w:val="18"/>
        </w:rPr>
        <w:t xml:space="preserve">MBIE’s </w:t>
      </w:r>
      <w:r w:rsidR="00C0444A" w:rsidRPr="001E553C">
        <w:rPr>
          <w:szCs w:val="18"/>
        </w:rPr>
        <w:t>sector</w:t>
      </w:r>
      <w:r w:rsidR="001A762F">
        <w:rPr>
          <w:szCs w:val="18"/>
        </w:rPr>
        <w:t xml:space="preserve"> descriptions</w:t>
      </w:r>
      <w:r w:rsidR="00C0444A" w:rsidRPr="001E553C">
        <w:rPr>
          <w:szCs w:val="18"/>
        </w:rPr>
        <w:t xml:space="preserve"> was as follows:</w:t>
      </w:r>
    </w:p>
    <w:p w14:paraId="18057FBE" w14:textId="6B1ACA64" w:rsidR="00C0444A" w:rsidRPr="001E553C" w:rsidRDefault="00C0444A" w:rsidP="00C0444A">
      <w:pPr>
        <w:tabs>
          <w:tab w:val="left" w:pos="5387"/>
        </w:tabs>
        <w:spacing w:line="300" w:lineRule="atLeast"/>
        <w:ind w:firstLine="720"/>
        <w:jc w:val="both"/>
        <w:rPr>
          <w:szCs w:val="18"/>
        </w:rPr>
      </w:pPr>
      <w:r w:rsidRPr="001E553C">
        <w:rPr>
          <w:szCs w:val="18"/>
        </w:rPr>
        <w:t>Electricity gen</w:t>
      </w:r>
      <w:r>
        <w:rPr>
          <w:szCs w:val="18"/>
        </w:rPr>
        <w:t>eration (Huntly)</w:t>
      </w:r>
      <w:r>
        <w:rPr>
          <w:szCs w:val="18"/>
        </w:rPr>
        <w:tab/>
      </w:r>
      <w:r w:rsidR="00BE4ED9">
        <w:rPr>
          <w:szCs w:val="18"/>
        </w:rPr>
        <w:t>871</w:t>
      </w:r>
      <w:r w:rsidR="00D035F9">
        <w:rPr>
          <w:szCs w:val="18"/>
        </w:rPr>
        <w:t>,</w:t>
      </w:r>
      <w:r w:rsidR="00BE4ED9">
        <w:rPr>
          <w:szCs w:val="18"/>
        </w:rPr>
        <w:t>619</w:t>
      </w:r>
      <w:r w:rsidRPr="001E553C">
        <w:rPr>
          <w:rStyle w:val="FootnoteReference"/>
          <w:szCs w:val="18"/>
        </w:rPr>
        <w:footnoteReference w:id="5"/>
      </w:r>
    </w:p>
    <w:p w14:paraId="26025233" w14:textId="7C73CBC1" w:rsidR="00C0444A" w:rsidRPr="001E553C" w:rsidRDefault="00C0444A" w:rsidP="00C0444A">
      <w:pPr>
        <w:tabs>
          <w:tab w:val="left" w:pos="5387"/>
        </w:tabs>
        <w:spacing w:line="300" w:lineRule="atLeast"/>
        <w:ind w:firstLine="720"/>
        <w:jc w:val="both"/>
        <w:rPr>
          <w:szCs w:val="18"/>
        </w:rPr>
      </w:pPr>
      <w:r w:rsidRPr="001E553C">
        <w:rPr>
          <w:szCs w:val="18"/>
        </w:rPr>
        <w:t>Use</w:t>
      </w:r>
      <w:r>
        <w:rPr>
          <w:szCs w:val="18"/>
        </w:rPr>
        <w:t xml:space="preserve"> in co-generation plants</w:t>
      </w:r>
      <w:r>
        <w:rPr>
          <w:szCs w:val="18"/>
        </w:rPr>
        <w:tab/>
      </w:r>
      <w:r w:rsidR="00BE4ED9">
        <w:rPr>
          <w:szCs w:val="18"/>
        </w:rPr>
        <w:t>343,392</w:t>
      </w:r>
      <w:r w:rsidRPr="001E553C">
        <w:rPr>
          <w:szCs w:val="18"/>
        </w:rPr>
        <w:t xml:space="preserve"> tonnes</w:t>
      </w:r>
    </w:p>
    <w:p w14:paraId="42182E84" w14:textId="24CF4E57" w:rsidR="00C0444A" w:rsidRPr="001E553C" w:rsidRDefault="00C0444A" w:rsidP="00C0444A">
      <w:pPr>
        <w:tabs>
          <w:tab w:val="left" w:pos="5387"/>
        </w:tabs>
        <w:spacing w:line="300" w:lineRule="atLeast"/>
        <w:ind w:firstLine="720"/>
        <w:jc w:val="both"/>
        <w:rPr>
          <w:szCs w:val="18"/>
        </w:rPr>
      </w:pPr>
      <w:r w:rsidRPr="001E553C">
        <w:rPr>
          <w:szCs w:val="18"/>
        </w:rPr>
        <w:t>Other transformation (ste</w:t>
      </w:r>
      <w:r>
        <w:rPr>
          <w:szCs w:val="18"/>
        </w:rPr>
        <w:t>el manufacture)</w:t>
      </w:r>
      <w:r>
        <w:rPr>
          <w:szCs w:val="18"/>
        </w:rPr>
        <w:tab/>
      </w:r>
      <w:r w:rsidR="00BE4ED9">
        <w:rPr>
          <w:szCs w:val="18"/>
        </w:rPr>
        <w:t xml:space="preserve">445,805 </w:t>
      </w:r>
      <w:r w:rsidRPr="001E553C">
        <w:rPr>
          <w:szCs w:val="18"/>
        </w:rPr>
        <w:t>tonnes</w:t>
      </w:r>
    </w:p>
    <w:p w14:paraId="34BD5C70" w14:textId="77DC6FEB" w:rsidR="00C0444A" w:rsidRDefault="00C0444A" w:rsidP="00C0444A">
      <w:pPr>
        <w:tabs>
          <w:tab w:val="left" w:pos="5387"/>
        </w:tabs>
        <w:spacing w:line="300" w:lineRule="atLeast"/>
        <w:ind w:firstLine="720"/>
        <w:jc w:val="both"/>
        <w:rPr>
          <w:szCs w:val="18"/>
        </w:rPr>
      </w:pPr>
      <w:r w:rsidRPr="001E553C">
        <w:rPr>
          <w:szCs w:val="18"/>
        </w:rPr>
        <w:t>Industrial use</w:t>
      </w:r>
      <w:r>
        <w:rPr>
          <w:szCs w:val="18"/>
        </w:rPr>
        <w:tab/>
      </w:r>
      <w:r w:rsidR="00BE4ED9">
        <w:rPr>
          <w:szCs w:val="18"/>
        </w:rPr>
        <w:t xml:space="preserve">714,285 </w:t>
      </w:r>
      <w:r w:rsidRPr="001E553C">
        <w:rPr>
          <w:szCs w:val="18"/>
        </w:rPr>
        <w:t>tonnes</w:t>
      </w:r>
    </w:p>
    <w:p w14:paraId="39824018" w14:textId="5ABC0EBC" w:rsidR="00BE4ED9" w:rsidRPr="001E553C" w:rsidRDefault="00BE4ED9" w:rsidP="00C0444A">
      <w:pPr>
        <w:tabs>
          <w:tab w:val="left" w:pos="5387"/>
        </w:tabs>
        <w:spacing w:line="300" w:lineRule="atLeast"/>
        <w:ind w:firstLine="720"/>
        <w:jc w:val="both"/>
        <w:rPr>
          <w:szCs w:val="18"/>
        </w:rPr>
      </w:pPr>
      <w:r>
        <w:rPr>
          <w:szCs w:val="18"/>
        </w:rPr>
        <w:t>Agriculture, forestry and fishing</w:t>
      </w:r>
      <w:r>
        <w:rPr>
          <w:szCs w:val="18"/>
        </w:rPr>
        <w:tab/>
        <w:t>65,604</w:t>
      </w:r>
    </w:p>
    <w:p w14:paraId="34D1FF7C" w14:textId="4EC01A61" w:rsidR="00C0444A" w:rsidRPr="001E553C" w:rsidRDefault="00C0444A" w:rsidP="00AB693E">
      <w:pPr>
        <w:tabs>
          <w:tab w:val="left" w:pos="5387"/>
        </w:tabs>
        <w:spacing w:line="300" w:lineRule="atLeast"/>
        <w:ind w:firstLine="720"/>
        <w:jc w:val="both"/>
        <w:rPr>
          <w:szCs w:val="18"/>
        </w:rPr>
      </w:pPr>
      <w:r w:rsidRPr="001E553C">
        <w:rPr>
          <w:szCs w:val="18"/>
        </w:rPr>
        <w:t>Com</w:t>
      </w:r>
      <w:r>
        <w:rPr>
          <w:szCs w:val="18"/>
        </w:rPr>
        <w:t>mercial/institutional use</w:t>
      </w:r>
      <w:r>
        <w:rPr>
          <w:szCs w:val="18"/>
        </w:rPr>
        <w:tab/>
      </w:r>
      <w:r w:rsidR="00BE4ED9">
        <w:rPr>
          <w:szCs w:val="18"/>
        </w:rPr>
        <w:t xml:space="preserve">15,467 </w:t>
      </w:r>
      <w:r w:rsidRPr="001E553C">
        <w:rPr>
          <w:szCs w:val="18"/>
        </w:rPr>
        <w:t>tonnes</w:t>
      </w:r>
    </w:p>
    <w:p w14:paraId="7742F722" w14:textId="0095D040" w:rsidR="00C0444A" w:rsidRPr="001E553C" w:rsidRDefault="00C0444A" w:rsidP="00C0444A">
      <w:pPr>
        <w:tabs>
          <w:tab w:val="left" w:pos="5387"/>
        </w:tabs>
        <w:spacing w:line="300" w:lineRule="atLeast"/>
        <w:ind w:firstLine="720"/>
        <w:jc w:val="both"/>
        <w:rPr>
          <w:szCs w:val="18"/>
        </w:rPr>
      </w:pPr>
      <w:r>
        <w:rPr>
          <w:szCs w:val="18"/>
        </w:rPr>
        <w:t>Residential use</w:t>
      </w:r>
      <w:r>
        <w:rPr>
          <w:szCs w:val="18"/>
        </w:rPr>
        <w:tab/>
      </w:r>
      <w:r w:rsidR="00BE4ED9">
        <w:rPr>
          <w:szCs w:val="18"/>
        </w:rPr>
        <w:t xml:space="preserve">7,251 </w:t>
      </w:r>
      <w:r w:rsidRPr="001E553C">
        <w:rPr>
          <w:szCs w:val="18"/>
        </w:rPr>
        <w:t>tonnes</w:t>
      </w:r>
    </w:p>
    <w:p w14:paraId="7C064CC2" w14:textId="0BBF1D08" w:rsidR="001A762F" w:rsidRPr="001E553C" w:rsidRDefault="00C0444A" w:rsidP="00AB693E">
      <w:pPr>
        <w:tabs>
          <w:tab w:val="left" w:pos="5387"/>
        </w:tabs>
        <w:spacing w:line="300" w:lineRule="atLeast"/>
        <w:ind w:firstLine="720"/>
        <w:jc w:val="both"/>
        <w:rPr>
          <w:szCs w:val="18"/>
        </w:rPr>
      </w:pPr>
      <w:r>
        <w:rPr>
          <w:szCs w:val="18"/>
        </w:rPr>
        <w:t>Production losses</w:t>
      </w:r>
      <w:r>
        <w:rPr>
          <w:szCs w:val="18"/>
        </w:rPr>
        <w:tab/>
      </w:r>
      <w:r w:rsidR="00D035F9">
        <w:rPr>
          <w:szCs w:val="18"/>
        </w:rPr>
        <w:t>27,075</w:t>
      </w:r>
      <w:r w:rsidRPr="001E553C">
        <w:rPr>
          <w:szCs w:val="18"/>
        </w:rPr>
        <w:t>tonnes</w:t>
      </w:r>
    </w:p>
    <w:p w14:paraId="7CDD8436" w14:textId="6DDBA955" w:rsidR="00C0444A" w:rsidRPr="001E553C" w:rsidRDefault="00C0444A" w:rsidP="00C0444A">
      <w:pPr>
        <w:spacing w:line="300" w:lineRule="atLeast"/>
        <w:jc w:val="both"/>
        <w:rPr>
          <w:szCs w:val="18"/>
        </w:rPr>
      </w:pPr>
      <w:r w:rsidRPr="001E553C">
        <w:rPr>
          <w:szCs w:val="18"/>
        </w:rPr>
        <w:t>The figure for total coal consump</w:t>
      </w:r>
      <w:r>
        <w:rPr>
          <w:szCs w:val="18"/>
        </w:rPr>
        <w:t>tion (</w:t>
      </w:r>
      <w:r w:rsidR="00D035F9">
        <w:rPr>
          <w:szCs w:val="18"/>
        </w:rPr>
        <w:t xml:space="preserve">2,490,498 </w:t>
      </w:r>
      <w:r w:rsidRPr="001E553C">
        <w:rPr>
          <w:szCs w:val="18"/>
        </w:rPr>
        <w:t xml:space="preserve">tonnes) has been used as a starting point for the input estimates. However, the following uses have been subtracted from this total, because they are covered elsewhere: </w:t>
      </w:r>
    </w:p>
    <w:p w14:paraId="5925F484" w14:textId="24319B23" w:rsidR="00C0444A" w:rsidRPr="001E553C" w:rsidRDefault="00C0444A" w:rsidP="00C0444A">
      <w:pPr>
        <w:tabs>
          <w:tab w:val="left" w:pos="3969"/>
        </w:tabs>
        <w:spacing w:line="300" w:lineRule="atLeast"/>
        <w:ind w:left="720"/>
        <w:jc w:val="both"/>
        <w:rPr>
          <w:szCs w:val="18"/>
        </w:rPr>
      </w:pPr>
      <w:r>
        <w:rPr>
          <w:szCs w:val="18"/>
        </w:rPr>
        <w:t>Electricity generation</w:t>
      </w:r>
      <w:r>
        <w:rPr>
          <w:szCs w:val="18"/>
        </w:rPr>
        <w:tab/>
      </w:r>
      <w:r w:rsidR="00D035F9">
        <w:rPr>
          <w:szCs w:val="18"/>
        </w:rPr>
        <w:t xml:space="preserve">871,619 </w:t>
      </w:r>
      <w:r w:rsidRPr="001E553C">
        <w:rPr>
          <w:szCs w:val="18"/>
        </w:rPr>
        <w:t>tonnes</w:t>
      </w:r>
    </w:p>
    <w:p w14:paraId="2022512F" w14:textId="5FC76C5C" w:rsidR="00C0444A" w:rsidRPr="001E553C" w:rsidRDefault="00C0444A" w:rsidP="00C0444A">
      <w:pPr>
        <w:tabs>
          <w:tab w:val="left" w:pos="3969"/>
        </w:tabs>
        <w:spacing w:line="300" w:lineRule="atLeast"/>
        <w:ind w:left="720"/>
        <w:jc w:val="both"/>
        <w:rPr>
          <w:szCs w:val="18"/>
        </w:rPr>
      </w:pPr>
      <w:r>
        <w:rPr>
          <w:szCs w:val="18"/>
        </w:rPr>
        <w:t>Steel manufacturing</w:t>
      </w:r>
      <w:r>
        <w:rPr>
          <w:szCs w:val="18"/>
        </w:rPr>
        <w:tab/>
      </w:r>
      <w:r w:rsidR="009123F3">
        <w:rPr>
          <w:szCs w:val="18"/>
        </w:rPr>
        <w:t>755,664</w:t>
      </w:r>
      <w:r w:rsidR="00D035F9">
        <w:rPr>
          <w:szCs w:val="18"/>
        </w:rPr>
        <w:t xml:space="preserve"> </w:t>
      </w:r>
      <w:r w:rsidRPr="001E553C">
        <w:rPr>
          <w:szCs w:val="18"/>
        </w:rPr>
        <w:t>tonnes</w:t>
      </w:r>
      <w:r w:rsidRPr="001E553C">
        <w:rPr>
          <w:rStyle w:val="FootnoteReference"/>
          <w:szCs w:val="18"/>
        </w:rPr>
        <w:footnoteReference w:id="6"/>
      </w:r>
    </w:p>
    <w:p w14:paraId="5F913AC2" w14:textId="6162D524" w:rsidR="00C0444A" w:rsidRPr="001E553C" w:rsidRDefault="00C0444A" w:rsidP="00DF16F4">
      <w:pPr>
        <w:tabs>
          <w:tab w:val="left" w:pos="3969"/>
        </w:tabs>
        <w:spacing w:line="300" w:lineRule="atLeast"/>
        <w:ind w:left="3969" w:hanging="3249"/>
        <w:jc w:val="both"/>
        <w:rPr>
          <w:szCs w:val="18"/>
        </w:rPr>
      </w:pPr>
      <w:r w:rsidRPr="001E553C">
        <w:rPr>
          <w:szCs w:val="18"/>
        </w:rPr>
        <w:t>Cement and lime manufacturing</w:t>
      </w:r>
      <w:r w:rsidRPr="001E553C">
        <w:rPr>
          <w:szCs w:val="18"/>
        </w:rPr>
        <w:tab/>
      </w:r>
      <w:r w:rsidR="00193500">
        <w:rPr>
          <w:szCs w:val="18"/>
        </w:rPr>
        <w:t>107,520</w:t>
      </w:r>
      <w:r w:rsidR="004B509C">
        <w:rPr>
          <w:szCs w:val="18"/>
        </w:rPr>
        <w:t xml:space="preserve"> </w:t>
      </w:r>
      <w:r w:rsidRPr="001E553C">
        <w:rPr>
          <w:szCs w:val="18"/>
        </w:rPr>
        <w:t>tonnes.</w:t>
      </w:r>
      <w:r>
        <w:rPr>
          <w:szCs w:val="18"/>
        </w:rPr>
        <w:t xml:space="preserve"> </w:t>
      </w:r>
    </w:p>
    <w:p w14:paraId="27DC580E" w14:textId="3E734DBA" w:rsidR="0015237E" w:rsidRDefault="00636C3F" w:rsidP="00C0444A">
      <w:pPr>
        <w:spacing w:line="300" w:lineRule="atLeast"/>
        <w:jc w:val="both"/>
        <w:rPr>
          <w:szCs w:val="18"/>
        </w:rPr>
      </w:pPr>
      <w:r>
        <w:rPr>
          <w:szCs w:val="18"/>
        </w:rPr>
        <w:t>Subtracting the sum of the three sectors considered elsewhere (</w:t>
      </w:r>
      <w:r w:rsidR="008E5217">
        <w:rPr>
          <w:szCs w:val="18"/>
        </w:rPr>
        <w:t>1,734,803</w:t>
      </w:r>
      <w:r>
        <w:rPr>
          <w:szCs w:val="18"/>
        </w:rPr>
        <w:t xml:space="preserve">) from New Zealand’s total </w:t>
      </w:r>
      <w:r w:rsidR="00E860A7">
        <w:rPr>
          <w:szCs w:val="18"/>
        </w:rPr>
        <w:t xml:space="preserve">coal consumption </w:t>
      </w:r>
      <w:r w:rsidR="00C0444A" w:rsidRPr="001E553C">
        <w:rPr>
          <w:szCs w:val="18"/>
        </w:rPr>
        <w:t>gives a</w:t>
      </w:r>
      <w:r w:rsidR="00E860A7">
        <w:rPr>
          <w:szCs w:val="18"/>
        </w:rPr>
        <w:t xml:space="preserve">n amended quantity of </w:t>
      </w:r>
      <w:r w:rsidR="008E5217">
        <w:rPr>
          <w:szCs w:val="18"/>
        </w:rPr>
        <w:t xml:space="preserve">755,695 </w:t>
      </w:r>
      <w:r w:rsidR="00E860A7">
        <w:rPr>
          <w:szCs w:val="18"/>
        </w:rPr>
        <w:t xml:space="preserve">tonnes for </w:t>
      </w:r>
      <w:r w:rsidR="00C0444A" w:rsidRPr="001E553C">
        <w:rPr>
          <w:szCs w:val="18"/>
        </w:rPr>
        <w:t>O</w:t>
      </w:r>
      <w:r w:rsidR="00C0444A">
        <w:rPr>
          <w:szCs w:val="18"/>
        </w:rPr>
        <w:t>ther Coal Use</w:t>
      </w:r>
      <w:r w:rsidR="00E860A7">
        <w:rPr>
          <w:szCs w:val="18"/>
        </w:rPr>
        <w:t xml:space="preserve"> in</w:t>
      </w:r>
      <w:r w:rsidR="00CF2337">
        <w:rPr>
          <w:szCs w:val="18"/>
        </w:rPr>
        <w:t xml:space="preserve"> 2025</w:t>
      </w:r>
      <w:r w:rsidR="00C0444A" w:rsidRPr="001E553C">
        <w:rPr>
          <w:szCs w:val="18"/>
        </w:rPr>
        <w:t xml:space="preserve">. </w:t>
      </w:r>
    </w:p>
    <w:p w14:paraId="618817A4" w14:textId="7A886284" w:rsidR="00C0444A" w:rsidRDefault="00E860A7" w:rsidP="00C0444A">
      <w:pPr>
        <w:spacing w:line="300" w:lineRule="atLeast"/>
        <w:jc w:val="both"/>
        <w:rPr>
          <w:szCs w:val="18"/>
        </w:rPr>
      </w:pPr>
      <w:r>
        <w:rPr>
          <w:szCs w:val="18"/>
        </w:rPr>
        <w:t>As mentioned earlier this</w:t>
      </w:r>
      <w:r w:rsidR="00C0444A" w:rsidRPr="001E553C">
        <w:rPr>
          <w:szCs w:val="18"/>
        </w:rPr>
        <w:t xml:space="preserve"> coal is produced in different parts of the country</w:t>
      </w:r>
      <w:r w:rsidR="0015237E">
        <w:rPr>
          <w:szCs w:val="18"/>
        </w:rPr>
        <w:t xml:space="preserve"> and as discussed below shows a little variation in mercury concentration</w:t>
      </w:r>
      <w:r w:rsidR="003B776A">
        <w:rPr>
          <w:szCs w:val="18"/>
        </w:rPr>
        <w:t xml:space="preserve">. </w:t>
      </w:r>
      <w:r w:rsidR="00BA50B4">
        <w:rPr>
          <w:szCs w:val="18"/>
        </w:rPr>
        <w:t xml:space="preserve">After accounting for lignite, previous inventories have </w:t>
      </w:r>
      <w:r w:rsidR="00185768">
        <w:rPr>
          <w:szCs w:val="18"/>
        </w:rPr>
        <w:t xml:space="preserve">distributed </w:t>
      </w:r>
      <w:r w:rsidR="00BA50B4">
        <w:rPr>
          <w:szCs w:val="18"/>
        </w:rPr>
        <w:t>the remaining quantity of coal to Waikato and South Island</w:t>
      </w:r>
      <w:r w:rsidR="004959A2">
        <w:rPr>
          <w:szCs w:val="18"/>
        </w:rPr>
        <w:t xml:space="preserve"> </w:t>
      </w:r>
      <w:r w:rsidR="00185768">
        <w:rPr>
          <w:szCs w:val="18"/>
        </w:rPr>
        <w:t>regions,</w:t>
      </w:r>
      <w:r w:rsidR="00BA50B4">
        <w:rPr>
          <w:szCs w:val="18"/>
        </w:rPr>
        <w:t xml:space="preserve"> </w:t>
      </w:r>
      <w:r w:rsidR="00185768">
        <w:rPr>
          <w:szCs w:val="18"/>
        </w:rPr>
        <w:t>apportioning on the basis</w:t>
      </w:r>
      <w:r w:rsidR="004959A2">
        <w:rPr>
          <w:szCs w:val="18"/>
        </w:rPr>
        <w:t xml:space="preserve"> o</w:t>
      </w:r>
      <w:r w:rsidR="00185768">
        <w:rPr>
          <w:szCs w:val="18"/>
        </w:rPr>
        <w:t>f</w:t>
      </w:r>
      <w:r w:rsidR="004959A2">
        <w:rPr>
          <w:szCs w:val="18"/>
        </w:rPr>
        <w:t xml:space="preserve"> their production d</w:t>
      </w:r>
      <w:r w:rsidR="00185768">
        <w:rPr>
          <w:szCs w:val="18"/>
        </w:rPr>
        <w:t xml:space="preserve">ata.  However </w:t>
      </w:r>
      <w:r w:rsidR="00D95EBA">
        <w:rPr>
          <w:szCs w:val="18"/>
        </w:rPr>
        <w:t>this approach may have led to an over-estimation of the Waikato fraction. H</w:t>
      </w:r>
      <w:r w:rsidR="00185768">
        <w:rPr>
          <w:szCs w:val="18"/>
        </w:rPr>
        <w:t xml:space="preserve">aving </w:t>
      </w:r>
      <w:r w:rsidR="00A16A69">
        <w:rPr>
          <w:szCs w:val="18"/>
        </w:rPr>
        <w:t xml:space="preserve">already taken out consumption by coal fired electricity generation, steel making and cement and lime manufacturing and given that Fonterra no longer has any coal fired boilers in the North Island there </w:t>
      </w:r>
      <w:r w:rsidR="00D95EBA">
        <w:rPr>
          <w:szCs w:val="18"/>
        </w:rPr>
        <w:t xml:space="preserve">are essentially no major </w:t>
      </w:r>
      <w:r w:rsidR="0015237E">
        <w:rPr>
          <w:szCs w:val="18"/>
        </w:rPr>
        <w:t xml:space="preserve">industrial </w:t>
      </w:r>
      <w:r w:rsidR="00D95EBA">
        <w:rPr>
          <w:szCs w:val="18"/>
        </w:rPr>
        <w:t>users of Waikato coal left</w:t>
      </w:r>
      <w:r w:rsidR="0015237E">
        <w:rPr>
          <w:szCs w:val="18"/>
        </w:rPr>
        <w:t xml:space="preserve"> and domestic use </w:t>
      </w:r>
      <w:r w:rsidR="009055D4">
        <w:rPr>
          <w:szCs w:val="18"/>
        </w:rPr>
        <w:t xml:space="preserve">is </w:t>
      </w:r>
      <w:r w:rsidR="0015237E">
        <w:rPr>
          <w:szCs w:val="18"/>
        </w:rPr>
        <w:t>also likely to be minor. Consequently</w:t>
      </w:r>
      <w:r w:rsidR="00AC76F9">
        <w:rPr>
          <w:szCs w:val="18"/>
        </w:rPr>
        <w:t xml:space="preserve"> a</w:t>
      </w:r>
      <w:r w:rsidR="00744D38">
        <w:rPr>
          <w:szCs w:val="18"/>
        </w:rPr>
        <w:t>fter subtracting lignite production, t</w:t>
      </w:r>
      <w:r w:rsidR="00903DB8">
        <w:rPr>
          <w:szCs w:val="18"/>
        </w:rPr>
        <w:t xml:space="preserve">he remainder </w:t>
      </w:r>
      <w:r w:rsidR="00AC76F9">
        <w:rPr>
          <w:szCs w:val="18"/>
        </w:rPr>
        <w:t xml:space="preserve">of the Other Coal Fraction </w:t>
      </w:r>
      <w:r w:rsidR="009055D4">
        <w:rPr>
          <w:szCs w:val="18"/>
        </w:rPr>
        <w:t>has been</w:t>
      </w:r>
      <w:r w:rsidR="00903DB8">
        <w:rPr>
          <w:szCs w:val="18"/>
        </w:rPr>
        <w:t xml:space="preserve"> </w:t>
      </w:r>
      <w:r w:rsidR="00744D38">
        <w:rPr>
          <w:szCs w:val="18"/>
        </w:rPr>
        <w:t xml:space="preserve">assigned </w:t>
      </w:r>
      <w:r w:rsidR="00903DB8">
        <w:rPr>
          <w:szCs w:val="18"/>
        </w:rPr>
        <w:t xml:space="preserve">to South Island </w:t>
      </w:r>
      <w:r w:rsidR="00744D38">
        <w:rPr>
          <w:szCs w:val="18"/>
        </w:rPr>
        <w:t xml:space="preserve">sub-bituminous </w:t>
      </w:r>
      <w:r w:rsidR="00903DB8">
        <w:rPr>
          <w:szCs w:val="18"/>
        </w:rPr>
        <w:t xml:space="preserve">coal </w:t>
      </w:r>
      <w:r w:rsidR="00744D38">
        <w:rPr>
          <w:szCs w:val="18"/>
        </w:rPr>
        <w:t>use</w:t>
      </w:r>
      <w:r w:rsidR="009055D4">
        <w:rPr>
          <w:szCs w:val="18"/>
        </w:rPr>
        <w:t>. T</w:t>
      </w:r>
      <w:r w:rsidR="00AC76F9">
        <w:rPr>
          <w:szCs w:val="18"/>
        </w:rPr>
        <w:t xml:space="preserve">he following approximate distribution </w:t>
      </w:r>
      <w:r w:rsidR="009055D4">
        <w:rPr>
          <w:szCs w:val="18"/>
        </w:rPr>
        <w:t xml:space="preserve">has been </w:t>
      </w:r>
      <w:r w:rsidR="00AC76F9">
        <w:rPr>
          <w:szCs w:val="18"/>
        </w:rPr>
        <w:t>adopted:</w:t>
      </w:r>
    </w:p>
    <w:p w14:paraId="389DBEA7" w14:textId="77777777" w:rsidR="00AC76F9" w:rsidRDefault="00AC76F9" w:rsidP="00AC76F9">
      <w:pPr>
        <w:tabs>
          <w:tab w:val="left" w:pos="3969"/>
        </w:tabs>
        <w:spacing w:line="300" w:lineRule="atLeast"/>
        <w:ind w:left="720"/>
        <w:jc w:val="both"/>
        <w:rPr>
          <w:szCs w:val="18"/>
        </w:rPr>
      </w:pPr>
      <w:r>
        <w:rPr>
          <w:szCs w:val="18"/>
        </w:rPr>
        <w:t>Southland lignite</w:t>
      </w:r>
      <w:r>
        <w:rPr>
          <w:szCs w:val="18"/>
        </w:rPr>
        <w:tab/>
        <w:t xml:space="preserve">239,877 </w:t>
      </w:r>
      <w:r w:rsidRPr="001E553C">
        <w:rPr>
          <w:szCs w:val="18"/>
        </w:rPr>
        <w:t>tonnes</w:t>
      </w:r>
    </w:p>
    <w:p w14:paraId="3CC3D684" w14:textId="79775EB0" w:rsidR="00C0444A" w:rsidRPr="001E553C" w:rsidRDefault="00C0444A" w:rsidP="00C0444A">
      <w:pPr>
        <w:tabs>
          <w:tab w:val="left" w:pos="3969"/>
        </w:tabs>
        <w:spacing w:line="300" w:lineRule="atLeast"/>
        <w:ind w:left="720"/>
        <w:jc w:val="both"/>
        <w:rPr>
          <w:szCs w:val="18"/>
        </w:rPr>
      </w:pPr>
      <w:r w:rsidRPr="001E553C">
        <w:rPr>
          <w:szCs w:val="18"/>
        </w:rPr>
        <w:t xml:space="preserve">South Island </w:t>
      </w:r>
      <w:r w:rsidR="00220A32">
        <w:rPr>
          <w:szCs w:val="18"/>
        </w:rPr>
        <w:t xml:space="preserve">sub-bituminous </w:t>
      </w:r>
      <w:r w:rsidRPr="001E553C">
        <w:rPr>
          <w:szCs w:val="18"/>
        </w:rPr>
        <w:t>coal</w:t>
      </w:r>
      <w:r>
        <w:rPr>
          <w:szCs w:val="18"/>
        </w:rPr>
        <w:tab/>
      </w:r>
      <w:r w:rsidR="008E5217">
        <w:rPr>
          <w:szCs w:val="18"/>
        </w:rPr>
        <w:t>515,818</w:t>
      </w:r>
      <w:r w:rsidR="00744D38">
        <w:rPr>
          <w:szCs w:val="18"/>
        </w:rPr>
        <w:t xml:space="preserve"> </w:t>
      </w:r>
      <w:r w:rsidRPr="001E553C">
        <w:rPr>
          <w:szCs w:val="18"/>
        </w:rPr>
        <w:t>tonnes</w:t>
      </w:r>
    </w:p>
    <w:p w14:paraId="365FB631" w14:textId="77777777" w:rsidR="0098484A" w:rsidRPr="00C0444A" w:rsidRDefault="0098484A" w:rsidP="009048D3">
      <w:pPr>
        <w:spacing w:line="300" w:lineRule="atLeast"/>
        <w:jc w:val="both"/>
        <w:rPr>
          <w:rFonts w:ascii="Arial" w:hAnsi="Arial" w:cs="Arial"/>
          <w:b/>
          <w:szCs w:val="18"/>
        </w:rPr>
      </w:pPr>
      <w:r w:rsidRPr="00C0444A">
        <w:rPr>
          <w:rFonts w:ascii="Arial" w:hAnsi="Arial" w:cs="Arial"/>
          <w:b/>
          <w:szCs w:val="18"/>
        </w:rPr>
        <w:t xml:space="preserve">Coal </w:t>
      </w:r>
      <w:r w:rsidR="00A97D5C" w:rsidRPr="00C0444A">
        <w:rPr>
          <w:rFonts w:ascii="Arial" w:hAnsi="Arial" w:cs="Arial"/>
          <w:b/>
          <w:szCs w:val="18"/>
        </w:rPr>
        <w:t>mercury content</w:t>
      </w:r>
    </w:p>
    <w:p w14:paraId="10DD399D" w14:textId="77777777" w:rsidR="00AE2761" w:rsidRPr="00C0444A" w:rsidRDefault="005522E7" w:rsidP="009048D3">
      <w:pPr>
        <w:spacing w:line="300" w:lineRule="atLeast"/>
        <w:jc w:val="both"/>
        <w:rPr>
          <w:szCs w:val="18"/>
        </w:rPr>
      </w:pPr>
      <w:r w:rsidRPr="00C0444A">
        <w:rPr>
          <w:szCs w:val="18"/>
        </w:rPr>
        <w:t xml:space="preserve">The mercury content of coal varies </w:t>
      </w:r>
      <w:r w:rsidR="00E2046D" w:rsidRPr="00C0444A">
        <w:rPr>
          <w:szCs w:val="18"/>
        </w:rPr>
        <w:t>across different coal mines, and can also vary markedly within each coal seam. For example, Li (2002) reported a range of 0.009 to 0.193 mg/kg, with a mean value of 0.034 mg/kg, for thirty samples taken from within a single coal s</w:t>
      </w:r>
      <w:r w:rsidR="00AE2761" w:rsidRPr="00C0444A">
        <w:rPr>
          <w:szCs w:val="18"/>
        </w:rPr>
        <w:t>eam at the Stockton mine.</w:t>
      </w:r>
    </w:p>
    <w:p w14:paraId="11F7FE46" w14:textId="77777777" w:rsidR="002454C3" w:rsidRPr="00C0444A" w:rsidRDefault="00AE2761" w:rsidP="009048D3">
      <w:pPr>
        <w:spacing w:line="300" w:lineRule="atLeast"/>
        <w:jc w:val="both"/>
        <w:rPr>
          <w:szCs w:val="18"/>
        </w:rPr>
      </w:pPr>
      <w:r w:rsidRPr="00C0444A">
        <w:rPr>
          <w:szCs w:val="18"/>
        </w:rPr>
        <w:t>The only published data available on the mercury content of New Zealand coals is that quoted previously for Huntly Power Station, the Stockton data noted above, and the following indicative values listed by Li (2002) from an unpublished CRL Energy report: West Coast coal</w:t>
      </w:r>
      <w:r w:rsidR="00644004" w:rsidRPr="00C0444A">
        <w:rPr>
          <w:szCs w:val="18"/>
        </w:rPr>
        <w:t>,</w:t>
      </w:r>
      <w:r w:rsidRPr="00C0444A">
        <w:rPr>
          <w:szCs w:val="18"/>
        </w:rPr>
        <w:t xml:space="preserve"> 0.07 mg/kg; </w:t>
      </w:r>
      <w:r w:rsidR="00644004" w:rsidRPr="00C0444A">
        <w:rPr>
          <w:szCs w:val="18"/>
        </w:rPr>
        <w:t xml:space="preserve">Southland coal, </w:t>
      </w:r>
      <w:r w:rsidR="00964BDB" w:rsidRPr="00C0444A">
        <w:rPr>
          <w:szCs w:val="18"/>
        </w:rPr>
        <w:t xml:space="preserve">0.06 - </w:t>
      </w:r>
      <w:r w:rsidR="00644004" w:rsidRPr="00C0444A">
        <w:rPr>
          <w:szCs w:val="18"/>
        </w:rPr>
        <w:t xml:space="preserve">0.07 mg/kg; </w:t>
      </w:r>
      <w:r w:rsidRPr="00C0444A">
        <w:rPr>
          <w:szCs w:val="18"/>
        </w:rPr>
        <w:t>Waikato coal</w:t>
      </w:r>
      <w:r w:rsidR="00644004" w:rsidRPr="00C0444A">
        <w:rPr>
          <w:szCs w:val="18"/>
        </w:rPr>
        <w:t>,</w:t>
      </w:r>
      <w:r w:rsidRPr="00C0444A">
        <w:rPr>
          <w:szCs w:val="18"/>
        </w:rPr>
        <w:t xml:space="preserve"> 0.07 – 0.12 mg/kg. </w:t>
      </w:r>
      <w:r w:rsidR="00E71F3E" w:rsidRPr="00C0444A">
        <w:rPr>
          <w:szCs w:val="18"/>
        </w:rPr>
        <w:t>In addition, CRL Energy has provided the following indicative values: Waikato coal, 0.2 mg/kg; West Coast coal, 0.1 mg/kg, Southland lignite, 0.25 mg/kg (N. Newman,</w:t>
      </w:r>
      <w:r w:rsidR="00FD0BE8" w:rsidRPr="00C0444A">
        <w:rPr>
          <w:szCs w:val="18"/>
        </w:rPr>
        <w:t xml:space="preserve"> </w:t>
      </w:r>
      <w:r w:rsidR="00964BDB" w:rsidRPr="00C0444A">
        <w:rPr>
          <w:szCs w:val="18"/>
        </w:rPr>
        <w:t>CRL Energy,</w:t>
      </w:r>
      <w:r w:rsidR="00E71F3E" w:rsidRPr="00C0444A">
        <w:rPr>
          <w:szCs w:val="18"/>
        </w:rPr>
        <w:t xml:space="preserve"> pers comm, 2013).</w:t>
      </w:r>
      <w:r w:rsidR="00980390" w:rsidRPr="00C0444A">
        <w:rPr>
          <w:szCs w:val="18"/>
        </w:rPr>
        <w:t xml:space="preserve"> </w:t>
      </w:r>
    </w:p>
    <w:p w14:paraId="71E28CC8" w14:textId="77777777" w:rsidR="009048D3" w:rsidRPr="00C0444A" w:rsidRDefault="002454C3" w:rsidP="009048D3">
      <w:pPr>
        <w:spacing w:line="300" w:lineRule="atLeast"/>
        <w:jc w:val="both"/>
        <w:rPr>
          <w:szCs w:val="18"/>
        </w:rPr>
      </w:pPr>
      <w:r w:rsidRPr="00C0444A">
        <w:rPr>
          <w:szCs w:val="18"/>
        </w:rPr>
        <w:t xml:space="preserve">The </w:t>
      </w:r>
      <w:r w:rsidR="0098484A" w:rsidRPr="00C0444A">
        <w:rPr>
          <w:szCs w:val="18"/>
        </w:rPr>
        <w:t xml:space="preserve">CRL Energy estimates for mercury content </w:t>
      </w:r>
      <w:r w:rsidRPr="00C0444A">
        <w:rPr>
          <w:szCs w:val="18"/>
        </w:rPr>
        <w:t xml:space="preserve">are either towards the top of, or </w:t>
      </w:r>
      <w:r w:rsidR="00FD0BE8" w:rsidRPr="00C0444A">
        <w:rPr>
          <w:szCs w:val="18"/>
        </w:rPr>
        <w:t>above,</w:t>
      </w:r>
      <w:r w:rsidRPr="00C0444A">
        <w:rPr>
          <w:szCs w:val="18"/>
        </w:rPr>
        <w:t xml:space="preserve"> the ranges given in the published sources, and </w:t>
      </w:r>
      <w:r w:rsidR="00542258" w:rsidRPr="00C0444A">
        <w:rPr>
          <w:szCs w:val="18"/>
        </w:rPr>
        <w:t>have been</w:t>
      </w:r>
      <w:r w:rsidRPr="00C0444A">
        <w:rPr>
          <w:szCs w:val="18"/>
        </w:rPr>
        <w:t xml:space="preserve"> taken as upper estimates </w:t>
      </w:r>
      <w:r w:rsidR="0098484A" w:rsidRPr="00C0444A">
        <w:rPr>
          <w:szCs w:val="18"/>
        </w:rPr>
        <w:t xml:space="preserve">for the range of possible </w:t>
      </w:r>
      <w:r w:rsidRPr="00C0444A">
        <w:rPr>
          <w:szCs w:val="18"/>
        </w:rPr>
        <w:t>mercury content</w:t>
      </w:r>
      <w:r w:rsidR="00964BDB" w:rsidRPr="00C0444A">
        <w:rPr>
          <w:szCs w:val="18"/>
        </w:rPr>
        <w:t xml:space="preserve">s. </w:t>
      </w:r>
      <w:r w:rsidR="0098484A" w:rsidRPr="00C0444A">
        <w:rPr>
          <w:szCs w:val="18"/>
        </w:rPr>
        <w:t xml:space="preserve">In addition, the West Coast figure </w:t>
      </w:r>
      <w:r w:rsidR="00542258" w:rsidRPr="00C0444A">
        <w:rPr>
          <w:szCs w:val="18"/>
        </w:rPr>
        <w:t>has been</w:t>
      </w:r>
      <w:r w:rsidR="0098484A" w:rsidRPr="00C0444A">
        <w:rPr>
          <w:szCs w:val="18"/>
        </w:rPr>
        <w:t xml:space="preserve"> assumed to apply to </w:t>
      </w:r>
      <w:r w:rsidR="00500691" w:rsidRPr="00C0444A">
        <w:rPr>
          <w:szCs w:val="18"/>
        </w:rPr>
        <w:t xml:space="preserve">all </w:t>
      </w:r>
      <w:r w:rsidR="0098484A" w:rsidRPr="00C0444A">
        <w:rPr>
          <w:szCs w:val="18"/>
        </w:rPr>
        <w:t>South</w:t>
      </w:r>
      <w:r w:rsidR="00500691" w:rsidRPr="00C0444A">
        <w:rPr>
          <w:szCs w:val="18"/>
        </w:rPr>
        <w:t xml:space="preserve"> Is</w:t>
      </w:r>
      <w:r w:rsidR="0098484A" w:rsidRPr="00C0444A">
        <w:rPr>
          <w:szCs w:val="18"/>
        </w:rPr>
        <w:t>land coal.</w:t>
      </w:r>
      <w:r w:rsidRPr="00C0444A">
        <w:rPr>
          <w:szCs w:val="18"/>
        </w:rPr>
        <w:t xml:space="preserve"> The lower limit for each of the coal types </w:t>
      </w:r>
      <w:r w:rsidR="00542258" w:rsidRPr="00C0444A">
        <w:rPr>
          <w:szCs w:val="18"/>
        </w:rPr>
        <w:t>has been</w:t>
      </w:r>
      <w:r w:rsidRPr="00C0444A">
        <w:rPr>
          <w:szCs w:val="18"/>
        </w:rPr>
        <w:t xml:space="preserve"> based on the following values: Waikato coal, 0.0</w:t>
      </w:r>
      <w:r w:rsidR="007D0B62" w:rsidRPr="00C0444A">
        <w:rPr>
          <w:szCs w:val="18"/>
        </w:rPr>
        <w:t>4</w:t>
      </w:r>
      <w:r w:rsidRPr="00C0444A">
        <w:rPr>
          <w:szCs w:val="18"/>
        </w:rPr>
        <w:t xml:space="preserve"> mg/kg; South</w:t>
      </w:r>
      <w:r w:rsidR="00500691" w:rsidRPr="00C0444A">
        <w:rPr>
          <w:szCs w:val="18"/>
        </w:rPr>
        <w:t xml:space="preserve"> Is</w:t>
      </w:r>
      <w:r w:rsidRPr="00C0444A">
        <w:rPr>
          <w:szCs w:val="18"/>
        </w:rPr>
        <w:t>land coal, 0.0</w:t>
      </w:r>
      <w:r w:rsidR="007D0B62" w:rsidRPr="00C0444A">
        <w:rPr>
          <w:szCs w:val="18"/>
        </w:rPr>
        <w:t>3</w:t>
      </w:r>
      <w:r w:rsidRPr="00C0444A">
        <w:rPr>
          <w:szCs w:val="18"/>
        </w:rPr>
        <w:t xml:space="preserve"> mg/kg; Southland lignite, 0.</w:t>
      </w:r>
      <w:r w:rsidR="007D0B62" w:rsidRPr="00C0444A">
        <w:rPr>
          <w:szCs w:val="18"/>
        </w:rPr>
        <w:t>06</w:t>
      </w:r>
      <w:r w:rsidRPr="00C0444A">
        <w:rPr>
          <w:szCs w:val="18"/>
        </w:rPr>
        <w:t xml:space="preserve"> mg/kg.</w:t>
      </w:r>
      <w:r w:rsidR="004421BB" w:rsidRPr="00C0444A">
        <w:rPr>
          <w:szCs w:val="18"/>
        </w:rPr>
        <w:t xml:space="preserve"> </w:t>
      </w:r>
    </w:p>
    <w:p w14:paraId="1B3FCE31" w14:textId="77777777" w:rsidR="00500691" w:rsidRPr="00C0444A" w:rsidRDefault="00500691" w:rsidP="00964BDB">
      <w:pPr>
        <w:spacing w:line="300" w:lineRule="atLeast"/>
        <w:jc w:val="both"/>
        <w:rPr>
          <w:rFonts w:ascii="Arial" w:hAnsi="Arial" w:cs="Arial"/>
          <w:b/>
          <w:szCs w:val="18"/>
        </w:rPr>
      </w:pPr>
      <w:r w:rsidRPr="00C0444A">
        <w:rPr>
          <w:rFonts w:ascii="Arial" w:hAnsi="Arial" w:cs="Arial"/>
          <w:b/>
          <w:szCs w:val="18"/>
        </w:rPr>
        <w:t xml:space="preserve">Input and </w:t>
      </w:r>
      <w:r w:rsidR="00A97D5C" w:rsidRPr="00C0444A">
        <w:rPr>
          <w:rFonts w:ascii="Arial" w:hAnsi="Arial" w:cs="Arial"/>
          <w:b/>
          <w:szCs w:val="18"/>
        </w:rPr>
        <w:t>output estimates</w:t>
      </w:r>
    </w:p>
    <w:p w14:paraId="6B8D6FC3" w14:textId="3836DFCA" w:rsidR="00B07B05" w:rsidRDefault="004B39B7" w:rsidP="00EB7D4D">
      <w:pPr>
        <w:spacing w:line="300" w:lineRule="atLeast"/>
        <w:jc w:val="both"/>
        <w:rPr>
          <w:szCs w:val="18"/>
        </w:rPr>
      </w:pPr>
      <w:r w:rsidRPr="00C0444A">
        <w:rPr>
          <w:szCs w:val="18"/>
        </w:rPr>
        <w:t xml:space="preserve">The coal usage in this category is split across numerous industrial and commercial boilers, with a very minor proportion (0.1%) used for domestic heating and cooking. </w:t>
      </w:r>
      <w:r w:rsidR="003E567B" w:rsidRPr="00C0444A">
        <w:rPr>
          <w:szCs w:val="18"/>
        </w:rPr>
        <w:t>The</w:t>
      </w:r>
      <w:r w:rsidR="001A1319">
        <w:rPr>
          <w:szCs w:val="18"/>
        </w:rPr>
        <w:t xml:space="preserve"> most recent estimate is that the</w:t>
      </w:r>
      <w:r w:rsidR="003E567B" w:rsidRPr="00C0444A">
        <w:rPr>
          <w:szCs w:val="18"/>
        </w:rPr>
        <w:t xml:space="preserve">re are about </w:t>
      </w:r>
      <w:r w:rsidR="002227CB" w:rsidRPr="00C0444A">
        <w:rPr>
          <w:szCs w:val="18"/>
        </w:rPr>
        <w:t>1</w:t>
      </w:r>
      <w:r w:rsidR="003E567B" w:rsidRPr="00C0444A">
        <w:rPr>
          <w:szCs w:val="18"/>
        </w:rPr>
        <w:t xml:space="preserve">60 coal-fired boilers in New Zealand ranging in size from 1 to </w:t>
      </w:r>
      <w:r w:rsidR="002227CB" w:rsidRPr="00C0444A">
        <w:rPr>
          <w:szCs w:val="18"/>
        </w:rPr>
        <w:t>43</w:t>
      </w:r>
      <w:r w:rsidR="003E567B" w:rsidRPr="00C0444A">
        <w:rPr>
          <w:szCs w:val="18"/>
        </w:rPr>
        <w:t xml:space="preserve"> MW (</w:t>
      </w:r>
      <w:r w:rsidR="00C768F3" w:rsidRPr="00C0444A">
        <w:rPr>
          <w:szCs w:val="18"/>
        </w:rPr>
        <w:t>CRL Energy</w:t>
      </w:r>
      <w:r w:rsidR="003E567B" w:rsidRPr="00C0444A">
        <w:rPr>
          <w:szCs w:val="18"/>
        </w:rPr>
        <w:t>, 201</w:t>
      </w:r>
      <w:r w:rsidR="00C768F3" w:rsidRPr="00C0444A">
        <w:rPr>
          <w:szCs w:val="18"/>
        </w:rPr>
        <w:t>1</w:t>
      </w:r>
      <w:r w:rsidR="003E567B" w:rsidRPr="00C0444A">
        <w:rPr>
          <w:szCs w:val="18"/>
        </w:rPr>
        <w:t xml:space="preserve">). </w:t>
      </w:r>
      <w:r w:rsidR="00D6270C">
        <w:rPr>
          <w:szCs w:val="18"/>
        </w:rPr>
        <w:t>The reduction in coal consumption in this category compared to previous inventories may reflect the decommissioning or conversion of some coal fired boilers to alternative fuels (such as biomass).</w:t>
      </w:r>
      <w:r w:rsidR="001A1319">
        <w:rPr>
          <w:szCs w:val="18"/>
        </w:rPr>
        <w:t xml:space="preserve"> </w:t>
      </w:r>
      <w:r w:rsidR="003E567B" w:rsidRPr="00C0444A">
        <w:rPr>
          <w:szCs w:val="18"/>
        </w:rPr>
        <w:t xml:space="preserve">Most New Zealand boilers have cyclones for the control of particulate emissions and some also have bag filters. However, the Toolkit makes no distinction between these systems and suggests default </w:t>
      </w:r>
      <w:r w:rsidR="00D72C9B" w:rsidRPr="00C0444A">
        <w:rPr>
          <w:szCs w:val="18"/>
        </w:rPr>
        <w:t xml:space="preserve">distribution factors </w:t>
      </w:r>
      <w:r w:rsidR="003E567B" w:rsidRPr="00C0444A">
        <w:rPr>
          <w:szCs w:val="18"/>
        </w:rPr>
        <w:t xml:space="preserve">of </w:t>
      </w:r>
      <w:r w:rsidR="00D72C9B" w:rsidRPr="00C0444A">
        <w:rPr>
          <w:szCs w:val="18"/>
        </w:rPr>
        <w:t>9</w:t>
      </w:r>
      <w:r w:rsidR="003E567B" w:rsidRPr="00C0444A">
        <w:rPr>
          <w:szCs w:val="18"/>
        </w:rPr>
        <w:t>5</w:t>
      </w:r>
      <w:r w:rsidR="00D72C9B" w:rsidRPr="00C0444A">
        <w:rPr>
          <w:szCs w:val="18"/>
        </w:rPr>
        <w:t xml:space="preserve">% </w:t>
      </w:r>
      <w:r w:rsidR="003E567B" w:rsidRPr="00C0444A">
        <w:rPr>
          <w:szCs w:val="18"/>
        </w:rPr>
        <w:t xml:space="preserve">mercury discharges to </w:t>
      </w:r>
      <w:r w:rsidR="00D72C9B" w:rsidRPr="00C0444A">
        <w:rPr>
          <w:szCs w:val="18"/>
        </w:rPr>
        <w:t>air</w:t>
      </w:r>
      <w:r w:rsidR="003E567B" w:rsidRPr="00C0444A">
        <w:rPr>
          <w:szCs w:val="18"/>
        </w:rPr>
        <w:t xml:space="preserve"> and 5</w:t>
      </w:r>
      <w:r w:rsidR="00D72C9B" w:rsidRPr="00C0444A">
        <w:rPr>
          <w:szCs w:val="18"/>
        </w:rPr>
        <w:t xml:space="preserve">% </w:t>
      </w:r>
      <w:r w:rsidR="003E567B" w:rsidRPr="00C0444A">
        <w:rPr>
          <w:szCs w:val="18"/>
        </w:rPr>
        <w:t>to waste</w:t>
      </w:r>
      <w:r w:rsidR="00D72C9B" w:rsidRPr="00C0444A">
        <w:rPr>
          <w:szCs w:val="18"/>
        </w:rPr>
        <w:t>.</w:t>
      </w:r>
      <w:r w:rsidR="003E567B" w:rsidRPr="00C0444A">
        <w:rPr>
          <w:szCs w:val="18"/>
        </w:rPr>
        <w:t xml:space="preserve"> </w:t>
      </w:r>
      <w:r w:rsidR="00B075A6" w:rsidRPr="00C0444A">
        <w:rPr>
          <w:szCs w:val="18"/>
        </w:rPr>
        <w:t>As noted previously in section 3.1, some of the studies noted in the Toolkit have suggested a 7</w:t>
      </w:r>
      <w:r w:rsidR="00520B74" w:rsidRPr="00C0444A">
        <w:rPr>
          <w:szCs w:val="18"/>
        </w:rPr>
        <w:t>5</w:t>
      </w:r>
      <w:r w:rsidR="00B075A6" w:rsidRPr="00C0444A">
        <w:rPr>
          <w:szCs w:val="18"/>
        </w:rPr>
        <w:t>/25% distribution. Hence, the output calculations shown below may be over-estimating the releases to air and under-estimating the releases via ash.</w:t>
      </w:r>
      <w:r w:rsidR="003E567B" w:rsidRPr="00C0444A">
        <w:rPr>
          <w:szCs w:val="18"/>
        </w:rPr>
        <w:t xml:space="preserve"> The</w:t>
      </w:r>
      <w:r w:rsidR="00B075A6" w:rsidRPr="00C0444A">
        <w:rPr>
          <w:szCs w:val="18"/>
        </w:rPr>
        <w:t xml:space="preserve"> Toolkit default</w:t>
      </w:r>
      <w:r w:rsidR="003E567B" w:rsidRPr="00C0444A">
        <w:rPr>
          <w:szCs w:val="18"/>
        </w:rPr>
        <w:t xml:space="preserve"> factors </w:t>
      </w:r>
      <w:r w:rsidR="00B075A6" w:rsidRPr="00C0444A">
        <w:rPr>
          <w:szCs w:val="18"/>
        </w:rPr>
        <w:t>have been</w:t>
      </w:r>
      <w:r w:rsidR="003E567B" w:rsidRPr="00C0444A">
        <w:rPr>
          <w:szCs w:val="18"/>
        </w:rPr>
        <w:t xml:space="preserve"> applied to all of the coal usage in this category.</w:t>
      </w:r>
    </w:p>
    <w:p w14:paraId="20C80915" w14:textId="51683E2C" w:rsidR="002A7F9F" w:rsidRDefault="00964BDB" w:rsidP="006C2851">
      <w:pPr>
        <w:spacing w:line="300" w:lineRule="atLeast"/>
        <w:jc w:val="both"/>
        <w:rPr>
          <w:szCs w:val="18"/>
        </w:rPr>
      </w:pPr>
      <w:r w:rsidRPr="00C0444A">
        <w:rPr>
          <w:szCs w:val="18"/>
        </w:rPr>
        <w:t xml:space="preserve">The mercury input and output calculations for </w:t>
      </w:r>
      <w:r w:rsidR="00500691" w:rsidRPr="00C0444A">
        <w:rPr>
          <w:szCs w:val="18"/>
        </w:rPr>
        <w:t>Other Coal Combustion</w:t>
      </w:r>
      <w:r w:rsidRPr="00C0444A">
        <w:rPr>
          <w:szCs w:val="18"/>
        </w:rPr>
        <w:t xml:space="preserve"> are shown in</w:t>
      </w:r>
      <w:r w:rsidR="006C2851" w:rsidRPr="00C0444A">
        <w:rPr>
          <w:szCs w:val="18"/>
        </w:rPr>
        <w:t xml:space="preserve"> Table 3-3. </w:t>
      </w:r>
    </w:p>
    <w:p w14:paraId="27260829" w14:textId="77777777" w:rsidR="002A7F9F" w:rsidRDefault="002A7F9F">
      <w:pPr>
        <w:spacing w:after="0"/>
        <w:rPr>
          <w:szCs w:val="18"/>
        </w:rPr>
      </w:pPr>
      <w:r>
        <w:rPr>
          <w:szCs w:val="18"/>
        </w:rPr>
        <w:br w:type="page"/>
      </w:r>
    </w:p>
    <w:p w14:paraId="351135C8" w14:textId="49388E6A" w:rsidR="00964BDB" w:rsidRPr="00C0444A" w:rsidRDefault="00964BDB" w:rsidP="00C768F3">
      <w:pPr>
        <w:pStyle w:val="Caption"/>
        <w:spacing w:before="240"/>
        <w:rPr>
          <w:rFonts w:ascii="Arial" w:hAnsi="Arial" w:cs="Arial"/>
          <w:szCs w:val="18"/>
        </w:rPr>
      </w:pPr>
      <w:bookmarkStart w:id="31" w:name="_Ref358282673"/>
      <w:bookmarkStart w:id="32" w:name="_Toc110355461"/>
      <w:r w:rsidRPr="00C0444A">
        <w:rPr>
          <w:rFonts w:ascii="Arial" w:hAnsi="Arial" w:cs="Arial"/>
        </w:rPr>
        <w:t xml:space="preserve">Table </w:t>
      </w:r>
      <w:r w:rsidR="00390C9F" w:rsidRPr="00C0444A">
        <w:rPr>
          <w:rFonts w:ascii="Arial" w:hAnsi="Arial" w:cs="Arial"/>
        </w:rPr>
        <w:fldChar w:fldCharType="begin"/>
      </w:r>
      <w:r w:rsidR="00390C9F" w:rsidRPr="00C0444A">
        <w:rPr>
          <w:rFonts w:ascii="Arial" w:hAnsi="Arial" w:cs="Arial"/>
        </w:rPr>
        <w:instrText xml:space="preserve"> STYLEREF 1 \s </w:instrText>
      </w:r>
      <w:r w:rsidR="00390C9F" w:rsidRPr="00C0444A">
        <w:rPr>
          <w:rFonts w:ascii="Arial" w:hAnsi="Arial" w:cs="Arial"/>
        </w:rPr>
        <w:fldChar w:fldCharType="separate"/>
      </w:r>
      <w:r w:rsidR="00892B2D">
        <w:rPr>
          <w:rFonts w:ascii="Arial" w:hAnsi="Arial" w:cs="Arial"/>
          <w:noProof/>
        </w:rPr>
        <w:t>3</w:t>
      </w:r>
      <w:r w:rsidR="00390C9F" w:rsidRPr="00C0444A">
        <w:rPr>
          <w:rFonts w:ascii="Arial" w:hAnsi="Arial" w:cs="Arial"/>
        </w:rPr>
        <w:fldChar w:fldCharType="end"/>
      </w:r>
      <w:r w:rsidR="00390C9F" w:rsidRPr="00C0444A">
        <w:rPr>
          <w:rFonts w:ascii="Arial" w:hAnsi="Arial" w:cs="Arial"/>
        </w:rPr>
        <w:noBreakHyphen/>
      </w:r>
      <w:r w:rsidR="00390C9F" w:rsidRPr="00C0444A">
        <w:rPr>
          <w:rFonts w:ascii="Arial" w:hAnsi="Arial" w:cs="Arial"/>
        </w:rPr>
        <w:fldChar w:fldCharType="begin"/>
      </w:r>
      <w:r w:rsidR="00390C9F" w:rsidRPr="00C0444A">
        <w:rPr>
          <w:rFonts w:ascii="Arial" w:hAnsi="Arial" w:cs="Arial"/>
        </w:rPr>
        <w:instrText xml:space="preserve"> SEQ Table \* ARABIC \s 1 </w:instrText>
      </w:r>
      <w:r w:rsidR="00390C9F" w:rsidRPr="00C0444A">
        <w:rPr>
          <w:rFonts w:ascii="Arial" w:hAnsi="Arial" w:cs="Arial"/>
        </w:rPr>
        <w:fldChar w:fldCharType="separate"/>
      </w:r>
      <w:r w:rsidR="00892B2D">
        <w:rPr>
          <w:rFonts w:ascii="Arial" w:hAnsi="Arial" w:cs="Arial"/>
          <w:noProof/>
        </w:rPr>
        <w:t>3</w:t>
      </w:r>
      <w:r w:rsidR="00390C9F" w:rsidRPr="00C0444A">
        <w:rPr>
          <w:rFonts w:ascii="Arial" w:hAnsi="Arial" w:cs="Arial"/>
        </w:rPr>
        <w:fldChar w:fldCharType="end"/>
      </w:r>
      <w:bookmarkEnd w:id="31"/>
      <w:r w:rsidRPr="00C0444A">
        <w:rPr>
          <w:rFonts w:ascii="Arial" w:hAnsi="Arial" w:cs="Arial"/>
        </w:rPr>
        <w:t>:</w:t>
      </w:r>
      <w:r w:rsidR="00183044">
        <w:rPr>
          <w:rFonts w:ascii="Arial" w:hAnsi="Arial" w:cs="Arial"/>
        </w:rPr>
        <w:t xml:space="preserve"> </w:t>
      </w:r>
      <w:r w:rsidRPr="00C0444A">
        <w:rPr>
          <w:rFonts w:ascii="Arial" w:hAnsi="Arial" w:cs="Arial"/>
        </w:rPr>
        <w:t xml:space="preserve"> Input and </w:t>
      </w:r>
      <w:r w:rsidR="00A97D5C" w:rsidRPr="00C0444A">
        <w:rPr>
          <w:rFonts w:ascii="Arial" w:hAnsi="Arial" w:cs="Arial"/>
        </w:rPr>
        <w:t>output estimates for other coal combustion</w:t>
      </w:r>
      <w:bookmarkEnd w:id="32"/>
    </w:p>
    <w:tbl>
      <w:tblPr>
        <w:tblStyle w:val="TableGrid"/>
        <w:tblW w:w="0" w:type="auto"/>
        <w:tblLook w:val="04A0" w:firstRow="1" w:lastRow="0" w:firstColumn="1" w:lastColumn="0" w:noHBand="0" w:noVBand="1"/>
      </w:tblPr>
      <w:tblGrid>
        <w:gridCol w:w="1876"/>
        <w:gridCol w:w="1250"/>
        <w:gridCol w:w="1374"/>
        <w:gridCol w:w="1497"/>
        <w:gridCol w:w="1489"/>
        <w:gridCol w:w="1575"/>
      </w:tblGrid>
      <w:tr w:rsidR="00964BDB" w:rsidRPr="00220A32" w14:paraId="5BE569E4" w14:textId="77777777" w:rsidTr="00880597">
        <w:tc>
          <w:tcPr>
            <w:tcW w:w="1876" w:type="dxa"/>
            <w:vMerge w:val="restart"/>
            <w:vAlign w:val="center"/>
          </w:tcPr>
          <w:p w14:paraId="70491A9C" w14:textId="77777777" w:rsidR="00964BDB" w:rsidRPr="00D20BA6" w:rsidRDefault="00964BDB" w:rsidP="00F0288A">
            <w:pPr>
              <w:spacing w:line="300" w:lineRule="atLeast"/>
              <w:jc w:val="center"/>
              <w:rPr>
                <w:rFonts w:ascii="Arial" w:hAnsi="Arial" w:cs="Arial"/>
                <w:b/>
                <w:sz w:val="16"/>
                <w:szCs w:val="16"/>
              </w:rPr>
            </w:pPr>
            <w:r w:rsidRPr="00D20BA6">
              <w:rPr>
                <w:rFonts w:ascii="Arial" w:hAnsi="Arial" w:cs="Arial"/>
                <w:b/>
                <w:sz w:val="16"/>
                <w:szCs w:val="16"/>
              </w:rPr>
              <w:t>Source</w:t>
            </w:r>
          </w:p>
        </w:tc>
        <w:tc>
          <w:tcPr>
            <w:tcW w:w="1250" w:type="dxa"/>
            <w:vMerge w:val="restart"/>
            <w:vAlign w:val="center"/>
          </w:tcPr>
          <w:p w14:paraId="3F8ED486" w14:textId="77777777" w:rsidR="00964BDB" w:rsidRPr="00D20BA6" w:rsidRDefault="00964BDB" w:rsidP="00F0288A">
            <w:pPr>
              <w:spacing w:line="300" w:lineRule="atLeast"/>
              <w:jc w:val="center"/>
              <w:rPr>
                <w:rFonts w:ascii="Arial" w:hAnsi="Arial" w:cs="Arial"/>
                <w:b/>
                <w:sz w:val="16"/>
                <w:szCs w:val="16"/>
              </w:rPr>
            </w:pPr>
            <w:r w:rsidRPr="00D20BA6">
              <w:rPr>
                <w:rFonts w:ascii="Arial" w:hAnsi="Arial" w:cs="Arial"/>
                <w:b/>
                <w:sz w:val="16"/>
                <w:szCs w:val="16"/>
              </w:rPr>
              <w:t>Activity Rate, tonnes/yr</w:t>
            </w:r>
          </w:p>
        </w:tc>
        <w:tc>
          <w:tcPr>
            <w:tcW w:w="1374" w:type="dxa"/>
            <w:vMerge w:val="restart"/>
            <w:vAlign w:val="center"/>
          </w:tcPr>
          <w:p w14:paraId="657BEA46" w14:textId="77777777" w:rsidR="00964BDB" w:rsidRPr="00D20BA6" w:rsidRDefault="00964BDB" w:rsidP="00F0288A">
            <w:pPr>
              <w:spacing w:line="300" w:lineRule="atLeast"/>
              <w:jc w:val="center"/>
              <w:rPr>
                <w:rFonts w:ascii="Arial" w:hAnsi="Arial" w:cs="Arial"/>
                <w:b/>
                <w:sz w:val="16"/>
                <w:szCs w:val="16"/>
              </w:rPr>
            </w:pPr>
            <w:r w:rsidRPr="00D20BA6">
              <w:rPr>
                <w:rFonts w:ascii="Arial" w:hAnsi="Arial" w:cs="Arial"/>
                <w:b/>
                <w:sz w:val="16"/>
                <w:szCs w:val="16"/>
              </w:rPr>
              <w:t>Mercury content, mg/kg</w:t>
            </w:r>
          </w:p>
        </w:tc>
        <w:tc>
          <w:tcPr>
            <w:tcW w:w="1497" w:type="dxa"/>
            <w:vMerge w:val="restart"/>
            <w:vAlign w:val="center"/>
          </w:tcPr>
          <w:p w14:paraId="5DD77836" w14:textId="77777777" w:rsidR="00964BDB" w:rsidRPr="00D20BA6" w:rsidRDefault="00964BDB" w:rsidP="00F0288A">
            <w:pPr>
              <w:spacing w:line="300" w:lineRule="atLeast"/>
              <w:jc w:val="center"/>
              <w:rPr>
                <w:rFonts w:ascii="Arial" w:hAnsi="Arial" w:cs="Arial"/>
                <w:b/>
                <w:sz w:val="16"/>
                <w:szCs w:val="16"/>
              </w:rPr>
            </w:pPr>
            <w:r w:rsidRPr="00D20BA6">
              <w:rPr>
                <w:rFonts w:ascii="Arial" w:hAnsi="Arial" w:cs="Arial"/>
                <w:b/>
                <w:sz w:val="16"/>
                <w:szCs w:val="16"/>
              </w:rPr>
              <w:t>Annual Mercury Inputs, kg/yr</w:t>
            </w:r>
          </w:p>
        </w:tc>
        <w:tc>
          <w:tcPr>
            <w:tcW w:w="3064" w:type="dxa"/>
            <w:gridSpan w:val="2"/>
            <w:vAlign w:val="center"/>
          </w:tcPr>
          <w:p w14:paraId="2E2BA854" w14:textId="77777777" w:rsidR="00964BDB" w:rsidRPr="00D20BA6" w:rsidRDefault="00964BDB" w:rsidP="00F0288A">
            <w:pPr>
              <w:spacing w:line="300" w:lineRule="atLeast"/>
              <w:jc w:val="center"/>
              <w:rPr>
                <w:rFonts w:ascii="Arial" w:hAnsi="Arial" w:cs="Arial"/>
                <w:b/>
                <w:sz w:val="16"/>
                <w:szCs w:val="16"/>
              </w:rPr>
            </w:pPr>
            <w:r w:rsidRPr="00D20BA6">
              <w:rPr>
                <w:rFonts w:ascii="Arial" w:hAnsi="Arial" w:cs="Arial"/>
                <w:b/>
                <w:sz w:val="16"/>
                <w:szCs w:val="16"/>
              </w:rPr>
              <w:t>Annual Mercury Outputs, kg/yr</w:t>
            </w:r>
          </w:p>
        </w:tc>
      </w:tr>
      <w:tr w:rsidR="00964BDB" w:rsidRPr="00220A32" w14:paraId="5D95C3B6" w14:textId="77777777" w:rsidTr="00880597">
        <w:tc>
          <w:tcPr>
            <w:tcW w:w="1876" w:type="dxa"/>
            <w:vMerge/>
            <w:vAlign w:val="center"/>
          </w:tcPr>
          <w:p w14:paraId="0B1C45B2" w14:textId="77777777" w:rsidR="00964BDB" w:rsidRPr="00D20BA6" w:rsidRDefault="00964BDB" w:rsidP="00F0288A">
            <w:pPr>
              <w:spacing w:line="300" w:lineRule="atLeast"/>
              <w:jc w:val="center"/>
              <w:rPr>
                <w:rFonts w:ascii="Arial" w:hAnsi="Arial" w:cs="Arial"/>
                <w:b/>
                <w:sz w:val="16"/>
                <w:szCs w:val="16"/>
              </w:rPr>
            </w:pPr>
          </w:p>
        </w:tc>
        <w:tc>
          <w:tcPr>
            <w:tcW w:w="1250" w:type="dxa"/>
            <w:vMerge/>
            <w:vAlign w:val="center"/>
          </w:tcPr>
          <w:p w14:paraId="56AA666D" w14:textId="77777777" w:rsidR="00964BDB" w:rsidRPr="00D20BA6" w:rsidRDefault="00964BDB" w:rsidP="00F0288A">
            <w:pPr>
              <w:spacing w:line="300" w:lineRule="atLeast"/>
              <w:jc w:val="center"/>
              <w:rPr>
                <w:rFonts w:ascii="Arial" w:hAnsi="Arial" w:cs="Arial"/>
                <w:b/>
                <w:sz w:val="16"/>
                <w:szCs w:val="16"/>
              </w:rPr>
            </w:pPr>
          </w:p>
        </w:tc>
        <w:tc>
          <w:tcPr>
            <w:tcW w:w="1374" w:type="dxa"/>
            <w:vMerge/>
            <w:vAlign w:val="center"/>
          </w:tcPr>
          <w:p w14:paraId="6228363E" w14:textId="77777777" w:rsidR="00964BDB" w:rsidRPr="00D20BA6" w:rsidRDefault="00964BDB" w:rsidP="00F0288A">
            <w:pPr>
              <w:spacing w:line="300" w:lineRule="atLeast"/>
              <w:jc w:val="center"/>
              <w:rPr>
                <w:rFonts w:ascii="Arial" w:hAnsi="Arial" w:cs="Arial"/>
                <w:b/>
                <w:sz w:val="16"/>
                <w:szCs w:val="16"/>
              </w:rPr>
            </w:pPr>
          </w:p>
        </w:tc>
        <w:tc>
          <w:tcPr>
            <w:tcW w:w="1497" w:type="dxa"/>
            <w:vMerge/>
            <w:vAlign w:val="center"/>
          </w:tcPr>
          <w:p w14:paraId="3BB5CFC6" w14:textId="77777777" w:rsidR="00964BDB" w:rsidRPr="00D20BA6" w:rsidRDefault="00964BDB" w:rsidP="00F0288A">
            <w:pPr>
              <w:spacing w:line="300" w:lineRule="atLeast"/>
              <w:jc w:val="center"/>
              <w:rPr>
                <w:rFonts w:ascii="Arial" w:hAnsi="Arial" w:cs="Arial"/>
                <w:b/>
                <w:sz w:val="16"/>
                <w:szCs w:val="16"/>
              </w:rPr>
            </w:pPr>
          </w:p>
        </w:tc>
        <w:tc>
          <w:tcPr>
            <w:tcW w:w="1489" w:type="dxa"/>
            <w:vAlign w:val="center"/>
          </w:tcPr>
          <w:p w14:paraId="48F0C44F" w14:textId="77777777" w:rsidR="00964BDB" w:rsidRPr="00D20BA6" w:rsidRDefault="00964BDB" w:rsidP="00F0288A">
            <w:pPr>
              <w:spacing w:line="300" w:lineRule="atLeast"/>
              <w:jc w:val="center"/>
              <w:rPr>
                <w:rFonts w:ascii="Arial" w:hAnsi="Arial" w:cs="Arial"/>
                <w:b/>
                <w:sz w:val="16"/>
                <w:szCs w:val="16"/>
              </w:rPr>
            </w:pPr>
            <w:r w:rsidRPr="00D20BA6">
              <w:rPr>
                <w:rFonts w:ascii="Arial" w:hAnsi="Arial" w:cs="Arial"/>
                <w:b/>
                <w:sz w:val="16"/>
                <w:szCs w:val="16"/>
              </w:rPr>
              <w:t>Air</w:t>
            </w:r>
          </w:p>
        </w:tc>
        <w:tc>
          <w:tcPr>
            <w:tcW w:w="1575" w:type="dxa"/>
            <w:vAlign w:val="center"/>
          </w:tcPr>
          <w:p w14:paraId="57A7DB52" w14:textId="77777777" w:rsidR="00964BDB" w:rsidRPr="00D20BA6" w:rsidRDefault="00964BDB" w:rsidP="00F0288A">
            <w:pPr>
              <w:spacing w:line="300" w:lineRule="atLeast"/>
              <w:jc w:val="center"/>
              <w:rPr>
                <w:rFonts w:ascii="Arial" w:hAnsi="Arial" w:cs="Arial"/>
                <w:b/>
                <w:sz w:val="16"/>
                <w:szCs w:val="16"/>
              </w:rPr>
            </w:pPr>
            <w:r w:rsidRPr="00D20BA6">
              <w:rPr>
                <w:rFonts w:ascii="Arial" w:hAnsi="Arial" w:cs="Arial"/>
                <w:b/>
                <w:sz w:val="16"/>
                <w:szCs w:val="16"/>
              </w:rPr>
              <w:t>Waste</w:t>
            </w:r>
          </w:p>
        </w:tc>
      </w:tr>
      <w:tr w:rsidR="00964BDB" w:rsidRPr="00220A32" w14:paraId="2CCD8615" w14:textId="77777777" w:rsidTr="00880597">
        <w:tc>
          <w:tcPr>
            <w:tcW w:w="1876" w:type="dxa"/>
            <w:tcBorders>
              <w:bottom w:val="single" w:sz="4" w:space="0" w:color="auto"/>
            </w:tcBorders>
          </w:tcPr>
          <w:p w14:paraId="5581FEAC" w14:textId="42079C46" w:rsidR="00964BDB" w:rsidRPr="00D20BA6" w:rsidRDefault="00964BDB" w:rsidP="00355741">
            <w:pPr>
              <w:spacing w:line="300" w:lineRule="atLeast"/>
              <w:rPr>
                <w:rFonts w:ascii="Arial" w:hAnsi="Arial" w:cs="Arial"/>
                <w:sz w:val="16"/>
                <w:szCs w:val="16"/>
              </w:rPr>
            </w:pPr>
            <w:r w:rsidRPr="00D20BA6">
              <w:rPr>
                <w:rFonts w:ascii="Arial" w:hAnsi="Arial" w:cs="Arial"/>
                <w:sz w:val="16"/>
                <w:szCs w:val="16"/>
              </w:rPr>
              <w:t>Waikato Coal</w:t>
            </w:r>
            <w:r w:rsidR="00C0444A" w:rsidRPr="00D20BA6">
              <w:rPr>
                <w:rFonts w:ascii="Arial" w:hAnsi="Arial" w:cs="Arial"/>
                <w:sz w:val="16"/>
                <w:szCs w:val="16"/>
              </w:rPr>
              <w:t>, 2012</w:t>
            </w:r>
          </w:p>
        </w:tc>
        <w:tc>
          <w:tcPr>
            <w:tcW w:w="1250" w:type="dxa"/>
            <w:tcBorders>
              <w:bottom w:val="single" w:sz="4" w:space="0" w:color="auto"/>
            </w:tcBorders>
            <w:vAlign w:val="center"/>
          </w:tcPr>
          <w:p w14:paraId="7713F95A" w14:textId="77777777" w:rsidR="00964BDB" w:rsidRPr="00D20BA6" w:rsidRDefault="00500691" w:rsidP="00F0288A">
            <w:pPr>
              <w:spacing w:line="300" w:lineRule="atLeast"/>
              <w:jc w:val="center"/>
              <w:rPr>
                <w:rFonts w:ascii="Arial" w:hAnsi="Arial" w:cs="Arial"/>
                <w:sz w:val="16"/>
                <w:szCs w:val="16"/>
              </w:rPr>
            </w:pPr>
            <w:r w:rsidRPr="00D20BA6">
              <w:rPr>
                <w:rFonts w:ascii="Arial" w:hAnsi="Arial" w:cs="Arial"/>
                <w:sz w:val="16"/>
                <w:szCs w:val="16"/>
              </w:rPr>
              <w:t>3</w:t>
            </w:r>
            <w:r w:rsidR="00693D71" w:rsidRPr="00D20BA6">
              <w:rPr>
                <w:rFonts w:ascii="Arial" w:hAnsi="Arial" w:cs="Arial"/>
                <w:sz w:val="16"/>
                <w:szCs w:val="16"/>
              </w:rPr>
              <w:t>00</w:t>
            </w:r>
            <w:r w:rsidRPr="00D20BA6">
              <w:rPr>
                <w:rFonts w:ascii="Arial" w:hAnsi="Arial" w:cs="Arial"/>
                <w:sz w:val="16"/>
                <w:szCs w:val="16"/>
              </w:rPr>
              <w:t>,000</w:t>
            </w:r>
          </w:p>
        </w:tc>
        <w:tc>
          <w:tcPr>
            <w:tcW w:w="1374" w:type="dxa"/>
            <w:tcBorders>
              <w:bottom w:val="single" w:sz="4" w:space="0" w:color="auto"/>
            </w:tcBorders>
            <w:vAlign w:val="center"/>
          </w:tcPr>
          <w:p w14:paraId="5451EEF9" w14:textId="77777777" w:rsidR="00964BDB" w:rsidRPr="00D20BA6" w:rsidRDefault="00964BDB" w:rsidP="00693D71">
            <w:pPr>
              <w:spacing w:line="300" w:lineRule="atLeast"/>
              <w:jc w:val="center"/>
              <w:rPr>
                <w:rFonts w:ascii="Arial" w:hAnsi="Arial" w:cs="Arial"/>
                <w:sz w:val="16"/>
                <w:szCs w:val="16"/>
              </w:rPr>
            </w:pPr>
            <w:r w:rsidRPr="00D20BA6">
              <w:rPr>
                <w:rFonts w:ascii="Arial" w:hAnsi="Arial" w:cs="Arial"/>
                <w:sz w:val="16"/>
                <w:szCs w:val="16"/>
              </w:rPr>
              <w:t>0.0</w:t>
            </w:r>
            <w:r w:rsidR="00693D71" w:rsidRPr="00D20BA6">
              <w:rPr>
                <w:rFonts w:ascii="Arial" w:hAnsi="Arial" w:cs="Arial"/>
                <w:sz w:val="16"/>
                <w:szCs w:val="16"/>
              </w:rPr>
              <w:t>4</w:t>
            </w:r>
            <w:r w:rsidRPr="00D20BA6">
              <w:rPr>
                <w:rFonts w:ascii="Arial" w:hAnsi="Arial" w:cs="Arial"/>
                <w:sz w:val="16"/>
                <w:szCs w:val="16"/>
              </w:rPr>
              <w:t xml:space="preserve"> - 0.</w:t>
            </w:r>
            <w:r w:rsidR="00500691" w:rsidRPr="00D20BA6">
              <w:rPr>
                <w:rFonts w:ascii="Arial" w:hAnsi="Arial" w:cs="Arial"/>
                <w:sz w:val="16"/>
                <w:szCs w:val="16"/>
              </w:rPr>
              <w:t>20</w:t>
            </w:r>
          </w:p>
        </w:tc>
        <w:tc>
          <w:tcPr>
            <w:tcW w:w="1497" w:type="dxa"/>
            <w:tcBorders>
              <w:bottom w:val="single" w:sz="4" w:space="0" w:color="auto"/>
            </w:tcBorders>
            <w:vAlign w:val="center"/>
          </w:tcPr>
          <w:p w14:paraId="6649BB45" w14:textId="77777777" w:rsidR="00964BDB" w:rsidRPr="00D20BA6" w:rsidRDefault="00E95C70" w:rsidP="00F0288A">
            <w:pPr>
              <w:spacing w:line="300" w:lineRule="atLeast"/>
              <w:jc w:val="center"/>
              <w:rPr>
                <w:rFonts w:ascii="Arial" w:hAnsi="Arial" w:cs="Arial"/>
                <w:sz w:val="16"/>
                <w:szCs w:val="16"/>
              </w:rPr>
            </w:pPr>
            <w:r w:rsidRPr="00D20BA6">
              <w:rPr>
                <w:rFonts w:ascii="Arial" w:hAnsi="Arial" w:cs="Arial"/>
                <w:sz w:val="16"/>
                <w:szCs w:val="16"/>
              </w:rPr>
              <w:t>12 - 60</w:t>
            </w:r>
          </w:p>
        </w:tc>
        <w:tc>
          <w:tcPr>
            <w:tcW w:w="1489" w:type="dxa"/>
            <w:tcBorders>
              <w:bottom w:val="single" w:sz="4" w:space="0" w:color="auto"/>
            </w:tcBorders>
            <w:vAlign w:val="center"/>
          </w:tcPr>
          <w:p w14:paraId="35A226BA" w14:textId="77777777" w:rsidR="00964BDB" w:rsidRPr="00D20BA6" w:rsidRDefault="003120FE" w:rsidP="00F0288A">
            <w:pPr>
              <w:spacing w:line="300" w:lineRule="atLeast"/>
              <w:jc w:val="center"/>
              <w:rPr>
                <w:rFonts w:ascii="Arial" w:hAnsi="Arial" w:cs="Arial"/>
                <w:sz w:val="16"/>
                <w:szCs w:val="16"/>
              </w:rPr>
            </w:pPr>
            <w:r w:rsidRPr="00D20BA6">
              <w:rPr>
                <w:rFonts w:ascii="Arial" w:hAnsi="Arial" w:cs="Arial"/>
                <w:sz w:val="16"/>
                <w:szCs w:val="16"/>
              </w:rPr>
              <w:t>11.4 – 57</w:t>
            </w:r>
            <w:r w:rsidR="00E95C70" w:rsidRPr="00D20BA6">
              <w:rPr>
                <w:rFonts w:ascii="Arial" w:hAnsi="Arial" w:cs="Arial"/>
                <w:sz w:val="16"/>
                <w:szCs w:val="16"/>
              </w:rPr>
              <w:t>.0</w:t>
            </w:r>
          </w:p>
        </w:tc>
        <w:tc>
          <w:tcPr>
            <w:tcW w:w="1575" w:type="dxa"/>
            <w:tcBorders>
              <w:bottom w:val="single" w:sz="4" w:space="0" w:color="auto"/>
            </w:tcBorders>
            <w:vAlign w:val="center"/>
          </w:tcPr>
          <w:p w14:paraId="28B46D30" w14:textId="599AFBE0" w:rsidR="00964BDB" w:rsidRPr="00D20BA6" w:rsidRDefault="003120FE" w:rsidP="003120FE">
            <w:pPr>
              <w:spacing w:line="300" w:lineRule="atLeast"/>
              <w:jc w:val="center"/>
              <w:rPr>
                <w:rFonts w:ascii="Arial" w:hAnsi="Arial" w:cs="Arial"/>
                <w:sz w:val="16"/>
                <w:szCs w:val="16"/>
              </w:rPr>
            </w:pPr>
            <w:r w:rsidRPr="00D20BA6">
              <w:rPr>
                <w:rFonts w:ascii="Arial" w:hAnsi="Arial" w:cs="Arial"/>
                <w:sz w:val="16"/>
                <w:szCs w:val="16"/>
              </w:rPr>
              <w:t>0.6</w:t>
            </w:r>
            <w:r w:rsidR="00E95C70" w:rsidRPr="00D20BA6">
              <w:rPr>
                <w:rFonts w:ascii="Arial" w:hAnsi="Arial" w:cs="Arial"/>
                <w:sz w:val="16"/>
                <w:szCs w:val="16"/>
              </w:rPr>
              <w:t xml:space="preserve"> </w:t>
            </w:r>
            <w:r w:rsidR="00CE2AE9" w:rsidRPr="00D20BA6">
              <w:rPr>
                <w:rFonts w:ascii="Arial" w:hAnsi="Arial" w:cs="Arial"/>
                <w:sz w:val="16"/>
                <w:szCs w:val="16"/>
              </w:rPr>
              <w:t>–</w:t>
            </w:r>
            <w:r w:rsidR="00E95C70" w:rsidRPr="00D20BA6">
              <w:rPr>
                <w:rFonts w:ascii="Arial" w:hAnsi="Arial" w:cs="Arial"/>
                <w:sz w:val="16"/>
                <w:szCs w:val="16"/>
              </w:rPr>
              <w:t xml:space="preserve"> </w:t>
            </w:r>
            <w:r w:rsidRPr="00D20BA6">
              <w:rPr>
                <w:rFonts w:ascii="Arial" w:hAnsi="Arial" w:cs="Arial"/>
                <w:sz w:val="16"/>
                <w:szCs w:val="16"/>
              </w:rPr>
              <w:t>3</w:t>
            </w:r>
            <w:r w:rsidR="00CE2AE9" w:rsidRPr="00D20BA6">
              <w:rPr>
                <w:rFonts w:ascii="Arial" w:hAnsi="Arial" w:cs="Arial"/>
                <w:sz w:val="16"/>
                <w:szCs w:val="16"/>
              </w:rPr>
              <w:t>.0</w:t>
            </w:r>
          </w:p>
        </w:tc>
      </w:tr>
      <w:tr w:rsidR="00C0444A" w:rsidRPr="00220A32" w14:paraId="504589C1" w14:textId="77777777" w:rsidTr="00880597">
        <w:tc>
          <w:tcPr>
            <w:tcW w:w="1876" w:type="dxa"/>
            <w:tcBorders>
              <w:bottom w:val="double" w:sz="4" w:space="0" w:color="auto"/>
            </w:tcBorders>
          </w:tcPr>
          <w:p w14:paraId="6DD13A5D" w14:textId="39030A3D" w:rsidR="00C0444A" w:rsidRPr="00D20BA6" w:rsidRDefault="00C0444A" w:rsidP="00355741">
            <w:pPr>
              <w:spacing w:line="300" w:lineRule="atLeast"/>
              <w:rPr>
                <w:rFonts w:ascii="Arial" w:hAnsi="Arial" w:cs="Arial"/>
                <w:sz w:val="16"/>
                <w:szCs w:val="16"/>
              </w:rPr>
            </w:pPr>
            <w:r w:rsidRPr="00D20BA6">
              <w:rPr>
                <w:rFonts w:ascii="Arial" w:hAnsi="Arial" w:cs="Arial"/>
                <w:sz w:val="16"/>
                <w:szCs w:val="16"/>
              </w:rPr>
              <w:t>Waikato Coal, 2016</w:t>
            </w:r>
          </w:p>
        </w:tc>
        <w:tc>
          <w:tcPr>
            <w:tcW w:w="1250" w:type="dxa"/>
            <w:tcBorders>
              <w:bottom w:val="double" w:sz="4" w:space="0" w:color="auto"/>
            </w:tcBorders>
            <w:vAlign w:val="center"/>
          </w:tcPr>
          <w:p w14:paraId="0EB8FFF8" w14:textId="54B99E99" w:rsidR="00C0444A" w:rsidRPr="00D20BA6" w:rsidRDefault="00C0444A" w:rsidP="00C0444A">
            <w:pPr>
              <w:spacing w:line="300" w:lineRule="atLeast"/>
              <w:jc w:val="center"/>
              <w:rPr>
                <w:rFonts w:ascii="Arial" w:hAnsi="Arial" w:cs="Arial"/>
                <w:sz w:val="16"/>
                <w:szCs w:val="16"/>
              </w:rPr>
            </w:pPr>
            <w:r w:rsidRPr="00D20BA6">
              <w:rPr>
                <w:rFonts w:ascii="Arial" w:hAnsi="Arial" w:cs="Arial"/>
                <w:sz w:val="16"/>
                <w:szCs w:val="16"/>
              </w:rPr>
              <w:t>224,000</w:t>
            </w:r>
          </w:p>
        </w:tc>
        <w:tc>
          <w:tcPr>
            <w:tcW w:w="1374" w:type="dxa"/>
            <w:tcBorders>
              <w:bottom w:val="double" w:sz="4" w:space="0" w:color="auto"/>
            </w:tcBorders>
            <w:vAlign w:val="center"/>
          </w:tcPr>
          <w:p w14:paraId="6A407C12" w14:textId="7006488B" w:rsidR="00C0444A" w:rsidRPr="00D20BA6" w:rsidRDefault="00C0444A" w:rsidP="00C0444A">
            <w:pPr>
              <w:spacing w:line="300" w:lineRule="atLeast"/>
              <w:jc w:val="center"/>
              <w:rPr>
                <w:rFonts w:ascii="Arial" w:hAnsi="Arial" w:cs="Arial"/>
                <w:sz w:val="16"/>
                <w:szCs w:val="16"/>
              </w:rPr>
            </w:pPr>
            <w:r w:rsidRPr="00D20BA6">
              <w:rPr>
                <w:rFonts w:ascii="Arial" w:hAnsi="Arial" w:cs="Arial"/>
                <w:sz w:val="16"/>
                <w:szCs w:val="16"/>
              </w:rPr>
              <w:t>0.04 – 0.20</w:t>
            </w:r>
          </w:p>
        </w:tc>
        <w:tc>
          <w:tcPr>
            <w:tcW w:w="1497" w:type="dxa"/>
            <w:tcBorders>
              <w:bottom w:val="double" w:sz="4" w:space="0" w:color="auto"/>
            </w:tcBorders>
            <w:vAlign w:val="center"/>
          </w:tcPr>
          <w:p w14:paraId="46E4BA78" w14:textId="70C50997" w:rsidR="00C0444A" w:rsidRPr="00D20BA6" w:rsidRDefault="00CE2AE9" w:rsidP="00CE2AE9">
            <w:pPr>
              <w:spacing w:line="300" w:lineRule="atLeast"/>
              <w:jc w:val="center"/>
              <w:rPr>
                <w:rFonts w:ascii="Arial" w:hAnsi="Arial" w:cs="Arial"/>
                <w:sz w:val="16"/>
                <w:szCs w:val="16"/>
              </w:rPr>
            </w:pPr>
            <w:r w:rsidRPr="00D20BA6">
              <w:rPr>
                <w:rFonts w:ascii="Arial" w:hAnsi="Arial" w:cs="Arial"/>
                <w:sz w:val="16"/>
                <w:szCs w:val="16"/>
              </w:rPr>
              <w:t>9</w:t>
            </w:r>
            <w:r w:rsidR="00C0444A" w:rsidRPr="00D20BA6">
              <w:rPr>
                <w:rFonts w:ascii="Arial" w:hAnsi="Arial" w:cs="Arial"/>
                <w:sz w:val="16"/>
                <w:szCs w:val="16"/>
              </w:rPr>
              <w:t>.</w:t>
            </w:r>
            <w:r w:rsidRPr="00D20BA6">
              <w:rPr>
                <w:rFonts w:ascii="Arial" w:hAnsi="Arial" w:cs="Arial"/>
                <w:sz w:val="16"/>
                <w:szCs w:val="16"/>
              </w:rPr>
              <w:t>0</w:t>
            </w:r>
            <w:r w:rsidR="00C0444A" w:rsidRPr="00D20BA6">
              <w:rPr>
                <w:rFonts w:ascii="Arial" w:hAnsi="Arial" w:cs="Arial"/>
                <w:sz w:val="16"/>
                <w:szCs w:val="16"/>
              </w:rPr>
              <w:t xml:space="preserve"> – 44.8</w:t>
            </w:r>
          </w:p>
        </w:tc>
        <w:tc>
          <w:tcPr>
            <w:tcW w:w="1489" w:type="dxa"/>
            <w:tcBorders>
              <w:bottom w:val="double" w:sz="4" w:space="0" w:color="auto"/>
            </w:tcBorders>
            <w:vAlign w:val="center"/>
          </w:tcPr>
          <w:p w14:paraId="4FD27811" w14:textId="495CAF17" w:rsidR="00C0444A" w:rsidRPr="00D20BA6" w:rsidRDefault="00C0444A" w:rsidP="00C0444A">
            <w:pPr>
              <w:spacing w:line="300" w:lineRule="atLeast"/>
              <w:jc w:val="center"/>
              <w:rPr>
                <w:rFonts w:ascii="Arial" w:hAnsi="Arial" w:cs="Arial"/>
                <w:sz w:val="16"/>
                <w:szCs w:val="16"/>
              </w:rPr>
            </w:pPr>
            <w:r w:rsidRPr="00D20BA6">
              <w:rPr>
                <w:rFonts w:ascii="Arial" w:hAnsi="Arial" w:cs="Arial"/>
                <w:sz w:val="16"/>
                <w:szCs w:val="16"/>
              </w:rPr>
              <w:t>8.5 – 42.6</w:t>
            </w:r>
          </w:p>
        </w:tc>
        <w:tc>
          <w:tcPr>
            <w:tcW w:w="1575" w:type="dxa"/>
            <w:tcBorders>
              <w:bottom w:val="double" w:sz="4" w:space="0" w:color="auto"/>
            </w:tcBorders>
            <w:vAlign w:val="center"/>
          </w:tcPr>
          <w:p w14:paraId="58550249" w14:textId="3D142F05" w:rsidR="00C0444A" w:rsidRPr="00D20BA6" w:rsidRDefault="00CE2AE9" w:rsidP="00C0444A">
            <w:pPr>
              <w:spacing w:line="300" w:lineRule="atLeast"/>
              <w:jc w:val="center"/>
              <w:rPr>
                <w:rFonts w:ascii="Arial" w:hAnsi="Arial" w:cs="Arial"/>
                <w:sz w:val="16"/>
                <w:szCs w:val="16"/>
              </w:rPr>
            </w:pPr>
            <w:r w:rsidRPr="00D20BA6">
              <w:rPr>
                <w:rFonts w:ascii="Arial" w:hAnsi="Arial" w:cs="Arial"/>
                <w:sz w:val="16"/>
                <w:szCs w:val="16"/>
              </w:rPr>
              <w:t>0.</w:t>
            </w:r>
            <w:r w:rsidR="00C0444A" w:rsidRPr="00D20BA6">
              <w:rPr>
                <w:rFonts w:ascii="Arial" w:hAnsi="Arial" w:cs="Arial"/>
                <w:sz w:val="16"/>
                <w:szCs w:val="16"/>
              </w:rPr>
              <w:t>5 – 2.1</w:t>
            </w:r>
          </w:p>
        </w:tc>
      </w:tr>
      <w:tr w:rsidR="00DE6E9E" w:rsidRPr="00220A32" w14:paraId="00551AEC" w14:textId="77777777" w:rsidTr="00880597">
        <w:tc>
          <w:tcPr>
            <w:tcW w:w="1876" w:type="dxa"/>
            <w:tcBorders>
              <w:bottom w:val="double" w:sz="4" w:space="0" w:color="auto"/>
            </w:tcBorders>
          </w:tcPr>
          <w:p w14:paraId="7BCA31CD" w14:textId="6434AE65" w:rsidR="008B03B7" w:rsidRPr="00D20BA6" w:rsidRDefault="008B03B7" w:rsidP="00355741">
            <w:pPr>
              <w:spacing w:line="300" w:lineRule="atLeast"/>
              <w:rPr>
                <w:rFonts w:ascii="Arial" w:hAnsi="Arial" w:cs="Arial"/>
                <w:sz w:val="16"/>
                <w:szCs w:val="16"/>
              </w:rPr>
            </w:pPr>
            <w:r w:rsidRPr="00D20BA6">
              <w:rPr>
                <w:rFonts w:ascii="Arial" w:hAnsi="Arial" w:cs="Arial"/>
                <w:sz w:val="16"/>
                <w:szCs w:val="16"/>
              </w:rPr>
              <w:t>Waikato Coal, 2020</w:t>
            </w:r>
          </w:p>
        </w:tc>
        <w:tc>
          <w:tcPr>
            <w:tcW w:w="1250" w:type="dxa"/>
            <w:tcBorders>
              <w:bottom w:val="double" w:sz="4" w:space="0" w:color="auto"/>
            </w:tcBorders>
            <w:vAlign w:val="center"/>
          </w:tcPr>
          <w:p w14:paraId="16E57BA4" w14:textId="093DB05F" w:rsidR="008B03B7" w:rsidRPr="00D20BA6" w:rsidRDefault="008B03B7" w:rsidP="00C0444A">
            <w:pPr>
              <w:spacing w:line="300" w:lineRule="atLeast"/>
              <w:jc w:val="center"/>
              <w:rPr>
                <w:rFonts w:ascii="Arial" w:hAnsi="Arial" w:cs="Arial"/>
                <w:sz w:val="16"/>
                <w:szCs w:val="16"/>
              </w:rPr>
            </w:pPr>
            <w:r w:rsidRPr="00D20BA6">
              <w:rPr>
                <w:rFonts w:ascii="Arial" w:hAnsi="Arial" w:cs="Arial"/>
                <w:sz w:val="16"/>
                <w:szCs w:val="16"/>
              </w:rPr>
              <w:t>202,430</w:t>
            </w:r>
          </w:p>
        </w:tc>
        <w:tc>
          <w:tcPr>
            <w:tcW w:w="1374" w:type="dxa"/>
            <w:tcBorders>
              <w:bottom w:val="double" w:sz="4" w:space="0" w:color="auto"/>
            </w:tcBorders>
            <w:vAlign w:val="center"/>
          </w:tcPr>
          <w:p w14:paraId="7CC4EF4F" w14:textId="746CB7C3" w:rsidR="008B03B7" w:rsidRPr="00D20BA6" w:rsidRDefault="008B03B7" w:rsidP="00C0444A">
            <w:pPr>
              <w:spacing w:line="300" w:lineRule="atLeast"/>
              <w:jc w:val="center"/>
              <w:rPr>
                <w:rFonts w:ascii="Arial" w:hAnsi="Arial" w:cs="Arial"/>
                <w:sz w:val="16"/>
                <w:szCs w:val="16"/>
              </w:rPr>
            </w:pPr>
            <w:r w:rsidRPr="00D20BA6">
              <w:rPr>
                <w:rFonts w:ascii="Arial" w:hAnsi="Arial" w:cs="Arial"/>
                <w:sz w:val="16"/>
                <w:szCs w:val="16"/>
              </w:rPr>
              <w:t>0.04 – 0.20</w:t>
            </w:r>
          </w:p>
        </w:tc>
        <w:tc>
          <w:tcPr>
            <w:tcW w:w="1497" w:type="dxa"/>
            <w:tcBorders>
              <w:bottom w:val="double" w:sz="4" w:space="0" w:color="auto"/>
            </w:tcBorders>
            <w:vAlign w:val="center"/>
          </w:tcPr>
          <w:p w14:paraId="2A1D9466" w14:textId="6D00E304" w:rsidR="008B03B7" w:rsidRPr="00D20BA6" w:rsidRDefault="008B03B7" w:rsidP="00CE2AE9">
            <w:pPr>
              <w:spacing w:line="300" w:lineRule="atLeast"/>
              <w:jc w:val="center"/>
              <w:rPr>
                <w:rFonts w:ascii="Arial" w:hAnsi="Arial" w:cs="Arial"/>
                <w:sz w:val="16"/>
                <w:szCs w:val="16"/>
              </w:rPr>
            </w:pPr>
            <w:r w:rsidRPr="00D20BA6">
              <w:rPr>
                <w:rFonts w:ascii="Arial" w:hAnsi="Arial" w:cs="Arial"/>
                <w:sz w:val="16"/>
                <w:szCs w:val="16"/>
              </w:rPr>
              <w:t>8.1 – 40.5</w:t>
            </w:r>
          </w:p>
        </w:tc>
        <w:tc>
          <w:tcPr>
            <w:tcW w:w="1489" w:type="dxa"/>
            <w:tcBorders>
              <w:bottom w:val="double" w:sz="4" w:space="0" w:color="auto"/>
            </w:tcBorders>
            <w:vAlign w:val="center"/>
          </w:tcPr>
          <w:p w14:paraId="4BD2D9B5" w14:textId="05581043" w:rsidR="008B03B7" w:rsidRPr="00D20BA6" w:rsidRDefault="008B03B7" w:rsidP="00C0444A">
            <w:pPr>
              <w:spacing w:line="300" w:lineRule="atLeast"/>
              <w:jc w:val="center"/>
              <w:rPr>
                <w:rFonts w:ascii="Arial" w:hAnsi="Arial" w:cs="Arial"/>
                <w:sz w:val="16"/>
                <w:szCs w:val="16"/>
              </w:rPr>
            </w:pPr>
            <w:r w:rsidRPr="00D20BA6">
              <w:rPr>
                <w:rFonts w:ascii="Arial" w:hAnsi="Arial" w:cs="Arial"/>
                <w:sz w:val="16"/>
                <w:szCs w:val="16"/>
              </w:rPr>
              <w:t>7.7 – 38.5</w:t>
            </w:r>
          </w:p>
        </w:tc>
        <w:tc>
          <w:tcPr>
            <w:tcW w:w="1575" w:type="dxa"/>
            <w:tcBorders>
              <w:bottom w:val="double" w:sz="4" w:space="0" w:color="auto"/>
            </w:tcBorders>
            <w:vAlign w:val="center"/>
          </w:tcPr>
          <w:p w14:paraId="72F6C79F" w14:textId="70C3BC5C" w:rsidR="008B03B7" w:rsidRPr="00D20BA6" w:rsidRDefault="008B03B7" w:rsidP="00C0444A">
            <w:pPr>
              <w:spacing w:line="300" w:lineRule="atLeast"/>
              <w:jc w:val="center"/>
              <w:rPr>
                <w:rFonts w:ascii="Arial" w:hAnsi="Arial" w:cs="Arial"/>
                <w:sz w:val="16"/>
                <w:szCs w:val="16"/>
              </w:rPr>
            </w:pPr>
            <w:r w:rsidRPr="00D20BA6">
              <w:rPr>
                <w:rFonts w:ascii="Arial" w:hAnsi="Arial" w:cs="Arial"/>
                <w:sz w:val="16"/>
                <w:szCs w:val="16"/>
              </w:rPr>
              <w:t>0.4 – 2.0</w:t>
            </w:r>
          </w:p>
        </w:tc>
      </w:tr>
      <w:tr w:rsidR="00AC76F9" w:rsidRPr="00220A32" w14:paraId="3F816DA4" w14:textId="77777777" w:rsidTr="00880597">
        <w:tc>
          <w:tcPr>
            <w:tcW w:w="1876" w:type="dxa"/>
            <w:tcBorders>
              <w:bottom w:val="double" w:sz="4" w:space="0" w:color="auto"/>
            </w:tcBorders>
          </w:tcPr>
          <w:p w14:paraId="228A8B08" w14:textId="3058AD06" w:rsidR="00AC76F9" w:rsidRPr="00D20BA6" w:rsidRDefault="00AC76F9" w:rsidP="00355741">
            <w:pPr>
              <w:spacing w:line="300" w:lineRule="atLeast"/>
              <w:rPr>
                <w:rFonts w:ascii="Arial" w:hAnsi="Arial" w:cs="Arial"/>
                <w:sz w:val="16"/>
                <w:szCs w:val="16"/>
              </w:rPr>
            </w:pPr>
            <w:r w:rsidRPr="00D20BA6">
              <w:rPr>
                <w:rFonts w:ascii="Arial" w:hAnsi="Arial" w:cs="Arial"/>
                <w:sz w:val="16"/>
                <w:szCs w:val="16"/>
              </w:rPr>
              <w:t>Waikato Coal 202</w:t>
            </w:r>
            <w:r w:rsidR="009E1953" w:rsidRPr="00D20BA6">
              <w:rPr>
                <w:rFonts w:ascii="Arial" w:hAnsi="Arial" w:cs="Arial"/>
                <w:sz w:val="16"/>
                <w:szCs w:val="16"/>
              </w:rPr>
              <w:t>4</w:t>
            </w:r>
          </w:p>
        </w:tc>
        <w:tc>
          <w:tcPr>
            <w:tcW w:w="1250" w:type="dxa"/>
            <w:tcBorders>
              <w:bottom w:val="double" w:sz="4" w:space="0" w:color="auto"/>
            </w:tcBorders>
            <w:vAlign w:val="center"/>
          </w:tcPr>
          <w:p w14:paraId="38047F15" w14:textId="2BB36011" w:rsidR="00AC76F9" w:rsidRPr="00D20BA6" w:rsidRDefault="009055D4" w:rsidP="00C0444A">
            <w:pPr>
              <w:spacing w:line="300" w:lineRule="atLeast"/>
              <w:jc w:val="center"/>
              <w:rPr>
                <w:rFonts w:ascii="Arial" w:hAnsi="Arial" w:cs="Arial"/>
                <w:sz w:val="16"/>
                <w:szCs w:val="16"/>
              </w:rPr>
            </w:pPr>
            <w:r>
              <w:rPr>
                <w:rFonts w:ascii="Arial" w:hAnsi="Arial" w:cs="Arial"/>
                <w:sz w:val="16"/>
                <w:szCs w:val="16"/>
              </w:rPr>
              <w:t>-</w:t>
            </w:r>
          </w:p>
        </w:tc>
        <w:tc>
          <w:tcPr>
            <w:tcW w:w="1374" w:type="dxa"/>
            <w:tcBorders>
              <w:bottom w:val="double" w:sz="4" w:space="0" w:color="auto"/>
            </w:tcBorders>
            <w:vAlign w:val="center"/>
          </w:tcPr>
          <w:p w14:paraId="1F8C25EB" w14:textId="71B14AE3" w:rsidR="00AC76F9" w:rsidRPr="00D20BA6" w:rsidRDefault="008E5217" w:rsidP="00C0444A">
            <w:pPr>
              <w:spacing w:line="300" w:lineRule="atLeast"/>
              <w:jc w:val="center"/>
              <w:rPr>
                <w:rFonts w:ascii="Arial" w:hAnsi="Arial" w:cs="Arial"/>
                <w:sz w:val="16"/>
                <w:szCs w:val="16"/>
              </w:rPr>
            </w:pPr>
            <w:r>
              <w:rPr>
                <w:rFonts w:ascii="Arial" w:hAnsi="Arial" w:cs="Arial"/>
                <w:sz w:val="16"/>
                <w:szCs w:val="16"/>
              </w:rPr>
              <w:t>-</w:t>
            </w:r>
          </w:p>
        </w:tc>
        <w:tc>
          <w:tcPr>
            <w:tcW w:w="1497" w:type="dxa"/>
            <w:tcBorders>
              <w:bottom w:val="double" w:sz="4" w:space="0" w:color="auto"/>
            </w:tcBorders>
            <w:vAlign w:val="center"/>
          </w:tcPr>
          <w:p w14:paraId="5E976151" w14:textId="052B21FE" w:rsidR="00AC76F9" w:rsidRPr="00D20BA6" w:rsidRDefault="009055D4" w:rsidP="00CE2AE9">
            <w:pPr>
              <w:spacing w:line="300" w:lineRule="atLeast"/>
              <w:jc w:val="center"/>
              <w:rPr>
                <w:rFonts w:ascii="Arial" w:hAnsi="Arial" w:cs="Arial"/>
                <w:sz w:val="16"/>
                <w:szCs w:val="16"/>
              </w:rPr>
            </w:pPr>
            <w:r>
              <w:rPr>
                <w:rFonts w:ascii="Arial" w:hAnsi="Arial" w:cs="Arial"/>
                <w:sz w:val="16"/>
                <w:szCs w:val="16"/>
              </w:rPr>
              <w:t>-</w:t>
            </w:r>
          </w:p>
        </w:tc>
        <w:tc>
          <w:tcPr>
            <w:tcW w:w="1489" w:type="dxa"/>
            <w:tcBorders>
              <w:bottom w:val="double" w:sz="4" w:space="0" w:color="auto"/>
            </w:tcBorders>
            <w:vAlign w:val="center"/>
          </w:tcPr>
          <w:p w14:paraId="707D3C0F" w14:textId="7B099130" w:rsidR="00AC76F9" w:rsidRPr="00D20BA6" w:rsidRDefault="009055D4" w:rsidP="00C0444A">
            <w:pPr>
              <w:spacing w:line="300" w:lineRule="atLeast"/>
              <w:jc w:val="center"/>
              <w:rPr>
                <w:rFonts w:ascii="Arial" w:hAnsi="Arial" w:cs="Arial"/>
                <w:sz w:val="16"/>
                <w:szCs w:val="16"/>
              </w:rPr>
            </w:pPr>
            <w:r w:rsidRPr="00D20BA6">
              <w:rPr>
                <w:rFonts w:ascii="Arial" w:hAnsi="Arial" w:cs="Arial"/>
                <w:sz w:val="16"/>
                <w:szCs w:val="16"/>
              </w:rPr>
              <w:t>-</w:t>
            </w:r>
          </w:p>
        </w:tc>
        <w:tc>
          <w:tcPr>
            <w:tcW w:w="1575" w:type="dxa"/>
            <w:tcBorders>
              <w:bottom w:val="double" w:sz="4" w:space="0" w:color="auto"/>
            </w:tcBorders>
            <w:vAlign w:val="center"/>
          </w:tcPr>
          <w:p w14:paraId="0F761146" w14:textId="2D53C077" w:rsidR="00AC76F9" w:rsidRPr="00D20BA6" w:rsidRDefault="009055D4" w:rsidP="00C0444A">
            <w:pPr>
              <w:spacing w:line="300" w:lineRule="atLeast"/>
              <w:jc w:val="center"/>
              <w:rPr>
                <w:rFonts w:ascii="Arial" w:hAnsi="Arial" w:cs="Arial"/>
                <w:sz w:val="16"/>
                <w:szCs w:val="16"/>
              </w:rPr>
            </w:pPr>
            <w:r w:rsidRPr="00D20BA6">
              <w:rPr>
                <w:rFonts w:ascii="Arial" w:hAnsi="Arial" w:cs="Arial"/>
                <w:sz w:val="16"/>
                <w:szCs w:val="16"/>
              </w:rPr>
              <w:t>-</w:t>
            </w:r>
          </w:p>
        </w:tc>
      </w:tr>
      <w:tr w:rsidR="00964BDB" w:rsidRPr="00220A32" w14:paraId="55535838" w14:textId="77777777" w:rsidTr="00880597">
        <w:tc>
          <w:tcPr>
            <w:tcW w:w="1876" w:type="dxa"/>
            <w:tcBorders>
              <w:top w:val="double" w:sz="4" w:space="0" w:color="auto"/>
              <w:bottom w:val="single" w:sz="4" w:space="0" w:color="auto"/>
            </w:tcBorders>
          </w:tcPr>
          <w:p w14:paraId="639D9D95" w14:textId="6E6256CD" w:rsidR="00964BDB" w:rsidRPr="00D20BA6" w:rsidRDefault="00964BDB" w:rsidP="00355741">
            <w:pPr>
              <w:spacing w:line="300" w:lineRule="atLeast"/>
              <w:rPr>
                <w:rFonts w:ascii="Arial" w:hAnsi="Arial" w:cs="Arial"/>
                <w:sz w:val="16"/>
                <w:szCs w:val="16"/>
              </w:rPr>
            </w:pPr>
            <w:r w:rsidRPr="00D20BA6">
              <w:rPr>
                <w:rFonts w:ascii="Arial" w:hAnsi="Arial" w:cs="Arial"/>
                <w:sz w:val="16"/>
                <w:szCs w:val="16"/>
              </w:rPr>
              <w:t xml:space="preserve">South </w:t>
            </w:r>
            <w:r w:rsidR="00C0444A" w:rsidRPr="00D20BA6">
              <w:rPr>
                <w:rFonts w:ascii="Arial" w:hAnsi="Arial" w:cs="Arial"/>
                <w:sz w:val="16"/>
                <w:szCs w:val="16"/>
              </w:rPr>
              <w:t>Island C</w:t>
            </w:r>
            <w:r w:rsidRPr="00D20BA6">
              <w:rPr>
                <w:rFonts w:ascii="Arial" w:hAnsi="Arial" w:cs="Arial"/>
                <w:sz w:val="16"/>
                <w:szCs w:val="16"/>
              </w:rPr>
              <w:t>oal</w:t>
            </w:r>
            <w:r w:rsidR="00C0444A" w:rsidRPr="00D20BA6">
              <w:rPr>
                <w:rFonts w:ascii="Arial" w:hAnsi="Arial" w:cs="Arial"/>
                <w:sz w:val="16"/>
                <w:szCs w:val="16"/>
              </w:rPr>
              <w:t>, 2012</w:t>
            </w:r>
          </w:p>
        </w:tc>
        <w:tc>
          <w:tcPr>
            <w:tcW w:w="1250" w:type="dxa"/>
            <w:tcBorders>
              <w:top w:val="double" w:sz="4" w:space="0" w:color="auto"/>
              <w:bottom w:val="single" w:sz="4" w:space="0" w:color="auto"/>
            </w:tcBorders>
            <w:vAlign w:val="center"/>
          </w:tcPr>
          <w:p w14:paraId="30B341AF" w14:textId="77777777" w:rsidR="00964BDB" w:rsidRPr="00D20BA6" w:rsidRDefault="00500691" w:rsidP="00F0288A">
            <w:pPr>
              <w:spacing w:line="300" w:lineRule="atLeast"/>
              <w:jc w:val="center"/>
              <w:rPr>
                <w:rFonts w:ascii="Arial" w:hAnsi="Arial" w:cs="Arial"/>
                <w:sz w:val="16"/>
                <w:szCs w:val="16"/>
              </w:rPr>
            </w:pPr>
            <w:r w:rsidRPr="00D20BA6">
              <w:rPr>
                <w:rFonts w:ascii="Arial" w:hAnsi="Arial" w:cs="Arial"/>
                <w:sz w:val="16"/>
                <w:szCs w:val="16"/>
              </w:rPr>
              <w:t>5</w:t>
            </w:r>
            <w:r w:rsidR="00693D71" w:rsidRPr="00D20BA6">
              <w:rPr>
                <w:rFonts w:ascii="Arial" w:hAnsi="Arial" w:cs="Arial"/>
                <w:sz w:val="16"/>
                <w:szCs w:val="16"/>
              </w:rPr>
              <w:t>0</w:t>
            </w:r>
            <w:r w:rsidRPr="00D20BA6">
              <w:rPr>
                <w:rFonts w:ascii="Arial" w:hAnsi="Arial" w:cs="Arial"/>
                <w:sz w:val="16"/>
                <w:szCs w:val="16"/>
              </w:rPr>
              <w:t>5,000</w:t>
            </w:r>
          </w:p>
        </w:tc>
        <w:tc>
          <w:tcPr>
            <w:tcW w:w="1374" w:type="dxa"/>
            <w:tcBorders>
              <w:top w:val="double" w:sz="4" w:space="0" w:color="auto"/>
              <w:bottom w:val="single" w:sz="4" w:space="0" w:color="auto"/>
            </w:tcBorders>
            <w:vAlign w:val="center"/>
          </w:tcPr>
          <w:p w14:paraId="67EBA745" w14:textId="77777777" w:rsidR="00964BDB" w:rsidRPr="00D20BA6" w:rsidRDefault="00500691" w:rsidP="00693D71">
            <w:pPr>
              <w:spacing w:line="300" w:lineRule="atLeast"/>
              <w:jc w:val="center"/>
              <w:rPr>
                <w:rFonts w:ascii="Arial" w:hAnsi="Arial" w:cs="Arial"/>
                <w:sz w:val="16"/>
                <w:szCs w:val="16"/>
              </w:rPr>
            </w:pPr>
            <w:r w:rsidRPr="00D20BA6">
              <w:rPr>
                <w:rFonts w:ascii="Arial" w:hAnsi="Arial" w:cs="Arial"/>
                <w:sz w:val="16"/>
                <w:szCs w:val="16"/>
              </w:rPr>
              <w:t>0.0</w:t>
            </w:r>
            <w:r w:rsidR="00693D71" w:rsidRPr="00D20BA6">
              <w:rPr>
                <w:rFonts w:ascii="Arial" w:hAnsi="Arial" w:cs="Arial"/>
                <w:sz w:val="16"/>
                <w:szCs w:val="16"/>
              </w:rPr>
              <w:t>3</w:t>
            </w:r>
            <w:r w:rsidRPr="00D20BA6">
              <w:rPr>
                <w:rFonts w:ascii="Arial" w:hAnsi="Arial" w:cs="Arial"/>
                <w:sz w:val="16"/>
                <w:szCs w:val="16"/>
              </w:rPr>
              <w:t xml:space="preserve"> – 0.10</w:t>
            </w:r>
          </w:p>
        </w:tc>
        <w:tc>
          <w:tcPr>
            <w:tcW w:w="1497" w:type="dxa"/>
            <w:tcBorders>
              <w:top w:val="double" w:sz="4" w:space="0" w:color="auto"/>
              <w:bottom w:val="single" w:sz="4" w:space="0" w:color="auto"/>
            </w:tcBorders>
            <w:vAlign w:val="center"/>
          </w:tcPr>
          <w:p w14:paraId="567CF3F5" w14:textId="7AE937A3" w:rsidR="00964BDB" w:rsidRPr="00D20BA6" w:rsidRDefault="00CE2AE9" w:rsidP="00F0288A">
            <w:pPr>
              <w:spacing w:line="300" w:lineRule="atLeast"/>
              <w:jc w:val="center"/>
              <w:rPr>
                <w:rFonts w:ascii="Arial" w:hAnsi="Arial" w:cs="Arial"/>
                <w:sz w:val="16"/>
                <w:szCs w:val="16"/>
              </w:rPr>
            </w:pPr>
            <w:r w:rsidRPr="00D20BA6">
              <w:rPr>
                <w:rFonts w:ascii="Arial" w:hAnsi="Arial" w:cs="Arial"/>
                <w:sz w:val="16"/>
                <w:szCs w:val="16"/>
              </w:rPr>
              <w:t>15.2</w:t>
            </w:r>
            <w:r w:rsidR="00E95C70" w:rsidRPr="00D20BA6">
              <w:rPr>
                <w:rFonts w:ascii="Arial" w:hAnsi="Arial" w:cs="Arial"/>
                <w:sz w:val="16"/>
                <w:szCs w:val="16"/>
              </w:rPr>
              <w:t xml:space="preserve"> – 50.5</w:t>
            </w:r>
          </w:p>
        </w:tc>
        <w:tc>
          <w:tcPr>
            <w:tcW w:w="1489" w:type="dxa"/>
            <w:tcBorders>
              <w:top w:val="double" w:sz="4" w:space="0" w:color="auto"/>
              <w:bottom w:val="single" w:sz="4" w:space="0" w:color="auto"/>
            </w:tcBorders>
            <w:vAlign w:val="center"/>
          </w:tcPr>
          <w:p w14:paraId="12A7DB71" w14:textId="77777777" w:rsidR="00964BDB" w:rsidRPr="00D20BA6" w:rsidRDefault="003120FE" w:rsidP="003120FE">
            <w:pPr>
              <w:spacing w:line="300" w:lineRule="atLeast"/>
              <w:jc w:val="center"/>
              <w:rPr>
                <w:rFonts w:ascii="Arial" w:hAnsi="Arial" w:cs="Arial"/>
                <w:sz w:val="16"/>
                <w:szCs w:val="16"/>
              </w:rPr>
            </w:pPr>
            <w:r w:rsidRPr="00D20BA6">
              <w:rPr>
                <w:rFonts w:ascii="Arial" w:hAnsi="Arial" w:cs="Arial"/>
                <w:sz w:val="16"/>
                <w:szCs w:val="16"/>
              </w:rPr>
              <w:t>14.</w:t>
            </w:r>
            <w:r w:rsidR="00E95C70" w:rsidRPr="00D20BA6">
              <w:rPr>
                <w:rFonts w:ascii="Arial" w:hAnsi="Arial" w:cs="Arial"/>
                <w:sz w:val="16"/>
                <w:szCs w:val="16"/>
              </w:rPr>
              <w:t>4 – 4</w:t>
            </w:r>
            <w:r w:rsidRPr="00D20BA6">
              <w:rPr>
                <w:rFonts w:ascii="Arial" w:hAnsi="Arial" w:cs="Arial"/>
                <w:sz w:val="16"/>
                <w:szCs w:val="16"/>
              </w:rPr>
              <w:t>8</w:t>
            </w:r>
            <w:r w:rsidR="00E95C70" w:rsidRPr="00D20BA6">
              <w:rPr>
                <w:rFonts w:ascii="Arial" w:hAnsi="Arial" w:cs="Arial"/>
                <w:sz w:val="16"/>
                <w:szCs w:val="16"/>
              </w:rPr>
              <w:t>.</w:t>
            </w:r>
            <w:r w:rsidRPr="00D20BA6">
              <w:rPr>
                <w:rFonts w:ascii="Arial" w:hAnsi="Arial" w:cs="Arial"/>
                <w:sz w:val="16"/>
                <w:szCs w:val="16"/>
              </w:rPr>
              <w:t>0</w:t>
            </w:r>
          </w:p>
        </w:tc>
        <w:tc>
          <w:tcPr>
            <w:tcW w:w="1575" w:type="dxa"/>
            <w:tcBorders>
              <w:top w:val="double" w:sz="4" w:space="0" w:color="auto"/>
              <w:bottom w:val="single" w:sz="4" w:space="0" w:color="auto"/>
            </w:tcBorders>
            <w:vAlign w:val="center"/>
          </w:tcPr>
          <w:p w14:paraId="4C9A44EF" w14:textId="61CE355A" w:rsidR="00964BDB" w:rsidRPr="00D20BA6" w:rsidRDefault="00CE2AE9" w:rsidP="00F0288A">
            <w:pPr>
              <w:spacing w:line="300" w:lineRule="atLeast"/>
              <w:jc w:val="center"/>
              <w:rPr>
                <w:rFonts w:ascii="Arial" w:hAnsi="Arial" w:cs="Arial"/>
                <w:sz w:val="16"/>
                <w:szCs w:val="16"/>
              </w:rPr>
            </w:pPr>
            <w:r w:rsidRPr="00D20BA6">
              <w:rPr>
                <w:rFonts w:ascii="Arial" w:hAnsi="Arial" w:cs="Arial"/>
                <w:sz w:val="16"/>
                <w:szCs w:val="16"/>
              </w:rPr>
              <w:t>0.8</w:t>
            </w:r>
            <w:r w:rsidR="003120FE" w:rsidRPr="00D20BA6">
              <w:rPr>
                <w:rFonts w:ascii="Arial" w:hAnsi="Arial" w:cs="Arial"/>
                <w:sz w:val="16"/>
                <w:szCs w:val="16"/>
              </w:rPr>
              <w:t xml:space="preserve"> – 2.</w:t>
            </w:r>
            <w:r w:rsidR="00E95C70" w:rsidRPr="00D20BA6">
              <w:rPr>
                <w:rFonts w:ascii="Arial" w:hAnsi="Arial" w:cs="Arial"/>
                <w:sz w:val="16"/>
                <w:szCs w:val="16"/>
              </w:rPr>
              <w:t>5</w:t>
            </w:r>
          </w:p>
        </w:tc>
      </w:tr>
      <w:tr w:rsidR="00C0444A" w:rsidRPr="00220A32" w14:paraId="59FB3CF3" w14:textId="77777777" w:rsidTr="00880597">
        <w:tc>
          <w:tcPr>
            <w:tcW w:w="1876" w:type="dxa"/>
            <w:tcBorders>
              <w:bottom w:val="double" w:sz="4" w:space="0" w:color="auto"/>
            </w:tcBorders>
          </w:tcPr>
          <w:p w14:paraId="69E50F6A" w14:textId="4DA8FA59" w:rsidR="00C0444A" w:rsidRPr="00D20BA6" w:rsidRDefault="00C0444A" w:rsidP="00355741">
            <w:pPr>
              <w:spacing w:line="300" w:lineRule="atLeast"/>
              <w:rPr>
                <w:rFonts w:ascii="Arial" w:hAnsi="Arial" w:cs="Arial"/>
                <w:sz w:val="16"/>
                <w:szCs w:val="16"/>
              </w:rPr>
            </w:pPr>
            <w:r w:rsidRPr="00D20BA6">
              <w:rPr>
                <w:rFonts w:ascii="Arial" w:hAnsi="Arial" w:cs="Arial"/>
                <w:sz w:val="16"/>
                <w:szCs w:val="16"/>
              </w:rPr>
              <w:t>South Island Coal, 2016</w:t>
            </w:r>
          </w:p>
        </w:tc>
        <w:tc>
          <w:tcPr>
            <w:tcW w:w="1250" w:type="dxa"/>
            <w:tcBorders>
              <w:bottom w:val="double" w:sz="4" w:space="0" w:color="auto"/>
            </w:tcBorders>
            <w:vAlign w:val="center"/>
          </w:tcPr>
          <w:p w14:paraId="138D43BB" w14:textId="61FFB78B" w:rsidR="00C0444A" w:rsidRPr="00D20BA6" w:rsidRDefault="00C0444A" w:rsidP="00C0444A">
            <w:pPr>
              <w:spacing w:line="300" w:lineRule="atLeast"/>
              <w:jc w:val="center"/>
              <w:rPr>
                <w:rFonts w:ascii="Arial" w:hAnsi="Arial" w:cs="Arial"/>
                <w:sz w:val="16"/>
                <w:szCs w:val="16"/>
              </w:rPr>
            </w:pPr>
            <w:r w:rsidRPr="00D20BA6">
              <w:rPr>
                <w:rFonts w:ascii="Arial" w:hAnsi="Arial" w:cs="Arial"/>
                <w:sz w:val="16"/>
                <w:szCs w:val="16"/>
              </w:rPr>
              <w:t>640,000</w:t>
            </w:r>
          </w:p>
        </w:tc>
        <w:tc>
          <w:tcPr>
            <w:tcW w:w="1374" w:type="dxa"/>
            <w:tcBorders>
              <w:bottom w:val="double" w:sz="4" w:space="0" w:color="auto"/>
            </w:tcBorders>
            <w:vAlign w:val="center"/>
          </w:tcPr>
          <w:p w14:paraId="2D6C17D4" w14:textId="2A312D62" w:rsidR="00C0444A" w:rsidRPr="00D20BA6" w:rsidRDefault="00C0444A" w:rsidP="00C0444A">
            <w:pPr>
              <w:spacing w:line="300" w:lineRule="atLeast"/>
              <w:jc w:val="center"/>
              <w:rPr>
                <w:rFonts w:ascii="Arial" w:hAnsi="Arial" w:cs="Arial"/>
                <w:sz w:val="16"/>
                <w:szCs w:val="16"/>
              </w:rPr>
            </w:pPr>
            <w:r w:rsidRPr="00D20BA6">
              <w:rPr>
                <w:rFonts w:ascii="Arial" w:hAnsi="Arial" w:cs="Arial"/>
                <w:sz w:val="16"/>
                <w:szCs w:val="16"/>
              </w:rPr>
              <w:t>0.03 – 0.10</w:t>
            </w:r>
          </w:p>
        </w:tc>
        <w:tc>
          <w:tcPr>
            <w:tcW w:w="1497" w:type="dxa"/>
            <w:tcBorders>
              <w:bottom w:val="double" w:sz="4" w:space="0" w:color="auto"/>
            </w:tcBorders>
            <w:vAlign w:val="center"/>
          </w:tcPr>
          <w:p w14:paraId="26DAF104" w14:textId="3BA6D2EE" w:rsidR="00C0444A" w:rsidRPr="00D20BA6" w:rsidRDefault="00C0444A" w:rsidP="00C0444A">
            <w:pPr>
              <w:spacing w:line="300" w:lineRule="atLeast"/>
              <w:jc w:val="center"/>
              <w:rPr>
                <w:rFonts w:ascii="Arial" w:hAnsi="Arial" w:cs="Arial"/>
                <w:sz w:val="16"/>
                <w:szCs w:val="16"/>
              </w:rPr>
            </w:pPr>
            <w:r w:rsidRPr="00D20BA6">
              <w:rPr>
                <w:rFonts w:ascii="Arial" w:hAnsi="Arial" w:cs="Arial"/>
                <w:sz w:val="16"/>
                <w:szCs w:val="16"/>
              </w:rPr>
              <w:t>19.2 - 64</w:t>
            </w:r>
          </w:p>
        </w:tc>
        <w:tc>
          <w:tcPr>
            <w:tcW w:w="1489" w:type="dxa"/>
            <w:tcBorders>
              <w:bottom w:val="double" w:sz="4" w:space="0" w:color="auto"/>
            </w:tcBorders>
            <w:vAlign w:val="center"/>
          </w:tcPr>
          <w:p w14:paraId="385CE77E" w14:textId="09F6D57F" w:rsidR="00C0444A" w:rsidRPr="00D20BA6" w:rsidRDefault="00C0444A" w:rsidP="00C0444A">
            <w:pPr>
              <w:spacing w:line="300" w:lineRule="atLeast"/>
              <w:jc w:val="center"/>
              <w:rPr>
                <w:rFonts w:ascii="Arial" w:hAnsi="Arial" w:cs="Arial"/>
                <w:sz w:val="16"/>
                <w:szCs w:val="16"/>
              </w:rPr>
            </w:pPr>
            <w:r w:rsidRPr="00D20BA6">
              <w:rPr>
                <w:rFonts w:ascii="Arial" w:hAnsi="Arial" w:cs="Arial"/>
                <w:sz w:val="16"/>
                <w:szCs w:val="16"/>
              </w:rPr>
              <w:t>18.2 – 60.8</w:t>
            </w:r>
          </w:p>
        </w:tc>
        <w:tc>
          <w:tcPr>
            <w:tcW w:w="1575" w:type="dxa"/>
            <w:tcBorders>
              <w:bottom w:val="double" w:sz="4" w:space="0" w:color="auto"/>
            </w:tcBorders>
            <w:vAlign w:val="center"/>
          </w:tcPr>
          <w:p w14:paraId="5F2999B9" w14:textId="0031DDFC" w:rsidR="00C0444A" w:rsidRPr="00D20BA6" w:rsidRDefault="00CE2AE9" w:rsidP="00C0444A">
            <w:pPr>
              <w:spacing w:line="300" w:lineRule="atLeast"/>
              <w:jc w:val="center"/>
              <w:rPr>
                <w:rFonts w:ascii="Arial" w:hAnsi="Arial" w:cs="Arial"/>
                <w:sz w:val="16"/>
                <w:szCs w:val="16"/>
              </w:rPr>
            </w:pPr>
            <w:r w:rsidRPr="00D20BA6">
              <w:rPr>
                <w:rFonts w:ascii="Arial" w:hAnsi="Arial" w:cs="Arial"/>
                <w:sz w:val="16"/>
                <w:szCs w:val="16"/>
              </w:rPr>
              <w:t>1.0</w:t>
            </w:r>
            <w:r w:rsidR="00C0444A" w:rsidRPr="00D20BA6">
              <w:rPr>
                <w:rFonts w:ascii="Arial" w:hAnsi="Arial" w:cs="Arial"/>
                <w:sz w:val="16"/>
                <w:szCs w:val="16"/>
              </w:rPr>
              <w:t xml:space="preserve"> – 3.2</w:t>
            </w:r>
          </w:p>
        </w:tc>
      </w:tr>
      <w:tr w:rsidR="00DE6E9E" w:rsidRPr="00220A32" w14:paraId="0D4C70FE" w14:textId="77777777" w:rsidTr="00880597">
        <w:tc>
          <w:tcPr>
            <w:tcW w:w="1876" w:type="dxa"/>
            <w:tcBorders>
              <w:bottom w:val="double" w:sz="4" w:space="0" w:color="auto"/>
            </w:tcBorders>
          </w:tcPr>
          <w:p w14:paraId="3B653467" w14:textId="30C703DB" w:rsidR="008B03B7" w:rsidRPr="00D20BA6" w:rsidRDefault="008B03B7" w:rsidP="00355741">
            <w:pPr>
              <w:spacing w:line="300" w:lineRule="atLeast"/>
              <w:rPr>
                <w:rFonts w:ascii="Arial" w:hAnsi="Arial" w:cs="Arial"/>
                <w:sz w:val="16"/>
                <w:szCs w:val="16"/>
              </w:rPr>
            </w:pPr>
            <w:r w:rsidRPr="00D20BA6">
              <w:rPr>
                <w:rFonts w:ascii="Arial" w:hAnsi="Arial" w:cs="Arial"/>
                <w:sz w:val="16"/>
                <w:szCs w:val="16"/>
              </w:rPr>
              <w:t>South Island Coal, 2020</w:t>
            </w:r>
          </w:p>
        </w:tc>
        <w:tc>
          <w:tcPr>
            <w:tcW w:w="1250" w:type="dxa"/>
            <w:tcBorders>
              <w:bottom w:val="double" w:sz="4" w:space="0" w:color="auto"/>
            </w:tcBorders>
            <w:vAlign w:val="center"/>
          </w:tcPr>
          <w:p w14:paraId="349816EE" w14:textId="1764A493" w:rsidR="008B03B7" w:rsidRPr="00D20BA6" w:rsidRDefault="008B03B7" w:rsidP="00C0444A">
            <w:pPr>
              <w:spacing w:line="300" w:lineRule="atLeast"/>
              <w:jc w:val="center"/>
              <w:rPr>
                <w:rFonts w:ascii="Arial" w:hAnsi="Arial" w:cs="Arial"/>
                <w:sz w:val="16"/>
                <w:szCs w:val="16"/>
              </w:rPr>
            </w:pPr>
            <w:r w:rsidRPr="00D20BA6">
              <w:rPr>
                <w:rFonts w:ascii="Arial" w:hAnsi="Arial" w:cs="Arial"/>
                <w:sz w:val="16"/>
                <w:szCs w:val="16"/>
              </w:rPr>
              <w:t>470,631</w:t>
            </w:r>
          </w:p>
        </w:tc>
        <w:tc>
          <w:tcPr>
            <w:tcW w:w="1374" w:type="dxa"/>
            <w:tcBorders>
              <w:bottom w:val="double" w:sz="4" w:space="0" w:color="auto"/>
            </w:tcBorders>
            <w:vAlign w:val="center"/>
          </w:tcPr>
          <w:p w14:paraId="49B47530" w14:textId="4460DAFF" w:rsidR="008B03B7" w:rsidRPr="00D20BA6" w:rsidRDefault="008B03B7" w:rsidP="00C0444A">
            <w:pPr>
              <w:spacing w:line="300" w:lineRule="atLeast"/>
              <w:jc w:val="center"/>
              <w:rPr>
                <w:rFonts w:ascii="Arial" w:hAnsi="Arial" w:cs="Arial"/>
                <w:sz w:val="16"/>
                <w:szCs w:val="16"/>
              </w:rPr>
            </w:pPr>
            <w:r w:rsidRPr="00D20BA6">
              <w:rPr>
                <w:rFonts w:ascii="Arial" w:hAnsi="Arial" w:cs="Arial"/>
                <w:sz w:val="16"/>
                <w:szCs w:val="16"/>
              </w:rPr>
              <w:t>0.03 – 0.10</w:t>
            </w:r>
          </w:p>
        </w:tc>
        <w:tc>
          <w:tcPr>
            <w:tcW w:w="1497" w:type="dxa"/>
            <w:tcBorders>
              <w:bottom w:val="double" w:sz="4" w:space="0" w:color="auto"/>
            </w:tcBorders>
            <w:vAlign w:val="center"/>
          </w:tcPr>
          <w:p w14:paraId="2B008C47" w14:textId="239A41FB" w:rsidR="008B03B7" w:rsidRPr="00D20BA6" w:rsidRDefault="008B03B7" w:rsidP="00C0444A">
            <w:pPr>
              <w:spacing w:line="300" w:lineRule="atLeast"/>
              <w:jc w:val="center"/>
              <w:rPr>
                <w:rFonts w:ascii="Arial" w:hAnsi="Arial" w:cs="Arial"/>
                <w:sz w:val="16"/>
                <w:szCs w:val="16"/>
              </w:rPr>
            </w:pPr>
            <w:r w:rsidRPr="00D20BA6">
              <w:rPr>
                <w:rFonts w:ascii="Arial" w:hAnsi="Arial" w:cs="Arial"/>
                <w:sz w:val="16"/>
                <w:szCs w:val="16"/>
              </w:rPr>
              <w:t>14.1 – 47.0</w:t>
            </w:r>
          </w:p>
        </w:tc>
        <w:tc>
          <w:tcPr>
            <w:tcW w:w="1489" w:type="dxa"/>
            <w:tcBorders>
              <w:bottom w:val="double" w:sz="4" w:space="0" w:color="auto"/>
            </w:tcBorders>
            <w:vAlign w:val="center"/>
          </w:tcPr>
          <w:p w14:paraId="4F125177" w14:textId="4EEC96AB" w:rsidR="008B03B7" w:rsidRPr="00D20BA6" w:rsidRDefault="008B03B7" w:rsidP="00C0444A">
            <w:pPr>
              <w:spacing w:line="300" w:lineRule="atLeast"/>
              <w:jc w:val="center"/>
              <w:rPr>
                <w:rFonts w:ascii="Arial" w:hAnsi="Arial" w:cs="Arial"/>
                <w:sz w:val="16"/>
                <w:szCs w:val="16"/>
              </w:rPr>
            </w:pPr>
            <w:r w:rsidRPr="00D20BA6">
              <w:rPr>
                <w:rFonts w:ascii="Arial" w:hAnsi="Arial" w:cs="Arial"/>
                <w:sz w:val="16"/>
                <w:szCs w:val="16"/>
              </w:rPr>
              <w:t>13.4 – 44.7</w:t>
            </w:r>
          </w:p>
        </w:tc>
        <w:tc>
          <w:tcPr>
            <w:tcW w:w="1575" w:type="dxa"/>
            <w:tcBorders>
              <w:bottom w:val="double" w:sz="4" w:space="0" w:color="auto"/>
            </w:tcBorders>
            <w:vAlign w:val="center"/>
          </w:tcPr>
          <w:p w14:paraId="0CCC1BA0" w14:textId="57141CAA" w:rsidR="008B03B7" w:rsidRPr="00D20BA6" w:rsidRDefault="008B03B7" w:rsidP="00C0444A">
            <w:pPr>
              <w:spacing w:line="300" w:lineRule="atLeast"/>
              <w:jc w:val="center"/>
              <w:rPr>
                <w:rFonts w:ascii="Arial" w:hAnsi="Arial" w:cs="Arial"/>
                <w:sz w:val="16"/>
                <w:szCs w:val="16"/>
              </w:rPr>
            </w:pPr>
            <w:r w:rsidRPr="00D20BA6">
              <w:rPr>
                <w:rFonts w:ascii="Arial" w:hAnsi="Arial" w:cs="Arial"/>
                <w:sz w:val="16"/>
                <w:szCs w:val="16"/>
              </w:rPr>
              <w:t>0.7 – 2.4</w:t>
            </w:r>
          </w:p>
        </w:tc>
      </w:tr>
      <w:tr w:rsidR="00AC76F9" w:rsidRPr="00220A32" w14:paraId="4AE55C61" w14:textId="77777777" w:rsidTr="00880597">
        <w:tc>
          <w:tcPr>
            <w:tcW w:w="1876" w:type="dxa"/>
            <w:tcBorders>
              <w:bottom w:val="double" w:sz="4" w:space="0" w:color="auto"/>
            </w:tcBorders>
          </w:tcPr>
          <w:p w14:paraId="259FAE84" w14:textId="179DFB45" w:rsidR="00AC76F9" w:rsidRPr="00D20BA6" w:rsidRDefault="00AC76F9" w:rsidP="00355741">
            <w:pPr>
              <w:spacing w:line="300" w:lineRule="atLeast"/>
              <w:rPr>
                <w:rFonts w:ascii="Arial" w:hAnsi="Arial" w:cs="Arial"/>
                <w:sz w:val="16"/>
                <w:szCs w:val="16"/>
              </w:rPr>
            </w:pPr>
            <w:r w:rsidRPr="00D20BA6">
              <w:rPr>
                <w:rFonts w:ascii="Arial" w:hAnsi="Arial" w:cs="Arial"/>
                <w:sz w:val="16"/>
                <w:szCs w:val="16"/>
              </w:rPr>
              <w:t>South Island Coal, 2024</w:t>
            </w:r>
          </w:p>
        </w:tc>
        <w:tc>
          <w:tcPr>
            <w:tcW w:w="1250" w:type="dxa"/>
            <w:tcBorders>
              <w:bottom w:val="double" w:sz="4" w:space="0" w:color="auto"/>
            </w:tcBorders>
            <w:vAlign w:val="center"/>
          </w:tcPr>
          <w:p w14:paraId="79F6C103" w14:textId="6DDF0EE5" w:rsidR="00AC76F9" w:rsidRPr="00D20BA6" w:rsidRDefault="008E5217" w:rsidP="00C0444A">
            <w:pPr>
              <w:spacing w:line="300" w:lineRule="atLeast"/>
              <w:jc w:val="center"/>
              <w:rPr>
                <w:rFonts w:ascii="Arial" w:hAnsi="Arial" w:cs="Arial"/>
                <w:sz w:val="16"/>
                <w:szCs w:val="16"/>
              </w:rPr>
            </w:pPr>
            <w:r>
              <w:rPr>
                <w:rFonts w:ascii="Arial" w:hAnsi="Arial" w:cs="Arial"/>
                <w:sz w:val="16"/>
                <w:szCs w:val="16"/>
              </w:rPr>
              <w:t>515,818</w:t>
            </w:r>
          </w:p>
        </w:tc>
        <w:tc>
          <w:tcPr>
            <w:tcW w:w="1374" w:type="dxa"/>
            <w:tcBorders>
              <w:bottom w:val="double" w:sz="4" w:space="0" w:color="auto"/>
            </w:tcBorders>
            <w:vAlign w:val="center"/>
          </w:tcPr>
          <w:p w14:paraId="0A577FBD" w14:textId="1CD50937" w:rsidR="00AC76F9" w:rsidRPr="00D20BA6" w:rsidRDefault="009E1953" w:rsidP="00C0444A">
            <w:pPr>
              <w:spacing w:line="300" w:lineRule="atLeast"/>
              <w:jc w:val="center"/>
              <w:rPr>
                <w:rFonts w:ascii="Arial" w:hAnsi="Arial" w:cs="Arial"/>
                <w:sz w:val="16"/>
                <w:szCs w:val="16"/>
              </w:rPr>
            </w:pPr>
            <w:r w:rsidRPr="00D20BA6">
              <w:rPr>
                <w:rFonts w:ascii="Arial" w:hAnsi="Arial" w:cs="Arial"/>
                <w:sz w:val="16"/>
                <w:szCs w:val="16"/>
              </w:rPr>
              <w:t>0.03 – 0.10</w:t>
            </w:r>
          </w:p>
        </w:tc>
        <w:tc>
          <w:tcPr>
            <w:tcW w:w="1497" w:type="dxa"/>
            <w:tcBorders>
              <w:bottom w:val="double" w:sz="4" w:space="0" w:color="auto"/>
            </w:tcBorders>
            <w:vAlign w:val="center"/>
          </w:tcPr>
          <w:p w14:paraId="59CC1B7F" w14:textId="29170DB7" w:rsidR="00AC76F9" w:rsidRPr="00D20BA6" w:rsidRDefault="008E5217" w:rsidP="00C0444A">
            <w:pPr>
              <w:spacing w:line="300" w:lineRule="atLeast"/>
              <w:jc w:val="center"/>
              <w:rPr>
                <w:rFonts w:ascii="Arial" w:hAnsi="Arial" w:cs="Arial"/>
                <w:sz w:val="16"/>
                <w:szCs w:val="16"/>
              </w:rPr>
            </w:pPr>
            <w:r>
              <w:rPr>
                <w:rFonts w:ascii="Arial" w:hAnsi="Arial" w:cs="Arial"/>
                <w:sz w:val="16"/>
                <w:szCs w:val="16"/>
              </w:rPr>
              <w:t>15.</w:t>
            </w:r>
            <w:r w:rsidR="00B42738">
              <w:rPr>
                <w:rFonts w:ascii="Arial" w:hAnsi="Arial" w:cs="Arial"/>
                <w:sz w:val="16"/>
                <w:szCs w:val="16"/>
              </w:rPr>
              <w:t>5</w:t>
            </w:r>
            <w:r>
              <w:rPr>
                <w:rFonts w:ascii="Arial" w:hAnsi="Arial" w:cs="Arial"/>
                <w:sz w:val="16"/>
                <w:szCs w:val="16"/>
              </w:rPr>
              <w:t xml:space="preserve"> – 51.</w:t>
            </w:r>
            <w:r w:rsidR="00B42738">
              <w:rPr>
                <w:rFonts w:ascii="Arial" w:hAnsi="Arial" w:cs="Arial"/>
                <w:sz w:val="16"/>
                <w:szCs w:val="16"/>
              </w:rPr>
              <w:t>6</w:t>
            </w:r>
          </w:p>
        </w:tc>
        <w:tc>
          <w:tcPr>
            <w:tcW w:w="1489" w:type="dxa"/>
            <w:tcBorders>
              <w:bottom w:val="double" w:sz="4" w:space="0" w:color="auto"/>
            </w:tcBorders>
            <w:vAlign w:val="center"/>
          </w:tcPr>
          <w:p w14:paraId="0647CCEE" w14:textId="262EA52F" w:rsidR="00AC76F9" w:rsidRPr="00D20BA6" w:rsidRDefault="00431A53" w:rsidP="00C0444A">
            <w:pPr>
              <w:spacing w:line="300" w:lineRule="atLeast"/>
              <w:jc w:val="center"/>
              <w:rPr>
                <w:rFonts w:ascii="Arial" w:hAnsi="Arial" w:cs="Arial"/>
                <w:sz w:val="16"/>
                <w:szCs w:val="16"/>
              </w:rPr>
            </w:pPr>
            <w:r>
              <w:rPr>
                <w:rFonts w:ascii="Arial" w:hAnsi="Arial" w:cs="Arial"/>
                <w:sz w:val="16"/>
                <w:szCs w:val="16"/>
              </w:rPr>
              <w:t>14.</w:t>
            </w:r>
            <w:r w:rsidR="00B42738">
              <w:rPr>
                <w:rFonts w:ascii="Arial" w:hAnsi="Arial" w:cs="Arial"/>
                <w:sz w:val="16"/>
                <w:szCs w:val="16"/>
              </w:rPr>
              <w:t>7</w:t>
            </w:r>
            <w:r w:rsidR="009055D4" w:rsidRPr="00D20BA6">
              <w:rPr>
                <w:rFonts w:ascii="Arial" w:hAnsi="Arial" w:cs="Arial"/>
                <w:sz w:val="16"/>
                <w:szCs w:val="16"/>
              </w:rPr>
              <w:t xml:space="preserve"> – 4</w:t>
            </w:r>
            <w:r>
              <w:rPr>
                <w:rFonts w:ascii="Arial" w:hAnsi="Arial" w:cs="Arial"/>
                <w:sz w:val="16"/>
                <w:szCs w:val="16"/>
              </w:rPr>
              <w:t>9.0</w:t>
            </w:r>
          </w:p>
        </w:tc>
        <w:tc>
          <w:tcPr>
            <w:tcW w:w="1575" w:type="dxa"/>
            <w:tcBorders>
              <w:bottom w:val="double" w:sz="4" w:space="0" w:color="auto"/>
            </w:tcBorders>
            <w:vAlign w:val="center"/>
          </w:tcPr>
          <w:p w14:paraId="0B8D6842" w14:textId="68B57A91" w:rsidR="00AC76F9" w:rsidRPr="00D20BA6" w:rsidRDefault="004A03DA" w:rsidP="00C0444A">
            <w:pPr>
              <w:spacing w:line="300" w:lineRule="atLeast"/>
              <w:jc w:val="center"/>
              <w:rPr>
                <w:rFonts w:ascii="Arial" w:hAnsi="Arial" w:cs="Arial"/>
                <w:sz w:val="16"/>
                <w:szCs w:val="16"/>
              </w:rPr>
            </w:pPr>
            <w:r w:rsidRPr="00D20BA6">
              <w:rPr>
                <w:rFonts w:ascii="Arial" w:hAnsi="Arial" w:cs="Arial"/>
                <w:sz w:val="16"/>
                <w:szCs w:val="16"/>
              </w:rPr>
              <w:t>0.7</w:t>
            </w:r>
            <w:r w:rsidR="00431A53">
              <w:rPr>
                <w:rFonts w:ascii="Arial" w:hAnsi="Arial" w:cs="Arial"/>
                <w:sz w:val="16"/>
                <w:szCs w:val="16"/>
              </w:rPr>
              <w:t>7</w:t>
            </w:r>
            <w:r w:rsidRPr="00D20BA6">
              <w:rPr>
                <w:rFonts w:ascii="Arial" w:hAnsi="Arial" w:cs="Arial"/>
                <w:sz w:val="16"/>
                <w:szCs w:val="16"/>
              </w:rPr>
              <w:t>– 2.</w:t>
            </w:r>
            <w:r w:rsidR="00431A53">
              <w:rPr>
                <w:rFonts w:ascii="Arial" w:hAnsi="Arial" w:cs="Arial"/>
                <w:sz w:val="16"/>
                <w:szCs w:val="16"/>
              </w:rPr>
              <w:t>58</w:t>
            </w:r>
          </w:p>
        </w:tc>
      </w:tr>
      <w:tr w:rsidR="00964BDB" w:rsidRPr="00220A32" w14:paraId="725A2755" w14:textId="77777777" w:rsidTr="00880597">
        <w:tc>
          <w:tcPr>
            <w:tcW w:w="1876" w:type="dxa"/>
            <w:tcBorders>
              <w:top w:val="double" w:sz="4" w:space="0" w:color="auto"/>
              <w:bottom w:val="single" w:sz="4" w:space="0" w:color="auto"/>
            </w:tcBorders>
          </w:tcPr>
          <w:p w14:paraId="796C3C8C" w14:textId="6698F62E" w:rsidR="00964BDB" w:rsidRPr="00D20BA6" w:rsidRDefault="00964BDB" w:rsidP="00355741">
            <w:pPr>
              <w:spacing w:line="300" w:lineRule="atLeast"/>
              <w:rPr>
                <w:rFonts w:ascii="Arial" w:hAnsi="Arial" w:cs="Arial"/>
                <w:sz w:val="16"/>
                <w:szCs w:val="16"/>
              </w:rPr>
            </w:pPr>
            <w:r w:rsidRPr="00D20BA6">
              <w:rPr>
                <w:rFonts w:ascii="Arial" w:hAnsi="Arial" w:cs="Arial"/>
                <w:sz w:val="16"/>
                <w:szCs w:val="16"/>
              </w:rPr>
              <w:t>Southland lignite</w:t>
            </w:r>
            <w:r w:rsidR="00C0444A" w:rsidRPr="00D20BA6">
              <w:rPr>
                <w:rFonts w:ascii="Arial" w:hAnsi="Arial" w:cs="Arial"/>
                <w:sz w:val="16"/>
                <w:szCs w:val="16"/>
              </w:rPr>
              <w:t>, 2012</w:t>
            </w:r>
          </w:p>
        </w:tc>
        <w:tc>
          <w:tcPr>
            <w:tcW w:w="1250" w:type="dxa"/>
            <w:tcBorders>
              <w:top w:val="double" w:sz="4" w:space="0" w:color="auto"/>
              <w:bottom w:val="single" w:sz="4" w:space="0" w:color="auto"/>
            </w:tcBorders>
            <w:vAlign w:val="center"/>
          </w:tcPr>
          <w:p w14:paraId="485BCFC1" w14:textId="77777777" w:rsidR="00964BDB" w:rsidRPr="00D20BA6" w:rsidRDefault="00500691" w:rsidP="00E46AE0">
            <w:pPr>
              <w:spacing w:line="300" w:lineRule="atLeast"/>
              <w:jc w:val="center"/>
              <w:rPr>
                <w:rFonts w:ascii="Arial" w:hAnsi="Arial" w:cs="Arial"/>
                <w:sz w:val="16"/>
                <w:szCs w:val="16"/>
              </w:rPr>
            </w:pPr>
            <w:r w:rsidRPr="00D20BA6">
              <w:rPr>
                <w:rFonts w:ascii="Arial" w:hAnsi="Arial" w:cs="Arial"/>
                <w:sz w:val="16"/>
                <w:szCs w:val="16"/>
              </w:rPr>
              <w:t>3</w:t>
            </w:r>
            <w:r w:rsidR="00E46AE0" w:rsidRPr="00D20BA6">
              <w:rPr>
                <w:rFonts w:ascii="Arial" w:hAnsi="Arial" w:cs="Arial"/>
                <w:sz w:val="16"/>
                <w:szCs w:val="16"/>
              </w:rPr>
              <w:t>0</w:t>
            </w:r>
            <w:r w:rsidR="00693D71" w:rsidRPr="00D20BA6">
              <w:rPr>
                <w:rFonts w:ascii="Arial" w:hAnsi="Arial" w:cs="Arial"/>
                <w:sz w:val="16"/>
                <w:szCs w:val="16"/>
              </w:rPr>
              <w:t>7</w:t>
            </w:r>
            <w:r w:rsidRPr="00D20BA6">
              <w:rPr>
                <w:rFonts w:ascii="Arial" w:hAnsi="Arial" w:cs="Arial"/>
                <w:sz w:val="16"/>
                <w:szCs w:val="16"/>
              </w:rPr>
              <w:t>,000</w:t>
            </w:r>
          </w:p>
        </w:tc>
        <w:tc>
          <w:tcPr>
            <w:tcW w:w="1374" w:type="dxa"/>
            <w:tcBorders>
              <w:top w:val="double" w:sz="4" w:space="0" w:color="auto"/>
              <w:bottom w:val="single" w:sz="4" w:space="0" w:color="auto"/>
            </w:tcBorders>
            <w:vAlign w:val="center"/>
          </w:tcPr>
          <w:p w14:paraId="053DF390" w14:textId="77777777" w:rsidR="00964BDB" w:rsidRPr="00D20BA6" w:rsidRDefault="00500691" w:rsidP="00693D71">
            <w:pPr>
              <w:spacing w:line="300" w:lineRule="atLeast"/>
              <w:jc w:val="center"/>
              <w:rPr>
                <w:rFonts w:ascii="Arial" w:hAnsi="Arial" w:cs="Arial"/>
                <w:sz w:val="16"/>
                <w:szCs w:val="16"/>
              </w:rPr>
            </w:pPr>
            <w:r w:rsidRPr="00D20BA6">
              <w:rPr>
                <w:rFonts w:ascii="Arial" w:hAnsi="Arial" w:cs="Arial"/>
                <w:sz w:val="16"/>
                <w:szCs w:val="16"/>
              </w:rPr>
              <w:t>0.0</w:t>
            </w:r>
            <w:r w:rsidR="00693D71" w:rsidRPr="00D20BA6">
              <w:rPr>
                <w:rFonts w:ascii="Arial" w:hAnsi="Arial" w:cs="Arial"/>
                <w:sz w:val="16"/>
                <w:szCs w:val="16"/>
              </w:rPr>
              <w:t>6</w:t>
            </w:r>
            <w:r w:rsidRPr="00D20BA6">
              <w:rPr>
                <w:rFonts w:ascii="Arial" w:hAnsi="Arial" w:cs="Arial"/>
                <w:sz w:val="16"/>
                <w:szCs w:val="16"/>
              </w:rPr>
              <w:t xml:space="preserve"> – 0.25</w:t>
            </w:r>
          </w:p>
        </w:tc>
        <w:tc>
          <w:tcPr>
            <w:tcW w:w="1497" w:type="dxa"/>
            <w:tcBorders>
              <w:top w:val="double" w:sz="4" w:space="0" w:color="auto"/>
              <w:bottom w:val="single" w:sz="4" w:space="0" w:color="auto"/>
            </w:tcBorders>
            <w:vAlign w:val="center"/>
          </w:tcPr>
          <w:p w14:paraId="34B583A0" w14:textId="2BC96C26" w:rsidR="00964BDB" w:rsidRPr="00D20BA6" w:rsidRDefault="00CE2AE9" w:rsidP="00F0288A">
            <w:pPr>
              <w:spacing w:line="300" w:lineRule="atLeast"/>
              <w:jc w:val="center"/>
              <w:rPr>
                <w:rFonts w:ascii="Arial" w:hAnsi="Arial" w:cs="Arial"/>
                <w:sz w:val="16"/>
                <w:szCs w:val="16"/>
              </w:rPr>
            </w:pPr>
            <w:r w:rsidRPr="00D20BA6">
              <w:rPr>
                <w:rFonts w:ascii="Arial" w:hAnsi="Arial" w:cs="Arial"/>
                <w:sz w:val="16"/>
                <w:szCs w:val="16"/>
              </w:rPr>
              <w:t>18.4</w:t>
            </w:r>
            <w:r w:rsidR="00E95C70" w:rsidRPr="00D20BA6">
              <w:rPr>
                <w:rFonts w:ascii="Arial" w:hAnsi="Arial" w:cs="Arial"/>
                <w:sz w:val="16"/>
                <w:szCs w:val="16"/>
              </w:rPr>
              <w:t xml:space="preserve"> –</w:t>
            </w:r>
            <w:r w:rsidR="0073495D" w:rsidRPr="00D20BA6">
              <w:rPr>
                <w:rFonts w:ascii="Arial" w:hAnsi="Arial" w:cs="Arial"/>
                <w:sz w:val="16"/>
                <w:szCs w:val="16"/>
              </w:rPr>
              <w:t xml:space="preserve"> 76</w:t>
            </w:r>
            <w:r w:rsidRPr="00D20BA6">
              <w:rPr>
                <w:rFonts w:ascii="Arial" w:hAnsi="Arial" w:cs="Arial"/>
                <w:sz w:val="16"/>
                <w:szCs w:val="16"/>
              </w:rPr>
              <w:t>.8</w:t>
            </w:r>
          </w:p>
        </w:tc>
        <w:tc>
          <w:tcPr>
            <w:tcW w:w="1489" w:type="dxa"/>
            <w:tcBorders>
              <w:top w:val="double" w:sz="4" w:space="0" w:color="auto"/>
              <w:bottom w:val="single" w:sz="4" w:space="0" w:color="auto"/>
            </w:tcBorders>
            <w:vAlign w:val="center"/>
          </w:tcPr>
          <w:p w14:paraId="32876053" w14:textId="77777777" w:rsidR="00964BDB" w:rsidRPr="00D20BA6" w:rsidRDefault="003120FE" w:rsidP="00F0288A">
            <w:pPr>
              <w:spacing w:line="300" w:lineRule="atLeast"/>
              <w:jc w:val="center"/>
              <w:rPr>
                <w:rFonts w:ascii="Arial" w:hAnsi="Arial" w:cs="Arial"/>
                <w:sz w:val="16"/>
                <w:szCs w:val="16"/>
              </w:rPr>
            </w:pPr>
            <w:r w:rsidRPr="00D20BA6">
              <w:rPr>
                <w:rFonts w:ascii="Arial" w:hAnsi="Arial" w:cs="Arial"/>
                <w:sz w:val="16"/>
                <w:szCs w:val="16"/>
              </w:rPr>
              <w:t>17.5 – 72</w:t>
            </w:r>
            <w:r w:rsidR="0073495D" w:rsidRPr="00D20BA6">
              <w:rPr>
                <w:rFonts w:ascii="Arial" w:hAnsi="Arial" w:cs="Arial"/>
                <w:sz w:val="16"/>
                <w:szCs w:val="16"/>
              </w:rPr>
              <w:t>.</w:t>
            </w:r>
            <w:r w:rsidRPr="00D20BA6">
              <w:rPr>
                <w:rFonts w:ascii="Arial" w:hAnsi="Arial" w:cs="Arial"/>
                <w:sz w:val="16"/>
                <w:szCs w:val="16"/>
              </w:rPr>
              <w:t>9</w:t>
            </w:r>
          </w:p>
        </w:tc>
        <w:tc>
          <w:tcPr>
            <w:tcW w:w="1575" w:type="dxa"/>
            <w:tcBorders>
              <w:top w:val="double" w:sz="4" w:space="0" w:color="auto"/>
              <w:bottom w:val="single" w:sz="4" w:space="0" w:color="auto"/>
            </w:tcBorders>
            <w:vAlign w:val="center"/>
          </w:tcPr>
          <w:p w14:paraId="0E8729C5" w14:textId="77777777" w:rsidR="00964BDB" w:rsidRPr="00D20BA6" w:rsidRDefault="003120FE" w:rsidP="00F0288A">
            <w:pPr>
              <w:spacing w:line="300" w:lineRule="atLeast"/>
              <w:jc w:val="center"/>
              <w:rPr>
                <w:rFonts w:ascii="Arial" w:hAnsi="Arial" w:cs="Arial"/>
                <w:sz w:val="16"/>
                <w:szCs w:val="16"/>
              </w:rPr>
            </w:pPr>
            <w:r w:rsidRPr="00D20BA6">
              <w:rPr>
                <w:rFonts w:ascii="Arial" w:hAnsi="Arial" w:cs="Arial"/>
                <w:sz w:val="16"/>
                <w:szCs w:val="16"/>
              </w:rPr>
              <w:t>0.9</w:t>
            </w:r>
            <w:r w:rsidR="00E95C70" w:rsidRPr="00D20BA6">
              <w:rPr>
                <w:rFonts w:ascii="Arial" w:hAnsi="Arial" w:cs="Arial"/>
                <w:sz w:val="16"/>
                <w:szCs w:val="16"/>
              </w:rPr>
              <w:t xml:space="preserve"> –</w:t>
            </w:r>
            <w:r w:rsidR="0073495D" w:rsidRPr="00D20BA6">
              <w:rPr>
                <w:rFonts w:ascii="Arial" w:hAnsi="Arial" w:cs="Arial"/>
                <w:sz w:val="16"/>
                <w:szCs w:val="16"/>
              </w:rPr>
              <w:t xml:space="preserve"> </w:t>
            </w:r>
            <w:r w:rsidRPr="00D20BA6">
              <w:rPr>
                <w:rFonts w:ascii="Arial" w:hAnsi="Arial" w:cs="Arial"/>
                <w:sz w:val="16"/>
                <w:szCs w:val="16"/>
              </w:rPr>
              <w:t>3.8</w:t>
            </w:r>
          </w:p>
        </w:tc>
      </w:tr>
      <w:tr w:rsidR="00C0444A" w:rsidRPr="00220A32" w14:paraId="19347E24" w14:textId="77777777" w:rsidTr="00880597">
        <w:tc>
          <w:tcPr>
            <w:tcW w:w="1876" w:type="dxa"/>
            <w:tcBorders>
              <w:bottom w:val="double" w:sz="4" w:space="0" w:color="auto"/>
            </w:tcBorders>
          </w:tcPr>
          <w:p w14:paraId="598873B7" w14:textId="1529385A" w:rsidR="00C0444A" w:rsidRPr="00D20BA6" w:rsidRDefault="00C0444A" w:rsidP="00355741">
            <w:pPr>
              <w:spacing w:line="300" w:lineRule="atLeast"/>
              <w:rPr>
                <w:rFonts w:ascii="Arial" w:hAnsi="Arial" w:cs="Arial"/>
                <w:sz w:val="16"/>
                <w:szCs w:val="16"/>
              </w:rPr>
            </w:pPr>
            <w:r w:rsidRPr="00D20BA6">
              <w:rPr>
                <w:rFonts w:ascii="Arial" w:hAnsi="Arial" w:cs="Arial"/>
                <w:sz w:val="16"/>
                <w:szCs w:val="16"/>
              </w:rPr>
              <w:t>Southland Lignite, 2016</w:t>
            </w:r>
          </w:p>
        </w:tc>
        <w:tc>
          <w:tcPr>
            <w:tcW w:w="1250" w:type="dxa"/>
            <w:tcBorders>
              <w:bottom w:val="double" w:sz="4" w:space="0" w:color="auto"/>
            </w:tcBorders>
            <w:vAlign w:val="center"/>
          </w:tcPr>
          <w:p w14:paraId="62CC25F8" w14:textId="7A2471CB" w:rsidR="00C0444A" w:rsidRPr="00D20BA6" w:rsidRDefault="00C0444A" w:rsidP="00C0444A">
            <w:pPr>
              <w:spacing w:line="300" w:lineRule="atLeast"/>
              <w:jc w:val="center"/>
              <w:rPr>
                <w:rFonts w:ascii="Arial" w:hAnsi="Arial" w:cs="Arial"/>
                <w:sz w:val="16"/>
                <w:szCs w:val="16"/>
              </w:rPr>
            </w:pPr>
            <w:r w:rsidRPr="00D20BA6">
              <w:rPr>
                <w:rFonts w:ascii="Arial" w:hAnsi="Arial" w:cs="Arial"/>
                <w:sz w:val="16"/>
                <w:szCs w:val="16"/>
              </w:rPr>
              <w:t>313,000</w:t>
            </w:r>
          </w:p>
        </w:tc>
        <w:tc>
          <w:tcPr>
            <w:tcW w:w="1374" w:type="dxa"/>
            <w:tcBorders>
              <w:bottom w:val="double" w:sz="4" w:space="0" w:color="auto"/>
            </w:tcBorders>
            <w:vAlign w:val="center"/>
          </w:tcPr>
          <w:p w14:paraId="4CD989EA" w14:textId="632E7473" w:rsidR="00C0444A" w:rsidRPr="00D20BA6" w:rsidRDefault="00C0444A" w:rsidP="00C0444A">
            <w:pPr>
              <w:spacing w:line="300" w:lineRule="atLeast"/>
              <w:jc w:val="center"/>
              <w:rPr>
                <w:rFonts w:ascii="Arial" w:hAnsi="Arial" w:cs="Arial"/>
                <w:sz w:val="16"/>
                <w:szCs w:val="16"/>
              </w:rPr>
            </w:pPr>
            <w:r w:rsidRPr="00D20BA6">
              <w:rPr>
                <w:rFonts w:ascii="Arial" w:hAnsi="Arial" w:cs="Arial"/>
                <w:sz w:val="16"/>
                <w:szCs w:val="16"/>
              </w:rPr>
              <w:t>0.06 – 0.25</w:t>
            </w:r>
          </w:p>
        </w:tc>
        <w:tc>
          <w:tcPr>
            <w:tcW w:w="1497" w:type="dxa"/>
            <w:tcBorders>
              <w:bottom w:val="double" w:sz="4" w:space="0" w:color="auto"/>
            </w:tcBorders>
            <w:vAlign w:val="center"/>
          </w:tcPr>
          <w:p w14:paraId="508CA249" w14:textId="08365BCA" w:rsidR="00C0444A" w:rsidRPr="00D20BA6" w:rsidRDefault="00C0444A" w:rsidP="00C0444A">
            <w:pPr>
              <w:spacing w:line="300" w:lineRule="atLeast"/>
              <w:jc w:val="center"/>
              <w:rPr>
                <w:rFonts w:ascii="Arial" w:hAnsi="Arial" w:cs="Arial"/>
                <w:sz w:val="16"/>
                <w:szCs w:val="16"/>
              </w:rPr>
            </w:pPr>
            <w:r w:rsidRPr="00D20BA6">
              <w:rPr>
                <w:rFonts w:ascii="Arial" w:hAnsi="Arial" w:cs="Arial"/>
                <w:sz w:val="16"/>
                <w:szCs w:val="16"/>
              </w:rPr>
              <w:t>18.8 – 78.3</w:t>
            </w:r>
          </w:p>
        </w:tc>
        <w:tc>
          <w:tcPr>
            <w:tcW w:w="1489" w:type="dxa"/>
            <w:tcBorders>
              <w:bottom w:val="double" w:sz="4" w:space="0" w:color="auto"/>
            </w:tcBorders>
            <w:vAlign w:val="center"/>
          </w:tcPr>
          <w:p w14:paraId="3E3AA0EA" w14:textId="286BF919" w:rsidR="00C0444A" w:rsidRPr="00D20BA6" w:rsidRDefault="00C0444A" w:rsidP="00C0444A">
            <w:pPr>
              <w:spacing w:line="300" w:lineRule="atLeast"/>
              <w:jc w:val="center"/>
              <w:rPr>
                <w:rFonts w:ascii="Arial" w:hAnsi="Arial" w:cs="Arial"/>
                <w:sz w:val="16"/>
                <w:szCs w:val="16"/>
              </w:rPr>
            </w:pPr>
            <w:r w:rsidRPr="00D20BA6">
              <w:rPr>
                <w:rFonts w:ascii="Arial" w:hAnsi="Arial" w:cs="Arial"/>
                <w:sz w:val="16"/>
                <w:szCs w:val="16"/>
              </w:rPr>
              <w:t>17.9 – 74.4</w:t>
            </w:r>
          </w:p>
        </w:tc>
        <w:tc>
          <w:tcPr>
            <w:tcW w:w="1575" w:type="dxa"/>
            <w:tcBorders>
              <w:bottom w:val="double" w:sz="4" w:space="0" w:color="auto"/>
            </w:tcBorders>
            <w:vAlign w:val="center"/>
          </w:tcPr>
          <w:p w14:paraId="6A3BF50A" w14:textId="58243C1E" w:rsidR="00C0444A" w:rsidRPr="00D20BA6" w:rsidRDefault="00CE2AE9" w:rsidP="00C0444A">
            <w:pPr>
              <w:spacing w:line="300" w:lineRule="atLeast"/>
              <w:jc w:val="center"/>
              <w:rPr>
                <w:rFonts w:ascii="Arial" w:hAnsi="Arial" w:cs="Arial"/>
                <w:sz w:val="16"/>
                <w:szCs w:val="16"/>
              </w:rPr>
            </w:pPr>
            <w:r w:rsidRPr="00D20BA6">
              <w:rPr>
                <w:rFonts w:ascii="Arial" w:hAnsi="Arial" w:cs="Arial"/>
                <w:sz w:val="16"/>
                <w:szCs w:val="16"/>
              </w:rPr>
              <w:t>0.9</w:t>
            </w:r>
            <w:r w:rsidR="00C0444A" w:rsidRPr="00D20BA6">
              <w:rPr>
                <w:rFonts w:ascii="Arial" w:hAnsi="Arial" w:cs="Arial"/>
                <w:sz w:val="16"/>
                <w:szCs w:val="16"/>
              </w:rPr>
              <w:t xml:space="preserve"> – 3.9</w:t>
            </w:r>
          </w:p>
        </w:tc>
      </w:tr>
      <w:tr w:rsidR="00DE6E9E" w:rsidRPr="00220A32" w14:paraId="6A569503" w14:textId="77777777" w:rsidTr="00880597">
        <w:tc>
          <w:tcPr>
            <w:tcW w:w="1876" w:type="dxa"/>
            <w:tcBorders>
              <w:bottom w:val="double" w:sz="4" w:space="0" w:color="auto"/>
            </w:tcBorders>
          </w:tcPr>
          <w:p w14:paraId="3F5DE94F" w14:textId="3D61714F" w:rsidR="008B03B7" w:rsidRPr="00D20BA6" w:rsidRDefault="008B03B7" w:rsidP="00355741">
            <w:pPr>
              <w:spacing w:line="300" w:lineRule="atLeast"/>
              <w:rPr>
                <w:rFonts w:ascii="Arial" w:hAnsi="Arial" w:cs="Arial"/>
                <w:sz w:val="16"/>
                <w:szCs w:val="16"/>
              </w:rPr>
            </w:pPr>
            <w:r w:rsidRPr="00D20BA6">
              <w:rPr>
                <w:rFonts w:ascii="Arial" w:hAnsi="Arial" w:cs="Arial"/>
                <w:sz w:val="16"/>
                <w:szCs w:val="16"/>
              </w:rPr>
              <w:t>Southland Lignite, 2020</w:t>
            </w:r>
          </w:p>
        </w:tc>
        <w:tc>
          <w:tcPr>
            <w:tcW w:w="1250" w:type="dxa"/>
            <w:tcBorders>
              <w:bottom w:val="double" w:sz="4" w:space="0" w:color="auto"/>
            </w:tcBorders>
            <w:vAlign w:val="center"/>
          </w:tcPr>
          <w:p w14:paraId="10CC5624" w14:textId="73D11F57" w:rsidR="008B03B7" w:rsidRPr="00D20BA6" w:rsidRDefault="008B03B7" w:rsidP="00C0444A">
            <w:pPr>
              <w:spacing w:line="300" w:lineRule="atLeast"/>
              <w:jc w:val="center"/>
              <w:rPr>
                <w:rFonts w:ascii="Arial" w:hAnsi="Arial" w:cs="Arial"/>
                <w:sz w:val="16"/>
                <w:szCs w:val="16"/>
              </w:rPr>
            </w:pPr>
            <w:r w:rsidRPr="00D20BA6">
              <w:rPr>
                <w:rFonts w:ascii="Arial" w:hAnsi="Arial" w:cs="Arial"/>
                <w:sz w:val="16"/>
                <w:szCs w:val="16"/>
              </w:rPr>
              <w:t>221,473</w:t>
            </w:r>
          </w:p>
        </w:tc>
        <w:tc>
          <w:tcPr>
            <w:tcW w:w="1374" w:type="dxa"/>
            <w:tcBorders>
              <w:bottom w:val="double" w:sz="4" w:space="0" w:color="auto"/>
            </w:tcBorders>
            <w:vAlign w:val="center"/>
          </w:tcPr>
          <w:p w14:paraId="0A115FC6" w14:textId="157F0B75" w:rsidR="008B03B7" w:rsidRPr="00D20BA6" w:rsidRDefault="008B03B7" w:rsidP="00C0444A">
            <w:pPr>
              <w:spacing w:line="300" w:lineRule="atLeast"/>
              <w:jc w:val="center"/>
              <w:rPr>
                <w:rFonts w:ascii="Arial" w:hAnsi="Arial" w:cs="Arial"/>
                <w:sz w:val="16"/>
                <w:szCs w:val="16"/>
              </w:rPr>
            </w:pPr>
            <w:r w:rsidRPr="00D20BA6">
              <w:rPr>
                <w:rFonts w:ascii="Arial" w:hAnsi="Arial" w:cs="Arial"/>
                <w:sz w:val="16"/>
                <w:szCs w:val="16"/>
              </w:rPr>
              <w:t>0.06 – 0.25</w:t>
            </w:r>
          </w:p>
        </w:tc>
        <w:tc>
          <w:tcPr>
            <w:tcW w:w="1497" w:type="dxa"/>
            <w:tcBorders>
              <w:bottom w:val="double" w:sz="4" w:space="0" w:color="auto"/>
            </w:tcBorders>
            <w:vAlign w:val="center"/>
          </w:tcPr>
          <w:p w14:paraId="5793E759" w14:textId="7EEEB166" w:rsidR="008B03B7" w:rsidRPr="00D20BA6" w:rsidRDefault="008B03B7" w:rsidP="00C0444A">
            <w:pPr>
              <w:spacing w:line="300" w:lineRule="atLeast"/>
              <w:jc w:val="center"/>
              <w:rPr>
                <w:rFonts w:ascii="Arial" w:hAnsi="Arial" w:cs="Arial"/>
                <w:sz w:val="16"/>
                <w:szCs w:val="16"/>
              </w:rPr>
            </w:pPr>
            <w:r w:rsidRPr="00D20BA6">
              <w:rPr>
                <w:rFonts w:ascii="Arial" w:hAnsi="Arial" w:cs="Arial"/>
                <w:sz w:val="16"/>
                <w:szCs w:val="16"/>
              </w:rPr>
              <w:t xml:space="preserve">13.3 </w:t>
            </w:r>
            <w:r w:rsidR="0098026F" w:rsidRPr="00D20BA6">
              <w:rPr>
                <w:rFonts w:ascii="Arial" w:hAnsi="Arial" w:cs="Arial"/>
                <w:sz w:val="16"/>
                <w:szCs w:val="16"/>
              </w:rPr>
              <w:t>–</w:t>
            </w:r>
            <w:r w:rsidRPr="00D20BA6">
              <w:rPr>
                <w:rFonts w:ascii="Arial" w:hAnsi="Arial" w:cs="Arial"/>
                <w:sz w:val="16"/>
                <w:szCs w:val="16"/>
              </w:rPr>
              <w:t xml:space="preserve"> </w:t>
            </w:r>
            <w:r w:rsidR="0098026F" w:rsidRPr="00D20BA6">
              <w:rPr>
                <w:rFonts w:ascii="Arial" w:hAnsi="Arial" w:cs="Arial"/>
                <w:sz w:val="16"/>
                <w:szCs w:val="16"/>
              </w:rPr>
              <w:t>55.4</w:t>
            </w:r>
          </w:p>
        </w:tc>
        <w:tc>
          <w:tcPr>
            <w:tcW w:w="1489" w:type="dxa"/>
            <w:tcBorders>
              <w:bottom w:val="double" w:sz="4" w:space="0" w:color="auto"/>
            </w:tcBorders>
            <w:vAlign w:val="center"/>
          </w:tcPr>
          <w:p w14:paraId="601F38EA" w14:textId="48455F6A" w:rsidR="008B03B7" w:rsidRPr="00D20BA6" w:rsidRDefault="0098026F" w:rsidP="00C0444A">
            <w:pPr>
              <w:spacing w:line="300" w:lineRule="atLeast"/>
              <w:jc w:val="center"/>
              <w:rPr>
                <w:rFonts w:ascii="Arial" w:hAnsi="Arial" w:cs="Arial"/>
                <w:sz w:val="16"/>
                <w:szCs w:val="16"/>
              </w:rPr>
            </w:pPr>
            <w:r w:rsidRPr="00D20BA6">
              <w:rPr>
                <w:rFonts w:ascii="Arial" w:hAnsi="Arial" w:cs="Arial"/>
                <w:sz w:val="16"/>
                <w:szCs w:val="16"/>
              </w:rPr>
              <w:t>12.6 – 52.6</w:t>
            </w:r>
          </w:p>
        </w:tc>
        <w:tc>
          <w:tcPr>
            <w:tcW w:w="1575" w:type="dxa"/>
            <w:tcBorders>
              <w:bottom w:val="double" w:sz="4" w:space="0" w:color="auto"/>
            </w:tcBorders>
            <w:vAlign w:val="center"/>
          </w:tcPr>
          <w:p w14:paraId="28D76551" w14:textId="2FF2EEAC" w:rsidR="008B03B7" w:rsidRPr="00D20BA6" w:rsidRDefault="0098026F" w:rsidP="00C0444A">
            <w:pPr>
              <w:spacing w:line="300" w:lineRule="atLeast"/>
              <w:jc w:val="center"/>
              <w:rPr>
                <w:rFonts w:ascii="Arial" w:hAnsi="Arial" w:cs="Arial"/>
                <w:sz w:val="16"/>
                <w:szCs w:val="16"/>
              </w:rPr>
            </w:pPr>
            <w:r w:rsidRPr="00D20BA6">
              <w:rPr>
                <w:rFonts w:ascii="Arial" w:hAnsi="Arial" w:cs="Arial"/>
                <w:sz w:val="16"/>
                <w:szCs w:val="16"/>
              </w:rPr>
              <w:t>0.7 – 2.8</w:t>
            </w:r>
          </w:p>
        </w:tc>
      </w:tr>
      <w:tr w:rsidR="00AC76F9" w:rsidRPr="00220A32" w14:paraId="2EA2A7A7" w14:textId="77777777" w:rsidTr="00880597">
        <w:tc>
          <w:tcPr>
            <w:tcW w:w="1876" w:type="dxa"/>
            <w:tcBorders>
              <w:bottom w:val="double" w:sz="4" w:space="0" w:color="auto"/>
            </w:tcBorders>
          </w:tcPr>
          <w:p w14:paraId="76067BF3" w14:textId="43BFEFC2" w:rsidR="00AC76F9" w:rsidRPr="00D20BA6" w:rsidRDefault="00AC76F9" w:rsidP="00355741">
            <w:pPr>
              <w:spacing w:line="300" w:lineRule="atLeast"/>
              <w:rPr>
                <w:rFonts w:ascii="Arial" w:hAnsi="Arial" w:cs="Arial"/>
                <w:sz w:val="16"/>
                <w:szCs w:val="16"/>
              </w:rPr>
            </w:pPr>
            <w:r w:rsidRPr="00D20BA6">
              <w:rPr>
                <w:rFonts w:ascii="Arial" w:hAnsi="Arial" w:cs="Arial"/>
                <w:sz w:val="16"/>
                <w:szCs w:val="16"/>
              </w:rPr>
              <w:t>Southland Lignite</w:t>
            </w:r>
            <w:r w:rsidR="009E1953" w:rsidRPr="00D20BA6">
              <w:rPr>
                <w:rFonts w:ascii="Arial" w:hAnsi="Arial" w:cs="Arial"/>
                <w:sz w:val="16"/>
                <w:szCs w:val="16"/>
              </w:rPr>
              <w:t>, 2024</w:t>
            </w:r>
          </w:p>
        </w:tc>
        <w:tc>
          <w:tcPr>
            <w:tcW w:w="1250" w:type="dxa"/>
            <w:tcBorders>
              <w:bottom w:val="double" w:sz="4" w:space="0" w:color="auto"/>
            </w:tcBorders>
            <w:vAlign w:val="center"/>
          </w:tcPr>
          <w:p w14:paraId="71CE1103" w14:textId="0642DC68" w:rsidR="00AC76F9" w:rsidRPr="00D20BA6" w:rsidRDefault="009E1953" w:rsidP="00C0444A">
            <w:pPr>
              <w:spacing w:line="300" w:lineRule="atLeast"/>
              <w:jc w:val="center"/>
              <w:rPr>
                <w:rFonts w:ascii="Arial" w:hAnsi="Arial" w:cs="Arial"/>
                <w:sz w:val="16"/>
                <w:szCs w:val="16"/>
              </w:rPr>
            </w:pPr>
            <w:r w:rsidRPr="00D20BA6">
              <w:rPr>
                <w:rFonts w:ascii="Arial" w:hAnsi="Arial" w:cs="Arial"/>
                <w:sz w:val="16"/>
                <w:szCs w:val="16"/>
              </w:rPr>
              <w:t>239,877</w:t>
            </w:r>
          </w:p>
        </w:tc>
        <w:tc>
          <w:tcPr>
            <w:tcW w:w="1374" w:type="dxa"/>
            <w:tcBorders>
              <w:bottom w:val="double" w:sz="4" w:space="0" w:color="auto"/>
            </w:tcBorders>
            <w:vAlign w:val="center"/>
          </w:tcPr>
          <w:p w14:paraId="096F83F9" w14:textId="3F45B6AC" w:rsidR="00AC76F9" w:rsidRPr="00D20BA6" w:rsidRDefault="009E1953" w:rsidP="00C0444A">
            <w:pPr>
              <w:spacing w:line="300" w:lineRule="atLeast"/>
              <w:jc w:val="center"/>
              <w:rPr>
                <w:rFonts w:ascii="Arial" w:hAnsi="Arial" w:cs="Arial"/>
                <w:sz w:val="16"/>
                <w:szCs w:val="16"/>
              </w:rPr>
            </w:pPr>
            <w:r w:rsidRPr="00D20BA6">
              <w:rPr>
                <w:rFonts w:ascii="Arial" w:hAnsi="Arial" w:cs="Arial"/>
                <w:sz w:val="16"/>
                <w:szCs w:val="16"/>
              </w:rPr>
              <w:t>0.06 – 0.25</w:t>
            </w:r>
          </w:p>
        </w:tc>
        <w:tc>
          <w:tcPr>
            <w:tcW w:w="1497" w:type="dxa"/>
            <w:tcBorders>
              <w:bottom w:val="double" w:sz="4" w:space="0" w:color="auto"/>
            </w:tcBorders>
            <w:vAlign w:val="center"/>
          </w:tcPr>
          <w:p w14:paraId="16269FE2" w14:textId="2855C8CF" w:rsidR="00AC76F9" w:rsidRPr="00D20BA6" w:rsidRDefault="009E1953" w:rsidP="00C0444A">
            <w:pPr>
              <w:spacing w:line="300" w:lineRule="atLeast"/>
              <w:jc w:val="center"/>
              <w:rPr>
                <w:rFonts w:ascii="Arial" w:hAnsi="Arial" w:cs="Arial"/>
                <w:sz w:val="16"/>
                <w:szCs w:val="16"/>
              </w:rPr>
            </w:pPr>
            <w:r w:rsidRPr="00D20BA6">
              <w:rPr>
                <w:rFonts w:ascii="Arial" w:hAnsi="Arial" w:cs="Arial"/>
                <w:sz w:val="16"/>
                <w:szCs w:val="16"/>
              </w:rPr>
              <w:t>14.</w:t>
            </w:r>
            <w:r w:rsidR="004A03DA">
              <w:rPr>
                <w:rFonts w:ascii="Arial" w:hAnsi="Arial" w:cs="Arial"/>
                <w:sz w:val="16"/>
                <w:szCs w:val="16"/>
              </w:rPr>
              <w:t>39</w:t>
            </w:r>
            <w:r w:rsidRPr="00D20BA6">
              <w:rPr>
                <w:rFonts w:ascii="Arial" w:hAnsi="Arial" w:cs="Arial"/>
                <w:sz w:val="16"/>
                <w:szCs w:val="16"/>
              </w:rPr>
              <w:t xml:space="preserve"> – </w:t>
            </w:r>
            <w:r w:rsidR="004A03DA">
              <w:rPr>
                <w:rFonts w:ascii="Arial" w:hAnsi="Arial" w:cs="Arial"/>
                <w:sz w:val="16"/>
                <w:szCs w:val="16"/>
              </w:rPr>
              <w:t>59.97</w:t>
            </w:r>
          </w:p>
        </w:tc>
        <w:tc>
          <w:tcPr>
            <w:tcW w:w="1489" w:type="dxa"/>
            <w:tcBorders>
              <w:bottom w:val="double" w:sz="4" w:space="0" w:color="auto"/>
            </w:tcBorders>
            <w:vAlign w:val="center"/>
          </w:tcPr>
          <w:p w14:paraId="62D04BF5" w14:textId="62712DDB" w:rsidR="00AC76F9" w:rsidRPr="00D20BA6" w:rsidRDefault="004A03DA" w:rsidP="00C0444A">
            <w:pPr>
              <w:spacing w:line="300" w:lineRule="atLeast"/>
              <w:jc w:val="center"/>
              <w:rPr>
                <w:rFonts w:ascii="Arial" w:hAnsi="Arial" w:cs="Arial"/>
                <w:sz w:val="16"/>
                <w:szCs w:val="16"/>
              </w:rPr>
            </w:pPr>
            <w:r w:rsidRPr="00D20BA6">
              <w:rPr>
                <w:rFonts w:ascii="Arial" w:hAnsi="Arial" w:cs="Arial"/>
                <w:sz w:val="16"/>
                <w:szCs w:val="16"/>
              </w:rPr>
              <w:t>13.67 – 56.97</w:t>
            </w:r>
          </w:p>
        </w:tc>
        <w:tc>
          <w:tcPr>
            <w:tcW w:w="1575" w:type="dxa"/>
            <w:tcBorders>
              <w:bottom w:val="double" w:sz="4" w:space="0" w:color="auto"/>
            </w:tcBorders>
            <w:vAlign w:val="center"/>
          </w:tcPr>
          <w:p w14:paraId="6BFEF24F" w14:textId="3128C02E" w:rsidR="00AC76F9" w:rsidRPr="00D20BA6" w:rsidRDefault="004A03DA" w:rsidP="00C0444A">
            <w:pPr>
              <w:spacing w:line="300" w:lineRule="atLeast"/>
              <w:jc w:val="center"/>
              <w:rPr>
                <w:rFonts w:ascii="Arial" w:hAnsi="Arial" w:cs="Arial"/>
                <w:sz w:val="16"/>
                <w:szCs w:val="16"/>
              </w:rPr>
            </w:pPr>
            <w:r w:rsidRPr="00D20BA6">
              <w:rPr>
                <w:rFonts w:ascii="Arial" w:hAnsi="Arial" w:cs="Arial"/>
                <w:sz w:val="16"/>
                <w:szCs w:val="16"/>
              </w:rPr>
              <w:t xml:space="preserve">0.720 – </w:t>
            </w:r>
            <w:r w:rsidR="00A973F5">
              <w:rPr>
                <w:rFonts w:ascii="Arial" w:hAnsi="Arial" w:cs="Arial"/>
                <w:sz w:val="16"/>
                <w:szCs w:val="16"/>
              </w:rPr>
              <w:t>2.998</w:t>
            </w:r>
          </w:p>
        </w:tc>
      </w:tr>
      <w:tr w:rsidR="00180B00" w:rsidRPr="00220A32" w14:paraId="3F7E5196" w14:textId="77777777" w:rsidTr="00880597">
        <w:tc>
          <w:tcPr>
            <w:tcW w:w="1876" w:type="dxa"/>
            <w:tcBorders>
              <w:top w:val="double" w:sz="4" w:space="0" w:color="auto"/>
            </w:tcBorders>
            <w:vAlign w:val="center"/>
          </w:tcPr>
          <w:p w14:paraId="07A3CDA3" w14:textId="69638EEA" w:rsidR="00180B00" w:rsidRPr="00D20BA6" w:rsidRDefault="00180B00" w:rsidP="00661D0D">
            <w:pPr>
              <w:spacing w:line="300" w:lineRule="atLeast"/>
              <w:rPr>
                <w:rFonts w:ascii="Arial" w:hAnsi="Arial" w:cs="Arial"/>
                <w:b/>
                <w:sz w:val="16"/>
                <w:szCs w:val="16"/>
              </w:rPr>
            </w:pPr>
            <w:r w:rsidRPr="00D20BA6">
              <w:rPr>
                <w:rFonts w:ascii="Arial" w:hAnsi="Arial" w:cs="Arial"/>
                <w:b/>
                <w:sz w:val="16"/>
                <w:szCs w:val="16"/>
              </w:rPr>
              <w:t>Totals</w:t>
            </w:r>
            <w:r w:rsidR="00C0444A" w:rsidRPr="00D20BA6">
              <w:rPr>
                <w:rFonts w:ascii="Arial" w:hAnsi="Arial" w:cs="Arial"/>
                <w:b/>
                <w:sz w:val="16"/>
                <w:szCs w:val="16"/>
              </w:rPr>
              <w:t>, 2012</w:t>
            </w:r>
          </w:p>
        </w:tc>
        <w:tc>
          <w:tcPr>
            <w:tcW w:w="1250" w:type="dxa"/>
            <w:tcBorders>
              <w:top w:val="double" w:sz="4" w:space="0" w:color="auto"/>
            </w:tcBorders>
            <w:vAlign w:val="center"/>
          </w:tcPr>
          <w:p w14:paraId="32148D1B" w14:textId="77777777" w:rsidR="00180B00" w:rsidRPr="00D20BA6" w:rsidRDefault="00180B00" w:rsidP="00693D71">
            <w:pPr>
              <w:spacing w:line="300" w:lineRule="atLeast"/>
              <w:jc w:val="center"/>
              <w:rPr>
                <w:rFonts w:ascii="Arial" w:hAnsi="Arial" w:cs="Arial"/>
                <w:b/>
                <w:sz w:val="16"/>
                <w:szCs w:val="16"/>
              </w:rPr>
            </w:pPr>
            <w:r w:rsidRPr="00D20BA6">
              <w:rPr>
                <w:rFonts w:ascii="Arial" w:hAnsi="Arial" w:cs="Arial"/>
                <w:b/>
                <w:sz w:val="16"/>
                <w:szCs w:val="16"/>
              </w:rPr>
              <w:t>1,1</w:t>
            </w:r>
            <w:r w:rsidR="00693D71" w:rsidRPr="00D20BA6">
              <w:rPr>
                <w:rFonts w:ascii="Arial" w:hAnsi="Arial" w:cs="Arial"/>
                <w:b/>
                <w:sz w:val="16"/>
                <w:szCs w:val="16"/>
              </w:rPr>
              <w:t>12</w:t>
            </w:r>
            <w:r w:rsidRPr="00D20BA6">
              <w:rPr>
                <w:rFonts w:ascii="Arial" w:hAnsi="Arial" w:cs="Arial"/>
                <w:b/>
                <w:sz w:val="16"/>
                <w:szCs w:val="16"/>
              </w:rPr>
              <w:t>,000</w:t>
            </w:r>
          </w:p>
        </w:tc>
        <w:tc>
          <w:tcPr>
            <w:tcW w:w="1374" w:type="dxa"/>
            <w:tcBorders>
              <w:top w:val="double" w:sz="4" w:space="0" w:color="auto"/>
            </w:tcBorders>
            <w:vAlign w:val="center"/>
          </w:tcPr>
          <w:p w14:paraId="597602B3" w14:textId="77777777" w:rsidR="00180B00" w:rsidRPr="00D20BA6" w:rsidRDefault="00180B00" w:rsidP="00F0288A">
            <w:pPr>
              <w:spacing w:line="300" w:lineRule="atLeast"/>
              <w:jc w:val="center"/>
              <w:rPr>
                <w:rFonts w:ascii="Arial" w:hAnsi="Arial" w:cs="Arial"/>
                <w:b/>
                <w:sz w:val="16"/>
                <w:szCs w:val="16"/>
              </w:rPr>
            </w:pPr>
          </w:p>
        </w:tc>
        <w:tc>
          <w:tcPr>
            <w:tcW w:w="1497" w:type="dxa"/>
            <w:tcBorders>
              <w:top w:val="double" w:sz="4" w:space="0" w:color="auto"/>
            </w:tcBorders>
            <w:vAlign w:val="center"/>
          </w:tcPr>
          <w:p w14:paraId="1F526838" w14:textId="57F56E42" w:rsidR="00180B00" w:rsidRPr="00D20BA6" w:rsidRDefault="0073495D" w:rsidP="0073495D">
            <w:pPr>
              <w:spacing w:line="300" w:lineRule="atLeast"/>
              <w:jc w:val="center"/>
              <w:rPr>
                <w:rFonts w:ascii="Arial" w:hAnsi="Arial" w:cs="Arial"/>
                <w:b/>
                <w:sz w:val="16"/>
                <w:szCs w:val="16"/>
              </w:rPr>
            </w:pPr>
            <w:r w:rsidRPr="00D20BA6">
              <w:rPr>
                <w:rFonts w:ascii="Arial" w:hAnsi="Arial" w:cs="Arial"/>
                <w:b/>
                <w:sz w:val="16"/>
                <w:szCs w:val="16"/>
              </w:rPr>
              <w:t>45.</w:t>
            </w:r>
            <w:r w:rsidR="00B42738">
              <w:rPr>
                <w:rFonts w:ascii="Arial" w:hAnsi="Arial" w:cs="Arial"/>
                <w:b/>
                <w:sz w:val="16"/>
                <w:szCs w:val="16"/>
              </w:rPr>
              <w:t>6</w:t>
            </w:r>
            <w:r w:rsidR="00E95C70" w:rsidRPr="00D20BA6">
              <w:rPr>
                <w:rFonts w:ascii="Arial" w:hAnsi="Arial" w:cs="Arial"/>
                <w:b/>
                <w:sz w:val="16"/>
                <w:szCs w:val="16"/>
              </w:rPr>
              <w:t xml:space="preserve"> – 18</w:t>
            </w:r>
            <w:r w:rsidRPr="00D20BA6">
              <w:rPr>
                <w:rFonts w:ascii="Arial" w:hAnsi="Arial" w:cs="Arial"/>
                <w:b/>
                <w:sz w:val="16"/>
                <w:szCs w:val="16"/>
              </w:rPr>
              <w:t>7.</w:t>
            </w:r>
            <w:r w:rsidR="00B42738">
              <w:rPr>
                <w:rFonts w:ascii="Arial" w:hAnsi="Arial" w:cs="Arial"/>
                <w:b/>
                <w:sz w:val="16"/>
                <w:szCs w:val="16"/>
              </w:rPr>
              <w:t>3</w:t>
            </w:r>
            <w:r w:rsidRPr="00D20BA6">
              <w:rPr>
                <w:rFonts w:ascii="Arial" w:hAnsi="Arial" w:cs="Arial"/>
                <w:b/>
                <w:sz w:val="16"/>
                <w:szCs w:val="16"/>
              </w:rPr>
              <w:t xml:space="preserve"> (116</w:t>
            </w:r>
            <w:r w:rsidR="00E95C70" w:rsidRPr="00D20BA6">
              <w:rPr>
                <w:rFonts w:ascii="Arial" w:hAnsi="Arial" w:cs="Arial"/>
                <w:b/>
                <w:sz w:val="16"/>
                <w:szCs w:val="16"/>
              </w:rPr>
              <w:t>.</w:t>
            </w:r>
            <w:r w:rsidRPr="00D20BA6">
              <w:rPr>
                <w:rFonts w:ascii="Arial" w:hAnsi="Arial" w:cs="Arial"/>
                <w:b/>
                <w:sz w:val="16"/>
                <w:szCs w:val="16"/>
              </w:rPr>
              <w:t>4</w:t>
            </w:r>
            <w:r w:rsidR="00E95C70" w:rsidRPr="00D20BA6">
              <w:rPr>
                <w:rFonts w:ascii="Arial" w:hAnsi="Arial" w:cs="Arial"/>
                <w:b/>
                <w:sz w:val="16"/>
                <w:szCs w:val="16"/>
              </w:rPr>
              <w:t>)</w:t>
            </w:r>
          </w:p>
        </w:tc>
        <w:tc>
          <w:tcPr>
            <w:tcW w:w="1489" w:type="dxa"/>
            <w:tcBorders>
              <w:top w:val="double" w:sz="4" w:space="0" w:color="auto"/>
            </w:tcBorders>
            <w:vAlign w:val="center"/>
          </w:tcPr>
          <w:p w14:paraId="3774E1FE" w14:textId="77777777" w:rsidR="00180B00" w:rsidRPr="00D20BA6" w:rsidRDefault="003120FE" w:rsidP="003120FE">
            <w:pPr>
              <w:spacing w:line="300" w:lineRule="atLeast"/>
              <w:jc w:val="center"/>
              <w:rPr>
                <w:rFonts w:ascii="Arial" w:hAnsi="Arial" w:cs="Arial"/>
                <w:b/>
                <w:sz w:val="16"/>
                <w:szCs w:val="16"/>
              </w:rPr>
            </w:pPr>
            <w:r w:rsidRPr="00D20BA6">
              <w:rPr>
                <w:rFonts w:ascii="Arial" w:hAnsi="Arial" w:cs="Arial"/>
                <w:b/>
                <w:sz w:val="16"/>
                <w:szCs w:val="16"/>
              </w:rPr>
              <w:t>43.3</w:t>
            </w:r>
            <w:r w:rsidR="00E95C70" w:rsidRPr="00D20BA6">
              <w:rPr>
                <w:rFonts w:ascii="Arial" w:hAnsi="Arial" w:cs="Arial"/>
                <w:b/>
                <w:sz w:val="16"/>
                <w:szCs w:val="16"/>
              </w:rPr>
              <w:t xml:space="preserve"> – 1</w:t>
            </w:r>
            <w:r w:rsidRPr="00D20BA6">
              <w:rPr>
                <w:rFonts w:ascii="Arial" w:hAnsi="Arial" w:cs="Arial"/>
                <w:b/>
                <w:sz w:val="16"/>
                <w:szCs w:val="16"/>
              </w:rPr>
              <w:t>77</w:t>
            </w:r>
            <w:r w:rsidR="00E95C70" w:rsidRPr="00D20BA6">
              <w:rPr>
                <w:rFonts w:ascii="Arial" w:hAnsi="Arial" w:cs="Arial"/>
                <w:b/>
                <w:sz w:val="16"/>
                <w:szCs w:val="16"/>
              </w:rPr>
              <w:t>.</w:t>
            </w:r>
            <w:r w:rsidRPr="00D20BA6">
              <w:rPr>
                <w:rFonts w:ascii="Arial" w:hAnsi="Arial" w:cs="Arial"/>
                <w:b/>
                <w:sz w:val="16"/>
                <w:szCs w:val="16"/>
              </w:rPr>
              <w:t>9</w:t>
            </w:r>
            <w:r w:rsidR="0073495D" w:rsidRPr="00D20BA6">
              <w:rPr>
                <w:rFonts w:ascii="Arial" w:hAnsi="Arial" w:cs="Arial"/>
                <w:b/>
                <w:sz w:val="16"/>
                <w:szCs w:val="16"/>
              </w:rPr>
              <w:t xml:space="preserve"> (1</w:t>
            </w:r>
            <w:r w:rsidRPr="00D20BA6">
              <w:rPr>
                <w:rFonts w:ascii="Arial" w:hAnsi="Arial" w:cs="Arial"/>
                <w:b/>
                <w:sz w:val="16"/>
                <w:szCs w:val="16"/>
              </w:rPr>
              <w:t>1</w:t>
            </w:r>
            <w:r w:rsidR="0073495D" w:rsidRPr="00D20BA6">
              <w:rPr>
                <w:rFonts w:ascii="Arial" w:hAnsi="Arial" w:cs="Arial"/>
                <w:b/>
                <w:sz w:val="16"/>
                <w:szCs w:val="16"/>
              </w:rPr>
              <w:t>0.</w:t>
            </w:r>
            <w:r w:rsidRPr="00D20BA6">
              <w:rPr>
                <w:rFonts w:ascii="Arial" w:hAnsi="Arial" w:cs="Arial"/>
                <w:b/>
                <w:sz w:val="16"/>
                <w:szCs w:val="16"/>
              </w:rPr>
              <w:t>6</w:t>
            </w:r>
            <w:r w:rsidR="0073495D" w:rsidRPr="00D20BA6">
              <w:rPr>
                <w:rFonts w:ascii="Arial" w:hAnsi="Arial" w:cs="Arial"/>
                <w:b/>
                <w:sz w:val="16"/>
                <w:szCs w:val="16"/>
              </w:rPr>
              <w:t>)</w:t>
            </w:r>
          </w:p>
        </w:tc>
        <w:tc>
          <w:tcPr>
            <w:tcW w:w="1575" w:type="dxa"/>
            <w:tcBorders>
              <w:top w:val="double" w:sz="4" w:space="0" w:color="auto"/>
            </w:tcBorders>
            <w:vAlign w:val="center"/>
          </w:tcPr>
          <w:p w14:paraId="1A0EA937" w14:textId="561682DF" w:rsidR="00180B00" w:rsidRPr="00D20BA6" w:rsidRDefault="003120FE" w:rsidP="003120FE">
            <w:pPr>
              <w:spacing w:line="300" w:lineRule="atLeast"/>
              <w:jc w:val="center"/>
              <w:rPr>
                <w:rFonts w:ascii="Arial" w:hAnsi="Arial" w:cs="Arial"/>
                <w:b/>
                <w:sz w:val="16"/>
                <w:szCs w:val="16"/>
              </w:rPr>
            </w:pPr>
            <w:r w:rsidRPr="00D20BA6">
              <w:rPr>
                <w:rFonts w:ascii="Arial" w:hAnsi="Arial" w:cs="Arial"/>
                <w:b/>
                <w:sz w:val="16"/>
                <w:szCs w:val="16"/>
              </w:rPr>
              <w:t>2</w:t>
            </w:r>
            <w:r w:rsidR="0073495D" w:rsidRPr="00D20BA6">
              <w:rPr>
                <w:rFonts w:ascii="Arial" w:hAnsi="Arial" w:cs="Arial"/>
                <w:b/>
                <w:sz w:val="16"/>
                <w:szCs w:val="16"/>
              </w:rPr>
              <w:t>.</w:t>
            </w:r>
            <w:r w:rsidR="00CE2AE9" w:rsidRPr="00D20BA6">
              <w:rPr>
                <w:rFonts w:ascii="Arial" w:hAnsi="Arial" w:cs="Arial"/>
                <w:b/>
                <w:sz w:val="16"/>
                <w:szCs w:val="16"/>
              </w:rPr>
              <w:t>3</w:t>
            </w:r>
            <w:r w:rsidR="00E95C70" w:rsidRPr="00D20BA6">
              <w:rPr>
                <w:rFonts w:ascii="Arial" w:hAnsi="Arial" w:cs="Arial"/>
                <w:b/>
                <w:sz w:val="16"/>
                <w:szCs w:val="16"/>
              </w:rPr>
              <w:t xml:space="preserve"> –</w:t>
            </w:r>
            <w:r w:rsidRPr="00D20BA6">
              <w:rPr>
                <w:rFonts w:ascii="Arial" w:hAnsi="Arial" w:cs="Arial"/>
                <w:b/>
                <w:sz w:val="16"/>
                <w:szCs w:val="16"/>
              </w:rPr>
              <w:t xml:space="preserve"> 9.</w:t>
            </w:r>
            <w:r w:rsidR="00E95C70" w:rsidRPr="00D20BA6">
              <w:rPr>
                <w:rFonts w:ascii="Arial" w:hAnsi="Arial" w:cs="Arial"/>
                <w:b/>
                <w:sz w:val="16"/>
                <w:szCs w:val="16"/>
              </w:rPr>
              <w:t>3</w:t>
            </w:r>
            <w:r w:rsidRPr="00D20BA6">
              <w:rPr>
                <w:rFonts w:ascii="Arial" w:hAnsi="Arial" w:cs="Arial"/>
                <w:b/>
                <w:sz w:val="16"/>
                <w:szCs w:val="16"/>
              </w:rPr>
              <w:t xml:space="preserve"> </w:t>
            </w:r>
            <w:r w:rsidRPr="00D20BA6">
              <w:rPr>
                <w:rFonts w:ascii="Arial" w:hAnsi="Arial" w:cs="Arial"/>
                <w:b/>
                <w:sz w:val="16"/>
                <w:szCs w:val="16"/>
              </w:rPr>
              <w:br/>
              <w:t>(5.8</w:t>
            </w:r>
            <w:r w:rsidR="0073495D" w:rsidRPr="00D20BA6">
              <w:rPr>
                <w:rFonts w:ascii="Arial" w:hAnsi="Arial" w:cs="Arial"/>
                <w:b/>
                <w:sz w:val="16"/>
                <w:szCs w:val="16"/>
              </w:rPr>
              <w:t>)</w:t>
            </w:r>
          </w:p>
        </w:tc>
      </w:tr>
      <w:tr w:rsidR="00C0444A" w:rsidRPr="00220A32" w14:paraId="677D03CC" w14:textId="77777777" w:rsidTr="00880597">
        <w:tc>
          <w:tcPr>
            <w:tcW w:w="1876" w:type="dxa"/>
            <w:vAlign w:val="center"/>
          </w:tcPr>
          <w:p w14:paraId="41D2378C" w14:textId="2B6E8605" w:rsidR="00C0444A" w:rsidRPr="00D20BA6" w:rsidRDefault="00C0444A" w:rsidP="00661D0D">
            <w:pPr>
              <w:spacing w:line="300" w:lineRule="atLeast"/>
              <w:rPr>
                <w:rFonts w:ascii="Arial" w:hAnsi="Arial" w:cs="Arial"/>
                <w:b/>
                <w:sz w:val="16"/>
                <w:szCs w:val="16"/>
              </w:rPr>
            </w:pPr>
            <w:r w:rsidRPr="00D20BA6">
              <w:rPr>
                <w:rFonts w:ascii="Arial" w:hAnsi="Arial" w:cs="Arial"/>
                <w:b/>
                <w:sz w:val="16"/>
                <w:szCs w:val="16"/>
              </w:rPr>
              <w:t>Totals, 2016</w:t>
            </w:r>
          </w:p>
        </w:tc>
        <w:tc>
          <w:tcPr>
            <w:tcW w:w="1250" w:type="dxa"/>
            <w:vAlign w:val="center"/>
          </w:tcPr>
          <w:p w14:paraId="38A9BE04" w14:textId="099823CE" w:rsidR="00C0444A" w:rsidRPr="00D20BA6" w:rsidRDefault="00C0444A" w:rsidP="00C0444A">
            <w:pPr>
              <w:spacing w:line="300" w:lineRule="atLeast"/>
              <w:jc w:val="center"/>
              <w:rPr>
                <w:rFonts w:ascii="Arial" w:hAnsi="Arial" w:cs="Arial"/>
                <w:b/>
                <w:sz w:val="16"/>
                <w:szCs w:val="16"/>
              </w:rPr>
            </w:pPr>
            <w:r w:rsidRPr="00D20BA6">
              <w:rPr>
                <w:rFonts w:ascii="Arial" w:hAnsi="Arial" w:cs="Arial"/>
                <w:b/>
                <w:sz w:val="16"/>
                <w:szCs w:val="16"/>
              </w:rPr>
              <w:t>1,177,000</w:t>
            </w:r>
          </w:p>
        </w:tc>
        <w:tc>
          <w:tcPr>
            <w:tcW w:w="1374" w:type="dxa"/>
            <w:vAlign w:val="center"/>
          </w:tcPr>
          <w:p w14:paraId="62EB7638" w14:textId="77777777" w:rsidR="00C0444A" w:rsidRPr="00D20BA6" w:rsidRDefault="00C0444A" w:rsidP="00C0444A">
            <w:pPr>
              <w:spacing w:line="300" w:lineRule="atLeast"/>
              <w:jc w:val="center"/>
              <w:rPr>
                <w:rFonts w:ascii="Arial" w:hAnsi="Arial" w:cs="Arial"/>
                <w:b/>
                <w:sz w:val="16"/>
                <w:szCs w:val="16"/>
              </w:rPr>
            </w:pPr>
          </w:p>
        </w:tc>
        <w:tc>
          <w:tcPr>
            <w:tcW w:w="1497" w:type="dxa"/>
            <w:vAlign w:val="center"/>
          </w:tcPr>
          <w:p w14:paraId="7E232938" w14:textId="2CA24079" w:rsidR="00C0444A" w:rsidRPr="00D20BA6" w:rsidRDefault="00C0444A" w:rsidP="00C0444A">
            <w:pPr>
              <w:spacing w:line="300" w:lineRule="atLeast"/>
              <w:jc w:val="center"/>
              <w:rPr>
                <w:rFonts w:ascii="Arial" w:hAnsi="Arial" w:cs="Arial"/>
                <w:b/>
                <w:sz w:val="16"/>
                <w:szCs w:val="16"/>
              </w:rPr>
            </w:pPr>
            <w:r w:rsidRPr="00D20BA6">
              <w:rPr>
                <w:rFonts w:ascii="Arial" w:hAnsi="Arial" w:cs="Arial"/>
                <w:b/>
                <w:sz w:val="16"/>
                <w:szCs w:val="16"/>
              </w:rPr>
              <w:t>47.0 – 187.1 (117.1)</w:t>
            </w:r>
          </w:p>
        </w:tc>
        <w:tc>
          <w:tcPr>
            <w:tcW w:w="1489" w:type="dxa"/>
            <w:vAlign w:val="center"/>
          </w:tcPr>
          <w:p w14:paraId="25F1323F" w14:textId="679022FE" w:rsidR="00C0444A" w:rsidRPr="00D20BA6" w:rsidRDefault="00C0444A" w:rsidP="00C0444A">
            <w:pPr>
              <w:spacing w:line="300" w:lineRule="atLeast"/>
              <w:jc w:val="center"/>
              <w:rPr>
                <w:rFonts w:ascii="Arial" w:hAnsi="Arial" w:cs="Arial"/>
                <w:b/>
                <w:sz w:val="16"/>
                <w:szCs w:val="16"/>
              </w:rPr>
            </w:pPr>
            <w:r w:rsidRPr="00D20BA6">
              <w:rPr>
                <w:rFonts w:ascii="Arial" w:hAnsi="Arial" w:cs="Arial"/>
                <w:b/>
                <w:sz w:val="16"/>
                <w:szCs w:val="16"/>
              </w:rPr>
              <w:t>44.6 – 177.8 (111.2)</w:t>
            </w:r>
          </w:p>
        </w:tc>
        <w:tc>
          <w:tcPr>
            <w:tcW w:w="1575" w:type="dxa"/>
            <w:vAlign w:val="center"/>
          </w:tcPr>
          <w:p w14:paraId="312159C1" w14:textId="5CD5CAB4" w:rsidR="00C0444A" w:rsidRPr="00D20BA6" w:rsidRDefault="00CE2AE9" w:rsidP="00C0444A">
            <w:pPr>
              <w:spacing w:line="300" w:lineRule="atLeast"/>
              <w:jc w:val="center"/>
              <w:rPr>
                <w:rFonts w:ascii="Arial" w:hAnsi="Arial" w:cs="Arial"/>
                <w:b/>
                <w:sz w:val="16"/>
                <w:szCs w:val="16"/>
              </w:rPr>
            </w:pPr>
            <w:r w:rsidRPr="00D20BA6">
              <w:rPr>
                <w:rFonts w:ascii="Arial" w:hAnsi="Arial" w:cs="Arial"/>
                <w:b/>
                <w:sz w:val="16"/>
                <w:szCs w:val="16"/>
              </w:rPr>
              <w:t>2.4 – 9.2</w:t>
            </w:r>
            <w:r w:rsidR="00C0444A" w:rsidRPr="00D20BA6">
              <w:rPr>
                <w:rFonts w:ascii="Arial" w:hAnsi="Arial" w:cs="Arial"/>
                <w:b/>
                <w:sz w:val="16"/>
                <w:szCs w:val="16"/>
              </w:rPr>
              <w:t xml:space="preserve"> </w:t>
            </w:r>
            <w:r w:rsidR="00004D1A" w:rsidRPr="00D20BA6">
              <w:rPr>
                <w:rFonts w:ascii="Arial" w:hAnsi="Arial" w:cs="Arial"/>
                <w:b/>
                <w:sz w:val="16"/>
                <w:szCs w:val="16"/>
              </w:rPr>
              <w:t xml:space="preserve"> </w:t>
            </w:r>
            <w:r w:rsidRPr="00D20BA6">
              <w:rPr>
                <w:rFonts w:ascii="Arial" w:hAnsi="Arial" w:cs="Arial"/>
                <w:b/>
                <w:sz w:val="16"/>
                <w:szCs w:val="16"/>
              </w:rPr>
              <w:br/>
              <w:t>(5.</w:t>
            </w:r>
            <w:r w:rsidR="00C0444A" w:rsidRPr="00D20BA6">
              <w:rPr>
                <w:rFonts w:ascii="Arial" w:hAnsi="Arial" w:cs="Arial"/>
                <w:b/>
                <w:sz w:val="16"/>
                <w:szCs w:val="16"/>
              </w:rPr>
              <w:t>8)</w:t>
            </w:r>
          </w:p>
        </w:tc>
      </w:tr>
      <w:tr w:rsidR="00DE6E9E" w:rsidRPr="00C0444A" w14:paraId="3BDB5320" w14:textId="77777777" w:rsidTr="00880597">
        <w:tc>
          <w:tcPr>
            <w:tcW w:w="1876" w:type="dxa"/>
            <w:vAlign w:val="center"/>
          </w:tcPr>
          <w:p w14:paraId="48DCA628" w14:textId="43F54ED6" w:rsidR="00903DB8" w:rsidRPr="00D20BA6" w:rsidRDefault="00903DB8" w:rsidP="00661D0D">
            <w:pPr>
              <w:spacing w:line="300" w:lineRule="atLeast"/>
              <w:rPr>
                <w:rFonts w:ascii="Arial" w:hAnsi="Arial" w:cs="Arial"/>
                <w:b/>
                <w:sz w:val="16"/>
                <w:szCs w:val="16"/>
              </w:rPr>
            </w:pPr>
            <w:r w:rsidRPr="00D20BA6">
              <w:rPr>
                <w:rFonts w:ascii="Arial" w:hAnsi="Arial" w:cs="Arial"/>
                <w:b/>
                <w:sz w:val="16"/>
                <w:szCs w:val="16"/>
              </w:rPr>
              <w:t>Totals, 2020</w:t>
            </w:r>
          </w:p>
        </w:tc>
        <w:tc>
          <w:tcPr>
            <w:tcW w:w="1250" w:type="dxa"/>
            <w:vAlign w:val="center"/>
          </w:tcPr>
          <w:p w14:paraId="53DF2BD7" w14:textId="07D09DFE" w:rsidR="00903DB8" w:rsidRPr="00D20BA6" w:rsidRDefault="0098026F" w:rsidP="00C0444A">
            <w:pPr>
              <w:spacing w:line="300" w:lineRule="atLeast"/>
              <w:jc w:val="center"/>
              <w:rPr>
                <w:rFonts w:ascii="Arial" w:hAnsi="Arial" w:cs="Arial"/>
                <w:b/>
                <w:sz w:val="16"/>
                <w:szCs w:val="16"/>
              </w:rPr>
            </w:pPr>
            <w:r w:rsidRPr="00D20BA6">
              <w:rPr>
                <w:rFonts w:ascii="Arial" w:hAnsi="Arial" w:cs="Arial"/>
                <w:b/>
                <w:sz w:val="16"/>
                <w:szCs w:val="16"/>
              </w:rPr>
              <w:t>894,534</w:t>
            </w:r>
          </w:p>
        </w:tc>
        <w:tc>
          <w:tcPr>
            <w:tcW w:w="1374" w:type="dxa"/>
            <w:vAlign w:val="center"/>
          </w:tcPr>
          <w:p w14:paraId="33A1B2BE" w14:textId="77777777" w:rsidR="00903DB8" w:rsidRPr="00D20BA6" w:rsidRDefault="00903DB8" w:rsidP="00C0444A">
            <w:pPr>
              <w:spacing w:line="300" w:lineRule="atLeast"/>
              <w:jc w:val="center"/>
              <w:rPr>
                <w:rFonts w:ascii="Arial" w:hAnsi="Arial" w:cs="Arial"/>
                <w:b/>
                <w:sz w:val="16"/>
                <w:szCs w:val="16"/>
              </w:rPr>
            </w:pPr>
          </w:p>
        </w:tc>
        <w:tc>
          <w:tcPr>
            <w:tcW w:w="1497" w:type="dxa"/>
            <w:vAlign w:val="center"/>
          </w:tcPr>
          <w:p w14:paraId="5D53027B" w14:textId="5AC4555D" w:rsidR="00903DB8" w:rsidRPr="00D20BA6" w:rsidRDefault="0098026F" w:rsidP="00C0444A">
            <w:pPr>
              <w:spacing w:line="300" w:lineRule="atLeast"/>
              <w:jc w:val="center"/>
              <w:rPr>
                <w:rFonts w:ascii="Arial" w:hAnsi="Arial" w:cs="Arial"/>
                <w:b/>
                <w:sz w:val="16"/>
                <w:szCs w:val="16"/>
              </w:rPr>
            </w:pPr>
            <w:r w:rsidRPr="00D20BA6">
              <w:rPr>
                <w:rFonts w:ascii="Arial" w:hAnsi="Arial" w:cs="Arial"/>
                <w:b/>
                <w:sz w:val="16"/>
                <w:szCs w:val="16"/>
              </w:rPr>
              <w:t>35.5 – 142.9 (89.2)</w:t>
            </w:r>
          </w:p>
        </w:tc>
        <w:tc>
          <w:tcPr>
            <w:tcW w:w="1489" w:type="dxa"/>
            <w:vAlign w:val="center"/>
          </w:tcPr>
          <w:p w14:paraId="54931242" w14:textId="32188B5B" w:rsidR="00903DB8" w:rsidRPr="00D20BA6" w:rsidRDefault="0098026F" w:rsidP="00C0444A">
            <w:pPr>
              <w:spacing w:line="300" w:lineRule="atLeast"/>
              <w:jc w:val="center"/>
              <w:rPr>
                <w:rFonts w:ascii="Arial" w:hAnsi="Arial" w:cs="Arial"/>
                <w:b/>
                <w:sz w:val="16"/>
                <w:szCs w:val="16"/>
              </w:rPr>
            </w:pPr>
            <w:r w:rsidRPr="00D20BA6">
              <w:rPr>
                <w:rFonts w:ascii="Arial" w:hAnsi="Arial" w:cs="Arial"/>
                <w:b/>
                <w:sz w:val="16"/>
                <w:szCs w:val="16"/>
              </w:rPr>
              <w:t>33.7 – 135.8 (84.8)</w:t>
            </w:r>
          </w:p>
        </w:tc>
        <w:tc>
          <w:tcPr>
            <w:tcW w:w="1575" w:type="dxa"/>
            <w:vAlign w:val="center"/>
          </w:tcPr>
          <w:p w14:paraId="29304532" w14:textId="33F20BCF" w:rsidR="00903DB8" w:rsidRPr="00C441CE" w:rsidRDefault="0098026F" w:rsidP="00C0444A">
            <w:pPr>
              <w:spacing w:line="300" w:lineRule="atLeast"/>
              <w:jc w:val="center"/>
              <w:rPr>
                <w:rFonts w:ascii="Arial" w:hAnsi="Arial" w:cs="Arial"/>
                <w:b/>
                <w:sz w:val="16"/>
                <w:szCs w:val="16"/>
              </w:rPr>
            </w:pPr>
            <w:r w:rsidRPr="00D20BA6">
              <w:rPr>
                <w:rFonts w:ascii="Arial" w:hAnsi="Arial" w:cs="Arial"/>
                <w:b/>
                <w:sz w:val="16"/>
                <w:szCs w:val="16"/>
              </w:rPr>
              <w:t>1.8 – 7.2         (4.5)</w:t>
            </w:r>
          </w:p>
        </w:tc>
      </w:tr>
      <w:tr w:rsidR="009E1953" w:rsidRPr="00C0444A" w14:paraId="60AD32BF" w14:textId="77777777" w:rsidTr="00880597">
        <w:tc>
          <w:tcPr>
            <w:tcW w:w="1876" w:type="dxa"/>
            <w:vAlign w:val="center"/>
          </w:tcPr>
          <w:p w14:paraId="383CFA69" w14:textId="342F6233" w:rsidR="009E1953" w:rsidRPr="00D20BA6" w:rsidRDefault="009E1953" w:rsidP="00661D0D">
            <w:pPr>
              <w:spacing w:line="300" w:lineRule="atLeast"/>
              <w:rPr>
                <w:rFonts w:ascii="Arial" w:hAnsi="Arial" w:cs="Arial"/>
                <w:b/>
                <w:sz w:val="16"/>
                <w:szCs w:val="16"/>
              </w:rPr>
            </w:pPr>
            <w:r w:rsidRPr="00D20BA6">
              <w:rPr>
                <w:rFonts w:ascii="Arial" w:hAnsi="Arial" w:cs="Arial"/>
                <w:b/>
                <w:sz w:val="16"/>
                <w:szCs w:val="16"/>
              </w:rPr>
              <w:t>Totals, 2024</w:t>
            </w:r>
          </w:p>
        </w:tc>
        <w:tc>
          <w:tcPr>
            <w:tcW w:w="1250" w:type="dxa"/>
            <w:vAlign w:val="center"/>
          </w:tcPr>
          <w:p w14:paraId="165F539B" w14:textId="394FB81F" w:rsidR="009E1953" w:rsidRPr="00D20BA6" w:rsidRDefault="00431A53" w:rsidP="00C0444A">
            <w:pPr>
              <w:spacing w:line="300" w:lineRule="atLeast"/>
              <w:jc w:val="center"/>
              <w:rPr>
                <w:rFonts w:ascii="Arial" w:hAnsi="Arial" w:cs="Arial"/>
                <w:b/>
                <w:sz w:val="16"/>
                <w:szCs w:val="16"/>
              </w:rPr>
            </w:pPr>
            <w:r>
              <w:rPr>
                <w:rFonts w:ascii="Arial" w:hAnsi="Arial" w:cs="Arial"/>
                <w:b/>
                <w:sz w:val="16"/>
                <w:szCs w:val="16"/>
              </w:rPr>
              <w:t>755,695</w:t>
            </w:r>
          </w:p>
        </w:tc>
        <w:tc>
          <w:tcPr>
            <w:tcW w:w="1374" w:type="dxa"/>
            <w:vAlign w:val="center"/>
          </w:tcPr>
          <w:p w14:paraId="62172365" w14:textId="77777777" w:rsidR="009E1953" w:rsidRPr="00D20BA6" w:rsidRDefault="009E1953" w:rsidP="00C0444A">
            <w:pPr>
              <w:spacing w:line="300" w:lineRule="atLeast"/>
              <w:jc w:val="center"/>
              <w:rPr>
                <w:rFonts w:ascii="Arial" w:hAnsi="Arial" w:cs="Arial"/>
                <w:b/>
                <w:sz w:val="16"/>
                <w:szCs w:val="16"/>
              </w:rPr>
            </w:pPr>
          </w:p>
        </w:tc>
        <w:tc>
          <w:tcPr>
            <w:tcW w:w="1497" w:type="dxa"/>
            <w:vAlign w:val="center"/>
          </w:tcPr>
          <w:p w14:paraId="2CB5BB79" w14:textId="7DE8ABF2" w:rsidR="009E1953" w:rsidRPr="00D20BA6" w:rsidRDefault="00431A53" w:rsidP="00C0444A">
            <w:pPr>
              <w:spacing w:line="300" w:lineRule="atLeast"/>
              <w:jc w:val="center"/>
              <w:rPr>
                <w:rFonts w:ascii="Arial" w:hAnsi="Arial" w:cs="Arial"/>
                <w:b/>
                <w:sz w:val="16"/>
                <w:szCs w:val="16"/>
              </w:rPr>
            </w:pPr>
            <w:r>
              <w:rPr>
                <w:rFonts w:ascii="Arial" w:hAnsi="Arial" w:cs="Arial"/>
                <w:b/>
                <w:sz w:val="16"/>
                <w:szCs w:val="16"/>
              </w:rPr>
              <w:t>29.</w:t>
            </w:r>
            <w:r w:rsidR="00B42738">
              <w:rPr>
                <w:rFonts w:ascii="Arial" w:hAnsi="Arial" w:cs="Arial"/>
                <w:b/>
                <w:sz w:val="16"/>
                <w:szCs w:val="16"/>
              </w:rPr>
              <w:t>9</w:t>
            </w:r>
            <w:r w:rsidR="004A03DA" w:rsidRPr="00D20BA6">
              <w:rPr>
                <w:rFonts w:ascii="Arial" w:hAnsi="Arial" w:cs="Arial"/>
                <w:b/>
                <w:sz w:val="16"/>
                <w:szCs w:val="16"/>
              </w:rPr>
              <w:t xml:space="preserve">– </w:t>
            </w:r>
            <w:r>
              <w:rPr>
                <w:rFonts w:ascii="Arial" w:hAnsi="Arial" w:cs="Arial"/>
                <w:b/>
                <w:sz w:val="16"/>
                <w:szCs w:val="16"/>
              </w:rPr>
              <w:t>111.</w:t>
            </w:r>
            <w:r w:rsidR="00B42738">
              <w:rPr>
                <w:rFonts w:ascii="Arial" w:hAnsi="Arial" w:cs="Arial"/>
                <w:b/>
                <w:sz w:val="16"/>
                <w:szCs w:val="16"/>
              </w:rPr>
              <w:t xml:space="preserve">6 </w:t>
            </w:r>
            <w:r w:rsidR="004A03DA" w:rsidRPr="00D20BA6">
              <w:rPr>
                <w:rFonts w:ascii="Arial" w:hAnsi="Arial" w:cs="Arial"/>
                <w:b/>
                <w:sz w:val="16"/>
                <w:szCs w:val="16"/>
              </w:rPr>
              <w:t>(</w:t>
            </w:r>
            <w:r w:rsidR="00A973F5">
              <w:rPr>
                <w:rFonts w:ascii="Arial" w:hAnsi="Arial" w:cs="Arial"/>
                <w:b/>
                <w:sz w:val="16"/>
                <w:szCs w:val="16"/>
              </w:rPr>
              <w:t>70.71</w:t>
            </w:r>
            <w:r w:rsidR="004A03DA" w:rsidRPr="00D20BA6">
              <w:rPr>
                <w:rFonts w:ascii="Arial" w:hAnsi="Arial" w:cs="Arial"/>
                <w:b/>
                <w:sz w:val="16"/>
                <w:szCs w:val="16"/>
              </w:rPr>
              <w:t>)</w:t>
            </w:r>
          </w:p>
        </w:tc>
        <w:tc>
          <w:tcPr>
            <w:tcW w:w="1489" w:type="dxa"/>
            <w:vAlign w:val="center"/>
          </w:tcPr>
          <w:p w14:paraId="52E5EC5E" w14:textId="2BFFD995" w:rsidR="009E1953" w:rsidRPr="00D20BA6" w:rsidRDefault="00431A53" w:rsidP="00C0444A">
            <w:pPr>
              <w:spacing w:line="300" w:lineRule="atLeast"/>
              <w:jc w:val="center"/>
              <w:rPr>
                <w:rFonts w:ascii="Arial" w:hAnsi="Arial" w:cs="Arial"/>
                <w:b/>
                <w:sz w:val="16"/>
                <w:szCs w:val="16"/>
              </w:rPr>
            </w:pPr>
            <w:r>
              <w:rPr>
                <w:rFonts w:ascii="Arial" w:hAnsi="Arial" w:cs="Arial"/>
                <w:b/>
                <w:sz w:val="16"/>
                <w:szCs w:val="16"/>
              </w:rPr>
              <w:t>28.</w:t>
            </w:r>
            <w:r w:rsidR="00B42738">
              <w:rPr>
                <w:rFonts w:ascii="Arial" w:hAnsi="Arial" w:cs="Arial"/>
                <w:b/>
                <w:sz w:val="16"/>
                <w:szCs w:val="16"/>
              </w:rPr>
              <w:t>4</w:t>
            </w:r>
            <w:r w:rsidR="004A03DA" w:rsidRPr="00D20BA6">
              <w:rPr>
                <w:rFonts w:ascii="Arial" w:hAnsi="Arial" w:cs="Arial"/>
                <w:b/>
                <w:sz w:val="16"/>
                <w:szCs w:val="16"/>
              </w:rPr>
              <w:t xml:space="preserve"> – 10</w:t>
            </w:r>
            <w:r>
              <w:rPr>
                <w:rFonts w:ascii="Arial" w:hAnsi="Arial" w:cs="Arial"/>
                <w:b/>
                <w:sz w:val="16"/>
                <w:szCs w:val="16"/>
              </w:rPr>
              <w:t>5</w:t>
            </w:r>
            <w:r w:rsidR="004A03DA" w:rsidRPr="00D20BA6">
              <w:rPr>
                <w:rFonts w:ascii="Arial" w:hAnsi="Arial" w:cs="Arial"/>
                <w:b/>
                <w:sz w:val="16"/>
                <w:szCs w:val="16"/>
              </w:rPr>
              <w:t>.</w:t>
            </w:r>
            <w:r w:rsidR="00B42738">
              <w:rPr>
                <w:rFonts w:ascii="Arial" w:hAnsi="Arial" w:cs="Arial"/>
                <w:b/>
                <w:sz w:val="16"/>
                <w:szCs w:val="16"/>
              </w:rPr>
              <w:t xml:space="preserve">6 </w:t>
            </w:r>
            <w:r w:rsidR="004A03DA" w:rsidRPr="00D20BA6">
              <w:rPr>
                <w:rFonts w:ascii="Arial" w:hAnsi="Arial" w:cs="Arial"/>
                <w:b/>
                <w:sz w:val="16"/>
                <w:szCs w:val="16"/>
              </w:rPr>
              <w:t>(</w:t>
            </w:r>
            <w:r w:rsidR="00A973F5">
              <w:rPr>
                <w:rFonts w:ascii="Arial" w:hAnsi="Arial" w:cs="Arial"/>
                <w:b/>
                <w:sz w:val="16"/>
                <w:szCs w:val="16"/>
              </w:rPr>
              <w:t>67.17</w:t>
            </w:r>
            <w:r w:rsidR="004A03DA" w:rsidRPr="00D20BA6">
              <w:rPr>
                <w:rFonts w:ascii="Arial" w:hAnsi="Arial" w:cs="Arial"/>
                <w:b/>
                <w:sz w:val="16"/>
                <w:szCs w:val="16"/>
              </w:rPr>
              <w:t>)</w:t>
            </w:r>
          </w:p>
        </w:tc>
        <w:tc>
          <w:tcPr>
            <w:tcW w:w="1575" w:type="dxa"/>
            <w:vAlign w:val="center"/>
          </w:tcPr>
          <w:p w14:paraId="59A9C310" w14:textId="7DB2EF04" w:rsidR="009E1953" w:rsidRPr="00D20BA6" w:rsidRDefault="004A03DA" w:rsidP="00C0444A">
            <w:pPr>
              <w:spacing w:line="300" w:lineRule="atLeast"/>
              <w:jc w:val="center"/>
              <w:rPr>
                <w:rFonts w:ascii="Arial" w:hAnsi="Arial" w:cs="Arial"/>
                <w:b/>
                <w:sz w:val="16"/>
                <w:szCs w:val="16"/>
              </w:rPr>
            </w:pPr>
            <w:r w:rsidRPr="00D20BA6">
              <w:rPr>
                <w:rFonts w:ascii="Arial" w:hAnsi="Arial" w:cs="Arial"/>
                <w:b/>
                <w:sz w:val="16"/>
                <w:szCs w:val="16"/>
              </w:rPr>
              <w:t>1.4</w:t>
            </w:r>
            <w:r w:rsidR="00431A53">
              <w:rPr>
                <w:rFonts w:ascii="Arial" w:hAnsi="Arial" w:cs="Arial"/>
                <w:b/>
                <w:sz w:val="16"/>
                <w:szCs w:val="16"/>
              </w:rPr>
              <w:t>9</w:t>
            </w:r>
            <w:r w:rsidR="00B42738">
              <w:rPr>
                <w:rFonts w:ascii="Arial" w:hAnsi="Arial" w:cs="Arial"/>
                <w:b/>
                <w:sz w:val="16"/>
                <w:szCs w:val="16"/>
              </w:rPr>
              <w:t xml:space="preserve"> </w:t>
            </w:r>
            <w:r w:rsidRPr="00D20BA6">
              <w:rPr>
                <w:rFonts w:ascii="Arial" w:hAnsi="Arial" w:cs="Arial"/>
                <w:b/>
                <w:sz w:val="16"/>
                <w:szCs w:val="16"/>
              </w:rPr>
              <w:t xml:space="preserve">– </w:t>
            </w:r>
            <w:r w:rsidR="00A973F5">
              <w:rPr>
                <w:rFonts w:ascii="Arial" w:hAnsi="Arial" w:cs="Arial"/>
                <w:b/>
                <w:sz w:val="16"/>
                <w:szCs w:val="16"/>
              </w:rPr>
              <w:t>5.5</w:t>
            </w:r>
            <w:r w:rsidR="00B42738">
              <w:rPr>
                <w:rFonts w:ascii="Arial" w:hAnsi="Arial" w:cs="Arial"/>
                <w:b/>
                <w:sz w:val="16"/>
                <w:szCs w:val="16"/>
              </w:rPr>
              <w:t>8</w:t>
            </w:r>
            <w:r w:rsidRPr="00D20BA6">
              <w:rPr>
                <w:rFonts w:ascii="Arial" w:hAnsi="Arial" w:cs="Arial"/>
                <w:b/>
                <w:sz w:val="16"/>
                <w:szCs w:val="16"/>
              </w:rPr>
              <w:t xml:space="preserve"> (</w:t>
            </w:r>
            <w:r w:rsidR="00A973F5">
              <w:rPr>
                <w:rFonts w:ascii="Arial" w:hAnsi="Arial" w:cs="Arial"/>
                <w:b/>
                <w:sz w:val="16"/>
                <w:szCs w:val="16"/>
              </w:rPr>
              <w:t>3.5</w:t>
            </w:r>
            <w:r w:rsidR="007924F9">
              <w:rPr>
                <w:rFonts w:ascii="Arial" w:hAnsi="Arial" w:cs="Arial"/>
                <w:b/>
                <w:sz w:val="16"/>
                <w:szCs w:val="16"/>
              </w:rPr>
              <w:t>4</w:t>
            </w:r>
            <w:r w:rsidRPr="00D20BA6">
              <w:rPr>
                <w:rFonts w:ascii="Arial" w:hAnsi="Arial" w:cs="Arial"/>
                <w:b/>
                <w:sz w:val="16"/>
                <w:szCs w:val="16"/>
              </w:rPr>
              <w:t>)</w:t>
            </w:r>
          </w:p>
        </w:tc>
      </w:tr>
    </w:tbl>
    <w:p w14:paraId="6C0CC094" w14:textId="77777777" w:rsidR="00964BDB" w:rsidRPr="00C0444A" w:rsidRDefault="00964BDB" w:rsidP="00964BDB">
      <w:pPr>
        <w:spacing w:before="120" w:line="300" w:lineRule="atLeast"/>
        <w:jc w:val="both"/>
        <w:rPr>
          <w:rFonts w:ascii="Arial" w:hAnsi="Arial" w:cs="Arial"/>
          <w:b/>
          <w:szCs w:val="18"/>
        </w:rPr>
      </w:pPr>
      <w:r w:rsidRPr="00C0444A">
        <w:rPr>
          <w:rFonts w:ascii="Arial" w:hAnsi="Arial" w:cs="Arial"/>
          <w:b/>
          <w:szCs w:val="18"/>
        </w:rPr>
        <w:t xml:space="preserve">Certainty </w:t>
      </w:r>
      <w:r w:rsidR="00A97D5C" w:rsidRPr="00C0444A">
        <w:rPr>
          <w:rFonts w:ascii="Arial" w:hAnsi="Arial" w:cs="Arial"/>
          <w:b/>
          <w:szCs w:val="18"/>
        </w:rPr>
        <w:t>assessment</w:t>
      </w:r>
    </w:p>
    <w:p w14:paraId="4044ECD8" w14:textId="77777777" w:rsidR="00964BDB" w:rsidRPr="00C0444A" w:rsidRDefault="00964BDB" w:rsidP="003F0477">
      <w:pPr>
        <w:tabs>
          <w:tab w:val="left" w:pos="1701"/>
        </w:tabs>
        <w:spacing w:line="300" w:lineRule="atLeast"/>
        <w:jc w:val="both"/>
        <w:rPr>
          <w:szCs w:val="18"/>
        </w:rPr>
      </w:pPr>
      <w:r w:rsidRPr="00C0444A">
        <w:rPr>
          <w:szCs w:val="18"/>
        </w:rPr>
        <w:t xml:space="preserve">Activity data: </w:t>
      </w:r>
      <w:r w:rsidRPr="00C0444A">
        <w:rPr>
          <w:szCs w:val="18"/>
        </w:rPr>
        <w:tab/>
        <w:t>HIGH (because it was obtained from a national database)</w:t>
      </w:r>
    </w:p>
    <w:p w14:paraId="2F3EF6B5" w14:textId="77777777" w:rsidR="00964BDB" w:rsidRPr="00C0444A" w:rsidRDefault="00964BDB" w:rsidP="003F0477">
      <w:pPr>
        <w:tabs>
          <w:tab w:val="left" w:pos="1701"/>
        </w:tabs>
        <w:spacing w:line="300" w:lineRule="atLeast"/>
        <w:jc w:val="both"/>
        <w:rPr>
          <w:szCs w:val="18"/>
        </w:rPr>
      </w:pPr>
      <w:r w:rsidRPr="00C0444A">
        <w:rPr>
          <w:szCs w:val="18"/>
        </w:rPr>
        <w:t xml:space="preserve">Input estimates: </w:t>
      </w:r>
      <w:r w:rsidRPr="00C0444A">
        <w:rPr>
          <w:szCs w:val="18"/>
        </w:rPr>
        <w:tab/>
      </w:r>
      <w:r w:rsidR="00BE17CF" w:rsidRPr="00C0444A">
        <w:rPr>
          <w:szCs w:val="18"/>
        </w:rPr>
        <w:t>LOW</w:t>
      </w:r>
      <w:r w:rsidRPr="00C0444A">
        <w:rPr>
          <w:szCs w:val="18"/>
        </w:rPr>
        <w:t xml:space="preserve"> (because they are based on a </w:t>
      </w:r>
      <w:r w:rsidR="00BE17CF" w:rsidRPr="00C0444A">
        <w:rPr>
          <w:szCs w:val="18"/>
        </w:rPr>
        <w:t xml:space="preserve">limited </w:t>
      </w:r>
      <w:r w:rsidRPr="00C0444A">
        <w:rPr>
          <w:szCs w:val="18"/>
        </w:rPr>
        <w:t xml:space="preserve">range of </w:t>
      </w:r>
      <w:r w:rsidR="00BE17CF" w:rsidRPr="00C0444A">
        <w:rPr>
          <w:szCs w:val="18"/>
        </w:rPr>
        <w:t xml:space="preserve">published </w:t>
      </w:r>
      <w:r w:rsidR="003F0477" w:rsidRPr="00C0444A">
        <w:rPr>
          <w:szCs w:val="18"/>
        </w:rPr>
        <w:t xml:space="preserve">data </w:t>
      </w:r>
      <w:r w:rsidR="00BE17CF" w:rsidRPr="00C0444A">
        <w:rPr>
          <w:szCs w:val="18"/>
        </w:rPr>
        <w:t>and industry estimates</w:t>
      </w:r>
      <w:r w:rsidRPr="00C0444A">
        <w:rPr>
          <w:szCs w:val="18"/>
        </w:rPr>
        <w:t>)</w:t>
      </w:r>
    </w:p>
    <w:p w14:paraId="1D8B483C" w14:textId="00343257" w:rsidR="00B07B05" w:rsidRDefault="00964BDB" w:rsidP="003F0477">
      <w:pPr>
        <w:tabs>
          <w:tab w:val="left" w:pos="1701"/>
        </w:tabs>
        <w:spacing w:line="300" w:lineRule="atLeast"/>
        <w:jc w:val="both"/>
        <w:rPr>
          <w:szCs w:val="18"/>
        </w:rPr>
      </w:pPr>
      <w:r w:rsidRPr="00C0444A">
        <w:rPr>
          <w:szCs w:val="18"/>
        </w:rPr>
        <w:t xml:space="preserve">Output estimates: </w:t>
      </w:r>
      <w:r w:rsidRPr="00C0444A">
        <w:rPr>
          <w:szCs w:val="18"/>
        </w:rPr>
        <w:tab/>
        <w:t>LOW (because they are based on the default Toolkit output factors).</w:t>
      </w:r>
    </w:p>
    <w:p w14:paraId="6D7BE4FB" w14:textId="32E8F342" w:rsidR="00B07B05" w:rsidRDefault="00B07B05">
      <w:pPr>
        <w:spacing w:after="0"/>
        <w:rPr>
          <w:szCs w:val="18"/>
        </w:rPr>
      </w:pPr>
    </w:p>
    <w:p w14:paraId="035EEE68" w14:textId="77777777" w:rsidR="006D0512" w:rsidRPr="00C0444A" w:rsidRDefault="00450C4E" w:rsidP="00135B26">
      <w:pPr>
        <w:pStyle w:val="Heading2"/>
      </w:pPr>
      <w:bookmarkStart w:id="33" w:name="_Toc110355514"/>
      <w:r w:rsidRPr="00C0444A">
        <w:t xml:space="preserve">Mineral </w:t>
      </w:r>
      <w:r w:rsidR="00A97D5C" w:rsidRPr="00C0444A">
        <w:t>oils - extraction, refining and use</w:t>
      </w:r>
      <w:bookmarkEnd w:id="33"/>
    </w:p>
    <w:p w14:paraId="6BECBFA1" w14:textId="3CFAC816" w:rsidR="004A02C0" w:rsidRDefault="00872E08" w:rsidP="00872E08">
      <w:pPr>
        <w:spacing w:line="300" w:lineRule="atLeast"/>
        <w:jc w:val="both"/>
        <w:rPr>
          <w:szCs w:val="18"/>
        </w:rPr>
      </w:pPr>
      <w:r w:rsidRPr="00872E08">
        <w:rPr>
          <w:szCs w:val="18"/>
        </w:rPr>
        <w:t xml:space="preserve">This </w:t>
      </w:r>
      <w:r>
        <w:rPr>
          <w:szCs w:val="18"/>
        </w:rPr>
        <w:t xml:space="preserve">Toolkit </w:t>
      </w:r>
      <w:r w:rsidR="004A02C0" w:rsidRPr="00872E08">
        <w:rPr>
          <w:szCs w:val="18"/>
        </w:rPr>
        <w:t xml:space="preserve">sub-category </w:t>
      </w:r>
      <w:r>
        <w:rPr>
          <w:szCs w:val="18"/>
        </w:rPr>
        <w:t>covers the</w:t>
      </w:r>
      <w:r w:rsidRPr="00872E08">
        <w:rPr>
          <w:szCs w:val="18"/>
        </w:rPr>
        <w:t xml:space="preserve"> extraction</w:t>
      </w:r>
      <w:r w:rsidR="004A02C0">
        <w:rPr>
          <w:szCs w:val="18"/>
        </w:rPr>
        <w:t xml:space="preserve">, refining, and uses of mineral </w:t>
      </w:r>
      <w:r w:rsidRPr="00872E08">
        <w:rPr>
          <w:szCs w:val="18"/>
        </w:rPr>
        <w:t>oil (</w:t>
      </w:r>
      <w:r w:rsidR="004A02C0">
        <w:rPr>
          <w:szCs w:val="18"/>
        </w:rPr>
        <w:t>ie</w:t>
      </w:r>
      <w:r w:rsidR="00AF0C7B">
        <w:rPr>
          <w:szCs w:val="18"/>
        </w:rPr>
        <w:t>,</w:t>
      </w:r>
      <w:r w:rsidR="004A02C0">
        <w:rPr>
          <w:szCs w:val="18"/>
        </w:rPr>
        <w:t xml:space="preserve"> </w:t>
      </w:r>
      <w:r w:rsidRPr="00872E08">
        <w:rPr>
          <w:szCs w:val="18"/>
        </w:rPr>
        <w:t xml:space="preserve">petroleum </w:t>
      </w:r>
      <w:r w:rsidR="004A02C0">
        <w:rPr>
          <w:szCs w:val="18"/>
        </w:rPr>
        <w:t>products</w:t>
      </w:r>
      <w:r w:rsidRPr="00872E08">
        <w:rPr>
          <w:szCs w:val="18"/>
        </w:rPr>
        <w:t>). This includes the combustion of oil to provide power, heat,</w:t>
      </w:r>
      <w:r>
        <w:rPr>
          <w:szCs w:val="18"/>
        </w:rPr>
        <w:t xml:space="preserve"> </w:t>
      </w:r>
      <w:r w:rsidRPr="00872E08">
        <w:rPr>
          <w:szCs w:val="18"/>
        </w:rPr>
        <w:t xml:space="preserve">and transportation, and other </w:t>
      </w:r>
      <w:r w:rsidR="004A02C0">
        <w:rPr>
          <w:szCs w:val="18"/>
        </w:rPr>
        <w:t>re</w:t>
      </w:r>
      <w:r w:rsidR="00D51729">
        <w:rPr>
          <w:szCs w:val="18"/>
        </w:rPr>
        <w:t>lated uses, such as in bitumen.</w:t>
      </w:r>
      <w:r w:rsidR="004846AC">
        <w:rPr>
          <w:szCs w:val="18"/>
        </w:rPr>
        <w:t xml:space="preserve"> However, despite the relative potential complexity of these different areas, the input and output estimates can be broken down into a set of relatively straightforward calculations for the following three basic stages: oil extraction, oil refining and oil/petroleum combustion.</w:t>
      </w:r>
    </w:p>
    <w:p w14:paraId="74807800" w14:textId="77777777" w:rsidR="004A02C0" w:rsidRPr="000F66B1" w:rsidRDefault="004846AC" w:rsidP="00872E08">
      <w:pPr>
        <w:spacing w:line="300" w:lineRule="atLeast"/>
        <w:jc w:val="both"/>
        <w:rPr>
          <w:rFonts w:ascii="Arial" w:hAnsi="Arial" w:cs="Arial"/>
          <w:b/>
          <w:szCs w:val="18"/>
        </w:rPr>
      </w:pPr>
      <w:r w:rsidRPr="000F66B1">
        <w:rPr>
          <w:rFonts w:ascii="Arial" w:hAnsi="Arial" w:cs="Arial"/>
          <w:b/>
          <w:szCs w:val="18"/>
        </w:rPr>
        <w:t xml:space="preserve">Oil </w:t>
      </w:r>
      <w:r w:rsidR="00A97D5C" w:rsidRPr="000F66B1">
        <w:rPr>
          <w:rFonts w:ascii="Arial" w:hAnsi="Arial" w:cs="Arial"/>
          <w:b/>
          <w:szCs w:val="18"/>
        </w:rPr>
        <w:t>extraction</w:t>
      </w:r>
    </w:p>
    <w:p w14:paraId="7F888338" w14:textId="198FBFFD" w:rsidR="004846AC" w:rsidRDefault="00D14D6D" w:rsidP="00872E08">
      <w:pPr>
        <w:spacing w:line="300" w:lineRule="atLeast"/>
        <w:jc w:val="both"/>
        <w:rPr>
          <w:szCs w:val="18"/>
        </w:rPr>
      </w:pPr>
      <w:r>
        <w:rPr>
          <w:szCs w:val="18"/>
        </w:rPr>
        <w:t xml:space="preserve">There are currently </w:t>
      </w:r>
      <w:r w:rsidR="00B811F1">
        <w:rPr>
          <w:szCs w:val="18"/>
        </w:rPr>
        <w:t xml:space="preserve">16 </w:t>
      </w:r>
      <w:r w:rsidR="00BD603B">
        <w:rPr>
          <w:szCs w:val="18"/>
        </w:rPr>
        <w:t xml:space="preserve">productive oil fields in New Zealand, although the majority of production is accounted for by </w:t>
      </w:r>
      <w:r w:rsidR="00273DC2">
        <w:rPr>
          <w:szCs w:val="18"/>
        </w:rPr>
        <w:t xml:space="preserve">nine of these: Maari, Maui, Kapuni, Turangi, Mangahewa, Pohokura, Cheal, Kupe and Ngatoro. </w:t>
      </w:r>
      <w:r w:rsidR="00BD603B">
        <w:rPr>
          <w:szCs w:val="18"/>
        </w:rPr>
        <w:t>The combined production is a mixture of crude oil</w:t>
      </w:r>
      <w:r>
        <w:rPr>
          <w:szCs w:val="18"/>
        </w:rPr>
        <w:t>,</w:t>
      </w:r>
      <w:r w:rsidR="00BD603B">
        <w:rPr>
          <w:szCs w:val="18"/>
        </w:rPr>
        <w:t xml:space="preserve"> natural gas liquids, condensates and naphtha, with a total production in </w:t>
      </w:r>
      <w:r w:rsidR="00E31A39">
        <w:rPr>
          <w:szCs w:val="18"/>
        </w:rPr>
        <w:t>2024 of 830,480</w:t>
      </w:r>
      <w:r>
        <w:rPr>
          <w:szCs w:val="18"/>
        </w:rPr>
        <w:t xml:space="preserve"> tonnes</w:t>
      </w:r>
      <w:r w:rsidR="00B42738">
        <w:rPr>
          <w:szCs w:val="18"/>
        </w:rPr>
        <w:t xml:space="preserve"> (MBIE, 2025)</w:t>
      </w:r>
      <w:r>
        <w:rPr>
          <w:szCs w:val="18"/>
        </w:rPr>
        <w:t xml:space="preserve">. This is about </w:t>
      </w:r>
      <w:r w:rsidR="00E31A39">
        <w:rPr>
          <w:szCs w:val="18"/>
        </w:rPr>
        <w:t xml:space="preserve">14% lower than the 2020 production of 963,860 </w:t>
      </w:r>
      <w:r w:rsidR="00BD603B">
        <w:rPr>
          <w:szCs w:val="18"/>
        </w:rPr>
        <w:t>tonnes</w:t>
      </w:r>
      <w:r w:rsidR="00B811F1">
        <w:rPr>
          <w:szCs w:val="18"/>
        </w:rPr>
        <w:t xml:space="preserve"> and </w:t>
      </w:r>
      <w:r w:rsidR="00E31A39">
        <w:rPr>
          <w:szCs w:val="18"/>
        </w:rPr>
        <w:t xml:space="preserve">52% lower than the 2016 production of 1,584,650 </w:t>
      </w:r>
      <w:r w:rsidR="00B811F1">
        <w:rPr>
          <w:szCs w:val="18"/>
        </w:rPr>
        <w:t>tonnes</w:t>
      </w:r>
      <w:r w:rsidR="00BD603B">
        <w:rPr>
          <w:szCs w:val="18"/>
        </w:rPr>
        <w:t>.</w:t>
      </w:r>
      <w:r w:rsidR="00F0288A">
        <w:rPr>
          <w:szCs w:val="18"/>
        </w:rPr>
        <w:t xml:space="preserve"> No data </w:t>
      </w:r>
      <w:r w:rsidR="00DE7890">
        <w:rPr>
          <w:szCs w:val="18"/>
        </w:rPr>
        <w:t>are available</w:t>
      </w:r>
      <w:r w:rsidR="00F0288A">
        <w:rPr>
          <w:szCs w:val="18"/>
        </w:rPr>
        <w:t xml:space="preserve"> on the mercury content of any of this production, but the Toolkit recommends a default factor of 3.4 mg/tonne. Using this factor gives a total annual mercury input for New Zealand oil </w:t>
      </w:r>
      <w:r w:rsidR="00A63B7A">
        <w:rPr>
          <w:szCs w:val="18"/>
        </w:rPr>
        <w:t xml:space="preserve">extraction </w:t>
      </w:r>
      <w:r w:rsidR="00F0288A">
        <w:rPr>
          <w:szCs w:val="18"/>
        </w:rPr>
        <w:t xml:space="preserve">of </w:t>
      </w:r>
      <w:r w:rsidR="00E31A39">
        <w:rPr>
          <w:szCs w:val="18"/>
        </w:rPr>
        <w:t xml:space="preserve">2.82 </w:t>
      </w:r>
      <w:r w:rsidR="00DE7890">
        <w:rPr>
          <w:szCs w:val="18"/>
        </w:rPr>
        <w:t>kg in</w:t>
      </w:r>
      <w:r w:rsidR="00E31A39">
        <w:rPr>
          <w:szCs w:val="18"/>
        </w:rPr>
        <w:t xml:space="preserve"> 2024</w:t>
      </w:r>
      <w:r w:rsidR="00F0288A">
        <w:rPr>
          <w:szCs w:val="18"/>
        </w:rPr>
        <w:t>.</w:t>
      </w:r>
    </w:p>
    <w:p w14:paraId="331EF8DA" w14:textId="28D096E8" w:rsidR="004846AC" w:rsidRDefault="00F0288A" w:rsidP="00872E08">
      <w:pPr>
        <w:spacing w:line="300" w:lineRule="atLeast"/>
        <w:jc w:val="both"/>
        <w:rPr>
          <w:szCs w:val="18"/>
        </w:rPr>
      </w:pPr>
      <w:r>
        <w:rPr>
          <w:szCs w:val="18"/>
        </w:rPr>
        <w:t xml:space="preserve">The Toolkit indicates that there may be some minor releases of mercury (and other oil components) via the wastewater produced during oil extraction. This wastewater is </w:t>
      </w:r>
      <w:r w:rsidR="00A63B7A">
        <w:rPr>
          <w:szCs w:val="18"/>
        </w:rPr>
        <w:t xml:space="preserve">usually </w:t>
      </w:r>
      <w:r>
        <w:rPr>
          <w:szCs w:val="18"/>
        </w:rPr>
        <w:t xml:space="preserve">processed through oil/water separators so only minor amounts of contaminants are released via the </w:t>
      </w:r>
      <w:r w:rsidR="00A63B7A">
        <w:rPr>
          <w:szCs w:val="18"/>
        </w:rPr>
        <w:t xml:space="preserve">waste </w:t>
      </w:r>
      <w:r>
        <w:rPr>
          <w:szCs w:val="18"/>
        </w:rPr>
        <w:t xml:space="preserve">discharge. The Toolkit classifies the discharge as being to water but </w:t>
      </w:r>
      <w:r w:rsidR="006E3F1D">
        <w:rPr>
          <w:szCs w:val="18"/>
        </w:rPr>
        <w:t>at the</w:t>
      </w:r>
      <w:r>
        <w:rPr>
          <w:szCs w:val="18"/>
        </w:rPr>
        <w:t xml:space="preserve"> New Zealand</w:t>
      </w:r>
      <w:r w:rsidR="006E3F1D">
        <w:rPr>
          <w:szCs w:val="18"/>
        </w:rPr>
        <w:t xml:space="preserve"> </w:t>
      </w:r>
      <w:r w:rsidR="00D51729">
        <w:rPr>
          <w:szCs w:val="18"/>
        </w:rPr>
        <w:t xml:space="preserve">on-shore </w:t>
      </w:r>
      <w:r w:rsidR="006E3F1D">
        <w:rPr>
          <w:szCs w:val="18"/>
        </w:rPr>
        <w:t>oil fields</w:t>
      </w:r>
      <w:r>
        <w:rPr>
          <w:szCs w:val="18"/>
        </w:rPr>
        <w:t xml:space="preserve"> it is more likely to be to land.</w:t>
      </w:r>
      <w:r w:rsidR="006E3F1D">
        <w:rPr>
          <w:szCs w:val="18"/>
        </w:rPr>
        <w:t xml:space="preserve"> The default distribution factor is 0.2 (ie 20%), which indicates a potential release to land of </w:t>
      </w:r>
      <w:r w:rsidR="00E31A39">
        <w:rPr>
          <w:szCs w:val="18"/>
        </w:rPr>
        <w:t xml:space="preserve">0.564 </w:t>
      </w:r>
      <w:r w:rsidR="006E3F1D">
        <w:rPr>
          <w:szCs w:val="18"/>
        </w:rPr>
        <w:t>kg/year.</w:t>
      </w:r>
    </w:p>
    <w:p w14:paraId="463D8043" w14:textId="3AC5009C" w:rsidR="004846AC" w:rsidRDefault="006E3F1D" w:rsidP="00872E08">
      <w:pPr>
        <w:spacing w:line="300" w:lineRule="atLeast"/>
        <w:jc w:val="both"/>
        <w:rPr>
          <w:szCs w:val="18"/>
        </w:rPr>
      </w:pPr>
      <w:r>
        <w:rPr>
          <w:szCs w:val="18"/>
        </w:rPr>
        <w:t>Virtually all of New Zealand’s indigenous oil production is exported (</w:t>
      </w:r>
      <w:r w:rsidR="00DE7890">
        <w:rPr>
          <w:szCs w:val="18"/>
        </w:rPr>
        <w:t>MBIE,</w:t>
      </w:r>
      <w:r w:rsidR="00B73BD2">
        <w:rPr>
          <w:szCs w:val="18"/>
        </w:rPr>
        <w:t xml:space="preserve"> </w:t>
      </w:r>
      <w:r w:rsidR="00736244">
        <w:rPr>
          <w:szCs w:val="18"/>
        </w:rPr>
        <w:t>2025</w:t>
      </w:r>
      <w:r>
        <w:rPr>
          <w:szCs w:val="18"/>
        </w:rPr>
        <w:t>)</w:t>
      </w:r>
      <w:r w:rsidR="00F0288A">
        <w:rPr>
          <w:szCs w:val="18"/>
        </w:rPr>
        <w:t>.</w:t>
      </w:r>
      <w:r>
        <w:rPr>
          <w:szCs w:val="18"/>
        </w:rPr>
        <w:t xml:space="preserve"> Hence, the remainder of the </w:t>
      </w:r>
      <w:r w:rsidR="00C666D6">
        <w:rPr>
          <w:szCs w:val="18"/>
        </w:rPr>
        <w:t>2.82</w:t>
      </w:r>
      <w:r w:rsidR="00F03E7F">
        <w:rPr>
          <w:szCs w:val="18"/>
        </w:rPr>
        <w:t xml:space="preserve"> </w:t>
      </w:r>
      <w:r w:rsidR="00DE7890">
        <w:rPr>
          <w:szCs w:val="18"/>
        </w:rPr>
        <w:t>kg</w:t>
      </w:r>
      <w:r>
        <w:rPr>
          <w:szCs w:val="18"/>
        </w:rPr>
        <w:t xml:space="preserve"> of mercury inputs noted above </w:t>
      </w:r>
      <w:r w:rsidR="00DE7890">
        <w:rPr>
          <w:szCs w:val="18"/>
        </w:rPr>
        <w:t xml:space="preserve">(ie. </w:t>
      </w:r>
      <w:r w:rsidR="00736244">
        <w:rPr>
          <w:szCs w:val="18"/>
        </w:rPr>
        <w:t xml:space="preserve">2.26 kg) </w:t>
      </w:r>
      <w:r w:rsidR="00735952">
        <w:rPr>
          <w:szCs w:val="18"/>
        </w:rPr>
        <w:t xml:space="preserve">has </w:t>
      </w:r>
      <w:r>
        <w:rPr>
          <w:szCs w:val="18"/>
        </w:rPr>
        <w:t xml:space="preserve">not </w:t>
      </w:r>
      <w:r w:rsidR="00735952">
        <w:rPr>
          <w:szCs w:val="18"/>
        </w:rPr>
        <w:t xml:space="preserve">been </w:t>
      </w:r>
      <w:r>
        <w:rPr>
          <w:szCs w:val="18"/>
        </w:rPr>
        <w:t>included in this inventory.</w:t>
      </w:r>
    </w:p>
    <w:p w14:paraId="406E659A" w14:textId="77777777" w:rsidR="004A02C0" w:rsidRPr="000B082F" w:rsidRDefault="006E3F1D" w:rsidP="00872E08">
      <w:pPr>
        <w:spacing w:line="300" w:lineRule="atLeast"/>
        <w:jc w:val="both"/>
        <w:rPr>
          <w:rFonts w:ascii="Arial" w:hAnsi="Arial" w:cs="Arial"/>
          <w:b/>
          <w:szCs w:val="18"/>
        </w:rPr>
      </w:pPr>
      <w:r w:rsidRPr="000B082F">
        <w:rPr>
          <w:rFonts w:ascii="Arial" w:hAnsi="Arial" w:cs="Arial"/>
          <w:b/>
          <w:szCs w:val="18"/>
        </w:rPr>
        <w:t xml:space="preserve">Oil </w:t>
      </w:r>
      <w:r w:rsidR="00A97D5C" w:rsidRPr="000B082F">
        <w:rPr>
          <w:rFonts w:ascii="Arial" w:hAnsi="Arial" w:cs="Arial"/>
          <w:b/>
          <w:szCs w:val="18"/>
        </w:rPr>
        <w:t>refining</w:t>
      </w:r>
    </w:p>
    <w:p w14:paraId="400306EA" w14:textId="7751A9FC" w:rsidR="000B082F" w:rsidRDefault="00736244" w:rsidP="00872E08">
      <w:pPr>
        <w:spacing w:line="300" w:lineRule="atLeast"/>
        <w:jc w:val="both"/>
        <w:rPr>
          <w:szCs w:val="18"/>
        </w:rPr>
      </w:pPr>
      <w:r>
        <w:rPr>
          <w:szCs w:val="18"/>
        </w:rPr>
        <w:t>New Zealand’s only oil refinery at Marsden Point closed permanently for economic reasons on 31 March 2022.  The remaining facility is an import terminal for refined fuels, mainly petrol, diesel and jet fuel</w:t>
      </w:r>
      <w:r w:rsidR="005E28BC">
        <w:rPr>
          <w:szCs w:val="18"/>
        </w:rPr>
        <w:t xml:space="preserve"> (MBIE, 2025)</w:t>
      </w:r>
      <w:r>
        <w:rPr>
          <w:szCs w:val="18"/>
        </w:rPr>
        <w:t xml:space="preserve">.  With the closure of the refinery New Zealand’s imports of </w:t>
      </w:r>
      <w:r w:rsidR="005E28BC">
        <w:rPr>
          <w:szCs w:val="18"/>
        </w:rPr>
        <w:t>crude oil have dropped to zero, hence there are now no mercury emissions associated with this category.</w:t>
      </w:r>
    </w:p>
    <w:p w14:paraId="4F2D145A" w14:textId="77777777" w:rsidR="000B082F" w:rsidRPr="0042719D" w:rsidRDefault="0042719D" w:rsidP="00872E08">
      <w:pPr>
        <w:spacing w:line="300" w:lineRule="atLeast"/>
        <w:jc w:val="both"/>
        <w:rPr>
          <w:rFonts w:ascii="Arial" w:hAnsi="Arial" w:cs="Arial"/>
          <w:b/>
          <w:szCs w:val="18"/>
        </w:rPr>
      </w:pPr>
      <w:r w:rsidRPr="0042719D">
        <w:rPr>
          <w:rFonts w:ascii="Arial" w:hAnsi="Arial" w:cs="Arial"/>
          <w:b/>
          <w:szCs w:val="18"/>
        </w:rPr>
        <w:t xml:space="preserve">Use of </w:t>
      </w:r>
      <w:r w:rsidR="00A97D5C" w:rsidRPr="0042719D">
        <w:rPr>
          <w:rFonts w:ascii="Arial" w:hAnsi="Arial" w:cs="Arial"/>
          <w:b/>
          <w:szCs w:val="18"/>
        </w:rPr>
        <w:t>refined products</w:t>
      </w:r>
    </w:p>
    <w:p w14:paraId="0F729644" w14:textId="6199854C" w:rsidR="008E3038" w:rsidRPr="003833D6" w:rsidRDefault="005330E8" w:rsidP="003833D6">
      <w:pPr>
        <w:spacing w:line="300" w:lineRule="atLeast"/>
        <w:jc w:val="both"/>
        <w:rPr>
          <w:szCs w:val="18"/>
        </w:rPr>
      </w:pPr>
      <w:r>
        <w:rPr>
          <w:szCs w:val="18"/>
        </w:rPr>
        <w:t xml:space="preserve">The Toolkit makes very little distinction between the different ways in which oil products may be used, because it assumes that most of them will ultimately be burned, and all of the mercury will be discharged to air. The only sub-classes considered are residential heating and cooking, and industrial combustion facilities with a high degree of emission control. Residential heating and cooking </w:t>
      </w:r>
      <w:r w:rsidR="00416C15">
        <w:rPr>
          <w:szCs w:val="18"/>
        </w:rPr>
        <w:t xml:space="preserve">is a very minor component </w:t>
      </w:r>
      <w:r>
        <w:rPr>
          <w:szCs w:val="18"/>
        </w:rPr>
        <w:t>of total petroleum product consumption in New Zealand (</w:t>
      </w:r>
      <w:r w:rsidR="00416C15">
        <w:rPr>
          <w:szCs w:val="18"/>
        </w:rPr>
        <w:t>MBIE,</w:t>
      </w:r>
      <w:r w:rsidR="005E28BC">
        <w:rPr>
          <w:szCs w:val="18"/>
        </w:rPr>
        <w:t xml:space="preserve"> 2025</w:t>
      </w:r>
      <w:r>
        <w:rPr>
          <w:szCs w:val="18"/>
        </w:rPr>
        <w:t xml:space="preserve">), and there are no oil-fired industrial facilities in New Zealand with an advanced level of emission control. Hence the total consumption of refined oil products </w:t>
      </w:r>
      <w:r w:rsidR="00735952">
        <w:rPr>
          <w:szCs w:val="18"/>
        </w:rPr>
        <w:t>has been</w:t>
      </w:r>
      <w:r>
        <w:rPr>
          <w:szCs w:val="18"/>
        </w:rPr>
        <w:t xml:space="preserve"> accounted for under the ‘other combustion’ Toolkit category, which includes all uses in transportation, and in industrial and commercial applications.</w:t>
      </w:r>
    </w:p>
    <w:p w14:paraId="39FB72D0" w14:textId="63D18624" w:rsidR="009048D3" w:rsidRPr="003833D6" w:rsidRDefault="00577B10" w:rsidP="009048D3">
      <w:pPr>
        <w:spacing w:line="300" w:lineRule="atLeast"/>
        <w:jc w:val="both"/>
        <w:rPr>
          <w:szCs w:val="18"/>
        </w:rPr>
      </w:pPr>
      <w:r>
        <w:rPr>
          <w:szCs w:val="18"/>
        </w:rPr>
        <w:t xml:space="preserve">Total imports across all fuel types in 2024 were 7,291,170 tonnes (MBIE, 2025). </w:t>
      </w:r>
      <w:r w:rsidR="00EF50BC">
        <w:rPr>
          <w:szCs w:val="18"/>
        </w:rPr>
        <w:t>There is no data available on the mercury co</w:t>
      </w:r>
      <w:r w:rsidR="00D51729">
        <w:rPr>
          <w:szCs w:val="18"/>
        </w:rPr>
        <w:t xml:space="preserve">ntent of </w:t>
      </w:r>
      <w:r w:rsidR="005E28BC">
        <w:rPr>
          <w:szCs w:val="18"/>
        </w:rPr>
        <w:t xml:space="preserve">imported fuel products. </w:t>
      </w:r>
      <w:r w:rsidR="009F1200">
        <w:rPr>
          <w:szCs w:val="18"/>
        </w:rPr>
        <w:t>Th</w:t>
      </w:r>
      <w:r w:rsidR="005E28BC">
        <w:rPr>
          <w:szCs w:val="18"/>
        </w:rPr>
        <w:t xml:space="preserve">is </w:t>
      </w:r>
      <w:r>
        <w:rPr>
          <w:szCs w:val="18"/>
        </w:rPr>
        <w:t xml:space="preserve">has been </w:t>
      </w:r>
      <w:r w:rsidR="009F1200">
        <w:rPr>
          <w:szCs w:val="18"/>
        </w:rPr>
        <w:t>calculated</w:t>
      </w:r>
      <w:r w:rsidR="005D315D">
        <w:rPr>
          <w:szCs w:val="18"/>
        </w:rPr>
        <w:t xml:space="preserve"> using</w:t>
      </w:r>
      <w:r>
        <w:rPr>
          <w:szCs w:val="18"/>
        </w:rPr>
        <w:t xml:space="preserve"> </w:t>
      </w:r>
      <w:r w:rsidR="005E28BC">
        <w:rPr>
          <w:szCs w:val="18"/>
        </w:rPr>
        <w:t>the Toolkit default factor of 3.4 mg/tonne</w:t>
      </w:r>
      <w:r w:rsidR="005D315D">
        <w:rPr>
          <w:szCs w:val="18"/>
        </w:rPr>
        <w:t xml:space="preserve"> and subtracting the 20% fraction that remains with the country of origin in wastewater.</w:t>
      </w:r>
      <w:r w:rsidR="00B73BD2">
        <w:rPr>
          <w:szCs w:val="18"/>
        </w:rPr>
        <w:t xml:space="preserve"> </w:t>
      </w:r>
      <w:r w:rsidR="00EF50BC">
        <w:rPr>
          <w:szCs w:val="18"/>
        </w:rPr>
        <w:t xml:space="preserve">This indicates a total mercury input from </w:t>
      </w:r>
      <w:r>
        <w:rPr>
          <w:szCs w:val="18"/>
        </w:rPr>
        <w:t>use of refined products</w:t>
      </w:r>
      <w:r w:rsidR="00EF50BC">
        <w:rPr>
          <w:szCs w:val="18"/>
        </w:rPr>
        <w:t xml:space="preserve"> of about </w:t>
      </w:r>
      <w:r w:rsidR="005D315D">
        <w:rPr>
          <w:szCs w:val="18"/>
        </w:rPr>
        <w:t>19.83</w:t>
      </w:r>
      <w:r>
        <w:rPr>
          <w:szCs w:val="18"/>
        </w:rPr>
        <w:t xml:space="preserve"> </w:t>
      </w:r>
      <w:r w:rsidR="00EF50BC">
        <w:rPr>
          <w:szCs w:val="18"/>
        </w:rPr>
        <w:t>kg/year, and the same output quantity, in the form of discharges to air.</w:t>
      </w:r>
    </w:p>
    <w:p w14:paraId="07FE14B6" w14:textId="77777777" w:rsidR="002A7F9F" w:rsidRDefault="002A7F9F">
      <w:pPr>
        <w:spacing w:after="0"/>
        <w:rPr>
          <w:rFonts w:ascii="Arial" w:hAnsi="Arial" w:cs="Arial"/>
          <w:b/>
          <w:szCs w:val="18"/>
        </w:rPr>
      </w:pPr>
      <w:r>
        <w:rPr>
          <w:rFonts w:ascii="Arial" w:hAnsi="Arial" w:cs="Arial"/>
          <w:b/>
          <w:szCs w:val="18"/>
        </w:rPr>
        <w:br w:type="page"/>
      </w:r>
    </w:p>
    <w:p w14:paraId="7E7073AB" w14:textId="7913CF21" w:rsidR="005120F2" w:rsidRPr="00500691" w:rsidRDefault="005120F2" w:rsidP="005120F2">
      <w:pPr>
        <w:spacing w:line="300" w:lineRule="atLeast"/>
        <w:jc w:val="both"/>
        <w:rPr>
          <w:rFonts w:ascii="Arial" w:hAnsi="Arial" w:cs="Arial"/>
          <w:b/>
          <w:szCs w:val="18"/>
        </w:rPr>
      </w:pPr>
      <w:r w:rsidRPr="00500691">
        <w:rPr>
          <w:rFonts w:ascii="Arial" w:hAnsi="Arial" w:cs="Arial"/>
          <w:b/>
          <w:szCs w:val="18"/>
        </w:rPr>
        <w:t xml:space="preserve">Input and </w:t>
      </w:r>
      <w:r w:rsidR="00A97D5C" w:rsidRPr="00500691">
        <w:rPr>
          <w:rFonts w:ascii="Arial" w:hAnsi="Arial" w:cs="Arial"/>
          <w:b/>
          <w:szCs w:val="18"/>
        </w:rPr>
        <w:t>output estimates</w:t>
      </w:r>
    </w:p>
    <w:p w14:paraId="3B126CB8" w14:textId="57241B56" w:rsidR="008A3186" w:rsidRDefault="005120F2" w:rsidP="005120F2">
      <w:pPr>
        <w:spacing w:line="300" w:lineRule="atLeast"/>
        <w:jc w:val="both"/>
        <w:rPr>
          <w:szCs w:val="18"/>
        </w:rPr>
      </w:pPr>
      <w:r w:rsidRPr="005120F2">
        <w:rPr>
          <w:szCs w:val="18"/>
        </w:rPr>
        <w:t xml:space="preserve">The mercury input and output calculations for </w:t>
      </w:r>
      <w:r w:rsidR="00D51729">
        <w:rPr>
          <w:szCs w:val="18"/>
        </w:rPr>
        <w:t>Mineral Oils – Extraction, Refining and Use</w:t>
      </w:r>
      <w:r w:rsidRPr="005120F2">
        <w:rPr>
          <w:szCs w:val="18"/>
        </w:rPr>
        <w:t xml:space="preserve"> are </w:t>
      </w:r>
      <w:r>
        <w:rPr>
          <w:szCs w:val="18"/>
        </w:rPr>
        <w:t>summarised</w:t>
      </w:r>
      <w:r w:rsidRPr="005120F2">
        <w:rPr>
          <w:szCs w:val="18"/>
        </w:rPr>
        <w:t xml:space="preserve"> in</w:t>
      </w:r>
      <w:r w:rsidR="0059685F">
        <w:rPr>
          <w:szCs w:val="18"/>
        </w:rPr>
        <w:t xml:space="preserve"> Table 3-4</w:t>
      </w:r>
      <w:r w:rsidR="00E11AC9">
        <w:rPr>
          <w:szCs w:val="18"/>
        </w:rPr>
        <w:t>.</w:t>
      </w:r>
    </w:p>
    <w:p w14:paraId="4CE1A396" w14:textId="088F2139" w:rsidR="009048D3" w:rsidRPr="003833D6" w:rsidRDefault="005120F2" w:rsidP="005120F2">
      <w:pPr>
        <w:pStyle w:val="Caption"/>
        <w:spacing w:before="240"/>
        <w:rPr>
          <w:szCs w:val="18"/>
        </w:rPr>
      </w:pPr>
      <w:bookmarkStart w:id="34" w:name="_Ref358298544"/>
      <w:bookmarkStart w:id="35" w:name="_Toc110355462"/>
      <w:r w:rsidRPr="005120F2">
        <w:rPr>
          <w:rFonts w:ascii="Arial" w:hAnsi="Arial" w:cs="Arial"/>
        </w:rPr>
        <w:t xml:space="preserve">Table </w:t>
      </w:r>
      <w:r w:rsidR="00390C9F">
        <w:rPr>
          <w:rFonts w:ascii="Arial" w:hAnsi="Arial" w:cs="Arial"/>
        </w:rPr>
        <w:fldChar w:fldCharType="begin"/>
      </w:r>
      <w:r w:rsidR="00390C9F">
        <w:rPr>
          <w:rFonts w:ascii="Arial" w:hAnsi="Arial" w:cs="Arial"/>
        </w:rPr>
        <w:instrText xml:space="preserve"> STYLEREF 1 \s </w:instrText>
      </w:r>
      <w:r w:rsidR="00390C9F">
        <w:rPr>
          <w:rFonts w:ascii="Arial" w:hAnsi="Arial" w:cs="Arial"/>
        </w:rPr>
        <w:fldChar w:fldCharType="separate"/>
      </w:r>
      <w:r w:rsidR="00892B2D">
        <w:rPr>
          <w:rFonts w:ascii="Arial" w:hAnsi="Arial" w:cs="Arial"/>
          <w:noProof/>
        </w:rPr>
        <w:t>3</w:t>
      </w:r>
      <w:r w:rsidR="00390C9F">
        <w:rPr>
          <w:rFonts w:ascii="Arial" w:hAnsi="Arial" w:cs="Arial"/>
        </w:rPr>
        <w:fldChar w:fldCharType="end"/>
      </w:r>
      <w:r w:rsidR="00390C9F">
        <w:rPr>
          <w:rFonts w:ascii="Arial" w:hAnsi="Arial" w:cs="Arial"/>
        </w:rPr>
        <w:noBreakHyphen/>
      </w:r>
      <w:r w:rsidR="00390C9F">
        <w:rPr>
          <w:rFonts w:ascii="Arial" w:hAnsi="Arial" w:cs="Arial"/>
        </w:rPr>
        <w:fldChar w:fldCharType="begin"/>
      </w:r>
      <w:r w:rsidR="00390C9F">
        <w:rPr>
          <w:rFonts w:ascii="Arial" w:hAnsi="Arial" w:cs="Arial"/>
        </w:rPr>
        <w:instrText xml:space="preserve"> SEQ Table \* ARABIC \s 1 </w:instrText>
      </w:r>
      <w:r w:rsidR="00390C9F">
        <w:rPr>
          <w:rFonts w:ascii="Arial" w:hAnsi="Arial" w:cs="Arial"/>
        </w:rPr>
        <w:fldChar w:fldCharType="separate"/>
      </w:r>
      <w:r w:rsidR="00892B2D">
        <w:rPr>
          <w:rFonts w:ascii="Arial" w:hAnsi="Arial" w:cs="Arial"/>
          <w:noProof/>
        </w:rPr>
        <w:t>4</w:t>
      </w:r>
      <w:r w:rsidR="00390C9F">
        <w:rPr>
          <w:rFonts w:ascii="Arial" w:hAnsi="Arial" w:cs="Arial"/>
        </w:rPr>
        <w:fldChar w:fldCharType="end"/>
      </w:r>
      <w:bookmarkEnd w:id="34"/>
      <w:r w:rsidRPr="005120F2">
        <w:rPr>
          <w:rFonts w:ascii="Arial" w:hAnsi="Arial" w:cs="Arial"/>
        </w:rPr>
        <w:t>:</w:t>
      </w:r>
      <w:r>
        <w:t xml:space="preserve"> </w:t>
      </w:r>
      <w:r w:rsidR="00183044">
        <w:t xml:space="preserve"> </w:t>
      </w:r>
      <w:r w:rsidRPr="00284760">
        <w:rPr>
          <w:rFonts w:ascii="Arial" w:hAnsi="Arial" w:cs="Arial"/>
        </w:rPr>
        <w:t xml:space="preserve">Input and </w:t>
      </w:r>
      <w:r w:rsidR="00A97D5C" w:rsidRPr="00284760">
        <w:rPr>
          <w:rFonts w:ascii="Arial" w:hAnsi="Arial" w:cs="Arial"/>
        </w:rPr>
        <w:t>output estimates for</w:t>
      </w:r>
      <w:r w:rsidR="00A97D5C">
        <w:rPr>
          <w:rFonts w:ascii="Arial" w:hAnsi="Arial" w:cs="Arial"/>
        </w:rPr>
        <w:t xml:space="preserve"> mineral oils - extraction, refining and use</w:t>
      </w:r>
      <w:bookmarkEnd w:id="35"/>
    </w:p>
    <w:tbl>
      <w:tblPr>
        <w:tblStyle w:val="TableGrid"/>
        <w:tblW w:w="0" w:type="auto"/>
        <w:tblLook w:val="04A0" w:firstRow="1" w:lastRow="0" w:firstColumn="1" w:lastColumn="0" w:noHBand="0" w:noVBand="1"/>
      </w:tblPr>
      <w:tblGrid>
        <w:gridCol w:w="1374"/>
        <w:gridCol w:w="1171"/>
        <w:gridCol w:w="1059"/>
        <w:gridCol w:w="1191"/>
        <w:gridCol w:w="1042"/>
        <w:gridCol w:w="1047"/>
        <w:gridCol w:w="1041"/>
        <w:gridCol w:w="1136"/>
      </w:tblGrid>
      <w:tr w:rsidR="009B0A69" w14:paraId="6C5586B3" w14:textId="77777777" w:rsidTr="00880597">
        <w:trPr>
          <w:trHeight w:val="776"/>
        </w:trPr>
        <w:tc>
          <w:tcPr>
            <w:tcW w:w="1374" w:type="dxa"/>
            <w:vMerge w:val="restart"/>
            <w:vAlign w:val="center"/>
          </w:tcPr>
          <w:p w14:paraId="074D9C0B" w14:textId="77777777" w:rsidR="009B0A69" w:rsidRPr="00F31685" w:rsidRDefault="009B0A69" w:rsidP="00D51729">
            <w:pPr>
              <w:spacing w:line="300" w:lineRule="atLeast"/>
              <w:jc w:val="center"/>
              <w:rPr>
                <w:rFonts w:ascii="Arial" w:hAnsi="Arial" w:cs="Arial"/>
                <w:b/>
                <w:sz w:val="16"/>
                <w:szCs w:val="16"/>
              </w:rPr>
            </w:pPr>
            <w:r w:rsidRPr="00F31685">
              <w:rPr>
                <w:rFonts w:ascii="Arial" w:hAnsi="Arial" w:cs="Arial"/>
                <w:b/>
                <w:sz w:val="16"/>
                <w:szCs w:val="16"/>
              </w:rPr>
              <w:t>Source</w:t>
            </w:r>
          </w:p>
        </w:tc>
        <w:tc>
          <w:tcPr>
            <w:tcW w:w="1171" w:type="dxa"/>
            <w:vMerge w:val="restart"/>
            <w:vAlign w:val="center"/>
          </w:tcPr>
          <w:p w14:paraId="476810B6" w14:textId="77777777" w:rsidR="009B0A69" w:rsidRPr="00F31685" w:rsidRDefault="009B0A69" w:rsidP="00D51729">
            <w:pPr>
              <w:spacing w:line="300" w:lineRule="atLeast"/>
              <w:jc w:val="center"/>
              <w:rPr>
                <w:rFonts w:ascii="Arial" w:hAnsi="Arial" w:cs="Arial"/>
                <w:b/>
                <w:sz w:val="16"/>
                <w:szCs w:val="16"/>
              </w:rPr>
            </w:pPr>
            <w:r w:rsidRPr="00F31685">
              <w:rPr>
                <w:rFonts w:ascii="Arial" w:hAnsi="Arial" w:cs="Arial"/>
                <w:b/>
                <w:sz w:val="16"/>
                <w:szCs w:val="16"/>
              </w:rPr>
              <w:t>Activity Rate, tonnes/yr</w:t>
            </w:r>
          </w:p>
        </w:tc>
        <w:tc>
          <w:tcPr>
            <w:tcW w:w="1059" w:type="dxa"/>
            <w:vMerge w:val="restart"/>
            <w:vAlign w:val="center"/>
          </w:tcPr>
          <w:p w14:paraId="7E55F13A" w14:textId="77777777" w:rsidR="009B0A69" w:rsidRPr="00F31685" w:rsidRDefault="009B0A69" w:rsidP="00D51729">
            <w:pPr>
              <w:spacing w:line="300" w:lineRule="atLeast"/>
              <w:jc w:val="center"/>
              <w:rPr>
                <w:rFonts w:ascii="Arial" w:hAnsi="Arial" w:cs="Arial"/>
                <w:b/>
                <w:sz w:val="16"/>
                <w:szCs w:val="16"/>
              </w:rPr>
            </w:pPr>
            <w:r w:rsidRPr="00F31685">
              <w:rPr>
                <w:rFonts w:ascii="Arial" w:hAnsi="Arial" w:cs="Arial"/>
                <w:b/>
                <w:sz w:val="16"/>
                <w:szCs w:val="16"/>
              </w:rPr>
              <w:t>Mercury content, mg/kg</w:t>
            </w:r>
          </w:p>
        </w:tc>
        <w:tc>
          <w:tcPr>
            <w:tcW w:w="1191" w:type="dxa"/>
            <w:vMerge w:val="restart"/>
            <w:vAlign w:val="center"/>
          </w:tcPr>
          <w:p w14:paraId="4214397A" w14:textId="77777777" w:rsidR="009B0A69" w:rsidRPr="00F31685" w:rsidRDefault="009B0A69" w:rsidP="00D51729">
            <w:pPr>
              <w:spacing w:line="300" w:lineRule="atLeast"/>
              <w:jc w:val="center"/>
              <w:rPr>
                <w:rFonts w:ascii="Arial" w:hAnsi="Arial" w:cs="Arial"/>
                <w:b/>
                <w:sz w:val="16"/>
                <w:szCs w:val="16"/>
              </w:rPr>
            </w:pPr>
            <w:r w:rsidRPr="00F31685">
              <w:rPr>
                <w:rFonts w:ascii="Arial" w:hAnsi="Arial" w:cs="Arial"/>
                <w:b/>
                <w:sz w:val="16"/>
                <w:szCs w:val="16"/>
              </w:rPr>
              <w:t>Annual Mercury Inputs, kg/yr</w:t>
            </w:r>
          </w:p>
        </w:tc>
        <w:tc>
          <w:tcPr>
            <w:tcW w:w="4266" w:type="dxa"/>
            <w:gridSpan w:val="4"/>
            <w:vAlign w:val="center"/>
          </w:tcPr>
          <w:p w14:paraId="1CEDDD75" w14:textId="77777777" w:rsidR="009B0A69" w:rsidRPr="00F31685" w:rsidRDefault="009B0A69" w:rsidP="009B0A69">
            <w:pPr>
              <w:spacing w:line="300" w:lineRule="atLeast"/>
              <w:jc w:val="center"/>
              <w:rPr>
                <w:rFonts w:ascii="Arial" w:hAnsi="Arial" w:cs="Arial"/>
                <w:b/>
                <w:sz w:val="16"/>
                <w:szCs w:val="16"/>
              </w:rPr>
            </w:pPr>
            <w:r w:rsidRPr="009B0A69">
              <w:rPr>
                <w:rFonts w:ascii="Arial" w:hAnsi="Arial" w:cs="Arial"/>
                <w:b/>
                <w:sz w:val="16"/>
                <w:szCs w:val="16"/>
              </w:rPr>
              <w:t>Annual Mercury Outputs, kg/yr</w:t>
            </w:r>
          </w:p>
        </w:tc>
      </w:tr>
      <w:tr w:rsidR="009B0A69" w14:paraId="3B510E55" w14:textId="77777777" w:rsidTr="00880597">
        <w:tc>
          <w:tcPr>
            <w:tcW w:w="1374" w:type="dxa"/>
            <w:vMerge/>
            <w:vAlign w:val="center"/>
          </w:tcPr>
          <w:p w14:paraId="281D7FE2" w14:textId="77777777" w:rsidR="009B0A69" w:rsidRPr="00F31685" w:rsidRDefault="009B0A69" w:rsidP="00D51729">
            <w:pPr>
              <w:spacing w:line="300" w:lineRule="atLeast"/>
              <w:jc w:val="center"/>
              <w:rPr>
                <w:rFonts w:ascii="Arial" w:hAnsi="Arial" w:cs="Arial"/>
                <w:b/>
                <w:sz w:val="16"/>
                <w:szCs w:val="16"/>
              </w:rPr>
            </w:pPr>
          </w:p>
        </w:tc>
        <w:tc>
          <w:tcPr>
            <w:tcW w:w="1171" w:type="dxa"/>
            <w:vMerge/>
            <w:vAlign w:val="center"/>
          </w:tcPr>
          <w:p w14:paraId="0EBFC883" w14:textId="77777777" w:rsidR="009B0A69" w:rsidRPr="00F31685" w:rsidRDefault="009B0A69" w:rsidP="00D51729">
            <w:pPr>
              <w:spacing w:line="300" w:lineRule="atLeast"/>
              <w:jc w:val="center"/>
              <w:rPr>
                <w:rFonts w:ascii="Arial" w:hAnsi="Arial" w:cs="Arial"/>
                <w:b/>
                <w:sz w:val="16"/>
                <w:szCs w:val="16"/>
              </w:rPr>
            </w:pPr>
          </w:p>
        </w:tc>
        <w:tc>
          <w:tcPr>
            <w:tcW w:w="1059" w:type="dxa"/>
            <w:vMerge/>
            <w:vAlign w:val="center"/>
          </w:tcPr>
          <w:p w14:paraId="6E7C0109" w14:textId="77777777" w:rsidR="009B0A69" w:rsidRPr="00F31685" w:rsidRDefault="009B0A69" w:rsidP="00D51729">
            <w:pPr>
              <w:spacing w:line="300" w:lineRule="atLeast"/>
              <w:jc w:val="center"/>
              <w:rPr>
                <w:rFonts w:ascii="Arial" w:hAnsi="Arial" w:cs="Arial"/>
                <w:b/>
                <w:sz w:val="16"/>
                <w:szCs w:val="16"/>
              </w:rPr>
            </w:pPr>
          </w:p>
        </w:tc>
        <w:tc>
          <w:tcPr>
            <w:tcW w:w="1191" w:type="dxa"/>
            <w:vMerge/>
            <w:vAlign w:val="center"/>
          </w:tcPr>
          <w:p w14:paraId="26409FFF" w14:textId="77777777" w:rsidR="009B0A69" w:rsidRPr="00F31685" w:rsidRDefault="009B0A69" w:rsidP="00D51729">
            <w:pPr>
              <w:spacing w:line="300" w:lineRule="atLeast"/>
              <w:jc w:val="center"/>
              <w:rPr>
                <w:rFonts w:ascii="Arial" w:hAnsi="Arial" w:cs="Arial"/>
                <w:b/>
                <w:sz w:val="16"/>
                <w:szCs w:val="16"/>
              </w:rPr>
            </w:pPr>
          </w:p>
        </w:tc>
        <w:tc>
          <w:tcPr>
            <w:tcW w:w="1042" w:type="dxa"/>
            <w:vAlign w:val="center"/>
          </w:tcPr>
          <w:p w14:paraId="1846B881" w14:textId="77777777" w:rsidR="009B0A69" w:rsidRPr="00F31685" w:rsidRDefault="009B0A69" w:rsidP="00D51729">
            <w:pPr>
              <w:spacing w:line="300" w:lineRule="atLeast"/>
              <w:jc w:val="center"/>
              <w:rPr>
                <w:rFonts w:ascii="Arial" w:hAnsi="Arial" w:cs="Arial"/>
                <w:b/>
                <w:sz w:val="16"/>
                <w:szCs w:val="16"/>
              </w:rPr>
            </w:pPr>
            <w:r w:rsidRPr="00F31685">
              <w:rPr>
                <w:rFonts w:ascii="Arial" w:hAnsi="Arial" w:cs="Arial"/>
                <w:b/>
                <w:sz w:val="16"/>
                <w:szCs w:val="16"/>
              </w:rPr>
              <w:t>Air</w:t>
            </w:r>
          </w:p>
        </w:tc>
        <w:tc>
          <w:tcPr>
            <w:tcW w:w="1047" w:type="dxa"/>
            <w:vAlign w:val="center"/>
          </w:tcPr>
          <w:p w14:paraId="6C20EF8C" w14:textId="77777777" w:rsidR="009B0A69" w:rsidRPr="00F31685" w:rsidRDefault="009B0A69" w:rsidP="009B0A69">
            <w:pPr>
              <w:spacing w:line="300" w:lineRule="atLeast"/>
              <w:jc w:val="center"/>
              <w:rPr>
                <w:rFonts w:ascii="Arial" w:hAnsi="Arial" w:cs="Arial"/>
                <w:b/>
                <w:sz w:val="16"/>
                <w:szCs w:val="16"/>
              </w:rPr>
            </w:pPr>
            <w:r>
              <w:rPr>
                <w:rFonts w:ascii="Arial" w:hAnsi="Arial" w:cs="Arial"/>
                <w:b/>
                <w:sz w:val="16"/>
                <w:szCs w:val="16"/>
              </w:rPr>
              <w:t>Water</w:t>
            </w:r>
          </w:p>
        </w:tc>
        <w:tc>
          <w:tcPr>
            <w:tcW w:w="1041" w:type="dxa"/>
            <w:vAlign w:val="center"/>
          </w:tcPr>
          <w:p w14:paraId="4692C106" w14:textId="77777777" w:rsidR="009B0A69" w:rsidRDefault="009B0A69" w:rsidP="009B0A69">
            <w:pPr>
              <w:spacing w:line="300" w:lineRule="atLeast"/>
              <w:jc w:val="center"/>
              <w:rPr>
                <w:rFonts w:ascii="Arial" w:hAnsi="Arial" w:cs="Arial"/>
                <w:b/>
                <w:sz w:val="16"/>
                <w:szCs w:val="16"/>
              </w:rPr>
            </w:pPr>
            <w:r>
              <w:rPr>
                <w:rFonts w:ascii="Arial" w:hAnsi="Arial" w:cs="Arial"/>
                <w:b/>
                <w:sz w:val="16"/>
                <w:szCs w:val="16"/>
              </w:rPr>
              <w:t>Land</w:t>
            </w:r>
          </w:p>
        </w:tc>
        <w:tc>
          <w:tcPr>
            <w:tcW w:w="1136" w:type="dxa"/>
            <w:vAlign w:val="center"/>
          </w:tcPr>
          <w:p w14:paraId="0703E411" w14:textId="77777777" w:rsidR="009B0A69" w:rsidRPr="00F31685" w:rsidRDefault="006A0E8F" w:rsidP="00D51729">
            <w:pPr>
              <w:spacing w:line="300" w:lineRule="atLeast"/>
              <w:jc w:val="center"/>
              <w:rPr>
                <w:rFonts w:ascii="Arial" w:hAnsi="Arial" w:cs="Arial"/>
                <w:b/>
                <w:sz w:val="16"/>
                <w:szCs w:val="16"/>
              </w:rPr>
            </w:pPr>
            <w:r>
              <w:rPr>
                <w:rFonts w:ascii="Arial" w:hAnsi="Arial" w:cs="Arial"/>
                <w:b/>
                <w:sz w:val="16"/>
                <w:szCs w:val="16"/>
              </w:rPr>
              <w:t>Waste</w:t>
            </w:r>
          </w:p>
        </w:tc>
      </w:tr>
      <w:tr w:rsidR="009B0A69" w14:paraId="77671330" w14:textId="77777777" w:rsidTr="00880597">
        <w:tc>
          <w:tcPr>
            <w:tcW w:w="1374" w:type="dxa"/>
            <w:tcBorders>
              <w:bottom w:val="single" w:sz="4" w:space="0" w:color="auto"/>
            </w:tcBorders>
          </w:tcPr>
          <w:p w14:paraId="2F9FA886" w14:textId="77777777" w:rsidR="009B0A69" w:rsidRPr="00F31685" w:rsidRDefault="00E11AC9" w:rsidP="00355741">
            <w:pPr>
              <w:spacing w:line="300" w:lineRule="atLeast"/>
              <w:rPr>
                <w:rFonts w:ascii="Arial" w:hAnsi="Arial" w:cs="Arial"/>
                <w:sz w:val="16"/>
                <w:szCs w:val="16"/>
              </w:rPr>
            </w:pPr>
            <w:r>
              <w:rPr>
                <w:rFonts w:ascii="Arial" w:hAnsi="Arial" w:cs="Arial"/>
                <w:sz w:val="16"/>
                <w:szCs w:val="16"/>
              </w:rPr>
              <w:t>E</w:t>
            </w:r>
            <w:r w:rsidR="009B0A69">
              <w:rPr>
                <w:rFonts w:ascii="Arial" w:hAnsi="Arial" w:cs="Arial"/>
                <w:sz w:val="16"/>
                <w:szCs w:val="16"/>
              </w:rPr>
              <w:t>xtraction</w:t>
            </w:r>
            <w:r>
              <w:rPr>
                <w:rFonts w:ascii="Arial" w:hAnsi="Arial" w:cs="Arial"/>
                <w:sz w:val="16"/>
                <w:szCs w:val="16"/>
              </w:rPr>
              <w:t>, 2012</w:t>
            </w:r>
          </w:p>
        </w:tc>
        <w:tc>
          <w:tcPr>
            <w:tcW w:w="1171" w:type="dxa"/>
            <w:tcBorders>
              <w:bottom w:val="single" w:sz="4" w:space="0" w:color="auto"/>
            </w:tcBorders>
            <w:vAlign w:val="center"/>
          </w:tcPr>
          <w:p w14:paraId="1B10E7C3" w14:textId="77777777" w:rsidR="009B0A69" w:rsidRPr="00F31685" w:rsidRDefault="009B0A69" w:rsidP="00D51729">
            <w:pPr>
              <w:spacing w:line="300" w:lineRule="atLeast"/>
              <w:jc w:val="center"/>
              <w:rPr>
                <w:rFonts w:ascii="Arial" w:hAnsi="Arial" w:cs="Arial"/>
                <w:sz w:val="16"/>
                <w:szCs w:val="16"/>
              </w:rPr>
            </w:pPr>
            <w:r>
              <w:rPr>
                <w:rFonts w:ascii="Arial" w:hAnsi="Arial" w:cs="Arial"/>
                <w:sz w:val="16"/>
                <w:szCs w:val="16"/>
              </w:rPr>
              <w:t>1</w:t>
            </w:r>
            <w:r w:rsidR="00C653E2">
              <w:rPr>
                <w:rFonts w:ascii="Arial" w:hAnsi="Arial" w:cs="Arial"/>
                <w:sz w:val="16"/>
                <w:szCs w:val="16"/>
              </w:rPr>
              <w:t>,851</w:t>
            </w:r>
            <w:r>
              <w:rPr>
                <w:rFonts w:ascii="Arial" w:hAnsi="Arial" w:cs="Arial"/>
                <w:sz w:val="16"/>
                <w:szCs w:val="16"/>
              </w:rPr>
              <w:t>,000</w:t>
            </w:r>
          </w:p>
        </w:tc>
        <w:tc>
          <w:tcPr>
            <w:tcW w:w="1059" w:type="dxa"/>
            <w:tcBorders>
              <w:bottom w:val="single" w:sz="4" w:space="0" w:color="auto"/>
            </w:tcBorders>
            <w:vAlign w:val="center"/>
          </w:tcPr>
          <w:p w14:paraId="7297D776" w14:textId="77777777" w:rsidR="009B0A69" w:rsidRPr="00F31685" w:rsidRDefault="009B0A69" w:rsidP="00D51729">
            <w:pPr>
              <w:spacing w:line="300" w:lineRule="atLeast"/>
              <w:jc w:val="center"/>
              <w:rPr>
                <w:rFonts w:ascii="Arial" w:hAnsi="Arial" w:cs="Arial"/>
                <w:sz w:val="16"/>
                <w:szCs w:val="16"/>
              </w:rPr>
            </w:pPr>
            <w:r>
              <w:rPr>
                <w:rFonts w:ascii="Arial" w:hAnsi="Arial" w:cs="Arial"/>
                <w:sz w:val="16"/>
                <w:szCs w:val="16"/>
              </w:rPr>
              <w:t>0.0034</w:t>
            </w:r>
          </w:p>
        </w:tc>
        <w:tc>
          <w:tcPr>
            <w:tcW w:w="1191" w:type="dxa"/>
            <w:tcBorders>
              <w:bottom w:val="single" w:sz="4" w:space="0" w:color="auto"/>
            </w:tcBorders>
            <w:vAlign w:val="center"/>
          </w:tcPr>
          <w:p w14:paraId="4631CFD7" w14:textId="77777777" w:rsidR="009B0A69" w:rsidRPr="00F31685" w:rsidRDefault="009B0A69" w:rsidP="00735952">
            <w:pPr>
              <w:spacing w:line="300" w:lineRule="atLeast"/>
              <w:jc w:val="center"/>
              <w:rPr>
                <w:rFonts w:ascii="Arial" w:hAnsi="Arial" w:cs="Arial"/>
                <w:sz w:val="16"/>
                <w:szCs w:val="16"/>
              </w:rPr>
            </w:pPr>
            <w:r>
              <w:rPr>
                <w:rFonts w:ascii="Arial" w:hAnsi="Arial" w:cs="Arial"/>
                <w:sz w:val="16"/>
                <w:szCs w:val="16"/>
              </w:rPr>
              <w:t>1.</w:t>
            </w:r>
            <w:r w:rsidR="00735952">
              <w:rPr>
                <w:rFonts w:ascii="Arial" w:hAnsi="Arial" w:cs="Arial"/>
                <w:sz w:val="16"/>
                <w:szCs w:val="16"/>
              </w:rPr>
              <w:t>26</w:t>
            </w:r>
            <w:r w:rsidRPr="00D47F06">
              <w:rPr>
                <w:rFonts w:ascii="Arial" w:hAnsi="Arial" w:cs="Arial"/>
                <w:sz w:val="16"/>
                <w:szCs w:val="16"/>
                <w:vertAlign w:val="superscript"/>
              </w:rPr>
              <w:t>a</w:t>
            </w:r>
          </w:p>
        </w:tc>
        <w:tc>
          <w:tcPr>
            <w:tcW w:w="1042" w:type="dxa"/>
            <w:tcBorders>
              <w:bottom w:val="single" w:sz="4" w:space="0" w:color="auto"/>
            </w:tcBorders>
            <w:vAlign w:val="center"/>
          </w:tcPr>
          <w:p w14:paraId="7FFF3C40" w14:textId="77777777" w:rsidR="009B0A69" w:rsidRPr="00F31685" w:rsidRDefault="009B0A69" w:rsidP="00D51729">
            <w:pPr>
              <w:spacing w:line="300" w:lineRule="atLeast"/>
              <w:jc w:val="center"/>
              <w:rPr>
                <w:rFonts w:ascii="Arial" w:hAnsi="Arial" w:cs="Arial"/>
                <w:sz w:val="16"/>
                <w:szCs w:val="16"/>
              </w:rPr>
            </w:pPr>
            <w:r>
              <w:rPr>
                <w:rFonts w:ascii="Arial" w:hAnsi="Arial" w:cs="Arial"/>
                <w:sz w:val="16"/>
                <w:szCs w:val="16"/>
              </w:rPr>
              <w:t>-</w:t>
            </w:r>
          </w:p>
        </w:tc>
        <w:tc>
          <w:tcPr>
            <w:tcW w:w="1047" w:type="dxa"/>
            <w:tcBorders>
              <w:bottom w:val="single" w:sz="4" w:space="0" w:color="auto"/>
            </w:tcBorders>
          </w:tcPr>
          <w:p w14:paraId="7DB75896" w14:textId="77777777" w:rsidR="009B0A69" w:rsidRPr="00F31685" w:rsidRDefault="009B0A69" w:rsidP="00D51729">
            <w:pPr>
              <w:spacing w:line="300" w:lineRule="atLeast"/>
              <w:jc w:val="center"/>
              <w:rPr>
                <w:rFonts w:ascii="Arial" w:hAnsi="Arial" w:cs="Arial"/>
                <w:sz w:val="16"/>
                <w:szCs w:val="16"/>
              </w:rPr>
            </w:pPr>
            <w:r>
              <w:rPr>
                <w:rFonts w:ascii="Arial" w:hAnsi="Arial" w:cs="Arial"/>
                <w:sz w:val="16"/>
                <w:szCs w:val="16"/>
              </w:rPr>
              <w:t>-</w:t>
            </w:r>
          </w:p>
        </w:tc>
        <w:tc>
          <w:tcPr>
            <w:tcW w:w="1041" w:type="dxa"/>
            <w:tcBorders>
              <w:bottom w:val="single" w:sz="4" w:space="0" w:color="auto"/>
            </w:tcBorders>
          </w:tcPr>
          <w:p w14:paraId="7DCE5DB6" w14:textId="3944749D" w:rsidR="009B0A69" w:rsidRDefault="009B0A69" w:rsidP="00ED743F">
            <w:pPr>
              <w:spacing w:line="300" w:lineRule="atLeast"/>
              <w:jc w:val="center"/>
              <w:rPr>
                <w:rFonts w:ascii="Arial" w:hAnsi="Arial" w:cs="Arial"/>
                <w:sz w:val="16"/>
                <w:szCs w:val="16"/>
              </w:rPr>
            </w:pPr>
            <w:r>
              <w:rPr>
                <w:rFonts w:ascii="Arial" w:hAnsi="Arial" w:cs="Arial"/>
                <w:sz w:val="16"/>
                <w:szCs w:val="16"/>
              </w:rPr>
              <w:t>1.</w:t>
            </w:r>
            <w:r w:rsidR="00CE2AE9">
              <w:rPr>
                <w:rFonts w:ascii="Arial" w:hAnsi="Arial" w:cs="Arial"/>
                <w:sz w:val="16"/>
                <w:szCs w:val="16"/>
              </w:rPr>
              <w:t>3</w:t>
            </w:r>
          </w:p>
        </w:tc>
        <w:tc>
          <w:tcPr>
            <w:tcW w:w="1136" w:type="dxa"/>
            <w:tcBorders>
              <w:bottom w:val="single" w:sz="4" w:space="0" w:color="auto"/>
            </w:tcBorders>
            <w:vAlign w:val="center"/>
          </w:tcPr>
          <w:p w14:paraId="70EE0C9F" w14:textId="77777777" w:rsidR="009B0A69" w:rsidRPr="00F31685" w:rsidRDefault="009B0A69" w:rsidP="00D51729">
            <w:pPr>
              <w:spacing w:line="300" w:lineRule="atLeast"/>
              <w:jc w:val="center"/>
              <w:rPr>
                <w:rFonts w:ascii="Arial" w:hAnsi="Arial" w:cs="Arial"/>
                <w:sz w:val="16"/>
                <w:szCs w:val="16"/>
              </w:rPr>
            </w:pPr>
            <w:r>
              <w:rPr>
                <w:rFonts w:ascii="Arial" w:hAnsi="Arial" w:cs="Arial"/>
                <w:sz w:val="16"/>
                <w:szCs w:val="16"/>
              </w:rPr>
              <w:t>-</w:t>
            </w:r>
          </w:p>
        </w:tc>
      </w:tr>
      <w:tr w:rsidR="00E11AC9" w14:paraId="60A81404" w14:textId="77777777" w:rsidTr="00880597">
        <w:tc>
          <w:tcPr>
            <w:tcW w:w="1374" w:type="dxa"/>
            <w:tcBorders>
              <w:bottom w:val="single" w:sz="4" w:space="0" w:color="auto"/>
            </w:tcBorders>
          </w:tcPr>
          <w:p w14:paraId="48581A23" w14:textId="77777777" w:rsidR="00E11AC9" w:rsidRDefault="00E11AC9" w:rsidP="00355741">
            <w:pPr>
              <w:spacing w:line="300" w:lineRule="atLeast"/>
              <w:rPr>
                <w:rFonts w:ascii="Arial" w:hAnsi="Arial" w:cs="Arial"/>
                <w:sz w:val="16"/>
                <w:szCs w:val="16"/>
              </w:rPr>
            </w:pPr>
            <w:r>
              <w:rPr>
                <w:rFonts w:ascii="Arial" w:hAnsi="Arial" w:cs="Arial"/>
                <w:sz w:val="16"/>
                <w:szCs w:val="16"/>
              </w:rPr>
              <w:t>Extraction, 2016</w:t>
            </w:r>
          </w:p>
        </w:tc>
        <w:tc>
          <w:tcPr>
            <w:tcW w:w="1171" w:type="dxa"/>
            <w:tcBorders>
              <w:bottom w:val="single" w:sz="4" w:space="0" w:color="auto"/>
            </w:tcBorders>
            <w:vAlign w:val="center"/>
          </w:tcPr>
          <w:p w14:paraId="76EF9ABC" w14:textId="77777777" w:rsidR="00E11AC9" w:rsidRDefault="00E11AC9" w:rsidP="00D51729">
            <w:pPr>
              <w:spacing w:line="300" w:lineRule="atLeast"/>
              <w:jc w:val="center"/>
              <w:rPr>
                <w:rFonts w:ascii="Arial" w:hAnsi="Arial" w:cs="Arial"/>
                <w:sz w:val="16"/>
                <w:szCs w:val="16"/>
              </w:rPr>
            </w:pPr>
            <w:r>
              <w:rPr>
                <w:rFonts w:ascii="Arial" w:hAnsi="Arial" w:cs="Arial"/>
                <w:sz w:val="16"/>
                <w:szCs w:val="16"/>
              </w:rPr>
              <w:t>1,584,650</w:t>
            </w:r>
          </w:p>
        </w:tc>
        <w:tc>
          <w:tcPr>
            <w:tcW w:w="1059" w:type="dxa"/>
            <w:tcBorders>
              <w:bottom w:val="single" w:sz="4" w:space="0" w:color="auto"/>
            </w:tcBorders>
            <w:vAlign w:val="center"/>
          </w:tcPr>
          <w:p w14:paraId="61101F52" w14:textId="77777777" w:rsidR="00E11AC9" w:rsidRDefault="00E11AC9" w:rsidP="00D51729">
            <w:pPr>
              <w:spacing w:line="300" w:lineRule="atLeast"/>
              <w:jc w:val="center"/>
              <w:rPr>
                <w:rFonts w:ascii="Arial" w:hAnsi="Arial" w:cs="Arial"/>
                <w:sz w:val="16"/>
                <w:szCs w:val="16"/>
              </w:rPr>
            </w:pPr>
            <w:r>
              <w:rPr>
                <w:rFonts w:ascii="Arial" w:hAnsi="Arial" w:cs="Arial"/>
                <w:sz w:val="16"/>
                <w:szCs w:val="16"/>
              </w:rPr>
              <w:t>0.0034</w:t>
            </w:r>
          </w:p>
        </w:tc>
        <w:tc>
          <w:tcPr>
            <w:tcW w:w="1191" w:type="dxa"/>
            <w:tcBorders>
              <w:bottom w:val="single" w:sz="4" w:space="0" w:color="auto"/>
            </w:tcBorders>
            <w:vAlign w:val="center"/>
          </w:tcPr>
          <w:p w14:paraId="428E84E6" w14:textId="77777777" w:rsidR="00E11AC9" w:rsidRDefault="00E11AC9" w:rsidP="00735952">
            <w:pPr>
              <w:spacing w:line="300" w:lineRule="atLeast"/>
              <w:jc w:val="center"/>
              <w:rPr>
                <w:rFonts w:ascii="Arial" w:hAnsi="Arial" w:cs="Arial"/>
                <w:sz w:val="16"/>
                <w:szCs w:val="16"/>
              </w:rPr>
            </w:pPr>
            <w:r>
              <w:rPr>
                <w:rFonts w:ascii="Arial" w:hAnsi="Arial" w:cs="Arial"/>
                <w:sz w:val="16"/>
                <w:szCs w:val="16"/>
              </w:rPr>
              <w:t>1.08</w:t>
            </w:r>
            <w:r w:rsidRPr="00E11AC9">
              <w:rPr>
                <w:rFonts w:ascii="Arial" w:hAnsi="Arial" w:cs="Arial"/>
                <w:sz w:val="16"/>
                <w:szCs w:val="16"/>
                <w:vertAlign w:val="superscript"/>
              </w:rPr>
              <w:t>a</w:t>
            </w:r>
          </w:p>
        </w:tc>
        <w:tc>
          <w:tcPr>
            <w:tcW w:w="1042" w:type="dxa"/>
            <w:tcBorders>
              <w:bottom w:val="single" w:sz="4" w:space="0" w:color="auto"/>
            </w:tcBorders>
            <w:vAlign w:val="center"/>
          </w:tcPr>
          <w:p w14:paraId="708D4BE9" w14:textId="77777777" w:rsidR="00E11AC9" w:rsidRDefault="00E11AC9" w:rsidP="00D51729">
            <w:pPr>
              <w:spacing w:line="300" w:lineRule="atLeast"/>
              <w:jc w:val="center"/>
              <w:rPr>
                <w:rFonts w:ascii="Arial" w:hAnsi="Arial" w:cs="Arial"/>
                <w:sz w:val="16"/>
                <w:szCs w:val="16"/>
              </w:rPr>
            </w:pPr>
            <w:r>
              <w:rPr>
                <w:rFonts w:ascii="Arial" w:hAnsi="Arial" w:cs="Arial"/>
                <w:sz w:val="16"/>
                <w:szCs w:val="16"/>
              </w:rPr>
              <w:t>-</w:t>
            </w:r>
          </w:p>
        </w:tc>
        <w:tc>
          <w:tcPr>
            <w:tcW w:w="1047" w:type="dxa"/>
            <w:tcBorders>
              <w:bottom w:val="single" w:sz="4" w:space="0" w:color="auto"/>
            </w:tcBorders>
          </w:tcPr>
          <w:p w14:paraId="77A61A1C" w14:textId="77777777" w:rsidR="00E11AC9" w:rsidRDefault="00E11AC9" w:rsidP="00D51729">
            <w:pPr>
              <w:spacing w:line="300" w:lineRule="atLeast"/>
              <w:jc w:val="center"/>
              <w:rPr>
                <w:rFonts w:ascii="Arial" w:hAnsi="Arial" w:cs="Arial"/>
                <w:sz w:val="16"/>
                <w:szCs w:val="16"/>
              </w:rPr>
            </w:pPr>
            <w:r>
              <w:rPr>
                <w:rFonts w:ascii="Arial" w:hAnsi="Arial" w:cs="Arial"/>
                <w:sz w:val="16"/>
                <w:szCs w:val="16"/>
              </w:rPr>
              <w:t>-</w:t>
            </w:r>
          </w:p>
        </w:tc>
        <w:tc>
          <w:tcPr>
            <w:tcW w:w="1041" w:type="dxa"/>
            <w:tcBorders>
              <w:bottom w:val="single" w:sz="4" w:space="0" w:color="auto"/>
            </w:tcBorders>
          </w:tcPr>
          <w:p w14:paraId="3A4496BD" w14:textId="666AC0B0" w:rsidR="00E11AC9" w:rsidRDefault="00CE2AE9" w:rsidP="00ED743F">
            <w:pPr>
              <w:spacing w:line="300" w:lineRule="atLeast"/>
              <w:jc w:val="center"/>
              <w:rPr>
                <w:rFonts w:ascii="Arial" w:hAnsi="Arial" w:cs="Arial"/>
                <w:sz w:val="16"/>
                <w:szCs w:val="16"/>
              </w:rPr>
            </w:pPr>
            <w:r>
              <w:rPr>
                <w:rFonts w:ascii="Arial" w:hAnsi="Arial" w:cs="Arial"/>
                <w:sz w:val="16"/>
                <w:szCs w:val="16"/>
              </w:rPr>
              <w:t>1.1</w:t>
            </w:r>
          </w:p>
        </w:tc>
        <w:tc>
          <w:tcPr>
            <w:tcW w:w="1136" w:type="dxa"/>
            <w:tcBorders>
              <w:bottom w:val="single" w:sz="4" w:space="0" w:color="auto"/>
            </w:tcBorders>
            <w:vAlign w:val="center"/>
          </w:tcPr>
          <w:p w14:paraId="7457A028" w14:textId="77777777" w:rsidR="00E11AC9" w:rsidRDefault="00E11AC9" w:rsidP="00D51729">
            <w:pPr>
              <w:spacing w:line="300" w:lineRule="atLeast"/>
              <w:jc w:val="center"/>
              <w:rPr>
                <w:rFonts w:ascii="Arial" w:hAnsi="Arial" w:cs="Arial"/>
                <w:sz w:val="16"/>
                <w:szCs w:val="16"/>
              </w:rPr>
            </w:pPr>
            <w:r>
              <w:rPr>
                <w:rFonts w:ascii="Arial" w:hAnsi="Arial" w:cs="Arial"/>
                <w:sz w:val="16"/>
                <w:szCs w:val="16"/>
              </w:rPr>
              <w:t>-</w:t>
            </w:r>
          </w:p>
        </w:tc>
      </w:tr>
      <w:tr w:rsidR="00DE6E9E" w14:paraId="460A3E64" w14:textId="77777777" w:rsidTr="00880597">
        <w:tc>
          <w:tcPr>
            <w:tcW w:w="1374" w:type="dxa"/>
            <w:tcBorders>
              <w:top w:val="single" w:sz="4" w:space="0" w:color="auto"/>
              <w:bottom w:val="double" w:sz="4" w:space="0" w:color="auto"/>
            </w:tcBorders>
          </w:tcPr>
          <w:p w14:paraId="6FD328D5" w14:textId="31CBB7BB" w:rsidR="00277403" w:rsidRDefault="00277403" w:rsidP="00355741">
            <w:pPr>
              <w:spacing w:line="300" w:lineRule="atLeast"/>
              <w:rPr>
                <w:rFonts w:ascii="Arial" w:hAnsi="Arial" w:cs="Arial"/>
                <w:sz w:val="16"/>
                <w:szCs w:val="16"/>
              </w:rPr>
            </w:pPr>
            <w:r>
              <w:rPr>
                <w:rFonts w:ascii="Arial" w:hAnsi="Arial" w:cs="Arial"/>
                <w:sz w:val="16"/>
                <w:szCs w:val="16"/>
              </w:rPr>
              <w:t>Extraction 2020</w:t>
            </w:r>
          </w:p>
        </w:tc>
        <w:tc>
          <w:tcPr>
            <w:tcW w:w="1171" w:type="dxa"/>
            <w:tcBorders>
              <w:top w:val="single" w:sz="4" w:space="0" w:color="auto"/>
              <w:bottom w:val="double" w:sz="4" w:space="0" w:color="auto"/>
            </w:tcBorders>
            <w:vAlign w:val="center"/>
          </w:tcPr>
          <w:p w14:paraId="12D260A1" w14:textId="62197CE3" w:rsidR="00277403" w:rsidRDefault="00277403" w:rsidP="00D51729">
            <w:pPr>
              <w:spacing w:line="300" w:lineRule="atLeast"/>
              <w:jc w:val="center"/>
              <w:rPr>
                <w:rFonts w:ascii="Arial" w:hAnsi="Arial" w:cs="Arial"/>
                <w:sz w:val="16"/>
                <w:szCs w:val="16"/>
              </w:rPr>
            </w:pPr>
            <w:r>
              <w:rPr>
                <w:rFonts w:ascii="Arial" w:hAnsi="Arial" w:cs="Arial"/>
                <w:sz w:val="16"/>
                <w:szCs w:val="16"/>
              </w:rPr>
              <w:t>963</w:t>
            </w:r>
            <w:r w:rsidR="009F1439">
              <w:rPr>
                <w:rFonts w:ascii="Arial" w:hAnsi="Arial" w:cs="Arial"/>
                <w:sz w:val="16"/>
                <w:szCs w:val="16"/>
              </w:rPr>
              <w:t>,</w:t>
            </w:r>
            <w:r>
              <w:rPr>
                <w:rFonts w:ascii="Arial" w:hAnsi="Arial" w:cs="Arial"/>
                <w:sz w:val="16"/>
                <w:szCs w:val="16"/>
              </w:rPr>
              <w:t>860</w:t>
            </w:r>
          </w:p>
        </w:tc>
        <w:tc>
          <w:tcPr>
            <w:tcW w:w="1059" w:type="dxa"/>
            <w:tcBorders>
              <w:top w:val="single" w:sz="4" w:space="0" w:color="auto"/>
              <w:bottom w:val="double" w:sz="4" w:space="0" w:color="auto"/>
            </w:tcBorders>
            <w:vAlign w:val="center"/>
          </w:tcPr>
          <w:p w14:paraId="2BD1ADAC" w14:textId="1BE18DF2" w:rsidR="00277403" w:rsidRDefault="00277403" w:rsidP="00D51729">
            <w:pPr>
              <w:spacing w:line="300" w:lineRule="atLeast"/>
              <w:jc w:val="center"/>
              <w:rPr>
                <w:rFonts w:ascii="Arial" w:hAnsi="Arial" w:cs="Arial"/>
                <w:sz w:val="16"/>
                <w:szCs w:val="16"/>
              </w:rPr>
            </w:pPr>
            <w:r>
              <w:rPr>
                <w:rFonts w:ascii="Arial" w:hAnsi="Arial" w:cs="Arial"/>
                <w:sz w:val="16"/>
                <w:szCs w:val="16"/>
              </w:rPr>
              <w:t>0.0034</w:t>
            </w:r>
          </w:p>
        </w:tc>
        <w:tc>
          <w:tcPr>
            <w:tcW w:w="1191" w:type="dxa"/>
            <w:tcBorders>
              <w:top w:val="single" w:sz="4" w:space="0" w:color="auto"/>
              <w:bottom w:val="double" w:sz="4" w:space="0" w:color="auto"/>
            </w:tcBorders>
            <w:vAlign w:val="center"/>
          </w:tcPr>
          <w:p w14:paraId="26006745" w14:textId="2431FB09" w:rsidR="00277403" w:rsidRDefault="00886BB1" w:rsidP="00735952">
            <w:pPr>
              <w:spacing w:line="300" w:lineRule="atLeast"/>
              <w:jc w:val="center"/>
              <w:rPr>
                <w:rFonts w:ascii="Arial" w:hAnsi="Arial" w:cs="Arial"/>
                <w:sz w:val="16"/>
                <w:szCs w:val="16"/>
              </w:rPr>
            </w:pPr>
            <w:r>
              <w:rPr>
                <w:rFonts w:ascii="Arial" w:hAnsi="Arial" w:cs="Arial"/>
                <w:sz w:val="16"/>
                <w:szCs w:val="16"/>
              </w:rPr>
              <w:t>0.</w:t>
            </w:r>
            <w:r w:rsidR="009D66D5">
              <w:rPr>
                <w:rFonts w:ascii="Arial" w:hAnsi="Arial" w:cs="Arial"/>
                <w:sz w:val="16"/>
                <w:szCs w:val="16"/>
              </w:rPr>
              <w:t>66</w:t>
            </w:r>
            <w:r w:rsidRPr="00DE6E9E">
              <w:rPr>
                <w:rFonts w:ascii="Arial" w:hAnsi="Arial" w:cs="Arial"/>
                <w:sz w:val="16"/>
                <w:szCs w:val="16"/>
                <w:vertAlign w:val="superscript"/>
              </w:rPr>
              <w:t>a</w:t>
            </w:r>
          </w:p>
        </w:tc>
        <w:tc>
          <w:tcPr>
            <w:tcW w:w="1042" w:type="dxa"/>
            <w:tcBorders>
              <w:top w:val="single" w:sz="4" w:space="0" w:color="auto"/>
              <w:bottom w:val="double" w:sz="4" w:space="0" w:color="auto"/>
            </w:tcBorders>
            <w:vAlign w:val="center"/>
          </w:tcPr>
          <w:p w14:paraId="788675FD" w14:textId="77777777" w:rsidR="00277403" w:rsidRDefault="00277403" w:rsidP="00D51729">
            <w:pPr>
              <w:spacing w:line="300" w:lineRule="atLeast"/>
              <w:jc w:val="center"/>
              <w:rPr>
                <w:rFonts w:ascii="Arial" w:hAnsi="Arial" w:cs="Arial"/>
                <w:sz w:val="16"/>
                <w:szCs w:val="16"/>
              </w:rPr>
            </w:pPr>
          </w:p>
        </w:tc>
        <w:tc>
          <w:tcPr>
            <w:tcW w:w="1047" w:type="dxa"/>
            <w:tcBorders>
              <w:top w:val="single" w:sz="4" w:space="0" w:color="auto"/>
              <w:bottom w:val="double" w:sz="4" w:space="0" w:color="auto"/>
            </w:tcBorders>
          </w:tcPr>
          <w:p w14:paraId="59696664" w14:textId="77777777" w:rsidR="00277403" w:rsidRDefault="00277403" w:rsidP="00D51729">
            <w:pPr>
              <w:spacing w:line="300" w:lineRule="atLeast"/>
              <w:jc w:val="center"/>
              <w:rPr>
                <w:rFonts w:ascii="Arial" w:hAnsi="Arial" w:cs="Arial"/>
                <w:sz w:val="16"/>
                <w:szCs w:val="16"/>
              </w:rPr>
            </w:pPr>
          </w:p>
        </w:tc>
        <w:tc>
          <w:tcPr>
            <w:tcW w:w="1041" w:type="dxa"/>
            <w:tcBorders>
              <w:top w:val="single" w:sz="4" w:space="0" w:color="auto"/>
              <w:bottom w:val="double" w:sz="4" w:space="0" w:color="auto"/>
            </w:tcBorders>
          </w:tcPr>
          <w:p w14:paraId="3B89F15B" w14:textId="56E10E25" w:rsidR="00277403" w:rsidRDefault="00886BB1" w:rsidP="00ED743F">
            <w:pPr>
              <w:spacing w:line="300" w:lineRule="atLeast"/>
              <w:jc w:val="center"/>
              <w:rPr>
                <w:rFonts w:ascii="Arial" w:hAnsi="Arial" w:cs="Arial"/>
                <w:sz w:val="16"/>
                <w:szCs w:val="16"/>
              </w:rPr>
            </w:pPr>
            <w:r>
              <w:rPr>
                <w:rFonts w:ascii="Arial" w:hAnsi="Arial" w:cs="Arial"/>
                <w:sz w:val="16"/>
                <w:szCs w:val="16"/>
              </w:rPr>
              <w:t>0.</w:t>
            </w:r>
            <w:r w:rsidR="009D66D5">
              <w:rPr>
                <w:rFonts w:ascii="Arial" w:hAnsi="Arial" w:cs="Arial"/>
                <w:sz w:val="16"/>
                <w:szCs w:val="16"/>
              </w:rPr>
              <w:t>66</w:t>
            </w:r>
          </w:p>
        </w:tc>
        <w:tc>
          <w:tcPr>
            <w:tcW w:w="1136" w:type="dxa"/>
            <w:tcBorders>
              <w:top w:val="single" w:sz="4" w:space="0" w:color="auto"/>
              <w:bottom w:val="double" w:sz="4" w:space="0" w:color="auto"/>
            </w:tcBorders>
            <w:vAlign w:val="center"/>
          </w:tcPr>
          <w:p w14:paraId="35FD0088" w14:textId="77777777" w:rsidR="00277403" w:rsidRDefault="00277403" w:rsidP="00D51729">
            <w:pPr>
              <w:spacing w:line="300" w:lineRule="atLeast"/>
              <w:jc w:val="center"/>
              <w:rPr>
                <w:rFonts w:ascii="Arial" w:hAnsi="Arial" w:cs="Arial"/>
                <w:sz w:val="16"/>
                <w:szCs w:val="16"/>
              </w:rPr>
            </w:pPr>
          </w:p>
        </w:tc>
      </w:tr>
      <w:tr w:rsidR="004C615A" w14:paraId="3BD2945E" w14:textId="77777777" w:rsidTr="00880597">
        <w:tc>
          <w:tcPr>
            <w:tcW w:w="1374" w:type="dxa"/>
            <w:tcBorders>
              <w:top w:val="single" w:sz="4" w:space="0" w:color="auto"/>
              <w:bottom w:val="double" w:sz="4" w:space="0" w:color="auto"/>
            </w:tcBorders>
          </w:tcPr>
          <w:p w14:paraId="467B41BF" w14:textId="2B58E96F" w:rsidR="004C615A" w:rsidRDefault="004C615A" w:rsidP="00355741">
            <w:pPr>
              <w:spacing w:line="300" w:lineRule="atLeast"/>
              <w:rPr>
                <w:rFonts w:ascii="Arial" w:hAnsi="Arial" w:cs="Arial"/>
                <w:sz w:val="16"/>
                <w:szCs w:val="16"/>
              </w:rPr>
            </w:pPr>
            <w:r>
              <w:rPr>
                <w:rFonts w:ascii="Arial" w:hAnsi="Arial" w:cs="Arial"/>
                <w:sz w:val="16"/>
                <w:szCs w:val="16"/>
              </w:rPr>
              <w:t>Extraction 2024</w:t>
            </w:r>
          </w:p>
        </w:tc>
        <w:tc>
          <w:tcPr>
            <w:tcW w:w="1171" w:type="dxa"/>
            <w:tcBorders>
              <w:top w:val="single" w:sz="4" w:space="0" w:color="auto"/>
              <w:bottom w:val="double" w:sz="4" w:space="0" w:color="auto"/>
            </w:tcBorders>
            <w:vAlign w:val="center"/>
          </w:tcPr>
          <w:p w14:paraId="01960645" w14:textId="034E85C4" w:rsidR="004C615A" w:rsidRDefault="004C615A" w:rsidP="00D51729">
            <w:pPr>
              <w:spacing w:line="300" w:lineRule="atLeast"/>
              <w:jc w:val="center"/>
              <w:rPr>
                <w:rFonts w:ascii="Arial" w:hAnsi="Arial" w:cs="Arial"/>
                <w:sz w:val="16"/>
                <w:szCs w:val="16"/>
              </w:rPr>
            </w:pPr>
            <w:r>
              <w:rPr>
                <w:rFonts w:ascii="Arial" w:hAnsi="Arial" w:cs="Arial"/>
                <w:sz w:val="16"/>
                <w:szCs w:val="16"/>
              </w:rPr>
              <w:t>830,480</w:t>
            </w:r>
          </w:p>
        </w:tc>
        <w:tc>
          <w:tcPr>
            <w:tcW w:w="1059" w:type="dxa"/>
            <w:tcBorders>
              <w:top w:val="single" w:sz="4" w:space="0" w:color="auto"/>
              <w:bottom w:val="double" w:sz="4" w:space="0" w:color="auto"/>
            </w:tcBorders>
            <w:vAlign w:val="center"/>
          </w:tcPr>
          <w:p w14:paraId="737B3C49" w14:textId="291C1C31" w:rsidR="004C615A" w:rsidRDefault="004C615A" w:rsidP="00D51729">
            <w:pPr>
              <w:spacing w:line="300" w:lineRule="atLeast"/>
              <w:jc w:val="center"/>
              <w:rPr>
                <w:rFonts w:ascii="Arial" w:hAnsi="Arial" w:cs="Arial"/>
                <w:sz w:val="16"/>
                <w:szCs w:val="16"/>
              </w:rPr>
            </w:pPr>
            <w:r>
              <w:rPr>
                <w:rFonts w:ascii="Arial" w:hAnsi="Arial" w:cs="Arial"/>
                <w:sz w:val="16"/>
                <w:szCs w:val="16"/>
              </w:rPr>
              <w:t>0.0034</w:t>
            </w:r>
          </w:p>
        </w:tc>
        <w:tc>
          <w:tcPr>
            <w:tcW w:w="1191" w:type="dxa"/>
            <w:tcBorders>
              <w:top w:val="single" w:sz="4" w:space="0" w:color="auto"/>
              <w:bottom w:val="double" w:sz="4" w:space="0" w:color="auto"/>
            </w:tcBorders>
            <w:vAlign w:val="center"/>
          </w:tcPr>
          <w:p w14:paraId="59C4B7B4" w14:textId="2DF579EC" w:rsidR="004C615A" w:rsidRDefault="004C615A" w:rsidP="00735952">
            <w:pPr>
              <w:spacing w:line="300" w:lineRule="atLeast"/>
              <w:jc w:val="center"/>
              <w:rPr>
                <w:rFonts w:ascii="Arial" w:hAnsi="Arial" w:cs="Arial"/>
                <w:sz w:val="16"/>
                <w:szCs w:val="16"/>
              </w:rPr>
            </w:pPr>
            <w:r>
              <w:rPr>
                <w:rFonts w:ascii="Arial" w:hAnsi="Arial" w:cs="Arial"/>
                <w:sz w:val="16"/>
                <w:szCs w:val="16"/>
              </w:rPr>
              <w:t>0.565</w:t>
            </w:r>
            <w:r w:rsidRPr="00D20BA6">
              <w:rPr>
                <w:rFonts w:ascii="Arial" w:hAnsi="Arial" w:cs="Arial"/>
                <w:sz w:val="16"/>
                <w:szCs w:val="16"/>
                <w:vertAlign w:val="superscript"/>
              </w:rPr>
              <w:t>a</w:t>
            </w:r>
          </w:p>
        </w:tc>
        <w:tc>
          <w:tcPr>
            <w:tcW w:w="1042" w:type="dxa"/>
            <w:tcBorders>
              <w:top w:val="single" w:sz="4" w:space="0" w:color="auto"/>
              <w:bottom w:val="double" w:sz="4" w:space="0" w:color="auto"/>
            </w:tcBorders>
            <w:vAlign w:val="center"/>
          </w:tcPr>
          <w:p w14:paraId="6AC84B15" w14:textId="77777777" w:rsidR="004C615A" w:rsidRDefault="004C615A" w:rsidP="00D51729">
            <w:pPr>
              <w:spacing w:line="300" w:lineRule="atLeast"/>
              <w:jc w:val="center"/>
              <w:rPr>
                <w:rFonts w:ascii="Arial" w:hAnsi="Arial" w:cs="Arial"/>
                <w:sz w:val="16"/>
                <w:szCs w:val="16"/>
              </w:rPr>
            </w:pPr>
          </w:p>
        </w:tc>
        <w:tc>
          <w:tcPr>
            <w:tcW w:w="1047" w:type="dxa"/>
            <w:tcBorders>
              <w:top w:val="single" w:sz="4" w:space="0" w:color="auto"/>
              <w:bottom w:val="double" w:sz="4" w:space="0" w:color="auto"/>
            </w:tcBorders>
          </w:tcPr>
          <w:p w14:paraId="20F5448A" w14:textId="77777777" w:rsidR="004C615A" w:rsidRDefault="004C615A" w:rsidP="00D51729">
            <w:pPr>
              <w:spacing w:line="300" w:lineRule="atLeast"/>
              <w:jc w:val="center"/>
              <w:rPr>
                <w:rFonts w:ascii="Arial" w:hAnsi="Arial" w:cs="Arial"/>
                <w:sz w:val="16"/>
                <w:szCs w:val="16"/>
              </w:rPr>
            </w:pPr>
          </w:p>
        </w:tc>
        <w:tc>
          <w:tcPr>
            <w:tcW w:w="1041" w:type="dxa"/>
            <w:tcBorders>
              <w:top w:val="single" w:sz="4" w:space="0" w:color="auto"/>
              <w:bottom w:val="double" w:sz="4" w:space="0" w:color="auto"/>
            </w:tcBorders>
          </w:tcPr>
          <w:p w14:paraId="7C5328C9" w14:textId="7FB4F304" w:rsidR="004C615A" w:rsidRDefault="004C615A" w:rsidP="00ED743F">
            <w:pPr>
              <w:spacing w:line="300" w:lineRule="atLeast"/>
              <w:jc w:val="center"/>
              <w:rPr>
                <w:rFonts w:ascii="Arial" w:hAnsi="Arial" w:cs="Arial"/>
                <w:sz w:val="16"/>
                <w:szCs w:val="16"/>
              </w:rPr>
            </w:pPr>
            <w:r>
              <w:rPr>
                <w:rFonts w:ascii="Arial" w:hAnsi="Arial" w:cs="Arial"/>
                <w:sz w:val="16"/>
                <w:szCs w:val="16"/>
              </w:rPr>
              <w:t>0.565</w:t>
            </w:r>
            <w:r w:rsidRPr="00CD0BC6">
              <w:rPr>
                <w:rFonts w:ascii="Arial" w:hAnsi="Arial" w:cs="Arial"/>
                <w:sz w:val="16"/>
                <w:szCs w:val="16"/>
                <w:vertAlign w:val="superscript"/>
              </w:rPr>
              <w:t xml:space="preserve"> a</w:t>
            </w:r>
          </w:p>
        </w:tc>
        <w:tc>
          <w:tcPr>
            <w:tcW w:w="1136" w:type="dxa"/>
            <w:tcBorders>
              <w:top w:val="single" w:sz="4" w:space="0" w:color="auto"/>
              <w:bottom w:val="double" w:sz="4" w:space="0" w:color="auto"/>
            </w:tcBorders>
            <w:vAlign w:val="center"/>
          </w:tcPr>
          <w:p w14:paraId="1D50B23D" w14:textId="77777777" w:rsidR="004C615A" w:rsidRDefault="004C615A" w:rsidP="00D51729">
            <w:pPr>
              <w:spacing w:line="300" w:lineRule="atLeast"/>
              <w:jc w:val="center"/>
              <w:rPr>
                <w:rFonts w:ascii="Arial" w:hAnsi="Arial" w:cs="Arial"/>
                <w:sz w:val="16"/>
                <w:szCs w:val="16"/>
              </w:rPr>
            </w:pPr>
          </w:p>
        </w:tc>
      </w:tr>
      <w:tr w:rsidR="009B0A69" w14:paraId="424E9245" w14:textId="77777777" w:rsidTr="00880597">
        <w:tc>
          <w:tcPr>
            <w:tcW w:w="1374" w:type="dxa"/>
            <w:tcBorders>
              <w:top w:val="double" w:sz="4" w:space="0" w:color="auto"/>
              <w:bottom w:val="single" w:sz="4" w:space="0" w:color="auto"/>
            </w:tcBorders>
          </w:tcPr>
          <w:p w14:paraId="2B14D677" w14:textId="77777777" w:rsidR="009B0A69" w:rsidRPr="00F31685" w:rsidRDefault="00E11AC9" w:rsidP="00355741">
            <w:pPr>
              <w:spacing w:line="300" w:lineRule="atLeast"/>
              <w:rPr>
                <w:rFonts w:ascii="Arial" w:hAnsi="Arial" w:cs="Arial"/>
                <w:sz w:val="16"/>
                <w:szCs w:val="16"/>
              </w:rPr>
            </w:pPr>
            <w:r>
              <w:rPr>
                <w:rFonts w:ascii="Arial" w:hAnsi="Arial" w:cs="Arial"/>
                <w:sz w:val="16"/>
                <w:szCs w:val="16"/>
              </w:rPr>
              <w:t>R</w:t>
            </w:r>
            <w:r w:rsidR="009B0A69">
              <w:rPr>
                <w:rFonts w:ascii="Arial" w:hAnsi="Arial" w:cs="Arial"/>
                <w:sz w:val="16"/>
                <w:szCs w:val="16"/>
              </w:rPr>
              <w:t>efining</w:t>
            </w:r>
            <w:r>
              <w:rPr>
                <w:rFonts w:ascii="Arial" w:hAnsi="Arial" w:cs="Arial"/>
                <w:sz w:val="16"/>
                <w:szCs w:val="16"/>
              </w:rPr>
              <w:t>, 2012</w:t>
            </w:r>
          </w:p>
        </w:tc>
        <w:tc>
          <w:tcPr>
            <w:tcW w:w="1171" w:type="dxa"/>
            <w:tcBorders>
              <w:top w:val="double" w:sz="4" w:space="0" w:color="auto"/>
              <w:bottom w:val="single" w:sz="4" w:space="0" w:color="auto"/>
            </w:tcBorders>
            <w:vAlign w:val="center"/>
          </w:tcPr>
          <w:p w14:paraId="5974541E" w14:textId="77777777" w:rsidR="009B0A69" w:rsidRDefault="009B0A69" w:rsidP="008269C3">
            <w:pPr>
              <w:spacing w:line="300" w:lineRule="atLeast"/>
              <w:jc w:val="center"/>
              <w:rPr>
                <w:rFonts w:ascii="Arial" w:hAnsi="Arial" w:cs="Arial"/>
                <w:sz w:val="16"/>
                <w:szCs w:val="16"/>
              </w:rPr>
            </w:pPr>
            <w:r>
              <w:rPr>
                <w:rFonts w:ascii="Arial" w:hAnsi="Arial" w:cs="Arial"/>
                <w:sz w:val="16"/>
                <w:szCs w:val="16"/>
              </w:rPr>
              <w:t>5,</w:t>
            </w:r>
            <w:r w:rsidR="008269C3">
              <w:rPr>
                <w:rFonts w:ascii="Arial" w:hAnsi="Arial" w:cs="Arial"/>
                <w:sz w:val="16"/>
                <w:szCs w:val="16"/>
              </w:rPr>
              <w:t>5</w:t>
            </w:r>
            <w:r>
              <w:rPr>
                <w:rFonts w:ascii="Arial" w:hAnsi="Arial" w:cs="Arial"/>
                <w:sz w:val="16"/>
                <w:szCs w:val="16"/>
              </w:rPr>
              <w:t>29,000</w:t>
            </w:r>
          </w:p>
        </w:tc>
        <w:tc>
          <w:tcPr>
            <w:tcW w:w="1059" w:type="dxa"/>
            <w:tcBorders>
              <w:top w:val="double" w:sz="4" w:space="0" w:color="auto"/>
              <w:bottom w:val="single" w:sz="4" w:space="0" w:color="auto"/>
            </w:tcBorders>
            <w:vAlign w:val="center"/>
          </w:tcPr>
          <w:p w14:paraId="5ECBE846" w14:textId="77777777" w:rsidR="009B0A69" w:rsidRDefault="009B0A69" w:rsidP="00D51729">
            <w:pPr>
              <w:spacing w:line="300" w:lineRule="atLeast"/>
              <w:jc w:val="center"/>
              <w:rPr>
                <w:rFonts w:ascii="Arial" w:hAnsi="Arial" w:cs="Arial"/>
                <w:sz w:val="16"/>
                <w:szCs w:val="16"/>
              </w:rPr>
            </w:pPr>
            <w:r>
              <w:rPr>
                <w:rFonts w:ascii="Arial" w:hAnsi="Arial" w:cs="Arial"/>
                <w:sz w:val="16"/>
                <w:szCs w:val="16"/>
              </w:rPr>
              <w:t>0.0034</w:t>
            </w:r>
          </w:p>
        </w:tc>
        <w:tc>
          <w:tcPr>
            <w:tcW w:w="1191" w:type="dxa"/>
            <w:tcBorders>
              <w:top w:val="double" w:sz="4" w:space="0" w:color="auto"/>
              <w:bottom w:val="single" w:sz="4" w:space="0" w:color="auto"/>
            </w:tcBorders>
            <w:vAlign w:val="center"/>
          </w:tcPr>
          <w:p w14:paraId="4F9ABC6A" w14:textId="77777777" w:rsidR="009B0A69" w:rsidRDefault="009B0A69" w:rsidP="00D51729">
            <w:pPr>
              <w:spacing w:line="300" w:lineRule="atLeast"/>
              <w:jc w:val="center"/>
              <w:rPr>
                <w:rFonts w:ascii="Arial" w:hAnsi="Arial" w:cs="Arial"/>
                <w:sz w:val="16"/>
                <w:szCs w:val="16"/>
              </w:rPr>
            </w:pPr>
            <w:r>
              <w:rPr>
                <w:rFonts w:ascii="Arial" w:hAnsi="Arial" w:cs="Arial"/>
                <w:sz w:val="16"/>
                <w:szCs w:val="16"/>
              </w:rPr>
              <w:t>18</w:t>
            </w:r>
            <w:r w:rsidR="008269C3">
              <w:rPr>
                <w:rFonts w:ascii="Arial" w:hAnsi="Arial" w:cs="Arial"/>
                <w:sz w:val="16"/>
                <w:szCs w:val="16"/>
              </w:rPr>
              <w:t>.8</w:t>
            </w:r>
          </w:p>
        </w:tc>
        <w:tc>
          <w:tcPr>
            <w:tcW w:w="1042" w:type="dxa"/>
            <w:tcBorders>
              <w:top w:val="double" w:sz="4" w:space="0" w:color="auto"/>
              <w:bottom w:val="single" w:sz="4" w:space="0" w:color="auto"/>
            </w:tcBorders>
            <w:vAlign w:val="center"/>
          </w:tcPr>
          <w:p w14:paraId="7E3B196D" w14:textId="77777777" w:rsidR="009B0A69" w:rsidRDefault="00BB0B0D" w:rsidP="00D51729">
            <w:pPr>
              <w:spacing w:line="300" w:lineRule="atLeast"/>
              <w:jc w:val="center"/>
              <w:rPr>
                <w:rFonts w:ascii="Arial" w:hAnsi="Arial" w:cs="Arial"/>
                <w:sz w:val="16"/>
                <w:szCs w:val="16"/>
              </w:rPr>
            </w:pPr>
            <w:r>
              <w:rPr>
                <w:rFonts w:ascii="Arial" w:hAnsi="Arial" w:cs="Arial"/>
                <w:sz w:val="16"/>
                <w:szCs w:val="16"/>
              </w:rPr>
              <w:t>4</w:t>
            </w:r>
            <w:r w:rsidR="008269C3">
              <w:rPr>
                <w:rFonts w:ascii="Arial" w:hAnsi="Arial" w:cs="Arial"/>
                <w:sz w:val="16"/>
                <w:szCs w:val="16"/>
              </w:rPr>
              <w:t>.7</w:t>
            </w:r>
          </w:p>
        </w:tc>
        <w:tc>
          <w:tcPr>
            <w:tcW w:w="1047" w:type="dxa"/>
            <w:tcBorders>
              <w:top w:val="double" w:sz="4" w:space="0" w:color="auto"/>
              <w:bottom w:val="single" w:sz="4" w:space="0" w:color="auto"/>
            </w:tcBorders>
          </w:tcPr>
          <w:p w14:paraId="3C4B7285" w14:textId="434204C2" w:rsidR="009B0A69" w:rsidRDefault="00CE2AE9" w:rsidP="00D51729">
            <w:pPr>
              <w:spacing w:line="300" w:lineRule="atLeast"/>
              <w:jc w:val="center"/>
              <w:rPr>
                <w:rFonts w:ascii="Arial" w:hAnsi="Arial" w:cs="Arial"/>
                <w:sz w:val="16"/>
                <w:szCs w:val="16"/>
              </w:rPr>
            </w:pPr>
            <w:r>
              <w:rPr>
                <w:rFonts w:ascii="Arial" w:hAnsi="Arial" w:cs="Arial"/>
                <w:sz w:val="16"/>
                <w:szCs w:val="16"/>
              </w:rPr>
              <w:t>0.2</w:t>
            </w:r>
          </w:p>
        </w:tc>
        <w:tc>
          <w:tcPr>
            <w:tcW w:w="1041" w:type="dxa"/>
            <w:tcBorders>
              <w:top w:val="double" w:sz="4" w:space="0" w:color="auto"/>
              <w:bottom w:val="single" w:sz="4" w:space="0" w:color="auto"/>
            </w:tcBorders>
          </w:tcPr>
          <w:p w14:paraId="35751EFA" w14:textId="77777777" w:rsidR="009B0A69" w:rsidRDefault="009B0A69" w:rsidP="00D51729">
            <w:pPr>
              <w:spacing w:line="300" w:lineRule="atLeast"/>
              <w:jc w:val="center"/>
              <w:rPr>
                <w:rFonts w:ascii="Arial" w:hAnsi="Arial" w:cs="Arial"/>
                <w:sz w:val="16"/>
                <w:szCs w:val="16"/>
              </w:rPr>
            </w:pPr>
            <w:r>
              <w:rPr>
                <w:rFonts w:ascii="Arial" w:hAnsi="Arial" w:cs="Arial"/>
                <w:sz w:val="16"/>
                <w:szCs w:val="16"/>
              </w:rPr>
              <w:t>-</w:t>
            </w:r>
          </w:p>
        </w:tc>
        <w:tc>
          <w:tcPr>
            <w:tcW w:w="1136" w:type="dxa"/>
            <w:tcBorders>
              <w:top w:val="double" w:sz="4" w:space="0" w:color="auto"/>
              <w:bottom w:val="single" w:sz="4" w:space="0" w:color="auto"/>
            </w:tcBorders>
            <w:vAlign w:val="center"/>
          </w:tcPr>
          <w:p w14:paraId="69321B4F" w14:textId="654115D1" w:rsidR="009B0A69" w:rsidRDefault="009B0A69" w:rsidP="00D51729">
            <w:pPr>
              <w:spacing w:line="300" w:lineRule="atLeast"/>
              <w:jc w:val="center"/>
              <w:rPr>
                <w:rFonts w:ascii="Arial" w:hAnsi="Arial" w:cs="Arial"/>
                <w:sz w:val="16"/>
                <w:szCs w:val="16"/>
              </w:rPr>
            </w:pPr>
            <w:r>
              <w:rPr>
                <w:rFonts w:ascii="Arial" w:hAnsi="Arial" w:cs="Arial"/>
                <w:sz w:val="16"/>
                <w:szCs w:val="16"/>
              </w:rPr>
              <w:t>2.</w:t>
            </w:r>
            <w:r w:rsidR="008269C3">
              <w:rPr>
                <w:rFonts w:ascii="Arial" w:hAnsi="Arial" w:cs="Arial"/>
                <w:sz w:val="16"/>
                <w:szCs w:val="16"/>
              </w:rPr>
              <w:t>8</w:t>
            </w:r>
          </w:p>
        </w:tc>
      </w:tr>
      <w:tr w:rsidR="00E11AC9" w14:paraId="0B4039EA" w14:textId="77777777" w:rsidTr="00880597">
        <w:tc>
          <w:tcPr>
            <w:tcW w:w="1374" w:type="dxa"/>
            <w:tcBorders>
              <w:bottom w:val="single" w:sz="4" w:space="0" w:color="auto"/>
            </w:tcBorders>
          </w:tcPr>
          <w:p w14:paraId="5B4E4279" w14:textId="77777777" w:rsidR="00E11AC9" w:rsidRDefault="00E11AC9" w:rsidP="00355741">
            <w:pPr>
              <w:spacing w:line="300" w:lineRule="atLeast"/>
              <w:rPr>
                <w:rFonts w:ascii="Arial" w:hAnsi="Arial" w:cs="Arial"/>
                <w:sz w:val="16"/>
                <w:szCs w:val="16"/>
              </w:rPr>
            </w:pPr>
            <w:r>
              <w:rPr>
                <w:rFonts w:ascii="Arial" w:hAnsi="Arial" w:cs="Arial"/>
                <w:sz w:val="16"/>
                <w:szCs w:val="16"/>
              </w:rPr>
              <w:t>Refining, 2016</w:t>
            </w:r>
          </w:p>
        </w:tc>
        <w:tc>
          <w:tcPr>
            <w:tcW w:w="1171" w:type="dxa"/>
            <w:tcBorders>
              <w:bottom w:val="single" w:sz="4" w:space="0" w:color="auto"/>
            </w:tcBorders>
            <w:vAlign w:val="center"/>
          </w:tcPr>
          <w:p w14:paraId="6458FAE4" w14:textId="77777777" w:rsidR="00E11AC9" w:rsidRDefault="00E11AC9" w:rsidP="008269C3">
            <w:pPr>
              <w:spacing w:line="300" w:lineRule="atLeast"/>
              <w:jc w:val="center"/>
              <w:rPr>
                <w:rFonts w:ascii="Arial" w:hAnsi="Arial" w:cs="Arial"/>
                <w:sz w:val="16"/>
                <w:szCs w:val="16"/>
              </w:rPr>
            </w:pPr>
            <w:r>
              <w:rPr>
                <w:rFonts w:ascii="Arial" w:hAnsi="Arial" w:cs="Arial"/>
                <w:sz w:val="16"/>
                <w:szCs w:val="16"/>
              </w:rPr>
              <w:t>5,529,950</w:t>
            </w:r>
          </w:p>
        </w:tc>
        <w:tc>
          <w:tcPr>
            <w:tcW w:w="1059" w:type="dxa"/>
            <w:tcBorders>
              <w:bottom w:val="single" w:sz="4" w:space="0" w:color="auto"/>
            </w:tcBorders>
            <w:vAlign w:val="center"/>
          </w:tcPr>
          <w:p w14:paraId="449DDBFD" w14:textId="77777777" w:rsidR="00E11AC9" w:rsidRDefault="00E11AC9" w:rsidP="00D51729">
            <w:pPr>
              <w:spacing w:line="300" w:lineRule="atLeast"/>
              <w:jc w:val="center"/>
              <w:rPr>
                <w:rFonts w:ascii="Arial" w:hAnsi="Arial" w:cs="Arial"/>
                <w:sz w:val="16"/>
                <w:szCs w:val="16"/>
              </w:rPr>
            </w:pPr>
            <w:r>
              <w:rPr>
                <w:rFonts w:ascii="Arial" w:hAnsi="Arial" w:cs="Arial"/>
                <w:sz w:val="16"/>
                <w:szCs w:val="16"/>
              </w:rPr>
              <w:t>0.0034</w:t>
            </w:r>
          </w:p>
        </w:tc>
        <w:tc>
          <w:tcPr>
            <w:tcW w:w="1191" w:type="dxa"/>
            <w:tcBorders>
              <w:bottom w:val="single" w:sz="4" w:space="0" w:color="auto"/>
            </w:tcBorders>
            <w:vAlign w:val="center"/>
          </w:tcPr>
          <w:p w14:paraId="770D469C" w14:textId="77777777" w:rsidR="00E11AC9" w:rsidRDefault="00E11AC9" w:rsidP="00D51729">
            <w:pPr>
              <w:spacing w:line="300" w:lineRule="atLeast"/>
              <w:jc w:val="center"/>
              <w:rPr>
                <w:rFonts w:ascii="Arial" w:hAnsi="Arial" w:cs="Arial"/>
                <w:sz w:val="16"/>
                <w:szCs w:val="16"/>
              </w:rPr>
            </w:pPr>
            <w:r>
              <w:rPr>
                <w:rFonts w:ascii="Arial" w:hAnsi="Arial" w:cs="Arial"/>
                <w:sz w:val="16"/>
                <w:szCs w:val="16"/>
              </w:rPr>
              <w:t>18.8</w:t>
            </w:r>
          </w:p>
        </w:tc>
        <w:tc>
          <w:tcPr>
            <w:tcW w:w="1042" w:type="dxa"/>
            <w:tcBorders>
              <w:bottom w:val="single" w:sz="4" w:space="0" w:color="auto"/>
            </w:tcBorders>
            <w:vAlign w:val="center"/>
          </w:tcPr>
          <w:p w14:paraId="535AB65F" w14:textId="77777777" w:rsidR="00E11AC9" w:rsidRDefault="00E11AC9" w:rsidP="00D51729">
            <w:pPr>
              <w:spacing w:line="300" w:lineRule="atLeast"/>
              <w:jc w:val="center"/>
              <w:rPr>
                <w:rFonts w:ascii="Arial" w:hAnsi="Arial" w:cs="Arial"/>
                <w:sz w:val="16"/>
                <w:szCs w:val="16"/>
              </w:rPr>
            </w:pPr>
            <w:r>
              <w:rPr>
                <w:rFonts w:ascii="Arial" w:hAnsi="Arial" w:cs="Arial"/>
                <w:sz w:val="16"/>
                <w:szCs w:val="16"/>
              </w:rPr>
              <w:t>4.7</w:t>
            </w:r>
          </w:p>
        </w:tc>
        <w:tc>
          <w:tcPr>
            <w:tcW w:w="1047" w:type="dxa"/>
            <w:tcBorders>
              <w:bottom w:val="single" w:sz="4" w:space="0" w:color="auto"/>
            </w:tcBorders>
          </w:tcPr>
          <w:p w14:paraId="5A134356" w14:textId="37C65063" w:rsidR="00E11AC9" w:rsidRDefault="00CE2AE9" w:rsidP="00D51729">
            <w:pPr>
              <w:spacing w:line="300" w:lineRule="atLeast"/>
              <w:jc w:val="center"/>
              <w:rPr>
                <w:rFonts w:ascii="Arial" w:hAnsi="Arial" w:cs="Arial"/>
                <w:sz w:val="16"/>
                <w:szCs w:val="16"/>
              </w:rPr>
            </w:pPr>
            <w:r>
              <w:rPr>
                <w:rFonts w:ascii="Arial" w:hAnsi="Arial" w:cs="Arial"/>
                <w:sz w:val="16"/>
                <w:szCs w:val="16"/>
              </w:rPr>
              <w:t>0.2</w:t>
            </w:r>
          </w:p>
        </w:tc>
        <w:tc>
          <w:tcPr>
            <w:tcW w:w="1041" w:type="dxa"/>
            <w:tcBorders>
              <w:bottom w:val="single" w:sz="4" w:space="0" w:color="auto"/>
            </w:tcBorders>
          </w:tcPr>
          <w:p w14:paraId="300B1881" w14:textId="77777777" w:rsidR="00E11AC9" w:rsidRDefault="00E11AC9" w:rsidP="00D51729">
            <w:pPr>
              <w:spacing w:line="300" w:lineRule="atLeast"/>
              <w:jc w:val="center"/>
              <w:rPr>
                <w:rFonts w:ascii="Arial" w:hAnsi="Arial" w:cs="Arial"/>
                <w:sz w:val="16"/>
                <w:szCs w:val="16"/>
              </w:rPr>
            </w:pPr>
            <w:r>
              <w:rPr>
                <w:rFonts w:ascii="Arial" w:hAnsi="Arial" w:cs="Arial"/>
                <w:sz w:val="16"/>
                <w:szCs w:val="16"/>
              </w:rPr>
              <w:t>-</w:t>
            </w:r>
          </w:p>
        </w:tc>
        <w:tc>
          <w:tcPr>
            <w:tcW w:w="1136" w:type="dxa"/>
            <w:tcBorders>
              <w:bottom w:val="single" w:sz="4" w:space="0" w:color="auto"/>
            </w:tcBorders>
            <w:vAlign w:val="center"/>
          </w:tcPr>
          <w:p w14:paraId="34B7D3AC" w14:textId="445CBCE5" w:rsidR="00E11AC9" w:rsidRDefault="00CE2AE9" w:rsidP="00D51729">
            <w:pPr>
              <w:spacing w:line="300" w:lineRule="atLeast"/>
              <w:jc w:val="center"/>
              <w:rPr>
                <w:rFonts w:ascii="Arial" w:hAnsi="Arial" w:cs="Arial"/>
                <w:sz w:val="16"/>
                <w:szCs w:val="16"/>
              </w:rPr>
            </w:pPr>
            <w:r>
              <w:rPr>
                <w:rFonts w:ascii="Arial" w:hAnsi="Arial" w:cs="Arial"/>
                <w:sz w:val="16"/>
                <w:szCs w:val="16"/>
              </w:rPr>
              <w:t>2.8</w:t>
            </w:r>
          </w:p>
        </w:tc>
      </w:tr>
      <w:tr w:rsidR="00803E5B" w14:paraId="471B5B04" w14:textId="77777777" w:rsidTr="00880597">
        <w:tc>
          <w:tcPr>
            <w:tcW w:w="1374" w:type="dxa"/>
            <w:tcBorders>
              <w:top w:val="single" w:sz="4" w:space="0" w:color="auto"/>
              <w:bottom w:val="double" w:sz="4" w:space="0" w:color="auto"/>
            </w:tcBorders>
          </w:tcPr>
          <w:p w14:paraId="40B8C46A" w14:textId="70ACED62" w:rsidR="00803E5B" w:rsidRDefault="00803E5B" w:rsidP="00355741">
            <w:pPr>
              <w:spacing w:line="300" w:lineRule="atLeast"/>
              <w:rPr>
                <w:rFonts w:ascii="Arial" w:hAnsi="Arial" w:cs="Arial"/>
                <w:sz w:val="16"/>
                <w:szCs w:val="16"/>
              </w:rPr>
            </w:pPr>
            <w:r>
              <w:rPr>
                <w:rFonts w:ascii="Arial" w:hAnsi="Arial" w:cs="Arial"/>
                <w:sz w:val="16"/>
                <w:szCs w:val="16"/>
              </w:rPr>
              <w:t>Refining 2020</w:t>
            </w:r>
          </w:p>
        </w:tc>
        <w:tc>
          <w:tcPr>
            <w:tcW w:w="1171" w:type="dxa"/>
            <w:tcBorders>
              <w:top w:val="single" w:sz="4" w:space="0" w:color="auto"/>
              <w:bottom w:val="double" w:sz="4" w:space="0" w:color="auto"/>
            </w:tcBorders>
            <w:vAlign w:val="center"/>
          </w:tcPr>
          <w:p w14:paraId="0B53F871" w14:textId="2938B50E" w:rsidR="00803E5B" w:rsidRDefault="00803E5B" w:rsidP="008269C3">
            <w:pPr>
              <w:spacing w:line="300" w:lineRule="atLeast"/>
              <w:jc w:val="center"/>
              <w:rPr>
                <w:rFonts w:ascii="Arial" w:hAnsi="Arial" w:cs="Arial"/>
                <w:sz w:val="16"/>
                <w:szCs w:val="16"/>
              </w:rPr>
            </w:pPr>
            <w:r>
              <w:rPr>
                <w:rFonts w:ascii="Arial" w:hAnsi="Arial" w:cs="Arial"/>
                <w:sz w:val="16"/>
                <w:szCs w:val="16"/>
              </w:rPr>
              <w:t>3,942,100</w:t>
            </w:r>
          </w:p>
        </w:tc>
        <w:tc>
          <w:tcPr>
            <w:tcW w:w="1059" w:type="dxa"/>
            <w:tcBorders>
              <w:top w:val="single" w:sz="4" w:space="0" w:color="auto"/>
              <w:bottom w:val="double" w:sz="4" w:space="0" w:color="auto"/>
            </w:tcBorders>
            <w:vAlign w:val="center"/>
          </w:tcPr>
          <w:p w14:paraId="2F6ECA0A" w14:textId="0ED06EDA" w:rsidR="00803E5B" w:rsidRDefault="00803E5B" w:rsidP="00D51729">
            <w:pPr>
              <w:spacing w:line="300" w:lineRule="atLeast"/>
              <w:jc w:val="center"/>
              <w:rPr>
                <w:rFonts w:ascii="Arial" w:hAnsi="Arial" w:cs="Arial"/>
                <w:sz w:val="16"/>
                <w:szCs w:val="16"/>
              </w:rPr>
            </w:pPr>
            <w:r>
              <w:rPr>
                <w:rFonts w:ascii="Arial" w:hAnsi="Arial" w:cs="Arial"/>
                <w:sz w:val="16"/>
                <w:szCs w:val="16"/>
              </w:rPr>
              <w:t>0.0034</w:t>
            </w:r>
          </w:p>
        </w:tc>
        <w:tc>
          <w:tcPr>
            <w:tcW w:w="1191" w:type="dxa"/>
            <w:tcBorders>
              <w:top w:val="single" w:sz="4" w:space="0" w:color="auto"/>
              <w:bottom w:val="double" w:sz="4" w:space="0" w:color="auto"/>
            </w:tcBorders>
            <w:vAlign w:val="center"/>
          </w:tcPr>
          <w:p w14:paraId="4849A3F2" w14:textId="2D59CBA0" w:rsidR="00803E5B" w:rsidRDefault="00803E5B" w:rsidP="00D51729">
            <w:pPr>
              <w:spacing w:line="300" w:lineRule="atLeast"/>
              <w:jc w:val="center"/>
              <w:rPr>
                <w:rFonts w:ascii="Arial" w:hAnsi="Arial" w:cs="Arial"/>
                <w:sz w:val="16"/>
                <w:szCs w:val="16"/>
              </w:rPr>
            </w:pPr>
            <w:r>
              <w:rPr>
                <w:rFonts w:ascii="Arial" w:hAnsi="Arial" w:cs="Arial"/>
                <w:sz w:val="16"/>
                <w:szCs w:val="16"/>
              </w:rPr>
              <w:t>13.4</w:t>
            </w:r>
          </w:p>
        </w:tc>
        <w:tc>
          <w:tcPr>
            <w:tcW w:w="1042" w:type="dxa"/>
            <w:tcBorders>
              <w:top w:val="single" w:sz="4" w:space="0" w:color="auto"/>
              <w:bottom w:val="double" w:sz="4" w:space="0" w:color="auto"/>
            </w:tcBorders>
            <w:vAlign w:val="center"/>
          </w:tcPr>
          <w:p w14:paraId="4C234B3D" w14:textId="5A4371F1" w:rsidR="00803E5B" w:rsidRDefault="00803E5B" w:rsidP="00D51729">
            <w:pPr>
              <w:spacing w:line="300" w:lineRule="atLeast"/>
              <w:jc w:val="center"/>
              <w:rPr>
                <w:rFonts w:ascii="Arial" w:hAnsi="Arial" w:cs="Arial"/>
                <w:sz w:val="16"/>
                <w:szCs w:val="16"/>
              </w:rPr>
            </w:pPr>
            <w:r>
              <w:rPr>
                <w:rFonts w:ascii="Arial" w:hAnsi="Arial" w:cs="Arial"/>
                <w:sz w:val="16"/>
                <w:szCs w:val="16"/>
              </w:rPr>
              <w:t>3.35</w:t>
            </w:r>
          </w:p>
        </w:tc>
        <w:tc>
          <w:tcPr>
            <w:tcW w:w="1047" w:type="dxa"/>
            <w:tcBorders>
              <w:top w:val="single" w:sz="4" w:space="0" w:color="auto"/>
              <w:bottom w:val="double" w:sz="4" w:space="0" w:color="auto"/>
            </w:tcBorders>
          </w:tcPr>
          <w:p w14:paraId="010A3237" w14:textId="3C336140" w:rsidR="00803E5B" w:rsidRDefault="00803E5B" w:rsidP="00D51729">
            <w:pPr>
              <w:spacing w:line="300" w:lineRule="atLeast"/>
              <w:jc w:val="center"/>
              <w:rPr>
                <w:rFonts w:ascii="Arial" w:hAnsi="Arial" w:cs="Arial"/>
                <w:sz w:val="16"/>
                <w:szCs w:val="16"/>
              </w:rPr>
            </w:pPr>
            <w:r>
              <w:rPr>
                <w:rFonts w:ascii="Arial" w:hAnsi="Arial" w:cs="Arial"/>
                <w:sz w:val="16"/>
                <w:szCs w:val="16"/>
              </w:rPr>
              <w:t>0.1</w:t>
            </w:r>
          </w:p>
        </w:tc>
        <w:tc>
          <w:tcPr>
            <w:tcW w:w="1041" w:type="dxa"/>
            <w:tcBorders>
              <w:top w:val="single" w:sz="4" w:space="0" w:color="auto"/>
              <w:bottom w:val="double" w:sz="4" w:space="0" w:color="auto"/>
            </w:tcBorders>
          </w:tcPr>
          <w:p w14:paraId="7F350D4B" w14:textId="77777777" w:rsidR="00803E5B" w:rsidRDefault="00803E5B" w:rsidP="00D51729">
            <w:pPr>
              <w:spacing w:line="300" w:lineRule="atLeast"/>
              <w:jc w:val="center"/>
              <w:rPr>
                <w:rFonts w:ascii="Arial" w:hAnsi="Arial" w:cs="Arial"/>
                <w:sz w:val="16"/>
                <w:szCs w:val="16"/>
              </w:rPr>
            </w:pPr>
          </w:p>
        </w:tc>
        <w:tc>
          <w:tcPr>
            <w:tcW w:w="1136" w:type="dxa"/>
            <w:tcBorders>
              <w:top w:val="single" w:sz="4" w:space="0" w:color="auto"/>
              <w:bottom w:val="double" w:sz="4" w:space="0" w:color="auto"/>
            </w:tcBorders>
            <w:vAlign w:val="center"/>
          </w:tcPr>
          <w:p w14:paraId="314BE19F" w14:textId="334EC01A" w:rsidR="00803E5B" w:rsidRDefault="00803E5B" w:rsidP="00D51729">
            <w:pPr>
              <w:spacing w:line="300" w:lineRule="atLeast"/>
              <w:jc w:val="center"/>
              <w:rPr>
                <w:rFonts w:ascii="Arial" w:hAnsi="Arial" w:cs="Arial"/>
                <w:sz w:val="16"/>
                <w:szCs w:val="16"/>
              </w:rPr>
            </w:pPr>
            <w:r>
              <w:rPr>
                <w:rFonts w:ascii="Arial" w:hAnsi="Arial" w:cs="Arial"/>
                <w:sz w:val="16"/>
                <w:szCs w:val="16"/>
              </w:rPr>
              <w:t>2.0</w:t>
            </w:r>
          </w:p>
        </w:tc>
      </w:tr>
      <w:tr w:rsidR="004C615A" w14:paraId="5FED860E" w14:textId="77777777" w:rsidTr="00880597">
        <w:tc>
          <w:tcPr>
            <w:tcW w:w="1374" w:type="dxa"/>
            <w:tcBorders>
              <w:top w:val="single" w:sz="4" w:space="0" w:color="auto"/>
              <w:bottom w:val="double" w:sz="4" w:space="0" w:color="auto"/>
            </w:tcBorders>
          </w:tcPr>
          <w:p w14:paraId="3BF73F0D" w14:textId="78A5D674" w:rsidR="004C615A" w:rsidRDefault="004C615A" w:rsidP="00355741">
            <w:pPr>
              <w:spacing w:line="300" w:lineRule="atLeast"/>
              <w:rPr>
                <w:rFonts w:ascii="Arial" w:hAnsi="Arial" w:cs="Arial"/>
                <w:sz w:val="16"/>
                <w:szCs w:val="16"/>
              </w:rPr>
            </w:pPr>
            <w:r>
              <w:rPr>
                <w:rFonts w:ascii="Arial" w:hAnsi="Arial" w:cs="Arial"/>
                <w:sz w:val="16"/>
                <w:szCs w:val="16"/>
              </w:rPr>
              <w:t>Refining 2024</w:t>
            </w:r>
          </w:p>
        </w:tc>
        <w:tc>
          <w:tcPr>
            <w:tcW w:w="1171" w:type="dxa"/>
            <w:tcBorders>
              <w:top w:val="single" w:sz="4" w:space="0" w:color="auto"/>
              <w:bottom w:val="double" w:sz="4" w:space="0" w:color="auto"/>
            </w:tcBorders>
            <w:vAlign w:val="center"/>
          </w:tcPr>
          <w:p w14:paraId="173A9D35" w14:textId="0CA155DD" w:rsidR="004C615A" w:rsidRDefault="00092468" w:rsidP="008269C3">
            <w:pPr>
              <w:spacing w:line="300" w:lineRule="atLeast"/>
              <w:jc w:val="center"/>
              <w:rPr>
                <w:rFonts w:ascii="Arial" w:hAnsi="Arial" w:cs="Arial"/>
                <w:sz w:val="16"/>
                <w:szCs w:val="16"/>
              </w:rPr>
            </w:pPr>
            <w:r>
              <w:rPr>
                <w:rFonts w:ascii="Arial" w:hAnsi="Arial" w:cs="Arial"/>
                <w:sz w:val="16"/>
                <w:szCs w:val="16"/>
              </w:rPr>
              <w:t>-</w:t>
            </w:r>
          </w:p>
        </w:tc>
        <w:tc>
          <w:tcPr>
            <w:tcW w:w="1059" w:type="dxa"/>
            <w:tcBorders>
              <w:top w:val="single" w:sz="4" w:space="0" w:color="auto"/>
              <w:bottom w:val="double" w:sz="4" w:space="0" w:color="auto"/>
            </w:tcBorders>
            <w:vAlign w:val="center"/>
          </w:tcPr>
          <w:p w14:paraId="3EADB8AB" w14:textId="4F6BB8DD" w:rsidR="004C615A" w:rsidRDefault="00092468" w:rsidP="00D51729">
            <w:pPr>
              <w:spacing w:line="300" w:lineRule="atLeast"/>
              <w:jc w:val="center"/>
              <w:rPr>
                <w:rFonts w:ascii="Arial" w:hAnsi="Arial" w:cs="Arial"/>
                <w:sz w:val="16"/>
                <w:szCs w:val="16"/>
              </w:rPr>
            </w:pPr>
            <w:r>
              <w:rPr>
                <w:rFonts w:ascii="Arial" w:hAnsi="Arial" w:cs="Arial"/>
                <w:sz w:val="16"/>
                <w:szCs w:val="16"/>
              </w:rPr>
              <w:t>-</w:t>
            </w:r>
          </w:p>
        </w:tc>
        <w:tc>
          <w:tcPr>
            <w:tcW w:w="1191" w:type="dxa"/>
            <w:tcBorders>
              <w:top w:val="single" w:sz="4" w:space="0" w:color="auto"/>
              <w:bottom w:val="double" w:sz="4" w:space="0" w:color="auto"/>
            </w:tcBorders>
            <w:vAlign w:val="center"/>
          </w:tcPr>
          <w:p w14:paraId="29925DBA" w14:textId="132EC730" w:rsidR="004C615A" w:rsidRDefault="004C615A" w:rsidP="00D51729">
            <w:pPr>
              <w:spacing w:line="300" w:lineRule="atLeast"/>
              <w:jc w:val="center"/>
              <w:rPr>
                <w:rFonts w:ascii="Arial" w:hAnsi="Arial" w:cs="Arial"/>
                <w:sz w:val="16"/>
                <w:szCs w:val="16"/>
              </w:rPr>
            </w:pPr>
            <w:r>
              <w:rPr>
                <w:rFonts w:ascii="Arial" w:hAnsi="Arial" w:cs="Arial"/>
                <w:sz w:val="16"/>
                <w:szCs w:val="16"/>
              </w:rPr>
              <w:t>-</w:t>
            </w:r>
          </w:p>
        </w:tc>
        <w:tc>
          <w:tcPr>
            <w:tcW w:w="1042" w:type="dxa"/>
            <w:tcBorders>
              <w:top w:val="single" w:sz="4" w:space="0" w:color="auto"/>
              <w:bottom w:val="double" w:sz="4" w:space="0" w:color="auto"/>
            </w:tcBorders>
            <w:vAlign w:val="center"/>
          </w:tcPr>
          <w:p w14:paraId="6F2267BB" w14:textId="75A3B87D" w:rsidR="004C615A" w:rsidRDefault="004C615A" w:rsidP="00D51729">
            <w:pPr>
              <w:spacing w:line="300" w:lineRule="atLeast"/>
              <w:jc w:val="center"/>
              <w:rPr>
                <w:rFonts w:ascii="Arial" w:hAnsi="Arial" w:cs="Arial"/>
                <w:sz w:val="16"/>
                <w:szCs w:val="16"/>
              </w:rPr>
            </w:pPr>
            <w:r>
              <w:rPr>
                <w:rFonts w:ascii="Arial" w:hAnsi="Arial" w:cs="Arial"/>
                <w:sz w:val="16"/>
                <w:szCs w:val="16"/>
              </w:rPr>
              <w:t>-</w:t>
            </w:r>
          </w:p>
        </w:tc>
        <w:tc>
          <w:tcPr>
            <w:tcW w:w="1047" w:type="dxa"/>
            <w:tcBorders>
              <w:top w:val="single" w:sz="4" w:space="0" w:color="auto"/>
              <w:bottom w:val="double" w:sz="4" w:space="0" w:color="auto"/>
            </w:tcBorders>
          </w:tcPr>
          <w:p w14:paraId="15F275DC" w14:textId="713E2A1D" w:rsidR="004C615A" w:rsidRDefault="004C615A" w:rsidP="00D51729">
            <w:pPr>
              <w:spacing w:line="300" w:lineRule="atLeast"/>
              <w:jc w:val="center"/>
              <w:rPr>
                <w:rFonts w:ascii="Arial" w:hAnsi="Arial" w:cs="Arial"/>
                <w:sz w:val="16"/>
                <w:szCs w:val="16"/>
              </w:rPr>
            </w:pPr>
            <w:r>
              <w:rPr>
                <w:rFonts w:ascii="Arial" w:hAnsi="Arial" w:cs="Arial"/>
                <w:sz w:val="16"/>
                <w:szCs w:val="16"/>
              </w:rPr>
              <w:t>-</w:t>
            </w:r>
          </w:p>
        </w:tc>
        <w:tc>
          <w:tcPr>
            <w:tcW w:w="1041" w:type="dxa"/>
            <w:tcBorders>
              <w:top w:val="single" w:sz="4" w:space="0" w:color="auto"/>
              <w:bottom w:val="double" w:sz="4" w:space="0" w:color="auto"/>
            </w:tcBorders>
          </w:tcPr>
          <w:p w14:paraId="11A0353E" w14:textId="2D6A1821" w:rsidR="004C615A" w:rsidRDefault="004C615A" w:rsidP="00D51729">
            <w:pPr>
              <w:spacing w:line="300" w:lineRule="atLeast"/>
              <w:jc w:val="center"/>
              <w:rPr>
                <w:rFonts w:ascii="Arial" w:hAnsi="Arial" w:cs="Arial"/>
                <w:sz w:val="16"/>
                <w:szCs w:val="16"/>
              </w:rPr>
            </w:pPr>
            <w:r>
              <w:rPr>
                <w:rFonts w:ascii="Arial" w:hAnsi="Arial" w:cs="Arial"/>
                <w:sz w:val="16"/>
                <w:szCs w:val="16"/>
              </w:rPr>
              <w:t>-</w:t>
            </w:r>
          </w:p>
        </w:tc>
        <w:tc>
          <w:tcPr>
            <w:tcW w:w="1136" w:type="dxa"/>
            <w:tcBorders>
              <w:top w:val="single" w:sz="4" w:space="0" w:color="auto"/>
              <w:bottom w:val="double" w:sz="4" w:space="0" w:color="auto"/>
            </w:tcBorders>
            <w:vAlign w:val="center"/>
          </w:tcPr>
          <w:p w14:paraId="4A274777" w14:textId="0ECCA638" w:rsidR="004C615A" w:rsidRDefault="004C615A" w:rsidP="00D51729">
            <w:pPr>
              <w:spacing w:line="300" w:lineRule="atLeast"/>
              <w:jc w:val="center"/>
              <w:rPr>
                <w:rFonts w:ascii="Arial" w:hAnsi="Arial" w:cs="Arial"/>
                <w:sz w:val="16"/>
                <w:szCs w:val="16"/>
              </w:rPr>
            </w:pPr>
            <w:r>
              <w:rPr>
                <w:rFonts w:ascii="Arial" w:hAnsi="Arial" w:cs="Arial"/>
                <w:sz w:val="16"/>
                <w:szCs w:val="16"/>
              </w:rPr>
              <w:t>-</w:t>
            </w:r>
          </w:p>
        </w:tc>
      </w:tr>
      <w:tr w:rsidR="009B0A69" w14:paraId="4DFB771B" w14:textId="77777777" w:rsidTr="00880597">
        <w:tc>
          <w:tcPr>
            <w:tcW w:w="1374" w:type="dxa"/>
            <w:tcBorders>
              <w:top w:val="double" w:sz="4" w:space="0" w:color="auto"/>
              <w:bottom w:val="single" w:sz="4" w:space="0" w:color="auto"/>
            </w:tcBorders>
          </w:tcPr>
          <w:p w14:paraId="39FA83F9" w14:textId="77777777" w:rsidR="009B0A69" w:rsidRPr="00F31685" w:rsidRDefault="00E11AC9" w:rsidP="00355741">
            <w:pPr>
              <w:spacing w:line="300" w:lineRule="atLeast"/>
              <w:rPr>
                <w:rFonts w:ascii="Arial" w:hAnsi="Arial" w:cs="Arial"/>
                <w:sz w:val="16"/>
                <w:szCs w:val="16"/>
              </w:rPr>
            </w:pPr>
            <w:r>
              <w:rPr>
                <w:rFonts w:ascii="Arial" w:hAnsi="Arial" w:cs="Arial"/>
                <w:sz w:val="16"/>
                <w:szCs w:val="16"/>
              </w:rPr>
              <w:t>U</w:t>
            </w:r>
            <w:r w:rsidR="009B0A69">
              <w:rPr>
                <w:rFonts w:ascii="Arial" w:hAnsi="Arial" w:cs="Arial"/>
                <w:sz w:val="16"/>
                <w:szCs w:val="16"/>
              </w:rPr>
              <w:t>se</w:t>
            </w:r>
            <w:r>
              <w:rPr>
                <w:rFonts w:ascii="Arial" w:hAnsi="Arial" w:cs="Arial"/>
                <w:sz w:val="16"/>
                <w:szCs w:val="16"/>
              </w:rPr>
              <w:t>, 2012</w:t>
            </w:r>
          </w:p>
        </w:tc>
        <w:tc>
          <w:tcPr>
            <w:tcW w:w="1171" w:type="dxa"/>
            <w:tcBorders>
              <w:top w:val="double" w:sz="4" w:space="0" w:color="auto"/>
              <w:bottom w:val="single" w:sz="4" w:space="0" w:color="auto"/>
            </w:tcBorders>
            <w:vAlign w:val="center"/>
          </w:tcPr>
          <w:p w14:paraId="5AA5C99D" w14:textId="77777777" w:rsidR="009B0A69" w:rsidRDefault="009B0A69" w:rsidP="00D51729">
            <w:pPr>
              <w:spacing w:line="300" w:lineRule="atLeast"/>
              <w:jc w:val="center"/>
              <w:rPr>
                <w:rFonts w:ascii="Arial" w:hAnsi="Arial" w:cs="Arial"/>
                <w:sz w:val="16"/>
                <w:szCs w:val="16"/>
              </w:rPr>
            </w:pPr>
            <w:r>
              <w:rPr>
                <w:rFonts w:ascii="Arial" w:hAnsi="Arial" w:cs="Arial"/>
                <w:sz w:val="16"/>
                <w:szCs w:val="16"/>
              </w:rPr>
              <w:t>-</w:t>
            </w:r>
          </w:p>
        </w:tc>
        <w:tc>
          <w:tcPr>
            <w:tcW w:w="1059" w:type="dxa"/>
            <w:tcBorders>
              <w:top w:val="double" w:sz="4" w:space="0" w:color="auto"/>
              <w:bottom w:val="single" w:sz="4" w:space="0" w:color="auto"/>
            </w:tcBorders>
            <w:vAlign w:val="center"/>
          </w:tcPr>
          <w:p w14:paraId="253463EE" w14:textId="77777777" w:rsidR="009B0A69" w:rsidRDefault="009B0A69" w:rsidP="00D51729">
            <w:pPr>
              <w:spacing w:line="300" w:lineRule="atLeast"/>
              <w:jc w:val="center"/>
              <w:rPr>
                <w:rFonts w:ascii="Arial" w:hAnsi="Arial" w:cs="Arial"/>
                <w:sz w:val="16"/>
                <w:szCs w:val="16"/>
              </w:rPr>
            </w:pPr>
            <w:r>
              <w:rPr>
                <w:rFonts w:ascii="Arial" w:hAnsi="Arial" w:cs="Arial"/>
                <w:sz w:val="16"/>
                <w:szCs w:val="16"/>
              </w:rPr>
              <w:t>-</w:t>
            </w:r>
          </w:p>
        </w:tc>
        <w:tc>
          <w:tcPr>
            <w:tcW w:w="1191" w:type="dxa"/>
            <w:tcBorders>
              <w:top w:val="double" w:sz="4" w:space="0" w:color="auto"/>
              <w:bottom w:val="single" w:sz="4" w:space="0" w:color="auto"/>
            </w:tcBorders>
            <w:vAlign w:val="center"/>
          </w:tcPr>
          <w:p w14:paraId="65EA5768" w14:textId="77777777" w:rsidR="009B0A69" w:rsidRDefault="00BB0B0D" w:rsidP="00D51729">
            <w:pPr>
              <w:spacing w:line="300" w:lineRule="atLeast"/>
              <w:jc w:val="center"/>
              <w:rPr>
                <w:rFonts w:ascii="Arial" w:hAnsi="Arial" w:cs="Arial"/>
                <w:sz w:val="16"/>
                <w:szCs w:val="16"/>
              </w:rPr>
            </w:pPr>
            <w:r>
              <w:rPr>
                <w:rFonts w:ascii="Arial" w:hAnsi="Arial" w:cs="Arial"/>
                <w:sz w:val="16"/>
                <w:szCs w:val="16"/>
              </w:rPr>
              <w:t>14</w:t>
            </w:r>
            <w:r w:rsidR="009B0A69">
              <w:rPr>
                <w:rFonts w:ascii="Arial" w:hAnsi="Arial" w:cs="Arial"/>
                <w:sz w:val="16"/>
                <w:szCs w:val="16"/>
              </w:rPr>
              <w:t>.</w:t>
            </w:r>
            <w:r>
              <w:rPr>
                <w:rFonts w:ascii="Arial" w:hAnsi="Arial" w:cs="Arial"/>
                <w:sz w:val="16"/>
                <w:szCs w:val="16"/>
              </w:rPr>
              <w:t>4</w:t>
            </w:r>
            <w:r w:rsidR="009B0A69">
              <w:rPr>
                <w:rFonts w:ascii="Arial" w:hAnsi="Arial" w:cs="Arial"/>
                <w:sz w:val="16"/>
                <w:szCs w:val="16"/>
              </w:rPr>
              <w:t>2</w:t>
            </w:r>
          </w:p>
        </w:tc>
        <w:tc>
          <w:tcPr>
            <w:tcW w:w="1042" w:type="dxa"/>
            <w:tcBorders>
              <w:top w:val="double" w:sz="4" w:space="0" w:color="auto"/>
              <w:bottom w:val="single" w:sz="4" w:space="0" w:color="auto"/>
            </w:tcBorders>
            <w:vAlign w:val="center"/>
          </w:tcPr>
          <w:p w14:paraId="6A282897" w14:textId="4E06B28B" w:rsidR="009B0A69" w:rsidRDefault="009B0A69" w:rsidP="00BB0B0D">
            <w:pPr>
              <w:spacing w:line="300" w:lineRule="atLeast"/>
              <w:jc w:val="center"/>
              <w:rPr>
                <w:rFonts w:ascii="Arial" w:hAnsi="Arial" w:cs="Arial"/>
                <w:sz w:val="16"/>
                <w:szCs w:val="16"/>
              </w:rPr>
            </w:pPr>
            <w:r>
              <w:rPr>
                <w:rFonts w:ascii="Arial" w:hAnsi="Arial" w:cs="Arial"/>
                <w:sz w:val="16"/>
                <w:szCs w:val="16"/>
              </w:rPr>
              <w:t>1</w:t>
            </w:r>
            <w:r w:rsidR="00BB0B0D">
              <w:rPr>
                <w:rFonts w:ascii="Arial" w:hAnsi="Arial" w:cs="Arial"/>
                <w:sz w:val="16"/>
                <w:szCs w:val="16"/>
              </w:rPr>
              <w:t>4</w:t>
            </w:r>
            <w:r>
              <w:rPr>
                <w:rFonts w:ascii="Arial" w:hAnsi="Arial" w:cs="Arial"/>
                <w:sz w:val="16"/>
                <w:szCs w:val="16"/>
              </w:rPr>
              <w:t>.</w:t>
            </w:r>
            <w:r w:rsidR="00BB0B0D">
              <w:rPr>
                <w:rFonts w:ascii="Arial" w:hAnsi="Arial" w:cs="Arial"/>
                <w:sz w:val="16"/>
                <w:szCs w:val="16"/>
              </w:rPr>
              <w:t>4</w:t>
            </w:r>
          </w:p>
        </w:tc>
        <w:tc>
          <w:tcPr>
            <w:tcW w:w="1047" w:type="dxa"/>
            <w:tcBorders>
              <w:top w:val="double" w:sz="4" w:space="0" w:color="auto"/>
              <w:bottom w:val="single" w:sz="4" w:space="0" w:color="auto"/>
            </w:tcBorders>
          </w:tcPr>
          <w:p w14:paraId="21AA13B5" w14:textId="77777777" w:rsidR="009B0A69" w:rsidRDefault="009B0A69" w:rsidP="00D51729">
            <w:pPr>
              <w:spacing w:line="300" w:lineRule="atLeast"/>
              <w:jc w:val="center"/>
              <w:rPr>
                <w:rFonts w:ascii="Arial" w:hAnsi="Arial" w:cs="Arial"/>
                <w:sz w:val="16"/>
                <w:szCs w:val="16"/>
              </w:rPr>
            </w:pPr>
            <w:r>
              <w:rPr>
                <w:rFonts w:ascii="Arial" w:hAnsi="Arial" w:cs="Arial"/>
                <w:sz w:val="16"/>
                <w:szCs w:val="16"/>
              </w:rPr>
              <w:t>-</w:t>
            </w:r>
          </w:p>
        </w:tc>
        <w:tc>
          <w:tcPr>
            <w:tcW w:w="1041" w:type="dxa"/>
            <w:tcBorders>
              <w:top w:val="double" w:sz="4" w:space="0" w:color="auto"/>
              <w:bottom w:val="single" w:sz="4" w:space="0" w:color="auto"/>
            </w:tcBorders>
          </w:tcPr>
          <w:p w14:paraId="14C2BAFB" w14:textId="77777777" w:rsidR="009B0A69" w:rsidRDefault="009B0A69" w:rsidP="00D51729">
            <w:pPr>
              <w:spacing w:line="300" w:lineRule="atLeast"/>
              <w:jc w:val="center"/>
              <w:rPr>
                <w:rFonts w:ascii="Arial" w:hAnsi="Arial" w:cs="Arial"/>
                <w:sz w:val="16"/>
                <w:szCs w:val="16"/>
              </w:rPr>
            </w:pPr>
            <w:r>
              <w:rPr>
                <w:rFonts w:ascii="Arial" w:hAnsi="Arial" w:cs="Arial"/>
                <w:sz w:val="16"/>
                <w:szCs w:val="16"/>
              </w:rPr>
              <w:t>-</w:t>
            </w:r>
          </w:p>
        </w:tc>
        <w:tc>
          <w:tcPr>
            <w:tcW w:w="1136" w:type="dxa"/>
            <w:tcBorders>
              <w:top w:val="double" w:sz="4" w:space="0" w:color="auto"/>
              <w:bottom w:val="single" w:sz="4" w:space="0" w:color="auto"/>
            </w:tcBorders>
            <w:vAlign w:val="center"/>
          </w:tcPr>
          <w:p w14:paraId="0D8BF9D1" w14:textId="77777777" w:rsidR="009B0A69" w:rsidRDefault="009B0A69" w:rsidP="00D51729">
            <w:pPr>
              <w:spacing w:line="300" w:lineRule="atLeast"/>
              <w:jc w:val="center"/>
              <w:rPr>
                <w:rFonts w:ascii="Arial" w:hAnsi="Arial" w:cs="Arial"/>
                <w:sz w:val="16"/>
                <w:szCs w:val="16"/>
              </w:rPr>
            </w:pPr>
            <w:r>
              <w:rPr>
                <w:rFonts w:ascii="Arial" w:hAnsi="Arial" w:cs="Arial"/>
                <w:sz w:val="16"/>
                <w:szCs w:val="16"/>
              </w:rPr>
              <w:t>-</w:t>
            </w:r>
          </w:p>
        </w:tc>
      </w:tr>
      <w:tr w:rsidR="00E11AC9" w14:paraId="7169439F" w14:textId="77777777" w:rsidTr="00880597">
        <w:tc>
          <w:tcPr>
            <w:tcW w:w="1374" w:type="dxa"/>
            <w:tcBorders>
              <w:bottom w:val="single" w:sz="4" w:space="0" w:color="auto"/>
            </w:tcBorders>
          </w:tcPr>
          <w:p w14:paraId="431518C8" w14:textId="77777777" w:rsidR="00E11AC9" w:rsidRDefault="00E11AC9" w:rsidP="00355741">
            <w:pPr>
              <w:spacing w:line="300" w:lineRule="atLeast"/>
              <w:rPr>
                <w:rFonts w:ascii="Arial" w:hAnsi="Arial" w:cs="Arial"/>
                <w:sz w:val="16"/>
                <w:szCs w:val="16"/>
              </w:rPr>
            </w:pPr>
            <w:r>
              <w:rPr>
                <w:rFonts w:ascii="Arial" w:hAnsi="Arial" w:cs="Arial"/>
                <w:sz w:val="16"/>
                <w:szCs w:val="16"/>
              </w:rPr>
              <w:t>Use, 2016</w:t>
            </w:r>
          </w:p>
        </w:tc>
        <w:tc>
          <w:tcPr>
            <w:tcW w:w="1171" w:type="dxa"/>
            <w:tcBorders>
              <w:bottom w:val="single" w:sz="4" w:space="0" w:color="auto"/>
            </w:tcBorders>
            <w:vAlign w:val="center"/>
          </w:tcPr>
          <w:p w14:paraId="1B647F8F" w14:textId="77777777" w:rsidR="00E11AC9" w:rsidRDefault="00E11AC9" w:rsidP="00D51729">
            <w:pPr>
              <w:spacing w:line="300" w:lineRule="atLeast"/>
              <w:jc w:val="center"/>
              <w:rPr>
                <w:rFonts w:ascii="Arial" w:hAnsi="Arial" w:cs="Arial"/>
                <w:sz w:val="16"/>
                <w:szCs w:val="16"/>
              </w:rPr>
            </w:pPr>
            <w:r>
              <w:rPr>
                <w:rFonts w:ascii="Arial" w:hAnsi="Arial" w:cs="Arial"/>
                <w:sz w:val="16"/>
                <w:szCs w:val="16"/>
              </w:rPr>
              <w:t>-</w:t>
            </w:r>
          </w:p>
        </w:tc>
        <w:tc>
          <w:tcPr>
            <w:tcW w:w="1059" w:type="dxa"/>
            <w:tcBorders>
              <w:bottom w:val="single" w:sz="4" w:space="0" w:color="auto"/>
            </w:tcBorders>
            <w:vAlign w:val="center"/>
          </w:tcPr>
          <w:p w14:paraId="797E4EB0" w14:textId="77777777" w:rsidR="00E11AC9" w:rsidRDefault="00761E39" w:rsidP="00D51729">
            <w:pPr>
              <w:spacing w:line="300" w:lineRule="atLeast"/>
              <w:jc w:val="center"/>
              <w:rPr>
                <w:rFonts w:ascii="Arial" w:hAnsi="Arial" w:cs="Arial"/>
                <w:sz w:val="16"/>
                <w:szCs w:val="16"/>
              </w:rPr>
            </w:pPr>
            <w:r>
              <w:rPr>
                <w:rFonts w:ascii="Arial" w:hAnsi="Arial" w:cs="Arial"/>
                <w:sz w:val="16"/>
                <w:szCs w:val="16"/>
              </w:rPr>
              <w:t>-</w:t>
            </w:r>
          </w:p>
        </w:tc>
        <w:tc>
          <w:tcPr>
            <w:tcW w:w="1191" w:type="dxa"/>
            <w:tcBorders>
              <w:bottom w:val="single" w:sz="4" w:space="0" w:color="auto"/>
            </w:tcBorders>
            <w:vAlign w:val="center"/>
          </w:tcPr>
          <w:p w14:paraId="7D9DA98C" w14:textId="77777777" w:rsidR="00E11AC9" w:rsidRDefault="00E11AC9" w:rsidP="00D51729">
            <w:pPr>
              <w:spacing w:line="300" w:lineRule="atLeast"/>
              <w:jc w:val="center"/>
              <w:rPr>
                <w:rFonts w:ascii="Arial" w:hAnsi="Arial" w:cs="Arial"/>
                <w:sz w:val="16"/>
                <w:szCs w:val="16"/>
              </w:rPr>
            </w:pPr>
            <w:r>
              <w:rPr>
                <w:rFonts w:ascii="Arial" w:hAnsi="Arial" w:cs="Arial"/>
                <w:sz w:val="16"/>
                <w:szCs w:val="16"/>
              </w:rPr>
              <w:t>14.5</w:t>
            </w:r>
          </w:p>
        </w:tc>
        <w:tc>
          <w:tcPr>
            <w:tcW w:w="1042" w:type="dxa"/>
            <w:tcBorders>
              <w:bottom w:val="single" w:sz="4" w:space="0" w:color="auto"/>
            </w:tcBorders>
            <w:vAlign w:val="center"/>
          </w:tcPr>
          <w:p w14:paraId="247E6A8E" w14:textId="77777777" w:rsidR="00E11AC9" w:rsidRDefault="00E11AC9" w:rsidP="00BB0B0D">
            <w:pPr>
              <w:spacing w:line="300" w:lineRule="atLeast"/>
              <w:jc w:val="center"/>
              <w:rPr>
                <w:rFonts w:ascii="Arial" w:hAnsi="Arial" w:cs="Arial"/>
                <w:sz w:val="16"/>
                <w:szCs w:val="16"/>
              </w:rPr>
            </w:pPr>
            <w:r>
              <w:rPr>
                <w:rFonts w:ascii="Arial" w:hAnsi="Arial" w:cs="Arial"/>
                <w:sz w:val="16"/>
                <w:szCs w:val="16"/>
              </w:rPr>
              <w:t>14.5</w:t>
            </w:r>
          </w:p>
        </w:tc>
        <w:tc>
          <w:tcPr>
            <w:tcW w:w="1047" w:type="dxa"/>
            <w:tcBorders>
              <w:bottom w:val="single" w:sz="4" w:space="0" w:color="auto"/>
            </w:tcBorders>
          </w:tcPr>
          <w:p w14:paraId="20CA8575" w14:textId="77777777" w:rsidR="00E11AC9" w:rsidRDefault="00E11AC9" w:rsidP="00D51729">
            <w:pPr>
              <w:spacing w:line="300" w:lineRule="atLeast"/>
              <w:jc w:val="center"/>
              <w:rPr>
                <w:rFonts w:ascii="Arial" w:hAnsi="Arial" w:cs="Arial"/>
                <w:sz w:val="16"/>
                <w:szCs w:val="16"/>
              </w:rPr>
            </w:pPr>
            <w:r>
              <w:rPr>
                <w:rFonts w:ascii="Arial" w:hAnsi="Arial" w:cs="Arial"/>
                <w:sz w:val="16"/>
                <w:szCs w:val="16"/>
              </w:rPr>
              <w:t>-</w:t>
            </w:r>
          </w:p>
        </w:tc>
        <w:tc>
          <w:tcPr>
            <w:tcW w:w="1041" w:type="dxa"/>
            <w:tcBorders>
              <w:bottom w:val="single" w:sz="4" w:space="0" w:color="auto"/>
            </w:tcBorders>
          </w:tcPr>
          <w:p w14:paraId="146E9201" w14:textId="77777777" w:rsidR="00E11AC9" w:rsidRDefault="00E11AC9" w:rsidP="00D51729">
            <w:pPr>
              <w:spacing w:line="300" w:lineRule="atLeast"/>
              <w:jc w:val="center"/>
              <w:rPr>
                <w:rFonts w:ascii="Arial" w:hAnsi="Arial" w:cs="Arial"/>
                <w:sz w:val="16"/>
                <w:szCs w:val="16"/>
              </w:rPr>
            </w:pPr>
            <w:r>
              <w:rPr>
                <w:rFonts w:ascii="Arial" w:hAnsi="Arial" w:cs="Arial"/>
                <w:sz w:val="16"/>
                <w:szCs w:val="16"/>
              </w:rPr>
              <w:t>-</w:t>
            </w:r>
          </w:p>
        </w:tc>
        <w:tc>
          <w:tcPr>
            <w:tcW w:w="1136" w:type="dxa"/>
            <w:tcBorders>
              <w:bottom w:val="single" w:sz="4" w:space="0" w:color="auto"/>
            </w:tcBorders>
            <w:vAlign w:val="center"/>
          </w:tcPr>
          <w:p w14:paraId="70E3E230" w14:textId="77777777" w:rsidR="00E11AC9" w:rsidRDefault="00E11AC9" w:rsidP="00D51729">
            <w:pPr>
              <w:spacing w:line="300" w:lineRule="atLeast"/>
              <w:jc w:val="center"/>
              <w:rPr>
                <w:rFonts w:ascii="Arial" w:hAnsi="Arial" w:cs="Arial"/>
                <w:sz w:val="16"/>
                <w:szCs w:val="16"/>
              </w:rPr>
            </w:pPr>
            <w:r>
              <w:rPr>
                <w:rFonts w:ascii="Arial" w:hAnsi="Arial" w:cs="Arial"/>
                <w:sz w:val="16"/>
                <w:szCs w:val="16"/>
              </w:rPr>
              <w:t>-</w:t>
            </w:r>
          </w:p>
        </w:tc>
      </w:tr>
      <w:tr w:rsidR="00803E5B" w14:paraId="7A91CCFB" w14:textId="77777777" w:rsidTr="00880597">
        <w:tc>
          <w:tcPr>
            <w:tcW w:w="1374" w:type="dxa"/>
            <w:tcBorders>
              <w:top w:val="single" w:sz="4" w:space="0" w:color="auto"/>
              <w:bottom w:val="double" w:sz="4" w:space="0" w:color="auto"/>
            </w:tcBorders>
          </w:tcPr>
          <w:p w14:paraId="2AC8D75A" w14:textId="7A091985" w:rsidR="00803E5B" w:rsidRDefault="00803E5B" w:rsidP="00355741">
            <w:pPr>
              <w:spacing w:line="300" w:lineRule="atLeast"/>
              <w:rPr>
                <w:rFonts w:ascii="Arial" w:hAnsi="Arial" w:cs="Arial"/>
                <w:sz w:val="16"/>
                <w:szCs w:val="16"/>
              </w:rPr>
            </w:pPr>
            <w:r>
              <w:rPr>
                <w:rFonts w:ascii="Arial" w:hAnsi="Arial" w:cs="Arial"/>
                <w:sz w:val="16"/>
                <w:szCs w:val="16"/>
              </w:rPr>
              <w:t>Use 2020</w:t>
            </w:r>
          </w:p>
        </w:tc>
        <w:tc>
          <w:tcPr>
            <w:tcW w:w="1171" w:type="dxa"/>
            <w:tcBorders>
              <w:top w:val="single" w:sz="4" w:space="0" w:color="auto"/>
              <w:bottom w:val="double" w:sz="4" w:space="0" w:color="auto"/>
            </w:tcBorders>
            <w:vAlign w:val="center"/>
          </w:tcPr>
          <w:p w14:paraId="75FA53DC" w14:textId="77777777" w:rsidR="00803E5B" w:rsidRDefault="00803E5B" w:rsidP="00D51729">
            <w:pPr>
              <w:spacing w:line="300" w:lineRule="atLeast"/>
              <w:jc w:val="center"/>
              <w:rPr>
                <w:rFonts w:ascii="Arial" w:hAnsi="Arial" w:cs="Arial"/>
                <w:sz w:val="16"/>
                <w:szCs w:val="16"/>
              </w:rPr>
            </w:pPr>
          </w:p>
        </w:tc>
        <w:tc>
          <w:tcPr>
            <w:tcW w:w="1059" w:type="dxa"/>
            <w:tcBorders>
              <w:top w:val="single" w:sz="4" w:space="0" w:color="auto"/>
              <w:bottom w:val="double" w:sz="4" w:space="0" w:color="auto"/>
            </w:tcBorders>
            <w:vAlign w:val="center"/>
          </w:tcPr>
          <w:p w14:paraId="1F7019A8" w14:textId="77777777" w:rsidR="00803E5B" w:rsidRDefault="00803E5B" w:rsidP="00D51729">
            <w:pPr>
              <w:spacing w:line="300" w:lineRule="atLeast"/>
              <w:jc w:val="center"/>
              <w:rPr>
                <w:rFonts w:ascii="Arial" w:hAnsi="Arial" w:cs="Arial"/>
                <w:sz w:val="16"/>
                <w:szCs w:val="16"/>
              </w:rPr>
            </w:pPr>
          </w:p>
        </w:tc>
        <w:tc>
          <w:tcPr>
            <w:tcW w:w="1191" w:type="dxa"/>
            <w:tcBorders>
              <w:top w:val="single" w:sz="4" w:space="0" w:color="auto"/>
              <w:bottom w:val="double" w:sz="4" w:space="0" w:color="auto"/>
            </w:tcBorders>
            <w:vAlign w:val="center"/>
          </w:tcPr>
          <w:p w14:paraId="2A9509E4" w14:textId="776D802D" w:rsidR="00803E5B" w:rsidRDefault="00803E5B" w:rsidP="00D51729">
            <w:pPr>
              <w:spacing w:line="300" w:lineRule="atLeast"/>
              <w:jc w:val="center"/>
              <w:rPr>
                <w:rFonts w:ascii="Arial" w:hAnsi="Arial" w:cs="Arial"/>
                <w:sz w:val="16"/>
                <w:szCs w:val="16"/>
              </w:rPr>
            </w:pPr>
            <w:r>
              <w:rPr>
                <w:rFonts w:ascii="Arial" w:hAnsi="Arial" w:cs="Arial"/>
                <w:sz w:val="16"/>
                <w:szCs w:val="16"/>
              </w:rPr>
              <w:t>11.14</w:t>
            </w:r>
          </w:p>
        </w:tc>
        <w:tc>
          <w:tcPr>
            <w:tcW w:w="1042" w:type="dxa"/>
            <w:tcBorders>
              <w:top w:val="single" w:sz="4" w:space="0" w:color="auto"/>
              <w:bottom w:val="double" w:sz="4" w:space="0" w:color="auto"/>
            </w:tcBorders>
            <w:vAlign w:val="center"/>
          </w:tcPr>
          <w:p w14:paraId="32A92AB9" w14:textId="175E9734" w:rsidR="00803E5B" w:rsidRDefault="00803E5B" w:rsidP="00BB0B0D">
            <w:pPr>
              <w:spacing w:line="300" w:lineRule="atLeast"/>
              <w:jc w:val="center"/>
              <w:rPr>
                <w:rFonts w:ascii="Arial" w:hAnsi="Arial" w:cs="Arial"/>
                <w:sz w:val="16"/>
                <w:szCs w:val="16"/>
              </w:rPr>
            </w:pPr>
            <w:r>
              <w:rPr>
                <w:rFonts w:ascii="Arial" w:hAnsi="Arial" w:cs="Arial"/>
                <w:sz w:val="16"/>
                <w:szCs w:val="16"/>
              </w:rPr>
              <w:t>11.14</w:t>
            </w:r>
          </w:p>
        </w:tc>
        <w:tc>
          <w:tcPr>
            <w:tcW w:w="1047" w:type="dxa"/>
            <w:tcBorders>
              <w:top w:val="single" w:sz="4" w:space="0" w:color="auto"/>
              <w:bottom w:val="double" w:sz="4" w:space="0" w:color="auto"/>
            </w:tcBorders>
          </w:tcPr>
          <w:p w14:paraId="1ED8CC35" w14:textId="77777777" w:rsidR="00803E5B" w:rsidRDefault="00803E5B" w:rsidP="00D51729">
            <w:pPr>
              <w:spacing w:line="300" w:lineRule="atLeast"/>
              <w:jc w:val="center"/>
              <w:rPr>
                <w:rFonts w:ascii="Arial" w:hAnsi="Arial" w:cs="Arial"/>
                <w:sz w:val="16"/>
                <w:szCs w:val="16"/>
              </w:rPr>
            </w:pPr>
          </w:p>
        </w:tc>
        <w:tc>
          <w:tcPr>
            <w:tcW w:w="1041" w:type="dxa"/>
            <w:tcBorders>
              <w:top w:val="single" w:sz="4" w:space="0" w:color="auto"/>
              <w:bottom w:val="double" w:sz="4" w:space="0" w:color="auto"/>
            </w:tcBorders>
          </w:tcPr>
          <w:p w14:paraId="7E1ECE4A" w14:textId="77777777" w:rsidR="00803E5B" w:rsidRDefault="00803E5B" w:rsidP="00D51729">
            <w:pPr>
              <w:spacing w:line="300" w:lineRule="atLeast"/>
              <w:jc w:val="center"/>
              <w:rPr>
                <w:rFonts w:ascii="Arial" w:hAnsi="Arial" w:cs="Arial"/>
                <w:sz w:val="16"/>
                <w:szCs w:val="16"/>
              </w:rPr>
            </w:pPr>
          </w:p>
        </w:tc>
        <w:tc>
          <w:tcPr>
            <w:tcW w:w="1136" w:type="dxa"/>
            <w:tcBorders>
              <w:top w:val="single" w:sz="4" w:space="0" w:color="auto"/>
              <w:bottom w:val="double" w:sz="4" w:space="0" w:color="auto"/>
            </w:tcBorders>
            <w:vAlign w:val="center"/>
          </w:tcPr>
          <w:p w14:paraId="7EDCE032" w14:textId="77777777" w:rsidR="00803E5B" w:rsidRDefault="00803E5B" w:rsidP="00D51729">
            <w:pPr>
              <w:spacing w:line="300" w:lineRule="atLeast"/>
              <w:jc w:val="center"/>
              <w:rPr>
                <w:rFonts w:ascii="Arial" w:hAnsi="Arial" w:cs="Arial"/>
                <w:sz w:val="16"/>
                <w:szCs w:val="16"/>
              </w:rPr>
            </w:pPr>
          </w:p>
        </w:tc>
      </w:tr>
      <w:tr w:rsidR="004C615A" w14:paraId="07797C84" w14:textId="77777777" w:rsidTr="00880597">
        <w:tc>
          <w:tcPr>
            <w:tcW w:w="1374" w:type="dxa"/>
            <w:tcBorders>
              <w:top w:val="single" w:sz="4" w:space="0" w:color="auto"/>
              <w:bottom w:val="double" w:sz="4" w:space="0" w:color="auto"/>
            </w:tcBorders>
          </w:tcPr>
          <w:p w14:paraId="6343BBF9" w14:textId="55AFC900" w:rsidR="004C615A" w:rsidRDefault="004C615A" w:rsidP="00355741">
            <w:pPr>
              <w:spacing w:line="300" w:lineRule="atLeast"/>
              <w:rPr>
                <w:rFonts w:ascii="Arial" w:hAnsi="Arial" w:cs="Arial"/>
                <w:sz w:val="16"/>
                <w:szCs w:val="16"/>
              </w:rPr>
            </w:pPr>
            <w:r>
              <w:rPr>
                <w:rFonts w:ascii="Arial" w:hAnsi="Arial" w:cs="Arial"/>
                <w:sz w:val="16"/>
                <w:szCs w:val="16"/>
              </w:rPr>
              <w:t>Use 2024</w:t>
            </w:r>
          </w:p>
        </w:tc>
        <w:tc>
          <w:tcPr>
            <w:tcW w:w="1171" w:type="dxa"/>
            <w:tcBorders>
              <w:top w:val="single" w:sz="4" w:space="0" w:color="auto"/>
              <w:bottom w:val="double" w:sz="4" w:space="0" w:color="auto"/>
            </w:tcBorders>
            <w:vAlign w:val="center"/>
          </w:tcPr>
          <w:p w14:paraId="388F1E2B" w14:textId="77777777" w:rsidR="004C615A" w:rsidRDefault="004C615A" w:rsidP="00D51729">
            <w:pPr>
              <w:spacing w:line="300" w:lineRule="atLeast"/>
              <w:jc w:val="center"/>
              <w:rPr>
                <w:rFonts w:ascii="Arial" w:hAnsi="Arial" w:cs="Arial"/>
                <w:sz w:val="16"/>
                <w:szCs w:val="16"/>
              </w:rPr>
            </w:pPr>
          </w:p>
        </w:tc>
        <w:tc>
          <w:tcPr>
            <w:tcW w:w="1059" w:type="dxa"/>
            <w:tcBorders>
              <w:top w:val="single" w:sz="4" w:space="0" w:color="auto"/>
              <w:bottom w:val="double" w:sz="4" w:space="0" w:color="auto"/>
            </w:tcBorders>
            <w:vAlign w:val="center"/>
          </w:tcPr>
          <w:p w14:paraId="658521E0" w14:textId="77777777" w:rsidR="004C615A" w:rsidRDefault="004C615A" w:rsidP="00D51729">
            <w:pPr>
              <w:spacing w:line="300" w:lineRule="atLeast"/>
              <w:jc w:val="center"/>
              <w:rPr>
                <w:rFonts w:ascii="Arial" w:hAnsi="Arial" w:cs="Arial"/>
                <w:sz w:val="16"/>
                <w:szCs w:val="16"/>
              </w:rPr>
            </w:pPr>
          </w:p>
        </w:tc>
        <w:tc>
          <w:tcPr>
            <w:tcW w:w="1191" w:type="dxa"/>
            <w:tcBorders>
              <w:top w:val="single" w:sz="4" w:space="0" w:color="auto"/>
              <w:bottom w:val="double" w:sz="4" w:space="0" w:color="auto"/>
            </w:tcBorders>
            <w:vAlign w:val="center"/>
          </w:tcPr>
          <w:p w14:paraId="3F716870" w14:textId="7250B8B8" w:rsidR="004C615A" w:rsidRDefault="005D315D" w:rsidP="00D51729">
            <w:pPr>
              <w:spacing w:line="300" w:lineRule="atLeast"/>
              <w:jc w:val="center"/>
              <w:rPr>
                <w:rFonts w:ascii="Arial" w:hAnsi="Arial" w:cs="Arial"/>
                <w:sz w:val="16"/>
                <w:szCs w:val="16"/>
              </w:rPr>
            </w:pPr>
            <w:r>
              <w:rPr>
                <w:rFonts w:ascii="Arial" w:hAnsi="Arial" w:cs="Arial"/>
                <w:sz w:val="16"/>
                <w:szCs w:val="16"/>
              </w:rPr>
              <w:t>19.83</w:t>
            </w:r>
          </w:p>
        </w:tc>
        <w:tc>
          <w:tcPr>
            <w:tcW w:w="1042" w:type="dxa"/>
            <w:tcBorders>
              <w:top w:val="single" w:sz="4" w:space="0" w:color="auto"/>
              <w:bottom w:val="double" w:sz="4" w:space="0" w:color="auto"/>
            </w:tcBorders>
            <w:vAlign w:val="center"/>
          </w:tcPr>
          <w:p w14:paraId="7CC07743" w14:textId="15A4F0BF" w:rsidR="004C615A" w:rsidRDefault="005D315D" w:rsidP="00BB0B0D">
            <w:pPr>
              <w:spacing w:line="300" w:lineRule="atLeast"/>
              <w:jc w:val="center"/>
              <w:rPr>
                <w:rFonts w:ascii="Arial" w:hAnsi="Arial" w:cs="Arial"/>
                <w:sz w:val="16"/>
                <w:szCs w:val="16"/>
              </w:rPr>
            </w:pPr>
            <w:r>
              <w:rPr>
                <w:rFonts w:ascii="Arial" w:hAnsi="Arial" w:cs="Arial"/>
                <w:sz w:val="16"/>
                <w:szCs w:val="16"/>
              </w:rPr>
              <w:t>19.83</w:t>
            </w:r>
          </w:p>
        </w:tc>
        <w:tc>
          <w:tcPr>
            <w:tcW w:w="1047" w:type="dxa"/>
            <w:tcBorders>
              <w:top w:val="single" w:sz="4" w:space="0" w:color="auto"/>
              <w:bottom w:val="double" w:sz="4" w:space="0" w:color="auto"/>
            </w:tcBorders>
          </w:tcPr>
          <w:p w14:paraId="7EAC38BA" w14:textId="77777777" w:rsidR="004C615A" w:rsidRDefault="004C615A" w:rsidP="00D51729">
            <w:pPr>
              <w:spacing w:line="300" w:lineRule="atLeast"/>
              <w:jc w:val="center"/>
              <w:rPr>
                <w:rFonts w:ascii="Arial" w:hAnsi="Arial" w:cs="Arial"/>
                <w:sz w:val="16"/>
                <w:szCs w:val="16"/>
              </w:rPr>
            </w:pPr>
          </w:p>
        </w:tc>
        <w:tc>
          <w:tcPr>
            <w:tcW w:w="1041" w:type="dxa"/>
            <w:tcBorders>
              <w:top w:val="single" w:sz="4" w:space="0" w:color="auto"/>
              <w:bottom w:val="double" w:sz="4" w:space="0" w:color="auto"/>
            </w:tcBorders>
          </w:tcPr>
          <w:p w14:paraId="30092D49" w14:textId="77777777" w:rsidR="004C615A" w:rsidRDefault="004C615A" w:rsidP="00D51729">
            <w:pPr>
              <w:spacing w:line="300" w:lineRule="atLeast"/>
              <w:jc w:val="center"/>
              <w:rPr>
                <w:rFonts w:ascii="Arial" w:hAnsi="Arial" w:cs="Arial"/>
                <w:sz w:val="16"/>
                <w:szCs w:val="16"/>
              </w:rPr>
            </w:pPr>
          </w:p>
        </w:tc>
        <w:tc>
          <w:tcPr>
            <w:tcW w:w="1136" w:type="dxa"/>
            <w:tcBorders>
              <w:top w:val="single" w:sz="4" w:space="0" w:color="auto"/>
              <w:bottom w:val="double" w:sz="4" w:space="0" w:color="auto"/>
            </w:tcBorders>
            <w:vAlign w:val="center"/>
          </w:tcPr>
          <w:p w14:paraId="6B1B0AC8" w14:textId="77777777" w:rsidR="004C615A" w:rsidRDefault="004C615A" w:rsidP="00D51729">
            <w:pPr>
              <w:spacing w:line="300" w:lineRule="atLeast"/>
              <w:jc w:val="center"/>
              <w:rPr>
                <w:rFonts w:ascii="Arial" w:hAnsi="Arial" w:cs="Arial"/>
                <w:sz w:val="16"/>
                <w:szCs w:val="16"/>
              </w:rPr>
            </w:pPr>
          </w:p>
        </w:tc>
      </w:tr>
      <w:tr w:rsidR="009B0A69" w14:paraId="45921C7B" w14:textId="77777777" w:rsidTr="00880597">
        <w:tc>
          <w:tcPr>
            <w:tcW w:w="1374" w:type="dxa"/>
            <w:tcBorders>
              <w:top w:val="double" w:sz="4" w:space="0" w:color="auto"/>
            </w:tcBorders>
          </w:tcPr>
          <w:p w14:paraId="6E541216" w14:textId="77777777" w:rsidR="009B0A69" w:rsidRPr="00180B00" w:rsidRDefault="009B0A69" w:rsidP="00355741">
            <w:pPr>
              <w:spacing w:line="300" w:lineRule="atLeast"/>
              <w:rPr>
                <w:rFonts w:ascii="Arial" w:hAnsi="Arial" w:cs="Arial"/>
                <w:b/>
                <w:sz w:val="16"/>
                <w:szCs w:val="16"/>
              </w:rPr>
            </w:pPr>
            <w:r w:rsidRPr="00180B00">
              <w:rPr>
                <w:rFonts w:ascii="Arial" w:hAnsi="Arial" w:cs="Arial"/>
                <w:b/>
                <w:sz w:val="16"/>
                <w:szCs w:val="16"/>
              </w:rPr>
              <w:t>Totals</w:t>
            </w:r>
            <w:r w:rsidR="00E11AC9">
              <w:rPr>
                <w:rFonts w:ascii="Arial" w:hAnsi="Arial" w:cs="Arial"/>
                <w:b/>
                <w:sz w:val="16"/>
                <w:szCs w:val="16"/>
              </w:rPr>
              <w:t>, 2012</w:t>
            </w:r>
          </w:p>
        </w:tc>
        <w:tc>
          <w:tcPr>
            <w:tcW w:w="1171" w:type="dxa"/>
            <w:tcBorders>
              <w:top w:val="double" w:sz="4" w:space="0" w:color="auto"/>
            </w:tcBorders>
            <w:vAlign w:val="center"/>
          </w:tcPr>
          <w:p w14:paraId="2A46C26A" w14:textId="77777777" w:rsidR="009B0A69" w:rsidRPr="00180B00" w:rsidRDefault="00761E39" w:rsidP="00D51729">
            <w:pPr>
              <w:spacing w:line="300" w:lineRule="atLeast"/>
              <w:jc w:val="center"/>
              <w:rPr>
                <w:rFonts w:ascii="Arial" w:hAnsi="Arial" w:cs="Arial"/>
                <w:b/>
                <w:sz w:val="16"/>
                <w:szCs w:val="16"/>
              </w:rPr>
            </w:pPr>
            <w:r>
              <w:rPr>
                <w:rFonts w:ascii="Arial" w:hAnsi="Arial" w:cs="Arial"/>
                <w:b/>
                <w:sz w:val="16"/>
                <w:szCs w:val="16"/>
              </w:rPr>
              <w:t>-</w:t>
            </w:r>
          </w:p>
        </w:tc>
        <w:tc>
          <w:tcPr>
            <w:tcW w:w="1059" w:type="dxa"/>
            <w:tcBorders>
              <w:top w:val="double" w:sz="4" w:space="0" w:color="auto"/>
            </w:tcBorders>
            <w:vAlign w:val="center"/>
          </w:tcPr>
          <w:p w14:paraId="779D300D" w14:textId="77777777" w:rsidR="009B0A69" w:rsidRPr="00180B00" w:rsidRDefault="00761E39" w:rsidP="00D51729">
            <w:pPr>
              <w:spacing w:line="300" w:lineRule="atLeast"/>
              <w:jc w:val="center"/>
              <w:rPr>
                <w:rFonts w:ascii="Arial" w:hAnsi="Arial" w:cs="Arial"/>
                <w:b/>
                <w:sz w:val="16"/>
                <w:szCs w:val="16"/>
              </w:rPr>
            </w:pPr>
            <w:r>
              <w:rPr>
                <w:rFonts w:ascii="Arial" w:hAnsi="Arial" w:cs="Arial"/>
                <w:b/>
                <w:sz w:val="16"/>
                <w:szCs w:val="16"/>
              </w:rPr>
              <w:t>-</w:t>
            </w:r>
          </w:p>
        </w:tc>
        <w:tc>
          <w:tcPr>
            <w:tcW w:w="1191" w:type="dxa"/>
            <w:tcBorders>
              <w:top w:val="double" w:sz="4" w:space="0" w:color="auto"/>
            </w:tcBorders>
            <w:vAlign w:val="center"/>
          </w:tcPr>
          <w:p w14:paraId="644950DE" w14:textId="77777777" w:rsidR="009B0A69" w:rsidRPr="00180B00" w:rsidRDefault="009B0A69" w:rsidP="00EC34C5">
            <w:pPr>
              <w:spacing w:line="300" w:lineRule="atLeast"/>
              <w:jc w:val="center"/>
              <w:rPr>
                <w:rFonts w:ascii="Arial" w:hAnsi="Arial" w:cs="Arial"/>
                <w:b/>
                <w:sz w:val="16"/>
                <w:szCs w:val="16"/>
              </w:rPr>
            </w:pPr>
            <w:r>
              <w:rPr>
                <w:rFonts w:ascii="Arial" w:hAnsi="Arial" w:cs="Arial"/>
                <w:b/>
                <w:sz w:val="16"/>
                <w:szCs w:val="16"/>
              </w:rPr>
              <w:t>2</w:t>
            </w:r>
            <w:r w:rsidR="00ED743F">
              <w:rPr>
                <w:rFonts w:ascii="Arial" w:hAnsi="Arial" w:cs="Arial"/>
                <w:b/>
                <w:sz w:val="16"/>
                <w:szCs w:val="16"/>
              </w:rPr>
              <w:t>3</w:t>
            </w:r>
            <w:r>
              <w:rPr>
                <w:rFonts w:ascii="Arial" w:hAnsi="Arial" w:cs="Arial"/>
                <w:b/>
                <w:sz w:val="16"/>
                <w:szCs w:val="16"/>
              </w:rPr>
              <w:t>.</w:t>
            </w:r>
            <w:r w:rsidR="00ED743F">
              <w:rPr>
                <w:rFonts w:ascii="Arial" w:hAnsi="Arial" w:cs="Arial"/>
                <w:b/>
                <w:sz w:val="16"/>
                <w:szCs w:val="16"/>
              </w:rPr>
              <w:t>4</w:t>
            </w:r>
            <w:r w:rsidRPr="00D47F06">
              <w:rPr>
                <w:rFonts w:ascii="Arial" w:hAnsi="Arial" w:cs="Arial"/>
                <w:sz w:val="16"/>
                <w:szCs w:val="16"/>
                <w:vertAlign w:val="superscript"/>
              </w:rPr>
              <w:t>b</w:t>
            </w:r>
          </w:p>
        </w:tc>
        <w:tc>
          <w:tcPr>
            <w:tcW w:w="1042" w:type="dxa"/>
            <w:tcBorders>
              <w:top w:val="double" w:sz="4" w:space="0" w:color="auto"/>
            </w:tcBorders>
            <w:vAlign w:val="center"/>
          </w:tcPr>
          <w:p w14:paraId="6BB02F16" w14:textId="4F21F858" w:rsidR="009B0A69" w:rsidRPr="00180B00" w:rsidRDefault="009B0A69" w:rsidP="00CE2AE9">
            <w:pPr>
              <w:spacing w:line="300" w:lineRule="atLeast"/>
              <w:jc w:val="center"/>
              <w:rPr>
                <w:rFonts w:ascii="Arial" w:hAnsi="Arial" w:cs="Arial"/>
                <w:b/>
                <w:sz w:val="16"/>
                <w:szCs w:val="16"/>
              </w:rPr>
            </w:pPr>
            <w:r>
              <w:rPr>
                <w:rFonts w:ascii="Arial" w:hAnsi="Arial" w:cs="Arial"/>
                <w:b/>
                <w:sz w:val="16"/>
                <w:szCs w:val="16"/>
              </w:rPr>
              <w:t>1</w:t>
            </w:r>
            <w:r w:rsidR="00ED743F">
              <w:rPr>
                <w:rFonts w:ascii="Arial" w:hAnsi="Arial" w:cs="Arial"/>
                <w:b/>
                <w:sz w:val="16"/>
                <w:szCs w:val="16"/>
              </w:rPr>
              <w:t>9</w:t>
            </w:r>
            <w:r>
              <w:rPr>
                <w:rFonts w:ascii="Arial" w:hAnsi="Arial" w:cs="Arial"/>
                <w:b/>
                <w:sz w:val="16"/>
                <w:szCs w:val="16"/>
              </w:rPr>
              <w:t>.</w:t>
            </w:r>
            <w:r w:rsidR="00BB0B0D">
              <w:rPr>
                <w:rFonts w:ascii="Arial" w:hAnsi="Arial" w:cs="Arial"/>
                <w:b/>
                <w:sz w:val="16"/>
                <w:szCs w:val="16"/>
              </w:rPr>
              <w:t>1</w:t>
            </w:r>
          </w:p>
        </w:tc>
        <w:tc>
          <w:tcPr>
            <w:tcW w:w="1047" w:type="dxa"/>
            <w:tcBorders>
              <w:top w:val="double" w:sz="4" w:space="0" w:color="auto"/>
            </w:tcBorders>
          </w:tcPr>
          <w:p w14:paraId="610B420C" w14:textId="6E3DACFB" w:rsidR="009B0A69" w:rsidRPr="00180B00" w:rsidRDefault="00CE2AE9" w:rsidP="00BB0B0D">
            <w:pPr>
              <w:spacing w:line="300" w:lineRule="atLeast"/>
              <w:jc w:val="center"/>
              <w:rPr>
                <w:rFonts w:ascii="Arial" w:hAnsi="Arial" w:cs="Arial"/>
                <w:b/>
                <w:sz w:val="16"/>
                <w:szCs w:val="16"/>
              </w:rPr>
            </w:pPr>
            <w:r>
              <w:rPr>
                <w:rFonts w:ascii="Arial" w:hAnsi="Arial" w:cs="Arial"/>
                <w:b/>
                <w:sz w:val="16"/>
                <w:szCs w:val="16"/>
              </w:rPr>
              <w:t>0.2</w:t>
            </w:r>
          </w:p>
        </w:tc>
        <w:tc>
          <w:tcPr>
            <w:tcW w:w="1041" w:type="dxa"/>
            <w:tcBorders>
              <w:top w:val="double" w:sz="4" w:space="0" w:color="auto"/>
            </w:tcBorders>
          </w:tcPr>
          <w:p w14:paraId="07F1A54C" w14:textId="38BE38CE" w:rsidR="009B0A69" w:rsidRPr="00180B00" w:rsidRDefault="009B0A69" w:rsidP="00ED743F">
            <w:pPr>
              <w:spacing w:line="300" w:lineRule="atLeast"/>
              <w:jc w:val="center"/>
              <w:rPr>
                <w:rFonts w:ascii="Arial" w:hAnsi="Arial" w:cs="Arial"/>
                <w:b/>
                <w:sz w:val="16"/>
                <w:szCs w:val="16"/>
              </w:rPr>
            </w:pPr>
            <w:r>
              <w:rPr>
                <w:rFonts w:ascii="Arial" w:hAnsi="Arial" w:cs="Arial"/>
                <w:b/>
                <w:sz w:val="16"/>
                <w:szCs w:val="16"/>
              </w:rPr>
              <w:t>1.</w:t>
            </w:r>
            <w:r w:rsidR="00CE2AE9">
              <w:rPr>
                <w:rFonts w:ascii="Arial" w:hAnsi="Arial" w:cs="Arial"/>
                <w:b/>
                <w:sz w:val="16"/>
                <w:szCs w:val="16"/>
              </w:rPr>
              <w:t>3</w:t>
            </w:r>
          </w:p>
        </w:tc>
        <w:tc>
          <w:tcPr>
            <w:tcW w:w="1136" w:type="dxa"/>
            <w:tcBorders>
              <w:top w:val="double" w:sz="4" w:space="0" w:color="auto"/>
            </w:tcBorders>
            <w:vAlign w:val="center"/>
          </w:tcPr>
          <w:p w14:paraId="5C5F0D67" w14:textId="547BBFFA" w:rsidR="009B0A69" w:rsidRPr="00180B00" w:rsidRDefault="009B0A69" w:rsidP="00D51729">
            <w:pPr>
              <w:spacing w:line="300" w:lineRule="atLeast"/>
              <w:jc w:val="center"/>
              <w:rPr>
                <w:rFonts w:ascii="Arial" w:hAnsi="Arial" w:cs="Arial"/>
                <w:b/>
                <w:sz w:val="16"/>
                <w:szCs w:val="16"/>
              </w:rPr>
            </w:pPr>
            <w:r>
              <w:rPr>
                <w:rFonts w:ascii="Arial" w:hAnsi="Arial" w:cs="Arial"/>
                <w:b/>
                <w:sz w:val="16"/>
                <w:szCs w:val="16"/>
              </w:rPr>
              <w:t>2.</w:t>
            </w:r>
            <w:r w:rsidR="00BB0B0D">
              <w:rPr>
                <w:rFonts w:ascii="Arial" w:hAnsi="Arial" w:cs="Arial"/>
                <w:b/>
                <w:sz w:val="16"/>
                <w:szCs w:val="16"/>
              </w:rPr>
              <w:t>8</w:t>
            </w:r>
          </w:p>
        </w:tc>
      </w:tr>
      <w:tr w:rsidR="00E11AC9" w14:paraId="6B64C191" w14:textId="77777777" w:rsidTr="00880597">
        <w:tc>
          <w:tcPr>
            <w:tcW w:w="1374" w:type="dxa"/>
          </w:tcPr>
          <w:p w14:paraId="115B8263" w14:textId="77777777" w:rsidR="00E11AC9" w:rsidRPr="00180B00" w:rsidRDefault="00E11AC9" w:rsidP="00355741">
            <w:pPr>
              <w:spacing w:line="300" w:lineRule="atLeast"/>
              <w:rPr>
                <w:rFonts w:ascii="Arial" w:hAnsi="Arial" w:cs="Arial"/>
                <w:b/>
                <w:sz w:val="16"/>
                <w:szCs w:val="16"/>
              </w:rPr>
            </w:pPr>
            <w:r>
              <w:rPr>
                <w:rFonts w:ascii="Arial" w:hAnsi="Arial" w:cs="Arial"/>
                <w:b/>
                <w:sz w:val="16"/>
                <w:szCs w:val="16"/>
              </w:rPr>
              <w:t>Totals, 2016</w:t>
            </w:r>
          </w:p>
        </w:tc>
        <w:tc>
          <w:tcPr>
            <w:tcW w:w="1171" w:type="dxa"/>
            <w:vAlign w:val="center"/>
          </w:tcPr>
          <w:p w14:paraId="7EA5D26C" w14:textId="77777777" w:rsidR="00E11AC9" w:rsidRPr="00180B00" w:rsidRDefault="00761E39" w:rsidP="00D51729">
            <w:pPr>
              <w:spacing w:line="300" w:lineRule="atLeast"/>
              <w:jc w:val="center"/>
              <w:rPr>
                <w:rFonts w:ascii="Arial" w:hAnsi="Arial" w:cs="Arial"/>
                <w:b/>
                <w:sz w:val="16"/>
                <w:szCs w:val="16"/>
              </w:rPr>
            </w:pPr>
            <w:r>
              <w:rPr>
                <w:rFonts w:ascii="Arial" w:hAnsi="Arial" w:cs="Arial"/>
                <w:b/>
                <w:sz w:val="16"/>
                <w:szCs w:val="16"/>
              </w:rPr>
              <w:t>-</w:t>
            </w:r>
          </w:p>
        </w:tc>
        <w:tc>
          <w:tcPr>
            <w:tcW w:w="1059" w:type="dxa"/>
            <w:vAlign w:val="center"/>
          </w:tcPr>
          <w:p w14:paraId="3A867DDC" w14:textId="77777777" w:rsidR="00E11AC9" w:rsidRPr="00180B00" w:rsidRDefault="00761E39" w:rsidP="00D51729">
            <w:pPr>
              <w:spacing w:line="300" w:lineRule="atLeast"/>
              <w:jc w:val="center"/>
              <w:rPr>
                <w:rFonts w:ascii="Arial" w:hAnsi="Arial" w:cs="Arial"/>
                <w:b/>
                <w:sz w:val="16"/>
                <w:szCs w:val="16"/>
              </w:rPr>
            </w:pPr>
            <w:r>
              <w:rPr>
                <w:rFonts w:ascii="Arial" w:hAnsi="Arial" w:cs="Arial"/>
                <w:b/>
                <w:sz w:val="16"/>
                <w:szCs w:val="16"/>
              </w:rPr>
              <w:t>-</w:t>
            </w:r>
          </w:p>
        </w:tc>
        <w:tc>
          <w:tcPr>
            <w:tcW w:w="1191" w:type="dxa"/>
            <w:vAlign w:val="center"/>
          </w:tcPr>
          <w:p w14:paraId="549727E1" w14:textId="5B4EB6A8" w:rsidR="00E11AC9" w:rsidRDefault="00E11AC9" w:rsidP="00816AED">
            <w:pPr>
              <w:spacing w:line="300" w:lineRule="atLeast"/>
              <w:jc w:val="center"/>
              <w:rPr>
                <w:rFonts w:ascii="Arial" w:hAnsi="Arial" w:cs="Arial"/>
                <w:b/>
                <w:sz w:val="16"/>
                <w:szCs w:val="16"/>
              </w:rPr>
            </w:pPr>
            <w:r>
              <w:rPr>
                <w:rFonts w:ascii="Arial" w:hAnsi="Arial" w:cs="Arial"/>
                <w:b/>
                <w:sz w:val="16"/>
                <w:szCs w:val="16"/>
              </w:rPr>
              <w:t>23.</w:t>
            </w:r>
            <w:r w:rsidR="00816AED">
              <w:rPr>
                <w:rFonts w:ascii="Arial" w:hAnsi="Arial" w:cs="Arial"/>
                <w:b/>
                <w:sz w:val="16"/>
                <w:szCs w:val="16"/>
              </w:rPr>
              <w:t>2</w:t>
            </w:r>
            <w:r w:rsidRPr="00E11AC9">
              <w:rPr>
                <w:rFonts w:ascii="Arial" w:hAnsi="Arial" w:cs="Arial"/>
                <w:sz w:val="16"/>
                <w:szCs w:val="16"/>
                <w:vertAlign w:val="superscript"/>
              </w:rPr>
              <w:t>b</w:t>
            </w:r>
          </w:p>
        </w:tc>
        <w:tc>
          <w:tcPr>
            <w:tcW w:w="1042" w:type="dxa"/>
            <w:vAlign w:val="center"/>
          </w:tcPr>
          <w:p w14:paraId="45E1BD1A" w14:textId="4572CE9D" w:rsidR="00E11AC9" w:rsidRDefault="00E11AC9" w:rsidP="00BB0B0D">
            <w:pPr>
              <w:spacing w:line="300" w:lineRule="atLeast"/>
              <w:jc w:val="center"/>
              <w:rPr>
                <w:rFonts w:ascii="Arial" w:hAnsi="Arial" w:cs="Arial"/>
                <w:b/>
                <w:sz w:val="16"/>
                <w:szCs w:val="16"/>
              </w:rPr>
            </w:pPr>
            <w:r>
              <w:rPr>
                <w:rFonts w:ascii="Arial" w:hAnsi="Arial" w:cs="Arial"/>
                <w:b/>
                <w:sz w:val="16"/>
                <w:szCs w:val="16"/>
              </w:rPr>
              <w:t>19.</w:t>
            </w:r>
            <w:r w:rsidR="00816AED">
              <w:rPr>
                <w:rFonts w:ascii="Arial" w:hAnsi="Arial" w:cs="Arial"/>
                <w:b/>
                <w:sz w:val="16"/>
                <w:szCs w:val="16"/>
              </w:rPr>
              <w:t>1</w:t>
            </w:r>
          </w:p>
        </w:tc>
        <w:tc>
          <w:tcPr>
            <w:tcW w:w="1047" w:type="dxa"/>
          </w:tcPr>
          <w:p w14:paraId="00206A89" w14:textId="563E5F4F" w:rsidR="00E11AC9" w:rsidRDefault="00CE2AE9" w:rsidP="00BB0B0D">
            <w:pPr>
              <w:spacing w:line="300" w:lineRule="atLeast"/>
              <w:jc w:val="center"/>
              <w:rPr>
                <w:rFonts w:ascii="Arial" w:hAnsi="Arial" w:cs="Arial"/>
                <w:b/>
                <w:sz w:val="16"/>
                <w:szCs w:val="16"/>
              </w:rPr>
            </w:pPr>
            <w:r>
              <w:rPr>
                <w:rFonts w:ascii="Arial" w:hAnsi="Arial" w:cs="Arial"/>
                <w:b/>
                <w:sz w:val="16"/>
                <w:szCs w:val="16"/>
              </w:rPr>
              <w:t>0.2</w:t>
            </w:r>
          </w:p>
        </w:tc>
        <w:tc>
          <w:tcPr>
            <w:tcW w:w="1041" w:type="dxa"/>
          </w:tcPr>
          <w:p w14:paraId="76A3C64F" w14:textId="420CFE87" w:rsidR="00E11AC9" w:rsidRDefault="00CE2AE9" w:rsidP="00ED743F">
            <w:pPr>
              <w:spacing w:line="300" w:lineRule="atLeast"/>
              <w:jc w:val="center"/>
              <w:rPr>
                <w:rFonts w:ascii="Arial" w:hAnsi="Arial" w:cs="Arial"/>
                <w:b/>
                <w:sz w:val="16"/>
                <w:szCs w:val="16"/>
              </w:rPr>
            </w:pPr>
            <w:r>
              <w:rPr>
                <w:rFonts w:ascii="Arial" w:hAnsi="Arial" w:cs="Arial"/>
                <w:b/>
                <w:sz w:val="16"/>
                <w:szCs w:val="16"/>
              </w:rPr>
              <w:t>1.1</w:t>
            </w:r>
          </w:p>
        </w:tc>
        <w:tc>
          <w:tcPr>
            <w:tcW w:w="1136" w:type="dxa"/>
            <w:vAlign w:val="center"/>
          </w:tcPr>
          <w:p w14:paraId="03FBBBEA" w14:textId="558B1A46" w:rsidR="00E11AC9" w:rsidRDefault="00CE2AE9" w:rsidP="00D51729">
            <w:pPr>
              <w:spacing w:line="300" w:lineRule="atLeast"/>
              <w:jc w:val="center"/>
              <w:rPr>
                <w:rFonts w:ascii="Arial" w:hAnsi="Arial" w:cs="Arial"/>
                <w:b/>
                <w:sz w:val="16"/>
                <w:szCs w:val="16"/>
              </w:rPr>
            </w:pPr>
            <w:r>
              <w:rPr>
                <w:rFonts w:ascii="Arial" w:hAnsi="Arial" w:cs="Arial"/>
                <w:b/>
                <w:sz w:val="16"/>
                <w:szCs w:val="16"/>
              </w:rPr>
              <w:t>2.8</w:t>
            </w:r>
          </w:p>
        </w:tc>
      </w:tr>
      <w:tr w:rsidR="00803E5B" w14:paraId="2CDCF725" w14:textId="77777777" w:rsidTr="00880597">
        <w:tc>
          <w:tcPr>
            <w:tcW w:w="1374" w:type="dxa"/>
          </w:tcPr>
          <w:p w14:paraId="331EA7BF" w14:textId="4876C531" w:rsidR="00803E5B" w:rsidRDefault="00803E5B" w:rsidP="00D51729">
            <w:pPr>
              <w:spacing w:line="300" w:lineRule="atLeast"/>
              <w:jc w:val="both"/>
              <w:rPr>
                <w:rFonts w:ascii="Arial" w:hAnsi="Arial" w:cs="Arial"/>
                <w:b/>
                <w:sz w:val="16"/>
                <w:szCs w:val="16"/>
              </w:rPr>
            </w:pPr>
            <w:r>
              <w:rPr>
                <w:rFonts w:ascii="Arial" w:hAnsi="Arial" w:cs="Arial"/>
                <w:b/>
                <w:sz w:val="16"/>
                <w:szCs w:val="16"/>
              </w:rPr>
              <w:t>Totals</w:t>
            </w:r>
            <w:r w:rsidR="000C45B8">
              <w:rPr>
                <w:rFonts w:ascii="Arial" w:hAnsi="Arial" w:cs="Arial"/>
                <w:b/>
                <w:sz w:val="16"/>
                <w:szCs w:val="16"/>
              </w:rPr>
              <w:t>, 2020</w:t>
            </w:r>
          </w:p>
        </w:tc>
        <w:tc>
          <w:tcPr>
            <w:tcW w:w="1171" w:type="dxa"/>
            <w:vAlign w:val="center"/>
          </w:tcPr>
          <w:p w14:paraId="3A16261A" w14:textId="7E3D9CFE" w:rsidR="00803E5B" w:rsidRDefault="000C45B8" w:rsidP="00D51729">
            <w:pPr>
              <w:spacing w:line="300" w:lineRule="atLeast"/>
              <w:jc w:val="center"/>
              <w:rPr>
                <w:rFonts w:ascii="Arial" w:hAnsi="Arial" w:cs="Arial"/>
                <w:b/>
                <w:sz w:val="16"/>
                <w:szCs w:val="16"/>
              </w:rPr>
            </w:pPr>
            <w:r>
              <w:rPr>
                <w:rFonts w:ascii="Arial" w:hAnsi="Arial" w:cs="Arial"/>
                <w:b/>
                <w:sz w:val="16"/>
                <w:szCs w:val="16"/>
              </w:rPr>
              <w:t>-</w:t>
            </w:r>
          </w:p>
        </w:tc>
        <w:tc>
          <w:tcPr>
            <w:tcW w:w="1059" w:type="dxa"/>
            <w:vAlign w:val="center"/>
          </w:tcPr>
          <w:p w14:paraId="7EC07F02" w14:textId="1CBCBC8E" w:rsidR="00803E5B" w:rsidRDefault="000C45B8" w:rsidP="00D51729">
            <w:pPr>
              <w:spacing w:line="300" w:lineRule="atLeast"/>
              <w:jc w:val="center"/>
              <w:rPr>
                <w:rFonts w:ascii="Arial" w:hAnsi="Arial" w:cs="Arial"/>
                <w:b/>
                <w:sz w:val="16"/>
                <w:szCs w:val="16"/>
              </w:rPr>
            </w:pPr>
            <w:r>
              <w:rPr>
                <w:rFonts w:ascii="Arial" w:hAnsi="Arial" w:cs="Arial"/>
                <w:b/>
                <w:sz w:val="16"/>
                <w:szCs w:val="16"/>
              </w:rPr>
              <w:t>-</w:t>
            </w:r>
          </w:p>
        </w:tc>
        <w:tc>
          <w:tcPr>
            <w:tcW w:w="1191" w:type="dxa"/>
            <w:vAlign w:val="center"/>
          </w:tcPr>
          <w:p w14:paraId="39D563DE" w14:textId="4213796E" w:rsidR="00803E5B" w:rsidRDefault="000C45B8" w:rsidP="00816AED">
            <w:pPr>
              <w:spacing w:line="300" w:lineRule="atLeast"/>
              <w:jc w:val="center"/>
              <w:rPr>
                <w:rFonts w:ascii="Arial" w:hAnsi="Arial" w:cs="Arial"/>
                <w:b/>
                <w:sz w:val="16"/>
                <w:szCs w:val="16"/>
              </w:rPr>
            </w:pPr>
            <w:r>
              <w:rPr>
                <w:rFonts w:ascii="Arial" w:hAnsi="Arial" w:cs="Arial"/>
                <w:b/>
                <w:sz w:val="16"/>
                <w:szCs w:val="16"/>
              </w:rPr>
              <w:t>1</w:t>
            </w:r>
            <w:r w:rsidR="00782D81">
              <w:rPr>
                <w:rFonts w:ascii="Arial" w:hAnsi="Arial" w:cs="Arial"/>
                <w:b/>
                <w:sz w:val="16"/>
                <w:szCs w:val="16"/>
              </w:rPr>
              <w:t>7.3</w:t>
            </w:r>
            <w:r w:rsidR="00782D81" w:rsidRPr="00DE6E9E">
              <w:rPr>
                <w:rFonts w:ascii="Arial" w:hAnsi="Arial" w:cs="Arial"/>
                <w:b/>
                <w:sz w:val="16"/>
                <w:szCs w:val="16"/>
                <w:vertAlign w:val="superscript"/>
              </w:rPr>
              <w:t>b</w:t>
            </w:r>
          </w:p>
        </w:tc>
        <w:tc>
          <w:tcPr>
            <w:tcW w:w="1042" w:type="dxa"/>
            <w:vAlign w:val="center"/>
          </w:tcPr>
          <w:p w14:paraId="4A65041B" w14:textId="470670DC" w:rsidR="00803E5B" w:rsidRDefault="000C45B8" w:rsidP="00BB0B0D">
            <w:pPr>
              <w:spacing w:line="300" w:lineRule="atLeast"/>
              <w:jc w:val="center"/>
              <w:rPr>
                <w:rFonts w:ascii="Arial" w:hAnsi="Arial" w:cs="Arial"/>
                <w:b/>
                <w:sz w:val="16"/>
                <w:szCs w:val="16"/>
              </w:rPr>
            </w:pPr>
            <w:r>
              <w:rPr>
                <w:rFonts w:ascii="Arial" w:hAnsi="Arial" w:cs="Arial"/>
                <w:b/>
                <w:sz w:val="16"/>
                <w:szCs w:val="16"/>
              </w:rPr>
              <w:t>14.5</w:t>
            </w:r>
          </w:p>
        </w:tc>
        <w:tc>
          <w:tcPr>
            <w:tcW w:w="1047" w:type="dxa"/>
          </w:tcPr>
          <w:p w14:paraId="205B4C16" w14:textId="032CD5BA" w:rsidR="00803E5B" w:rsidRDefault="000C45B8" w:rsidP="00BB0B0D">
            <w:pPr>
              <w:spacing w:line="300" w:lineRule="atLeast"/>
              <w:jc w:val="center"/>
              <w:rPr>
                <w:rFonts w:ascii="Arial" w:hAnsi="Arial" w:cs="Arial"/>
                <w:b/>
                <w:sz w:val="16"/>
                <w:szCs w:val="16"/>
              </w:rPr>
            </w:pPr>
            <w:r>
              <w:rPr>
                <w:rFonts w:ascii="Arial" w:hAnsi="Arial" w:cs="Arial"/>
                <w:b/>
                <w:sz w:val="16"/>
                <w:szCs w:val="16"/>
              </w:rPr>
              <w:t>0.1</w:t>
            </w:r>
          </w:p>
        </w:tc>
        <w:tc>
          <w:tcPr>
            <w:tcW w:w="1041" w:type="dxa"/>
          </w:tcPr>
          <w:p w14:paraId="6982BE62" w14:textId="761C558E" w:rsidR="00803E5B" w:rsidRDefault="000C45B8" w:rsidP="00ED743F">
            <w:pPr>
              <w:spacing w:line="300" w:lineRule="atLeast"/>
              <w:jc w:val="center"/>
              <w:rPr>
                <w:rFonts w:ascii="Arial" w:hAnsi="Arial" w:cs="Arial"/>
                <w:b/>
                <w:sz w:val="16"/>
                <w:szCs w:val="16"/>
              </w:rPr>
            </w:pPr>
            <w:r>
              <w:rPr>
                <w:rFonts w:ascii="Arial" w:hAnsi="Arial" w:cs="Arial"/>
                <w:b/>
                <w:sz w:val="16"/>
                <w:szCs w:val="16"/>
              </w:rPr>
              <w:t>0.</w:t>
            </w:r>
            <w:r w:rsidR="009D66D5">
              <w:rPr>
                <w:rFonts w:ascii="Arial" w:hAnsi="Arial" w:cs="Arial"/>
                <w:b/>
                <w:sz w:val="16"/>
                <w:szCs w:val="16"/>
              </w:rPr>
              <w:t>66</w:t>
            </w:r>
          </w:p>
        </w:tc>
        <w:tc>
          <w:tcPr>
            <w:tcW w:w="1136" w:type="dxa"/>
            <w:vAlign w:val="center"/>
          </w:tcPr>
          <w:p w14:paraId="57CEA000" w14:textId="2C4EB726" w:rsidR="00803E5B" w:rsidRDefault="000C45B8" w:rsidP="00D51729">
            <w:pPr>
              <w:spacing w:line="300" w:lineRule="atLeast"/>
              <w:jc w:val="center"/>
              <w:rPr>
                <w:rFonts w:ascii="Arial" w:hAnsi="Arial" w:cs="Arial"/>
                <w:b/>
                <w:sz w:val="16"/>
                <w:szCs w:val="16"/>
              </w:rPr>
            </w:pPr>
            <w:r>
              <w:rPr>
                <w:rFonts w:ascii="Arial" w:hAnsi="Arial" w:cs="Arial"/>
                <w:b/>
                <w:sz w:val="16"/>
                <w:szCs w:val="16"/>
              </w:rPr>
              <w:t>2.0</w:t>
            </w:r>
          </w:p>
        </w:tc>
      </w:tr>
      <w:tr w:rsidR="005D315D" w14:paraId="0CA12C44" w14:textId="77777777" w:rsidTr="00880597">
        <w:tc>
          <w:tcPr>
            <w:tcW w:w="1374" w:type="dxa"/>
          </w:tcPr>
          <w:p w14:paraId="6461004E" w14:textId="3866B1E9" w:rsidR="005D315D" w:rsidRDefault="005D315D" w:rsidP="00D51729">
            <w:pPr>
              <w:spacing w:line="300" w:lineRule="atLeast"/>
              <w:jc w:val="both"/>
              <w:rPr>
                <w:rFonts w:ascii="Arial" w:hAnsi="Arial" w:cs="Arial"/>
                <w:b/>
                <w:sz w:val="16"/>
                <w:szCs w:val="16"/>
              </w:rPr>
            </w:pPr>
            <w:r>
              <w:rPr>
                <w:rFonts w:ascii="Arial" w:hAnsi="Arial" w:cs="Arial"/>
                <w:b/>
                <w:sz w:val="16"/>
                <w:szCs w:val="16"/>
              </w:rPr>
              <w:t>Totals 2024</w:t>
            </w:r>
          </w:p>
        </w:tc>
        <w:tc>
          <w:tcPr>
            <w:tcW w:w="1171" w:type="dxa"/>
            <w:vAlign w:val="center"/>
          </w:tcPr>
          <w:p w14:paraId="7855AD17" w14:textId="1ED40D98" w:rsidR="005D315D" w:rsidRDefault="005D315D" w:rsidP="00D51729">
            <w:pPr>
              <w:spacing w:line="300" w:lineRule="atLeast"/>
              <w:jc w:val="center"/>
              <w:rPr>
                <w:rFonts w:ascii="Arial" w:hAnsi="Arial" w:cs="Arial"/>
                <w:b/>
                <w:sz w:val="16"/>
                <w:szCs w:val="16"/>
              </w:rPr>
            </w:pPr>
            <w:r>
              <w:rPr>
                <w:rFonts w:ascii="Arial" w:hAnsi="Arial" w:cs="Arial"/>
                <w:b/>
                <w:sz w:val="16"/>
                <w:szCs w:val="16"/>
              </w:rPr>
              <w:t>-</w:t>
            </w:r>
          </w:p>
        </w:tc>
        <w:tc>
          <w:tcPr>
            <w:tcW w:w="1059" w:type="dxa"/>
            <w:vAlign w:val="center"/>
          </w:tcPr>
          <w:p w14:paraId="09DE35C2" w14:textId="3A7ADA12" w:rsidR="005D315D" w:rsidRDefault="005D315D" w:rsidP="00D51729">
            <w:pPr>
              <w:spacing w:line="300" w:lineRule="atLeast"/>
              <w:jc w:val="center"/>
              <w:rPr>
                <w:rFonts w:ascii="Arial" w:hAnsi="Arial" w:cs="Arial"/>
                <w:b/>
                <w:sz w:val="16"/>
                <w:szCs w:val="16"/>
              </w:rPr>
            </w:pPr>
            <w:r>
              <w:rPr>
                <w:rFonts w:ascii="Arial" w:hAnsi="Arial" w:cs="Arial"/>
                <w:b/>
                <w:sz w:val="16"/>
                <w:szCs w:val="16"/>
              </w:rPr>
              <w:t>-</w:t>
            </w:r>
          </w:p>
        </w:tc>
        <w:tc>
          <w:tcPr>
            <w:tcW w:w="1191" w:type="dxa"/>
            <w:vAlign w:val="center"/>
          </w:tcPr>
          <w:p w14:paraId="2CC10442" w14:textId="29BEA667" w:rsidR="005D315D" w:rsidRDefault="005D315D" w:rsidP="00816AED">
            <w:pPr>
              <w:spacing w:line="300" w:lineRule="atLeast"/>
              <w:jc w:val="center"/>
              <w:rPr>
                <w:rFonts w:ascii="Arial" w:hAnsi="Arial" w:cs="Arial"/>
                <w:b/>
                <w:sz w:val="16"/>
                <w:szCs w:val="16"/>
              </w:rPr>
            </w:pPr>
            <w:r>
              <w:rPr>
                <w:rFonts w:ascii="Arial" w:hAnsi="Arial" w:cs="Arial"/>
                <w:b/>
                <w:sz w:val="16"/>
                <w:szCs w:val="16"/>
              </w:rPr>
              <w:t>20.40</w:t>
            </w:r>
          </w:p>
        </w:tc>
        <w:tc>
          <w:tcPr>
            <w:tcW w:w="1042" w:type="dxa"/>
            <w:vAlign w:val="center"/>
          </w:tcPr>
          <w:p w14:paraId="03CD14F9" w14:textId="58CA8450" w:rsidR="005D315D" w:rsidRDefault="005D315D" w:rsidP="00BB0B0D">
            <w:pPr>
              <w:spacing w:line="300" w:lineRule="atLeast"/>
              <w:jc w:val="center"/>
              <w:rPr>
                <w:rFonts w:ascii="Arial" w:hAnsi="Arial" w:cs="Arial"/>
                <w:b/>
                <w:sz w:val="16"/>
                <w:szCs w:val="16"/>
              </w:rPr>
            </w:pPr>
            <w:r>
              <w:rPr>
                <w:rFonts w:ascii="Arial" w:hAnsi="Arial" w:cs="Arial"/>
                <w:b/>
                <w:sz w:val="16"/>
                <w:szCs w:val="16"/>
              </w:rPr>
              <w:t>19.83</w:t>
            </w:r>
          </w:p>
        </w:tc>
        <w:tc>
          <w:tcPr>
            <w:tcW w:w="1047" w:type="dxa"/>
          </w:tcPr>
          <w:p w14:paraId="6DAA4263" w14:textId="77777777" w:rsidR="005D315D" w:rsidRDefault="005D315D" w:rsidP="00BB0B0D">
            <w:pPr>
              <w:spacing w:line="300" w:lineRule="atLeast"/>
              <w:jc w:val="center"/>
              <w:rPr>
                <w:rFonts w:ascii="Arial" w:hAnsi="Arial" w:cs="Arial"/>
                <w:b/>
                <w:sz w:val="16"/>
                <w:szCs w:val="16"/>
              </w:rPr>
            </w:pPr>
          </w:p>
        </w:tc>
        <w:tc>
          <w:tcPr>
            <w:tcW w:w="1041" w:type="dxa"/>
          </w:tcPr>
          <w:p w14:paraId="37C1B711" w14:textId="241EAA53" w:rsidR="005D315D" w:rsidRDefault="005D315D" w:rsidP="00ED743F">
            <w:pPr>
              <w:spacing w:line="300" w:lineRule="atLeast"/>
              <w:jc w:val="center"/>
              <w:rPr>
                <w:rFonts w:ascii="Arial" w:hAnsi="Arial" w:cs="Arial"/>
                <w:b/>
                <w:sz w:val="16"/>
                <w:szCs w:val="16"/>
              </w:rPr>
            </w:pPr>
            <w:r>
              <w:rPr>
                <w:rFonts w:ascii="Arial" w:hAnsi="Arial" w:cs="Arial"/>
                <w:b/>
                <w:sz w:val="16"/>
                <w:szCs w:val="16"/>
              </w:rPr>
              <w:t>0.565</w:t>
            </w:r>
          </w:p>
        </w:tc>
        <w:tc>
          <w:tcPr>
            <w:tcW w:w="1136" w:type="dxa"/>
            <w:vAlign w:val="center"/>
          </w:tcPr>
          <w:p w14:paraId="1D98DE9F" w14:textId="77777777" w:rsidR="005D315D" w:rsidRDefault="005D315D" w:rsidP="00D51729">
            <w:pPr>
              <w:spacing w:line="300" w:lineRule="atLeast"/>
              <w:jc w:val="center"/>
              <w:rPr>
                <w:rFonts w:ascii="Arial" w:hAnsi="Arial" w:cs="Arial"/>
                <w:b/>
                <w:sz w:val="16"/>
                <w:szCs w:val="16"/>
              </w:rPr>
            </w:pPr>
          </w:p>
        </w:tc>
      </w:tr>
    </w:tbl>
    <w:p w14:paraId="1362D569" w14:textId="460DF045" w:rsidR="00D47F06" w:rsidRDefault="00D47F06" w:rsidP="00D47F06">
      <w:pPr>
        <w:tabs>
          <w:tab w:val="left" w:pos="851"/>
          <w:tab w:val="left" w:pos="1134"/>
        </w:tabs>
        <w:spacing w:before="120" w:line="300" w:lineRule="atLeast"/>
        <w:jc w:val="both"/>
        <w:rPr>
          <w:szCs w:val="18"/>
        </w:rPr>
      </w:pPr>
      <w:r w:rsidRPr="00D20BA6">
        <w:rPr>
          <w:sz w:val="16"/>
          <w:szCs w:val="16"/>
        </w:rPr>
        <w:t>Notes:</w:t>
      </w:r>
      <w:r w:rsidRPr="00D20BA6">
        <w:rPr>
          <w:sz w:val="16"/>
          <w:szCs w:val="16"/>
        </w:rPr>
        <w:tab/>
        <w:t xml:space="preserve">a </w:t>
      </w:r>
      <w:r w:rsidRPr="00D20BA6">
        <w:rPr>
          <w:sz w:val="16"/>
          <w:szCs w:val="16"/>
        </w:rPr>
        <w:tab/>
      </w:r>
      <w:r w:rsidR="006C6CDF" w:rsidRPr="00D20BA6">
        <w:rPr>
          <w:sz w:val="16"/>
          <w:szCs w:val="16"/>
        </w:rPr>
        <w:t xml:space="preserve">a </w:t>
      </w:r>
      <w:r w:rsidRPr="00D20BA6">
        <w:rPr>
          <w:sz w:val="16"/>
          <w:szCs w:val="16"/>
        </w:rPr>
        <w:t xml:space="preserve">further </w:t>
      </w:r>
      <w:r w:rsidR="00C653E2" w:rsidRPr="00D20BA6">
        <w:rPr>
          <w:sz w:val="16"/>
          <w:szCs w:val="16"/>
        </w:rPr>
        <w:t>5.04</w:t>
      </w:r>
      <w:r w:rsidR="00E11AC9" w:rsidRPr="00D20BA6">
        <w:rPr>
          <w:sz w:val="16"/>
          <w:szCs w:val="16"/>
        </w:rPr>
        <w:t xml:space="preserve"> kg wa</w:t>
      </w:r>
      <w:r w:rsidRPr="00D20BA6">
        <w:rPr>
          <w:sz w:val="16"/>
          <w:szCs w:val="16"/>
        </w:rPr>
        <w:t xml:space="preserve">s removed through </w:t>
      </w:r>
      <w:r w:rsidR="00DE121D" w:rsidRPr="00D20BA6">
        <w:rPr>
          <w:sz w:val="16"/>
          <w:szCs w:val="16"/>
        </w:rPr>
        <w:t xml:space="preserve">oil </w:t>
      </w:r>
      <w:r w:rsidRPr="00D20BA6">
        <w:rPr>
          <w:sz w:val="16"/>
          <w:szCs w:val="16"/>
        </w:rPr>
        <w:t>exports</w:t>
      </w:r>
      <w:r w:rsidR="00E11AC9" w:rsidRPr="00D20BA6">
        <w:rPr>
          <w:sz w:val="16"/>
          <w:szCs w:val="16"/>
        </w:rPr>
        <w:t xml:space="preserve"> in 2012, 5.39 kg in 2016</w:t>
      </w:r>
      <w:r w:rsidR="004C615A" w:rsidRPr="00D20BA6">
        <w:rPr>
          <w:sz w:val="16"/>
          <w:szCs w:val="16"/>
        </w:rPr>
        <w:t xml:space="preserve">, </w:t>
      </w:r>
      <w:r w:rsidR="00803E5B" w:rsidRPr="00D20BA6">
        <w:rPr>
          <w:sz w:val="16"/>
          <w:szCs w:val="16"/>
        </w:rPr>
        <w:t>3.06 kg in 2020</w:t>
      </w:r>
      <w:r w:rsidR="004C615A" w:rsidRPr="00D20BA6">
        <w:rPr>
          <w:sz w:val="16"/>
          <w:szCs w:val="16"/>
        </w:rPr>
        <w:t xml:space="preserve"> and 2.26 kg in 2024</w:t>
      </w:r>
      <w:r w:rsidR="004C615A">
        <w:rPr>
          <w:szCs w:val="18"/>
        </w:rPr>
        <w:t>.</w:t>
      </w:r>
    </w:p>
    <w:p w14:paraId="51A1C8D4" w14:textId="122FC04E" w:rsidR="00D47F06" w:rsidRPr="00D20BA6" w:rsidRDefault="00004D1A" w:rsidP="00D47F06">
      <w:pPr>
        <w:tabs>
          <w:tab w:val="left" w:pos="851"/>
          <w:tab w:val="left" w:pos="1134"/>
        </w:tabs>
        <w:spacing w:before="120" w:line="300" w:lineRule="atLeast"/>
        <w:ind w:left="1134" w:hanging="1134"/>
        <w:jc w:val="both"/>
        <w:rPr>
          <w:sz w:val="16"/>
          <w:szCs w:val="16"/>
        </w:rPr>
      </w:pPr>
      <w:r>
        <w:rPr>
          <w:szCs w:val="18"/>
        </w:rPr>
        <w:tab/>
      </w:r>
      <w:r w:rsidRPr="00D20BA6">
        <w:rPr>
          <w:sz w:val="16"/>
          <w:szCs w:val="16"/>
        </w:rPr>
        <w:t>b</w:t>
      </w:r>
      <w:r w:rsidRPr="00D20BA6">
        <w:rPr>
          <w:sz w:val="16"/>
          <w:szCs w:val="16"/>
        </w:rPr>
        <w:tab/>
      </w:r>
      <w:r w:rsidR="00D47F06" w:rsidRPr="00D20BA6">
        <w:rPr>
          <w:sz w:val="16"/>
          <w:szCs w:val="16"/>
        </w:rPr>
        <w:t xml:space="preserve">individual inputs do not add up to this total because </w:t>
      </w:r>
      <w:r w:rsidR="009B0A69" w:rsidRPr="00D20BA6">
        <w:rPr>
          <w:sz w:val="16"/>
          <w:szCs w:val="16"/>
        </w:rPr>
        <w:t>5</w:t>
      </w:r>
      <w:r w:rsidR="00D47F06" w:rsidRPr="00D20BA6">
        <w:rPr>
          <w:sz w:val="16"/>
          <w:szCs w:val="16"/>
        </w:rPr>
        <w:t xml:space="preserve">9% of the refining input </w:t>
      </w:r>
      <w:r w:rsidR="00C653E2" w:rsidRPr="00D20BA6">
        <w:rPr>
          <w:sz w:val="16"/>
          <w:szCs w:val="16"/>
        </w:rPr>
        <w:t>(11.09 kg/yr) carries over into the oil use inputs.</w:t>
      </w:r>
    </w:p>
    <w:p w14:paraId="46A242E2" w14:textId="77777777" w:rsidR="005120F2" w:rsidRPr="00BE17CF" w:rsidRDefault="005120F2" w:rsidP="005120F2">
      <w:pPr>
        <w:spacing w:before="120" w:line="300" w:lineRule="atLeast"/>
        <w:jc w:val="both"/>
        <w:rPr>
          <w:rFonts w:ascii="Arial" w:hAnsi="Arial" w:cs="Arial"/>
          <w:b/>
          <w:szCs w:val="18"/>
        </w:rPr>
      </w:pPr>
      <w:r w:rsidRPr="00BE17CF">
        <w:rPr>
          <w:rFonts w:ascii="Arial" w:hAnsi="Arial" w:cs="Arial"/>
          <w:b/>
          <w:szCs w:val="18"/>
        </w:rPr>
        <w:t xml:space="preserve">Certainty </w:t>
      </w:r>
      <w:r w:rsidR="00A97D5C" w:rsidRPr="00BE17CF">
        <w:rPr>
          <w:rFonts w:ascii="Arial" w:hAnsi="Arial" w:cs="Arial"/>
          <w:b/>
          <w:szCs w:val="18"/>
        </w:rPr>
        <w:t>assessment</w:t>
      </w:r>
    </w:p>
    <w:p w14:paraId="59ECB815" w14:textId="77777777" w:rsidR="005120F2" w:rsidRDefault="005120F2" w:rsidP="005120F2">
      <w:pPr>
        <w:tabs>
          <w:tab w:val="left" w:pos="1985"/>
        </w:tabs>
        <w:spacing w:line="300" w:lineRule="atLeast"/>
        <w:jc w:val="both"/>
        <w:rPr>
          <w:szCs w:val="18"/>
        </w:rPr>
      </w:pPr>
      <w:r>
        <w:rPr>
          <w:szCs w:val="18"/>
        </w:rPr>
        <w:t xml:space="preserve">Activity data: </w:t>
      </w:r>
      <w:r>
        <w:rPr>
          <w:szCs w:val="18"/>
        </w:rPr>
        <w:tab/>
        <w:t>HIGH (because it was obtained from a national database)</w:t>
      </w:r>
    </w:p>
    <w:p w14:paraId="695EF19E" w14:textId="77777777" w:rsidR="005120F2" w:rsidRDefault="005120F2" w:rsidP="005120F2">
      <w:pPr>
        <w:tabs>
          <w:tab w:val="left" w:pos="1985"/>
        </w:tabs>
        <w:spacing w:line="300" w:lineRule="atLeast"/>
        <w:jc w:val="both"/>
        <w:rPr>
          <w:szCs w:val="18"/>
        </w:rPr>
      </w:pPr>
      <w:r>
        <w:rPr>
          <w:szCs w:val="18"/>
        </w:rPr>
        <w:t xml:space="preserve">Input estimates: </w:t>
      </w:r>
      <w:r>
        <w:rPr>
          <w:szCs w:val="18"/>
        </w:rPr>
        <w:tab/>
        <w:t xml:space="preserve">LOW (because they are based on </w:t>
      </w:r>
      <w:r w:rsidR="009B0A69" w:rsidRPr="009B0A69">
        <w:rPr>
          <w:szCs w:val="18"/>
        </w:rPr>
        <w:t xml:space="preserve">the default Toolkit </w:t>
      </w:r>
      <w:r w:rsidR="009B0A69">
        <w:rPr>
          <w:szCs w:val="18"/>
        </w:rPr>
        <w:t>input</w:t>
      </w:r>
      <w:r w:rsidR="009B0A69" w:rsidRPr="009B0A69">
        <w:rPr>
          <w:szCs w:val="18"/>
        </w:rPr>
        <w:t xml:space="preserve"> factors</w:t>
      </w:r>
      <w:r>
        <w:rPr>
          <w:szCs w:val="18"/>
        </w:rPr>
        <w:t>)</w:t>
      </w:r>
    </w:p>
    <w:p w14:paraId="5BB8200F" w14:textId="70542C44" w:rsidR="00B73BD2" w:rsidRDefault="005120F2" w:rsidP="00D727C0">
      <w:pPr>
        <w:tabs>
          <w:tab w:val="left" w:pos="1985"/>
        </w:tabs>
        <w:spacing w:line="300" w:lineRule="atLeast"/>
        <w:jc w:val="both"/>
        <w:rPr>
          <w:szCs w:val="18"/>
        </w:rPr>
      </w:pPr>
      <w:r>
        <w:rPr>
          <w:szCs w:val="18"/>
        </w:rPr>
        <w:t xml:space="preserve">Output estimates: </w:t>
      </w:r>
      <w:r>
        <w:rPr>
          <w:szCs w:val="18"/>
        </w:rPr>
        <w:tab/>
        <w:t>LOW (because they are based on the default Toolkit output factors).</w:t>
      </w:r>
    </w:p>
    <w:p w14:paraId="6833197F" w14:textId="77777777" w:rsidR="00B73BD2" w:rsidRDefault="00B73BD2">
      <w:pPr>
        <w:spacing w:after="0"/>
        <w:rPr>
          <w:szCs w:val="18"/>
        </w:rPr>
      </w:pPr>
      <w:r>
        <w:rPr>
          <w:szCs w:val="18"/>
        </w:rPr>
        <w:br w:type="page"/>
      </w:r>
    </w:p>
    <w:p w14:paraId="06E5ADF0" w14:textId="4CF12F80" w:rsidR="009048D3" w:rsidRPr="003833D6" w:rsidRDefault="00A97D5C" w:rsidP="00FC7CA3">
      <w:pPr>
        <w:pStyle w:val="Heading2"/>
      </w:pPr>
      <w:bookmarkStart w:id="36" w:name="_Toc110355515"/>
      <w:r>
        <w:t>Natural gas - e</w:t>
      </w:r>
      <w:r w:rsidR="00FC7CA3">
        <w:t xml:space="preserve">xtraction, refining and </w:t>
      </w:r>
      <w:r>
        <w:t>use</w:t>
      </w:r>
      <w:bookmarkEnd w:id="36"/>
    </w:p>
    <w:p w14:paraId="344E87DC" w14:textId="77777777" w:rsidR="009048D3" w:rsidRDefault="00D51729" w:rsidP="009048D3">
      <w:pPr>
        <w:spacing w:line="300" w:lineRule="atLeast"/>
        <w:jc w:val="both"/>
        <w:rPr>
          <w:szCs w:val="18"/>
        </w:rPr>
      </w:pPr>
      <w:r>
        <w:rPr>
          <w:szCs w:val="18"/>
        </w:rPr>
        <w:t xml:space="preserve">As with mineral oils, the mercury releases </w:t>
      </w:r>
      <w:r w:rsidR="00D52C67">
        <w:rPr>
          <w:szCs w:val="18"/>
        </w:rPr>
        <w:t>from natural gas are considered through all three stages of gas extraction, processing and use.</w:t>
      </w:r>
    </w:p>
    <w:p w14:paraId="43BEDB30" w14:textId="664DB59A" w:rsidR="00791A3A" w:rsidRPr="00791A3A" w:rsidRDefault="00791A3A" w:rsidP="009048D3">
      <w:pPr>
        <w:spacing w:line="300" w:lineRule="atLeast"/>
        <w:jc w:val="both"/>
        <w:rPr>
          <w:rFonts w:ascii="Arial" w:hAnsi="Arial" w:cs="Arial"/>
          <w:b/>
          <w:szCs w:val="18"/>
        </w:rPr>
      </w:pPr>
      <w:r w:rsidRPr="00791A3A">
        <w:rPr>
          <w:rFonts w:ascii="Arial" w:hAnsi="Arial" w:cs="Arial"/>
          <w:b/>
          <w:szCs w:val="18"/>
        </w:rPr>
        <w:t xml:space="preserve">Gas </w:t>
      </w:r>
      <w:r w:rsidR="002661DB" w:rsidRPr="00791A3A">
        <w:rPr>
          <w:rFonts w:ascii="Arial" w:hAnsi="Arial" w:cs="Arial"/>
          <w:b/>
          <w:szCs w:val="18"/>
        </w:rPr>
        <w:t>extraction</w:t>
      </w:r>
      <w:r w:rsidR="00003755">
        <w:rPr>
          <w:rFonts w:ascii="Arial" w:hAnsi="Arial" w:cs="Arial"/>
          <w:b/>
          <w:szCs w:val="18"/>
        </w:rPr>
        <w:t>,</w:t>
      </w:r>
      <w:r w:rsidR="002661DB" w:rsidRPr="00791A3A">
        <w:rPr>
          <w:rFonts w:ascii="Arial" w:hAnsi="Arial" w:cs="Arial"/>
          <w:b/>
          <w:szCs w:val="18"/>
        </w:rPr>
        <w:t xml:space="preserve"> processing</w:t>
      </w:r>
      <w:r w:rsidR="00003755">
        <w:rPr>
          <w:rFonts w:ascii="Arial" w:hAnsi="Arial" w:cs="Arial"/>
          <w:b/>
          <w:szCs w:val="18"/>
        </w:rPr>
        <w:t xml:space="preserve"> and use</w:t>
      </w:r>
    </w:p>
    <w:p w14:paraId="0BEB993B" w14:textId="5706E64B" w:rsidR="00791A3A" w:rsidRPr="003833D6" w:rsidRDefault="00D52C67" w:rsidP="009048D3">
      <w:pPr>
        <w:spacing w:line="300" w:lineRule="atLeast"/>
        <w:jc w:val="both"/>
        <w:rPr>
          <w:szCs w:val="18"/>
        </w:rPr>
      </w:pPr>
      <w:r>
        <w:rPr>
          <w:szCs w:val="18"/>
        </w:rPr>
        <w:t xml:space="preserve">Natural gas is produced from the same </w:t>
      </w:r>
      <w:r w:rsidR="00AE2D77">
        <w:rPr>
          <w:szCs w:val="18"/>
        </w:rPr>
        <w:t xml:space="preserve">16 </w:t>
      </w:r>
      <w:r w:rsidR="00791A3A">
        <w:rPr>
          <w:szCs w:val="18"/>
        </w:rPr>
        <w:t xml:space="preserve">fields </w:t>
      </w:r>
      <w:r>
        <w:rPr>
          <w:szCs w:val="18"/>
        </w:rPr>
        <w:t>as noted previously for oil (</w:t>
      </w:r>
      <w:r w:rsidR="000B6546">
        <w:rPr>
          <w:szCs w:val="18"/>
        </w:rPr>
        <w:t>MBIE,</w:t>
      </w:r>
      <w:r w:rsidR="005D315D">
        <w:rPr>
          <w:szCs w:val="18"/>
        </w:rPr>
        <w:t xml:space="preserve"> 2025</w:t>
      </w:r>
      <w:r>
        <w:rPr>
          <w:szCs w:val="18"/>
        </w:rPr>
        <w:t xml:space="preserve">). About </w:t>
      </w:r>
      <w:r w:rsidR="005D315D">
        <w:rPr>
          <w:szCs w:val="18"/>
        </w:rPr>
        <w:t>96</w:t>
      </w:r>
      <w:r w:rsidR="00791A3A">
        <w:rPr>
          <w:szCs w:val="18"/>
        </w:rPr>
        <w:t>%</w:t>
      </w:r>
      <w:r>
        <w:rPr>
          <w:szCs w:val="18"/>
        </w:rPr>
        <w:t xml:space="preserve"> of the gas production </w:t>
      </w:r>
      <w:r w:rsidR="00791A3A">
        <w:rPr>
          <w:szCs w:val="18"/>
        </w:rPr>
        <w:t xml:space="preserve">comes from </w:t>
      </w:r>
      <w:r>
        <w:rPr>
          <w:szCs w:val="18"/>
        </w:rPr>
        <w:t xml:space="preserve">the </w:t>
      </w:r>
      <w:r w:rsidR="00791A3A" w:rsidRPr="00791A3A">
        <w:rPr>
          <w:szCs w:val="18"/>
        </w:rPr>
        <w:t xml:space="preserve">Maui, Pohokura, </w:t>
      </w:r>
      <w:r w:rsidR="00791A3A">
        <w:rPr>
          <w:szCs w:val="18"/>
        </w:rPr>
        <w:t>Kapuni,</w:t>
      </w:r>
      <w:r w:rsidR="00791A3A" w:rsidRPr="00791A3A">
        <w:rPr>
          <w:szCs w:val="18"/>
        </w:rPr>
        <w:t xml:space="preserve"> </w:t>
      </w:r>
      <w:r w:rsidR="000B6546">
        <w:rPr>
          <w:szCs w:val="18"/>
        </w:rPr>
        <w:t>Mangahewa</w:t>
      </w:r>
      <w:r w:rsidR="000D6F46">
        <w:rPr>
          <w:szCs w:val="18"/>
        </w:rPr>
        <w:t>,</w:t>
      </w:r>
      <w:r w:rsidR="00791A3A" w:rsidRPr="00791A3A">
        <w:rPr>
          <w:szCs w:val="18"/>
        </w:rPr>
        <w:t xml:space="preserve"> Kupe</w:t>
      </w:r>
      <w:r w:rsidR="00481B51">
        <w:rPr>
          <w:szCs w:val="18"/>
        </w:rPr>
        <w:t xml:space="preserve"> and Turangi</w:t>
      </w:r>
      <w:r>
        <w:rPr>
          <w:szCs w:val="18"/>
        </w:rPr>
        <w:t xml:space="preserve"> fields, and the total </w:t>
      </w:r>
      <w:r w:rsidR="00643666">
        <w:rPr>
          <w:szCs w:val="18"/>
        </w:rPr>
        <w:t xml:space="preserve">gas </w:t>
      </w:r>
      <w:r w:rsidR="00791A3A">
        <w:rPr>
          <w:szCs w:val="18"/>
        </w:rPr>
        <w:t xml:space="preserve">production </w:t>
      </w:r>
      <w:r>
        <w:rPr>
          <w:szCs w:val="18"/>
        </w:rPr>
        <w:t xml:space="preserve">in </w:t>
      </w:r>
      <w:r w:rsidR="005D315D">
        <w:rPr>
          <w:szCs w:val="18"/>
        </w:rPr>
        <w:t xml:space="preserve">2024 </w:t>
      </w:r>
      <w:r>
        <w:rPr>
          <w:szCs w:val="18"/>
        </w:rPr>
        <w:t xml:space="preserve">from all fields was </w:t>
      </w:r>
      <w:r w:rsidR="005D315D">
        <w:rPr>
          <w:szCs w:val="18"/>
        </w:rPr>
        <w:t>3,272</w:t>
      </w:r>
      <w:r w:rsidR="00DE6E9E">
        <w:rPr>
          <w:szCs w:val="18"/>
        </w:rPr>
        <w:t xml:space="preserve"> </w:t>
      </w:r>
      <w:r w:rsidR="00643666">
        <w:rPr>
          <w:szCs w:val="18"/>
        </w:rPr>
        <w:t>mi</w:t>
      </w:r>
      <w:r w:rsidR="00791A3A">
        <w:rPr>
          <w:szCs w:val="18"/>
        </w:rPr>
        <w:t xml:space="preserve">llion </w:t>
      </w:r>
      <w:r>
        <w:rPr>
          <w:szCs w:val="18"/>
        </w:rPr>
        <w:t>cubic metres (M</w:t>
      </w:r>
      <w:r w:rsidR="00791A3A">
        <w:rPr>
          <w:szCs w:val="18"/>
        </w:rPr>
        <w:t>m</w:t>
      </w:r>
      <w:r w:rsidR="00791A3A" w:rsidRPr="00D52C67">
        <w:rPr>
          <w:szCs w:val="18"/>
          <w:vertAlign w:val="superscript"/>
        </w:rPr>
        <w:t>3</w:t>
      </w:r>
      <w:r>
        <w:rPr>
          <w:szCs w:val="18"/>
        </w:rPr>
        <w:t xml:space="preserve">), with an energy content of </w:t>
      </w:r>
      <w:r w:rsidR="005D315D">
        <w:rPr>
          <w:szCs w:val="18"/>
        </w:rPr>
        <w:t>125</w:t>
      </w:r>
      <w:r w:rsidR="00791A3A">
        <w:rPr>
          <w:szCs w:val="18"/>
        </w:rPr>
        <w:t xml:space="preserve"> PJ</w:t>
      </w:r>
      <w:r>
        <w:rPr>
          <w:szCs w:val="18"/>
        </w:rPr>
        <w:t xml:space="preserve">. </w:t>
      </w:r>
      <w:r w:rsidR="000B6546">
        <w:rPr>
          <w:szCs w:val="18"/>
        </w:rPr>
        <w:t xml:space="preserve">This is </w:t>
      </w:r>
      <w:r w:rsidR="00197274">
        <w:rPr>
          <w:szCs w:val="18"/>
        </w:rPr>
        <w:t>only 60</w:t>
      </w:r>
      <w:r w:rsidR="000B6546">
        <w:rPr>
          <w:szCs w:val="18"/>
        </w:rPr>
        <w:t xml:space="preserve">% </w:t>
      </w:r>
      <w:r w:rsidR="00197274">
        <w:rPr>
          <w:szCs w:val="18"/>
        </w:rPr>
        <w:t>of</w:t>
      </w:r>
      <w:r w:rsidR="000B6546">
        <w:rPr>
          <w:szCs w:val="18"/>
        </w:rPr>
        <w:t xml:space="preserve"> the </w:t>
      </w:r>
      <w:r w:rsidR="00481B51">
        <w:rPr>
          <w:szCs w:val="18"/>
        </w:rPr>
        <w:t>5,557</w:t>
      </w:r>
      <w:r w:rsidR="000B6546">
        <w:rPr>
          <w:szCs w:val="18"/>
        </w:rPr>
        <w:t xml:space="preserve"> million cubic metres (Mm</w:t>
      </w:r>
      <w:r w:rsidR="000B6546" w:rsidRPr="00D52C67">
        <w:rPr>
          <w:szCs w:val="18"/>
          <w:vertAlign w:val="superscript"/>
        </w:rPr>
        <w:t>3</w:t>
      </w:r>
      <w:r w:rsidR="000B6546">
        <w:rPr>
          <w:szCs w:val="18"/>
        </w:rPr>
        <w:t xml:space="preserve">), or </w:t>
      </w:r>
      <w:r w:rsidR="00307FE9">
        <w:rPr>
          <w:szCs w:val="18"/>
        </w:rPr>
        <w:t>221</w:t>
      </w:r>
      <w:r w:rsidR="000B6546">
        <w:rPr>
          <w:szCs w:val="18"/>
        </w:rPr>
        <w:t xml:space="preserve"> PJ</w:t>
      </w:r>
      <w:r w:rsidR="00CC7D56">
        <w:rPr>
          <w:szCs w:val="18"/>
        </w:rPr>
        <w:t>,</w:t>
      </w:r>
      <w:r w:rsidR="000B6546">
        <w:rPr>
          <w:szCs w:val="18"/>
        </w:rPr>
        <w:t xml:space="preserve"> produced in</w:t>
      </w:r>
      <w:r w:rsidR="00392E71">
        <w:rPr>
          <w:szCs w:val="18"/>
        </w:rPr>
        <w:t xml:space="preserve"> </w:t>
      </w:r>
      <w:r w:rsidR="00481B51">
        <w:rPr>
          <w:szCs w:val="18"/>
        </w:rPr>
        <w:t>20</w:t>
      </w:r>
      <w:r w:rsidR="00307FE9">
        <w:rPr>
          <w:szCs w:val="18"/>
        </w:rPr>
        <w:t>16</w:t>
      </w:r>
      <w:r w:rsidR="00481B51">
        <w:rPr>
          <w:szCs w:val="18"/>
        </w:rPr>
        <w:t xml:space="preserve"> and </w:t>
      </w:r>
      <w:r w:rsidR="00197274">
        <w:rPr>
          <w:szCs w:val="18"/>
        </w:rPr>
        <w:t>continues the</w:t>
      </w:r>
      <w:r w:rsidR="00481B51">
        <w:rPr>
          <w:szCs w:val="18"/>
        </w:rPr>
        <w:t xml:space="preserve"> </w:t>
      </w:r>
      <w:r w:rsidR="00B32222">
        <w:rPr>
          <w:szCs w:val="18"/>
        </w:rPr>
        <w:t xml:space="preserve">significant </w:t>
      </w:r>
      <w:r w:rsidR="00481B51">
        <w:rPr>
          <w:szCs w:val="18"/>
        </w:rPr>
        <w:t>down</w:t>
      </w:r>
      <w:r w:rsidR="00B32222">
        <w:rPr>
          <w:szCs w:val="18"/>
        </w:rPr>
        <w:t>ward trend in New Zealand’s gas production since 2017</w:t>
      </w:r>
      <w:r w:rsidR="000B6546">
        <w:rPr>
          <w:szCs w:val="18"/>
        </w:rPr>
        <w:t>. The n</w:t>
      </w:r>
      <w:r w:rsidR="00791A3A">
        <w:rPr>
          <w:szCs w:val="18"/>
        </w:rPr>
        <w:t xml:space="preserve">et </w:t>
      </w:r>
      <w:r w:rsidR="000B6546">
        <w:rPr>
          <w:szCs w:val="18"/>
        </w:rPr>
        <w:t xml:space="preserve">gas </w:t>
      </w:r>
      <w:r w:rsidR="00791A3A">
        <w:rPr>
          <w:szCs w:val="18"/>
        </w:rPr>
        <w:t xml:space="preserve">production </w:t>
      </w:r>
      <w:r>
        <w:rPr>
          <w:szCs w:val="18"/>
        </w:rPr>
        <w:t xml:space="preserve">is </w:t>
      </w:r>
      <w:r w:rsidR="00545273">
        <w:rPr>
          <w:szCs w:val="18"/>
        </w:rPr>
        <w:t xml:space="preserve">only </w:t>
      </w:r>
      <w:r>
        <w:rPr>
          <w:szCs w:val="18"/>
        </w:rPr>
        <w:t xml:space="preserve">about </w:t>
      </w:r>
      <w:r w:rsidR="00D80637">
        <w:rPr>
          <w:szCs w:val="18"/>
        </w:rPr>
        <w:t>95</w:t>
      </w:r>
      <w:r w:rsidR="00545273">
        <w:rPr>
          <w:szCs w:val="18"/>
        </w:rPr>
        <w:t xml:space="preserve">% </w:t>
      </w:r>
      <w:r w:rsidR="000B6546">
        <w:rPr>
          <w:szCs w:val="18"/>
        </w:rPr>
        <w:t>of these</w:t>
      </w:r>
      <w:r>
        <w:rPr>
          <w:szCs w:val="18"/>
        </w:rPr>
        <w:t xml:space="preserve"> total</w:t>
      </w:r>
      <w:r w:rsidR="000B6546">
        <w:rPr>
          <w:szCs w:val="18"/>
        </w:rPr>
        <w:t>s</w:t>
      </w:r>
      <w:r>
        <w:rPr>
          <w:szCs w:val="18"/>
        </w:rPr>
        <w:t xml:space="preserve"> </w:t>
      </w:r>
      <w:r w:rsidR="00545273">
        <w:rPr>
          <w:szCs w:val="18"/>
        </w:rPr>
        <w:t xml:space="preserve">due </w:t>
      </w:r>
      <w:r w:rsidR="00CF349C">
        <w:rPr>
          <w:szCs w:val="18"/>
        </w:rPr>
        <w:t xml:space="preserve">to </w:t>
      </w:r>
      <w:r>
        <w:rPr>
          <w:szCs w:val="18"/>
        </w:rPr>
        <w:t xml:space="preserve">losses from </w:t>
      </w:r>
      <w:r w:rsidR="00643666">
        <w:rPr>
          <w:szCs w:val="18"/>
        </w:rPr>
        <w:t xml:space="preserve">reinjection, flaring, </w:t>
      </w:r>
      <w:r>
        <w:rPr>
          <w:szCs w:val="18"/>
        </w:rPr>
        <w:t xml:space="preserve">and other </w:t>
      </w:r>
      <w:r w:rsidR="00643666">
        <w:rPr>
          <w:szCs w:val="18"/>
        </w:rPr>
        <w:t xml:space="preserve">production </w:t>
      </w:r>
      <w:r>
        <w:rPr>
          <w:szCs w:val="18"/>
        </w:rPr>
        <w:t>processes.</w:t>
      </w:r>
    </w:p>
    <w:p w14:paraId="68622946" w14:textId="34B5FE61" w:rsidR="007B3AFA" w:rsidRDefault="000B6546" w:rsidP="000B6546">
      <w:pPr>
        <w:spacing w:line="300" w:lineRule="atLeast"/>
        <w:jc w:val="both"/>
        <w:rPr>
          <w:szCs w:val="18"/>
        </w:rPr>
      </w:pPr>
      <w:r>
        <w:rPr>
          <w:szCs w:val="18"/>
        </w:rPr>
        <w:t>A</w:t>
      </w:r>
      <w:r w:rsidR="00CF349C">
        <w:rPr>
          <w:szCs w:val="18"/>
        </w:rPr>
        <w:t xml:space="preserve"> limited amount of data </w:t>
      </w:r>
      <w:r>
        <w:rPr>
          <w:szCs w:val="18"/>
        </w:rPr>
        <w:t>for</w:t>
      </w:r>
      <w:r w:rsidR="00CF349C">
        <w:rPr>
          <w:szCs w:val="18"/>
        </w:rPr>
        <w:t xml:space="preserve"> the mercury content of New Zealand natural gas</w:t>
      </w:r>
      <w:r>
        <w:rPr>
          <w:szCs w:val="18"/>
        </w:rPr>
        <w:t xml:space="preserve"> </w:t>
      </w:r>
      <w:r w:rsidR="00AA00ED">
        <w:rPr>
          <w:szCs w:val="18"/>
        </w:rPr>
        <w:t>was used for calculating the input estimates for</w:t>
      </w:r>
      <w:r>
        <w:rPr>
          <w:szCs w:val="18"/>
        </w:rPr>
        <w:t xml:space="preserve"> the 2012 Inventory Report</w:t>
      </w:r>
      <w:r w:rsidR="00197274">
        <w:rPr>
          <w:szCs w:val="18"/>
        </w:rPr>
        <w:t xml:space="preserve"> and there has been no new data available since.</w:t>
      </w:r>
      <w:r w:rsidR="00AA00ED">
        <w:rPr>
          <w:szCs w:val="18"/>
        </w:rPr>
        <w:t xml:space="preserve"> Applying the same </w:t>
      </w:r>
      <w:r w:rsidR="00185747">
        <w:rPr>
          <w:szCs w:val="18"/>
        </w:rPr>
        <w:t>factor</w:t>
      </w:r>
      <w:r w:rsidR="00905AF0">
        <w:rPr>
          <w:szCs w:val="18"/>
        </w:rPr>
        <w:t>s</w:t>
      </w:r>
      <w:r w:rsidR="00185747">
        <w:rPr>
          <w:szCs w:val="18"/>
        </w:rPr>
        <w:t xml:space="preserve"> to the </w:t>
      </w:r>
      <w:r w:rsidR="00197274">
        <w:rPr>
          <w:szCs w:val="18"/>
        </w:rPr>
        <w:t>2024</w:t>
      </w:r>
      <w:r w:rsidR="00AA00ED">
        <w:rPr>
          <w:szCs w:val="18"/>
        </w:rPr>
        <w:t xml:space="preserve"> </w:t>
      </w:r>
      <w:r w:rsidR="00185747">
        <w:rPr>
          <w:szCs w:val="18"/>
        </w:rPr>
        <w:t xml:space="preserve">gas volumes gives a total mercury input of </w:t>
      </w:r>
      <w:r>
        <w:rPr>
          <w:szCs w:val="18"/>
        </w:rPr>
        <w:t>between</w:t>
      </w:r>
      <w:r w:rsidR="00AA00ED">
        <w:rPr>
          <w:szCs w:val="18"/>
        </w:rPr>
        <w:t xml:space="preserve"> </w:t>
      </w:r>
      <w:r w:rsidR="00217717">
        <w:rPr>
          <w:szCs w:val="18"/>
        </w:rPr>
        <w:t xml:space="preserve">0.33 </w:t>
      </w:r>
      <w:r w:rsidR="00AA00ED">
        <w:rPr>
          <w:szCs w:val="18"/>
        </w:rPr>
        <w:t xml:space="preserve">and </w:t>
      </w:r>
      <w:r w:rsidR="00217717">
        <w:rPr>
          <w:szCs w:val="18"/>
        </w:rPr>
        <w:t xml:space="preserve">262 </w:t>
      </w:r>
      <w:r w:rsidR="00AA00ED">
        <w:rPr>
          <w:szCs w:val="18"/>
        </w:rPr>
        <w:t>kg</w:t>
      </w:r>
      <w:r w:rsidR="00905AF0">
        <w:rPr>
          <w:szCs w:val="18"/>
        </w:rPr>
        <w:t xml:space="preserve">, with a mid-range value of </w:t>
      </w:r>
      <w:r w:rsidR="00217717">
        <w:rPr>
          <w:szCs w:val="18"/>
        </w:rPr>
        <w:t xml:space="preserve">131 </w:t>
      </w:r>
      <w:r w:rsidR="00AA00ED">
        <w:rPr>
          <w:szCs w:val="18"/>
        </w:rPr>
        <w:t xml:space="preserve">kg for </w:t>
      </w:r>
      <w:r w:rsidR="00217717">
        <w:rPr>
          <w:szCs w:val="18"/>
        </w:rPr>
        <w:t>2024</w:t>
      </w:r>
      <w:r w:rsidR="00DE121D">
        <w:rPr>
          <w:szCs w:val="18"/>
        </w:rPr>
        <w:t>.</w:t>
      </w:r>
    </w:p>
    <w:p w14:paraId="18D64F27" w14:textId="691CFA72" w:rsidR="00D86AD2" w:rsidRDefault="00AA00ED" w:rsidP="009048D3">
      <w:pPr>
        <w:spacing w:line="300" w:lineRule="atLeast"/>
        <w:jc w:val="both"/>
        <w:rPr>
          <w:szCs w:val="18"/>
        </w:rPr>
      </w:pPr>
      <w:r>
        <w:rPr>
          <w:szCs w:val="18"/>
        </w:rPr>
        <w:t xml:space="preserve">The Toolkit notes that where natural gas is used as an industrial feedstock, there is a requirement for low residual levels of mercury to prevent problems such as catalyst poisoning and deterioration of aluminium surfaces. In addition, treatment processes designed for hydrogen sulphide removal will also be effective in removing mercury.  Consequently the output factors given by the Toolkit for gas processing with mercury removal are appropriate </w:t>
      </w:r>
      <w:r w:rsidR="00AF655E">
        <w:rPr>
          <w:szCs w:val="18"/>
        </w:rPr>
        <w:t xml:space="preserve">as a starting point </w:t>
      </w:r>
      <w:r>
        <w:rPr>
          <w:szCs w:val="18"/>
        </w:rPr>
        <w:t xml:space="preserve">for </w:t>
      </w:r>
      <w:r w:rsidR="00AF655E">
        <w:rPr>
          <w:szCs w:val="18"/>
        </w:rPr>
        <w:t xml:space="preserve">the </w:t>
      </w:r>
      <w:r>
        <w:rPr>
          <w:szCs w:val="18"/>
        </w:rPr>
        <w:t>New Zealand</w:t>
      </w:r>
      <w:r w:rsidR="00AF655E">
        <w:rPr>
          <w:szCs w:val="18"/>
        </w:rPr>
        <w:t xml:space="preserve"> distribution calculations</w:t>
      </w:r>
      <w:r w:rsidR="00661D0D">
        <w:rPr>
          <w:szCs w:val="18"/>
        </w:rPr>
        <w:t xml:space="preserve">. </w:t>
      </w:r>
      <w:r>
        <w:rPr>
          <w:szCs w:val="18"/>
        </w:rPr>
        <w:t>These assume that 10% of mercury in the gas is discharged to air, 20% to water, 10% in product and 60% in wastes</w:t>
      </w:r>
      <w:r w:rsidR="00AF655E">
        <w:rPr>
          <w:szCs w:val="18"/>
        </w:rPr>
        <w:t>.</w:t>
      </w:r>
      <w:r w:rsidR="00661D0D">
        <w:rPr>
          <w:szCs w:val="18"/>
        </w:rPr>
        <w:t xml:space="preserve"> However, when the product gas is used (by burning) the mercury in the product is discharged to air. Hence the overall distribution becomes 20% to both air and water and 60% to waste.</w:t>
      </w:r>
    </w:p>
    <w:p w14:paraId="654ACC9B" w14:textId="77777777" w:rsidR="000C24FE" w:rsidRPr="00500691" w:rsidRDefault="000C24FE" w:rsidP="000C24FE">
      <w:pPr>
        <w:spacing w:line="300" w:lineRule="atLeast"/>
        <w:jc w:val="both"/>
        <w:rPr>
          <w:rFonts w:ascii="Arial" w:hAnsi="Arial" w:cs="Arial"/>
          <w:b/>
          <w:szCs w:val="18"/>
        </w:rPr>
      </w:pPr>
      <w:r w:rsidRPr="00500691">
        <w:rPr>
          <w:rFonts w:ascii="Arial" w:hAnsi="Arial" w:cs="Arial"/>
          <w:b/>
          <w:szCs w:val="18"/>
        </w:rPr>
        <w:t>Input and output estimates</w:t>
      </w:r>
    </w:p>
    <w:p w14:paraId="01984A3A" w14:textId="6AA26A7D" w:rsidR="000C24FE" w:rsidRDefault="000C24FE" w:rsidP="000C24FE">
      <w:pPr>
        <w:spacing w:line="300" w:lineRule="atLeast"/>
        <w:jc w:val="both"/>
        <w:rPr>
          <w:szCs w:val="18"/>
        </w:rPr>
      </w:pPr>
      <w:r w:rsidRPr="005120F2">
        <w:rPr>
          <w:szCs w:val="18"/>
        </w:rPr>
        <w:t xml:space="preserve">The mercury input and output calculations for </w:t>
      </w:r>
      <w:r>
        <w:rPr>
          <w:szCs w:val="18"/>
        </w:rPr>
        <w:t>Natural Gas – Extraction, Refining and Use</w:t>
      </w:r>
      <w:r w:rsidRPr="005120F2">
        <w:rPr>
          <w:szCs w:val="18"/>
        </w:rPr>
        <w:t xml:space="preserve"> are </w:t>
      </w:r>
      <w:r>
        <w:rPr>
          <w:szCs w:val="18"/>
        </w:rPr>
        <w:t>summarised</w:t>
      </w:r>
      <w:r w:rsidRPr="005120F2">
        <w:rPr>
          <w:szCs w:val="18"/>
        </w:rPr>
        <w:t xml:space="preserve"> in</w:t>
      </w:r>
      <w:r w:rsidR="006C2851">
        <w:rPr>
          <w:szCs w:val="18"/>
        </w:rPr>
        <w:t xml:space="preserve"> Table 3-5.</w:t>
      </w:r>
    </w:p>
    <w:p w14:paraId="1AB7A339" w14:textId="05457376" w:rsidR="009048D3" w:rsidRDefault="000C24FE" w:rsidP="005A3C18">
      <w:pPr>
        <w:pStyle w:val="Caption"/>
        <w:spacing w:before="240"/>
        <w:rPr>
          <w:rFonts w:eastAsia="Calibri"/>
          <w:szCs w:val="18"/>
        </w:rPr>
      </w:pPr>
      <w:bookmarkStart w:id="37" w:name="_Ref358350432"/>
      <w:bookmarkStart w:id="38" w:name="_Toc110355463"/>
      <w:r w:rsidRPr="000C24FE">
        <w:rPr>
          <w:rFonts w:ascii="Arial" w:hAnsi="Arial" w:cs="Arial"/>
        </w:rPr>
        <w:t xml:space="preserve">Table </w:t>
      </w:r>
      <w:r w:rsidR="00390C9F">
        <w:rPr>
          <w:rFonts w:ascii="Arial" w:hAnsi="Arial" w:cs="Arial"/>
        </w:rPr>
        <w:fldChar w:fldCharType="begin"/>
      </w:r>
      <w:r w:rsidR="00390C9F">
        <w:rPr>
          <w:rFonts w:ascii="Arial" w:hAnsi="Arial" w:cs="Arial"/>
        </w:rPr>
        <w:instrText xml:space="preserve"> STYLEREF 1 \s </w:instrText>
      </w:r>
      <w:r w:rsidR="00390C9F">
        <w:rPr>
          <w:rFonts w:ascii="Arial" w:hAnsi="Arial" w:cs="Arial"/>
        </w:rPr>
        <w:fldChar w:fldCharType="separate"/>
      </w:r>
      <w:r w:rsidR="00892B2D">
        <w:rPr>
          <w:rFonts w:ascii="Arial" w:hAnsi="Arial" w:cs="Arial"/>
          <w:noProof/>
        </w:rPr>
        <w:t>3</w:t>
      </w:r>
      <w:r w:rsidR="00390C9F">
        <w:rPr>
          <w:rFonts w:ascii="Arial" w:hAnsi="Arial" w:cs="Arial"/>
        </w:rPr>
        <w:fldChar w:fldCharType="end"/>
      </w:r>
      <w:r w:rsidR="00390C9F">
        <w:rPr>
          <w:rFonts w:ascii="Arial" w:hAnsi="Arial" w:cs="Arial"/>
        </w:rPr>
        <w:noBreakHyphen/>
      </w:r>
      <w:r w:rsidR="00390C9F">
        <w:rPr>
          <w:rFonts w:ascii="Arial" w:hAnsi="Arial" w:cs="Arial"/>
        </w:rPr>
        <w:fldChar w:fldCharType="begin"/>
      </w:r>
      <w:r w:rsidR="00390C9F">
        <w:rPr>
          <w:rFonts w:ascii="Arial" w:hAnsi="Arial" w:cs="Arial"/>
        </w:rPr>
        <w:instrText xml:space="preserve"> SEQ Table \* ARABIC \s 1 </w:instrText>
      </w:r>
      <w:r w:rsidR="00390C9F">
        <w:rPr>
          <w:rFonts w:ascii="Arial" w:hAnsi="Arial" w:cs="Arial"/>
        </w:rPr>
        <w:fldChar w:fldCharType="separate"/>
      </w:r>
      <w:r w:rsidR="00892B2D">
        <w:rPr>
          <w:rFonts w:ascii="Arial" w:hAnsi="Arial" w:cs="Arial"/>
          <w:noProof/>
        </w:rPr>
        <w:t>5</w:t>
      </w:r>
      <w:r w:rsidR="00390C9F">
        <w:rPr>
          <w:rFonts w:ascii="Arial" w:hAnsi="Arial" w:cs="Arial"/>
        </w:rPr>
        <w:fldChar w:fldCharType="end"/>
      </w:r>
      <w:bookmarkEnd w:id="37"/>
      <w:r w:rsidRPr="000C24FE">
        <w:rPr>
          <w:rFonts w:ascii="Arial" w:hAnsi="Arial" w:cs="Arial"/>
        </w:rPr>
        <w:t>:</w:t>
      </w:r>
      <w:r w:rsidR="00183044">
        <w:rPr>
          <w:rFonts w:ascii="Arial" w:hAnsi="Arial" w:cs="Arial"/>
        </w:rPr>
        <w:t xml:space="preserve"> </w:t>
      </w:r>
      <w:r>
        <w:t xml:space="preserve"> </w:t>
      </w:r>
      <w:r w:rsidRPr="00284760">
        <w:rPr>
          <w:rFonts w:ascii="Arial" w:hAnsi="Arial" w:cs="Arial"/>
        </w:rPr>
        <w:t>Input and output estimates for</w:t>
      </w:r>
      <w:r>
        <w:rPr>
          <w:rFonts w:ascii="Arial" w:hAnsi="Arial" w:cs="Arial"/>
        </w:rPr>
        <w:t xml:space="preserve"> </w:t>
      </w:r>
      <w:r w:rsidR="002661DB">
        <w:rPr>
          <w:rFonts w:ascii="Arial" w:hAnsi="Arial" w:cs="Arial"/>
        </w:rPr>
        <w:t>natural gas</w:t>
      </w:r>
      <w:r>
        <w:rPr>
          <w:rFonts w:ascii="Arial" w:hAnsi="Arial" w:cs="Arial"/>
        </w:rPr>
        <w:t xml:space="preserve"> - extraction, refining and use</w:t>
      </w:r>
      <w:bookmarkEnd w:id="38"/>
    </w:p>
    <w:tbl>
      <w:tblPr>
        <w:tblStyle w:val="TableGrid"/>
        <w:tblW w:w="9067" w:type="dxa"/>
        <w:tblLook w:val="04A0" w:firstRow="1" w:lastRow="0" w:firstColumn="1" w:lastColumn="0" w:noHBand="0" w:noVBand="1"/>
      </w:tblPr>
      <w:tblGrid>
        <w:gridCol w:w="1369"/>
        <w:gridCol w:w="848"/>
        <w:gridCol w:w="1006"/>
        <w:gridCol w:w="1261"/>
        <w:gridCol w:w="1094"/>
        <w:gridCol w:w="1140"/>
        <w:gridCol w:w="1147"/>
        <w:gridCol w:w="1202"/>
      </w:tblGrid>
      <w:tr w:rsidR="00925EA1" w14:paraId="612B09AF" w14:textId="77777777" w:rsidTr="00880597">
        <w:trPr>
          <w:trHeight w:val="776"/>
        </w:trPr>
        <w:tc>
          <w:tcPr>
            <w:tcW w:w="1369" w:type="dxa"/>
            <w:vMerge w:val="restart"/>
            <w:vAlign w:val="center"/>
          </w:tcPr>
          <w:p w14:paraId="11FD7AA8" w14:textId="77777777" w:rsidR="00925EA1" w:rsidRPr="00F31685" w:rsidRDefault="00925EA1" w:rsidP="00A4689B">
            <w:pPr>
              <w:spacing w:line="300" w:lineRule="atLeast"/>
              <w:jc w:val="center"/>
              <w:rPr>
                <w:rFonts w:ascii="Arial" w:hAnsi="Arial" w:cs="Arial"/>
                <w:b/>
                <w:sz w:val="16"/>
                <w:szCs w:val="16"/>
              </w:rPr>
            </w:pPr>
            <w:r w:rsidRPr="00F31685">
              <w:rPr>
                <w:rFonts w:ascii="Arial" w:hAnsi="Arial" w:cs="Arial"/>
                <w:b/>
                <w:sz w:val="16"/>
                <w:szCs w:val="16"/>
              </w:rPr>
              <w:t>Source</w:t>
            </w:r>
          </w:p>
        </w:tc>
        <w:tc>
          <w:tcPr>
            <w:tcW w:w="848" w:type="dxa"/>
            <w:vMerge w:val="restart"/>
            <w:vAlign w:val="center"/>
          </w:tcPr>
          <w:p w14:paraId="4457344E" w14:textId="77777777" w:rsidR="00925EA1" w:rsidRPr="00F31685" w:rsidRDefault="00925EA1" w:rsidP="00925EA1">
            <w:pPr>
              <w:spacing w:line="300" w:lineRule="atLeast"/>
              <w:jc w:val="center"/>
              <w:rPr>
                <w:rFonts w:ascii="Arial" w:hAnsi="Arial" w:cs="Arial"/>
                <w:b/>
                <w:sz w:val="16"/>
                <w:szCs w:val="16"/>
              </w:rPr>
            </w:pPr>
            <w:r w:rsidRPr="00F31685">
              <w:rPr>
                <w:rFonts w:ascii="Arial" w:hAnsi="Arial" w:cs="Arial"/>
                <w:b/>
                <w:sz w:val="16"/>
                <w:szCs w:val="16"/>
              </w:rPr>
              <w:t xml:space="preserve">Activity Rate, </w:t>
            </w:r>
            <w:r>
              <w:rPr>
                <w:rFonts w:ascii="Arial" w:hAnsi="Arial" w:cs="Arial"/>
                <w:b/>
                <w:sz w:val="16"/>
                <w:szCs w:val="16"/>
              </w:rPr>
              <w:t>Mm</w:t>
            </w:r>
            <w:r w:rsidRPr="00925EA1">
              <w:rPr>
                <w:rFonts w:ascii="Arial" w:hAnsi="Arial" w:cs="Arial"/>
                <w:b/>
                <w:sz w:val="16"/>
                <w:szCs w:val="16"/>
                <w:vertAlign w:val="superscript"/>
              </w:rPr>
              <w:t>3</w:t>
            </w:r>
            <w:r w:rsidRPr="00F31685">
              <w:rPr>
                <w:rFonts w:ascii="Arial" w:hAnsi="Arial" w:cs="Arial"/>
                <w:b/>
                <w:sz w:val="16"/>
                <w:szCs w:val="16"/>
              </w:rPr>
              <w:t>/yr</w:t>
            </w:r>
          </w:p>
        </w:tc>
        <w:tc>
          <w:tcPr>
            <w:tcW w:w="1006" w:type="dxa"/>
            <w:vMerge w:val="restart"/>
            <w:vAlign w:val="center"/>
          </w:tcPr>
          <w:p w14:paraId="607E73CB" w14:textId="77777777" w:rsidR="00925EA1" w:rsidRPr="00F31685" w:rsidRDefault="00925EA1" w:rsidP="00A4689B">
            <w:pPr>
              <w:spacing w:line="300" w:lineRule="atLeast"/>
              <w:jc w:val="center"/>
              <w:rPr>
                <w:rFonts w:ascii="Arial" w:hAnsi="Arial" w:cs="Arial"/>
                <w:b/>
                <w:sz w:val="16"/>
                <w:szCs w:val="16"/>
              </w:rPr>
            </w:pPr>
            <w:r>
              <w:rPr>
                <w:rFonts w:ascii="Arial" w:hAnsi="Arial" w:cs="Arial"/>
                <w:b/>
                <w:sz w:val="16"/>
                <w:szCs w:val="16"/>
              </w:rPr>
              <w:t>Mercury content, µg/m</w:t>
            </w:r>
            <w:r w:rsidRPr="00925EA1">
              <w:rPr>
                <w:rFonts w:ascii="Arial" w:hAnsi="Arial" w:cs="Arial"/>
                <w:b/>
                <w:sz w:val="16"/>
                <w:szCs w:val="16"/>
                <w:vertAlign w:val="superscript"/>
              </w:rPr>
              <w:t>3</w:t>
            </w:r>
          </w:p>
        </w:tc>
        <w:tc>
          <w:tcPr>
            <w:tcW w:w="1261" w:type="dxa"/>
            <w:vMerge w:val="restart"/>
            <w:vAlign w:val="center"/>
          </w:tcPr>
          <w:p w14:paraId="6E2D1C51" w14:textId="77777777" w:rsidR="00925EA1" w:rsidRPr="00F31685" w:rsidRDefault="00925EA1" w:rsidP="00A4689B">
            <w:pPr>
              <w:spacing w:line="300" w:lineRule="atLeast"/>
              <w:jc w:val="center"/>
              <w:rPr>
                <w:rFonts w:ascii="Arial" w:hAnsi="Arial" w:cs="Arial"/>
                <w:b/>
                <w:sz w:val="16"/>
                <w:szCs w:val="16"/>
              </w:rPr>
            </w:pPr>
            <w:r w:rsidRPr="00F31685">
              <w:rPr>
                <w:rFonts w:ascii="Arial" w:hAnsi="Arial" w:cs="Arial"/>
                <w:b/>
                <w:sz w:val="16"/>
                <w:szCs w:val="16"/>
              </w:rPr>
              <w:t>Annual Mercury Inputs, kg/yr</w:t>
            </w:r>
          </w:p>
        </w:tc>
        <w:tc>
          <w:tcPr>
            <w:tcW w:w="4583" w:type="dxa"/>
            <w:gridSpan w:val="4"/>
            <w:vAlign w:val="center"/>
          </w:tcPr>
          <w:p w14:paraId="53A44D01" w14:textId="77777777" w:rsidR="00925EA1" w:rsidRPr="00F31685" w:rsidRDefault="00925EA1" w:rsidP="00A4689B">
            <w:pPr>
              <w:spacing w:line="300" w:lineRule="atLeast"/>
              <w:jc w:val="center"/>
              <w:rPr>
                <w:rFonts w:ascii="Arial" w:hAnsi="Arial" w:cs="Arial"/>
                <w:b/>
                <w:sz w:val="16"/>
                <w:szCs w:val="16"/>
              </w:rPr>
            </w:pPr>
            <w:r w:rsidRPr="009B0A69">
              <w:rPr>
                <w:rFonts w:ascii="Arial" w:hAnsi="Arial" w:cs="Arial"/>
                <w:b/>
                <w:sz w:val="16"/>
                <w:szCs w:val="16"/>
              </w:rPr>
              <w:t>Annual Mercury Outputs, kg/yr</w:t>
            </w:r>
          </w:p>
        </w:tc>
      </w:tr>
      <w:tr w:rsidR="00661D0D" w14:paraId="2BD17307" w14:textId="77777777" w:rsidTr="00880597">
        <w:tc>
          <w:tcPr>
            <w:tcW w:w="1369" w:type="dxa"/>
            <w:vMerge/>
            <w:vAlign w:val="center"/>
          </w:tcPr>
          <w:p w14:paraId="4B1F751C" w14:textId="77777777" w:rsidR="00925EA1" w:rsidRPr="00F31685" w:rsidRDefault="00925EA1" w:rsidP="00A4689B">
            <w:pPr>
              <w:spacing w:line="300" w:lineRule="atLeast"/>
              <w:jc w:val="center"/>
              <w:rPr>
                <w:rFonts w:ascii="Arial" w:hAnsi="Arial" w:cs="Arial"/>
                <w:b/>
                <w:sz w:val="16"/>
                <w:szCs w:val="16"/>
              </w:rPr>
            </w:pPr>
          </w:p>
        </w:tc>
        <w:tc>
          <w:tcPr>
            <w:tcW w:w="848" w:type="dxa"/>
            <w:vMerge/>
            <w:vAlign w:val="center"/>
          </w:tcPr>
          <w:p w14:paraId="10DC9AA7" w14:textId="77777777" w:rsidR="00925EA1" w:rsidRPr="00F31685" w:rsidRDefault="00925EA1" w:rsidP="00A4689B">
            <w:pPr>
              <w:spacing w:line="300" w:lineRule="atLeast"/>
              <w:jc w:val="center"/>
              <w:rPr>
                <w:rFonts w:ascii="Arial" w:hAnsi="Arial" w:cs="Arial"/>
                <w:b/>
                <w:sz w:val="16"/>
                <w:szCs w:val="16"/>
              </w:rPr>
            </w:pPr>
          </w:p>
        </w:tc>
        <w:tc>
          <w:tcPr>
            <w:tcW w:w="1006" w:type="dxa"/>
            <w:vMerge/>
            <w:vAlign w:val="center"/>
          </w:tcPr>
          <w:p w14:paraId="7A25A639" w14:textId="77777777" w:rsidR="00925EA1" w:rsidRPr="00F31685" w:rsidRDefault="00925EA1" w:rsidP="00A4689B">
            <w:pPr>
              <w:spacing w:line="300" w:lineRule="atLeast"/>
              <w:jc w:val="center"/>
              <w:rPr>
                <w:rFonts w:ascii="Arial" w:hAnsi="Arial" w:cs="Arial"/>
                <w:b/>
                <w:sz w:val="16"/>
                <w:szCs w:val="16"/>
              </w:rPr>
            </w:pPr>
          </w:p>
        </w:tc>
        <w:tc>
          <w:tcPr>
            <w:tcW w:w="1261" w:type="dxa"/>
            <w:vMerge/>
            <w:vAlign w:val="center"/>
          </w:tcPr>
          <w:p w14:paraId="1166C355" w14:textId="77777777" w:rsidR="00925EA1" w:rsidRPr="00F31685" w:rsidRDefault="00925EA1" w:rsidP="00A4689B">
            <w:pPr>
              <w:spacing w:line="300" w:lineRule="atLeast"/>
              <w:jc w:val="center"/>
              <w:rPr>
                <w:rFonts w:ascii="Arial" w:hAnsi="Arial" w:cs="Arial"/>
                <w:b/>
                <w:sz w:val="16"/>
                <w:szCs w:val="16"/>
              </w:rPr>
            </w:pPr>
          </w:p>
        </w:tc>
        <w:tc>
          <w:tcPr>
            <w:tcW w:w="1094" w:type="dxa"/>
            <w:vAlign w:val="center"/>
          </w:tcPr>
          <w:p w14:paraId="2E6059A3" w14:textId="77777777" w:rsidR="00925EA1" w:rsidRPr="00F31685" w:rsidRDefault="00925EA1" w:rsidP="00A4689B">
            <w:pPr>
              <w:spacing w:line="300" w:lineRule="atLeast"/>
              <w:jc w:val="center"/>
              <w:rPr>
                <w:rFonts w:ascii="Arial" w:hAnsi="Arial" w:cs="Arial"/>
                <w:b/>
                <w:sz w:val="16"/>
                <w:szCs w:val="16"/>
              </w:rPr>
            </w:pPr>
            <w:r w:rsidRPr="00F31685">
              <w:rPr>
                <w:rFonts w:ascii="Arial" w:hAnsi="Arial" w:cs="Arial"/>
                <w:b/>
                <w:sz w:val="16"/>
                <w:szCs w:val="16"/>
              </w:rPr>
              <w:t>Air</w:t>
            </w:r>
          </w:p>
        </w:tc>
        <w:tc>
          <w:tcPr>
            <w:tcW w:w="1140" w:type="dxa"/>
            <w:vAlign w:val="center"/>
          </w:tcPr>
          <w:p w14:paraId="415BA02D" w14:textId="77777777" w:rsidR="00925EA1" w:rsidRPr="00F31685" w:rsidRDefault="00925EA1" w:rsidP="00A4689B">
            <w:pPr>
              <w:spacing w:line="300" w:lineRule="atLeast"/>
              <w:jc w:val="center"/>
              <w:rPr>
                <w:rFonts w:ascii="Arial" w:hAnsi="Arial" w:cs="Arial"/>
                <w:b/>
                <w:sz w:val="16"/>
                <w:szCs w:val="16"/>
              </w:rPr>
            </w:pPr>
            <w:r>
              <w:rPr>
                <w:rFonts w:ascii="Arial" w:hAnsi="Arial" w:cs="Arial"/>
                <w:b/>
                <w:sz w:val="16"/>
                <w:szCs w:val="16"/>
              </w:rPr>
              <w:t>Water</w:t>
            </w:r>
          </w:p>
        </w:tc>
        <w:tc>
          <w:tcPr>
            <w:tcW w:w="1147" w:type="dxa"/>
            <w:vAlign w:val="center"/>
          </w:tcPr>
          <w:p w14:paraId="731CAFA4" w14:textId="77777777" w:rsidR="00925EA1" w:rsidRDefault="002661DB" w:rsidP="00A4689B">
            <w:pPr>
              <w:spacing w:line="300" w:lineRule="atLeast"/>
              <w:jc w:val="center"/>
              <w:rPr>
                <w:rFonts w:ascii="Arial" w:hAnsi="Arial" w:cs="Arial"/>
                <w:b/>
                <w:sz w:val="16"/>
                <w:szCs w:val="16"/>
              </w:rPr>
            </w:pPr>
            <w:r>
              <w:rPr>
                <w:rFonts w:ascii="Arial" w:hAnsi="Arial" w:cs="Arial"/>
                <w:b/>
                <w:sz w:val="16"/>
                <w:szCs w:val="16"/>
              </w:rPr>
              <w:t>Waste</w:t>
            </w:r>
          </w:p>
        </w:tc>
        <w:tc>
          <w:tcPr>
            <w:tcW w:w="1202" w:type="dxa"/>
            <w:vAlign w:val="center"/>
          </w:tcPr>
          <w:p w14:paraId="2E8B29DB" w14:textId="77777777" w:rsidR="00925EA1" w:rsidRPr="00F31685" w:rsidRDefault="002661DB" w:rsidP="002661DB">
            <w:pPr>
              <w:spacing w:line="300" w:lineRule="atLeast"/>
              <w:jc w:val="center"/>
              <w:rPr>
                <w:rFonts w:ascii="Arial" w:hAnsi="Arial" w:cs="Arial"/>
                <w:b/>
                <w:sz w:val="16"/>
                <w:szCs w:val="16"/>
              </w:rPr>
            </w:pPr>
            <w:r>
              <w:rPr>
                <w:rFonts w:ascii="Arial" w:hAnsi="Arial" w:cs="Arial"/>
                <w:b/>
                <w:sz w:val="16"/>
                <w:szCs w:val="16"/>
              </w:rPr>
              <w:t>Product</w:t>
            </w:r>
          </w:p>
        </w:tc>
      </w:tr>
      <w:tr w:rsidR="00661D0D" w14:paraId="52F1C46A" w14:textId="77777777" w:rsidTr="00880597">
        <w:tc>
          <w:tcPr>
            <w:tcW w:w="1369" w:type="dxa"/>
            <w:tcBorders>
              <w:bottom w:val="single" w:sz="4" w:space="0" w:color="auto"/>
            </w:tcBorders>
          </w:tcPr>
          <w:p w14:paraId="1D369D6D" w14:textId="6C5E8A31" w:rsidR="00925EA1" w:rsidRPr="00F31685" w:rsidRDefault="00661D0D" w:rsidP="00355741">
            <w:pPr>
              <w:spacing w:line="300" w:lineRule="atLeast"/>
              <w:jc w:val="both"/>
              <w:rPr>
                <w:rFonts w:ascii="Arial" w:hAnsi="Arial" w:cs="Arial"/>
                <w:sz w:val="16"/>
                <w:szCs w:val="16"/>
              </w:rPr>
            </w:pPr>
            <w:r>
              <w:rPr>
                <w:rFonts w:ascii="Arial" w:hAnsi="Arial" w:cs="Arial"/>
                <w:sz w:val="16"/>
                <w:szCs w:val="16"/>
              </w:rPr>
              <w:t xml:space="preserve">Gas </w:t>
            </w:r>
            <w:r w:rsidR="000D4F26">
              <w:rPr>
                <w:rFonts w:ascii="Arial" w:hAnsi="Arial" w:cs="Arial"/>
                <w:sz w:val="16"/>
                <w:szCs w:val="16"/>
              </w:rPr>
              <w:t>E</w:t>
            </w:r>
            <w:r w:rsidR="00925EA1">
              <w:rPr>
                <w:rFonts w:ascii="Arial" w:hAnsi="Arial" w:cs="Arial"/>
                <w:sz w:val="16"/>
                <w:szCs w:val="16"/>
              </w:rPr>
              <w:t>xtraction</w:t>
            </w:r>
            <w:r>
              <w:rPr>
                <w:rFonts w:ascii="Arial" w:hAnsi="Arial" w:cs="Arial"/>
                <w:sz w:val="16"/>
                <w:szCs w:val="16"/>
              </w:rPr>
              <w:t xml:space="preserve"> and Use</w:t>
            </w:r>
            <w:r w:rsidR="000D4F26">
              <w:rPr>
                <w:rFonts w:ascii="Arial" w:hAnsi="Arial" w:cs="Arial"/>
                <w:sz w:val="16"/>
                <w:szCs w:val="16"/>
              </w:rPr>
              <w:t>, 2012</w:t>
            </w:r>
          </w:p>
        </w:tc>
        <w:tc>
          <w:tcPr>
            <w:tcW w:w="848" w:type="dxa"/>
            <w:tcBorders>
              <w:bottom w:val="single" w:sz="4" w:space="0" w:color="auto"/>
            </w:tcBorders>
            <w:vAlign w:val="center"/>
          </w:tcPr>
          <w:p w14:paraId="534215D2" w14:textId="77777777" w:rsidR="00925EA1" w:rsidRPr="00F31685" w:rsidRDefault="00925EA1" w:rsidP="00A96144">
            <w:pPr>
              <w:spacing w:line="300" w:lineRule="atLeast"/>
              <w:jc w:val="center"/>
              <w:rPr>
                <w:rFonts w:ascii="Arial" w:hAnsi="Arial" w:cs="Arial"/>
                <w:sz w:val="16"/>
                <w:szCs w:val="16"/>
              </w:rPr>
            </w:pPr>
            <w:r>
              <w:rPr>
                <w:rFonts w:ascii="Arial" w:hAnsi="Arial" w:cs="Arial"/>
                <w:sz w:val="16"/>
                <w:szCs w:val="16"/>
              </w:rPr>
              <w:t>4,</w:t>
            </w:r>
            <w:r w:rsidR="00A96144">
              <w:rPr>
                <w:rFonts w:ascii="Arial" w:hAnsi="Arial" w:cs="Arial"/>
                <w:sz w:val="16"/>
                <w:szCs w:val="16"/>
              </w:rPr>
              <w:t>642</w:t>
            </w:r>
          </w:p>
        </w:tc>
        <w:tc>
          <w:tcPr>
            <w:tcW w:w="1006" w:type="dxa"/>
            <w:tcBorders>
              <w:bottom w:val="single" w:sz="4" w:space="0" w:color="auto"/>
            </w:tcBorders>
            <w:vAlign w:val="center"/>
          </w:tcPr>
          <w:p w14:paraId="294BEE1C" w14:textId="77777777" w:rsidR="00925EA1" w:rsidRPr="00F31685" w:rsidRDefault="00A96144" w:rsidP="00A4689B">
            <w:pPr>
              <w:spacing w:line="300" w:lineRule="atLeast"/>
              <w:jc w:val="center"/>
              <w:rPr>
                <w:rFonts w:ascii="Arial" w:hAnsi="Arial" w:cs="Arial"/>
                <w:sz w:val="16"/>
                <w:szCs w:val="16"/>
              </w:rPr>
            </w:pPr>
            <w:r>
              <w:rPr>
                <w:rFonts w:ascii="Arial" w:hAnsi="Arial" w:cs="Arial"/>
                <w:sz w:val="16"/>
                <w:szCs w:val="16"/>
              </w:rPr>
              <w:t>0.1 - 80</w:t>
            </w:r>
          </w:p>
        </w:tc>
        <w:tc>
          <w:tcPr>
            <w:tcW w:w="1261" w:type="dxa"/>
            <w:tcBorders>
              <w:bottom w:val="single" w:sz="4" w:space="0" w:color="auto"/>
            </w:tcBorders>
            <w:vAlign w:val="center"/>
          </w:tcPr>
          <w:p w14:paraId="60FA7353" w14:textId="4E3CB993" w:rsidR="00925EA1" w:rsidRPr="00F31685" w:rsidRDefault="00A96144" w:rsidP="00A4689B">
            <w:pPr>
              <w:spacing w:line="300" w:lineRule="atLeast"/>
              <w:jc w:val="center"/>
              <w:rPr>
                <w:rFonts w:ascii="Arial" w:hAnsi="Arial" w:cs="Arial"/>
                <w:sz w:val="16"/>
                <w:szCs w:val="16"/>
              </w:rPr>
            </w:pPr>
            <w:r>
              <w:rPr>
                <w:rFonts w:ascii="Arial" w:hAnsi="Arial" w:cs="Arial"/>
                <w:sz w:val="16"/>
                <w:szCs w:val="16"/>
              </w:rPr>
              <w:t>0.46 – 371.4</w:t>
            </w:r>
            <w:r w:rsidR="00003755">
              <w:rPr>
                <w:rFonts w:ascii="Arial" w:hAnsi="Arial" w:cs="Arial"/>
                <w:sz w:val="16"/>
                <w:szCs w:val="16"/>
              </w:rPr>
              <w:t xml:space="preserve"> (185.9)</w:t>
            </w:r>
          </w:p>
        </w:tc>
        <w:tc>
          <w:tcPr>
            <w:tcW w:w="1094" w:type="dxa"/>
            <w:tcBorders>
              <w:bottom w:val="single" w:sz="4" w:space="0" w:color="auto"/>
            </w:tcBorders>
            <w:vAlign w:val="center"/>
          </w:tcPr>
          <w:p w14:paraId="0327181D" w14:textId="0AA81412" w:rsidR="00925EA1" w:rsidRPr="00F31685" w:rsidRDefault="00A96144" w:rsidP="00A4689B">
            <w:pPr>
              <w:spacing w:line="300" w:lineRule="atLeast"/>
              <w:jc w:val="center"/>
              <w:rPr>
                <w:rFonts w:ascii="Arial" w:hAnsi="Arial" w:cs="Arial"/>
                <w:sz w:val="16"/>
                <w:szCs w:val="16"/>
              </w:rPr>
            </w:pPr>
            <w:r>
              <w:rPr>
                <w:rFonts w:ascii="Arial" w:hAnsi="Arial" w:cs="Arial"/>
                <w:sz w:val="16"/>
                <w:szCs w:val="16"/>
              </w:rPr>
              <w:t>0.09 – 74.3</w:t>
            </w:r>
            <w:r w:rsidR="00003755">
              <w:rPr>
                <w:rFonts w:ascii="Arial" w:hAnsi="Arial" w:cs="Arial"/>
                <w:sz w:val="16"/>
                <w:szCs w:val="16"/>
              </w:rPr>
              <w:t xml:space="preserve"> (37.2)</w:t>
            </w:r>
          </w:p>
        </w:tc>
        <w:tc>
          <w:tcPr>
            <w:tcW w:w="1140" w:type="dxa"/>
            <w:tcBorders>
              <w:bottom w:val="single" w:sz="4" w:space="0" w:color="auto"/>
            </w:tcBorders>
            <w:vAlign w:val="center"/>
          </w:tcPr>
          <w:p w14:paraId="0DD4C5AA" w14:textId="6D16BDF1" w:rsidR="00925EA1" w:rsidRPr="00F31685" w:rsidRDefault="00A96144" w:rsidP="00A96144">
            <w:pPr>
              <w:spacing w:line="300" w:lineRule="atLeast"/>
              <w:jc w:val="center"/>
              <w:rPr>
                <w:rFonts w:ascii="Arial" w:hAnsi="Arial" w:cs="Arial"/>
                <w:sz w:val="16"/>
                <w:szCs w:val="16"/>
              </w:rPr>
            </w:pPr>
            <w:r>
              <w:rPr>
                <w:rFonts w:ascii="Arial" w:hAnsi="Arial" w:cs="Arial"/>
                <w:sz w:val="16"/>
                <w:szCs w:val="16"/>
              </w:rPr>
              <w:t>0.09 – 74.3</w:t>
            </w:r>
            <w:r w:rsidR="00003755">
              <w:rPr>
                <w:rFonts w:ascii="Arial" w:hAnsi="Arial" w:cs="Arial"/>
                <w:sz w:val="16"/>
                <w:szCs w:val="16"/>
              </w:rPr>
              <w:t xml:space="preserve"> (37.2)</w:t>
            </w:r>
          </w:p>
        </w:tc>
        <w:tc>
          <w:tcPr>
            <w:tcW w:w="1147" w:type="dxa"/>
            <w:tcBorders>
              <w:bottom w:val="single" w:sz="4" w:space="0" w:color="auto"/>
            </w:tcBorders>
            <w:vAlign w:val="center"/>
          </w:tcPr>
          <w:p w14:paraId="36AFB5EB" w14:textId="1C81CABA" w:rsidR="00925EA1" w:rsidRDefault="00A96144" w:rsidP="00A96144">
            <w:pPr>
              <w:spacing w:line="300" w:lineRule="atLeast"/>
              <w:jc w:val="center"/>
              <w:rPr>
                <w:rFonts w:ascii="Arial" w:hAnsi="Arial" w:cs="Arial"/>
                <w:sz w:val="16"/>
                <w:szCs w:val="16"/>
              </w:rPr>
            </w:pPr>
            <w:r>
              <w:rPr>
                <w:rFonts w:ascii="Arial" w:hAnsi="Arial" w:cs="Arial"/>
                <w:sz w:val="16"/>
                <w:szCs w:val="16"/>
              </w:rPr>
              <w:t>0.27 – 219.1</w:t>
            </w:r>
            <w:r w:rsidR="00003755">
              <w:rPr>
                <w:rFonts w:ascii="Arial" w:hAnsi="Arial" w:cs="Arial"/>
                <w:sz w:val="16"/>
                <w:szCs w:val="16"/>
              </w:rPr>
              <w:t xml:space="preserve"> (109.7)</w:t>
            </w:r>
          </w:p>
        </w:tc>
        <w:tc>
          <w:tcPr>
            <w:tcW w:w="1202" w:type="dxa"/>
            <w:tcBorders>
              <w:bottom w:val="single" w:sz="4" w:space="0" w:color="auto"/>
            </w:tcBorders>
            <w:vAlign w:val="center"/>
          </w:tcPr>
          <w:p w14:paraId="0DE2DAD5" w14:textId="6B09039D" w:rsidR="00925EA1" w:rsidRPr="00F31685" w:rsidRDefault="00A96144" w:rsidP="00A96144">
            <w:pPr>
              <w:spacing w:line="300" w:lineRule="atLeast"/>
              <w:jc w:val="center"/>
              <w:rPr>
                <w:rFonts w:ascii="Arial" w:hAnsi="Arial" w:cs="Arial"/>
                <w:sz w:val="16"/>
                <w:szCs w:val="16"/>
              </w:rPr>
            </w:pPr>
            <w:r>
              <w:rPr>
                <w:rFonts w:ascii="Arial" w:hAnsi="Arial" w:cs="Arial"/>
                <w:sz w:val="16"/>
                <w:szCs w:val="16"/>
              </w:rPr>
              <w:t>&lt;0.01 – 3.7</w:t>
            </w:r>
            <w:r w:rsidR="00003755" w:rsidRPr="00003755">
              <w:rPr>
                <w:rFonts w:ascii="Arial" w:hAnsi="Arial" w:cs="Arial"/>
                <w:sz w:val="16"/>
                <w:szCs w:val="16"/>
                <w:vertAlign w:val="superscript"/>
              </w:rPr>
              <w:t>a</w:t>
            </w:r>
            <w:r w:rsidR="00003755" w:rsidRPr="00003755">
              <w:rPr>
                <w:rFonts w:ascii="Arial" w:hAnsi="Arial" w:cs="Arial"/>
                <w:sz w:val="16"/>
                <w:szCs w:val="16"/>
              </w:rPr>
              <w:t xml:space="preserve"> </w:t>
            </w:r>
            <w:r w:rsidR="00003755">
              <w:rPr>
                <w:rFonts w:ascii="Arial" w:hAnsi="Arial" w:cs="Arial"/>
                <w:sz w:val="16"/>
                <w:szCs w:val="16"/>
              </w:rPr>
              <w:t>(1.86)</w:t>
            </w:r>
          </w:p>
        </w:tc>
      </w:tr>
      <w:tr w:rsidR="00661D0D" w14:paraId="625B806E" w14:textId="77777777" w:rsidTr="00880597">
        <w:tc>
          <w:tcPr>
            <w:tcW w:w="1369" w:type="dxa"/>
          </w:tcPr>
          <w:p w14:paraId="200908B3" w14:textId="6E232AD9" w:rsidR="000D4F26" w:rsidRDefault="00661D0D" w:rsidP="00355741">
            <w:pPr>
              <w:spacing w:line="300" w:lineRule="atLeast"/>
              <w:jc w:val="both"/>
              <w:rPr>
                <w:rFonts w:ascii="Arial" w:hAnsi="Arial" w:cs="Arial"/>
                <w:sz w:val="16"/>
                <w:szCs w:val="16"/>
              </w:rPr>
            </w:pPr>
            <w:r>
              <w:rPr>
                <w:rFonts w:ascii="Arial" w:hAnsi="Arial" w:cs="Arial"/>
                <w:sz w:val="16"/>
                <w:szCs w:val="16"/>
              </w:rPr>
              <w:t xml:space="preserve">Gas </w:t>
            </w:r>
            <w:r w:rsidR="000D4F26">
              <w:rPr>
                <w:rFonts w:ascii="Arial" w:hAnsi="Arial" w:cs="Arial"/>
                <w:sz w:val="16"/>
                <w:szCs w:val="16"/>
              </w:rPr>
              <w:t>Extraction</w:t>
            </w:r>
            <w:r>
              <w:rPr>
                <w:rFonts w:ascii="Arial" w:hAnsi="Arial" w:cs="Arial"/>
                <w:sz w:val="16"/>
                <w:szCs w:val="16"/>
              </w:rPr>
              <w:t xml:space="preserve"> and Use,</w:t>
            </w:r>
            <w:r w:rsidR="000D4F26">
              <w:rPr>
                <w:rFonts w:ascii="Arial" w:hAnsi="Arial" w:cs="Arial"/>
                <w:sz w:val="16"/>
                <w:szCs w:val="16"/>
              </w:rPr>
              <w:t xml:space="preserve"> 2016</w:t>
            </w:r>
          </w:p>
        </w:tc>
        <w:tc>
          <w:tcPr>
            <w:tcW w:w="848" w:type="dxa"/>
            <w:vAlign w:val="center"/>
          </w:tcPr>
          <w:p w14:paraId="159F8DFA" w14:textId="77777777" w:rsidR="000D4F26" w:rsidRDefault="000D4F26" w:rsidP="00A96144">
            <w:pPr>
              <w:spacing w:line="300" w:lineRule="atLeast"/>
              <w:jc w:val="center"/>
              <w:rPr>
                <w:rFonts w:ascii="Arial" w:hAnsi="Arial" w:cs="Arial"/>
                <w:sz w:val="16"/>
                <w:szCs w:val="16"/>
              </w:rPr>
            </w:pPr>
            <w:r>
              <w:rPr>
                <w:rFonts w:ascii="Arial" w:hAnsi="Arial" w:cs="Arial"/>
                <w:sz w:val="16"/>
                <w:szCs w:val="16"/>
              </w:rPr>
              <w:t>5,557</w:t>
            </w:r>
          </w:p>
        </w:tc>
        <w:tc>
          <w:tcPr>
            <w:tcW w:w="1006" w:type="dxa"/>
            <w:vAlign w:val="center"/>
          </w:tcPr>
          <w:p w14:paraId="25166638" w14:textId="77777777" w:rsidR="000D4F26" w:rsidRDefault="000D4F26" w:rsidP="00A4689B">
            <w:pPr>
              <w:spacing w:line="300" w:lineRule="atLeast"/>
              <w:jc w:val="center"/>
              <w:rPr>
                <w:rFonts w:ascii="Arial" w:hAnsi="Arial" w:cs="Arial"/>
                <w:sz w:val="16"/>
                <w:szCs w:val="16"/>
              </w:rPr>
            </w:pPr>
            <w:r>
              <w:rPr>
                <w:rFonts w:ascii="Arial" w:hAnsi="Arial" w:cs="Arial"/>
                <w:sz w:val="16"/>
                <w:szCs w:val="16"/>
              </w:rPr>
              <w:t>0.1 - 80</w:t>
            </w:r>
          </w:p>
        </w:tc>
        <w:tc>
          <w:tcPr>
            <w:tcW w:w="1261" w:type="dxa"/>
            <w:vAlign w:val="center"/>
          </w:tcPr>
          <w:p w14:paraId="675C473C" w14:textId="49371480" w:rsidR="000D4F26" w:rsidRDefault="000D4F26" w:rsidP="00AA20C4">
            <w:pPr>
              <w:spacing w:line="300" w:lineRule="atLeast"/>
              <w:jc w:val="center"/>
              <w:rPr>
                <w:rFonts w:ascii="Arial" w:hAnsi="Arial" w:cs="Arial"/>
                <w:sz w:val="16"/>
                <w:szCs w:val="16"/>
              </w:rPr>
            </w:pPr>
            <w:r>
              <w:rPr>
                <w:rFonts w:ascii="Arial" w:hAnsi="Arial" w:cs="Arial"/>
                <w:sz w:val="16"/>
                <w:szCs w:val="16"/>
              </w:rPr>
              <w:t xml:space="preserve">0.56 </w:t>
            </w:r>
            <w:r w:rsidR="00AA20C4">
              <w:rPr>
                <w:rFonts w:ascii="Arial" w:hAnsi="Arial" w:cs="Arial"/>
                <w:sz w:val="16"/>
                <w:szCs w:val="16"/>
              </w:rPr>
              <w:t>–</w:t>
            </w:r>
            <w:r>
              <w:rPr>
                <w:rFonts w:ascii="Arial" w:hAnsi="Arial" w:cs="Arial"/>
                <w:sz w:val="16"/>
                <w:szCs w:val="16"/>
              </w:rPr>
              <w:t xml:space="preserve"> 44</w:t>
            </w:r>
            <w:r w:rsidR="00AA20C4">
              <w:rPr>
                <w:rFonts w:ascii="Arial" w:hAnsi="Arial" w:cs="Arial"/>
                <w:sz w:val="16"/>
                <w:szCs w:val="16"/>
              </w:rPr>
              <w:t>4.6</w:t>
            </w:r>
            <w:r w:rsidR="00003755">
              <w:rPr>
                <w:rFonts w:ascii="Arial" w:hAnsi="Arial" w:cs="Arial"/>
                <w:sz w:val="16"/>
                <w:szCs w:val="16"/>
              </w:rPr>
              <w:t xml:space="preserve"> (222.6)</w:t>
            </w:r>
          </w:p>
        </w:tc>
        <w:tc>
          <w:tcPr>
            <w:tcW w:w="1094" w:type="dxa"/>
            <w:vAlign w:val="center"/>
          </w:tcPr>
          <w:p w14:paraId="5A25C148" w14:textId="5040B2D9" w:rsidR="000D4F26" w:rsidRDefault="00475228" w:rsidP="00A4689B">
            <w:pPr>
              <w:spacing w:line="300" w:lineRule="atLeast"/>
              <w:jc w:val="center"/>
              <w:rPr>
                <w:rFonts w:ascii="Arial" w:hAnsi="Arial" w:cs="Arial"/>
                <w:sz w:val="16"/>
                <w:szCs w:val="16"/>
              </w:rPr>
            </w:pPr>
            <w:r>
              <w:rPr>
                <w:rFonts w:ascii="Arial" w:hAnsi="Arial" w:cs="Arial"/>
                <w:sz w:val="16"/>
                <w:szCs w:val="16"/>
              </w:rPr>
              <w:t>0.1</w:t>
            </w:r>
            <w:r w:rsidR="00003755">
              <w:rPr>
                <w:rFonts w:ascii="Arial" w:hAnsi="Arial" w:cs="Arial"/>
                <w:sz w:val="16"/>
                <w:szCs w:val="16"/>
              </w:rPr>
              <w:t xml:space="preserve"> – 89 (44.5)</w:t>
            </w:r>
          </w:p>
        </w:tc>
        <w:tc>
          <w:tcPr>
            <w:tcW w:w="1140" w:type="dxa"/>
            <w:vAlign w:val="center"/>
          </w:tcPr>
          <w:p w14:paraId="7574C3FD" w14:textId="4D07866B" w:rsidR="000D4F26" w:rsidRDefault="00475228" w:rsidP="00A96144">
            <w:pPr>
              <w:spacing w:line="300" w:lineRule="atLeast"/>
              <w:jc w:val="center"/>
              <w:rPr>
                <w:rFonts w:ascii="Arial" w:hAnsi="Arial" w:cs="Arial"/>
                <w:sz w:val="16"/>
                <w:szCs w:val="16"/>
              </w:rPr>
            </w:pPr>
            <w:r>
              <w:rPr>
                <w:rFonts w:ascii="Arial" w:hAnsi="Arial" w:cs="Arial"/>
                <w:sz w:val="16"/>
                <w:szCs w:val="16"/>
              </w:rPr>
              <w:t>0.1</w:t>
            </w:r>
            <w:r w:rsidR="009D7E96">
              <w:rPr>
                <w:rFonts w:ascii="Arial" w:hAnsi="Arial" w:cs="Arial"/>
                <w:sz w:val="16"/>
                <w:szCs w:val="16"/>
              </w:rPr>
              <w:t xml:space="preserve"> </w:t>
            </w:r>
            <w:r w:rsidR="00003755">
              <w:rPr>
                <w:rFonts w:ascii="Arial" w:hAnsi="Arial" w:cs="Arial"/>
                <w:sz w:val="16"/>
                <w:szCs w:val="16"/>
              </w:rPr>
              <w:t>–</w:t>
            </w:r>
            <w:r w:rsidR="009D7E96">
              <w:rPr>
                <w:rFonts w:ascii="Arial" w:hAnsi="Arial" w:cs="Arial"/>
                <w:sz w:val="16"/>
                <w:szCs w:val="16"/>
              </w:rPr>
              <w:t xml:space="preserve"> 89</w:t>
            </w:r>
            <w:r w:rsidR="00003755">
              <w:rPr>
                <w:rFonts w:ascii="Arial" w:hAnsi="Arial" w:cs="Arial"/>
                <w:sz w:val="16"/>
                <w:szCs w:val="16"/>
              </w:rPr>
              <w:t xml:space="preserve"> (44.5)</w:t>
            </w:r>
          </w:p>
        </w:tc>
        <w:tc>
          <w:tcPr>
            <w:tcW w:w="1147" w:type="dxa"/>
            <w:vAlign w:val="center"/>
          </w:tcPr>
          <w:p w14:paraId="1B8FC323" w14:textId="6DBF3A52" w:rsidR="000D4F26" w:rsidRDefault="00475228" w:rsidP="00A96144">
            <w:pPr>
              <w:spacing w:line="300" w:lineRule="atLeast"/>
              <w:jc w:val="center"/>
              <w:rPr>
                <w:rFonts w:ascii="Arial" w:hAnsi="Arial" w:cs="Arial"/>
                <w:sz w:val="16"/>
                <w:szCs w:val="16"/>
              </w:rPr>
            </w:pPr>
            <w:r>
              <w:rPr>
                <w:rFonts w:ascii="Arial" w:hAnsi="Arial" w:cs="Arial"/>
                <w:sz w:val="16"/>
                <w:szCs w:val="16"/>
              </w:rPr>
              <w:t>0.3</w:t>
            </w:r>
            <w:r w:rsidR="009D7E96">
              <w:rPr>
                <w:rFonts w:ascii="Arial" w:hAnsi="Arial" w:cs="Arial"/>
                <w:sz w:val="16"/>
                <w:szCs w:val="16"/>
              </w:rPr>
              <w:t xml:space="preserve"> </w:t>
            </w:r>
            <w:r w:rsidR="00003755">
              <w:rPr>
                <w:rFonts w:ascii="Arial" w:hAnsi="Arial" w:cs="Arial"/>
                <w:sz w:val="16"/>
                <w:szCs w:val="16"/>
              </w:rPr>
              <w:t>– 266.8 (133.6)</w:t>
            </w:r>
          </w:p>
        </w:tc>
        <w:tc>
          <w:tcPr>
            <w:tcW w:w="1202" w:type="dxa"/>
            <w:vAlign w:val="center"/>
          </w:tcPr>
          <w:p w14:paraId="753DE3DD" w14:textId="52087766" w:rsidR="000D4F26" w:rsidRDefault="00003755" w:rsidP="00A96144">
            <w:pPr>
              <w:spacing w:line="300" w:lineRule="atLeast"/>
              <w:jc w:val="center"/>
              <w:rPr>
                <w:rFonts w:ascii="Arial" w:hAnsi="Arial" w:cs="Arial"/>
                <w:sz w:val="16"/>
                <w:szCs w:val="16"/>
              </w:rPr>
            </w:pPr>
            <w:r>
              <w:rPr>
                <w:rFonts w:ascii="Arial" w:hAnsi="Arial" w:cs="Arial"/>
                <w:sz w:val="16"/>
                <w:szCs w:val="16"/>
              </w:rPr>
              <w:t>-</w:t>
            </w:r>
          </w:p>
        </w:tc>
      </w:tr>
      <w:tr w:rsidR="00307FE9" w14:paraId="1B9382AE" w14:textId="77777777" w:rsidTr="00880597">
        <w:tc>
          <w:tcPr>
            <w:tcW w:w="1369" w:type="dxa"/>
          </w:tcPr>
          <w:p w14:paraId="5A674A75" w14:textId="72D373C4" w:rsidR="00307FE9" w:rsidRDefault="00307FE9" w:rsidP="00355741">
            <w:pPr>
              <w:spacing w:line="300" w:lineRule="atLeast"/>
              <w:jc w:val="both"/>
              <w:rPr>
                <w:rFonts w:ascii="Arial" w:hAnsi="Arial" w:cs="Arial"/>
                <w:sz w:val="16"/>
                <w:szCs w:val="16"/>
              </w:rPr>
            </w:pPr>
            <w:r>
              <w:rPr>
                <w:rFonts w:ascii="Arial" w:hAnsi="Arial" w:cs="Arial"/>
                <w:sz w:val="16"/>
                <w:szCs w:val="16"/>
              </w:rPr>
              <w:t>Gas Extraction and Use, 2020</w:t>
            </w:r>
          </w:p>
        </w:tc>
        <w:tc>
          <w:tcPr>
            <w:tcW w:w="848" w:type="dxa"/>
            <w:vAlign w:val="center"/>
          </w:tcPr>
          <w:p w14:paraId="47A0495D" w14:textId="569AFA31" w:rsidR="00307FE9" w:rsidRDefault="00307FE9" w:rsidP="00A96144">
            <w:pPr>
              <w:spacing w:line="300" w:lineRule="atLeast"/>
              <w:jc w:val="center"/>
              <w:rPr>
                <w:rFonts w:ascii="Arial" w:hAnsi="Arial" w:cs="Arial"/>
                <w:sz w:val="16"/>
                <w:szCs w:val="16"/>
              </w:rPr>
            </w:pPr>
            <w:r>
              <w:rPr>
                <w:rFonts w:ascii="Arial" w:hAnsi="Arial" w:cs="Arial"/>
                <w:sz w:val="16"/>
                <w:szCs w:val="16"/>
              </w:rPr>
              <w:t>4,737</w:t>
            </w:r>
          </w:p>
        </w:tc>
        <w:tc>
          <w:tcPr>
            <w:tcW w:w="1006" w:type="dxa"/>
            <w:vAlign w:val="center"/>
          </w:tcPr>
          <w:p w14:paraId="6B2B4CF9" w14:textId="4DDE10EF" w:rsidR="00307FE9" w:rsidRDefault="00307FE9" w:rsidP="00A4689B">
            <w:pPr>
              <w:spacing w:line="300" w:lineRule="atLeast"/>
              <w:jc w:val="center"/>
              <w:rPr>
                <w:rFonts w:ascii="Arial" w:hAnsi="Arial" w:cs="Arial"/>
                <w:sz w:val="16"/>
                <w:szCs w:val="16"/>
              </w:rPr>
            </w:pPr>
            <w:r>
              <w:rPr>
                <w:rFonts w:ascii="Arial" w:hAnsi="Arial" w:cs="Arial"/>
                <w:sz w:val="16"/>
                <w:szCs w:val="16"/>
              </w:rPr>
              <w:t>0.1 - 80</w:t>
            </w:r>
          </w:p>
        </w:tc>
        <w:tc>
          <w:tcPr>
            <w:tcW w:w="1261" w:type="dxa"/>
            <w:vAlign w:val="center"/>
          </w:tcPr>
          <w:p w14:paraId="7734E4A4" w14:textId="1C2B10CA" w:rsidR="00307FE9" w:rsidRDefault="00307FE9" w:rsidP="00AA20C4">
            <w:pPr>
              <w:spacing w:line="300" w:lineRule="atLeast"/>
              <w:jc w:val="center"/>
              <w:rPr>
                <w:rFonts w:ascii="Arial" w:hAnsi="Arial" w:cs="Arial"/>
                <w:sz w:val="16"/>
                <w:szCs w:val="16"/>
              </w:rPr>
            </w:pPr>
            <w:r>
              <w:rPr>
                <w:rFonts w:ascii="Arial" w:hAnsi="Arial" w:cs="Arial"/>
                <w:sz w:val="16"/>
                <w:szCs w:val="16"/>
              </w:rPr>
              <w:t xml:space="preserve">0.47 </w:t>
            </w:r>
            <w:r w:rsidR="00277403">
              <w:rPr>
                <w:rFonts w:ascii="Arial" w:hAnsi="Arial" w:cs="Arial"/>
                <w:sz w:val="16"/>
                <w:szCs w:val="16"/>
              </w:rPr>
              <w:t>–</w:t>
            </w:r>
            <w:r>
              <w:rPr>
                <w:rFonts w:ascii="Arial" w:hAnsi="Arial" w:cs="Arial"/>
                <w:sz w:val="16"/>
                <w:szCs w:val="16"/>
              </w:rPr>
              <w:t xml:space="preserve"> 379</w:t>
            </w:r>
            <w:r w:rsidR="00277403">
              <w:rPr>
                <w:rFonts w:ascii="Arial" w:hAnsi="Arial" w:cs="Arial"/>
                <w:sz w:val="16"/>
                <w:szCs w:val="16"/>
              </w:rPr>
              <w:t xml:space="preserve"> (189.7)</w:t>
            </w:r>
          </w:p>
        </w:tc>
        <w:tc>
          <w:tcPr>
            <w:tcW w:w="1094" w:type="dxa"/>
            <w:vAlign w:val="center"/>
          </w:tcPr>
          <w:p w14:paraId="43344EE8" w14:textId="1C87FCC1" w:rsidR="00307FE9" w:rsidRDefault="00277403" w:rsidP="00A4689B">
            <w:pPr>
              <w:spacing w:line="300" w:lineRule="atLeast"/>
              <w:jc w:val="center"/>
              <w:rPr>
                <w:rFonts w:ascii="Arial" w:hAnsi="Arial" w:cs="Arial"/>
                <w:sz w:val="16"/>
                <w:szCs w:val="16"/>
              </w:rPr>
            </w:pPr>
            <w:r>
              <w:rPr>
                <w:rFonts w:ascii="Arial" w:hAnsi="Arial" w:cs="Arial"/>
                <w:sz w:val="16"/>
                <w:szCs w:val="16"/>
              </w:rPr>
              <w:t>0.09 - 76 (</w:t>
            </w:r>
            <w:r w:rsidR="00320563">
              <w:rPr>
                <w:rFonts w:ascii="Arial" w:hAnsi="Arial" w:cs="Arial"/>
                <w:sz w:val="16"/>
                <w:szCs w:val="16"/>
              </w:rPr>
              <w:t>3</w:t>
            </w:r>
            <w:r w:rsidR="00F70A85">
              <w:rPr>
                <w:rFonts w:ascii="Arial" w:hAnsi="Arial" w:cs="Arial"/>
                <w:sz w:val="16"/>
                <w:szCs w:val="16"/>
              </w:rPr>
              <w:t>7.9</w:t>
            </w:r>
            <w:r>
              <w:rPr>
                <w:rFonts w:ascii="Arial" w:hAnsi="Arial" w:cs="Arial"/>
                <w:sz w:val="16"/>
                <w:szCs w:val="16"/>
              </w:rPr>
              <w:t>)</w:t>
            </w:r>
          </w:p>
        </w:tc>
        <w:tc>
          <w:tcPr>
            <w:tcW w:w="1140" w:type="dxa"/>
            <w:vAlign w:val="center"/>
          </w:tcPr>
          <w:p w14:paraId="48C3E057" w14:textId="2BC1E56B" w:rsidR="00307FE9" w:rsidRDefault="00277403" w:rsidP="00A96144">
            <w:pPr>
              <w:spacing w:line="300" w:lineRule="atLeast"/>
              <w:jc w:val="center"/>
              <w:rPr>
                <w:rFonts w:ascii="Arial" w:hAnsi="Arial" w:cs="Arial"/>
                <w:sz w:val="16"/>
                <w:szCs w:val="16"/>
              </w:rPr>
            </w:pPr>
            <w:r>
              <w:rPr>
                <w:rFonts w:ascii="Arial" w:hAnsi="Arial" w:cs="Arial"/>
                <w:sz w:val="16"/>
                <w:szCs w:val="16"/>
              </w:rPr>
              <w:t>0.09 – 76 (</w:t>
            </w:r>
            <w:r w:rsidR="00320563">
              <w:rPr>
                <w:rFonts w:ascii="Arial" w:hAnsi="Arial" w:cs="Arial"/>
                <w:sz w:val="16"/>
                <w:szCs w:val="16"/>
              </w:rPr>
              <w:t>3</w:t>
            </w:r>
            <w:r w:rsidR="00F70A85">
              <w:rPr>
                <w:rFonts w:ascii="Arial" w:hAnsi="Arial" w:cs="Arial"/>
                <w:sz w:val="16"/>
                <w:szCs w:val="16"/>
              </w:rPr>
              <w:t>7.9</w:t>
            </w:r>
            <w:r>
              <w:rPr>
                <w:rFonts w:ascii="Arial" w:hAnsi="Arial" w:cs="Arial"/>
                <w:sz w:val="16"/>
                <w:szCs w:val="16"/>
              </w:rPr>
              <w:t>)</w:t>
            </w:r>
          </w:p>
        </w:tc>
        <w:tc>
          <w:tcPr>
            <w:tcW w:w="1147" w:type="dxa"/>
            <w:vAlign w:val="center"/>
          </w:tcPr>
          <w:p w14:paraId="1D823D14" w14:textId="157BA744" w:rsidR="00307FE9" w:rsidRDefault="00277403" w:rsidP="00A96144">
            <w:pPr>
              <w:spacing w:line="300" w:lineRule="atLeast"/>
              <w:jc w:val="center"/>
              <w:rPr>
                <w:rFonts w:ascii="Arial" w:hAnsi="Arial" w:cs="Arial"/>
                <w:sz w:val="16"/>
                <w:szCs w:val="16"/>
              </w:rPr>
            </w:pPr>
            <w:r>
              <w:rPr>
                <w:rFonts w:ascii="Arial" w:hAnsi="Arial" w:cs="Arial"/>
                <w:sz w:val="16"/>
                <w:szCs w:val="16"/>
              </w:rPr>
              <w:t>0.28 – 227.4 (113.8)</w:t>
            </w:r>
          </w:p>
        </w:tc>
        <w:tc>
          <w:tcPr>
            <w:tcW w:w="1202" w:type="dxa"/>
            <w:vAlign w:val="center"/>
          </w:tcPr>
          <w:p w14:paraId="286DE915" w14:textId="77777777" w:rsidR="00307FE9" w:rsidRDefault="00307FE9" w:rsidP="00A96144">
            <w:pPr>
              <w:spacing w:line="300" w:lineRule="atLeast"/>
              <w:jc w:val="center"/>
              <w:rPr>
                <w:rFonts w:ascii="Arial" w:hAnsi="Arial" w:cs="Arial"/>
                <w:sz w:val="16"/>
                <w:szCs w:val="16"/>
              </w:rPr>
            </w:pPr>
          </w:p>
        </w:tc>
      </w:tr>
      <w:tr w:rsidR="00197274" w14:paraId="3F89C72B" w14:textId="77777777" w:rsidTr="00880597">
        <w:tc>
          <w:tcPr>
            <w:tcW w:w="1369" w:type="dxa"/>
            <w:tcBorders>
              <w:bottom w:val="single" w:sz="4" w:space="0" w:color="auto"/>
            </w:tcBorders>
          </w:tcPr>
          <w:p w14:paraId="152DDD10" w14:textId="459B2224" w:rsidR="00197274" w:rsidRDefault="00197274" w:rsidP="00355741">
            <w:pPr>
              <w:spacing w:line="300" w:lineRule="atLeast"/>
              <w:jc w:val="both"/>
              <w:rPr>
                <w:rFonts w:ascii="Arial" w:hAnsi="Arial" w:cs="Arial"/>
                <w:sz w:val="16"/>
                <w:szCs w:val="16"/>
              </w:rPr>
            </w:pPr>
            <w:r>
              <w:rPr>
                <w:rFonts w:ascii="Arial" w:hAnsi="Arial" w:cs="Arial"/>
                <w:sz w:val="16"/>
                <w:szCs w:val="16"/>
              </w:rPr>
              <w:t>Gas Extraction and Use, 2024</w:t>
            </w:r>
          </w:p>
        </w:tc>
        <w:tc>
          <w:tcPr>
            <w:tcW w:w="848" w:type="dxa"/>
            <w:tcBorders>
              <w:bottom w:val="single" w:sz="4" w:space="0" w:color="auto"/>
            </w:tcBorders>
            <w:vAlign w:val="center"/>
          </w:tcPr>
          <w:p w14:paraId="1B866297" w14:textId="30724084" w:rsidR="00197274" w:rsidRDefault="00197274" w:rsidP="00A96144">
            <w:pPr>
              <w:spacing w:line="300" w:lineRule="atLeast"/>
              <w:jc w:val="center"/>
              <w:rPr>
                <w:rFonts w:ascii="Arial" w:hAnsi="Arial" w:cs="Arial"/>
                <w:sz w:val="16"/>
                <w:szCs w:val="16"/>
              </w:rPr>
            </w:pPr>
            <w:r>
              <w:rPr>
                <w:rFonts w:ascii="Arial" w:hAnsi="Arial" w:cs="Arial"/>
                <w:sz w:val="16"/>
                <w:szCs w:val="16"/>
              </w:rPr>
              <w:t>3,272</w:t>
            </w:r>
          </w:p>
        </w:tc>
        <w:tc>
          <w:tcPr>
            <w:tcW w:w="1006" w:type="dxa"/>
            <w:tcBorders>
              <w:bottom w:val="single" w:sz="4" w:space="0" w:color="auto"/>
            </w:tcBorders>
            <w:vAlign w:val="center"/>
          </w:tcPr>
          <w:p w14:paraId="0D81020A" w14:textId="60E1EA78" w:rsidR="00197274" w:rsidRDefault="00197274" w:rsidP="00A4689B">
            <w:pPr>
              <w:spacing w:line="300" w:lineRule="atLeast"/>
              <w:jc w:val="center"/>
              <w:rPr>
                <w:rFonts w:ascii="Arial" w:hAnsi="Arial" w:cs="Arial"/>
                <w:sz w:val="16"/>
                <w:szCs w:val="16"/>
              </w:rPr>
            </w:pPr>
            <w:r>
              <w:rPr>
                <w:rFonts w:ascii="Arial" w:hAnsi="Arial" w:cs="Arial"/>
                <w:sz w:val="16"/>
                <w:szCs w:val="16"/>
              </w:rPr>
              <w:t>0.1 - 80</w:t>
            </w:r>
          </w:p>
        </w:tc>
        <w:tc>
          <w:tcPr>
            <w:tcW w:w="1261" w:type="dxa"/>
            <w:tcBorders>
              <w:bottom w:val="single" w:sz="4" w:space="0" w:color="auto"/>
            </w:tcBorders>
            <w:vAlign w:val="center"/>
          </w:tcPr>
          <w:p w14:paraId="2938028A" w14:textId="342F5EB2" w:rsidR="00994913" w:rsidRDefault="00787E6B" w:rsidP="00994913">
            <w:pPr>
              <w:spacing w:line="300" w:lineRule="atLeast"/>
              <w:jc w:val="center"/>
              <w:rPr>
                <w:rFonts w:ascii="Arial" w:hAnsi="Arial" w:cs="Arial"/>
                <w:sz w:val="16"/>
                <w:szCs w:val="16"/>
              </w:rPr>
            </w:pPr>
            <w:r>
              <w:rPr>
                <w:rFonts w:ascii="Arial" w:hAnsi="Arial" w:cs="Arial"/>
                <w:sz w:val="16"/>
                <w:szCs w:val="16"/>
              </w:rPr>
              <w:t xml:space="preserve">0.33 </w:t>
            </w:r>
            <w:r w:rsidR="00994913">
              <w:rPr>
                <w:rFonts w:ascii="Arial" w:hAnsi="Arial" w:cs="Arial"/>
                <w:sz w:val="16"/>
                <w:szCs w:val="16"/>
              </w:rPr>
              <w:t>–</w:t>
            </w:r>
            <w:r>
              <w:rPr>
                <w:rFonts w:ascii="Arial" w:hAnsi="Arial" w:cs="Arial"/>
                <w:sz w:val="16"/>
                <w:szCs w:val="16"/>
              </w:rPr>
              <w:t xml:space="preserve"> </w:t>
            </w:r>
            <w:r w:rsidR="00994913">
              <w:rPr>
                <w:rFonts w:ascii="Arial" w:hAnsi="Arial" w:cs="Arial"/>
                <w:sz w:val="16"/>
                <w:szCs w:val="16"/>
              </w:rPr>
              <w:t>262 (131.0)</w:t>
            </w:r>
          </w:p>
        </w:tc>
        <w:tc>
          <w:tcPr>
            <w:tcW w:w="1094" w:type="dxa"/>
            <w:tcBorders>
              <w:bottom w:val="single" w:sz="4" w:space="0" w:color="auto"/>
            </w:tcBorders>
            <w:vAlign w:val="center"/>
          </w:tcPr>
          <w:p w14:paraId="64C637DB" w14:textId="5A977271" w:rsidR="00197274" w:rsidRDefault="00994913" w:rsidP="00A4689B">
            <w:pPr>
              <w:spacing w:line="300" w:lineRule="atLeast"/>
              <w:jc w:val="center"/>
              <w:rPr>
                <w:rFonts w:ascii="Arial" w:hAnsi="Arial" w:cs="Arial"/>
                <w:sz w:val="16"/>
                <w:szCs w:val="16"/>
              </w:rPr>
            </w:pPr>
            <w:r>
              <w:rPr>
                <w:rFonts w:ascii="Arial" w:hAnsi="Arial" w:cs="Arial"/>
                <w:sz w:val="16"/>
                <w:szCs w:val="16"/>
              </w:rPr>
              <w:t>0.065 – 52.4 (26.2)</w:t>
            </w:r>
          </w:p>
        </w:tc>
        <w:tc>
          <w:tcPr>
            <w:tcW w:w="1140" w:type="dxa"/>
            <w:tcBorders>
              <w:bottom w:val="single" w:sz="4" w:space="0" w:color="auto"/>
            </w:tcBorders>
            <w:vAlign w:val="center"/>
          </w:tcPr>
          <w:p w14:paraId="2359B097" w14:textId="0CE01970" w:rsidR="00197274" w:rsidRDefault="00994913" w:rsidP="00A96144">
            <w:pPr>
              <w:spacing w:line="300" w:lineRule="atLeast"/>
              <w:jc w:val="center"/>
              <w:rPr>
                <w:rFonts w:ascii="Arial" w:hAnsi="Arial" w:cs="Arial"/>
                <w:sz w:val="16"/>
                <w:szCs w:val="16"/>
              </w:rPr>
            </w:pPr>
            <w:r>
              <w:rPr>
                <w:rFonts w:ascii="Arial" w:hAnsi="Arial" w:cs="Arial"/>
                <w:sz w:val="16"/>
                <w:szCs w:val="16"/>
              </w:rPr>
              <w:t>0.065 – 52.4 (26.2)</w:t>
            </w:r>
          </w:p>
        </w:tc>
        <w:tc>
          <w:tcPr>
            <w:tcW w:w="1147" w:type="dxa"/>
            <w:tcBorders>
              <w:bottom w:val="single" w:sz="4" w:space="0" w:color="auto"/>
            </w:tcBorders>
            <w:vAlign w:val="center"/>
          </w:tcPr>
          <w:p w14:paraId="42D85723" w14:textId="6B7CE7CC" w:rsidR="00197274" w:rsidRDefault="00994913" w:rsidP="00A96144">
            <w:pPr>
              <w:spacing w:line="300" w:lineRule="atLeast"/>
              <w:jc w:val="center"/>
              <w:rPr>
                <w:rFonts w:ascii="Arial" w:hAnsi="Arial" w:cs="Arial"/>
                <w:sz w:val="16"/>
                <w:szCs w:val="16"/>
              </w:rPr>
            </w:pPr>
            <w:r>
              <w:rPr>
                <w:rFonts w:ascii="Arial" w:hAnsi="Arial" w:cs="Arial"/>
                <w:sz w:val="16"/>
                <w:szCs w:val="16"/>
              </w:rPr>
              <w:t>0.198 – 157.2 (78.</w:t>
            </w:r>
            <w:r w:rsidR="00217717">
              <w:rPr>
                <w:rFonts w:ascii="Arial" w:hAnsi="Arial" w:cs="Arial"/>
                <w:sz w:val="16"/>
                <w:szCs w:val="16"/>
              </w:rPr>
              <w:t>6</w:t>
            </w:r>
            <w:r>
              <w:rPr>
                <w:rFonts w:ascii="Arial" w:hAnsi="Arial" w:cs="Arial"/>
                <w:sz w:val="16"/>
                <w:szCs w:val="16"/>
              </w:rPr>
              <w:t>)</w:t>
            </w:r>
          </w:p>
        </w:tc>
        <w:tc>
          <w:tcPr>
            <w:tcW w:w="1202" w:type="dxa"/>
            <w:tcBorders>
              <w:bottom w:val="single" w:sz="4" w:space="0" w:color="auto"/>
            </w:tcBorders>
            <w:vAlign w:val="center"/>
          </w:tcPr>
          <w:p w14:paraId="0093C218" w14:textId="77777777" w:rsidR="00197274" w:rsidRDefault="00197274" w:rsidP="00A96144">
            <w:pPr>
              <w:spacing w:line="300" w:lineRule="atLeast"/>
              <w:jc w:val="center"/>
              <w:rPr>
                <w:rFonts w:ascii="Arial" w:hAnsi="Arial" w:cs="Arial"/>
                <w:sz w:val="16"/>
                <w:szCs w:val="16"/>
              </w:rPr>
            </w:pPr>
          </w:p>
        </w:tc>
      </w:tr>
    </w:tbl>
    <w:p w14:paraId="12042BB1" w14:textId="35AE728A" w:rsidR="00B07B05" w:rsidRPr="00EB7D4D" w:rsidRDefault="00003755" w:rsidP="00B47A6F">
      <w:pPr>
        <w:spacing w:before="120" w:line="300" w:lineRule="atLeast"/>
        <w:ind w:left="720" w:hanging="720"/>
        <w:jc w:val="both"/>
        <w:rPr>
          <w:sz w:val="16"/>
          <w:szCs w:val="16"/>
        </w:rPr>
      </w:pPr>
      <w:r w:rsidRPr="00EB7D4D">
        <w:rPr>
          <w:sz w:val="16"/>
          <w:szCs w:val="16"/>
        </w:rPr>
        <w:t>Note: a:</w:t>
      </w:r>
      <w:r w:rsidRPr="00EB7D4D">
        <w:rPr>
          <w:sz w:val="16"/>
          <w:szCs w:val="16"/>
        </w:rPr>
        <w:tab/>
        <w:t xml:space="preserve">The releases in product were reported </w:t>
      </w:r>
      <w:r w:rsidR="00B47A6F" w:rsidRPr="00EB7D4D">
        <w:rPr>
          <w:sz w:val="16"/>
          <w:szCs w:val="16"/>
        </w:rPr>
        <w:t>separately in 2012</w:t>
      </w:r>
      <w:r w:rsidRPr="00EB7D4D">
        <w:rPr>
          <w:sz w:val="16"/>
          <w:szCs w:val="16"/>
        </w:rPr>
        <w:t xml:space="preserve"> </w:t>
      </w:r>
      <w:r w:rsidR="00B47A6F" w:rsidRPr="00EB7D4D">
        <w:rPr>
          <w:sz w:val="16"/>
          <w:szCs w:val="16"/>
        </w:rPr>
        <w:t xml:space="preserve">but </w:t>
      </w:r>
      <w:r w:rsidR="00787E6B" w:rsidRPr="00EB7D4D">
        <w:rPr>
          <w:sz w:val="16"/>
          <w:szCs w:val="16"/>
        </w:rPr>
        <w:t xml:space="preserve">since </w:t>
      </w:r>
      <w:r w:rsidR="00B47A6F" w:rsidRPr="00EB7D4D">
        <w:rPr>
          <w:sz w:val="16"/>
          <w:szCs w:val="16"/>
        </w:rPr>
        <w:t>2016</w:t>
      </w:r>
      <w:r w:rsidR="00307FE9" w:rsidRPr="00EB7D4D">
        <w:rPr>
          <w:sz w:val="16"/>
          <w:szCs w:val="16"/>
        </w:rPr>
        <w:t xml:space="preserve"> </w:t>
      </w:r>
      <w:r w:rsidR="00B47A6F" w:rsidRPr="00EB7D4D">
        <w:rPr>
          <w:sz w:val="16"/>
          <w:szCs w:val="16"/>
        </w:rPr>
        <w:t xml:space="preserve">they have been included in the total </w:t>
      </w:r>
      <w:r w:rsidRPr="00EB7D4D">
        <w:rPr>
          <w:sz w:val="16"/>
          <w:szCs w:val="16"/>
        </w:rPr>
        <w:t>releases to air</w:t>
      </w:r>
      <w:r w:rsidR="00B47A6F" w:rsidRPr="00EB7D4D">
        <w:rPr>
          <w:sz w:val="16"/>
          <w:szCs w:val="16"/>
        </w:rPr>
        <w:t xml:space="preserve"> because that is where they will ultimately be released when the gas is burned</w:t>
      </w:r>
      <w:r w:rsidRPr="00EB7D4D">
        <w:rPr>
          <w:sz w:val="16"/>
          <w:szCs w:val="16"/>
        </w:rPr>
        <w:t>.</w:t>
      </w:r>
    </w:p>
    <w:p w14:paraId="29171E1C" w14:textId="24E4C275" w:rsidR="00661D0D" w:rsidRPr="00BE17CF" w:rsidRDefault="00661D0D" w:rsidP="00661D0D">
      <w:pPr>
        <w:spacing w:before="120" w:line="300" w:lineRule="atLeast"/>
        <w:jc w:val="both"/>
        <w:rPr>
          <w:rFonts w:ascii="Arial" w:hAnsi="Arial" w:cs="Arial"/>
          <w:b/>
          <w:szCs w:val="18"/>
        </w:rPr>
      </w:pPr>
      <w:r w:rsidRPr="00BE17CF">
        <w:rPr>
          <w:rFonts w:ascii="Arial" w:hAnsi="Arial" w:cs="Arial"/>
          <w:b/>
          <w:szCs w:val="18"/>
        </w:rPr>
        <w:t>Certainty assessment</w:t>
      </w:r>
    </w:p>
    <w:p w14:paraId="76EAF155" w14:textId="77777777" w:rsidR="00661D0D" w:rsidRDefault="00661D0D" w:rsidP="00661D0D">
      <w:pPr>
        <w:tabs>
          <w:tab w:val="left" w:pos="1985"/>
        </w:tabs>
        <w:spacing w:line="300" w:lineRule="atLeast"/>
        <w:jc w:val="both"/>
        <w:rPr>
          <w:szCs w:val="18"/>
        </w:rPr>
      </w:pPr>
      <w:r>
        <w:rPr>
          <w:szCs w:val="18"/>
        </w:rPr>
        <w:t xml:space="preserve">Activity data: </w:t>
      </w:r>
      <w:r>
        <w:rPr>
          <w:szCs w:val="18"/>
        </w:rPr>
        <w:tab/>
        <w:t>HIGH (because it was obtained from a national database)</w:t>
      </w:r>
    </w:p>
    <w:p w14:paraId="2E394FED" w14:textId="508AA4D0" w:rsidR="00661D0D" w:rsidRDefault="00661D0D" w:rsidP="00661D0D">
      <w:pPr>
        <w:tabs>
          <w:tab w:val="left" w:pos="1985"/>
        </w:tabs>
        <w:spacing w:line="300" w:lineRule="atLeast"/>
        <w:jc w:val="both"/>
        <w:rPr>
          <w:szCs w:val="18"/>
        </w:rPr>
      </w:pPr>
      <w:r>
        <w:rPr>
          <w:szCs w:val="18"/>
        </w:rPr>
        <w:t xml:space="preserve">Input estimates: </w:t>
      </w:r>
      <w:r>
        <w:rPr>
          <w:szCs w:val="18"/>
        </w:rPr>
        <w:tab/>
        <w:t xml:space="preserve">LOW (because they are based on </w:t>
      </w:r>
      <w:r w:rsidR="00D35930">
        <w:rPr>
          <w:szCs w:val="18"/>
        </w:rPr>
        <w:t>limited historical mercury in natural gas data</w:t>
      </w:r>
      <w:r>
        <w:rPr>
          <w:szCs w:val="18"/>
        </w:rPr>
        <w:t>)</w:t>
      </w:r>
    </w:p>
    <w:p w14:paraId="562FC982" w14:textId="0B9514DF" w:rsidR="00661D0D" w:rsidRDefault="00661D0D" w:rsidP="00392E71">
      <w:pPr>
        <w:tabs>
          <w:tab w:val="left" w:pos="1985"/>
        </w:tabs>
        <w:spacing w:line="300" w:lineRule="atLeast"/>
        <w:jc w:val="both"/>
        <w:rPr>
          <w:szCs w:val="18"/>
        </w:rPr>
      </w:pPr>
      <w:r>
        <w:rPr>
          <w:szCs w:val="18"/>
        </w:rPr>
        <w:t xml:space="preserve">Output estimates: </w:t>
      </w:r>
      <w:r>
        <w:rPr>
          <w:szCs w:val="18"/>
        </w:rPr>
        <w:tab/>
        <w:t>LOW (because they are based on the default Toolkit output factors).</w:t>
      </w:r>
    </w:p>
    <w:p w14:paraId="58139B75" w14:textId="77777777" w:rsidR="008E3038" w:rsidRDefault="00D37EF1" w:rsidP="00EB3E30">
      <w:pPr>
        <w:pStyle w:val="Heading2"/>
        <w:rPr>
          <w:rFonts w:eastAsia="Calibri"/>
        </w:rPr>
      </w:pPr>
      <w:bookmarkStart w:id="39" w:name="_Toc110355516"/>
      <w:r>
        <w:rPr>
          <w:rFonts w:eastAsia="Calibri"/>
        </w:rPr>
        <w:t>Other fossil fuels – extraction and use</w:t>
      </w:r>
      <w:bookmarkEnd w:id="39"/>
    </w:p>
    <w:p w14:paraId="033FAE93" w14:textId="129657D7" w:rsidR="002661DB" w:rsidRDefault="00D37EF1" w:rsidP="003833D6">
      <w:pPr>
        <w:spacing w:line="300" w:lineRule="atLeast"/>
        <w:jc w:val="both"/>
        <w:rPr>
          <w:rFonts w:eastAsia="Calibri"/>
          <w:szCs w:val="22"/>
        </w:rPr>
      </w:pPr>
      <w:r>
        <w:rPr>
          <w:rFonts w:eastAsia="Calibri"/>
          <w:szCs w:val="22"/>
        </w:rPr>
        <w:t>This Toolkit sub-category covers materials such as oil shale and peat. There is no oil shale extraction in New Zealand</w:t>
      </w:r>
      <w:r w:rsidR="00973EF4">
        <w:rPr>
          <w:rFonts w:eastAsia="Calibri"/>
          <w:szCs w:val="22"/>
        </w:rPr>
        <w:t xml:space="preserve"> and peat is not used as a fuel. There may be some mercury releases from accidental fires in peat bogs, but the quantities involved in these (ie the activity rate) would be virtually impossible to </w:t>
      </w:r>
      <w:r w:rsidR="006C6CDF">
        <w:rPr>
          <w:rFonts w:eastAsia="Calibri"/>
          <w:szCs w:val="22"/>
        </w:rPr>
        <w:t>determine</w:t>
      </w:r>
      <w:r w:rsidR="00973EF4">
        <w:rPr>
          <w:rFonts w:eastAsia="Calibri"/>
          <w:szCs w:val="22"/>
        </w:rPr>
        <w:t>. Hence this sub-category has not been assessed.</w:t>
      </w:r>
    </w:p>
    <w:p w14:paraId="3D18F36D" w14:textId="77777777" w:rsidR="002661DB" w:rsidRDefault="00074007" w:rsidP="00074007">
      <w:pPr>
        <w:pStyle w:val="Heading2"/>
        <w:rPr>
          <w:rFonts w:eastAsia="Calibri"/>
        </w:rPr>
      </w:pPr>
      <w:bookmarkStart w:id="40" w:name="_Toc110355517"/>
      <w:r>
        <w:rPr>
          <w:rFonts w:eastAsia="Calibri"/>
        </w:rPr>
        <w:t>Biomass-fired power and heat production</w:t>
      </w:r>
      <w:bookmarkEnd w:id="40"/>
    </w:p>
    <w:p w14:paraId="013F7505" w14:textId="3BB0523C" w:rsidR="002661DB" w:rsidRDefault="00A4689B" w:rsidP="003833D6">
      <w:pPr>
        <w:spacing w:line="300" w:lineRule="atLeast"/>
        <w:jc w:val="both"/>
        <w:rPr>
          <w:rFonts w:eastAsia="Calibri"/>
          <w:szCs w:val="22"/>
        </w:rPr>
      </w:pPr>
      <w:r>
        <w:rPr>
          <w:rFonts w:eastAsia="Calibri"/>
          <w:szCs w:val="22"/>
        </w:rPr>
        <w:t>The mercury in wood and other biomass originates from that taken up naturally from the soil, and mercury deposition from the atmospher</w:t>
      </w:r>
      <w:r w:rsidR="00E1653D">
        <w:rPr>
          <w:rFonts w:eastAsia="Calibri"/>
          <w:szCs w:val="22"/>
        </w:rPr>
        <w:t>e</w:t>
      </w:r>
      <w:r>
        <w:rPr>
          <w:rFonts w:eastAsia="Calibri"/>
          <w:szCs w:val="22"/>
        </w:rPr>
        <w:t xml:space="preserve"> as a result of natural and anthropogenic emissions to air. Most of the mercury is discharged back into the air when the biomass is burned. This Toolkit sub-category is concerned with the burning of wood and other biomass as an industrial fuel, and in residential heating and cooking.</w:t>
      </w:r>
    </w:p>
    <w:p w14:paraId="764F8DB4" w14:textId="6ECA5549" w:rsidR="008319EC" w:rsidRDefault="008319EC" w:rsidP="003833D6">
      <w:pPr>
        <w:spacing w:line="300" w:lineRule="atLeast"/>
        <w:jc w:val="both"/>
        <w:rPr>
          <w:rFonts w:eastAsia="Calibri"/>
          <w:szCs w:val="22"/>
        </w:rPr>
      </w:pPr>
      <w:r>
        <w:rPr>
          <w:rFonts w:eastAsia="Calibri"/>
          <w:szCs w:val="22"/>
        </w:rPr>
        <w:t>As shown in the previous sections, accurate statistical information is available for national</w:t>
      </w:r>
      <w:r w:rsidR="00DE121D">
        <w:rPr>
          <w:rFonts w:eastAsia="Calibri"/>
          <w:szCs w:val="22"/>
        </w:rPr>
        <w:t xml:space="preserve"> annual</w:t>
      </w:r>
      <w:r>
        <w:rPr>
          <w:rFonts w:eastAsia="Calibri"/>
          <w:szCs w:val="22"/>
        </w:rPr>
        <w:t xml:space="preserve"> consumption of coal, natural gas and petroleum products. Such statistics are not available for biomass (essentially wood waste) </w:t>
      </w:r>
      <w:r w:rsidR="00E50291">
        <w:rPr>
          <w:rFonts w:eastAsia="Calibri"/>
          <w:szCs w:val="22"/>
        </w:rPr>
        <w:t xml:space="preserve">because the tonnages used are either not recorded or are recorded indirectly such as </w:t>
      </w:r>
      <w:r w:rsidR="006A329A">
        <w:rPr>
          <w:rFonts w:eastAsia="Calibri"/>
          <w:szCs w:val="22"/>
        </w:rPr>
        <w:t xml:space="preserve">in the form </w:t>
      </w:r>
      <w:r w:rsidR="00E50291">
        <w:rPr>
          <w:rFonts w:eastAsia="Calibri"/>
          <w:szCs w:val="22"/>
        </w:rPr>
        <w:t>tonnes of steam raised</w:t>
      </w:r>
      <w:r w:rsidR="00DE121D">
        <w:rPr>
          <w:rFonts w:eastAsia="Calibri"/>
          <w:szCs w:val="22"/>
        </w:rPr>
        <w:t xml:space="preserve"> per hour</w:t>
      </w:r>
      <w:r w:rsidR="00E50291">
        <w:rPr>
          <w:rFonts w:eastAsia="Calibri"/>
          <w:szCs w:val="22"/>
        </w:rPr>
        <w:t xml:space="preserve">. In </w:t>
      </w:r>
      <w:r w:rsidR="006A329A">
        <w:rPr>
          <w:rFonts w:eastAsia="Calibri"/>
          <w:szCs w:val="22"/>
        </w:rPr>
        <w:t>addition,</w:t>
      </w:r>
      <w:r w:rsidR="00E50291">
        <w:rPr>
          <w:rFonts w:eastAsia="Calibri"/>
          <w:szCs w:val="22"/>
        </w:rPr>
        <w:t xml:space="preserve"> wood</w:t>
      </w:r>
      <w:r w:rsidR="00D727C0">
        <w:rPr>
          <w:rFonts w:eastAsia="Calibri"/>
          <w:szCs w:val="22"/>
        </w:rPr>
        <w:t xml:space="preserve"> </w:t>
      </w:r>
      <w:r w:rsidR="00E50291">
        <w:rPr>
          <w:rFonts w:eastAsia="Calibri"/>
          <w:szCs w:val="22"/>
        </w:rPr>
        <w:t xml:space="preserve">waste can vary significantly in </w:t>
      </w:r>
      <w:r w:rsidR="00B73BD2">
        <w:rPr>
          <w:rFonts w:eastAsia="Calibri"/>
          <w:szCs w:val="22"/>
        </w:rPr>
        <w:t xml:space="preserve">its </w:t>
      </w:r>
      <w:r w:rsidR="00E50291">
        <w:rPr>
          <w:rFonts w:eastAsia="Calibri"/>
          <w:szCs w:val="22"/>
        </w:rPr>
        <w:t xml:space="preserve">composition and moisture content– off cuts, </w:t>
      </w:r>
      <w:r w:rsidR="00AC396B">
        <w:rPr>
          <w:rFonts w:eastAsia="Calibri"/>
          <w:szCs w:val="22"/>
        </w:rPr>
        <w:t xml:space="preserve">shavings, </w:t>
      </w:r>
      <w:r w:rsidR="00E50291">
        <w:rPr>
          <w:rFonts w:eastAsia="Calibri"/>
          <w:szCs w:val="22"/>
        </w:rPr>
        <w:t xml:space="preserve">saw dust, bark etc. which will </w:t>
      </w:r>
      <w:r w:rsidR="00AC396B">
        <w:rPr>
          <w:rFonts w:eastAsia="Calibri"/>
          <w:szCs w:val="22"/>
        </w:rPr>
        <w:t xml:space="preserve">affect its energy content. </w:t>
      </w:r>
      <w:r w:rsidR="00BC5BFC">
        <w:rPr>
          <w:rFonts w:eastAsia="Calibri"/>
          <w:szCs w:val="22"/>
        </w:rPr>
        <w:t xml:space="preserve">The 2012 and 2016 </w:t>
      </w:r>
      <w:r w:rsidR="00AC396B">
        <w:rPr>
          <w:rFonts w:eastAsia="Calibri"/>
          <w:szCs w:val="22"/>
        </w:rPr>
        <w:t>mercury inventories used the boiler rating (MW) of industrial wood burning heat plant listed in the Heat Plant Database (CRL Energy 2011) and derived</w:t>
      </w:r>
      <w:r w:rsidR="00DE121D">
        <w:rPr>
          <w:rFonts w:eastAsia="Calibri"/>
          <w:szCs w:val="22"/>
        </w:rPr>
        <w:t xml:space="preserve"> the</w:t>
      </w:r>
      <w:r w:rsidR="00AC396B">
        <w:rPr>
          <w:rFonts w:eastAsia="Calibri"/>
          <w:szCs w:val="22"/>
        </w:rPr>
        <w:t xml:space="preserve"> total energy consumed by assuming that plant is operated at 70% load for 320 days per year.</w:t>
      </w:r>
      <w:r w:rsidR="00483BAB">
        <w:rPr>
          <w:rFonts w:eastAsia="Calibri"/>
          <w:szCs w:val="22"/>
        </w:rPr>
        <w:t xml:space="preserve">  Estimates of domestic biomass consumption from Census data were then added to obtain </w:t>
      </w:r>
      <w:r w:rsidR="00437907">
        <w:rPr>
          <w:rFonts w:eastAsia="Calibri"/>
          <w:szCs w:val="22"/>
        </w:rPr>
        <w:t>a total annual biomass figure.</w:t>
      </w:r>
      <w:r w:rsidR="00483BAB">
        <w:rPr>
          <w:rFonts w:eastAsia="Calibri"/>
          <w:szCs w:val="22"/>
        </w:rPr>
        <w:t xml:space="preserve"> </w:t>
      </w:r>
    </w:p>
    <w:p w14:paraId="2CA69710" w14:textId="336FE199" w:rsidR="00437907" w:rsidRDefault="00BC5BFC" w:rsidP="003833D6">
      <w:pPr>
        <w:spacing w:line="300" w:lineRule="atLeast"/>
        <w:jc w:val="both"/>
        <w:rPr>
          <w:rFonts w:eastAsia="Calibri"/>
          <w:szCs w:val="22"/>
        </w:rPr>
      </w:pPr>
      <w:r>
        <w:rPr>
          <w:rFonts w:eastAsia="Calibri"/>
          <w:szCs w:val="22"/>
        </w:rPr>
        <w:t>For the 2020 Inventory and the current Inventory</w:t>
      </w:r>
      <w:r w:rsidR="00483BAB">
        <w:rPr>
          <w:rFonts w:eastAsia="Calibri"/>
          <w:szCs w:val="22"/>
        </w:rPr>
        <w:t>,</w:t>
      </w:r>
      <w:r>
        <w:rPr>
          <w:rFonts w:eastAsia="Calibri"/>
          <w:szCs w:val="22"/>
        </w:rPr>
        <w:t xml:space="preserve"> the </w:t>
      </w:r>
      <w:r w:rsidR="00483BAB">
        <w:rPr>
          <w:rFonts w:eastAsia="Calibri"/>
          <w:szCs w:val="22"/>
        </w:rPr>
        <w:t xml:space="preserve">MBIE derived estimates for annual industrial </w:t>
      </w:r>
      <w:r w:rsidR="00437907">
        <w:rPr>
          <w:rFonts w:eastAsia="Calibri"/>
          <w:szCs w:val="22"/>
        </w:rPr>
        <w:t xml:space="preserve">and domestic </w:t>
      </w:r>
      <w:r w:rsidR="00483BAB">
        <w:rPr>
          <w:rFonts w:eastAsia="Calibri"/>
          <w:szCs w:val="22"/>
        </w:rPr>
        <w:t>energy raised by biomass</w:t>
      </w:r>
      <w:r w:rsidR="00437907">
        <w:rPr>
          <w:rFonts w:eastAsia="Calibri"/>
          <w:szCs w:val="22"/>
        </w:rPr>
        <w:t xml:space="preserve"> have been used</w:t>
      </w:r>
      <w:r w:rsidR="00861F56">
        <w:rPr>
          <w:rFonts w:eastAsia="Calibri"/>
          <w:szCs w:val="22"/>
        </w:rPr>
        <w:t xml:space="preserve"> (MBIE, 2025)</w:t>
      </w:r>
      <w:r w:rsidR="00437907">
        <w:rPr>
          <w:rFonts w:eastAsia="Calibri"/>
          <w:szCs w:val="22"/>
        </w:rPr>
        <w:t>.</w:t>
      </w:r>
    </w:p>
    <w:p w14:paraId="20BDA8BD" w14:textId="6336BF70" w:rsidR="00437907" w:rsidRDefault="00437907" w:rsidP="003833D6">
      <w:pPr>
        <w:spacing w:line="300" w:lineRule="atLeast"/>
        <w:jc w:val="both"/>
        <w:rPr>
          <w:rFonts w:eastAsia="Calibri"/>
          <w:szCs w:val="22"/>
        </w:rPr>
      </w:pPr>
      <w:r>
        <w:rPr>
          <w:rFonts w:eastAsia="Calibri"/>
          <w:szCs w:val="22"/>
        </w:rPr>
        <w:t xml:space="preserve">MBIE use the </w:t>
      </w:r>
      <w:r w:rsidR="00BC5BFC">
        <w:rPr>
          <w:rFonts w:eastAsia="Calibri"/>
          <w:szCs w:val="22"/>
        </w:rPr>
        <w:t xml:space="preserve">Scion Wood Processing Database </w:t>
      </w:r>
      <w:r w:rsidR="004E365B">
        <w:rPr>
          <w:rFonts w:eastAsia="Calibri"/>
          <w:szCs w:val="22"/>
        </w:rPr>
        <w:t xml:space="preserve">(MBIE, 2017) </w:t>
      </w:r>
      <w:r w:rsidR="00BC5BFC">
        <w:rPr>
          <w:rFonts w:eastAsia="Calibri"/>
          <w:szCs w:val="22"/>
        </w:rPr>
        <w:t xml:space="preserve">developed by </w:t>
      </w:r>
      <w:r w:rsidR="001373EC">
        <w:rPr>
          <w:rFonts w:eastAsia="Calibri"/>
          <w:szCs w:val="22"/>
        </w:rPr>
        <w:t xml:space="preserve">the Crown Research Institute Scion </w:t>
      </w:r>
      <w:r w:rsidR="00BC5BFC">
        <w:rPr>
          <w:rFonts w:eastAsia="Calibri"/>
          <w:szCs w:val="22"/>
        </w:rPr>
        <w:t xml:space="preserve">in 2017 </w:t>
      </w:r>
      <w:r w:rsidR="001373EC">
        <w:rPr>
          <w:rFonts w:eastAsia="Calibri"/>
          <w:szCs w:val="22"/>
        </w:rPr>
        <w:t>to</w:t>
      </w:r>
      <w:r w:rsidR="00BC5BFC">
        <w:rPr>
          <w:rFonts w:eastAsia="Calibri"/>
          <w:szCs w:val="22"/>
        </w:rPr>
        <w:t xml:space="preserve"> assess the wood related consumption</w:t>
      </w:r>
      <w:r w:rsidR="00EA6C1A">
        <w:rPr>
          <w:rFonts w:eastAsia="Calibri"/>
          <w:szCs w:val="22"/>
        </w:rPr>
        <w:t xml:space="preserve"> of energy raising plant in currently operating wood processing and pulp and paper operations in New Zealand.</w:t>
      </w:r>
      <w:r w:rsidR="001373EC">
        <w:rPr>
          <w:rFonts w:eastAsia="Calibri"/>
          <w:szCs w:val="22"/>
        </w:rPr>
        <w:t xml:space="preserve"> </w:t>
      </w:r>
      <w:r w:rsidR="00483BAB">
        <w:rPr>
          <w:rFonts w:eastAsia="Calibri"/>
          <w:szCs w:val="22"/>
        </w:rPr>
        <w:t>The database uses</w:t>
      </w:r>
      <w:r w:rsidR="001373EC">
        <w:rPr>
          <w:rFonts w:eastAsia="Calibri"/>
          <w:szCs w:val="22"/>
        </w:rPr>
        <w:t xml:space="preserve"> </w:t>
      </w:r>
      <w:r w:rsidR="00483BAB">
        <w:rPr>
          <w:rFonts w:eastAsia="Calibri"/>
          <w:szCs w:val="22"/>
        </w:rPr>
        <w:t>t</w:t>
      </w:r>
      <w:r w:rsidR="001373EC">
        <w:rPr>
          <w:rFonts w:eastAsia="Calibri"/>
          <w:szCs w:val="22"/>
        </w:rPr>
        <w:t>wo approaches to derive estimates of fuel use. In the first</w:t>
      </w:r>
      <w:r w:rsidR="00AC396B">
        <w:rPr>
          <w:rFonts w:eastAsia="Calibri"/>
          <w:szCs w:val="22"/>
        </w:rPr>
        <w:t xml:space="preserve">, </w:t>
      </w:r>
      <w:r w:rsidR="001373EC">
        <w:rPr>
          <w:rFonts w:eastAsia="Calibri"/>
          <w:szCs w:val="22"/>
        </w:rPr>
        <w:t xml:space="preserve">the nameplate power rating (MW) of the boiler </w:t>
      </w:r>
      <w:r w:rsidR="00483BAB">
        <w:rPr>
          <w:rFonts w:eastAsia="Calibri"/>
          <w:szCs w:val="22"/>
        </w:rPr>
        <w:t xml:space="preserve">is </w:t>
      </w:r>
      <w:r w:rsidR="001373EC">
        <w:rPr>
          <w:rFonts w:eastAsia="Calibri"/>
          <w:szCs w:val="22"/>
        </w:rPr>
        <w:t xml:space="preserve">combined with estimates of loading (percentage of time the boiler is used in a year), estimates of capacity (the ratio between typical heat demand and the boiler’s nameplate capacity to supply heat) </w:t>
      </w:r>
      <w:r w:rsidR="00325B9E">
        <w:rPr>
          <w:rFonts w:eastAsia="Calibri"/>
          <w:szCs w:val="22"/>
        </w:rPr>
        <w:t>and efficiency (assumed to be 0.85 for all boilers, that is 85% of the energy in the fuel is converted to useful heat). In the second approach</w:t>
      </w:r>
      <w:r w:rsidR="002F2540">
        <w:rPr>
          <w:rFonts w:eastAsia="Calibri"/>
          <w:szCs w:val="22"/>
        </w:rPr>
        <w:t>,</w:t>
      </w:r>
      <w:r w:rsidR="00325B9E">
        <w:rPr>
          <w:rFonts w:eastAsia="Calibri"/>
          <w:szCs w:val="22"/>
        </w:rPr>
        <w:t xml:space="preserve"> annual production levels of wood products and estimates of the energy required to produce each product </w:t>
      </w:r>
      <w:r w:rsidR="00483BAB">
        <w:rPr>
          <w:rFonts w:eastAsia="Calibri"/>
          <w:szCs w:val="22"/>
        </w:rPr>
        <w:t xml:space="preserve">are </w:t>
      </w:r>
      <w:r w:rsidR="00325B9E">
        <w:rPr>
          <w:rFonts w:eastAsia="Calibri"/>
          <w:szCs w:val="22"/>
        </w:rPr>
        <w:t xml:space="preserve">used to derive a total fuel use figure. </w:t>
      </w:r>
    </w:p>
    <w:p w14:paraId="7B7FDBF4" w14:textId="71E1B2F3" w:rsidR="00502069" w:rsidRDefault="00B63BC5" w:rsidP="003833D6">
      <w:pPr>
        <w:spacing w:line="300" w:lineRule="atLeast"/>
        <w:jc w:val="both"/>
        <w:rPr>
          <w:rFonts w:eastAsia="Calibri"/>
          <w:szCs w:val="22"/>
        </w:rPr>
      </w:pPr>
      <w:r>
        <w:rPr>
          <w:rFonts w:eastAsia="Calibri"/>
          <w:szCs w:val="22"/>
        </w:rPr>
        <w:t xml:space="preserve">Biomass consumption estimates are not yet available for 2024 but MBIE estimated total annual usage (including domestic consumption) of 51.98 PJ, 51.11 PJ and 44.37 PJ for the preceding 3 years (MBIE, 2025). This allows an estimate of 49.15 PJ to be derived for 2024. </w:t>
      </w:r>
      <w:r w:rsidR="00437907">
        <w:rPr>
          <w:rFonts w:eastAsia="Calibri"/>
          <w:szCs w:val="22"/>
        </w:rPr>
        <w:t xml:space="preserve"> </w:t>
      </w:r>
    </w:p>
    <w:p w14:paraId="7A78F1D1" w14:textId="2FA1BEAE" w:rsidR="00074007" w:rsidRDefault="007419D9" w:rsidP="003833D6">
      <w:pPr>
        <w:spacing w:line="300" w:lineRule="atLeast"/>
        <w:jc w:val="both"/>
        <w:rPr>
          <w:rFonts w:eastAsia="Calibri"/>
          <w:szCs w:val="22"/>
        </w:rPr>
      </w:pPr>
      <w:r>
        <w:rPr>
          <w:rFonts w:eastAsia="Calibri"/>
          <w:szCs w:val="22"/>
        </w:rPr>
        <w:t xml:space="preserve">Converting wood energy </w:t>
      </w:r>
      <w:r w:rsidR="005A1D46">
        <w:rPr>
          <w:rFonts w:eastAsia="Calibri"/>
          <w:szCs w:val="22"/>
        </w:rPr>
        <w:t xml:space="preserve">(PJ) </w:t>
      </w:r>
      <w:r>
        <w:rPr>
          <w:rFonts w:eastAsia="Calibri"/>
          <w:szCs w:val="22"/>
        </w:rPr>
        <w:t xml:space="preserve">to mass of wood </w:t>
      </w:r>
      <w:r w:rsidR="005A1D46">
        <w:rPr>
          <w:rFonts w:eastAsia="Calibri"/>
          <w:szCs w:val="22"/>
        </w:rPr>
        <w:t xml:space="preserve">(tonnes) </w:t>
      </w:r>
      <w:r>
        <w:rPr>
          <w:rFonts w:eastAsia="Calibri"/>
          <w:szCs w:val="22"/>
        </w:rPr>
        <w:t>is achieved by dividing</w:t>
      </w:r>
      <w:r w:rsidR="005A1D46">
        <w:rPr>
          <w:rFonts w:eastAsia="Calibri"/>
          <w:szCs w:val="22"/>
        </w:rPr>
        <w:t xml:space="preserve"> the energy term</w:t>
      </w:r>
      <w:r>
        <w:rPr>
          <w:rFonts w:eastAsia="Calibri"/>
          <w:szCs w:val="22"/>
        </w:rPr>
        <w:t xml:space="preserve"> by the average gross calorific value of oven dried Pinus radiata (0% moisture) which is 20.2 GJ/tonne</w:t>
      </w:r>
      <w:r w:rsidR="004E365B">
        <w:rPr>
          <w:rFonts w:eastAsia="Calibri"/>
          <w:szCs w:val="22"/>
        </w:rPr>
        <w:t xml:space="preserve"> (MBIE, 2017)</w:t>
      </w:r>
      <w:r>
        <w:rPr>
          <w:rFonts w:eastAsia="Calibri"/>
          <w:szCs w:val="22"/>
        </w:rPr>
        <w:t>. 49.15 PJ is therefore equivalent to 2.433 million tonnes/year of dry wood</w:t>
      </w:r>
      <w:r w:rsidR="00B73BD2">
        <w:rPr>
          <w:rFonts w:eastAsia="Calibri"/>
          <w:szCs w:val="22"/>
        </w:rPr>
        <w:t>.</w:t>
      </w:r>
    </w:p>
    <w:p w14:paraId="0CE1D731" w14:textId="28A827D0" w:rsidR="00074007" w:rsidRPr="003833D6" w:rsidRDefault="00884494" w:rsidP="003833D6">
      <w:pPr>
        <w:spacing w:line="300" w:lineRule="atLeast"/>
        <w:jc w:val="both"/>
        <w:rPr>
          <w:rFonts w:eastAsia="Calibri"/>
          <w:szCs w:val="22"/>
        </w:rPr>
      </w:pPr>
      <w:r>
        <w:rPr>
          <w:rFonts w:eastAsia="Calibri"/>
          <w:szCs w:val="22"/>
        </w:rPr>
        <w:t>There is no published data available on the mercury content of New Zealand wood</w:t>
      </w:r>
      <w:r w:rsidR="00997A8E">
        <w:rPr>
          <w:rFonts w:eastAsia="Calibri"/>
          <w:szCs w:val="22"/>
        </w:rPr>
        <w:t xml:space="preserve"> so the input estimates have been based on the</w:t>
      </w:r>
      <w:r w:rsidR="00A019F2">
        <w:rPr>
          <w:rFonts w:eastAsia="Calibri"/>
          <w:szCs w:val="22"/>
        </w:rPr>
        <w:t xml:space="preserve"> Toolkit default factor of 0.03</w:t>
      </w:r>
      <w:r w:rsidR="002624E0">
        <w:rPr>
          <w:rFonts w:eastAsia="Calibri"/>
          <w:szCs w:val="22"/>
        </w:rPr>
        <w:t>85</w:t>
      </w:r>
      <w:r w:rsidR="00A019F2">
        <w:rPr>
          <w:rFonts w:eastAsia="Calibri"/>
          <w:szCs w:val="22"/>
        </w:rPr>
        <w:t xml:space="preserve"> mg/kg, o</w:t>
      </w:r>
      <w:r w:rsidR="00997A8E">
        <w:rPr>
          <w:rFonts w:eastAsia="Calibri"/>
          <w:szCs w:val="22"/>
        </w:rPr>
        <w:t>r a range of 0.007 – 0.07 mg/kg.</w:t>
      </w:r>
      <w:r w:rsidR="00A019F2">
        <w:rPr>
          <w:rFonts w:eastAsia="Calibri"/>
          <w:szCs w:val="22"/>
        </w:rPr>
        <w:t xml:space="preserve"> I</w:t>
      </w:r>
      <w:r w:rsidR="00392FFB">
        <w:rPr>
          <w:rFonts w:eastAsia="Calibri"/>
          <w:szCs w:val="22"/>
        </w:rPr>
        <w:t xml:space="preserve">t also </w:t>
      </w:r>
      <w:r w:rsidR="00997A8E">
        <w:rPr>
          <w:rFonts w:eastAsia="Calibri"/>
          <w:szCs w:val="22"/>
        </w:rPr>
        <w:t xml:space="preserve">assumed </w:t>
      </w:r>
      <w:r w:rsidR="00392FFB">
        <w:rPr>
          <w:rFonts w:eastAsia="Calibri"/>
          <w:szCs w:val="22"/>
        </w:rPr>
        <w:t xml:space="preserve">that all of the mercury </w:t>
      </w:r>
      <w:r w:rsidR="00997A8E">
        <w:rPr>
          <w:rFonts w:eastAsia="Calibri"/>
          <w:szCs w:val="22"/>
        </w:rPr>
        <w:t>is released to air</w:t>
      </w:r>
      <w:r w:rsidR="00392FFB">
        <w:rPr>
          <w:rFonts w:eastAsia="Calibri"/>
          <w:szCs w:val="22"/>
        </w:rPr>
        <w:t>.</w:t>
      </w:r>
    </w:p>
    <w:p w14:paraId="4F091FFB" w14:textId="1078F769" w:rsidR="00997A8E" w:rsidRDefault="005A3C18" w:rsidP="005A3C18">
      <w:pPr>
        <w:spacing w:line="300" w:lineRule="atLeast"/>
        <w:jc w:val="both"/>
        <w:rPr>
          <w:szCs w:val="18"/>
        </w:rPr>
      </w:pPr>
      <w:r>
        <w:rPr>
          <w:szCs w:val="18"/>
        </w:rPr>
        <w:t xml:space="preserve">The mercury input and output calculations for the </w:t>
      </w:r>
      <w:r w:rsidR="0034129D">
        <w:rPr>
          <w:szCs w:val="18"/>
        </w:rPr>
        <w:t xml:space="preserve">biomass-fired </w:t>
      </w:r>
      <w:r>
        <w:rPr>
          <w:szCs w:val="18"/>
        </w:rPr>
        <w:t>power</w:t>
      </w:r>
      <w:r w:rsidR="0034129D">
        <w:rPr>
          <w:szCs w:val="18"/>
        </w:rPr>
        <w:t xml:space="preserve"> and heat</w:t>
      </w:r>
      <w:r>
        <w:rPr>
          <w:szCs w:val="18"/>
        </w:rPr>
        <w:t xml:space="preserve"> </w:t>
      </w:r>
      <w:r w:rsidR="00997A8E">
        <w:rPr>
          <w:szCs w:val="18"/>
        </w:rPr>
        <w:t xml:space="preserve">production </w:t>
      </w:r>
      <w:r>
        <w:rPr>
          <w:szCs w:val="18"/>
        </w:rPr>
        <w:t xml:space="preserve">are shown </w:t>
      </w:r>
      <w:r w:rsidRPr="00284760">
        <w:rPr>
          <w:szCs w:val="18"/>
        </w:rPr>
        <w:t xml:space="preserve">in </w:t>
      </w:r>
      <w:r>
        <w:rPr>
          <w:szCs w:val="18"/>
        </w:rPr>
        <w:fldChar w:fldCharType="begin"/>
      </w:r>
      <w:r>
        <w:rPr>
          <w:szCs w:val="18"/>
        </w:rPr>
        <w:instrText xml:space="preserve"> REF _Ref358358101 \h </w:instrText>
      </w:r>
      <w:r w:rsidR="00636D03">
        <w:rPr>
          <w:szCs w:val="18"/>
        </w:rPr>
        <w:instrText xml:space="preserve"> \* MERGEFORMAT </w:instrText>
      </w:r>
      <w:r>
        <w:rPr>
          <w:szCs w:val="18"/>
        </w:rPr>
      </w:r>
      <w:r>
        <w:rPr>
          <w:szCs w:val="18"/>
        </w:rPr>
        <w:fldChar w:fldCharType="separate"/>
      </w:r>
      <w:r w:rsidR="00892B2D" w:rsidRPr="00892B2D">
        <w:t xml:space="preserve">Table </w:t>
      </w:r>
      <w:r w:rsidR="00892B2D" w:rsidRPr="00892B2D">
        <w:rPr>
          <w:noProof/>
        </w:rPr>
        <w:t>3</w:t>
      </w:r>
      <w:r w:rsidR="00892B2D" w:rsidRPr="00892B2D">
        <w:rPr>
          <w:noProof/>
        </w:rPr>
        <w:noBreakHyphen/>
        <w:t>6</w:t>
      </w:r>
      <w:r>
        <w:rPr>
          <w:szCs w:val="18"/>
        </w:rPr>
        <w:fldChar w:fldCharType="end"/>
      </w:r>
    </w:p>
    <w:p w14:paraId="2C1CCE54" w14:textId="736CB6AE" w:rsidR="00450C4E" w:rsidRDefault="005A3C18" w:rsidP="005A3C18">
      <w:pPr>
        <w:pStyle w:val="Caption"/>
        <w:spacing w:before="240"/>
        <w:rPr>
          <w:rFonts w:eastAsia="Calibri"/>
          <w:szCs w:val="22"/>
        </w:rPr>
      </w:pPr>
      <w:bookmarkStart w:id="41" w:name="_Ref358358101"/>
      <w:bookmarkStart w:id="42" w:name="_Toc110355464"/>
      <w:r w:rsidRPr="005A3C18">
        <w:rPr>
          <w:rFonts w:ascii="Arial" w:hAnsi="Arial" w:cs="Arial"/>
        </w:rPr>
        <w:t xml:space="preserve">Table </w:t>
      </w:r>
      <w:r w:rsidR="00390C9F">
        <w:rPr>
          <w:rFonts w:ascii="Arial" w:hAnsi="Arial" w:cs="Arial"/>
        </w:rPr>
        <w:fldChar w:fldCharType="begin"/>
      </w:r>
      <w:r w:rsidR="00390C9F">
        <w:rPr>
          <w:rFonts w:ascii="Arial" w:hAnsi="Arial" w:cs="Arial"/>
        </w:rPr>
        <w:instrText xml:space="preserve"> STYLEREF 1 \s </w:instrText>
      </w:r>
      <w:r w:rsidR="00390C9F">
        <w:rPr>
          <w:rFonts w:ascii="Arial" w:hAnsi="Arial" w:cs="Arial"/>
        </w:rPr>
        <w:fldChar w:fldCharType="separate"/>
      </w:r>
      <w:r w:rsidR="00892B2D">
        <w:rPr>
          <w:rFonts w:ascii="Arial" w:hAnsi="Arial" w:cs="Arial"/>
          <w:noProof/>
        </w:rPr>
        <w:t>3</w:t>
      </w:r>
      <w:r w:rsidR="00390C9F">
        <w:rPr>
          <w:rFonts w:ascii="Arial" w:hAnsi="Arial" w:cs="Arial"/>
        </w:rPr>
        <w:fldChar w:fldCharType="end"/>
      </w:r>
      <w:r w:rsidR="00390C9F">
        <w:rPr>
          <w:rFonts w:ascii="Arial" w:hAnsi="Arial" w:cs="Arial"/>
        </w:rPr>
        <w:noBreakHyphen/>
      </w:r>
      <w:r w:rsidR="00390C9F">
        <w:rPr>
          <w:rFonts w:ascii="Arial" w:hAnsi="Arial" w:cs="Arial"/>
        </w:rPr>
        <w:fldChar w:fldCharType="begin"/>
      </w:r>
      <w:r w:rsidR="00390C9F">
        <w:rPr>
          <w:rFonts w:ascii="Arial" w:hAnsi="Arial" w:cs="Arial"/>
        </w:rPr>
        <w:instrText xml:space="preserve"> SEQ Table \* ARABIC \s 1 </w:instrText>
      </w:r>
      <w:r w:rsidR="00390C9F">
        <w:rPr>
          <w:rFonts w:ascii="Arial" w:hAnsi="Arial" w:cs="Arial"/>
        </w:rPr>
        <w:fldChar w:fldCharType="separate"/>
      </w:r>
      <w:r w:rsidR="00892B2D">
        <w:rPr>
          <w:rFonts w:ascii="Arial" w:hAnsi="Arial" w:cs="Arial"/>
          <w:noProof/>
        </w:rPr>
        <w:t>6</w:t>
      </w:r>
      <w:r w:rsidR="00390C9F">
        <w:rPr>
          <w:rFonts w:ascii="Arial" w:hAnsi="Arial" w:cs="Arial"/>
        </w:rPr>
        <w:fldChar w:fldCharType="end"/>
      </w:r>
      <w:bookmarkEnd w:id="41"/>
      <w:r w:rsidRPr="005A3C18">
        <w:rPr>
          <w:rFonts w:ascii="Arial" w:hAnsi="Arial" w:cs="Arial"/>
        </w:rPr>
        <w:t>:</w:t>
      </w:r>
      <w:r>
        <w:t xml:space="preserve"> </w:t>
      </w:r>
      <w:r w:rsidR="00183044">
        <w:t xml:space="preserve"> </w:t>
      </w:r>
      <w:r w:rsidRPr="00284760">
        <w:rPr>
          <w:rFonts w:ascii="Arial" w:hAnsi="Arial" w:cs="Arial"/>
        </w:rPr>
        <w:t>Input and output estimates for</w:t>
      </w:r>
      <w:r>
        <w:rPr>
          <w:rFonts w:ascii="Arial" w:hAnsi="Arial" w:cs="Arial"/>
        </w:rPr>
        <w:t xml:space="preserve"> biomass-fired power and heat production</w:t>
      </w:r>
      <w:bookmarkEnd w:id="42"/>
    </w:p>
    <w:tbl>
      <w:tblPr>
        <w:tblStyle w:val="TableGrid"/>
        <w:tblW w:w="9067" w:type="dxa"/>
        <w:tblLook w:val="04A0" w:firstRow="1" w:lastRow="0" w:firstColumn="1" w:lastColumn="0" w:noHBand="0" w:noVBand="1"/>
      </w:tblPr>
      <w:tblGrid>
        <w:gridCol w:w="2413"/>
        <w:gridCol w:w="1410"/>
        <w:gridCol w:w="1275"/>
        <w:gridCol w:w="2127"/>
        <w:gridCol w:w="1842"/>
      </w:tblGrid>
      <w:tr w:rsidR="003B6B63" w14:paraId="09DB7CB1" w14:textId="77777777" w:rsidTr="00880597">
        <w:tc>
          <w:tcPr>
            <w:tcW w:w="2413" w:type="dxa"/>
            <w:vMerge w:val="restart"/>
            <w:vAlign w:val="center"/>
          </w:tcPr>
          <w:p w14:paraId="682446CD" w14:textId="77777777" w:rsidR="003B6B63" w:rsidRPr="00F31685" w:rsidRDefault="003B6B63" w:rsidP="007901FE">
            <w:pPr>
              <w:spacing w:line="300" w:lineRule="atLeast"/>
              <w:jc w:val="center"/>
              <w:rPr>
                <w:rFonts w:ascii="Arial" w:hAnsi="Arial" w:cs="Arial"/>
                <w:b/>
                <w:sz w:val="16"/>
                <w:szCs w:val="16"/>
              </w:rPr>
            </w:pPr>
            <w:r w:rsidRPr="00F31685">
              <w:rPr>
                <w:rFonts w:ascii="Arial" w:hAnsi="Arial" w:cs="Arial"/>
                <w:b/>
                <w:sz w:val="16"/>
                <w:szCs w:val="16"/>
              </w:rPr>
              <w:t>Source</w:t>
            </w:r>
          </w:p>
        </w:tc>
        <w:tc>
          <w:tcPr>
            <w:tcW w:w="1410" w:type="dxa"/>
            <w:vMerge w:val="restart"/>
            <w:vAlign w:val="center"/>
          </w:tcPr>
          <w:p w14:paraId="52BD21F4" w14:textId="77777777" w:rsidR="003B6B63" w:rsidRPr="00F31685" w:rsidRDefault="003B6B63" w:rsidP="007901FE">
            <w:pPr>
              <w:spacing w:line="300" w:lineRule="atLeast"/>
              <w:jc w:val="center"/>
              <w:rPr>
                <w:rFonts w:ascii="Arial" w:hAnsi="Arial" w:cs="Arial"/>
                <w:b/>
                <w:sz w:val="16"/>
                <w:szCs w:val="16"/>
              </w:rPr>
            </w:pPr>
            <w:r w:rsidRPr="00F31685">
              <w:rPr>
                <w:rFonts w:ascii="Arial" w:hAnsi="Arial" w:cs="Arial"/>
                <w:b/>
                <w:sz w:val="16"/>
                <w:szCs w:val="16"/>
              </w:rPr>
              <w:t>Activity Rate, tonnes/yr</w:t>
            </w:r>
          </w:p>
        </w:tc>
        <w:tc>
          <w:tcPr>
            <w:tcW w:w="1275" w:type="dxa"/>
            <w:vMerge w:val="restart"/>
            <w:vAlign w:val="center"/>
          </w:tcPr>
          <w:p w14:paraId="3CCC74AB" w14:textId="77777777" w:rsidR="003B6B63" w:rsidRPr="00F31685" w:rsidRDefault="003B6B63" w:rsidP="007901FE">
            <w:pPr>
              <w:spacing w:line="300" w:lineRule="atLeast"/>
              <w:jc w:val="center"/>
              <w:rPr>
                <w:rFonts w:ascii="Arial" w:hAnsi="Arial" w:cs="Arial"/>
                <w:b/>
                <w:sz w:val="16"/>
                <w:szCs w:val="16"/>
              </w:rPr>
            </w:pPr>
            <w:r w:rsidRPr="00F31685">
              <w:rPr>
                <w:rFonts w:ascii="Arial" w:hAnsi="Arial" w:cs="Arial"/>
                <w:b/>
                <w:sz w:val="16"/>
                <w:szCs w:val="16"/>
              </w:rPr>
              <w:t>Mercury content, mg/kg</w:t>
            </w:r>
          </w:p>
        </w:tc>
        <w:tc>
          <w:tcPr>
            <w:tcW w:w="2127" w:type="dxa"/>
            <w:vMerge w:val="restart"/>
            <w:vAlign w:val="center"/>
          </w:tcPr>
          <w:p w14:paraId="0AA49499" w14:textId="77777777" w:rsidR="003B6B63" w:rsidRPr="00F31685" w:rsidRDefault="003B6B63" w:rsidP="007901FE">
            <w:pPr>
              <w:spacing w:line="300" w:lineRule="atLeast"/>
              <w:jc w:val="center"/>
              <w:rPr>
                <w:rFonts w:ascii="Arial" w:hAnsi="Arial" w:cs="Arial"/>
                <w:b/>
                <w:sz w:val="16"/>
                <w:szCs w:val="16"/>
              </w:rPr>
            </w:pPr>
            <w:r w:rsidRPr="00F31685">
              <w:rPr>
                <w:rFonts w:ascii="Arial" w:hAnsi="Arial" w:cs="Arial"/>
                <w:b/>
                <w:sz w:val="16"/>
                <w:szCs w:val="16"/>
              </w:rPr>
              <w:t>Annual Mercury Inputs, kg/yr</w:t>
            </w:r>
          </w:p>
        </w:tc>
        <w:tc>
          <w:tcPr>
            <w:tcW w:w="1842" w:type="dxa"/>
            <w:vAlign w:val="center"/>
          </w:tcPr>
          <w:p w14:paraId="66E56834" w14:textId="77777777" w:rsidR="003B6B63" w:rsidRPr="00F31685" w:rsidRDefault="003B6B63" w:rsidP="007901FE">
            <w:pPr>
              <w:spacing w:line="300" w:lineRule="atLeast"/>
              <w:jc w:val="center"/>
              <w:rPr>
                <w:rFonts w:ascii="Arial" w:hAnsi="Arial" w:cs="Arial"/>
                <w:b/>
                <w:sz w:val="16"/>
                <w:szCs w:val="16"/>
              </w:rPr>
            </w:pPr>
            <w:r w:rsidRPr="00F31685">
              <w:rPr>
                <w:rFonts w:ascii="Arial" w:hAnsi="Arial" w:cs="Arial"/>
                <w:b/>
                <w:sz w:val="16"/>
                <w:szCs w:val="16"/>
              </w:rPr>
              <w:t>Annual Mercury Outputs, kg/yr</w:t>
            </w:r>
          </w:p>
        </w:tc>
      </w:tr>
      <w:tr w:rsidR="003B6B63" w14:paraId="5403777B" w14:textId="77777777" w:rsidTr="00880597">
        <w:tc>
          <w:tcPr>
            <w:tcW w:w="2413" w:type="dxa"/>
            <w:vMerge/>
            <w:vAlign w:val="center"/>
          </w:tcPr>
          <w:p w14:paraId="444B580F" w14:textId="77777777" w:rsidR="003B6B63" w:rsidRPr="00F31685" w:rsidRDefault="003B6B63" w:rsidP="007901FE">
            <w:pPr>
              <w:spacing w:line="300" w:lineRule="atLeast"/>
              <w:jc w:val="center"/>
              <w:rPr>
                <w:rFonts w:ascii="Arial" w:hAnsi="Arial" w:cs="Arial"/>
                <w:b/>
                <w:sz w:val="16"/>
                <w:szCs w:val="16"/>
              </w:rPr>
            </w:pPr>
          </w:p>
        </w:tc>
        <w:tc>
          <w:tcPr>
            <w:tcW w:w="1410" w:type="dxa"/>
            <w:vMerge/>
            <w:vAlign w:val="center"/>
          </w:tcPr>
          <w:p w14:paraId="197E1569" w14:textId="77777777" w:rsidR="003B6B63" w:rsidRPr="00F31685" w:rsidRDefault="003B6B63" w:rsidP="007901FE">
            <w:pPr>
              <w:spacing w:line="300" w:lineRule="atLeast"/>
              <w:jc w:val="center"/>
              <w:rPr>
                <w:rFonts w:ascii="Arial" w:hAnsi="Arial" w:cs="Arial"/>
                <w:b/>
                <w:sz w:val="16"/>
                <w:szCs w:val="16"/>
              </w:rPr>
            </w:pPr>
          </w:p>
        </w:tc>
        <w:tc>
          <w:tcPr>
            <w:tcW w:w="1275" w:type="dxa"/>
            <w:vMerge/>
            <w:vAlign w:val="center"/>
          </w:tcPr>
          <w:p w14:paraId="15082E72" w14:textId="77777777" w:rsidR="003B6B63" w:rsidRPr="00F31685" w:rsidRDefault="003B6B63" w:rsidP="007901FE">
            <w:pPr>
              <w:spacing w:line="300" w:lineRule="atLeast"/>
              <w:jc w:val="center"/>
              <w:rPr>
                <w:rFonts w:ascii="Arial" w:hAnsi="Arial" w:cs="Arial"/>
                <w:b/>
                <w:sz w:val="16"/>
                <w:szCs w:val="16"/>
              </w:rPr>
            </w:pPr>
          </w:p>
        </w:tc>
        <w:tc>
          <w:tcPr>
            <w:tcW w:w="2127" w:type="dxa"/>
            <w:vMerge/>
            <w:vAlign w:val="center"/>
          </w:tcPr>
          <w:p w14:paraId="75EA81F5" w14:textId="77777777" w:rsidR="003B6B63" w:rsidRPr="00F31685" w:rsidRDefault="003B6B63" w:rsidP="007901FE">
            <w:pPr>
              <w:spacing w:line="300" w:lineRule="atLeast"/>
              <w:jc w:val="center"/>
              <w:rPr>
                <w:rFonts w:ascii="Arial" w:hAnsi="Arial" w:cs="Arial"/>
                <w:b/>
                <w:sz w:val="16"/>
                <w:szCs w:val="16"/>
              </w:rPr>
            </w:pPr>
          </w:p>
        </w:tc>
        <w:tc>
          <w:tcPr>
            <w:tcW w:w="1842" w:type="dxa"/>
            <w:vAlign w:val="center"/>
          </w:tcPr>
          <w:p w14:paraId="40889D33" w14:textId="77777777" w:rsidR="003B6B63" w:rsidRPr="00F31685" w:rsidRDefault="003B6B63" w:rsidP="007901FE">
            <w:pPr>
              <w:spacing w:line="300" w:lineRule="atLeast"/>
              <w:jc w:val="center"/>
              <w:rPr>
                <w:rFonts w:ascii="Arial" w:hAnsi="Arial" w:cs="Arial"/>
                <w:b/>
                <w:sz w:val="16"/>
                <w:szCs w:val="16"/>
              </w:rPr>
            </w:pPr>
            <w:r w:rsidRPr="00F31685">
              <w:rPr>
                <w:rFonts w:ascii="Arial" w:hAnsi="Arial" w:cs="Arial"/>
                <w:b/>
                <w:sz w:val="16"/>
                <w:szCs w:val="16"/>
              </w:rPr>
              <w:t>Air</w:t>
            </w:r>
          </w:p>
        </w:tc>
      </w:tr>
      <w:tr w:rsidR="003B6B63" w14:paraId="0CD15F8E" w14:textId="77777777" w:rsidTr="00880597">
        <w:tc>
          <w:tcPr>
            <w:tcW w:w="2413" w:type="dxa"/>
          </w:tcPr>
          <w:p w14:paraId="240B8E3D" w14:textId="77777777" w:rsidR="003B6B63" w:rsidRPr="00F31685" w:rsidRDefault="003B6B63" w:rsidP="007901FE">
            <w:pPr>
              <w:spacing w:line="300" w:lineRule="atLeast"/>
              <w:jc w:val="both"/>
              <w:rPr>
                <w:rFonts w:ascii="Arial" w:hAnsi="Arial" w:cs="Arial"/>
                <w:sz w:val="16"/>
                <w:szCs w:val="16"/>
              </w:rPr>
            </w:pPr>
            <w:r>
              <w:rPr>
                <w:rFonts w:ascii="Arial" w:hAnsi="Arial" w:cs="Arial"/>
                <w:sz w:val="16"/>
                <w:szCs w:val="16"/>
              </w:rPr>
              <w:t>Biomass usage</w:t>
            </w:r>
            <w:r w:rsidR="002624E0">
              <w:rPr>
                <w:rFonts w:ascii="Arial" w:hAnsi="Arial" w:cs="Arial"/>
                <w:sz w:val="16"/>
                <w:szCs w:val="16"/>
              </w:rPr>
              <w:t>, 2012 &amp; 2016</w:t>
            </w:r>
          </w:p>
        </w:tc>
        <w:tc>
          <w:tcPr>
            <w:tcW w:w="1410" w:type="dxa"/>
            <w:vAlign w:val="center"/>
          </w:tcPr>
          <w:p w14:paraId="6A5C8ADB" w14:textId="77777777" w:rsidR="003B6B63" w:rsidRPr="00F31685" w:rsidRDefault="007E4209" w:rsidP="003B6B63">
            <w:pPr>
              <w:spacing w:line="300" w:lineRule="atLeast"/>
              <w:jc w:val="center"/>
              <w:rPr>
                <w:rFonts w:ascii="Arial" w:hAnsi="Arial" w:cs="Arial"/>
                <w:sz w:val="16"/>
                <w:szCs w:val="16"/>
              </w:rPr>
            </w:pPr>
            <w:r>
              <w:rPr>
                <w:rFonts w:ascii="Arial" w:hAnsi="Arial" w:cs="Arial"/>
                <w:sz w:val="16"/>
                <w:szCs w:val="16"/>
              </w:rPr>
              <w:t>1,800</w:t>
            </w:r>
            <w:r w:rsidR="003B6B63">
              <w:rPr>
                <w:rFonts w:ascii="Arial" w:hAnsi="Arial" w:cs="Arial"/>
                <w:sz w:val="16"/>
                <w:szCs w:val="16"/>
              </w:rPr>
              <w:t>,000</w:t>
            </w:r>
          </w:p>
        </w:tc>
        <w:tc>
          <w:tcPr>
            <w:tcW w:w="1275" w:type="dxa"/>
            <w:vAlign w:val="center"/>
          </w:tcPr>
          <w:p w14:paraId="7B47E572" w14:textId="77777777" w:rsidR="003B6B63" w:rsidRPr="00F31685" w:rsidRDefault="003B6B63" w:rsidP="003B6B63">
            <w:pPr>
              <w:spacing w:line="300" w:lineRule="atLeast"/>
              <w:jc w:val="center"/>
              <w:rPr>
                <w:rFonts w:ascii="Arial" w:hAnsi="Arial" w:cs="Arial"/>
                <w:sz w:val="16"/>
                <w:szCs w:val="16"/>
              </w:rPr>
            </w:pPr>
            <w:r>
              <w:rPr>
                <w:rFonts w:ascii="Arial" w:hAnsi="Arial" w:cs="Arial"/>
                <w:sz w:val="16"/>
                <w:szCs w:val="16"/>
              </w:rPr>
              <w:t>0.007 - 0.07</w:t>
            </w:r>
          </w:p>
        </w:tc>
        <w:tc>
          <w:tcPr>
            <w:tcW w:w="2127" w:type="dxa"/>
            <w:vAlign w:val="center"/>
          </w:tcPr>
          <w:p w14:paraId="103A4A37" w14:textId="77777777" w:rsidR="003B6B63" w:rsidRPr="00F31685" w:rsidRDefault="007E4209" w:rsidP="003B6B63">
            <w:pPr>
              <w:spacing w:line="300" w:lineRule="atLeast"/>
              <w:jc w:val="center"/>
              <w:rPr>
                <w:rFonts w:ascii="Arial" w:hAnsi="Arial" w:cs="Arial"/>
                <w:sz w:val="16"/>
                <w:szCs w:val="16"/>
              </w:rPr>
            </w:pPr>
            <w:r>
              <w:rPr>
                <w:rFonts w:ascii="Arial" w:hAnsi="Arial" w:cs="Arial"/>
                <w:sz w:val="16"/>
                <w:szCs w:val="16"/>
              </w:rPr>
              <w:t xml:space="preserve">12.6 </w:t>
            </w:r>
            <w:r w:rsidR="00435C60">
              <w:rPr>
                <w:rFonts w:ascii="Arial" w:hAnsi="Arial" w:cs="Arial"/>
                <w:sz w:val="16"/>
                <w:szCs w:val="16"/>
              </w:rPr>
              <w:t>–</w:t>
            </w:r>
            <w:r>
              <w:rPr>
                <w:rFonts w:ascii="Arial" w:hAnsi="Arial" w:cs="Arial"/>
                <w:sz w:val="16"/>
                <w:szCs w:val="16"/>
              </w:rPr>
              <w:t xml:space="preserve"> 126</w:t>
            </w:r>
            <w:r w:rsidR="00435C60">
              <w:rPr>
                <w:rFonts w:ascii="Arial" w:hAnsi="Arial" w:cs="Arial"/>
                <w:sz w:val="16"/>
                <w:szCs w:val="16"/>
              </w:rPr>
              <w:t xml:space="preserve"> (69.3)</w:t>
            </w:r>
          </w:p>
        </w:tc>
        <w:tc>
          <w:tcPr>
            <w:tcW w:w="1842" w:type="dxa"/>
            <w:vAlign w:val="center"/>
          </w:tcPr>
          <w:p w14:paraId="273DE6F0" w14:textId="77777777" w:rsidR="003B6B63" w:rsidRPr="00F31685" w:rsidRDefault="007E4209" w:rsidP="003B6B63">
            <w:pPr>
              <w:spacing w:line="300" w:lineRule="atLeast"/>
              <w:jc w:val="center"/>
              <w:rPr>
                <w:rFonts w:ascii="Arial" w:hAnsi="Arial" w:cs="Arial"/>
                <w:sz w:val="16"/>
                <w:szCs w:val="16"/>
              </w:rPr>
            </w:pPr>
            <w:r>
              <w:rPr>
                <w:rFonts w:ascii="Arial" w:hAnsi="Arial" w:cs="Arial"/>
                <w:sz w:val="16"/>
                <w:szCs w:val="16"/>
              </w:rPr>
              <w:t xml:space="preserve">12.6 </w:t>
            </w:r>
            <w:r w:rsidR="00435C60">
              <w:rPr>
                <w:rFonts w:ascii="Arial" w:hAnsi="Arial" w:cs="Arial"/>
                <w:sz w:val="16"/>
                <w:szCs w:val="16"/>
              </w:rPr>
              <w:t>–</w:t>
            </w:r>
            <w:r>
              <w:rPr>
                <w:rFonts w:ascii="Arial" w:hAnsi="Arial" w:cs="Arial"/>
                <w:sz w:val="16"/>
                <w:szCs w:val="16"/>
              </w:rPr>
              <w:t xml:space="preserve"> 126</w:t>
            </w:r>
            <w:r w:rsidR="00435C60">
              <w:rPr>
                <w:rFonts w:ascii="Arial" w:hAnsi="Arial" w:cs="Arial"/>
                <w:sz w:val="16"/>
                <w:szCs w:val="16"/>
              </w:rPr>
              <w:t xml:space="preserve"> (69.3)</w:t>
            </w:r>
          </w:p>
        </w:tc>
      </w:tr>
      <w:tr w:rsidR="006A329A" w14:paraId="2F0DE1E7" w14:textId="77777777" w:rsidTr="00880597">
        <w:tc>
          <w:tcPr>
            <w:tcW w:w="2413" w:type="dxa"/>
          </w:tcPr>
          <w:p w14:paraId="1AE4BD5C" w14:textId="7286BEE7" w:rsidR="006A329A" w:rsidRDefault="006A329A" w:rsidP="007901FE">
            <w:pPr>
              <w:spacing w:line="300" w:lineRule="atLeast"/>
              <w:jc w:val="both"/>
              <w:rPr>
                <w:rFonts w:ascii="Arial" w:hAnsi="Arial" w:cs="Arial"/>
                <w:sz w:val="16"/>
                <w:szCs w:val="16"/>
              </w:rPr>
            </w:pPr>
            <w:r>
              <w:rPr>
                <w:rFonts w:ascii="Arial" w:hAnsi="Arial" w:cs="Arial"/>
                <w:sz w:val="16"/>
                <w:szCs w:val="16"/>
              </w:rPr>
              <w:t>Biomass usage</w:t>
            </w:r>
            <w:r w:rsidR="00E61AA0">
              <w:rPr>
                <w:rFonts w:ascii="Arial" w:hAnsi="Arial" w:cs="Arial"/>
                <w:sz w:val="16"/>
                <w:szCs w:val="16"/>
              </w:rPr>
              <w:t>,</w:t>
            </w:r>
            <w:r>
              <w:rPr>
                <w:rFonts w:ascii="Arial" w:hAnsi="Arial" w:cs="Arial"/>
                <w:sz w:val="16"/>
                <w:szCs w:val="16"/>
              </w:rPr>
              <w:t xml:space="preserve"> 2020</w:t>
            </w:r>
          </w:p>
        </w:tc>
        <w:tc>
          <w:tcPr>
            <w:tcW w:w="1410" w:type="dxa"/>
            <w:vAlign w:val="center"/>
          </w:tcPr>
          <w:p w14:paraId="544126CC" w14:textId="458CA767" w:rsidR="006A329A" w:rsidRDefault="006A329A" w:rsidP="003B6B63">
            <w:pPr>
              <w:spacing w:line="300" w:lineRule="atLeast"/>
              <w:jc w:val="center"/>
              <w:rPr>
                <w:rFonts w:ascii="Arial" w:hAnsi="Arial" w:cs="Arial"/>
                <w:sz w:val="16"/>
                <w:szCs w:val="16"/>
              </w:rPr>
            </w:pPr>
            <w:r>
              <w:rPr>
                <w:rFonts w:ascii="Arial" w:hAnsi="Arial" w:cs="Arial"/>
                <w:sz w:val="16"/>
                <w:szCs w:val="16"/>
              </w:rPr>
              <w:t>2,390,000</w:t>
            </w:r>
          </w:p>
        </w:tc>
        <w:tc>
          <w:tcPr>
            <w:tcW w:w="1275" w:type="dxa"/>
            <w:vAlign w:val="center"/>
          </w:tcPr>
          <w:p w14:paraId="627A38AC" w14:textId="6CC04AC1" w:rsidR="006A329A" w:rsidRDefault="006A329A" w:rsidP="003B6B63">
            <w:pPr>
              <w:spacing w:line="300" w:lineRule="atLeast"/>
              <w:jc w:val="center"/>
              <w:rPr>
                <w:rFonts w:ascii="Arial" w:hAnsi="Arial" w:cs="Arial"/>
                <w:sz w:val="16"/>
                <w:szCs w:val="16"/>
              </w:rPr>
            </w:pPr>
            <w:r>
              <w:rPr>
                <w:rFonts w:ascii="Arial" w:hAnsi="Arial" w:cs="Arial"/>
                <w:sz w:val="16"/>
                <w:szCs w:val="16"/>
              </w:rPr>
              <w:t>0.007 – 0.07</w:t>
            </w:r>
          </w:p>
        </w:tc>
        <w:tc>
          <w:tcPr>
            <w:tcW w:w="2127" w:type="dxa"/>
            <w:vAlign w:val="center"/>
          </w:tcPr>
          <w:p w14:paraId="05DD1327" w14:textId="092A18DB" w:rsidR="006A329A" w:rsidRDefault="006A329A" w:rsidP="003B6B63">
            <w:pPr>
              <w:spacing w:line="300" w:lineRule="atLeast"/>
              <w:jc w:val="center"/>
              <w:rPr>
                <w:rFonts w:ascii="Arial" w:hAnsi="Arial" w:cs="Arial"/>
                <w:sz w:val="16"/>
                <w:szCs w:val="16"/>
              </w:rPr>
            </w:pPr>
            <w:r>
              <w:rPr>
                <w:rFonts w:ascii="Arial" w:hAnsi="Arial" w:cs="Arial"/>
                <w:sz w:val="16"/>
                <w:szCs w:val="16"/>
              </w:rPr>
              <w:t>16.7 – 167 (9</w:t>
            </w:r>
            <w:r w:rsidR="000F68B7">
              <w:rPr>
                <w:rFonts w:ascii="Arial" w:hAnsi="Arial" w:cs="Arial"/>
                <w:sz w:val="16"/>
                <w:szCs w:val="16"/>
              </w:rPr>
              <w:t>2.0</w:t>
            </w:r>
            <w:r>
              <w:rPr>
                <w:rFonts w:ascii="Arial" w:hAnsi="Arial" w:cs="Arial"/>
                <w:sz w:val="16"/>
                <w:szCs w:val="16"/>
              </w:rPr>
              <w:t>)</w:t>
            </w:r>
          </w:p>
        </w:tc>
        <w:tc>
          <w:tcPr>
            <w:tcW w:w="1842" w:type="dxa"/>
            <w:vAlign w:val="center"/>
          </w:tcPr>
          <w:p w14:paraId="0D346B87" w14:textId="4DC1A2F3" w:rsidR="006A329A" w:rsidRDefault="006A329A" w:rsidP="003B6B63">
            <w:pPr>
              <w:spacing w:line="300" w:lineRule="atLeast"/>
              <w:jc w:val="center"/>
              <w:rPr>
                <w:rFonts w:ascii="Arial" w:hAnsi="Arial" w:cs="Arial"/>
                <w:sz w:val="16"/>
                <w:szCs w:val="16"/>
              </w:rPr>
            </w:pPr>
            <w:r>
              <w:rPr>
                <w:rFonts w:ascii="Arial" w:hAnsi="Arial" w:cs="Arial"/>
                <w:sz w:val="16"/>
                <w:szCs w:val="16"/>
              </w:rPr>
              <w:t>16.7 – 167 (9</w:t>
            </w:r>
            <w:r w:rsidR="000F68B7">
              <w:rPr>
                <w:rFonts w:ascii="Arial" w:hAnsi="Arial" w:cs="Arial"/>
                <w:sz w:val="16"/>
                <w:szCs w:val="16"/>
              </w:rPr>
              <w:t>2</w:t>
            </w:r>
            <w:r>
              <w:rPr>
                <w:rFonts w:ascii="Arial" w:hAnsi="Arial" w:cs="Arial"/>
                <w:sz w:val="16"/>
                <w:szCs w:val="16"/>
              </w:rPr>
              <w:t>.</w:t>
            </w:r>
            <w:r w:rsidR="000F68B7">
              <w:rPr>
                <w:rFonts w:ascii="Arial" w:hAnsi="Arial" w:cs="Arial"/>
                <w:sz w:val="16"/>
                <w:szCs w:val="16"/>
              </w:rPr>
              <w:t>0</w:t>
            </w:r>
            <w:r>
              <w:rPr>
                <w:rFonts w:ascii="Arial" w:hAnsi="Arial" w:cs="Arial"/>
                <w:sz w:val="16"/>
                <w:szCs w:val="16"/>
              </w:rPr>
              <w:t>)</w:t>
            </w:r>
          </w:p>
        </w:tc>
      </w:tr>
      <w:tr w:rsidR="003A585A" w14:paraId="02C3EAAC" w14:textId="77777777" w:rsidTr="00880597">
        <w:tc>
          <w:tcPr>
            <w:tcW w:w="2413" w:type="dxa"/>
          </w:tcPr>
          <w:p w14:paraId="726B37B7" w14:textId="14661EFE" w:rsidR="003A585A" w:rsidRDefault="003A585A" w:rsidP="007901FE">
            <w:pPr>
              <w:spacing w:line="300" w:lineRule="atLeast"/>
              <w:jc w:val="both"/>
              <w:rPr>
                <w:rFonts w:ascii="Arial" w:hAnsi="Arial" w:cs="Arial"/>
                <w:sz w:val="16"/>
                <w:szCs w:val="16"/>
              </w:rPr>
            </w:pPr>
            <w:r>
              <w:rPr>
                <w:rFonts w:ascii="Arial" w:hAnsi="Arial" w:cs="Arial"/>
                <w:sz w:val="16"/>
                <w:szCs w:val="16"/>
              </w:rPr>
              <w:t>Biomass usage, 2024</w:t>
            </w:r>
          </w:p>
        </w:tc>
        <w:tc>
          <w:tcPr>
            <w:tcW w:w="1410" w:type="dxa"/>
            <w:vAlign w:val="center"/>
          </w:tcPr>
          <w:p w14:paraId="1645522E" w14:textId="7546CF0F" w:rsidR="003A585A" w:rsidRDefault="003A585A" w:rsidP="003B6B63">
            <w:pPr>
              <w:spacing w:line="300" w:lineRule="atLeast"/>
              <w:jc w:val="center"/>
              <w:rPr>
                <w:rFonts w:ascii="Arial" w:hAnsi="Arial" w:cs="Arial"/>
                <w:sz w:val="16"/>
                <w:szCs w:val="16"/>
              </w:rPr>
            </w:pPr>
            <w:r>
              <w:rPr>
                <w:rFonts w:ascii="Arial" w:hAnsi="Arial" w:cs="Arial"/>
                <w:sz w:val="16"/>
                <w:szCs w:val="16"/>
              </w:rPr>
              <w:t>2,4</w:t>
            </w:r>
            <w:r w:rsidR="007419D9">
              <w:rPr>
                <w:rFonts w:ascii="Arial" w:hAnsi="Arial" w:cs="Arial"/>
                <w:sz w:val="16"/>
                <w:szCs w:val="16"/>
              </w:rPr>
              <w:t>33</w:t>
            </w:r>
            <w:r>
              <w:rPr>
                <w:rFonts w:ascii="Arial" w:hAnsi="Arial" w:cs="Arial"/>
                <w:sz w:val="16"/>
                <w:szCs w:val="16"/>
              </w:rPr>
              <w:t>,000</w:t>
            </w:r>
          </w:p>
        </w:tc>
        <w:tc>
          <w:tcPr>
            <w:tcW w:w="1275" w:type="dxa"/>
            <w:vAlign w:val="center"/>
          </w:tcPr>
          <w:p w14:paraId="7C6E7B5C" w14:textId="4347D8DA" w:rsidR="003A585A" w:rsidRDefault="003A585A" w:rsidP="003B6B63">
            <w:pPr>
              <w:spacing w:line="300" w:lineRule="atLeast"/>
              <w:jc w:val="center"/>
              <w:rPr>
                <w:rFonts w:ascii="Arial" w:hAnsi="Arial" w:cs="Arial"/>
                <w:sz w:val="16"/>
                <w:szCs w:val="16"/>
              </w:rPr>
            </w:pPr>
            <w:r>
              <w:rPr>
                <w:rFonts w:ascii="Arial" w:hAnsi="Arial" w:cs="Arial"/>
                <w:sz w:val="16"/>
                <w:szCs w:val="16"/>
              </w:rPr>
              <w:t>0.007 – 0.07</w:t>
            </w:r>
          </w:p>
        </w:tc>
        <w:tc>
          <w:tcPr>
            <w:tcW w:w="2127" w:type="dxa"/>
            <w:vAlign w:val="center"/>
          </w:tcPr>
          <w:p w14:paraId="357F71A8" w14:textId="2B3A8644" w:rsidR="003A585A" w:rsidRDefault="007419D9" w:rsidP="003B6B63">
            <w:pPr>
              <w:spacing w:line="300" w:lineRule="atLeast"/>
              <w:jc w:val="center"/>
              <w:rPr>
                <w:rFonts w:ascii="Arial" w:hAnsi="Arial" w:cs="Arial"/>
                <w:sz w:val="16"/>
                <w:szCs w:val="16"/>
              </w:rPr>
            </w:pPr>
            <w:r>
              <w:rPr>
                <w:rFonts w:ascii="Arial" w:hAnsi="Arial" w:cs="Arial"/>
                <w:sz w:val="16"/>
                <w:szCs w:val="16"/>
              </w:rPr>
              <w:t>17.0</w:t>
            </w:r>
            <w:r w:rsidR="003A585A">
              <w:rPr>
                <w:rFonts w:ascii="Arial" w:hAnsi="Arial" w:cs="Arial"/>
                <w:sz w:val="16"/>
                <w:szCs w:val="16"/>
              </w:rPr>
              <w:t xml:space="preserve"> – 1</w:t>
            </w:r>
            <w:r>
              <w:rPr>
                <w:rFonts w:ascii="Arial" w:hAnsi="Arial" w:cs="Arial"/>
                <w:sz w:val="16"/>
                <w:szCs w:val="16"/>
              </w:rPr>
              <w:t>70</w:t>
            </w:r>
            <w:r w:rsidR="003A585A">
              <w:rPr>
                <w:rFonts w:ascii="Arial" w:hAnsi="Arial" w:cs="Arial"/>
                <w:sz w:val="16"/>
                <w:szCs w:val="16"/>
              </w:rPr>
              <w:t xml:space="preserve"> (9</w:t>
            </w:r>
            <w:r>
              <w:rPr>
                <w:rFonts w:ascii="Arial" w:hAnsi="Arial" w:cs="Arial"/>
                <w:sz w:val="16"/>
                <w:szCs w:val="16"/>
              </w:rPr>
              <w:t>3</w:t>
            </w:r>
            <w:r w:rsidR="003A585A">
              <w:rPr>
                <w:rFonts w:ascii="Arial" w:hAnsi="Arial" w:cs="Arial"/>
                <w:sz w:val="16"/>
                <w:szCs w:val="16"/>
              </w:rPr>
              <w:t>.</w:t>
            </w:r>
            <w:r w:rsidR="00DE5153">
              <w:rPr>
                <w:rFonts w:ascii="Arial" w:hAnsi="Arial" w:cs="Arial"/>
                <w:sz w:val="16"/>
                <w:szCs w:val="16"/>
              </w:rPr>
              <w:t>7</w:t>
            </w:r>
            <w:r w:rsidR="003A585A">
              <w:rPr>
                <w:rFonts w:ascii="Arial" w:hAnsi="Arial" w:cs="Arial"/>
                <w:sz w:val="16"/>
                <w:szCs w:val="16"/>
              </w:rPr>
              <w:t>)</w:t>
            </w:r>
          </w:p>
        </w:tc>
        <w:tc>
          <w:tcPr>
            <w:tcW w:w="1842" w:type="dxa"/>
            <w:vAlign w:val="center"/>
          </w:tcPr>
          <w:p w14:paraId="75380FD2" w14:textId="2C38111F" w:rsidR="003A585A" w:rsidRDefault="007419D9" w:rsidP="003B6B63">
            <w:pPr>
              <w:spacing w:line="300" w:lineRule="atLeast"/>
              <w:jc w:val="center"/>
              <w:rPr>
                <w:rFonts w:ascii="Arial" w:hAnsi="Arial" w:cs="Arial"/>
                <w:sz w:val="16"/>
                <w:szCs w:val="16"/>
              </w:rPr>
            </w:pPr>
            <w:r>
              <w:rPr>
                <w:rFonts w:ascii="Arial" w:hAnsi="Arial" w:cs="Arial"/>
                <w:sz w:val="16"/>
                <w:szCs w:val="16"/>
              </w:rPr>
              <w:t>17.0 – 170 (93.</w:t>
            </w:r>
            <w:r w:rsidR="00DE5153">
              <w:rPr>
                <w:rFonts w:ascii="Arial" w:hAnsi="Arial" w:cs="Arial"/>
                <w:sz w:val="16"/>
                <w:szCs w:val="16"/>
              </w:rPr>
              <w:t>7</w:t>
            </w:r>
            <w:r>
              <w:rPr>
                <w:rFonts w:ascii="Arial" w:hAnsi="Arial" w:cs="Arial"/>
                <w:sz w:val="16"/>
                <w:szCs w:val="16"/>
              </w:rPr>
              <w:t>)</w:t>
            </w:r>
          </w:p>
        </w:tc>
      </w:tr>
    </w:tbl>
    <w:p w14:paraId="574B804F" w14:textId="77777777" w:rsidR="003B6B63" w:rsidRPr="00BE17CF" w:rsidRDefault="003B6B63" w:rsidP="003B6B63">
      <w:pPr>
        <w:spacing w:before="120" w:line="300" w:lineRule="atLeast"/>
        <w:jc w:val="both"/>
        <w:rPr>
          <w:rFonts w:ascii="Arial" w:hAnsi="Arial" w:cs="Arial"/>
          <w:b/>
          <w:szCs w:val="18"/>
        </w:rPr>
      </w:pPr>
      <w:r w:rsidRPr="00BE17CF">
        <w:rPr>
          <w:rFonts w:ascii="Arial" w:hAnsi="Arial" w:cs="Arial"/>
          <w:b/>
          <w:szCs w:val="18"/>
        </w:rPr>
        <w:t>Certainty assessment</w:t>
      </w:r>
    </w:p>
    <w:p w14:paraId="0686399C" w14:textId="77777777" w:rsidR="003B6B63" w:rsidRDefault="003B6B63" w:rsidP="004334D7">
      <w:pPr>
        <w:tabs>
          <w:tab w:val="left" w:pos="1985"/>
        </w:tabs>
        <w:spacing w:line="300" w:lineRule="atLeast"/>
        <w:ind w:left="1985" w:hanging="1985"/>
        <w:jc w:val="both"/>
        <w:rPr>
          <w:szCs w:val="18"/>
        </w:rPr>
      </w:pPr>
      <w:r>
        <w:rPr>
          <w:szCs w:val="18"/>
        </w:rPr>
        <w:t xml:space="preserve">Activity data: </w:t>
      </w:r>
      <w:r>
        <w:rPr>
          <w:szCs w:val="18"/>
        </w:rPr>
        <w:tab/>
      </w:r>
      <w:r w:rsidR="004334D7">
        <w:rPr>
          <w:szCs w:val="18"/>
        </w:rPr>
        <w:t xml:space="preserve">MEDIUM </w:t>
      </w:r>
      <w:r>
        <w:rPr>
          <w:szCs w:val="18"/>
        </w:rPr>
        <w:t xml:space="preserve">(because it was obtained from a </w:t>
      </w:r>
      <w:r w:rsidR="004334D7">
        <w:rPr>
          <w:szCs w:val="18"/>
        </w:rPr>
        <w:t xml:space="preserve">combination of </w:t>
      </w:r>
      <w:r>
        <w:rPr>
          <w:szCs w:val="18"/>
        </w:rPr>
        <w:t>national data</w:t>
      </w:r>
      <w:r w:rsidR="00D947F8">
        <w:rPr>
          <w:szCs w:val="18"/>
        </w:rPr>
        <w:t xml:space="preserve"> and estimated </w:t>
      </w:r>
      <w:r w:rsidR="004334D7">
        <w:rPr>
          <w:szCs w:val="18"/>
        </w:rPr>
        <w:t>operating loads</w:t>
      </w:r>
      <w:r>
        <w:rPr>
          <w:szCs w:val="18"/>
        </w:rPr>
        <w:t>)</w:t>
      </w:r>
    </w:p>
    <w:p w14:paraId="665CC027" w14:textId="77777777" w:rsidR="003B6B63" w:rsidRDefault="00CE3E59" w:rsidP="003B6B63">
      <w:pPr>
        <w:tabs>
          <w:tab w:val="left" w:pos="1985"/>
        </w:tabs>
        <w:spacing w:line="300" w:lineRule="atLeast"/>
        <w:jc w:val="both"/>
        <w:rPr>
          <w:szCs w:val="18"/>
        </w:rPr>
      </w:pPr>
      <w:r>
        <w:rPr>
          <w:szCs w:val="18"/>
        </w:rPr>
        <w:t xml:space="preserve">Input estimates: </w:t>
      </w:r>
      <w:r>
        <w:rPr>
          <w:szCs w:val="18"/>
        </w:rPr>
        <w:tab/>
        <w:t>LOW</w:t>
      </w:r>
      <w:r w:rsidR="003B6B63">
        <w:rPr>
          <w:szCs w:val="18"/>
        </w:rPr>
        <w:t xml:space="preserve"> (because they are based on </w:t>
      </w:r>
      <w:r w:rsidR="003B6B63" w:rsidRPr="003B6B63">
        <w:rPr>
          <w:szCs w:val="18"/>
        </w:rPr>
        <w:t xml:space="preserve">the default Toolkit </w:t>
      </w:r>
      <w:r w:rsidR="003B6B63">
        <w:rPr>
          <w:szCs w:val="18"/>
        </w:rPr>
        <w:t>input</w:t>
      </w:r>
      <w:r w:rsidR="003B6B63" w:rsidRPr="003B6B63">
        <w:rPr>
          <w:szCs w:val="18"/>
        </w:rPr>
        <w:t xml:space="preserve"> factors</w:t>
      </w:r>
      <w:r w:rsidR="003B6B63">
        <w:rPr>
          <w:szCs w:val="18"/>
        </w:rPr>
        <w:t>)</w:t>
      </w:r>
    </w:p>
    <w:p w14:paraId="4F720DDE" w14:textId="056F3BF1" w:rsidR="003E35CE" w:rsidRPr="00F6202C" w:rsidRDefault="003B6B63" w:rsidP="00F6202C">
      <w:pPr>
        <w:tabs>
          <w:tab w:val="left" w:pos="1985"/>
        </w:tabs>
        <w:spacing w:line="300" w:lineRule="atLeast"/>
        <w:jc w:val="both"/>
        <w:rPr>
          <w:szCs w:val="18"/>
        </w:rPr>
      </w:pPr>
      <w:r>
        <w:rPr>
          <w:szCs w:val="18"/>
        </w:rPr>
        <w:t xml:space="preserve">Output estimates: </w:t>
      </w:r>
      <w:r>
        <w:rPr>
          <w:szCs w:val="18"/>
        </w:rPr>
        <w:tab/>
        <w:t>LOW (because they are based on the default Toolkit output factors).</w:t>
      </w:r>
    </w:p>
    <w:p w14:paraId="5587E6D4" w14:textId="64168826" w:rsidR="005A3C18" w:rsidRDefault="00E874FE" w:rsidP="00E874FE">
      <w:pPr>
        <w:pStyle w:val="Heading2"/>
        <w:rPr>
          <w:rFonts w:eastAsia="Calibri"/>
        </w:rPr>
      </w:pPr>
      <w:bookmarkStart w:id="43" w:name="_Toc110355518"/>
      <w:r w:rsidRPr="00E874FE">
        <w:rPr>
          <w:rFonts w:eastAsia="Calibri"/>
        </w:rPr>
        <w:t>Geothermal power production</w:t>
      </w:r>
      <w:r w:rsidR="0042137C">
        <w:rPr>
          <w:rFonts w:eastAsia="Calibri"/>
        </w:rPr>
        <w:t xml:space="preserve"> and use</w:t>
      </w:r>
      <w:bookmarkEnd w:id="43"/>
    </w:p>
    <w:p w14:paraId="59AF4102" w14:textId="77777777" w:rsidR="005A3C18" w:rsidRDefault="00C07D5F" w:rsidP="003833D6">
      <w:pPr>
        <w:spacing w:line="300" w:lineRule="atLeast"/>
        <w:jc w:val="both"/>
        <w:rPr>
          <w:rFonts w:eastAsia="Calibri"/>
          <w:szCs w:val="22"/>
        </w:rPr>
      </w:pPr>
      <w:r>
        <w:rPr>
          <w:rFonts w:eastAsia="Calibri"/>
          <w:szCs w:val="22"/>
        </w:rPr>
        <w:t>Geothermal steam contains small quantities of mercury, and most of this is released to air if the steam is discharged to air after direct use</w:t>
      </w:r>
      <w:r w:rsidR="007C2231">
        <w:rPr>
          <w:rFonts w:eastAsia="Calibri"/>
          <w:szCs w:val="22"/>
        </w:rPr>
        <w:t xml:space="preserve"> as a source of heat, or if the steam is</w:t>
      </w:r>
      <w:r>
        <w:rPr>
          <w:rFonts w:eastAsia="Calibri"/>
          <w:szCs w:val="22"/>
        </w:rPr>
        <w:t xml:space="preserve"> used for electricity generation</w:t>
      </w:r>
      <w:r w:rsidR="007C2231">
        <w:rPr>
          <w:rFonts w:eastAsia="Calibri"/>
          <w:szCs w:val="22"/>
        </w:rPr>
        <w:t xml:space="preserve">. Most geothermal power stations in New Zealand re-inject the geothermal fluids back into the ground after use, to assist in maintaining reservoir pressures. However, the mercury is mainly present in the </w:t>
      </w:r>
      <w:r w:rsidR="0048170B">
        <w:rPr>
          <w:rFonts w:eastAsia="Calibri"/>
          <w:szCs w:val="22"/>
        </w:rPr>
        <w:t xml:space="preserve">steam and </w:t>
      </w:r>
      <w:r w:rsidR="007C2231">
        <w:rPr>
          <w:rFonts w:eastAsia="Calibri"/>
          <w:szCs w:val="22"/>
        </w:rPr>
        <w:t>non-condensable gas</w:t>
      </w:r>
      <w:r w:rsidR="007275EE">
        <w:rPr>
          <w:rFonts w:eastAsia="Calibri"/>
          <w:szCs w:val="22"/>
        </w:rPr>
        <w:t>es</w:t>
      </w:r>
      <w:r w:rsidR="007C2231">
        <w:rPr>
          <w:rFonts w:eastAsia="Calibri"/>
          <w:szCs w:val="22"/>
        </w:rPr>
        <w:t xml:space="preserve"> </w:t>
      </w:r>
      <w:r w:rsidR="007275EE">
        <w:rPr>
          <w:rFonts w:eastAsia="Calibri"/>
          <w:szCs w:val="22"/>
        </w:rPr>
        <w:t>which are separated from</w:t>
      </w:r>
      <w:r w:rsidR="007C2231">
        <w:rPr>
          <w:rFonts w:eastAsia="Calibri"/>
          <w:szCs w:val="22"/>
        </w:rPr>
        <w:t xml:space="preserve"> the </w:t>
      </w:r>
      <w:r w:rsidR="0048170B">
        <w:rPr>
          <w:rFonts w:eastAsia="Calibri"/>
          <w:szCs w:val="22"/>
        </w:rPr>
        <w:t>fluids</w:t>
      </w:r>
      <w:r w:rsidR="007C2231">
        <w:rPr>
          <w:rFonts w:eastAsia="Calibri"/>
          <w:szCs w:val="22"/>
        </w:rPr>
        <w:t xml:space="preserve">, and </w:t>
      </w:r>
      <w:r w:rsidR="007275EE">
        <w:rPr>
          <w:rFonts w:eastAsia="Calibri"/>
          <w:szCs w:val="22"/>
        </w:rPr>
        <w:t xml:space="preserve">are </w:t>
      </w:r>
      <w:r w:rsidR="007C2231">
        <w:rPr>
          <w:rFonts w:eastAsia="Calibri"/>
          <w:szCs w:val="22"/>
        </w:rPr>
        <w:t>not ‘captured’ by the re-injection process (</w:t>
      </w:r>
      <w:r w:rsidR="00E56AE2">
        <w:rPr>
          <w:rFonts w:eastAsia="Calibri"/>
          <w:szCs w:val="22"/>
        </w:rPr>
        <w:t>Thain, 2009</w:t>
      </w:r>
      <w:r w:rsidR="007C2231">
        <w:rPr>
          <w:rFonts w:eastAsia="Calibri"/>
          <w:szCs w:val="22"/>
        </w:rPr>
        <w:t>).</w:t>
      </w:r>
    </w:p>
    <w:p w14:paraId="335DDC71" w14:textId="49A2BC6F" w:rsidR="00A429F6" w:rsidRDefault="00A8543C" w:rsidP="00A429F6">
      <w:pPr>
        <w:spacing w:line="300" w:lineRule="atLeast"/>
        <w:jc w:val="both"/>
        <w:rPr>
          <w:rFonts w:eastAsia="Calibri"/>
          <w:szCs w:val="22"/>
        </w:rPr>
      </w:pPr>
      <w:r>
        <w:rPr>
          <w:rFonts w:eastAsia="Calibri"/>
          <w:szCs w:val="22"/>
        </w:rPr>
        <w:t xml:space="preserve">Currently New Zealand has an installed geothermal electric power generation capacity of </w:t>
      </w:r>
      <w:r w:rsidR="0098042D">
        <w:rPr>
          <w:rFonts w:eastAsia="Calibri"/>
          <w:szCs w:val="22"/>
        </w:rPr>
        <w:t>1207</w:t>
      </w:r>
      <w:r>
        <w:rPr>
          <w:rFonts w:eastAsia="Calibri"/>
          <w:szCs w:val="22"/>
        </w:rPr>
        <w:t xml:space="preserve"> MW from </w:t>
      </w:r>
      <w:r w:rsidR="0098042D">
        <w:rPr>
          <w:rFonts w:eastAsia="Calibri"/>
          <w:szCs w:val="22"/>
        </w:rPr>
        <w:t xml:space="preserve">17 </w:t>
      </w:r>
      <w:r>
        <w:rPr>
          <w:rFonts w:eastAsia="Calibri"/>
          <w:szCs w:val="22"/>
        </w:rPr>
        <w:t>geothermal power plants</w:t>
      </w:r>
      <w:r w:rsidR="0098042D">
        <w:rPr>
          <w:rFonts w:eastAsia="Calibri"/>
          <w:szCs w:val="22"/>
        </w:rPr>
        <w:t xml:space="preserve"> across 8 geothermal fields. </w:t>
      </w:r>
      <w:r w:rsidR="00CC5905">
        <w:rPr>
          <w:rFonts w:eastAsia="Calibri"/>
          <w:szCs w:val="22"/>
        </w:rPr>
        <w:t>Geothermal electricity generation hit a record 8741 Gigawatt-hours in 2024, an increase of 11% on the 2020 figure of 7834 Gigawatt-hours. Part of this increase can be credited to the opening of the Tauhara and Te Hua 3 plants during 2024 which contributed an additional 225 MW of geothermal capacity (MBIE, 2025).</w:t>
      </w:r>
    </w:p>
    <w:p w14:paraId="32DEB86A" w14:textId="7D61E7D8" w:rsidR="005F423C" w:rsidRDefault="000D1935" w:rsidP="003833D6">
      <w:pPr>
        <w:spacing w:line="300" w:lineRule="atLeast"/>
        <w:jc w:val="both"/>
        <w:rPr>
          <w:rFonts w:eastAsia="Calibri"/>
          <w:szCs w:val="22"/>
        </w:rPr>
      </w:pPr>
      <w:r>
        <w:rPr>
          <w:rFonts w:eastAsia="Calibri"/>
          <w:szCs w:val="22"/>
        </w:rPr>
        <w:t xml:space="preserve">The mercury content of geothermal fluids varies between different geothermal </w:t>
      </w:r>
      <w:r w:rsidR="003D54E4">
        <w:rPr>
          <w:rFonts w:eastAsia="Calibri"/>
          <w:szCs w:val="22"/>
        </w:rPr>
        <w:t xml:space="preserve">fields. The mercury emission rates for 10 of the </w:t>
      </w:r>
      <w:r w:rsidR="0048170B">
        <w:rPr>
          <w:rFonts w:eastAsia="Calibri"/>
          <w:szCs w:val="22"/>
        </w:rPr>
        <w:t xml:space="preserve">existing and proposed </w:t>
      </w:r>
      <w:r w:rsidR="003D54E4">
        <w:rPr>
          <w:rFonts w:eastAsia="Calibri"/>
          <w:szCs w:val="22"/>
        </w:rPr>
        <w:t xml:space="preserve">power stations have been obtained from the estimates given in the application documents for </w:t>
      </w:r>
      <w:r w:rsidR="00A429F6">
        <w:rPr>
          <w:rFonts w:eastAsia="Calibri"/>
          <w:szCs w:val="22"/>
        </w:rPr>
        <w:t>various</w:t>
      </w:r>
      <w:r w:rsidR="003D54E4">
        <w:rPr>
          <w:rFonts w:eastAsia="Calibri"/>
          <w:szCs w:val="22"/>
        </w:rPr>
        <w:t xml:space="preserve"> power station developments in the Bay of Plenty and Waikato regions (Contact Energy, 2007, 2009 and 2012, and Mighty River Power, 2010a and 2010b). The</w:t>
      </w:r>
      <w:r w:rsidR="00133EF7">
        <w:rPr>
          <w:rFonts w:eastAsia="Calibri"/>
          <w:szCs w:val="22"/>
        </w:rPr>
        <w:t xml:space="preserve"> emission rates</w:t>
      </w:r>
      <w:r w:rsidR="003D54E4">
        <w:rPr>
          <w:rFonts w:eastAsia="Calibri"/>
          <w:szCs w:val="22"/>
        </w:rPr>
        <w:t xml:space="preserve"> indicate mercury emission factors, for the discharges to air, in the range of 0.03 – 0.22 g</w:t>
      </w:r>
      <w:r w:rsidR="007646AF">
        <w:rPr>
          <w:rFonts w:eastAsia="Calibri"/>
          <w:szCs w:val="22"/>
        </w:rPr>
        <w:t xml:space="preserve">rams per </w:t>
      </w:r>
      <w:r w:rsidR="003D54E4">
        <w:rPr>
          <w:rFonts w:eastAsia="Calibri"/>
          <w:szCs w:val="22"/>
        </w:rPr>
        <w:t>M</w:t>
      </w:r>
      <w:r w:rsidR="0048170B">
        <w:rPr>
          <w:rFonts w:eastAsia="Calibri"/>
          <w:szCs w:val="22"/>
        </w:rPr>
        <w:t>ega</w:t>
      </w:r>
      <w:r w:rsidR="007171D0">
        <w:rPr>
          <w:rFonts w:eastAsia="Calibri"/>
          <w:szCs w:val="22"/>
        </w:rPr>
        <w:t>w</w:t>
      </w:r>
      <w:r w:rsidR="0048170B">
        <w:rPr>
          <w:rFonts w:eastAsia="Calibri"/>
          <w:szCs w:val="22"/>
        </w:rPr>
        <w:t>att-hour (MW</w:t>
      </w:r>
      <w:r w:rsidR="003D54E4">
        <w:rPr>
          <w:rFonts w:eastAsia="Calibri"/>
          <w:szCs w:val="22"/>
        </w:rPr>
        <w:t>h</w:t>
      </w:r>
      <w:r w:rsidR="0048170B">
        <w:rPr>
          <w:rFonts w:eastAsia="Calibri"/>
          <w:szCs w:val="22"/>
        </w:rPr>
        <w:t>)</w:t>
      </w:r>
      <w:r w:rsidR="003D54E4">
        <w:rPr>
          <w:rFonts w:eastAsia="Calibri"/>
          <w:szCs w:val="22"/>
        </w:rPr>
        <w:t xml:space="preserve">, with an average of 0.114 g/MWh. </w:t>
      </w:r>
    </w:p>
    <w:p w14:paraId="25557A6C" w14:textId="6502B84A" w:rsidR="005F423C" w:rsidRDefault="005E1110" w:rsidP="003833D6">
      <w:pPr>
        <w:spacing w:line="300" w:lineRule="atLeast"/>
        <w:jc w:val="both"/>
        <w:rPr>
          <w:rFonts w:eastAsia="Calibri"/>
          <w:szCs w:val="22"/>
        </w:rPr>
      </w:pPr>
      <w:r>
        <w:rPr>
          <w:rFonts w:eastAsia="Calibri"/>
          <w:szCs w:val="22"/>
        </w:rPr>
        <w:t xml:space="preserve">The Wairakei Power Station differs from all of the others in that most of the </w:t>
      </w:r>
      <w:r w:rsidR="0048170B">
        <w:rPr>
          <w:rFonts w:eastAsia="Calibri"/>
          <w:szCs w:val="22"/>
        </w:rPr>
        <w:t>condensed steam,</w:t>
      </w:r>
      <w:r>
        <w:rPr>
          <w:rFonts w:eastAsia="Calibri"/>
          <w:szCs w:val="22"/>
        </w:rPr>
        <w:t xml:space="preserve"> </w:t>
      </w:r>
      <w:r w:rsidR="0048170B">
        <w:rPr>
          <w:rFonts w:eastAsia="Calibri"/>
          <w:szCs w:val="22"/>
        </w:rPr>
        <w:t xml:space="preserve">is </w:t>
      </w:r>
      <w:r>
        <w:rPr>
          <w:rFonts w:eastAsia="Calibri"/>
          <w:szCs w:val="22"/>
        </w:rPr>
        <w:t xml:space="preserve">not re-injected after use, but </w:t>
      </w:r>
      <w:r w:rsidR="0048170B">
        <w:rPr>
          <w:rFonts w:eastAsia="Calibri"/>
          <w:szCs w:val="22"/>
        </w:rPr>
        <w:t xml:space="preserve">is </w:t>
      </w:r>
      <w:r>
        <w:rPr>
          <w:rFonts w:eastAsia="Calibri"/>
          <w:szCs w:val="22"/>
        </w:rPr>
        <w:t xml:space="preserve">discharged to the Waikato River. </w:t>
      </w:r>
      <w:r w:rsidR="0048170B">
        <w:rPr>
          <w:rFonts w:eastAsia="Calibri"/>
          <w:szCs w:val="22"/>
        </w:rPr>
        <w:t xml:space="preserve">This includes a portion of the mercury present in the associated gases, which in other stations is all </w:t>
      </w:r>
      <w:r w:rsidR="007646AF">
        <w:rPr>
          <w:rFonts w:eastAsia="Calibri"/>
          <w:szCs w:val="22"/>
        </w:rPr>
        <w:t>discharged to air</w:t>
      </w:r>
      <w:r w:rsidR="0048170B">
        <w:rPr>
          <w:rFonts w:eastAsia="Calibri"/>
          <w:szCs w:val="22"/>
        </w:rPr>
        <w:t xml:space="preserve">. </w:t>
      </w:r>
      <w:r w:rsidR="00231A1F">
        <w:rPr>
          <w:rFonts w:eastAsia="Calibri"/>
          <w:szCs w:val="22"/>
        </w:rPr>
        <w:t xml:space="preserve">The estimated discharge from the Wairakei Power Station for </w:t>
      </w:r>
      <w:r w:rsidR="00CC5905">
        <w:rPr>
          <w:rFonts w:eastAsia="Calibri"/>
          <w:szCs w:val="22"/>
        </w:rPr>
        <w:t xml:space="preserve">2024 </w:t>
      </w:r>
      <w:r w:rsidR="00231A1F" w:rsidRPr="00092468">
        <w:rPr>
          <w:rFonts w:eastAsia="Calibri"/>
          <w:szCs w:val="22"/>
        </w:rPr>
        <w:t>was &lt;</w:t>
      </w:r>
      <w:r w:rsidR="00A950AA" w:rsidRPr="00092468">
        <w:rPr>
          <w:rFonts w:eastAsia="Calibri"/>
          <w:szCs w:val="22"/>
        </w:rPr>
        <w:t xml:space="preserve"> </w:t>
      </w:r>
      <w:r w:rsidR="00092468" w:rsidRPr="000B1B79">
        <w:rPr>
          <w:rFonts w:eastAsia="Calibri"/>
          <w:szCs w:val="22"/>
        </w:rPr>
        <w:t>6.43</w:t>
      </w:r>
      <w:r w:rsidR="00392E71" w:rsidRPr="00092468">
        <w:rPr>
          <w:rFonts w:eastAsia="Calibri"/>
          <w:szCs w:val="22"/>
        </w:rPr>
        <w:t xml:space="preserve"> </w:t>
      </w:r>
      <w:r w:rsidR="00231A1F" w:rsidRPr="00092468">
        <w:rPr>
          <w:rFonts w:eastAsia="Calibri"/>
          <w:szCs w:val="22"/>
        </w:rPr>
        <w:t xml:space="preserve">kg </w:t>
      </w:r>
      <w:r w:rsidRPr="00092468">
        <w:rPr>
          <w:rFonts w:eastAsia="Calibri"/>
          <w:szCs w:val="22"/>
        </w:rPr>
        <w:t>(</w:t>
      </w:r>
      <w:r w:rsidR="00092468" w:rsidRPr="000B1B79">
        <w:rPr>
          <w:rFonts w:eastAsia="Calibri"/>
          <w:szCs w:val="22"/>
        </w:rPr>
        <w:t>Matt Stulen</w:t>
      </w:r>
      <w:r w:rsidRPr="00092468">
        <w:rPr>
          <w:rFonts w:eastAsia="Calibri"/>
          <w:szCs w:val="22"/>
        </w:rPr>
        <w:t>,</w:t>
      </w:r>
      <w:r w:rsidR="00A950AA" w:rsidRPr="00092468">
        <w:rPr>
          <w:rFonts w:eastAsia="Calibri"/>
          <w:szCs w:val="22"/>
        </w:rPr>
        <w:t xml:space="preserve"> Contact Energy,</w:t>
      </w:r>
      <w:r w:rsidRPr="00092468">
        <w:rPr>
          <w:rFonts w:eastAsia="Calibri"/>
          <w:szCs w:val="22"/>
        </w:rPr>
        <w:t xml:space="preserve"> per</w:t>
      </w:r>
      <w:r w:rsidR="0042137C" w:rsidRPr="00092468">
        <w:rPr>
          <w:rFonts w:eastAsia="Calibri"/>
          <w:szCs w:val="22"/>
        </w:rPr>
        <w:t>s</w:t>
      </w:r>
      <w:r w:rsidR="00231A1F" w:rsidRPr="00092468">
        <w:rPr>
          <w:rFonts w:eastAsia="Calibri"/>
          <w:szCs w:val="22"/>
        </w:rPr>
        <w:t xml:space="preserve"> comm, </w:t>
      </w:r>
      <w:r w:rsidR="00092468" w:rsidRPr="000B1B79">
        <w:rPr>
          <w:rFonts w:eastAsia="Calibri"/>
          <w:szCs w:val="22"/>
        </w:rPr>
        <w:t>2025</w:t>
      </w:r>
      <w:r w:rsidRPr="00092468">
        <w:rPr>
          <w:rFonts w:eastAsia="Calibri"/>
          <w:szCs w:val="22"/>
        </w:rPr>
        <w:t>).</w:t>
      </w:r>
      <w:r w:rsidR="00B8695D">
        <w:rPr>
          <w:rFonts w:eastAsia="Calibri"/>
          <w:szCs w:val="22"/>
        </w:rPr>
        <w:t xml:space="preserve"> </w:t>
      </w:r>
    </w:p>
    <w:p w14:paraId="16E2AC61" w14:textId="7E445495" w:rsidR="00C07D5F" w:rsidRDefault="0042137C" w:rsidP="00456C7E">
      <w:pPr>
        <w:spacing w:line="300" w:lineRule="atLeast"/>
        <w:jc w:val="both"/>
        <w:rPr>
          <w:rFonts w:eastAsia="Calibri"/>
          <w:szCs w:val="22"/>
        </w:rPr>
      </w:pPr>
      <w:r w:rsidRPr="0042137C">
        <w:rPr>
          <w:rFonts w:eastAsia="Calibri"/>
          <w:szCs w:val="22"/>
        </w:rPr>
        <w:t xml:space="preserve">The mercury input and output calculations for </w:t>
      </w:r>
      <w:r>
        <w:rPr>
          <w:rFonts w:eastAsia="Calibri"/>
          <w:szCs w:val="22"/>
        </w:rPr>
        <w:t>geothermal power</w:t>
      </w:r>
      <w:r w:rsidRPr="0042137C">
        <w:rPr>
          <w:rFonts w:eastAsia="Calibri"/>
          <w:szCs w:val="22"/>
        </w:rPr>
        <w:t xml:space="preserve"> are shown in </w:t>
      </w:r>
      <w:r w:rsidRPr="00636D03">
        <w:rPr>
          <w:rFonts w:eastAsia="Calibri"/>
          <w:szCs w:val="22"/>
        </w:rPr>
        <w:fldChar w:fldCharType="begin"/>
      </w:r>
      <w:r w:rsidRPr="00636D03">
        <w:rPr>
          <w:rFonts w:eastAsia="Calibri"/>
          <w:szCs w:val="22"/>
        </w:rPr>
        <w:instrText xml:space="preserve"> REF _Ref358368587 \h </w:instrText>
      </w:r>
      <w:r w:rsidR="00636D03">
        <w:rPr>
          <w:rFonts w:eastAsia="Calibri"/>
          <w:szCs w:val="22"/>
        </w:rPr>
        <w:instrText xml:space="preserve"> \* MERGEFORMAT </w:instrText>
      </w:r>
      <w:r w:rsidRPr="00636D03">
        <w:rPr>
          <w:rFonts w:eastAsia="Calibri"/>
          <w:szCs w:val="22"/>
        </w:rPr>
      </w:r>
      <w:r w:rsidRPr="00636D03">
        <w:rPr>
          <w:rFonts w:eastAsia="Calibri"/>
          <w:szCs w:val="22"/>
        </w:rPr>
        <w:fldChar w:fldCharType="separate"/>
      </w:r>
      <w:r w:rsidR="00892B2D" w:rsidRPr="00892B2D">
        <w:t xml:space="preserve">Table </w:t>
      </w:r>
      <w:r w:rsidR="00892B2D" w:rsidRPr="00892B2D">
        <w:rPr>
          <w:noProof/>
        </w:rPr>
        <w:t>3</w:t>
      </w:r>
      <w:r w:rsidR="00892B2D" w:rsidRPr="00892B2D">
        <w:rPr>
          <w:noProof/>
        </w:rPr>
        <w:noBreakHyphen/>
        <w:t>7</w:t>
      </w:r>
      <w:r w:rsidRPr="00636D03">
        <w:rPr>
          <w:rFonts w:eastAsia="Calibri"/>
          <w:szCs w:val="22"/>
        </w:rPr>
        <w:fldChar w:fldCharType="end"/>
      </w:r>
      <w:r>
        <w:rPr>
          <w:rFonts w:eastAsia="Calibri"/>
          <w:szCs w:val="22"/>
        </w:rPr>
        <w:t xml:space="preserve"> </w:t>
      </w:r>
      <w:r w:rsidRPr="0042137C">
        <w:rPr>
          <w:rFonts w:eastAsia="Calibri"/>
          <w:szCs w:val="22"/>
        </w:rPr>
        <w:t>below.</w:t>
      </w:r>
      <w:r w:rsidR="00A8164C">
        <w:rPr>
          <w:rFonts w:eastAsia="Calibri"/>
          <w:szCs w:val="22"/>
        </w:rPr>
        <w:t xml:space="preserve"> </w:t>
      </w:r>
      <w:r>
        <w:rPr>
          <w:rFonts w:eastAsia="Calibri"/>
          <w:szCs w:val="22"/>
        </w:rPr>
        <w:t>I</w:t>
      </w:r>
      <w:r w:rsidR="00116640">
        <w:rPr>
          <w:rFonts w:eastAsia="Calibri"/>
          <w:szCs w:val="22"/>
        </w:rPr>
        <w:t xml:space="preserve">n addition </w:t>
      </w:r>
      <w:r>
        <w:rPr>
          <w:rFonts w:eastAsia="Calibri"/>
          <w:szCs w:val="22"/>
        </w:rPr>
        <w:t xml:space="preserve">to electricity generation, </w:t>
      </w:r>
      <w:r w:rsidR="00116640">
        <w:rPr>
          <w:rFonts w:eastAsia="Calibri"/>
          <w:szCs w:val="22"/>
        </w:rPr>
        <w:t xml:space="preserve">an allowance has been made for </w:t>
      </w:r>
      <w:r w:rsidR="00C07D5F">
        <w:rPr>
          <w:rFonts w:eastAsia="Calibri"/>
          <w:szCs w:val="22"/>
        </w:rPr>
        <w:t>direct use</w:t>
      </w:r>
      <w:r w:rsidR="00644292">
        <w:rPr>
          <w:rFonts w:eastAsia="Calibri"/>
          <w:szCs w:val="22"/>
        </w:rPr>
        <w:t>s</w:t>
      </w:r>
      <w:r w:rsidR="00C07D5F">
        <w:rPr>
          <w:rFonts w:eastAsia="Calibri"/>
          <w:szCs w:val="22"/>
        </w:rPr>
        <w:t xml:space="preserve"> </w:t>
      </w:r>
      <w:r w:rsidR="00644292">
        <w:rPr>
          <w:rFonts w:eastAsia="Calibri"/>
          <w:szCs w:val="22"/>
        </w:rPr>
        <w:t>of total geothermal energy</w:t>
      </w:r>
      <w:r w:rsidR="00116640">
        <w:rPr>
          <w:rFonts w:eastAsia="Calibri"/>
          <w:szCs w:val="22"/>
        </w:rPr>
        <w:t xml:space="preserve">. </w:t>
      </w:r>
      <w:r w:rsidR="00D105FA">
        <w:rPr>
          <w:rFonts w:eastAsia="Calibri"/>
          <w:szCs w:val="22"/>
        </w:rPr>
        <w:t xml:space="preserve">This assumes that direct use emissions will be the same as those for electricity generation on a proportional basis when both are recorded on a gross geothermal utilisation basis. 2024 data is not </w:t>
      </w:r>
      <w:r w:rsidR="00DE5153">
        <w:rPr>
          <w:rFonts w:eastAsia="Calibri"/>
          <w:szCs w:val="22"/>
        </w:rPr>
        <w:t xml:space="preserve">yet </w:t>
      </w:r>
      <w:r w:rsidR="00D105FA">
        <w:rPr>
          <w:rFonts w:eastAsia="Calibri"/>
          <w:szCs w:val="22"/>
        </w:rPr>
        <w:t xml:space="preserve">available for </w:t>
      </w:r>
      <w:r w:rsidR="00D52B01">
        <w:rPr>
          <w:rFonts w:eastAsia="Calibri"/>
          <w:szCs w:val="22"/>
        </w:rPr>
        <w:t>either</w:t>
      </w:r>
      <w:r w:rsidR="00D105FA">
        <w:rPr>
          <w:rFonts w:eastAsia="Calibri"/>
          <w:szCs w:val="22"/>
        </w:rPr>
        <w:t xml:space="preserve"> electricity generation </w:t>
      </w:r>
      <w:r w:rsidR="00D52B01">
        <w:rPr>
          <w:rFonts w:eastAsia="Calibri"/>
          <w:szCs w:val="22"/>
        </w:rPr>
        <w:t xml:space="preserve">or </w:t>
      </w:r>
      <w:r w:rsidR="00D105FA">
        <w:rPr>
          <w:rFonts w:eastAsia="Calibri"/>
          <w:szCs w:val="22"/>
        </w:rPr>
        <w:t>direct use of geothermal energy on a gross basis. Data is however available for 2023: 206.2 PJ for electricity and</w:t>
      </w:r>
      <w:r w:rsidR="009D6402">
        <w:rPr>
          <w:rFonts w:eastAsia="Calibri"/>
          <w:szCs w:val="22"/>
        </w:rPr>
        <w:t xml:space="preserve"> 8.7 PJ for direct use</w:t>
      </w:r>
      <w:r w:rsidR="00DE5153">
        <w:rPr>
          <w:rFonts w:eastAsia="Calibri"/>
          <w:szCs w:val="22"/>
        </w:rPr>
        <w:t xml:space="preserve"> (MBIE, 2025)</w:t>
      </w:r>
      <w:r w:rsidR="009D6402">
        <w:rPr>
          <w:rFonts w:eastAsia="Calibri"/>
          <w:szCs w:val="22"/>
        </w:rPr>
        <w:t xml:space="preserve"> Consequently direct use </w:t>
      </w:r>
      <w:r w:rsidR="00116640">
        <w:rPr>
          <w:rFonts w:eastAsia="Calibri"/>
          <w:szCs w:val="22"/>
        </w:rPr>
        <w:t>accou</w:t>
      </w:r>
      <w:r w:rsidR="009D6402">
        <w:rPr>
          <w:rFonts w:eastAsia="Calibri"/>
          <w:szCs w:val="22"/>
        </w:rPr>
        <w:t>nts</w:t>
      </w:r>
      <w:r w:rsidR="00231A1F">
        <w:rPr>
          <w:rFonts w:eastAsia="Calibri"/>
          <w:szCs w:val="22"/>
        </w:rPr>
        <w:t xml:space="preserve"> for an </w:t>
      </w:r>
      <w:r w:rsidR="00C50291">
        <w:rPr>
          <w:rFonts w:eastAsia="Calibri"/>
          <w:szCs w:val="22"/>
        </w:rPr>
        <w:t xml:space="preserve">estimated </w:t>
      </w:r>
      <w:r w:rsidR="00E60597">
        <w:rPr>
          <w:rFonts w:eastAsia="Calibri"/>
          <w:szCs w:val="22"/>
        </w:rPr>
        <w:t xml:space="preserve">additional </w:t>
      </w:r>
      <w:r w:rsidR="006E6E20">
        <w:rPr>
          <w:rFonts w:eastAsia="Calibri"/>
          <w:szCs w:val="22"/>
        </w:rPr>
        <w:t>4.2</w:t>
      </w:r>
      <w:r w:rsidR="00116640">
        <w:rPr>
          <w:rFonts w:eastAsia="Calibri"/>
          <w:szCs w:val="22"/>
        </w:rPr>
        <w:t>% of geothermal ,</w:t>
      </w:r>
      <w:r w:rsidR="00116640" w:rsidRPr="00116640">
        <w:rPr>
          <w:rFonts w:eastAsia="Calibri"/>
          <w:szCs w:val="22"/>
        </w:rPr>
        <w:t xml:space="preserve"> </w:t>
      </w:r>
      <w:r w:rsidR="00116640">
        <w:rPr>
          <w:rFonts w:eastAsia="Calibri"/>
          <w:szCs w:val="22"/>
        </w:rPr>
        <w:t xml:space="preserve">energy </w:t>
      </w:r>
      <w:r w:rsidR="009D6402">
        <w:rPr>
          <w:rFonts w:eastAsia="Calibri"/>
          <w:szCs w:val="22"/>
        </w:rPr>
        <w:t xml:space="preserve">emissions </w:t>
      </w:r>
      <w:r w:rsidR="00644292">
        <w:rPr>
          <w:rFonts w:eastAsia="Calibri"/>
          <w:szCs w:val="22"/>
        </w:rPr>
        <w:t>(</w:t>
      </w:r>
      <w:r w:rsidR="00231A1F">
        <w:rPr>
          <w:rFonts w:eastAsia="Calibri"/>
          <w:szCs w:val="22"/>
        </w:rPr>
        <w:t>MBIE,</w:t>
      </w:r>
      <w:r w:rsidR="00392E71">
        <w:rPr>
          <w:rFonts w:eastAsia="Calibri"/>
          <w:szCs w:val="22"/>
        </w:rPr>
        <w:t xml:space="preserve"> </w:t>
      </w:r>
      <w:r w:rsidR="00E61E78">
        <w:rPr>
          <w:rFonts w:eastAsia="Calibri"/>
          <w:szCs w:val="22"/>
        </w:rPr>
        <w:t>202</w:t>
      </w:r>
      <w:r w:rsidR="00504376">
        <w:rPr>
          <w:rFonts w:eastAsia="Calibri"/>
          <w:szCs w:val="22"/>
        </w:rPr>
        <w:t>5b</w:t>
      </w:r>
      <w:r w:rsidR="00644292">
        <w:rPr>
          <w:rFonts w:eastAsia="Calibri"/>
          <w:szCs w:val="22"/>
        </w:rPr>
        <w:t xml:space="preserve">). </w:t>
      </w:r>
    </w:p>
    <w:p w14:paraId="34C79D96" w14:textId="1A18BA2F" w:rsidR="00C07D5F" w:rsidRDefault="0042137C" w:rsidP="00644292">
      <w:pPr>
        <w:pStyle w:val="Caption"/>
        <w:spacing w:before="240"/>
        <w:rPr>
          <w:rFonts w:eastAsia="Calibri"/>
          <w:szCs w:val="22"/>
        </w:rPr>
      </w:pPr>
      <w:bookmarkStart w:id="44" w:name="_Ref358368587"/>
      <w:bookmarkStart w:id="45" w:name="_Toc110355465"/>
      <w:r w:rsidRPr="007901FE">
        <w:rPr>
          <w:rFonts w:ascii="Arial" w:hAnsi="Arial" w:cs="Arial"/>
        </w:rPr>
        <w:t xml:space="preserve">Table </w:t>
      </w:r>
      <w:r w:rsidR="00390C9F">
        <w:rPr>
          <w:rFonts w:ascii="Arial" w:hAnsi="Arial" w:cs="Arial"/>
        </w:rPr>
        <w:fldChar w:fldCharType="begin"/>
      </w:r>
      <w:r w:rsidR="00390C9F">
        <w:rPr>
          <w:rFonts w:ascii="Arial" w:hAnsi="Arial" w:cs="Arial"/>
        </w:rPr>
        <w:instrText xml:space="preserve"> STYLEREF 1 \s </w:instrText>
      </w:r>
      <w:r w:rsidR="00390C9F">
        <w:rPr>
          <w:rFonts w:ascii="Arial" w:hAnsi="Arial" w:cs="Arial"/>
        </w:rPr>
        <w:fldChar w:fldCharType="separate"/>
      </w:r>
      <w:r w:rsidR="00892B2D">
        <w:rPr>
          <w:rFonts w:ascii="Arial" w:hAnsi="Arial" w:cs="Arial"/>
          <w:noProof/>
        </w:rPr>
        <w:t>3</w:t>
      </w:r>
      <w:r w:rsidR="00390C9F">
        <w:rPr>
          <w:rFonts w:ascii="Arial" w:hAnsi="Arial" w:cs="Arial"/>
        </w:rPr>
        <w:fldChar w:fldCharType="end"/>
      </w:r>
      <w:r w:rsidR="00390C9F">
        <w:rPr>
          <w:rFonts w:ascii="Arial" w:hAnsi="Arial" w:cs="Arial"/>
        </w:rPr>
        <w:noBreakHyphen/>
      </w:r>
      <w:r w:rsidR="00390C9F">
        <w:rPr>
          <w:rFonts w:ascii="Arial" w:hAnsi="Arial" w:cs="Arial"/>
        </w:rPr>
        <w:fldChar w:fldCharType="begin"/>
      </w:r>
      <w:r w:rsidR="00390C9F">
        <w:rPr>
          <w:rFonts w:ascii="Arial" w:hAnsi="Arial" w:cs="Arial"/>
        </w:rPr>
        <w:instrText xml:space="preserve"> SEQ Table \* ARABIC \s 1 </w:instrText>
      </w:r>
      <w:r w:rsidR="00390C9F">
        <w:rPr>
          <w:rFonts w:ascii="Arial" w:hAnsi="Arial" w:cs="Arial"/>
        </w:rPr>
        <w:fldChar w:fldCharType="separate"/>
      </w:r>
      <w:r w:rsidR="00892B2D">
        <w:rPr>
          <w:rFonts w:ascii="Arial" w:hAnsi="Arial" w:cs="Arial"/>
          <w:noProof/>
        </w:rPr>
        <w:t>7</w:t>
      </w:r>
      <w:r w:rsidR="00390C9F">
        <w:rPr>
          <w:rFonts w:ascii="Arial" w:hAnsi="Arial" w:cs="Arial"/>
        </w:rPr>
        <w:fldChar w:fldCharType="end"/>
      </w:r>
      <w:bookmarkEnd w:id="44"/>
      <w:r w:rsidRPr="007901FE">
        <w:rPr>
          <w:rFonts w:ascii="Arial" w:hAnsi="Arial" w:cs="Arial"/>
        </w:rPr>
        <w:t>:</w:t>
      </w:r>
      <w:r w:rsidR="00183044">
        <w:rPr>
          <w:rFonts w:ascii="Arial" w:hAnsi="Arial" w:cs="Arial"/>
        </w:rPr>
        <w:t xml:space="preserve"> </w:t>
      </w:r>
      <w:r>
        <w:t xml:space="preserve"> </w:t>
      </w:r>
      <w:r w:rsidRPr="00284760">
        <w:rPr>
          <w:rFonts w:ascii="Arial" w:hAnsi="Arial" w:cs="Arial"/>
        </w:rPr>
        <w:t>Input and output estimates for</w:t>
      </w:r>
      <w:r>
        <w:rPr>
          <w:rFonts w:ascii="Arial" w:hAnsi="Arial" w:cs="Arial"/>
        </w:rPr>
        <w:t xml:space="preserve"> geothermal power production and use</w:t>
      </w:r>
      <w:bookmarkEnd w:id="45"/>
    </w:p>
    <w:tbl>
      <w:tblPr>
        <w:tblStyle w:val="TableGrid"/>
        <w:tblW w:w="0" w:type="auto"/>
        <w:tblLook w:val="04A0" w:firstRow="1" w:lastRow="0" w:firstColumn="1" w:lastColumn="0" w:noHBand="0" w:noVBand="1"/>
      </w:tblPr>
      <w:tblGrid>
        <w:gridCol w:w="2025"/>
        <w:gridCol w:w="1231"/>
        <w:gridCol w:w="1417"/>
        <w:gridCol w:w="1985"/>
        <w:gridCol w:w="1701"/>
        <w:gridCol w:w="702"/>
      </w:tblGrid>
      <w:tr w:rsidR="005F6D6C" w14:paraId="0A6A9280" w14:textId="77777777" w:rsidTr="009619AB">
        <w:tc>
          <w:tcPr>
            <w:tcW w:w="2025" w:type="dxa"/>
            <w:vMerge w:val="restart"/>
            <w:vAlign w:val="center"/>
          </w:tcPr>
          <w:p w14:paraId="68F5432E" w14:textId="77777777" w:rsidR="005F6D6C" w:rsidRPr="00F31685" w:rsidRDefault="005F6D6C" w:rsidP="007901FE">
            <w:pPr>
              <w:spacing w:line="300" w:lineRule="atLeast"/>
              <w:jc w:val="center"/>
              <w:rPr>
                <w:rFonts w:ascii="Arial" w:hAnsi="Arial" w:cs="Arial"/>
                <w:b/>
                <w:sz w:val="16"/>
                <w:szCs w:val="16"/>
              </w:rPr>
            </w:pPr>
            <w:r w:rsidRPr="00F31685">
              <w:rPr>
                <w:rFonts w:ascii="Arial" w:hAnsi="Arial" w:cs="Arial"/>
                <w:b/>
                <w:sz w:val="16"/>
                <w:szCs w:val="16"/>
              </w:rPr>
              <w:t>Source</w:t>
            </w:r>
          </w:p>
        </w:tc>
        <w:tc>
          <w:tcPr>
            <w:tcW w:w="1231" w:type="dxa"/>
            <w:vMerge w:val="restart"/>
            <w:vAlign w:val="center"/>
          </w:tcPr>
          <w:p w14:paraId="241F24B0" w14:textId="77777777" w:rsidR="005F6D6C" w:rsidRPr="00F31685" w:rsidRDefault="005F6D6C" w:rsidP="00937059">
            <w:pPr>
              <w:spacing w:line="300" w:lineRule="atLeast"/>
              <w:jc w:val="center"/>
              <w:rPr>
                <w:rFonts w:ascii="Arial" w:hAnsi="Arial" w:cs="Arial"/>
                <w:b/>
                <w:sz w:val="16"/>
                <w:szCs w:val="16"/>
              </w:rPr>
            </w:pPr>
            <w:r>
              <w:rPr>
                <w:rFonts w:ascii="Arial" w:hAnsi="Arial" w:cs="Arial"/>
                <w:b/>
                <w:sz w:val="16"/>
                <w:szCs w:val="16"/>
              </w:rPr>
              <w:t>Activity Rate, GWh</w:t>
            </w:r>
            <w:r w:rsidRPr="00F31685">
              <w:rPr>
                <w:rFonts w:ascii="Arial" w:hAnsi="Arial" w:cs="Arial"/>
                <w:b/>
                <w:sz w:val="16"/>
                <w:szCs w:val="16"/>
              </w:rPr>
              <w:t>/yr</w:t>
            </w:r>
          </w:p>
        </w:tc>
        <w:tc>
          <w:tcPr>
            <w:tcW w:w="1417" w:type="dxa"/>
            <w:vMerge w:val="restart"/>
            <w:vAlign w:val="center"/>
          </w:tcPr>
          <w:p w14:paraId="59CF39C5" w14:textId="77777777" w:rsidR="005F6D6C" w:rsidRPr="00F31685" w:rsidRDefault="005F6D6C" w:rsidP="005F6D6C">
            <w:pPr>
              <w:spacing w:line="300" w:lineRule="atLeast"/>
              <w:jc w:val="center"/>
              <w:rPr>
                <w:rFonts w:ascii="Arial" w:hAnsi="Arial" w:cs="Arial"/>
                <w:b/>
                <w:sz w:val="16"/>
                <w:szCs w:val="16"/>
              </w:rPr>
            </w:pPr>
            <w:r w:rsidRPr="00F31685">
              <w:rPr>
                <w:rFonts w:ascii="Arial" w:hAnsi="Arial" w:cs="Arial"/>
                <w:b/>
                <w:sz w:val="16"/>
                <w:szCs w:val="16"/>
              </w:rPr>
              <w:t xml:space="preserve">Mercury content, </w:t>
            </w:r>
            <w:r>
              <w:rPr>
                <w:rFonts w:ascii="Arial" w:hAnsi="Arial" w:cs="Arial"/>
                <w:b/>
                <w:sz w:val="16"/>
                <w:szCs w:val="16"/>
              </w:rPr>
              <w:t>g/MWh</w:t>
            </w:r>
          </w:p>
        </w:tc>
        <w:tc>
          <w:tcPr>
            <w:tcW w:w="1985" w:type="dxa"/>
            <w:vMerge w:val="restart"/>
            <w:vAlign w:val="center"/>
          </w:tcPr>
          <w:p w14:paraId="7DE81F7E" w14:textId="77777777" w:rsidR="005F6D6C" w:rsidRPr="00F31685" w:rsidRDefault="005F6D6C" w:rsidP="007901FE">
            <w:pPr>
              <w:spacing w:line="300" w:lineRule="atLeast"/>
              <w:jc w:val="center"/>
              <w:rPr>
                <w:rFonts w:ascii="Arial" w:hAnsi="Arial" w:cs="Arial"/>
                <w:b/>
                <w:sz w:val="16"/>
                <w:szCs w:val="16"/>
              </w:rPr>
            </w:pPr>
            <w:r w:rsidRPr="00F31685">
              <w:rPr>
                <w:rFonts w:ascii="Arial" w:hAnsi="Arial" w:cs="Arial"/>
                <w:b/>
                <w:sz w:val="16"/>
                <w:szCs w:val="16"/>
              </w:rPr>
              <w:t>Annual Mercury Inputs, kg/yr</w:t>
            </w:r>
          </w:p>
        </w:tc>
        <w:tc>
          <w:tcPr>
            <w:tcW w:w="2403" w:type="dxa"/>
            <w:gridSpan w:val="2"/>
            <w:vAlign w:val="center"/>
          </w:tcPr>
          <w:p w14:paraId="4D0D1850" w14:textId="77777777" w:rsidR="005F6D6C" w:rsidRPr="00F31685" w:rsidRDefault="005F6D6C" w:rsidP="007901FE">
            <w:pPr>
              <w:spacing w:line="300" w:lineRule="atLeast"/>
              <w:jc w:val="center"/>
              <w:rPr>
                <w:rFonts w:ascii="Arial" w:hAnsi="Arial" w:cs="Arial"/>
                <w:b/>
                <w:sz w:val="16"/>
                <w:szCs w:val="16"/>
              </w:rPr>
            </w:pPr>
            <w:r w:rsidRPr="00F31685">
              <w:rPr>
                <w:rFonts w:ascii="Arial" w:hAnsi="Arial" w:cs="Arial"/>
                <w:b/>
                <w:sz w:val="16"/>
                <w:szCs w:val="16"/>
              </w:rPr>
              <w:t>Annual Mercury Outputs, kg/yr</w:t>
            </w:r>
          </w:p>
        </w:tc>
      </w:tr>
      <w:tr w:rsidR="005F6D6C" w14:paraId="1C379BAB" w14:textId="77777777" w:rsidTr="009619AB">
        <w:tc>
          <w:tcPr>
            <w:tcW w:w="2025" w:type="dxa"/>
            <w:vMerge/>
            <w:vAlign w:val="center"/>
          </w:tcPr>
          <w:p w14:paraId="3582FF62" w14:textId="77777777" w:rsidR="005F6D6C" w:rsidRPr="00F31685" w:rsidRDefault="005F6D6C" w:rsidP="007901FE">
            <w:pPr>
              <w:spacing w:line="300" w:lineRule="atLeast"/>
              <w:jc w:val="center"/>
              <w:rPr>
                <w:rFonts w:ascii="Arial" w:hAnsi="Arial" w:cs="Arial"/>
                <w:b/>
                <w:sz w:val="16"/>
                <w:szCs w:val="16"/>
              </w:rPr>
            </w:pPr>
          </w:p>
        </w:tc>
        <w:tc>
          <w:tcPr>
            <w:tcW w:w="1231" w:type="dxa"/>
            <w:vMerge/>
            <w:vAlign w:val="center"/>
          </w:tcPr>
          <w:p w14:paraId="7D8C25FE" w14:textId="77777777" w:rsidR="005F6D6C" w:rsidRPr="00F31685" w:rsidRDefault="005F6D6C" w:rsidP="007901FE">
            <w:pPr>
              <w:spacing w:line="300" w:lineRule="atLeast"/>
              <w:jc w:val="center"/>
              <w:rPr>
                <w:rFonts w:ascii="Arial" w:hAnsi="Arial" w:cs="Arial"/>
                <w:b/>
                <w:sz w:val="16"/>
                <w:szCs w:val="16"/>
              </w:rPr>
            </w:pPr>
          </w:p>
        </w:tc>
        <w:tc>
          <w:tcPr>
            <w:tcW w:w="1417" w:type="dxa"/>
            <w:vMerge/>
            <w:vAlign w:val="center"/>
          </w:tcPr>
          <w:p w14:paraId="049A87D9" w14:textId="77777777" w:rsidR="005F6D6C" w:rsidRPr="00F31685" w:rsidRDefault="005F6D6C" w:rsidP="007901FE">
            <w:pPr>
              <w:spacing w:line="300" w:lineRule="atLeast"/>
              <w:jc w:val="center"/>
              <w:rPr>
                <w:rFonts w:ascii="Arial" w:hAnsi="Arial" w:cs="Arial"/>
                <w:b/>
                <w:sz w:val="16"/>
                <w:szCs w:val="16"/>
              </w:rPr>
            </w:pPr>
          </w:p>
        </w:tc>
        <w:tc>
          <w:tcPr>
            <w:tcW w:w="1985" w:type="dxa"/>
            <w:vMerge/>
            <w:vAlign w:val="center"/>
          </w:tcPr>
          <w:p w14:paraId="375A4C00" w14:textId="77777777" w:rsidR="005F6D6C" w:rsidRPr="00F31685" w:rsidRDefault="005F6D6C" w:rsidP="007901FE">
            <w:pPr>
              <w:spacing w:line="300" w:lineRule="atLeast"/>
              <w:jc w:val="center"/>
              <w:rPr>
                <w:rFonts w:ascii="Arial" w:hAnsi="Arial" w:cs="Arial"/>
                <w:b/>
                <w:sz w:val="16"/>
                <w:szCs w:val="16"/>
              </w:rPr>
            </w:pPr>
          </w:p>
        </w:tc>
        <w:tc>
          <w:tcPr>
            <w:tcW w:w="1701" w:type="dxa"/>
            <w:vAlign w:val="center"/>
          </w:tcPr>
          <w:p w14:paraId="1E22705F" w14:textId="77777777" w:rsidR="005F6D6C" w:rsidRPr="00F31685" w:rsidRDefault="005F6D6C" w:rsidP="007901FE">
            <w:pPr>
              <w:spacing w:line="300" w:lineRule="atLeast"/>
              <w:jc w:val="center"/>
              <w:rPr>
                <w:rFonts w:ascii="Arial" w:hAnsi="Arial" w:cs="Arial"/>
                <w:b/>
                <w:sz w:val="16"/>
                <w:szCs w:val="16"/>
              </w:rPr>
            </w:pPr>
            <w:r w:rsidRPr="00F31685">
              <w:rPr>
                <w:rFonts w:ascii="Arial" w:hAnsi="Arial" w:cs="Arial"/>
                <w:b/>
                <w:sz w:val="16"/>
                <w:szCs w:val="16"/>
              </w:rPr>
              <w:t>Air</w:t>
            </w:r>
          </w:p>
        </w:tc>
        <w:tc>
          <w:tcPr>
            <w:tcW w:w="702" w:type="dxa"/>
            <w:vAlign w:val="center"/>
          </w:tcPr>
          <w:p w14:paraId="2A3DB438" w14:textId="77777777" w:rsidR="005F6D6C" w:rsidRPr="00F31685" w:rsidRDefault="005F6D6C" w:rsidP="007901FE">
            <w:pPr>
              <w:spacing w:line="300" w:lineRule="atLeast"/>
              <w:jc w:val="center"/>
              <w:rPr>
                <w:rFonts w:ascii="Arial" w:hAnsi="Arial" w:cs="Arial"/>
                <w:b/>
                <w:sz w:val="16"/>
                <w:szCs w:val="16"/>
              </w:rPr>
            </w:pPr>
            <w:r>
              <w:rPr>
                <w:rFonts w:ascii="Arial" w:hAnsi="Arial" w:cs="Arial"/>
                <w:b/>
                <w:sz w:val="16"/>
                <w:szCs w:val="16"/>
              </w:rPr>
              <w:t>Water</w:t>
            </w:r>
          </w:p>
        </w:tc>
      </w:tr>
      <w:tr w:rsidR="005F6D6C" w14:paraId="302A3463" w14:textId="77777777" w:rsidTr="009619AB">
        <w:tc>
          <w:tcPr>
            <w:tcW w:w="2025" w:type="dxa"/>
            <w:tcBorders>
              <w:bottom w:val="single" w:sz="4" w:space="0" w:color="auto"/>
            </w:tcBorders>
          </w:tcPr>
          <w:p w14:paraId="1C5BA200" w14:textId="77777777" w:rsidR="005F6D6C" w:rsidRPr="00F31685" w:rsidRDefault="005F6D6C" w:rsidP="005F6D6C">
            <w:pPr>
              <w:spacing w:line="300" w:lineRule="atLeast"/>
              <w:jc w:val="both"/>
              <w:rPr>
                <w:rFonts w:ascii="Arial" w:hAnsi="Arial" w:cs="Arial"/>
                <w:sz w:val="16"/>
                <w:szCs w:val="16"/>
              </w:rPr>
            </w:pPr>
            <w:r>
              <w:rPr>
                <w:rFonts w:ascii="Arial" w:hAnsi="Arial" w:cs="Arial"/>
                <w:sz w:val="16"/>
                <w:szCs w:val="16"/>
              </w:rPr>
              <w:t>Geothermal power</w:t>
            </w:r>
            <w:r w:rsidR="00B2520C">
              <w:rPr>
                <w:rFonts w:ascii="Arial" w:hAnsi="Arial" w:cs="Arial"/>
                <w:sz w:val="16"/>
                <w:szCs w:val="16"/>
              </w:rPr>
              <w:t>, 2012</w:t>
            </w:r>
          </w:p>
        </w:tc>
        <w:tc>
          <w:tcPr>
            <w:tcW w:w="1231" w:type="dxa"/>
            <w:tcBorders>
              <w:bottom w:val="single" w:sz="4" w:space="0" w:color="auto"/>
            </w:tcBorders>
            <w:vAlign w:val="center"/>
          </w:tcPr>
          <w:p w14:paraId="02629A4B" w14:textId="77777777" w:rsidR="005F6D6C" w:rsidRPr="00F31685" w:rsidRDefault="005F6D6C" w:rsidP="007901FE">
            <w:pPr>
              <w:spacing w:line="300" w:lineRule="atLeast"/>
              <w:jc w:val="center"/>
              <w:rPr>
                <w:rFonts w:ascii="Arial" w:hAnsi="Arial" w:cs="Arial"/>
                <w:sz w:val="16"/>
                <w:szCs w:val="16"/>
              </w:rPr>
            </w:pPr>
            <w:r>
              <w:rPr>
                <w:rFonts w:ascii="Arial" w:hAnsi="Arial" w:cs="Arial"/>
                <w:sz w:val="16"/>
                <w:szCs w:val="16"/>
              </w:rPr>
              <w:t>5,770</w:t>
            </w:r>
          </w:p>
        </w:tc>
        <w:tc>
          <w:tcPr>
            <w:tcW w:w="1417" w:type="dxa"/>
            <w:tcBorders>
              <w:bottom w:val="single" w:sz="4" w:space="0" w:color="auto"/>
            </w:tcBorders>
            <w:vAlign w:val="center"/>
          </w:tcPr>
          <w:p w14:paraId="1BC5DCE1" w14:textId="77777777" w:rsidR="005F6D6C" w:rsidRPr="00F31685" w:rsidRDefault="005F6D6C" w:rsidP="005F6D6C">
            <w:pPr>
              <w:spacing w:line="300" w:lineRule="atLeast"/>
              <w:jc w:val="center"/>
              <w:rPr>
                <w:rFonts w:ascii="Arial" w:hAnsi="Arial" w:cs="Arial"/>
                <w:sz w:val="16"/>
                <w:szCs w:val="16"/>
              </w:rPr>
            </w:pPr>
            <w:r>
              <w:rPr>
                <w:rFonts w:ascii="Arial" w:hAnsi="Arial" w:cs="Arial"/>
                <w:sz w:val="16"/>
                <w:szCs w:val="16"/>
              </w:rPr>
              <w:t>0.03 - 0.22</w:t>
            </w:r>
          </w:p>
        </w:tc>
        <w:tc>
          <w:tcPr>
            <w:tcW w:w="1985" w:type="dxa"/>
            <w:tcBorders>
              <w:bottom w:val="single" w:sz="4" w:space="0" w:color="auto"/>
            </w:tcBorders>
            <w:vAlign w:val="center"/>
          </w:tcPr>
          <w:p w14:paraId="10B76EF9" w14:textId="77777777" w:rsidR="005F6D6C" w:rsidRPr="00F31685" w:rsidRDefault="005F6D6C" w:rsidP="007901FE">
            <w:pPr>
              <w:spacing w:line="300" w:lineRule="atLeast"/>
              <w:jc w:val="center"/>
              <w:rPr>
                <w:rFonts w:ascii="Arial" w:hAnsi="Arial" w:cs="Arial"/>
                <w:sz w:val="16"/>
                <w:szCs w:val="16"/>
              </w:rPr>
            </w:pPr>
            <w:r>
              <w:rPr>
                <w:rFonts w:ascii="Arial" w:hAnsi="Arial" w:cs="Arial"/>
                <w:sz w:val="16"/>
                <w:szCs w:val="16"/>
              </w:rPr>
              <w:t>173</w:t>
            </w:r>
            <w:r w:rsidR="00D947F8">
              <w:rPr>
                <w:rFonts w:ascii="Arial" w:hAnsi="Arial" w:cs="Arial"/>
                <w:sz w:val="16"/>
                <w:szCs w:val="16"/>
              </w:rPr>
              <w:t>.1</w:t>
            </w:r>
            <w:r>
              <w:rPr>
                <w:rFonts w:ascii="Arial" w:hAnsi="Arial" w:cs="Arial"/>
                <w:sz w:val="16"/>
                <w:szCs w:val="16"/>
              </w:rPr>
              <w:t xml:space="preserve"> – 1,269</w:t>
            </w:r>
            <w:r w:rsidR="00D947F8">
              <w:rPr>
                <w:rFonts w:ascii="Arial" w:hAnsi="Arial" w:cs="Arial"/>
                <w:sz w:val="16"/>
                <w:szCs w:val="16"/>
              </w:rPr>
              <w:t>.4</w:t>
            </w:r>
          </w:p>
        </w:tc>
        <w:tc>
          <w:tcPr>
            <w:tcW w:w="1701" w:type="dxa"/>
            <w:tcBorders>
              <w:bottom w:val="single" w:sz="4" w:space="0" w:color="auto"/>
            </w:tcBorders>
            <w:vAlign w:val="center"/>
          </w:tcPr>
          <w:p w14:paraId="6828F8A8" w14:textId="77777777" w:rsidR="005F6D6C" w:rsidRPr="00F31685" w:rsidRDefault="00D947F8" w:rsidP="007901FE">
            <w:pPr>
              <w:spacing w:line="300" w:lineRule="atLeast"/>
              <w:jc w:val="center"/>
              <w:rPr>
                <w:rFonts w:ascii="Arial" w:hAnsi="Arial" w:cs="Arial"/>
                <w:sz w:val="16"/>
                <w:szCs w:val="16"/>
              </w:rPr>
            </w:pPr>
            <w:r>
              <w:rPr>
                <w:rFonts w:ascii="Arial" w:hAnsi="Arial" w:cs="Arial"/>
                <w:sz w:val="16"/>
                <w:szCs w:val="16"/>
              </w:rPr>
              <w:t>126.6</w:t>
            </w:r>
            <w:r w:rsidR="005F6D6C">
              <w:rPr>
                <w:rFonts w:ascii="Arial" w:hAnsi="Arial" w:cs="Arial"/>
                <w:sz w:val="16"/>
                <w:szCs w:val="16"/>
              </w:rPr>
              <w:t>-1</w:t>
            </w:r>
            <w:r w:rsidR="000F4FB5">
              <w:rPr>
                <w:rFonts w:ascii="Arial" w:hAnsi="Arial" w:cs="Arial"/>
                <w:sz w:val="16"/>
                <w:szCs w:val="16"/>
              </w:rPr>
              <w:t>,</w:t>
            </w:r>
            <w:r w:rsidR="005F6D6C">
              <w:rPr>
                <w:rFonts w:ascii="Arial" w:hAnsi="Arial" w:cs="Arial"/>
                <w:sz w:val="16"/>
                <w:szCs w:val="16"/>
              </w:rPr>
              <w:t>222.</w:t>
            </w:r>
            <w:r>
              <w:rPr>
                <w:rFonts w:ascii="Arial" w:hAnsi="Arial" w:cs="Arial"/>
                <w:sz w:val="16"/>
                <w:szCs w:val="16"/>
              </w:rPr>
              <w:t>9</w:t>
            </w:r>
            <w:r w:rsidR="00E62CD6" w:rsidRPr="00E62CD6">
              <w:rPr>
                <w:rFonts w:ascii="Arial" w:hAnsi="Arial" w:cs="Arial"/>
                <w:sz w:val="16"/>
                <w:szCs w:val="16"/>
                <w:vertAlign w:val="superscript"/>
              </w:rPr>
              <w:t>a</w:t>
            </w:r>
          </w:p>
        </w:tc>
        <w:tc>
          <w:tcPr>
            <w:tcW w:w="702" w:type="dxa"/>
            <w:tcBorders>
              <w:bottom w:val="single" w:sz="4" w:space="0" w:color="auto"/>
            </w:tcBorders>
            <w:vAlign w:val="center"/>
          </w:tcPr>
          <w:p w14:paraId="06D839B3" w14:textId="77777777" w:rsidR="005F6D6C" w:rsidRPr="00F31685" w:rsidRDefault="005F6D6C" w:rsidP="007901FE">
            <w:pPr>
              <w:spacing w:line="300" w:lineRule="atLeast"/>
              <w:jc w:val="center"/>
              <w:rPr>
                <w:rFonts w:ascii="Arial" w:hAnsi="Arial" w:cs="Arial"/>
                <w:sz w:val="16"/>
                <w:szCs w:val="16"/>
              </w:rPr>
            </w:pPr>
            <w:r>
              <w:rPr>
                <w:rFonts w:ascii="Arial" w:hAnsi="Arial" w:cs="Arial"/>
                <w:sz w:val="16"/>
                <w:szCs w:val="16"/>
              </w:rPr>
              <w:t>46.5</w:t>
            </w:r>
          </w:p>
        </w:tc>
      </w:tr>
      <w:tr w:rsidR="00231A1F" w14:paraId="6472B24B" w14:textId="77777777" w:rsidTr="009619AB">
        <w:tc>
          <w:tcPr>
            <w:tcW w:w="2025" w:type="dxa"/>
            <w:tcBorders>
              <w:bottom w:val="single" w:sz="4" w:space="0" w:color="auto"/>
            </w:tcBorders>
          </w:tcPr>
          <w:p w14:paraId="5E2881D2" w14:textId="77777777" w:rsidR="00231A1F" w:rsidRDefault="00B2520C" w:rsidP="005F6D6C">
            <w:pPr>
              <w:spacing w:line="300" w:lineRule="atLeast"/>
              <w:jc w:val="both"/>
              <w:rPr>
                <w:rFonts w:ascii="Arial" w:hAnsi="Arial" w:cs="Arial"/>
                <w:sz w:val="16"/>
                <w:szCs w:val="16"/>
              </w:rPr>
            </w:pPr>
            <w:r>
              <w:rPr>
                <w:rFonts w:ascii="Arial" w:hAnsi="Arial" w:cs="Arial"/>
                <w:sz w:val="16"/>
                <w:szCs w:val="16"/>
              </w:rPr>
              <w:t>Geothermal power, 2016</w:t>
            </w:r>
          </w:p>
        </w:tc>
        <w:tc>
          <w:tcPr>
            <w:tcW w:w="1231" w:type="dxa"/>
            <w:tcBorders>
              <w:bottom w:val="single" w:sz="4" w:space="0" w:color="auto"/>
            </w:tcBorders>
            <w:vAlign w:val="center"/>
          </w:tcPr>
          <w:p w14:paraId="5309368C" w14:textId="77777777" w:rsidR="00231A1F" w:rsidRDefault="00B2520C" w:rsidP="007901FE">
            <w:pPr>
              <w:spacing w:line="300" w:lineRule="atLeast"/>
              <w:jc w:val="center"/>
              <w:rPr>
                <w:rFonts w:ascii="Arial" w:hAnsi="Arial" w:cs="Arial"/>
                <w:sz w:val="16"/>
                <w:szCs w:val="16"/>
              </w:rPr>
            </w:pPr>
            <w:r>
              <w:rPr>
                <w:rFonts w:ascii="Arial" w:hAnsi="Arial" w:cs="Arial"/>
                <w:sz w:val="16"/>
                <w:szCs w:val="16"/>
              </w:rPr>
              <w:t>7,411</w:t>
            </w:r>
          </w:p>
        </w:tc>
        <w:tc>
          <w:tcPr>
            <w:tcW w:w="1417" w:type="dxa"/>
            <w:tcBorders>
              <w:bottom w:val="single" w:sz="4" w:space="0" w:color="auto"/>
            </w:tcBorders>
            <w:vAlign w:val="center"/>
          </w:tcPr>
          <w:p w14:paraId="237E69DC" w14:textId="77777777" w:rsidR="00231A1F" w:rsidRDefault="00B2520C" w:rsidP="005F6D6C">
            <w:pPr>
              <w:spacing w:line="300" w:lineRule="atLeast"/>
              <w:jc w:val="center"/>
              <w:rPr>
                <w:rFonts w:ascii="Arial" w:hAnsi="Arial" w:cs="Arial"/>
                <w:sz w:val="16"/>
                <w:szCs w:val="16"/>
              </w:rPr>
            </w:pPr>
            <w:r>
              <w:rPr>
                <w:rFonts w:ascii="Arial" w:hAnsi="Arial" w:cs="Arial"/>
                <w:sz w:val="16"/>
                <w:szCs w:val="16"/>
              </w:rPr>
              <w:t>0.03 - 0.22</w:t>
            </w:r>
          </w:p>
        </w:tc>
        <w:tc>
          <w:tcPr>
            <w:tcW w:w="1985" w:type="dxa"/>
            <w:tcBorders>
              <w:bottom w:val="single" w:sz="4" w:space="0" w:color="auto"/>
            </w:tcBorders>
            <w:vAlign w:val="center"/>
          </w:tcPr>
          <w:p w14:paraId="43AFDDF6" w14:textId="77777777" w:rsidR="00231A1F" w:rsidRDefault="006432C8" w:rsidP="007901FE">
            <w:pPr>
              <w:spacing w:line="300" w:lineRule="atLeast"/>
              <w:jc w:val="center"/>
              <w:rPr>
                <w:rFonts w:ascii="Arial" w:hAnsi="Arial" w:cs="Arial"/>
                <w:sz w:val="16"/>
                <w:szCs w:val="16"/>
              </w:rPr>
            </w:pPr>
            <w:r>
              <w:rPr>
                <w:rFonts w:ascii="Arial" w:hAnsi="Arial" w:cs="Arial"/>
                <w:sz w:val="16"/>
                <w:szCs w:val="16"/>
              </w:rPr>
              <w:t>222</w:t>
            </w:r>
            <w:r w:rsidR="00B2520C">
              <w:rPr>
                <w:rFonts w:ascii="Arial" w:hAnsi="Arial" w:cs="Arial"/>
                <w:sz w:val="16"/>
                <w:szCs w:val="16"/>
              </w:rPr>
              <w:t xml:space="preserve"> – 1,630</w:t>
            </w:r>
          </w:p>
        </w:tc>
        <w:tc>
          <w:tcPr>
            <w:tcW w:w="1701" w:type="dxa"/>
            <w:tcBorders>
              <w:bottom w:val="single" w:sz="4" w:space="0" w:color="auto"/>
            </w:tcBorders>
            <w:vAlign w:val="center"/>
          </w:tcPr>
          <w:p w14:paraId="4CE2F351" w14:textId="77777777" w:rsidR="00231A1F" w:rsidRDefault="00E60597" w:rsidP="007901FE">
            <w:pPr>
              <w:spacing w:line="300" w:lineRule="atLeast"/>
              <w:jc w:val="center"/>
              <w:rPr>
                <w:rFonts w:ascii="Arial" w:hAnsi="Arial" w:cs="Arial"/>
                <w:sz w:val="16"/>
                <w:szCs w:val="16"/>
              </w:rPr>
            </w:pPr>
            <w:r>
              <w:rPr>
                <w:rFonts w:ascii="Arial" w:hAnsi="Arial" w:cs="Arial"/>
                <w:sz w:val="16"/>
                <w:szCs w:val="16"/>
              </w:rPr>
              <w:t>213.4</w:t>
            </w:r>
            <w:r w:rsidR="00B2520C">
              <w:rPr>
                <w:rFonts w:ascii="Arial" w:hAnsi="Arial" w:cs="Arial"/>
                <w:sz w:val="16"/>
                <w:szCs w:val="16"/>
              </w:rPr>
              <w:t xml:space="preserve"> – 1,621.4</w:t>
            </w:r>
            <w:r w:rsidR="00237DA6" w:rsidRPr="00E62CD6">
              <w:rPr>
                <w:rFonts w:ascii="Arial" w:hAnsi="Arial" w:cs="Arial"/>
                <w:sz w:val="16"/>
                <w:szCs w:val="16"/>
                <w:vertAlign w:val="superscript"/>
              </w:rPr>
              <w:t xml:space="preserve"> a</w:t>
            </w:r>
          </w:p>
        </w:tc>
        <w:tc>
          <w:tcPr>
            <w:tcW w:w="702" w:type="dxa"/>
            <w:tcBorders>
              <w:bottom w:val="single" w:sz="4" w:space="0" w:color="auto"/>
            </w:tcBorders>
            <w:vAlign w:val="center"/>
          </w:tcPr>
          <w:p w14:paraId="399D592C" w14:textId="77777777" w:rsidR="00231A1F" w:rsidRDefault="00B2520C" w:rsidP="007901FE">
            <w:pPr>
              <w:spacing w:line="300" w:lineRule="atLeast"/>
              <w:jc w:val="center"/>
              <w:rPr>
                <w:rFonts w:ascii="Arial" w:hAnsi="Arial" w:cs="Arial"/>
                <w:sz w:val="16"/>
                <w:szCs w:val="16"/>
              </w:rPr>
            </w:pPr>
            <w:r>
              <w:rPr>
                <w:rFonts w:ascii="Arial" w:hAnsi="Arial" w:cs="Arial"/>
                <w:sz w:val="16"/>
                <w:szCs w:val="16"/>
              </w:rPr>
              <w:t>8.6</w:t>
            </w:r>
          </w:p>
        </w:tc>
      </w:tr>
      <w:tr w:rsidR="00401076" w14:paraId="7A5737E2" w14:textId="77777777" w:rsidTr="009619AB">
        <w:tc>
          <w:tcPr>
            <w:tcW w:w="2025" w:type="dxa"/>
            <w:tcBorders>
              <w:bottom w:val="double" w:sz="4" w:space="0" w:color="auto"/>
            </w:tcBorders>
          </w:tcPr>
          <w:p w14:paraId="3C033EBE" w14:textId="024946F3" w:rsidR="00401076" w:rsidRDefault="00401076" w:rsidP="005F6D6C">
            <w:pPr>
              <w:spacing w:line="300" w:lineRule="atLeast"/>
              <w:jc w:val="both"/>
              <w:rPr>
                <w:rFonts w:ascii="Arial" w:hAnsi="Arial" w:cs="Arial"/>
                <w:sz w:val="16"/>
                <w:szCs w:val="16"/>
              </w:rPr>
            </w:pPr>
            <w:r>
              <w:rPr>
                <w:rFonts w:ascii="Arial" w:hAnsi="Arial" w:cs="Arial"/>
                <w:sz w:val="16"/>
                <w:szCs w:val="16"/>
              </w:rPr>
              <w:t>Geothermal power, 2020</w:t>
            </w:r>
          </w:p>
        </w:tc>
        <w:tc>
          <w:tcPr>
            <w:tcW w:w="1231" w:type="dxa"/>
            <w:tcBorders>
              <w:bottom w:val="double" w:sz="4" w:space="0" w:color="auto"/>
            </w:tcBorders>
            <w:vAlign w:val="center"/>
          </w:tcPr>
          <w:p w14:paraId="638AC168" w14:textId="14B45B39" w:rsidR="00401076" w:rsidRDefault="00401076" w:rsidP="007901FE">
            <w:pPr>
              <w:spacing w:line="300" w:lineRule="atLeast"/>
              <w:jc w:val="center"/>
              <w:rPr>
                <w:rFonts w:ascii="Arial" w:hAnsi="Arial" w:cs="Arial"/>
                <w:sz w:val="16"/>
                <w:szCs w:val="16"/>
              </w:rPr>
            </w:pPr>
            <w:r>
              <w:rPr>
                <w:rFonts w:ascii="Arial" w:hAnsi="Arial" w:cs="Arial"/>
                <w:sz w:val="16"/>
                <w:szCs w:val="16"/>
              </w:rPr>
              <w:t>7,834</w:t>
            </w:r>
          </w:p>
        </w:tc>
        <w:tc>
          <w:tcPr>
            <w:tcW w:w="1417" w:type="dxa"/>
            <w:tcBorders>
              <w:bottom w:val="double" w:sz="4" w:space="0" w:color="auto"/>
            </w:tcBorders>
            <w:vAlign w:val="center"/>
          </w:tcPr>
          <w:p w14:paraId="5D2AB06F" w14:textId="3DCD0C24" w:rsidR="00401076" w:rsidRDefault="00401076" w:rsidP="005F6D6C">
            <w:pPr>
              <w:spacing w:line="300" w:lineRule="atLeast"/>
              <w:jc w:val="center"/>
              <w:rPr>
                <w:rFonts w:ascii="Arial" w:hAnsi="Arial" w:cs="Arial"/>
                <w:sz w:val="16"/>
                <w:szCs w:val="16"/>
              </w:rPr>
            </w:pPr>
            <w:r>
              <w:rPr>
                <w:rFonts w:ascii="Arial" w:hAnsi="Arial" w:cs="Arial"/>
                <w:sz w:val="16"/>
                <w:szCs w:val="16"/>
              </w:rPr>
              <w:t>0.03 – 0.22</w:t>
            </w:r>
          </w:p>
        </w:tc>
        <w:tc>
          <w:tcPr>
            <w:tcW w:w="1985" w:type="dxa"/>
            <w:tcBorders>
              <w:bottom w:val="double" w:sz="4" w:space="0" w:color="auto"/>
            </w:tcBorders>
            <w:vAlign w:val="center"/>
          </w:tcPr>
          <w:p w14:paraId="49BF839E" w14:textId="1C814900" w:rsidR="00401076" w:rsidRDefault="00401076" w:rsidP="007901FE">
            <w:pPr>
              <w:spacing w:line="300" w:lineRule="atLeast"/>
              <w:jc w:val="center"/>
              <w:rPr>
                <w:rFonts w:ascii="Arial" w:hAnsi="Arial" w:cs="Arial"/>
                <w:sz w:val="16"/>
                <w:szCs w:val="16"/>
              </w:rPr>
            </w:pPr>
            <w:r>
              <w:rPr>
                <w:rFonts w:ascii="Arial" w:hAnsi="Arial" w:cs="Arial"/>
                <w:sz w:val="16"/>
                <w:szCs w:val="16"/>
              </w:rPr>
              <w:t xml:space="preserve">235 </w:t>
            </w:r>
            <w:r w:rsidR="00254F44">
              <w:rPr>
                <w:rFonts w:ascii="Arial" w:hAnsi="Arial" w:cs="Arial"/>
                <w:sz w:val="16"/>
                <w:szCs w:val="16"/>
              </w:rPr>
              <w:t>–</w:t>
            </w:r>
            <w:r>
              <w:rPr>
                <w:rFonts w:ascii="Arial" w:hAnsi="Arial" w:cs="Arial"/>
                <w:sz w:val="16"/>
                <w:szCs w:val="16"/>
              </w:rPr>
              <w:t xml:space="preserve"> </w:t>
            </w:r>
            <w:r w:rsidR="00CD0E48">
              <w:rPr>
                <w:rFonts w:ascii="Arial" w:hAnsi="Arial" w:cs="Arial"/>
                <w:sz w:val="16"/>
                <w:szCs w:val="16"/>
              </w:rPr>
              <w:t>1723</w:t>
            </w:r>
          </w:p>
        </w:tc>
        <w:tc>
          <w:tcPr>
            <w:tcW w:w="1701" w:type="dxa"/>
            <w:tcBorders>
              <w:bottom w:val="double" w:sz="4" w:space="0" w:color="auto"/>
            </w:tcBorders>
            <w:vAlign w:val="center"/>
          </w:tcPr>
          <w:p w14:paraId="53291073" w14:textId="39E08140" w:rsidR="00401076" w:rsidRDefault="00A01846" w:rsidP="007901FE">
            <w:pPr>
              <w:spacing w:line="300" w:lineRule="atLeast"/>
              <w:jc w:val="center"/>
              <w:rPr>
                <w:rFonts w:ascii="Arial" w:hAnsi="Arial" w:cs="Arial"/>
                <w:sz w:val="16"/>
                <w:szCs w:val="16"/>
              </w:rPr>
            </w:pPr>
            <w:r>
              <w:rPr>
                <w:rFonts w:ascii="Arial" w:hAnsi="Arial" w:cs="Arial"/>
                <w:sz w:val="16"/>
                <w:szCs w:val="16"/>
              </w:rPr>
              <w:t>22</w:t>
            </w:r>
            <w:r w:rsidR="00C63D34">
              <w:rPr>
                <w:rFonts w:ascii="Arial" w:hAnsi="Arial" w:cs="Arial"/>
                <w:sz w:val="16"/>
                <w:szCs w:val="16"/>
              </w:rPr>
              <w:t>7.8</w:t>
            </w:r>
            <w:r>
              <w:rPr>
                <w:rFonts w:ascii="Arial" w:hAnsi="Arial" w:cs="Arial"/>
                <w:sz w:val="16"/>
                <w:szCs w:val="16"/>
              </w:rPr>
              <w:t xml:space="preserve"> – 171</w:t>
            </w:r>
            <w:r w:rsidR="00A950AA">
              <w:rPr>
                <w:rFonts w:ascii="Arial" w:hAnsi="Arial" w:cs="Arial"/>
                <w:sz w:val="16"/>
                <w:szCs w:val="16"/>
              </w:rPr>
              <w:t>5.8</w:t>
            </w:r>
            <w:r w:rsidR="006865A8" w:rsidRPr="000B1B79">
              <w:rPr>
                <w:rFonts w:ascii="Arial" w:hAnsi="Arial" w:cs="Arial"/>
                <w:sz w:val="16"/>
                <w:szCs w:val="16"/>
                <w:vertAlign w:val="superscript"/>
              </w:rPr>
              <w:t>a</w:t>
            </w:r>
          </w:p>
        </w:tc>
        <w:tc>
          <w:tcPr>
            <w:tcW w:w="702" w:type="dxa"/>
            <w:tcBorders>
              <w:bottom w:val="double" w:sz="4" w:space="0" w:color="auto"/>
            </w:tcBorders>
            <w:vAlign w:val="center"/>
          </w:tcPr>
          <w:p w14:paraId="6968F3A0" w14:textId="2A921C98" w:rsidR="00401076" w:rsidRDefault="00A950AA" w:rsidP="007901FE">
            <w:pPr>
              <w:spacing w:line="300" w:lineRule="atLeast"/>
              <w:jc w:val="center"/>
              <w:rPr>
                <w:rFonts w:ascii="Arial" w:hAnsi="Arial" w:cs="Arial"/>
                <w:sz w:val="16"/>
                <w:szCs w:val="16"/>
              </w:rPr>
            </w:pPr>
            <w:r>
              <w:rPr>
                <w:rFonts w:ascii="Arial" w:hAnsi="Arial" w:cs="Arial"/>
                <w:sz w:val="16"/>
                <w:szCs w:val="16"/>
              </w:rPr>
              <w:t>7.2</w:t>
            </w:r>
          </w:p>
        </w:tc>
      </w:tr>
      <w:tr w:rsidR="00D52B01" w14:paraId="51D4031D" w14:textId="77777777" w:rsidTr="009619AB">
        <w:tc>
          <w:tcPr>
            <w:tcW w:w="2025" w:type="dxa"/>
            <w:tcBorders>
              <w:bottom w:val="double" w:sz="4" w:space="0" w:color="auto"/>
            </w:tcBorders>
          </w:tcPr>
          <w:p w14:paraId="13A3952A" w14:textId="693C3718" w:rsidR="00D52B01" w:rsidRDefault="00D52B01" w:rsidP="005F6D6C">
            <w:pPr>
              <w:spacing w:line="300" w:lineRule="atLeast"/>
              <w:jc w:val="both"/>
              <w:rPr>
                <w:rFonts w:ascii="Arial" w:hAnsi="Arial" w:cs="Arial"/>
                <w:sz w:val="16"/>
                <w:szCs w:val="16"/>
              </w:rPr>
            </w:pPr>
            <w:r>
              <w:rPr>
                <w:rFonts w:ascii="Arial" w:hAnsi="Arial" w:cs="Arial"/>
                <w:sz w:val="16"/>
                <w:szCs w:val="16"/>
              </w:rPr>
              <w:t>Geothermal power, 2024</w:t>
            </w:r>
          </w:p>
        </w:tc>
        <w:tc>
          <w:tcPr>
            <w:tcW w:w="1231" w:type="dxa"/>
            <w:tcBorders>
              <w:bottom w:val="double" w:sz="4" w:space="0" w:color="auto"/>
            </w:tcBorders>
            <w:vAlign w:val="center"/>
          </w:tcPr>
          <w:p w14:paraId="059E207D" w14:textId="614A12AB" w:rsidR="00D52B01" w:rsidRDefault="00D52B01" w:rsidP="007901FE">
            <w:pPr>
              <w:spacing w:line="300" w:lineRule="atLeast"/>
              <w:jc w:val="center"/>
              <w:rPr>
                <w:rFonts w:ascii="Arial" w:hAnsi="Arial" w:cs="Arial"/>
                <w:sz w:val="16"/>
                <w:szCs w:val="16"/>
              </w:rPr>
            </w:pPr>
            <w:r>
              <w:rPr>
                <w:rFonts w:ascii="Arial" w:hAnsi="Arial" w:cs="Arial"/>
                <w:sz w:val="16"/>
                <w:szCs w:val="16"/>
              </w:rPr>
              <w:t>8,741</w:t>
            </w:r>
          </w:p>
        </w:tc>
        <w:tc>
          <w:tcPr>
            <w:tcW w:w="1417" w:type="dxa"/>
            <w:tcBorders>
              <w:bottom w:val="double" w:sz="4" w:space="0" w:color="auto"/>
            </w:tcBorders>
            <w:vAlign w:val="center"/>
          </w:tcPr>
          <w:p w14:paraId="1E50FFAE" w14:textId="3A3711F1" w:rsidR="00D52B01" w:rsidRDefault="00D52B01" w:rsidP="005F6D6C">
            <w:pPr>
              <w:spacing w:line="300" w:lineRule="atLeast"/>
              <w:jc w:val="center"/>
              <w:rPr>
                <w:rFonts w:ascii="Arial" w:hAnsi="Arial" w:cs="Arial"/>
                <w:sz w:val="16"/>
                <w:szCs w:val="16"/>
              </w:rPr>
            </w:pPr>
            <w:r>
              <w:rPr>
                <w:rFonts w:ascii="Arial" w:hAnsi="Arial" w:cs="Arial"/>
                <w:sz w:val="16"/>
                <w:szCs w:val="16"/>
              </w:rPr>
              <w:t>0.03 – 0.22</w:t>
            </w:r>
          </w:p>
        </w:tc>
        <w:tc>
          <w:tcPr>
            <w:tcW w:w="1985" w:type="dxa"/>
            <w:tcBorders>
              <w:bottom w:val="double" w:sz="4" w:space="0" w:color="auto"/>
            </w:tcBorders>
            <w:vAlign w:val="center"/>
          </w:tcPr>
          <w:p w14:paraId="246D6664" w14:textId="0EF816CF" w:rsidR="00D52B01" w:rsidRDefault="00D52B01" w:rsidP="007901FE">
            <w:pPr>
              <w:spacing w:line="300" w:lineRule="atLeast"/>
              <w:jc w:val="center"/>
              <w:rPr>
                <w:rFonts w:ascii="Arial" w:hAnsi="Arial" w:cs="Arial"/>
                <w:sz w:val="16"/>
                <w:szCs w:val="16"/>
              </w:rPr>
            </w:pPr>
            <w:r>
              <w:rPr>
                <w:rFonts w:ascii="Arial" w:hAnsi="Arial" w:cs="Arial"/>
                <w:sz w:val="16"/>
                <w:szCs w:val="16"/>
              </w:rPr>
              <w:t>262 - 1923</w:t>
            </w:r>
          </w:p>
        </w:tc>
        <w:tc>
          <w:tcPr>
            <w:tcW w:w="1701" w:type="dxa"/>
            <w:tcBorders>
              <w:bottom w:val="double" w:sz="4" w:space="0" w:color="auto"/>
            </w:tcBorders>
            <w:vAlign w:val="center"/>
          </w:tcPr>
          <w:p w14:paraId="13FDDC4D" w14:textId="6A66B005" w:rsidR="00D52B01" w:rsidRDefault="00D52B01" w:rsidP="007901FE">
            <w:pPr>
              <w:spacing w:line="300" w:lineRule="atLeast"/>
              <w:jc w:val="center"/>
              <w:rPr>
                <w:rFonts w:ascii="Arial" w:hAnsi="Arial" w:cs="Arial"/>
                <w:sz w:val="16"/>
                <w:szCs w:val="16"/>
              </w:rPr>
            </w:pPr>
            <w:r>
              <w:rPr>
                <w:rFonts w:ascii="Arial" w:hAnsi="Arial" w:cs="Arial"/>
                <w:sz w:val="16"/>
                <w:szCs w:val="16"/>
              </w:rPr>
              <w:t>25</w:t>
            </w:r>
            <w:r w:rsidR="00092468">
              <w:rPr>
                <w:rFonts w:ascii="Arial" w:hAnsi="Arial" w:cs="Arial"/>
                <w:sz w:val="16"/>
                <w:szCs w:val="16"/>
              </w:rPr>
              <w:t>5</w:t>
            </w:r>
            <w:r>
              <w:rPr>
                <w:rFonts w:ascii="Arial" w:hAnsi="Arial" w:cs="Arial"/>
                <w:sz w:val="16"/>
                <w:szCs w:val="16"/>
              </w:rPr>
              <w:t>.</w:t>
            </w:r>
            <w:r w:rsidR="00092468">
              <w:rPr>
                <w:rFonts w:ascii="Arial" w:hAnsi="Arial" w:cs="Arial"/>
                <w:sz w:val="16"/>
                <w:szCs w:val="16"/>
              </w:rPr>
              <w:t>6</w:t>
            </w:r>
            <w:r>
              <w:rPr>
                <w:rFonts w:ascii="Arial" w:hAnsi="Arial" w:cs="Arial"/>
                <w:sz w:val="16"/>
                <w:szCs w:val="16"/>
              </w:rPr>
              <w:t xml:space="preserve"> – 191</w:t>
            </w:r>
            <w:r w:rsidR="00C50291">
              <w:rPr>
                <w:rFonts w:ascii="Arial" w:hAnsi="Arial" w:cs="Arial"/>
                <w:sz w:val="16"/>
                <w:szCs w:val="16"/>
              </w:rPr>
              <w:t>6</w:t>
            </w:r>
            <w:r>
              <w:rPr>
                <w:rFonts w:ascii="Arial" w:hAnsi="Arial" w:cs="Arial"/>
                <w:sz w:val="16"/>
                <w:szCs w:val="16"/>
              </w:rPr>
              <w:t>.</w:t>
            </w:r>
            <w:r w:rsidR="00C50291">
              <w:rPr>
                <w:rFonts w:ascii="Arial" w:hAnsi="Arial" w:cs="Arial"/>
                <w:sz w:val="16"/>
                <w:szCs w:val="16"/>
              </w:rPr>
              <w:t>6</w:t>
            </w:r>
            <w:r w:rsidR="006865A8" w:rsidRPr="00CD0BC6">
              <w:rPr>
                <w:rFonts w:ascii="Arial" w:hAnsi="Arial" w:cs="Arial"/>
                <w:sz w:val="16"/>
                <w:szCs w:val="16"/>
                <w:vertAlign w:val="superscript"/>
              </w:rPr>
              <w:t xml:space="preserve"> a</w:t>
            </w:r>
          </w:p>
        </w:tc>
        <w:tc>
          <w:tcPr>
            <w:tcW w:w="702" w:type="dxa"/>
            <w:tcBorders>
              <w:bottom w:val="double" w:sz="4" w:space="0" w:color="auto"/>
            </w:tcBorders>
            <w:vAlign w:val="center"/>
          </w:tcPr>
          <w:p w14:paraId="0CF944E0" w14:textId="30797FFE" w:rsidR="00D52B01" w:rsidRDefault="00092468" w:rsidP="007901FE">
            <w:pPr>
              <w:spacing w:line="300" w:lineRule="atLeast"/>
              <w:jc w:val="center"/>
              <w:rPr>
                <w:rFonts w:ascii="Arial" w:hAnsi="Arial" w:cs="Arial"/>
                <w:sz w:val="16"/>
                <w:szCs w:val="16"/>
              </w:rPr>
            </w:pPr>
            <w:r>
              <w:rPr>
                <w:rFonts w:ascii="Arial" w:hAnsi="Arial" w:cs="Arial"/>
                <w:sz w:val="16"/>
                <w:szCs w:val="16"/>
              </w:rPr>
              <w:t>6.4</w:t>
            </w:r>
          </w:p>
        </w:tc>
      </w:tr>
      <w:tr w:rsidR="00116640" w14:paraId="6FFD3887" w14:textId="77777777" w:rsidTr="009619AB">
        <w:tc>
          <w:tcPr>
            <w:tcW w:w="2025" w:type="dxa"/>
            <w:tcBorders>
              <w:top w:val="double" w:sz="4" w:space="0" w:color="auto"/>
              <w:bottom w:val="single" w:sz="4" w:space="0" w:color="auto"/>
            </w:tcBorders>
          </w:tcPr>
          <w:p w14:paraId="1F2EC1C3" w14:textId="77777777" w:rsidR="00116640" w:rsidRDefault="00116640" w:rsidP="00116640">
            <w:pPr>
              <w:spacing w:line="300" w:lineRule="atLeast"/>
              <w:jc w:val="both"/>
              <w:rPr>
                <w:rFonts w:ascii="Arial" w:hAnsi="Arial" w:cs="Arial"/>
                <w:sz w:val="16"/>
                <w:szCs w:val="16"/>
              </w:rPr>
            </w:pPr>
            <w:r>
              <w:rPr>
                <w:rFonts w:ascii="Arial" w:hAnsi="Arial" w:cs="Arial"/>
                <w:sz w:val="16"/>
                <w:szCs w:val="16"/>
              </w:rPr>
              <w:t>Direct use</w:t>
            </w:r>
            <w:r w:rsidR="00B2520C">
              <w:rPr>
                <w:rFonts w:ascii="Arial" w:hAnsi="Arial" w:cs="Arial"/>
                <w:sz w:val="16"/>
                <w:szCs w:val="16"/>
              </w:rPr>
              <w:t>, 2012</w:t>
            </w:r>
          </w:p>
        </w:tc>
        <w:tc>
          <w:tcPr>
            <w:tcW w:w="2648" w:type="dxa"/>
            <w:gridSpan w:val="2"/>
            <w:tcBorders>
              <w:top w:val="double" w:sz="4" w:space="0" w:color="auto"/>
              <w:bottom w:val="single" w:sz="4" w:space="0" w:color="auto"/>
            </w:tcBorders>
            <w:vAlign w:val="center"/>
          </w:tcPr>
          <w:p w14:paraId="5FCC1980" w14:textId="77777777" w:rsidR="00116640" w:rsidRDefault="00116640" w:rsidP="005F6D6C">
            <w:pPr>
              <w:spacing w:line="300" w:lineRule="atLeast"/>
              <w:jc w:val="center"/>
              <w:rPr>
                <w:rFonts w:ascii="Arial" w:hAnsi="Arial" w:cs="Arial"/>
                <w:sz w:val="16"/>
                <w:szCs w:val="16"/>
              </w:rPr>
            </w:pPr>
            <w:r>
              <w:rPr>
                <w:rFonts w:ascii="Arial" w:hAnsi="Arial" w:cs="Arial"/>
                <w:sz w:val="16"/>
                <w:szCs w:val="16"/>
              </w:rPr>
              <w:t>based on 6% of the above</w:t>
            </w:r>
          </w:p>
        </w:tc>
        <w:tc>
          <w:tcPr>
            <w:tcW w:w="1985" w:type="dxa"/>
            <w:tcBorders>
              <w:top w:val="double" w:sz="4" w:space="0" w:color="auto"/>
              <w:bottom w:val="single" w:sz="4" w:space="0" w:color="auto"/>
            </w:tcBorders>
            <w:vAlign w:val="center"/>
          </w:tcPr>
          <w:p w14:paraId="33FB1E2A" w14:textId="77777777" w:rsidR="00116640" w:rsidRDefault="00116640" w:rsidP="00B538D4">
            <w:pPr>
              <w:spacing w:line="300" w:lineRule="atLeast"/>
              <w:jc w:val="center"/>
              <w:rPr>
                <w:rFonts w:ascii="Arial" w:hAnsi="Arial" w:cs="Arial"/>
                <w:sz w:val="16"/>
                <w:szCs w:val="16"/>
              </w:rPr>
            </w:pPr>
            <w:r>
              <w:rPr>
                <w:rFonts w:ascii="Arial" w:hAnsi="Arial" w:cs="Arial"/>
                <w:sz w:val="16"/>
                <w:szCs w:val="16"/>
              </w:rPr>
              <w:t>10.4 – 76.1</w:t>
            </w:r>
            <w:r w:rsidR="00B538D4">
              <w:rPr>
                <w:rFonts w:ascii="Arial" w:hAnsi="Arial" w:cs="Arial"/>
                <w:sz w:val="16"/>
                <w:szCs w:val="16"/>
              </w:rPr>
              <w:t xml:space="preserve"> </w:t>
            </w:r>
          </w:p>
        </w:tc>
        <w:tc>
          <w:tcPr>
            <w:tcW w:w="1701" w:type="dxa"/>
            <w:tcBorders>
              <w:top w:val="double" w:sz="4" w:space="0" w:color="auto"/>
              <w:bottom w:val="single" w:sz="4" w:space="0" w:color="auto"/>
            </w:tcBorders>
            <w:vAlign w:val="center"/>
          </w:tcPr>
          <w:p w14:paraId="43C102DB" w14:textId="77777777" w:rsidR="00116640" w:rsidRDefault="00116640" w:rsidP="007901FE">
            <w:pPr>
              <w:spacing w:line="300" w:lineRule="atLeast"/>
              <w:jc w:val="center"/>
              <w:rPr>
                <w:rFonts w:ascii="Arial" w:hAnsi="Arial" w:cs="Arial"/>
                <w:sz w:val="16"/>
                <w:szCs w:val="16"/>
              </w:rPr>
            </w:pPr>
            <w:r>
              <w:rPr>
                <w:rFonts w:ascii="Arial" w:hAnsi="Arial" w:cs="Arial"/>
                <w:sz w:val="16"/>
                <w:szCs w:val="16"/>
              </w:rPr>
              <w:t>10.4 – 76.1</w:t>
            </w:r>
          </w:p>
        </w:tc>
        <w:tc>
          <w:tcPr>
            <w:tcW w:w="702" w:type="dxa"/>
            <w:tcBorders>
              <w:top w:val="double" w:sz="4" w:space="0" w:color="auto"/>
              <w:bottom w:val="single" w:sz="4" w:space="0" w:color="auto"/>
            </w:tcBorders>
            <w:vAlign w:val="center"/>
          </w:tcPr>
          <w:p w14:paraId="5E975DFA" w14:textId="77777777" w:rsidR="00116640" w:rsidRDefault="00116640" w:rsidP="007901FE">
            <w:pPr>
              <w:spacing w:line="300" w:lineRule="atLeast"/>
              <w:jc w:val="center"/>
              <w:rPr>
                <w:rFonts w:ascii="Arial" w:hAnsi="Arial" w:cs="Arial"/>
                <w:sz w:val="16"/>
                <w:szCs w:val="16"/>
              </w:rPr>
            </w:pPr>
            <w:r>
              <w:rPr>
                <w:rFonts w:ascii="Arial" w:hAnsi="Arial" w:cs="Arial"/>
                <w:sz w:val="16"/>
                <w:szCs w:val="16"/>
              </w:rPr>
              <w:t>-</w:t>
            </w:r>
          </w:p>
        </w:tc>
      </w:tr>
      <w:tr w:rsidR="00231A1F" w14:paraId="63D7C81F" w14:textId="77777777" w:rsidTr="009619AB">
        <w:tc>
          <w:tcPr>
            <w:tcW w:w="2025" w:type="dxa"/>
            <w:tcBorders>
              <w:bottom w:val="single" w:sz="4" w:space="0" w:color="auto"/>
            </w:tcBorders>
          </w:tcPr>
          <w:p w14:paraId="606E84C8" w14:textId="77777777" w:rsidR="00231A1F" w:rsidRDefault="00B2520C" w:rsidP="00116640">
            <w:pPr>
              <w:spacing w:line="300" w:lineRule="atLeast"/>
              <w:jc w:val="both"/>
              <w:rPr>
                <w:rFonts w:ascii="Arial" w:hAnsi="Arial" w:cs="Arial"/>
                <w:sz w:val="16"/>
                <w:szCs w:val="16"/>
              </w:rPr>
            </w:pPr>
            <w:r>
              <w:rPr>
                <w:rFonts w:ascii="Arial" w:hAnsi="Arial" w:cs="Arial"/>
                <w:sz w:val="16"/>
                <w:szCs w:val="16"/>
              </w:rPr>
              <w:t>Direct use, 2016</w:t>
            </w:r>
          </w:p>
        </w:tc>
        <w:tc>
          <w:tcPr>
            <w:tcW w:w="2648" w:type="dxa"/>
            <w:gridSpan w:val="2"/>
            <w:tcBorders>
              <w:bottom w:val="single" w:sz="4" w:space="0" w:color="auto"/>
            </w:tcBorders>
            <w:vAlign w:val="center"/>
          </w:tcPr>
          <w:p w14:paraId="0AE8E2AC" w14:textId="77777777" w:rsidR="00231A1F" w:rsidRDefault="00E60597" w:rsidP="005F6D6C">
            <w:pPr>
              <w:spacing w:line="300" w:lineRule="atLeast"/>
              <w:jc w:val="center"/>
              <w:rPr>
                <w:rFonts w:ascii="Arial" w:hAnsi="Arial" w:cs="Arial"/>
                <w:sz w:val="16"/>
                <w:szCs w:val="16"/>
              </w:rPr>
            </w:pPr>
            <w:r>
              <w:rPr>
                <w:rFonts w:ascii="Arial" w:hAnsi="Arial" w:cs="Arial"/>
                <w:sz w:val="16"/>
                <w:szCs w:val="16"/>
              </w:rPr>
              <w:t>based on 3.8</w:t>
            </w:r>
            <w:r w:rsidR="00B2520C">
              <w:rPr>
                <w:rFonts w:ascii="Arial" w:hAnsi="Arial" w:cs="Arial"/>
                <w:sz w:val="16"/>
                <w:szCs w:val="16"/>
              </w:rPr>
              <w:t>% of the above</w:t>
            </w:r>
          </w:p>
        </w:tc>
        <w:tc>
          <w:tcPr>
            <w:tcW w:w="1985" w:type="dxa"/>
            <w:tcBorders>
              <w:bottom w:val="single" w:sz="4" w:space="0" w:color="auto"/>
            </w:tcBorders>
            <w:vAlign w:val="center"/>
          </w:tcPr>
          <w:p w14:paraId="234C972F" w14:textId="77777777" w:rsidR="00231A1F" w:rsidRDefault="00E60597" w:rsidP="00B538D4">
            <w:pPr>
              <w:spacing w:line="300" w:lineRule="atLeast"/>
              <w:jc w:val="center"/>
              <w:rPr>
                <w:rFonts w:ascii="Arial" w:hAnsi="Arial" w:cs="Arial"/>
                <w:sz w:val="16"/>
                <w:szCs w:val="16"/>
              </w:rPr>
            </w:pPr>
            <w:r>
              <w:rPr>
                <w:rFonts w:ascii="Arial" w:hAnsi="Arial" w:cs="Arial"/>
                <w:sz w:val="16"/>
                <w:szCs w:val="16"/>
              </w:rPr>
              <w:t>8.5 – 62.4</w:t>
            </w:r>
          </w:p>
        </w:tc>
        <w:tc>
          <w:tcPr>
            <w:tcW w:w="1701" w:type="dxa"/>
            <w:tcBorders>
              <w:bottom w:val="single" w:sz="4" w:space="0" w:color="auto"/>
            </w:tcBorders>
            <w:vAlign w:val="center"/>
          </w:tcPr>
          <w:p w14:paraId="4C50B07A" w14:textId="77777777" w:rsidR="00231A1F" w:rsidRDefault="00E60597" w:rsidP="007901FE">
            <w:pPr>
              <w:spacing w:line="300" w:lineRule="atLeast"/>
              <w:jc w:val="center"/>
              <w:rPr>
                <w:rFonts w:ascii="Arial" w:hAnsi="Arial" w:cs="Arial"/>
                <w:sz w:val="16"/>
                <w:szCs w:val="16"/>
              </w:rPr>
            </w:pPr>
            <w:r>
              <w:rPr>
                <w:rFonts w:ascii="Arial" w:hAnsi="Arial" w:cs="Arial"/>
                <w:sz w:val="16"/>
                <w:szCs w:val="16"/>
              </w:rPr>
              <w:t>8.5 – 62.4</w:t>
            </w:r>
          </w:p>
        </w:tc>
        <w:tc>
          <w:tcPr>
            <w:tcW w:w="702" w:type="dxa"/>
            <w:tcBorders>
              <w:bottom w:val="single" w:sz="4" w:space="0" w:color="auto"/>
            </w:tcBorders>
            <w:vAlign w:val="center"/>
          </w:tcPr>
          <w:p w14:paraId="4E8F2052" w14:textId="77777777" w:rsidR="00231A1F" w:rsidRDefault="00B2520C" w:rsidP="007901FE">
            <w:pPr>
              <w:spacing w:line="300" w:lineRule="atLeast"/>
              <w:jc w:val="center"/>
              <w:rPr>
                <w:rFonts w:ascii="Arial" w:hAnsi="Arial" w:cs="Arial"/>
                <w:sz w:val="16"/>
                <w:szCs w:val="16"/>
              </w:rPr>
            </w:pPr>
            <w:r>
              <w:rPr>
                <w:rFonts w:ascii="Arial" w:hAnsi="Arial" w:cs="Arial"/>
                <w:sz w:val="16"/>
                <w:szCs w:val="16"/>
              </w:rPr>
              <w:t>-</w:t>
            </w:r>
          </w:p>
        </w:tc>
      </w:tr>
      <w:tr w:rsidR="00CD0E48" w14:paraId="1D7DAF83" w14:textId="77777777" w:rsidTr="009619AB">
        <w:tc>
          <w:tcPr>
            <w:tcW w:w="2025" w:type="dxa"/>
            <w:tcBorders>
              <w:bottom w:val="double" w:sz="4" w:space="0" w:color="auto"/>
            </w:tcBorders>
          </w:tcPr>
          <w:p w14:paraId="084EE314" w14:textId="057AF4DD" w:rsidR="00CD0E48" w:rsidRDefault="00CD0E48" w:rsidP="00116640">
            <w:pPr>
              <w:spacing w:line="300" w:lineRule="atLeast"/>
              <w:jc w:val="both"/>
              <w:rPr>
                <w:rFonts w:ascii="Arial" w:hAnsi="Arial" w:cs="Arial"/>
                <w:sz w:val="16"/>
                <w:szCs w:val="16"/>
              </w:rPr>
            </w:pPr>
            <w:r>
              <w:rPr>
                <w:rFonts w:ascii="Arial" w:hAnsi="Arial" w:cs="Arial"/>
                <w:sz w:val="16"/>
                <w:szCs w:val="16"/>
              </w:rPr>
              <w:t>Direct use, 2020</w:t>
            </w:r>
          </w:p>
        </w:tc>
        <w:tc>
          <w:tcPr>
            <w:tcW w:w="2648" w:type="dxa"/>
            <w:gridSpan w:val="2"/>
            <w:tcBorders>
              <w:bottom w:val="double" w:sz="4" w:space="0" w:color="auto"/>
            </w:tcBorders>
            <w:vAlign w:val="center"/>
          </w:tcPr>
          <w:p w14:paraId="556A1A3B" w14:textId="5951E42A" w:rsidR="00CD0E48" w:rsidRDefault="00CD0E48" w:rsidP="005F6D6C">
            <w:pPr>
              <w:spacing w:line="300" w:lineRule="atLeast"/>
              <w:jc w:val="center"/>
              <w:rPr>
                <w:rFonts w:ascii="Arial" w:hAnsi="Arial" w:cs="Arial"/>
                <w:sz w:val="16"/>
                <w:szCs w:val="16"/>
              </w:rPr>
            </w:pPr>
            <w:r>
              <w:rPr>
                <w:rFonts w:ascii="Arial" w:hAnsi="Arial" w:cs="Arial"/>
                <w:sz w:val="16"/>
                <w:szCs w:val="16"/>
              </w:rPr>
              <w:t>based on 4.2% of the above</w:t>
            </w:r>
          </w:p>
        </w:tc>
        <w:tc>
          <w:tcPr>
            <w:tcW w:w="1985" w:type="dxa"/>
            <w:tcBorders>
              <w:bottom w:val="double" w:sz="4" w:space="0" w:color="auto"/>
            </w:tcBorders>
            <w:vAlign w:val="center"/>
          </w:tcPr>
          <w:p w14:paraId="627D2A77" w14:textId="1E256171" w:rsidR="00CD0E48" w:rsidRDefault="00CD0E48" w:rsidP="00B538D4">
            <w:pPr>
              <w:spacing w:line="300" w:lineRule="atLeast"/>
              <w:jc w:val="center"/>
              <w:rPr>
                <w:rFonts w:ascii="Arial" w:hAnsi="Arial" w:cs="Arial"/>
                <w:sz w:val="16"/>
                <w:szCs w:val="16"/>
              </w:rPr>
            </w:pPr>
            <w:r>
              <w:rPr>
                <w:rFonts w:ascii="Arial" w:hAnsi="Arial" w:cs="Arial"/>
                <w:sz w:val="16"/>
                <w:szCs w:val="16"/>
              </w:rPr>
              <w:t xml:space="preserve">9.8 </w:t>
            </w:r>
            <w:r w:rsidR="00254F44">
              <w:rPr>
                <w:rFonts w:ascii="Arial" w:hAnsi="Arial" w:cs="Arial"/>
                <w:sz w:val="16"/>
                <w:szCs w:val="16"/>
              </w:rPr>
              <w:t>–</w:t>
            </w:r>
            <w:r>
              <w:rPr>
                <w:rFonts w:ascii="Arial" w:hAnsi="Arial" w:cs="Arial"/>
                <w:sz w:val="16"/>
                <w:szCs w:val="16"/>
              </w:rPr>
              <w:t xml:space="preserve"> 72</w:t>
            </w:r>
          </w:p>
        </w:tc>
        <w:tc>
          <w:tcPr>
            <w:tcW w:w="1701" w:type="dxa"/>
            <w:tcBorders>
              <w:bottom w:val="double" w:sz="4" w:space="0" w:color="auto"/>
            </w:tcBorders>
            <w:vAlign w:val="center"/>
          </w:tcPr>
          <w:p w14:paraId="76D2F9AF" w14:textId="3EC116F1" w:rsidR="00CD0E48" w:rsidRDefault="00CD0E48" w:rsidP="007901FE">
            <w:pPr>
              <w:spacing w:line="300" w:lineRule="atLeast"/>
              <w:jc w:val="center"/>
              <w:rPr>
                <w:rFonts w:ascii="Arial" w:hAnsi="Arial" w:cs="Arial"/>
                <w:sz w:val="16"/>
                <w:szCs w:val="16"/>
              </w:rPr>
            </w:pPr>
            <w:r>
              <w:rPr>
                <w:rFonts w:ascii="Arial" w:hAnsi="Arial" w:cs="Arial"/>
                <w:sz w:val="16"/>
                <w:szCs w:val="16"/>
              </w:rPr>
              <w:t>9.8 - 72</w:t>
            </w:r>
          </w:p>
        </w:tc>
        <w:tc>
          <w:tcPr>
            <w:tcW w:w="702" w:type="dxa"/>
            <w:tcBorders>
              <w:bottom w:val="double" w:sz="4" w:space="0" w:color="auto"/>
            </w:tcBorders>
            <w:vAlign w:val="center"/>
          </w:tcPr>
          <w:p w14:paraId="16C1A257" w14:textId="1099FF35" w:rsidR="00CD0E48" w:rsidRDefault="00CD0E48" w:rsidP="007901FE">
            <w:pPr>
              <w:spacing w:line="300" w:lineRule="atLeast"/>
              <w:jc w:val="center"/>
              <w:rPr>
                <w:rFonts w:ascii="Arial" w:hAnsi="Arial" w:cs="Arial"/>
                <w:sz w:val="16"/>
                <w:szCs w:val="16"/>
              </w:rPr>
            </w:pPr>
            <w:r>
              <w:rPr>
                <w:rFonts w:ascii="Arial" w:hAnsi="Arial" w:cs="Arial"/>
                <w:sz w:val="16"/>
                <w:szCs w:val="16"/>
              </w:rPr>
              <w:t>-</w:t>
            </w:r>
          </w:p>
        </w:tc>
      </w:tr>
      <w:tr w:rsidR="00D52B01" w14:paraId="3FEACE58" w14:textId="77777777" w:rsidTr="009619AB">
        <w:tc>
          <w:tcPr>
            <w:tcW w:w="2025" w:type="dxa"/>
            <w:tcBorders>
              <w:bottom w:val="double" w:sz="4" w:space="0" w:color="auto"/>
            </w:tcBorders>
          </w:tcPr>
          <w:p w14:paraId="1CC5C4D3" w14:textId="269D53F6" w:rsidR="00D52B01" w:rsidRDefault="00D52B01" w:rsidP="00116640">
            <w:pPr>
              <w:spacing w:line="300" w:lineRule="atLeast"/>
              <w:jc w:val="both"/>
              <w:rPr>
                <w:rFonts w:ascii="Arial" w:hAnsi="Arial" w:cs="Arial"/>
                <w:sz w:val="16"/>
                <w:szCs w:val="16"/>
              </w:rPr>
            </w:pPr>
            <w:r>
              <w:rPr>
                <w:rFonts w:ascii="Arial" w:hAnsi="Arial" w:cs="Arial"/>
                <w:sz w:val="16"/>
                <w:szCs w:val="16"/>
              </w:rPr>
              <w:t>Direct use, 2024</w:t>
            </w:r>
          </w:p>
        </w:tc>
        <w:tc>
          <w:tcPr>
            <w:tcW w:w="2648" w:type="dxa"/>
            <w:gridSpan w:val="2"/>
            <w:tcBorders>
              <w:bottom w:val="double" w:sz="4" w:space="0" w:color="auto"/>
            </w:tcBorders>
            <w:vAlign w:val="center"/>
          </w:tcPr>
          <w:p w14:paraId="6A1C964F" w14:textId="7F03ACB2" w:rsidR="00D52B01" w:rsidRDefault="00D52B01" w:rsidP="005F6D6C">
            <w:pPr>
              <w:spacing w:line="300" w:lineRule="atLeast"/>
              <w:jc w:val="center"/>
              <w:rPr>
                <w:rFonts w:ascii="Arial" w:hAnsi="Arial" w:cs="Arial"/>
                <w:sz w:val="16"/>
                <w:szCs w:val="16"/>
              </w:rPr>
            </w:pPr>
            <w:r>
              <w:rPr>
                <w:rFonts w:ascii="Arial" w:hAnsi="Arial" w:cs="Arial"/>
                <w:sz w:val="16"/>
                <w:szCs w:val="16"/>
              </w:rPr>
              <w:t xml:space="preserve">based on 4.2% of the above </w:t>
            </w:r>
          </w:p>
        </w:tc>
        <w:tc>
          <w:tcPr>
            <w:tcW w:w="1985" w:type="dxa"/>
            <w:tcBorders>
              <w:bottom w:val="double" w:sz="4" w:space="0" w:color="auto"/>
            </w:tcBorders>
            <w:vAlign w:val="center"/>
          </w:tcPr>
          <w:p w14:paraId="65BF55B9" w14:textId="204C9570" w:rsidR="00D52B01" w:rsidRDefault="00D52B01" w:rsidP="00B538D4">
            <w:pPr>
              <w:spacing w:line="300" w:lineRule="atLeast"/>
              <w:jc w:val="center"/>
              <w:rPr>
                <w:rFonts w:ascii="Arial" w:hAnsi="Arial" w:cs="Arial"/>
                <w:sz w:val="16"/>
                <w:szCs w:val="16"/>
              </w:rPr>
            </w:pPr>
            <w:r>
              <w:rPr>
                <w:rFonts w:ascii="Arial" w:hAnsi="Arial" w:cs="Arial"/>
                <w:sz w:val="16"/>
                <w:szCs w:val="16"/>
              </w:rPr>
              <w:t>11.0 – 80.</w:t>
            </w:r>
            <w:r w:rsidR="009619AB">
              <w:rPr>
                <w:rFonts w:ascii="Arial" w:hAnsi="Arial" w:cs="Arial"/>
                <w:sz w:val="16"/>
                <w:szCs w:val="16"/>
              </w:rPr>
              <w:t>8</w:t>
            </w:r>
          </w:p>
        </w:tc>
        <w:tc>
          <w:tcPr>
            <w:tcW w:w="1701" w:type="dxa"/>
            <w:tcBorders>
              <w:bottom w:val="double" w:sz="4" w:space="0" w:color="auto"/>
            </w:tcBorders>
            <w:vAlign w:val="center"/>
          </w:tcPr>
          <w:p w14:paraId="7848922A" w14:textId="592E4517" w:rsidR="00D52B01" w:rsidRDefault="00D52B01" w:rsidP="007901FE">
            <w:pPr>
              <w:spacing w:line="300" w:lineRule="atLeast"/>
              <w:jc w:val="center"/>
              <w:rPr>
                <w:rFonts w:ascii="Arial" w:hAnsi="Arial" w:cs="Arial"/>
                <w:sz w:val="16"/>
                <w:szCs w:val="16"/>
              </w:rPr>
            </w:pPr>
            <w:r>
              <w:rPr>
                <w:rFonts w:ascii="Arial" w:hAnsi="Arial" w:cs="Arial"/>
                <w:sz w:val="16"/>
                <w:szCs w:val="16"/>
              </w:rPr>
              <w:t>11.0 – 80.</w:t>
            </w:r>
            <w:r w:rsidR="009619AB">
              <w:rPr>
                <w:rFonts w:ascii="Arial" w:hAnsi="Arial" w:cs="Arial"/>
                <w:sz w:val="16"/>
                <w:szCs w:val="16"/>
              </w:rPr>
              <w:t>8</w:t>
            </w:r>
          </w:p>
        </w:tc>
        <w:tc>
          <w:tcPr>
            <w:tcW w:w="702" w:type="dxa"/>
            <w:tcBorders>
              <w:bottom w:val="double" w:sz="4" w:space="0" w:color="auto"/>
            </w:tcBorders>
            <w:vAlign w:val="center"/>
          </w:tcPr>
          <w:p w14:paraId="131C4E0C" w14:textId="04426942" w:rsidR="00D52B01" w:rsidRDefault="00D52B01" w:rsidP="007901FE">
            <w:pPr>
              <w:spacing w:line="300" w:lineRule="atLeast"/>
              <w:jc w:val="center"/>
              <w:rPr>
                <w:rFonts w:ascii="Arial" w:hAnsi="Arial" w:cs="Arial"/>
                <w:sz w:val="16"/>
                <w:szCs w:val="16"/>
              </w:rPr>
            </w:pPr>
            <w:r>
              <w:rPr>
                <w:rFonts w:ascii="Arial" w:hAnsi="Arial" w:cs="Arial"/>
                <w:sz w:val="16"/>
                <w:szCs w:val="16"/>
              </w:rPr>
              <w:t>-</w:t>
            </w:r>
          </w:p>
        </w:tc>
      </w:tr>
      <w:tr w:rsidR="00116640" w14:paraId="512E7000" w14:textId="77777777" w:rsidTr="009619AB">
        <w:tc>
          <w:tcPr>
            <w:tcW w:w="2025" w:type="dxa"/>
            <w:tcBorders>
              <w:top w:val="double" w:sz="4" w:space="0" w:color="auto"/>
              <w:bottom w:val="single" w:sz="4" w:space="0" w:color="auto"/>
            </w:tcBorders>
            <w:vAlign w:val="center"/>
          </w:tcPr>
          <w:p w14:paraId="68254166" w14:textId="77777777" w:rsidR="00116640" w:rsidRPr="000F4FB5" w:rsidRDefault="00116640" w:rsidP="00D947F8">
            <w:pPr>
              <w:spacing w:line="300" w:lineRule="atLeast"/>
              <w:rPr>
                <w:rFonts w:ascii="Arial" w:hAnsi="Arial" w:cs="Arial"/>
                <w:b/>
                <w:sz w:val="16"/>
                <w:szCs w:val="16"/>
              </w:rPr>
            </w:pPr>
            <w:r w:rsidRPr="000F4FB5">
              <w:rPr>
                <w:rFonts w:ascii="Arial" w:hAnsi="Arial" w:cs="Arial"/>
                <w:b/>
                <w:sz w:val="16"/>
                <w:szCs w:val="16"/>
              </w:rPr>
              <w:t>Total</w:t>
            </w:r>
            <w:r w:rsidR="00B2520C">
              <w:rPr>
                <w:rFonts w:ascii="Arial" w:hAnsi="Arial" w:cs="Arial"/>
                <w:b/>
                <w:sz w:val="16"/>
                <w:szCs w:val="16"/>
              </w:rPr>
              <w:t>s, 2012</w:t>
            </w:r>
          </w:p>
        </w:tc>
        <w:tc>
          <w:tcPr>
            <w:tcW w:w="1231" w:type="dxa"/>
            <w:tcBorders>
              <w:top w:val="double" w:sz="4" w:space="0" w:color="auto"/>
              <w:bottom w:val="single" w:sz="4" w:space="0" w:color="auto"/>
            </w:tcBorders>
            <w:vAlign w:val="center"/>
          </w:tcPr>
          <w:p w14:paraId="784AD4B8" w14:textId="77777777" w:rsidR="00116640" w:rsidRPr="000F4FB5" w:rsidRDefault="00237DA6" w:rsidP="007901FE">
            <w:pPr>
              <w:spacing w:line="300" w:lineRule="atLeast"/>
              <w:jc w:val="center"/>
              <w:rPr>
                <w:rFonts w:ascii="Arial" w:hAnsi="Arial" w:cs="Arial"/>
                <w:b/>
                <w:sz w:val="16"/>
                <w:szCs w:val="16"/>
              </w:rPr>
            </w:pPr>
            <w:r>
              <w:rPr>
                <w:rFonts w:ascii="Arial" w:hAnsi="Arial" w:cs="Arial"/>
                <w:b/>
                <w:sz w:val="16"/>
                <w:szCs w:val="16"/>
              </w:rPr>
              <w:t>-</w:t>
            </w:r>
          </w:p>
        </w:tc>
        <w:tc>
          <w:tcPr>
            <w:tcW w:w="1417" w:type="dxa"/>
            <w:tcBorders>
              <w:top w:val="double" w:sz="4" w:space="0" w:color="auto"/>
              <w:bottom w:val="single" w:sz="4" w:space="0" w:color="auto"/>
            </w:tcBorders>
            <w:vAlign w:val="center"/>
          </w:tcPr>
          <w:p w14:paraId="69CFA1E9" w14:textId="77777777" w:rsidR="00116640" w:rsidRPr="000F4FB5" w:rsidRDefault="00237DA6" w:rsidP="005F6D6C">
            <w:pPr>
              <w:spacing w:line="300" w:lineRule="atLeast"/>
              <w:jc w:val="center"/>
              <w:rPr>
                <w:rFonts w:ascii="Arial" w:hAnsi="Arial" w:cs="Arial"/>
                <w:b/>
                <w:sz w:val="16"/>
                <w:szCs w:val="16"/>
              </w:rPr>
            </w:pPr>
            <w:r>
              <w:rPr>
                <w:rFonts w:ascii="Arial" w:hAnsi="Arial" w:cs="Arial"/>
                <w:b/>
                <w:sz w:val="16"/>
                <w:szCs w:val="16"/>
              </w:rPr>
              <w:t>-</w:t>
            </w:r>
          </w:p>
        </w:tc>
        <w:tc>
          <w:tcPr>
            <w:tcW w:w="1985" w:type="dxa"/>
            <w:tcBorders>
              <w:top w:val="double" w:sz="4" w:space="0" w:color="auto"/>
              <w:bottom w:val="single" w:sz="4" w:space="0" w:color="auto"/>
            </w:tcBorders>
            <w:vAlign w:val="center"/>
          </w:tcPr>
          <w:p w14:paraId="5D834647" w14:textId="3D4B45DA" w:rsidR="00116640" w:rsidRPr="000F4FB5" w:rsidRDefault="00D947F8" w:rsidP="007901FE">
            <w:pPr>
              <w:spacing w:line="300" w:lineRule="atLeast"/>
              <w:jc w:val="center"/>
              <w:rPr>
                <w:rFonts w:ascii="Arial" w:hAnsi="Arial" w:cs="Arial"/>
                <w:b/>
                <w:sz w:val="16"/>
                <w:szCs w:val="16"/>
              </w:rPr>
            </w:pPr>
            <w:r w:rsidRPr="000F4FB5">
              <w:rPr>
                <w:rFonts w:ascii="Arial" w:hAnsi="Arial" w:cs="Arial"/>
                <w:b/>
                <w:sz w:val="16"/>
                <w:szCs w:val="16"/>
              </w:rPr>
              <w:t>18</w:t>
            </w:r>
            <w:r w:rsidR="009619AB">
              <w:rPr>
                <w:rFonts w:ascii="Arial" w:hAnsi="Arial" w:cs="Arial"/>
                <w:b/>
                <w:sz w:val="16"/>
                <w:szCs w:val="16"/>
              </w:rPr>
              <w:t>4</w:t>
            </w:r>
            <w:r w:rsidRPr="000F4FB5">
              <w:rPr>
                <w:rFonts w:ascii="Arial" w:hAnsi="Arial" w:cs="Arial"/>
                <w:b/>
                <w:sz w:val="16"/>
                <w:szCs w:val="16"/>
              </w:rPr>
              <w:t xml:space="preserve"> – 1</w:t>
            </w:r>
            <w:r w:rsidR="000F4FB5" w:rsidRPr="000F4FB5">
              <w:rPr>
                <w:rFonts w:ascii="Arial" w:hAnsi="Arial" w:cs="Arial"/>
                <w:b/>
                <w:sz w:val="16"/>
                <w:szCs w:val="16"/>
              </w:rPr>
              <w:t>,</w:t>
            </w:r>
            <w:r w:rsidRPr="000F4FB5">
              <w:rPr>
                <w:rFonts w:ascii="Arial" w:hAnsi="Arial" w:cs="Arial"/>
                <w:b/>
                <w:sz w:val="16"/>
                <w:szCs w:val="16"/>
              </w:rPr>
              <w:t>34</w:t>
            </w:r>
            <w:r w:rsidR="009619AB">
              <w:rPr>
                <w:rFonts w:ascii="Arial" w:hAnsi="Arial" w:cs="Arial"/>
                <w:b/>
                <w:sz w:val="16"/>
                <w:szCs w:val="16"/>
              </w:rPr>
              <w:t xml:space="preserve">6 </w:t>
            </w:r>
            <w:r w:rsidRPr="000F4FB5">
              <w:rPr>
                <w:rFonts w:ascii="Arial" w:hAnsi="Arial" w:cs="Arial"/>
                <w:b/>
                <w:sz w:val="16"/>
                <w:szCs w:val="16"/>
              </w:rPr>
              <w:t>(76</w:t>
            </w:r>
            <w:r w:rsidR="009619AB">
              <w:rPr>
                <w:rFonts w:ascii="Arial" w:hAnsi="Arial" w:cs="Arial"/>
                <w:b/>
                <w:sz w:val="16"/>
                <w:szCs w:val="16"/>
              </w:rPr>
              <w:t>5</w:t>
            </w:r>
            <w:r w:rsidR="00B538D4" w:rsidRPr="000F4FB5">
              <w:rPr>
                <w:rFonts w:ascii="Arial" w:hAnsi="Arial" w:cs="Arial"/>
                <w:b/>
                <w:sz w:val="16"/>
                <w:szCs w:val="16"/>
              </w:rPr>
              <w:t>)</w:t>
            </w:r>
          </w:p>
        </w:tc>
        <w:tc>
          <w:tcPr>
            <w:tcW w:w="1701" w:type="dxa"/>
            <w:tcBorders>
              <w:top w:val="double" w:sz="4" w:space="0" w:color="auto"/>
              <w:bottom w:val="single" w:sz="4" w:space="0" w:color="auto"/>
            </w:tcBorders>
            <w:vAlign w:val="center"/>
          </w:tcPr>
          <w:p w14:paraId="102BFB72" w14:textId="3FAA43BD" w:rsidR="00116640" w:rsidRPr="000F4FB5" w:rsidRDefault="00116640" w:rsidP="00D947F8">
            <w:pPr>
              <w:spacing w:line="300" w:lineRule="atLeast"/>
              <w:jc w:val="center"/>
              <w:rPr>
                <w:rFonts w:ascii="Arial" w:hAnsi="Arial" w:cs="Arial"/>
                <w:b/>
                <w:sz w:val="16"/>
                <w:szCs w:val="16"/>
              </w:rPr>
            </w:pPr>
            <w:r w:rsidRPr="000F4FB5">
              <w:rPr>
                <w:rFonts w:ascii="Arial" w:hAnsi="Arial" w:cs="Arial"/>
                <w:b/>
                <w:sz w:val="16"/>
                <w:szCs w:val="16"/>
              </w:rPr>
              <w:t>13</w:t>
            </w:r>
            <w:r w:rsidR="009619AB">
              <w:rPr>
                <w:rFonts w:ascii="Arial" w:hAnsi="Arial" w:cs="Arial"/>
                <w:b/>
                <w:sz w:val="16"/>
                <w:szCs w:val="16"/>
              </w:rPr>
              <w:t>7</w:t>
            </w:r>
            <w:r w:rsidRPr="000F4FB5">
              <w:rPr>
                <w:rFonts w:ascii="Arial" w:hAnsi="Arial" w:cs="Arial"/>
                <w:b/>
                <w:sz w:val="16"/>
                <w:szCs w:val="16"/>
              </w:rPr>
              <w:t xml:space="preserve"> – 1</w:t>
            </w:r>
            <w:r w:rsidR="000F4FB5" w:rsidRPr="000F4FB5">
              <w:rPr>
                <w:rFonts w:ascii="Arial" w:hAnsi="Arial" w:cs="Arial"/>
                <w:b/>
                <w:sz w:val="16"/>
                <w:szCs w:val="16"/>
              </w:rPr>
              <w:t>,</w:t>
            </w:r>
            <w:r w:rsidRPr="000F4FB5">
              <w:rPr>
                <w:rFonts w:ascii="Arial" w:hAnsi="Arial" w:cs="Arial"/>
                <w:b/>
                <w:sz w:val="16"/>
                <w:szCs w:val="16"/>
              </w:rPr>
              <w:t>29</w:t>
            </w:r>
            <w:r w:rsidR="009619AB">
              <w:rPr>
                <w:rFonts w:ascii="Arial" w:hAnsi="Arial" w:cs="Arial"/>
                <w:b/>
                <w:sz w:val="16"/>
                <w:szCs w:val="16"/>
              </w:rPr>
              <w:t>9</w:t>
            </w:r>
            <w:r w:rsidR="00D947F8" w:rsidRPr="000F4FB5">
              <w:rPr>
                <w:rFonts w:ascii="Arial" w:hAnsi="Arial" w:cs="Arial"/>
                <w:b/>
                <w:sz w:val="16"/>
                <w:szCs w:val="16"/>
              </w:rPr>
              <w:t xml:space="preserve"> (718</w:t>
            </w:r>
            <w:r w:rsidR="00B538D4" w:rsidRPr="000F4FB5">
              <w:rPr>
                <w:rFonts w:ascii="Arial" w:hAnsi="Arial" w:cs="Arial"/>
                <w:b/>
                <w:sz w:val="16"/>
                <w:szCs w:val="16"/>
              </w:rPr>
              <w:t>)</w:t>
            </w:r>
          </w:p>
        </w:tc>
        <w:tc>
          <w:tcPr>
            <w:tcW w:w="702" w:type="dxa"/>
            <w:tcBorders>
              <w:top w:val="double" w:sz="4" w:space="0" w:color="auto"/>
              <w:bottom w:val="single" w:sz="4" w:space="0" w:color="auto"/>
            </w:tcBorders>
            <w:vAlign w:val="center"/>
          </w:tcPr>
          <w:p w14:paraId="0259FC3D" w14:textId="77777777" w:rsidR="00116640" w:rsidRPr="000F4FB5" w:rsidRDefault="00116640" w:rsidP="007901FE">
            <w:pPr>
              <w:spacing w:line="300" w:lineRule="atLeast"/>
              <w:jc w:val="center"/>
              <w:rPr>
                <w:rFonts w:ascii="Arial" w:hAnsi="Arial" w:cs="Arial"/>
                <w:b/>
                <w:sz w:val="16"/>
                <w:szCs w:val="16"/>
              </w:rPr>
            </w:pPr>
            <w:r w:rsidRPr="000F4FB5">
              <w:rPr>
                <w:rFonts w:ascii="Arial" w:hAnsi="Arial" w:cs="Arial"/>
                <w:b/>
                <w:sz w:val="16"/>
                <w:szCs w:val="16"/>
              </w:rPr>
              <w:t>46.5</w:t>
            </w:r>
          </w:p>
        </w:tc>
      </w:tr>
      <w:tr w:rsidR="00231A1F" w14:paraId="7DA77EEF" w14:textId="77777777" w:rsidTr="009619AB">
        <w:tc>
          <w:tcPr>
            <w:tcW w:w="2025" w:type="dxa"/>
            <w:tcBorders>
              <w:top w:val="single" w:sz="4" w:space="0" w:color="auto"/>
              <w:bottom w:val="single" w:sz="4" w:space="0" w:color="auto"/>
            </w:tcBorders>
            <w:vAlign w:val="center"/>
          </w:tcPr>
          <w:p w14:paraId="7D8B808C" w14:textId="77777777" w:rsidR="00231A1F" w:rsidRPr="000F4FB5" w:rsidRDefault="00B2520C" w:rsidP="00D947F8">
            <w:pPr>
              <w:spacing w:line="300" w:lineRule="atLeast"/>
              <w:rPr>
                <w:rFonts w:ascii="Arial" w:hAnsi="Arial" w:cs="Arial"/>
                <w:b/>
                <w:sz w:val="16"/>
                <w:szCs w:val="16"/>
              </w:rPr>
            </w:pPr>
            <w:r>
              <w:rPr>
                <w:rFonts w:ascii="Arial" w:hAnsi="Arial" w:cs="Arial"/>
                <w:b/>
                <w:sz w:val="16"/>
                <w:szCs w:val="16"/>
              </w:rPr>
              <w:t>Totals, 2016</w:t>
            </w:r>
          </w:p>
        </w:tc>
        <w:tc>
          <w:tcPr>
            <w:tcW w:w="1231" w:type="dxa"/>
            <w:tcBorders>
              <w:top w:val="single" w:sz="4" w:space="0" w:color="auto"/>
              <w:bottom w:val="single" w:sz="4" w:space="0" w:color="auto"/>
            </w:tcBorders>
            <w:vAlign w:val="center"/>
          </w:tcPr>
          <w:p w14:paraId="6BCF75D0" w14:textId="77777777" w:rsidR="00231A1F" w:rsidRPr="000F4FB5" w:rsidRDefault="00237DA6" w:rsidP="007901FE">
            <w:pPr>
              <w:spacing w:line="300" w:lineRule="atLeast"/>
              <w:jc w:val="center"/>
              <w:rPr>
                <w:rFonts w:ascii="Arial" w:hAnsi="Arial" w:cs="Arial"/>
                <w:b/>
                <w:sz w:val="16"/>
                <w:szCs w:val="16"/>
              </w:rPr>
            </w:pPr>
            <w:r>
              <w:rPr>
                <w:rFonts w:ascii="Arial" w:hAnsi="Arial" w:cs="Arial"/>
                <w:b/>
                <w:sz w:val="16"/>
                <w:szCs w:val="16"/>
              </w:rPr>
              <w:t>-</w:t>
            </w:r>
          </w:p>
        </w:tc>
        <w:tc>
          <w:tcPr>
            <w:tcW w:w="1417" w:type="dxa"/>
            <w:tcBorders>
              <w:top w:val="single" w:sz="4" w:space="0" w:color="auto"/>
              <w:bottom w:val="single" w:sz="4" w:space="0" w:color="auto"/>
            </w:tcBorders>
            <w:vAlign w:val="center"/>
          </w:tcPr>
          <w:p w14:paraId="10E7AF9E" w14:textId="77777777" w:rsidR="00231A1F" w:rsidRPr="000F4FB5" w:rsidRDefault="00237DA6" w:rsidP="005F6D6C">
            <w:pPr>
              <w:spacing w:line="300" w:lineRule="atLeast"/>
              <w:jc w:val="center"/>
              <w:rPr>
                <w:rFonts w:ascii="Arial" w:hAnsi="Arial" w:cs="Arial"/>
                <w:b/>
                <w:sz w:val="16"/>
                <w:szCs w:val="16"/>
              </w:rPr>
            </w:pPr>
            <w:r>
              <w:rPr>
                <w:rFonts w:ascii="Arial" w:hAnsi="Arial" w:cs="Arial"/>
                <w:b/>
                <w:sz w:val="16"/>
                <w:szCs w:val="16"/>
              </w:rPr>
              <w:t>-</w:t>
            </w:r>
          </w:p>
        </w:tc>
        <w:tc>
          <w:tcPr>
            <w:tcW w:w="1985" w:type="dxa"/>
            <w:tcBorders>
              <w:top w:val="single" w:sz="4" w:space="0" w:color="auto"/>
              <w:bottom w:val="single" w:sz="4" w:space="0" w:color="auto"/>
            </w:tcBorders>
            <w:vAlign w:val="center"/>
          </w:tcPr>
          <w:p w14:paraId="2348E80A" w14:textId="050D67A5" w:rsidR="00231A1F" w:rsidRPr="000F4FB5" w:rsidRDefault="006432C8" w:rsidP="00416840">
            <w:pPr>
              <w:spacing w:line="300" w:lineRule="atLeast"/>
              <w:jc w:val="center"/>
              <w:rPr>
                <w:rFonts w:ascii="Arial" w:hAnsi="Arial" w:cs="Arial"/>
                <w:b/>
                <w:sz w:val="16"/>
                <w:szCs w:val="16"/>
              </w:rPr>
            </w:pPr>
            <w:r>
              <w:rPr>
                <w:rFonts w:ascii="Arial" w:hAnsi="Arial" w:cs="Arial"/>
                <w:b/>
                <w:sz w:val="16"/>
                <w:szCs w:val="16"/>
              </w:rPr>
              <w:t>2</w:t>
            </w:r>
            <w:r w:rsidR="00B2520C">
              <w:rPr>
                <w:rFonts w:ascii="Arial" w:hAnsi="Arial" w:cs="Arial"/>
                <w:b/>
                <w:sz w:val="16"/>
                <w:szCs w:val="16"/>
              </w:rPr>
              <w:t>3</w:t>
            </w:r>
            <w:r w:rsidR="009619AB">
              <w:rPr>
                <w:rFonts w:ascii="Arial" w:hAnsi="Arial" w:cs="Arial"/>
                <w:b/>
                <w:sz w:val="16"/>
                <w:szCs w:val="16"/>
              </w:rPr>
              <w:t>1</w:t>
            </w:r>
            <w:r w:rsidR="00B2520C">
              <w:rPr>
                <w:rFonts w:ascii="Arial" w:hAnsi="Arial" w:cs="Arial"/>
                <w:b/>
                <w:sz w:val="16"/>
                <w:szCs w:val="16"/>
              </w:rPr>
              <w:t xml:space="preserve"> – </w:t>
            </w:r>
            <w:r>
              <w:rPr>
                <w:rFonts w:ascii="Arial" w:hAnsi="Arial" w:cs="Arial"/>
                <w:b/>
                <w:sz w:val="16"/>
                <w:szCs w:val="16"/>
              </w:rPr>
              <w:t>1,69</w:t>
            </w:r>
            <w:r w:rsidR="009619AB">
              <w:rPr>
                <w:rFonts w:ascii="Arial" w:hAnsi="Arial" w:cs="Arial"/>
                <w:b/>
                <w:sz w:val="16"/>
                <w:szCs w:val="16"/>
              </w:rPr>
              <w:t xml:space="preserve">2 </w:t>
            </w:r>
            <w:r w:rsidR="00B2520C">
              <w:rPr>
                <w:rFonts w:ascii="Arial" w:hAnsi="Arial" w:cs="Arial"/>
                <w:b/>
                <w:sz w:val="16"/>
                <w:szCs w:val="16"/>
              </w:rPr>
              <w:t>(</w:t>
            </w:r>
            <w:r w:rsidR="00416840">
              <w:rPr>
                <w:rFonts w:ascii="Arial" w:hAnsi="Arial" w:cs="Arial"/>
                <w:b/>
                <w:sz w:val="16"/>
                <w:szCs w:val="16"/>
              </w:rPr>
              <w:t>96</w:t>
            </w:r>
            <w:r w:rsidR="009619AB">
              <w:rPr>
                <w:rFonts w:ascii="Arial" w:hAnsi="Arial" w:cs="Arial"/>
                <w:b/>
                <w:sz w:val="16"/>
                <w:szCs w:val="16"/>
              </w:rPr>
              <w:t>2</w:t>
            </w:r>
            <w:r w:rsidR="00B2520C">
              <w:rPr>
                <w:rFonts w:ascii="Arial" w:hAnsi="Arial" w:cs="Arial"/>
                <w:b/>
                <w:sz w:val="16"/>
                <w:szCs w:val="16"/>
              </w:rPr>
              <w:t>)</w:t>
            </w:r>
          </w:p>
        </w:tc>
        <w:tc>
          <w:tcPr>
            <w:tcW w:w="1701" w:type="dxa"/>
            <w:tcBorders>
              <w:top w:val="single" w:sz="4" w:space="0" w:color="auto"/>
              <w:bottom w:val="single" w:sz="4" w:space="0" w:color="auto"/>
            </w:tcBorders>
            <w:vAlign w:val="center"/>
          </w:tcPr>
          <w:p w14:paraId="3EFA7E7B" w14:textId="69381106" w:rsidR="00231A1F" w:rsidRPr="000F4FB5" w:rsidRDefault="00E60597" w:rsidP="00DA6B36">
            <w:pPr>
              <w:spacing w:line="300" w:lineRule="atLeast"/>
              <w:jc w:val="center"/>
              <w:rPr>
                <w:rFonts w:ascii="Arial" w:hAnsi="Arial" w:cs="Arial"/>
                <w:b/>
                <w:sz w:val="16"/>
                <w:szCs w:val="16"/>
              </w:rPr>
            </w:pPr>
            <w:r>
              <w:rPr>
                <w:rFonts w:ascii="Arial" w:hAnsi="Arial" w:cs="Arial"/>
                <w:b/>
                <w:sz w:val="16"/>
                <w:szCs w:val="16"/>
              </w:rPr>
              <w:t>22</w:t>
            </w:r>
            <w:r w:rsidR="009619AB">
              <w:rPr>
                <w:rFonts w:ascii="Arial" w:hAnsi="Arial" w:cs="Arial"/>
                <w:b/>
                <w:sz w:val="16"/>
                <w:szCs w:val="16"/>
              </w:rPr>
              <w:t>2</w:t>
            </w:r>
            <w:r w:rsidR="00B2520C">
              <w:rPr>
                <w:rFonts w:ascii="Arial" w:hAnsi="Arial" w:cs="Arial"/>
                <w:b/>
                <w:sz w:val="16"/>
                <w:szCs w:val="16"/>
              </w:rPr>
              <w:t xml:space="preserve"> – </w:t>
            </w:r>
            <w:r>
              <w:rPr>
                <w:rFonts w:ascii="Arial" w:hAnsi="Arial" w:cs="Arial"/>
                <w:b/>
                <w:sz w:val="16"/>
                <w:szCs w:val="16"/>
              </w:rPr>
              <w:t>168</w:t>
            </w:r>
            <w:r w:rsidR="009619AB">
              <w:rPr>
                <w:rFonts w:ascii="Arial" w:hAnsi="Arial" w:cs="Arial"/>
                <w:b/>
                <w:sz w:val="16"/>
                <w:szCs w:val="16"/>
              </w:rPr>
              <w:t>4</w:t>
            </w:r>
            <w:r>
              <w:rPr>
                <w:rFonts w:ascii="Arial" w:hAnsi="Arial" w:cs="Arial"/>
                <w:b/>
                <w:sz w:val="16"/>
                <w:szCs w:val="16"/>
              </w:rPr>
              <w:t xml:space="preserve"> (95</w:t>
            </w:r>
            <w:r w:rsidR="009619AB">
              <w:rPr>
                <w:rFonts w:ascii="Arial" w:hAnsi="Arial" w:cs="Arial"/>
                <w:b/>
                <w:sz w:val="16"/>
                <w:szCs w:val="16"/>
              </w:rPr>
              <w:t>3</w:t>
            </w:r>
            <w:r w:rsidR="00B2520C">
              <w:rPr>
                <w:rFonts w:ascii="Arial" w:hAnsi="Arial" w:cs="Arial"/>
                <w:b/>
                <w:sz w:val="16"/>
                <w:szCs w:val="16"/>
              </w:rPr>
              <w:t>)</w:t>
            </w:r>
          </w:p>
        </w:tc>
        <w:tc>
          <w:tcPr>
            <w:tcW w:w="702" w:type="dxa"/>
            <w:tcBorders>
              <w:top w:val="single" w:sz="4" w:space="0" w:color="auto"/>
              <w:bottom w:val="single" w:sz="4" w:space="0" w:color="auto"/>
            </w:tcBorders>
            <w:vAlign w:val="center"/>
          </w:tcPr>
          <w:p w14:paraId="2AD30D07" w14:textId="77777777" w:rsidR="00231A1F" w:rsidRPr="000F4FB5" w:rsidRDefault="00237DA6" w:rsidP="007901FE">
            <w:pPr>
              <w:spacing w:line="300" w:lineRule="atLeast"/>
              <w:jc w:val="center"/>
              <w:rPr>
                <w:rFonts w:ascii="Arial" w:hAnsi="Arial" w:cs="Arial"/>
                <w:b/>
                <w:sz w:val="16"/>
                <w:szCs w:val="16"/>
              </w:rPr>
            </w:pPr>
            <w:r>
              <w:rPr>
                <w:rFonts w:ascii="Arial" w:hAnsi="Arial" w:cs="Arial"/>
                <w:b/>
                <w:sz w:val="16"/>
                <w:szCs w:val="16"/>
              </w:rPr>
              <w:t>8.6</w:t>
            </w:r>
          </w:p>
        </w:tc>
      </w:tr>
      <w:tr w:rsidR="00CD0E48" w14:paraId="15379D85" w14:textId="77777777" w:rsidTr="009619AB">
        <w:tc>
          <w:tcPr>
            <w:tcW w:w="2025" w:type="dxa"/>
            <w:tcBorders>
              <w:top w:val="single" w:sz="4" w:space="0" w:color="auto"/>
              <w:bottom w:val="single" w:sz="4" w:space="0" w:color="auto"/>
            </w:tcBorders>
            <w:vAlign w:val="center"/>
          </w:tcPr>
          <w:p w14:paraId="778A95AF" w14:textId="2F49A964" w:rsidR="00CD0E48" w:rsidRDefault="00CD0E48" w:rsidP="00D947F8">
            <w:pPr>
              <w:spacing w:line="300" w:lineRule="atLeast"/>
              <w:rPr>
                <w:rFonts w:ascii="Arial" w:hAnsi="Arial" w:cs="Arial"/>
                <w:b/>
                <w:sz w:val="16"/>
                <w:szCs w:val="16"/>
              </w:rPr>
            </w:pPr>
            <w:r>
              <w:rPr>
                <w:rFonts w:ascii="Arial" w:hAnsi="Arial" w:cs="Arial"/>
                <w:b/>
                <w:sz w:val="16"/>
                <w:szCs w:val="16"/>
              </w:rPr>
              <w:t>Totals, 2020</w:t>
            </w:r>
          </w:p>
        </w:tc>
        <w:tc>
          <w:tcPr>
            <w:tcW w:w="1231" w:type="dxa"/>
            <w:tcBorders>
              <w:top w:val="single" w:sz="4" w:space="0" w:color="auto"/>
              <w:bottom w:val="single" w:sz="4" w:space="0" w:color="auto"/>
            </w:tcBorders>
            <w:vAlign w:val="center"/>
          </w:tcPr>
          <w:p w14:paraId="1A9D5BE7" w14:textId="37F43C71" w:rsidR="00CD0E48" w:rsidRDefault="00CD0E48" w:rsidP="007901FE">
            <w:pPr>
              <w:spacing w:line="300" w:lineRule="atLeast"/>
              <w:jc w:val="center"/>
              <w:rPr>
                <w:rFonts w:ascii="Arial" w:hAnsi="Arial" w:cs="Arial"/>
                <w:b/>
                <w:sz w:val="16"/>
                <w:szCs w:val="16"/>
              </w:rPr>
            </w:pPr>
            <w:r>
              <w:rPr>
                <w:rFonts w:ascii="Arial" w:hAnsi="Arial" w:cs="Arial"/>
                <w:b/>
                <w:sz w:val="16"/>
                <w:szCs w:val="16"/>
              </w:rPr>
              <w:t>-</w:t>
            </w:r>
          </w:p>
        </w:tc>
        <w:tc>
          <w:tcPr>
            <w:tcW w:w="1417" w:type="dxa"/>
            <w:tcBorders>
              <w:top w:val="single" w:sz="4" w:space="0" w:color="auto"/>
              <w:bottom w:val="single" w:sz="4" w:space="0" w:color="auto"/>
            </w:tcBorders>
            <w:vAlign w:val="center"/>
          </w:tcPr>
          <w:p w14:paraId="21DB742D" w14:textId="2FBF9019" w:rsidR="00CD0E48" w:rsidRDefault="00CD0E48" w:rsidP="005F6D6C">
            <w:pPr>
              <w:spacing w:line="300" w:lineRule="atLeast"/>
              <w:jc w:val="center"/>
              <w:rPr>
                <w:rFonts w:ascii="Arial" w:hAnsi="Arial" w:cs="Arial"/>
                <w:b/>
                <w:sz w:val="16"/>
                <w:szCs w:val="16"/>
              </w:rPr>
            </w:pPr>
            <w:r>
              <w:rPr>
                <w:rFonts w:ascii="Arial" w:hAnsi="Arial" w:cs="Arial"/>
                <w:b/>
                <w:sz w:val="16"/>
                <w:szCs w:val="16"/>
              </w:rPr>
              <w:t>-</w:t>
            </w:r>
          </w:p>
        </w:tc>
        <w:tc>
          <w:tcPr>
            <w:tcW w:w="1985" w:type="dxa"/>
            <w:tcBorders>
              <w:top w:val="single" w:sz="4" w:space="0" w:color="auto"/>
              <w:bottom w:val="single" w:sz="4" w:space="0" w:color="auto"/>
            </w:tcBorders>
            <w:vAlign w:val="center"/>
          </w:tcPr>
          <w:p w14:paraId="6BC5282D" w14:textId="12A3B8EF" w:rsidR="00CD0E48" w:rsidRDefault="006E6E20" w:rsidP="00416840">
            <w:pPr>
              <w:spacing w:line="300" w:lineRule="atLeast"/>
              <w:jc w:val="center"/>
              <w:rPr>
                <w:rFonts w:ascii="Arial" w:hAnsi="Arial" w:cs="Arial"/>
                <w:b/>
                <w:sz w:val="16"/>
                <w:szCs w:val="16"/>
              </w:rPr>
            </w:pPr>
            <w:r>
              <w:rPr>
                <w:rFonts w:ascii="Arial" w:hAnsi="Arial" w:cs="Arial"/>
                <w:b/>
                <w:sz w:val="16"/>
                <w:szCs w:val="16"/>
              </w:rPr>
              <w:t>24</w:t>
            </w:r>
            <w:r w:rsidR="009619AB">
              <w:rPr>
                <w:rFonts w:ascii="Arial" w:hAnsi="Arial" w:cs="Arial"/>
                <w:b/>
                <w:sz w:val="16"/>
                <w:szCs w:val="16"/>
              </w:rPr>
              <w:t>5</w:t>
            </w:r>
            <w:r>
              <w:rPr>
                <w:rFonts w:ascii="Arial" w:hAnsi="Arial" w:cs="Arial"/>
                <w:b/>
                <w:sz w:val="16"/>
                <w:szCs w:val="16"/>
              </w:rPr>
              <w:t xml:space="preserve"> </w:t>
            </w:r>
            <w:r w:rsidR="00E61E78">
              <w:rPr>
                <w:rFonts w:ascii="Arial" w:hAnsi="Arial" w:cs="Arial"/>
                <w:b/>
                <w:sz w:val="16"/>
                <w:szCs w:val="16"/>
              </w:rPr>
              <w:t>–</w:t>
            </w:r>
            <w:r>
              <w:rPr>
                <w:rFonts w:ascii="Arial" w:hAnsi="Arial" w:cs="Arial"/>
                <w:b/>
                <w:sz w:val="16"/>
                <w:szCs w:val="16"/>
              </w:rPr>
              <w:t xml:space="preserve"> </w:t>
            </w:r>
            <w:r w:rsidR="00E61E78">
              <w:rPr>
                <w:rFonts w:ascii="Arial" w:hAnsi="Arial" w:cs="Arial"/>
                <w:b/>
                <w:sz w:val="16"/>
                <w:szCs w:val="16"/>
              </w:rPr>
              <w:t>1795</w:t>
            </w:r>
          </w:p>
          <w:p w14:paraId="7B04B238" w14:textId="2DCA60CC" w:rsidR="00E61E78" w:rsidRDefault="00E61E78" w:rsidP="00416840">
            <w:pPr>
              <w:spacing w:line="300" w:lineRule="atLeast"/>
              <w:jc w:val="center"/>
              <w:rPr>
                <w:rFonts w:ascii="Arial" w:hAnsi="Arial" w:cs="Arial"/>
                <w:b/>
                <w:sz w:val="16"/>
                <w:szCs w:val="16"/>
              </w:rPr>
            </w:pPr>
            <w:r>
              <w:rPr>
                <w:rFonts w:ascii="Arial" w:hAnsi="Arial" w:cs="Arial"/>
                <w:b/>
                <w:sz w:val="16"/>
                <w:szCs w:val="16"/>
              </w:rPr>
              <w:t>(10</w:t>
            </w:r>
            <w:r w:rsidR="000F68B7">
              <w:rPr>
                <w:rFonts w:ascii="Arial" w:hAnsi="Arial" w:cs="Arial"/>
                <w:b/>
                <w:sz w:val="16"/>
                <w:szCs w:val="16"/>
              </w:rPr>
              <w:t>20</w:t>
            </w:r>
            <w:r>
              <w:rPr>
                <w:rFonts w:ascii="Arial" w:hAnsi="Arial" w:cs="Arial"/>
                <w:b/>
                <w:sz w:val="16"/>
                <w:szCs w:val="16"/>
              </w:rPr>
              <w:t>)</w:t>
            </w:r>
          </w:p>
        </w:tc>
        <w:tc>
          <w:tcPr>
            <w:tcW w:w="1701" w:type="dxa"/>
            <w:tcBorders>
              <w:top w:val="single" w:sz="4" w:space="0" w:color="auto"/>
              <w:bottom w:val="single" w:sz="4" w:space="0" w:color="auto"/>
            </w:tcBorders>
            <w:vAlign w:val="center"/>
          </w:tcPr>
          <w:p w14:paraId="7E36004E" w14:textId="00089E0D" w:rsidR="00CD0E48" w:rsidRDefault="00A01846" w:rsidP="00DA6B36">
            <w:pPr>
              <w:spacing w:line="300" w:lineRule="atLeast"/>
              <w:jc w:val="center"/>
              <w:rPr>
                <w:rFonts w:ascii="Arial" w:hAnsi="Arial" w:cs="Arial"/>
                <w:b/>
                <w:sz w:val="16"/>
                <w:szCs w:val="16"/>
              </w:rPr>
            </w:pPr>
            <w:r>
              <w:rPr>
                <w:rFonts w:ascii="Arial" w:hAnsi="Arial" w:cs="Arial"/>
                <w:b/>
                <w:sz w:val="16"/>
                <w:szCs w:val="16"/>
              </w:rPr>
              <w:t>23</w:t>
            </w:r>
            <w:r w:rsidR="009619AB">
              <w:rPr>
                <w:rFonts w:ascii="Arial" w:hAnsi="Arial" w:cs="Arial"/>
                <w:b/>
                <w:sz w:val="16"/>
                <w:szCs w:val="16"/>
              </w:rPr>
              <w:t>8</w:t>
            </w:r>
            <w:r>
              <w:rPr>
                <w:rFonts w:ascii="Arial" w:hAnsi="Arial" w:cs="Arial"/>
                <w:b/>
                <w:sz w:val="16"/>
                <w:szCs w:val="16"/>
              </w:rPr>
              <w:t xml:space="preserve"> – 178</w:t>
            </w:r>
            <w:r w:rsidR="009619AB">
              <w:rPr>
                <w:rFonts w:ascii="Arial" w:hAnsi="Arial" w:cs="Arial"/>
                <w:b/>
                <w:sz w:val="16"/>
                <w:szCs w:val="16"/>
              </w:rPr>
              <w:t>8</w:t>
            </w:r>
            <w:r>
              <w:rPr>
                <w:rFonts w:ascii="Arial" w:hAnsi="Arial" w:cs="Arial"/>
                <w:b/>
                <w:sz w:val="16"/>
                <w:szCs w:val="16"/>
              </w:rPr>
              <w:t xml:space="preserve"> (101</w:t>
            </w:r>
            <w:r w:rsidR="00F70A85">
              <w:rPr>
                <w:rFonts w:ascii="Arial" w:hAnsi="Arial" w:cs="Arial"/>
                <w:b/>
                <w:sz w:val="16"/>
                <w:szCs w:val="16"/>
              </w:rPr>
              <w:t>3</w:t>
            </w:r>
            <w:r>
              <w:rPr>
                <w:rFonts w:ascii="Arial" w:hAnsi="Arial" w:cs="Arial"/>
                <w:b/>
                <w:sz w:val="16"/>
                <w:szCs w:val="16"/>
              </w:rPr>
              <w:t>)</w:t>
            </w:r>
          </w:p>
        </w:tc>
        <w:tc>
          <w:tcPr>
            <w:tcW w:w="702" w:type="dxa"/>
            <w:tcBorders>
              <w:top w:val="single" w:sz="4" w:space="0" w:color="auto"/>
              <w:bottom w:val="single" w:sz="4" w:space="0" w:color="auto"/>
            </w:tcBorders>
            <w:vAlign w:val="center"/>
          </w:tcPr>
          <w:p w14:paraId="78B6BB2D" w14:textId="1B470ECF" w:rsidR="00CD0E48" w:rsidRDefault="00C63D34" w:rsidP="007901FE">
            <w:pPr>
              <w:spacing w:line="300" w:lineRule="atLeast"/>
              <w:jc w:val="center"/>
              <w:rPr>
                <w:rFonts w:ascii="Arial" w:hAnsi="Arial" w:cs="Arial"/>
                <w:b/>
                <w:sz w:val="16"/>
                <w:szCs w:val="16"/>
              </w:rPr>
            </w:pPr>
            <w:r>
              <w:rPr>
                <w:rFonts w:ascii="Arial" w:hAnsi="Arial" w:cs="Arial"/>
                <w:b/>
                <w:sz w:val="16"/>
                <w:szCs w:val="16"/>
              </w:rPr>
              <w:t>7.2</w:t>
            </w:r>
          </w:p>
        </w:tc>
      </w:tr>
      <w:tr w:rsidR="00D52B01" w14:paraId="795D17C6" w14:textId="77777777" w:rsidTr="009619AB">
        <w:tc>
          <w:tcPr>
            <w:tcW w:w="2025" w:type="dxa"/>
            <w:tcBorders>
              <w:top w:val="single" w:sz="4" w:space="0" w:color="auto"/>
            </w:tcBorders>
            <w:vAlign w:val="center"/>
          </w:tcPr>
          <w:p w14:paraId="1B7CF222" w14:textId="3F895E5F" w:rsidR="00D52B01" w:rsidRDefault="00D52B01" w:rsidP="00D947F8">
            <w:pPr>
              <w:spacing w:line="300" w:lineRule="atLeast"/>
              <w:rPr>
                <w:rFonts w:ascii="Arial" w:hAnsi="Arial" w:cs="Arial"/>
                <w:b/>
                <w:sz w:val="16"/>
                <w:szCs w:val="16"/>
              </w:rPr>
            </w:pPr>
            <w:r>
              <w:rPr>
                <w:rFonts w:ascii="Arial" w:hAnsi="Arial" w:cs="Arial"/>
                <w:b/>
                <w:sz w:val="16"/>
                <w:szCs w:val="16"/>
              </w:rPr>
              <w:t>Totals</w:t>
            </w:r>
            <w:r w:rsidR="006865A8">
              <w:rPr>
                <w:rFonts w:ascii="Arial" w:hAnsi="Arial" w:cs="Arial"/>
                <w:b/>
                <w:sz w:val="16"/>
                <w:szCs w:val="16"/>
              </w:rPr>
              <w:t>, 2024</w:t>
            </w:r>
          </w:p>
        </w:tc>
        <w:tc>
          <w:tcPr>
            <w:tcW w:w="1231" w:type="dxa"/>
            <w:tcBorders>
              <w:top w:val="single" w:sz="4" w:space="0" w:color="auto"/>
            </w:tcBorders>
            <w:vAlign w:val="center"/>
          </w:tcPr>
          <w:p w14:paraId="2361CAF6" w14:textId="4FF89621" w:rsidR="00D52B01" w:rsidRDefault="006865A8" w:rsidP="007901FE">
            <w:pPr>
              <w:spacing w:line="300" w:lineRule="atLeast"/>
              <w:jc w:val="center"/>
              <w:rPr>
                <w:rFonts w:ascii="Arial" w:hAnsi="Arial" w:cs="Arial"/>
                <w:b/>
                <w:sz w:val="16"/>
                <w:szCs w:val="16"/>
              </w:rPr>
            </w:pPr>
            <w:r>
              <w:rPr>
                <w:rFonts w:ascii="Arial" w:hAnsi="Arial" w:cs="Arial"/>
                <w:b/>
                <w:sz w:val="16"/>
                <w:szCs w:val="16"/>
              </w:rPr>
              <w:t>-</w:t>
            </w:r>
          </w:p>
        </w:tc>
        <w:tc>
          <w:tcPr>
            <w:tcW w:w="1417" w:type="dxa"/>
            <w:tcBorders>
              <w:top w:val="single" w:sz="4" w:space="0" w:color="auto"/>
            </w:tcBorders>
            <w:vAlign w:val="center"/>
          </w:tcPr>
          <w:p w14:paraId="79B3F337" w14:textId="43E8EC46" w:rsidR="00D52B01" w:rsidRDefault="006865A8" w:rsidP="005F6D6C">
            <w:pPr>
              <w:spacing w:line="300" w:lineRule="atLeast"/>
              <w:jc w:val="center"/>
              <w:rPr>
                <w:rFonts w:ascii="Arial" w:hAnsi="Arial" w:cs="Arial"/>
                <w:b/>
                <w:sz w:val="16"/>
                <w:szCs w:val="16"/>
              </w:rPr>
            </w:pPr>
            <w:r>
              <w:rPr>
                <w:rFonts w:ascii="Arial" w:hAnsi="Arial" w:cs="Arial"/>
                <w:b/>
                <w:sz w:val="16"/>
                <w:szCs w:val="16"/>
              </w:rPr>
              <w:t>-</w:t>
            </w:r>
          </w:p>
        </w:tc>
        <w:tc>
          <w:tcPr>
            <w:tcW w:w="1985" w:type="dxa"/>
            <w:tcBorders>
              <w:top w:val="single" w:sz="4" w:space="0" w:color="auto"/>
            </w:tcBorders>
            <w:vAlign w:val="center"/>
          </w:tcPr>
          <w:p w14:paraId="0786797F" w14:textId="5F20DA4D" w:rsidR="00D52B01" w:rsidRDefault="006865A8" w:rsidP="00416840">
            <w:pPr>
              <w:spacing w:line="300" w:lineRule="atLeast"/>
              <w:jc w:val="center"/>
              <w:rPr>
                <w:rFonts w:ascii="Arial" w:hAnsi="Arial" w:cs="Arial"/>
                <w:b/>
                <w:sz w:val="16"/>
                <w:szCs w:val="16"/>
              </w:rPr>
            </w:pPr>
            <w:r>
              <w:rPr>
                <w:rFonts w:ascii="Arial" w:hAnsi="Arial" w:cs="Arial"/>
                <w:b/>
                <w:sz w:val="16"/>
                <w:szCs w:val="16"/>
              </w:rPr>
              <w:t>273 – 200</w:t>
            </w:r>
            <w:r w:rsidR="009619AB">
              <w:rPr>
                <w:rFonts w:ascii="Arial" w:hAnsi="Arial" w:cs="Arial"/>
                <w:b/>
                <w:sz w:val="16"/>
                <w:szCs w:val="16"/>
              </w:rPr>
              <w:t>4</w:t>
            </w:r>
            <w:r>
              <w:rPr>
                <w:rFonts w:ascii="Arial" w:hAnsi="Arial" w:cs="Arial"/>
                <w:b/>
                <w:sz w:val="16"/>
                <w:szCs w:val="16"/>
              </w:rPr>
              <w:t xml:space="preserve"> (1138)</w:t>
            </w:r>
          </w:p>
        </w:tc>
        <w:tc>
          <w:tcPr>
            <w:tcW w:w="1701" w:type="dxa"/>
            <w:tcBorders>
              <w:top w:val="single" w:sz="4" w:space="0" w:color="auto"/>
            </w:tcBorders>
            <w:vAlign w:val="center"/>
          </w:tcPr>
          <w:p w14:paraId="4CEFC1FF" w14:textId="31D12566" w:rsidR="00D52B01" w:rsidRDefault="006865A8" w:rsidP="00DA6B36">
            <w:pPr>
              <w:spacing w:line="300" w:lineRule="atLeast"/>
              <w:jc w:val="center"/>
              <w:rPr>
                <w:rFonts w:ascii="Arial" w:hAnsi="Arial" w:cs="Arial"/>
                <w:b/>
                <w:sz w:val="16"/>
                <w:szCs w:val="16"/>
              </w:rPr>
            </w:pPr>
            <w:r>
              <w:rPr>
                <w:rFonts w:ascii="Arial" w:hAnsi="Arial" w:cs="Arial"/>
                <w:b/>
                <w:sz w:val="16"/>
                <w:szCs w:val="16"/>
              </w:rPr>
              <w:t>26</w:t>
            </w:r>
            <w:r w:rsidR="009619AB">
              <w:rPr>
                <w:rFonts w:ascii="Arial" w:hAnsi="Arial" w:cs="Arial"/>
                <w:b/>
                <w:sz w:val="16"/>
                <w:szCs w:val="16"/>
              </w:rPr>
              <w:t>7</w:t>
            </w:r>
            <w:r>
              <w:rPr>
                <w:rFonts w:ascii="Arial" w:hAnsi="Arial" w:cs="Arial"/>
                <w:b/>
                <w:sz w:val="16"/>
                <w:szCs w:val="16"/>
              </w:rPr>
              <w:t xml:space="preserve"> – 199</w:t>
            </w:r>
            <w:r w:rsidR="00C50291">
              <w:rPr>
                <w:rFonts w:ascii="Arial" w:hAnsi="Arial" w:cs="Arial"/>
                <w:b/>
                <w:sz w:val="16"/>
                <w:szCs w:val="16"/>
              </w:rPr>
              <w:t>7</w:t>
            </w:r>
            <w:r>
              <w:rPr>
                <w:rFonts w:ascii="Arial" w:hAnsi="Arial" w:cs="Arial"/>
                <w:b/>
                <w:sz w:val="16"/>
                <w:szCs w:val="16"/>
              </w:rPr>
              <w:t xml:space="preserve"> (113</w:t>
            </w:r>
            <w:r w:rsidR="00C50291">
              <w:rPr>
                <w:rFonts w:ascii="Arial" w:hAnsi="Arial" w:cs="Arial"/>
                <w:b/>
                <w:sz w:val="16"/>
                <w:szCs w:val="16"/>
              </w:rPr>
              <w:t>2</w:t>
            </w:r>
            <w:r>
              <w:rPr>
                <w:rFonts w:ascii="Arial" w:hAnsi="Arial" w:cs="Arial"/>
                <w:b/>
                <w:sz w:val="16"/>
                <w:szCs w:val="16"/>
              </w:rPr>
              <w:t>)</w:t>
            </w:r>
          </w:p>
        </w:tc>
        <w:tc>
          <w:tcPr>
            <w:tcW w:w="702" w:type="dxa"/>
            <w:tcBorders>
              <w:top w:val="single" w:sz="4" w:space="0" w:color="auto"/>
            </w:tcBorders>
            <w:vAlign w:val="center"/>
          </w:tcPr>
          <w:p w14:paraId="24F22AB5" w14:textId="6560AC9C" w:rsidR="00D52B01" w:rsidRDefault="00092468" w:rsidP="007901FE">
            <w:pPr>
              <w:spacing w:line="300" w:lineRule="atLeast"/>
              <w:jc w:val="center"/>
              <w:rPr>
                <w:rFonts w:ascii="Arial" w:hAnsi="Arial" w:cs="Arial"/>
                <w:b/>
                <w:sz w:val="16"/>
                <w:szCs w:val="16"/>
              </w:rPr>
            </w:pPr>
            <w:r>
              <w:rPr>
                <w:rFonts w:ascii="Arial" w:hAnsi="Arial" w:cs="Arial"/>
                <w:b/>
                <w:sz w:val="16"/>
                <w:szCs w:val="16"/>
              </w:rPr>
              <w:t>6.4</w:t>
            </w:r>
          </w:p>
        </w:tc>
      </w:tr>
    </w:tbl>
    <w:p w14:paraId="7887EC45" w14:textId="15B9A4F8" w:rsidR="003E35CE" w:rsidRPr="00456C7E" w:rsidRDefault="00A8164C" w:rsidP="00F6202C">
      <w:pPr>
        <w:tabs>
          <w:tab w:val="left" w:pos="851"/>
          <w:tab w:val="left" w:pos="1134"/>
        </w:tabs>
        <w:spacing w:before="120" w:line="300" w:lineRule="atLeast"/>
        <w:jc w:val="both"/>
        <w:rPr>
          <w:sz w:val="16"/>
          <w:szCs w:val="16"/>
        </w:rPr>
      </w:pPr>
      <w:r w:rsidRPr="00456C7E">
        <w:rPr>
          <w:sz w:val="16"/>
          <w:szCs w:val="16"/>
        </w:rPr>
        <w:t>Notes:</w:t>
      </w:r>
      <w:r w:rsidRPr="00456C7E">
        <w:rPr>
          <w:sz w:val="16"/>
          <w:szCs w:val="16"/>
        </w:rPr>
        <w:tab/>
        <w:t>a</w:t>
      </w:r>
      <w:r w:rsidRPr="00456C7E">
        <w:rPr>
          <w:sz w:val="16"/>
          <w:szCs w:val="16"/>
        </w:rPr>
        <w:tab/>
        <w:t>the Wairakei release</w:t>
      </w:r>
      <w:r w:rsidR="00004D1A" w:rsidRPr="00456C7E">
        <w:rPr>
          <w:sz w:val="16"/>
          <w:szCs w:val="16"/>
        </w:rPr>
        <w:t>s</w:t>
      </w:r>
      <w:r w:rsidRPr="00456C7E">
        <w:rPr>
          <w:sz w:val="16"/>
          <w:szCs w:val="16"/>
        </w:rPr>
        <w:t xml:space="preserve"> to water have been subtracted from the total </w:t>
      </w:r>
      <w:r w:rsidR="0071154F" w:rsidRPr="00456C7E">
        <w:rPr>
          <w:sz w:val="16"/>
          <w:szCs w:val="16"/>
        </w:rPr>
        <w:t xml:space="preserve">inputs to give the </w:t>
      </w:r>
      <w:r w:rsidRPr="00456C7E">
        <w:rPr>
          <w:sz w:val="16"/>
          <w:szCs w:val="16"/>
        </w:rPr>
        <w:t>releases to air.</w:t>
      </w:r>
    </w:p>
    <w:p w14:paraId="0E20F03E" w14:textId="66EFBE8C" w:rsidR="005F6D6C" w:rsidRPr="00BE17CF" w:rsidRDefault="005F6D6C" w:rsidP="005F6D6C">
      <w:pPr>
        <w:spacing w:before="120" w:line="300" w:lineRule="atLeast"/>
        <w:jc w:val="both"/>
        <w:rPr>
          <w:rFonts w:ascii="Arial" w:hAnsi="Arial" w:cs="Arial"/>
          <w:b/>
          <w:szCs w:val="18"/>
        </w:rPr>
      </w:pPr>
      <w:r w:rsidRPr="00BE17CF">
        <w:rPr>
          <w:rFonts w:ascii="Arial" w:hAnsi="Arial" w:cs="Arial"/>
          <w:b/>
          <w:szCs w:val="18"/>
        </w:rPr>
        <w:t>Certainty assessment</w:t>
      </w:r>
    </w:p>
    <w:p w14:paraId="20AD2097" w14:textId="77777777" w:rsidR="005F6D6C" w:rsidRDefault="005F6D6C" w:rsidP="005F6D6C">
      <w:pPr>
        <w:tabs>
          <w:tab w:val="left" w:pos="1985"/>
        </w:tabs>
        <w:spacing w:line="300" w:lineRule="atLeast"/>
        <w:jc w:val="both"/>
        <w:rPr>
          <w:szCs w:val="18"/>
        </w:rPr>
      </w:pPr>
      <w:r>
        <w:rPr>
          <w:szCs w:val="18"/>
        </w:rPr>
        <w:t xml:space="preserve">Activity data: </w:t>
      </w:r>
      <w:r>
        <w:rPr>
          <w:szCs w:val="18"/>
        </w:rPr>
        <w:tab/>
        <w:t>HIGH (because it was obtained from a national database)</w:t>
      </w:r>
    </w:p>
    <w:p w14:paraId="2CC7FED3" w14:textId="77777777" w:rsidR="005F6D6C" w:rsidRDefault="005F6D6C" w:rsidP="005F6D6C">
      <w:pPr>
        <w:tabs>
          <w:tab w:val="left" w:pos="1985"/>
        </w:tabs>
        <w:spacing w:line="300" w:lineRule="atLeast"/>
        <w:jc w:val="both"/>
        <w:rPr>
          <w:szCs w:val="18"/>
        </w:rPr>
      </w:pPr>
      <w:r>
        <w:rPr>
          <w:szCs w:val="18"/>
        </w:rPr>
        <w:t xml:space="preserve">Input estimates: </w:t>
      </w:r>
      <w:r>
        <w:rPr>
          <w:szCs w:val="18"/>
        </w:rPr>
        <w:tab/>
      </w:r>
      <w:r w:rsidR="00937059">
        <w:rPr>
          <w:szCs w:val="18"/>
        </w:rPr>
        <w:t>MEDIUM</w:t>
      </w:r>
      <w:r>
        <w:rPr>
          <w:szCs w:val="18"/>
        </w:rPr>
        <w:t xml:space="preserve"> (because they are based on </w:t>
      </w:r>
      <w:r w:rsidR="00937059">
        <w:rPr>
          <w:szCs w:val="18"/>
        </w:rPr>
        <w:t>a range of published data</w:t>
      </w:r>
      <w:r>
        <w:rPr>
          <w:szCs w:val="18"/>
        </w:rPr>
        <w:t>)</w:t>
      </w:r>
    </w:p>
    <w:p w14:paraId="0F87A073" w14:textId="01A82B5B" w:rsidR="00861ED5" w:rsidRDefault="005F6D6C" w:rsidP="005F6D6C">
      <w:pPr>
        <w:tabs>
          <w:tab w:val="left" w:pos="1985"/>
        </w:tabs>
        <w:spacing w:line="300" w:lineRule="atLeast"/>
        <w:jc w:val="both"/>
        <w:rPr>
          <w:szCs w:val="18"/>
        </w:rPr>
      </w:pPr>
      <w:r>
        <w:rPr>
          <w:szCs w:val="18"/>
        </w:rPr>
        <w:t xml:space="preserve">Output estimates: </w:t>
      </w:r>
      <w:r>
        <w:rPr>
          <w:szCs w:val="18"/>
        </w:rPr>
        <w:tab/>
      </w:r>
      <w:r w:rsidR="00937059">
        <w:rPr>
          <w:szCs w:val="18"/>
        </w:rPr>
        <w:t>MEDIUM</w:t>
      </w:r>
      <w:r>
        <w:rPr>
          <w:szCs w:val="18"/>
        </w:rPr>
        <w:t xml:space="preserve"> (because they are based on </w:t>
      </w:r>
      <w:r w:rsidR="00937059" w:rsidRPr="00937059">
        <w:rPr>
          <w:szCs w:val="18"/>
        </w:rPr>
        <w:t>a range of published data</w:t>
      </w:r>
      <w:r>
        <w:rPr>
          <w:szCs w:val="18"/>
        </w:rPr>
        <w:t>).</w:t>
      </w:r>
    </w:p>
    <w:p w14:paraId="2B93ED12" w14:textId="77777777" w:rsidR="00861ED5" w:rsidRDefault="00861ED5">
      <w:pPr>
        <w:spacing w:after="0"/>
        <w:rPr>
          <w:szCs w:val="18"/>
        </w:rPr>
      </w:pPr>
      <w:r>
        <w:rPr>
          <w:szCs w:val="18"/>
        </w:rPr>
        <w:br w:type="page"/>
      </w:r>
    </w:p>
    <w:p w14:paraId="61230D4E" w14:textId="77777777" w:rsidR="005F6D6C" w:rsidRDefault="00865C28" w:rsidP="00B8695D">
      <w:pPr>
        <w:pStyle w:val="Heading2"/>
        <w:rPr>
          <w:rFonts w:eastAsia="Calibri"/>
        </w:rPr>
      </w:pPr>
      <w:bookmarkStart w:id="46" w:name="_Toc110355519"/>
      <w:r w:rsidRPr="00B8695D">
        <w:rPr>
          <w:rFonts w:eastAsia="Calibri"/>
        </w:rPr>
        <w:t xml:space="preserve">Summary </w:t>
      </w:r>
      <w:r>
        <w:rPr>
          <w:rFonts w:eastAsia="Calibri"/>
        </w:rPr>
        <w:t xml:space="preserve">for this </w:t>
      </w:r>
      <w:r w:rsidRPr="00B8695D">
        <w:rPr>
          <w:rFonts w:eastAsia="Calibri"/>
        </w:rPr>
        <w:t>catego</w:t>
      </w:r>
      <w:r w:rsidR="00B8695D" w:rsidRPr="00B8695D">
        <w:rPr>
          <w:rFonts w:eastAsia="Calibri"/>
        </w:rPr>
        <w:t>ry</w:t>
      </w:r>
      <w:bookmarkEnd w:id="46"/>
      <w:r w:rsidR="00B8695D" w:rsidRPr="00B8695D">
        <w:rPr>
          <w:rFonts w:eastAsia="Calibri"/>
        </w:rPr>
        <w:t xml:space="preserve"> </w:t>
      </w:r>
    </w:p>
    <w:p w14:paraId="18C245A6" w14:textId="1BCDF8EE" w:rsidR="00A8164C" w:rsidRDefault="007901FE" w:rsidP="003833D6">
      <w:pPr>
        <w:spacing w:line="300" w:lineRule="atLeast"/>
        <w:jc w:val="both"/>
        <w:rPr>
          <w:rFonts w:eastAsia="Calibri"/>
          <w:szCs w:val="22"/>
        </w:rPr>
      </w:pPr>
      <w:r>
        <w:rPr>
          <w:rFonts w:eastAsia="Calibri"/>
          <w:szCs w:val="22"/>
        </w:rPr>
        <w:t xml:space="preserve">The estimated inputs and outputs for the Fuel/Energy Use category are summarised in </w:t>
      </w:r>
      <w:r w:rsidRPr="00636D03">
        <w:rPr>
          <w:rFonts w:eastAsia="Calibri"/>
          <w:szCs w:val="22"/>
        </w:rPr>
        <w:fldChar w:fldCharType="begin"/>
      </w:r>
      <w:r w:rsidRPr="00636D03">
        <w:rPr>
          <w:rFonts w:eastAsia="Calibri"/>
          <w:szCs w:val="22"/>
        </w:rPr>
        <w:instrText xml:space="preserve"> REF _Ref358374332 \h </w:instrText>
      </w:r>
      <w:r w:rsidR="00636D03">
        <w:rPr>
          <w:rFonts w:eastAsia="Calibri"/>
          <w:szCs w:val="22"/>
        </w:rPr>
        <w:instrText xml:space="preserve"> \* MERGEFORMAT </w:instrText>
      </w:r>
      <w:r w:rsidRPr="00636D03">
        <w:rPr>
          <w:rFonts w:eastAsia="Calibri"/>
          <w:szCs w:val="22"/>
        </w:rPr>
      </w:r>
      <w:r w:rsidRPr="00636D03">
        <w:rPr>
          <w:rFonts w:eastAsia="Calibri"/>
          <w:szCs w:val="22"/>
        </w:rPr>
        <w:fldChar w:fldCharType="separate"/>
      </w:r>
      <w:r w:rsidR="00892B2D" w:rsidRPr="00892B2D">
        <w:t xml:space="preserve">Table </w:t>
      </w:r>
      <w:r w:rsidR="00892B2D" w:rsidRPr="00892B2D">
        <w:rPr>
          <w:noProof/>
        </w:rPr>
        <w:t>3</w:t>
      </w:r>
      <w:r w:rsidR="00892B2D" w:rsidRPr="00892B2D">
        <w:rPr>
          <w:noProof/>
        </w:rPr>
        <w:noBreakHyphen/>
        <w:t>8</w:t>
      </w:r>
      <w:r w:rsidRPr="00636D03">
        <w:rPr>
          <w:rFonts w:eastAsia="Calibri"/>
          <w:szCs w:val="22"/>
        </w:rPr>
        <w:fldChar w:fldCharType="end"/>
      </w:r>
      <w:r w:rsidR="0059685F">
        <w:rPr>
          <w:rFonts w:eastAsia="Calibri"/>
          <w:szCs w:val="22"/>
        </w:rPr>
        <w:t xml:space="preserve">. </w:t>
      </w:r>
      <w:r w:rsidR="00872FAF">
        <w:rPr>
          <w:rFonts w:eastAsia="Calibri"/>
          <w:szCs w:val="22"/>
        </w:rPr>
        <w:t>From this it</w:t>
      </w:r>
      <w:r>
        <w:rPr>
          <w:rFonts w:eastAsia="Calibri"/>
          <w:szCs w:val="22"/>
        </w:rPr>
        <w:t xml:space="preserve"> can be seen that the greatest inputs are associated with </w:t>
      </w:r>
      <w:r w:rsidR="000E7954">
        <w:rPr>
          <w:rFonts w:eastAsia="Calibri"/>
          <w:szCs w:val="22"/>
        </w:rPr>
        <w:t>the use of geothermal energy, followed by natur</w:t>
      </w:r>
      <w:r w:rsidR="00016AD4">
        <w:rPr>
          <w:rFonts w:eastAsia="Calibri"/>
          <w:szCs w:val="22"/>
        </w:rPr>
        <w:t>al gas extraction and refining.</w:t>
      </w:r>
      <w:r w:rsidR="000E7954">
        <w:rPr>
          <w:rFonts w:eastAsia="Calibri"/>
          <w:szCs w:val="22"/>
        </w:rPr>
        <w:t xml:space="preserve"> T</w:t>
      </w:r>
      <w:r>
        <w:rPr>
          <w:rFonts w:eastAsia="Calibri"/>
          <w:szCs w:val="22"/>
        </w:rPr>
        <w:t>he dominant release route is to air.</w:t>
      </w:r>
    </w:p>
    <w:p w14:paraId="6FF6C2C0" w14:textId="32112786" w:rsidR="00B554A6" w:rsidRPr="007901FE" w:rsidRDefault="007901FE" w:rsidP="000E7954">
      <w:pPr>
        <w:pStyle w:val="Caption"/>
        <w:spacing w:before="240"/>
        <w:rPr>
          <w:rFonts w:ascii="Arial" w:hAnsi="Arial" w:cs="Arial"/>
          <w:szCs w:val="18"/>
        </w:rPr>
      </w:pPr>
      <w:bookmarkStart w:id="47" w:name="_Ref358374332"/>
      <w:bookmarkStart w:id="48" w:name="_Toc110355466"/>
      <w:r w:rsidRPr="007901FE">
        <w:rPr>
          <w:rFonts w:ascii="Arial" w:hAnsi="Arial" w:cs="Arial"/>
        </w:rPr>
        <w:t xml:space="preserve">Table </w:t>
      </w:r>
      <w:r w:rsidR="00390C9F">
        <w:rPr>
          <w:rFonts w:ascii="Arial" w:hAnsi="Arial" w:cs="Arial"/>
        </w:rPr>
        <w:fldChar w:fldCharType="begin"/>
      </w:r>
      <w:r w:rsidR="00390C9F">
        <w:rPr>
          <w:rFonts w:ascii="Arial" w:hAnsi="Arial" w:cs="Arial"/>
        </w:rPr>
        <w:instrText xml:space="preserve"> STYLEREF 1 \s </w:instrText>
      </w:r>
      <w:r w:rsidR="00390C9F">
        <w:rPr>
          <w:rFonts w:ascii="Arial" w:hAnsi="Arial" w:cs="Arial"/>
        </w:rPr>
        <w:fldChar w:fldCharType="separate"/>
      </w:r>
      <w:r w:rsidR="00892B2D">
        <w:rPr>
          <w:rFonts w:ascii="Arial" w:hAnsi="Arial" w:cs="Arial"/>
          <w:noProof/>
        </w:rPr>
        <w:t>3</w:t>
      </w:r>
      <w:r w:rsidR="00390C9F">
        <w:rPr>
          <w:rFonts w:ascii="Arial" w:hAnsi="Arial" w:cs="Arial"/>
        </w:rPr>
        <w:fldChar w:fldCharType="end"/>
      </w:r>
      <w:r w:rsidR="00390C9F">
        <w:rPr>
          <w:rFonts w:ascii="Arial" w:hAnsi="Arial" w:cs="Arial"/>
        </w:rPr>
        <w:noBreakHyphen/>
      </w:r>
      <w:r w:rsidR="00390C9F">
        <w:rPr>
          <w:rFonts w:ascii="Arial" w:hAnsi="Arial" w:cs="Arial"/>
        </w:rPr>
        <w:fldChar w:fldCharType="begin"/>
      </w:r>
      <w:r w:rsidR="00390C9F">
        <w:rPr>
          <w:rFonts w:ascii="Arial" w:hAnsi="Arial" w:cs="Arial"/>
        </w:rPr>
        <w:instrText xml:space="preserve"> SEQ Table \* ARABIC \s 1 </w:instrText>
      </w:r>
      <w:r w:rsidR="00390C9F">
        <w:rPr>
          <w:rFonts w:ascii="Arial" w:hAnsi="Arial" w:cs="Arial"/>
        </w:rPr>
        <w:fldChar w:fldCharType="separate"/>
      </w:r>
      <w:r w:rsidR="00892B2D">
        <w:rPr>
          <w:rFonts w:ascii="Arial" w:hAnsi="Arial" w:cs="Arial"/>
          <w:noProof/>
        </w:rPr>
        <w:t>8</w:t>
      </w:r>
      <w:r w:rsidR="00390C9F">
        <w:rPr>
          <w:rFonts w:ascii="Arial" w:hAnsi="Arial" w:cs="Arial"/>
        </w:rPr>
        <w:fldChar w:fldCharType="end"/>
      </w:r>
      <w:bookmarkEnd w:id="47"/>
      <w:r w:rsidRPr="007901FE">
        <w:rPr>
          <w:rFonts w:ascii="Arial" w:hAnsi="Arial" w:cs="Arial"/>
        </w:rPr>
        <w:t xml:space="preserve">: </w:t>
      </w:r>
      <w:r w:rsidR="00183044">
        <w:rPr>
          <w:rFonts w:ascii="Arial" w:hAnsi="Arial" w:cs="Arial"/>
        </w:rPr>
        <w:t xml:space="preserve"> </w:t>
      </w:r>
      <w:r w:rsidRPr="007901FE">
        <w:rPr>
          <w:rFonts w:ascii="Arial" w:hAnsi="Arial" w:cs="Arial"/>
        </w:rPr>
        <w:t>Summary of inputs and o</w:t>
      </w:r>
      <w:r>
        <w:rPr>
          <w:rFonts w:ascii="Arial" w:hAnsi="Arial" w:cs="Arial"/>
        </w:rPr>
        <w:t>utputs for the fuel use c</w:t>
      </w:r>
      <w:r w:rsidRPr="007901FE">
        <w:rPr>
          <w:rFonts w:ascii="Arial" w:hAnsi="Arial" w:cs="Arial"/>
        </w:rPr>
        <w:t>ategory</w:t>
      </w:r>
      <w:r w:rsidR="00801115">
        <w:rPr>
          <w:rFonts w:ascii="Arial" w:hAnsi="Arial" w:cs="Arial"/>
        </w:rPr>
        <w:t xml:space="preserve">, for </w:t>
      </w:r>
      <w:bookmarkEnd w:id="48"/>
      <w:r w:rsidR="005A1D46">
        <w:rPr>
          <w:rFonts w:ascii="Arial" w:hAnsi="Arial" w:cs="Arial"/>
        </w:rPr>
        <w:t>202</w:t>
      </w:r>
      <w:r w:rsidR="003A5F63">
        <w:rPr>
          <w:rFonts w:ascii="Arial" w:hAnsi="Arial" w:cs="Arial"/>
        </w:rPr>
        <w:t>4</w:t>
      </w:r>
    </w:p>
    <w:tbl>
      <w:tblPr>
        <w:tblStyle w:val="TableGrid"/>
        <w:tblW w:w="9072" w:type="dxa"/>
        <w:tblInd w:w="108" w:type="dxa"/>
        <w:tblLook w:val="04A0" w:firstRow="1" w:lastRow="0" w:firstColumn="1" w:lastColumn="0" w:noHBand="0" w:noVBand="1"/>
      </w:tblPr>
      <w:tblGrid>
        <w:gridCol w:w="1964"/>
        <w:gridCol w:w="1386"/>
        <w:gridCol w:w="1363"/>
        <w:gridCol w:w="1128"/>
        <w:gridCol w:w="1180"/>
        <w:gridCol w:w="821"/>
        <w:gridCol w:w="1230"/>
      </w:tblGrid>
      <w:tr w:rsidR="003007F7" w:rsidRPr="007901FE" w14:paraId="39DAA582" w14:textId="77777777" w:rsidTr="00880597">
        <w:tc>
          <w:tcPr>
            <w:tcW w:w="1964" w:type="dxa"/>
            <w:vMerge w:val="restart"/>
            <w:vAlign w:val="center"/>
          </w:tcPr>
          <w:p w14:paraId="689A2A98" w14:textId="77777777" w:rsidR="003007F7" w:rsidRPr="004E3E02" w:rsidRDefault="003007F7" w:rsidP="00355741">
            <w:pPr>
              <w:spacing w:line="300" w:lineRule="atLeast"/>
              <w:jc w:val="both"/>
              <w:rPr>
                <w:rFonts w:ascii="Arial" w:hAnsi="Arial" w:cs="Arial"/>
                <w:b/>
                <w:sz w:val="16"/>
                <w:szCs w:val="16"/>
              </w:rPr>
            </w:pPr>
            <w:r w:rsidRPr="004E3E02">
              <w:rPr>
                <w:rFonts w:ascii="Arial" w:hAnsi="Arial" w:cs="Arial"/>
                <w:b/>
                <w:sz w:val="16"/>
                <w:szCs w:val="16"/>
              </w:rPr>
              <w:t>Category</w:t>
            </w:r>
          </w:p>
        </w:tc>
        <w:tc>
          <w:tcPr>
            <w:tcW w:w="1386" w:type="dxa"/>
            <w:vMerge w:val="restart"/>
            <w:vAlign w:val="center"/>
          </w:tcPr>
          <w:p w14:paraId="7D610A51" w14:textId="77777777" w:rsidR="003007F7" w:rsidRPr="004E3E02" w:rsidRDefault="003007F7" w:rsidP="00284F82">
            <w:pPr>
              <w:spacing w:line="300" w:lineRule="atLeast"/>
              <w:jc w:val="center"/>
              <w:rPr>
                <w:rFonts w:ascii="Arial" w:hAnsi="Arial" w:cs="Arial"/>
                <w:b/>
                <w:sz w:val="16"/>
                <w:szCs w:val="16"/>
              </w:rPr>
            </w:pPr>
            <w:r w:rsidRPr="004E3E02">
              <w:rPr>
                <w:rFonts w:ascii="Arial" w:hAnsi="Arial" w:cs="Arial"/>
                <w:b/>
                <w:sz w:val="16"/>
                <w:szCs w:val="16"/>
              </w:rPr>
              <w:t>Mercury Inputs, kg/year</w:t>
            </w:r>
          </w:p>
        </w:tc>
        <w:tc>
          <w:tcPr>
            <w:tcW w:w="5722" w:type="dxa"/>
            <w:gridSpan w:val="5"/>
            <w:vAlign w:val="center"/>
          </w:tcPr>
          <w:p w14:paraId="0ED5C45C" w14:textId="77777777" w:rsidR="003007F7" w:rsidRPr="004E3E02" w:rsidRDefault="003007F7" w:rsidP="00284F82">
            <w:pPr>
              <w:spacing w:line="300" w:lineRule="atLeast"/>
              <w:jc w:val="center"/>
              <w:rPr>
                <w:rFonts w:ascii="Arial" w:hAnsi="Arial" w:cs="Arial"/>
                <w:b/>
                <w:sz w:val="16"/>
                <w:szCs w:val="16"/>
              </w:rPr>
            </w:pPr>
            <w:r w:rsidRPr="004E3E02">
              <w:rPr>
                <w:rFonts w:ascii="Arial" w:hAnsi="Arial" w:cs="Arial"/>
                <w:b/>
                <w:sz w:val="16"/>
                <w:szCs w:val="16"/>
              </w:rPr>
              <w:t>Mercury Outputs, kg/yr</w:t>
            </w:r>
          </w:p>
        </w:tc>
      </w:tr>
      <w:tr w:rsidR="003007F7" w:rsidRPr="007901FE" w14:paraId="3BEFF402" w14:textId="77777777" w:rsidTr="00880597">
        <w:tc>
          <w:tcPr>
            <w:tcW w:w="1964" w:type="dxa"/>
            <w:vMerge/>
            <w:vAlign w:val="center"/>
          </w:tcPr>
          <w:p w14:paraId="140C4CE3" w14:textId="77777777" w:rsidR="003007F7" w:rsidRPr="004E3E02" w:rsidRDefault="003007F7" w:rsidP="00355741">
            <w:pPr>
              <w:spacing w:line="300" w:lineRule="atLeast"/>
              <w:jc w:val="both"/>
              <w:rPr>
                <w:rFonts w:ascii="Arial" w:hAnsi="Arial" w:cs="Arial"/>
                <w:b/>
                <w:sz w:val="16"/>
                <w:szCs w:val="16"/>
              </w:rPr>
            </w:pPr>
          </w:p>
        </w:tc>
        <w:tc>
          <w:tcPr>
            <w:tcW w:w="1386" w:type="dxa"/>
            <w:vMerge/>
          </w:tcPr>
          <w:p w14:paraId="36EE6014" w14:textId="77777777" w:rsidR="003007F7" w:rsidRPr="004E3E02" w:rsidRDefault="003007F7" w:rsidP="00284F82">
            <w:pPr>
              <w:spacing w:line="300" w:lineRule="atLeast"/>
              <w:jc w:val="both"/>
              <w:rPr>
                <w:rFonts w:ascii="Arial" w:hAnsi="Arial" w:cs="Arial"/>
                <w:b/>
                <w:sz w:val="16"/>
                <w:szCs w:val="16"/>
              </w:rPr>
            </w:pPr>
          </w:p>
        </w:tc>
        <w:tc>
          <w:tcPr>
            <w:tcW w:w="1363" w:type="dxa"/>
            <w:vAlign w:val="center"/>
          </w:tcPr>
          <w:p w14:paraId="71E8C145" w14:textId="77777777" w:rsidR="003007F7" w:rsidRPr="004E3E02" w:rsidRDefault="003007F7" w:rsidP="00284F82">
            <w:pPr>
              <w:spacing w:line="300" w:lineRule="atLeast"/>
              <w:jc w:val="center"/>
              <w:rPr>
                <w:rFonts w:ascii="Arial" w:hAnsi="Arial" w:cs="Arial"/>
                <w:b/>
                <w:sz w:val="16"/>
                <w:szCs w:val="16"/>
              </w:rPr>
            </w:pPr>
            <w:r w:rsidRPr="004E3E02">
              <w:rPr>
                <w:rFonts w:ascii="Arial" w:hAnsi="Arial" w:cs="Arial"/>
                <w:b/>
                <w:sz w:val="16"/>
                <w:szCs w:val="16"/>
              </w:rPr>
              <w:t>Air</w:t>
            </w:r>
          </w:p>
        </w:tc>
        <w:tc>
          <w:tcPr>
            <w:tcW w:w="1128" w:type="dxa"/>
            <w:vAlign w:val="center"/>
          </w:tcPr>
          <w:p w14:paraId="094B6463" w14:textId="77777777" w:rsidR="003007F7" w:rsidRPr="004E3E02" w:rsidRDefault="003007F7" w:rsidP="00284F82">
            <w:pPr>
              <w:spacing w:line="300" w:lineRule="atLeast"/>
              <w:jc w:val="center"/>
              <w:rPr>
                <w:rFonts w:ascii="Arial" w:hAnsi="Arial" w:cs="Arial"/>
                <w:b/>
                <w:sz w:val="16"/>
                <w:szCs w:val="16"/>
              </w:rPr>
            </w:pPr>
            <w:r w:rsidRPr="004E3E02">
              <w:rPr>
                <w:rFonts w:ascii="Arial" w:hAnsi="Arial" w:cs="Arial"/>
                <w:b/>
                <w:sz w:val="16"/>
                <w:szCs w:val="16"/>
              </w:rPr>
              <w:t>Water</w:t>
            </w:r>
          </w:p>
        </w:tc>
        <w:tc>
          <w:tcPr>
            <w:tcW w:w="1180" w:type="dxa"/>
            <w:vAlign w:val="center"/>
          </w:tcPr>
          <w:p w14:paraId="2C56E83B" w14:textId="77777777" w:rsidR="003007F7" w:rsidRPr="004E3E02" w:rsidRDefault="003007F7" w:rsidP="00284F82">
            <w:pPr>
              <w:spacing w:line="300" w:lineRule="atLeast"/>
              <w:jc w:val="center"/>
              <w:rPr>
                <w:rFonts w:ascii="Arial" w:hAnsi="Arial" w:cs="Arial"/>
                <w:b/>
                <w:sz w:val="16"/>
                <w:szCs w:val="16"/>
              </w:rPr>
            </w:pPr>
            <w:r w:rsidRPr="004E3E02">
              <w:rPr>
                <w:rFonts w:ascii="Arial" w:hAnsi="Arial" w:cs="Arial"/>
                <w:b/>
                <w:sz w:val="16"/>
                <w:szCs w:val="16"/>
              </w:rPr>
              <w:t>Land</w:t>
            </w:r>
          </w:p>
        </w:tc>
        <w:tc>
          <w:tcPr>
            <w:tcW w:w="821" w:type="dxa"/>
            <w:vAlign w:val="center"/>
          </w:tcPr>
          <w:p w14:paraId="1D17F71A" w14:textId="77777777" w:rsidR="003007F7" w:rsidRPr="004E3E02" w:rsidRDefault="003007F7" w:rsidP="00284F82">
            <w:pPr>
              <w:spacing w:line="300" w:lineRule="atLeast"/>
              <w:jc w:val="center"/>
              <w:rPr>
                <w:rFonts w:ascii="Arial" w:hAnsi="Arial" w:cs="Arial"/>
                <w:b/>
                <w:sz w:val="16"/>
                <w:szCs w:val="16"/>
              </w:rPr>
            </w:pPr>
            <w:r w:rsidRPr="004E3E02">
              <w:rPr>
                <w:rFonts w:ascii="Arial" w:hAnsi="Arial" w:cs="Arial"/>
                <w:b/>
                <w:sz w:val="16"/>
                <w:szCs w:val="16"/>
              </w:rPr>
              <w:t>Product</w:t>
            </w:r>
          </w:p>
        </w:tc>
        <w:tc>
          <w:tcPr>
            <w:tcW w:w="1230" w:type="dxa"/>
            <w:vAlign w:val="center"/>
          </w:tcPr>
          <w:p w14:paraId="3B6F67DA" w14:textId="77777777" w:rsidR="003007F7" w:rsidRPr="004E3E02" w:rsidRDefault="003007F7" w:rsidP="00284F82">
            <w:pPr>
              <w:spacing w:line="300" w:lineRule="atLeast"/>
              <w:jc w:val="center"/>
              <w:rPr>
                <w:rFonts w:ascii="Arial" w:hAnsi="Arial" w:cs="Arial"/>
                <w:b/>
                <w:sz w:val="16"/>
                <w:szCs w:val="16"/>
              </w:rPr>
            </w:pPr>
            <w:r w:rsidRPr="004E3E02">
              <w:rPr>
                <w:rFonts w:ascii="Arial" w:hAnsi="Arial" w:cs="Arial"/>
                <w:b/>
                <w:sz w:val="16"/>
                <w:szCs w:val="16"/>
              </w:rPr>
              <w:t>Waste</w:t>
            </w:r>
          </w:p>
        </w:tc>
      </w:tr>
      <w:tr w:rsidR="00196782" w:rsidRPr="007901FE" w14:paraId="38A16B2F" w14:textId="77777777" w:rsidTr="00880597">
        <w:tc>
          <w:tcPr>
            <w:tcW w:w="1964" w:type="dxa"/>
            <w:vAlign w:val="center"/>
          </w:tcPr>
          <w:p w14:paraId="7F70B415" w14:textId="77777777" w:rsidR="00196782" w:rsidRPr="004E3E02" w:rsidRDefault="00196782" w:rsidP="00196782">
            <w:pPr>
              <w:spacing w:line="300" w:lineRule="atLeast"/>
              <w:jc w:val="both"/>
              <w:rPr>
                <w:rFonts w:ascii="Arial" w:hAnsi="Arial" w:cs="Arial"/>
                <w:sz w:val="16"/>
                <w:szCs w:val="16"/>
              </w:rPr>
            </w:pPr>
            <w:r>
              <w:rPr>
                <w:rFonts w:ascii="Arial" w:hAnsi="Arial" w:cs="Arial"/>
                <w:sz w:val="16"/>
                <w:szCs w:val="16"/>
              </w:rPr>
              <w:t>Coal – large power plants</w:t>
            </w:r>
          </w:p>
        </w:tc>
        <w:tc>
          <w:tcPr>
            <w:tcW w:w="1386" w:type="dxa"/>
            <w:vAlign w:val="center"/>
          </w:tcPr>
          <w:p w14:paraId="21B99526" w14:textId="7B7D9B6E" w:rsidR="00196782" w:rsidRPr="00456C7E" w:rsidRDefault="00196782" w:rsidP="00196782">
            <w:pPr>
              <w:spacing w:line="300" w:lineRule="atLeast"/>
              <w:jc w:val="center"/>
              <w:rPr>
                <w:rFonts w:ascii="Arial" w:hAnsi="Arial" w:cs="Arial"/>
                <w:sz w:val="16"/>
                <w:szCs w:val="16"/>
                <w:highlight w:val="yellow"/>
              </w:rPr>
            </w:pPr>
            <w:r w:rsidRPr="00456C7E">
              <w:rPr>
                <w:rFonts w:ascii="Arial" w:hAnsi="Arial" w:cs="Arial"/>
                <w:sz w:val="16"/>
                <w:szCs w:val="16"/>
              </w:rPr>
              <w:t>17.4 – 165. (91.</w:t>
            </w:r>
            <w:r w:rsidR="009619AB">
              <w:rPr>
                <w:rFonts w:ascii="Arial" w:hAnsi="Arial" w:cs="Arial"/>
                <w:sz w:val="16"/>
                <w:szCs w:val="16"/>
              </w:rPr>
              <w:t>4</w:t>
            </w:r>
            <w:r w:rsidRPr="00456C7E">
              <w:rPr>
                <w:rFonts w:ascii="Arial" w:hAnsi="Arial" w:cs="Arial"/>
                <w:sz w:val="16"/>
                <w:szCs w:val="16"/>
              </w:rPr>
              <w:t>)</w:t>
            </w:r>
          </w:p>
        </w:tc>
        <w:tc>
          <w:tcPr>
            <w:tcW w:w="1363" w:type="dxa"/>
            <w:vAlign w:val="center"/>
          </w:tcPr>
          <w:p w14:paraId="679B8EAC" w14:textId="140806DD" w:rsidR="00196782" w:rsidRPr="00456C7E" w:rsidRDefault="00196782" w:rsidP="00196782">
            <w:pPr>
              <w:spacing w:line="300" w:lineRule="atLeast"/>
              <w:jc w:val="center"/>
              <w:rPr>
                <w:rFonts w:ascii="Arial" w:hAnsi="Arial" w:cs="Arial"/>
                <w:sz w:val="16"/>
                <w:szCs w:val="16"/>
                <w:highlight w:val="yellow"/>
              </w:rPr>
            </w:pPr>
            <w:r w:rsidRPr="00456C7E">
              <w:rPr>
                <w:rFonts w:ascii="Arial" w:hAnsi="Arial" w:cs="Arial"/>
                <w:sz w:val="16"/>
                <w:szCs w:val="16"/>
              </w:rPr>
              <w:t>15.</w:t>
            </w:r>
            <w:r w:rsidR="009619AB">
              <w:rPr>
                <w:rFonts w:ascii="Arial" w:hAnsi="Arial" w:cs="Arial"/>
                <w:sz w:val="16"/>
                <w:szCs w:val="16"/>
              </w:rPr>
              <w:t>7</w:t>
            </w:r>
            <w:r w:rsidRPr="00456C7E">
              <w:rPr>
                <w:rFonts w:ascii="Arial" w:hAnsi="Arial" w:cs="Arial"/>
                <w:sz w:val="16"/>
                <w:szCs w:val="16"/>
              </w:rPr>
              <w:t xml:space="preserve"> – 14</w:t>
            </w:r>
            <w:r w:rsidR="009619AB">
              <w:rPr>
                <w:rFonts w:ascii="Arial" w:hAnsi="Arial" w:cs="Arial"/>
                <w:sz w:val="16"/>
                <w:szCs w:val="16"/>
              </w:rPr>
              <w:t>9</w:t>
            </w:r>
            <w:r w:rsidRPr="00456C7E">
              <w:rPr>
                <w:rFonts w:ascii="Arial" w:hAnsi="Arial" w:cs="Arial"/>
                <w:sz w:val="16"/>
                <w:szCs w:val="16"/>
              </w:rPr>
              <w:t xml:space="preserve"> (82.</w:t>
            </w:r>
            <w:r w:rsidR="009619AB">
              <w:rPr>
                <w:rFonts w:ascii="Arial" w:hAnsi="Arial" w:cs="Arial"/>
                <w:sz w:val="16"/>
                <w:szCs w:val="16"/>
              </w:rPr>
              <w:t>3</w:t>
            </w:r>
            <w:r>
              <w:rPr>
                <w:rFonts w:ascii="Arial" w:hAnsi="Arial" w:cs="Arial"/>
                <w:sz w:val="16"/>
                <w:szCs w:val="16"/>
              </w:rPr>
              <w:t>)</w:t>
            </w:r>
          </w:p>
        </w:tc>
        <w:tc>
          <w:tcPr>
            <w:tcW w:w="1128" w:type="dxa"/>
            <w:vAlign w:val="center"/>
          </w:tcPr>
          <w:p w14:paraId="55BD3B58" w14:textId="607AEE96" w:rsidR="00196782" w:rsidRPr="00456C7E" w:rsidRDefault="00196782" w:rsidP="00196782">
            <w:pPr>
              <w:spacing w:line="300" w:lineRule="atLeast"/>
              <w:jc w:val="center"/>
              <w:rPr>
                <w:rFonts w:ascii="Arial" w:hAnsi="Arial" w:cs="Arial"/>
                <w:sz w:val="16"/>
                <w:szCs w:val="16"/>
                <w:highlight w:val="yellow"/>
              </w:rPr>
            </w:pPr>
            <w:r w:rsidRPr="007F0A14">
              <w:rPr>
                <w:rFonts w:ascii="Arial" w:hAnsi="Arial" w:cs="Arial"/>
                <w:sz w:val="16"/>
                <w:szCs w:val="16"/>
              </w:rPr>
              <w:t>-</w:t>
            </w:r>
          </w:p>
        </w:tc>
        <w:tc>
          <w:tcPr>
            <w:tcW w:w="1180" w:type="dxa"/>
          </w:tcPr>
          <w:p w14:paraId="579A7729" w14:textId="6D84C6D5" w:rsidR="00196782" w:rsidRPr="00456C7E" w:rsidRDefault="00196782" w:rsidP="00196782">
            <w:pPr>
              <w:spacing w:line="300" w:lineRule="atLeast"/>
              <w:jc w:val="center"/>
              <w:rPr>
                <w:rFonts w:ascii="Arial" w:hAnsi="Arial" w:cs="Arial"/>
                <w:sz w:val="16"/>
                <w:szCs w:val="16"/>
                <w:highlight w:val="yellow"/>
              </w:rPr>
            </w:pPr>
            <w:r w:rsidRPr="00456C7E">
              <w:rPr>
                <w:rFonts w:ascii="Arial" w:hAnsi="Arial" w:cs="Arial"/>
                <w:sz w:val="16"/>
                <w:szCs w:val="16"/>
              </w:rPr>
              <w:t>1.74 – 16.5 (9.14)</w:t>
            </w:r>
          </w:p>
        </w:tc>
        <w:tc>
          <w:tcPr>
            <w:tcW w:w="821" w:type="dxa"/>
            <w:vAlign w:val="center"/>
          </w:tcPr>
          <w:p w14:paraId="5BDA31B7" w14:textId="77777777" w:rsidR="00196782" w:rsidRPr="004E3E02" w:rsidRDefault="00196782" w:rsidP="00196782">
            <w:pPr>
              <w:spacing w:line="300" w:lineRule="atLeast"/>
              <w:jc w:val="center"/>
              <w:rPr>
                <w:rFonts w:ascii="Arial" w:hAnsi="Arial" w:cs="Arial"/>
                <w:sz w:val="16"/>
                <w:szCs w:val="16"/>
              </w:rPr>
            </w:pPr>
            <w:r>
              <w:rPr>
                <w:rFonts w:ascii="Arial" w:hAnsi="Arial" w:cs="Arial"/>
                <w:sz w:val="16"/>
                <w:szCs w:val="16"/>
              </w:rPr>
              <w:t>-</w:t>
            </w:r>
          </w:p>
        </w:tc>
        <w:tc>
          <w:tcPr>
            <w:tcW w:w="1230" w:type="dxa"/>
            <w:vAlign w:val="center"/>
          </w:tcPr>
          <w:p w14:paraId="5CB220CE" w14:textId="77777777" w:rsidR="00196782" w:rsidRPr="004E3E02" w:rsidRDefault="00196782" w:rsidP="00196782">
            <w:pPr>
              <w:spacing w:line="300" w:lineRule="atLeast"/>
              <w:jc w:val="center"/>
              <w:rPr>
                <w:rFonts w:ascii="Arial" w:hAnsi="Arial" w:cs="Arial"/>
                <w:sz w:val="16"/>
                <w:szCs w:val="16"/>
              </w:rPr>
            </w:pPr>
            <w:r>
              <w:rPr>
                <w:rFonts w:ascii="Arial" w:hAnsi="Arial" w:cs="Arial"/>
                <w:sz w:val="16"/>
                <w:szCs w:val="16"/>
              </w:rPr>
              <w:t>-</w:t>
            </w:r>
          </w:p>
        </w:tc>
      </w:tr>
      <w:tr w:rsidR="00196782" w:rsidRPr="007901FE" w14:paraId="771C395C" w14:textId="77777777" w:rsidTr="00880597">
        <w:tc>
          <w:tcPr>
            <w:tcW w:w="1964" w:type="dxa"/>
            <w:vAlign w:val="center"/>
          </w:tcPr>
          <w:p w14:paraId="2399B694" w14:textId="77777777" w:rsidR="00196782" w:rsidRPr="00004D1A" w:rsidRDefault="00196782" w:rsidP="00196782">
            <w:pPr>
              <w:spacing w:line="300" w:lineRule="atLeast"/>
              <w:jc w:val="both"/>
              <w:rPr>
                <w:rFonts w:ascii="Arial" w:hAnsi="Arial" w:cs="Arial"/>
                <w:sz w:val="16"/>
                <w:szCs w:val="16"/>
              </w:rPr>
            </w:pPr>
            <w:r w:rsidRPr="00004D1A">
              <w:rPr>
                <w:rFonts w:ascii="Arial" w:hAnsi="Arial" w:cs="Arial"/>
                <w:sz w:val="16"/>
                <w:szCs w:val="16"/>
              </w:rPr>
              <w:t>Other coal combustion</w:t>
            </w:r>
          </w:p>
        </w:tc>
        <w:tc>
          <w:tcPr>
            <w:tcW w:w="1386" w:type="dxa"/>
            <w:vAlign w:val="center"/>
          </w:tcPr>
          <w:p w14:paraId="5AFE10B3" w14:textId="28941E04" w:rsidR="00196782" w:rsidRPr="00456C7E" w:rsidRDefault="00196782" w:rsidP="00196782">
            <w:pPr>
              <w:spacing w:line="300" w:lineRule="atLeast"/>
              <w:jc w:val="center"/>
              <w:rPr>
                <w:rFonts w:ascii="Arial" w:hAnsi="Arial" w:cs="Arial"/>
                <w:bCs/>
                <w:sz w:val="16"/>
                <w:szCs w:val="16"/>
              </w:rPr>
            </w:pPr>
            <w:r w:rsidRPr="00456C7E">
              <w:rPr>
                <w:rFonts w:ascii="Arial" w:hAnsi="Arial" w:cs="Arial"/>
                <w:bCs/>
                <w:sz w:val="16"/>
                <w:szCs w:val="16"/>
              </w:rPr>
              <w:t>2</w:t>
            </w:r>
            <w:r w:rsidR="00AE18D2">
              <w:rPr>
                <w:rFonts w:ascii="Arial" w:hAnsi="Arial" w:cs="Arial"/>
                <w:bCs/>
                <w:sz w:val="16"/>
                <w:szCs w:val="16"/>
              </w:rPr>
              <w:t>9.9</w:t>
            </w:r>
            <w:r w:rsidRPr="00456C7E">
              <w:rPr>
                <w:rFonts w:ascii="Arial" w:hAnsi="Arial" w:cs="Arial"/>
                <w:bCs/>
                <w:sz w:val="16"/>
                <w:szCs w:val="16"/>
              </w:rPr>
              <w:t>– 1</w:t>
            </w:r>
            <w:r w:rsidR="00AE18D2">
              <w:rPr>
                <w:rFonts w:ascii="Arial" w:hAnsi="Arial" w:cs="Arial"/>
                <w:bCs/>
                <w:sz w:val="16"/>
                <w:szCs w:val="16"/>
              </w:rPr>
              <w:t>11.6</w:t>
            </w:r>
            <w:r w:rsidR="009619AB">
              <w:rPr>
                <w:rFonts w:ascii="Arial" w:hAnsi="Arial" w:cs="Arial"/>
                <w:bCs/>
                <w:sz w:val="16"/>
                <w:szCs w:val="16"/>
              </w:rPr>
              <w:t xml:space="preserve"> </w:t>
            </w:r>
            <w:r w:rsidRPr="00456C7E">
              <w:rPr>
                <w:rFonts w:ascii="Arial" w:hAnsi="Arial" w:cs="Arial"/>
                <w:bCs/>
                <w:sz w:val="16"/>
                <w:szCs w:val="16"/>
              </w:rPr>
              <w:t>(</w:t>
            </w:r>
            <w:r w:rsidR="00AE18D2">
              <w:rPr>
                <w:rFonts w:ascii="Arial" w:hAnsi="Arial" w:cs="Arial"/>
                <w:bCs/>
                <w:sz w:val="16"/>
                <w:szCs w:val="16"/>
              </w:rPr>
              <w:t>70.7</w:t>
            </w:r>
            <w:r w:rsidRPr="00456C7E">
              <w:rPr>
                <w:rFonts w:ascii="Arial" w:hAnsi="Arial" w:cs="Arial"/>
                <w:bCs/>
                <w:sz w:val="16"/>
                <w:szCs w:val="16"/>
              </w:rPr>
              <w:t>)</w:t>
            </w:r>
          </w:p>
        </w:tc>
        <w:tc>
          <w:tcPr>
            <w:tcW w:w="1363" w:type="dxa"/>
            <w:vAlign w:val="center"/>
          </w:tcPr>
          <w:p w14:paraId="5FD38110" w14:textId="2ED93EC9" w:rsidR="00196782" w:rsidRPr="00456C7E" w:rsidRDefault="00196782" w:rsidP="00196782">
            <w:pPr>
              <w:spacing w:line="300" w:lineRule="atLeast"/>
              <w:jc w:val="center"/>
              <w:rPr>
                <w:rFonts w:ascii="Arial" w:hAnsi="Arial" w:cs="Arial"/>
                <w:bCs/>
                <w:sz w:val="16"/>
                <w:szCs w:val="16"/>
              </w:rPr>
            </w:pPr>
            <w:r w:rsidRPr="00456C7E">
              <w:rPr>
                <w:rFonts w:ascii="Arial" w:hAnsi="Arial" w:cs="Arial"/>
                <w:bCs/>
                <w:sz w:val="16"/>
                <w:szCs w:val="16"/>
              </w:rPr>
              <w:t>2</w:t>
            </w:r>
            <w:r w:rsidR="00AE18D2">
              <w:rPr>
                <w:rFonts w:ascii="Arial" w:hAnsi="Arial" w:cs="Arial"/>
                <w:bCs/>
                <w:sz w:val="16"/>
                <w:szCs w:val="16"/>
              </w:rPr>
              <w:t>8</w:t>
            </w:r>
            <w:r w:rsidRPr="00456C7E">
              <w:rPr>
                <w:rFonts w:ascii="Arial" w:hAnsi="Arial" w:cs="Arial"/>
                <w:bCs/>
                <w:sz w:val="16"/>
                <w:szCs w:val="16"/>
              </w:rPr>
              <w:t>.4 – 10</w:t>
            </w:r>
            <w:r w:rsidR="00AE18D2">
              <w:rPr>
                <w:rFonts w:ascii="Arial" w:hAnsi="Arial" w:cs="Arial"/>
                <w:bCs/>
                <w:sz w:val="16"/>
                <w:szCs w:val="16"/>
              </w:rPr>
              <w:t>6</w:t>
            </w:r>
            <w:r w:rsidRPr="00456C7E">
              <w:rPr>
                <w:rFonts w:ascii="Arial" w:hAnsi="Arial" w:cs="Arial"/>
                <w:bCs/>
                <w:sz w:val="16"/>
                <w:szCs w:val="16"/>
              </w:rPr>
              <w:t xml:space="preserve"> (6</w:t>
            </w:r>
            <w:r w:rsidR="00AE18D2">
              <w:rPr>
                <w:rFonts w:ascii="Arial" w:hAnsi="Arial" w:cs="Arial"/>
                <w:bCs/>
                <w:sz w:val="16"/>
                <w:szCs w:val="16"/>
              </w:rPr>
              <w:t>7</w:t>
            </w:r>
            <w:r w:rsidRPr="00456C7E">
              <w:rPr>
                <w:rFonts w:ascii="Arial" w:hAnsi="Arial" w:cs="Arial"/>
                <w:bCs/>
                <w:sz w:val="16"/>
                <w:szCs w:val="16"/>
              </w:rPr>
              <w:t>.</w:t>
            </w:r>
            <w:r w:rsidR="00AE18D2">
              <w:rPr>
                <w:rFonts w:ascii="Arial" w:hAnsi="Arial" w:cs="Arial"/>
                <w:bCs/>
                <w:sz w:val="16"/>
                <w:szCs w:val="16"/>
              </w:rPr>
              <w:t>2</w:t>
            </w:r>
            <w:r w:rsidRPr="00456C7E">
              <w:rPr>
                <w:rFonts w:ascii="Arial" w:hAnsi="Arial" w:cs="Arial"/>
                <w:bCs/>
                <w:sz w:val="16"/>
                <w:szCs w:val="16"/>
              </w:rPr>
              <w:t>)</w:t>
            </w:r>
          </w:p>
        </w:tc>
        <w:tc>
          <w:tcPr>
            <w:tcW w:w="1128" w:type="dxa"/>
            <w:vAlign w:val="center"/>
          </w:tcPr>
          <w:p w14:paraId="500B1B14" w14:textId="50856C7E" w:rsidR="00196782" w:rsidRPr="00456C7E" w:rsidRDefault="00196782" w:rsidP="00196782">
            <w:pPr>
              <w:spacing w:line="300" w:lineRule="atLeast"/>
              <w:jc w:val="center"/>
              <w:rPr>
                <w:rFonts w:ascii="Arial" w:hAnsi="Arial" w:cs="Arial"/>
                <w:bCs/>
                <w:sz w:val="16"/>
                <w:szCs w:val="16"/>
              </w:rPr>
            </w:pPr>
          </w:p>
        </w:tc>
        <w:tc>
          <w:tcPr>
            <w:tcW w:w="1180" w:type="dxa"/>
            <w:vAlign w:val="center"/>
          </w:tcPr>
          <w:p w14:paraId="551AA70E" w14:textId="77777777" w:rsidR="00196782" w:rsidRPr="00456C7E" w:rsidRDefault="00196782" w:rsidP="00196782">
            <w:pPr>
              <w:spacing w:line="300" w:lineRule="atLeast"/>
              <w:jc w:val="center"/>
              <w:rPr>
                <w:rFonts w:ascii="Arial" w:hAnsi="Arial" w:cs="Arial"/>
                <w:bCs/>
                <w:sz w:val="16"/>
                <w:szCs w:val="16"/>
              </w:rPr>
            </w:pPr>
            <w:r w:rsidRPr="00456C7E">
              <w:rPr>
                <w:rFonts w:ascii="Arial" w:hAnsi="Arial" w:cs="Arial"/>
                <w:bCs/>
                <w:sz w:val="16"/>
                <w:szCs w:val="16"/>
              </w:rPr>
              <w:t>-</w:t>
            </w:r>
          </w:p>
        </w:tc>
        <w:tc>
          <w:tcPr>
            <w:tcW w:w="821" w:type="dxa"/>
            <w:vAlign w:val="center"/>
          </w:tcPr>
          <w:p w14:paraId="7A87A74A" w14:textId="77777777" w:rsidR="00196782" w:rsidRPr="00456C7E" w:rsidRDefault="00196782" w:rsidP="00196782">
            <w:pPr>
              <w:spacing w:line="300" w:lineRule="atLeast"/>
              <w:jc w:val="center"/>
              <w:rPr>
                <w:rFonts w:ascii="Arial" w:hAnsi="Arial" w:cs="Arial"/>
                <w:bCs/>
                <w:sz w:val="16"/>
                <w:szCs w:val="16"/>
              </w:rPr>
            </w:pPr>
            <w:r w:rsidRPr="00456C7E">
              <w:rPr>
                <w:rFonts w:ascii="Arial" w:hAnsi="Arial" w:cs="Arial"/>
                <w:bCs/>
                <w:sz w:val="16"/>
                <w:szCs w:val="16"/>
              </w:rPr>
              <w:t>-</w:t>
            </w:r>
          </w:p>
        </w:tc>
        <w:tc>
          <w:tcPr>
            <w:tcW w:w="1230" w:type="dxa"/>
            <w:vAlign w:val="center"/>
          </w:tcPr>
          <w:p w14:paraId="4129AE9B" w14:textId="593D7FE8" w:rsidR="00196782" w:rsidRPr="00456C7E" w:rsidRDefault="00196782" w:rsidP="00196782">
            <w:pPr>
              <w:spacing w:line="300" w:lineRule="atLeast"/>
              <w:jc w:val="center"/>
              <w:rPr>
                <w:rFonts w:ascii="Arial" w:hAnsi="Arial" w:cs="Arial"/>
                <w:bCs/>
                <w:sz w:val="16"/>
                <w:szCs w:val="16"/>
              </w:rPr>
            </w:pPr>
            <w:r w:rsidRPr="00456C7E">
              <w:rPr>
                <w:rFonts w:ascii="Arial" w:hAnsi="Arial" w:cs="Arial"/>
                <w:bCs/>
                <w:sz w:val="16"/>
                <w:szCs w:val="16"/>
              </w:rPr>
              <w:t>1.</w:t>
            </w:r>
            <w:r w:rsidR="00AE18D2">
              <w:rPr>
                <w:rFonts w:ascii="Arial" w:hAnsi="Arial" w:cs="Arial"/>
                <w:bCs/>
                <w:sz w:val="16"/>
                <w:szCs w:val="16"/>
              </w:rPr>
              <w:t>50</w:t>
            </w:r>
            <w:r w:rsidRPr="00456C7E">
              <w:rPr>
                <w:rFonts w:ascii="Arial" w:hAnsi="Arial" w:cs="Arial"/>
                <w:bCs/>
                <w:sz w:val="16"/>
                <w:szCs w:val="16"/>
              </w:rPr>
              <w:t xml:space="preserve"> – 5.</w:t>
            </w:r>
            <w:r w:rsidR="00AE18D2">
              <w:rPr>
                <w:rFonts w:ascii="Arial" w:hAnsi="Arial" w:cs="Arial"/>
                <w:bCs/>
                <w:sz w:val="16"/>
                <w:szCs w:val="16"/>
              </w:rPr>
              <w:t>58</w:t>
            </w:r>
            <w:r w:rsidRPr="00456C7E">
              <w:rPr>
                <w:rFonts w:ascii="Arial" w:hAnsi="Arial" w:cs="Arial"/>
                <w:bCs/>
                <w:sz w:val="16"/>
                <w:szCs w:val="16"/>
              </w:rPr>
              <w:t xml:space="preserve"> (3.</w:t>
            </w:r>
            <w:r w:rsidR="00AE18D2">
              <w:rPr>
                <w:rFonts w:ascii="Arial" w:hAnsi="Arial" w:cs="Arial"/>
                <w:bCs/>
                <w:sz w:val="16"/>
                <w:szCs w:val="16"/>
              </w:rPr>
              <w:t>54</w:t>
            </w:r>
            <w:r w:rsidRPr="00456C7E">
              <w:rPr>
                <w:rFonts w:ascii="Arial" w:hAnsi="Arial" w:cs="Arial"/>
                <w:bCs/>
                <w:sz w:val="16"/>
                <w:szCs w:val="16"/>
              </w:rPr>
              <w:t>)</w:t>
            </w:r>
          </w:p>
        </w:tc>
      </w:tr>
      <w:tr w:rsidR="00196782" w:rsidRPr="007901FE" w14:paraId="3B7BE412" w14:textId="77777777" w:rsidTr="00880597">
        <w:tc>
          <w:tcPr>
            <w:tcW w:w="1964" w:type="dxa"/>
            <w:vAlign w:val="center"/>
          </w:tcPr>
          <w:p w14:paraId="10D18273" w14:textId="77777777" w:rsidR="00196782" w:rsidRPr="004E3E02" w:rsidRDefault="00196782" w:rsidP="00196782">
            <w:pPr>
              <w:spacing w:line="300" w:lineRule="atLeast"/>
              <w:jc w:val="both"/>
              <w:rPr>
                <w:rFonts w:ascii="Arial" w:hAnsi="Arial" w:cs="Arial"/>
                <w:sz w:val="16"/>
                <w:szCs w:val="16"/>
              </w:rPr>
            </w:pPr>
            <w:r>
              <w:rPr>
                <w:rFonts w:ascii="Arial" w:hAnsi="Arial" w:cs="Arial"/>
                <w:sz w:val="16"/>
                <w:szCs w:val="16"/>
              </w:rPr>
              <w:t>Oil extraction, refining and use</w:t>
            </w:r>
          </w:p>
        </w:tc>
        <w:tc>
          <w:tcPr>
            <w:tcW w:w="1386" w:type="dxa"/>
            <w:vAlign w:val="center"/>
          </w:tcPr>
          <w:p w14:paraId="50862B5A" w14:textId="0ADE9921" w:rsidR="00196782" w:rsidRPr="00456C7E" w:rsidRDefault="00196782" w:rsidP="00196782">
            <w:pPr>
              <w:spacing w:line="300" w:lineRule="atLeast"/>
              <w:jc w:val="center"/>
              <w:rPr>
                <w:rFonts w:ascii="Arial" w:hAnsi="Arial" w:cs="Arial"/>
                <w:bCs/>
                <w:sz w:val="16"/>
                <w:szCs w:val="16"/>
              </w:rPr>
            </w:pPr>
            <w:r w:rsidRPr="00456C7E">
              <w:rPr>
                <w:rFonts w:ascii="Arial" w:hAnsi="Arial" w:cs="Arial"/>
                <w:bCs/>
                <w:sz w:val="16"/>
                <w:szCs w:val="16"/>
              </w:rPr>
              <w:t>20.4</w:t>
            </w:r>
          </w:p>
        </w:tc>
        <w:tc>
          <w:tcPr>
            <w:tcW w:w="1363" w:type="dxa"/>
            <w:vAlign w:val="center"/>
          </w:tcPr>
          <w:p w14:paraId="4639F0AA" w14:textId="2528534F" w:rsidR="00196782" w:rsidRPr="00456C7E" w:rsidRDefault="00196782" w:rsidP="00196782">
            <w:pPr>
              <w:spacing w:line="300" w:lineRule="atLeast"/>
              <w:jc w:val="center"/>
              <w:rPr>
                <w:rFonts w:ascii="Arial" w:hAnsi="Arial" w:cs="Arial"/>
                <w:bCs/>
                <w:sz w:val="16"/>
                <w:szCs w:val="16"/>
              </w:rPr>
            </w:pPr>
            <w:r w:rsidRPr="00456C7E">
              <w:rPr>
                <w:rFonts w:ascii="Arial" w:hAnsi="Arial" w:cs="Arial"/>
                <w:bCs/>
                <w:sz w:val="16"/>
                <w:szCs w:val="16"/>
              </w:rPr>
              <w:t>19.8</w:t>
            </w:r>
          </w:p>
        </w:tc>
        <w:tc>
          <w:tcPr>
            <w:tcW w:w="1128" w:type="dxa"/>
          </w:tcPr>
          <w:p w14:paraId="37D282D9" w14:textId="0D03B52E" w:rsidR="00196782" w:rsidRPr="00456C7E" w:rsidRDefault="00196782" w:rsidP="00196782">
            <w:pPr>
              <w:spacing w:line="300" w:lineRule="atLeast"/>
              <w:jc w:val="center"/>
              <w:rPr>
                <w:rFonts w:ascii="Arial" w:hAnsi="Arial" w:cs="Arial"/>
                <w:bCs/>
                <w:sz w:val="16"/>
                <w:szCs w:val="16"/>
              </w:rPr>
            </w:pPr>
          </w:p>
        </w:tc>
        <w:tc>
          <w:tcPr>
            <w:tcW w:w="1180" w:type="dxa"/>
          </w:tcPr>
          <w:p w14:paraId="21F2978D" w14:textId="0658BD0C" w:rsidR="00196782" w:rsidRPr="00456C7E" w:rsidRDefault="00196782" w:rsidP="00196782">
            <w:pPr>
              <w:spacing w:line="300" w:lineRule="atLeast"/>
              <w:jc w:val="center"/>
              <w:rPr>
                <w:rFonts w:ascii="Arial" w:hAnsi="Arial" w:cs="Arial"/>
                <w:bCs/>
                <w:sz w:val="16"/>
                <w:szCs w:val="16"/>
              </w:rPr>
            </w:pPr>
            <w:r w:rsidRPr="00456C7E">
              <w:rPr>
                <w:rFonts w:ascii="Arial" w:hAnsi="Arial" w:cs="Arial"/>
                <w:bCs/>
                <w:sz w:val="16"/>
                <w:szCs w:val="16"/>
              </w:rPr>
              <w:t>0.565</w:t>
            </w:r>
          </w:p>
        </w:tc>
        <w:tc>
          <w:tcPr>
            <w:tcW w:w="821" w:type="dxa"/>
            <w:vAlign w:val="center"/>
          </w:tcPr>
          <w:p w14:paraId="72ACB218" w14:textId="77777777" w:rsidR="00196782" w:rsidRPr="00856694" w:rsidRDefault="00196782" w:rsidP="00196782">
            <w:pPr>
              <w:spacing w:line="300" w:lineRule="atLeast"/>
              <w:jc w:val="center"/>
              <w:rPr>
                <w:rFonts w:ascii="Arial" w:hAnsi="Arial" w:cs="Arial"/>
                <w:sz w:val="16"/>
                <w:szCs w:val="16"/>
              </w:rPr>
            </w:pPr>
            <w:r>
              <w:rPr>
                <w:rFonts w:ascii="Arial" w:hAnsi="Arial" w:cs="Arial"/>
                <w:sz w:val="16"/>
                <w:szCs w:val="16"/>
              </w:rPr>
              <w:t>-</w:t>
            </w:r>
          </w:p>
        </w:tc>
        <w:tc>
          <w:tcPr>
            <w:tcW w:w="1230" w:type="dxa"/>
            <w:vAlign w:val="center"/>
          </w:tcPr>
          <w:p w14:paraId="6639338F" w14:textId="287B8D91" w:rsidR="00196782" w:rsidRPr="00DB1157" w:rsidRDefault="00196782" w:rsidP="00196782">
            <w:pPr>
              <w:spacing w:line="300" w:lineRule="atLeast"/>
              <w:jc w:val="center"/>
              <w:rPr>
                <w:rFonts w:ascii="Arial" w:hAnsi="Arial" w:cs="Arial"/>
                <w:sz w:val="16"/>
                <w:szCs w:val="16"/>
              </w:rPr>
            </w:pPr>
          </w:p>
        </w:tc>
      </w:tr>
      <w:tr w:rsidR="00196782" w:rsidRPr="007901FE" w14:paraId="232F5E4C" w14:textId="77777777" w:rsidTr="00880597">
        <w:tc>
          <w:tcPr>
            <w:tcW w:w="1964" w:type="dxa"/>
            <w:vAlign w:val="center"/>
          </w:tcPr>
          <w:p w14:paraId="1AE94854" w14:textId="77777777" w:rsidR="00196782" w:rsidRPr="004E3E02" w:rsidRDefault="00196782" w:rsidP="00196782">
            <w:pPr>
              <w:spacing w:line="300" w:lineRule="atLeast"/>
              <w:jc w:val="both"/>
              <w:rPr>
                <w:rFonts w:ascii="Arial" w:hAnsi="Arial" w:cs="Arial"/>
                <w:sz w:val="16"/>
                <w:szCs w:val="16"/>
              </w:rPr>
            </w:pPr>
            <w:r>
              <w:rPr>
                <w:rFonts w:ascii="Arial" w:hAnsi="Arial" w:cs="Arial"/>
                <w:sz w:val="16"/>
                <w:szCs w:val="16"/>
              </w:rPr>
              <w:t>Gas extraction, refining and use</w:t>
            </w:r>
          </w:p>
        </w:tc>
        <w:tc>
          <w:tcPr>
            <w:tcW w:w="1386" w:type="dxa"/>
            <w:tcBorders>
              <w:bottom w:val="single" w:sz="4" w:space="0" w:color="auto"/>
            </w:tcBorders>
            <w:vAlign w:val="center"/>
          </w:tcPr>
          <w:p w14:paraId="0288846E" w14:textId="69BA11A5" w:rsidR="00196782" w:rsidRPr="00801115" w:rsidRDefault="00196782" w:rsidP="00196782">
            <w:pPr>
              <w:spacing w:line="300" w:lineRule="atLeast"/>
              <w:jc w:val="center"/>
              <w:rPr>
                <w:rFonts w:ascii="Arial" w:hAnsi="Arial" w:cs="Arial"/>
                <w:sz w:val="16"/>
                <w:szCs w:val="16"/>
              </w:rPr>
            </w:pPr>
            <w:r>
              <w:rPr>
                <w:rFonts w:ascii="Arial" w:hAnsi="Arial" w:cs="Arial"/>
                <w:sz w:val="16"/>
                <w:szCs w:val="16"/>
              </w:rPr>
              <w:t>0.33 – 262 (131)</w:t>
            </w:r>
          </w:p>
        </w:tc>
        <w:tc>
          <w:tcPr>
            <w:tcW w:w="1363" w:type="dxa"/>
            <w:tcBorders>
              <w:bottom w:val="single" w:sz="4" w:space="0" w:color="auto"/>
            </w:tcBorders>
            <w:vAlign w:val="center"/>
          </w:tcPr>
          <w:p w14:paraId="4A4D0F21" w14:textId="42B35496" w:rsidR="00196782" w:rsidRPr="00801115" w:rsidRDefault="00196782" w:rsidP="00196782">
            <w:pPr>
              <w:spacing w:line="300" w:lineRule="atLeast"/>
              <w:jc w:val="center"/>
              <w:rPr>
                <w:rFonts w:ascii="Arial" w:hAnsi="Arial" w:cs="Arial"/>
                <w:sz w:val="16"/>
                <w:szCs w:val="16"/>
              </w:rPr>
            </w:pPr>
            <w:r>
              <w:rPr>
                <w:rFonts w:ascii="Arial" w:hAnsi="Arial" w:cs="Arial"/>
                <w:sz w:val="16"/>
                <w:szCs w:val="16"/>
              </w:rPr>
              <w:t>0.065 – 52.4 (26.2)</w:t>
            </w:r>
          </w:p>
        </w:tc>
        <w:tc>
          <w:tcPr>
            <w:tcW w:w="1128" w:type="dxa"/>
            <w:tcBorders>
              <w:bottom w:val="single" w:sz="4" w:space="0" w:color="auto"/>
            </w:tcBorders>
            <w:vAlign w:val="center"/>
          </w:tcPr>
          <w:p w14:paraId="094A546A" w14:textId="74C0E4EB" w:rsidR="00196782" w:rsidRPr="00801115" w:rsidRDefault="00196782" w:rsidP="00196782">
            <w:pPr>
              <w:spacing w:line="300" w:lineRule="atLeast"/>
              <w:jc w:val="center"/>
              <w:rPr>
                <w:rFonts w:ascii="Arial" w:hAnsi="Arial" w:cs="Arial"/>
                <w:sz w:val="16"/>
                <w:szCs w:val="16"/>
              </w:rPr>
            </w:pPr>
            <w:r>
              <w:rPr>
                <w:rFonts w:ascii="Arial" w:hAnsi="Arial" w:cs="Arial"/>
                <w:sz w:val="16"/>
                <w:szCs w:val="16"/>
              </w:rPr>
              <w:t>0.065 – 52.4 (26.2)</w:t>
            </w:r>
          </w:p>
        </w:tc>
        <w:tc>
          <w:tcPr>
            <w:tcW w:w="1180" w:type="dxa"/>
            <w:tcBorders>
              <w:bottom w:val="single" w:sz="4" w:space="0" w:color="auto"/>
            </w:tcBorders>
            <w:vAlign w:val="center"/>
          </w:tcPr>
          <w:p w14:paraId="03950E73" w14:textId="271AF0D3" w:rsidR="00196782" w:rsidRPr="00DB1157" w:rsidRDefault="00196782" w:rsidP="00196782">
            <w:pPr>
              <w:spacing w:line="300" w:lineRule="atLeast"/>
              <w:jc w:val="center"/>
              <w:rPr>
                <w:rFonts w:ascii="Arial" w:hAnsi="Arial" w:cs="Arial"/>
                <w:sz w:val="16"/>
                <w:szCs w:val="16"/>
              </w:rPr>
            </w:pPr>
          </w:p>
        </w:tc>
        <w:tc>
          <w:tcPr>
            <w:tcW w:w="821" w:type="dxa"/>
            <w:vAlign w:val="center"/>
          </w:tcPr>
          <w:p w14:paraId="0857FE23" w14:textId="32744471" w:rsidR="00196782" w:rsidRPr="00DB1157" w:rsidRDefault="00196782" w:rsidP="00196782">
            <w:pPr>
              <w:spacing w:line="300" w:lineRule="atLeast"/>
              <w:jc w:val="center"/>
              <w:rPr>
                <w:rFonts w:ascii="Arial" w:hAnsi="Arial" w:cs="Arial"/>
                <w:sz w:val="16"/>
                <w:szCs w:val="16"/>
              </w:rPr>
            </w:pPr>
            <w:r>
              <w:rPr>
                <w:rFonts w:ascii="Arial" w:hAnsi="Arial" w:cs="Arial"/>
                <w:sz w:val="16"/>
                <w:szCs w:val="16"/>
              </w:rPr>
              <w:t>-</w:t>
            </w:r>
          </w:p>
        </w:tc>
        <w:tc>
          <w:tcPr>
            <w:tcW w:w="1230" w:type="dxa"/>
            <w:vAlign w:val="center"/>
          </w:tcPr>
          <w:p w14:paraId="32BD4C92" w14:textId="1B6447BC" w:rsidR="00196782" w:rsidRPr="00CD39B8" w:rsidRDefault="00196782" w:rsidP="00196782">
            <w:pPr>
              <w:spacing w:line="300" w:lineRule="atLeast"/>
              <w:jc w:val="center"/>
              <w:rPr>
                <w:rFonts w:ascii="Arial" w:hAnsi="Arial" w:cs="Arial"/>
                <w:sz w:val="16"/>
                <w:szCs w:val="16"/>
              </w:rPr>
            </w:pPr>
            <w:r>
              <w:rPr>
                <w:rFonts w:ascii="Arial" w:hAnsi="Arial" w:cs="Arial"/>
                <w:sz w:val="16"/>
                <w:szCs w:val="16"/>
              </w:rPr>
              <w:t>0.198 – 157 (78.7)</w:t>
            </w:r>
          </w:p>
        </w:tc>
      </w:tr>
      <w:tr w:rsidR="00196782" w:rsidRPr="007901FE" w14:paraId="65DCBE51" w14:textId="77777777" w:rsidTr="00880597">
        <w:tc>
          <w:tcPr>
            <w:tcW w:w="1964" w:type="dxa"/>
            <w:vAlign w:val="center"/>
          </w:tcPr>
          <w:p w14:paraId="6B415A9B" w14:textId="77777777" w:rsidR="00196782" w:rsidRPr="004E3E02" w:rsidRDefault="00196782" w:rsidP="00196782">
            <w:pPr>
              <w:spacing w:line="300" w:lineRule="atLeast"/>
              <w:jc w:val="both"/>
              <w:rPr>
                <w:rFonts w:ascii="Arial" w:hAnsi="Arial" w:cs="Arial"/>
                <w:sz w:val="16"/>
                <w:szCs w:val="16"/>
              </w:rPr>
            </w:pPr>
            <w:r>
              <w:rPr>
                <w:rFonts w:ascii="Arial" w:hAnsi="Arial" w:cs="Arial"/>
                <w:sz w:val="16"/>
                <w:szCs w:val="16"/>
              </w:rPr>
              <w:t>Other fossil fuels</w:t>
            </w:r>
          </w:p>
        </w:tc>
        <w:tc>
          <w:tcPr>
            <w:tcW w:w="1386" w:type="dxa"/>
            <w:tcBorders>
              <w:bottom w:val="single" w:sz="4" w:space="0" w:color="auto"/>
            </w:tcBorders>
            <w:vAlign w:val="center"/>
          </w:tcPr>
          <w:p w14:paraId="453DD3B6" w14:textId="77777777" w:rsidR="00196782" w:rsidRPr="004E3E02" w:rsidRDefault="00196782" w:rsidP="00196782">
            <w:pPr>
              <w:spacing w:line="300" w:lineRule="atLeast"/>
              <w:jc w:val="center"/>
              <w:rPr>
                <w:rFonts w:ascii="Arial" w:hAnsi="Arial" w:cs="Arial"/>
                <w:sz w:val="16"/>
                <w:szCs w:val="16"/>
              </w:rPr>
            </w:pPr>
            <w:r>
              <w:rPr>
                <w:rFonts w:ascii="Arial" w:hAnsi="Arial" w:cs="Arial"/>
                <w:sz w:val="16"/>
                <w:szCs w:val="16"/>
              </w:rPr>
              <w:t>-</w:t>
            </w:r>
          </w:p>
        </w:tc>
        <w:tc>
          <w:tcPr>
            <w:tcW w:w="1363" w:type="dxa"/>
            <w:tcBorders>
              <w:bottom w:val="single" w:sz="4" w:space="0" w:color="auto"/>
            </w:tcBorders>
            <w:vAlign w:val="center"/>
          </w:tcPr>
          <w:p w14:paraId="6FEFBA11" w14:textId="77777777" w:rsidR="00196782" w:rsidRPr="004E3E02" w:rsidRDefault="00196782" w:rsidP="00196782">
            <w:pPr>
              <w:spacing w:line="300" w:lineRule="atLeast"/>
              <w:jc w:val="center"/>
              <w:rPr>
                <w:rFonts w:ascii="Arial" w:hAnsi="Arial" w:cs="Arial"/>
                <w:sz w:val="16"/>
                <w:szCs w:val="16"/>
              </w:rPr>
            </w:pPr>
            <w:r>
              <w:rPr>
                <w:rFonts w:ascii="Arial" w:hAnsi="Arial" w:cs="Arial"/>
                <w:sz w:val="16"/>
                <w:szCs w:val="16"/>
              </w:rPr>
              <w:t>-</w:t>
            </w:r>
          </w:p>
        </w:tc>
        <w:tc>
          <w:tcPr>
            <w:tcW w:w="1128" w:type="dxa"/>
            <w:vAlign w:val="center"/>
          </w:tcPr>
          <w:p w14:paraId="5AC20CEB" w14:textId="77777777" w:rsidR="00196782" w:rsidRPr="004E3E02" w:rsidRDefault="00196782" w:rsidP="00196782">
            <w:pPr>
              <w:spacing w:line="300" w:lineRule="atLeast"/>
              <w:jc w:val="center"/>
              <w:rPr>
                <w:rFonts w:ascii="Arial" w:hAnsi="Arial" w:cs="Arial"/>
                <w:sz w:val="16"/>
                <w:szCs w:val="16"/>
              </w:rPr>
            </w:pPr>
            <w:r>
              <w:rPr>
                <w:rFonts w:ascii="Arial" w:hAnsi="Arial" w:cs="Arial"/>
                <w:sz w:val="16"/>
                <w:szCs w:val="16"/>
              </w:rPr>
              <w:t>-</w:t>
            </w:r>
          </w:p>
        </w:tc>
        <w:tc>
          <w:tcPr>
            <w:tcW w:w="1180" w:type="dxa"/>
            <w:vAlign w:val="center"/>
          </w:tcPr>
          <w:p w14:paraId="61767F31" w14:textId="77777777" w:rsidR="00196782" w:rsidRPr="004E3E02" w:rsidRDefault="00196782" w:rsidP="00196782">
            <w:pPr>
              <w:spacing w:line="300" w:lineRule="atLeast"/>
              <w:jc w:val="center"/>
              <w:rPr>
                <w:rFonts w:ascii="Arial" w:hAnsi="Arial" w:cs="Arial"/>
                <w:sz w:val="16"/>
                <w:szCs w:val="16"/>
              </w:rPr>
            </w:pPr>
            <w:r>
              <w:rPr>
                <w:rFonts w:ascii="Arial" w:hAnsi="Arial" w:cs="Arial"/>
                <w:sz w:val="16"/>
                <w:szCs w:val="16"/>
              </w:rPr>
              <w:t>-</w:t>
            </w:r>
          </w:p>
        </w:tc>
        <w:tc>
          <w:tcPr>
            <w:tcW w:w="821" w:type="dxa"/>
            <w:vAlign w:val="center"/>
          </w:tcPr>
          <w:p w14:paraId="19FA6341" w14:textId="77777777" w:rsidR="00196782" w:rsidRPr="004E3E02" w:rsidRDefault="00196782" w:rsidP="00196782">
            <w:pPr>
              <w:spacing w:line="300" w:lineRule="atLeast"/>
              <w:jc w:val="center"/>
              <w:rPr>
                <w:rFonts w:ascii="Arial" w:hAnsi="Arial" w:cs="Arial"/>
                <w:sz w:val="16"/>
                <w:szCs w:val="16"/>
              </w:rPr>
            </w:pPr>
            <w:r>
              <w:rPr>
                <w:rFonts w:ascii="Arial" w:hAnsi="Arial" w:cs="Arial"/>
                <w:sz w:val="16"/>
                <w:szCs w:val="16"/>
              </w:rPr>
              <w:t>-</w:t>
            </w:r>
          </w:p>
        </w:tc>
        <w:tc>
          <w:tcPr>
            <w:tcW w:w="1230" w:type="dxa"/>
            <w:vAlign w:val="center"/>
          </w:tcPr>
          <w:p w14:paraId="35BE7008" w14:textId="77777777" w:rsidR="00196782" w:rsidRPr="004E3E02" w:rsidRDefault="00196782" w:rsidP="00196782">
            <w:pPr>
              <w:spacing w:line="300" w:lineRule="atLeast"/>
              <w:jc w:val="center"/>
              <w:rPr>
                <w:rFonts w:ascii="Arial" w:hAnsi="Arial" w:cs="Arial"/>
                <w:sz w:val="16"/>
                <w:szCs w:val="16"/>
              </w:rPr>
            </w:pPr>
            <w:r>
              <w:rPr>
                <w:rFonts w:ascii="Arial" w:hAnsi="Arial" w:cs="Arial"/>
                <w:sz w:val="16"/>
                <w:szCs w:val="16"/>
              </w:rPr>
              <w:t>-</w:t>
            </w:r>
          </w:p>
        </w:tc>
      </w:tr>
      <w:tr w:rsidR="00196782" w:rsidRPr="007901FE" w14:paraId="7C2A3A0A" w14:textId="77777777" w:rsidTr="00880597">
        <w:tc>
          <w:tcPr>
            <w:tcW w:w="1964" w:type="dxa"/>
            <w:vAlign w:val="center"/>
          </w:tcPr>
          <w:p w14:paraId="607E1A57" w14:textId="77777777" w:rsidR="00196782" w:rsidRPr="004E3E02" w:rsidRDefault="00196782" w:rsidP="00196782">
            <w:pPr>
              <w:spacing w:line="300" w:lineRule="atLeast"/>
              <w:jc w:val="both"/>
              <w:rPr>
                <w:rFonts w:ascii="Arial" w:hAnsi="Arial" w:cs="Arial"/>
                <w:sz w:val="16"/>
                <w:szCs w:val="16"/>
              </w:rPr>
            </w:pPr>
            <w:r>
              <w:rPr>
                <w:rFonts w:ascii="Arial" w:hAnsi="Arial" w:cs="Arial"/>
                <w:sz w:val="16"/>
                <w:szCs w:val="16"/>
              </w:rPr>
              <w:t>Biomass fuel</w:t>
            </w:r>
          </w:p>
        </w:tc>
        <w:tc>
          <w:tcPr>
            <w:tcW w:w="1386" w:type="dxa"/>
            <w:tcBorders>
              <w:bottom w:val="single" w:sz="4" w:space="0" w:color="auto"/>
            </w:tcBorders>
            <w:vAlign w:val="center"/>
          </w:tcPr>
          <w:p w14:paraId="60C5718A" w14:textId="0EF8A240" w:rsidR="00196782" w:rsidRPr="004E3E02" w:rsidRDefault="00196782" w:rsidP="00196782">
            <w:pPr>
              <w:spacing w:line="300" w:lineRule="atLeast"/>
              <w:jc w:val="center"/>
              <w:rPr>
                <w:rFonts w:ascii="Arial" w:hAnsi="Arial" w:cs="Arial"/>
                <w:sz w:val="16"/>
                <w:szCs w:val="16"/>
              </w:rPr>
            </w:pPr>
            <w:r>
              <w:rPr>
                <w:rFonts w:ascii="Arial" w:hAnsi="Arial" w:cs="Arial"/>
                <w:sz w:val="16"/>
                <w:szCs w:val="16"/>
              </w:rPr>
              <w:t>17.0 – 170 (93.</w:t>
            </w:r>
            <w:r w:rsidR="009619AB">
              <w:rPr>
                <w:rFonts w:ascii="Arial" w:hAnsi="Arial" w:cs="Arial"/>
                <w:sz w:val="16"/>
                <w:szCs w:val="16"/>
              </w:rPr>
              <w:t>7</w:t>
            </w:r>
            <w:r>
              <w:rPr>
                <w:rFonts w:ascii="Arial" w:hAnsi="Arial" w:cs="Arial"/>
                <w:sz w:val="16"/>
                <w:szCs w:val="16"/>
              </w:rPr>
              <w:t>)</w:t>
            </w:r>
          </w:p>
        </w:tc>
        <w:tc>
          <w:tcPr>
            <w:tcW w:w="1363" w:type="dxa"/>
            <w:tcBorders>
              <w:bottom w:val="single" w:sz="4" w:space="0" w:color="auto"/>
            </w:tcBorders>
            <w:vAlign w:val="center"/>
          </w:tcPr>
          <w:p w14:paraId="11A1B798" w14:textId="2F8D49B1" w:rsidR="00196782" w:rsidRPr="004E3E02" w:rsidRDefault="00196782" w:rsidP="00196782">
            <w:pPr>
              <w:spacing w:line="300" w:lineRule="atLeast"/>
              <w:jc w:val="center"/>
              <w:rPr>
                <w:rFonts w:ascii="Arial" w:hAnsi="Arial" w:cs="Arial"/>
                <w:sz w:val="16"/>
                <w:szCs w:val="16"/>
              </w:rPr>
            </w:pPr>
            <w:r>
              <w:rPr>
                <w:rFonts w:ascii="Arial" w:hAnsi="Arial" w:cs="Arial"/>
                <w:sz w:val="16"/>
                <w:szCs w:val="16"/>
              </w:rPr>
              <w:t>17.0 – 170 (93.</w:t>
            </w:r>
            <w:r w:rsidR="009619AB">
              <w:rPr>
                <w:rFonts w:ascii="Arial" w:hAnsi="Arial" w:cs="Arial"/>
                <w:sz w:val="16"/>
                <w:szCs w:val="16"/>
              </w:rPr>
              <w:t>7</w:t>
            </w:r>
            <w:r>
              <w:rPr>
                <w:rFonts w:ascii="Arial" w:hAnsi="Arial" w:cs="Arial"/>
                <w:sz w:val="16"/>
                <w:szCs w:val="16"/>
              </w:rPr>
              <w:t>)</w:t>
            </w:r>
          </w:p>
        </w:tc>
        <w:tc>
          <w:tcPr>
            <w:tcW w:w="1128" w:type="dxa"/>
            <w:tcBorders>
              <w:bottom w:val="single" w:sz="4" w:space="0" w:color="auto"/>
            </w:tcBorders>
            <w:vAlign w:val="center"/>
          </w:tcPr>
          <w:p w14:paraId="040CEA62" w14:textId="77777777" w:rsidR="00196782" w:rsidRPr="004E3E02" w:rsidRDefault="00196782" w:rsidP="00196782">
            <w:pPr>
              <w:spacing w:line="300" w:lineRule="atLeast"/>
              <w:jc w:val="center"/>
              <w:rPr>
                <w:rFonts w:ascii="Arial" w:hAnsi="Arial" w:cs="Arial"/>
                <w:sz w:val="16"/>
                <w:szCs w:val="16"/>
              </w:rPr>
            </w:pPr>
            <w:r>
              <w:rPr>
                <w:rFonts w:ascii="Arial" w:hAnsi="Arial" w:cs="Arial"/>
                <w:sz w:val="16"/>
                <w:szCs w:val="16"/>
              </w:rPr>
              <w:t>-</w:t>
            </w:r>
          </w:p>
        </w:tc>
        <w:tc>
          <w:tcPr>
            <w:tcW w:w="1180" w:type="dxa"/>
            <w:vAlign w:val="center"/>
          </w:tcPr>
          <w:p w14:paraId="7E8872DC" w14:textId="77777777" w:rsidR="00196782" w:rsidRPr="004E3E02" w:rsidRDefault="00196782" w:rsidP="00196782">
            <w:pPr>
              <w:spacing w:line="300" w:lineRule="atLeast"/>
              <w:jc w:val="center"/>
              <w:rPr>
                <w:rFonts w:ascii="Arial" w:hAnsi="Arial" w:cs="Arial"/>
                <w:sz w:val="16"/>
                <w:szCs w:val="16"/>
              </w:rPr>
            </w:pPr>
            <w:r>
              <w:rPr>
                <w:rFonts w:ascii="Arial" w:hAnsi="Arial" w:cs="Arial"/>
                <w:sz w:val="16"/>
                <w:szCs w:val="16"/>
              </w:rPr>
              <w:t>-</w:t>
            </w:r>
          </w:p>
        </w:tc>
        <w:tc>
          <w:tcPr>
            <w:tcW w:w="821" w:type="dxa"/>
            <w:vAlign w:val="center"/>
          </w:tcPr>
          <w:p w14:paraId="53AB6A24" w14:textId="77777777" w:rsidR="00196782" w:rsidRPr="00801115" w:rsidRDefault="00196782" w:rsidP="00196782">
            <w:pPr>
              <w:spacing w:line="300" w:lineRule="atLeast"/>
              <w:jc w:val="center"/>
              <w:rPr>
                <w:rFonts w:ascii="Arial" w:hAnsi="Arial" w:cs="Arial"/>
                <w:sz w:val="16"/>
                <w:szCs w:val="16"/>
              </w:rPr>
            </w:pPr>
            <w:r>
              <w:rPr>
                <w:rFonts w:ascii="Arial" w:hAnsi="Arial" w:cs="Arial"/>
                <w:sz w:val="16"/>
                <w:szCs w:val="16"/>
              </w:rPr>
              <w:t>-</w:t>
            </w:r>
          </w:p>
        </w:tc>
        <w:tc>
          <w:tcPr>
            <w:tcW w:w="1230" w:type="dxa"/>
            <w:vAlign w:val="center"/>
          </w:tcPr>
          <w:p w14:paraId="7213C99B" w14:textId="77777777" w:rsidR="00196782" w:rsidRPr="00801115" w:rsidRDefault="00196782" w:rsidP="00196782">
            <w:pPr>
              <w:spacing w:line="300" w:lineRule="atLeast"/>
              <w:jc w:val="center"/>
              <w:rPr>
                <w:rFonts w:ascii="Arial" w:hAnsi="Arial" w:cs="Arial"/>
                <w:sz w:val="16"/>
                <w:szCs w:val="16"/>
              </w:rPr>
            </w:pPr>
            <w:r>
              <w:rPr>
                <w:rFonts w:ascii="Arial" w:hAnsi="Arial" w:cs="Arial"/>
                <w:sz w:val="16"/>
                <w:szCs w:val="16"/>
              </w:rPr>
              <w:t>-</w:t>
            </w:r>
          </w:p>
        </w:tc>
      </w:tr>
      <w:tr w:rsidR="00196782" w:rsidRPr="007901FE" w14:paraId="02DB137B" w14:textId="77777777" w:rsidTr="00880597">
        <w:tc>
          <w:tcPr>
            <w:tcW w:w="1964" w:type="dxa"/>
            <w:vAlign w:val="center"/>
          </w:tcPr>
          <w:p w14:paraId="7B017FD9" w14:textId="77777777" w:rsidR="00196782" w:rsidRPr="004E3E02" w:rsidRDefault="00196782" w:rsidP="00196782">
            <w:pPr>
              <w:spacing w:line="300" w:lineRule="atLeast"/>
              <w:jc w:val="both"/>
              <w:rPr>
                <w:rFonts w:ascii="Arial" w:hAnsi="Arial" w:cs="Arial"/>
                <w:sz w:val="16"/>
                <w:szCs w:val="16"/>
              </w:rPr>
            </w:pPr>
            <w:r>
              <w:rPr>
                <w:rFonts w:ascii="Arial" w:hAnsi="Arial" w:cs="Arial"/>
                <w:sz w:val="16"/>
                <w:szCs w:val="16"/>
              </w:rPr>
              <w:t>Geothermal power</w:t>
            </w:r>
          </w:p>
        </w:tc>
        <w:tc>
          <w:tcPr>
            <w:tcW w:w="1386" w:type="dxa"/>
            <w:tcBorders>
              <w:top w:val="single" w:sz="4" w:space="0" w:color="auto"/>
            </w:tcBorders>
            <w:vAlign w:val="center"/>
          </w:tcPr>
          <w:p w14:paraId="0392AF88" w14:textId="73957199" w:rsidR="00196782" w:rsidRPr="00456C7E" w:rsidRDefault="00196782" w:rsidP="00196782">
            <w:pPr>
              <w:spacing w:line="300" w:lineRule="atLeast"/>
              <w:jc w:val="center"/>
              <w:rPr>
                <w:rFonts w:ascii="Arial" w:hAnsi="Arial" w:cs="Arial"/>
                <w:bCs/>
                <w:sz w:val="16"/>
                <w:szCs w:val="16"/>
              </w:rPr>
            </w:pPr>
            <w:r w:rsidRPr="00456C7E">
              <w:rPr>
                <w:rFonts w:ascii="Arial" w:hAnsi="Arial" w:cs="Arial"/>
                <w:bCs/>
                <w:sz w:val="16"/>
                <w:szCs w:val="16"/>
              </w:rPr>
              <w:t>273 – 200</w:t>
            </w:r>
            <w:r w:rsidR="009619AB">
              <w:rPr>
                <w:rFonts w:ascii="Arial" w:hAnsi="Arial" w:cs="Arial"/>
                <w:bCs/>
                <w:sz w:val="16"/>
                <w:szCs w:val="16"/>
              </w:rPr>
              <w:t>4</w:t>
            </w:r>
            <w:r w:rsidRPr="00456C7E">
              <w:rPr>
                <w:rFonts w:ascii="Arial" w:hAnsi="Arial" w:cs="Arial"/>
                <w:bCs/>
                <w:sz w:val="16"/>
                <w:szCs w:val="16"/>
              </w:rPr>
              <w:t xml:space="preserve"> (1138)</w:t>
            </w:r>
          </w:p>
        </w:tc>
        <w:tc>
          <w:tcPr>
            <w:tcW w:w="1363" w:type="dxa"/>
            <w:tcBorders>
              <w:top w:val="single" w:sz="4" w:space="0" w:color="auto"/>
            </w:tcBorders>
            <w:vAlign w:val="center"/>
          </w:tcPr>
          <w:p w14:paraId="2D64A616" w14:textId="414571BE" w:rsidR="00196782" w:rsidRPr="00456C7E" w:rsidRDefault="00196782" w:rsidP="00196782">
            <w:pPr>
              <w:spacing w:line="300" w:lineRule="atLeast"/>
              <w:jc w:val="center"/>
              <w:rPr>
                <w:rFonts w:ascii="Arial" w:hAnsi="Arial" w:cs="Arial"/>
                <w:bCs/>
                <w:sz w:val="16"/>
                <w:szCs w:val="16"/>
              </w:rPr>
            </w:pPr>
            <w:r w:rsidRPr="00456C7E">
              <w:rPr>
                <w:rFonts w:ascii="Arial" w:hAnsi="Arial" w:cs="Arial"/>
                <w:bCs/>
                <w:sz w:val="16"/>
                <w:szCs w:val="16"/>
              </w:rPr>
              <w:t>26</w:t>
            </w:r>
            <w:r w:rsidR="009619AB">
              <w:rPr>
                <w:rFonts w:ascii="Arial" w:hAnsi="Arial" w:cs="Arial"/>
                <w:bCs/>
                <w:sz w:val="16"/>
                <w:szCs w:val="16"/>
              </w:rPr>
              <w:t>7</w:t>
            </w:r>
            <w:r w:rsidRPr="00456C7E">
              <w:rPr>
                <w:rFonts w:ascii="Arial" w:hAnsi="Arial" w:cs="Arial"/>
                <w:bCs/>
                <w:sz w:val="16"/>
                <w:szCs w:val="16"/>
              </w:rPr>
              <w:t xml:space="preserve"> – 1997 (1132)</w:t>
            </w:r>
          </w:p>
        </w:tc>
        <w:tc>
          <w:tcPr>
            <w:tcW w:w="1128" w:type="dxa"/>
            <w:tcBorders>
              <w:top w:val="single" w:sz="4" w:space="0" w:color="auto"/>
            </w:tcBorders>
            <w:vAlign w:val="center"/>
          </w:tcPr>
          <w:p w14:paraId="09445DE2" w14:textId="6E26E3E0" w:rsidR="00196782" w:rsidRPr="00456C7E" w:rsidRDefault="00196782" w:rsidP="00196782">
            <w:pPr>
              <w:spacing w:line="300" w:lineRule="atLeast"/>
              <w:jc w:val="center"/>
              <w:rPr>
                <w:rFonts w:ascii="Arial" w:hAnsi="Arial" w:cs="Arial"/>
                <w:bCs/>
                <w:sz w:val="16"/>
                <w:szCs w:val="16"/>
              </w:rPr>
            </w:pPr>
            <w:r w:rsidRPr="00456C7E">
              <w:rPr>
                <w:rFonts w:ascii="Arial" w:hAnsi="Arial" w:cs="Arial"/>
                <w:bCs/>
                <w:sz w:val="16"/>
                <w:szCs w:val="16"/>
              </w:rPr>
              <w:t>6.4</w:t>
            </w:r>
          </w:p>
        </w:tc>
        <w:tc>
          <w:tcPr>
            <w:tcW w:w="1180" w:type="dxa"/>
            <w:vAlign w:val="center"/>
          </w:tcPr>
          <w:p w14:paraId="1ED249F2" w14:textId="77777777" w:rsidR="00196782" w:rsidRPr="004E3E02" w:rsidRDefault="00196782" w:rsidP="00196782">
            <w:pPr>
              <w:spacing w:line="300" w:lineRule="atLeast"/>
              <w:jc w:val="center"/>
              <w:rPr>
                <w:rFonts w:ascii="Arial" w:hAnsi="Arial" w:cs="Arial"/>
                <w:sz w:val="16"/>
                <w:szCs w:val="16"/>
              </w:rPr>
            </w:pPr>
            <w:r>
              <w:rPr>
                <w:rFonts w:ascii="Arial" w:hAnsi="Arial" w:cs="Arial"/>
                <w:sz w:val="16"/>
                <w:szCs w:val="16"/>
              </w:rPr>
              <w:t>-</w:t>
            </w:r>
          </w:p>
        </w:tc>
        <w:tc>
          <w:tcPr>
            <w:tcW w:w="821" w:type="dxa"/>
            <w:vAlign w:val="center"/>
          </w:tcPr>
          <w:p w14:paraId="046B8E27" w14:textId="77777777" w:rsidR="00196782" w:rsidRPr="004E3E02" w:rsidRDefault="00196782" w:rsidP="00196782">
            <w:pPr>
              <w:spacing w:line="300" w:lineRule="atLeast"/>
              <w:jc w:val="center"/>
              <w:rPr>
                <w:rFonts w:ascii="Arial" w:hAnsi="Arial" w:cs="Arial"/>
                <w:sz w:val="16"/>
                <w:szCs w:val="16"/>
              </w:rPr>
            </w:pPr>
            <w:r>
              <w:rPr>
                <w:rFonts w:ascii="Arial" w:hAnsi="Arial" w:cs="Arial"/>
                <w:sz w:val="16"/>
                <w:szCs w:val="16"/>
              </w:rPr>
              <w:t>-</w:t>
            </w:r>
          </w:p>
        </w:tc>
        <w:tc>
          <w:tcPr>
            <w:tcW w:w="1230" w:type="dxa"/>
            <w:vAlign w:val="center"/>
          </w:tcPr>
          <w:p w14:paraId="2D391B5A" w14:textId="77777777" w:rsidR="00196782" w:rsidRPr="004E3E02" w:rsidRDefault="00196782" w:rsidP="00196782">
            <w:pPr>
              <w:spacing w:line="300" w:lineRule="atLeast"/>
              <w:jc w:val="center"/>
              <w:rPr>
                <w:rFonts w:ascii="Arial" w:hAnsi="Arial" w:cs="Arial"/>
                <w:sz w:val="16"/>
                <w:szCs w:val="16"/>
              </w:rPr>
            </w:pPr>
            <w:r>
              <w:rPr>
                <w:rFonts w:ascii="Arial" w:hAnsi="Arial" w:cs="Arial"/>
                <w:sz w:val="16"/>
                <w:szCs w:val="16"/>
              </w:rPr>
              <w:t>-</w:t>
            </w:r>
          </w:p>
        </w:tc>
      </w:tr>
      <w:tr w:rsidR="00196782" w:rsidRPr="007901FE" w14:paraId="2857DE96" w14:textId="77777777" w:rsidTr="00880597">
        <w:tc>
          <w:tcPr>
            <w:tcW w:w="1964" w:type="dxa"/>
            <w:vAlign w:val="center"/>
          </w:tcPr>
          <w:p w14:paraId="2987099C" w14:textId="78507CE3" w:rsidR="00196782" w:rsidRPr="00B47A6F" w:rsidRDefault="00196782" w:rsidP="00196782">
            <w:pPr>
              <w:spacing w:line="300" w:lineRule="atLeast"/>
              <w:rPr>
                <w:rFonts w:ascii="Arial" w:hAnsi="Arial" w:cs="Arial"/>
                <w:b/>
                <w:sz w:val="16"/>
                <w:szCs w:val="16"/>
              </w:rPr>
            </w:pPr>
            <w:r w:rsidRPr="00B47A6F">
              <w:rPr>
                <w:rFonts w:ascii="Arial" w:hAnsi="Arial" w:cs="Arial"/>
                <w:b/>
                <w:sz w:val="16"/>
                <w:szCs w:val="16"/>
              </w:rPr>
              <w:t>Totals</w:t>
            </w:r>
          </w:p>
        </w:tc>
        <w:tc>
          <w:tcPr>
            <w:tcW w:w="1386" w:type="dxa"/>
            <w:vAlign w:val="center"/>
          </w:tcPr>
          <w:p w14:paraId="3C887ACB" w14:textId="75151111" w:rsidR="00196782" w:rsidRPr="006C339C" w:rsidRDefault="00196782" w:rsidP="00196782">
            <w:pPr>
              <w:spacing w:line="300" w:lineRule="atLeast"/>
              <w:jc w:val="center"/>
              <w:rPr>
                <w:rFonts w:ascii="Arial" w:hAnsi="Arial" w:cs="Arial"/>
                <w:b/>
                <w:sz w:val="16"/>
                <w:szCs w:val="16"/>
                <w:highlight w:val="yellow"/>
              </w:rPr>
            </w:pPr>
            <w:r w:rsidRPr="00456C7E">
              <w:rPr>
                <w:rFonts w:ascii="Arial" w:hAnsi="Arial" w:cs="Arial"/>
                <w:b/>
                <w:sz w:val="16"/>
                <w:szCs w:val="16"/>
              </w:rPr>
              <w:t>35</w:t>
            </w:r>
            <w:r w:rsidR="00AE18D2">
              <w:rPr>
                <w:rFonts w:ascii="Arial" w:hAnsi="Arial" w:cs="Arial"/>
                <w:b/>
                <w:sz w:val="16"/>
                <w:szCs w:val="16"/>
              </w:rPr>
              <w:t>8</w:t>
            </w:r>
            <w:r w:rsidRPr="007F0A14">
              <w:rPr>
                <w:rFonts w:ascii="Arial" w:hAnsi="Arial" w:cs="Arial"/>
                <w:b/>
                <w:sz w:val="16"/>
                <w:szCs w:val="16"/>
              </w:rPr>
              <w:t xml:space="preserve">– </w:t>
            </w:r>
            <w:r w:rsidRPr="00456C7E">
              <w:rPr>
                <w:rFonts w:ascii="Arial" w:hAnsi="Arial" w:cs="Arial"/>
                <w:b/>
                <w:sz w:val="16"/>
                <w:szCs w:val="16"/>
              </w:rPr>
              <w:t>273</w:t>
            </w:r>
            <w:r w:rsidR="00AE18D2">
              <w:rPr>
                <w:rFonts w:ascii="Arial" w:hAnsi="Arial" w:cs="Arial"/>
                <w:b/>
                <w:sz w:val="16"/>
                <w:szCs w:val="16"/>
              </w:rPr>
              <w:t>3</w:t>
            </w:r>
            <w:r w:rsidRPr="007F0A14">
              <w:rPr>
                <w:rFonts w:ascii="Arial" w:hAnsi="Arial" w:cs="Arial"/>
                <w:b/>
                <w:sz w:val="16"/>
                <w:szCs w:val="16"/>
              </w:rPr>
              <w:t xml:space="preserve"> (15</w:t>
            </w:r>
            <w:r w:rsidRPr="00456C7E">
              <w:rPr>
                <w:rFonts w:ascii="Arial" w:hAnsi="Arial" w:cs="Arial"/>
                <w:b/>
                <w:sz w:val="16"/>
                <w:szCs w:val="16"/>
              </w:rPr>
              <w:t>4</w:t>
            </w:r>
            <w:r w:rsidR="00AE18D2">
              <w:rPr>
                <w:rFonts w:ascii="Arial" w:hAnsi="Arial" w:cs="Arial"/>
                <w:b/>
                <w:sz w:val="16"/>
                <w:szCs w:val="16"/>
              </w:rPr>
              <w:t>6</w:t>
            </w:r>
            <w:r w:rsidRPr="007F0A14">
              <w:rPr>
                <w:rFonts w:ascii="Arial" w:hAnsi="Arial" w:cs="Arial"/>
                <w:b/>
                <w:sz w:val="16"/>
                <w:szCs w:val="16"/>
              </w:rPr>
              <w:t>)</w:t>
            </w:r>
          </w:p>
        </w:tc>
        <w:tc>
          <w:tcPr>
            <w:tcW w:w="1363" w:type="dxa"/>
            <w:vAlign w:val="center"/>
          </w:tcPr>
          <w:p w14:paraId="5ADB9569" w14:textId="124E1CCC" w:rsidR="00196782" w:rsidRPr="00456C7E" w:rsidRDefault="00196782" w:rsidP="00196782">
            <w:pPr>
              <w:spacing w:line="300" w:lineRule="atLeast"/>
              <w:jc w:val="center"/>
              <w:rPr>
                <w:rFonts w:ascii="Arial" w:hAnsi="Arial" w:cs="Arial"/>
                <w:b/>
                <w:sz w:val="16"/>
                <w:szCs w:val="16"/>
                <w:highlight w:val="yellow"/>
              </w:rPr>
            </w:pPr>
            <w:r w:rsidRPr="00456C7E">
              <w:rPr>
                <w:rFonts w:ascii="Arial" w:hAnsi="Arial" w:cs="Arial"/>
                <w:b/>
                <w:sz w:val="16"/>
                <w:szCs w:val="16"/>
              </w:rPr>
              <w:t>34</w:t>
            </w:r>
            <w:r w:rsidR="00AE18D2">
              <w:rPr>
                <w:rFonts w:ascii="Arial" w:hAnsi="Arial" w:cs="Arial"/>
                <w:b/>
                <w:sz w:val="16"/>
                <w:szCs w:val="16"/>
              </w:rPr>
              <w:t>8</w:t>
            </w:r>
            <w:r w:rsidRPr="007F0A14">
              <w:rPr>
                <w:rFonts w:ascii="Arial" w:hAnsi="Arial" w:cs="Arial"/>
                <w:b/>
                <w:sz w:val="16"/>
                <w:szCs w:val="16"/>
              </w:rPr>
              <w:t xml:space="preserve"> – </w:t>
            </w:r>
            <w:r w:rsidRPr="00456C7E">
              <w:rPr>
                <w:rFonts w:ascii="Arial" w:hAnsi="Arial" w:cs="Arial"/>
                <w:b/>
                <w:sz w:val="16"/>
                <w:szCs w:val="16"/>
              </w:rPr>
              <w:t>249</w:t>
            </w:r>
            <w:r w:rsidR="00AE18D2">
              <w:rPr>
                <w:rFonts w:ascii="Arial" w:hAnsi="Arial" w:cs="Arial"/>
                <w:b/>
                <w:sz w:val="16"/>
                <w:szCs w:val="16"/>
              </w:rPr>
              <w:t>4</w:t>
            </w:r>
            <w:r w:rsidR="009619AB">
              <w:rPr>
                <w:rFonts w:ascii="Arial" w:hAnsi="Arial" w:cs="Arial"/>
                <w:b/>
                <w:sz w:val="16"/>
                <w:szCs w:val="16"/>
              </w:rPr>
              <w:t xml:space="preserve"> </w:t>
            </w:r>
            <w:r w:rsidRPr="007F0A14">
              <w:rPr>
                <w:rFonts w:ascii="Arial" w:hAnsi="Arial" w:cs="Arial"/>
                <w:b/>
                <w:sz w:val="16"/>
                <w:szCs w:val="16"/>
              </w:rPr>
              <w:t>(</w:t>
            </w:r>
            <w:r w:rsidRPr="00456C7E">
              <w:rPr>
                <w:rFonts w:ascii="Arial" w:hAnsi="Arial" w:cs="Arial"/>
                <w:b/>
                <w:sz w:val="16"/>
                <w:szCs w:val="16"/>
              </w:rPr>
              <w:t>14</w:t>
            </w:r>
            <w:r w:rsidR="00AE18D2">
              <w:rPr>
                <w:rFonts w:ascii="Arial" w:hAnsi="Arial" w:cs="Arial"/>
                <w:b/>
                <w:sz w:val="16"/>
                <w:szCs w:val="16"/>
              </w:rPr>
              <w:t>21</w:t>
            </w:r>
            <w:r w:rsidRPr="007F0A14">
              <w:rPr>
                <w:rFonts w:ascii="Arial" w:hAnsi="Arial" w:cs="Arial"/>
                <w:b/>
                <w:sz w:val="16"/>
                <w:szCs w:val="16"/>
              </w:rPr>
              <w:t>)</w:t>
            </w:r>
          </w:p>
        </w:tc>
        <w:tc>
          <w:tcPr>
            <w:tcW w:w="1128" w:type="dxa"/>
            <w:vAlign w:val="center"/>
          </w:tcPr>
          <w:p w14:paraId="34FFCAEA" w14:textId="401C2DBC" w:rsidR="00196782" w:rsidRPr="00456C7E" w:rsidRDefault="00196782" w:rsidP="00196782">
            <w:pPr>
              <w:spacing w:line="300" w:lineRule="atLeast"/>
              <w:jc w:val="center"/>
              <w:rPr>
                <w:rFonts w:ascii="Arial" w:hAnsi="Arial" w:cs="Arial"/>
                <w:b/>
                <w:sz w:val="16"/>
                <w:szCs w:val="16"/>
                <w:highlight w:val="yellow"/>
              </w:rPr>
            </w:pPr>
            <w:r w:rsidRPr="00456C7E">
              <w:rPr>
                <w:rFonts w:ascii="Arial" w:hAnsi="Arial" w:cs="Arial"/>
                <w:b/>
                <w:sz w:val="16"/>
                <w:szCs w:val="16"/>
              </w:rPr>
              <w:t>6.4</w:t>
            </w:r>
            <w:r w:rsidR="009619AB">
              <w:rPr>
                <w:rFonts w:ascii="Arial" w:hAnsi="Arial" w:cs="Arial"/>
                <w:b/>
                <w:sz w:val="16"/>
                <w:szCs w:val="16"/>
              </w:rPr>
              <w:t>7</w:t>
            </w:r>
            <w:r w:rsidRPr="007F0A14">
              <w:rPr>
                <w:rFonts w:ascii="Arial" w:hAnsi="Arial" w:cs="Arial"/>
                <w:b/>
                <w:sz w:val="16"/>
                <w:szCs w:val="16"/>
              </w:rPr>
              <w:t xml:space="preserve"> – </w:t>
            </w:r>
            <w:r w:rsidRPr="00456C7E">
              <w:rPr>
                <w:rFonts w:ascii="Arial" w:hAnsi="Arial" w:cs="Arial"/>
                <w:b/>
                <w:sz w:val="16"/>
                <w:szCs w:val="16"/>
              </w:rPr>
              <w:t>58.8</w:t>
            </w:r>
            <w:r w:rsidRPr="007F0A14">
              <w:rPr>
                <w:rFonts w:ascii="Arial" w:hAnsi="Arial" w:cs="Arial"/>
                <w:b/>
                <w:sz w:val="16"/>
                <w:szCs w:val="16"/>
              </w:rPr>
              <w:t xml:space="preserve"> (</w:t>
            </w:r>
            <w:r w:rsidRPr="00456C7E">
              <w:rPr>
                <w:rFonts w:ascii="Arial" w:hAnsi="Arial" w:cs="Arial"/>
                <w:b/>
                <w:sz w:val="16"/>
                <w:szCs w:val="16"/>
              </w:rPr>
              <w:t>32.6)</w:t>
            </w:r>
          </w:p>
        </w:tc>
        <w:tc>
          <w:tcPr>
            <w:tcW w:w="1180" w:type="dxa"/>
            <w:vAlign w:val="center"/>
          </w:tcPr>
          <w:p w14:paraId="541850D1" w14:textId="27977BDB" w:rsidR="00196782" w:rsidRPr="00456C7E" w:rsidRDefault="00196782" w:rsidP="00196782">
            <w:pPr>
              <w:spacing w:line="300" w:lineRule="atLeast"/>
              <w:jc w:val="center"/>
              <w:rPr>
                <w:rFonts w:ascii="Arial" w:hAnsi="Arial" w:cs="Arial"/>
                <w:b/>
                <w:sz w:val="16"/>
                <w:szCs w:val="16"/>
                <w:highlight w:val="yellow"/>
              </w:rPr>
            </w:pPr>
            <w:r w:rsidRPr="00456C7E">
              <w:rPr>
                <w:rFonts w:ascii="Arial" w:hAnsi="Arial" w:cs="Arial"/>
                <w:b/>
                <w:sz w:val="16"/>
                <w:szCs w:val="16"/>
              </w:rPr>
              <w:t>2.3</w:t>
            </w:r>
            <w:r w:rsidR="009619AB">
              <w:rPr>
                <w:rFonts w:ascii="Arial" w:hAnsi="Arial" w:cs="Arial"/>
                <w:b/>
                <w:sz w:val="16"/>
                <w:szCs w:val="16"/>
              </w:rPr>
              <w:t>1</w:t>
            </w:r>
            <w:r w:rsidRPr="007F0A14">
              <w:rPr>
                <w:rFonts w:ascii="Arial" w:hAnsi="Arial" w:cs="Arial"/>
                <w:b/>
                <w:sz w:val="16"/>
                <w:szCs w:val="16"/>
              </w:rPr>
              <w:t xml:space="preserve"> –</w:t>
            </w:r>
            <w:r w:rsidRPr="00456C7E">
              <w:rPr>
                <w:rFonts w:ascii="Arial" w:hAnsi="Arial" w:cs="Arial"/>
                <w:b/>
                <w:sz w:val="16"/>
                <w:szCs w:val="16"/>
              </w:rPr>
              <w:t>17.1</w:t>
            </w:r>
            <w:r w:rsidRPr="007F0A14">
              <w:rPr>
                <w:rFonts w:ascii="Arial" w:hAnsi="Arial" w:cs="Arial"/>
                <w:b/>
                <w:sz w:val="16"/>
                <w:szCs w:val="16"/>
              </w:rPr>
              <w:t xml:space="preserve"> (</w:t>
            </w:r>
            <w:r w:rsidRPr="00456C7E">
              <w:rPr>
                <w:rFonts w:ascii="Arial" w:hAnsi="Arial" w:cs="Arial"/>
                <w:b/>
                <w:sz w:val="16"/>
                <w:szCs w:val="16"/>
              </w:rPr>
              <w:t>9.70</w:t>
            </w:r>
            <w:r w:rsidRPr="007F0A14">
              <w:rPr>
                <w:rFonts w:ascii="Arial" w:hAnsi="Arial" w:cs="Arial"/>
                <w:b/>
                <w:sz w:val="16"/>
                <w:szCs w:val="16"/>
              </w:rPr>
              <w:t>)</w:t>
            </w:r>
          </w:p>
        </w:tc>
        <w:tc>
          <w:tcPr>
            <w:tcW w:w="821" w:type="dxa"/>
            <w:vAlign w:val="center"/>
          </w:tcPr>
          <w:p w14:paraId="43E14BA6" w14:textId="78ED7B82" w:rsidR="00196782" w:rsidRPr="00456C7E" w:rsidRDefault="00196782" w:rsidP="00196782">
            <w:pPr>
              <w:spacing w:line="300" w:lineRule="atLeast"/>
              <w:jc w:val="center"/>
              <w:rPr>
                <w:rFonts w:ascii="Arial" w:hAnsi="Arial" w:cs="Arial"/>
                <w:b/>
                <w:sz w:val="16"/>
                <w:szCs w:val="16"/>
                <w:highlight w:val="yellow"/>
              </w:rPr>
            </w:pPr>
            <w:r w:rsidRPr="00F571AB">
              <w:rPr>
                <w:rFonts w:ascii="Arial" w:hAnsi="Arial" w:cs="Arial"/>
                <w:b/>
                <w:sz w:val="16"/>
                <w:szCs w:val="16"/>
              </w:rPr>
              <w:t>-</w:t>
            </w:r>
          </w:p>
        </w:tc>
        <w:tc>
          <w:tcPr>
            <w:tcW w:w="1230" w:type="dxa"/>
            <w:vAlign w:val="center"/>
          </w:tcPr>
          <w:p w14:paraId="35200475" w14:textId="39A03630" w:rsidR="00196782" w:rsidRPr="00456C7E" w:rsidRDefault="00196782" w:rsidP="00196782">
            <w:pPr>
              <w:spacing w:line="300" w:lineRule="atLeast"/>
              <w:jc w:val="center"/>
              <w:rPr>
                <w:rFonts w:ascii="Arial" w:hAnsi="Arial" w:cs="Arial"/>
                <w:b/>
                <w:sz w:val="16"/>
                <w:szCs w:val="16"/>
                <w:highlight w:val="yellow"/>
              </w:rPr>
            </w:pPr>
            <w:r w:rsidRPr="00456C7E">
              <w:rPr>
                <w:rFonts w:ascii="Arial" w:hAnsi="Arial" w:cs="Arial"/>
                <w:b/>
                <w:sz w:val="16"/>
                <w:szCs w:val="16"/>
              </w:rPr>
              <w:t>1.</w:t>
            </w:r>
            <w:r w:rsidR="00A46636">
              <w:rPr>
                <w:rFonts w:ascii="Arial" w:hAnsi="Arial" w:cs="Arial"/>
                <w:b/>
                <w:sz w:val="16"/>
                <w:szCs w:val="16"/>
              </w:rPr>
              <w:t>70</w:t>
            </w:r>
            <w:r w:rsidRPr="007F0A14">
              <w:rPr>
                <w:rFonts w:ascii="Arial" w:hAnsi="Arial" w:cs="Arial"/>
                <w:b/>
                <w:sz w:val="16"/>
                <w:szCs w:val="16"/>
              </w:rPr>
              <w:t xml:space="preserve"> – </w:t>
            </w:r>
            <w:r w:rsidRPr="00456C7E">
              <w:rPr>
                <w:rFonts w:ascii="Arial" w:hAnsi="Arial" w:cs="Arial"/>
                <w:b/>
                <w:sz w:val="16"/>
                <w:szCs w:val="16"/>
              </w:rPr>
              <w:t>16</w:t>
            </w:r>
            <w:r w:rsidR="009619AB">
              <w:rPr>
                <w:rFonts w:ascii="Arial" w:hAnsi="Arial" w:cs="Arial"/>
                <w:b/>
                <w:sz w:val="16"/>
                <w:szCs w:val="16"/>
              </w:rPr>
              <w:t>3</w:t>
            </w:r>
            <w:r w:rsidRPr="007F0A14">
              <w:rPr>
                <w:rFonts w:ascii="Arial" w:hAnsi="Arial" w:cs="Arial"/>
                <w:b/>
                <w:sz w:val="16"/>
                <w:szCs w:val="16"/>
              </w:rPr>
              <w:t xml:space="preserve">  (</w:t>
            </w:r>
            <w:r w:rsidRPr="00456C7E">
              <w:rPr>
                <w:rFonts w:ascii="Arial" w:hAnsi="Arial" w:cs="Arial"/>
                <w:b/>
                <w:sz w:val="16"/>
                <w:szCs w:val="16"/>
              </w:rPr>
              <w:t>82.</w:t>
            </w:r>
            <w:r w:rsidR="00A46636">
              <w:rPr>
                <w:rFonts w:ascii="Arial" w:hAnsi="Arial" w:cs="Arial"/>
                <w:b/>
                <w:sz w:val="16"/>
                <w:szCs w:val="16"/>
              </w:rPr>
              <w:t>4</w:t>
            </w:r>
            <w:r w:rsidRPr="007F0A14">
              <w:rPr>
                <w:rFonts w:ascii="Arial" w:hAnsi="Arial" w:cs="Arial"/>
                <w:b/>
                <w:sz w:val="16"/>
                <w:szCs w:val="16"/>
              </w:rPr>
              <w:t>)</w:t>
            </w:r>
          </w:p>
        </w:tc>
      </w:tr>
    </w:tbl>
    <w:p w14:paraId="4E02F16A" w14:textId="0B8D3985" w:rsidR="003007F7" w:rsidRPr="006F63AB" w:rsidRDefault="003007F7" w:rsidP="006F63AB">
      <w:pPr>
        <w:spacing w:before="120"/>
        <w:rPr>
          <w:rFonts w:ascii="Arial" w:hAnsi="Arial" w:cs="Arial"/>
          <w:sz w:val="16"/>
        </w:rPr>
      </w:pPr>
    </w:p>
    <w:p w14:paraId="61F44FF0" w14:textId="77777777" w:rsidR="001A2F59" w:rsidRDefault="001A2F59">
      <w:pPr>
        <w:spacing w:after="0"/>
        <w:rPr>
          <w:szCs w:val="18"/>
        </w:rPr>
      </w:pPr>
      <w:r>
        <w:rPr>
          <w:szCs w:val="18"/>
        </w:rPr>
        <w:br w:type="page"/>
      </w:r>
    </w:p>
    <w:p w14:paraId="74ABA19F" w14:textId="080BF306" w:rsidR="001839E5" w:rsidRPr="00F571AB" w:rsidRDefault="00A73DB6" w:rsidP="00D92AD2">
      <w:pPr>
        <w:pStyle w:val="Heading1"/>
      </w:pPr>
      <w:bookmarkStart w:id="49" w:name="_Toc110355520"/>
      <w:bookmarkEnd w:id="24"/>
      <w:r w:rsidRPr="00F571AB">
        <w:t>Primary (virgin) metal production</w:t>
      </w:r>
      <w:bookmarkEnd w:id="49"/>
    </w:p>
    <w:p w14:paraId="77643F21" w14:textId="5219236F" w:rsidR="008E3038" w:rsidRPr="0014235A" w:rsidRDefault="00460A55" w:rsidP="003833D6">
      <w:pPr>
        <w:spacing w:line="300" w:lineRule="atLeast"/>
        <w:jc w:val="both"/>
        <w:rPr>
          <w:szCs w:val="18"/>
        </w:rPr>
      </w:pPr>
      <w:r w:rsidRPr="0014235A">
        <w:rPr>
          <w:szCs w:val="18"/>
        </w:rPr>
        <w:t xml:space="preserve">This category covers mercury releases from the mining and processing of metal-containing ores for the purposes of primary </w:t>
      </w:r>
      <w:r w:rsidR="00ED6A25" w:rsidRPr="0014235A">
        <w:rPr>
          <w:szCs w:val="18"/>
        </w:rPr>
        <w:t xml:space="preserve">(virgin) </w:t>
      </w:r>
      <w:r w:rsidRPr="0014235A">
        <w:rPr>
          <w:szCs w:val="18"/>
        </w:rPr>
        <w:t>metal production (</w:t>
      </w:r>
      <w:r w:rsidR="00C738EC" w:rsidRPr="0014235A">
        <w:rPr>
          <w:szCs w:val="18"/>
        </w:rPr>
        <w:t xml:space="preserve">UNEP, </w:t>
      </w:r>
      <w:r w:rsidR="00B51E8B">
        <w:rPr>
          <w:szCs w:val="18"/>
        </w:rPr>
        <w:t>2023</w:t>
      </w:r>
      <w:r w:rsidRPr="0014235A">
        <w:rPr>
          <w:szCs w:val="18"/>
        </w:rPr>
        <w:t xml:space="preserve">). The sub-categories and the primary release pathways are summarised in </w:t>
      </w:r>
      <w:r w:rsidR="00177AB0" w:rsidRPr="0014235A">
        <w:rPr>
          <w:szCs w:val="18"/>
        </w:rPr>
        <w:fldChar w:fldCharType="begin"/>
      </w:r>
      <w:r w:rsidR="00177AB0" w:rsidRPr="0014235A">
        <w:rPr>
          <w:szCs w:val="18"/>
        </w:rPr>
        <w:instrText xml:space="preserve"> REF _Ref358376388 \h </w:instrText>
      </w:r>
      <w:r w:rsidR="00636D03" w:rsidRPr="0014235A">
        <w:rPr>
          <w:szCs w:val="18"/>
        </w:rPr>
        <w:instrText xml:space="preserve"> \* MERGEFORMAT </w:instrText>
      </w:r>
      <w:r w:rsidR="00177AB0" w:rsidRPr="0014235A">
        <w:rPr>
          <w:szCs w:val="18"/>
        </w:rPr>
      </w:r>
      <w:r w:rsidR="00177AB0" w:rsidRPr="0014235A">
        <w:rPr>
          <w:szCs w:val="18"/>
        </w:rPr>
        <w:fldChar w:fldCharType="separate"/>
      </w:r>
      <w:r w:rsidR="00892B2D" w:rsidRPr="00892B2D">
        <w:t xml:space="preserve">Table </w:t>
      </w:r>
      <w:r w:rsidR="00892B2D" w:rsidRPr="00892B2D">
        <w:rPr>
          <w:noProof/>
        </w:rPr>
        <w:t>4</w:t>
      </w:r>
      <w:r w:rsidR="00892B2D" w:rsidRPr="00892B2D">
        <w:rPr>
          <w:noProof/>
        </w:rPr>
        <w:noBreakHyphen/>
        <w:t>1</w:t>
      </w:r>
      <w:r w:rsidR="00177AB0" w:rsidRPr="0014235A">
        <w:rPr>
          <w:szCs w:val="18"/>
        </w:rPr>
        <w:fldChar w:fldCharType="end"/>
      </w:r>
      <w:r w:rsidR="00DB09D1" w:rsidRPr="0014235A">
        <w:rPr>
          <w:szCs w:val="18"/>
        </w:rPr>
        <w:t>, which has been copied directly from the UNEP Toolkit</w:t>
      </w:r>
      <w:r w:rsidRPr="0014235A">
        <w:rPr>
          <w:szCs w:val="18"/>
        </w:rPr>
        <w:t>.</w:t>
      </w:r>
    </w:p>
    <w:p w14:paraId="5BD6C441" w14:textId="2D6BBB45" w:rsidR="008E3038" w:rsidRPr="0014235A" w:rsidRDefault="00460A55" w:rsidP="00460A55">
      <w:pPr>
        <w:pStyle w:val="Caption"/>
        <w:rPr>
          <w:szCs w:val="18"/>
        </w:rPr>
      </w:pPr>
      <w:bookmarkStart w:id="50" w:name="_Ref358376388"/>
      <w:bookmarkStart w:id="51" w:name="_Toc110355467"/>
      <w:r w:rsidRPr="0014235A">
        <w:rPr>
          <w:rFonts w:ascii="Arial" w:hAnsi="Arial" w:cs="Arial"/>
        </w:rPr>
        <w:t xml:space="preserve">Table </w:t>
      </w:r>
      <w:r w:rsidR="00390C9F" w:rsidRPr="0014235A">
        <w:rPr>
          <w:rFonts w:ascii="Arial" w:hAnsi="Arial" w:cs="Arial"/>
        </w:rPr>
        <w:fldChar w:fldCharType="begin"/>
      </w:r>
      <w:r w:rsidR="00390C9F" w:rsidRPr="0014235A">
        <w:rPr>
          <w:rFonts w:ascii="Arial" w:hAnsi="Arial" w:cs="Arial"/>
        </w:rPr>
        <w:instrText xml:space="preserve"> STYLEREF 1 \s </w:instrText>
      </w:r>
      <w:r w:rsidR="00390C9F" w:rsidRPr="0014235A">
        <w:rPr>
          <w:rFonts w:ascii="Arial" w:hAnsi="Arial" w:cs="Arial"/>
        </w:rPr>
        <w:fldChar w:fldCharType="separate"/>
      </w:r>
      <w:r w:rsidR="00892B2D">
        <w:rPr>
          <w:rFonts w:ascii="Arial" w:hAnsi="Arial" w:cs="Arial"/>
          <w:noProof/>
        </w:rPr>
        <w:t>4</w:t>
      </w:r>
      <w:r w:rsidR="00390C9F" w:rsidRPr="0014235A">
        <w:rPr>
          <w:rFonts w:ascii="Arial" w:hAnsi="Arial" w:cs="Arial"/>
        </w:rPr>
        <w:fldChar w:fldCharType="end"/>
      </w:r>
      <w:r w:rsidR="00390C9F" w:rsidRPr="0014235A">
        <w:rPr>
          <w:rFonts w:ascii="Arial" w:hAnsi="Arial" w:cs="Arial"/>
        </w:rPr>
        <w:noBreakHyphen/>
      </w:r>
      <w:r w:rsidR="00390C9F" w:rsidRPr="0014235A">
        <w:rPr>
          <w:rFonts w:ascii="Arial" w:hAnsi="Arial" w:cs="Arial"/>
        </w:rPr>
        <w:fldChar w:fldCharType="begin"/>
      </w:r>
      <w:r w:rsidR="00390C9F" w:rsidRPr="0014235A">
        <w:rPr>
          <w:rFonts w:ascii="Arial" w:hAnsi="Arial" w:cs="Arial"/>
        </w:rPr>
        <w:instrText xml:space="preserve"> SEQ Table \* ARABIC \s 1 </w:instrText>
      </w:r>
      <w:r w:rsidR="00390C9F" w:rsidRPr="0014235A">
        <w:rPr>
          <w:rFonts w:ascii="Arial" w:hAnsi="Arial" w:cs="Arial"/>
        </w:rPr>
        <w:fldChar w:fldCharType="separate"/>
      </w:r>
      <w:r w:rsidR="00892B2D">
        <w:rPr>
          <w:rFonts w:ascii="Arial" w:hAnsi="Arial" w:cs="Arial"/>
          <w:noProof/>
        </w:rPr>
        <w:t>1</w:t>
      </w:r>
      <w:r w:rsidR="00390C9F" w:rsidRPr="0014235A">
        <w:rPr>
          <w:rFonts w:ascii="Arial" w:hAnsi="Arial" w:cs="Arial"/>
        </w:rPr>
        <w:fldChar w:fldCharType="end"/>
      </w:r>
      <w:bookmarkEnd w:id="50"/>
      <w:r w:rsidRPr="0014235A">
        <w:rPr>
          <w:rFonts w:ascii="Arial" w:hAnsi="Arial" w:cs="Arial"/>
        </w:rPr>
        <w:t>:</w:t>
      </w:r>
      <w:r w:rsidRPr="0014235A">
        <w:t xml:space="preserve"> </w:t>
      </w:r>
      <w:r w:rsidR="00183044">
        <w:t xml:space="preserve"> </w:t>
      </w:r>
      <w:r w:rsidRPr="0014235A">
        <w:rPr>
          <w:rFonts w:ascii="Arial" w:hAnsi="Arial" w:cs="Arial"/>
        </w:rPr>
        <w:t>Toolkit framework for category 2 – primary metal production</w:t>
      </w:r>
      <w:bookmarkEnd w:id="5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93"/>
        <w:gridCol w:w="850"/>
        <w:gridCol w:w="851"/>
        <w:gridCol w:w="851"/>
        <w:gridCol w:w="992"/>
        <w:gridCol w:w="992"/>
        <w:gridCol w:w="1099"/>
      </w:tblGrid>
      <w:tr w:rsidR="00177AB0" w:rsidRPr="0014235A" w14:paraId="32625223" w14:textId="77777777" w:rsidTr="00C21F75">
        <w:tc>
          <w:tcPr>
            <w:tcW w:w="851" w:type="dxa"/>
            <w:vAlign w:val="center"/>
          </w:tcPr>
          <w:p w14:paraId="5933E7C6" w14:textId="77777777" w:rsidR="00177AB0" w:rsidRPr="0014235A" w:rsidRDefault="00177AB0" w:rsidP="00C21F75">
            <w:pPr>
              <w:spacing w:before="40" w:after="40" w:line="300" w:lineRule="atLeast"/>
              <w:jc w:val="center"/>
              <w:rPr>
                <w:rFonts w:ascii="Arial" w:hAnsi="Arial" w:cs="Arial"/>
                <w:b/>
                <w:sz w:val="16"/>
                <w:szCs w:val="16"/>
              </w:rPr>
            </w:pPr>
            <w:r w:rsidRPr="0014235A">
              <w:rPr>
                <w:rFonts w:ascii="Arial" w:hAnsi="Arial" w:cs="Arial"/>
                <w:b/>
                <w:sz w:val="16"/>
                <w:szCs w:val="16"/>
              </w:rPr>
              <w:t>Toolkit Chapter</w:t>
            </w:r>
          </w:p>
        </w:tc>
        <w:tc>
          <w:tcPr>
            <w:tcW w:w="2693" w:type="dxa"/>
            <w:vAlign w:val="center"/>
          </w:tcPr>
          <w:p w14:paraId="374F81EE" w14:textId="77777777" w:rsidR="00177AB0" w:rsidRPr="0014235A" w:rsidRDefault="00177AB0" w:rsidP="00C21F75">
            <w:pPr>
              <w:spacing w:before="40" w:after="40" w:line="300" w:lineRule="atLeast"/>
              <w:jc w:val="center"/>
              <w:rPr>
                <w:rFonts w:ascii="Arial" w:hAnsi="Arial" w:cs="Arial"/>
                <w:b/>
                <w:sz w:val="16"/>
                <w:szCs w:val="16"/>
              </w:rPr>
            </w:pPr>
            <w:r w:rsidRPr="0014235A">
              <w:rPr>
                <w:rFonts w:ascii="Arial" w:hAnsi="Arial" w:cs="Arial"/>
                <w:b/>
                <w:sz w:val="16"/>
                <w:szCs w:val="16"/>
              </w:rPr>
              <w:t>Sub-category</w:t>
            </w:r>
          </w:p>
        </w:tc>
        <w:tc>
          <w:tcPr>
            <w:tcW w:w="850" w:type="dxa"/>
            <w:vAlign w:val="center"/>
          </w:tcPr>
          <w:p w14:paraId="003849A0" w14:textId="77777777" w:rsidR="00177AB0" w:rsidRPr="0014235A" w:rsidRDefault="00177AB0" w:rsidP="00C21F75">
            <w:pPr>
              <w:spacing w:before="40" w:after="40" w:line="300" w:lineRule="atLeast"/>
              <w:jc w:val="center"/>
              <w:rPr>
                <w:rFonts w:ascii="Arial" w:hAnsi="Arial" w:cs="Arial"/>
                <w:b/>
                <w:sz w:val="16"/>
                <w:szCs w:val="16"/>
              </w:rPr>
            </w:pPr>
            <w:r w:rsidRPr="0014235A">
              <w:rPr>
                <w:rFonts w:ascii="Arial" w:hAnsi="Arial" w:cs="Arial"/>
                <w:b/>
                <w:sz w:val="16"/>
                <w:szCs w:val="16"/>
              </w:rPr>
              <w:t>Air</w:t>
            </w:r>
          </w:p>
        </w:tc>
        <w:tc>
          <w:tcPr>
            <w:tcW w:w="851" w:type="dxa"/>
            <w:vAlign w:val="center"/>
          </w:tcPr>
          <w:p w14:paraId="0A6D4184" w14:textId="77777777" w:rsidR="00177AB0" w:rsidRPr="0014235A" w:rsidRDefault="00177AB0" w:rsidP="00C21F75">
            <w:pPr>
              <w:spacing w:before="40" w:after="40" w:line="300" w:lineRule="atLeast"/>
              <w:jc w:val="center"/>
              <w:rPr>
                <w:rFonts w:ascii="Arial" w:hAnsi="Arial" w:cs="Arial"/>
                <w:b/>
                <w:sz w:val="16"/>
                <w:szCs w:val="16"/>
              </w:rPr>
            </w:pPr>
            <w:r w:rsidRPr="0014235A">
              <w:rPr>
                <w:rFonts w:ascii="Arial" w:hAnsi="Arial" w:cs="Arial"/>
                <w:b/>
                <w:sz w:val="16"/>
                <w:szCs w:val="16"/>
              </w:rPr>
              <w:t>Water</w:t>
            </w:r>
          </w:p>
        </w:tc>
        <w:tc>
          <w:tcPr>
            <w:tcW w:w="851" w:type="dxa"/>
            <w:vAlign w:val="center"/>
          </w:tcPr>
          <w:p w14:paraId="1C7715E3" w14:textId="77777777" w:rsidR="00177AB0" w:rsidRPr="0014235A" w:rsidRDefault="00177AB0" w:rsidP="00C21F75">
            <w:pPr>
              <w:spacing w:before="40" w:after="40" w:line="300" w:lineRule="atLeast"/>
              <w:jc w:val="center"/>
              <w:rPr>
                <w:rFonts w:ascii="Arial" w:hAnsi="Arial" w:cs="Arial"/>
                <w:b/>
                <w:sz w:val="16"/>
                <w:szCs w:val="16"/>
              </w:rPr>
            </w:pPr>
            <w:r w:rsidRPr="0014235A">
              <w:rPr>
                <w:rFonts w:ascii="Arial" w:hAnsi="Arial" w:cs="Arial"/>
                <w:b/>
                <w:sz w:val="16"/>
                <w:szCs w:val="16"/>
              </w:rPr>
              <w:t>Land</w:t>
            </w:r>
          </w:p>
        </w:tc>
        <w:tc>
          <w:tcPr>
            <w:tcW w:w="992" w:type="dxa"/>
            <w:vAlign w:val="center"/>
          </w:tcPr>
          <w:p w14:paraId="1F8F5869" w14:textId="77777777" w:rsidR="00177AB0" w:rsidRPr="0014235A" w:rsidRDefault="00177AB0" w:rsidP="00C21F75">
            <w:pPr>
              <w:spacing w:before="40" w:after="40" w:line="300" w:lineRule="atLeast"/>
              <w:jc w:val="center"/>
              <w:rPr>
                <w:rFonts w:ascii="Arial" w:hAnsi="Arial" w:cs="Arial"/>
                <w:b/>
                <w:sz w:val="16"/>
                <w:szCs w:val="16"/>
              </w:rPr>
            </w:pPr>
            <w:r w:rsidRPr="0014235A">
              <w:rPr>
                <w:rFonts w:ascii="Arial" w:hAnsi="Arial" w:cs="Arial"/>
                <w:b/>
                <w:sz w:val="16"/>
                <w:szCs w:val="16"/>
              </w:rPr>
              <w:t>Product</w:t>
            </w:r>
          </w:p>
        </w:tc>
        <w:tc>
          <w:tcPr>
            <w:tcW w:w="992" w:type="dxa"/>
            <w:vAlign w:val="center"/>
          </w:tcPr>
          <w:p w14:paraId="593F6C27" w14:textId="77777777" w:rsidR="00177AB0" w:rsidRPr="0014235A" w:rsidRDefault="00177AB0" w:rsidP="00C21F75">
            <w:pPr>
              <w:spacing w:before="40" w:after="40" w:line="300" w:lineRule="atLeast"/>
              <w:jc w:val="center"/>
              <w:rPr>
                <w:rFonts w:ascii="Arial" w:hAnsi="Arial" w:cs="Arial"/>
                <w:b/>
                <w:sz w:val="16"/>
                <w:szCs w:val="16"/>
              </w:rPr>
            </w:pPr>
            <w:r w:rsidRPr="0014235A">
              <w:rPr>
                <w:rFonts w:ascii="Arial" w:hAnsi="Arial" w:cs="Arial"/>
                <w:b/>
                <w:sz w:val="16"/>
                <w:szCs w:val="16"/>
              </w:rPr>
              <w:t>Waste/ residue</w:t>
            </w:r>
          </w:p>
        </w:tc>
        <w:tc>
          <w:tcPr>
            <w:tcW w:w="1099" w:type="dxa"/>
            <w:vAlign w:val="center"/>
          </w:tcPr>
          <w:p w14:paraId="7124F89B" w14:textId="77777777" w:rsidR="00177AB0" w:rsidRPr="0014235A" w:rsidRDefault="00177AB0" w:rsidP="00C21F75">
            <w:pPr>
              <w:spacing w:before="40" w:after="40" w:line="300" w:lineRule="atLeast"/>
              <w:jc w:val="center"/>
              <w:rPr>
                <w:rFonts w:ascii="Arial" w:hAnsi="Arial" w:cs="Arial"/>
                <w:b/>
                <w:sz w:val="16"/>
                <w:szCs w:val="16"/>
              </w:rPr>
            </w:pPr>
            <w:r w:rsidRPr="0014235A">
              <w:rPr>
                <w:rFonts w:ascii="Arial" w:hAnsi="Arial" w:cs="Arial"/>
                <w:b/>
                <w:sz w:val="16"/>
                <w:szCs w:val="16"/>
              </w:rPr>
              <w:t>Main approach</w:t>
            </w:r>
          </w:p>
        </w:tc>
      </w:tr>
      <w:tr w:rsidR="00177AB0" w:rsidRPr="0014235A" w14:paraId="1558B65C" w14:textId="77777777" w:rsidTr="00C21F75">
        <w:tc>
          <w:tcPr>
            <w:tcW w:w="851" w:type="dxa"/>
            <w:vAlign w:val="center"/>
          </w:tcPr>
          <w:p w14:paraId="00F5DE10" w14:textId="77777777" w:rsidR="00177AB0" w:rsidRPr="0014235A" w:rsidRDefault="00177AB0" w:rsidP="00C21F75">
            <w:pPr>
              <w:spacing w:before="40" w:after="40" w:line="300" w:lineRule="atLeast"/>
              <w:rPr>
                <w:rFonts w:ascii="Arial" w:hAnsi="Arial" w:cs="Arial"/>
                <w:sz w:val="16"/>
                <w:szCs w:val="16"/>
              </w:rPr>
            </w:pPr>
            <w:r w:rsidRPr="0014235A">
              <w:rPr>
                <w:rFonts w:ascii="Arial" w:hAnsi="Arial" w:cs="Arial"/>
                <w:sz w:val="16"/>
                <w:szCs w:val="16"/>
              </w:rPr>
              <w:t>5.2.1</w:t>
            </w:r>
          </w:p>
        </w:tc>
        <w:tc>
          <w:tcPr>
            <w:tcW w:w="2693" w:type="dxa"/>
            <w:vAlign w:val="center"/>
          </w:tcPr>
          <w:p w14:paraId="7354BB04" w14:textId="77777777" w:rsidR="00177AB0" w:rsidRPr="0014235A" w:rsidRDefault="00177AB0" w:rsidP="00C21F75">
            <w:pPr>
              <w:spacing w:line="300" w:lineRule="atLeast"/>
              <w:rPr>
                <w:rFonts w:ascii="Arial" w:hAnsi="Arial" w:cs="Arial"/>
                <w:sz w:val="16"/>
                <w:szCs w:val="16"/>
              </w:rPr>
            </w:pPr>
            <w:r w:rsidRPr="0014235A">
              <w:rPr>
                <w:rFonts w:ascii="Arial" w:hAnsi="Arial" w:cs="Arial"/>
                <w:sz w:val="16"/>
                <w:szCs w:val="16"/>
              </w:rPr>
              <w:t>Mercury</w:t>
            </w:r>
          </w:p>
        </w:tc>
        <w:tc>
          <w:tcPr>
            <w:tcW w:w="850" w:type="dxa"/>
            <w:vAlign w:val="center"/>
          </w:tcPr>
          <w:p w14:paraId="149772EE" w14:textId="77777777" w:rsidR="00177AB0" w:rsidRPr="0014235A" w:rsidRDefault="00177AB0" w:rsidP="00C21F75">
            <w:pPr>
              <w:spacing w:before="40" w:after="40" w:line="300" w:lineRule="atLeast"/>
              <w:jc w:val="center"/>
              <w:rPr>
                <w:rFonts w:ascii="Arial" w:hAnsi="Arial" w:cs="Arial"/>
                <w:b/>
                <w:sz w:val="16"/>
                <w:szCs w:val="16"/>
              </w:rPr>
            </w:pPr>
            <w:r w:rsidRPr="0014235A">
              <w:rPr>
                <w:rFonts w:ascii="Arial" w:hAnsi="Arial" w:cs="Arial"/>
                <w:b/>
                <w:sz w:val="16"/>
                <w:szCs w:val="16"/>
              </w:rPr>
              <w:t>X</w:t>
            </w:r>
          </w:p>
        </w:tc>
        <w:tc>
          <w:tcPr>
            <w:tcW w:w="851" w:type="dxa"/>
            <w:vAlign w:val="center"/>
          </w:tcPr>
          <w:p w14:paraId="1120D7D3"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b/>
                <w:sz w:val="16"/>
                <w:szCs w:val="16"/>
              </w:rPr>
              <w:t>X</w:t>
            </w:r>
          </w:p>
        </w:tc>
        <w:tc>
          <w:tcPr>
            <w:tcW w:w="851" w:type="dxa"/>
            <w:vAlign w:val="center"/>
          </w:tcPr>
          <w:p w14:paraId="34047871"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b/>
                <w:sz w:val="16"/>
                <w:szCs w:val="16"/>
              </w:rPr>
              <w:t>X</w:t>
            </w:r>
          </w:p>
        </w:tc>
        <w:tc>
          <w:tcPr>
            <w:tcW w:w="992" w:type="dxa"/>
            <w:vAlign w:val="center"/>
          </w:tcPr>
          <w:p w14:paraId="2A8D6922"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b/>
                <w:sz w:val="16"/>
                <w:szCs w:val="16"/>
              </w:rPr>
              <w:t>X</w:t>
            </w:r>
          </w:p>
        </w:tc>
        <w:tc>
          <w:tcPr>
            <w:tcW w:w="992" w:type="dxa"/>
            <w:vAlign w:val="center"/>
          </w:tcPr>
          <w:p w14:paraId="0E070E47" w14:textId="77777777" w:rsidR="00177AB0" w:rsidRPr="0014235A" w:rsidRDefault="00177AB0" w:rsidP="00C21F75">
            <w:pPr>
              <w:spacing w:before="40" w:after="40" w:line="300" w:lineRule="atLeast"/>
              <w:jc w:val="center"/>
              <w:rPr>
                <w:rFonts w:ascii="Arial" w:hAnsi="Arial" w:cs="Arial"/>
                <w:b/>
                <w:sz w:val="16"/>
                <w:szCs w:val="16"/>
              </w:rPr>
            </w:pPr>
            <w:r w:rsidRPr="0014235A">
              <w:rPr>
                <w:rFonts w:ascii="Arial" w:hAnsi="Arial" w:cs="Arial"/>
                <w:b/>
                <w:sz w:val="16"/>
                <w:szCs w:val="16"/>
              </w:rPr>
              <w:t>X</w:t>
            </w:r>
          </w:p>
        </w:tc>
        <w:tc>
          <w:tcPr>
            <w:tcW w:w="1099" w:type="dxa"/>
            <w:vAlign w:val="center"/>
          </w:tcPr>
          <w:p w14:paraId="3FBB73DD"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sz w:val="16"/>
                <w:szCs w:val="16"/>
              </w:rPr>
              <w:t>PS</w:t>
            </w:r>
          </w:p>
        </w:tc>
      </w:tr>
      <w:tr w:rsidR="00177AB0" w:rsidRPr="0014235A" w14:paraId="5F407695" w14:textId="77777777" w:rsidTr="00C21F75">
        <w:tc>
          <w:tcPr>
            <w:tcW w:w="851" w:type="dxa"/>
            <w:vAlign w:val="center"/>
          </w:tcPr>
          <w:p w14:paraId="0758AF6F" w14:textId="77777777" w:rsidR="00177AB0" w:rsidRPr="0014235A" w:rsidRDefault="00177AB0" w:rsidP="00C21F75">
            <w:pPr>
              <w:spacing w:before="40" w:after="40" w:line="300" w:lineRule="atLeast"/>
              <w:rPr>
                <w:rFonts w:ascii="Arial" w:hAnsi="Arial" w:cs="Arial"/>
                <w:sz w:val="16"/>
                <w:szCs w:val="16"/>
              </w:rPr>
            </w:pPr>
            <w:r w:rsidRPr="0014235A">
              <w:rPr>
                <w:rFonts w:ascii="Arial" w:hAnsi="Arial" w:cs="Arial"/>
                <w:sz w:val="16"/>
                <w:szCs w:val="16"/>
              </w:rPr>
              <w:t>5.2.2</w:t>
            </w:r>
          </w:p>
        </w:tc>
        <w:tc>
          <w:tcPr>
            <w:tcW w:w="2693" w:type="dxa"/>
            <w:vAlign w:val="center"/>
          </w:tcPr>
          <w:p w14:paraId="704ED7CA" w14:textId="77777777" w:rsidR="00177AB0" w:rsidRPr="0014235A" w:rsidRDefault="00177AB0" w:rsidP="00177AB0">
            <w:pPr>
              <w:spacing w:before="40" w:after="40" w:line="300" w:lineRule="atLeast"/>
              <w:rPr>
                <w:rFonts w:ascii="Arial" w:hAnsi="Arial" w:cs="Arial"/>
                <w:sz w:val="16"/>
                <w:szCs w:val="16"/>
              </w:rPr>
            </w:pPr>
            <w:r w:rsidRPr="0014235A">
              <w:rPr>
                <w:rFonts w:ascii="Arial" w:hAnsi="Arial" w:cs="Arial"/>
                <w:sz w:val="16"/>
                <w:szCs w:val="16"/>
              </w:rPr>
              <w:t>Gold and silver, using mercury amalgamation</w:t>
            </w:r>
          </w:p>
        </w:tc>
        <w:tc>
          <w:tcPr>
            <w:tcW w:w="850" w:type="dxa"/>
            <w:vAlign w:val="center"/>
          </w:tcPr>
          <w:p w14:paraId="1BB94F81" w14:textId="77777777" w:rsidR="00177AB0" w:rsidRPr="0014235A" w:rsidRDefault="00177AB0" w:rsidP="00C21F75">
            <w:pPr>
              <w:spacing w:before="40" w:after="40" w:line="300" w:lineRule="atLeast"/>
              <w:jc w:val="center"/>
              <w:rPr>
                <w:rFonts w:ascii="Arial" w:hAnsi="Arial" w:cs="Arial"/>
                <w:b/>
                <w:sz w:val="16"/>
                <w:szCs w:val="16"/>
              </w:rPr>
            </w:pPr>
            <w:r w:rsidRPr="0014235A">
              <w:rPr>
                <w:rFonts w:ascii="Arial" w:hAnsi="Arial" w:cs="Arial"/>
                <w:b/>
                <w:sz w:val="16"/>
                <w:szCs w:val="16"/>
              </w:rPr>
              <w:t>X</w:t>
            </w:r>
          </w:p>
        </w:tc>
        <w:tc>
          <w:tcPr>
            <w:tcW w:w="851" w:type="dxa"/>
            <w:vAlign w:val="center"/>
          </w:tcPr>
          <w:p w14:paraId="2F2BC9BA"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b/>
                <w:sz w:val="16"/>
                <w:szCs w:val="16"/>
              </w:rPr>
              <w:t>X</w:t>
            </w:r>
          </w:p>
        </w:tc>
        <w:tc>
          <w:tcPr>
            <w:tcW w:w="851" w:type="dxa"/>
            <w:vAlign w:val="center"/>
          </w:tcPr>
          <w:p w14:paraId="3DE6B172"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b/>
                <w:sz w:val="16"/>
                <w:szCs w:val="16"/>
              </w:rPr>
              <w:t>X</w:t>
            </w:r>
          </w:p>
        </w:tc>
        <w:tc>
          <w:tcPr>
            <w:tcW w:w="992" w:type="dxa"/>
            <w:vAlign w:val="center"/>
          </w:tcPr>
          <w:p w14:paraId="56324A30" w14:textId="77777777" w:rsidR="00177AB0" w:rsidRPr="0014235A" w:rsidRDefault="00177AB0" w:rsidP="00C21F75">
            <w:pPr>
              <w:spacing w:before="40" w:after="40" w:line="300" w:lineRule="atLeast"/>
              <w:jc w:val="center"/>
              <w:rPr>
                <w:rFonts w:ascii="Arial" w:hAnsi="Arial" w:cs="Arial"/>
                <w:sz w:val="16"/>
                <w:szCs w:val="16"/>
              </w:rPr>
            </w:pPr>
          </w:p>
        </w:tc>
        <w:tc>
          <w:tcPr>
            <w:tcW w:w="992" w:type="dxa"/>
            <w:vAlign w:val="center"/>
          </w:tcPr>
          <w:p w14:paraId="6255033B" w14:textId="77777777" w:rsidR="00177AB0" w:rsidRPr="0014235A" w:rsidRDefault="00177AB0" w:rsidP="00C21F75">
            <w:pPr>
              <w:spacing w:before="40" w:after="40" w:line="300" w:lineRule="atLeast"/>
              <w:jc w:val="center"/>
              <w:rPr>
                <w:rFonts w:ascii="Arial" w:hAnsi="Arial" w:cs="Arial"/>
                <w:sz w:val="16"/>
                <w:szCs w:val="16"/>
              </w:rPr>
            </w:pPr>
          </w:p>
        </w:tc>
        <w:tc>
          <w:tcPr>
            <w:tcW w:w="1099" w:type="dxa"/>
            <w:vAlign w:val="center"/>
          </w:tcPr>
          <w:p w14:paraId="7269C892"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sz w:val="16"/>
                <w:szCs w:val="16"/>
              </w:rPr>
              <w:t>OW</w:t>
            </w:r>
          </w:p>
        </w:tc>
      </w:tr>
      <w:tr w:rsidR="00177AB0" w:rsidRPr="0014235A" w14:paraId="743AF109" w14:textId="77777777" w:rsidTr="00C21F75">
        <w:tc>
          <w:tcPr>
            <w:tcW w:w="851" w:type="dxa"/>
            <w:vAlign w:val="center"/>
          </w:tcPr>
          <w:p w14:paraId="4712218C" w14:textId="77777777" w:rsidR="00177AB0" w:rsidRPr="0014235A" w:rsidRDefault="00177AB0" w:rsidP="00C21F75">
            <w:pPr>
              <w:spacing w:before="40" w:after="40" w:line="300" w:lineRule="atLeast"/>
              <w:rPr>
                <w:rFonts w:ascii="Arial" w:hAnsi="Arial" w:cs="Arial"/>
                <w:sz w:val="16"/>
                <w:szCs w:val="16"/>
              </w:rPr>
            </w:pPr>
            <w:r w:rsidRPr="0014235A">
              <w:rPr>
                <w:rFonts w:ascii="Arial" w:hAnsi="Arial" w:cs="Arial"/>
                <w:sz w:val="16"/>
                <w:szCs w:val="16"/>
              </w:rPr>
              <w:t>5.2.3</w:t>
            </w:r>
          </w:p>
        </w:tc>
        <w:tc>
          <w:tcPr>
            <w:tcW w:w="2693" w:type="dxa"/>
            <w:vAlign w:val="center"/>
          </w:tcPr>
          <w:p w14:paraId="1D9DD586" w14:textId="77777777" w:rsidR="00177AB0" w:rsidRPr="0014235A" w:rsidRDefault="00177AB0" w:rsidP="00C21F75">
            <w:pPr>
              <w:spacing w:line="300" w:lineRule="atLeast"/>
              <w:rPr>
                <w:rFonts w:ascii="Arial" w:hAnsi="Arial" w:cs="Arial"/>
                <w:sz w:val="16"/>
                <w:szCs w:val="16"/>
              </w:rPr>
            </w:pPr>
            <w:r w:rsidRPr="0014235A">
              <w:rPr>
                <w:rFonts w:ascii="Arial" w:hAnsi="Arial" w:cs="Arial"/>
                <w:sz w:val="16"/>
                <w:szCs w:val="16"/>
              </w:rPr>
              <w:t>Zinc</w:t>
            </w:r>
          </w:p>
        </w:tc>
        <w:tc>
          <w:tcPr>
            <w:tcW w:w="850" w:type="dxa"/>
            <w:vAlign w:val="center"/>
          </w:tcPr>
          <w:p w14:paraId="4B152B1A" w14:textId="77777777" w:rsidR="00177AB0" w:rsidRPr="0014235A" w:rsidRDefault="00177AB0" w:rsidP="00C21F75">
            <w:pPr>
              <w:spacing w:before="40" w:after="40" w:line="300" w:lineRule="atLeast"/>
              <w:jc w:val="center"/>
              <w:rPr>
                <w:rFonts w:ascii="Arial" w:hAnsi="Arial" w:cs="Arial"/>
                <w:b/>
                <w:sz w:val="16"/>
                <w:szCs w:val="16"/>
              </w:rPr>
            </w:pPr>
            <w:r w:rsidRPr="0014235A">
              <w:rPr>
                <w:rFonts w:ascii="Arial" w:hAnsi="Arial" w:cs="Arial"/>
                <w:b/>
                <w:sz w:val="16"/>
                <w:szCs w:val="16"/>
              </w:rPr>
              <w:t>X</w:t>
            </w:r>
          </w:p>
        </w:tc>
        <w:tc>
          <w:tcPr>
            <w:tcW w:w="851" w:type="dxa"/>
            <w:vAlign w:val="center"/>
          </w:tcPr>
          <w:p w14:paraId="062371D8" w14:textId="77777777" w:rsidR="00177AB0" w:rsidRPr="0014235A" w:rsidRDefault="00177AB0" w:rsidP="00C21F75">
            <w:pPr>
              <w:spacing w:before="40" w:after="40" w:line="300" w:lineRule="atLeast"/>
              <w:jc w:val="center"/>
              <w:rPr>
                <w:rFonts w:ascii="Arial" w:hAnsi="Arial" w:cs="Arial"/>
                <w:b/>
                <w:sz w:val="16"/>
                <w:szCs w:val="16"/>
              </w:rPr>
            </w:pPr>
            <w:r w:rsidRPr="0014235A">
              <w:rPr>
                <w:rFonts w:ascii="Arial" w:hAnsi="Arial" w:cs="Arial"/>
                <w:b/>
                <w:sz w:val="16"/>
                <w:szCs w:val="16"/>
              </w:rPr>
              <w:t>X</w:t>
            </w:r>
          </w:p>
        </w:tc>
        <w:tc>
          <w:tcPr>
            <w:tcW w:w="851" w:type="dxa"/>
            <w:vAlign w:val="center"/>
          </w:tcPr>
          <w:p w14:paraId="18D32671"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b/>
                <w:sz w:val="16"/>
                <w:szCs w:val="16"/>
              </w:rPr>
              <w:t>X</w:t>
            </w:r>
          </w:p>
        </w:tc>
        <w:tc>
          <w:tcPr>
            <w:tcW w:w="992" w:type="dxa"/>
            <w:vAlign w:val="center"/>
          </w:tcPr>
          <w:p w14:paraId="77766EA6"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b/>
                <w:sz w:val="16"/>
                <w:szCs w:val="16"/>
              </w:rPr>
              <w:t>X</w:t>
            </w:r>
          </w:p>
        </w:tc>
        <w:tc>
          <w:tcPr>
            <w:tcW w:w="992" w:type="dxa"/>
            <w:vAlign w:val="center"/>
          </w:tcPr>
          <w:p w14:paraId="157FDFF3"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b/>
                <w:sz w:val="16"/>
                <w:szCs w:val="16"/>
              </w:rPr>
              <w:t>X</w:t>
            </w:r>
          </w:p>
        </w:tc>
        <w:tc>
          <w:tcPr>
            <w:tcW w:w="1099" w:type="dxa"/>
            <w:vAlign w:val="center"/>
          </w:tcPr>
          <w:p w14:paraId="65BF3AAD"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sz w:val="16"/>
                <w:szCs w:val="16"/>
              </w:rPr>
              <w:t>PS</w:t>
            </w:r>
          </w:p>
        </w:tc>
      </w:tr>
      <w:tr w:rsidR="00177AB0" w:rsidRPr="0014235A" w14:paraId="3432A5CA" w14:textId="77777777" w:rsidTr="00C21F75">
        <w:tc>
          <w:tcPr>
            <w:tcW w:w="851" w:type="dxa"/>
            <w:vAlign w:val="center"/>
          </w:tcPr>
          <w:p w14:paraId="143DDF95" w14:textId="77777777" w:rsidR="00177AB0" w:rsidRPr="0014235A" w:rsidRDefault="00177AB0" w:rsidP="00C21F75">
            <w:pPr>
              <w:spacing w:before="40" w:after="40" w:line="300" w:lineRule="atLeast"/>
              <w:rPr>
                <w:rFonts w:ascii="Arial" w:hAnsi="Arial" w:cs="Arial"/>
                <w:sz w:val="16"/>
                <w:szCs w:val="16"/>
              </w:rPr>
            </w:pPr>
            <w:r w:rsidRPr="0014235A">
              <w:rPr>
                <w:rFonts w:ascii="Arial" w:hAnsi="Arial" w:cs="Arial"/>
                <w:sz w:val="16"/>
                <w:szCs w:val="16"/>
              </w:rPr>
              <w:t>5.2.4</w:t>
            </w:r>
          </w:p>
        </w:tc>
        <w:tc>
          <w:tcPr>
            <w:tcW w:w="2693" w:type="dxa"/>
            <w:vAlign w:val="center"/>
          </w:tcPr>
          <w:p w14:paraId="24B70D9B" w14:textId="77777777" w:rsidR="00177AB0" w:rsidRPr="0014235A" w:rsidRDefault="00177AB0" w:rsidP="00C21F75">
            <w:pPr>
              <w:spacing w:line="300" w:lineRule="atLeast"/>
              <w:rPr>
                <w:rFonts w:ascii="Arial" w:hAnsi="Arial" w:cs="Arial"/>
                <w:sz w:val="16"/>
                <w:szCs w:val="16"/>
              </w:rPr>
            </w:pPr>
            <w:r w:rsidRPr="0014235A">
              <w:rPr>
                <w:rFonts w:ascii="Arial" w:hAnsi="Arial" w:cs="Arial"/>
                <w:sz w:val="16"/>
                <w:szCs w:val="16"/>
              </w:rPr>
              <w:t>Copper</w:t>
            </w:r>
          </w:p>
        </w:tc>
        <w:tc>
          <w:tcPr>
            <w:tcW w:w="850" w:type="dxa"/>
            <w:vAlign w:val="center"/>
          </w:tcPr>
          <w:p w14:paraId="1D91A8CF" w14:textId="77777777" w:rsidR="00177AB0" w:rsidRPr="0014235A" w:rsidRDefault="00177AB0" w:rsidP="00C21F75">
            <w:pPr>
              <w:spacing w:before="40" w:after="40" w:line="300" w:lineRule="atLeast"/>
              <w:jc w:val="center"/>
              <w:rPr>
                <w:rFonts w:ascii="Arial" w:hAnsi="Arial" w:cs="Arial"/>
                <w:b/>
                <w:sz w:val="16"/>
                <w:szCs w:val="16"/>
              </w:rPr>
            </w:pPr>
            <w:r w:rsidRPr="0014235A">
              <w:rPr>
                <w:rFonts w:ascii="Arial" w:hAnsi="Arial" w:cs="Arial"/>
                <w:b/>
                <w:sz w:val="16"/>
                <w:szCs w:val="16"/>
              </w:rPr>
              <w:t>X</w:t>
            </w:r>
          </w:p>
        </w:tc>
        <w:tc>
          <w:tcPr>
            <w:tcW w:w="851" w:type="dxa"/>
            <w:vAlign w:val="center"/>
          </w:tcPr>
          <w:p w14:paraId="7805DB32" w14:textId="77777777" w:rsidR="00177AB0" w:rsidRPr="0014235A" w:rsidRDefault="00177AB0" w:rsidP="00C21F75">
            <w:pPr>
              <w:spacing w:before="40" w:after="40" w:line="300" w:lineRule="atLeast"/>
              <w:jc w:val="center"/>
              <w:rPr>
                <w:rFonts w:ascii="Arial" w:hAnsi="Arial" w:cs="Arial"/>
                <w:b/>
                <w:sz w:val="16"/>
                <w:szCs w:val="16"/>
              </w:rPr>
            </w:pPr>
            <w:r w:rsidRPr="0014235A">
              <w:rPr>
                <w:rFonts w:ascii="Arial" w:hAnsi="Arial" w:cs="Arial"/>
                <w:b/>
                <w:sz w:val="16"/>
                <w:szCs w:val="16"/>
              </w:rPr>
              <w:t>X</w:t>
            </w:r>
          </w:p>
        </w:tc>
        <w:tc>
          <w:tcPr>
            <w:tcW w:w="851" w:type="dxa"/>
            <w:vAlign w:val="center"/>
          </w:tcPr>
          <w:p w14:paraId="13B710BE" w14:textId="77777777" w:rsidR="00177AB0" w:rsidRPr="0014235A" w:rsidRDefault="00177AB0" w:rsidP="00C21F75">
            <w:pPr>
              <w:spacing w:before="40" w:after="40" w:line="300" w:lineRule="atLeast"/>
              <w:jc w:val="center"/>
              <w:rPr>
                <w:rFonts w:ascii="Arial" w:hAnsi="Arial" w:cs="Arial"/>
                <w:b/>
                <w:sz w:val="16"/>
                <w:szCs w:val="16"/>
              </w:rPr>
            </w:pPr>
            <w:r w:rsidRPr="0014235A">
              <w:rPr>
                <w:rFonts w:ascii="Arial" w:hAnsi="Arial" w:cs="Arial"/>
                <w:b/>
                <w:sz w:val="16"/>
                <w:szCs w:val="16"/>
              </w:rPr>
              <w:t>X</w:t>
            </w:r>
          </w:p>
        </w:tc>
        <w:tc>
          <w:tcPr>
            <w:tcW w:w="992" w:type="dxa"/>
            <w:vAlign w:val="center"/>
          </w:tcPr>
          <w:p w14:paraId="7109FAFF"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b/>
                <w:sz w:val="16"/>
                <w:szCs w:val="16"/>
              </w:rPr>
              <w:t>X</w:t>
            </w:r>
          </w:p>
        </w:tc>
        <w:tc>
          <w:tcPr>
            <w:tcW w:w="992" w:type="dxa"/>
            <w:vAlign w:val="center"/>
          </w:tcPr>
          <w:p w14:paraId="26EF0EC3" w14:textId="77777777" w:rsidR="00177AB0" w:rsidRPr="0014235A" w:rsidRDefault="00177AB0" w:rsidP="00C21F75">
            <w:pPr>
              <w:spacing w:before="40" w:after="40" w:line="300" w:lineRule="atLeast"/>
              <w:jc w:val="center"/>
              <w:rPr>
                <w:rFonts w:ascii="Arial" w:hAnsi="Arial" w:cs="Arial"/>
                <w:b/>
                <w:sz w:val="16"/>
                <w:szCs w:val="16"/>
              </w:rPr>
            </w:pPr>
            <w:r w:rsidRPr="0014235A">
              <w:rPr>
                <w:rFonts w:ascii="Arial" w:hAnsi="Arial" w:cs="Arial"/>
                <w:b/>
                <w:sz w:val="16"/>
                <w:szCs w:val="16"/>
              </w:rPr>
              <w:t>X</w:t>
            </w:r>
          </w:p>
        </w:tc>
        <w:tc>
          <w:tcPr>
            <w:tcW w:w="1099" w:type="dxa"/>
            <w:vAlign w:val="center"/>
          </w:tcPr>
          <w:p w14:paraId="3C1607B6"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sz w:val="16"/>
                <w:szCs w:val="16"/>
              </w:rPr>
              <w:t>PS</w:t>
            </w:r>
          </w:p>
        </w:tc>
      </w:tr>
      <w:tr w:rsidR="00177AB0" w:rsidRPr="0014235A" w14:paraId="40A7D83D" w14:textId="77777777" w:rsidTr="00C21F75">
        <w:tc>
          <w:tcPr>
            <w:tcW w:w="851" w:type="dxa"/>
            <w:vAlign w:val="center"/>
          </w:tcPr>
          <w:p w14:paraId="160EF39A" w14:textId="77777777" w:rsidR="00177AB0" w:rsidRPr="0014235A" w:rsidRDefault="00177AB0" w:rsidP="00C21F75">
            <w:pPr>
              <w:spacing w:before="40" w:after="40" w:line="300" w:lineRule="atLeast"/>
              <w:rPr>
                <w:rFonts w:ascii="Arial" w:hAnsi="Arial" w:cs="Arial"/>
                <w:sz w:val="16"/>
                <w:szCs w:val="16"/>
              </w:rPr>
            </w:pPr>
            <w:r w:rsidRPr="0014235A">
              <w:rPr>
                <w:rFonts w:ascii="Arial" w:hAnsi="Arial" w:cs="Arial"/>
                <w:sz w:val="16"/>
                <w:szCs w:val="16"/>
              </w:rPr>
              <w:t>5.2.5</w:t>
            </w:r>
          </w:p>
        </w:tc>
        <w:tc>
          <w:tcPr>
            <w:tcW w:w="2693" w:type="dxa"/>
            <w:vAlign w:val="center"/>
          </w:tcPr>
          <w:p w14:paraId="56A41DC8" w14:textId="77777777" w:rsidR="00177AB0" w:rsidRPr="0014235A" w:rsidRDefault="00177AB0" w:rsidP="00C21F75">
            <w:pPr>
              <w:spacing w:line="300" w:lineRule="atLeast"/>
              <w:rPr>
                <w:rFonts w:ascii="Arial" w:hAnsi="Arial" w:cs="Arial"/>
                <w:sz w:val="16"/>
                <w:szCs w:val="16"/>
              </w:rPr>
            </w:pPr>
            <w:r w:rsidRPr="0014235A">
              <w:rPr>
                <w:rFonts w:ascii="Arial" w:hAnsi="Arial" w:cs="Arial"/>
                <w:sz w:val="16"/>
                <w:szCs w:val="16"/>
              </w:rPr>
              <w:t>Lead</w:t>
            </w:r>
          </w:p>
        </w:tc>
        <w:tc>
          <w:tcPr>
            <w:tcW w:w="850" w:type="dxa"/>
            <w:vAlign w:val="center"/>
          </w:tcPr>
          <w:p w14:paraId="71175C64" w14:textId="77777777" w:rsidR="00177AB0" w:rsidRPr="0014235A" w:rsidRDefault="00177AB0" w:rsidP="00C21F75">
            <w:pPr>
              <w:spacing w:before="40" w:after="40" w:line="300" w:lineRule="atLeast"/>
              <w:jc w:val="center"/>
              <w:rPr>
                <w:rFonts w:ascii="Arial" w:hAnsi="Arial" w:cs="Arial"/>
                <w:b/>
                <w:sz w:val="16"/>
                <w:szCs w:val="16"/>
              </w:rPr>
            </w:pPr>
            <w:r w:rsidRPr="0014235A">
              <w:rPr>
                <w:rFonts w:ascii="Arial" w:hAnsi="Arial" w:cs="Arial"/>
                <w:b/>
                <w:sz w:val="16"/>
                <w:szCs w:val="16"/>
              </w:rPr>
              <w:t>X</w:t>
            </w:r>
          </w:p>
        </w:tc>
        <w:tc>
          <w:tcPr>
            <w:tcW w:w="851" w:type="dxa"/>
            <w:vAlign w:val="center"/>
          </w:tcPr>
          <w:p w14:paraId="28406742"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b/>
                <w:sz w:val="16"/>
                <w:szCs w:val="16"/>
              </w:rPr>
              <w:t>X</w:t>
            </w:r>
          </w:p>
        </w:tc>
        <w:tc>
          <w:tcPr>
            <w:tcW w:w="851" w:type="dxa"/>
            <w:vAlign w:val="center"/>
          </w:tcPr>
          <w:p w14:paraId="49C61D6D"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b/>
                <w:sz w:val="16"/>
                <w:szCs w:val="16"/>
              </w:rPr>
              <w:t>X</w:t>
            </w:r>
          </w:p>
        </w:tc>
        <w:tc>
          <w:tcPr>
            <w:tcW w:w="992" w:type="dxa"/>
            <w:vAlign w:val="center"/>
          </w:tcPr>
          <w:p w14:paraId="5063BF41"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b/>
                <w:sz w:val="16"/>
                <w:szCs w:val="16"/>
              </w:rPr>
              <w:t>X</w:t>
            </w:r>
          </w:p>
        </w:tc>
        <w:tc>
          <w:tcPr>
            <w:tcW w:w="992" w:type="dxa"/>
            <w:vAlign w:val="center"/>
          </w:tcPr>
          <w:p w14:paraId="1DAD0698"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b/>
                <w:sz w:val="16"/>
                <w:szCs w:val="16"/>
              </w:rPr>
              <w:t>X</w:t>
            </w:r>
          </w:p>
        </w:tc>
        <w:tc>
          <w:tcPr>
            <w:tcW w:w="1099" w:type="dxa"/>
            <w:vAlign w:val="center"/>
          </w:tcPr>
          <w:p w14:paraId="11E2B0DD"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sz w:val="16"/>
                <w:szCs w:val="16"/>
              </w:rPr>
              <w:t>PS</w:t>
            </w:r>
          </w:p>
        </w:tc>
      </w:tr>
      <w:tr w:rsidR="00177AB0" w:rsidRPr="0014235A" w14:paraId="43EA93F1" w14:textId="77777777" w:rsidTr="00C21F75">
        <w:tc>
          <w:tcPr>
            <w:tcW w:w="851" w:type="dxa"/>
            <w:vAlign w:val="center"/>
          </w:tcPr>
          <w:p w14:paraId="021F80B8" w14:textId="77777777" w:rsidR="00177AB0" w:rsidRPr="0014235A" w:rsidRDefault="00177AB0" w:rsidP="00C21F75">
            <w:pPr>
              <w:spacing w:before="40" w:after="40" w:line="300" w:lineRule="atLeast"/>
              <w:rPr>
                <w:rFonts w:ascii="Arial" w:hAnsi="Arial" w:cs="Arial"/>
                <w:sz w:val="16"/>
                <w:szCs w:val="16"/>
              </w:rPr>
            </w:pPr>
            <w:r w:rsidRPr="0014235A">
              <w:rPr>
                <w:rFonts w:ascii="Arial" w:hAnsi="Arial" w:cs="Arial"/>
                <w:sz w:val="16"/>
                <w:szCs w:val="16"/>
              </w:rPr>
              <w:t>5.2.6</w:t>
            </w:r>
          </w:p>
        </w:tc>
        <w:tc>
          <w:tcPr>
            <w:tcW w:w="2693" w:type="dxa"/>
            <w:vAlign w:val="center"/>
          </w:tcPr>
          <w:p w14:paraId="0D99BD2F" w14:textId="77777777" w:rsidR="00177AB0" w:rsidRPr="0014235A" w:rsidRDefault="00177AB0" w:rsidP="00C21F75">
            <w:pPr>
              <w:spacing w:before="40" w:after="40" w:line="300" w:lineRule="atLeast"/>
              <w:rPr>
                <w:rFonts w:ascii="Arial" w:hAnsi="Arial" w:cs="Arial"/>
                <w:sz w:val="16"/>
                <w:szCs w:val="16"/>
              </w:rPr>
            </w:pPr>
            <w:r w:rsidRPr="0014235A">
              <w:rPr>
                <w:rFonts w:ascii="Arial" w:hAnsi="Arial" w:cs="Arial"/>
                <w:sz w:val="16"/>
                <w:szCs w:val="16"/>
              </w:rPr>
              <w:t>Gold</w:t>
            </w:r>
            <w:r w:rsidR="00BE37CA" w:rsidRPr="0014235A">
              <w:rPr>
                <w:rFonts w:ascii="Arial" w:hAnsi="Arial" w:cs="Arial"/>
                <w:sz w:val="16"/>
                <w:szCs w:val="16"/>
              </w:rPr>
              <w:t xml:space="preserve"> and silver</w:t>
            </w:r>
            <w:r w:rsidRPr="0014235A">
              <w:rPr>
                <w:rFonts w:ascii="Arial" w:hAnsi="Arial" w:cs="Arial"/>
                <w:sz w:val="16"/>
                <w:szCs w:val="16"/>
              </w:rPr>
              <w:t>, not using mercury</w:t>
            </w:r>
          </w:p>
        </w:tc>
        <w:tc>
          <w:tcPr>
            <w:tcW w:w="850" w:type="dxa"/>
            <w:vAlign w:val="center"/>
          </w:tcPr>
          <w:p w14:paraId="5DFB593D" w14:textId="77777777" w:rsidR="00177AB0" w:rsidRPr="0014235A" w:rsidRDefault="00177AB0" w:rsidP="00C21F75">
            <w:pPr>
              <w:spacing w:before="40" w:after="40" w:line="300" w:lineRule="atLeast"/>
              <w:jc w:val="center"/>
              <w:rPr>
                <w:rFonts w:ascii="Arial" w:hAnsi="Arial" w:cs="Arial"/>
                <w:b/>
                <w:sz w:val="16"/>
                <w:szCs w:val="16"/>
              </w:rPr>
            </w:pPr>
            <w:r w:rsidRPr="0014235A">
              <w:rPr>
                <w:rFonts w:ascii="Arial" w:hAnsi="Arial" w:cs="Arial"/>
                <w:b/>
                <w:sz w:val="16"/>
                <w:szCs w:val="16"/>
              </w:rPr>
              <w:t>X</w:t>
            </w:r>
          </w:p>
        </w:tc>
        <w:tc>
          <w:tcPr>
            <w:tcW w:w="851" w:type="dxa"/>
            <w:vAlign w:val="center"/>
          </w:tcPr>
          <w:p w14:paraId="0E9B6D9A"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b/>
                <w:sz w:val="16"/>
                <w:szCs w:val="16"/>
              </w:rPr>
              <w:t>X</w:t>
            </w:r>
          </w:p>
        </w:tc>
        <w:tc>
          <w:tcPr>
            <w:tcW w:w="851" w:type="dxa"/>
            <w:vAlign w:val="center"/>
          </w:tcPr>
          <w:p w14:paraId="7BC86AC2"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b/>
                <w:sz w:val="16"/>
                <w:szCs w:val="16"/>
              </w:rPr>
              <w:t>X</w:t>
            </w:r>
          </w:p>
        </w:tc>
        <w:tc>
          <w:tcPr>
            <w:tcW w:w="992" w:type="dxa"/>
            <w:vAlign w:val="center"/>
          </w:tcPr>
          <w:p w14:paraId="52B48F0F"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b/>
                <w:sz w:val="16"/>
                <w:szCs w:val="16"/>
              </w:rPr>
              <w:t>X</w:t>
            </w:r>
          </w:p>
        </w:tc>
        <w:tc>
          <w:tcPr>
            <w:tcW w:w="992" w:type="dxa"/>
            <w:vAlign w:val="center"/>
          </w:tcPr>
          <w:p w14:paraId="73E11294"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b/>
                <w:sz w:val="16"/>
                <w:szCs w:val="16"/>
              </w:rPr>
              <w:t>X</w:t>
            </w:r>
          </w:p>
        </w:tc>
        <w:tc>
          <w:tcPr>
            <w:tcW w:w="1099" w:type="dxa"/>
            <w:vAlign w:val="center"/>
          </w:tcPr>
          <w:p w14:paraId="1C92B9B2"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sz w:val="16"/>
                <w:szCs w:val="16"/>
              </w:rPr>
              <w:t>PS</w:t>
            </w:r>
          </w:p>
        </w:tc>
      </w:tr>
      <w:tr w:rsidR="00177AB0" w:rsidRPr="0014235A" w14:paraId="184C298A" w14:textId="77777777" w:rsidTr="00C21F75">
        <w:tc>
          <w:tcPr>
            <w:tcW w:w="851" w:type="dxa"/>
            <w:vAlign w:val="center"/>
          </w:tcPr>
          <w:p w14:paraId="193A59D2" w14:textId="77777777" w:rsidR="00177AB0" w:rsidRPr="0014235A" w:rsidRDefault="00177AB0" w:rsidP="00C21F75">
            <w:pPr>
              <w:spacing w:before="40" w:after="40" w:line="300" w:lineRule="atLeast"/>
              <w:rPr>
                <w:rFonts w:ascii="Arial" w:hAnsi="Arial" w:cs="Arial"/>
                <w:sz w:val="16"/>
                <w:szCs w:val="16"/>
              </w:rPr>
            </w:pPr>
            <w:r w:rsidRPr="0014235A">
              <w:rPr>
                <w:rFonts w:ascii="Arial" w:hAnsi="Arial" w:cs="Arial"/>
                <w:sz w:val="16"/>
                <w:szCs w:val="16"/>
              </w:rPr>
              <w:t>5.2.7</w:t>
            </w:r>
          </w:p>
        </w:tc>
        <w:tc>
          <w:tcPr>
            <w:tcW w:w="2693" w:type="dxa"/>
            <w:vAlign w:val="center"/>
          </w:tcPr>
          <w:p w14:paraId="6E949BE3" w14:textId="77777777" w:rsidR="00177AB0" w:rsidRPr="0014235A" w:rsidRDefault="00177AB0" w:rsidP="00C21F75">
            <w:pPr>
              <w:spacing w:before="40" w:after="40" w:line="300" w:lineRule="atLeast"/>
              <w:rPr>
                <w:rFonts w:ascii="Arial" w:hAnsi="Arial" w:cs="Arial"/>
                <w:sz w:val="16"/>
                <w:szCs w:val="16"/>
              </w:rPr>
            </w:pPr>
            <w:r w:rsidRPr="0014235A">
              <w:rPr>
                <w:rFonts w:ascii="Arial" w:hAnsi="Arial" w:cs="Arial"/>
                <w:sz w:val="16"/>
                <w:szCs w:val="16"/>
              </w:rPr>
              <w:t>Aluminium</w:t>
            </w:r>
          </w:p>
        </w:tc>
        <w:tc>
          <w:tcPr>
            <w:tcW w:w="850" w:type="dxa"/>
            <w:vAlign w:val="center"/>
          </w:tcPr>
          <w:p w14:paraId="562D420F" w14:textId="77777777" w:rsidR="00177AB0" w:rsidRPr="0014235A" w:rsidRDefault="00177AB0" w:rsidP="00C21F75">
            <w:pPr>
              <w:spacing w:before="40" w:after="40" w:line="300" w:lineRule="atLeast"/>
              <w:jc w:val="center"/>
              <w:rPr>
                <w:rFonts w:ascii="Arial" w:hAnsi="Arial" w:cs="Arial"/>
                <w:b/>
                <w:sz w:val="16"/>
                <w:szCs w:val="16"/>
              </w:rPr>
            </w:pPr>
            <w:r w:rsidRPr="0014235A">
              <w:rPr>
                <w:rFonts w:ascii="Arial" w:hAnsi="Arial" w:cs="Arial"/>
                <w:b/>
                <w:sz w:val="16"/>
                <w:szCs w:val="16"/>
              </w:rPr>
              <w:t>X</w:t>
            </w:r>
          </w:p>
        </w:tc>
        <w:tc>
          <w:tcPr>
            <w:tcW w:w="851" w:type="dxa"/>
            <w:vAlign w:val="center"/>
          </w:tcPr>
          <w:p w14:paraId="214C1730" w14:textId="77777777" w:rsidR="00177AB0" w:rsidRPr="0014235A" w:rsidRDefault="00177AB0" w:rsidP="00C21F75">
            <w:pPr>
              <w:spacing w:before="40" w:after="40" w:line="300" w:lineRule="atLeast"/>
              <w:jc w:val="center"/>
              <w:rPr>
                <w:rFonts w:ascii="Arial" w:hAnsi="Arial" w:cs="Arial"/>
                <w:sz w:val="16"/>
                <w:szCs w:val="16"/>
              </w:rPr>
            </w:pPr>
          </w:p>
        </w:tc>
        <w:tc>
          <w:tcPr>
            <w:tcW w:w="851" w:type="dxa"/>
            <w:vAlign w:val="center"/>
          </w:tcPr>
          <w:p w14:paraId="7F2248D4" w14:textId="7F45BFEF" w:rsidR="00177AB0" w:rsidRPr="0014235A" w:rsidRDefault="00254F44" w:rsidP="00C21F75">
            <w:pPr>
              <w:spacing w:before="40" w:after="40" w:line="300" w:lineRule="atLeast"/>
              <w:jc w:val="center"/>
              <w:rPr>
                <w:rFonts w:ascii="Arial" w:hAnsi="Arial" w:cs="Arial"/>
                <w:sz w:val="16"/>
                <w:szCs w:val="16"/>
              </w:rPr>
            </w:pPr>
            <w:r w:rsidRPr="00351B54">
              <w:rPr>
                <w:rFonts w:ascii="Arial" w:hAnsi="Arial" w:cs="Arial"/>
                <w:sz w:val="16"/>
                <w:szCs w:val="16"/>
              </w:rPr>
              <w:t>X</w:t>
            </w:r>
          </w:p>
        </w:tc>
        <w:tc>
          <w:tcPr>
            <w:tcW w:w="992" w:type="dxa"/>
            <w:vAlign w:val="center"/>
          </w:tcPr>
          <w:p w14:paraId="6150D64A" w14:textId="77777777" w:rsidR="00177AB0" w:rsidRPr="0014235A" w:rsidRDefault="00177AB0" w:rsidP="00C21F75">
            <w:pPr>
              <w:spacing w:before="40" w:after="40" w:line="300" w:lineRule="atLeast"/>
              <w:jc w:val="center"/>
              <w:rPr>
                <w:rFonts w:ascii="Arial" w:hAnsi="Arial" w:cs="Arial"/>
                <w:sz w:val="16"/>
                <w:szCs w:val="16"/>
              </w:rPr>
            </w:pPr>
          </w:p>
        </w:tc>
        <w:tc>
          <w:tcPr>
            <w:tcW w:w="992" w:type="dxa"/>
            <w:vAlign w:val="center"/>
          </w:tcPr>
          <w:p w14:paraId="7539B6A9"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b/>
                <w:sz w:val="16"/>
                <w:szCs w:val="16"/>
              </w:rPr>
              <w:t>X</w:t>
            </w:r>
          </w:p>
        </w:tc>
        <w:tc>
          <w:tcPr>
            <w:tcW w:w="1099" w:type="dxa"/>
            <w:vAlign w:val="center"/>
          </w:tcPr>
          <w:p w14:paraId="4221732C"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sz w:val="16"/>
                <w:szCs w:val="16"/>
              </w:rPr>
              <w:t>PS</w:t>
            </w:r>
          </w:p>
        </w:tc>
      </w:tr>
      <w:tr w:rsidR="00177AB0" w:rsidRPr="0014235A" w14:paraId="4ADE4217" w14:textId="77777777" w:rsidTr="00C21F75">
        <w:tc>
          <w:tcPr>
            <w:tcW w:w="851" w:type="dxa"/>
            <w:vAlign w:val="center"/>
          </w:tcPr>
          <w:p w14:paraId="3CE262B5" w14:textId="77777777" w:rsidR="00177AB0" w:rsidRPr="0014235A" w:rsidRDefault="00177AB0" w:rsidP="00C21F75">
            <w:pPr>
              <w:spacing w:before="40" w:after="40" w:line="300" w:lineRule="atLeast"/>
              <w:rPr>
                <w:rFonts w:ascii="Arial" w:hAnsi="Arial" w:cs="Arial"/>
                <w:sz w:val="16"/>
                <w:szCs w:val="16"/>
              </w:rPr>
            </w:pPr>
            <w:r w:rsidRPr="0014235A">
              <w:rPr>
                <w:rFonts w:ascii="Arial" w:hAnsi="Arial" w:cs="Arial"/>
                <w:sz w:val="16"/>
                <w:szCs w:val="16"/>
              </w:rPr>
              <w:t>5.2.8</w:t>
            </w:r>
          </w:p>
        </w:tc>
        <w:tc>
          <w:tcPr>
            <w:tcW w:w="2693" w:type="dxa"/>
            <w:vAlign w:val="center"/>
          </w:tcPr>
          <w:p w14:paraId="53F18FD8" w14:textId="77777777" w:rsidR="00177AB0" w:rsidRPr="0014235A" w:rsidRDefault="00177AB0" w:rsidP="00C21F75">
            <w:pPr>
              <w:spacing w:before="40" w:after="40" w:line="300" w:lineRule="atLeast"/>
              <w:rPr>
                <w:rFonts w:ascii="Arial" w:hAnsi="Arial" w:cs="Arial"/>
                <w:sz w:val="16"/>
                <w:szCs w:val="16"/>
              </w:rPr>
            </w:pPr>
            <w:r w:rsidRPr="0014235A">
              <w:rPr>
                <w:rFonts w:ascii="Arial" w:hAnsi="Arial" w:cs="Arial"/>
                <w:sz w:val="16"/>
                <w:szCs w:val="16"/>
              </w:rPr>
              <w:t>Other non-ferrous metals</w:t>
            </w:r>
          </w:p>
        </w:tc>
        <w:tc>
          <w:tcPr>
            <w:tcW w:w="850" w:type="dxa"/>
            <w:vAlign w:val="center"/>
          </w:tcPr>
          <w:p w14:paraId="7528465B" w14:textId="77777777" w:rsidR="00177AB0" w:rsidRPr="0014235A" w:rsidRDefault="00177AB0" w:rsidP="00C21F75">
            <w:pPr>
              <w:spacing w:before="40" w:after="40" w:line="300" w:lineRule="atLeast"/>
              <w:jc w:val="center"/>
              <w:rPr>
                <w:rFonts w:ascii="Arial" w:hAnsi="Arial" w:cs="Arial"/>
                <w:b/>
                <w:sz w:val="16"/>
                <w:szCs w:val="16"/>
              </w:rPr>
            </w:pPr>
            <w:r w:rsidRPr="0014235A">
              <w:rPr>
                <w:rFonts w:ascii="Arial" w:hAnsi="Arial" w:cs="Arial"/>
                <w:b/>
                <w:sz w:val="16"/>
                <w:szCs w:val="16"/>
              </w:rPr>
              <w:t>X</w:t>
            </w:r>
          </w:p>
        </w:tc>
        <w:tc>
          <w:tcPr>
            <w:tcW w:w="851" w:type="dxa"/>
            <w:vAlign w:val="center"/>
          </w:tcPr>
          <w:p w14:paraId="251FF8B0"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b/>
                <w:sz w:val="16"/>
                <w:szCs w:val="16"/>
              </w:rPr>
              <w:t>X</w:t>
            </w:r>
          </w:p>
        </w:tc>
        <w:tc>
          <w:tcPr>
            <w:tcW w:w="851" w:type="dxa"/>
            <w:vAlign w:val="center"/>
          </w:tcPr>
          <w:p w14:paraId="56943381"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b/>
                <w:sz w:val="16"/>
                <w:szCs w:val="16"/>
              </w:rPr>
              <w:t>X</w:t>
            </w:r>
          </w:p>
        </w:tc>
        <w:tc>
          <w:tcPr>
            <w:tcW w:w="992" w:type="dxa"/>
            <w:vAlign w:val="center"/>
          </w:tcPr>
          <w:p w14:paraId="0E88C537" w14:textId="77777777" w:rsidR="00177AB0" w:rsidRPr="0014235A" w:rsidRDefault="00177AB0" w:rsidP="00C21F75">
            <w:pPr>
              <w:spacing w:before="40" w:after="40" w:line="300" w:lineRule="atLeast"/>
              <w:jc w:val="center"/>
              <w:rPr>
                <w:rFonts w:ascii="Arial" w:hAnsi="Arial" w:cs="Arial"/>
                <w:sz w:val="16"/>
                <w:szCs w:val="16"/>
              </w:rPr>
            </w:pPr>
          </w:p>
        </w:tc>
        <w:tc>
          <w:tcPr>
            <w:tcW w:w="992" w:type="dxa"/>
            <w:vAlign w:val="center"/>
          </w:tcPr>
          <w:p w14:paraId="3002914B"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b/>
                <w:sz w:val="16"/>
                <w:szCs w:val="16"/>
              </w:rPr>
              <w:t>X</w:t>
            </w:r>
          </w:p>
        </w:tc>
        <w:tc>
          <w:tcPr>
            <w:tcW w:w="1099" w:type="dxa"/>
            <w:vAlign w:val="center"/>
          </w:tcPr>
          <w:p w14:paraId="6D8CBA91"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sz w:val="16"/>
                <w:szCs w:val="16"/>
              </w:rPr>
              <w:t>PS</w:t>
            </w:r>
          </w:p>
        </w:tc>
      </w:tr>
      <w:tr w:rsidR="00177AB0" w:rsidRPr="0014235A" w14:paraId="057B7228" w14:textId="77777777" w:rsidTr="00C21F75">
        <w:tc>
          <w:tcPr>
            <w:tcW w:w="851" w:type="dxa"/>
            <w:vAlign w:val="center"/>
          </w:tcPr>
          <w:p w14:paraId="4B9A381C" w14:textId="77777777" w:rsidR="00177AB0" w:rsidRPr="0014235A" w:rsidRDefault="00177AB0" w:rsidP="00C21F75">
            <w:pPr>
              <w:spacing w:before="40" w:after="40" w:line="300" w:lineRule="atLeast"/>
              <w:rPr>
                <w:rFonts w:ascii="Arial" w:hAnsi="Arial" w:cs="Arial"/>
                <w:sz w:val="16"/>
                <w:szCs w:val="16"/>
              </w:rPr>
            </w:pPr>
            <w:r w:rsidRPr="0014235A">
              <w:rPr>
                <w:rFonts w:ascii="Arial" w:hAnsi="Arial" w:cs="Arial"/>
                <w:sz w:val="16"/>
                <w:szCs w:val="16"/>
              </w:rPr>
              <w:t>5.2.9</w:t>
            </w:r>
          </w:p>
        </w:tc>
        <w:tc>
          <w:tcPr>
            <w:tcW w:w="2693" w:type="dxa"/>
            <w:vAlign w:val="center"/>
          </w:tcPr>
          <w:p w14:paraId="76675625" w14:textId="77777777" w:rsidR="00177AB0" w:rsidRPr="0014235A" w:rsidRDefault="00177AB0" w:rsidP="00C21F75">
            <w:pPr>
              <w:spacing w:before="40" w:after="40" w:line="300" w:lineRule="atLeast"/>
              <w:rPr>
                <w:rFonts w:ascii="Arial" w:hAnsi="Arial" w:cs="Arial"/>
                <w:sz w:val="16"/>
                <w:szCs w:val="16"/>
              </w:rPr>
            </w:pPr>
            <w:r w:rsidRPr="0014235A">
              <w:rPr>
                <w:rFonts w:ascii="Arial" w:hAnsi="Arial" w:cs="Arial"/>
                <w:sz w:val="16"/>
                <w:szCs w:val="16"/>
              </w:rPr>
              <w:t>Ferrous metals (iron &amp; steel)</w:t>
            </w:r>
          </w:p>
        </w:tc>
        <w:tc>
          <w:tcPr>
            <w:tcW w:w="850" w:type="dxa"/>
            <w:vAlign w:val="center"/>
          </w:tcPr>
          <w:p w14:paraId="7560D0AF" w14:textId="77777777" w:rsidR="00177AB0" w:rsidRPr="0014235A" w:rsidRDefault="00177AB0" w:rsidP="00C21F75">
            <w:pPr>
              <w:spacing w:before="40" w:after="40" w:line="300" w:lineRule="atLeast"/>
              <w:jc w:val="center"/>
              <w:rPr>
                <w:rFonts w:ascii="Arial" w:hAnsi="Arial" w:cs="Arial"/>
                <w:b/>
                <w:sz w:val="16"/>
                <w:szCs w:val="16"/>
              </w:rPr>
            </w:pPr>
            <w:r w:rsidRPr="0014235A">
              <w:rPr>
                <w:rFonts w:ascii="Arial" w:hAnsi="Arial" w:cs="Arial"/>
                <w:b/>
                <w:sz w:val="16"/>
                <w:szCs w:val="16"/>
              </w:rPr>
              <w:t>X</w:t>
            </w:r>
          </w:p>
        </w:tc>
        <w:tc>
          <w:tcPr>
            <w:tcW w:w="851" w:type="dxa"/>
            <w:vAlign w:val="center"/>
          </w:tcPr>
          <w:p w14:paraId="1E32C489" w14:textId="77777777" w:rsidR="00177AB0" w:rsidRPr="0014235A" w:rsidRDefault="00177AB0" w:rsidP="00C21F75">
            <w:pPr>
              <w:spacing w:before="40" w:after="40" w:line="300" w:lineRule="atLeast"/>
              <w:jc w:val="center"/>
              <w:rPr>
                <w:rFonts w:ascii="Arial" w:hAnsi="Arial" w:cs="Arial"/>
                <w:sz w:val="16"/>
                <w:szCs w:val="16"/>
              </w:rPr>
            </w:pPr>
          </w:p>
        </w:tc>
        <w:tc>
          <w:tcPr>
            <w:tcW w:w="851" w:type="dxa"/>
            <w:vAlign w:val="center"/>
          </w:tcPr>
          <w:p w14:paraId="1CAA7218" w14:textId="77777777" w:rsidR="00177AB0" w:rsidRPr="0014235A" w:rsidRDefault="00177AB0" w:rsidP="00C21F75">
            <w:pPr>
              <w:spacing w:before="40" w:after="40" w:line="300" w:lineRule="atLeast"/>
              <w:jc w:val="center"/>
              <w:rPr>
                <w:rFonts w:ascii="Arial" w:hAnsi="Arial" w:cs="Arial"/>
                <w:sz w:val="16"/>
                <w:szCs w:val="16"/>
              </w:rPr>
            </w:pPr>
          </w:p>
        </w:tc>
        <w:tc>
          <w:tcPr>
            <w:tcW w:w="992" w:type="dxa"/>
            <w:vAlign w:val="center"/>
          </w:tcPr>
          <w:p w14:paraId="51E7D0A5" w14:textId="77777777" w:rsidR="00177AB0" w:rsidRPr="0014235A" w:rsidRDefault="00177AB0" w:rsidP="00C21F75">
            <w:pPr>
              <w:spacing w:before="40" w:after="40" w:line="300" w:lineRule="atLeast"/>
              <w:jc w:val="center"/>
              <w:rPr>
                <w:rFonts w:ascii="Arial" w:hAnsi="Arial" w:cs="Arial"/>
                <w:sz w:val="16"/>
                <w:szCs w:val="16"/>
              </w:rPr>
            </w:pPr>
          </w:p>
        </w:tc>
        <w:tc>
          <w:tcPr>
            <w:tcW w:w="992" w:type="dxa"/>
            <w:vAlign w:val="center"/>
          </w:tcPr>
          <w:p w14:paraId="453C202F"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sz w:val="16"/>
                <w:szCs w:val="16"/>
              </w:rPr>
              <w:t>x</w:t>
            </w:r>
          </w:p>
        </w:tc>
        <w:tc>
          <w:tcPr>
            <w:tcW w:w="1099" w:type="dxa"/>
            <w:vAlign w:val="center"/>
          </w:tcPr>
          <w:p w14:paraId="2EAB878A" w14:textId="77777777" w:rsidR="00177AB0" w:rsidRPr="0014235A" w:rsidRDefault="00177AB0" w:rsidP="00C21F75">
            <w:pPr>
              <w:spacing w:before="40" w:after="40" w:line="300" w:lineRule="atLeast"/>
              <w:jc w:val="center"/>
              <w:rPr>
                <w:rFonts w:ascii="Arial" w:hAnsi="Arial" w:cs="Arial"/>
                <w:sz w:val="16"/>
                <w:szCs w:val="16"/>
              </w:rPr>
            </w:pPr>
            <w:r w:rsidRPr="0014235A">
              <w:rPr>
                <w:rFonts w:ascii="Arial" w:hAnsi="Arial" w:cs="Arial"/>
                <w:sz w:val="16"/>
                <w:szCs w:val="16"/>
              </w:rPr>
              <w:t>PS</w:t>
            </w:r>
          </w:p>
        </w:tc>
      </w:tr>
    </w:tbl>
    <w:p w14:paraId="6BD724C5" w14:textId="77777777" w:rsidR="00177AB0" w:rsidRPr="0014235A" w:rsidRDefault="00177AB0" w:rsidP="00177AB0">
      <w:pPr>
        <w:spacing w:before="60" w:after="60" w:line="260" w:lineRule="exact"/>
        <w:jc w:val="both"/>
        <w:rPr>
          <w:rFonts w:ascii="Arial" w:hAnsi="Arial" w:cs="Arial"/>
          <w:sz w:val="16"/>
          <w:szCs w:val="18"/>
        </w:rPr>
      </w:pPr>
      <w:r w:rsidRPr="0014235A">
        <w:rPr>
          <w:rFonts w:ascii="Arial" w:hAnsi="Arial" w:cs="Arial"/>
          <w:sz w:val="16"/>
          <w:szCs w:val="18"/>
        </w:rPr>
        <w:t xml:space="preserve">Notes: </w:t>
      </w:r>
      <w:r w:rsidRPr="0014235A">
        <w:rPr>
          <w:rFonts w:ascii="Arial" w:hAnsi="Arial" w:cs="Arial"/>
          <w:sz w:val="16"/>
          <w:szCs w:val="18"/>
        </w:rPr>
        <w:tab/>
        <w:t>PS = Point source by point source approach; OW = National/overview approach;</w:t>
      </w:r>
    </w:p>
    <w:p w14:paraId="37AA9B45" w14:textId="77777777" w:rsidR="00177AB0" w:rsidRPr="0014235A" w:rsidRDefault="00177AB0" w:rsidP="00177AB0">
      <w:pPr>
        <w:spacing w:after="60" w:line="260" w:lineRule="exact"/>
        <w:ind w:firstLine="720"/>
        <w:jc w:val="both"/>
        <w:rPr>
          <w:rFonts w:ascii="Arial" w:hAnsi="Arial" w:cs="Arial"/>
          <w:sz w:val="16"/>
          <w:szCs w:val="18"/>
        </w:rPr>
      </w:pPr>
      <w:r w:rsidRPr="0014235A">
        <w:rPr>
          <w:rFonts w:ascii="Arial" w:hAnsi="Arial" w:cs="Arial"/>
          <w:b/>
          <w:sz w:val="16"/>
          <w:szCs w:val="18"/>
        </w:rPr>
        <w:t>X</w:t>
      </w:r>
      <w:r w:rsidRPr="0014235A">
        <w:rPr>
          <w:rFonts w:ascii="Arial" w:hAnsi="Arial" w:cs="Arial"/>
          <w:sz w:val="16"/>
          <w:szCs w:val="18"/>
        </w:rPr>
        <w:t xml:space="preserve"> - Release pathway expected to be predominant for the sub-category;</w:t>
      </w:r>
    </w:p>
    <w:p w14:paraId="271369BA" w14:textId="77777777" w:rsidR="00177AB0" w:rsidRPr="0014235A" w:rsidRDefault="00177AB0" w:rsidP="00177AB0">
      <w:pPr>
        <w:spacing w:after="60" w:line="260" w:lineRule="exact"/>
        <w:ind w:firstLine="720"/>
        <w:jc w:val="both"/>
        <w:rPr>
          <w:rFonts w:ascii="Arial" w:hAnsi="Arial" w:cs="Arial"/>
          <w:sz w:val="16"/>
          <w:szCs w:val="18"/>
        </w:rPr>
      </w:pPr>
      <w:r w:rsidRPr="0014235A">
        <w:rPr>
          <w:rFonts w:ascii="Arial" w:hAnsi="Arial" w:cs="Arial"/>
          <w:sz w:val="16"/>
          <w:szCs w:val="18"/>
        </w:rPr>
        <w:t>x - Additional release pathways to be considered, depending on specific source and national situation.</w:t>
      </w:r>
    </w:p>
    <w:p w14:paraId="2ECBDF3C" w14:textId="77777777" w:rsidR="008F394F" w:rsidRPr="00754C65" w:rsidRDefault="008F394F" w:rsidP="008F394F">
      <w:pPr>
        <w:pStyle w:val="Heading2"/>
      </w:pPr>
      <w:bookmarkStart w:id="52" w:name="_Toc110355521"/>
      <w:r w:rsidRPr="00754C65">
        <w:t>Primary metals not produced in New Zealand</w:t>
      </w:r>
      <w:bookmarkEnd w:id="52"/>
    </w:p>
    <w:p w14:paraId="5E3FD264" w14:textId="77777777" w:rsidR="00177AB0" w:rsidRPr="00754C65" w:rsidRDefault="00CC2FB4" w:rsidP="00177AB0">
      <w:pPr>
        <w:spacing w:line="300" w:lineRule="atLeast"/>
        <w:jc w:val="both"/>
        <w:rPr>
          <w:szCs w:val="18"/>
        </w:rPr>
      </w:pPr>
      <w:r w:rsidRPr="00754C65">
        <w:rPr>
          <w:szCs w:val="18"/>
        </w:rPr>
        <w:t xml:space="preserve">There is no </w:t>
      </w:r>
      <w:r w:rsidR="008F394F" w:rsidRPr="00754C65">
        <w:rPr>
          <w:szCs w:val="18"/>
        </w:rPr>
        <w:t xml:space="preserve">significant </w:t>
      </w:r>
      <w:r w:rsidRPr="00754C65">
        <w:rPr>
          <w:szCs w:val="18"/>
        </w:rPr>
        <w:t xml:space="preserve">primary metal production in New Zealand for </w:t>
      </w:r>
      <w:r w:rsidR="008F394F" w:rsidRPr="00754C65">
        <w:rPr>
          <w:szCs w:val="18"/>
        </w:rPr>
        <w:t>the following Toolkit</w:t>
      </w:r>
      <w:r w:rsidR="003F286B" w:rsidRPr="00754C65">
        <w:rPr>
          <w:szCs w:val="18"/>
        </w:rPr>
        <w:t xml:space="preserve"> sub-categories</w:t>
      </w:r>
      <w:r w:rsidR="008F394F" w:rsidRPr="00754C65">
        <w:rPr>
          <w:szCs w:val="18"/>
        </w:rPr>
        <w:t>: mercury, zinc, copper, lead and other non-ferrous metals</w:t>
      </w:r>
      <w:r w:rsidRPr="00754C65">
        <w:rPr>
          <w:szCs w:val="18"/>
        </w:rPr>
        <w:t>.</w:t>
      </w:r>
    </w:p>
    <w:p w14:paraId="51773F1D" w14:textId="779BEBCD" w:rsidR="00460A55" w:rsidRPr="00A54B87" w:rsidRDefault="00BE37CA" w:rsidP="00BE37CA">
      <w:pPr>
        <w:pStyle w:val="Heading2"/>
      </w:pPr>
      <w:bookmarkStart w:id="53" w:name="_Toc110355522"/>
      <w:r w:rsidRPr="00A54B87">
        <w:t>Gold and silver, using mercury amalgamation</w:t>
      </w:r>
      <w:bookmarkEnd w:id="53"/>
    </w:p>
    <w:p w14:paraId="0EC14DA1" w14:textId="3CEE2603" w:rsidR="00DE6998" w:rsidRPr="00456C7E" w:rsidRDefault="00DE6998" w:rsidP="003833D6">
      <w:pPr>
        <w:spacing w:line="300" w:lineRule="atLeast"/>
        <w:jc w:val="both"/>
        <w:rPr>
          <w:szCs w:val="18"/>
        </w:rPr>
      </w:pPr>
      <w:r w:rsidRPr="00456C7E">
        <w:rPr>
          <w:szCs w:val="18"/>
        </w:rPr>
        <w:t>Throughout the world</w:t>
      </w:r>
      <w:r w:rsidR="00C17A52" w:rsidRPr="00456C7E">
        <w:rPr>
          <w:szCs w:val="18"/>
        </w:rPr>
        <w:t xml:space="preserve"> large scale gold mining operations generally use a cyanide process to extract gold from ores.  However many small scale miners, referred to as “artisanal” miners by the Minamata Convention, use the simpler traditional method of mercury amalgamation. </w:t>
      </w:r>
      <w:r w:rsidR="004E5609" w:rsidRPr="00456C7E">
        <w:rPr>
          <w:szCs w:val="18"/>
        </w:rPr>
        <w:t xml:space="preserve">Here liquid mercury is added to refined ore concentrates where the gold present forms a solid amalgam with mercury. Excess liquid mercury is </w:t>
      </w:r>
      <w:r w:rsidR="00A54B87" w:rsidRPr="00456C7E">
        <w:rPr>
          <w:szCs w:val="18"/>
        </w:rPr>
        <w:t xml:space="preserve">then </w:t>
      </w:r>
      <w:r w:rsidR="004E5609" w:rsidRPr="00456C7E">
        <w:rPr>
          <w:szCs w:val="18"/>
        </w:rPr>
        <w:t>recovered, and the amalgam</w:t>
      </w:r>
      <w:r w:rsidR="00C17A52" w:rsidRPr="00456C7E">
        <w:rPr>
          <w:szCs w:val="18"/>
        </w:rPr>
        <w:t xml:space="preserve"> </w:t>
      </w:r>
      <w:r w:rsidR="004E5609" w:rsidRPr="00456C7E">
        <w:rPr>
          <w:szCs w:val="18"/>
        </w:rPr>
        <w:t xml:space="preserve">separated from other solid impurities. Gold is recovered by heating the amalgam to volatilise the mercury leaving the gold </w:t>
      </w:r>
      <w:r w:rsidRPr="00456C7E">
        <w:rPr>
          <w:szCs w:val="18"/>
        </w:rPr>
        <w:t>as a porous solid referred to as “sponge gold”</w:t>
      </w:r>
      <w:r w:rsidR="004E5609" w:rsidRPr="00456C7E">
        <w:rPr>
          <w:szCs w:val="18"/>
        </w:rPr>
        <w:t xml:space="preserve">. This process should occur in a retort where the gaseous mercury is condensed and recovered.  </w:t>
      </w:r>
    </w:p>
    <w:p w14:paraId="575C8A37" w14:textId="7A9B09FD" w:rsidR="00B86EF8" w:rsidRPr="00456C7E" w:rsidRDefault="00B86EF8" w:rsidP="003833D6">
      <w:pPr>
        <w:spacing w:line="300" w:lineRule="atLeast"/>
        <w:jc w:val="both"/>
        <w:rPr>
          <w:szCs w:val="18"/>
        </w:rPr>
      </w:pPr>
      <w:r w:rsidRPr="00456C7E">
        <w:rPr>
          <w:szCs w:val="18"/>
        </w:rPr>
        <w:t>Artisanal gold mining occurs in 70 countries involving 10 – 19 million miners, of which 4 - 5 million can be women and children</w:t>
      </w:r>
      <w:r w:rsidR="0018293A" w:rsidRPr="00456C7E">
        <w:rPr>
          <w:szCs w:val="18"/>
        </w:rPr>
        <w:t xml:space="preserve"> (Esdaile L J and Chalker J. M, 2018)</w:t>
      </w:r>
    </w:p>
    <w:p w14:paraId="38CFFDBE" w14:textId="55C01567" w:rsidR="00DE6998" w:rsidRPr="00456C7E" w:rsidRDefault="00DE6998" w:rsidP="003833D6">
      <w:pPr>
        <w:spacing w:line="300" w:lineRule="atLeast"/>
        <w:jc w:val="both"/>
        <w:rPr>
          <w:szCs w:val="18"/>
        </w:rPr>
      </w:pPr>
      <w:r w:rsidRPr="00456C7E">
        <w:rPr>
          <w:szCs w:val="18"/>
        </w:rPr>
        <w:t>There can be considerable losses of mercury with artisanal gold mining operations</w:t>
      </w:r>
      <w:r w:rsidR="007D5A44">
        <w:rPr>
          <w:szCs w:val="18"/>
        </w:rPr>
        <w:t xml:space="preserve">, </w:t>
      </w:r>
      <w:r w:rsidRPr="00456C7E">
        <w:rPr>
          <w:szCs w:val="18"/>
        </w:rPr>
        <w:t>estimated at about 410-1400 tonnes per year</w:t>
      </w:r>
      <w:r w:rsidR="00B86EF8" w:rsidRPr="00456C7E">
        <w:rPr>
          <w:szCs w:val="18"/>
        </w:rPr>
        <w:t xml:space="preserve"> (Esdaile L J and Chalker J M, 2018)</w:t>
      </w:r>
      <w:r w:rsidRPr="00456C7E">
        <w:rPr>
          <w:szCs w:val="18"/>
        </w:rPr>
        <w:t>. Assuming artisanal miners produce 15-25% of total gold production</w:t>
      </w:r>
      <w:r w:rsidR="00B86EF8" w:rsidRPr="00456C7E">
        <w:rPr>
          <w:szCs w:val="18"/>
        </w:rPr>
        <w:t xml:space="preserve">, </w:t>
      </w:r>
      <w:r w:rsidRPr="00456C7E">
        <w:rPr>
          <w:szCs w:val="18"/>
        </w:rPr>
        <w:t>their share of the 2024 global gold production of 3660 tonnes would be about 730 tonnes</w:t>
      </w:r>
      <w:r w:rsidR="00B86EF8" w:rsidRPr="00456C7E">
        <w:rPr>
          <w:szCs w:val="18"/>
        </w:rPr>
        <w:t>. This means that for every tonne of gold produced by artisanal miners about 0.5 – 2 tonnes of mercury is released to the environment</w:t>
      </w:r>
      <w:r w:rsidR="0018293A" w:rsidRPr="00456C7E">
        <w:rPr>
          <w:szCs w:val="18"/>
        </w:rPr>
        <w:t>.</w:t>
      </w:r>
    </w:p>
    <w:p w14:paraId="61602579" w14:textId="769EF75B" w:rsidR="0018293A" w:rsidRPr="00456C7E" w:rsidRDefault="0018293A" w:rsidP="003833D6">
      <w:pPr>
        <w:spacing w:line="300" w:lineRule="atLeast"/>
        <w:jc w:val="both"/>
        <w:rPr>
          <w:szCs w:val="18"/>
        </w:rPr>
      </w:pPr>
      <w:r w:rsidRPr="00456C7E">
        <w:rPr>
          <w:szCs w:val="18"/>
        </w:rPr>
        <w:t xml:space="preserve">A recent New Zealand </w:t>
      </w:r>
      <w:r w:rsidR="008D49CD" w:rsidRPr="00456C7E">
        <w:rPr>
          <w:szCs w:val="18"/>
        </w:rPr>
        <w:t>study stated that mercury amalgamation is still carried out in New Zealand mostly by recreational and small scale commercial gold miners and commented that procedures are generally well confined</w:t>
      </w:r>
      <w:r w:rsidR="00222487" w:rsidRPr="00456C7E">
        <w:rPr>
          <w:szCs w:val="18"/>
        </w:rPr>
        <w:t>, apart from occasional lapses, and that New Zealand contributions to global mercury releases are relatively trivial.</w:t>
      </w:r>
      <w:r w:rsidR="008D49CD" w:rsidRPr="00456C7E">
        <w:rPr>
          <w:szCs w:val="18"/>
        </w:rPr>
        <w:t xml:space="preserve"> (Craw, D and </w:t>
      </w:r>
      <w:r w:rsidR="0039512F" w:rsidRPr="00456C7E">
        <w:rPr>
          <w:szCs w:val="18"/>
        </w:rPr>
        <w:t>Palmer</w:t>
      </w:r>
      <w:r w:rsidR="008D49CD" w:rsidRPr="00456C7E">
        <w:rPr>
          <w:szCs w:val="18"/>
        </w:rPr>
        <w:t xml:space="preserve">, </w:t>
      </w:r>
      <w:r w:rsidR="0039512F" w:rsidRPr="00456C7E">
        <w:rPr>
          <w:szCs w:val="18"/>
        </w:rPr>
        <w:t>M</w:t>
      </w:r>
      <w:r w:rsidR="008D49CD" w:rsidRPr="00456C7E">
        <w:rPr>
          <w:szCs w:val="18"/>
        </w:rPr>
        <w:t>, 2025)</w:t>
      </w:r>
    </w:p>
    <w:p w14:paraId="744AD8C5" w14:textId="06037744" w:rsidR="00222487" w:rsidRPr="00456C7E" w:rsidRDefault="00222487" w:rsidP="003833D6">
      <w:pPr>
        <w:spacing w:line="300" w:lineRule="atLeast"/>
        <w:jc w:val="both"/>
        <w:rPr>
          <w:szCs w:val="18"/>
        </w:rPr>
      </w:pPr>
      <w:r w:rsidRPr="00456C7E">
        <w:rPr>
          <w:szCs w:val="18"/>
        </w:rPr>
        <w:t xml:space="preserve">Using New Zealand’s placer gold production figures, that is gold produced from </w:t>
      </w:r>
      <w:r w:rsidR="00880597">
        <w:rPr>
          <w:szCs w:val="18"/>
        </w:rPr>
        <w:t xml:space="preserve">stream bed deposits, sands and gravels </w:t>
      </w:r>
      <w:r w:rsidRPr="00456C7E">
        <w:rPr>
          <w:szCs w:val="18"/>
        </w:rPr>
        <w:t>and some assumptions regarding mercury application rates and losses</w:t>
      </w:r>
      <w:r w:rsidR="007D5A44">
        <w:rPr>
          <w:szCs w:val="18"/>
        </w:rPr>
        <w:t xml:space="preserve">, </w:t>
      </w:r>
      <w:r w:rsidRPr="00456C7E">
        <w:rPr>
          <w:szCs w:val="18"/>
        </w:rPr>
        <w:t>it is possible to derive an approximate estimate of mercury lost to the environment from amalgamation pr</w:t>
      </w:r>
      <w:r w:rsidR="00765220" w:rsidRPr="00456C7E">
        <w:rPr>
          <w:szCs w:val="18"/>
        </w:rPr>
        <w:t>actices in New Zealand.</w:t>
      </w:r>
    </w:p>
    <w:p w14:paraId="20838BA6" w14:textId="085949DB" w:rsidR="00765220" w:rsidRPr="00456C7E" w:rsidRDefault="00765220" w:rsidP="003833D6">
      <w:pPr>
        <w:spacing w:line="300" w:lineRule="atLeast"/>
        <w:jc w:val="both"/>
        <w:rPr>
          <w:szCs w:val="18"/>
        </w:rPr>
      </w:pPr>
      <w:r w:rsidRPr="00456C7E">
        <w:rPr>
          <w:szCs w:val="18"/>
        </w:rPr>
        <w:t>A total of 1064 kg of placer gold was produced in New Zealand in 2024 (NZPAM, 2025). If we assume 25% of this quantity underwent mercury amalgamation and that mercury was applied at a ratio of 1.5 mercury to gold on a weight per weight basis</w:t>
      </w:r>
      <w:r w:rsidR="0039512F" w:rsidRPr="00456C7E">
        <w:rPr>
          <w:szCs w:val="18"/>
        </w:rPr>
        <w:t xml:space="preserve"> (Craw, D and Palmer, M, 2025)</w:t>
      </w:r>
      <w:r w:rsidRPr="00456C7E">
        <w:rPr>
          <w:szCs w:val="18"/>
        </w:rPr>
        <w:t xml:space="preserve">, this would mean a total of 399 kg mercury was used annually. Further if we assume that between 5 and 10% of the mercury was lost, either in physical handling, remaining on gold particles or to evaporation during retorting this would mean that losses of mercury were between 20 and 40 </w:t>
      </w:r>
      <w:r w:rsidR="0039512F" w:rsidRPr="00456C7E">
        <w:rPr>
          <w:szCs w:val="18"/>
        </w:rPr>
        <w:t>kg for 2024.</w:t>
      </w:r>
      <w:r w:rsidRPr="00456C7E">
        <w:rPr>
          <w:szCs w:val="18"/>
        </w:rPr>
        <w:t xml:space="preserve"> </w:t>
      </w:r>
    </w:p>
    <w:p w14:paraId="5830D82E" w14:textId="173149F1" w:rsidR="0038126D" w:rsidRPr="00A54B87" w:rsidRDefault="0039512F" w:rsidP="003833D6">
      <w:pPr>
        <w:spacing w:line="300" w:lineRule="atLeast"/>
        <w:jc w:val="both"/>
        <w:rPr>
          <w:szCs w:val="18"/>
        </w:rPr>
      </w:pPr>
      <w:r w:rsidRPr="00456C7E">
        <w:rPr>
          <w:szCs w:val="18"/>
        </w:rPr>
        <w:t xml:space="preserve">Applying this range to the </w:t>
      </w:r>
      <w:r w:rsidR="00675730" w:rsidRPr="00A54B87">
        <w:rPr>
          <w:szCs w:val="18"/>
        </w:rPr>
        <w:t xml:space="preserve">Toolkit distribution factors for ‘extraction from ore concentrate with use of retorts and recycling’ which </w:t>
      </w:r>
      <w:r w:rsidR="00A302A8" w:rsidRPr="00456C7E">
        <w:rPr>
          <w:szCs w:val="18"/>
        </w:rPr>
        <w:t>specifies</w:t>
      </w:r>
      <w:r w:rsidR="00675730" w:rsidRPr="00A54B87">
        <w:rPr>
          <w:szCs w:val="18"/>
        </w:rPr>
        <w:t xml:space="preserve"> that 20% of the mercury will ultimately be discharged to air, and 40% each to water and to land</w:t>
      </w:r>
      <w:r w:rsidRPr="00456C7E">
        <w:rPr>
          <w:szCs w:val="18"/>
        </w:rPr>
        <w:t xml:space="preserve"> gives rise to the amounts shown in Table 4-2.</w:t>
      </w:r>
    </w:p>
    <w:p w14:paraId="64E25246" w14:textId="21ED5C08" w:rsidR="00C44EAF" w:rsidRPr="00A54B87" w:rsidRDefault="00675730" w:rsidP="003833D6">
      <w:pPr>
        <w:spacing w:line="300" w:lineRule="atLeast"/>
        <w:jc w:val="both"/>
        <w:rPr>
          <w:szCs w:val="18"/>
        </w:rPr>
      </w:pPr>
      <w:r w:rsidRPr="00A54B87">
        <w:rPr>
          <w:szCs w:val="18"/>
        </w:rPr>
        <w:t xml:space="preserve">The mercury input and output calculations for </w:t>
      </w:r>
      <w:r w:rsidR="00ED6A25" w:rsidRPr="00A54B87">
        <w:rPr>
          <w:szCs w:val="18"/>
        </w:rPr>
        <w:t>gold and silver production using mercury</w:t>
      </w:r>
      <w:r w:rsidRPr="00A54B87">
        <w:rPr>
          <w:szCs w:val="18"/>
        </w:rPr>
        <w:t xml:space="preserve"> are shown in </w:t>
      </w:r>
      <w:r w:rsidR="0003246F" w:rsidRPr="00A54B87">
        <w:rPr>
          <w:szCs w:val="18"/>
        </w:rPr>
        <w:fldChar w:fldCharType="begin"/>
      </w:r>
      <w:r w:rsidR="0003246F" w:rsidRPr="00A54B87">
        <w:rPr>
          <w:szCs w:val="18"/>
        </w:rPr>
        <w:instrText xml:space="preserve"> REF _Ref358384908 \h </w:instrText>
      </w:r>
      <w:r w:rsidR="00B926AD" w:rsidRPr="00A54B87">
        <w:rPr>
          <w:szCs w:val="18"/>
        </w:rPr>
        <w:instrText xml:space="preserve"> \* MERGEFORMAT </w:instrText>
      </w:r>
      <w:r w:rsidR="0003246F" w:rsidRPr="00A54B87">
        <w:rPr>
          <w:szCs w:val="18"/>
        </w:rPr>
      </w:r>
      <w:r w:rsidR="0003246F" w:rsidRPr="00A54B87">
        <w:rPr>
          <w:szCs w:val="18"/>
        </w:rPr>
        <w:fldChar w:fldCharType="separate"/>
      </w:r>
      <w:r w:rsidR="00892B2D" w:rsidRPr="00892B2D">
        <w:t xml:space="preserve">Table </w:t>
      </w:r>
      <w:r w:rsidR="00892B2D" w:rsidRPr="00892B2D">
        <w:rPr>
          <w:noProof/>
        </w:rPr>
        <w:t>4</w:t>
      </w:r>
      <w:r w:rsidR="00892B2D" w:rsidRPr="00892B2D">
        <w:rPr>
          <w:noProof/>
        </w:rPr>
        <w:noBreakHyphen/>
        <w:t>2</w:t>
      </w:r>
      <w:r w:rsidR="0003246F" w:rsidRPr="00A54B87">
        <w:rPr>
          <w:szCs w:val="18"/>
        </w:rPr>
        <w:fldChar w:fldCharType="end"/>
      </w:r>
      <w:r w:rsidR="00ED6A25" w:rsidRPr="00A54B87">
        <w:rPr>
          <w:szCs w:val="18"/>
        </w:rPr>
        <w:t>.</w:t>
      </w:r>
    </w:p>
    <w:p w14:paraId="597B210B" w14:textId="61E6ABCB" w:rsidR="00675730" w:rsidRPr="00A54B87" w:rsidRDefault="0003246F" w:rsidP="0003246F">
      <w:pPr>
        <w:pStyle w:val="Caption"/>
        <w:spacing w:before="240"/>
        <w:rPr>
          <w:szCs w:val="18"/>
        </w:rPr>
      </w:pPr>
      <w:bookmarkStart w:id="54" w:name="_Ref358384908"/>
      <w:bookmarkStart w:id="55" w:name="_Toc110355468"/>
      <w:r w:rsidRPr="00A54B87">
        <w:rPr>
          <w:rFonts w:ascii="Arial" w:hAnsi="Arial" w:cs="Arial"/>
        </w:rPr>
        <w:t xml:space="preserve">Table </w:t>
      </w:r>
      <w:r w:rsidR="00390C9F" w:rsidRPr="00A54B87">
        <w:rPr>
          <w:rFonts w:ascii="Arial" w:hAnsi="Arial" w:cs="Arial"/>
        </w:rPr>
        <w:fldChar w:fldCharType="begin"/>
      </w:r>
      <w:r w:rsidR="00390C9F" w:rsidRPr="00A54B87">
        <w:rPr>
          <w:rFonts w:ascii="Arial" w:hAnsi="Arial" w:cs="Arial"/>
        </w:rPr>
        <w:instrText xml:space="preserve"> STYLEREF 1 \s </w:instrText>
      </w:r>
      <w:r w:rsidR="00390C9F" w:rsidRPr="00A54B87">
        <w:rPr>
          <w:rFonts w:ascii="Arial" w:hAnsi="Arial" w:cs="Arial"/>
        </w:rPr>
        <w:fldChar w:fldCharType="separate"/>
      </w:r>
      <w:r w:rsidR="00892B2D">
        <w:rPr>
          <w:rFonts w:ascii="Arial" w:hAnsi="Arial" w:cs="Arial"/>
          <w:noProof/>
        </w:rPr>
        <w:t>4</w:t>
      </w:r>
      <w:r w:rsidR="00390C9F" w:rsidRPr="00A54B87">
        <w:rPr>
          <w:rFonts w:ascii="Arial" w:hAnsi="Arial" w:cs="Arial"/>
        </w:rPr>
        <w:fldChar w:fldCharType="end"/>
      </w:r>
      <w:r w:rsidR="00390C9F" w:rsidRPr="00A54B87">
        <w:rPr>
          <w:rFonts w:ascii="Arial" w:hAnsi="Arial" w:cs="Arial"/>
        </w:rPr>
        <w:noBreakHyphen/>
      </w:r>
      <w:r w:rsidR="00390C9F" w:rsidRPr="00A54B87">
        <w:rPr>
          <w:rFonts w:ascii="Arial" w:hAnsi="Arial" w:cs="Arial"/>
        </w:rPr>
        <w:fldChar w:fldCharType="begin"/>
      </w:r>
      <w:r w:rsidR="00390C9F" w:rsidRPr="00A54B87">
        <w:rPr>
          <w:rFonts w:ascii="Arial" w:hAnsi="Arial" w:cs="Arial"/>
        </w:rPr>
        <w:instrText xml:space="preserve"> SEQ Table \* ARABIC \s 1 </w:instrText>
      </w:r>
      <w:r w:rsidR="00390C9F" w:rsidRPr="00A54B87">
        <w:rPr>
          <w:rFonts w:ascii="Arial" w:hAnsi="Arial" w:cs="Arial"/>
        </w:rPr>
        <w:fldChar w:fldCharType="separate"/>
      </w:r>
      <w:r w:rsidR="00892B2D">
        <w:rPr>
          <w:rFonts w:ascii="Arial" w:hAnsi="Arial" w:cs="Arial"/>
          <w:noProof/>
        </w:rPr>
        <w:t>2</w:t>
      </w:r>
      <w:r w:rsidR="00390C9F" w:rsidRPr="00A54B87">
        <w:rPr>
          <w:rFonts w:ascii="Arial" w:hAnsi="Arial" w:cs="Arial"/>
        </w:rPr>
        <w:fldChar w:fldCharType="end"/>
      </w:r>
      <w:bookmarkEnd w:id="54"/>
      <w:r w:rsidRPr="00A54B87">
        <w:rPr>
          <w:rFonts w:ascii="Arial" w:hAnsi="Arial" w:cs="Arial"/>
        </w:rPr>
        <w:t>:</w:t>
      </w:r>
      <w:r w:rsidRPr="00A54B87">
        <w:t xml:space="preserve"> </w:t>
      </w:r>
      <w:r w:rsidR="00183044" w:rsidRPr="00A54B87">
        <w:t xml:space="preserve"> </w:t>
      </w:r>
      <w:r w:rsidRPr="00A54B87">
        <w:rPr>
          <w:rFonts w:ascii="Arial" w:hAnsi="Arial" w:cs="Arial"/>
        </w:rPr>
        <w:t>Input and output estimates for gold and silver production using mercury</w:t>
      </w:r>
      <w:bookmarkEnd w:id="55"/>
    </w:p>
    <w:tbl>
      <w:tblPr>
        <w:tblStyle w:val="TableGrid"/>
        <w:tblW w:w="0" w:type="auto"/>
        <w:tblLook w:val="04A0" w:firstRow="1" w:lastRow="0" w:firstColumn="1" w:lastColumn="0" w:noHBand="0" w:noVBand="1"/>
      </w:tblPr>
      <w:tblGrid>
        <w:gridCol w:w="2453"/>
        <w:gridCol w:w="1532"/>
        <w:gridCol w:w="1772"/>
        <w:gridCol w:w="1653"/>
        <w:gridCol w:w="1651"/>
      </w:tblGrid>
      <w:tr w:rsidR="00CE3E59" w:rsidRPr="00A54B87" w14:paraId="677AB4EC" w14:textId="77777777" w:rsidTr="00C21F75">
        <w:tc>
          <w:tcPr>
            <w:tcW w:w="2518" w:type="dxa"/>
            <w:vMerge w:val="restart"/>
            <w:vAlign w:val="center"/>
          </w:tcPr>
          <w:p w14:paraId="63AF8620" w14:textId="77777777" w:rsidR="00CE3E59" w:rsidRPr="00A54B87" w:rsidRDefault="00CE3E59" w:rsidP="00C21F75">
            <w:pPr>
              <w:spacing w:line="300" w:lineRule="atLeast"/>
              <w:jc w:val="center"/>
              <w:rPr>
                <w:rFonts w:ascii="Arial" w:hAnsi="Arial" w:cs="Arial"/>
                <w:b/>
                <w:sz w:val="16"/>
                <w:szCs w:val="16"/>
              </w:rPr>
            </w:pPr>
            <w:r w:rsidRPr="00A54B87">
              <w:rPr>
                <w:rFonts w:ascii="Arial" w:hAnsi="Arial" w:cs="Arial"/>
                <w:b/>
                <w:sz w:val="16"/>
                <w:szCs w:val="16"/>
              </w:rPr>
              <w:t>Source</w:t>
            </w:r>
          </w:p>
        </w:tc>
        <w:tc>
          <w:tcPr>
            <w:tcW w:w="1559" w:type="dxa"/>
            <w:vMerge w:val="restart"/>
            <w:vAlign w:val="center"/>
          </w:tcPr>
          <w:p w14:paraId="5FB95F60" w14:textId="77777777" w:rsidR="00CE3E59" w:rsidRPr="00A54B87" w:rsidRDefault="00CE3E59" w:rsidP="00C21F75">
            <w:pPr>
              <w:spacing w:line="300" w:lineRule="atLeast"/>
              <w:jc w:val="center"/>
              <w:rPr>
                <w:rFonts w:ascii="Arial" w:hAnsi="Arial" w:cs="Arial"/>
                <w:b/>
                <w:sz w:val="16"/>
                <w:szCs w:val="16"/>
              </w:rPr>
            </w:pPr>
            <w:r w:rsidRPr="00A54B87">
              <w:rPr>
                <w:rFonts w:ascii="Arial" w:hAnsi="Arial" w:cs="Arial"/>
                <w:b/>
                <w:sz w:val="16"/>
                <w:szCs w:val="16"/>
              </w:rPr>
              <w:t>Annual Mercury Inputs, kg/yr</w:t>
            </w:r>
          </w:p>
        </w:tc>
        <w:tc>
          <w:tcPr>
            <w:tcW w:w="5210" w:type="dxa"/>
            <w:gridSpan w:val="3"/>
            <w:vAlign w:val="center"/>
          </w:tcPr>
          <w:p w14:paraId="658CD956" w14:textId="77777777" w:rsidR="00CE3E59" w:rsidRPr="00A54B87" w:rsidRDefault="00CE3E59" w:rsidP="00C21F75">
            <w:pPr>
              <w:spacing w:line="300" w:lineRule="atLeast"/>
              <w:jc w:val="center"/>
              <w:rPr>
                <w:rFonts w:ascii="Arial" w:hAnsi="Arial" w:cs="Arial"/>
                <w:b/>
                <w:sz w:val="16"/>
                <w:szCs w:val="16"/>
              </w:rPr>
            </w:pPr>
            <w:r w:rsidRPr="00A54B87">
              <w:rPr>
                <w:rFonts w:ascii="Arial" w:hAnsi="Arial" w:cs="Arial"/>
                <w:b/>
                <w:sz w:val="16"/>
                <w:szCs w:val="16"/>
              </w:rPr>
              <w:t>Annual Mercury Outputs, kg/yr</w:t>
            </w:r>
          </w:p>
        </w:tc>
      </w:tr>
      <w:tr w:rsidR="00CE3E59" w:rsidRPr="00A54B87" w14:paraId="0F16641F" w14:textId="77777777" w:rsidTr="00CE3E59">
        <w:tc>
          <w:tcPr>
            <w:tcW w:w="2518" w:type="dxa"/>
            <w:vMerge/>
            <w:vAlign w:val="center"/>
          </w:tcPr>
          <w:p w14:paraId="697BA529" w14:textId="77777777" w:rsidR="00CE3E59" w:rsidRPr="00A54B87" w:rsidRDefault="00CE3E59" w:rsidP="00C21F75">
            <w:pPr>
              <w:spacing w:line="300" w:lineRule="atLeast"/>
              <w:jc w:val="center"/>
              <w:rPr>
                <w:rFonts w:ascii="Arial" w:hAnsi="Arial" w:cs="Arial"/>
                <w:b/>
                <w:sz w:val="16"/>
                <w:szCs w:val="16"/>
              </w:rPr>
            </w:pPr>
          </w:p>
        </w:tc>
        <w:tc>
          <w:tcPr>
            <w:tcW w:w="1559" w:type="dxa"/>
            <w:vMerge/>
            <w:vAlign w:val="center"/>
          </w:tcPr>
          <w:p w14:paraId="477C1785" w14:textId="77777777" w:rsidR="00CE3E59" w:rsidRPr="00A54B87" w:rsidRDefault="00CE3E59" w:rsidP="00C21F75">
            <w:pPr>
              <w:spacing w:line="300" w:lineRule="atLeast"/>
              <w:jc w:val="center"/>
              <w:rPr>
                <w:rFonts w:ascii="Arial" w:hAnsi="Arial" w:cs="Arial"/>
                <w:b/>
                <w:sz w:val="16"/>
                <w:szCs w:val="16"/>
              </w:rPr>
            </w:pPr>
          </w:p>
        </w:tc>
        <w:tc>
          <w:tcPr>
            <w:tcW w:w="1825" w:type="dxa"/>
            <w:vAlign w:val="center"/>
          </w:tcPr>
          <w:p w14:paraId="7E9F2C4B" w14:textId="77777777" w:rsidR="00CE3E59" w:rsidRPr="00A54B87" w:rsidRDefault="00CE3E59" w:rsidP="00C21F75">
            <w:pPr>
              <w:spacing w:line="300" w:lineRule="atLeast"/>
              <w:jc w:val="center"/>
              <w:rPr>
                <w:rFonts w:ascii="Arial" w:hAnsi="Arial" w:cs="Arial"/>
                <w:b/>
                <w:sz w:val="16"/>
                <w:szCs w:val="16"/>
              </w:rPr>
            </w:pPr>
            <w:r w:rsidRPr="00A54B87">
              <w:rPr>
                <w:rFonts w:ascii="Arial" w:hAnsi="Arial" w:cs="Arial"/>
                <w:b/>
                <w:sz w:val="16"/>
                <w:szCs w:val="16"/>
              </w:rPr>
              <w:t>Air</w:t>
            </w:r>
          </w:p>
        </w:tc>
        <w:tc>
          <w:tcPr>
            <w:tcW w:w="1692" w:type="dxa"/>
            <w:vAlign w:val="center"/>
          </w:tcPr>
          <w:p w14:paraId="3B73376D" w14:textId="77777777" w:rsidR="00CE3E59" w:rsidRPr="00A54B87" w:rsidRDefault="00CE3E59" w:rsidP="00C21F75">
            <w:pPr>
              <w:spacing w:line="300" w:lineRule="atLeast"/>
              <w:jc w:val="center"/>
              <w:rPr>
                <w:rFonts w:ascii="Arial" w:hAnsi="Arial" w:cs="Arial"/>
                <w:b/>
                <w:sz w:val="16"/>
                <w:szCs w:val="16"/>
              </w:rPr>
            </w:pPr>
            <w:r w:rsidRPr="00A54B87">
              <w:rPr>
                <w:rFonts w:ascii="Arial" w:hAnsi="Arial" w:cs="Arial"/>
                <w:b/>
                <w:sz w:val="16"/>
                <w:szCs w:val="16"/>
              </w:rPr>
              <w:t>Water</w:t>
            </w:r>
          </w:p>
        </w:tc>
        <w:tc>
          <w:tcPr>
            <w:tcW w:w="1693" w:type="dxa"/>
            <w:vAlign w:val="center"/>
          </w:tcPr>
          <w:p w14:paraId="4E2225F1" w14:textId="77777777" w:rsidR="00CE3E59" w:rsidRPr="00A54B87" w:rsidRDefault="00CE3E59" w:rsidP="00C21F75">
            <w:pPr>
              <w:spacing w:line="300" w:lineRule="atLeast"/>
              <w:jc w:val="center"/>
              <w:rPr>
                <w:rFonts w:ascii="Arial" w:hAnsi="Arial" w:cs="Arial"/>
                <w:b/>
                <w:sz w:val="16"/>
                <w:szCs w:val="16"/>
              </w:rPr>
            </w:pPr>
            <w:r w:rsidRPr="00A54B87">
              <w:rPr>
                <w:rFonts w:ascii="Arial" w:hAnsi="Arial" w:cs="Arial"/>
                <w:b/>
                <w:sz w:val="16"/>
                <w:szCs w:val="16"/>
              </w:rPr>
              <w:t>Land</w:t>
            </w:r>
          </w:p>
        </w:tc>
      </w:tr>
      <w:tr w:rsidR="00CE3E59" w:rsidRPr="00A54B87" w14:paraId="619C2981" w14:textId="77777777" w:rsidTr="00CE3E59">
        <w:tc>
          <w:tcPr>
            <w:tcW w:w="2518" w:type="dxa"/>
          </w:tcPr>
          <w:p w14:paraId="690BBD5F" w14:textId="77777777" w:rsidR="00CE3E59" w:rsidRPr="00A54B87" w:rsidRDefault="00CE3E59" w:rsidP="00C21F75">
            <w:pPr>
              <w:spacing w:line="300" w:lineRule="atLeast"/>
              <w:jc w:val="both"/>
              <w:rPr>
                <w:rFonts w:ascii="Arial" w:hAnsi="Arial" w:cs="Arial"/>
                <w:sz w:val="16"/>
                <w:szCs w:val="16"/>
              </w:rPr>
            </w:pPr>
            <w:r w:rsidRPr="00A54B87">
              <w:rPr>
                <w:rFonts w:ascii="Arial" w:hAnsi="Arial" w:cs="Arial"/>
                <w:sz w:val="16"/>
                <w:szCs w:val="16"/>
              </w:rPr>
              <w:t>Gold &amp; silver, with mercury</w:t>
            </w:r>
          </w:p>
        </w:tc>
        <w:tc>
          <w:tcPr>
            <w:tcW w:w="1559" w:type="dxa"/>
            <w:vAlign w:val="center"/>
          </w:tcPr>
          <w:p w14:paraId="026CC3A0" w14:textId="6C64E1FD" w:rsidR="00CE3E59" w:rsidRPr="00A54B87" w:rsidRDefault="00A302A8" w:rsidP="00CE3E59">
            <w:pPr>
              <w:spacing w:line="300" w:lineRule="atLeast"/>
              <w:jc w:val="center"/>
              <w:rPr>
                <w:rFonts w:ascii="Arial" w:hAnsi="Arial" w:cs="Arial"/>
                <w:sz w:val="16"/>
                <w:szCs w:val="16"/>
              </w:rPr>
            </w:pPr>
            <w:r w:rsidRPr="000B1B79">
              <w:rPr>
                <w:rFonts w:ascii="Arial" w:hAnsi="Arial" w:cs="Arial"/>
                <w:sz w:val="16"/>
                <w:szCs w:val="16"/>
              </w:rPr>
              <w:t xml:space="preserve">20 – 40 (30) </w:t>
            </w:r>
          </w:p>
        </w:tc>
        <w:tc>
          <w:tcPr>
            <w:tcW w:w="1825" w:type="dxa"/>
            <w:vAlign w:val="center"/>
          </w:tcPr>
          <w:p w14:paraId="219989FF" w14:textId="7B0A36D6" w:rsidR="00CE3E59" w:rsidRPr="00A54B87" w:rsidRDefault="00CE3E59" w:rsidP="00C21F75">
            <w:pPr>
              <w:spacing w:line="300" w:lineRule="atLeast"/>
              <w:jc w:val="center"/>
              <w:rPr>
                <w:rFonts w:ascii="Arial" w:hAnsi="Arial" w:cs="Arial"/>
                <w:sz w:val="16"/>
                <w:szCs w:val="16"/>
              </w:rPr>
            </w:pPr>
            <w:r w:rsidRPr="00A54B87">
              <w:rPr>
                <w:rFonts w:ascii="Arial" w:hAnsi="Arial" w:cs="Arial"/>
                <w:sz w:val="16"/>
                <w:szCs w:val="16"/>
              </w:rPr>
              <w:t>4</w:t>
            </w:r>
            <w:r w:rsidR="00A302A8" w:rsidRPr="000B1B79">
              <w:rPr>
                <w:rFonts w:ascii="Arial" w:hAnsi="Arial" w:cs="Arial"/>
                <w:sz w:val="16"/>
                <w:szCs w:val="16"/>
              </w:rPr>
              <w:t xml:space="preserve"> - 8 (6)</w:t>
            </w:r>
          </w:p>
        </w:tc>
        <w:tc>
          <w:tcPr>
            <w:tcW w:w="1692" w:type="dxa"/>
            <w:vAlign w:val="center"/>
          </w:tcPr>
          <w:p w14:paraId="1A4FD050" w14:textId="578AC16A" w:rsidR="00CE3E59" w:rsidRPr="00A54B87" w:rsidRDefault="00CE3E59" w:rsidP="00C21F75">
            <w:pPr>
              <w:spacing w:line="300" w:lineRule="atLeast"/>
              <w:jc w:val="center"/>
              <w:rPr>
                <w:rFonts w:ascii="Arial" w:hAnsi="Arial" w:cs="Arial"/>
                <w:sz w:val="16"/>
                <w:szCs w:val="16"/>
              </w:rPr>
            </w:pPr>
            <w:r w:rsidRPr="00A54B87">
              <w:rPr>
                <w:rFonts w:ascii="Arial" w:hAnsi="Arial" w:cs="Arial"/>
                <w:sz w:val="16"/>
                <w:szCs w:val="16"/>
              </w:rPr>
              <w:t>8</w:t>
            </w:r>
            <w:r w:rsidR="00A302A8" w:rsidRPr="000B1B79">
              <w:rPr>
                <w:rFonts w:ascii="Arial" w:hAnsi="Arial" w:cs="Arial"/>
                <w:sz w:val="16"/>
                <w:szCs w:val="16"/>
              </w:rPr>
              <w:t xml:space="preserve"> – 16 (12)</w:t>
            </w:r>
          </w:p>
        </w:tc>
        <w:tc>
          <w:tcPr>
            <w:tcW w:w="1693" w:type="dxa"/>
            <w:vAlign w:val="center"/>
          </w:tcPr>
          <w:p w14:paraId="02F73AEC" w14:textId="0692823C" w:rsidR="00CE3E59" w:rsidRPr="00A54B87" w:rsidRDefault="00CE3E59" w:rsidP="00C21F75">
            <w:pPr>
              <w:spacing w:line="300" w:lineRule="atLeast"/>
              <w:jc w:val="center"/>
              <w:rPr>
                <w:rFonts w:ascii="Arial" w:hAnsi="Arial" w:cs="Arial"/>
                <w:sz w:val="16"/>
                <w:szCs w:val="16"/>
              </w:rPr>
            </w:pPr>
            <w:r w:rsidRPr="00A54B87">
              <w:rPr>
                <w:rFonts w:ascii="Arial" w:hAnsi="Arial" w:cs="Arial"/>
                <w:sz w:val="16"/>
                <w:szCs w:val="16"/>
              </w:rPr>
              <w:t>8</w:t>
            </w:r>
            <w:r w:rsidR="00A302A8" w:rsidRPr="000B1B79">
              <w:rPr>
                <w:rFonts w:ascii="Arial" w:hAnsi="Arial" w:cs="Arial"/>
                <w:sz w:val="16"/>
                <w:szCs w:val="16"/>
              </w:rPr>
              <w:t xml:space="preserve"> – 16 (12)</w:t>
            </w:r>
          </w:p>
        </w:tc>
      </w:tr>
    </w:tbl>
    <w:p w14:paraId="3EF1156E" w14:textId="77777777" w:rsidR="00CE3E59" w:rsidRPr="00A54B87" w:rsidRDefault="00CE3E59" w:rsidP="00CE3E59">
      <w:pPr>
        <w:spacing w:before="240" w:line="300" w:lineRule="atLeast"/>
        <w:jc w:val="both"/>
        <w:rPr>
          <w:rFonts w:ascii="Arial" w:hAnsi="Arial" w:cs="Arial"/>
          <w:b/>
          <w:szCs w:val="18"/>
        </w:rPr>
      </w:pPr>
      <w:r w:rsidRPr="00A54B87">
        <w:rPr>
          <w:rFonts w:ascii="Arial" w:hAnsi="Arial" w:cs="Arial"/>
          <w:b/>
          <w:szCs w:val="18"/>
        </w:rPr>
        <w:t>Certainty assessment</w:t>
      </w:r>
    </w:p>
    <w:p w14:paraId="41CFE617" w14:textId="658464BC" w:rsidR="00CE3E59" w:rsidRPr="00A54B87" w:rsidRDefault="00CE3E59" w:rsidP="00CE3E59">
      <w:pPr>
        <w:tabs>
          <w:tab w:val="left" w:pos="1985"/>
        </w:tabs>
        <w:spacing w:line="300" w:lineRule="atLeast"/>
        <w:jc w:val="both"/>
        <w:rPr>
          <w:szCs w:val="18"/>
        </w:rPr>
      </w:pPr>
      <w:r w:rsidRPr="00A54B87">
        <w:rPr>
          <w:szCs w:val="18"/>
        </w:rPr>
        <w:t xml:space="preserve">Activity data: </w:t>
      </w:r>
      <w:r w:rsidRPr="00A54B87">
        <w:rPr>
          <w:szCs w:val="18"/>
        </w:rPr>
        <w:tab/>
      </w:r>
      <w:r w:rsidR="00A302A8" w:rsidRPr="000B1B79">
        <w:rPr>
          <w:szCs w:val="18"/>
        </w:rPr>
        <w:t>LOW</w:t>
      </w:r>
      <w:r w:rsidR="00ED6A25" w:rsidRPr="00A54B87">
        <w:rPr>
          <w:szCs w:val="18"/>
        </w:rPr>
        <w:t xml:space="preserve"> (because </w:t>
      </w:r>
      <w:r w:rsidR="00A302A8" w:rsidRPr="00456C7E">
        <w:rPr>
          <w:szCs w:val="18"/>
        </w:rPr>
        <w:t>amalgamation activity is based on an assumed proportion of total placer activity)</w:t>
      </w:r>
    </w:p>
    <w:p w14:paraId="5FBAE4FC" w14:textId="020E7049" w:rsidR="00CE3E59" w:rsidRPr="00A54B87" w:rsidRDefault="00CE3E59" w:rsidP="00CE3E59">
      <w:pPr>
        <w:tabs>
          <w:tab w:val="left" w:pos="1985"/>
        </w:tabs>
        <w:spacing w:line="300" w:lineRule="atLeast"/>
        <w:jc w:val="both"/>
        <w:rPr>
          <w:szCs w:val="18"/>
        </w:rPr>
      </w:pPr>
      <w:r w:rsidRPr="00A54B87">
        <w:rPr>
          <w:szCs w:val="18"/>
        </w:rPr>
        <w:t xml:space="preserve">Input estimates: </w:t>
      </w:r>
      <w:r w:rsidRPr="00A54B87">
        <w:rPr>
          <w:szCs w:val="18"/>
        </w:rPr>
        <w:tab/>
        <w:t xml:space="preserve">LOW (because </w:t>
      </w:r>
      <w:r w:rsidR="00A302A8" w:rsidRPr="000B1B79">
        <w:rPr>
          <w:szCs w:val="18"/>
        </w:rPr>
        <w:t>mercury losses are an assumed proportion of total mercury usage)</w:t>
      </w:r>
    </w:p>
    <w:p w14:paraId="1FEF6F37" w14:textId="77777777" w:rsidR="00CE3E59" w:rsidRPr="0014235A" w:rsidRDefault="00CE3E59" w:rsidP="00CE3E59">
      <w:pPr>
        <w:tabs>
          <w:tab w:val="left" w:pos="1985"/>
        </w:tabs>
        <w:spacing w:line="300" w:lineRule="atLeast"/>
        <w:jc w:val="both"/>
        <w:rPr>
          <w:szCs w:val="18"/>
        </w:rPr>
      </w:pPr>
      <w:r w:rsidRPr="00A54B87">
        <w:rPr>
          <w:szCs w:val="18"/>
        </w:rPr>
        <w:t xml:space="preserve">Output estimates: </w:t>
      </w:r>
      <w:r w:rsidRPr="00A54B87">
        <w:rPr>
          <w:szCs w:val="18"/>
        </w:rPr>
        <w:tab/>
        <w:t>LOW (because they are based on the default Toolkit output factors).</w:t>
      </w:r>
    </w:p>
    <w:p w14:paraId="3F8A5863" w14:textId="77777777" w:rsidR="00C44EAF" w:rsidRPr="000C3E63" w:rsidRDefault="00C44EAF" w:rsidP="00C44EAF">
      <w:pPr>
        <w:pStyle w:val="Heading2"/>
      </w:pPr>
      <w:bookmarkStart w:id="56" w:name="_Toc110355523"/>
      <w:r w:rsidRPr="000C3E63">
        <w:t>Gold and silver, not using mercury amalgamation</w:t>
      </w:r>
      <w:bookmarkEnd w:id="56"/>
    </w:p>
    <w:p w14:paraId="5B1F11C2" w14:textId="4101A1A1" w:rsidR="00A54B87" w:rsidRDefault="00BC61D1" w:rsidP="00BC61D1">
      <w:pPr>
        <w:spacing w:line="300" w:lineRule="atLeast"/>
        <w:jc w:val="both"/>
        <w:rPr>
          <w:szCs w:val="18"/>
        </w:rPr>
      </w:pPr>
      <w:r w:rsidRPr="000C3E63">
        <w:rPr>
          <w:szCs w:val="18"/>
        </w:rPr>
        <w:t>Oceana Gold Corporation operate major gold and silver mining operations at two locations in New Zealand. The M</w:t>
      </w:r>
      <w:r w:rsidR="00043C30">
        <w:rPr>
          <w:szCs w:val="18"/>
        </w:rPr>
        <w:t>a</w:t>
      </w:r>
      <w:r w:rsidRPr="000C3E63">
        <w:rPr>
          <w:szCs w:val="18"/>
        </w:rPr>
        <w:t>c</w:t>
      </w:r>
      <w:r w:rsidR="00043C30">
        <w:rPr>
          <w:szCs w:val="18"/>
        </w:rPr>
        <w:t>r</w:t>
      </w:r>
      <w:r w:rsidRPr="000C3E63">
        <w:rPr>
          <w:szCs w:val="18"/>
        </w:rPr>
        <w:t>aes Operations in Otago include the M</w:t>
      </w:r>
      <w:r w:rsidR="00043C30">
        <w:rPr>
          <w:szCs w:val="18"/>
        </w:rPr>
        <w:t>a</w:t>
      </w:r>
      <w:r w:rsidRPr="000C3E63">
        <w:rPr>
          <w:szCs w:val="18"/>
        </w:rPr>
        <w:t>c</w:t>
      </w:r>
      <w:r w:rsidR="00043C30">
        <w:rPr>
          <w:szCs w:val="18"/>
        </w:rPr>
        <w:t>r</w:t>
      </w:r>
      <w:r w:rsidRPr="000C3E63">
        <w:rPr>
          <w:szCs w:val="18"/>
        </w:rPr>
        <w:t xml:space="preserve">aes open pit gold mines and Frasers underground mine. The Waihi Gold Mine Operations in the Waikato include the Martha open pit and the Correnso underground gold mine. </w:t>
      </w:r>
      <w:r w:rsidR="00D91BD2">
        <w:rPr>
          <w:szCs w:val="18"/>
        </w:rPr>
        <w:t>These are regarded as hard rock mines where gold is extracted chemically from crushed ore as opposed to placer mines where gold in stream bed deposits, sands and gravels is recovered largely using water and gravity</w:t>
      </w:r>
      <w:r w:rsidR="00A54B87">
        <w:rPr>
          <w:szCs w:val="18"/>
        </w:rPr>
        <w:t xml:space="preserve"> but,</w:t>
      </w:r>
      <w:r w:rsidR="00576B08">
        <w:rPr>
          <w:szCs w:val="18"/>
        </w:rPr>
        <w:t xml:space="preserve"> </w:t>
      </w:r>
      <w:r w:rsidR="00A54B87">
        <w:rPr>
          <w:szCs w:val="18"/>
        </w:rPr>
        <w:t xml:space="preserve">as discussed in Section 4.2, may involve mercury amalgamation. </w:t>
      </w:r>
    </w:p>
    <w:p w14:paraId="396DABC7" w14:textId="1F56A0B9" w:rsidR="00BC61D1" w:rsidRPr="000C3E63" w:rsidRDefault="00292F6E" w:rsidP="00BC61D1">
      <w:pPr>
        <w:spacing w:line="300" w:lineRule="atLeast"/>
        <w:jc w:val="both"/>
        <w:rPr>
          <w:szCs w:val="18"/>
        </w:rPr>
      </w:pPr>
      <w:r>
        <w:rPr>
          <w:szCs w:val="18"/>
        </w:rPr>
        <w:t>The Oceana operations produced about 84% of New Zealand’s gold recovered in 2024. Of the remaining production a further 14% is attributed to placer mining on the West Coa</w:t>
      </w:r>
      <w:r w:rsidR="002A68E0">
        <w:rPr>
          <w:szCs w:val="18"/>
        </w:rPr>
        <w:t>s</w:t>
      </w:r>
      <w:r>
        <w:rPr>
          <w:szCs w:val="18"/>
        </w:rPr>
        <w:t xml:space="preserve">t </w:t>
      </w:r>
      <w:r w:rsidR="002A68E0">
        <w:rPr>
          <w:szCs w:val="18"/>
        </w:rPr>
        <w:t>with much smaller quantities mined at placer sites in Otago/Southland, Marlborough and Nelson/Tasman (NZPAM, 2025)</w:t>
      </w:r>
      <w:r w:rsidR="00D91BD2">
        <w:rPr>
          <w:szCs w:val="18"/>
        </w:rPr>
        <w:t>.</w:t>
      </w:r>
    </w:p>
    <w:p w14:paraId="7A9ACD8D" w14:textId="430BC8E1" w:rsidR="00530F92" w:rsidRPr="000C3E63" w:rsidRDefault="00BC61D1" w:rsidP="00BC61D1">
      <w:pPr>
        <w:spacing w:line="300" w:lineRule="atLeast"/>
        <w:jc w:val="both"/>
        <w:rPr>
          <w:szCs w:val="18"/>
        </w:rPr>
      </w:pPr>
      <w:r w:rsidRPr="000C3E63">
        <w:rPr>
          <w:szCs w:val="18"/>
        </w:rPr>
        <w:t xml:space="preserve">In </w:t>
      </w:r>
      <w:r w:rsidR="002A68E0" w:rsidRPr="00DA2ABB">
        <w:rPr>
          <w:szCs w:val="18"/>
        </w:rPr>
        <w:t>20</w:t>
      </w:r>
      <w:r w:rsidR="002A68E0">
        <w:rPr>
          <w:szCs w:val="18"/>
        </w:rPr>
        <w:t>24</w:t>
      </w:r>
      <w:r w:rsidR="002A68E0" w:rsidRPr="00DA2ABB">
        <w:rPr>
          <w:szCs w:val="18"/>
        </w:rPr>
        <w:t xml:space="preserve"> </w:t>
      </w:r>
      <w:r w:rsidR="00DA38A1">
        <w:rPr>
          <w:szCs w:val="18"/>
        </w:rPr>
        <w:t xml:space="preserve">125,000 ounces </w:t>
      </w:r>
      <w:r w:rsidRPr="000C3E63">
        <w:rPr>
          <w:szCs w:val="18"/>
        </w:rPr>
        <w:t xml:space="preserve">of gold and </w:t>
      </w:r>
      <w:r w:rsidR="00DA38A1">
        <w:rPr>
          <w:szCs w:val="18"/>
        </w:rPr>
        <w:t>4,000 ounces</w:t>
      </w:r>
      <w:r w:rsidR="00264AB4" w:rsidRPr="00351B54">
        <w:rPr>
          <w:szCs w:val="18"/>
        </w:rPr>
        <w:t xml:space="preserve"> </w:t>
      </w:r>
      <w:r w:rsidRPr="000C3E63">
        <w:rPr>
          <w:szCs w:val="18"/>
        </w:rPr>
        <w:t xml:space="preserve">of silver were produced from </w:t>
      </w:r>
      <w:r w:rsidR="002338E9" w:rsidRPr="000C3E63">
        <w:rPr>
          <w:szCs w:val="18"/>
        </w:rPr>
        <w:t xml:space="preserve">the </w:t>
      </w:r>
      <w:r w:rsidRPr="000C3E63">
        <w:rPr>
          <w:szCs w:val="18"/>
        </w:rPr>
        <w:t>M</w:t>
      </w:r>
      <w:r w:rsidR="00043C30">
        <w:rPr>
          <w:szCs w:val="18"/>
        </w:rPr>
        <w:t>a</w:t>
      </w:r>
      <w:r w:rsidRPr="000C3E63">
        <w:rPr>
          <w:szCs w:val="18"/>
        </w:rPr>
        <w:t>c</w:t>
      </w:r>
      <w:r w:rsidR="00043C30">
        <w:rPr>
          <w:szCs w:val="18"/>
        </w:rPr>
        <w:t>r</w:t>
      </w:r>
      <w:r w:rsidRPr="000C3E63">
        <w:rPr>
          <w:szCs w:val="18"/>
        </w:rPr>
        <w:t>aes</w:t>
      </w:r>
      <w:r w:rsidR="002338E9" w:rsidRPr="000C3E63">
        <w:rPr>
          <w:szCs w:val="18"/>
        </w:rPr>
        <w:t xml:space="preserve">’ operation, while </w:t>
      </w:r>
      <w:r w:rsidRPr="000C3E63">
        <w:rPr>
          <w:szCs w:val="18"/>
        </w:rPr>
        <w:t xml:space="preserve">Waihi produced </w:t>
      </w:r>
      <w:r w:rsidR="00DA38A1">
        <w:rPr>
          <w:szCs w:val="18"/>
        </w:rPr>
        <w:t>53,000 ounces</w:t>
      </w:r>
      <w:r w:rsidRPr="000C3E63">
        <w:rPr>
          <w:szCs w:val="18"/>
        </w:rPr>
        <w:t xml:space="preserve"> of gold</w:t>
      </w:r>
      <w:r w:rsidR="002338E9" w:rsidRPr="000C3E63">
        <w:rPr>
          <w:szCs w:val="18"/>
        </w:rPr>
        <w:t xml:space="preserve"> and </w:t>
      </w:r>
      <w:r w:rsidR="00DA38A1">
        <w:rPr>
          <w:szCs w:val="18"/>
        </w:rPr>
        <w:t>193,000 ounces</w:t>
      </w:r>
      <w:r w:rsidR="002A68E0" w:rsidRPr="000C3E63">
        <w:rPr>
          <w:szCs w:val="18"/>
        </w:rPr>
        <w:t xml:space="preserve"> </w:t>
      </w:r>
      <w:r w:rsidR="002338E9" w:rsidRPr="000C3E63">
        <w:rPr>
          <w:szCs w:val="18"/>
        </w:rPr>
        <w:t>of silver</w:t>
      </w:r>
      <w:r w:rsidR="00530F92">
        <w:rPr>
          <w:szCs w:val="18"/>
        </w:rPr>
        <w:t xml:space="preserve">. </w:t>
      </w:r>
    </w:p>
    <w:p w14:paraId="6DE20F2B" w14:textId="77FE5A5C" w:rsidR="00BC7F08" w:rsidRDefault="00BC61D1" w:rsidP="00BA506C">
      <w:pPr>
        <w:spacing w:line="300" w:lineRule="atLeast"/>
        <w:jc w:val="both"/>
        <w:rPr>
          <w:szCs w:val="18"/>
        </w:rPr>
      </w:pPr>
      <w:r w:rsidRPr="000C3E63">
        <w:rPr>
          <w:szCs w:val="18"/>
        </w:rPr>
        <w:t>In order to produce th</w:t>
      </w:r>
      <w:r w:rsidR="00F80181">
        <w:rPr>
          <w:szCs w:val="18"/>
        </w:rPr>
        <w:t xml:space="preserve">e quantities of </w:t>
      </w:r>
      <w:r w:rsidRPr="000C3E63">
        <w:rPr>
          <w:szCs w:val="18"/>
        </w:rPr>
        <w:t>gold and silver</w:t>
      </w:r>
      <w:r w:rsidR="00F80181">
        <w:rPr>
          <w:szCs w:val="18"/>
        </w:rPr>
        <w:t xml:space="preserve"> in </w:t>
      </w:r>
      <w:r w:rsidR="001F5407">
        <w:rPr>
          <w:szCs w:val="18"/>
        </w:rPr>
        <w:t>2024</w:t>
      </w:r>
      <w:r w:rsidR="00DA38A1">
        <w:rPr>
          <w:szCs w:val="18"/>
        </w:rPr>
        <w:t>,</w:t>
      </w:r>
      <w:r w:rsidR="001F5407" w:rsidRPr="000C3E63">
        <w:rPr>
          <w:szCs w:val="18"/>
        </w:rPr>
        <w:t xml:space="preserve"> </w:t>
      </w:r>
      <w:r w:rsidRPr="000C3E63">
        <w:rPr>
          <w:szCs w:val="18"/>
        </w:rPr>
        <w:t xml:space="preserve">a total of </w:t>
      </w:r>
      <w:r w:rsidR="00DA38A1">
        <w:rPr>
          <w:szCs w:val="18"/>
        </w:rPr>
        <w:t>559,988</w:t>
      </w:r>
      <w:r w:rsidRPr="000C3E63">
        <w:rPr>
          <w:szCs w:val="18"/>
        </w:rPr>
        <w:t xml:space="preserve"> tonnes of ore was processed at </w:t>
      </w:r>
      <w:r w:rsidR="00DA38A1">
        <w:rPr>
          <w:szCs w:val="18"/>
        </w:rPr>
        <w:t xml:space="preserve">the </w:t>
      </w:r>
      <w:r w:rsidRPr="000C3E63">
        <w:rPr>
          <w:szCs w:val="18"/>
        </w:rPr>
        <w:t>Waihi</w:t>
      </w:r>
      <w:r w:rsidR="00DA38A1">
        <w:rPr>
          <w:szCs w:val="18"/>
        </w:rPr>
        <w:t xml:space="preserve"> site. The average mercury concentration in Waihi ore for Martha samples from previous exploration results is 0.254 g/tonne </w:t>
      </w:r>
      <w:r w:rsidR="0052130B" w:rsidRPr="00DA2ABB">
        <w:rPr>
          <w:szCs w:val="18"/>
        </w:rPr>
        <w:t>(</w:t>
      </w:r>
      <w:r w:rsidR="001F5407">
        <w:rPr>
          <w:szCs w:val="18"/>
        </w:rPr>
        <w:t>M Burroughs</w:t>
      </w:r>
      <w:r w:rsidR="000C3E63">
        <w:rPr>
          <w:szCs w:val="18"/>
        </w:rPr>
        <w:t>, Oceana Gold, pers comm</w:t>
      </w:r>
      <w:r w:rsidR="00DA35DB">
        <w:rPr>
          <w:szCs w:val="18"/>
        </w:rPr>
        <w:t>, 2025</w:t>
      </w:r>
      <w:r w:rsidR="0052130B" w:rsidRPr="00DA2ABB">
        <w:rPr>
          <w:szCs w:val="18"/>
        </w:rPr>
        <w:t>)</w:t>
      </w:r>
      <w:r w:rsidR="00C330FE">
        <w:rPr>
          <w:szCs w:val="18"/>
        </w:rPr>
        <w:t>.</w:t>
      </w:r>
      <w:r w:rsidR="000C3E63">
        <w:rPr>
          <w:szCs w:val="18"/>
        </w:rPr>
        <w:t xml:space="preserve"> </w:t>
      </w:r>
    </w:p>
    <w:p w14:paraId="58B980F4" w14:textId="1F0BE458" w:rsidR="00840750" w:rsidRDefault="00B9135F" w:rsidP="00BA506C">
      <w:pPr>
        <w:spacing w:line="300" w:lineRule="atLeast"/>
        <w:jc w:val="both"/>
        <w:rPr>
          <w:szCs w:val="18"/>
        </w:rPr>
      </w:pPr>
      <w:r>
        <w:rPr>
          <w:szCs w:val="18"/>
        </w:rPr>
        <w:t>Mercury concentrations for M</w:t>
      </w:r>
      <w:r w:rsidR="00043C30">
        <w:rPr>
          <w:szCs w:val="18"/>
        </w:rPr>
        <w:t>a</w:t>
      </w:r>
      <w:r>
        <w:rPr>
          <w:szCs w:val="18"/>
        </w:rPr>
        <w:t>c</w:t>
      </w:r>
      <w:r w:rsidR="00043C30">
        <w:rPr>
          <w:szCs w:val="18"/>
        </w:rPr>
        <w:t>r</w:t>
      </w:r>
      <w:r>
        <w:rPr>
          <w:szCs w:val="18"/>
        </w:rPr>
        <w:t xml:space="preserve">aes ore are </w:t>
      </w:r>
      <w:r w:rsidR="0029639E">
        <w:rPr>
          <w:szCs w:val="18"/>
        </w:rPr>
        <w:t xml:space="preserve">inferred from analysis of iron in pyrite mineral </w:t>
      </w:r>
      <w:r>
        <w:rPr>
          <w:szCs w:val="18"/>
        </w:rPr>
        <w:t>after the ore has been crushed</w:t>
      </w:r>
      <w:r w:rsidR="00D2311F">
        <w:rPr>
          <w:szCs w:val="18"/>
        </w:rPr>
        <w:t xml:space="preserve">, </w:t>
      </w:r>
      <w:r>
        <w:rPr>
          <w:szCs w:val="18"/>
        </w:rPr>
        <w:t xml:space="preserve">ground and concentrated in a series of floatation cells. </w:t>
      </w:r>
      <w:r w:rsidR="0029639E">
        <w:rPr>
          <w:szCs w:val="18"/>
        </w:rPr>
        <w:t xml:space="preserve">This assumes a constant </w:t>
      </w:r>
      <w:r w:rsidR="00A41563">
        <w:rPr>
          <w:szCs w:val="18"/>
        </w:rPr>
        <w:t xml:space="preserve">gold to mercury ratio and gold to pyrite ratio in the pyrite mineral being separated by floatation. </w:t>
      </w:r>
      <w:r w:rsidR="004E51E5">
        <w:rPr>
          <w:szCs w:val="18"/>
        </w:rPr>
        <w:t>Because</w:t>
      </w:r>
      <w:r w:rsidR="00A41563">
        <w:rPr>
          <w:szCs w:val="18"/>
        </w:rPr>
        <w:t xml:space="preserve"> the mercury is amalgamated to the gold in pyrite</w:t>
      </w:r>
      <w:r w:rsidR="00F11373">
        <w:rPr>
          <w:szCs w:val="18"/>
        </w:rPr>
        <w:t>,</w:t>
      </w:r>
      <w:r w:rsidR="00A41563">
        <w:rPr>
          <w:szCs w:val="18"/>
        </w:rPr>
        <w:t xml:space="preserve"> it is tightly bound to the gold </w:t>
      </w:r>
      <w:r w:rsidR="00F11373">
        <w:rPr>
          <w:szCs w:val="18"/>
        </w:rPr>
        <w:t xml:space="preserve">and is not lost </w:t>
      </w:r>
      <w:r w:rsidR="00A41563">
        <w:rPr>
          <w:szCs w:val="18"/>
        </w:rPr>
        <w:t xml:space="preserve">in the concentration process. </w:t>
      </w:r>
      <w:r w:rsidR="00F11373">
        <w:rPr>
          <w:szCs w:val="18"/>
        </w:rPr>
        <w:t>Mercury also forms a stable complex with cyanide which is similarly absorbed to carbon in the so-called carbon-in-leach enrichment system. This means that mercury follows gold to the refining stage and it is only here that separation occurs</w:t>
      </w:r>
      <w:r w:rsidR="004E51E5">
        <w:rPr>
          <w:szCs w:val="18"/>
        </w:rPr>
        <w:t xml:space="preserve">. The separated mercury is collected and is sent off-site to a waste management company. </w:t>
      </w:r>
    </w:p>
    <w:p w14:paraId="6F164FD2" w14:textId="400BC1AB" w:rsidR="00BA506C" w:rsidRPr="000C3E63" w:rsidRDefault="00B9135F" w:rsidP="00BA506C">
      <w:pPr>
        <w:spacing w:line="300" w:lineRule="atLeast"/>
        <w:jc w:val="both"/>
        <w:rPr>
          <w:szCs w:val="18"/>
        </w:rPr>
      </w:pPr>
      <w:r>
        <w:rPr>
          <w:szCs w:val="18"/>
        </w:rPr>
        <w:t xml:space="preserve">The amount of concentrated ore processed in </w:t>
      </w:r>
      <w:r w:rsidR="00BC7F08">
        <w:rPr>
          <w:szCs w:val="18"/>
        </w:rPr>
        <w:t xml:space="preserve">2024 </w:t>
      </w:r>
      <w:r w:rsidR="00AD1162">
        <w:rPr>
          <w:szCs w:val="18"/>
        </w:rPr>
        <w:t>at M</w:t>
      </w:r>
      <w:r w:rsidR="00043C30">
        <w:rPr>
          <w:szCs w:val="18"/>
        </w:rPr>
        <w:t>a</w:t>
      </w:r>
      <w:r w:rsidR="00AD1162">
        <w:rPr>
          <w:szCs w:val="18"/>
        </w:rPr>
        <w:t>c</w:t>
      </w:r>
      <w:r w:rsidR="00043C30">
        <w:rPr>
          <w:szCs w:val="18"/>
        </w:rPr>
        <w:t>r</w:t>
      </w:r>
      <w:r w:rsidR="00AD1162">
        <w:rPr>
          <w:szCs w:val="18"/>
        </w:rPr>
        <w:t xml:space="preserve">aes </w:t>
      </w:r>
      <w:r>
        <w:rPr>
          <w:szCs w:val="18"/>
        </w:rPr>
        <w:t xml:space="preserve">was </w:t>
      </w:r>
      <w:r w:rsidR="00DA38A1">
        <w:rPr>
          <w:szCs w:val="18"/>
        </w:rPr>
        <w:t>111,676</w:t>
      </w:r>
      <w:r>
        <w:rPr>
          <w:szCs w:val="18"/>
        </w:rPr>
        <w:t xml:space="preserve"> tonnes </w:t>
      </w:r>
      <w:r w:rsidR="00530F92">
        <w:rPr>
          <w:szCs w:val="18"/>
        </w:rPr>
        <w:t xml:space="preserve">and the average </w:t>
      </w:r>
      <w:r w:rsidR="00840750">
        <w:rPr>
          <w:szCs w:val="18"/>
        </w:rPr>
        <w:t xml:space="preserve">derived </w:t>
      </w:r>
      <w:r w:rsidR="00BD0D46">
        <w:rPr>
          <w:szCs w:val="18"/>
        </w:rPr>
        <w:t xml:space="preserve">mercury </w:t>
      </w:r>
      <w:r w:rsidR="00530F92">
        <w:rPr>
          <w:szCs w:val="18"/>
        </w:rPr>
        <w:t>concentration</w:t>
      </w:r>
      <w:r w:rsidR="006F136B">
        <w:rPr>
          <w:szCs w:val="18"/>
        </w:rPr>
        <w:t xml:space="preserve"> for the concentrate</w:t>
      </w:r>
      <w:r w:rsidR="00530F92">
        <w:rPr>
          <w:szCs w:val="18"/>
        </w:rPr>
        <w:t xml:space="preserve"> was </w:t>
      </w:r>
      <w:r w:rsidR="00A5196C">
        <w:rPr>
          <w:szCs w:val="18"/>
        </w:rPr>
        <w:t>0.51</w:t>
      </w:r>
      <w:r w:rsidR="00530F92">
        <w:rPr>
          <w:szCs w:val="18"/>
        </w:rPr>
        <w:t xml:space="preserve"> g/tonne</w:t>
      </w:r>
      <w:r w:rsidR="000B5F2F">
        <w:rPr>
          <w:szCs w:val="18"/>
        </w:rPr>
        <w:t xml:space="preserve"> (</w:t>
      </w:r>
      <w:r w:rsidR="00C05903">
        <w:rPr>
          <w:szCs w:val="18"/>
        </w:rPr>
        <w:t>S. Rodger</w:t>
      </w:r>
      <w:r w:rsidR="000B5F2F">
        <w:rPr>
          <w:szCs w:val="18"/>
        </w:rPr>
        <w:t xml:space="preserve"> Oceana</w:t>
      </w:r>
      <w:r w:rsidR="00576B08">
        <w:rPr>
          <w:szCs w:val="18"/>
        </w:rPr>
        <w:t xml:space="preserve"> </w:t>
      </w:r>
      <w:r w:rsidR="000B5F2F">
        <w:rPr>
          <w:szCs w:val="18"/>
        </w:rPr>
        <w:t>Gold,</w:t>
      </w:r>
      <w:r w:rsidR="00C330FE">
        <w:rPr>
          <w:szCs w:val="18"/>
        </w:rPr>
        <w:t xml:space="preserve"> </w:t>
      </w:r>
      <w:r w:rsidR="000B5F2F">
        <w:rPr>
          <w:szCs w:val="18"/>
        </w:rPr>
        <w:t>pers comm</w:t>
      </w:r>
      <w:r w:rsidR="00DA35DB">
        <w:rPr>
          <w:szCs w:val="18"/>
        </w:rPr>
        <w:t>, 2025</w:t>
      </w:r>
      <w:r w:rsidR="000B5F2F">
        <w:rPr>
          <w:szCs w:val="18"/>
        </w:rPr>
        <w:t>)</w:t>
      </w:r>
      <w:r w:rsidR="00A5196C">
        <w:rPr>
          <w:szCs w:val="18"/>
        </w:rPr>
        <w:t>. The mercury concentration is about a fifth of the average concentration used for the 2020 inventory.</w:t>
      </w:r>
    </w:p>
    <w:p w14:paraId="316AC683" w14:textId="3F6144A1" w:rsidR="00C44EAF" w:rsidRPr="000C3E63" w:rsidRDefault="00BA506C" w:rsidP="003833D6">
      <w:pPr>
        <w:spacing w:line="300" w:lineRule="atLeast"/>
        <w:jc w:val="both"/>
        <w:rPr>
          <w:szCs w:val="18"/>
        </w:rPr>
      </w:pPr>
      <w:r w:rsidRPr="000C3E63">
        <w:rPr>
          <w:szCs w:val="18"/>
        </w:rPr>
        <w:t>The reported mercury concentrations in ore</w:t>
      </w:r>
      <w:r w:rsidR="000B5F2F">
        <w:rPr>
          <w:szCs w:val="18"/>
        </w:rPr>
        <w:t xml:space="preserve"> combined with ore quantities for </w:t>
      </w:r>
      <w:r w:rsidR="00BC7F08">
        <w:rPr>
          <w:szCs w:val="18"/>
        </w:rPr>
        <w:t>2024</w:t>
      </w:r>
      <w:r w:rsidR="00BC7F08" w:rsidRPr="000C3E63">
        <w:rPr>
          <w:szCs w:val="18"/>
        </w:rPr>
        <w:t xml:space="preserve"> </w:t>
      </w:r>
      <w:r w:rsidRPr="000C3E63">
        <w:rPr>
          <w:szCs w:val="18"/>
        </w:rPr>
        <w:t xml:space="preserve">have been used </w:t>
      </w:r>
      <w:r w:rsidR="00840750">
        <w:rPr>
          <w:szCs w:val="18"/>
        </w:rPr>
        <w:t>t</w:t>
      </w:r>
      <w:r w:rsidR="000B5F2F">
        <w:rPr>
          <w:szCs w:val="18"/>
        </w:rPr>
        <w:t>o generate mercury releases separately for the M</w:t>
      </w:r>
      <w:r w:rsidR="00043C30">
        <w:rPr>
          <w:szCs w:val="18"/>
        </w:rPr>
        <w:t>a</w:t>
      </w:r>
      <w:r w:rsidR="000B5F2F">
        <w:rPr>
          <w:szCs w:val="18"/>
        </w:rPr>
        <w:t>c</w:t>
      </w:r>
      <w:r w:rsidR="00043C30">
        <w:rPr>
          <w:szCs w:val="18"/>
        </w:rPr>
        <w:t>r</w:t>
      </w:r>
      <w:r w:rsidR="000B5F2F">
        <w:rPr>
          <w:szCs w:val="18"/>
        </w:rPr>
        <w:t>aes and Waihi operations</w:t>
      </w:r>
      <w:r w:rsidRPr="000C3E63">
        <w:rPr>
          <w:szCs w:val="18"/>
        </w:rPr>
        <w:t xml:space="preserve">. </w:t>
      </w:r>
      <w:r w:rsidR="007C7680">
        <w:rPr>
          <w:szCs w:val="18"/>
        </w:rPr>
        <w:t>T</w:t>
      </w:r>
      <w:r w:rsidR="00D01826" w:rsidRPr="000C3E63">
        <w:rPr>
          <w:szCs w:val="18"/>
        </w:rPr>
        <w:t>he Toolkit default factors for estimating</w:t>
      </w:r>
      <w:r w:rsidR="00DA35DB">
        <w:rPr>
          <w:szCs w:val="18"/>
        </w:rPr>
        <w:t xml:space="preserve"> the</w:t>
      </w:r>
      <w:r w:rsidR="00D01826" w:rsidRPr="000C3E63">
        <w:rPr>
          <w:szCs w:val="18"/>
        </w:rPr>
        <w:t xml:space="preserve"> </w:t>
      </w:r>
      <w:r w:rsidR="00215FA8" w:rsidRPr="000C3E63">
        <w:rPr>
          <w:szCs w:val="18"/>
        </w:rPr>
        <w:t xml:space="preserve">output </w:t>
      </w:r>
      <w:r w:rsidR="00D01826" w:rsidRPr="000C3E63">
        <w:rPr>
          <w:szCs w:val="18"/>
        </w:rPr>
        <w:t>distribution</w:t>
      </w:r>
      <w:r w:rsidR="00215FA8" w:rsidRPr="000C3E63">
        <w:rPr>
          <w:szCs w:val="18"/>
        </w:rPr>
        <w:t>s</w:t>
      </w:r>
      <w:r w:rsidR="00CF5DF9" w:rsidRPr="000C3E63">
        <w:rPr>
          <w:szCs w:val="18"/>
        </w:rPr>
        <w:t xml:space="preserve"> </w:t>
      </w:r>
      <w:r w:rsidR="009E2052">
        <w:rPr>
          <w:szCs w:val="18"/>
        </w:rPr>
        <w:t xml:space="preserve">of </w:t>
      </w:r>
      <w:r w:rsidR="00CF5DF9" w:rsidRPr="000C3E63">
        <w:rPr>
          <w:szCs w:val="18"/>
        </w:rPr>
        <w:t>0.04 (4%) releases to air, 0.02 (2%) releases to water, 0.9 (90%) releases to land, and 0.04</w:t>
      </w:r>
      <w:r w:rsidR="009176CF" w:rsidRPr="000C3E63">
        <w:rPr>
          <w:szCs w:val="18"/>
        </w:rPr>
        <w:t xml:space="preserve"> (4%) </w:t>
      </w:r>
      <w:r w:rsidR="001A0D3D" w:rsidRPr="000C3E63">
        <w:rPr>
          <w:szCs w:val="18"/>
        </w:rPr>
        <w:t>releases in product</w:t>
      </w:r>
      <w:r w:rsidR="009E2052">
        <w:rPr>
          <w:szCs w:val="18"/>
        </w:rPr>
        <w:t xml:space="preserve"> have been </w:t>
      </w:r>
      <w:r w:rsidR="007C7680">
        <w:rPr>
          <w:szCs w:val="18"/>
        </w:rPr>
        <w:t xml:space="preserve">used for Waihi but </w:t>
      </w:r>
      <w:r w:rsidR="009E2052">
        <w:rPr>
          <w:szCs w:val="18"/>
        </w:rPr>
        <w:t xml:space="preserve">replaced by a factor of 1.0 (100%) </w:t>
      </w:r>
      <w:r w:rsidR="007C7680">
        <w:rPr>
          <w:szCs w:val="18"/>
        </w:rPr>
        <w:t xml:space="preserve">for releases </w:t>
      </w:r>
      <w:r w:rsidR="009E2052">
        <w:rPr>
          <w:szCs w:val="18"/>
        </w:rPr>
        <w:t xml:space="preserve">to waste for </w:t>
      </w:r>
      <w:r w:rsidR="007C7680">
        <w:rPr>
          <w:szCs w:val="18"/>
        </w:rPr>
        <w:t>M</w:t>
      </w:r>
      <w:r w:rsidR="00043C30">
        <w:rPr>
          <w:szCs w:val="18"/>
        </w:rPr>
        <w:t>a</w:t>
      </w:r>
      <w:r w:rsidR="007C7680">
        <w:rPr>
          <w:szCs w:val="18"/>
        </w:rPr>
        <w:t>c</w:t>
      </w:r>
      <w:r w:rsidR="00043C30">
        <w:rPr>
          <w:szCs w:val="18"/>
        </w:rPr>
        <w:t>r</w:t>
      </w:r>
      <w:r w:rsidR="007C7680">
        <w:rPr>
          <w:szCs w:val="18"/>
        </w:rPr>
        <w:t>aes</w:t>
      </w:r>
      <w:r w:rsidR="009E2052">
        <w:rPr>
          <w:szCs w:val="18"/>
        </w:rPr>
        <w:t>.</w:t>
      </w:r>
    </w:p>
    <w:p w14:paraId="684E50A0" w14:textId="79E72614" w:rsidR="00350445" w:rsidRPr="000C3E63" w:rsidRDefault="00350445" w:rsidP="00350445">
      <w:pPr>
        <w:spacing w:line="300" w:lineRule="atLeast"/>
        <w:jc w:val="both"/>
        <w:rPr>
          <w:szCs w:val="18"/>
        </w:rPr>
      </w:pPr>
      <w:r w:rsidRPr="000C3E63">
        <w:rPr>
          <w:szCs w:val="18"/>
        </w:rPr>
        <w:t xml:space="preserve">The mercury input and output calculations for </w:t>
      </w:r>
      <w:r w:rsidR="00ED6A25" w:rsidRPr="000C3E63">
        <w:rPr>
          <w:szCs w:val="18"/>
        </w:rPr>
        <w:t>gold and silver production not using mercury</w:t>
      </w:r>
      <w:r w:rsidRPr="000C3E63">
        <w:rPr>
          <w:szCs w:val="18"/>
        </w:rPr>
        <w:t xml:space="preserve"> are shown in </w:t>
      </w:r>
      <w:r w:rsidRPr="000C3E63">
        <w:rPr>
          <w:szCs w:val="18"/>
        </w:rPr>
        <w:fldChar w:fldCharType="begin"/>
      </w:r>
      <w:r w:rsidRPr="000C3E63">
        <w:rPr>
          <w:szCs w:val="18"/>
        </w:rPr>
        <w:instrText xml:space="preserve"> REF _Ref358387581 \h </w:instrText>
      </w:r>
      <w:r w:rsidR="00B926AD" w:rsidRPr="000C3E63">
        <w:rPr>
          <w:szCs w:val="18"/>
        </w:rPr>
        <w:instrText xml:space="preserve"> \* MERGEFORMAT </w:instrText>
      </w:r>
      <w:r w:rsidRPr="000C3E63">
        <w:rPr>
          <w:szCs w:val="18"/>
        </w:rPr>
      </w:r>
      <w:r w:rsidRPr="000C3E63">
        <w:rPr>
          <w:szCs w:val="18"/>
        </w:rPr>
        <w:fldChar w:fldCharType="separate"/>
      </w:r>
      <w:r w:rsidR="00892B2D" w:rsidRPr="00892B2D">
        <w:t xml:space="preserve">Table </w:t>
      </w:r>
      <w:r w:rsidR="00892B2D" w:rsidRPr="00892B2D">
        <w:rPr>
          <w:noProof/>
        </w:rPr>
        <w:t>4</w:t>
      </w:r>
      <w:r w:rsidR="00892B2D" w:rsidRPr="00892B2D">
        <w:rPr>
          <w:noProof/>
        </w:rPr>
        <w:noBreakHyphen/>
        <w:t>3</w:t>
      </w:r>
      <w:r w:rsidRPr="000C3E63">
        <w:rPr>
          <w:szCs w:val="18"/>
        </w:rPr>
        <w:fldChar w:fldCharType="end"/>
      </w:r>
      <w:r w:rsidR="009176CF" w:rsidRPr="000C3E63">
        <w:rPr>
          <w:szCs w:val="18"/>
        </w:rPr>
        <w:t xml:space="preserve">, </w:t>
      </w:r>
      <w:r w:rsidR="00FB141E" w:rsidRPr="000C3E63">
        <w:rPr>
          <w:szCs w:val="18"/>
        </w:rPr>
        <w:t xml:space="preserve">along with the previous </w:t>
      </w:r>
      <w:r w:rsidR="007D5A44">
        <w:rPr>
          <w:szCs w:val="18"/>
        </w:rPr>
        <w:t xml:space="preserve">inventory </w:t>
      </w:r>
      <w:r w:rsidR="00FB141E" w:rsidRPr="000C3E63">
        <w:rPr>
          <w:szCs w:val="18"/>
        </w:rPr>
        <w:t xml:space="preserve">estimates. </w:t>
      </w:r>
      <w:r w:rsidR="009E2052">
        <w:rPr>
          <w:szCs w:val="18"/>
        </w:rPr>
        <w:t>It is now considered that</w:t>
      </w:r>
      <w:r w:rsidR="00A31DA2">
        <w:rPr>
          <w:szCs w:val="18"/>
        </w:rPr>
        <w:t xml:space="preserve"> mercury </w:t>
      </w:r>
      <w:r w:rsidR="009E2052">
        <w:rPr>
          <w:szCs w:val="18"/>
        </w:rPr>
        <w:t xml:space="preserve">input estimates for </w:t>
      </w:r>
      <w:r w:rsidR="00A31DA2">
        <w:rPr>
          <w:szCs w:val="18"/>
        </w:rPr>
        <w:t xml:space="preserve">both </w:t>
      </w:r>
      <w:r w:rsidR="009E2052">
        <w:rPr>
          <w:szCs w:val="18"/>
        </w:rPr>
        <w:t xml:space="preserve">the 2012 and 2016 </w:t>
      </w:r>
      <w:r w:rsidR="00A31DA2">
        <w:rPr>
          <w:szCs w:val="18"/>
        </w:rPr>
        <w:t>Inventories were too high as a result of the M</w:t>
      </w:r>
      <w:r w:rsidR="00043C30">
        <w:rPr>
          <w:szCs w:val="18"/>
        </w:rPr>
        <w:t>a</w:t>
      </w:r>
      <w:r w:rsidR="00A31DA2">
        <w:rPr>
          <w:szCs w:val="18"/>
        </w:rPr>
        <w:t>c</w:t>
      </w:r>
      <w:r w:rsidR="00043C30">
        <w:rPr>
          <w:szCs w:val="18"/>
        </w:rPr>
        <w:t>r</w:t>
      </w:r>
      <w:r w:rsidR="00A31DA2">
        <w:rPr>
          <w:szCs w:val="18"/>
        </w:rPr>
        <w:t>aes mercury in ore estimate being applied to the total weight of ore handled rather than the weight of concentrated ore produced after floatation treatment.</w:t>
      </w:r>
    </w:p>
    <w:p w14:paraId="1F77FD71" w14:textId="36F7F0A4" w:rsidR="00E2258A" w:rsidRPr="000C3E63" w:rsidRDefault="00350445" w:rsidP="00ED6A25">
      <w:pPr>
        <w:pStyle w:val="Caption"/>
        <w:spacing w:before="240"/>
        <w:rPr>
          <w:szCs w:val="18"/>
        </w:rPr>
      </w:pPr>
      <w:bookmarkStart w:id="57" w:name="_Ref358387581"/>
      <w:bookmarkStart w:id="58" w:name="_Toc110355469"/>
      <w:r w:rsidRPr="000C3E63">
        <w:rPr>
          <w:rFonts w:ascii="Arial" w:hAnsi="Arial" w:cs="Arial"/>
        </w:rPr>
        <w:t xml:space="preserve">Table </w:t>
      </w:r>
      <w:r w:rsidR="00390C9F" w:rsidRPr="000C3E63">
        <w:rPr>
          <w:rFonts w:ascii="Arial" w:hAnsi="Arial" w:cs="Arial"/>
        </w:rPr>
        <w:fldChar w:fldCharType="begin"/>
      </w:r>
      <w:r w:rsidR="00390C9F" w:rsidRPr="000C3E63">
        <w:rPr>
          <w:rFonts w:ascii="Arial" w:hAnsi="Arial" w:cs="Arial"/>
        </w:rPr>
        <w:instrText xml:space="preserve"> STYLEREF 1 \s </w:instrText>
      </w:r>
      <w:r w:rsidR="00390C9F" w:rsidRPr="000C3E63">
        <w:rPr>
          <w:rFonts w:ascii="Arial" w:hAnsi="Arial" w:cs="Arial"/>
        </w:rPr>
        <w:fldChar w:fldCharType="separate"/>
      </w:r>
      <w:r w:rsidR="00892B2D">
        <w:rPr>
          <w:rFonts w:ascii="Arial" w:hAnsi="Arial" w:cs="Arial"/>
          <w:noProof/>
        </w:rPr>
        <w:t>4</w:t>
      </w:r>
      <w:r w:rsidR="00390C9F" w:rsidRPr="000C3E63">
        <w:rPr>
          <w:rFonts w:ascii="Arial" w:hAnsi="Arial" w:cs="Arial"/>
        </w:rPr>
        <w:fldChar w:fldCharType="end"/>
      </w:r>
      <w:r w:rsidR="00390C9F" w:rsidRPr="000C3E63">
        <w:rPr>
          <w:rFonts w:ascii="Arial" w:hAnsi="Arial" w:cs="Arial"/>
        </w:rPr>
        <w:noBreakHyphen/>
      </w:r>
      <w:r w:rsidR="00390C9F" w:rsidRPr="000C3E63">
        <w:rPr>
          <w:rFonts w:ascii="Arial" w:hAnsi="Arial" w:cs="Arial"/>
        </w:rPr>
        <w:fldChar w:fldCharType="begin"/>
      </w:r>
      <w:r w:rsidR="00390C9F" w:rsidRPr="000C3E63">
        <w:rPr>
          <w:rFonts w:ascii="Arial" w:hAnsi="Arial" w:cs="Arial"/>
        </w:rPr>
        <w:instrText xml:space="preserve"> SEQ Table \* ARABIC \s 1 </w:instrText>
      </w:r>
      <w:r w:rsidR="00390C9F" w:rsidRPr="000C3E63">
        <w:rPr>
          <w:rFonts w:ascii="Arial" w:hAnsi="Arial" w:cs="Arial"/>
        </w:rPr>
        <w:fldChar w:fldCharType="separate"/>
      </w:r>
      <w:r w:rsidR="00892B2D">
        <w:rPr>
          <w:rFonts w:ascii="Arial" w:hAnsi="Arial" w:cs="Arial"/>
          <w:noProof/>
        </w:rPr>
        <w:t>3</w:t>
      </w:r>
      <w:r w:rsidR="00390C9F" w:rsidRPr="000C3E63">
        <w:rPr>
          <w:rFonts w:ascii="Arial" w:hAnsi="Arial" w:cs="Arial"/>
        </w:rPr>
        <w:fldChar w:fldCharType="end"/>
      </w:r>
      <w:bookmarkEnd w:id="57"/>
      <w:r w:rsidRPr="000C3E63">
        <w:rPr>
          <w:rFonts w:ascii="Arial" w:hAnsi="Arial" w:cs="Arial"/>
        </w:rPr>
        <w:t>:</w:t>
      </w:r>
      <w:r w:rsidRPr="000C3E63">
        <w:t xml:space="preserve"> </w:t>
      </w:r>
      <w:r w:rsidR="00183044">
        <w:t xml:space="preserve"> </w:t>
      </w:r>
      <w:r w:rsidRPr="000C3E63">
        <w:rPr>
          <w:rFonts w:ascii="Arial" w:hAnsi="Arial" w:cs="Arial"/>
        </w:rPr>
        <w:t>Input and output estimates for gold and silver production not using mercury</w:t>
      </w:r>
      <w:bookmarkEnd w:id="58"/>
    </w:p>
    <w:tbl>
      <w:tblPr>
        <w:tblStyle w:val="TableGrid"/>
        <w:tblW w:w="0" w:type="auto"/>
        <w:tblLook w:val="04A0" w:firstRow="1" w:lastRow="0" w:firstColumn="1" w:lastColumn="0" w:noHBand="0" w:noVBand="1"/>
      </w:tblPr>
      <w:tblGrid>
        <w:gridCol w:w="1243"/>
        <w:gridCol w:w="937"/>
        <w:gridCol w:w="937"/>
        <w:gridCol w:w="1195"/>
        <w:gridCol w:w="918"/>
        <w:gridCol w:w="863"/>
        <w:gridCol w:w="705"/>
        <w:gridCol w:w="1333"/>
        <w:gridCol w:w="930"/>
      </w:tblGrid>
      <w:tr w:rsidR="006D3473" w:rsidRPr="000C3E63" w14:paraId="62A60FD3" w14:textId="77777777" w:rsidTr="006E7F4E">
        <w:trPr>
          <w:trHeight w:val="776"/>
        </w:trPr>
        <w:tc>
          <w:tcPr>
            <w:tcW w:w="1251" w:type="dxa"/>
            <w:vMerge w:val="restart"/>
            <w:vAlign w:val="center"/>
          </w:tcPr>
          <w:p w14:paraId="5942A06E" w14:textId="77777777" w:rsidR="006D3473" w:rsidRPr="000C3E63" w:rsidRDefault="006D3473" w:rsidP="00C21F75">
            <w:pPr>
              <w:spacing w:line="300" w:lineRule="atLeast"/>
              <w:jc w:val="center"/>
              <w:rPr>
                <w:rFonts w:ascii="Arial" w:hAnsi="Arial" w:cs="Arial"/>
                <w:b/>
                <w:sz w:val="16"/>
                <w:szCs w:val="16"/>
              </w:rPr>
            </w:pPr>
            <w:r w:rsidRPr="000C3E63">
              <w:rPr>
                <w:rFonts w:ascii="Arial" w:hAnsi="Arial" w:cs="Arial"/>
                <w:b/>
                <w:sz w:val="16"/>
                <w:szCs w:val="16"/>
              </w:rPr>
              <w:t>Source</w:t>
            </w:r>
          </w:p>
        </w:tc>
        <w:tc>
          <w:tcPr>
            <w:tcW w:w="910" w:type="dxa"/>
            <w:vMerge w:val="restart"/>
            <w:vAlign w:val="center"/>
          </w:tcPr>
          <w:p w14:paraId="6C1187A1" w14:textId="77777777" w:rsidR="006D3473" w:rsidRPr="000C3E63" w:rsidRDefault="006D3473" w:rsidP="00C21F75">
            <w:pPr>
              <w:spacing w:line="300" w:lineRule="atLeast"/>
              <w:jc w:val="center"/>
              <w:rPr>
                <w:rFonts w:ascii="Arial" w:hAnsi="Arial" w:cs="Arial"/>
                <w:b/>
                <w:sz w:val="16"/>
                <w:szCs w:val="16"/>
              </w:rPr>
            </w:pPr>
            <w:r w:rsidRPr="000C3E63">
              <w:rPr>
                <w:rFonts w:ascii="Arial" w:hAnsi="Arial" w:cs="Arial"/>
                <w:b/>
                <w:sz w:val="16"/>
                <w:szCs w:val="16"/>
              </w:rPr>
              <w:t>Activity Rate, Mt/yr</w:t>
            </w:r>
          </w:p>
        </w:tc>
        <w:tc>
          <w:tcPr>
            <w:tcW w:w="913" w:type="dxa"/>
            <w:vMerge w:val="restart"/>
            <w:vAlign w:val="center"/>
          </w:tcPr>
          <w:p w14:paraId="778D2C5D" w14:textId="77777777" w:rsidR="006D3473" w:rsidRPr="000C3E63" w:rsidRDefault="006D3473" w:rsidP="00C21F75">
            <w:pPr>
              <w:spacing w:line="300" w:lineRule="atLeast"/>
              <w:jc w:val="center"/>
              <w:rPr>
                <w:rFonts w:ascii="Arial" w:hAnsi="Arial" w:cs="Arial"/>
                <w:b/>
                <w:sz w:val="16"/>
                <w:szCs w:val="16"/>
              </w:rPr>
            </w:pPr>
            <w:r w:rsidRPr="000C3E63">
              <w:rPr>
                <w:rFonts w:ascii="Arial" w:hAnsi="Arial" w:cs="Arial"/>
                <w:b/>
                <w:sz w:val="16"/>
                <w:szCs w:val="16"/>
              </w:rPr>
              <w:t>Mercury content, g/tonne</w:t>
            </w:r>
          </w:p>
        </w:tc>
        <w:tc>
          <w:tcPr>
            <w:tcW w:w="1206" w:type="dxa"/>
            <w:vMerge w:val="restart"/>
            <w:vAlign w:val="center"/>
          </w:tcPr>
          <w:p w14:paraId="7DEBD5CE" w14:textId="77777777" w:rsidR="006D3473" w:rsidRPr="000C3E63" w:rsidRDefault="006D3473" w:rsidP="00C21F75">
            <w:pPr>
              <w:spacing w:line="300" w:lineRule="atLeast"/>
              <w:jc w:val="center"/>
              <w:rPr>
                <w:rFonts w:ascii="Arial" w:hAnsi="Arial" w:cs="Arial"/>
                <w:b/>
                <w:sz w:val="16"/>
                <w:szCs w:val="16"/>
              </w:rPr>
            </w:pPr>
            <w:r w:rsidRPr="000C3E63">
              <w:rPr>
                <w:rFonts w:ascii="Arial" w:hAnsi="Arial" w:cs="Arial"/>
                <w:b/>
                <w:sz w:val="16"/>
                <w:szCs w:val="16"/>
              </w:rPr>
              <w:t>Annual Mercury Inputs, kg/yr</w:t>
            </w:r>
          </w:p>
        </w:tc>
        <w:tc>
          <w:tcPr>
            <w:tcW w:w="4781" w:type="dxa"/>
            <w:gridSpan w:val="5"/>
            <w:vAlign w:val="center"/>
          </w:tcPr>
          <w:p w14:paraId="5B7640F0" w14:textId="6C86EFEE" w:rsidR="006D3473" w:rsidRPr="000C3E63" w:rsidRDefault="006D3473" w:rsidP="006D3473">
            <w:pPr>
              <w:spacing w:line="300" w:lineRule="atLeast"/>
              <w:jc w:val="center"/>
              <w:rPr>
                <w:rFonts w:ascii="Arial" w:hAnsi="Arial" w:cs="Arial"/>
                <w:b/>
                <w:sz w:val="16"/>
                <w:szCs w:val="16"/>
              </w:rPr>
            </w:pPr>
            <w:r w:rsidRPr="000C3E63">
              <w:rPr>
                <w:rFonts w:ascii="Arial" w:hAnsi="Arial" w:cs="Arial"/>
                <w:b/>
                <w:sz w:val="16"/>
                <w:szCs w:val="16"/>
              </w:rPr>
              <w:t>Annual Mercury Outputs, kg/yr</w:t>
            </w:r>
          </w:p>
        </w:tc>
      </w:tr>
      <w:tr w:rsidR="006D3473" w:rsidRPr="000C3E63" w14:paraId="336A4F40" w14:textId="77777777" w:rsidTr="006E7F4E">
        <w:tc>
          <w:tcPr>
            <w:tcW w:w="1251" w:type="dxa"/>
            <w:vMerge/>
            <w:vAlign w:val="center"/>
          </w:tcPr>
          <w:p w14:paraId="17BA0D49" w14:textId="77777777" w:rsidR="00AD1162" w:rsidRPr="000C3E63" w:rsidRDefault="00AD1162" w:rsidP="00C21F75">
            <w:pPr>
              <w:spacing w:line="300" w:lineRule="atLeast"/>
              <w:jc w:val="center"/>
              <w:rPr>
                <w:rFonts w:ascii="Arial" w:hAnsi="Arial" w:cs="Arial"/>
                <w:b/>
                <w:sz w:val="16"/>
                <w:szCs w:val="16"/>
              </w:rPr>
            </w:pPr>
          </w:p>
        </w:tc>
        <w:tc>
          <w:tcPr>
            <w:tcW w:w="910" w:type="dxa"/>
            <w:vMerge/>
            <w:vAlign w:val="center"/>
          </w:tcPr>
          <w:p w14:paraId="579C781E" w14:textId="77777777" w:rsidR="00AD1162" w:rsidRPr="000C3E63" w:rsidRDefault="00AD1162" w:rsidP="00C21F75">
            <w:pPr>
              <w:spacing w:line="300" w:lineRule="atLeast"/>
              <w:jc w:val="center"/>
              <w:rPr>
                <w:rFonts w:ascii="Arial" w:hAnsi="Arial" w:cs="Arial"/>
                <w:b/>
                <w:sz w:val="16"/>
                <w:szCs w:val="16"/>
              </w:rPr>
            </w:pPr>
          </w:p>
        </w:tc>
        <w:tc>
          <w:tcPr>
            <w:tcW w:w="913" w:type="dxa"/>
            <w:vMerge/>
            <w:vAlign w:val="center"/>
          </w:tcPr>
          <w:p w14:paraId="28B9057F" w14:textId="77777777" w:rsidR="00AD1162" w:rsidRPr="000C3E63" w:rsidRDefault="00AD1162" w:rsidP="00C21F75">
            <w:pPr>
              <w:spacing w:line="300" w:lineRule="atLeast"/>
              <w:jc w:val="center"/>
              <w:rPr>
                <w:rFonts w:ascii="Arial" w:hAnsi="Arial" w:cs="Arial"/>
                <w:b/>
                <w:sz w:val="16"/>
                <w:szCs w:val="16"/>
              </w:rPr>
            </w:pPr>
          </w:p>
        </w:tc>
        <w:tc>
          <w:tcPr>
            <w:tcW w:w="1206" w:type="dxa"/>
            <w:vMerge/>
            <w:vAlign w:val="center"/>
          </w:tcPr>
          <w:p w14:paraId="5D149082" w14:textId="77777777" w:rsidR="00AD1162" w:rsidRPr="000C3E63" w:rsidRDefault="00AD1162" w:rsidP="00C21F75">
            <w:pPr>
              <w:spacing w:line="300" w:lineRule="atLeast"/>
              <w:jc w:val="center"/>
              <w:rPr>
                <w:rFonts w:ascii="Arial" w:hAnsi="Arial" w:cs="Arial"/>
                <w:b/>
                <w:sz w:val="16"/>
                <w:szCs w:val="16"/>
              </w:rPr>
            </w:pPr>
          </w:p>
        </w:tc>
        <w:tc>
          <w:tcPr>
            <w:tcW w:w="924" w:type="dxa"/>
            <w:vAlign w:val="center"/>
          </w:tcPr>
          <w:p w14:paraId="78F8ADFB" w14:textId="77777777" w:rsidR="00AD1162" w:rsidRPr="000C3E63" w:rsidRDefault="00AD1162" w:rsidP="00C21F75">
            <w:pPr>
              <w:spacing w:line="300" w:lineRule="atLeast"/>
              <w:jc w:val="center"/>
              <w:rPr>
                <w:rFonts w:ascii="Arial" w:hAnsi="Arial" w:cs="Arial"/>
                <w:b/>
                <w:sz w:val="16"/>
                <w:szCs w:val="16"/>
              </w:rPr>
            </w:pPr>
            <w:r w:rsidRPr="000C3E63">
              <w:rPr>
                <w:rFonts w:ascii="Arial" w:hAnsi="Arial" w:cs="Arial"/>
                <w:b/>
                <w:sz w:val="16"/>
                <w:szCs w:val="16"/>
              </w:rPr>
              <w:t>Air</w:t>
            </w:r>
          </w:p>
        </w:tc>
        <w:tc>
          <w:tcPr>
            <w:tcW w:w="869" w:type="dxa"/>
            <w:vAlign w:val="center"/>
          </w:tcPr>
          <w:p w14:paraId="77375F74" w14:textId="77777777" w:rsidR="00AD1162" w:rsidRPr="000C3E63" w:rsidRDefault="00AD1162" w:rsidP="00C21F75">
            <w:pPr>
              <w:spacing w:line="300" w:lineRule="atLeast"/>
              <w:jc w:val="center"/>
              <w:rPr>
                <w:rFonts w:ascii="Arial" w:hAnsi="Arial" w:cs="Arial"/>
                <w:b/>
                <w:sz w:val="16"/>
                <w:szCs w:val="16"/>
              </w:rPr>
            </w:pPr>
            <w:r w:rsidRPr="000C3E63">
              <w:rPr>
                <w:rFonts w:ascii="Arial" w:hAnsi="Arial" w:cs="Arial"/>
                <w:b/>
                <w:sz w:val="16"/>
                <w:szCs w:val="16"/>
              </w:rPr>
              <w:t>Water</w:t>
            </w:r>
          </w:p>
        </w:tc>
        <w:tc>
          <w:tcPr>
            <w:tcW w:w="706" w:type="dxa"/>
          </w:tcPr>
          <w:p w14:paraId="7DA29497" w14:textId="5FC06683" w:rsidR="00AD1162" w:rsidRPr="000C3E63" w:rsidRDefault="00AD1162" w:rsidP="002C0A7B">
            <w:pPr>
              <w:spacing w:line="300" w:lineRule="atLeast"/>
              <w:jc w:val="center"/>
              <w:rPr>
                <w:rFonts w:ascii="Arial" w:hAnsi="Arial" w:cs="Arial"/>
                <w:b/>
                <w:sz w:val="16"/>
                <w:szCs w:val="16"/>
              </w:rPr>
            </w:pPr>
            <w:r>
              <w:rPr>
                <w:rFonts w:ascii="Arial" w:hAnsi="Arial" w:cs="Arial"/>
                <w:b/>
                <w:sz w:val="16"/>
                <w:szCs w:val="16"/>
              </w:rPr>
              <w:t>Waste</w:t>
            </w:r>
          </w:p>
        </w:tc>
        <w:tc>
          <w:tcPr>
            <w:tcW w:w="1348" w:type="dxa"/>
            <w:vAlign w:val="center"/>
          </w:tcPr>
          <w:p w14:paraId="2255ED4A" w14:textId="5949C1F4" w:rsidR="00AD1162" w:rsidRPr="000C3E63" w:rsidRDefault="00AD1162" w:rsidP="002C0A7B">
            <w:pPr>
              <w:spacing w:line="300" w:lineRule="atLeast"/>
              <w:jc w:val="center"/>
              <w:rPr>
                <w:rFonts w:ascii="Arial" w:hAnsi="Arial" w:cs="Arial"/>
                <w:b/>
                <w:sz w:val="16"/>
                <w:szCs w:val="16"/>
              </w:rPr>
            </w:pPr>
            <w:r w:rsidRPr="000C3E63">
              <w:rPr>
                <w:rFonts w:ascii="Arial" w:hAnsi="Arial" w:cs="Arial"/>
                <w:b/>
                <w:sz w:val="16"/>
                <w:szCs w:val="16"/>
              </w:rPr>
              <w:t>Land</w:t>
            </w:r>
          </w:p>
        </w:tc>
        <w:tc>
          <w:tcPr>
            <w:tcW w:w="934" w:type="dxa"/>
            <w:vAlign w:val="center"/>
          </w:tcPr>
          <w:p w14:paraId="557CE502" w14:textId="77777777" w:rsidR="00AD1162" w:rsidRPr="000C3E63" w:rsidRDefault="00AD1162" w:rsidP="00C21F75">
            <w:pPr>
              <w:spacing w:line="300" w:lineRule="atLeast"/>
              <w:jc w:val="center"/>
              <w:rPr>
                <w:rFonts w:ascii="Arial" w:hAnsi="Arial" w:cs="Arial"/>
                <w:b/>
                <w:sz w:val="16"/>
                <w:szCs w:val="16"/>
              </w:rPr>
            </w:pPr>
            <w:r w:rsidRPr="000C3E63">
              <w:rPr>
                <w:rFonts w:ascii="Arial" w:hAnsi="Arial" w:cs="Arial"/>
                <w:b/>
                <w:sz w:val="16"/>
                <w:szCs w:val="16"/>
              </w:rPr>
              <w:t>Product</w:t>
            </w:r>
          </w:p>
        </w:tc>
      </w:tr>
      <w:tr w:rsidR="006D3473" w:rsidRPr="000C3E63" w14:paraId="1BDE6CE1" w14:textId="77777777" w:rsidTr="006E7F4E">
        <w:tc>
          <w:tcPr>
            <w:tcW w:w="1251" w:type="dxa"/>
          </w:tcPr>
          <w:p w14:paraId="106F15B5" w14:textId="77777777" w:rsidR="00AD1162" w:rsidRPr="000C3E63" w:rsidRDefault="00AD1162" w:rsidP="00FB141E">
            <w:pPr>
              <w:spacing w:line="300" w:lineRule="atLeast"/>
              <w:jc w:val="both"/>
              <w:rPr>
                <w:rFonts w:ascii="Arial" w:hAnsi="Arial" w:cs="Arial"/>
                <w:sz w:val="16"/>
                <w:szCs w:val="16"/>
              </w:rPr>
            </w:pPr>
            <w:r w:rsidRPr="000C3E63">
              <w:rPr>
                <w:rFonts w:ascii="Arial" w:hAnsi="Arial" w:cs="Arial"/>
                <w:sz w:val="16"/>
                <w:szCs w:val="16"/>
              </w:rPr>
              <w:t>Gold/silver production, 2012</w:t>
            </w:r>
          </w:p>
        </w:tc>
        <w:tc>
          <w:tcPr>
            <w:tcW w:w="910" w:type="dxa"/>
            <w:vAlign w:val="center"/>
          </w:tcPr>
          <w:p w14:paraId="10A070DC" w14:textId="77777777" w:rsidR="00AD1162" w:rsidRPr="0046268B" w:rsidRDefault="00AD1162" w:rsidP="00C21F75">
            <w:pPr>
              <w:spacing w:line="300" w:lineRule="atLeast"/>
              <w:jc w:val="center"/>
              <w:rPr>
                <w:rFonts w:ascii="Arial" w:hAnsi="Arial" w:cs="Arial"/>
                <w:sz w:val="16"/>
                <w:szCs w:val="16"/>
              </w:rPr>
            </w:pPr>
            <w:r w:rsidRPr="0046268B">
              <w:rPr>
                <w:rFonts w:ascii="Arial" w:hAnsi="Arial" w:cs="Arial"/>
                <w:sz w:val="16"/>
                <w:szCs w:val="16"/>
              </w:rPr>
              <w:t>2.5</w:t>
            </w:r>
          </w:p>
        </w:tc>
        <w:tc>
          <w:tcPr>
            <w:tcW w:w="913" w:type="dxa"/>
            <w:vAlign w:val="center"/>
          </w:tcPr>
          <w:p w14:paraId="761672EC" w14:textId="77777777" w:rsidR="00AD1162" w:rsidRPr="0046268B" w:rsidRDefault="00AD1162" w:rsidP="00C21F75">
            <w:pPr>
              <w:spacing w:line="300" w:lineRule="atLeast"/>
              <w:jc w:val="center"/>
              <w:rPr>
                <w:rFonts w:ascii="Arial" w:hAnsi="Arial" w:cs="Arial"/>
                <w:sz w:val="16"/>
                <w:szCs w:val="16"/>
              </w:rPr>
            </w:pPr>
            <w:r w:rsidRPr="0046268B">
              <w:rPr>
                <w:rFonts w:ascii="Arial" w:hAnsi="Arial" w:cs="Arial"/>
                <w:sz w:val="16"/>
                <w:szCs w:val="16"/>
              </w:rPr>
              <w:t>0.5 – 1.0</w:t>
            </w:r>
          </w:p>
        </w:tc>
        <w:tc>
          <w:tcPr>
            <w:tcW w:w="1206" w:type="dxa"/>
            <w:vAlign w:val="center"/>
          </w:tcPr>
          <w:p w14:paraId="5643C11E" w14:textId="77777777" w:rsidR="00AD1162" w:rsidRPr="0046268B" w:rsidRDefault="00AD1162" w:rsidP="00280379">
            <w:pPr>
              <w:spacing w:line="300" w:lineRule="atLeast"/>
              <w:jc w:val="center"/>
              <w:rPr>
                <w:rFonts w:ascii="Arial" w:hAnsi="Arial" w:cs="Arial"/>
                <w:sz w:val="16"/>
                <w:szCs w:val="16"/>
              </w:rPr>
            </w:pPr>
            <w:r w:rsidRPr="0046268B">
              <w:rPr>
                <w:rFonts w:ascii="Arial" w:hAnsi="Arial" w:cs="Arial"/>
                <w:sz w:val="16"/>
                <w:szCs w:val="16"/>
              </w:rPr>
              <w:t>1,250 – 2,500 (1,875)</w:t>
            </w:r>
          </w:p>
        </w:tc>
        <w:tc>
          <w:tcPr>
            <w:tcW w:w="924" w:type="dxa"/>
            <w:vAlign w:val="center"/>
          </w:tcPr>
          <w:p w14:paraId="00547FA2" w14:textId="77777777" w:rsidR="00AD1162" w:rsidRPr="0046268B" w:rsidRDefault="00AD1162" w:rsidP="00280379">
            <w:pPr>
              <w:spacing w:line="300" w:lineRule="atLeast"/>
              <w:jc w:val="center"/>
              <w:rPr>
                <w:rFonts w:ascii="Arial" w:hAnsi="Arial" w:cs="Arial"/>
                <w:sz w:val="16"/>
                <w:szCs w:val="16"/>
              </w:rPr>
            </w:pPr>
            <w:r w:rsidRPr="0046268B">
              <w:rPr>
                <w:rFonts w:ascii="Arial" w:hAnsi="Arial" w:cs="Arial"/>
                <w:sz w:val="16"/>
                <w:szCs w:val="16"/>
              </w:rPr>
              <w:t>50 – 100 (75)</w:t>
            </w:r>
          </w:p>
        </w:tc>
        <w:tc>
          <w:tcPr>
            <w:tcW w:w="869" w:type="dxa"/>
            <w:vAlign w:val="center"/>
          </w:tcPr>
          <w:p w14:paraId="44B11443" w14:textId="77777777" w:rsidR="00AD1162" w:rsidRPr="0046268B" w:rsidRDefault="00AD1162" w:rsidP="00280379">
            <w:pPr>
              <w:spacing w:line="300" w:lineRule="atLeast"/>
              <w:jc w:val="center"/>
              <w:rPr>
                <w:rFonts w:ascii="Arial" w:hAnsi="Arial" w:cs="Arial"/>
                <w:sz w:val="16"/>
                <w:szCs w:val="16"/>
              </w:rPr>
            </w:pPr>
            <w:r w:rsidRPr="0046268B">
              <w:rPr>
                <w:rFonts w:ascii="Arial" w:hAnsi="Arial" w:cs="Arial"/>
                <w:sz w:val="16"/>
                <w:szCs w:val="16"/>
              </w:rPr>
              <w:t>25 – 50 (37.5)</w:t>
            </w:r>
          </w:p>
        </w:tc>
        <w:tc>
          <w:tcPr>
            <w:tcW w:w="706" w:type="dxa"/>
            <w:vAlign w:val="center"/>
          </w:tcPr>
          <w:p w14:paraId="565E1E63" w14:textId="1941A857" w:rsidR="00AD1162" w:rsidRPr="0046268B" w:rsidRDefault="00481FFF" w:rsidP="00481FFF">
            <w:pPr>
              <w:spacing w:line="300" w:lineRule="atLeast"/>
              <w:jc w:val="center"/>
              <w:rPr>
                <w:rFonts w:ascii="Arial" w:hAnsi="Arial" w:cs="Arial"/>
                <w:sz w:val="16"/>
                <w:szCs w:val="16"/>
              </w:rPr>
            </w:pPr>
            <w:r w:rsidRPr="0046268B">
              <w:rPr>
                <w:rFonts w:ascii="Arial" w:hAnsi="Arial" w:cs="Arial"/>
                <w:sz w:val="16"/>
                <w:szCs w:val="16"/>
              </w:rPr>
              <w:t>-</w:t>
            </w:r>
          </w:p>
        </w:tc>
        <w:tc>
          <w:tcPr>
            <w:tcW w:w="1348" w:type="dxa"/>
            <w:vAlign w:val="center"/>
          </w:tcPr>
          <w:p w14:paraId="586320D6" w14:textId="612B54B9" w:rsidR="00AD1162" w:rsidRPr="0046268B" w:rsidRDefault="00AD1162" w:rsidP="00FE4C3B">
            <w:pPr>
              <w:spacing w:line="300" w:lineRule="atLeast"/>
              <w:jc w:val="center"/>
              <w:rPr>
                <w:rFonts w:ascii="Arial" w:hAnsi="Arial" w:cs="Arial"/>
                <w:sz w:val="16"/>
                <w:szCs w:val="16"/>
              </w:rPr>
            </w:pPr>
            <w:r w:rsidRPr="0046268B">
              <w:rPr>
                <w:rFonts w:ascii="Arial" w:hAnsi="Arial" w:cs="Arial"/>
                <w:sz w:val="16"/>
                <w:szCs w:val="16"/>
              </w:rPr>
              <w:t>1,125 – 2,250 (1,687.5)</w:t>
            </w:r>
          </w:p>
        </w:tc>
        <w:tc>
          <w:tcPr>
            <w:tcW w:w="934" w:type="dxa"/>
            <w:vAlign w:val="center"/>
          </w:tcPr>
          <w:p w14:paraId="6DEF9971" w14:textId="77777777" w:rsidR="00AD1162" w:rsidRPr="0046268B" w:rsidRDefault="00AD1162" w:rsidP="00280379">
            <w:pPr>
              <w:spacing w:line="300" w:lineRule="atLeast"/>
              <w:jc w:val="center"/>
              <w:rPr>
                <w:rFonts w:ascii="Arial" w:hAnsi="Arial" w:cs="Arial"/>
                <w:sz w:val="16"/>
                <w:szCs w:val="16"/>
              </w:rPr>
            </w:pPr>
            <w:r w:rsidRPr="0046268B">
              <w:rPr>
                <w:rFonts w:ascii="Arial" w:hAnsi="Arial" w:cs="Arial"/>
                <w:sz w:val="16"/>
                <w:szCs w:val="16"/>
              </w:rPr>
              <w:t>50 - 100 (75)</w:t>
            </w:r>
          </w:p>
        </w:tc>
      </w:tr>
      <w:tr w:rsidR="006D3473" w:rsidRPr="000C3E63" w14:paraId="255511C2" w14:textId="77777777" w:rsidTr="006E7F4E">
        <w:tc>
          <w:tcPr>
            <w:tcW w:w="1251" w:type="dxa"/>
            <w:vAlign w:val="center"/>
          </w:tcPr>
          <w:p w14:paraId="3F03ABB6" w14:textId="77777777" w:rsidR="00AD1162" w:rsidRPr="000C3E63" w:rsidRDefault="00AD1162" w:rsidP="002C0A7B">
            <w:pPr>
              <w:spacing w:line="300" w:lineRule="atLeast"/>
              <w:rPr>
                <w:rFonts w:ascii="Arial" w:hAnsi="Arial" w:cs="Arial"/>
                <w:sz w:val="16"/>
                <w:szCs w:val="16"/>
              </w:rPr>
            </w:pPr>
            <w:r w:rsidRPr="000C3E63">
              <w:rPr>
                <w:rFonts w:ascii="Arial" w:hAnsi="Arial" w:cs="Arial"/>
                <w:sz w:val="16"/>
                <w:szCs w:val="16"/>
              </w:rPr>
              <w:t>Gold/silver production, 2016</w:t>
            </w:r>
          </w:p>
        </w:tc>
        <w:tc>
          <w:tcPr>
            <w:tcW w:w="910" w:type="dxa"/>
            <w:vAlign w:val="center"/>
          </w:tcPr>
          <w:p w14:paraId="0ADF32E5" w14:textId="77777777" w:rsidR="00AD1162" w:rsidRPr="0046268B" w:rsidRDefault="00AD1162" w:rsidP="00C21F75">
            <w:pPr>
              <w:spacing w:line="300" w:lineRule="atLeast"/>
              <w:jc w:val="center"/>
              <w:rPr>
                <w:rFonts w:ascii="Arial" w:hAnsi="Arial" w:cs="Arial"/>
                <w:sz w:val="16"/>
                <w:szCs w:val="16"/>
              </w:rPr>
            </w:pPr>
            <w:r w:rsidRPr="0046268B">
              <w:rPr>
                <w:rFonts w:ascii="Arial" w:hAnsi="Arial" w:cs="Arial"/>
                <w:sz w:val="16"/>
                <w:szCs w:val="16"/>
              </w:rPr>
              <w:t>6.56</w:t>
            </w:r>
          </w:p>
        </w:tc>
        <w:tc>
          <w:tcPr>
            <w:tcW w:w="913" w:type="dxa"/>
            <w:vAlign w:val="center"/>
          </w:tcPr>
          <w:p w14:paraId="2FB04380" w14:textId="77777777" w:rsidR="00AD1162" w:rsidRPr="0046268B" w:rsidRDefault="00AD1162" w:rsidP="00C21F75">
            <w:pPr>
              <w:spacing w:line="300" w:lineRule="atLeast"/>
              <w:jc w:val="center"/>
              <w:rPr>
                <w:rFonts w:ascii="Arial" w:hAnsi="Arial" w:cs="Arial"/>
                <w:sz w:val="16"/>
                <w:szCs w:val="16"/>
              </w:rPr>
            </w:pPr>
            <w:r w:rsidRPr="0046268B">
              <w:rPr>
                <w:rFonts w:ascii="Arial" w:hAnsi="Arial" w:cs="Arial"/>
                <w:sz w:val="16"/>
                <w:szCs w:val="16"/>
              </w:rPr>
              <w:t>0.23 – 2.0</w:t>
            </w:r>
          </w:p>
        </w:tc>
        <w:tc>
          <w:tcPr>
            <w:tcW w:w="1206" w:type="dxa"/>
            <w:vAlign w:val="center"/>
          </w:tcPr>
          <w:p w14:paraId="181A43D8" w14:textId="6F98B3C4" w:rsidR="00AD1162" w:rsidRPr="0046268B" w:rsidRDefault="00AD1162" w:rsidP="003D2F17">
            <w:pPr>
              <w:spacing w:line="300" w:lineRule="atLeast"/>
              <w:jc w:val="center"/>
              <w:rPr>
                <w:rFonts w:ascii="Arial" w:hAnsi="Arial" w:cs="Arial"/>
                <w:sz w:val="16"/>
                <w:szCs w:val="16"/>
              </w:rPr>
            </w:pPr>
            <w:r w:rsidRPr="0046268B">
              <w:rPr>
                <w:rFonts w:ascii="Arial" w:hAnsi="Arial" w:cs="Arial"/>
                <w:sz w:val="16"/>
                <w:szCs w:val="16"/>
              </w:rPr>
              <w:t>1,508 – 13,114 (4,918)</w:t>
            </w:r>
          </w:p>
        </w:tc>
        <w:tc>
          <w:tcPr>
            <w:tcW w:w="924" w:type="dxa"/>
            <w:vAlign w:val="center"/>
          </w:tcPr>
          <w:p w14:paraId="42A96DBD" w14:textId="50356581" w:rsidR="00AD1162" w:rsidRPr="0046268B" w:rsidRDefault="00AD1162" w:rsidP="00280379">
            <w:pPr>
              <w:spacing w:line="300" w:lineRule="atLeast"/>
              <w:jc w:val="center"/>
              <w:rPr>
                <w:rFonts w:ascii="Arial" w:hAnsi="Arial" w:cs="Arial"/>
                <w:sz w:val="16"/>
                <w:szCs w:val="16"/>
              </w:rPr>
            </w:pPr>
            <w:r w:rsidRPr="0046268B">
              <w:rPr>
                <w:rFonts w:ascii="Arial" w:hAnsi="Arial" w:cs="Arial"/>
                <w:sz w:val="16"/>
                <w:szCs w:val="16"/>
              </w:rPr>
              <w:t>60.3 – 525 (196.7)</w:t>
            </w:r>
          </w:p>
        </w:tc>
        <w:tc>
          <w:tcPr>
            <w:tcW w:w="869" w:type="dxa"/>
            <w:vAlign w:val="center"/>
          </w:tcPr>
          <w:p w14:paraId="78E3D54E" w14:textId="2B83F715" w:rsidR="00AD1162" w:rsidRPr="0046268B" w:rsidRDefault="00AD1162" w:rsidP="00280379">
            <w:pPr>
              <w:spacing w:line="300" w:lineRule="atLeast"/>
              <w:jc w:val="center"/>
              <w:rPr>
                <w:rFonts w:ascii="Arial" w:hAnsi="Arial" w:cs="Arial"/>
                <w:sz w:val="16"/>
                <w:szCs w:val="16"/>
              </w:rPr>
            </w:pPr>
            <w:r w:rsidRPr="0046268B">
              <w:rPr>
                <w:rFonts w:ascii="Arial" w:hAnsi="Arial" w:cs="Arial"/>
                <w:sz w:val="16"/>
                <w:szCs w:val="16"/>
              </w:rPr>
              <w:t>30.2 – 263 (98.4)</w:t>
            </w:r>
          </w:p>
        </w:tc>
        <w:tc>
          <w:tcPr>
            <w:tcW w:w="706" w:type="dxa"/>
            <w:vAlign w:val="center"/>
          </w:tcPr>
          <w:p w14:paraId="41A10A95" w14:textId="79A27D20" w:rsidR="00AD1162" w:rsidRPr="0046268B" w:rsidRDefault="00481FFF" w:rsidP="00481FFF">
            <w:pPr>
              <w:spacing w:line="300" w:lineRule="atLeast"/>
              <w:jc w:val="center"/>
              <w:rPr>
                <w:rFonts w:ascii="Arial" w:hAnsi="Arial" w:cs="Arial"/>
                <w:sz w:val="16"/>
                <w:szCs w:val="16"/>
              </w:rPr>
            </w:pPr>
            <w:r w:rsidRPr="0046268B">
              <w:rPr>
                <w:rFonts w:ascii="Arial" w:hAnsi="Arial" w:cs="Arial"/>
                <w:sz w:val="16"/>
                <w:szCs w:val="16"/>
              </w:rPr>
              <w:t>-</w:t>
            </w:r>
          </w:p>
        </w:tc>
        <w:tc>
          <w:tcPr>
            <w:tcW w:w="1348" w:type="dxa"/>
            <w:vAlign w:val="center"/>
          </w:tcPr>
          <w:p w14:paraId="577B15E2" w14:textId="73C0AC5B" w:rsidR="00AD1162" w:rsidRPr="0046268B" w:rsidRDefault="00AD1162" w:rsidP="00FE4C3B">
            <w:pPr>
              <w:spacing w:line="300" w:lineRule="atLeast"/>
              <w:jc w:val="center"/>
              <w:rPr>
                <w:rFonts w:ascii="Arial" w:hAnsi="Arial" w:cs="Arial"/>
                <w:sz w:val="16"/>
                <w:szCs w:val="16"/>
              </w:rPr>
            </w:pPr>
            <w:r w:rsidRPr="0046268B">
              <w:rPr>
                <w:rFonts w:ascii="Arial" w:hAnsi="Arial" w:cs="Arial"/>
                <w:sz w:val="16"/>
                <w:szCs w:val="16"/>
              </w:rPr>
              <w:t>1,357 – 11,803 (4,426)</w:t>
            </w:r>
          </w:p>
        </w:tc>
        <w:tc>
          <w:tcPr>
            <w:tcW w:w="934" w:type="dxa"/>
            <w:vAlign w:val="center"/>
          </w:tcPr>
          <w:p w14:paraId="28036561" w14:textId="7A85E347" w:rsidR="00AD1162" w:rsidRPr="0046268B" w:rsidRDefault="00AD1162" w:rsidP="00280379">
            <w:pPr>
              <w:spacing w:line="300" w:lineRule="atLeast"/>
              <w:jc w:val="center"/>
              <w:rPr>
                <w:rFonts w:ascii="Arial" w:hAnsi="Arial" w:cs="Arial"/>
                <w:sz w:val="16"/>
                <w:szCs w:val="16"/>
              </w:rPr>
            </w:pPr>
            <w:r w:rsidRPr="0046268B">
              <w:rPr>
                <w:rFonts w:ascii="Arial" w:hAnsi="Arial" w:cs="Arial"/>
                <w:sz w:val="16"/>
                <w:szCs w:val="16"/>
              </w:rPr>
              <w:t>60.3 – 525 (197)</w:t>
            </w:r>
          </w:p>
        </w:tc>
      </w:tr>
      <w:tr w:rsidR="006D3473" w:rsidRPr="000C3E63" w14:paraId="4C88EA0B" w14:textId="77777777" w:rsidTr="006E7F4E">
        <w:tc>
          <w:tcPr>
            <w:tcW w:w="1251" w:type="dxa"/>
            <w:vAlign w:val="center"/>
          </w:tcPr>
          <w:p w14:paraId="2613E747" w14:textId="2CC3FD0F" w:rsidR="00AD1162" w:rsidRPr="000C3E63" w:rsidRDefault="00AD1162" w:rsidP="002C0A7B">
            <w:pPr>
              <w:spacing w:line="300" w:lineRule="atLeast"/>
              <w:rPr>
                <w:rFonts w:ascii="Arial" w:hAnsi="Arial" w:cs="Arial"/>
                <w:sz w:val="16"/>
                <w:szCs w:val="16"/>
              </w:rPr>
            </w:pPr>
            <w:r>
              <w:rPr>
                <w:rFonts w:ascii="Arial" w:hAnsi="Arial" w:cs="Arial"/>
                <w:sz w:val="16"/>
                <w:szCs w:val="16"/>
              </w:rPr>
              <w:t>Gold/silver production, 2020</w:t>
            </w:r>
          </w:p>
        </w:tc>
        <w:tc>
          <w:tcPr>
            <w:tcW w:w="910" w:type="dxa"/>
            <w:vAlign w:val="center"/>
          </w:tcPr>
          <w:p w14:paraId="34D7AFB9" w14:textId="7C81D4F8" w:rsidR="00AD1162" w:rsidRPr="0046268B" w:rsidRDefault="00AD1162" w:rsidP="00C21F75">
            <w:pPr>
              <w:spacing w:line="300" w:lineRule="atLeast"/>
              <w:jc w:val="center"/>
              <w:rPr>
                <w:rFonts w:ascii="Arial" w:hAnsi="Arial" w:cs="Arial"/>
                <w:sz w:val="16"/>
                <w:szCs w:val="16"/>
              </w:rPr>
            </w:pPr>
            <w:r w:rsidRPr="0046268B">
              <w:rPr>
                <w:rFonts w:ascii="Arial" w:hAnsi="Arial" w:cs="Arial"/>
                <w:sz w:val="16"/>
                <w:szCs w:val="16"/>
              </w:rPr>
              <w:t>0.126</w:t>
            </w:r>
            <w:r w:rsidR="00481FFF" w:rsidRPr="0046268B">
              <w:rPr>
                <w:rFonts w:ascii="Arial" w:hAnsi="Arial" w:cs="Arial"/>
                <w:sz w:val="16"/>
                <w:szCs w:val="16"/>
              </w:rPr>
              <w:t xml:space="preserve"> (</w:t>
            </w:r>
            <w:r w:rsidR="009607EF" w:rsidRPr="0046268B">
              <w:rPr>
                <w:rFonts w:ascii="Arial" w:hAnsi="Arial" w:cs="Arial"/>
                <w:sz w:val="16"/>
                <w:szCs w:val="16"/>
              </w:rPr>
              <w:t>M</w:t>
            </w:r>
            <w:r w:rsidR="00043C30">
              <w:rPr>
                <w:rFonts w:ascii="Arial" w:hAnsi="Arial" w:cs="Arial"/>
                <w:sz w:val="16"/>
                <w:szCs w:val="16"/>
              </w:rPr>
              <w:t>a</w:t>
            </w:r>
            <w:r w:rsidR="009607EF" w:rsidRPr="0046268B">
              <w:rPr>
                <w:rFonts w:ascii="Arial" w:hAnsi="Arial" w:cs="Arial"/>
                <w:sz w:val="16"/>
                <w:szCs w:val="16"/>
              </w:rPr>
              <w:t>c</w:t>
            </w:r>
            <w:r w:rsidR="00043C30">
              <w:rPr>
                <w:rFonts w:ascii="Arial" w:hAnsi="Arial" w:cs="Arial"/>
                <w:sz w:val="16"/>
                <w:szCs w:val="16"/>
              </w:rPr>
              <w:t>r</w:t>
            </w:r>
            <w:r w:rsidR="009607EF" w:rsidRPr="0046268B">
              <w:rPr>
                <w:rFonts w:ascii="Arial" w:hAnsi="Arial" w:cs="Arial"/>
                <w:sz w:val="16"/>
                <w:szCs w:val="16"/>
              </w:rPr>
              <w:t>aes</w:t>
            </w:r>
            <w:r w:rsidR="00481FFF" w:rsidRPr="0046268B">
              <w:rPr>
                <w:rFonts w:ascii="Arial" w:hAnsi="Arial" w:cs="Arial"/>
                <w:sz w:val="16"/>
                <w:szCs w:val="16"/>
              </w:rPr>
              <w:t>)</w:t>
            </w:r>
            <w:r w:rsidRPr="0046268B">
              <w:rPr>
                <w:rFonts w:ascii="Arial" w:hAnsi="Arial" w:cs="Arial"/>
                <w:sz w:val="16"/>
                <w:szCs w:val="16"/>
              </w:rPr>
              <w:t xml:space="preserve"> </w:t>
            </w:r>
          </w:p>
          <w:p w14:paraId="649C4A5C" w14:textId="1C49E769" w:rsidR="00AD1162" w:rsidRPr="0046268B" w:rsidRDefault="00AD1162" w:rsidP="00C21F75">
            <w:pPr>
              <w:spacing w:line="300" w:lineRule="atLeast"/>
              <w:jc w:val="center"/>
              <w:rPr>
                <w:rFonts w:ascii="Arial" w:hAnsi="Arial" w:cs="Arial"/>
                <w:sz w:val="16"/>
                <w:szCs w:val="16"/>
              </w:rPr>
            </w:pPr>
            <w:r w:rsidRPr="0046268B">
              <w:rPr>
                <w:rFonts w:ascii="Arial" w:hAnsi="Arial" w:cs="Arial"/>
                <w:sz w:val="16"/>
                <w:szCs w:val="16"/>
              </w:rPr>
              <w:t>0.137</w:t>
            </w:r>
            <w:r w:rsidR="00481FFF" w:rsidRPr="0046268B">
              <w:rPr>
                <w:rFonts w:ascii="Arial" w:hAnsi="Arial" w:cs="Arial"/>
                <w:sz w:val="16"/>
                <w:szCs w:val="16"/>
              </w:rPr>
              <w:t xml:space="preserve"> (</w:t>
            </w:r>
            <w:r w:rsidR="009607EF" w:rsidRPr="0046268B">
              <w:rPr>
                <w:rFonts w:ascii="Arial" w:hAnsi="Arial" w:cs="Arial"/>
                <w:sz w:val="16"/>
                <w:szCs w:val="16"/>
              </w:rPr>
              <w:t>Waihi</w:t>
            </w:r>
            <w:r w:rsidR="00481FFF" w:rsidRPr="0046268B">
              <w:rPr>
                <w:rFonts w:ascii="Arial" w:hAnsi="Arial" w:cs="Arial"/>
                <w:sz w:val="16"/>
                <w:szCs w:val="16"/>
              </w:rPr>
              <w:t>)</w:t>
            </w:r>
          </w:p>
        </w:tc>
        <w:tc>
          <w:tcPr>
            <w:tcW w:w="913" w:type="dxa"/>
            <w:vAlign w:val="center"/>
          </w:tcPr>
          <w:p w14:paraId="7DC3BF0E" w14:textId="05D43248" w:rsidR="00AD1162" w:rsidRPr="0046268B" w:rsidRDefault="00AD1162" w:rsidP="00C21F75">
            <w:pPr>
              <w:spacing w:line="300" w:lineRule="atLeast"/>
              <w:jc w:val="center"/>
              <w:rPr>
                <w:rFonts w:ascii="Arial" w:hAnsi="Arial" w:cs="Arial"/>
                <w:sz w:val="16"/>
                <w:szCs w:val="16"/>
              </w:rPr>
            </w:pPr>
            <w:r w:rsidRPr="0046268B">
              <w:rPr>
                <w:rFonts w:ascii="Arial" w:hAnsi="Arial" w:cs="Arial"/>
                <w:sz w:val="16"/>
                <w:szCs w:val="16"/>
              </w:rPr>
              <w:t>2.8</w:t>
            </w:r>
            <w:r w:rsidR="00481FFF" w:rsidRPr="0046268B">
              <w:rPr>
                <w:rFonts w:ascii="Arial" w:hAnsi="Arial" w:cs="Arial"/>
                <w:sz w:val="16"/>
                <w:szCs w:val="16"/>
              </w:rPr>
              <w:t xml:space="preserve"> </w:t>
            </w:r>
            <w:r w:rsidR="009607EF" w:rsidRPr="0046268B">
              <w:rPr>
                <w:rFonts w:ascii="Arial" w:hAnsi="Arial" w:cs="Arial"/>
                <w:sz w:val="16"/>
                <w:szCs w:val="16"/>
              </w:rPr>
              <w:t>(M</w:t>
            </w:r>
            <w:r w:rsidR="00043C30">
              <w:rPr>
                <w:rFonts w:ascii="Arial" w:hAnsi="Arial" w:cs="Arial"/>
                <w:sz w:val="16"/>
                <w:szCs w:val="16"/>
              </w:rPr>
              <w:t>a</w:t>
            </w:r>
            <w:r w:rsidR="009607EF" w:rsidRPr="0046268B">
              <w:rPr>
                <w:rFonts w:ascii="Arial" w:hAnsi="Arial" w:cs="Arial"/>
                <w:sz w:val="16"/>
                <w:szCs w:val="16"/>
              </w:rPr>
              <w:t>c</w:t>
            </w:r>
            <w:r w:rsidR="00043C30">
              <w:rPr>
                <w:rFonts w:ascii="Arial" w:hAnsi="Arial" w:cs="Arial"/>
                <w:sz w:val="16"/>
                <w:szCs w:val="16"/>
              </w:rPr>
              <w:t>r</w:t>
            </w:r>
            <w:r w:rsidR="009607EF" w:rsidRPr="0046268B">
              <w:rPr>
                <w:rFonts w:ascii="Arial" w:hAnsi="Arial" w:cs="Arial"/>
                <w:sz w:val="16"/>
                <w:szCs w:val="16"/>
              </w:rPr>
              <w:t>aes)</w:t>
            </w:r>
          </w:p>
          <w:p w14:paraId="5ADD94C5" w14:textId="670D787F" w:rsidR="00AD1162" w:rsidRPr="0046268B" w:rsidRDefault="00AD1162" w:rsidP="00C21F75">
            <w:pPr>
              <w:spacing w:line="300" w:lineRule="atLeast"/>
              <w:jc w:val="center"/>
              <w:rPr>
                <w:rFonts w:ascii="Arial" w:hAnsi="Arial" w:cs="Arial"/>
                <w:sz w:val="16"/>
                <w:szCs w:val="16"/>
              </w:rPr>
            </w:pPr>
            <w:r w:rsidRPr="0046268B">
              <w:rPr>
                <w:rFonts w:ascii="Arial" w:hAnsi="Arial" w:cs="Arial"/>
                <w:sz w:val="16"/>
                <w:szCs w:val="16"/>
              </w:rPr>
              <w:t>0.26</w:t>
            </w:r>
            <w:r w:rsidR="00481FFF" w:rsidRPr="0046268B">
              <w:rPr>
                <w:rFonts w:ascii="Arial" w:hAnsi="Arial" w:cs="Arial"/>
                <w:sz w:val="16"/>
                <w:szCs w:val="16"/>
              </w:rPr>
              <w:t xml:space="preserve"> (</w:t>
            </w:r>
            <w:r w:rsidR="009607EF" w:rsidRPr="0046268B">
              <w:rPr>
                <w:rFonts w:ascii="Arial" w:hAnsi="Arial" w:cs="Arial"/>
                <w:sz w:val="16"/>
                <w:szCs w:val="16"/>
              </w:rPr>
              <w:t>Waihi</w:t>
            </w:r>
            <w:r w:rsidR="00481FFF" w:rsidRPr="0046268B">
              <w:rPr>
                <w:rFonts w:ascii="Arial" w:hAnsi="Arial" w:cs="Arial"/>
                <w:sz w:val="16"/>
                <w:szCs w:val="16"/>
              </w:rPr>
              <w:t>)</w:t>
            </w:r>
          </w:p>
        </w:tc>
        <w:tc>
          <w:tcPr>
            <w:tcW w:w="1206" w:type="dxa"/>
            <w:vAlign w:val="center"/>
          </w:tcPr>
          <w:p w14:paraId="01A1323F" w14:textId="27F01BA2" w:rsidR="00AD1162" w:rsidRPr="0046268B" w:rsidRDefault="00AD1162" w:rsidP="003D2F17">
            <w:pPr>
              <w:spacing w:line="300" w:lineRule="atLeast"/>
              <w:jc w:val="center"/>
              <w:rPr>
                <w:rFonts w:ascii="Arial" w:hAnsi="Arial" w:cs="Arial"/>
                <w:sz w:val="16"/>
                <w:szCs w:val="16"/>
              </w:rPr>
            </w:pPr>
            <w:r w:rsidRPr="0046268B">
              <w:rPr>
                <w:rFonts w:ascii="Arial" w:hAnsi="Arial" w:cs="Arial"/>
                <w:sz w:val="16"/>
                <w:szCs w:val="16"/>
              </w:rPr>
              <w:t>389</w:t>
            </w:r>
          </w:p>
        </w:tc>
        <w:tc>
          <w:tcPr>
            <w:tcW w:w="924" w:type="dxa"/>
            <w:vAlign w:val="center"/>
          </w:tcPr>
          <w:p w14:paraId="201144D9" w14:textId="17748C49" w:rsidR="00AD1162" w:rsidRPr="0046268B" w:rsidRDefault="00371D69" w:rsidP="00280379">
            <w:pPr>
              <w:spacing w:line="300" w:lineRule="atLeast"/>
              <w:jc w:val="center"/>
              <w:rPr>
                <w:rFonts w:ascii="Arial" w:hAnsi="Arial" w:cs="Arial"/>
                <w:sz w:val="16"/>
                <w:szCs w:val="16"/>
              </w:rPr>
            </w:pPr>
            <w:r w:rsidRPr="0046268B">
              <w:rPr>
                <w:rFonts w:ascii="Arial" w:hAnsi="Arial" w:cs="Arial"/>
                <w:sz w:val="16"/>
                <w:szCs w:val="16"/>
              </w:rPr>
              <w:t>1.42</w:t>
            </w:r>
          </w:p>
        </w:tc>
        <w:tc>
          <w:tcPr>
            <w:tcW w:w="869" w:type="dxa"/>
            <w:vAlign w:val="center"/>
          </w:tcPr>
          <w:p w14:paraId="518B07E2" w14:textId="0DD4091C" w:rsidR="00AD1162" w:rsidRPr="0046268B" w:rsidRDefault="00371D69" w:rsidP="00280379">
            <w:pPr>
              <w:spacing w:line="300" w:lineRule="atLeast"/>
              <w:jc w:val="center"/>
              <w:rPr>
                <w:rFonts w:ascii="Arial" w:hAnsi="Arial" w:cs="Arial"/>
                <w:sz w:val="16"/>
                <w:szCs w:val="16"/>
              </w:rPr>
            </w:pPr>
            <w:r w:rsidRPr="0046268B">
              <w:rPr>
                <w:rFonts w:ascii="Arial" w:hAnsi="Arial" w:cs="Arial"/>
                <w:sz w:val="16"/>
                <w:szCs w:val="16"/>
              </w:rPr>
              <w:t>0.71</w:t>
            </w:r>
          </w:p>
        </w:tc>
        <w:tc>
          <w:tcPr>
            <w:tcW w:w="706" w:type="dxa"/>
            <w:vAlign w:val="center"/>
          </w:tcPr>
          <w:p w14:paraId="0F804588" w14:textId="07B4F668" w:rsidR="00AD1162" w:rsidRPr="0046268B" w:rsidRDefault="00371D69" w:rsidP="00481FFF">
            <w:pPr>
              <w:spacing w:line="300" w:lineRule="atLeast"/>
              <w:jc w:val="center"/>
              <w:rPr>
                <w:rFonts w:ascii="Arial" w:hAnsi="Arial" w:cs="Arial"/>
                <w:sz w:val="16"/>
                <w:szCs w:val="16"/>
              </w:rPr>
            </w:pPr>
            <w:r w:rsidRPr="0046268B">
              <w:rPr>
                <w:rFonts w:ascii="Arial" w:hAnsi="Arial" w:cs="Arial"/>
                <w:sz w:val="16"/>
                <w:szCs w:val="16"/>
              </w:rPr>
              <w:t>35</w:t>
            </w:r>
            <w:r w:rsidR="006E7F4E">
              <w:rPr>
                <w:rFonts w:ascii="Arial" w:hAnsi="Arial" w:cs="Arial"/>
                <w:sz w:val="16"/>
                <w:szCs w:val="16"/>
              </w:rPr>
              <w:t>4</w:t>
            </w:r>
          </w:p>
        </w:tc>
        <w:tc>
          <w:tcPr>
            <w:tcW w:w="1348" w:type="dxa"/>
            <w:vAlign w:val="center"/>
          </w:tcPr>
          <w:p w14:paraId="5DBA4047" w14:textId="221126FE" w:rsidR="00AD1162" w:rsidRPr="0046268B" w:rsidRDefault="00371D69" w:rsidP="00FE4C3B">
            <w:pPr>
              <w:spacing w:line="300" w:lineRule="atLeast"/>
              <w:jc w:val="center"/>
              <w:rPr>
                <w:rFonts w:ascii="Arial" w:hAnsi="Arial" w:cs="Arial"/>
                <w:sz w:val="16"/>
                <w:szCs w:val="16"/>
              </w:rPr>
            </w:pPr>
            <w:r w:rsidRPr="0046268B">
              <w:rPr>
                <w:rFonts w:ascii="Arial" w:hAnsi="Arial" w:cs="Arial"/>
                <w:sz w:val="16"/>
                <w:szCs w:val="16"/>
              </w:rPr>
              <w:t>32.0</w:t>
            </w:r>
          </w:p>
        </w:tc>
        <w:tc>
          <w:tcPr>
            <w:tcW w:w="934" w:type="dxa"/>
            <w:vAlign w:val="center"/>
          </w:tcPr>
          <w:p w14:paraId="4D40DDC7" w14:textId="1A736DFB" w:rsidR="00AD1162" w:rsidRPr="0046268B" w:rsidRDefault="00371D69" w:rsidP="00280379">
            <w:pPr>
              <w:spacing w:line="300" w:lineRule="atLeast"/>
              <w:jc w:val="center"/>
              <w:rPr>
                <w:rFonts w:ascii="Arial" w:hAnsi="Arial" w:cs="Arial"/>
                <w:sz w:val="16"/>
                <w:szCs w:val="16"/>
              </w:rPr>
            </w:pPr>
            <w:r w:rsidRPr="0046268B">
              <w:rPr>
                <w:rFonts w:ascii="Arial" w:hAnsi="Arial" w:cs="Arial"/>
                <w:sz w:val="16"/>
                <w:szCs w:val="16"/>
              </w:rPr>
              <w:t>1.42</w:t>
            </w:r>
          </w:p>
        </w:tc>
      </w:tr>
      <w:tr w:rsidR="00BC7F08" w:rsidRPr="000C3E63" w14:paraId="28CE6C29" w14:textId="77777777" w:rsidTr="006E7F4E">
        <w:tc>
          <w:tcPr>
            <w:tcW w:w="1251" w:type="dxa"/>
            <w:vAlign w:val="center"/>
          </w:tcPr>
          <w:p w14:paraId="3A097E5C" w14:textId="7BA09076" w:rsidR="00BC7F08" w:rsidRDefault="00BC7F08" w:rsidP="00BC7F08">
            <w:pPr>
              <w:spacing w:line="300" w:lineRule="atLeast"/>
              <w:rPr>
                <w:rFonts w:ascii="Arial" w:hAnsi="Arial" w:cs="Arial"/>
                <w:sz w:val="16"/>
                <w:szCs w:val="16"/>
              </w:rPr>
            </w:pPr>
            <w:r>
              <w:rPr>
                <w:rFonts w:ascii="Arial" w:hAnsi="Arial" w:cs="Arial"/>
                <w:sz w:val="16"/>
                <w:szCs w:val="16"/>
              </w:rPr>
              <w:t>Gold/silver production, 2024</w:t>
            </w:r>
          </w:p>
        </w:tc>
        <w:tc>
          <w:tcPr>
            <w:tcW w:w="910" w:type="dxa"/>
            <w:vAlign w:val="center"/>
          </w:tcPr>
          <w:p w14:paraId="72D5FB13" w14:textId="51A36059" w:rsidR="00BC7F08" w:rsidRPr="00456C7E" w:rsidRDefault="00A5196C" w:rsidP="00BC7F08">
            <w:pPr>
              <w:spacing w:line="300" w:lineRule="atLeast"/>
              <w:jc w:val="center"/>
              <w:rPr>
                <w:rFonts w:ascii="Arial" w:hAnsi="Arial" w:cs="Arial"/>
                <w:sz w:val="16"/>
                <w:szCs w:val="16"/>
              </w:rPr>
            </w:pPr>
            <w:r w:rsidRPr="00456C7E">
              <w:rPr>
                <w:rFonts w:ascii="Arial" w:hAnsi="Arial" w:cs="Arial"/>
                <w:sz w:val="16"/>
                <w:szCs w:val="16"/>
              </w:rPr>
              <w:t>0.11</w:t>
            </w:r>
            <w:r w:rsidR="002A7F9F">
              <w:rPr>
                <w:rFonts w:ascii="Arial" w:hAnsi="Arial" w:cs="Arial"/>
                <w:sz w:val="16"/>
                <w:szCs w:val="16"/>
              </w:rPr>
              <w:t xml:space="preserve">2 </w:t>
            </w:r>
            <w:r w:rsidR="00BC7F08" w:rsidRPr="00456C7E">
              <w:rPr>
                <w:rFonts w:ascii="Arial" w:hAnsi="Arial" w:cs="Arial"/>
                <w:sz w:val="16"/>
                <w:szCs w:val="16"/>
              </w:rPr>
              <w:t>(M</w:t>
            </w:r>
            <w:r w:rsidR="00043C30">
              <w:rPr>
                <w:rFonts w:ascii="Arial" w:hAnsi="Arial" w:cs="Arial"/>
                <w:sz w:val="16"/>
                <w:szCs w:val="16"/>
              </w:rPr>
              <w:t>a</w:t>
            </w:r>
            <w:r w:rsidR="00BC7F08" w:rsidRPr="00456C7E">
              <w:rPr>
                <w:rFonts w:ascii="Arial" w:hAnsi="Arial" w:cs="Arial"/>
                <w:sz w:val="16"/>
                <w:szCs w:val="16"/>
              </w:rPr>
              <w:t>c</w:t>
            </w:r>
            <w:r w:rsidR="00043C30">
              <w:rPr>
                <w:rFonts w:ascii="Arial" w:hAnsi="Arial" w:cs="Arial"/>
                <w:sz w:val="16"/>
                <w:szCs w:val="16"/>
              </w:rPr>
              <w:t>r</w:t>
            </w:r>
            <w:r w:rsidR="00BC7F08" w:rsidRPr="00456C7E">
              <w:rPr>
                <w:rFonts w:ascii="Arial" w:hAnsi="Arial" w:cs="Arial"/>
                <w:sz w:val="16"/>
                <w:szCs w:val="16"/>
              </w:rPr>
              <w:t xml:space="preserve">aes) </w:t>
            </w:r>
          </w:p>
          <w:p w14:paraId="19415495" w14:textId="5A5F7E7F" w:rsidR="00BC7F08" w:rsidRPr="00456C7E" w:rsidRDefault="00BC7F08" w:rsidP="00BC7F08">
            <w:pPr>
              <w:spacing w:line="300" w:lineRule="atLeast"/>
              <w:jc w:val="center"/>
              <w:rPr>
                <w:rFonts w:ascii="Arial" w:hAnsi="Arial" w:cs="Arial"/>
                <w:sz w:val="16"/>
                <w:szCs w:val="16"/>
              </w:rPr>
            </w:pPr>
            <w:r w:rsidRPr="00456C7E">
              <w:rPr>
                <w:rFonts w:ascii="Arial" w:hAnsi="Arial" w:cs="Arial"/>
                <w:sz w:val="16"/>
                <w:szCs w:val="16"/>
              </w:rPr>
              <w:t>0.5</w:t>
            </w:r>
            <w:r w:rsidR="002A7F9F">
              <w:rPr>
                <w:rFonts w:ascii="Arial" w:hAnsi="Arial" w:cs="Arial"/>
                <w:sz w:val="16"/>
                <w:szCs w:val="16"/>
              </w:rPr>
              <w:t>60</w:t>
            </w:r>
            <w:r w:rsidRPr="00456C7E">
              <w:rPr>
                <w:rFonts w:ascii="Arial" w:hAnsi="Arial" w:cs="Arial"/>
                <w:sz w:val="16"/>
                <w:szCs w:val="16"/>
              </w:rPr>
              <w:t xml:space="preserve"> (Waihi)</w:t>
            </w:r>
          </w:p>
        </w:tc>
        <w:tc>
          <w:tcPr>
            <w:tcW w:w="913" w:type="dxa"/>
            <w:vAlign w:val="center"/>
          </w:tcPr>
          <w:p w14:paraId="309C651D" w14:textId="37F2881B" w:rsidR="00BC7F08" w:rsidRPr="00456C7E" w:rsidRDefault="00A5196C" w:rsidP="00BC7F08">
            <w:pPr>
              <w:spacing w:line="300" w:lineRule="atLeast"/>
              <w:jc w:val="center"/>
              <w:rPr>
                <w:rFonts w:ascii="Arial" w:hAnsi="Arial" w:cs="Arial"/>
                <w:sz w:val="16"/>
                <w:szCs w:val="16"/>
              </w:rPr>
            </w:pPr>
            <w:r w:rsidRPr="00456C7E">
              <w:rPr>
                <w:rFonts w:ascii="Arial" w:hAnsi="Arial" w:cs="Arial"/>
                <w:sz w:val="16"/>
                <w:szCs w:val="16"/>
              </w:rPr>
              <w:t>0.51</w:t>
            </w:r>
            <w:r w:rsidR="00BC7F08" w:rsidRPr="00456C7E">
              <w:rPr>
                <w:rFonts w:ascii="Arial" w:hAnsi="Arial" w:cs="Arial"/>
                <w:sz w:val="16"/>
                <w:szCs w:val="16"/>
              </w:rPr>
              <w:t xml:space="preserve"> (M</w:t>
            </w:r>
            <w:r w:rsidR="00043C30">
              <w:rPr>
                <w:rFonts w:ascii="Arial" w:hAnsi="Arial" w:cs="Arial"/>
                <w:sz w:val="16"/>
                <w:szCs w:val="16"/>
              </w:rPr>
              <w:t>a</w:t>
            </w:r>
            <w:r w:rsidR="00BC7F08" w:rsidRPr="00456C7E">
              <w:rPr>
                <w:rFonts w:ascii="Arial" w:hAnsi="Arial" w:cs="Arial"/>
                <w:sz w:val="16"/>
                <w:szCs w:val="16"/>
              </w:rPr>
              <w:t>c</w:t>
            </w:r>
            <w:r w:rsidR="00043C30">
              <w:rPr>
                <w:rFonts w:ascii="Arial" w:hAnsi="Arial" w:cs="Arial"/>
                <w:sz w:val="16"/>
                <w:szCs w:val="16"/>
              </w:rPr>
              <w:t>r</w:t>
            </w:r>
            <w:r w:rsidR="00BC7F08" w:rsidRPr="00456C7E">
              <w:rPr>
                <w:rFonts w:ascii="Arial" w:hAnsi="Arial" w:cs="Arial"/>
                <w:sz w:val="16"/>
                <w:szCs w:val="16"/>
              </w:rPr>
              <w:t>aes)</w:t>
            </w:r>
          </w:p>
          <w:p w14:paraId="7A56A4B4" w14:textId="49771343" w:rsidR="00BC7F08" w:rsidRPr="00456C7E" w:rsidRDefault="00BC7F08" w:rsidP="00BC7F08">
            <w:pPr>
              <w:spacing w:line="300" w:lineRule="atLeast"/>
              <w:jc w:val="center"/>
              <w:rPr>
                <w:rFonts w:ascii="Arial" w:hAnsi="Arial" w:cs="Arial"/>
                <w:sz w:val="16"/>
                <w:szCs w:val="16"/>
              </w:rPr>
            </w:pPr>
            <w:r w:rsidRPr="00456C7E">
              <w:rPr>
                <w:rFonts w:ascii="Arial" w:hAnsi="Arial" w:cs="Arial"/>
                <w:sz w:val="16"/>
                <w:szCs w:val="16"/>
              </w:rPr>
              <w:t>0.254 (Waihi)</w:t>
            </w:r>
          </w:p>
        </w:tc>
        <w:tc>
          <w:tcPr>
            <w:tcW w:w="1206" w:type="dxa"/>
            <w:vAlign w:val="center"/>
          </w:tcPr>
          <w:p w14:paraId="68F97FA7" w14:textId="31AF1517" w:rsidR="00BC7F08" w:rsidRPr="00BC7F08" w:rsidRDefault="00B02631" w:rsidP="00BC7F08">
            <w:pPr>
              <w:spacing w:line="300" w:lineRule="atLeast"/>
              <w:jc w:val="center"/>
              <w:rPr>
                <w:rFonts w:ascii="Arial" w:hAnsi="Arial" w:cs="Arial"/>
                <w:sz w:val="16"/>
                <w:szCs w:val="16"/>
                <w:highlight w:val="yellow"/>
              </w:rPr>
            </w:pPr>
            <w:r w:rsidRPr="00456C7E">
              <w:rPr>
                <w:rFonts w:ascii="Arial" w:hAnsi="Arial" w:cs="Arial"/>
                <w:sz w:val="16"/>
                <w:szCs w:val="16"/>
              </w:rPr>
              <w:t>199</w:t>
            </w:r>
          </w:p>
        </w:tc>
        <w:tc>
          <w:tcPr>
            <w:tcW w:w="924" w:type="dxa"/>
            <w:vAlign w:val="center"/>
          </w:tcPr>
          <w:p w14:paraId="46A32A05" w14:textId="32DE3338" w:rsidR="00BC7F08" w:rsidRPr="00456C7E" w:rsidRDefault="00C05903" w:rsidP="00BC7F08">
            <w:pPr>
              <w:spacing w:line="300" w:lineRule="atLeast"/>
              <w:jc w:val="center"/>
              <w:rPr>
                <w:rFonts w:ascii="Arial" w:hAnsi="Arial" w:cs="Arial"/>
                <w:sz w:val="16"/>
                <w:szCs w:val="16"/>
              </w:rPr>
            </w:pPr>
            <w:r w:rsidRPr="00456C7E">
              <w:rPr>
                <w:rFonts w:ascii="Arial" w:hAnsi="Arial" w:cs="Arial"/>
                <w:sz w:val="16"/>
                <w:szCs w:val="16"/>
              </w:rPr>
              <w:t>5.</w:t>
            </w:r>
            <w:r w:rsidR="00812670">
              <w:rPr>
                <w:rFonts w:ascii="Arial" w:hAnsi="Arial" w:cs="Arial"/>
                <w:sz w:val="16"/>
                <w:szCs w:val="16"/>
              </w:rPr>
              <w:t>7</w:t>
            </w:r>
          </w:p>
        </w:tc>
        <w:tc>
          <w:tcPr>
            <w:tcW w:w="869" w:type="dxa"/>
            <w:vAlign w:val="center"/>
          </w:tcPr>
          <w:p w14:paraId="7C8FE16C" w14:textId="5521CC65" w:rsidR="00BC7F08" w:rsidRPr="00456C7E" w:rsidRDefault="00C05903" w:rsidP="00BC7F08">
            <w:pPr>
              <w:spacing w:line="300" w:lineRule="atLeast"/>
              <w:jc w:val="center"/>
              <w:rPr>
                <w:rFonts w:ascii="Arial" w:hAnsi="Arial" w:cs="Arial"/>
                <w:sz w:val="16"/>
                <w:szCs w:val="16"/>
              </w:rPr>
            </w:pPr>
            <w:r w:rsidRPr="00456C7E">
              <w:rPr>
                <w:rFonts w:ascii="Arial" w:hAnsi="Arial" w:cs="Arial"/>
                <w:sz w:val="16"/>
                <w:szCs w:val="16"/>
              </w:rPr>
              <w:t>2.8</w:t>
            </w:r>
            <w:r w:rsidR="00233885">
              <w:rPr>
                <w:rFonts w:ascii="Arial" w:hAnsi="Arial" w:cs="Arial"/>
                <w:sz w:val="16"/>
                <w:szCs w:val="16"/>
              </w:rPr>
              <w:t>5</w:t>
            </w:r>
          </w:p>
        </w:tc>
        <w:tc>
          <w:tcPr>
            <w:tcW w:w="706" w:type="dxa"/>
            <w:vAlign w:val="center"/>
          </w:tcPr>
          <w:p w14:paraId="36C7E3BF" w14:textId="1D60E364" w:rsidR="00BC7F08" w:rsidRPr="00456C7E" w:rsidRDefault="00C05903" w:rsidP="00BC7F08">
            <w:pPr>
              <w:spacing w:line="300" w:lineRule="atLeast"/>
              <w:jc w:val="center"/>
              <w:rPr>
                <w:rFonts w:ascii="Arial" w:hAnsi="Arial" w:cs="Arial"/>
                <w:sz w:val="16"/>
                <w:szCs w:val="16"/>
              </w:rPr>
            </w:pPr>
            <w:r w:rsidRPr="00456C7E">
              <w:rPr>
                <w:rFonts w:ascii="Arial" w:hAnsi="Arial" w:cs="Arial"/>
                <w:sz w:val="16"/>
                <w:szCs w:val="16"/>
              </w:rPr>
              <w:t>5</w:t>
            </w:r>
            <w:r w:rsidR="006E7F4E">
              <w:rPr>
                <w:rFonts w:ascii="Arial" w:hAnsi="Arial" w:cs="Arial"/>
                <w:sz w:val="16"/>
                <w:szCs w:val="16"/>
              </w:rPr>
              <w:t>7.0</w:t>
            </w:r>
          </w:p>
        </w:tc>
        <w:tc>
          <w:tcPr>
            <w:tcW w:w="1348" w:type="dxa"/>
            <w:vAlign w:val="center"/>
          </w:tcPr>
          <w:p w14:paraId="2D78E570" w14:textId="010652E9" w:rsidR="00BC7F08" w:rsidRPr="00456C7E" w:rsidRDefault="00C05903" w:rsidP="00BC7F08">
            <w:pPr>
              <w:spacing w:line="300" w:lineRule="atLeast"/>
              <w:jc w:val="center"/>
              <w:rPr>
                <w:rFonts w:ascii="Arial" w:hAnsi="Arial" w:cs="Arial"/>
                <w:sz w:val="16"/>
                <w:szCs w:val="16"/>
              </w:rPr>
            </w:pPr>
            <w:r w:rsidRPr="00456C7E">
              <w:rPr>
                <w:rFonts w:ascii="Arial" w:hAnsi="Arial" w:cs="Arial"/>
                <w:sz w:val="16"/>
                <w:szCs w:val="16"/>
              </w:rPr>
              <w:t>128</w:t>
            </w:r>
          </w:p>
        </w:tc>
        <w:tc>
          <w:tcPr>
            <w:tcW w:w="934" w:type="dxa"/>
            <w:vAlign w:val="center"/>
          </w:tcPr>
          <w:p w14:paraId="1206C55E" w14:textId="2912E4D2" w:rsidR="00BC7F08" w:rsidRPr="00456C7E" w:rsidRDefault="00C05903" w:rsidP="00BC7F08">
            <w:pPr>
              <w:spacing w:line="300" w:lineRule="atLeast"/>
              <w:jc w:val="center"/>
              <w:rPr>
                <w:rFonts w:ascii="Arial" w:hAnsi="Arial" w:cs="Arial"/>
                <w:sz w:val="16"/>
                <w:szCs w:val="16"/>
              </w:rPr>
            </w:pPr>
            <w:r w:rsidRPr="00456C7E">
              <w:rPr>
                <w:rFonts w:ascii="Arial" w:hAnsi="Arial" w:cs="Arial"/>
                <w:sz w:val="16"/>
                <w:szCs w:val="16"/>
              </w:rPr>
              <w:t>5.6</w:t>
            </w:r>
            <w:r w:rsidR="006E7F4E">
              <w:rPr>
                <w:rFonts w:ascii="Arial" w:hAnsi="Arial" w:cs="Arial"/>
                <w:sz w:val="16"/>
                <w:szCs w:val="16"/>
              </w:rPr>
              <w:t>9</w:t>
            </w:r>
          </w:p>
        </w:tc>
      </w:tr>
    </w:tbl>
    <w:p w14:paraId="26697947" w14:textId="1CD7DB7D" w:rsidR="003D2F17" w:rsidRPr="000C3E63" w:rsidRDefault="005E0D26" w:rsidP="003D2F17">
      <w:pPr>
        <w:spacing w:line="300" w:lineRule="atLeast"/>
        <w:jc w:val="both"/>
        <w:rPr>
          <w:szCs w:val="18"/>
        </w:rPr>
      </w:pPr>
      <w:r>
        <w:rPr>
          <w:szCs w:val="18"/>
        </w:rPr>
        <w:t>(</w:t>
      </w:r>
      <w:r w:rsidR="003D2F17" w:rsidRPr="000C3E63">
        <w:rPr>
          <w:szCs w:val="18"/>
        </w:rPr>
        <w:t xml:space="preserve">The figures shown in brackets for 2016 are based on </w:t>
      </w:r>
      <w:r w:rsidR="00425E54">
        <w:rPr>
          <w:szCs w:val="18"/>
        </w:rPr>
        <w:t>a</w:t>
      </w:r>
      <w:r w:rsidR="00272953">
        <w:rPr>
          <w:szCs w:val="18"/>
        </w:rPr>
        <w:t xml:space="preserve"> </w:t>
      </w:r>
      <w:r w:rsidR="003D2F17" w:rsidRPr="000C3E63">
        <w:rPr>
          <w:szCs w:val="18"/>
        </w:rPr>
        <w:t xml:space="preserve">mid-range </w:t>
      </w:r>
      <w:r w:rsidR="0043455D" w:rsidRPr="000C3E63">
        <w:rPr>
          <w:szCs w:val="18"/>
        </w:rPr>
        <w:t xml:space="preserve">ore </w:t>
      </w:r>
      <w:r w:rsidR="003D2F17" w:rsidRPr="000C3E63">
        <w:rPr>
          <w:szCs w:val="18"/>
        </w:rPr>
        <w:t>factor</w:t>
      </w:r>
      <w:r w:rsidR="006B70F6">
        <w:rPr>
          <w:szCs w:val="18"/>
        </w:rPr>
        <w:t xml:space="preserve"> of 0.75 g/tonne</w:t>
      </w:r>
      <w:r w:rsidR="003D2F17" w:rsidRPr="000C3E63">
        <w:rPr>
          <w:szCs w:val="18"/>
        </w:rPr>
        <w:t xml:space="preserve"> rather than </w:t>
      </w:r>
      <w:r w:rsidR="0043455D" w:rsidRPr="000C3E63">
        <w:rPr>
          <w:szCs w:val="18"/>
        </w:rPr>
        <w:t xml:space="preserve">the mean value of </w:t>
      </w:r>
      <w:r w:rsidR="006B70F6">
        <w:rPr>
          <w:szCs w:val="18"/>
        </w:rPr>
        <w:t>the</w:t>
      </w:r>
      <w:r w:rsidR="0043455D" w:rsidRPr="000C3E63">
        <w:rPr>
          <w:szCs w:val="18"/>
        </w:rPr>
        <w:t xml:space="preserve"> range</w:t>
      </w:r>
      <w:r w:rsidR="006B70F6">
        <w:rPr>
          <w:szCs w:val="18"/>
        </w:rPr>
        <w:t xml:space="preserve"> shown</w:t>
      </w:r>
      <w:r w:rsidR="0043455D" w:rsidRPr="000C3E63">
        <w:rPr>
          <w:szCs w:val="18"/>
        </w:rPr>
        <w:t>).</w:t>
      </w:r>
    </w:p>
    <w:p w14:paraId="4B96F8F2" w14:textId="77777777" w:rsidR="00C21F75" w:rsidRPr="000C3E63" w:rsidRDefault="00C21F75" w:rsidP="00C21F75">
      <w:pPr>
        <w:spacing w:before="120" w:line="300" w:lineRule="atLeast"/>
        <w:jc w:val="both"/>
        <w:rPr>
          <w:rFonts w:ascii="Arial" w:hAnsi="Arial" w:cs="Arial"/>
          <w:b/>
          <w:szCs w:val="18"/>
        </w:rPr>
      </w:pPr>
      <w:r w:rsidRPr="000C3E63">
        <w:rPr>
          <w:rFonts w:ascii="Arial" w:hAnsi="Arial" w:cs="Arial"/>
          <w:b/>
          <w:szCs w:val="18"/>
        </w:rPr>
        <w:t>Certainty assessment</w:t>
      </w:r>
    </w:p>
    <w:p w14:paraId="79D941F7" w14:textId="65666CF6" w:rsidR="00C21F75" w:rsidRPr="000C3E63" w:rsidRDefault="00C21F75" w:rsidP="0094046F">
      <w:pPr>
        <w:tabs>
          <w:tab w:val="left" w:pos="1985"/>
        </w:tabs>
        <w:spacing w:line="300" w:lineRule="atLeast"/>
        <w:ind w:left="1985" w:hanging="1985"/>
        <w:jc w:val="both"/>
        <w:rPr>
          <w:szCs w:val="18"/>
        </w:rPr>
      </w:pPr>
      <w:r w:rsidRPr="000C3E63">
        <w:rPr>
          <w:szCs w:val="18"/>
        </w:rPr>
        <w:t xml:space="preserve">Activity data: </w:t>
      </w:r>
      <w:r w:rsidRPr="000C3E63">
        <w:rPr>
          <w:szCs w:val="18"/>
        </w:rPr>
        <w:tab/>
      </w:r>
      <w:r w:rsidR="009406D8" w:rsidRPr="000C3E63">
        <w:rPr>
          <w:szCs w:val="18"/>
        </w:rPr>
        <w:t>HIGH</w:t>
      </w:r>
      <w:r w:rsidRPr="000C3E63">
        <w:rPr>
          <w:szCs w:val="18"/>
        </w:rPr>
        <w:t xml:space="preserve"> (because </w:t>
      </w:r>
      <w:r w:rsidR="00883073" w:rsidRPr="000C3E63">
        <w:rPr>
          <w:szCs w:val="18"/>
        </w:rPr>
        <w:t>they are based on company data</w:t>
      </w:r>
      <w:r w:rsidRPr="000C3E63">
        <w:rPr>
          <w:szCs w:val="18"/>
        </w:rPr>
        <w:t>)</w:t>
      </w:r>
    </w:p>
    <w:p w14:paraId="1EC489B5" w14:textId="13C8E891" w:rsidR="00C21F75" w:rsidRPr="000C3E63" w:rsidRDefault="00C21F75" w:rsidP="00C21F75">
      <w:pPr>
        <w:tabs>
          <w:tab w:val="left" w:pos="1985"/>
        </w:tabs>
        <w:spacing w:line="300" w:lineRule="atLeast"/>
        <w:jc w:val="both"/>
        <w:rPr>
          <w:szCs w:val="18"/>
        </w:rPr>
      </w:pPr>
      <w:r w:rsidRPr="000C3E63">
        <w:rPr>
          <w:szCs w:val="18"/>
        </w:rPr>
        <w:t xml:space="preserve">Input estimates: </w:t>
      </w:r>
      <w:r w:rsidRPr="000C3E63">
        <w:rPr>
          <w:szCs w:val="18"/>
        </w:rPr>
        <w:tab/>
      </w:r>
      <w:r w:rsidR="00883073" w:rsidRPr="000C3E63">
        <w:rPr>
          <w:szCs w:val="18"/>
        </w:rPr>
        <w:t>MEDIUM</w:t>
      </w:r>
      <w:r w:rsidR="006B70F6">
        <w:rPr>
          <w:szCs w:val="18"/>
        </w:rPr>
        <w:t xml:space="preserve"> -HIGH</w:t>
      </w:r>
      <w:r w:rsidRPr="000C3E63">
        <w:rPr>
          <w:szCs w:val="18"/>
        </w:rPr>
        <w:t xml:space="preserve"> (because they are based on </w:t>
      </w:r>
      <w:r w:rsidR="003D2292">
        <w:rPr>
          <w:szCs w:val="18"/>
        </w:rPr>
        <w:t xml:space="preserve">recent analytical data) </w:t>
      </w:r>
      <w:r w:rsidR="006B70F6">
        <w:rPr>
          <w:szCs w:val="18"/>
        </w:rPr>
        <w:t xml:space="preserve"> </w:t>
      </w:r>
    </w:p>
    <w:p w14:paraId="74E3AAA9" w14:textId="542286B1" w:rsidR="00C21F75" w:rsidRPr="000C3E63" w:rsidRDefault="00C21F75" w:rsidP="00C21F75">
      <w:pPr>
        <w:tabs>
          <w:tab w:val="left" w:pos="1985"/>
        </w:tabs>
        <w:spacing w:line="300" w:lineRule="atLeast"/>
        <w:jc w:val="both"/>
        <w:rPr>
          <w:szCs w:val="18"/>
        </w:rPr>
      </w:pPr>
      <w:r w:rsidRPr="000C3E63">
        <w:rPr>
          <w:szCs w:val="18"/>
        </w:rPr>
        <w:t xml:space="preserve">Output estimates: </w:t>
      </w:r>
      <w:r w:rsidRPr="000C3E63">
        <w:rPr>
          <w:szCs w:val="18"/>
        </w:rPr>
        <w:tab/>
      </w:r>
      <w:r w:rsidR="005E0D26">
        <w:rPr>
          <w:szCs w:val="18"/>
        </w:rPr>
        <w:t>MEDIUM</w:t>
      </w:r>
      <w:r w:rsidRPr="000C3E63">
        <w:rPr>
          <w:szCs w:val="18"/>
        </w:rPr>
        <w:t xml:space="preserve"> (because the</w:t>
      </w:r>
      <w:r w:rsidR="005E0D26">
        <w:rPr>
          <w:szCs w:val="18"/>
        </w:rPr>
        <w:t xml:space="preserve"> waste output, the largest category, is </w:t>
      </w:r>
      <w:r w:rsidR="00ED0341">
        <w:rPr>
          <w:szCs w:val="18"/>
        </w:rPr>
        <w:t>based on company data</w:t>
      </w:r>
      <w:r w:rsidR="005E0D26">
        <w:rPr>
          <w:szCs w:val="18"/>
        </w:rPr>
        <w:t>)</w:t>
      </w:r>
    </w:p>
    <w:p w14:paraId="5D17014A" w14:textId="77777777" w:rsidR="00350445" w:rsidRPr="00754C65" w:rsidRDefault="00E5793A" w:rsidP="00E5793A">
      <w:pPr>
        <w:pStyle w:val="Heading2"/>
      </w:pPr>
      <w:bookmarkStart w:id="59" w:name="_Toc110355524"/>
      <w:r w:rsidRPr="00754C65">
        <w:t>Aluminium production</w:t>
      </w:r>
      <w:bookmarkEnd w:id="59"/>
    </w:p>
    <w:p w14:paraId="5699634D" w14:textId="77777777" w:rsidR="00E5793A" w:rsidRPr="00754C65" w:rsidRDefault="00E5793A" w:rsidP="003833D6">
      <w:pPr>
        <w:spacing w:line="300" w:lineRule="atLeast"/>
        <w:jc w:val="both"/>
        <w:rPr>
          <w:szCs w:val="18"/>
        </w:rPr>
      </w:pPr>
      <w:r w:rsidRPr="00754C65">
        <w:rPr>
          <w:szCs w:val="18"/>
        </w:rPr>
        <w:t xml:space="preserve">The Toolkit covers two stages in the aluminium production cycle; initial </w:t>
      </w:r>
      <w:r w:rsidR="00B02B05" w:rsidRPr="00754C65">
        <w:rPr>
          <w:szCs w:val="18"/>
        </w:rPr>
        <w:t>refining</w:t>
      </w:r>
      <w:r w:rsidRPr="00754C65">
        <w:rPr>
          <w:szCs w:val="18"/>
        </w:rPr>
        <w:t xml:space="preserve"> of alumina from bauxite, and the production of aluminium metal from alumina, by smelting. The only primary aluminium production plant in New Zealand is the aluminium smelter at Tiwai Point in Southland and this fits into the latter category. </w:t>
      </w:r>
      <w:r w:rsidR="00DE46AE" w:rsidRPr="00754C65">
        <w:rPr>
          <w:szCs w:val="18"/>
        </w:rPr>
        <w:t>As indicated in the 2012 Inventory Report, t</w:t>
      </w:r>
      <w:r w:rsidRPr="00754C65">
        <w:rPr>
          <w:szCs w:val="18"/>
        </w:rPr>
        <w:t xml:space="preserve">he alumina </w:t>
      </w:r>
      <w:r w:rsidR="00B02B05" w:rsidRPr="00754C65">
        <w:rPr>
          <w:szCs w:val="18"/>
        </w:rPr>
        <w:t>is imported from other countries in a highly refined form</w:t>
      </w:r>
      <w:r w:rsidR="005D4C84" w:rsidRPr="00754C65">
        <w:rPr>
          <w:szCs w:val="18"/>
        </w:rPr>
        <w:t>, and is believed to contain no significant concentrations of mercury</w:t>
      </w:r>
      <w:r w:rsidR="00B02B05" w:rsidRPr="00754C65">
        <w:rPr>
          <w:szCs w:val="18"/>
        </w:rPr>
        <w:t>.</w:t>
      </w:r>
    </w:p>
    <w:p w14:paraId="55835EA2" w14:textId="77777777" w:rsidR="00E5793A" w:rsidRPr="00754C65" w:rsidRDefault="00DE46AE" w:rsidP="003833D6">
      <w:pPr>
        <w:spacing w:line="300" w:lineRule="atLeast"/>
        <w:jc w:val="both"/>
        <w:rPr>
          <w:szCs w:val="18"/>
        </w:rPr>
      </w:pPr>
      <w:r w:rsidRPr="00754C65">
        <w:rPr>
          <w:szCs w:val="18"/>
        </w:rPr>
        <w:t>T</w:t>
      </w:r>
      <w:r w:rsidR="000E37FD" w:rsidRPr="00754C65">
        <w:rPr>
          <w:szCs w:val="18"/>
        </w:rPr>
        <w:t xml:space="preserve">here may </w:t>
      </w:r>
      <w:r w:rsidR="004B7DC7" w:rsidRPr="00754C65">
        <w:rPr>
          <w:szCs w:val="18"/>
        </w:rPr>
        <w:t xml:space="preserve">be </w:t>
      </w:r>
      <w:r w:rsidR="000E37FD" w:rsidRPr="00754C65">
        <w:rPr>
          <w:szCs w:val="18"/>
        </w:rPr>
        <w:t xml:space="preserve">some minor releases of mercury on the </w:t>
      </w:r>
      <w:r w:rsidRPr="00754C65">
        <w:rPr>
          <w:szCs w:val="18"/>
        </w:rPr>
        <w:t xml:space="preserve">refinery </w:t>
      </w:r>
      <w:r w:rsidR="000E37FD" w:rsidRPr="00754C65">
        <w:rPr>
          <w:szCs w:val="18"/>
        </w:rPr>
        <w:t>site from the use of fuel oil in ancillary process</w:t>
      </w:r>
      <w:r w:rsidRPr="00754C65">
        <w:rPr>
          <w:szCs w:val="18"/>
        </w:rPr>
        <w:t>es, such as anode manufacture. However, t</w:t>
      </w:r>
      <w:r w:rsidR="000E37FD" w:rsidRPr="00754C65">
        <w:rPr>
          <w:szCs w:val="18"/>
        </w:rPr>
        <w:t>he releases from fuel combustion were previously assessed in section 3.3 so do not need to be covered here.</w:t>
      </w:r>
    </w:p>
    <w:p w14:paraId="2BD248A4" w14:textId="77777777" w:rsidR="00350445" w:rsidRDefault="000E37FD" w:rsidP="003833D6">
      <w:pPr>
        <w:spacing w:line="300" w:lineRule="atLeast"/>
        <w:jc w:val="both"/>
        <w:rPr>
          <w:szCs w:val="18"/>
        </w:rPr>
      </w:pPr>
      <w:r w:rsidRPr="00754C65">
        <w:rPr>
          <w:szCs w:val="18"/>
        </w:rPr>
        <w:t>O</w:t>
      </w:r>
      <w:r w:rsidR="00D21D57" w:rsidRPr="00754C65">
        <w:rPr>
          <w:szCs w:val="18"/>
        </w:rPr>
        <w:t>n the ba</w:t>
      </w:r>
      <w:r w:rsidRPr="00754C65">
        <w:rPr>
          <w:szCs w:val="18"/>
        </w:rPr>
        <w:t xml:space="preserve">sis of the above, the inputs and outputs from primary aluminium manufacture </w:t>
      </w:r>
      <w:r w:rsidR="009406D8" w:rsidRPr="00754C65">
        <w:rPr>
          <w:szCs w:val="18"/>
        </w:rPr>
        <w:t>can be</w:t>
      </w:r>
      <w:r w:rsidRPr="00754C65">
        <w:rPr>
          <w:szCs w:val="18"/>
        </w:rPr>
        <w:t xml:space="preserve"> assessed as zero.</w:t>
      </w:r>
    </w:p>
    <w:p w14:paraId="3D39829C" w14:textId="0AA06250" w:rsidR="000E37FD" w:rsidRPr="00C14DE1" w:rsidRDefault="00D21D57" w:rsidP="00D21D57">
      <w:pPr>
        <w:pStyle w:val="Heading2"/>
      </w:pPr>
      <w:bookmarkStart w:id="60" w:name="_Toc110355525"/>
      <w:r w:rsidRPr="00C14DE1">
        <w:t>Ferrous metal production (iron and steel)</w:t>
      </w:r>
      <w:bookmarkEnd w:id="60"/>
    </w:p>
    <w:p w14:paraId="62547C01" w14:textId="365F3A2A" w:rsidR="000E37FD" w:rsidRPr="00C14DE1" w:rsidRDefault="0065764A" w:rsidP="003833D6">
      <w:pPr>
        <w:spacing w:line="300" w:lineRule="atLeast"/>
        <w:jc w:val="both"/>
        <w:rPr>
          <w:szCs w:val="18"/>
        </w:rPr>
      </w:pPr>
      <w:r w:rsidRPr="00C14DE1">
        <w:rPr>
          <w:szCs w:val="18"/>
        </w:rPr>
        <w:t xml:space="preserve">The only primary iron and steel production in New Zealand is at the </w:t>
      </w:r>
      <w:r w:rsidR="0079618D">
        <w:rPr>
          <w:szCs w:val="18"/>
        </w:rPr>
        <w:t>New Zealand Steel</w:t>
      </w:r>
      <w:r w:rsidR="0079618D">
        <w:rPr>
          <w:rStyle w:val="FootnoteReference"/>
          <w:szCs w:val="18"/>
        </w:rPr>
        <w:footnoteReference w:id="7"/>
      </w:r>
      <w:r w:rsidR="0079618D">
        <w:rPr>
          <w:szCs w:val="18"/>
        </w:rPr>
        <w:t xml:space="preserve"> plant</w:t>
      </w:r>
      <w:r w:rsidR="003157D0" w:rsidRPr="00C14DE1">
        <w:rPr>
          <w:szCs w:val="18"/>
        </w:rPr>
        <w:t xml:space="preserve"> </w:t>
      </w:r>
      <w:r w:rsidR="0079618D">
        <w:rPr>
          <w:szCs w:val="18"/>
        </w:rPr>
        <w:t xml:space="preserve">located in Glenbrook, </w:t>
      </w:r>
      <w:r w:rsidRPr="00C14DE1">
        <w:rPr>
          <w:szCs w:val="18"/>
        </w:rPr>
        <w:t>so</w:t>
      </w:r>
      <w:r w:rsidR="0079618D">
        <w:rPr>
          <w:szCs w:val="18"/>
        </w:rPr>
        <w:t>uth of Auckland</w:t>
      </w:r>
      <w:r w:rsidRPr="00C14DE1">
        <w:rPr>
          <w:szCs w:val="18"/>
        </w:rPr>
        <w:t xml:space="preserve">. This plant is quite unique in that it obtains the iron input from nearby reserves of iron sand, which </w:t>
      </w:r>
      <w:r w:rsidR="0007342B" w:rsidRPr="00C14DE1">
        <w:rPr>
          <w:szCs w:val="18"/>
        </w:rPr>
        <w:t>is a mixture of</w:t>
      </w:r>
      <w:r w:rsidRPr="00C14DE1">
        <w:rPr>
          <w:szCs w:val="18"/>
        </w:rPr>
        <w:t xml:space="preserve"> magnetite</w:t>
      </w:r>
      <w:r w:rsidR="0053171E" w:rsidRPr="00C14DE1">
        <w:rPr>
          <w:szCs w:val="18"/>
        </w:rPr>
        <w:t xml:space="preserve"> and</w:t>
      </w:r>
      <w:r w:rsidR="0007342B" w:rsidRPr="00C14DE1">
        <w:rPr>
          <w:szCs w:val="18"/>
        </w:rPr>
        <w:t xml:space="preserve"> titanomagnetite, plus sand and clay (NZIC, 1998</w:t>
      </w:r>
      <w:r w:rsidR="00D70D66" w:rsidRPr="00C14DE1">
        <w:rPr>
          <w:szCs w:val="18"/>
        </w:rPr>
        <w:t>a</w:t>
      </w:r>
      <w:r w:rsidR="0007342B" w:rsidRPr="00C14DE1">
        <w:rPr>
          <w:szCs w:val="18"/>
        </w:rPr>
        <w:t>)</w:t>
      </w:r>
      <w:r w:rsidRPr="00C14DE1">
        <w:rPr>
          <w:szCs w:val="18"/>
        </w:rPr>
        <w:t xml:space="preserve">. </w:t>
      </w:r>
      <w:r w:rsidR="00086A50" w:rsidRPr="00C14DE1">
        <w:rPr>
          <w:szCs w:val="18"/>
        </w:rPr>
        <w:t>A concentrate of the iron sand is mixed with coal</w:t>
      </w:r>
      <w:r w:rsidR="0007342B" w:rsidRPr="00C14DE1">
        <w:rPr>
          <w:szCs w:val="18"/>
        </w:rPr>
        <w:t>,</w:t>
      </w:r>
      <w:r w:rsidR="00086A50" w:rsidRPr="00C14DE1">
        <w:rPr>
          <w:szCs w:val="18"/>
        </w:rPr>
        <w:t xml:space="preserve"> and heated i</w:t>
      </w:r>
      <w:r w:rsidR="0007342B" w:rsidRPr="00C14DE1">
        <w:rPr>
          <w:szCs w:val="18"/>
        </w:rPr>
        <w:t>n</w:t>
      </w:r>
      <w:r w:rsidR="00086A50" w:rsidRPr="00C14DE1">
        <w:rPr>
          <w:szCs w:val="18"/>
        </w:rPr>
        <w:t xml:space="preserve"> special </w:t>
      </w:r>
      <w:r w:rsidR="0007342B" w:rsidRPr="00C14DE1">
        <w:rPr>
          <w:szCs w:val="18"/>
        </w:rPr>
        <w:t>gas-fired multi-</w:t>
      </w:r>
      <w:r w:rsidR="00086A50" w:rsidRPr="00C14DE1">
        <w:rPr>
          <w:szCs w:val="18"/>
        </w:rPr>
        <w:t>hearth furnace</w:t>
      </w:r>
      <w:r w:rsidR="0007342B" w:rsidRPr="00C14DE1">
        <w:rPr>
          <w:szCs w:val="18"/>
        </w:rPr>
        <w:t>s, followed by further processing in rotary kilns,</w:t>
      </w:r>
      <w:r w:rsidR="00086A50" w:rsidRPr="00C14DE1">
        <w:rPr>
          <w:szCs w:val="18"/>
        </w:rPr>
        <w:t xml:space="preserve"> to form</w:t>
      </w:r>
      <w:r w:rsidR="0007342B" w:rsidRPr="00C14DE1">
        <w:rPr>
          <w:szCs w:val="18"/>
        </w:rPr>
        <w:t xml:space="preserve"> Reduced Primary Concentrate (RPC). The</w:t>
      </w:r>
      <w:r w:rsidR="003157D0" w:rsidRPr="00C14DE1">
        <w:rPr>
          <w:szCs w:val="18"/>
        </w:rPr>
        <w:t xml:space="preserve"> RPC is </w:t>
      </w:r>
      <w:r w:rsidR="0007342B" w:rsidRPr="00C14DE1">
        <w:rPr>
          <w:szCs w:val="18"/>
        </w:rPr>
        <w:t xml:space="preserve">then </w:t>
      </w:r>
      <w:r w:rsidR="003157D0" w:rsidRPr="00C14DE1">
        <w:rPr>
          <w:szCs w:val="18"/>
        </w:rPr>
        <w:t xml:space="preserve">heated in electric arc melters to produce </w:t>
      </w:r>
      <w:r w:rsidR="0007342B" w:rsidRPr="00C14DE1">
        <w:rPr>
          <w:szCs w:val="18"/>
        </w:rPr>
        <w:t>metallic</w:t>
      </w:r>
      <w:r w:rsidR="00086A50" w:rsidRPr="00C14DE1">
        <w:rPr>
          <w:szCs w:val="18"/>
        </w:rPr>
        <w:t xml:space="preserve"> iron</w:t>
      </w:r>
      <w:r w:rsidR="003157D0" w:rsidRPr="00C14DE1">
        <w:rPr>
          <w:szCs w:val="18"/>
        </w:rPr>
        <w:t>, which is further processed in a KOBM (Klockner Oxygen Blown Maxhutte) Converter to produce steel</w:t>
      </w:r>
      <w:r w:rsidR="00086A50" w:rsidRPr="00C14DE1">
        <w:rPr>
          <w:szCs w:val="18"/>
        </w:rPr>
        <w:t>.</w:t>
      </w:r>
      <w:r w:rsidR="0007342B" w:rsidRPr="00C14DE1">
        <w:rPr>
          <w:szCs w:val="18"/>
        </w:rPr>
        <w:t xml:space="preserve"> </w:t>
      </w:r>
      <w:r w:rsidR="00C14DE1" w:rsidRPr="0023228D">
        <w:rPr>
          <w:szCs w:val="18"/>
        </w:rPr>
        <w:t xml:space="preserve">The total steel production for the </w:t>
      </w:r>
      <w:r w:rsidR="002B0BF6">
        <w:rPr>
          <w:szCs w:val="18"/>
        </w:rPr>
        <w:t xml:space="preserve">2024 </w:t>
      </w:r>
      <w:r w:rsidR="00C14DE1">
        <w:rPr>
          <w:szCs w:val="18"/>
        </w:rPr>
        <w:t xml:space="preserve">calendar </w:t>
      </w:r>
      <w:r w:rsidR="00C14DE1" w:rsidRPr="0023228D">
        <w:rPr>
          <w:szCs w:val="18"/>
        </w:rPr>
        <w:t xml:space="preserve">year </w:t>
      </w:r>
      <w:r w:rsidR="00C14DE1">
        <w:rPr>
          <w:szCs w:val="18"/>
        </w:rPr>
        <w:t xml:space="preserve">was </w:t>
      </w:r>
      <w:r w:rsidR="002B0BF6">
        <w:rPr>
          <w:szCs w:val="18"/>
        </w:rPr>
        <w:t xml:space="preserve">571,804 </w:t>
      </w:r>
      <w:r w:rsidR="00C14DE1" w:rsidRPr="0023228D">
        <w:rPr>
          <w:szCs w:val="18"/>
        </w:rPr>
        <w:t>tonnes and the mill used</w:t>
      </w:r>
      <w:r w:rsidR="00C14DE1">
        <w:rPr>
          <w:szCs w:val="18"/>
        </w:rPr>
        <w:t xml:space="preserve"> </w:t>
      </w:r>
      <w:r w:rsidR="002B0BF6">
        <w:rPr>
          <w:szCs w:val="18"/>
        </w:rPr>
        <w:t xml:space="preserve">755,664 </w:t>
      </w:r>
      <w:r w:rsidR="00C14DE1" w:rsidRPr="0023228D">
        <w:rPr>
          <w:szCs w:val="18"/>
        </w:rPr>
        <w:t>tonnes of Waikato and Indonesian coal</w:t>
      </w:r>
      <w:r w:rsidR="00C14DE1" w:rsidRPr="0023228D">
        <w:rPr>
          <w:rStyle w:val="FootnoteReference"/>
          <w:szCs w:val="18"/>
        </w:rPr>
        <w:footnoteReference w:id="8"/>
      </w:r>
      <w:r w:rsidR="00C14DE1" w:rsidRPr="0023228D">
        <w:rPr>
          <w:szCs w:val="18"/>
        </w:rPr>
        <w:t>,</w:t>
      </w:r>
      <w:r w:rsidR="00C14DE1">
        <w:rPr>
          <w:szCs w:val="18"/>
        </w:rPr>
        <w:t xml:space="preserve"> and </w:t>
      </w:r>
      <w:r w:rsidR="006B62FF">
        <w:rPr>
          <w:szCs w:val="18"/>
        </w:rPr>
        <w:t>52,291</w:t>
      </w:r>
      <w:r w:rsidR="00C14DE1" w:rsidRPr="0023228D">
        <w:rPr>
          <w:szCs w:val="18"/>
        </w:rPr>
        <w:t xml:space="preserve"> tonnes of lime (</w:t>
      </w:r>
      <w:r w:rsidR="006B62FF">
        <w:rPr>
          <w:szCs w:val="18"/>
        </w:rPr>
        <w:t>C Brown</w:t>
      </w:r>
      <w:r w:rsidR="00C14DE1" w:rsidRPr="0023228D">
        <w:rPr>
          <w:szCs w:val="18"/>
        </w:rPr>
        <w:t xml:space="preserve">, </w:t>
      </w:r>
      <w:r w:rsidR="0079618D">
        <w:rPr>
          <w:szCs w:val="18"/>
        </w:rPr>
        <w:t>New Zealand</w:t>
      </w:r>
      <w:r w:rsidR="00C14DE1" w:rsidRPr="0023228D">
        <w:rPr>
          <w:szCs w:val="18"/>
        </w:rPr>
        <w:t xml:space="preserve"> Steel, pers</w:t>
      </w:r>
      <w:r w:rsidR="003E3B3A">
        <w:rPr>
          <w:szCs w:val="18"/>
        </w:rPr>
        <w:t>.</w:t>
      </w:r>
      <w:r w:rsidR="00C14DE1" w:rsidRPr="0023228D">
        <w:rPr>
          <w:szCs w:val="18"/>
        </w:rPr>
        <w:t xml:space="preserve"> comm,</w:t>
      </w:r>
      <w:r w:rsidR="003E3B3A">
        <w:rPr>
          <w:szCs w:val="18"/>
        </w:rPr>
        <w:t xml:space="preserve"> </w:t>
      </w:r>
      <w:r w:rsidR="006B62FF">
        <w:rPr>
          <w:szCs w:val="18"/>
        </w:rPr>
        <w:t>2025</w:t>
      </w:r>
      <w:r w:rsidR="00C14DE1" w:rsidRPr="0023228D">
        <w:rPr>
          <w:szCs w:val="18"/>
        </w:rPr>
        <w:t>).</w:t>
      </w:r>
      <w:r w:rsidR="00C14DE1">
        <w:rPr>
          <w:szCs w:val="18"/>
        </w:rPr>
        <w:t xml:space="preserve"> </w:t>
      </w:r>
    </w:p>
    <w:p w14:paraId="5E260A54" w14:textId="3181EFC8" w:rsidR="00D21D57" w:rsidRPr="00C14DE1" w:rsidRDefault="00597DA4" w:rsidP="003833D6">
      <w:pPr>
        <w:spacing w:line="300" w:lineRule="atLeast"/>
        <w:jc w:val="both"/>
        <w:rPr>
          <w:szCs w:val="18"/>
        </w:rPr>
      </w:pPr>
      <w:r w:rsidRPr="00C14DE1">
        <w:rPr>
          <w:szCs w:val="18"/>
        </w:rPr>
        <w:t xml:space="preserve">The ferrous metal sub-category in the Toolkit refers to </w:t>
      </w:r>
      <w:r w:rsidR="00A96FAD" w:rsidRPr="00C14DE1">
        <w:rPr>
          <w:szCs w:val="18"/>
        </w:rPr>
        <w:t>a</w:t>
      </w:r>
      <w:r w:rsidRPr="00C14DE1">
        <w:rPr>
          <w:szCs w:val="18"/>
        </w:rPr>
        <w:t xml:space="preserve"> much more common iron making process which involves </w:t>
      </w:r>
      <w:r w:rsidR="00232361" w:rsidRPr="00C14DE1">
        <w:rPr>
          <w:szCs w:val="18"/>
        </w:rPr>
        <w:t>the processing</w:t>
      </w:r>
      <w:r w:rsidRPr="00C14DE1">
        <w:rPr>
          <w:szCs w:val="18"/>
        </w:rPr>
        <w:t xml:space="preserve"> of iron ore – usually haematite - in a sintering plant, followed by treatment in a </w:t>
      </w:r>
      <w:r w:rsidR="00A96FAD" w:rsidRPr="00C14DE1">
        <w:rPr>
          <w:szCs w:val="18"/>
        </w:rPr>
        <w:t>blast furnace</w:t>
      </w:r>
      <w:r w:rsidRPr="00C14DE1">
        <w:rPr>
          <w:szCs w:val="18"/>
        </w:rPr>
        <w:t xml:space="preserve"> to produce pig iron, and subsequent processing into iron and steel. In terms of mercury inputs, the key differences between this and the New Zealand process would be the mercury content of the iron sand or iron ore, and the </w:t>
      </w:r>
      <w:r w:rsidR="005A424C" w:rsidRPr="00C14DE1">
        <w:rPr>
          <w:szCs w:val="18"/>
        </w:rPr>
        <w:t xml:space="preserve">relative </w:t>
      </w:r>
      <w:r w:rsidRPr="00C14DE1">
        <w:rPr>
          <w:szCs w:val="18"/>
        </w:rPr>
        <w:t>amount</w:t>
      </w:r>
      <w:r w:rsidR="005A424C" w:rsidRPr="00C14DE1">
        <w:rPr>
          <w:szCs w:val="18"/>
        </w:rPr>
        <w:t>s</w:t>
      </w:r>
      <w:r w:rsidRPr="00C14DE1">
        <w:rPr>
          <w:szCs w:val="18"/>
        </w:rPr>
        <w:t xml:space="preserve"> of coal used. </w:t>
      </w:r>
      <w:r w:rsidR="005A424C" w:rsidRPr="00C14DE1">
        <w:rPr>
          <w:szCs w:val="18"/>
        </w:rPr>
        <w:t>In both processes most of the mercury is likely to be released to air during the first two processing stages (ie</w:t>
      </w:r>
      <w:r w:rsidR="008739BF">
        <w:rPr>
          <w:szCs w:val="18"/>
        </w:rPr>
        <w:t>,</w:t>
      </w:r>
      <w:r w:rsidR="005A424C" w:rsidRPr="00C14DE1">
        <w:rPr>
          <w:szCs w:val="18"/>
        </w:rPr>
        <w:t xml:space="preserve"> </w:t>
      </w:r>
      <w:r w:rsidR="0053171E" w:rsidRPr="00C14DE1">
        <w:rPr>
          <w:szCs w:val="18"/>
        </w:rPr>
        <w:t>for</w:t>
      </w:r>
      <w:r w:rsidR="005A424C" w:rsidRPr="00C14DE1">
        <w:rPr>
          <w:szCs w:val="18"/>
        </w:rPr>
        <w:t xml:space="preserve"> N</w:t>
      </w:r>
      <w:r w:rsidR="0053171E" w:rsidRPr="00C14DE1">
        <w:rPr>
          <w:szCs w:val="18"/>
        </w:rPr>
        <w:t xml:space="preserve">ew </w:t>
      </w:r>
      <w:r w:rsidR="005A424C" w:rsidRPr="00C14DE1">
        <w:rPr>
          <w:szCs w:val="18"/>
        </w:rPr>
        <w:t>Z</w:t>
      </w:r>
      <w:r w:rsidR="0053171E" w:rsidRPr="00C14DE1">
        <w:rPr>
          <w:szCs w:val="18"/>
        </w:rPr>
        <w:t>ealand</w:t>
      </w:r>
      <w:r w:rsidR="005A424C" w:rsidRPr="00C14DE1">
        <w:rPr>
          <w:szCs w:val="18"/>
        </w:rPr>
        <w:t xml:space="preserve">, </w:t>
      </w:r>
      <w:r w:rsidR="0053171E" w:rsidRPr="00C14DE1">
        <w:rPr>
          <w:szCs w:val="18"/>
        </w:rPr>
        <w:t xml:space="preserve">in </w:t>
      </w:r>
      <w:r w:rsidR="005A424C" w:rsidRPr="00C14DE1">
        <w:rPr>
          <w:szCs w:val="18"/>
        </w:rPr>
        <w:t xml:space="preserve">the manufacture of RPC and processing in the KOBM). </w:t>
      </w:r>
    </w:p>
    <w:p w14:paraId="1BE1AB7B" w14:textId="6B2A2313" w:rsidR="00C14DE1" w:rsidRDefault="00C9116B" w:rsidP="003833D6">
      <w:pPr>
        <w:spacing w:line="300" w:lineRule="atLeast"/>
        <w:jc w:val="both"/>
        <w:rPr>
          <w:szCs w:val="18"/>
        </w:rPr>
      </w:pPr>
      <w:r>
        <w:rPr>
          <w:szCs w:val="18"/>
        </w:rPr>
        <w:t xml:space="preserve">Mercury analysis of the extracts from leaching tests conducted on KOBM slag, KOBM Baghouse dust, VRU dropout box wastes, Clay Slimes and </w:t>
      </w:r>
      <w:r w:rsidR="00152A08">
        <w:rPr>
          <w:szCs w:val="18"/>
        </w:rPr>
        <w:t>i</w:t>
      </w:r>
      <w:r>
        <w:rPr>
          <w:szCs w:val="18"/>
        </w:rPr>
        <w:t xml:space="preserve">ron bearing sludge from the IP were found to be </w:t>
      </w:r>
      <w:r w:rsidR="00C14DE1">
        <w:rPr>
          <w:szCs w:val="18"/>
        </w:rPr>
        <w:t>less than 0.00008 g/m</w:t>
      </w:r>
      <w:r w:rsidR="00C14DE1" w:rsidRPr="009F3C20">
        <w:rPr>
          <w:szCs w:val="18"/>
          <w:vertAlign w:val="superscript"/>
        </w:rPr>
        <w:t>3</w:t>
      </w:r>
      <w:r w:rsidR="00C14DE1">
        <w:rPr>
          <w:szCs w:val="18"/>
        </w:rPr>
        <w:t xml:space="preserve"> for tests conducted in </w:t>
      </w:r>
      <w:r>
        <w:rPr>
          <w:szCs w:val="18"/>
        </w:rPr>
        <w:t xml:space="preserve">2024 </w:t>
      </w:r>
      <w:r w:rsidR="00C14DE1" w:rsidRPr="0023228D">
        <w:rPr>
          <w:szCs w:val="18"/>
        </w:rPr>
        <w:t>(</w:t>
      </w:r>
      <w:r w:rsidR="006B62FF">
        <w:rPr>
          <w:szCs w:val="18"/>
        </w:rPr>
        <w:t>C Brown</w:t>
      </w:r>
      <w:r w:rsidR="00C14DE1" w:rsidRPr="0023228D">
        <w:rPr>
          <w:szCs w:val="18"/>
        </w:rPr>
        <w:t xml:space="preserve">, </w:t>
      </w:r>
      <w:r w:rsidR="0079618D">
        <w:rPr>
          <w:szCs w:val="18"/>
        </w:rPr>
        <w:t>New Zealand</w:t>
      </w:r>
      <w:r w:rsidR="00C14DE1" w:rsidRPr="0023228D">
        <w:rPr>
          <w:szCs w:val="18"/>
        </w:rPr>
        <w:t xml:space="preserve"> Steel, pers comm,</w:t>
      </w:r>
      <w:r w:rsidR="00272953">
        <w:rPr>
          <w:szCs w:val="18"/>
        </w:rPr>
        <w:t xml:space="preserve"> </w:t>
      </w:r>
      <w:r w:rsidR="002D573F">
        <w:rPr>
          <w:szCs w:val="18"/>
        </w:rPr>
        <w:t>2025</w:t>
      </w:r>
      <w:r w:rsidR="00C14DE1" w:rsidRPr="0023228D">
        <w:rPr>
          <w:szCs w:val="18"/>
        </w:rPr>
        <w:t>).</w:t>
      </w:r>
    </w:p>
    <w:p w14:paraId="74671BCB" w14:textId="67F66536" w:rsidR="005A424C" w:rsidRPr="00C14DE1" w:rsidRDefault="00C14DE1" w:rsidP="003833D6">
      <w:pPr>
        <w:spacing w:line="300" w:lineRule="atLeast"/>
        <w:jc w:val="both"/>
        <w:rPr>
          <w:szCs w:val="18"/>
        </w:rPr>
      </w:pPr>
      <w:r>
        <w:rPr>
          <w:szCs w:val="18"/>
        </w:rPr>
        <w:t>A</w:t>
      </w:r>
      <w:r w:rsidR="005A424C" w:rsidRPr="00C14DE1">
        <w:rPr>
          <w:szCs w:val="18"/>
        </w:rPr>
        <w:t xml:space="preserve">n initial assessment of the likely mercury inputs and releases can be obtained from consideration of the coal and limestone inputs to the process, as these are likely to be the main contributors to the releases. The mercury content of Waikato coal was discussed in section 3.2, and the content of lime is discussed in section </w:t>
      </w:r>
      <w:r w:rsidR="0003101F" w:rsidRPr="00C14DE1">
        <w:rPr>
          <w:szCs w:val="18"/>
        </w:rPr>
        <w:t>5</w:t>
      </w:r>
      <w:r w:rsidR="005A424C" w:rsidRPr="00C14DE1">
        <w:rPr>
          <w:szCs w:val="18"/>
        </w:rPr>
        <w:t>.</w:t>
      </w:r>
      <w:r w:rsidR="0003101F" w:rsidRPr="00C14DE1">
        <w:rPr>
          <w:szCs w:val="18"/>
        </w:rPr>
        <w:t>3</w:t>
      </w:r>
      <w:r w:rsidR="00DB666C" w:rsidRPr="00C14DE1">
        <w:rPr>
          <w:szCs w:val="18"/>
        </w:rPr>
        <w:t>, and the same ranges of values have been used for</w:t>
      </w:r>
      <w:r w:rsidR="005A424C" w:rsidRPr="00C14DE1">
        <w:rPr>
          <w:szCs w:val="18"/>
        </w:rPr>
        <w:t xml:space="preserve"> the steel input estimates</w:t>
      </w:r>
      <w:r w:rsidR="00DB666C" w:rsidRPr="00C14DE1">
        <w:rPr>
          <w:szCs w:val="18"/>
        </w:rPr>
        <w:t>.</w:t>
      </w:r>
      <w:r w:rsidR="005A424C" w:rsidRPr="00C14DE1">
        <w:rPr>
          <w:szCs w:val="18"/>
        </w:rPr>
        <w:t xml:space="preserve"> The </w:t>
      </w:r>
      <w:r w:rsidR="00232361" w:rsidRPr="00C14DE1">
        <w:rPr>
          <w:szCs w:val="18"/>
        </w:rPr>
        <w:t xml:space="preserve">steel mill air </w:t>
      </w:r>
      <w:r w:rsidR="005A424C" w:rsidRPr="00C14DE1">
        <w:rPr>
          <w:szCs w:val="18"/>
        </w:rPr>
        <w:t xml:space="preserve">emissions </w:t>
      </w:r>
      <w:r w:rsidR="00232361" w:rsidRPr="00C14DE1">
        <w:rPr>
          <w:szCs w:val="18"/>
        </w:rPr>
        <w:t xml:space="preserve">are passed through bag filters prior to discharge, so the Toolkit distribution factors for fabric filters on coal combustion plants </w:t>
      </w:r>
      <w:r w:rsidR="005B35CB" w:rsidRPr="00C14DE1">
        <w:rPr>
          <w:szCs w:val="18"/>
        </w:rPr>
        <w:t>have been</w:t>
      </w:r>
      <w:r w:rsidR="00232361" w:rsidRPr="00C14DE1">
        <w:rPr>
          <w:szCs w:val="18"/>
        </w:rPr>
        <w:t xml:space="preserve"> used for the output distribution; ie. 50% to air and 50% to</w:t>
      </w:r>
      <w:r w:rsidR="00A357C2">
        <w:rPr>
          <w:szCs w:val="18"/>
        </w:rPr>
        <w:t xml:space="preserve"> land as the baghouse dusts go to a controlled landfill at the NZ Stee</w:t>
      </w:r>
      <w:r w:rsidR="00633B48">
        <w:rPr>
          <w:szCs w:val="18"/>
        </w:rPr>
        <w:t>l site.</w:t>
      </w:r>
    </w:p>
    <w:p w14:paraId="32A22E70" w14:textId="355A8688" w:rsidR="006F6748" w:rsidRPr="00C14DE1" w:rsidRDefault="00232361" w:rsidP="006F6748">
      <w:pPr>
        <w:spacing w:line="300" w:lineRule="atLeast"/>
        <w:jc w:val="both"/>
        <w:rPr>
          <w:szCs w:val="18"/>
        </w:rPr>
      </w:pPr>
      <w:r w:rsidRPr="00C14DE1">
        <w:rPr>
          <w:szCs w:val="18"/>
        </w:rPr>
        <w:t>The mercury input and output calculations for primary ferrous metal production are shown in</w:t>
      </w:r>
      <w:r w:rsidR="006F6748" w:rsidRPr="00C14DE1">
        <w:rPr>
          <w:szCs w:val="18"/>
        </w:rPr>
        <w:t xml:space="preserve"> Table 4-4. </w:t>
      </w:r>
    </w:p>
    <w:p w14:paraId="271828EE" w14:textId="13CBEA87" w:rsidR="00232361" w:rsidRPr="00C14DE1" w:rsidRDefault="00232361" w:rsidP="00232361">
      <w:pPr>
        <w:pStyle w:val="Caption"/>
        <w:spacing w:before="240"/>
        <w:rPr>
          <w:szCs w:val="18"/>
        </w:rPr>
      </w:pPr>
      <w:bookmarkStart w:id="61" w:name="_Ref358447489"/>
      <w:bookmarkStart w:id="62" w:name="_Toc110355470"/>
      <w:r w:rsidRPr="00C14DE1">
        <w:rPr>
          <w:rFonts w:ascii="Arial" w:hAnsi="Arial" w:cs="Arial"/>
        </w:rPr>
        <w:t xml:space="preserve">Table </w:t>
      </w:r>
      <w:r w:rsidR="00390C9F" w:rsidRPr="00C14DE1">
        <w:rPr>
          <w:rFonts w:ascii="Arial" w:hAnsi="Arial" w:cs="Arial"/>
        </w:rPr>
        <w:fldChar w:fldCharType="begin"/>
      </w:r>
      <w:r w:rsidR="00390C9F" w:rsidRPr="00C14DE1">
        <w:rPr>
          <w:rFonts w:ascii="Arial" w:hAnsi="Arial" w:cs="Arial"/>
        </w:rPr>
        <w:instrText xml:space="preserve"> STYLEREF 1 \s </w:instrText>
      </w:r>
      <w:r w:rsidR="00390C9F" w:rsidRPr="00C14DE1">
        <w:rPr>
          <w:rFonts w:ascii="Arial" w:hAnsi="Arial" w:cs="Arial"/>
        </w:rPr>
        <w:fldChar w:fldCharType="separate"/>
      </w:r>
      <w:r w:rsidR="00892B2D">
        <w:rPr>
          <w:rFonts w:ascii="Arial" w:hAnsi="Arial" w:cs="Arial"/>
          <w:noProof/>
        </w:rPr>
        <w:t>4</w:t>
      </w:r>
      <w:r w:rsidR="00390C9F" w:rsidRPr="00C14DE1">
        <w:rPr>
          <w:rFonts w:ascii="Arial" w:hAnsi="Arial" w:cs="Arial"/>
        </w:rPr>
        <w:fldChar w:fldCharType="end"/>
      </w:r>
      <w:r w:rsidR="00390C9F" w:rsidRPr="00C14DE1">
        <w:rPr>
          <w:rFonts w:ascii="Arial" w:hAnsi="Arial" w:cs="Arial"/>
        </w:rPr>
        <w:noBreakHyphen/>
      </w:r>
      <w:r w:rsidR="00390C9F" w:rsidRPr="00C14DE1">
        <w:rPr>
          <w:rFonts w:ascii="Arial" w:hAnsi="Arial" w:cs="Arial"/>
        </w:rPr>
        <w:fldChar w:fldCharType="begin"/>
      </w:r>
      <w:r w:rsidR="00390C9F" w:rsidRPr="00C14DE1">
        <w:rPr>
          <w:rFonts w:ascii="Arial" w:hAnsi="Arial" w:cs="Arial"/>
        </w:rPr>
        <w:instrText xml:space="preserve"> SEQ Table \* ARABIC \s 1 </w:instrText>
      </w:r>
      <w:r w:rsidR="00390C9F" w:rsidRPr="00C14DE1">
        <w:rPr>
          <w:rFonts w:ascii="Arial" w:hAnsi="Arial" w:cs="Arial"/>
        </w:rPr>
        <w:fldChar w:fldCharType="separate"/>
      </w:r>
      <w:r w:rsidR="00892B2D">
        <w:rPr>
          <w:rFonts w:ascii="Arial" w:hAnsi="Arial" w:cs="Arial"/>
          <w:noProof/>
        </w:rPr>
        <w:t>4</w:t>
      </w:r>
      <w:r w:rsidR="00390C9F" w:rsidRPr="00C14DE1">
        <w:rPr>
          <w:rFonts w:ascii="Arial" w:hAnsi="Arial" w:cs="Arial"/>
        </w:rPr>
        <w:fldChar w:fldCharType="end"/>
      </w:r>
      <w:bookmarkEnd w:id="61"/>
      <w:r w:rsidRPr="00C14DE1">
        <w:rPr>
          <w:rFonts w:ascii="Arial" w:hAnsi="Arial" w:cs="Arial"/>
        </w:rPr>
        <w:t>:</w:t>
      </w:r>
      <w:r w:rsidR="00183044">
        <w:rPr>
          <w:rFonts w:ascii="Arial" w:hAnsi="Arial" w:cs="Arial"/>
        </w:rPr>
        <w:t xml:space="preserve"> </w:t>
      </w:r>
      <w:r w:rsidRPr="00C14DE1">
        <w:t xml:space="preserve"> </w:t>
      </w:r>
      <w:r w:rsidRPr="00C14DE1">
        <w:rPr>
          <w:rFonts w:ascii="Arial" w:hAnsi="Arial" w:cs="Arial"/>
        </w:rPr>
        <w:t>Input and output estimates for primary ferrous metal production</w:t>
      </w:r>
      <w:bookmarkEnd w:id="62"/>
    </w:p>
    <w:tbl>
      <w:tblPr>
        <w:tblStyle w:val="TableGrid"/>
        <w:tblW w:w="0" w:type="auto"/>
        <w:tblLook w:val="04A0" w:firstRow="1" w:lastRow="0" w:firstColumn="1" w:lastColumn="0" w:noHBand="0" w:noVBand="1"/>
      </w:tblPr>
      <w:tblGrid>
        <w:gridCol w:w="1882"/>
        <w:gridCol w:w="1252"/>
        <w:gridCol w:w="1245"/>
        <w:gridCol w:w="1570"/>
        <w:gridCol w:w="1538"/>
        <w:gridCol w:w="1574"/>
      </w:tblGrid>
      <w:tr w:rsidR="00EA4F4B" w:rsidRPr="00C14DE1" w14:paraId="2EAFF703" w14:textId="77777777" w:rsidTr="006E7F4E">
        <w:tc>
          <w:tcPr>
            <w:tcW w:w="1882" w:type="dxa"/>
            <w:vMerge w:val="restart"/>
            <w:vAlign w:val="center"/>
          </w:tcPr>
          <w:p w14:paraId="64E6E87B" w14:textId="77777777" w:rsidR="00EA4F4B" w:rsidRPr="00C14DE1" w:rsidRDefault="00EA4F4B" w:rsidP="00284F82">
            <w:pPr>
              <w:spacing w:line="300" w:lineRule="atLeast"/>
              <w:jc w:val="center"/>
              <w:rPr>
                <w:rFonts w:ascii="Arial" w:hAnsi="Arial" w:cs="Arial"/>
                <w:b/>
                <w:sz w:val="16"/>
                <w:szCs w:val="16"/>
              </w:rPr>
            </w:pPr>
            <w:r w:rsidRPr="00C14DE1">
              <w:rPr>
                <w:rFonts w:ascii="Arial" w:hAnsi="Arial" w:cs="Arial"/>
                <w:b/>
                <w:sz w:val="16"/>
                <w:szCs w:val="16"/>
              </w:rPr>
              <w:t>Source</w:t>
            </w:r>
          </w:p>
        </w:tc>
        <w:tc>
          <w:tcPr>
            <w:tcW w:w="1252" w:type="dxa"/>
            <w:vMerge w:val="restart"/>
            <w:vAlign w:val="center"/>
          </w:tcPr>
          <w:p w14:paraId="0971B577" w14:textId="77777777" w:rsidR="00EA4F4B" w:rsidRPr="00C14DE1" w:rsidRDefault="00EA4F4B" w:rsidP="00284F82">
            <w:pPr>
              <w:spacing w:line="300" w:lineRule="atLeast"/>
              <w:jc w:val="center"/>
              <w:rPr>
                <w:rFonts w:ascii="Arial" w:hAnsi="Arial" w:cs="Arial"/>
                <w:b/>
                <w:sz w:val="16"/>
                <w:szCs w:val="16"/>
              </w:rPr>
            </w:pPr>
            <w:r w:rsidRPr="00C14DE1">
              <w:rPr>
                <w:rFonts w:ascii="Arial" w:hAnsi="Arial" w:cs="Arial"/>
                <w:b/>
                <w:sz w:val="16"/>
                <w:szCs w:val="16"/>
              </w:rPr>
              <w:t>Activity Rate, tonnes/yr</w:t>
            </w:r>
          </w:p>
        </w:tc>
        <w:tc>
          <w:tcPr>
            <w:tcW w:w="1245" w:type="dxa"/>
            <w:vMerge w:val="restart"/>
            <w:vAlign w:val="center"/>
          </w:tcPr>
          <w:p w14:paraId="6A4B5697" w14:textId="77777777" w:rsidR="00EA4F4B" w:rsidRPr="00C14DE1" w:rsidRDefault="00EA4F4B" w:rsidP="00284F82">
            <w:pPr>
              <w:spacing w:line="300" w:lineRule="atLeast"/>
              <w:jc w:val="center"/>
              <w:rPr>
                <w:rFonts w:ascii="Arial" w:hAnsi="Arial" w:cs="Arial"/>
                <w:b/>
                <w:sz w:val="16"/>
                <w:szCs w:val="16"/>
              </w:rPr>
            </w:pPr>
            <w:r w:rsidRPr="00C14DE1">
              <w:rPr>
                <w:rFonts w:ascii="Arial" w:hAnsi="Arial" w:cs="Arial"/>
                <w:b/>
                <w:sz w:val="16"/>
                <w:szCs w:val="16"/>
              </w:rPr>
              <w:t>Mercury content, mg/kg</w:t>
            </w:r>
          </w:p>
        </w:tc>
        <w:tc>
          <w:tcPr>
            <w:tcW w:w="1570" w:type="dxa"/>
            <w:vMerge w:val="restart"/>
            <w:vAlign w:val="center"/>
          </w:tcPr>
          <w:p w14:paraId="6745E02E" w14:textId="77777777" w:rsidR="00EA4F4B" w:rsidRPr="00C14DE1" w:rsidRDefault="00EA4F4B" w:rsidP="00284F82">
            <w:pPr>
              <w:spacing w:line="300" w:lineRule="atLeast"/>
              <w:jc w:val="center"/>
              <w:rPr>
                <w:rFonts w:ascii="Arial" w:hAnsi="Arial" w:cs="Arial"/>
                <w:b/>
                <w:sz w:val="16"/>
                <w:szCs w:val="16"/>
              </w:rPr>
            </w:pPr>
            <w:r w:rsidRPr="00C14DE1">
              <w:rPr>
                <w:rFonts w:ascii="Arial" w:hAnsi="Arial" w:cs="Arial"/>
                <w:b/>
                <w:sz w:val="16"/>
                <w:szCs w:val="16"/>
              </w:rPr>
              <w:t>Annual Mercury Inputs, kg/yr</w:t>
            </w:r>
          </w:p>
        </w:tc>
        <w:tc>
          <w:tcPr>
            <w:tcW w:w="3112" w:type="dxa"/>
            <w:gridSpan w:val="2"/>
            <w:vAlign w:val="center"/>
          </w:tcPr>
          <w:p w14:paraId="7EB6322D" w14:textId="77777777" w:rsidR="00EA4F4B" w:rsidRPr="00C14DE1" w:rsidRDefault="00EA4F4B" w:rsidP="00284F82">
            <w:pPr>
              <w:spacing w:line="300" w:lineRule="atLeast"/>
              <w:jc w:val="center"/>
              <w:rPr>
                <w:rFonts w:ascii="Arial" w:hAnsi="Arial" w:cs="Arial"/>
                <w:b/>
                <w:sz w:val="16"/>
                <w:szCs w:val="16"/>
              </w:rPr>
            </w:pPr>
            <w:r w:rsidRPr="00C14DE1">
              <w:rPr>
                <w:rFonts w:ascii="Arial" w:hAnsi="Arial" w:cs="Arial"/>
                <w:b/>
                <w:sz w:val="16"/>
                <w:szCs w:val="16"/>
              </w:rPr>
              <w:t>Annual Mercury Outputs, kg/yr</w:t>
            </w:r>
          </w:p>
        </w:tc>
      </w:tr>
      <w:tr w:rsidR="00EA4F4B" w:rsidRPr="00C14DE1" w14:paraId="69732221" w14:textId="77777777" w:rsidTr="006E7F4E">
        <w:tc>
          <w:tcPr>
            <w:tcW w:w="1882" w:type="dxa"/>
            <w:vMerge/>
            <w:vAlign w:val="center"/>
          </w:tcPr>
          <w:p w14:paraId="2FA401F0" w14:textId="77777777" w:rsidR="00EA4F4B" w:rsidRPr="00C14DE1" w:rsidRDefault="00EA4F4B" w:rsidP="00284F82">
            <w:pPr>
              <w:spacing w:line="300" w:lineRule="atLeast"/>
              <w:jc w:val="center"/>
              <w:rPr>
                <w:rFonts w:ascii="Arial" w:hAnsi="Arial" w:cs="Arial"/>
                <w:b/>
                <w:sz w:val="16"/>
                <w:szCs w:val="16"/>
              </w:rPr>
            </w:pPr>
          </w:p>
        </w:tc>
        <w:tc>
          <w:tcPr>
            <w:tcW w:w="1252" w:type="dxa"/>
            <w:vMerge/>
            <w:vAlign w:val="center"/>
          </w:tcPr>
          <w:p w14:paraId="41EB117B" w14:textId="77777777" w:rsidR="00EA4F4B" w:rsidRPr="00C14DE1" w:rsidRDefault="00EA4F4B" w:rsidP="00284F82">
            <w:pPr>
              <w:spacing w:line="300" w:lineRule="atLeast"/>
              <w:jc w:val="center"/>
              <w:rPr>
                <w:rFonts w:ascii="Arial" w:hAnsi="Arial" w:cs="Arial"/>
                <w:b/>
                <w:sz w:val="16"/>
                <w:szCs w:val="16"/>
              </w:rPr>
            </w:pPr>
          </w:p>
        </w:tc>
        <w:tc>
          <w:tcPr>
            <w:tcW w:w="1245" w:type="dxa"/>
            <w:vMerge/>
            <w:vAlign w:val="center"/>
          </w:tcPr>
          <w:p w14:paraId="720A657C" w14:textId="77777777" w:rsidR="00EA4F4B" w:rsidRPr="00C14DE1" w:rsidRDefault="00EA4F4B" w:rsidP="00284F82">
            <w:pPr>
              <w:spacing w:line="300" w:lineRule="atLeast"/>
              <w:jc w:val="center"/>
              <w:rPr>
                <w:rFonts w:ascii="Arial" w:hAnsi="Arial" w:cs="Arial"/>
                <w:b/>
                <w:sz w:val="16"/>
                <w:szCs w:val="16"/>
              </w:rPr>
            </w:pPr>
          </w:p>
        </w:tc>
        <w:tc>
          <w:tcPr>
            <w:tcW w:w="1570" w:type="dxa"/>
            <w:vMerge/>
            <w:vAlign w:val="center"/>
          </w:tcPr>
          <w:p w14:paraId="13E44308" w14:textId="77777777" w:rsidR="00EA4F4B" w:rsidRPr="00C14DE1" w:rsidRDefault="00EA4F4B" w:rsidP="00284F82">
            <w:pPr>
              <w:spacing w:line="300" w:lineRule="atLeast"/>
              <w:jc w:val="center"/>
              <w:rPr>
                <w:rFonts w:ascii="Arial" w:hAnsi="Arial" w:cs="Arial"/>
                <w:b/>
                <w:sz w:val="16"/>
                <w:szCs w:val="16"/>
              </w:rPr>
            </w:pPr>
          </w:p>
        </w:tc>
        <w:tc>
          <w:tcPr>
            <w:tcW w:w="1538" w:type="dxa"/>
            <w:vAlign w:val="center"/>
          </w:tcPr>
          <w:p w14:paraId="36EC3C7C" w14:textId="77777777" w:rsidR="00EA4F4B" w:rsidRPr="00C14DE1" w:rsidRDefault="00EA4F4B" w:rsidP="00284F82">
            <w:pPr>
              <w:spacing w:line="300" w:lineRule="atLeast"/>
              <w:jc w:val="center"/>
              <w:rPr>
                <w:rFonts w:ascii="Arial" w:hAnsi="Arial" w:cs="Arial"/>
                <w:b/>
                <w:sz w:val="16"/>
                <w:szCs w:val="16"/>
              </w:rPr>
            </w:pPr>
            <w:r w:rsidRPr="00C14DE1">
              <w:rPr>
                <w:rFonts w:ascii="Arial" w:hAnsi="Arial" w:cs="Arial"/>
                <w:b/>
                <w:sz w:val="16"/>
                <w:szCs w:val="16"/>
              </w:rPr>
              <w:t>Air</w:t>
            </w:r>
          </w:p>
        </w:tc>
        <w:tc>
          <w:tcPr>
            <w:tcW w:w="1574" w:type="dxa"/>
            <w:vAlign w:val="center"/>
          </w:tcPr>
          <w:p w14:paraId="1FD92BD4" w14:textId="64D8009F" w:rsidR="00EA4F4B" w:rsidRPr="00C14DE1" w:rsidRDefault="00633B48" w:rsidP="00284F82">
            <w:pPr>
              <w:spacing w:line="300" w:lineRule="atLeast"/>
              <w:jc w:val="center"/>
              <w:rPr>
                <w:rFonts w:ascii="Arial" w:hAnsi="Arial" w:cs="Arial"/>
                <w:b/>
                <w:sz w:val="16"/>
                <w:szCs w:val="16"/>
              </w:rPr>
            </w:pPr>
            <w:r>
              <w:rPr>
                <w:rFonts w:ascii="Arial" w:hAnsi="Arial" w:cs="Arial"/>
                <w:b/>
                <w:sz w:val="16"/>
                <w:szCs w:val="16"/>
              </w:rPr>
              <w:t>Land</w:t>
            </w:r>
          </w:p>
        </w:tc>
      </w:tr>
      <w:tr w:rsidR="00EA4F4B" w:rsidRPr="00C14DE1" w14:paraId="0CEED6D9" w14:textId="77777777" w:rsidTr="006E7F4E">
        <w:tc>
          <w:tcPr>
            <w:tcW w:w="1882" w:type="dxa"/>
            <w:tcBorders>
              <w:bottom w:val="single" w:sz="4" w:space="0" w:color="auto"/>
            </w:tcBorders>
          </w:tcPr>
          <w:p w14:paraId="00F13C16" w14:textId="1B1ED943" w:rsidR="00EA4F4B" w:rsidRPr="00C14DE1" w:rsidRDefault="00C14DE1" w:rsidP="00AB49A2">
            <w:pPr>
              <w:spacing w:line="300" w:lineRule="atLeast"/>
              <w:jc w:val="both"/>
              <w:rPr>
                <w:rFonts w:ascii="Arial" w:hAnsi="Arial" w:cs="Arial"/>
                <w:sz w:val="16"/>
                <w:szCs w:val="16"/>
              </w:rPr>
            </w:pPr>
            <w:r>
              <w:rPr>
                <w:rFonts w:ascii="Arial" w:hAnsi="Arial" w:cs="Arial"/>
                <w:sz w:val="16"/>
                <w:szCs w:val="16"/>
              </w:rPr>
              <w:t>Waikato C</w:t>
            </w:r>
            <w:r w:rsidR="00EA4F4B" w:rsidRPr="00C14DE1">
              <w:rPr>
                <w:rFonts w:ascii="Arial" w:hAnsi="Arial" w:cs="Arial"/>
                <w:sz w:val="16"/>
                <w:szCs w:val="16"/>
              </w:rPr>
              <w:t>oal</w:t>
            </w:r>
            <w:r>
              <w:rPr>
                <w:rFonts w:ascii="Arial" w:hAnsi="Arial" w:cs="Arial"/>
                <w:sz w:val="16"/>
                <w:szCs w:val="16"/>
              </w:rPr>
              <w:t>, 2012</w:t>
            </w:r>
          </w:p>
        </w:tc>
        <w:tc>
          <w:tcPr>
            <w:tcW w:w="1252" w:type="dxa"/>
            <w:tcBorders>
              <w:bottom w:val="single" w:sz="4" w:space="0" w:color="auto"/>
            </w:tcBorders>
            <w:vAlign w:val="center"/>
          </w:tcPr>
          <w:p w14:paraId="419AC147" w14:textId="77777777" w:rsidR="00EA4F4B" w:rsidRPr="00C14DE1" w:rsidRDefault="00EA4F4B" w:rsidP="00AB49A2">
            <w:pPr>
              <w:spacing w:line="300" w:lineRule="atLeast"/>
              <w:jc w:val="center"/>
              <w:rPr>
                <w:rFonts w:ascii="Arial" w:hAnsi="Arial" w:cs="Arial"/>
                <w:sz w:val="16"/>
                <w:szCs w:val="16"/>
              </w:rPr>
            </w:pPr>
            <w:r w:rsidRPr="00C14DE1">
              <w:rPr>
                <w:rFonts w:ascii="Arial" w:hAnsi="Arial" w:cs="Arial"/>
                <w:sz w:val="16"/>
                <w:szCs w:val="16"/>
              </w:rPr>
              <w:t>8</w:t>
            </w:r>
            <w:r w:rsidR="00AB49A2" w:rsidRPr="00C14DE1">
              <w:rPr>
                <w:rFonts w:ascii="Arial" w:hAnsi="Arial" w:cs="Arial"/>
                <w:sz w:val="16"/>
                <w:szCs w:val="16"/>
              </w:rPr>
              <w:t>0</w:t>
            </w:r>
            <w:r w:rsidR="004B46AA" w:rsidRPr="00C14DE1">
              <w:rPr>
                <w:rFonts w:ascii="Arial" w:hAnsi="Arial" w:cs="Arial"/>
                <w:sz w:val="16"/>
                <w:szCs w:val="16"/>
              </w:rPr>
              <w:t>5</w:t>
            </w:r>
            <w:r w:rsidRPr="00C14DE1">
              <w:rPr>
                <w:rFonts w:ascii="Arial" w:hAnsi="Arial" w:cs="Arial"/>
                <w:sz w:val="16"/>
                <w:szCs w:val="16"/>
              </w:rPr>
              <w:t>,000</w:t>
            </w:r>
          </w:p>
        </w:tc>
        <w:tc>
          <w:tcPr>
            <w:tcW w:w="1245" w:type="dxa"/>
            <w:tcBorders>
              <w:bottom w:val="single" w:sz="4" w:space="0" w:color="auto"/>
            </w:tcBorders>
            <w:vAlign w:val="center"/>
          </w:tcPr>
          <w:p w14:paraId="68F59DDA" w14:textId="77777777" w:rsidR="00EA4F4B" w:rsidRPr="00C14DE1" w:rsidRDefault="00EA4F4B" w:rsidP="00284F82">
            <w:pPr>
              <w:spacing w:line="300" w:lineRule="atLeast"/>
              <w:jc w:val="center"/>
              <w:rPr>
                <w:rFonts w:ascii="Arial" w:hAnsi="Arial" w:cs="Arial"/>
                <w:sz w:val="16"/>
                <w:szCs w:val="16"/>
              </w:rPr>
            </w:pPr>
            <w:r w:rsidRPr="00C14DE1">
              <w:rPr>
                <w:rFonts w:ascii="Arial" w:hAnsi="Arial" w:cs="Arial"/>
                <w:sz w:val="16"/>
                <w:szCs w:val="16"/>
              </w:rPr>
              <w:t>0.05 - 0.20</w:t>
            </w:r>
          </w:p>
        </w:tc>
        <w:tc>
          <w:tcPr>
            <w:tcW w:w="1570" w:type="dxa"/>
            <w:tcBorders>
              <w:bottom w:val="single" w:sz="4" w:space="0" w:color="auto"/>
            </w:tcBorders>
            <w:vAlign w:val="center"/>
          </w:tcPr>
          <w:p w14:paraId="31B5B06D" w14:textId="77777777" w:rsidR="00EA4F4B" w:rsidRPr="00C14DE1" w:rsidRDefault="002C0E45" w:rsidP="002F3266">
            <w:pPr>
              <w:spacing w:line="300" w:lineRule="atLeast"/>
              <w:jc w:val="center"/>
              <w:rPr>
                <w:rFonts w:ascii="Arial" w:hAnsi="Arial" w:cs="Arial"/>
                <w:sz w:val="16"/>
                <w:szCs w:val="16"/>
              </w:rPr>
            </w:pPr>
            <w:r w:rsidRPr="00C14DE1">
              <w:rPr>
                <w:rFonts w:ascii="Arial" w:hAnsi="Arial" w:cs="Arial"/>
                <w:sz w:val="16"/>
                <w:szCs w:val="16"/>
              </w:rPr>
              <w:t>4</w:t>
            </w:r>
            <w:r w:rsidR="00AF5F5A" w:rsidRPr="00C14DE1">
              <w:rPr>
                <w:rFonts w:ascii="Arial" w:hAnsi="Arial" w:cs="Arial"/>
                <w:sz w:val="16"/>
                <w:szCs w:val="16"/>
              </w:rPr>
              <w:t>0</w:t>
            </w:r>
            <w:r w:rsidR="004B46AA" w:rsidRPr="00C14DE1">
              <w:rPr>
                <w:rFonts w:ascii="Arial" w:hAnsi="Arial" w:cs="Arial"/>
                <w:sz w:val="16"/>
                <w:szCs w:val="16"/>
              </w:rPr>
              <w:t>.</w:t>
            </w:r>
            <w:r w:rsidR="002F3266" w:rsidRPr="00C14DE1">
              <w:rPr>
                <w:rFonts w:ascii="Arial" w:hAnsi="Arial" w:cs="Arial"/>
                <w:sz w:val="16"/>
                <w:szCs w:val="16"/>
              </w:rPr>
              <w:t>3</w:t>
            </w:r>
            <w:r w:rsidRPr="00C14DE1">
              <w:rPr>
                <w:rFonts w:ascii="Arial" w:hAnsi="Arial" w:cs="Arial"/>
                <w:sz w:val="16"/>
                <w:szCs w:val="16"/>
              </w:rPr>
              <w:t xml:space="preserve"> – 16</w:t>
            </w:r>
            <w:r w:rsidR="004B46AA" w:rsidRPr="00C14DE1">
              <w:rPr>
                <w:rFonts w:ascii="Arial" w:hAnsi="Arial" w:cs="Arial"/>
                <w:sz w:val="16"/>
                <w:szCs w:val="16"/>
              </w:rPr>
              <w:t>1</w:t>
            </w:r>
          </w:p>
        </w:tc>
        <w:tc>
          <w:tcPr>
            <w:tcW w:w="1538" w:type="dxa"/>
            <w:tcBorders>
              <w:bottom w:val="single" w:sz="4" w:space="0" w:color="auto"/>
            </w:tcBorders>
            <w:vAlign w:val="center"/>
          </w:tcPr>
          <w:p w14:paraId="223E2595" w14:textId="77777777" w:rsidR="00EA4F4B" w:rsidRPr="00C14DE1" w:rsidRDefault="002C0E45" w:rsidP="00AF5F5A">
            <w:pPr>
              <w:spacing w:line="300" w:lineRule="atLeast"/>
              <w:jc w:val="center"/>
              <w:rPr>
                <w:rFonts w:ascii="Arial" w:hAnsi="Arial" w:cs="Arial"/>
                <w:sz w:val="16"/>
                <w:szCs w:val="16"/>
              </w:rPr>
            </w:pPr>
            <w:r w:rsidRPr="00C14DE1">
              <w:rPr>
                <w:rFonts w:ascii="Arial" w:hAnsi="Arial" w:cs="Arial"/>
                <w:sz w:val="16"/>
                <w:szCs w:val="16"/>
              </w:rPr>
              <w:t>20</w:t>
            </w:r>
            <w:r w:rsidR="004B46AA" w:rsidRPr="00C14DE1">
              <w:rPr>
                <w:rFonts w:ascii="Arial" w:hAnsi="Arial" w:cs="Arial"/>
                <w:sz w:val="16"/>
                <w:szCs w:val="16"/>
              </w:rPr>
              <w:t>.1</w:t>
            </w:r>
            <w:r w:rsidR="002F3266" w:rsidRPr="00C14DE1">
              <w:rPr>
                <w:rFonts w:ascii="Arial" w:hAnsi="Arial" w:cs="Arial"/>
                <w:sz w:val="16"/>
                <w:szCs w:val="16"/>
              </w:rPr>
              <w:t>5</w:t>
            </w:r>
            <w:r w:rsidRPr="00C14DE1">
              <w:rPr>
                <w:rFonts w:ascii="Arial" w:hAnsi="Arial" w:cs="Arial"/>
                <w:sz w:val="16"/>
                <w:szCs w:val="16"/>
              </w:rPr>
              <w:t xml:space="preserve"> – 80</w:t>
            </w:r>
            <w:r w:rsidR="004B46AA" w:rsidRPr="00C14DE1">
              <w:rPr>
                <w:rFonts w:ascii="Arial" w:hAnsi="Arial" w:cs="Arial"/>
                <w:sz w:val="16"/>
                <w:szCs w:val="16"/>
              </w:rPr>
              <w:t>.5</w:t>
            </w:r>
          </w:p>
        </w:tc>
        <w:tc>
          <w:tcPr>
            <w:tcW w:w="1574" w:type="dxa"/>
            <w:tcBorders>
              <w:bottom w:val="single" w:sz="4" w:space="0" w:color="auto"/>
            </w:tcBorders>
            <w:vAlign w:val="center"/>
          </w:tcPr>
          <w:p w14:paraId="453492C1" w14:textId="77777777" w:rsidR="00EA4F4B" w:rsidRPr="00C14DE1" w:rsidRDefault="002C0E45" w:rsidP="00AF5F5A">
            <w:pPr>
              <w:spacing w:line="300" w:lineRule="atLeast"/>
              <w:jc w:val="center"/>
              <w:rPr>
                <w:rFonts w:ascii="Arial" w:hAnsi="Arial" w:cs="Arial"/>
                <w:sz w:val="16"/>
                <w:szCs w:val="16"/>
              </w:rPr>
            </w:pPr>
            <w:r w:rsidRPr="00C14DE1">
              <w:rPr>
                <w:rFonts w:ascii="Arial" w:hAnsi="Arial" w:cs="Arial"/>
                <w:sz w:val="16"/>
                <w:szCs w:val="16"/>
              </w:rPr>
              <w:t>20</w:t>
            </w:r>
            <w:r w:rsidR="004B46AA" w:rsidRPr="00C14DE1">
              <w:rPr>
                <w:rFonts w:ascii="Arial" w:hAnsi="Arial" w:cs="Arial"/>
                <w:sz w:val="16"/>
                <w:szCs w:val="16"/>
              </w:rPr>
              <w:t>.1</w:t>
            </w:r>
            <w:r w:rsidR="002F3266" w:rsidRPr="00C14DE1">
              <w:rPr>
                <w:rFonts w:ascii="Arial" w:hAnsi="Arial" w:cs="Arial"/>
                <w:sz w:val="16"/>
                <w:szCs w:val="16"/>
              </w:rPr>
              <w:t>5</w:t>
            </w:r>
            <w:r w:rsidRPr="00C14DE1">
              <w:rPr>
                <w:rFonts w:ascii="Arial" w:hAnsi="Arial" w:cs="Arial"/>
                <w:sz w:val="16"/>
                <w:szCs w:val="16"/>
              </w:rPr>
              <w:t xml:space="preserve"> – 80</w:t>
            </w:r>
            <w:r w:rsidR="004B46AA" w:rsidRPr="00C14DE1">
              <w:rPr>
                <w:rFonts w:ascii="Arial" w:hAnsi="Arial" w:cs="Arial"/>
                <w:sz w:val="16"/>
                <w:szCs w:val="16"/>
              </w:rPr>
              <w:t>.5</w:t>
            </w:r>
          </w:p>
        </w:tc>
      </w:tr>
      <w:tr w:rsidR="00C14DE1" w:rsidRPr="00C14DE1" w14:paraId="42774D27" w14:textId="77777777" w:rsidTr="00505FAE">
        <w:tc>
          <w:tcPr>
            <w:tcW w:w="1882" w:type="dxa"/>
            <w:tcBorders>
              <w:bottom w:val="single" w:sz="4" w:space="0" w:color="auto"/>
            </w:tcBorders>
          </w:tcPr>
          <w:p w14:paraId="20A03BA7" w14:textId="07F38E7C" w:rsidR="00C14DE1" w:rsidRPr="00C14DE1" w:rsidRDefault="00C14DE1" w:rsidP="00C14DE1">
            <w:pPr>
              <w:spacing w:line="300" w:lineRule="atLeast"/>
              <w:jc w:val="both"/>
              <w:rPr>
                <w:rFonts w:ascii="Arial" w:hAnsi="Arial" w:cs="Arial"/>
                <w:sz w:val="16"/>
                <w:szCs w:val="16"/>
              </w:rPr>
            </w:pPr>
            <w:r>
              <w:rPr>
                <w:rFonts w:ascii="Arial" w:hAnsi="Arial" w:cs="Arial"/>
                <w:sz w:val="16"/>
                <w:szCs w:val="16"/>
              </w:rPr>
              <w:t>Waikato Coal, 2016</w:t>
            </w:r>
          </w:p>
        </w:tc>
        <w:tc>
          <w:tcPr>
            <w:tcW w:w="1252" w:type="dxa"/>
            <w:vAlign w:val="center"/>
          </w:tcPr>
          <w:p w14:paraId="3E1D3715" w14:textId="068CFAE2" w:rsidR="00C14DE1" w:rsidRPr="00C14DE1" w:rsidRDefault="00C14DE1" w:rsidP="00C14DE1">
            <w:pPr>
              <w:spacing w:line="300" w:lineRule="atLeast"/>
              <w:jc w:val="center"/>
              <w:rPr>
                <w:rFonts w:ascii="Arial" w:hAnsi="Arial" w:cs="Arial"/>
                <w:sz w:val="16"/>
                <w:szCs w:val="16"/>
              </w:rPr>
            </w:pPr>
            <w:r>
              <w:rPr>
                <w:rFonts w:ascii="Arial" w:hAnsi="Arial" w:cs="Arial"/>
                <w:sz w:val="16"/>
                <w:szCs w:val="16"/>
              </w:rPr>
              <w:t>847,920</w:t>
            </w:r>
          </w:p>
        </w:tc>
        <w:tc>
          <w:tcPr>
            <w:tcW w:w="1245" w:type="dxa"/>
            <w:vAlign w:val="center"/>
          </w:tcPr>
          <w:p w14:paraId="01D6EA10" w14:textId="69816692" w:rsidR="00C14DE1" w:rsidRPr="00C14DE1" w:rsidRDefault="00C14DE1" w:rsidP="00C14DE1">
            <w:pPr>
              <w:spacing w:line="300" w:lineRule="atLeast"/>
              <w:jc w:val="center"/>
              <w:rPr>
                <w:rFonts w:ascii="Arial" w:hAnsi="Arial" w:cs="Arial"/>
                <w:sz w:val="16"/>
                <w:szCs w:val="16"/>
              </w:rPr>
            </w:pPr>
            <w:r>
              <w:rPr>
                <w:rFonts w:ascii="Arial" w:hAnsi="Arial" w:cs="Arial"/>
                <w:sz w:val="16"/>
                <w:szCs w:val="16"/>
              </w:rPr>
              <w:t>0.05 – 0.20</w:t>
            </w:r>
          </w:p>
        </w:tc>
        <w:tc>
          <w:tcPr>
            <w:tcW w:w="1570" w:type="dxa"/>
            <w:vAlign w:val="center"/>
          </w:tcPr>
          <w:p w14:paraId="2CDE1B97" w14:textId="2448F144" w:rsidR="00C14DE1" w:rsidRPr="00C14DE1" w:rsidRDefault="00C14DE1" w:rsidP="00C14DE1">
            <w:pPr>
              <w:spacing w:line="300" w:lineRule="atLeast"/>
              <w:jc w:val="center"/>
              <w:rPr>
                <w:rFonts w:ascii="Arial" w:hAnsi="Arial" w:cs="Arial"/>
                <w:sz w:val="16"/>
                <w:szCs w:val="16"/>
              </w:rPr>
            </w:pPr>
            <w:r>
              <w:rPr>
                <w:rFonts w:ascii="Arial" w:hAnsi="Arial" w:cs="Arial"/>
                <w:sz w:val="16"/>
                <w:szCs w:val="16"/>
              </w:rPr>
              <w:t>42.4 - 170</w:t>
            </w:r>
          </w:p>
        </w:tc>
        <w:tc>
          <w:tcPr>
            <w:tcW w:w="1538" w:type="dxa"/>
            <w:vAlign w:val="center"/>
          </w:tcPr>
          <w:p w14:paraId="5FD5370A" w14:textId="1D5C8BB5" w:rsidR="00C14DE1" w:rsidRPr="00C14DE1" w:rsidRDefault="00C14DE1" w:rsidP="00C14DE1">
            <w:pPr>
              <w:spacing w:line="300" w:lineRule="atLeast"/>
              <w:jc w:val="center"/>
              <w:rPr>
                <w:rFonts w:ascii="Arial" w:hAnsi="Arial" w:cs="Arial"/>
                <w:sz w:val="16"/>
                <w:szCs w:val="16"/>
              </w:rPr>
            </w:pPr>
            <w:r>
              <w:rPr>
                <w:rFonts w:ascii="Arial" w:hAnsi="Arial" w:cs="Arial"/>
                <w:sz w:val="16"/>
                <w:szCs w:val="16"/>
              </w:rPr>
              <w:t>21.2 – 85.0</w:t>
            </w:r>
          </w:p>
        </w:tc>
        <w:tc>
          <w:tcPr>
            <w:tcW w:w="1574" w:type="dxa"/>
            <w:vAlign w:val="center"/>
          </w:tcPr>
          <w:p w14:paraId="11AD5A8B" w14:textId="0268559B" w:rsidR="00C14DE1" w:rsidRPr="00C14DE1" w:rsidRDefault="00C14DE1" w:rsidP="00C14DE1">
            <w:pPr>
              <w:spacing w:line="300" w:lineRule="atLeast"/>
              <w:jc w:val="center"/>
              <w:rPr>
                <w:rFonts w:ascii="Arial" w:hAnsi="Arial" w:cs="Arial"/>
                <w:sz w:val="16"/>
                <w:szCs w:val="16"/>
              </w:rPr>
            </w:pPr>
            <w:r>
              <w:rPr>
                <w:rFonts w:ascii="Arial" w:hAnsi="Arial" w:cs="Arial"/>
                <w:sz w:val="16"/>
                <w:szCs w:val="16"/>
              </w:rPr>
              <w:t>21.2 – 85.0</w:t>
            </w:r>
          </w:p>
        </w:tc>
      </w:tr>
      <w:tr w:rsidR="00272953" w:rsidRPr="00C14DE1" w14:paraId="41A10F3A" w14:textId="77777777" w:rsidTr="00505FAE">
        <w:tc>
          <w:tcPr>
            <w:tcW w:w="1882" w:type="dxa"/>
            <w:tcBorders>
              <w:top w:val="single" w:sz="4" w:space="0" w:color="auto"/>
              <w:bottom w:val="single" w:sz="4" w:space="0" w:color="auto"/>
            </w:tcBorders>
          </w:tcPr>
          <w:p w14:paraId="0DC0F759" w14:textId="0FA2C286" w:rsidR="001E250A" w:rsidRDefault="001E250A" w:rsidP="00C14DE1">
            <w:pPr>
              <w:spacing w:line="300" w:lineRule="atLeast"/>
              <w:jc w:val="both"/>
              <w:rPr>
                <w:rFonts w:ascii="Arial" w:hAnsi="Arial" w:cs="Arial"/>
                <w:sz w:val="16"/>
                <w:szCs w:val="16"/>
              </w:rPr>
            </w:pPr>
            <w:r>
              <w:rPr>
                <w:rFonts w:ascii="Arial" w:hAnsi="Arial" w:cs="Arial"/>
                <w:sz w:val="16"/>
                <w:szCs w:val="16"/>
              </w:rPr>
              <w:t>Waikato Coal, 2020</w:t>
            </w:r>
          </w:p>
        </w:tc>
        <w:tc>
          <w:tcPr>
            <w:tcW w:w="1252" w:type="dxa"/>
            <w:vAlign w:val="center"/>
          </w:tcPr>
          <w:p w14:paraId="3EDDCDF3" w14:textId="368F3F8E" w:rsidR="001E250A" w:rsidRDefault="001E250A" w:rsidP="00C14DE1">
            <w:pPr>
              <w:spacing w:line="300" w:lineRule="atLeast"/>
              <w:jc w:val="center"/>
              <w:rPr>
                <w:rFonts w:ascii="Arial" w:hAnsi="Arial" w:cs="Arial"/>
                <w:sz w:val="16"/>
                <w:szCs w:val="16"/>
              </w:rPr>
            </w:pPr>
            <w:r>
              <w:rPr>
                <w:rFonts w:ascii="Arial" w:hAnsi="Arial" w:cs="Arial"/>
                <w:sz w:val="16"/>
                <w:szCs w:val="16"/>
              </w:rPr>
              <w:t>782,240</w:t>
            </w:r>
          </w:p>
        </w:tc>
        <w:tc>
          <w:tcPr>
            <w:tcW w:w="1245" w:type="dxa"/>
            <w:vAlign w:val="center"/>
          </w:tcPr>
          <w:p w14:paraId="5E32BB17" w14:textId="046BCC74" w:rsidR="001E250A" w:rsidRDefault="001E250A" w:rsidP="00C14DE1">
            <w:pPr>
              <w:spacing w:line="300" w:lineRule="atLeast"/>
              <w:jc w:val="center"/>
              <w:rPr>
                <w:rFonts w:ascii="Arial" w:hAnsi="Arial" w:cs="Arial"/>
                <w:sz w:val="16"/>
                <w:szCs w:val="16"/>
              </w:rPr>
            </w:pPr>
            <w:r>
              <w:rPr>
                <w:rFonts w:ascii="Arial" w:hAnsi="Arial" w:cs="Arial"/>
                <w:sz w:val="16"/>
                <w:szCs w:val="16"/>
              </w:rPr>
              <w:t>0.05 – 0.20</w:t>
            </w:r>
          </w:p>
        </w:tc>
        <w:tc>
          <w:tcPr>
            <w:tcW w:w="1570" w:type="dxa"/>
            <w:vAlign w:val="center"/>
          </w:tcPr>
          <w:p w14:paraId="5B405D10" w14:textId="4D301E27" w:rsidR="001E250A" w:rsidRDefault="001E250A" w:rsidP="00C14DE1">
            <w:pPr>
              <w:spacing w:line="300" w:lineRule="atLeast"/>
              <w:jc w:val="center"/>
              <w:rPr>
                <w:rFonts w:ascii="Arial" w:hAnsi="Arial" w:cs="Arial"/>
                <w:sz w:val="16"/>
                <w:szCs w:val="16"/>
              </w:rPr>
            </w:pPr>
            <w:r>
              <w:rPr>
                <w:rFonts w:ascii="Arial" w:hAnsi="Arial" w:cs="Arial"/>
                <w:sz w:val="16"/>
                <w:szCs w:val="16"/>
              </w:rPr>
              <w:t>39.1 - 156</w:t>
            </w:r>
          </w:p>
        </w:tc>
        <w:tc>
          <w:tcPr>
            <w:tcW w:w="1538" w:type="dxa"/>
            <w:vAlign w:val="center"/>
          </w:tcPr>
          <w:p w14:paraId="4F3F0461" w14:textId="4EC1ADD7" w:rsidR="001E250A" w:rsidRDefault="001E250A" w:rsidP="00C14DE1">
            <w:pPr>
              <w:spacing w:line="300" w:lineRule="atLeast"/>
              <w:jc w:val="center"/>
              <w:rPr>
                <w:rFonts w:ascii="Arial" w:hAnsi="Arial" w:cs="Arial"/>
                <w:sz w:val="16"/>
                <w:szCs w:val="16"/>
              </w:rPr>
            </w:pPr>
            <w:r>
              <w:rPr>
                <w:rFonts w:ascii="Arial" w:hAnsi="Arial" w:cs="Arial"/>
                <w:sz w:val="16"/>
                <w:szCs w:val="16"/>
              </w:rPr>
              <w:t>19.6 – 78.0</w:t>
            </w:r>
          </w:p>
        </w:tc>
        <w:tc>
          <w:tcPr>
            <w:tcW w:w="1574" w:type="dxa"/>
            <w:vAlign w:val="center"/>
          </w:tcPr>
          <w:p w14:paraId="3F97E7B6" w14:textId="2F7573A8" w:rsidR="001E250A" w:rsidRDefault="001E250A" w:rsidP="00C14DE1">
            <w:pPr>
              <w:spacing w:line="300" w:lineRule="atLeast"/>
              <w:jc w:val="center"/>
              <w:rPr>
                <w:rFonts w:ascii="Arial" w:hAnsi="Arial" w:cs="Arial"/>
                <w:sz w:val="16"/>
                <w:szCs w:val="16"/>
              </w:rPr>
            </w:pPr>
            <w:r>
              <w:rPr>
                <w:rFonts w:ascii="Arial" w:hAnsi="Arial" w:cs="Arial"/>
                <w:sz w:val="16"/>
                <w:szCs w:val="16"/>
              </w:rPr>
              <w:t>19.6 – 78.0</w:t>
            </w:r>
          </w:p>
        </w:tc>
      </w:tr>
      <w:tr w:rsidR="006B62FF" w:rsidRPr="00C14DE1" w14:paraId="3ADF9F58" w14:textId="77777777" w:rsidTr="00505FAE">
        <w:tc>
          <w:tcPr>
            <w:tcW w:w="1882" w:type="dxa"/>
            <w:tcBorders>
              <w:top w:val="single" w:sz="4" w:space="0" w:color="auto"/>
              <w:bottom w:val="double" w:sz="4" w:space="0" w:color="auto"/>
            </w:tcBorders>
          </w:tcPr>
          <w:p w14:paraId="30DBE98E" w14:textId="34CBDF5F" w:rsidR="006B62FF" w:rsidRDefault="006B62FF" w:rsidP="00C14DE1">
            <w:pPr>
              <w:spacing w:line="300" w:lineRule="atLeast"/>
              <w:jc w:val="both"/>
              <w:rPr>
                <w:rFonts w:ascii="Arial" w:hAnsi="Arial" w:cs="Arial"/>
                <w:sz w:val="16"/>
                <w:szCs w:val="16"/>
              </w:rPr>
            </w:pPr>
            <w:r>
              <w:rPr>
                <w:rFonts w:ascii="Arial" w:hAnsi="Arial" w:cs="Arial"/>
                <w:sz w:val="16"/>
                <w:szCs w:val="16"/>
              </w:rPr>
              <w:t>Waikato Coal, 2024</w:t>
            </w:r>
          </w:p>
        </w:tc>
        <w:tc>
          <w:tcPr>
            <w:tcW w:w="1252" w:type="dxa"/>
            <w:vAlign w:val="center"/>
          </w:tcPr>
          <w:p w14:paraId="7F9BAB13" w14:textId="0147A4AF" w:rsidR="006B62FF" w:rsidRDefault="006B62FF" w:rsidP="00C14DE1">
            <w:pPr>
              <w:spacing w:line="300" w:lineRule="atLeast"/>
              <w:jc w:val="center"/>
              <w:rPr>
                <w:rFonts w:ascii="Arial" w:hAnsi="Arial" w:cs="Arial"/>
                <w:sz w:val="16"/>
                <w:szCs w:val="16"/>
              </w:rPr>
            </w:pPr>
            <w:r>
              <w:rPr>
                <w:rFonts w:ascii="Arial" w:hAnsi="Arial" w:cs="Arial"/>
                <w:sz w:val="16"/>
                <w:szCs w:val="16"/>
              </w:rPr>
              <w:t>755,664</w:t>
            </w:r>
          </w:p>
        </w:tc>
        <w:tc>
          <w:tcPr>
            <w:tcW w:w="1245" w:type="dxa"/>
            <w:vAlign w:val="center"/>
          </w:tcPr>
          <w:p w14:paraId="11FEE47A" w14:textId="52651036" w:rsidR="006B62FF" w:rsidRDefault="006B62FF" w:rsidP="00C14DE1">
            <w:pPr>
              <w:spacing w:line="300" w:lineRule="atLeast"/>
              <w:jc w:val="center"/>
              <w:rPr>
                <w:rFonts w:ascii="Arial" w:hAnsi="Arial" w:cs="Arial"/>
                <w:sz w:val="16"/>
                <w:szCs w:val="16"/>
              </w:rPr>
            </w:pPr>
            <w:r>
              <w:rPr>
                <w:rFonts w:ascii="Arial" w:hAnsi="Arial" w:cs="Arial"/>
                <w:sz w:val="16"/>
                <w:szCs w:val="16"/>
              </w:rPr>
              <w:t>0.05 – 0.20</w:t>
            </w:r>
          </w:p>
        </w:tc>
        <w:tc>
          <w:tcPr>
            <w:tcW w:w="1570" w:type="dxa"/>
            <w:vAlign w:val="center"/>
          </w:tcPr>
          <w:p w14:paraId="7A8FD76F" w14:textId="7AFBDD5B" w:rsidR="006B62FF" w:rsidRDefault="006B62FF" w:rsidP="00C14DE1">
            <w:pPr>
              <w:spacing w:line="300" w:lineRule="atLeast"/>
              <w:jc w:val="center"/>
              <w:rPr>
                <w:rFonts w:ascii="Arial" w:hAnsi="Arial" w:cs="Arial"/>
                <w:sz w:val="16"/>
                <w:szCs w:val="16"/>
              </w:rPr>
            </w:pPr>
            <w:r>
              <w:rPr>
                <w:rFonts w:ascii="Arial" w:hAnsi="Arial" w:cs="Arial"/>
                <w:sz w:val="16"/>
                <w:szCs w:val="16"/>
              </w:rPr>
              <w:t>37.78 – 151.13</w:t>
            </w:r>
          </w:p>
        </w:tc>
        <w:tc>
          <w:tcPr>
            <w:tcW w:w="1538" w:type="dxa"/>
            <w:vAlign w:val="center"/>
          </w:tcPr>
          <w:p w14:paraId="7B48C996" w14:textId="7E9012B5" w:rsidR="006B62FF" w:rsidRDefault="006B62FF" w:rsidP="00C14DE1">
            <w:pPr>
              <w:spacing w:line="300" w:lineRule="atLeast"/>
              <w:jc w:val="center"/>
              <w:rPr>
                <w:rFonts w:ascii="Arial" w:hAnsi="Arial" w:cs="Arial"/>
                <w:sz w:val="16"/>
                <w:szCs w:val="16"/>
              </w:rPr>
            </w:pPr>
            <w:r>
              <w:rPr>
                <w:rFonts w:ascii="Arial" w:hAnsi="Arial" w:cs="Arial"/>
                <w:sz w:val="16"/>
                <w:szCs w:val="16"/>
              </w:rPr>
              <w:t>18.89 – 75.65</w:t>
            </w:r>
          </w:p>
        </w:tc>
        <w:tc>
          <w:tcPr>
            <w:tcW w:w="1574" w:type="dxa"/>
            <w:vAlign w:val="center"/>
          </w:tcPr>
          <w:p w14:paraId="326A80E5" w14:textId="56581F66" w:rsidR="006B62FF" w:rsidRDefault="006B62FF" w:rsidP="00C14DE1">
            <w:pPr>
              <w:spacing w:line="300" w:lineRule="atLeast"/>
              <w:jc w:val="center"/>
              <w:rPr>
                <w:rFonts w:ascii="Arial" w:hAnsi="Arial" w:cs="Arial"/>
                <w:sz w:val="16"/>
                <w:szCs w:val="16"/>
              </w:rPr>
            </w:pPr>
            <w:r>
              <w:rPr>
                <w:rFonts w:ascii="Arial" w:hAnsi="Arial" w:cs="Arial"/>
                <w:sz w:val="16"/>
                <w:szCs w:val="16"/>
              </w:rPr>
              <w:t>18.89 – 75.65</w:t>
            </w:r>
          </w:p>
        </w:tc>
      </w:tr>
      <w:tr w:rsidR="00AB49A2" w:rsidRPr="00C14DE1" w14:paraId="235B6D17" w14:textId="77777777" w:rsidTr="006E7F4E">
        <w:tc>
          <w:tcPr>
            <w:tcW w:w="1882" w:type="dxa"/>
            <w:tcBorders>
              <w:top w:val="double" w:sz="4" w:space="0" w:color="auto"/>
              <w:bottom w:val="single" w:sz="4" w:space="0" w:color="auto"/>
            </w:tcBorders>
          </w:tcPr>
          <w:p w14:paraId="41B5096A" w14:textId="098191E2" w:rsidR="00AB49A2" w:rsidRPr="00C14DE1" w:rsidRDefault="00AB49A2" w:rsidP="00EA4F4B">
            <w:pPr>
              <w:spacing w:line="300" w:lineRule="atLeast"/>
              <w:jc w:val="both"/>
              <w:rPr>
                <w:rFonts w:ascii="Arial" w:hAnsi="Arial" w:cs="Arial"/>
                <w:sz w:val="16"/>
                <w:szCs w:val="16"/>
              </w:rPr>
            </w:pPr>
            <w:r w:rsidRPr="00C14DE1">
              <w:rPr>
                <w:rFonts w:ascii="Arial" w:hAnsi="Arial" w:cs="Arial"/>
                <w:sz w:val="16"/>
                <w:szCs w:val="16"/>
              </w:rPr>
              <w:t>Limestone</w:t>
            </w:r>
            <w:r w:rsidR="00C14DE1">
              <w:rPr>
                <w:rFonts w:ascii="Arial" w:hAnsi="Arial" w:cs="Arial"/>
                <w:sz w:val="16"/>
                <w:szCs w:val="16"/>
              </w:rPr>
              <w:t>, 2012</w:t>
            </w:r>
          </w:p>
        </w:tc>
        <w:tc>
          <w:tcPr>
            <w:tcW w:w="1252" w:type="dxa"/>
            <w:tcBorders>
              <w:top w:val="double" w:sz="4" w:space="0" w:color="auto"/>
              <w:bottom w:val="single" w:sz="4" w:space="0" w:color="auto"/>
            </w:tcBorders>
            <w:vAlign w:val="center"/>
          </w:tcPr>
          <w:p w14:paraId="59370564" w14:textId="77777777" w:rsidR="00AB49A2" w:rsidRPr="00C14DE1" w:rsidRDefault="00AB49A2" w:rsidP="00284F82">
            <w:pPr>
              <w:spacing w:line="300" w:lineRule="atLeast"/>
              <w:jc w:val="center"/>
              <w:rPr>
                <w:rFonts w:ascii="Arial" w:hAnsi="Arial" w:cs="Arial"/>
                <w:sz w:val="16"/>
                <w:szCs w:val="16"/>
              </w:rPr>
            </w:pPr>
            <w:r w:rsidRPr="00C14DE1">
              <w:rPr>
                <w:rFonts w:ascii="Arial" w:hAnsi="Arial" w:cs="Arial"/>
                <w:sz w:val="16"/>
                <w:szCs w:val="16"/>
              </w:rPr>
              <w:t>4</w:t>
            </w:r>
            <w:r w:rsidR="004B46AA" w:rsidRPr="00C14DE1">
              <w:rPr>
                <w:rFonts w:ascii="Arial" w:hAnsi="Arial" w:cs="Arial"/>
                <w:sz w:val="16"/>
                <w:szCs w:val="16"/>
              </w:rPr>
              <w:t>3</w:t>
            </w:r>
            <w:r w:rsidRPr="00C14DE1">
              <w:rPr>
                <w:rFonts w:ascii="Arial" w:hAnsi="Arial" w:cs="Arial"/>
                <w:sz w:val="16"/>
                <w:szCs w:val="16"/>
              </w:rPr>
              <w:t>,000</w:t>
            </w:r>
          </w:p>
        </w:tc>
        <w:tc>
          <w:tcPr>
            <w:tcW w:w="1245" w:type="dxa"/>
            <w:tcBorders>
              <w:top w:val="double" w:sz="4" w:space="0" w:color="auto"/>
              <w:bottom w:val="single" w:sz="4" w:space="0" w:color="auto"/>
            </w:tcBorders>
            <w:vAlign w:val="center"/>
          </w:tcPr>
          <w:p w14:paraId="2ED6BE06" w14:textId="77777777" w:rsidR="00AB49A2" w:rsidRPr="00C14DE1" w:rsidRDefault="00AB49A2" w:rsidP="00284F82">
            <w:pPr>
              <w:spacing w:line="300" w:lineRule="atLeast"/>
              <w:jc w:val="center"/>
              <w:rPr>
                <w:rFonts w:ascii="Arial" w:hAnsi="Arial" w:cs="Arial"/>
                <w:sz w:val="16"/>
                <w:szCs w:val="16"/>
              </w:rPr>
            </w:pPr>
            <w:r w:rsidRPr="00C14DE1">
              <w:rPr>
                <w:rFonts w:ascii="Arial" w:hAnsi="Arial" w:cs="Arial"/>
                <w:sz w:val="16"/>
                <w:szCs w:val="16"/>
              </w:rPr>
              <w:t>0.005 – 0.02</w:t>
            </w:r>
          </w:p>
        </w:tc>
        <w:tc>
          <w:tcPr>
            <w:tcW w:w="1570" w:type="dxa"/>
            <w:tcBorders>
              <w:top w:val="double" w:sz="4" w:space="0" w:color="auto"/>
              <w:bottom w:val="single" w:sz="4" w:space="0" w:color="auto"/>
            </w:tcBorders>
            <w:vAlign w:val="center"/>
          </w:tcPr>
          <w:p w14:paraId="7F44A6D8" w14:textId="77777777" w:rsidR="00AB49A2" w:rsidRPr="00C14DE1" w:rsidRDefault="00AF5F5A" w:rsidP="004B46AA">
            <w:pPr>
              <w:spacing w:line="300" w:lineRule="atLeast"/>
              <w:jc w:val="center"/>
              <w:rPr>
                <w:rFonts w:ascii="Arial" w:hAnsi="Arial" w:cs="Arial"/>
                <w:sz w:val="16"/>
                <w:szCs w:val="16"/>
              </w:rPr>
            </w:pPr>
            <w:r w:rsidRPr="00C14DE1">
              <w:rPr>
                <w:rFonts w:ascii="Arial" w:hAnsi="Arial" w:cs="Arial"/>
                <w:sz w:val="16"/>
                <w:szCs w:val="16"/>
              </w:rPr>
              <w:t>0.</w:t>
            </w:r>
            <w:r w:rsidR="004B46AA" w:rsidRPr="00C14DE1">
              <w:rPr>
                <w:rFonts w:ascii="Arial" w:hAnsi="Arial" w:cs="Arial"/>
                <w:sz w:val="16"/>
                <w:szCs w:val="16"/>
              </w:rPr>
              <w:t>22</w:t>
            </w:r>
            <w:r w:rsidRPr="00C14DE1">
              <w:rPr>
                <w:rFonts w:ascii="Arial" w:hAnsi="Arial" w:cs="Arial"/>
                <w:sz w:val="16"/>
                <w:szCs w:val="16"/>
              </w:rPr>
              <w:t xml:space="preserve"> – 0.8</w:t>
            </w:r>
            <w:r w:rsidR="004B46AA" w:rsidRPr="00C14DE1">
              <w:rPr>
                <w:rFonts w:ascii="Arial" w:hAnsi="Arial" w:cs="Arial"/>
                <w:sz w:val="16"/>
                <w:szCs w:val="16"/>
              </w:rPr>
              <w:t>6</w:t>
            </w:r>
          </w:p>
        </w:tc>
        <w:tc>
          <w:tcPr>
            <w:tcW w:w="1538" w:type="dxa"/>
            <w:tcBorders>
              <w:top w:val="double" w:sz="4" w:space="0" w:color="auto"/>
              <w:bottom w:val="single" w:sz="4" w:space="0" w:color="auto"/>
            </w:tcBorders>
            <w:vAlign w:val="center"/>
          </w:tcPr>
          <w:p w14:paraId="07C1B54B" w14:textId="77777777" w:rsidR="00AB49A2" w:rsidRPr="00C14DE1" w:rsidRDefault="00AF5F5A" w:rsidP="00AF5F5A">
            <w:pPr>
              <w:spacing w:line="300" w:lineRule="atLeast"/>
              <w:jc w:val="center"/>
              <w:rPr>
                <w:rFonts w:ascii="Arial" w:hAnsi="Arial" w:cs="Arial"/>
                <w:sz w:val="16"/>
                <w:szCs w:val="16"/>
              </w:rPr>
            </w:pPr>
            <w:r w:rsidRPr="00C14DE1">
              <w:rPr>
                <w:rFonts w:ascii="Arial" w:hAnsi="Arial" w:cs="Arial"/>
                <w:sz w:val="16"/>
                <w:szCs w:val="16"/>
              </w:rPr>
              <w:t>0.</w:t>
            </w:r>
            <w:r w:rsidR="00111AEB" w:rsidRPr="00C14DE1">
              <w:rPr>
                <w:rFonts w:ascii="Arial" w:hAnsi="Arial" w:cs="Arial"/>
                <w:sz w:val="16"/>
                <w:szCs w:val="16"/>
              </w:rPr>
              <w:t>11</w:t>
            </w:r>
            <w:r w:rsidRPr="00C14DE1">
              <w:rPr>
                <w:rFonts w:ascii="Arial" w:hAnsi="Arial" w:cs="Arial"/>
                <w:sz w:val="16"/>
                <w:szCs w:val="16"/>
              </w:rPr>
              <w:t xml:space="preserve"> – 0.4</w:t>
            </w:r>
            <w:r w:rsidR="00111AEB" w:rsidRPr="00C14DE1">
              <w:rPr>
                <w:rFonts w:ascii="Arial" w:hAnsi="Arial" w:cs="Arial"/>
                <w:sz w:val="16"/>
                <w:szCs w:val="16"/>
              </w:rPr>
              <w:t>3</w:t>
            </w:r>
          </w:p>
        </w:tc>
        <w:tc>
          <w:tcPr>
            <w:tcW w:w="1574" w:type="dxa"/>
            <w:tcBorders>
              <w:top w:val="double" w:sz="4" w:space="0" w:color="auto"/>
              <w:bottom w:val="single" w:sz="4" w:space="0" w:color="auto"/>
            </w:tcBorders>
            <w:vAlign w:val="center"/>
          </w:tcPr>
          <w:p w14:paraId="2D54A56F" w14:textId="77777777" w:rsidR="00AB49A2" w:rsidRPr="00C14DE1" w:rsidRDefault="00AF5F5A" w:rsidP="00111AEB">
            <w:pPr>
              <w:spacing w:line="300" w:lineRule="atLeast"/>
              <w:jc w:val="center"/>
              <w:rPr>
                <w:rFonts w:ascii="Arial" w:hAnsi="Arial" w:cs="Arial"/>
                <w:sz w:val="16"/>
                <w:szCs w:val="16"/>
              </w:rPr>
            </w:pPr>
            <w:r w:rsidRPr="00C14DE1">
              <w:rPr>
                <w:rFonts w:ascii="Arial" w:hAnsi="Arial" w:cs="Arial"/>
                <w:sz w:val="16"/>
                <w:szCs w:val="16"/>
              </w:rPr>
              <w:t>0.</w:t>
            </w:r>
            <w:r w:rsidR="00111AEB" w:rsidRPr="00C14DE1">
              <w:rPr>
                <w:rFonts w:ascii="Arial" w:hAnsi="Arial" w:cs="Arial"/>
                <w:sz w:val="16"/>
                <w:szCs w:val="16"/>
              </w:rPr>
              <w:t>11</w:t>
            </w:r>
            <w:r w:rsidRPr="00C14DE1">
              <w:rPr>
                <w:rFonts w:ascii="Arial" w:hAnsi="Arial" w:cs="Arial"/>
                <w:sz w:val="16"/>
                <w:szCs w:val="16"/>
              </w:rPr>
              <w:t xml:space="preserve"> – 0.4</w:t>
            </w:r>
            <w:r w:rsidR="00111AEB" w:rsidRPr="00C14DE1">
              <w:rPr>
                <w:rFonts w:ascii="Arial" w:hAnsi="Arial" w:cs="Arial"/>
                <w:sz w:val="16"/>
                <w:szCs w:val="16"/>
              </w:rPr>
              <w:t>3</w:t>
            </w:r>
          </w:p>
        </w:tc>
      </w:tr>
      <w:tr w:rsidR="00C14DE1" w:rsidRPr="00C14DE1" w14:paraId="7327CF52" w14:textId="77777777" w:rsidTr="00505FAE">
        <w:tc>
          <w:tcPr>
            <w:tcW w:w="1882" w:type="dxa"/>
            <w:tcBorders>
              <w:bottom w:val="single" w:sz="4" w:space="0" w:color="auto"/>
            </w:tcBorders>
          </w:tcPr>
          <w:p w14:paraId="0FB5D9B9" w14:textId="4AC63F37" w:rsidR="00C14DE1" w:rsidRPr="00C14DE1" w:rsidRDefault="00C14DE1" w:rsidP="00C14DE1">
            <w:pPr>
              <w:spacing w:line="300" w:lineRule="atLeast"/>
              <w:jc w:val="both"/>
              <w:rPr>
                <w:rFonts w:ascii="Arial" w:hAnsi="Arial" w:cs="Arial"/>
                <w:sz w:val="16"/>
                <w:szCs w:val="16"/>
              </w:rPr>
            </w:pPr>
            <w:r>
              <w:rPr>
                <w:rFonts w:ascii="Arial" w:hAnsi="Arial" w:cs="Arial"/>
                <w:sz w:val="16"/>
                <w:szCs w:val="16"/>
              </w:rPr>
              <w:t>Limestone, 2016</w:t>
            </w:r>
          </w:p>
        </w:tc>
        <w:tc>
          <w:tcPr>
            <w:tcW w:w="1252" w:type="dxa"/>
            <w:vAlign w:val="center"/>
          </w:tcPr>
          <w:p w14:paraId="4E6E388A" w14:textId="586D6E32" w:rsidR="00C14DE1" w:rsidRPr="00C14DE1" w:rsidRDefault="00C14DE1" w:rsidP="00C14DE1">
            <w:pPr>
              <w:spacing w:line="300" w:lineRule="atLeast"/>
              <w:jc w:val="center"/>
              <w:rPr>
                <w:rFonts w:ascii="Arial" w:hAnsi="Arial" w:cs="Arial"/>
                <w:sz w:val="16"/>
                <w:szCs w:val="16"/>
              </w:rPr>
            </w:pPr>
            <w:r>
              <w:rPr>
                <w:rFonts w:ascii="Arial" w:hAnsi="Arial" w:cs="Arial"/>
                <w:sz w:val="16"/>
                <w:szCs w:val="16"/>
              </w:rPr>
              <w:t>61,398</w:t>
            </w:r>
          </w:p>
        </w:tc>
        <w:tc>
          <w:tcPr>
            <w:tcW w:w="1245" w:type="dxa"/>
            <w:vAlign w:val="center"/>
          </w:tcPr>
          <w:p w14:paraId="757BF805" w14:textId="792959EA" w:rsidR="00C14DE1" w:rsidRPr="00C14DE1" w:rsidRDefault="00C14DE1" w:rsidP="00C14DE1">
            <w:pPr>
              <w:spacing w:line="300" w:lineRule="atLeast"/>
              <w:jc w:val="center"/>
              <w:rPr>
                <w:rFonts w:ascii="Arial" w:hAnsi="Arial" w:cs="Arial"/>
                <w:sz w:val="16"/>
                <w:szCs w:val="16"/>
              </w:rPr>
            </w:pPr>
            <w:r>
              <w:rPr>
                <w:rFonts w:ascii="Arial" w:hAnsi="Arial" w:cs="Arial"/>
                <w:sz w:val="16"/>
                <w:szCs w:val="16"/>
              </w:rPr>
              <w:t>0.005 – 0.02</w:t>
            </w:r>
          </w:p>
        </w:tc>
        <w:tc>
          <w:tcPr>
            <w:tcW w:w="1570" w:type="dxa"/>
            <w:vAlign w:val="center"/>
          </w:tcPr>
          <w:p w14:paraId="2FE6DB9E" w14:textId="426B5979" w:rsidR="00C14DE1" w:rsidRPr="00C14DE1" w:rsidRDefault="00C14DE1" w:rsidP="00C14DE1">
            <w:pPr>
              <w:spacing w:line="300" w:lineRule="atLeast"/>
              <w:jc w:val="center"/>
              <w:rPr>
                <w:rFonts w:ascii="Arial" w:hAnsi="Arial" w:cs="Arial"/>
                <w:sz w:val="16"/>
                <w:szCs w:val="16"/>
              </w:rPr>
            </w:pPr>
            <w:r>
              <w:rPr>
                <w:rFonts w:ascii="Arial" w:hAnsi="Arial" w:cs="Arial"/>
                <w:sz w:val="16"/>
                <w:szCs w:val="16"/>
              </w:rPr>
              <w:t>0.31 – 1.23</w:t>
            </w:r>
          </w:p>
        </w:tc>
        <w:tc>
          <w:tcPr>
            <w:tcW w:w="1538" w:type="dxa"/>
            <w:vAlign w:val="center"/>
          </w:tcPr>
          <w:p w14:paraId="4684035B" w14:textId="2B544D5A" w:rsidR="00C14DE1" w:rsidRPr="00C14DE1" w:rsidRDefault="00C14DE1" w:rsidP="00C14DE1">
            <w:pPr>
              <w:spacing w:line="300" w:lineRule="atLeast"/>
              <w:jc w:val="center"/>
              <w:rPr>
                <w:rFonts w:ascii="Arial" w:hAnsi="Arial" w:cs="Arial"/>
                <w:sz w:val="16"/>
                <w:szCs w:val="16"/>
              </w:rPr>
            </w:pPr>
            <w:r>
              <w:rPr>
                <w:rFonts w:ascii="Arial" w:hAnsi="Arial" w:cs="Arial"/>
                <w:sz w:val="16"/>
                <w:szCs w:val="16"/>
              </w:rPr>
              <w:t>0.16 – 0.62</w:t>
            </w:r>
          </w:p>
        </w:tc>
        <w:tc>
          <w:tcPr>
            <w:tcW w:w="1574" w:type="dxa"/>
            <w:vAlign w:val="center"/>
          </w:tcPr>
          <w:p w14:paraId="5181946C" w14:textId="5C2839BB" w:rsidR="00C14DE1" w:rsidRPr="00C14DE1" w:rsidRDefault="00C14DE1" w:rsidP="00C14DE1">
            <w:pPr>
              <w:spacing w:line="300" w:lineRule="atLeast"/>
              <w:jc w:val="center"/>
              <w:rPr>
                <w:rFonts w:ascii="Arial" w:hAnsi="Arial" w:cs="Arial"/>
                <w:sz w:val="16"/>
                <w:szCs w:val="16"/>
              </w:rPr>
            </w:pPr>
            <w:r>
              <w:rPr>
                <w:rFonts w:ascii="Arial" w:hAnsi="Arial" w:cs="Arial"/>
                <w:sz w:val="16"/>
                <w:szCs w:val="16"/>
              </w:rPr>
              <w:t>0.16 – 0.62</w:t>
            </w:r>
          </w:p>
        </w:tc>
      </w:tr>
      <w:tr w:rsidR="00BB0D09" w:rsidRPr="00C14DE1" w14:paraId="1B6D3355" w14:textId="77777777" w:rsidTr="00505FAE">
        <w:tc>
          <w:tcPr>
            <w:tcW w:w="1882" w:type="dxa"/>
            <w:tcBorders>
              <w:top w:val="single" w:sz="4" w:space="0" w:color="auto"/>
              <w:bottom w:val="single" w:sz="4" w:space="0" w:color="auto"/>
            </w:tcBorders>
          </w:tcPr>
          <w:p w14:paraId="3D5581C7" w14:textId="0E5B2F37" w:rsidR="001E250A" w:rsidRDefault="001E250A" w:rsidP="00C14DE1">
            <w:pPr>
              <w:spacing w:line="300" w:lineRule="atLeast"/>
              <w:jc w:val="both"/>
              <w:rPr>
                <w:rFonts w:ascii="Arial" w:hAnsi="Arial" w:cs="Arial"/>
                <w:sz w:val="16"/>
                <w:szCs w:val="16"/>
              </w:rPr>
            </w:pPr>
            <w:r>
              <w:rPr>
                <w:rFonts w:ascii="Arial" w:hAnsi="Arial" w:cs="Arial"/>
                <w:sz w:val="16"/>
                <w:szCs w:val="16"/>
              </w:rPr>
              <w:t>Limestone, 2020</w:t>
            </w:r>
          </w:p>
        </w:tc>
        <w:tc>
          <w:tcPr>
            <w:tcW w:w="1252" w:type="dxa"/>
            <w:vAlign w:val="center"/>
          </w:tcPr>
          <w:p w14:paraId="14607E0C" w14:textId="562D8799" w:rsidR="001E250A" w:rsidRDefault="001E250A" w:rsidP="00C14DE1">
            <w:pPr>
              <w:spacing w:line="300" w:lineRule="atLeast"/>
              <w:jc w:val="center"/>
              <w:rPr>
                <w:rFonts w:ascii="Arial" w:hAnsi="Arial" w:cs="Arial"/>
                <w:sz w:val="16"/>
                <w:szCs w:val="16"/>
              </w:rPr>
            </w:pPr>
            <w:r>
              <w:rPr>
                <w:rFonts w:ascii="Arial" w:hAnsi="Arial" w:cs="Arial"/>
                <w:sz w:val="16"/>
                <w:szCs w:val="16"/>
              </w:rPr>
              <w:t>62,526</w:t>
            </w:r>
          </w:p>
        </w:tc>
        <w:tc>
          <w:tcPr>
            <w:tcW w:w="1245" w:type="dxa"/>
            <w:vAlign w:val="center"/>
          </w:tcPr>
          <w:p w14:paraId="54D0422A" w14:textId="19B3E73E" w:rsidR="001E250A" w:rsidRDefault="001E250A" w:rsidP="00C14DE1">
            <w:pPr>
              <w:spacing w:line="300" w:lineRule="atLeast"/>
              <w:jc w:val="center"/>
              <w:rPr>
                <w:rFonts w:ascii="Arial" w:hAnsi="Arial" w:cs="Arial"/>
                <w:sz w:val="16"/>
                <w:szCs w:val="16"/>
              </w:rPr>
            </w:pPr>
            <w:r>
              <w:rPr>
                <w:rFonts w:ascii="Arial" w:hAnsi="Arial" w:cs="Arial"/>
                <w:sz w:val="16"/>
                <w:szCs w:val="16"/>
              </w:rPr>
              <w:t>0.005 – 0.02</w:t>
            </w:r>
          </w:p>
        </w:tc>
        <w:tc>
          <w:tcPr>
            <w:tcW w:w="1570" w:type="dxa"/>
            <w:vAlign w:val="center"/>
          </w:tcPr>
          <w:p w14:paraId="54871AC0" w14:textId="3716C6AB" w:rsidR="001E250A" w:rsidRDefault="00CC6E25" w:rsidP="00C14DE1">
            <w:pPr>
              <w:spacing w:line="300" w:lineRule="atLeast"/>
              <w:jc w:val="center"/>
              <w:rPr>
                <w:rFonts w:ascii="Arial" w:hAnsi="Arial" w:cs="Arial"/>
                <w:sz w:val="16"/>
                <w:szCs w:val="16"/>
              </w:rPr>
            </w:pPr>
            <w:r>
              <w:rPr>
                <w:rFonts w:ascii="Arial" w:hAnsi="Arial" w:cs="Arial"/>
                <w:sz w:val="16"/>
                <w:szCs w:val="16"/>
              </w:rPr>
              <w:t>0.31 – 1.25</w:t>
            </w:r>
          </w:p>
        </w:tc>
        <w:tc>
          <w:tcPr>
            <w:tcW w:w="1538" w:type="dxa"/>
            <w:vAlign w:val="center"/>
          </w:tcPr>
          <w:p w14:paraId="5E1A1B41" w14:textId="7D9F2192" w:rsidR="001E250A" w:rsidRDefault="00CC6E25" w:rsidP="00C14DE1">
            <w:pPr>
              <w:spacing w:line="300" w:lineRule="atLeast"/>
              <w:jc w:val="center"/>
              <w:rPr>
                <w:rFonts w:ascii="Arial" w:hAnsi="Arial" w:cs="Arial"/>
                <w:sz w:val="16"/>
                <w:szCs w:val="16"/>
              </w:rPr>
            </w:pPr>
            <w:r>
              <w:rPr>
                <w:rFonts w:ascii="Arial" w:hAnsi="Arial" w:cs="Arial"/>
                <w:sz w:val="16"/>
                <w:szCs w:val="16"/>
              </w:rPr>
              <w:t>0.16 – 0.63</w:t>
            </w:r>
          </w:p>
        </w:tc>
        <w:tc>
          <w:tcPr>
            <w:tcW w:w="1574" w:type="dxa"/>
            <w:vAlign w:val="center"/>
          </w:tcPr>
          <w:p w14:paraId="2A946ED9" w14:textId="76589EFD" w:rsidR="001E250A" w:rsidRDefault="00CC6E25" w:rsidP="00C14DE1">
            <w:pPr>
              <w:spacing w:line="300" w:lineRule="atLeast"/>
              <w:jc w:val="center"/>
              <w:rPr>
                <w:rFonts w:ascii="Arial" w:hAnsi="Arial" w:cs="Arial"/>
                <w:sz w:val="16"/>
                <w:szCs w:val="16"/>
              </w:rPr>
            </w:pPr>
            <w:r>
              <w:rPr>
                <w:rFonts w:ascii="Arial" w:hAnsi="Arial" w:cs="Arial"/>
                <w:sz w:val="16"/>
                <w:szCs w:val="16"/>
              </w:rPr>
              <w:t>0.16 – 0.63</w:t>
            </w:r>
          </w:p>
        </w:tc>
      </w:tr>
      <w:tr w:rsidR="006B62FF" w:rsidRPr="00C14DE1" w14:paraId="5ACCB2A1" w14:textId="77777777" w:rsidTr="00505FAE">
        <w:tc>
          <w:tcPr>
            <w:tcW w:w="1882" w:type="dxa"/>
            <w:tcBorders>
              <w:top w:val="single" w:sz="4" w:space="0" w:color="auto"/>
              <w:bottom w:val="double" w:sz="4" w:space="0" w:color="auto"/>
            </w:tcBorders>
          </w:tcPr>
          <w:p w14:paraId="67CCA151" w14:textId="4A5A94C5" w:rsidR="006B62FF" w:rsidRDefault="006B62FF" w:rsidP="00C14DE1">
            <w:pPr>
              <w:spacing w:line="300" w:lineRule="atLeast"/>
              <w:jc w:val="both"/>
              <w:rPr>
                <w:rFonts w:ascii="Arial" w:hAnsi="Arial" w:cs="Arial"/>
                <w:sz w:val="16"/>
                <w:szCs w:val="16"/>
              </w:rPr>
            </w:pPr>
            <w:r>
              <w:rPr>
                <w:rFonts w:ascii="Arial" w:hAnsi="Arial" w:cs="Arial"/>
                <w:sz w:val="16"/>
                <w:szCs w:val="16"/>
              </w:rPr>
              <w:t>Limestone, 2024</w:t>
            </w:r>
          </w:p>
        </w:tc>
        <w:tc>
          <w:tcPr>
            <w:tcW w:w="1252" w:type="dxa"/>
            <w:vAlign w:val="center"/>
          </w:tcPr>
          <w:p w14:paraId="30558834" w14:textId="312D6DC6" w:rsidR="006B62FF" w:rsidRDefault="002D573F" w:rsidP="00C14DE1">
            <w:pPr>
              <w:spacing w:line="300" w:lineRule="atLeast"/>
              <w:jc w:val="center"/>
              <w:rPr>
                <w:rFonts w:ascii="Arial" w:hAnsi="Arial" w:cs="Arial"/>
                <w:sz w:val="16"/>
                <w:szCs w:val="16"/>
              </w:rPr>
            </w:pPr>
            <w:r>
              <w:rPr>
                <w:rFonts w:ascii="Arial" w:hAnsi="Arial" w:cs="Arial"/>
                <w:sz w:val="16"/>
                <w:szCs w:val="16"/>
              </w:rPr>
              <w:t>52,291</w:t>
            </w:r>
          </w:p>
        </w:tc>
        <w:tc>
          <w:tcPr>
            <w:tcW w:w="1245" w:type="dxa"/>
            <w:vAlign w:val="center"/>
          </w:tcPr>
          <w:p w14:paraId="5C56FC52" w14:textId="1580609A" w:rsidR="006B62FF" w:rsidRDefault="002D573F" w:rsidP="00C14DE1">
            <w:pPr>
              <w:spacing w:line="300" w:lineRule="atLeast"/>
              <w:jc w:val="center"/>
              <w:rPr>
                <w:rFonts w:ascii="Arial" w:hAnsi="Arial" w:cs="Arial"/>
                <w:sz w:val="16"/>
                <w:szCs w:val="16"/>
              </w:rPr>
            </w:pPr>
            <w:r>
              <w:rPr>
                <w:rFonts w:ascii="Arial" w:hAnsi="Arial" w:cs="Arial"/>
                <w:sz w:val="16"/>
                <w:szCs w:val="16"/>
              </w:rPr>
              <w:t>0.005 – 0.02</w:t>
            </w:r>
          </w:p>
        </w:tc>
        <w:tc>
          <w:tcPr>
            <w:tcW w:w="1570" w:type="dxa"/>
            <w:vAlign w:val="center"/>
          </w:tcPr>
          <w:p w14:paraId="101AAFEE" w14:textId="73DD6CEF" w:rsidR="006B62FF" w:rsidRDefault="002D573F" w:rsidP="00C14DE1">
            <w:pPr>
              <w:spacing w:line="300" w:lineRule="atLeast"/>
              <w:jc w:val="center"/>
              <w:rPr>
                <w:rFonts w:ascii="Arial" w:hAnsi="Arial" w:cs="Arial"/>
                <w:sz w:val="16"/>
                <w:szCs w:val="16"/>
              </w:rPr>
            </w:pPr>
            <w:r>
              <w:rPr>
                <w:rFonts w:ascii="Arial" w:hAnsi="Arial" w:cs="Arial"/>
                <w:sz w:val="16"/>
                <w:szCs w:val="16"/>
              </w:rPr>
              <w:t>0.26 – 1.0</w:t>
            </w:r>
            <w:r w:rsidR="006E7F4E">
              <w:rPr>
                <w:rFonts w:ascii="Arial" w:hAnsi="Arial" w:cs="Arial"/>
                <w:sz w:val="16"/>
                <w:szCs w:val="16"/>
              </w:rPr>
              <w:t>5</w:t>
            </w:r>
          </w:p>
        </w:tc>
        <w:tc>
          <w:tcPr>
            <w:tcW w:w="1538" w:type="dxa"/>
            <w:vAlign w:val="center"/>
          </w:tcPr>
          <w:p w14:paraId="6ADC04A4" w14:textId="10A91439" w:rsidR="006B62FF" w:rsidRDefault="002D573F" w:rsidP="00C14DE1">
            <w:pPr>
              <w:spacing w:line="300" w:lineRule="atLeast"/>
              <w:jc w:val="center"/>
              <w:rPr>
                <w:rFonts w:ascii="Arial" w:hAnsi="Arial" w:cs="Arial"/>
                <w:sz w:val="16"/>
                <w:szCs w:val="16"/>
              </w:rPr>
            </w:pPr>
            <w:r>
              <w:rPr>
                <w:rFonts w:ascii="Arial" w:hAnsi="Arial" w:cs="Arial"/>
                <w:sz w:val="16"/>
                <w:szCs w:val="16"/>
              </w:rPr>
              <w:t>0.13 – 0.523</w:t>
            </w:r>
          </w:p>
        </w:tc>
        <w:tc>
          <w:tcPr>
            <w:tcW w:w="1574" w:type="dxa"/>
            <w:vAlign w:val="center"/>
          </w:tcPr>
          <w:p w14:paraId="15AAF6D9" w14:textId="41798AE0" w:rsidR="006B62FF" w:rsidRDefault="002D573F" w:rsidP="00C14DE1">
            <w:pPr>
              <w:spacing w:line="300" w:lineRule="atLeast"/>
              <w:jc w:val="center"/>
              <w:rPr>
                <w:rFonts w:ascii="Arial" w:hAnsi="Arial" w:cs="Arial"/>
                <w:sz w:val="16"/>
                <w:szCs w:val="16"/>
              </w:rPr>
            </w:pPr>
            <w:r>
              <w:rPr>
                <w:rFonts w:ascii="Arial" w:hAnsi="Arial" w:cs="Arial"/>
                <w:sz w:val="16"/>
                <w:szCs w:val="16"/>
              </w:rPr>
              <w:t>0.13 – 0.523</w:t>
            </w:r>
          </w:p>
        </w:tc>
      </w:tr>
      <w:tr w:rsidR="00AB49A2" w:rsidRPr="00C14DE1" w14:paraId="7E5CBB21" w14:textId="77777777" w:rsidTr="006E7F4E">
        <w:tc>
          <w:tcPr>
            <w:tcW w:w="1882" w:type="dxa"/>
            <w:tcBorders>
              <w:top w:val="double" w:sz="4" w:space="0" w:color="auto"/>
            </w:tcBorders>
          </w:tcPr>
          <w:p w14:paraId="0574D610" w14:textId="3273F457" w:rsidR="00AB49A2" w:rsidRPr="00C14DE1" w:rsidRDefault="00AB49A2" w:rsidP="00EA4F4B">
            <w:pPr>
              <w:spacing w:line="300" w:lineRule="atLeast"/>
              <w:jc w:val="both"/>
              <w:rPr>
                <w:rFonts w:ascii="Arial" w:hAnsi="Arial" w:cs="Arial"/>
                <w:b/>
                <w:sz w:val="16"/>
                <w:szCs w:val="16"/>
              </w:rPr>
            </w:pPr>
            <w:r w:rsidRPr="00C14DE1">
              <w:rPr>
                <w:rFonts w:ascii="Arial" w:hAnsi="Arial" w:cs="Arial"/>
                <w:b/>
                <w:sz w:val="16"/>
                <w:szCs w:val="16"/>
              </w:rPr>
              <w:t>Total</w:t>
            </w:r>
            <w:r w:rsidR="00C14DE1">
              <w:rPr>
                <w:rFonts w:ascii="Arial" w:hAnsi="Arial" w:cs="Arial"/>
                <w:b/>
                <w:sz w:val="16"/>
                <w:szCs w:val="16"/>
              </w:rPr>
              <w:t>, 2012</w:t>
            </w:r>
          </w:p>
        </w:tc>
        <w:tc>
          <w:tcPr>
            <w:tcW w:w="1252" w:type="dxa"/>
            <w:tcBorders>
              <w:top w:val="double" w:sz="4" w:space="0" w:color="auto"/>
            </w:tcBorders>
            <w:vAlign w:val="center"/>
          </w:tcPr>
          <w:p w14:paraId="6E44DAF5" w14:textId="77777777" w:rsidR="00AB49A2" w:rsidRPr="00C14DE1" w:rsidRDefault="00AB49A2" w:rsidP="00284F82">
            <w:pPr>
              <w:spacing w:line="300" w:lineRule="atLeast"/>
              <w:jc w:val="center"/>
              <w:rPr>
                <w:rFonts w:ascii="Arial" w:hAnsi="Arial" w:cs="Arial"/>
                <w:b/>
                <w:sz w:val="16"/>
                <w:szCs w:val="16"/>
              </w:rPr>
            </w:pPr>
          </w:p>
        </w:tc>
        <w:tc>
          <w:tcPr>
            <w:tcW w:w="1245" w:type="dxa"/>
            <w:tcBorders>
              <w:top w:val="double" w:sz="4" w:space="0" w:color="auto"/>
            </w:tcBorders>
            <w:vAlign w:val="center"/>
          </w:tcPr>
          <w:p w14:paraId="6290DD37" w14:textId="77777777" w:rsidR="00AB49A2" w:rsidRPr="00C14DE1" w:rsidRDefault="00AB49A2" w:rsidP="00284F82">
            <w:pPr>
              <w:spacing w:line="300" w:lineRule="atLeast"/>
              <w:jc w:val="center"/>
              <w:rPr>
                <w:rFonts w:ascii="Arial" w:hAnsi="Arial" w:cs="Arial"/>
                <w:b/>
                <w:sz w:val="16"/>
                <w:szCs w:val="16"/>
              </w:rPr>
            </w:pPr>
          </w:p>
        </w:tc>
        <w:tc>
          <w:tcPr>
            <w:tcW w:w="1570" w:type="dxa"/>
            <w:tcBorders>
              <w:top w:val="double" w:sz="4" w:space="0" w:color="auto"/>
            </w:tcBorders>
            <w:vAlign w:val="center"/>
          </w:tcPr>
          <w:p w14:paraId="6A837CB1" w14:textId="72B10ED8" w:rsidR="00AB49A2" w:rsidRPr="00C14DE1" w:rsidRDefault="00AF5F5A" w:rsidP="00111AEB">
            <w:pPr>
              <w:spacing w:line="300" w:lineRule="atLeast"/>
              <w:jc w:val="center"/>
              <w:rPr>
                <w:rFonts w:ascii="Arial" w:hAnsi="Arial" w:cs="Arial"/>
                <w:b/>
                <w:sz w:val="16"/>
                <w:szCs w:val="16"/>
              </w:rPr>
            </w:pPr>
            <w:r w:rsidRPr="00C14DE1">
              <w:rPr>
                <w:rFonts w:ascii="Arial" w:hAnsi="Arial" w:cs="Arial"/>
                <w:b/>
                <w:sz w:val="16"/>
                <w:szCs w:val="16"/>
              </w:rPr>
              <w:t>40.</w:t>
            </w:r>
            <w:r w:rsidR="00111AEB" w:rsidRPr="00C14DE1">
              <w:rPr>
                <w:rFonts w:ascii="Arial" w:hAnsi="Arial" w:cs="Arial"/>
                <w:b/>
                <w:sz w:val="16"/>
                <w:szCs w:val="16"/>
              </w:rPr>
              <w:t>5</w:t>
            </w:r>
            <w:r w:rsidRPr="00C14DE1">
              <w:rPr>
                <w:rFonts w:ascii="Arial" w:hAnsi="Arial" w:cs="Arial"/>
                <w:b/>
                <w:sz w:val="16"/>
                <w:szCs w:val="16"/>
              </w:rPr>
              <w:t xml:space="preserve"> </w:t>
            </w:r>
            <w:r w:rsidR="000F08C9" w:rsidRPr="00C14DE1">
              <w:rPr>
                <w:rFonts w:ascii="Arial" w:hAnsi="Arial" w:cs="Arial"/>
                <w:b/>
                <w:sz w:val="16"/>
                <w:szCs w:val="16"/>
              </w:rPr>
              <w:t>–</w:t>
            </w:r>
            <w:r w:rsidRPr="00C14DE1">
              <w:rPr>
                <w:rFonts w:ascii="Arial" w:hAnsi="Arial" w:cs="Arial"/>
                <w:b/>
                <w:sz w:val="16"/>
                <w:szCs w:val="16"/>
              </w:rPr>
              <w:t xml:space="preserve"> 16</w:t>
            </w:r>
            <w:r w:rsidR="006E7F4E">
              <w:rPr>
                <w:rFonts w:ascii="Arial" w:hAnsi="Arial" w:cs="Arial"/>
                <w:b/>
                <w:sz w:val="16"/>
                <w:szCs w:val="16"/>
              </w:rPr>
              <w:t xml:space="preserve">2 </w:t>
            </w:r>
            <w:r w:rsidR="000F08C9" w:rsidRPr="00C14DE1">
              <w:rPr>
                <w:rFonts w:ascii="Arial" w:hAnsi="Arial" w:cs="Arial"/>
                <w:b/>
                <w:sz w:val="16"/>
                <w:szCs w:val="16"/>
              </w:rPr>
              <w:t>(10</w:t>
            </w:r>
            <w:r w:rsidR="00111AEB" w:rsidRPr="00C14DE1">
              <w:rPr>
                <w:rFonts w:ascii="Arial" w:hAnsi="Arial" w:cs="Arial"/>
                <w:b/>
                <w:sz w:val="16"/>
                <w:szCs w:val="16"/>
              </w:rPr>
              <w:t>1</w:t>
            </w:r>
            <w:r w:rsidR="000F08C9" w:rsidRPr="00C14DE1">
              <w:rPr>
                <w:rFonts w:ascii="Arial" w:hAnsi="Arial" w:cs="Arial"/>
                <w:b/>
                <w:sz w:val="16"/>
                <w:szCs w:val="16"/>
              </w:rPr>
              <w:t>)</w:t>
            </w:r>
          </w:p>
        </w:tc>
        <w:tc>
          <w:tcPr>
            <w:tcW w:w="1538" w:type="dxa"/>
            <w:tcBorders>
              <w:top w:val="double" w:sz="4" w:space="0" w:color="auto"/>
            </w:tcBorders>
            <w:vAlign w:val="center"/>
          </w:tcPr>
          <w:p w14:paraId="515379DA" w14:textId="7B2981E0" w:rsidR="00AB49A2" w:rsidRPr="00C14DE1" w:rsidRDefault="00AF5F5A" w:rsidP="00861AC9">
            <w:pPr>
              <w:spacing w:line="300" w:lineRule="atLeast"/>
              <w:jc w:val="center"/>
              <w:rPr>
                <w:rFonts w:ascii="Arial" w:hAnsi="Arial" w:cs="Arial"/>
                <w:b/>
                <w:sz w:val="16"/>
                <w:szCs w:val="16"/>
              </w:rPr>
            </w:pPr>
            <w:r w:rsidRPr="00C14DE1">
              <w:rPr>
                <w:rFonts w:ascii="Arial" w:hAnsi="Arial" w:cs="Arial"/>
                <w:b/>
                <w:sz w:val="16"/>
                <w:szCs w:val="16"/>
              </w:rPr>
              <w:t>20.</w:t>
            </w:r>
            <w:r w:rsidR="00861AC9" w:rsidRPr="00C14DE1">
              <w:rPr>
                <w:rFonts w:ascii="Arial" w:hAnsi="Arial" w:cs="Arial"/>
                <w:b/>
                <w:sz w:val="16"/>
                <w:szCs w:val="16"/>
              </w:rPr>
              <w:t>3</w:t>
            </w:r>
            <w:r w:rsidRPr="00C14DE1">
              <w:rPr>
                <w:rFonts w:ascii="Arial" w:hAnsi="Arial" w:cs="Arial"/>
                <w:b/>
                <w:sz w:val="16"/>
                <w:szCs w:val="16"/>
              </w:rPr>
              <w:t xml:space="preserve"> – 8</w:t>
            </w:r>
            <w:r w:rsidR="00861AC9" w:rsidRPr="00C14DE1">
              <w:rPr>
                <w:rFonts w:ascii="Arial" w:hAnsi="Arial" w:cs="Arial"/>
                <w:b/>
                <w:sz w:val="16"/>
                <w:szCs w:val="16"/>
              </w:rPr>
              <w:t>0.9</w:t>
            </w:r>
            <w:r w:rsidR="000F08C9" w:rsidRPr="00C14DE1">
              <w:rPr>
                <w:rFonts w:ascii="Arial" w:hAnsi="Arial" w:cs="Arial"/>
                <w:b/>
                <w:sz w:val="16"/>
                <w:szCs w:val="16"/>
              </w:rPr>
              <w:t xml:space="preserve"> </w:t>
            </w:r>
            <w:r w:rsidR="000F30F2">
              <w:rPr>
                <w:rFonts w:ascii="Arial" w:hAnsi="Arial" w:cs="Arial"/>
                <w:b/>
                <w:sz w:val="16"/>
                <w:szCs w:val="16"/>
              </w:rPr>
              <w:t xml:space="preserve"> </w:t>
            </w:r>
            <w:r w:rsidR="000F08C9" w:rsidRPr="00C14DE1">
              <w:rPr>
                <w:rFonts w:ascii="Arial" w:hAnsi="Arial" w:cs="Arial"/>
                <w:b/>
                <w:sz w:val="16"/>
                <w:szCs w:val="16"/>
              </w:rPr>
              <w:t>(50.</w:t>
            </w:r>
            <w:r w:rsidR="00111AEB" w:rsidRPr="00C14DE1">
              <w:rPr>
                <w:rFonts w:ascii="Arial" w:hAnsi="Arial" w:cs="Arial"/>
                <w:b/>
                <w:sz w:val="16"/>
                <w:szCs w:val="16"/>
              </w:rPr>
              <w:t>6</w:t>
            </w:r>
            <w:r w:rsidR="000F08C9" w:rsidRPr="00C14DE1">
              <w:rPr>
                <w:rFonts w:ascii="Arial" w:hAnsi="Arial" w:cs="Arial"/>
                <w:b/>
                <w:sz w:val="16"/>
                <w:szCs w:val="16"/>
              </w:rPr>
              <w:t>)</w:t>
            </w:r>
          </w:p>
        </w:tc>
        <w:tc>
          <w:tcPr>
            <w:tcW w:w="1574" w:type="dxa"/>
            <w:tcBorders>
              <w:top w:val="double" w:sz="4" w:space="0" w:color="auto"/>
            </w:tcBorders>
            <w:vAlign w:val="center"/>
          </w:tcPr>
          <w:p w14:paraId="0A767B16" w14:textId="02687387" w:rsidR="000F08C9" w:rsidRPr="00C14DE1" w:rsidRDefault="00AF5F5A" w:rsidP="00861AC9">
            <w:pPr>
              <w:spacing w:line="300" w:lineRule="atLeast"/>
              <w:jc w:val="center"/>
              <w:rPr>
                <w:rFonts w:ascii="Arial" w:hAnsi="Arial" w:cs="Arial"/>
                <w:b/>
                <w:sz w:val="16"/>
                <w:szCs w:val="16"/>
              </w:rPr>
            </w:pPr>
            <w:r w:rsidRPr="00C14DE1">
              <w:rPr>
                <w:rFonts w:ascii="Arial" w:hAnsi="Arial" w:cs="Arial"/>
                <w:b/>
                <w:sz w:val="16"/>
                <w:szCs w:val="16"/>
              </w:rPr>
              <w:t>20.</w:t>
            </w:r>
            <w:r w:rsidR="00861AC9" w:rsidRPr="00C14DE1">
              <w:rPr>
                <w:rFonts w:ascii="Arial" w:hAnsi="Arial" w:cs="Arial"/>
                <w:b/>
                <w:sz w:val="16"/>
                <w:szCs w:val="16"/>
              </w:rPr>
              <w:t>3</w:t>
            </w:r>
            <w:r w:rsidRPr="00C14DE1">
              <w:rPr>
                <w:rFonts w:ascii="Arial" w:hAnsi="Arial" w:cs="Arial"/>
                <w:b/>
                <w:sz w:val="16"/>
                <w:szCs w:val="16"/>
              </w:rPr>
              <w:t xml:space="preserve"> – 8</w:t>
            </w:r>
            <w:r w:rsidR="00861AC9" w:rsidRPr="00C14DE1">
              <w:rPr>
                <w:rFonts w:ascii="Arial" w:hAnsi="Arial" w:cs="Arial"/>
                <w:b/>
                <w:sz w:val="16"/>
                <w:szCs w:val="16"/>
              </w:rPr>
              <w:t>0.9</w:t>
            </w:r>
            <w:r w:rsidR="000F08C9" w:rsidRPr="00C14DE1">
              <w:rPr>
                <w:rFonts w:ascii="Arial" w:hAnsi="Arial" w:cs="Arial"/>
                <w:b/>
                <w:sz w:val="16"/>
                <w:szCs w:val="16"/>
              </w:rPr>
              <w:t xml:space="preserve"> </w:t>
            </w:r>
            <w:r w:rsidR="000F30F2">
              <w:rPr>
                <w:rFonts w:ascii="Arial" w:hAnsi="Arial" w:cs="Arial"/>
                <w:b/>
                <w:sz w:val="16"/>
                <w:szCs w:val="16"/>
              </w:rPr>
              <w:t xml:space="preserve"> </w:t>
            </w:r>
            <w:r w:rsidR="000F08C9" w:rsidRPr="00C14DE1">
              <w:rPr>
                <w:rFonts w:ascii="Arial" w:hAnsi="Arial" w:cs="Arial"/>
                <w:b/>
                <w:sz w:val="16"/>
                <w:szCs w:val="16"/>
              </w:rPr>
              <w:t>(50.</w:t>
            </w:r>
            <w:r w:rsidR="00111AEB" w:rsidRPr="00C14DE1">
              <w:rPr>
                <w:rFonts w:ascii="Arial" w:hAnsi="Arial" w:cs="Arial"/>
                <w:b/>
                <w:sz w:val="16"/>
                <w:szCs w:val="16"/>
              </w:rPr>
              <w:t>6</w:t>
            </w:r>
            <w:r w:rsidR="000F08C9" w:rsidRPr="00C14DE1">
              <w:rPr>
                <w:rFonts w:ascii="Arial" w:hAnsi="Arial" w:cs="Arial"/>
                <w:b/>
                <w:sz w:val="16"/>
                <w:szCs w:val="16"/>
              </w:rPr>
              <w:t>)</w:t>
            </w:r>
          </w:p>
        </w:tc>
      </w:tr>
      <w:tr w:rsidR="00C14DE1" w:rsidRPr="00C14DE1" w14:paraId="1F7C66E0" w14:textId="77777777" w:rsidTr="006E7F4E">
        <w:tc>
          <w:tcPr>
            <w:tcW w:w="1882" w:type="dxa"/>
          </w:tcPr>
          <w:p w14:paraId="69B22AF4" w14:textId="25717730" w:rsidR="00C14DE1" w:rsidRPr="00C14DE1" w:rsidRDefault="00C14DE1" w:rsidP="00C14DE1">
            <w:pPr>
              <w:spacing w:line="300" w:lineRule="atLeast"/>
              <w:jc w:val="both"/>
              <w:rPr>
                <w:rFonts w:ascii="Arial" w:hAnsi="Arial" w:cs="Arial"/>
                <w:b/>
                <w:sz w:val="16"/>
                <w:szCs w:val="16"/>
              </w:rPr>
            </w:pPr>
            <w:r>
              <w:rPr>
                <w:rFonts w:ascii="Arial" w:hAnsi="Arial" w:cs="Arial"/>
                <w:b/>
                <w:sz w:val="16"/>
                <w:szCs w:val="16"/>
              </w:rPr>
              <w:t>Total, 2016</w:t>
            </w:r>
          </w:p>
        </w:tc>
        <w:tc>
          <w:tcPr>
            <w:tcW w:w="1252" w:type="dxa"/>
            <w:vAlign w:val="center"/>
          </w:tcPr>
          <w:p w14:paraId="7326B23F" w14:textId="77777777" w:rsidR="00C14DE1" w:rsidRPr="00C14DE1" w:rsidRDefault="00C14DE1" w:rsidP="00C14DE1">
            <w:pPr>
              <w:spacing w:line="300" w:lineRule="atLeast"/>
              <w:jc w:val="center"/>
              <w:rPr>
                <w:rFonts w:ascii="Arial" w:hAnsi="Arial" w:cs="Arial"/>
                <w:b/>
                <w:sz w:val="16"/>
                <w:szCs w:val="16"/>
              </w:rPr>
            </w:pPr>
          </w:p>
        </w:tc>
        <w:tc>
          <w:tcPr>
            <w:tcW w:w="1245" w:type="dxa"/>
            <w:vAlign w:val="center"/>
          </w:tcPr>
          <w:p w14:paraId="2E911266" w14:textId="77777777" w:rsidR="00C14DE1" w:rsidRPr="00C14DE1" w:rsidRDefault="00C14DE1" w:rsidP="00C14DE1">
            <w:pPr>
              <w:spacing w:line="300" w:lineRule="atLeast"/>
              <w:jc w:val="center"/>
              <w:rPr>
                <w:rFonts w:ascii="Arial" w:hAnsi="Arial" w:cs="Arial"/>
                <w:b/>
                <w:sz w:val="16"/>
                <w:szCs w:val="16"/>
              </w:rPr>
            </w:pPr>
          </w:p>
        </w:tc>
        <w:tc>
          <w:tcPr>
            <w:tcW w:w="1570" w:type="dxa"/>
            <w:vAlign w:val="center"/>
          </w:tcPr>
          <w:p w14:paraId="0E7BA21B" w14:textId="3E600004" w:rsidR="00C14DE1" w:rsidRPr="00C14DE1" w:rsidRDefault="00C14DE1" w:rsidP="00C14DE1">
            <w:pPr>
              <w:spacing w:line="300" w:lineRule="atLeast"/>
              <w:jc w:val="center"/>
              <w:rPr>
                <w:rFonts w:ascii="Arial" w:hAnsi="Arial" w:cs="Arial"/>
                <w:b/>
                <w:sz w:val="16"/>
                <w:szCs w:val="16"/>
              </w:rPr>
            </w:pPr>
            <w:r>
              <w:rPr>
                <w:rFonts w:ascii="Arial" w:hAnsi="Arial" w:cs="Arial"/>
                <w:b/>
                <w:sz w:val="16"/>
                <w:szCs w:val="16"/>
              </w:rPr>
              <w:t>42.7 -  171</w:t>
            </w:r>
            <w:r w:rsidR="006E7F4E">
              <w:rPr>
                <w:rFonts w:ascii="Arial" w:hAnsi="Arial" w:cs="Arial"/>
                <w:b/>
                <w:sz w:val="16"/>
                <w:szCs w:val="16"/>
              </w:rPr>
              <w:t xml:space="preserve"> </w:t>
            </w:r>
            <w:r>
              <w:rPr>
                <w:rFonts w:ascii="Arial" w:hAnsi="Arial" w:cs="Arial"/>
                <w:b/>
                <w:sz w:val="16"/>
                <w:szCs w:val="16"/>
              </w:rPr>
              <w:t>(10</w:t>
            </w:r>
            <w:r w:rsidR="006E7F4E">
              <w:rPr>
                <w:rFonts w:ascii="Arial" w:hAnsi="Arial" w:cs="Arial"/>
                <w:b/>
                <w:sz w:val="16"/>
                <w:szCs w:val="16"/>
              </w:rPr>
              <w:t>7</w:t>
            </w:r>
            <w:r>
              <w:rPr>
                <w:rFonts w:ascii="Arial" w:hAnsi="Arial" w:cs="Arial"/>
                <w:b/>
                <w:sz w:val="16"/>
                <w:szCs w:val="16"/>
              </w:rPr>
              <w:t>)</w:t>
            </w:r>
          </w:p>
        </w:tc>
        <w:tc>
          <w:tcPr>
            <w:tcW w:w="1538" w:type="dxa"/>
            <w:vAlign w:val="center"/>
          </w:tcPr>
          <w:p w14:paraId="3806B17D" w14:textId="260CCFBC" w:rsidR="00C14DE1" w:rsidRPr="00C14DE1" w:rsidRDefault="00C14DE1" w:rsidP="00C14DE1">
            <w:pPr>
              <w:spacing w:line="300" w:lineRule="atLeast"/>
              <w:jc w:val="center"/>
              <w:rPr>
                <w:rFonts w:ascii="Arial" w:hAnsi="Arial" w:cs="Arial"/>
                <w:b/>
                <w:sz w:val="16"/>
                <w:szCs w:val="16"/>
              </w:rPr>
            </w:pPr>
            <w:r>
              <w:rPr>
                <w:rFonts w:ascii="Arial" w:hAnsi="Arial" w:cs="Arial"/>
                <w:b/>
                <w:sz w:val="16"/>
                <w:szCs w:val="16"/>
              </w:rPr>
              <w:t xml:space="preserve">21.4 – 85.6 </w:t>
            </w:r>
            <w:r w:rsidR="000F30F2">
              <w:rPr>
                <w:rFonts w:ascii="Arial" w:hAnsi="Arial" w:cs="Arial"/>
                <w:b/>
                <w:sz w:val="16"/>
                <w:szCs w:val="16"/>
              </w:rPr>
              <w:t xml:space="preserve"> </w:t>
            </w:r>
            <w:r>
              <w:rPr>
                <w:rFonts w:ascii="Arial" w:hAnsi="Arial" w:cs="Arial"/>
                <w:b/>
                <w:sz w:val="16"/>
                <w:szCs w:val="16"/>
              </w:rPr>
              <w:t>(53.5)</w:t>
            </w:r>
          </w:p>
        </w:tc>
        <w:tc>
          <w:tcPr>
            <w:tcW w:w="1574" w:type="dxa"/>
            <w:vAlign w:val="center"/>
          </w:tcPr>
          <w:p w14:paraId="73D3CD6B" w14:textId="7C24ACF9" w:rsidR="00C14DE1" w:rsidRPr="00C14DE1" w:rsidRDefault="00C14DE1" w:rsidP="00C14DE1">
            <w:pPr>
              <w:spacing w:line="300" w:lineRule="atLeast"/>
              <w:jc w:val="center"/>
              <w:rPr>
                <w:rFonts w:ascii="Arial" w:hAnsi="Arial" w:cs="Arial"/>
                <w:b/>
                <w:sz w:val="16"/>
                <w:szCs w:val="16"/>
              </w:rPr>
            </w:pPr>
            <w:r>
              <w:rPr>
                <w:rFonts w:ascii="Arial" w:hAnsi="Arial" w:cs="Arial"/>
                <w:b/>
                <w:sz w:val="16"/>
                <w:szCs w:val="16"/>
              </w:rPr>
              <w:t xml:space="preserve">21.4 – 85.6 </w:t>
            </w:r>
            <w:r w:rsidR="000F30F2">
              <w:rPr>
                <w:rFonts w:ascii="Arial" w:hAnsi="Arial" w:cs="Arial"/>
                <w:b/>
                <w:sz w:val="16"/>
                <w:szCs w:val="16"/>
              </w:rPr>
              <w:t xml:space="preserve"> </w:t>
            </w:r>
            <w:r>
              <w:rPr>
                <w:rFonts w:ascii="Arial" w:hAnsi="Arial" w:cs="Arial"/>
                <w:b/>
                <w:sz w:val="16"/>
                <w:szCs w:val="16"/>
              </w:rPr>
              <w:t>(53.5)</w:t>
            </w:r>
          </w:p>
        </w:tc>
      </w:tr>
      <w:tr w:rsidR="00272953" w:rsidRPr="00C14DE1" w14:paraId="5C6162D7" w14:textId="77777777" w:rsidTr="006E7F4E">
        <w:tc>
          <w:tcPr>
            <w:tcW w:w="1882" w:type="dxa"/>
          </w:tcPr>
          <w:p w14:paraId="3ACDCAA0" w14:textId="0AAE2DFB" w:rsidR="00990176" w:rsidRDefault="00990176" w:rsidP="00C14DE1">
            <w:pPr>
              <w:spacing w:line="300" w:lineRule="atLeast"/>
              <w:jc w:val="both"/>
              <w:rPr>
                <w:rFonts w:ascii="Arial" w:hAnsi="Arial" w:cs="Arial"/>
                <w:b/>
                <w:sz w:val="16"/>
                <w:szCs w:val="16"/>
              </w:rPr>
            </w:pPr>
            <w:r>
              <w:rPr>
                <w:rFonts w:ascii="Arial" w:hAnsi="Arial" w:cs="Arial"/>
                <w:b/>
                <w:sz w:val="16"/>
                <w:szCs w:val="16"/>
              </w:rPr>
              <w:t>Total, 2020</w:t>
            </w:r>
          </w:p>
        </w:tc>
        <w:tc>
          <w:tcPr>
            <w:tcW w:w="1252" w:type="dxa"/>
            <w:vAlign w:val="center"/>
          </w:tcPr>
          <w:p w14:paraId="03E33B70" w14:textId="77777777" w:rsidR="00990176" w:rsidRPr="00C14DE1" w:rsidRDefault="00990176" w:rsidP="00C14DE1">
            <w:pPr>
              <w:spacing w:line="300" w:lineRule="atLeast"/>
              <w:jc w:val="center"/>
              <w:rPr>
                <w:rFonts w:ascii="Arial" w:hAnsi="Arial" w:cs="Arial"/>
                <w:b/>
                <w:sz w:val="16"/>
                <w:szCs w:val="16"/>
              </w:rPr>
            </w:pPr>
          </w:p>
        </w:tc>
        <w:tc>
          <w:tcPr>
            <w:tcW w:w="1245" w:type="dxa"/>
            <w:vAlign w:val="center"/>
          </w:tcPr>
          <w:p w14:paraId="3F6BECF6" w14:textId="77777777" w:rsidR="00990176" w:rsidRPr="00C14DE1" w:rsidRDefault="00990176" w:rsidP="00C14DE1">
            <w:pPr>
              <w:spacing w:line="300" w:lineRule="atLeast"/>
              <w:jc w:val="center"/>
              <w:rPr>
                <w:rFonts w:ascii="Arial" w:hAnsi="Arial" w:cs="Arial"/>
                <w:b/>
                <w:sz w:val="16"/>
                <w:szCs w:val="16"/>
              </w:rPr>
            </w:pPr>
          </w:p>
        </w:tc>
        <w:tc>
          <w:tcPr>
            <w:tcW w:w="1570" w:type="dxa"/>
            <w:vAlign w:val="center"/>
          </w:tcPr>
          <w:p w14:paraId="2A6E78D4" w14:textId="6342F3BA" w:rsidR="00990176" w:rsidRDefault="00990176" w:rsidP="00C14DE1">
            <w:pPr>
              <w:spacing w:line="300" w:lineRule="atLeast"/>
              <w:jc w:val="center"/>
              <w:rPr>
                <w:rFonts w:ascii="Arial" w:hAnsi="Arial" w:cs="Arial"/>
                <w:b/>
                <w:sz w:val="16"/>
                <w:szCs w:val="16"/>
              </w:rPr>
            </w:pPr>
            <w:r>
              <w:rPr>
                <w:rFonts w:ascii="Arial" w:hAnsi="Arial" w:cs="Arial"/>
                <w:b/>
                <w:sz w:val="16"/>
                <w:szCs w:val="16"/>
              </w:rPr>
              <w:t>39.4 – 157</w:t>
            </w:r>
            <w:r w:rsidR="009F66A4">
              <w:rPr>
                <w:rFonts w:ascii="Arial" w:hAnsi="Arial" w:cs="Arial"/>
                <w:b/>
                <w:sz w:val="16"/>
                <w:szCs w:val="16"/>
              </w:rPr>
              <w:t xml:space="preserve">  </w:t>
            </w:r>
            <w:r w:rsidR="00D943D3">
              <w:rPr>
                <w:rFonts w:ascii="Arial" w:hAnsi="Arial" w:cs="Arial"/>
                <w:b/>
                <w:sz w:val="16"/>
                <w:szCs w:val="16"/>
              </w:rPr>
              <w:t xml:space="preserve"> (</w:t>
            </w:r>
            <w:r w:rsidR="009F66A4">
              <w:rPr>
                <w:rFonts w:ascii="Arial" w:hAnsi="Arial" w:cs="Arial"/>
                <w:b/>
                <w:sz w:val="16"/>
                <w:szCs w:val="16"/>
              </w:rPr>
              <w:t>98.</w:t>
            </w:r>
            <w:r w:rsidR="008739BF">
              <w:rPr>
                <w:rFonts w:ascii="Arial" w:hAnsi="Arial" w:cs="Arial"/>
                <w:b/>
                <w:sz w:val="16"/>
                <w:szCs w:val="16"/>
              </w:rPr>
              <w:t>6</w:t>
            </w:r>
            <w:r w:rsidR="009F66A4">
              <w:rPr>
                <w:rFonts w:ascii="Arial" w:hAnsi="Arial" w:cs="Arial"/>
                <w:b/>
                <w:sz w:val="16"/>
                <w:szCs w:val="16"/>
              </w:rPr>
              <w:t>)</w:t>
            </w:r>
          </w:p>
        </w:tc>
        <w:tc>
          <w:tcPr>
            <w:tcW w:w="1538" w:type="dxa"/>
            <w:vAlign w:val="center"/>
          </w:tcPr>
          <w:p w14:paraId="6B1E2039" w14:textId="540BC715" w:rsidR="00990176" w:rsidRDefault="00990176" w:rsidP="00C14DE1">
            <w:pPr>
              <w:spacing w:line="300" w:lineRule="atLeast"/>
              <w:jc w:val="center"/>
              <w:rPr>
                <w:rFonts w:ascii="Arial" w:hAnsi="Arial" w:cs="Arial"/>
                <w:b/>
                <w:sz w:val="16"/>
                <w:szCs w:val="16"/>
              </w:rPr>
            </w:pPr>
            <w:r>
              <w:rPr>
                <w:rFonts w:ascii="Arial" w:hAnsi="Arial" w:cs="Arial"/>
                <w:b/>
                <w:sz w:val="16"/>
                <w:szCs w:val="16"/>
              </w:rPr>
              <w:t>19.</w:t>
            </w:r>
            <w:r w:rsidR="006E7F4E">
              <w:rPr>
                <w:rFonts w:ascii="Arial" w:hAnsi="Arial" w:cs="Arial"/>
                <w:b/>
                <w:sz w:val="16"/>
                <w:szCs w:val="16"/>
              </w:rPr>
              <w:t>8</w:t>
            </w:r>
            <w:r w:rsidR="00D943D3">
              <w:rPr>
                <w:rFonts w:ascii="Arial" w:hAnsi="Arial" w:cs="Arial"/>
                <w:b/>
                <w:sz w:val="16"/>
                <w:szCs w:val="16"/>
              </w:rPr>
              <w:t xml:space="preserve"> – 78.6</w:t>
            </w:r>
            <w:r w:rsidR="006E7F4E">
              <w:rPr>
                <w:rFonts w:ascii="Arial" w:hAnsi="Arial" w:cs="Arial"/>
                <w:b/>
                <w:sz w:val="16"/>
                <w:szCs w:val="16"/>
              </w:rPr>
              <w:t xml:space="preserve"> </w:t>
            </w:r>
            <w:r w:rsidR="009F66A4">
              <w:rPr>
                <w:rFonts w:ascii="Arial" w:hAnsi="Arial" w:cs="Arial"/>
                <w:b/>
                <w:sz w:val="16"/>
                <w:szCs w:val="16"/>
              </w:rPr>
              <w:t>(49.</w:t>
            </w:r>
            <w:r w:rsidR="008739BF">
              <w:rPr>
                <w:rFonts w:ascii="Arial" w:hAnsi="Arial" w:cs="Arial"/>
                <w:b/>
                <w:sz w:val="16"/>
                <w:szCs w:val="16"/>
              </w:rPr>
              <w:t>3</w:t>
            </w:r>
            <w:r w:rsidR="009F66A4">
              <w:rPr>
                <w:rFonts w:ascii="Arial" w:hAnsi="Arial" w:cs="Arial"/>
                <w:b/>
                <w:sz w:val="16"/>
                <w:szCs w:val="16"/>
              </w:rPr>
              <w:t>)</w:t>
            </w:r>
          </w:p>
        </w:tc>
        <w:tc>
          <w:tcPr>
            <w:tcW w:w="1574" w:type="dxa"/>
            <w:vAlign w:val="center"/>
          </w:tcPr>
          <w:p w14:paraId="7DC72849" w14:textId="320782AE" w:rsidR="00990176" w:rsidRDefault="009F66A4" w:rsidP="00C14DE1">
            <w:pPr>
              <w:spacing w:line="300" w:lineRule="atLeast"/>
              <w:jc w:val="center"/>
              <w:rPr>
                <w:rFonts w:ascii="Arial" w:hAnsi="Arial" w:cs="Arial"/>
                <w:b/>
                <w:sz w:val="16"/>
                <w:szCs w:val="16"/>
              </w:rPr>
            </w:pPr>
            <w:r>
              <w:rPr>
                <w:rFonts w:ascii="Arial" w:hAnsi="Arial" w:cs="Arial"/>
                <w:b/>
                <w:sz w:val="16"/>
                <w:szCs w:val="16"/>
              </w:rPr>
              <w:t>19.</w:t>
            </w:r>
            <w:r w:rsidR="006E7F4E">
              <w:rPr>
                <w:rFonts w:ascii="Arial" w:hAnsi="Arial" w:cs="Arial"/>
                <w:b/>
                <w:sz w:val="16"/>
                <w:szCs w:val="16"/>
              </w:rPr>
              <w:t>8</w:t>
            </w:r>
            <w:r>
              <w:rPr>
                <w:rFonts w:ascii="Arial" w:hAnsi="Arial" w:cs="Arial"/>
                <w:b/>
                <w:sz w:val="16"/>
                <w:szCs w:val="16"/>
              </w:rPr>
              <w:t>– 78.6 (49.</w:t>
            </w:r>
            <w:r w:rsidR="008739BF">
              <w:rPr>
                <w:rFonts w:ascii="Arial" w:hAnsi="Arial" w:cs="Arial"/>
                <w:b/>
                <w:sz w:val="16"/>
                <w:szCs w:val="16"/>
              </w:rPr>
              <w:t>3</w:t>
            </w:r>
            <w:r>
              <w:rPr>
                <w:rFonts w:ascii="Arial" w:hAnsi="Arial" w:cs="Arial"/>
                <w:b/>
                <w:sz w:val="16"/>
                <w:szCs w:val="16"/>
              </w:rPr>
              <w:t>)</w:t>
            </w:r>
          </w:p>
        </w:tc>
      </w:tr>
      <w:tr w:rsidR="002D573F" w:rsidRPr="00C14DE1" w14:paraId="4338CA7B" w14:textId="77777777" w:rsidTr="00ED0D86">
        <w:tc>
          <w:tcPr>
            <w:tcW w:w="1882" w:type="dxa"/>
          </w:tcPr>
          <w:p w14:paraId="329AC069" w14:textId="345D7F57" w:rsidR="002D573F" w:rsidRDefault="002D573F" w:rsidP="00C14DE1">
            <w:pPr>
              <w:spacing w:line="300" w:lineRule="atLeast"/>
              <w:jc w:val="both"/>
              <w:rPr>
                <w:rFonts w:ascii="Arial" w:hAnsi="Arial" w:cs="Arial"/>
                <w:b/>
                <w:sz w:val="16"/>
                <w:szCs w:val="16"/>
              </w:rPr>
            </w:pPr>
            <w:r>
              <w:rPr>
                <w:rFonts w:ascii="Arial" w:hAnsi="Arial" w:cs="Arial"/>
                <w:b/>
                <w:sz w:val="16"/>
                <w:szCs w:val="16"/>
              </w:rPr>
              <w:t>Total, 2024</w:t>
            </w:r>
          </w:p>
        </w:tc>
        <w:tc>
          <w:tcPr>
            <w:tcW w:w="1252" w:type="dxa"/>
            <w:vAlign w:val="center"/>
          </w:tcPr>
          <w:p w14:paraId="75D43F94" w14:textId="77777777" w:rsidR="002D573F" w:rsidRPr="00C14DE1" w:rsidRDefault="002D573F" w:rsidP="00C14DE1">
            <w:pPr>
              <w:spacing w:line="300" w:lineRule="atLeast"/>
              <w:jc w:val="center"/>
              <w:rPr>
                <w:rFonts w:ascii="Arial" w:hAnsi="Arial" w:cs="Arial"/>
                <w:b/>
                <w:sz w:val="16"/>
                <w:szCs w:val="16"/>
              </w:rPr>
            </w:pPr>
          </w:p>
        </w:tc>
        <w:tc>
          <w:tcPr>
            <w:tcW w:w="1245" w:type="dxa"/>
            <w:vAlign w:val="center"/>
          </w:tcPr>
          <w:p w14:paraId="6A97FCE3" w14:textId="77777777" w:rsidR="002D573F" w:rsidRPr="00C14DE1" w:rsidRDefault="002D573F" w:rsidP="00C14DE1">
            <w:pPr>
              <w:spacing w:line="300" w:lineRule="atLeast"/>
              <w:jc w:val="center"/>
              <w:rPr>
                <w:rFonts w:ascii="Arial" w:hAnsi="Arial" w:cs="Arial"/>
                <w:b/>
                <w:sz w:val="16"/>
                <w:szCs w:val="16"/>
              </w:rPr>
            </w:pPr>
          </w:p>
        </w:tc>
        <w:tc>
          <w:tcPr>
            <w:tcW w:w="1570" w:type="dxa"/>
            <w:vAlign w:val="center"/>
          </w:tcPr>
          <w:p w14:paraId="63CD6E7F" w14:textId="67F6B03E" w:rsidR="002D573F" w:rsidRDefault="002D573F" w:rsidP="00C14DE1">
            <w:pPr>
              <w:spacing w:line="300" w:lineRule="atLeast"/>
              <w:jc w:val="center"/>
              <w:rPr>
                <w:rFonts w:ascii="Arial" w:hAnsi="Arial" w:cs="Arial"/>
                <w:b/>
                <w:sz w:val="16"/>
                <w:szCs w:val="16"/>
              </w:rPr>
            </w:pPr>
            <w:r>
              <w:rPr>
                <w:rFonts w:ascii="Arial" w:hAnsi="Arial" w:cs="Arial"/>
                <w:b/>
                <w:sz w:val="16"/>
                <w:szCs w:val="16"/>
              </w:rPr>
              <w:t>38.0 – 152</w:t>
            </w:r>
            <w:r w:rsidR="006E7F4E">
              <w:rPr>
                <w:rFonts w:ascii="Arial" w:hAnsi="Arial" w:cs="Arial"/>
                <w:b/>
                <w:sz w:val="16"/>
                <w:szCs w:val="16"/>
              </w:rPr>
              <w:t xml:space="preserve"> </w:t>
            </w:r>
            <w:r>
              <w:rPr>
                <w:rFonts w:ascii="Arial" w:hAnsi="Arial" w:cs="Arial"/>
                <w:b/>
                <w:sz w:val="16"/>
                <w:szCs w:val="16"/>
              </w:rPr>
              <w:t>(95.1)</w:t>
            </w:r>
          </w:p>
        </w:tc>
        <w:tc>
          <w:tcPr>
            <w:tcW w:w="1538" w:type="dxa"/>
            <w:vAlign w:val="center"/>
          </w:tcPr>
          <w:p w14:paraId="5B14FCC4" w14:textId="3B4F8634" w:rsidR="002D573F" w:rsidRDefault="002D573F" w:rsidP="00C14DE1">
            <w:pPr>
              <w:spacing w:line="300" w:lineRule="atLeast"/>
              <w:jc w:val="center"/>
              <w:rPr>
                <w:rFonts w:ascii="Arial" w:hAnsi="Arial" w:cs="Arial"/>
                <w:b/>
                <w:sz w:val="16"/>
                <w:szCs w:val="16"/>
              </w:rPr>
            </w:pPr>
            <w:r>
              <w:rPr>
                <w:rFonts w:ascii="Arial" w:hAnsi="Arial" w:cs="Arial"/>
                <w:b/>
                <w:sz w:val="16"/>
                <w:szCs w:val="16"/>
              </w:rPr>
              <w:t>19.0 – 76.</w:t>
            </w:r>
            <w:r w:rsidR="006E7F4E">
              <w:rPr>
                <w:rFonts w:ascii="Arial" w:hAnsi="Arial" w:cs="Arial"/>
                <w:b/>
                <w:sz w:val="16"/>
                <w:szCs w:val="16"/>
              </w:rPr>
              <w:t xml:space="preserve">2 </w:t>
            </w:r>
            <w:r>
              <w:rPr>
                <w:rFonts w:ascii="Arial" w:hAnsi="Arial" w:cs="Arial"/>
                <w:b/>
                <w:sz w:val="16"/>
                <w:szCs w:val="16"/>
              </w:rPr>
              <w:t>(47.6)</w:t>
            </w:r>
          </w:p>
        </w:tc>
        <w:tc>
          <w:tcPr>
            <w:tcW w:w="1574" w:type="dxa"/>
            <w:vAlign w:val="center"/>
          </w:tcPr>
          <w:p w14:paraId="4F31C3FE" w14:textId="1D120EAF" w:rsidR="002D573F" w:rsidRDefault="002D573F" w:rsidP="00C14DE1">
            <w:pPr>
              <w:spacing w:line="300" w:lineRule="atLeast"/>
              <w:jc w:val="center"/>
              <w:rPr>
                <w:rFonts w:ascii="Arial" w:hAnsi="Arial" w:cs="Arial"/>
                <w:b/>
                <w:sz w:val="16"/>
                <w:szCs w:val="16"/>
              </w:rPr>
            </w:pPr>
            <w:r>
              <w:rPr>
                <w:rFonts w:ascii="Arial" w:hAnsi="Arial" w:cs="Arial"/>
                <w:b/>
                <w:sz w:val="16"/>
                <w:szCs w:val="16"/>
              </w:rPr>
              <w:t>19.0 – 76.</w:t>
            </w:r>
            <w:r w:rsidR="006E7F4E">
              <w:rPr>
                <w:rFonts w:ascii="Arial" w:hAnsi="Arial" w:cs="Arial"/>
                <w:b/>
                <w:sz w:val="16"/>
                <w:szCs w:val="16"/>
              </w:rPr>
              <w:t xml:space="preserve">2 </w:t>
            </w:r>
            <w:r>
              <w:rPr>
                <w:rFonts w:ascii="Arial" w:hAnsi="Arial" w:cs="Arial"/>
                <w:b/>
                <w:sz w:val="16"/>
                <w:szCs w:val="16"/>
              </w:rPr>
              <w:t>(47.6)</w:t>
            </w:r>
          </w:p>
        </w:tc>
      </w:tr>
    </w:tbl>
    <w:p w14:paraId="4683CD69" w14:textId="77777777" w:rsidR="00EA4F4B" w:rsidRPr="00C14DE1" w:rsidRDefault="00EA4F4B" w:rsidP="00DD22C0">
      <w:pPr>
        <w:tabs>
          <w:tab w:val="left" w:pos="2760"/>
        </w:tabs>
        <w:spacing w:before="120" w:line="300" w:lineRule="atLeast"/>
        <w:jc w:val="both"/>
        <w:rPr>
          <w:rFonts w:ascii="Arial" w:hAnsi="Arial" w:cs="Arial"/>
          <w:b/>
          <w:szCs w:val="18"/>
        </w:rPr>
      </w:pPr>
      <w:r w:rsidRPr="00C14DE1">
        <w:rPr>
          <w:rFonts w:ascii="Arial" w:hAnsi="Arial" w:cs="Arial"/>
          <w:b/>
          <w:szCs w:val="18"/>
        </w:rPr>
        <w:t>Certainty assessment</w:t>
      </w:r>
    </w:p>
    <w:p w14:paraId="496C08B0" w14:textId="44741AB2" w:rsidR="00EA4F4B" w:rsidRPr="00C14DE1" w:rsidRDefault="00EA4F4B" w:rsidP="003F0477">
      <w:pPr>
        <w:tabs>
          <w:tab w:val="left" w:pos="1701"/>
        </w:tabs>
        <w:spacing w:line="300" w:lineRule="atLeast"/>
        <w:jc w:val="both"/>
        <w:rPr>
          <w:szCs w:val="18"/>
        </w:rPr>
      </w:pPr>
      <w:r w:rsidRPr="00C14DE1">
        <w:rPr>
          <w:szCs w:val="18"/>
        </w:rPr>
        <w:t xml:space="preserve">Activity data: </w:t>
      </w:r>
      <w:r w:rsidRPr="00C14DE1">
        <w:rPr>
          <w:szCs w:val="18"/>
        </w:rPr>
        <w:tab/>
      </w:r>
      <w:r w:rsidR="00D12873">
        <w:rPr>
          <w:szCs w:val="18"/>
        </w:rPr>
        <w:t>HIGH</w:t>
      </w:r>
      <w:r w:rsidRPr="00C14DE1">
        <w:rPr>
          <w:szCs w:val="18"/>
        </w:rPr>
        <w:t xml:space="preserve"> (because it was </w:t>
      </w:r>
      <w:r w:rsidR="003F0477" w:rsidRPr="00C14DE1">
        <w:rPr>
          <w:szCs w:val="18"/>
        </w:rPr>
        <w:t>based on company data</w:t>
      </w:r>
      <w:r w:rsidRPr="00C14DE1">
        <w:rPr>
          <w:szCs w:val="18"/>
        </w:rPr>
        <w:t>)</w:t>
      </w:r>
    </w:p>
    <w:p w14:paraId="50963615" w14:textId="77777777" w:rsidR="00EA4F4B" w:rsidRPr="00C14DE1" w:rsidRDefault="00EA4F4B" w:rsidP="003F0477">
      <w:pPr>
        <w:tabs>
          <w:tab w:val="left" w:pos="1701"/>
        </w:tabs>
        <w:spacing w:line="300" w:lineRule="atLeast"/>
        <w:jc w:val="both"/>
        <w:rPr>
          <w:szCs w:val="18"/>
        </w:rPr>
      </w:pPr>
      <w:r w:rsidRPr="00C14DE1">
        <w:rPr>
          <w:szCs w:val="18"/>
        </w:rPr>
        <w:t xml:space="preserve">Input estimates: </w:t>
      </w:r>
      <w:r w:rsidRPr="00C14DE1">
        <w:rPr>
          <w:szCs w:val="18"/>
        </w:rPr>
        <w:tab/>
        <w:t xml:space="preserve">LOW (because they are based on a limited range of published </w:t>
      </w:r>
      <w:r w:rsidR="003F0477" w:rsidRPr="00C14DE1">
        <w:rPr>
          <w:szCs w:val="18"/>
        </w:rPr>
        <w:t xml:space="preserve">data </w:t>
      </w:r>
      <w:r w:rsidRPr="00C14DE1">
        <w:rPr>
          <w:szCs w:val="18"/>
        </w:rPr>
        <w:t>and industry estimates)</w:t>
      </w:r>
    </w:p>
    <w:p w14:paraId="2DA59DEB" w14:textId="4DF34A26" w:rsidR="007D2703" w:rsidRDefault="00EA4F4B" w:rsidP="003F0477">
      <w:pPr>
        <w:tabs>
          <w:tab w:val="left" w:pos="1701"/>
        </w:tabs>
        <w:spacing w:line="300" w:lineRule="atLeast"/>
        <w:jc w:val="both"/>
        <w:rPr>
          <w:szCs w:val="18"/>
        </w:rPr>
      </w:pPr>
      <w:r w:rsidRPr="00C14DE1">
        <w:rPr>
          <w:szCs w:val="18"/>
        </w:rPr>
        <w:t xml:space="preserve">Output estimates: </w:t>
      </w:r>
      <w:r w:rsidRPr="00C14DE1">
        <w:rPr>
          <w:szCs w:val="18"/>
        </w:rPr>
        <w:tab/>
        <w:t>LOW (because they are based on default Toolkit output factors</w:t>
      </w:r>
      <w:r w:rsidR="00121BAD" w:rsidRPr="00C14DE1">
        <w:rPr>
          <w:szCs w:val="18"/>
        </w:rPr>
        <w:t xml:space="preserve"> for another category</w:t>
      </w:r>
      <w:r w:rsidRPr="00C14DE1">
        <w:rPr>
          <w:szCs w:val="18"/>
        </w:rPr>
        <w:t>).</w:t>
      </w:r>
    </w:p>
    <w:p w14:paraId="09706D46" w14:textId="77777777" w:rsidR="007D2703" w:rsidRDefault="007D2703">
      <w:pPr>
        <w:spacing w:after="0"/>
        <w:rPr>
          <w:szCs w:val="18"/>
        </w:rPr>
      </w:pPr>
      <w:r>
        <w:rPr>
          <w:szCs w:val="18"/>
        </w:rPr>
        <w:br w:type="page"/>
      </w:r>
    </w:p>
    <w:p w14:paraId="45A8157D" w14:textId="77777777" w:rsidR="002B3717" w:rsidRPr="002B3717" w:rsidRDefault="002B3717" w:rsidP="002B3717">
      <w:pPr>
        <w:pStyle w:val="Heading2"/>
        <w:rPr>
          <w:rFonts w:eastAsia="Calibri"/>
        </w:rPr>
      </w:pPr>
      <w:bookmarkStart w:id="63" w:name="_Toc110355526"/>
      <w:r w:rsidRPr="002B3717">
        <w:rPr>
          <w:rFonts w:eastAsia="Calibri"/>
        </w:rPr>
        <w:t>Summary for this category</w:t>
      </w:r>
      <w:bookmarkEnd w:id="63"/>
      <w:r w:rsidRPr="002B3717">
        <w:rPr>
          <w:rFonts w:eastAsia="Calibri"/>
        </w:rPr>
        <w:t xml:space="preserve"> </w:t>
      </w:r>
    </w:p>
    <w:p w14:paraId="5C4D436F" w14:textId="5D1C0A0B" w:rsidR="002B3717" w:rsidRDefault="002B3717" w:rsidP="002B3717">
      <w:pPr>
        <w:spacing w:line="300" w:lineRule="atLeast"/>
        <w:jc w:val="both"/>
        <w:rPr>
          <w:rFonts w:eastAsia="Calibri"/>
          <w:szCs w:val="22"/>
        </w:rPr>
      </w:pPr>
      <w:r>
        <w:rPr>
          <w:rFonts w:eastAsia="Calibri"/>
          <w:szCs w:val="22"/>
        </w:rPr>
        <w:t xml:space="preserve">The estimated inputs and outputs for the Primary Metal Production category are summarised in </w:t>
      </w:r>
      <w:r w:rsidRPr="0003101F">
        <w:rPr>
          <w:rFonts w:eastAsia="Calibri"/>
          <w:szCs w:val="22"/>
        </w:rPr>
        <w:fldChar w:fldCharType="begin"/>
      </w:r>
      <w:r w:rsidRPr="0003101F">
        <w:rPr>
          <w:rFonts w:eastAsia="Calibri"/>
          <w:szCs w:val="22"/>
        </w:rPr>
        <w:instrText xml:space="preserve"> REF _Ref358448653 \h </w:instrText>
      </w:r>
      <w:r w:rsidR="0003101F">
        <w:rPr>
          <w:rFonts w:eastAsia="Calibri"/>
          <w:szCs w:val="22"/>
        </w:rPr>
        <w:instrText xml:space="preserve"> \* MERGEFORMAT </w:instrText>
      </w:r>
      <w:r w:rsidRPr="0003101F">
        <w:rPr>
          <w:rFonts w:eastAsia="Calibri"/>
          <w:szCs w:val="22"/>
        </w:rPr>
      </w:r>
      <w:r w:rsidRPr="0003101F">
        <w:rPr>
          <w:rFonts w:eastAsia="Calibri"/>
          <w:szCs w:val="22"/>
        </w:rPr>
        <w:fldChar w:fldCharType="separate"/>
      </w:r>
      <w:r w:rsidR="00892B2D" w:rsidRPr="00892B2D">
        <w:t xml:space="preserve">Table </w:t>
      </w:r>
      <w:r w:rsidR="00892B2D" w:rsidRPr="00892B2D">
        <w:rPr>
          <w:noProof/>
        </w:rPr>
        <w:t>4</w:t>
      </w:r>
      <w:r w:rsidR="00892B2D" w:rsidRPr="00892B2D">
        <w:rPr>
          <w:noProof/>
        </w:rPr>
        <w:noBreakHyphen/>
        <w:t>5</w:t>
      </w:r>
      <w:r w:rsidRPr="0003101F">
        <w:rPr>
          <w:rFonts w:eastAsia="Calibri"/>
          <w:szCs w:val="22"/>
        </w:rPr>
        <w:fldChar w:fldCharType="end"/>
      </w:r>
      <w:r w:rsidR="00397E7A" w:rsidRPr="0003101F">
        <w:rPr>
          <w:rFonts w:eastAsia="Calibri"/>
          <w:szCs w:val="22"/>
        </w:rPr>
        <w:t>.</w:t>
      </w:r>
      <w:r w:rsidR="00397E7A">
        <w:rPr>
          <w:rFonts w:eastAsia="Calibri"/>
          <w:szCs w:val="22"/>
        </w:rPr>
        <w:t xml:space="preserve"> </w:t>
      </w:r>
      <w:r>
        <w:rPr>
          <w:rFonts w:eastAsia="Calibri"/>
          <w:szCs w:val="22"/>
        </w:rPr>
        <w:t>From this i</w:t>
      </w:r>
      <w:r w:rsidR="0003101F">
        <w:rPr>
          <w:rFonts w:eastAsia="Calibri"/>
          <w:szCs w:val="22"/>
        </w:rPr>
        <w:t>t</w:t>
      </w:r>
      <w:r>
        <w:rPr>
          <w:rFonts w:eastAsia="Calibri"/>
          <w:szCs w:val="22"/>
        </w:rPr>
        <w:t xml:space="preserve"> can be seen that the inputs are </w:t>
      </w:r>
      <w:r w:rsidR="00397E7A">
        <w:rPr>
          <w:rFonts w:eastAsia="Calibri"/>
          <w:szCs w:val="22"/>
        </w:rPr>
        <w:t xml:space="preserve">dominated by the use of ore in gold and silver production, which is </w:t>
      </w:r>
      <w:r w:rsidR="00E34110">
        <w:rPr>
          <w:rFonts w:eastAsia="Calibri"/>
          <w:szCs w:val="22"/>
        </w:rPr>
        <w:t xml:space="preserve">largely </w:t>
      </w:r>
      <w:r w:rsidR="003E3B3A">
        <w:rPr>
          <w:rFonts w:eastAsia="Calibri"/>
          <w:szCs w:val="22"/>
        </w:rPr>
        <w:t>separated from the product as a waste stream</w:t>
      </w:r>
      <w:r w:rsidR="00397E7A">
        <w:rPr>
          <w:rFonts w:eastAsia="Calibri"/>
          <w:szCs w:val="22"/>
        </w:rPr>
        <w:t>.</w:t>
      </w:r>
    </w:p>
    <w:p w14:paraId="1B20F02A" w14:textId="6F7F8C50" w:rsidR="002B3717" w:rsidRPr="007901FE" w:rsidRDefault="002B3717" w:rsidP="002B3717">
      <w:pPr>
        <w:pStyle w:val="Caption"/>
        <w:spacing w:before="240"/>
        <w:rPr>
          <w:rFonts w:ascii="Arial" w:hAnsi="Arial" w:cs="Arial"/>
          <w:szCs w:val="18"/>
        </w:rPr>
      </w:pPr>
      <w:bookmarkStart w:id="64" w:name="_Ref358448653"/>
      <w:bookmarkStart w:id="65" w:name="_Toc110355471"/>
      <w:r w:rsidRPr="002B3717">
        <w:rPr>
          <w:rFonts w:ascii="Arial" w:hAnsi="Arial" w:cs="Arial"/>
        </w:rPr>
        <w:t xml:space="preserve">Table </w:t>
      </w:r>
      <w:r w:rsidR="00390C9F">
        <w:rPr>
          <w:rFonts w:ascii="Arial" w:hAnsi="Arial" w:cs="Arial"/>
        </w:rPr>
        <w:fldChar w:fldCharType="begin"/>
      </w:r>
      <w:r w:rsidR="00390C9F">
        <w:rPr>
          <w:rFonts w:ascii="Arial" w:hAnsi="Arial" w:cs="Arial"/>
        </w:rPr>
        <w:instrText xml:space="preserve"> STYLEREF 1 \s </w:instrText>
      </w:r>
      <w:r w:rsidR="00390C9F">
        <w:rPr>
          <w:rFonts w:ascii="Arial" w:hAnsi="Arial" w:cs="Arial"/>
        </w:rPr>
        <w:fldChar w:fldCharType="separate"/>
      </w:r>
      <w:r w:rsidR="00892B2D">
        <w:rPr>
          <w:rFonts w:ascii="Arial" w:hAnsi="Arial" w:cs="Arial"/>
          <w:noProof/>
        </w:rPr>
        <w:t>4</w:t>
      </w:r>
      <w:r w:rsidR="00390C9F">
        <w:rPr>
          <w:rFonts w:ascii="Arial" w:hAnsi="Arial" w:cs="Arial"/>
        </w:rPr>
        <w:fldChar w:fldCharType="end"/>
      </w:r>
      <w:r w:rsidR="00390C9F">
        <w:rPr>
          <w:rFonts w:ascii="Arial" w:hAnsi="Arial" w:cs="Arial"/>
        </w:rPr>
        <w:noBreakHyphen/>
      </w:r>
      <w:r w:rsidR="00390C9F">
        <w:rPr>
          <w:rFonts w:ascii="Arial" w:hAnsi="Arial" w:cs="Arial"/>
        </w:rPr>
        <w:fldChar w:fldCharType="begin"/>
      </w:r>
      <w:r w:rsidR="00390C9F">
        <w:rPr>
          <w:rFonts w:ascii="Arial" w:hAnsi="Arial" w:cs="Arial"/>
        </w:rPr>
        <w:instrText xml:space="preserve"> SEQ Table \* ARABIC \s 1 </w:instrText>
      </w:r>
      <w:r w:rsidR="00390C9F">
        <w:rPr>
          <w:rFonts w:ascii="Arial" w:hAnsi="Arial" w:cs="Arial"/>
        </w:rPr>
        <w:fldChar w:fldCharType="separate"/>
      </w:r>
      <w:r w:rsidR="00892B2D">
        <w:rPr>
          <w:rFonts w:ascii="Arial" w:hAnsi="Arial" w:cs="Arial"/>
          <w:noProof/>
        </w:rPr>
        <w:t>5</w:t>
      </w:r>
      <w:r w:rsidR="00390C9F">
        <w:rPr>
          <w:rFonts w:ascii="Arial" w:hAnsi="Arial" w:cs="Arial"/>
        </w:rPr>
        <w:fldChar w:fldCharType="end"/>
      </w:r>
      <w:bookmarkEnd w:id="64"/>
      <w:r w:rsidRPr="002B3717">
        <w:rPr>
          <w:rFonts w:ascii="Arial" w:hAnsi="Arial" w:cs="Arial"/>
        </w:rPr>
        <w:t>:</w:t>
      </w:r>
      <w:r w:rsidRPr="007901FE">
        <w:rPr>
          <w:rFonts w:ascii="Arial" w:hAnsi="Arial" w:cs="Arial"/>
        </w:rPr>
        <w:t xml:space="preserve"> </w:t>
      </w:r>
      <w:r w:rsidR="00183044">
        <w:rPr>
          <w:rFonts w:ascii="Arial" w:hAnsi="Arial" w:cs="Arial"/>
        </w:rPr>
        <w:t xml:space="preserve"> </w:t>
      </w:r>
      <w:r w:rsidRPr="007901FE">
        <w:rPr>
          <w:rFonts w:ascii="Arial" w:hAnsi="Arial" w:cs="Arial"/>
        </w:rPr>
        <w:t>Summary of inputs and o</w:t>
      </w:r>
      <w:r>
        <w:rPr>
          <w:rFonts w:ascii="Arial" w:hAnsi="Arial" w:cs="Arial"/>
        </w:rPr>
        <w:t xml:space="preserve">utputs for the </w:t>
      </w:r>
      <w:r w:rsidR="00400543">
        <w:rPr>
          <w:rFonts w:ascii="Arial" w:hAnsi="Arial" w:cs="Arial"/>
        </w:rPr>
        <w:t>primary metal production</w:t>
      </w:r>
      <w:r>
        <w:rPr>
          <w:rFonts w:ascii="Arial" w:hAnsi="Arial" w:cs="Arial"/>
        </w:rPr>
        <w:t xml:space="preserve"> c</w:t>
      </w:r>
      <w:r w:rsidRPr="007901FE">
        <w:rPr>
          <w:rFonts w:ascii="Arial" w:hAnsi="Arial" w:cs="Arial"/>
        </w:rPr>
        <w:t>ategory</w:t>
      </w:r>
      <w:r w:rsidR="00DE46AE">
        <w:rPr>
          <w:rFonts w:ascii="Arial" w:hAnsi="Arial" w:cs="Arial"/>
        </w:rPr>
        <w:t xml:space="preserve"> for 20</w:t>
      </w:r>
      <w:r w:rsidR="007D2703">
        <w:rPr>
          <w:rFonts w:ascii="Arial" w:hAnsi="Arial" w:cs="Arial"/>
        </w:rPr>
        <w:t>2</w:t>
      </w:r>
      <w:bookmarkEnd w:id="65"/>
      <w:r w:rsidR="00043C30">
        <w:rPr>
          <w:rFonts w:ascii="Arial" w:hAnsi="Arial" w:cs="Arial"/>
        </w:rPr>
        <w:t>4</w:t>
      </w:r>
    </w:p>
    <w:tbl>
      <w:tblPr>
        <w:tblStyle w:val="TableGrid"/>
        <w:tblW w:w="9292" w:type="dxa"/>
        <w:tblInd w:w="108" w:type="dxa"/>
        <w:tblLook w:val="04A0" w:firstRow="1" w:lastRow="0" w:firstColumn="1" w:lastColumn="0" w:noHBand="0" w:noVBand="1"/>
      </w:tblPr>
      <w:tblGrid>
        <w:gridCol w:w="1983"/>
        <w:gridCol w:w="1557"/>
        <w:gridCol w:w="1132"/>
        <w:gridCol w:w="1135"/>
        <w:gridCol w:w="1582"/>
        <w:gridCol w:w="821"/>
        <w:gridCol w:w="1082"/>
      </w:tblGrid>
      <w:tr w:rsidR="003007F7" w:rsidRPr="007901FE" w14:paraId="6A7C2DDC" w14:textId="77777777" w:rsidTr="00743F9B">
        <w:tc>
          <w:tcPr>
            <w:tcW w:w="1983" w:type="dxa"/>
            <w:vMerge w:val="restart"/>
            <w:vAlign w:val="center"/>
          </w:tcPr>
          <w:p w14:paraId="59AA31E1" w14:textId="77777777" w:rsidR="003007F7" w:rsidRPr="00A87FDE" w:rsidRDefault="003007F7" w:rsidP="00284F82">
            <w:pPr>
              <w:spacing w:line="300" w:lineRule="atLeast"/>
              <w:rPr>
                <w:rFonts w:ascii="Arial" w:hAnsi="Arial" w:cs="Arial"/>
                <w:b/>
                <w:sz w:val="16"/>
                <w:szCs w:val="16"/>
              </w:rPr>
            </w:pPr>
            <w:r w:rsidRPr="00A87FDE">
              <w:rPr>
                <w:rFonts w:ascii="Arial" w:hAnsi="Arial" w:cs="Arial"/>
                <w:b/>
                <w:sz w:val="16"/>
                <w:szCs w:val="16"/>
              </w:rPr>
              <w:t>Category</w:t>
            </w:r>
          </w:p>
        </w:tc>
        <w:tc>
          <w:tcPr>
            <w:tcW w:w="1557" w:type="dxa"/>
            <w:vMerge w:val="restart"/>
            <w:vAlign w:val="center"/>
          </w:tcPr>
          <w:p w14:paraId="71486E89" w14:textId="77777777" w:rsidR="003007F7" w:rsidRPr="00A87FDE" w:rsidRDefault="003007F7" w:rsidP="00284F82">
            <w:pPr>
              <w:spacing w:line="300" w:lineRule="atLeast"/>
              <w:jc w:val="center"/>
              <w:rPr>
                <w:rFonts w:ascii="Arial" w:hAnsi="Arial" w:cs="Arial"/>
                <w:b/>
                <w:sz w:val="16"/>
                <w:szCs w:val="16"/>
              </w:rPr>
            </w:pPr>
            <w:r w:rsidRPr="00A87FDE">
              <w:rPr>
                <w:rFonts w:ascii="Arial" w:hAnsi="Arial" w:cs="Arial"/>
                <w:b/>
                <w:sz w:val="16"/>
                <w:szCs w:val="16"/>
              </w:rPr>
              <w:t>Mercury Inputs, kg/year</w:t>
            </w:r>
          </w:p>
        </w:tc>
        <w:tc>
          <w:tcPr>
            <w:tcW w:w="5752" w:type="dxa"/>
            <w:gridSpan w:val="5"/>
            <w:vAlign w:val="center"/>
          </w:tcPr>
          <w:p w14:paraId="02C569E5" w14:textId="77777777" w:rsidR="003007F7" w:rsidRPr="00A87FDE" w:rsidRDefault="003007F7" w:rsidP="00284F82">
            <w:pPr>
              <w:spacing w:line="300" w:lineRule="atLeast"/>
              <w:jc w:val="center"/>
              <w:rPr>
                <w:rFonts w:ascii="Arial" w:hAnsi="Arial" w:cs="Arial"/>
                <w:b/>
                <w:sz w:val="16"/>
                <w:szCs w:val="16"/>
              </w:rPr>
            </w:pPr>
            <w:r w:rsidRPr="00A87FDE">
              <w:rPr>
                <w:rFonts w:ascii="Arial" w:hAnsi="Arial" w:cs="Arial"/>
                <w:b/>
                <w:sz w:val="16"/>
                <w:szCs w:val="16"/>
              </w:rPr>
              <w:t>Mercury Outputs, kg/yr</w:t>
            </w:r>
          </w:p>
        </w:tc>
      </w:tr>
      <w:tr w:rsidR="00B3626A" w:rsidRPr="007901FE" w14:paraId="0761F180" w14:textId="77777777" w:rsidTr="00743F9B">
        <w:tc>
          <w:tcPr>
            <w:tcW w:w="1983" w:type="dxa"/>
            <w:vMerge/>
            <w:vAlign w:val="center"/>
          </w:tcPr>
          <w:p w14:paraId="38F84F8E" w14:textId="77777777" w:rsidR="003007F7" w:rsidRPr="00A87FDE" w:rsidRDefault="003007F7" w:rsidP="00284F82">
            <w:pPr>
              <w:spacing w:line="300" w:lineRule="atLeast"/>
              <w:rPr>
                <w:rFonts w:ascii="Arial" w:hAnsi="Arial" w:cs="Arial"/>
                <w:b/>
                <w:sz w:val="16"/>
                <w:szCs w:val="16"/>
              </w:rPr>
            </w:pPr>
          </w:p>
        </w:tc>
        <w:tc>
          <w:tcPr>
            <w:tcW w:w="1557" w:type="dxa"/>
            <w:vMerge/>
          </w:tcPr>
          <w:p w14:paraId="2910C404" w14:textId="77777777" w:rsidR="003007F7" w:rsidRPr="00A87FDE" w:rsidRDefault="003007F7" w:rsidP="00284F82">
            <w:pPr>
              <w:spacing w:line="300" w:lineRule="atLeast"/>
              <w:jc w:val="both"/>
              <w:rPr>
                <w:rFonts w:ascii="Arial" w:hAnsi="Arial" w:cs="Arial"/>
                <w:b/>
                <w:sz w:val="16"/>
                <w:szCs w:val="16"/>
              </w:rPr>
            </w:pPr>
          </w:p>
        </w:tc>
        <w:tc>
          <w:tcPr>
            <w:tcW w:w="1132" w:type="dxa"/>
            <w:vAlign w:val="center"/>
          </w:tcPr>
          <w:p w14:paraId="033CA799" w14:textId="77777777" w:rsidR="003007F7" w:rsidRPr="00A87FDE" w:rsidRDefault="003007F7" w:rsidP="00284F82">
            <w:pPr>
              <w:spacing w:line="300" w:lineRule="atLeast"/>
              <w:jc w:val="center"/>
              <w:rPr>
                <w:rFonts w:ascii="Arial" w:hAnsi="Arial" w:cs="Arial"/>
                <w:b/>
                <w:sz w:val="16"/>
                <w:szCs w:val="16"/>
              </w:rPr>
            </w:pPr>
            <w:r w:rsidRPr="00A87FDE">
              <w:rPr>
                <w:rFonts w:ascii="Arial" w:hAnsi="Arial" w:cs="Arial"/>
                <w:b/>
                <w:sz w:val="16"/>
                <w:szCs w:val="16"/>
              </w:rPr>
              <w:t>Air</w:t>
            </w:r>
          </w:p>
        </w:tc>
        <w:tc>
          <w:tcPr>
            <w:tcW w:w="1135" w:type="dxa"/>
            <w:vAlign w:val="center"/>
          </w:tcPr>
          <w:p w14:paraId="48F63967" w14:textId="77777777" w:rsidR="003007F7" w:rsidRPr="00A87FDE" w:rsidRDefault="003007F7" w:rsidP="00284F82">
            <w:pPr>
              <w:spacing w:line="300" w:lineRule="atLeast"/>
              <w:jc w:val="center"/>
              <w:rPr>
                <w:rFonts w:ascii="Arial" w:hAnsi="Arial" w:cs="Arial"/>
                <w:b/>
                <w:sz w:val="16"/>
                <w:szCs w:val="16"/>
              </w:rPr>
            </w:pPr>
            <w:r w:rsidRPr="00A87FDE">
              <w:rPr>
                <w:rFonts w:ascii="Arial" w:hAnsi="Arial" w:cs="Arial"/>
                <w:b/>
                <w:sz w:val="16"/>
                <w:szCs w:val="16"/>
              </w:rPr>
              <w:t>Water</w:t>
            </w:r>
          </w:p>
        </w:tc>
        <w:tc>
          <w:tcPr>
            <w:tcW w:w="1582" w:type="dxa"/>
            <w:vAlign w:val="center"/>
          </w:tcPr>
          <w:p w14:paraId="2904ED54" w14:textId="77777777" w:rsidR="003007F7" w:rsidRPr="00A87FDE" w:rsidRDefault="003007F7" w:rsidP="00284F82">
            <w:pPr>
              <w:spacing w:line="300" w:lineRule="atLeast"/>
              <w:jc w:val="center"/>
              <w:rPr>
                <w:rFonts w:ascii="Arial" w:hAnsi="Arial" w:cs="Arial"/>
                <w:b/>
                <w:sz w:val="16"/>
                <w:szCs w:val="16"/>
              </w:rPr>
            </w:pPr>
            <w:r w:rsidRPr="00A87FDE">
              <w:rPr>
                <w:rFonts w:ascii="Arial" w:hAnsi="Arial" w:cs="Arial"/>
                <w:b/>
                <w:sz w:val="16"/>
                <w:szCs w:val="16"/>
              </w:rPr>
              <w:t>Land</w:t>
            </w:r>
          </w:p>
        </w:tc>
        <w:tc>
          <w:tcPr>
            <w:tcW w:w="821" w:type="dxa"/>
            <w:vAlign w:val="center"/>
          </w:tcPr>
          <w:p w14:paraId="3D116FE1" w14:textId="77777777" w:rsidR="003007F7" w:rsidRPr="00A87FDE" w:rsidRDefault="003007F7" w:rsidP="00284F82">
            <w:pPr>
              <w:spacing w:line="300" w:lineRule="atLeast"/>
              <w:jc w:val="center"/>
              <w:rPr>
                <w:rFonts w:ascii="Arial" w:hAnsi="Arial" w:cs="Arial"/>
                <w:b/>
                <w:sz w:val="16"/>
                <w:szCs w:val="16"/>
              </w:rPr>
            </w:pPr>
            <w:r w:rsidRPr="00A87FDE">
              <w:rPr>
                <w:rFonts w:ascii="Arial" w:hAnsi="Arial" w:cs="Arial"/>
                <w:b/>
                <w:sz w:val="16"/>
                <w:szCs w:val="16"/>
              </w:rPr>
              <w:t>Product</w:t>
            </w:r>
          </w:p>
        </w:tc>
        <w:tc>
          <w:tcPr>
            <w:tcW w:w="1082" w:type="dxa"/>
            <w:vAlign w:val="center"/>
          </w:tcPr>
          <w:p w14:paraId="60FDE5B3" w14:textId="77777777" w:rsidR="003007F7" w:rsidRPr="00A87FDE" w:rsidRDefault="003007F7" w:rsidP="00284F82">
            <w:pPr>
              <w:spacing w:line="300" w:lineRule="atLeast"/>
              <w:jc w:val="center"/>
              <w:rPr>
                <w:rFonts w:ascii="Arial" w:hAnsi="Arial" w:cs="Arial"/>
                <w:b/>
                <w:sz w:val="16"/>
                <w:szCs w:val="16"/>
              </w:rPr>
            </w:pPr>
            <w:r w:rsidRPr="00A87FDE">
              <w:rPr>
                <w:rFonts w:ascii="Arial" w:hAnsi="Arial" w:cs="Arial"/>
                <w:b/>
                <w:sz w:val="16"/>
                <w:szCs w:val="16"/>
              </w:rPr>
              <w:t>Waste</w:t>
            </w:r>
          </w:p>
        </w:tc>
      </w:tr>
      <w:tr w:rsidR="00B3626A" w:rsidRPr="007901FE" w14:paraId="190BCC13" w14:textId="77777777" w:rsidTr="00743F9B">
        <w:tc>
          <w:tcPr>
            <w:tcW w:w="1983" w:type="dxa"/>
            <w:vAlign w:val="center"/>
          </w:tcPr>
          <w:p w14:paraId="537A7D70" w14:textId="77777777" w:rsidR="003007F7" w:rsidRPr="00A87FDE" w:rsidRDefault="003007F7" w:rsidP="00284F82">
            <w:pPr>
              <w:spacing w:line="300" w:lineRule="atLeast"/>
              <w:rPr>
                <w:rFonts w:ascii="Arial" w:hAnsi="Arial" w:cs="Arial"/>
                <w:sz w:val="16"/>
                <w:szCs w:val="16"/>
              </w:rPr>
            </w:pPr>
            <w:r w:rsidRPr="00A87FDE">
              <w:rPr>
                <w:rFonts w:ascii="Arial" w:hAnsi="Arial" w:cs="Arial"/>
                <w:sz w:val="16"/>
                <w:szCs w:val="16"/>
              </w:rPr>
              <w:t>Mercury</w:t>
            </w:r>
          </w:p>
        </w:tc>
        <w:tc>
          <w:tcPr>
            <w:tcW w:w="1557" w:type="dxa"/>
            <w:vAlign w:val="center"/>
          </w:tcPr>
          <w:p w14:paraId="1D2B0589" w14:textId="77777777" w:rsidR="003007F7" w:rsidRPr="00A87FDE" w:rsidRDefault="00805E72" w:rsidP="00284F82">
            <w:pPr>
              <w:spacing w:line="300" w:lineRule="atLeast"/>
              <w:jc w:val="center"/>
              <w:rPr>
                <w:rFonts w:ascii="Arial" w:hAnsi="Arial" w:cs="Arial"/>
                <w:sz w:val="16"/>
                <w:szCs w:val="16"/>
              </w:rPr>
            </w:pPr>
            <w:r w:rsidRPr="00A87FDE">
              <w:rPr>
                <w:rFonts w:ascii="Arial" w:hAnsi="Arial" w:cs="Arial"/>
                <w:sz w:val="16"/>
                <w:szCs w:val="16"/>
              </w:rPr>
              <w:t>-</w:t>
            </w:r>
          </w:p>
        </w:tc>
        <w:tc>
          <w:tcPr>
            <w:tcW w:w="1132" w:type="dxa"/>
            <w:vAlign w:val="center"/>
          </w:tcPr>
          <w:p w14:paraId="16801610" w14:textId="77777777" w:rsidR="003007F7" w:rsidRPr="00A87FDE" w:rsidRDefault="00805E72" w:rsidP="00284F82">
            <w:pPr>
              <w:spacing w:line="300" w:lineRule="atLeast"/>
              <w:jc w:val="center"/>
              <w:rPr>
                <w:rFonts w:ascii="Arial" w:hAnsi="Arial" w:cs="Arial"/>
                <w:sz w:val="16"/>
                <w:szCs w:val="16"/>
              </w:rPr>
            </w:pPr>
            <w:r w:rsidRPr="00A87FDE">
              <w:rPr>
                <w:rFonts w:ascii="Arial" w:hAnsi="Arial" w:cs="Arial"/>
                <w:sz w:val="16"/>
                <w:szCs w:val="16"/>
              </w:rPr>
              <w:t>-</w:t>
            </w:r>
          </w:p>
        </w:tc>
        <w:tc>
          <w:tcPr>
            <w:tcW w:w="1135" w:type="dxa"/>
            <w:vAlign w:val="center"/>
          </w:tcPr>
          <w:p w14:paraId="4ADB2D9E" w14:textId="77777777" w:rsidR="003007F7" w:rsidRPr="00A87FDE" w:rsidRDefault="003007F7" w:rsidP="00284F82">
            <w:pPr>
              <w:spacing w:line="300" w:lineRule="atLeast"/>
              <w:jc w:val="center"/>
              <w:rPr>
                <w:rFonts w:ascii="Arial" w:hAnsi="Arial" w:cs="Arial"/>
                <w:sz w:val="16"/>
                <w:szCs w:val="16"/>
              </w:rPr>
            </w:pPr>
            <w:r w:rsidRPr="00A87FDE">
              <w:rPr>
                <w:rFonts w:ascii="Arial" w:hAnsi="Arial" w:cs="Arial"/>
                <w:sz w:val="16"/>
                <w:szCs w:val="16"/>
              </w:rPr>
              <w:t>-</w:t>
            </w:r>
          </w:p>
        </w:tc>
        <w:tc>
          <w:tcPr>
            <w:tcW w:w="1582" w:type="dxa"/>
            <w:vAlign w:val="center"/>
          </w:tcPr>
          <w:p w14:paraId="5571DD04" w14:textId="77777777" w:rsidR="003007F7" w:rsidRPr="00A87FDE" w:rsidRDefault="003007F7" w:rsidP="00284F82">
            <w:pPr>
              <w:spacing w:line="300" w:lineRule="atLeast"/>
              <w:jc w:val="center"/>
              <w:rPr>
                <w:rFonts w:ascii="Arial" w:hAnsi="Arial" w:cs="Arial"/>
                <w:sz w:val="16"/>
                <w:szCs w:val="16"/>
              </w:rPr>
            </w:pPr>
            <w:r w:rsidRPr="00A87FDE">
              <w:rPr>
                <w:rFonts w:ascii="Arial" w:hAnsi="Arial" w:cs="Arial"/>
                <w:sz w:val="16"/>
                <w:szCs w:val="16"/>
              </w:rPr>
              <w:t>-</w:t>
            </w:r>
          </w:p>
        </w:tc>
        <w:tc>
          <w:tcPr>
            <w:tcW w:w="821" w:type="dxa"/>
            <w:vAlign w:val="center"/>
          </w:tcPr>
          <w:p w14:paraId="0C38BB66" w14:textId="77777777" w:rsidR="003007F7" w:rsidRPr="00A87FDE" w:rsidRDefault="003007F7" w:rsidP="00284F82">
            <w:pPr>
              <w:spacing w:line="300" w:lineRule="atLeast"/>
              <w:jc w:val="center"/>
              <w:rPr>
                <w:rFonts w:ascii="Arial" w:hAnsi="Arial" w:cs="Arial"/>
                <w:sz w:val="16"/>
                <w:szCs w:val="16"/>
              </w:rPr>
            </w:pPr>
            <w:r w:rsidRPr="00A87FDE">
              <w:rPr>
                <w:rFonts w:ascii="Arial" w:hAnsi="Arial" w:cs="Arial"/>
                <w:sz w:val="16"/>
                <w:szCs w:val="16"/>
              </w:rPr>
              <w:t>-</w:t>
            </w:r>
          </w:p>
        </w:tc>
        <w:tc>
          <w:tcPr>
            <w:tcW w:w="1082" w:type="dxa"/>
            <w:vAlign w:val="center"/>
          </w:tcPr>
          <w:p w14:paraId="7779DC77" w14:textId="77777777" w:rsidR="003007F7" w:rsidRPr="00A87FDE" w:rsidRDefault="00805E72" w:rsidP="00284F82">
            <w:pPr>
              <w:spacing w:line="300" w:lineRule="atLeast"/>
              <w:jc w:val="center"/>
              <w:rPr>
                <w:rFonts w:ascii="Arial" w:hAnsi="Arial" w:cs="Arial"/>
                <w:sz w:val="16"/>
                <w:szCs w:val="16"/>
              </w:rPr>
            </w:pPr>
            <w:r w:rsidRPr="00A87FDE">
              <w:rPr>
                <w:rFonts w:ascii="Arial" w:hAnsi="Arial" w:cs="Arial"/>
                <w:sz w:val="16"/>
                <w:szCs w:val="16"/>
              </w:rPr>
              <w:t>-</w:t>
            </w:r>
          </w:p>
        </w:tc>
      </w:tr>
      <w:tr w:rsidR="000502E1" w:rsidRPr="007901FE" w14:paraId="18D33773" w14:textId="77777777" w:rsidTr="00743F9B">
        <w:tc>
          <w:tcPr>
            <w:tcW w:w="1983" w:type="dxa"/>
            <w:vAlign w:val="center"/>
          </w:tcPr>
          <w:p w14:paraId="74A0BEB4" w14:textId="77777777" w:rsidR="000502E1" w:rsidRPr="00A87FDE" w:rsidRDefault="000502E1" w:rsidP="000502E1">
            <w:pPr>
              <w:spacing w:line="300" w:lineRule="atLeast"/>
              <w:rPr>
                <w:rFonts w:ascii="Arial" w:hAnsi="Arial" w:cs="Arial"/>
                <w:sz w:val="16"/>
                <w:szCs w:val="16"/>
              </w:rPr>
            </w:pPr>
            <w:r w:rsidRPr="00A87FDE">
              <w:rPr>
                <w:rFonts w:ascii="Arial" w:hAnsi="Arial" w:cs="Arial"/>
                <w:sz w:val="16"/>
                <w:szCs w:val="16"/>
              </w:rPr>
              <w:t>Gold &amp; silver, with mercury amalgamation</w:t>
            </w:r>
          </w:p>
        </w:tc>
        <w:tc>
          <w:tcPr>
            <w:tcW w:w="1557" w:type="dxa"/>
            <w:vAlign w:val="center"/>
          </w:tcPr>
          <w:p w14:paraId="55C0FC5F" w14:textId="47D19E58" w:rsidR="000502E1" w:rsidRPr="000502E1" w:rsidRDefault="000502E1" w:rsidP="000502E1">
            <w:pPr>
              <w:spacing w:line="300" w:lineRule="atLeast"/>
              <w:jc w:val="center"/>
              <w:rPr>
                <w:rFonts w:ascii="Arial" w:hAnsi="Arial" w:cs="Arial"/>
                <w:sz w:val="16"/>
                <w:szCs w:val="16"/>
              </w:rPr>
            </w:pPr>
            <w:r w:rsidRPr="000B1B79">
              <w:rPr>
                <w:rFonts w:ascii="Arial" w:hAnsi="Arial" w:cs="Arial"/>
                <w:sz w:val="16"/>
                <w:szCs w:val="16"/>
              </w:rPr>
              <w:t xml:space="preserve">20 – 40 (30) </w:t>
            </w:r>
          </w:p>
        </w:tc>
        <w:tc>
          <w:tcPr>
            <w:tcW w:w="1132" w:type="dxa"/>
            <w:vAlign w:val="center"/>
          </w:tcPr>
          <w:p w14:paraId="679EA173" w14:textId="1DA25D51" w:rsidR="000502E1" w:rsidRPr="000502E1" w:rsidRDefault="000502E1" w:rsidP="000502E1">
            <w:pPr>
              <w:spacing w:line="300" w:lineRule="atLeast"/>
              <w:jc w:val="center"/>
              <w:rPr>
                <w:rFonts w:ascii="Arial" w:hAnsi="Arial" w:cs="Arial"/>
                <w:sz w:val="16"/>
                <w:szCs w:val="16"/>
              </w:rPr>
            </w:pPr>
            <w:r w:rsidRPr="000B1B79">
              <w:rPr>
                <w:rFonts w:ascii="Arial" w:hAnsi="Arial" w:cs="Arial"/>
                <w:sz w:val="16"/>
                <w:szCs w:val="16"/>
              </w:rPr>
              <w:t>4 - 8 (6)</w:t>
            </w:r>
          </w:p>
        </w:tc>
        <w:tc>
          <w:tcPr>
            <w:tcW w:w="1135" w:type="dxa"/>
            <w:vAlign w:val="center"/>
          </w:tcPr>
          <w:p w14:paraId="4BA4A9EB" w14:textId="78E2A2F8" w:rsidR="000502E1" w:rsidRPr="000502E1" w:rsidRDefault="000502E1" w:rsidP="000502E1">
            <w:pPr>
              <w:spacing w:line="300" w:lineRule="atLeast"/>
              <w:jc w:val="center"/>
              <w:rPr>
                <w:rFonts w:ascii="Arial" w:hAnsi="Arial" w:cs="Arial"/>
                <w:sz w:val="16"/>
                <w:szCs w:val="16"/>
              </w:rPr>
            </w:pPr>
            <w:r w:rsidRPr="000B1B79">
              <w:rPr>
                <w:rFonts w:ascii="Arial" w:hAnsi="Arial" w:cs="Arial"/>
                <w:sz w:val="16"/>
                <w:szCs w:val="16"/>
              </w:rPr>
              <w:t>8 – 16 (12)</w:t>
            </w:r>
          </w:p>
        </w:tc>
        <w:tc>
          <w:tcPr>
            <w:tcW w:w="1582" w:type="dxa"/>
            <w:vAlign w:val="center"/>
          </w:tcPr>
          <w:p w14:paraId="071780DB" w14:textId="06B1ECBB" w:rsidR="000502E1" w:rsidRPr="000502E1" w:rsidRDefault="000502E1" w:rsidP="000502E1">
            <w:pPr>
              <w:spacing w:line="300" w:lineRule="atLeast"/>
              <w:jc w:val="center"/>
              <w:rPr>
                <w:rFonts w:ascii="Arial" w:hAnsi="Arial" w:cs="Arial"/>
                <w:sz w:val="16"/>
                <w:szCs w:val="16"/>
              </w:rPr>
            </w:pPr>
            <w:r w:rsidRPr="000B1B79">
              <w:rPr>
                <w:rFonts w:ascii="Arial" w:hAnsi="Arial" w:cs="Arial"/>
                <w:sz w:val="16"/>
                <w:szCs w:val="16"/>
              </w:rPr>
              <w:t>8 – 16 (12)</w:t>
            </w:r>
          </w:p>
        </w:tc>
        <w:tc>
          <w:tcPr>
            <w:tcW w:w="821" w:type="dxa"/>
            <w:vAlign w:val="center"/>
          </w:tcPr>
          <w:p w14:paraId="2BB6F4ED" w14:textId="77777777" w:rsidR="000502E1" w:rsidRPr="00A87FDE" w:rsidRDefault="000502E1" w:rsidP="000502E1">
            <w:pPr>
              <w:spacing w:line="300" w:lineRule="atLeast"/>
              <w:jc w:val="center"/>
              <w:rPr>
                <w:rFonts w:ascii="Arial" w:hAnsi="Arial" w:cs="Arial"/>
                <w:sz w:val="16"/>
                <w:szCs w:val="16"/>
              </w:rPr>
            </w:pPr>
            <w:r w:rsidRPr="00A87FDE">
              <w:rPr>
                <w:rFonts w:ascii="Arial" w:hAnsi="Arial" w:cs="Arial"/>
                <w:sz w:val="16"/>
                <w:szCs w:val="16"/>
              </w:rPr>
              <w:t>-</w:t>
            </w:r>
          </w:p>
        </w:tc>
        <w:tc>
          <w:tcPr>
            <w:tcW w:w="1082" w:type="dxa"/>
            <w:vAlign w:val="center"/>
          </w:tcPr>
          <w:p w14:paraId="24DEF7C0" w14:textId="77777777" w:rsidR="000502E1" w:rsidRPr="00A87FDE" w:rsidRDefault="000502E1" w:rsidP="000502E1">
            <w:pPr>
              <w:spacing w:line="300" w:lineRule="atLeast"/>
              <w:jc w:val="center"/>
              <w:rPr>
                <w:rFonts w:ascii="Arial" w:hAnsi="Arial" w:cs="Arial"/>
                <w:sz w:val="16"/>
                <w:szCs w:val="16"/>
              </w:rPr>
            </w:pPr>
            <w:r w:rsidRPr="00A87FDE">
              <w:rPr>
                <w:rFonts w:ascii="Arial" w:hAnsi="Arial" w:cs="Arial"/>
                <w:sz w:val="16"/>
                <w:szCs w:val="16"/>
              </w:rPr>
              <w:t>-</w:t>
            </w:r>
          </w:p>
        </w:tc>
      </w:tr>
      <w:tr w:rsidR="00B3626A" w:rsidRPr="007901FE" w14:paraId="04B42636" w14:textId="77777777" w:rsidTr="00743F9B">
        <w:tc>
          <w:tcPr>
            <w:tcW w:w="1983" w:type="dxa"/>
            <w:vAlign w:val="center"/>
          </w:tcPr>
          <w:p w14:paraId="7A03012E" w14:textId="0A92D61E" w:rsidR="003007F7" w:rsidRPr="00A87FDE" w:rsidRDefault="003007F7" w:rsidP="00284F82">
            <w:pPr>
              <w:spacing w:line="300" w:lineRule="atLeast"/>
              <w:rPr>
                <w:rFonts w:ascii="Arial" w:hAnsi="Arial" w:cs="Arial"/>
                <w:sz w:val="16"/>
                <w:szCs w:val="16"/>
              </w:rPr>
            </w:pPr>
            <w:r w:rsidRPr="00A87FDE">
              <w:rPr>
                <w:rFonts w:ascii="Arial" w:hAnsi="Arial" w:cs="Arial"/>
                <w:sz w:val="16"/>
                <w:szCs w:val="16"/>
              </w:rPr>
              <w:t>Zinc</w:t>
            </w:r>
            <w:r w:rsidR="00E20567" w:rsidRPr="00A87FDE">
              <w:rPr>
                <w:rFonts w:ascii="Arial" w:hAnsi="Arial" w:cs="Arial"/>
                <w:sz w:val="16"/>
                <w:szCs w:val="16"/>
              </w:rPr>
              <w:t>, copper, lea</w:t>
            </w:r>
            <w:r w:rsidR="00DA35DB">
              <w:rPr>
                <w:rFonts w:ascii="Arial" w:hAnsi="Arial" w:cs="Arial"/>
                <w:sz w:val="16"/>
                <w:szCs w:val="16"/>
              </w:rPr>
              <w:t>d</w:t>
            </w:r>
          </w:p>
        </w:tc>
        <w:tc>
          <w:tcPr>
            <w:tcW w:w="1557" w:type="dxa"/>
            <w:vAlign w:val="center"/>
          </w:tcPr>
          <w:p w14:paraId="605129B6" w14:textId="77777777" w:rsidR="003007F7" w:rsidRPr="00A87FDE" w:rsidRDefault="00805E72" w:rsidP="00284F82">
            <w:pPr>
              <w:spacing w:line="300" w:lineRule="atLeast"/>
              <w:jc w:val="center"/>
              <w:rPr>
                <w:rFonts w:ascii="Arial" w:hAnsi="Arial" w:cs="Arial"/>
                <w:sz w:val="16"/>
                <w:szCs w:val="16"/>
              </w:rPr>
            </w:pPr>
            <w:r w:rsidRPr="00A87FDE">
              <w:rPr>
                <w:rFonts w:ascii="Arial" w:hAnsi="Arial" w:cs="Arial"/>
                <w:sz w:val="16"/>
                <w:szCs w:val="16"/>
              </w:rPr>
              <w:t>-</w:t>
            </w:r>
          </w:p>
        </w:tc>
        <w:tc>
          <w:tcPr>
            <w:tcW w:w="1132" w:type="dxa"/>
            <w:vAlign w:val="center"/>
          </w:tcPr>
          <w:p w14:paraId="24BA0974" w14:textId="77777777" w:rsidR="003007F7" w:rsidRPr="00A87FDE" w:rsidRDefault="00805E72" w:rsidP="00284F82">
            <w:pPr>
              <w:spacing w:line="300" w:lineRule="atLeast"/>
              <w:jc w:val="center"/>
              <w:rPr>
                <w:rFonts w:ascii="Arial" w:hAnsi="Arial" w:cs="Arial"/>
                <w:sz w:val="16"/>
                <w:szCs w:val="16"/>
              </w:rPr>
            </w:pPr>
            <w:r w:rsidRPr="00A87FDE">
              <w:rPr>
                <w:rFonts w:ascii="Arial" w:hAnsi="Arial" w:cs="Arial"/>
                <w:sz w:val="16"/>
                <w:szCs w:val="16"/>
              </w:rPr>
              <w:t>-</w:t>
            </w:r>
          </w:p>
        </w:tc>
        <w:tc>
          <w:tcPr>
            <w:tcW w:w="1135" w:type="dxa"/>
            <w:vAlign w:val="center"/>
          </w:tcPr>
          <w:p w14:paraId="100974EB" w14:textId="77777777" w:rsidR="003007F7" w:rsidRPr="00A87FDE" w:rsidRDefault="00805E72" w:rsidP="00284F82">
            <w:pPr>
              <w:spacing w:line="300" w:lineRule="atLeast"/>
              <w:jc w:val="center"/>
              <w:rPr>
                <w:rFonts w:ascii="Arial" w:hAnsi="Arial" w:cs="Arial"/>
                <w:sz w:val="16"/>
                <w:szCs w:val="16"/>
              </w:rPr>
            </w:pPr>
            <w:r w:rsidRPr="00A87FDE">
              <w:rPr>
                <w:rFonts w:ascii="Arial" w:hAnsi="Arial" w:cs="Arial"/>
                <w:sz w:val="16"/>
                <w:szCs w:val="16"/>
              </w:rPr>
              <w:t>-</w:t>
            </w:r>
          </w:p>
        </w:tc>
        <w:tc>
          <w:tcPr>
            <w:tcW w:w="1582" w:type="dxa"/>
            <w:vAlign w:val="center"/>
          </w:tcPr>
          <w:p w14:paraId="55D723AD" w14:textId="77777777" w:rsidR="003007F7" w:rsidRPr="00A87FDE" w:rsidRDefault="00805E72" w:rsidP="00284F82">
            <w:pPr>
              <w:spacing w:line="300" w:lineRule="atLeast"/>
              <w:jc w:val="center"/>
              <w:rPr>
                <w:rFonts w:ascii="Arial" w:hAnsi="Arial" w:cs="Arial"/>
                <w:sz w:val="16"/>
                <w:szCs w:val="16"/>
              </w:rPr>
            </w:pPr>
            <w:r w:rsidRPr="00A87FDE">
              <w:rPr>
                <w:rFonts w:ascii="Arial" w:hAnsi="Arial" w:cs="Arial"/>
                <w:sz w:val="16"/>
                <w:szCs w:val="16"/>
              </w:rPr>
              <w:t>-</w:t>
            </w:r>
          </w:p>
        </w:tc>
        <w:tc>
          <w:tcPr>
            <w:tcW w:w="821" w:type="dxa"/>
            <w:vAlign w:val="center"/>
          </w:tcPr>
          <w:p w14:paraId="3980888D" w14:textId="77777777" w:rsidR="003007F7" w:rsidRPr="00A87FDE" w:rsidRDefault="003007F7" w:rsidP="00284F82">
            <w:pPr>
              <w:spacing w:line="300" w:lineRule="atLeast"/>
              <w:jc w:val="center"/>
              <w:rPr>
                <w:rFonts w:ascii="Arial" w:hAnsi="Arial" w:cs="Arial"/>
                <w:sz w:val="16"/>
                <w:szCs w:val="16"/>
              </w:rPr>
            </w:pPr>
            <w:r w:rsidRPr="00A87FDE">
              <w:rPr>
                <w:rFonts w:ascii="Arial" w:hAnsi="Arial" w:cs="Arial"/>
                <w:sz w:val="16"/>
                <w:szCs w:val="16"/>
              </w:rPr>
              <w:t>-</w:t>
            </w:r>
          </w:p>
        </w:tc>
        <w:tc>
          <w:tcPr>
            <w:tcW w:w="1082" w:type="dxa"/>
            <w:vAlign w:val="center"/>
          </w:tcPr>
          <w:p w14:paraId="130367DC" w14:textId="77777777" w:rsidR="003007F7" w:rsidRPr="00A87FDE" w:rsidRDefault="00805E72" w:rsidP="00284F82">
            <w:pPr>
              <w:spacing w:line="300" w:lineRule="atLeast"/>
              <w:jc w:val="center"/>
              <w:rPr>
                <w:rFonts w:ascii="Arial" w:hAnsi="Arial" w:cs="Arial"/>
                <w:sz w:val="16"/>
                <w:szCs w:val="16"/>
              </w:rPr>
            </w:pPr>
            <w:r w:rsidRPr="00A87FDE">
              <w:rPr>
                <w:rFonts w:ascii="Arial" w:hAnsi="Arial" w:cs="Arial"/>
                <w:sz w:val="16"/>
                <w:szCs w:val="16"/>
              </w:rPr>
              <w:t>-</w:t>
            </w:r>
          </w:p>
        </w:tc>
      </w:tr>
      <w:tr w:rsidR="001A5003" w:rsidRPr="006C339C" w14:paraId="7C80BBCD" w14:textId="77777777" w:rsidTr="00743F9B">
        <w:tc>
          <w:tcPr>
            <w:tcW w:w="1983" w:type="dxa"/>
            <w:vAlign w:val="center"/>
          </w:tcPr>
          <w:p w14:paraId="0E2A9D71" w14:textId="77777777" w:rsidR="001A5003" w:rsidRPr="00A87FDE" w:rsidRDefault="001A5003" w:rsidP="001A5003">
            <w:pPr>
              <w:spacing w:line="300" w:lineRule="atLeast"/>
              <w:rPr>
                <w:rFonts w:ascii="Arial" w:hAnsi="Arial" w:cs="Arial"/>
                <w:sz w:val="16"/>
                <w:szCs w:val="16"/>
              </w:rPr>
            </w:pPr>
            <w:r w:rsidRPr="00A87FDE">
              <w:rPr>
                <w:rFonts w:ascii="Arial" w:hAnsi="Arial" w:cs="Arial"/>
                <w:sz w:val="16"/>
                <w:szCs w:val="16"/>
              </w:rPr>
              <w:t>Gold &amp; silver, without mercury</w:t>
            </w:r>
          </w:p>
        </w:tc>
        <w:tc>
          <w:tcPr>
            <w:tcW w:w="1557" w:type="dxa"/>
            <w:vAlign w:val="center"/>
          </w:tcPr>
          <w:p w14:paraId="13E6B7E5" w14:textId="7DAA156F" w:rsidR="001A5003" w:rsidRPr="0068435E" w:rsidRDefault="001A5003" w:rsidP="001A5003">
            <w:pPr>
              <w:spacing w:line="300" w:lineRule="atLeast"/>
              <w:jc w:val="center"/>
              <w:rPr>
                <w:rFonts w:ascii="Arial" w:hAnsi="Arial" w:cs="Arial"/>
                <w:sz w:val="16"/>
                <w:szCs w:val="16"/>
                <w:highlight w:val="yellow"/>
              </w:rPr>
            </w:pPr>
            <w:r w:rsidRPr="002E064A">
              <w:rPr>
                <w:rFonts w:ascii="Arial" w:hAnsi="Arial" w:cs="Arial"/>
                <w:sz w:val="16"/>
                <w:szCs w:val="16"/>
              </w:rPr>
              <w:t>199</w:t>
            </w:r>
          </w:p>
        </w:tc>
        <w:tc>
          <w:tcPr>
            <w:tcW w:w="1132" w:type="dxa"/>
            <w:vAlign w:val="center"/>
          </w:tcPr>
          <w:p w14:paraId="15297661" w14:textId="0EDC8636" w:rsidR="001A5003" w:rsidRPr="0068435E" w:rsidRDefault="001A5003" w:rsidP="001A5003">
            <w:pPr>
              <w:spacing w:line="300" w:lineRule="atLeast"/>
              <w:jc w:val="center"/>
              <w:rPr>
                <w:rFonts w:ascii="Arial" w:hAnsi="Arial" w:cs="Arial"/>
                <w:sz w:val="16"/>
                <w:szCs w:val="16"/>
                <w:highlight w:val="yellow"/>
              </w:rPr>
            </w:pPr>
            <w:r w:rsidRPr="002E064A">
              <w:rPr>
                <w:rFonts w:ascii="Arial" w:hAnsi="Arial" w:cs="Arial"/>
                <w:sz w:val="16"/>
                <w:szCs w:val="16"/>
              </w:rPr>
              <w:t>5.6</w:t>
            </w:r>
            <w:r w:rsidR="00743F9B">
              <w:rPr>
                <w:rFonts w:ascii="Arial" w:hAnsi="Arial" w:cs="Arial"/>
                <w:sz w:val="16"/>
                <w:szCs w:val="16"/>
              </w:rPr>
              <w:t>9</w:t>
            </w:r>
          </w:p>
        </w:tc>
        <w:tc>
          <w:tcPr>
            <w:tcW w:w="1135" w:type="dxa"/>
            <w:vAlign w:val="center"/>
          </w:tcPr>
          <w:p w14:paraId="72AF24D4" w14:textId="4D1FC8C6" w:rsidR="001A5003" w:rsidRPr="0068435E" w:rsidRDefault="001A5003" w:rsidP="001A5003">
            <w:pPr>
              <w:spacing w:line="300" w:lineRule="atLeast"/>
              <w:jc w:val="center"/>
              <w:rPr>
                <w:rFonts w:ascii="Arial" w:hAnsi="Arial" w:cs="Arial"/>
                <w:sz w:val="16"/>
                <w:szCs w:val="16"/>
                <w:highlight w:val="yellow"/>
              </w:rPr>
            </w:pPr>
            <w:r w:rsidRPr="002E064A">
              <w:rPr>
                <w:rFonts w:ascii="Arial" w:hAnsi="Arial" w:cs="Arial"/>
                <w:sz w:val="16"/>
                <w:szCs w:val="16"/>
              </w:rPr>
              <w:t>2.8</w:t>
            </w:r>
            <w:r w:rsidR="00743F9B">
              <w:rPr>
                <w:rFonts w:ascii="Arial" w:hAnsi="Arial" w:cs="Arial"/>
                <w:sz w:val="16"/>
                <w:szCs w:val="16"/>
              </w:rPr>
              <w:t>5</w:t>
            </w:r>
          </w:p>
        </w:tc>
        <w:tc>
          <w:tcPr>
            <w:tcW w:w="1582" w:type="dxa"/>
            <w:vAlign w:val="center"/>
          </w:tcPr>
          <w:p w14:paraId="4424BEB2" w14:textId="51046F41" w:rsidR="001A5003" w:rsidRPr="0068435E" w:rsidRDefault="001A5003" w:rsidP="001A5003">
            <w:pPr>
              <w:spacing w:line="300" w:lineRule="atLeast"/>
              <w:jc w:val="center"/>
              <w:rPr>
                <w:rFonts w:ascii="Arial" w:hAnsi="Arial" w:cs="Arial"/>
                <w:sz w:val="16"/>
                <w:szCs w:val="16"/>
                <w:highlight w:val="yellow"/>
              </w:rPr>
            </w:pPr>
            <w:r w:rsidRPr="002E064A">
              <w:rPr>
                <w:rFonts w:ascii="Arial" w:hAnsi="Arial" w:cs="Arial"/>
                <w:sz w:val="16"/>
                <w:szCs w:val="16"/>
              </w:rPr>
              <w:t>128</w:t>
            </w:r>
          </w:p>
        </w:tc>
        <w:tc>
          <w:tcPr>
            <w:tcW w:w="821" w:type="dxa"/>
            <w:vAlign w:val="center"/>
          </w:tcPr>
          <w:p w14:paraId="50B478DF" w14:textId="75248F02" w:rsidR="001A5003" w:rsidRPr="0068435E" w:rsidRDefault="001A5003" w:rsidP="001A5003">
            <w:pPr>
              <w:spacing w:line="300" w:lineRule="atLeast"/>
              <w:jc w:val="center"/>
              <w:rPr>
                <w:rFonts w:ascii="Arial" w:hAnsi="Arial" w:cs="Arial"/>
                <w:sz w:val="16"/>
                <w:szCs w:val="16"/>
                <w:highlight w:val="yellow"/>
              </w:rPr>
            </w:pPr>
            <w:r w:rsidRPr="002E064A">
              <w:rPr>
                <w:rFonts w:ascii="Arial" w:hAnsi="Arial" w:cs="Arial"/>
                <w:sz w:val="16"/>
                <w:szCs w:val="16"/>
              </w:rPr>
              <w:t>5.6</w:t>
            </w:r>
            <w:r w:rsidR="00743F9B">
              <w:rPr>
                <w:rFonts w:ascii="Arial" w:hAnsi="Arial" w:cs="Arial"/>
                <w:sz w:val="16"/>
                <w:szCs w:val="16"/>
              </w:rPr>
              <w:t>9</w:t>
            </w:r>
          </w:p>
        </w:tc>
        <w:tc>
          <w:tcPr>
            <w:tcW w:w="1082" w:type="dxa"/>
            <w:vAlign w:val="center"/>
          </w:tcPr>
          <w:p w14:paraId="368DE46B" w14:textId="3BAEE079" w:rsidR="001A5003" w:rsidRPr="0068435E" w:rsidRDefault="001A5003" w:rsidP="001A5003">
            <w:pPr>
              <w:spacing w:line="300" w:lineRule="atLeast"/>
              <w:jc w:val="center"/>
              <w:rPr>
                <w:rFonts w:ascii="Arial" w:hAnsi="Arial" w:cs="Arial"/>
                <w:sz w:val="16"/>
                <w:szCs w:val="16"/>
                <w:highlight w:val="yellow"/>
              </w:rPr>
            </w:pPr>
            <w:r w:rsidRPr="002E064A">
              <w:rPr>
                <w:rFonts w:ascii="Arial" w:hAnsi="Arial" w:cs="Arial"/>
                <w:sz w:val="16"/>
                <w:szCs w:val="16"/>
              </w:rPr>
              <w:t>5</w:t>
            </w:r>
            <w:r w:rsidR="00743F9B">
              <w:rPr>
                <w:rFonts w:ascii="Arial" w:hAnsi="Arial" w:cs="Arial"/>
                <w:sz w:val="16"/>
                <w:szCs w:val="16"/>
              </w:rPr>
              <w:t>7.0</w:t>
            </w:r>
          </w:p>
        </w:tc>
      </w:tr>
      <w:tr w:rsidR="003007F7" w:rsidRPr="006C339C" w14:paraId="09F0743F" w14:textId="77777777" w:rsidTr="00743F9B">
        <w:tc>
          <w:tcPr>
            <w:tcW w:w="1983" w:type="dxa"/>
            <w:vAlign w:val="center"/>
          </w:tcPr>
          <w:p w14:paraId="71B1ACFE" w14:textId="77777777" w:rsidR="003007F7" w:rsidRPr="00A87FDE" w:rsidRDefault="003007F7" w:rsidP="00284F82">
            <w:pPr>
              <w:spacing w:line="300" w:lineRule="atLeast"/>
              <w:rPr>
                <w:rFonts w:ascii="Arial" w:hAnsi="Arial" w:cs="Arial"/>
                <w:sz w:val="16"/>
                <w:szCs w:val="16"/>
              </w:rPr>
            </w:pPr>
            <w:r w:rsidRPr="00A87FDE">
              <w:rPr>
                <w:rFonts w:ascii="Arial" w:hAnsi="Arial" w:cs="Arial"/>
                <w:sz w:val="16"/>
                <w:szCs w:val="16"/>
              </w:rPr>
              <w:t>Aluminium</w:t>
            </w:r>
          </w:p>
        </w:tc>
        <w:tc>
          <w:tcPr>
            <w:tcW w:w="1557" w:type="dxa"/>
            <w:vAlign w:val="center"/>
          </w:tcPr>
          <w:p w14:paraId="4846807D" w14:textId="77777777" w:rsidR="003007F7" w:rsidRPr="001A5003" w:rsidRDefault="005D7F40" w:rsidP="00284F82">
            <w:pPr>
              <w:spacing w:line="300" w:lineRule="atLeast"/>
              <w:jc w:val="center"/>
              <w:rPr>
                <w:rFonts w:ascii="Arial" w:hAnsi="Arial" w:cs="Arial"/>
                <w:sz w:val="16"/>
                <w:szCs w:val="16"/>
              </w:rPr>
            </w:pPr>
            <w:r w:rsidRPr="001A5003">
              <w:rPr>
                <w:rFonts w:ascii="Arial" w:hAnsi="Arial" w:cs="Arial"/>
                <w:sz w:val="16"/>
                <w:szCs w:val="16"/>
              </w:rPr>
              <w:t>-</w:t>
            </w:r>
          </w:p>
        </w:tc>
        <w:tc>
          <w:tcPr>
            <w:tcW w:w="1132" w:type="dxa"/>
            <w:vAlign w:val="center"/>
          </w:tcPr>
          <w:p w14:paraId="53BC0AC2" w14:textId="77777777" w:rsidR="003007F7" w:rsidRPr="001A5003" w:rsidRDefault="005D7F40" w:rsidP="00284F82">
            <w:pPr>
              <w:spacing w:line="300" w:lineRule="atLeast"/>
              <w:jc w:val="center"/>
              <w:rPr>
                <w:rFonts w:ascii="Arial" w:hAnsi="Arial" w:cs="Arial"/>
                <w:sz w:val="16"/>
                <w:szCs w:val="16"/>
              </w:rPr>
            </w:pPr>
            <w:r w:rsidRPr="001A5003">
              <w:rPr>
                <w:rFonts w:ascii="Arial" w:hAnsi="Arial" w:cs="Arial"/>
                <w:sz w:val="16"/>
                <w:szCs w:val="16"/>
              </w:rPr>
              <w:t>-</w:t>
            </w:r>
          </w:p>
        </w:tc>
        <w:tc>
          <w:tcPr>
            <w:tcW w:w="1135" w:type="dxa"/>
            <w:vAlign w:val="center"/>
          </w:tcPr>
          <w:p w14:paraId="6FF59C06" w14:textId="77777777" w:rsidR="003007F7" w:rsidRPr="001A5003" w:rsidRDefault="005D7F40" w:rsidP="00284F82">
            <w:pPr>
              <w:spacing w:line="300" w:lineRule="atLeast"/>
              <w:jc w:val="center"/>
              <w:rPr>
                <w:rFonts w:ascii="Arial" w:hAnsi="Arial" w:cs="Arial"/>
                <w:sz w:val="16"/>
                <w:szCs w:val="16"/>
              </w:rPr>
            </w:pPr>
            <w:r w:rsidRPr="001A5003">
              <w:rPr>
                <w:rFonts w:ascii="Arial" w:hAnsi="Arial" w:cs="Arial"/>
                <w:sz w:val="16"/>
                <w:szCs w:val="16"/>
              </w:rPr>
              <w:t>-</w:t>
            </w:r>
          </w:p>
        </w:tc>
        <w:tc>
          <w:tcPr>
            <w:tcW w:w="1582" w:type="dxa"/>
            <w:vAlign w:val="center"/>
          </w:tcPr>
          <w:p w14:paraId="3C6F936E" w14:textId="77777777" w:rsidR="003007F7" w:rsidRPr="001A5003" w:rsidRDefault="005D7F40" w:rsidP="00284F82">
            <w:pPr>
              <w:spacing w:line="300" w:lineRule="atLeast"/>
              <w:jc w:val="center"/>
              <w:rPr>
                <w:rFonts w:ascii="Arial" w:hAnsi="Arial" w:cs="Arial"/>
                <w:sz w:val="16"/>
                <w:szCs w:val="16"/>
              </w:rPr>
            </w:pPr>
            <w:r w:rsidRPr="001A5003">
              <w:rPr>
                <w:rFonts w:ascii="Arial" w:hAnsi="Arial" w:cs="Arial"/>
                <w:sz w:val="16"/>
                <w:szCs w:val="16"/>
              </w:rPr>
              <w:t>-</w:t>
            </w:r>
          </w:p>
        </w:tc>
        <w:tc>
          <w:tcPr>
            <w:tcW w:w="821" w:type="dxa"/>
            <w:vAlign w:val="center"/>
          </w:tcPr>
          <w:p w14:paraId="1F77C98A" w14:textId="77777777" w:rsidR="003007F7" w:rsidRPr="001A5003" w:rsidRDefault="005D7F40" w:rsidP="00284F82">
            <w:pPr>
              <w:spacing w:line="300" w:lineRule="atLeast"/>
              <w:jc w:val="center"/>
              <w:rPr>
                <w:rFonts w:ascii="Arial" w:hAnsi="Arial" w:cs="Arial"/>
                <w:sz w:val="16"/>
                <w:szCs w:val="16"/>
              </w:rPr>
            </w:pPr>
            <w:r w:rsidRPr="001A5003">
              <w:rPr>
                <w:rFonts w:ascii="Arial" w:hAnsi="Arial" w:cs="Arial"/>
                <w:sz w:val="16"/>
                <w:szCs w:val="16"/>
              </w:rPr>
              <w:t>-</w:t>
            </w:r>
          </w:p>
        </w:tc>
        <w:tc>
          <w:tcPr>
            <w:tcW w:w="1082" w:type="dxa"/>
            <w:vAlign w:val="center"/>
          </w:tcPr>
          <w:p w14:paraId="517B8029" w14:textId="77777777" w:rsidR="003007F7" w:rsidRPr="001A5003" w:rsidRDefault="005D7F40" w:rsidP="00284F82">
            <w:pPr>
              <w:spacing w:line="300" w:lineRule="atLeast"/>
              <w:jc w:val="center"/>
              <w:rPr>
                <w:rFonts w:ascii="Arial" w:hAnsi="Arial" w:cs="Arial"/>
                <w:sz w:val="16"/>
                <w:szCs w:val="16"/>
              </w:rPr>
            </w:pPr>
            <w:r w:rsidRPr="001A5003">
              <w:rPr>
                <w:rFonts w:ascii="Arial" w:hAnsi="Arial" w:cs="Arial"/>
                <w:sz w:val="16"/>
                <w:szCs w:val="16"/>
              </w:rPr>
              <w:t>-</w:t>
            </w:r>
          </w:p>
        </w:tc>
      </w:tr>
      <w:tr w:rsidR="000F30F2" w:rsidRPr="006C339C" w14:paraId="19CA4CD6" w14:textId="77777777" w:rsidTr="00743F9B">
        <w:tc>
          <w:tcPr>
            <w:tcW w:w="1983" w:type="dxa"/>
            <w:vAlign w:val="center"/>
          </w:tcPr>
          <w:p w14:paraId="68A85612" w14:textId="77777777" w:rsidR="000F30F2" w:rsidRPr="00A87FDE" w:rsidRDefault="000F30F2" w:rsidP="000F30F2">
            <w:pPr>
              <w:spacing w:line="300" w:lineRule="atLeast"/>
              <w:rPr>
                <w:rFonts w:ascii="Arial" w:hAnsi="Arial" w:cs="Arial"/>
                <w:sz w:val="16"/>
                <w:szCs w:val="16"/>
              </w:rPr>
            </w:pPr>
            <w:r w:rsidRPr="00A87FDE">
              <w:rPr>
                <w:rFonts w:ascii="Arial" w:hAnsi="Arial" w:cs="Arial"/>
                <w:sz w:val="16"/>
                <w:szCs w:val="16"/>
              </w:rPr>
              <w:t>Ferrous metals</w:t>
            </w:r>
          </w:p>
        </w:tc>
        <w:tc>
          <w:tcPr>
            <w:tcW w:w="1557" w:type="dxa"/>
            <w:vAlign w:val="center"/>
          </w:tcPr>
          <w:p w14:paraId="1CFAF1CB" w14:textId="47A3DDCC" w:rsidR="000F30F2" w:rsidRPr="0068435E" w:rsidRDefault="00196782" w:rsidP="000F30F2">
            <w:pPr>
              <w:spacing w:line="300" w:lineRule="atLeast"/>
              <w:jc w:val="center"/>
              <w:rPr>
                <w:rFonts w:ascii="Arial" w:hAnsi="Arial" w:cs="Arial"/>
                <w:bCs/>
                <w:sz w:val="16"/>
                <w:szCs w:val="16"/>
                <w:highlight w:val="yellow"/>
              </w:rPr>
            </w:pPr>
            <w:r w:rsidRPr="0068435E">
              <w:rPr>
                <w:rFonts w:ascii="Arial" w:hAnsi="Arial" w:cs="Arial"/>
                <w:bCs/>
                <w:sz w:val="16"/>
                <w:szCs w:val="16"/>
              </w:rPr>
              <w:t>38.0– 152 (95.1)</w:t>
            </w:r>
          </w:p>
        </w:tc>
        <w:tc>
          <w:tcPr>
            <w:tcW w:w="1132" w:type="dxa"/>
            <w:vAlign w:val="center"/>
          </w:tcPr>
          <w:p w14:paraId="621AB8E2" w14:textId="20C5583E" w:rsidR="000F30F2" w:rsidRPr="0068435E" w:rsidRDefault="00196782" w:rsidP="000F30F2">
            <w:pPr>
              <w:spacing w:line="300" w:lineRule="atLeast"/>
              <w:jc w:val="center"/>
              <w:rPr>
                <w:rFonts w:ascii="Arial" w:hAnsi="Arial" w:cs="Arial"/>
                <w:bCs/>
                <w:sz w:val="16"/>
                <w:szCs w:val="16"/>
                <w:highlight w:val="yellow"/>
              </w:rPr>
            </w:pPr>
            <w:r w:rsidRPr="0068435E">
              <w:rPr>
                <w:rFonts w:ascii="Arial" w:hAnsi="Arial" w:cs="Arial"/>
                <w:bCs/>
                <w:sz w:val="16"/>
                <w:szCs w:val="16"/>
              </w:rPr>
              <w:t xml:space="preserve">19.0 - </w:t>
            </w:r>
            <w:r>
              <w:rPr>
                <w:rFonts w:ascii="Arial" w:hAnsi="Arial" w:cs="Arial"/>
                <w:bCs/>
                <w:sz w:val="16"/>
                <w:szCs w:val="16"/>
              </w:rPr>
              <w:t>7</w:t>
            </w:r>
            <w:r w:rsidRPr="0068435E">
              <w:rPr>
                <w:rFonts w:ascii="Arial" w:hAnsi="Arial" w:cs="Arial"/>
                <w:bCs/>
                <w:sz w:val="16"/>
                <w:szCs w:val="16"/>
              </w:rPr>
              <w:t>6.</w:t>
            </w:r>
            <w:r w:rsidR="00743F9B">
              <w:rPr>
                <w:rFonts w:ascii="Arial" w:hAnsi="Arial" w:cs="Arial"/>
                <w:bCs/>
                <w:sz w:val="16"/>
                <w:szCs w:val="16"/>
              </w:rPr>
              <w:t>2</w:t>
            </w:r>
            <w:r w:rsidRPr="0068435E">
              <w:rPr>
                <w:rFonts w:ascii="Arial" w:hAnsi="Arial" w:cs="Arial"/>
                <w:bCs/>
                <w:sz w:val="16"/>
                <w:szCs w:val="16"/>
              </w:rPr>
              <w:t xml:space="preserve"> (47.6)</w:t>
            </w:r>
          </w:p>
        </w:tc>
        <w:tc>
          <w:tcPr>
            <w:tcW w:w="1135" w:type="dxa"/>
            <w:vAlign w:val="center"/>
          </w:tcPr>
          <w:p w14:paraId="3633A286" w14:textId="15736350" w:rsidR="000F30F2" w:rsidRPr="0068435E" w:rsidRDefault="000F30F2" w:rsidP="000F30F2">
            <w:pPr>
              <w:spacing w:line="300" w:lineRule="atLeast"/>
              <w:jc w:val="center"/>
              <w:rPr>
                <w:rFonts w:ascii="Arial" w:hAnsi="Arial" w:cs="Arial"/>
                <w:bCs/>
                <w:sz w:val="16"/>
                <w:szCs w:val="16"/>
                <w:highlight w:val="yellow"/>
              </w:rPr>
            </w:pPr>
          </w:p>
        </w:tc>
        <w:tc>
          <w:tcPr>
            <w:tcW w:w="1582" w:type="dxa"/>
            <w:vAlign w:val="center"/>
          </w:tcPr>
          <w:p w14:paraId="75EEC226" w14:textId="5CFF0D78" w:rsidR="000F30F2" w:rsidRPr="0068435E" w:rsidRDefault="00196782" w:rsidP="000F30F2">
            <w:pPr>
              <w:spacing w:line="300" w:lineRule="atLeast"/>
              <w:jc w:val="center"/>
              <w:rPr>
                <w:rFonts w:ascii="Arial" w:hAnsi="Arial" w:cs="Arial"/>
                <w:bCs/>
                <w:sz w:val="16"/>
                <w:szCs w:val="16"/>
                <w:highlight w:val="yellow"/>
              </w:rPr>
            </w:pPr>
            <w:r w:rsidRPr="004231A8">
              <w:rPr>
                <w:rFonts w:ascii="Arial" w:hAnsi="Arial" w:cs="Arial"/>
                <w:bCs/>
                <w:sz w:val="16"/>
                <w:szCs w:val="16"/>
              </w:rPr>
              <w:t xml:space="preserve">19.0 - </w:t>
            </w:r>
            <w:r>
              <w:rPr>
                <w:rFonts w:ascii="Arial" w:hAnsi="Arial" w:cs="Arial"/>
                <w:bCs/>
                <w:sz w:val="16"/>
                <w:szCs w:val="16"/>
              </w:rPr>
              <w:t>7</w:t>
            </w:r>
            <w:r w:rsidRPr="004231A8">
              <w:rPr>
                <w:rFonts w:ascii="Arial" w:hAnsi="Arial" w:cs="Arial"/>
                <w:bCs/>
                <w:sz w:val="16"/>
                <w:szCs w:val="16"/>
              </w:rPr>
              <w:t>6.</w:t>
            </w:r>
            <w:r w:rsidR="00743F9B">
              <w:rPr>
                <w:rFonts w:ascii="Arial" w:hAnsi="Arial" w:cs="Arial"/>
                <w:bCs/>
                <w:sz w:val="16"/>
                <w:szCs w:val="16"/>
              </w:rPr>
              <w:t xml:space="preserve">2 </w:t>
            </w:r>
            <w:r w:rsidRPr="004231A8">
              <w:rPr>
                <w:rFonts w:ascii="Arial" w:hAnsi="Arial" w:cs="Arial"/>
                <w:bCs/>
                <w:sz w:val="16"/>
                <w:szCs w:val="16"/>
              </w:rPr>
              <w:t>(47.60)</w:t>
            </w:r>
          </w:p>
        </w:tc>
        <w:tc>
          <w:tcPr>
            <w:tcW w:w="821" w:type="dxa"/>
            <w:vAlign w:val="center"/>
          </w:tcPr>
          <w:p w14:paraId="639B12FB" w14:textId="77777777" w:rsidR="000F30F2" w:rsidRPr="0068435E" w:rsidRDefault="000F30F2" w:rsidP="000F30F2">
            <w:pPr>
              <w:spacing w:line="300" w:lineRule="atLeast"/>
              <w:jc w:val="center"/>
              <w:rPr>
                <w:rFonts w:ascii="Arial" w:hAnsi="Arial" w:cs="Arial"/>
                <w:sz w:val="16"/>
                <w:szCs w:val="16"/>
                <w:highlight w:val="yellow"/>
              </w:rPr>
            </w:pPr>
            <w:r w:rsidRPr="001A5003">
              <w:rPr>
                <w:rFonts w:ascii="Arial" w:hAnsi="Arial" w:cs="Arial"/>
                <w:sz w:val="16"/>
                <w:szCs w:val="16"/>
              </w:rPr>
              <w:t>-</w:t>
            </w:r>
          </w:p>
        </w:tc>
        <w:tc>
          <w:tcPr>
            <w:tcW w:w="1082" w:type="dxa"/>
            <w:vAlign w:val="center"/>
          </w:tcPr>
          <w:p w14:paraId="4F3405AB" w14:textId="218E867A" w:rsidR="000F30F2" w:rsidRPr="0068435E" w:rsidRDefault="000F30F2" w:rsidP="000F30F2">
            <w:pPr>
              <w:spacing w:line="300" w:lineRule="atLeast"/>
              <w:jc w:val="center"/>
              <w:rPr>
                <w:rFonts w:ascii="Arial" w:hAnsi="Arial" w:cs="Arial"/>
                <w:sz w:val="16"/>
                <w:szCs w:val="16"/>
                <w:highlight w:val="yellow"/>
              </w:rPr>
            </w:pPr>
          </w:p>
        </w:tc>
      </w:tr>
      <w:tr w:rsidR="00B3626A" w:rsidRPr="006C339C" w14:paraId="137E5047" w14:textId="77777777" w:rsidTr="00743F9B">
        <w:tc>
          <w:tcPr>
            <w:tcW w:w="1983" w:type="dxa"/>
            <w:vAlign w:val="center"/>
          </w:tcPr>
          <w:p w14:paraId="00F26DCF" w14:textId="77777777" w:rsidR="003007F7" w:rsidRPr="00AB2DBB" w:rsidRDefault="003007F7" w:rsidP="004E008C">
            <w:pPr>
              <w:spacing w:line="300" w:lineRule="atLeast"/>
              <w:rPr>
                <w:rFonts w:ascii="Arial" w:hAnsi="Arial" w:cs="Arial"/>
                <w:b/>
                <w:sz w:val="16"/>
                <w:szCs w:val="16"/>
              </w:rPr>
            </w:pPr>
            <w:r w:rsidRPr="00AB2DBB">
              <w:rPr>
                <w:rFonts w:ascii="Arial" w:hAnsi="Arial" w:cs="Arial"/>
                <w:b/>
                <w:sz w:val="16"/>
                <w:szCs w:val="16"/>
              </w:rPr>
              <w:t>Totals</w:t>
            </w:r>
          </w:p>
        </w:tc>
        <w:tc>
          <w:tcPr>
            <w:tcW w:w="1557" w:type="dxa"/>
            <w:vAlign w:val="center"/>
          </w:tcPr>
          <w:p w14:paraId="6F6B5D49" w14:textId="3FDCB689" w:rsidR="003007F7" w:rsidRPr="001A5003" w:rsidRDefault="001A5003" w:rsidP="00D83BA9">
            <w:pPr>
              <w:spacing w:line="300" w:lineRule="atLeast"/>
              <w:jc w:val="center"/>
              <w:rPr>
                <w:rFonts w:ascii="Arial" w:hAnsi="Arial" w:cs="Arial"/>
                <w:b/>
                <w:sz w:val="16"/>
                <w:szCs w:val="16"/>
              </w:rPr>
            </w:pPr>
            <w:r w:rsidRPr="0068435E">
              <w:rPr>
                <w:rFonts w:ascii="Arial" w:hAnsi="Arial" w:cs="Arial"/>
                <w:b/>
                <w:sz w:val="16"/>
                <w:szCs w:val="16"/>
              </w:rPr>
              <w:t>257</w:t>
            </w:r>
            <w:r w:rsidR="003305AE" w:rsidRPr="001A5003">
              <w:rPr>
                <w:rFonts w:ascii="Arial" w:hAnsi="Arial" w:cs="Arial"/>
                <w:b/>
                <w:sz w:val="16"/>
                <w:szCs w:val="16"/>
              </w:rPr>
              <w:t xml:space="preserve">– </w:t>
            </w:r>
            <w:r w:rsidRPr="0068435E">
              <w:rPr>
                <w:rFonts w:ascii="Arial" w:hAnsi="Arial" w:cs="Arial"/>
                <w:b/>
                <w:sz w:val="16"/>
                <w:szCs w:val="16"/>
              </w:rPr>
              <w:t>391</w:t>
            </w:r>
            <w:r w:rsidR="00BA694F" w:rsidRPr="001A5003">
              <w:rPr>
                <w:rFonts w:ascii="Arial" w:hAnsi="Arial" w:cs="Arial"/>
                <w:b/>
                <w:sz w:val="16"/>
                <w:szCs w:val="16"/>
              </w:rPr>
              <w:t xml:space="preserve"> </w:t>
            </w:r>
            <w:r w:rsidR="00CD41BD" w:rsidRPr="001A5003">
              <w:rPr>
                <w:rFonts w:ascii="Arial" w:hAnsi="Arial" w:cs="Arial"/>
                <w:b/>
                <w:sz w:val="16"/>
                <w:szCs w:val="16"/>
              </w:rPr>
              <w:t>(</w:t>
            </w:r>
            <w:r w:rsidRPr="0068435E">
              <w:rPr>
                <w:rFonts w:ascii="Arial" w:hAnsi="Arial" w:cs="Arial"/>
                <w:b/>
                <w:sz w:val="16"/>
                <w:szCs w:val="16"/>
              </w:rPr>
              <w:t>324</w:t>
            </w:r>
            <w:r w:rsidR="00CD41BD" w:rsidRPr="001A5003">
              <w:rPr>
                <w:rFonts w:ascii="Arial" w:hAnsi="Arial" w:cs="Arial"/>
                <w:b/>
                <w:sz w:val="16"/>
                <w:szCs w:val="16"/>
              </w:rPr>
              <w:t>)</w:t>
            </w:r>
          </w:p>
        </w:tc>
        <w:tc>
          <w:tcPr>
            <w:tcW w:w="1132" w:type="dxa"/>
            <w:vAlign w:val="center"/>
          </w:tcPr>
          <w:p w14:paraId="04E6B77B" w14:textId="69F23E73" w:rsidR="003007F7" w:rsidRPr="001A5003" w:rsidRDefault="001A5003" w:rsidP="00CD41BD">
            <w:pPr>
              <w:spacing w:line="300" w:lineRule="atLeast"/>
              <w:jc w:val="center"/>
              <w:rPr>
                <w:rFonts w:ascii="Arial" w:hAnsi="Arial" w:cs="Arial"/>
                <w:b/>
                <w:sz w:val="16"/>
                <w:szCs w:val="16"/>
              </w:rPr>
            </w:pPr>
            <w:r w:rsidRPr="0068435E">
              <w:rPr>
                <w:rFonts w:ascii="Arial" w:hAnsi="Arial" w:cs="Arial"/>
                <w:b/>
                <w:sz w:val="16"/>
                <w:szCs w:val="16"/>
              </w:rPr>
              <w:t>28.7</w:t>
            </w:r>
            <w:r w:rsidR="00743F9B">
              <w:rPr>
                <w:rFonts w:ascii="Arial" w:hAnsi="Arial" w:cs="Arial"/>
                <w:b/>
                <w:sz w:val="16"/>
                <w:szCs w:val="16"/>
              </w:rPr>
              <w:t xml:space="preserve"> </w:t>
            </w:r>
            <w:r w:rsidR="00686521" w:rsidRPr="001A5003">
              <w:rPr>
                <w:rFonts w:ascii="Arial" w:hAnsi="Arial" w:cs="Arial"/>
                <w:b/>
                <w:sz w:val="16"/>
                <w:szCs w:val="16"/>
              </w:rPr>
              <w:t xml:space="preserve">– </w:t>
            </w:r>
            <w:r w:rsidRPr="0068435E">
              <w:rPr>
                <w:rFonts w:ascii="Arial" w:hAnsi="Arial" w:cs="Arial"/>
                <w:b/>
                <w:sz w:val="16"/>
                <w:szCs w:val="16"/>
              </w:rPr>
              <w:t>89.</w:t>
            </w:r>
            <w:r w:rsidR="00743F9B">
              <w:rPr>
                <w:rFonts w:ascii="Arial" w:hAnsi="Arial" w:cs="Arial"/>
                <w:b/>
                <w:sz w:val="16"/>
                <w:szCs w:val="16"/>
              </w:rPr>
              <w:t>9</w:t>
            </w:r>
            <w:r w:rsidR="00393403" w:rsidRPr="001A5003">
              <w:rPr>
                <w:rFonts w:ascii="Arial" w:hAnsi="Arial" w:cs="Arial"/>
                <w:b/>
                <w:sz w:val="16"/>
                <w:szCs w:val="16"/>
              </w:rPr>
              <w:t xml:space="preserve"> </w:t>
            </w:r>
            <w:r w:rsidR="00735EDC" w:rsidRPr="001A5003">
              <w:rPr>
                <w:rFonts w:ascii="Arial" w:hAnsi="Arial" w:cs="Arial"/>
                <w:b/>
                <w:sz w:val="16"/>
                <w:szCs w:val="16"/>
              </w:rPr>
              <w:t>(</w:t>
            </w:r>
            <w:r w:rsidRPr="0068435E">
              <w:rPr>
                <w:rFonts w:ascii="Arial" w:hAnsi="Arial" w:cs="Arial"/>
                <w:b/>
                <w:sz w:val="16"/>
                <w:szCs w:val="16"/>
              </w:rPr>
              <w:t>59.</w:t>
            </w:r>
            <w:r w:rsidR="00743F9B">
              <w:rPr>
                <w:rFonts w:ascii="Arial" w:hAnsi="Arial" w:cs="Arial"/>
                <w:b/>
                <w:sz w:val="16"/>
                <w:szCs w:val="16"/>
              </w:rPr>
              <w:t>3</w:t>
            </w:r>
            <w:r w:rsidR="00735EDC" w:rsidRPr="001A5003">
              <w:rPr>
                <w:rFonts w:ascii="Arial" w:hAnsi="Arial" w:cs="Arial"/>
                <w:b/>
                <w:sz w:val="16"/>
                <w:szCs w:val="16"/>
              </w:rPr>
              <w:t>)</w:t>
            </w:r>
          </w:p>
        </w:tc>
        <w:tc>
          <w:tcPr>
            <w:tcW w:w="1135" w:type="dxa"/>
            <w:vAlign w:val="center"/>
          </w:tcPr>
          <w:p w14:paraId="22198F60" w14:textId="447AD458" w:rsidR="003007F7" w:rsidRPr="001A5003" w:rsidRDefault="001A5003" w:rsidP="00284F82">
            <w:pPr>
              <w:spacing w:line="300" w:lineRule="atLeast"/>
              <w:jc w:val="center"/>
              <w:rPr>
                <w:rFonts w:ascii="Arial" w:hAnsi="Arial" w:cs="Arial"/>
                <w:b/>
                <w:sz w:val="16"/>
                <w:szCs w:val="16"/>
              </w:rPr>
            </w:pPr>
            <w:r w:rsidRPr="0068435E">
              <w:rPr>
                <w:rFonts w:ascii="Arial" w:hAnsi="Arial" w:cs="Arial"/>
                <w:b/>
                <w:sz w:val="16"/>
                <w:szCs w:val="16"/>
              </w:rPr>
              <w:t>10.</w:t>
            </w:r>
            <w:r w:rsidR="00743F9B">
              <w:rPr>
                <w:rFonts w:ascii="Arial" w:hAnsi="Arial" w:cs="Arial"/>
                <w:b/>
                <w:sz w:val="16"/>
                <w:szCs w:val="16"/>
              </w:rPr>
              <w:t>9</w:t>
            </w:r>
            <w:r w:rsidRPr="0068435E">
              <w:rPr>
                <w:rFonts w:ascii="Arial" w:hAnsi="Arial" w:cs="Arial"/>
                <w:b/>
                <w:sz w:val="16"/>
                <w:szCs w:val="16"/>
              </w:rPr>
              <w:t xml:space="preserve"> – 18.</w:t>
            </w:r>
            <w:r w:rsidR="00743F9B">
              <w:rPr>
                <w:rFonts w:ascii="Arial" w:hAnsi="Arial" w:cs="Arial"/>
                <w:b/>
                <w:sz w:val="16"/>
                <w:szCs w:val="16"/>
              </w:rPr>
              <w:t>9</w:t>
            </w:r>
            <w:r w:rsidRPr="0068435E">
              <w:rPr>
                <w:rFonts w:ascii="Arial" w:hAnsi="Arial" w:cs="Arial"/>
                <w:b/>
                <w:sz w:val="16"/>
                <w:szCs w:val="16"/>
              </w:rPr>
              <w:t xml:space="preserve"> (14.</w:t>
            </w:r>
            <w:r w:rsidR="00743F9B">
              <w:rPr>
                <w:rFonts w:ascii="Arial" w:hAnsi="Arial" w:cs="Arial"/>
                <w:b/>
                <w:sz w:val="16"/>
                <w:szCs w:val="16"/>
              </w:rPr>
              <w:t>9</w:t>
            </w:r>
            <w:r w:rsidRPr="0068435E">
              <w:rPr>
                <w:rFonts w:ascii="Arial" w:hAnsi="Arial" w:cs="Arial"/>
                <w:b/>
                <w:sz w:val="16"/>
                <w:szCs w:val="16"/>
              </w:rPr>
              <w:t>)</w:t>
            </w:r>
          </w:p>
        </w:tc>
        <w:tc>
          <w:tcPr>
            <w:tcW w:w="1582" w:type="dxa"/>
            <w:vAlign w:val="center"/>
          </w:tcPr>
          <w:p w14:paraId="499E175D" w14:textId="75B8880A" w:rsidR="003007F7" w:rsidRPr="001A5003" w:rsidRDefault="001A5003" w:rsidP="00BA694F">
            <w:pPr>
              <w:spacing w:line="300" w:lineRule="atLeast"/>
              <w:jc w:val="center"/>
              <w:rPr>
                <w:rFonts w:ascii="Arial" w:hAnsi="Arial" w:cs="Arial"/>
                <w:b/>
                <w:sz w:val="16"/>
                <w:szCs w:val="16"/>
              </w:rPr>
            </w:pPr>
            <w:r w:rsidRPr="0068435E">
              <w:rPr>
                <w:rFonts w:ascii="Arial" w:hAnsi="Arial" w:cs="Arial"/>
                <w:b/>
                <w:sz w:val="16"/>
                <w:szCs w:val="16"/>
              </w:rPr>
              <w:t>155</w:t>
            </w:r>
            <w:r w:rsidR="00B743D2" w:rsidRPr="001A5003">
              <w:rPr>
                <w:rFonts w:ascii="Arial" w:hAnsi="Arial" w:cs="Arial"/>
                <w:b/>
                <w:sz w:val="16"/>
                <w:szCs w:val="16"/>
              </w:rPr>
              <w:t xml:space="preserve"> – </w:t>
            </w:r>
            <w:r w:rsidRPr="0068435E">
              <w:rPr>
                <w:rFonts w:ascii="Arial" w:hAnsi="Arial" w:cs="Arial"/>
                <w:b/>
                <w:sz w:val="16"/>
                <w:szCs w:val="16"/>
              </w:rPr>
              <w:t>220</w:t>
            </w:r>
            <w:r w:rsidR="00B743D2" w:rsidRPr="001A5003">
              <w:rPr>
                <w:rFonts w:ascii="Arial" w:hAnsi="Arial" w:cs="Arial"/>
                <w:b/>
                <w:sz w:val="16"/>
                <w:szCs w:val="16"/>
              </w:rPr>
              <w:t xml:space="preserve"> (</w:t>
            </w:r>
            <w:r w:rsidRPr="0068435E">
              <w:rPr>
                <w:rFonts w:ascii="Arial" w:hAnsi="Arial" w:cs="Arial"/>
                <w:b/>
                <w:sz w:val="16"/>
                <w:szCs w:val="16"/>
              </w:rPr>
              <w:t>187.6</w:t>
            </w:r>
            <w:r w:rsidR="00B743D2" w:rsidRPr="001A5003">
              <w:rPr>
                <w:rFonts w:ascii="Arial" w:hAnsi="Arial" w:cs="Arial"/>
                <w:b/>
                <w:sz w:val="16"/>
                <w:szCs w:val="16"/>
              </w:rPr>
              <w:t>)</w:t>
            </w:r>
          </w:p>
        </w:tc>
        <w:tc>
          <w:tcPr>
            <w:tcW w:w="821" w:type="dxa"/>
            <w:vAlign w:val="center"/>
          </w:tcPr>
          <w:p w14:paraId="50F31B2F" w14:textId="138AA93E" w:rsidR="003007F7" w:rsidRPr="001A5003" w:rsidRDefault="001A5003" w:rsidP="00284F82">
            <w:pPr>
              <w:spacing w:line="300" w:lineRule="atLeast"/>
              <w:jc w:val="center"/>
              <w:rPr>
                <w:rFonts w:ascii="Arial" w:hAnsi="Arial" w:cs="Arial"/>
                <w:b/>
                <w:sz w:val="16"/>
                <w:szCs w:val="16"/>
              </w:rPr>
            </w:pPr>
            <w:r w:rsidRPr="0068435E">
              <w:rPr>
                <w:rFonts w:ascii="Arial" w:hAnsi="Arial" w:cs="Arial"/>
                <w:b/>
                <w:sz w:val="16"/>
                <w:szCs w:val="16"/>
              </w:rPr>
              <w:t>5.6</w:t>
            </w:r>
            <w:r w:rsidR="00743F9B">
              <w:rPr>
                <w:rFonts w:ascii="Arial" w:hAnsi="Arial" w:cs="Arial"/>
                <w:b/>
                <w:sz w:val="16"/>
                <w:szCs w:val="16"/>
              </w:rPr>
              <w:t>9</w:t>
            </w:r>
          </w:p>
        </w:tc>
        <w:tc>
          <w:tcPr>
            <w:tcW w:w="1082" w:type="dxa"/>
            <w:vAlign w:val="center"/>
          </w:tcPr>
          <w:p w14:paraId="1966B018" w14:textId="538827C6" w:rsidR="003007F7" w:rsidRPr="0068435E" w:rsidRDefault="001A5003" w:rsidP="00D83BA9">
            <w:pPr>
              <w:spacing w:line="300" w:lineRule="atLeast"/>
              <w:jc w:val="center"/>
              <w:rPr>
                <w:rFonts w:ascii="Arial" w:hAnsi="Arial" w:cs="Arial"/>
                <w:b/>
                <w:sz w:val="16"/>
                <w:szCs w:val="16"/>
              </w:rPr>
            </w:pPr>
            <w:r w:rsidRPr="0068435E">
              <w:rPr>
                <w:rFonts w:ascii="Arial" w:hAnsi="Arial" w:cs="Arial"/>
                <w:b/>
                <w:sz w:val="16"/>
                <w:szCs w:val="16"/>
              </w:rPr>
              <w:t>5</w:t>
            </w:r>
            <w:r w:rsidR="00743F9B">
              <w:rPr>
                <w:rFonts w:ascii="Arial" w:hAnsi="Arial" w:cs="Arial"/>
                <w:b/>
                <w:sz w:val="16"/>
                <w:szCs w:val="16"/>
              </w:rPr>
              <w:t>7.0</w:t>
            </w:r>
          </w:p>
        </w:tc>
      </w:tr>
    </w:tbl>
    <w:p w14:paraId="6FDA792D" w14:textId="19DEE17C" w:rsidR="00EE4754" w:rsidRDefault="00EE4754" w:rsidP="00E20567">
      <w:pPr>
        <w:spacing w:line="300" w:lineRule="atLeast"/>
        <w:jc w:val="both"/>
        <w:rPr>
          <w:szCs w:val="18"/>
        </w:rPr>
      </w:pPr>
      <w:r>
        <w:rPr>
          <w:szCs w:val="18"/>
        </w:rPr>
        <w:br w:type="page"/>
      </w:r>
    </w:p>
    <w:p w14:paraId="2B6794D5" w14:textId="77777777" w:rsidR="006946B7" w:rsidRPr="00EB2D58" w:rsidRDefault="001277A1" w:rsidP="00EE4754">
      <w:pPr>
        <w:pStyle w:val="Heading1"/>
      </w:pPr>
      <w:bookmarkStart w:id="66" w:name="_Toc110355527"/>
      <w:r w:rsidRPr="00EB2D58">
        <w:t>Production of minerals and materials with mercury impurities</w:t>
      </w:r>
      <w:bookmarkEnd w:id="66"/>
    </w:p>
    <w:p w14:paraId="3FC56EFE" w14:textId="56CAEE1F" w:rsidR="00232361" w:rsidRDefault="00BE3D71" w:rsidP="003833D6">
      <w:pPr>
        <w:spacing w:line="300" w:lineRule="atLeast"/>
        <w:jc w:val="both"/>
        <w:rPr>
          <w:szCs w:val="18"/>
        </w:rPr>
      </w:pPr>
      <w:r w:rsidRPr="00BE3D71">
        <w:rPr>
          <w:szCs w:val="18"/>
        </w:rPr>
        <w:t>This category covers mercury releases from the production</w:t>
      </w:r>
      <w:r w:rsidR="0003101F">
        <w:rPr>
          <w:szCs w:val="18"/>
        </w:rPr>
        <w:t xml:space="preserve"> of minerals and related materials with mercury impurities</w:t>
      </w:r>
      <w:r w:rsidRPr="00BE3D71">
        <w:rPr>
          <w:szCs w:val="18"/>
        </w:rPr>
        <w:t xml:space="preserve"> (</w:t>
      </w:r>
      <w:r w:rsidR="00C738EC">
        <w:rPr>
          <w:szCs w:val="18"/>
        </w:rPr>
        <w:t xml:space="preserve">UNEP, </w:t>
      </w:r>
      <w:r w:rsidR="00B51E8B">
        <w:rPr>
          <w:szCs w:val="18"/>
        </w:rPr>
        <w:t>2023</w:t>
      </w:r>
      <w:r w:rsidRPr="00BE3D71">
        <w:rPr>
          <w:szCs w:val="18"/>
        </w:rPr>
        <w:t xml:space="preserve">). The sub-categories and the primary release pathways are summarised in </w:t>
      </w:r>
      <w:r w:rsidR="00A119E8">
        <w:rPr>
          <w:szCs w:val="18"/>
        </w:rPr>
        <w:t xml:space="preserve">Table 5-1 </w:t>
      </w:r>
      <w:r w:rsidR="00DB09D1" w:rsidRPr="00DB09D1">
        <w:rPr>
          <w:szCs w:val="18"/>
        </w:rPr>
        <w:t>which has been copied directly from the UNEP Toolkit</w:t>
      </w:r>
      <w:r w:rsidR="0003101F">
        <w:rPr>
          <w:szCs w:val="18"/>
        </w:rPr>
        <w:t xml:space="preserve">. For the New Zealand inventory, the use of phosphate-based fertilisers </w:t>
      </w:r>
      <w:r w:rsidR="009F6440">
        <w:rPr>
          <w:szCs w:val="18"/>
        </w:rPr>
        <w:t xml:space="preserve">and agricultural lime </w:t>
      </w:r>
      <w:r w:rsidR="00A25C30">
        <w:rPr>
          <w:szCs w:val="18"/>
        </w:rPr>
        <w:t>has</w:t>
      </w:r>
      <w:r w:rsidR="0003101F">
        <w:rPr>
          <w:szCs w:val="18"/>
        </w:rPr>
        <w:t xml:space="preserve"> </w:t>
      </w:r>
      <w:r w:rsidR="002F5753">
        <w:rPr>
          <w:szCs w:val="18"/>
        </w:rPr>
        <w:t xml:space="preserve">also </w:t>
      </w:r>
      <w:r w:rsidR="0003101F">
        <w:rPr>
          <w:szCs w:val="18"/>
        </w:rPr>
        <w:t>be</w:t>
      </w:r>
      <w:r w:rsidR="00A25C30">
        <w:rPr>
          <w:szCs w:val="18"/>
        </w:rPr>
        <w:t>en</w:t>
      </w:r>
      <w:r w:rsidR="0003101F">
        <w:rPr>
          <w:szCs w:val="18"/>
        </w:rPr>
        <w:t xml:space="preserve"> considered under the catch-all sub-category</w:t>
      </w:r>
      <w:r w:rsidR="00A25C30">
        <w:rPr>
          <w:szCs w:val="18"/>
        </w:rPr>
        <w:t xml:space="preserve"> of</w:t>
      </w:r>
      <w:r w:rsidR="0003101F">
        <w:rPr>
          <w:szCs w:val="18"/>
        </w:rPr>
        <w:t xml:space="preserve"> ‘other minerals and materials’.</w:t>
      </w:r>
    </w:p>
    <w:p w14:paraId="143FE848" w14:textId="22EC92D8" w:rsidR="00D16E72" w:rsidRPr="004428A6" w:rsidRDefault="004428A6" w:rsidP="00684B56">
      <w:pPr>
        <w:pStyle w:val="Caption"/>
        <w:spacing w:before="240"/>
        <w:rPr>
          <w:rFonts w:ascii="Arial" w:hAnsi="Arial" w:cs="Arial"/>
          <w:szCs w:val="18"/>
        </w:rPr>
      </w:pPr>
      <w:bookmarkStart w:id="67" w:name="_Ref358518419"/>
      <w:bookmarkStart w:id="68" w:name="_Toc110355472"/>
      <w:r w:rsidRPr="002B3717">
        <w:rPr>
          <w:rFonts w:ascii="Arial" w:hAnsi="Arial" w:cs="Arial"/>
        </w:rPr>
        <w:t xml:space="preserve">Table </w:t>
      </w:r>
      <w:r>
        <w:rPr>
          <w:rFonts w:ascii="Arial" w:hAnsi="Arial" w:cs="Arial"/>
        </w:rPr>
        <w:fldChar w:fldCharType="begin"/>
      </w:r>
      <w:r>
        <w:rPr>
          <w:rFonts w:ascii="Arial" w:hAnsi="Arial" w:cs="Arial"/>
        </w:rPr>
        <w:instrText xml:space="preserve"> STYLEREF 1 \s </w:instrText>
      </w:r>
      <w:r>
        <w:rPr>
          <w:rFonts w:ascii="Arial" w:hAnsi="Arial" w:cs="Arial"/>
        </w:rPr>
        <w:fldChar w:fldCharType="separate"/>
      </w:r>
      <w:r w:rsidR="00892B2D">
        <w:rPr>
          <w:rFonts w:ascii="Arial" w:hAnsi="Arial" w:cs="Arial"/>
          <w:noProof/>
        </w:rPr>
        <w:t>5</w:t>
      </w:r>
      <w:r>
        <w:rPr>
          <w:rFonts w:ascii="Arial" w:hAnsi="Arial" w:cs="Arial"/>
        </w:rPr>
        <w:fldChar w:fldCharType="end"/>
      </w:r>
      <w:r>
        <w:rPr>
          <w:rFonts w:ascii="Arial" w:hAnsi="Arial" w:cs="Arial"/>
        </w:rPr>
        <w:noBreakHyphen/>
      </w:r>
      <w:r>
        <w:rPr>
          <w:rFonts w:ascii="Arial" w:hAnsi="Arial" w:cs="Arial"/>
        </w:rPr>
        <w:fldChar w:fldCharType="begin"/>
      </w:r>
      <w:r>
        <w:rPr>
          <w:rFonts w:ascii="Arial" w:hAnsi="Arial" w:cs="Arial"/>
        </w:rPr>
        <w:instrText xml:space="preserve"> SEQ Table \* ARABIC \s 1 </w:instrText>
      </w:r>
      <w:r>
        <w:rPr>
          <w:rFonts w:ascii="Arial" w:hAnsi="Arial" w:cs="Arial"/>
        </w:rPr>
        <w:fldChar w:fldCharType="separate"/>
      </w:r>
      <w:r w:rsidR="00892B2D">
        <w:rPr>
          <w:rFonts w:ascii="Arial" w:hAnsi="Arial" w:cs="Arial"/>
          <w:noProof/>
        </w:rPr>
        <w:t>1</w:t>
      </w:r>
      <w:r>
        <w:rPr>
          <w:rFonts w:ascii="Arial" w:hAnsi="Arial" w:cs="Arial"/>
        </w:rPr>
        <w:fldChar w:fldCharType="end"/>
      </w:r>
      <w:r w:rsidRPr="002B3717">
        <w:rPr>
          <w:rFonts w:ascii="Arial" w:hAnsi="Arial" w:cs="Arial"/>
        </w:rPr>
        <w:t>:</w:t>
      </w:r>
      <w:r w:rsidRPr="007901FE">
        <w:rPr>
          <w:rFonts w:ascii="Arial" w:hAnsi="Arial" w:cs="Arial"/>
        </w:rPr>
        <w:t xml:space="preserve"> </w:t>
      </w:r>
      <w:r w:rsidR="00183044">
        <w:rPr>
          <w:rFonts w:ascii="Arial" w:hAnsi="Arial" w:cs="Arial"/>
        </w:rPr>
        <w:t xml:space="preserve"> </w:t>
      </w:r>
      <w:r w:rsidRPr="003D7CC9">
        <w:rPr>
          <w:rFonts w:ascii="Arial" w:hAnsi="Arial" w:cs="Arial"/>
        </w:rPr>
        <w:t>T</w:t>
      </w:r>
      <w:r>
        <w:rPr>
          <w:rFonts w:ascii="Arial" w:hAnsi="Arial" w:cs="Arial"/>
        </w:rPr>
        <w:t>oolkit framework for category 3 –production of minerals and materials with mercury impurities</w:t>
      </w:r>
      <w:bookmarkEnd w:id="67"/>
      <w:bookmarkEnd w:id="6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93"/>
        <w:gridCol w:w="850"/>
        <w:gridCol w:w="851"/>
        <w:gridCol w:w="851"/>
        <w:gridCol w:w="992"/>
        <w:gridCol w:w="992"/>
        <w:gridCol w:w="1099"/>
      </w:tblGrid>
      <w:tr w:rsidR="00D16E72" w:rsidRPr="004901F2" w14:paraId="686ADB3D" w14:textId="77777777" w:rsidTr="00284F82">
        <w:tc>
          <w:tcPr>
            <w:tcW w:w="851" w:type="dxa"/>
            <w:vAlign w:val="center"/>
          </w:tcPr>
          <w:p w14:paraId="72BEDC1C"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Toolkit Chapter</w:t>
            </w:r>
          </w:p>
        </w:tc>
        <w:tc>
          <w:tcPr>
            <w:tcW w:w="2693" w:type="dxa"/>
            <w:vAlign w:val="center"/>
          </w:tcPr>
          <w:p w14:paraId="1F0F02BA"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Sub-category</w:t>
            </w:r>
          </w:p>
        </w:tc>
        <w:tc>
          <w:tcPr>
            <w:tcW w:w="850" w:type="dxa"/>
            <w:vAlign w:val="center"/>
          </w:tcPr>
          <w:p w14:paraId="1DE86A6C"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Air</w:t>
            </w:r>
          </w:p>
        </w:tc>
        <w:tc>
          <w:tcPr>
            <w:tcW w:w="851" w:type="dxa"/>
            <w:vAlign w:val="center"/>
          </w:tcPr>
          <w:p w14:paraId="78476455"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Water</w:t>
            </w:r>
          </w:p>
        </w:tc>
        <w:tc>
          <w:tcPr>
            <w:tcW w:w="851" w:type="dxa"/>
            <w:vAlign w:val="center"/>
          </w:tcPr>
          <w:p w14:paraId="65E10C6F"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Land</w:t>
            </w:r>
          </w:p>
        </w:tc>
        <w:tc>
          <w:tcPr>
            <w:tcW w:w="992" w:type="dxa"/>
            <w:vAlign w:val="center"/>
          </w:tcPr>
          <w:p w14:paraId="05A6EC66"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Product</w:t>
            </w:r>
          </w:p>
        </w:tc>
        <w:tc>
          <w:tcPr>
            <w:tcW w:w="992" w:type="dxa"/>
            <w:vAlign w:val="center"/>
          </w:tcPr>
          <w:p w14:paraId="6FC7B202"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Waste/ residue</w:t>
            </w:r>
          </w:p>
        </w:tc>
        <w:tc>
          <w:tcPr>
            <w:tcW w:w="1099" w:type="dxa"/>
            <w:vAlign w:val="center"/>
          </w:tcPr>
          <w:p w14:paraId="5B04F654"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Main approach</w:t>
            </w:r>
          </w:p>
        </w:tc>
      </w:tr>
      <w:tr w:rsidR="00D16E72" w:rsidRPr="004901F2" w14:paraId="7889719D" w14:textId="77777777" w:rsidTr="00284F82">
        <w:tc>
          <w:tcPr>
            <w:tcW w:w="851" w:type="dxa"/>
            <w:vAlign w:val="center"/>
          </w:tcPr>
          <w:p w14:paraId="6669B47C" w14:textId="77777777" w:rsidR="00D16E72" w:rsidRPr="004901F2" w:rsidRDefault="00D16E72" w:rsidP="00627174">
            <w:pPr>
              <w:spacing w:before="40" w:after="40" w:line="300" w:lineRule="atLeast"/>
              <w:rPr>
                <w:rFonts w:ascii="Arial" w:hAnsi="Arial" w:cs="Arial"/>
                <w:sz w:val="16"/>
                <w:szCs w:val="16"/>
              </w:rPr>
            </w:pPr>
            <w:r>
              <w:rPr>
                <w:rFonts w:ascii="Arial" w:hAnsi="Arial" w:cs="Arial"/>
                <w:sz w:val="16"/>
                <w:szCs w:val="16"/>
              </w:rPr>
              <w:t>5</w:t>
            </w:r>
            <w:r w:rsidR="00627174">
              <w:rPr>
                <w:rFonts w:ascii="Arial" w:hAnsi="Arial" w:cs="Arial"/>
                <w:sz w:val="16"/>
                <w:szCs w:val="16"/>
              </w:rPr>
              <w:t>.3</w:t>
            </w:r>
            <w:r w:rsidRPr="004901F2">
              <w:rPr>
                <w:rFonts w:ascii="Arial" w:hAnsi="Arial" w:cs="Arial"/>
                <w:sz w:val="16"/>
                <w:szCs w:val="16"/>
              </w:rPr>
              <w:t>.1</w:t>
            </w:r>
          </w:p>
        </w:tc>
        <w:tc>
          <w:tcPr>
            <w:tcW w:w="2693" w:type="dxa"/>
            <w:vAlign w:val="center"/>
          </w:tcPr>
          <w:p w14:paraId="003DE685" w14:textId="77777777" w:rsidR="00D16E72" w:rsidRPr="004901F2" w:rsidRDefault="00627174" w:rsidP="00284F82">
            <w:pPr>
              <w:spacing w:line="300" w:lineRule="atLeast"/>
              <w:rPr>
                <w:rFonts w:ascii="Arial" w:hAnsi="Arial" w:cs="Arial"/>
                <w:sz w:val="16"/>
                <w:szCs w:val="16"/>
              </w:rPr>
            </w:pPr>
            <w:r>
              <w:rPr>
                <w:rFonts w:ascii="Arial" w:hAnsi="Arial" w:cs="Arial"/>
                <w:sz w:val="16"/>
                <w:szCs w:val="16"/>
              </w:rPr>
              <w:t>Cement production</w:t>
            </w:r>
          </w:p>
        </w:tc>
        <w:tc>
          <w:tcPr>
            <w:tcW w:w="850" w:type="dxa"/>
            <w:vAlign w:val="center"/>
          </w:tcPr>
          <w:p w14:paraId="61C13E40"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4D7E1776" w14:textId="77777777" w:rsidR="00D16E72" w:rsidRPr="004901F2" w:rsidRDefault="00D16E72" w:rsidP="00284F82">
            <w:pPr>
              <w:spacing w:before="40" w:after="40" w:line="300" w:lineRule="atLeast"/>
              <w:jc w:val="center"/>
              <w:rPr>
                <w:rFonts w:ascii="Arial" w:hAnsi="Arial" w:cs="Arial"/>
                <w:sz w:val="16"/>
                <w:szCs w:val="16"/>
              </w:rPr>
            </w:pPr>
          </w:p>
        </w:tc>
        <w:tc>
          <w:tcPr>
            <w:tcW w:w="851" w:type="dxa"/>
            <w:vAlign w:val="center"/>
          </w:tcPr>
          <w:p w14:paraId="7956D58B" w14:textId="77777777" w:rsidR="00D16E72" w:rsidRPr="004901F2" w:rsidRDefault="00627174" w:rsidP="00284F82">
            <w:pPr>
              <w:spacing w:before="40" w:after="40" w:line="300" w:lineRule="atLeast"/>
              <w:jc w:val="center"/>
              <w:rPr>
                <w:rFonts w:ascii="Arial" w:hAnsi="Arial" w:cs="Arial"/>
                <w:sz w:val="16"/>
                <w:szCs w:val="16"/>
              </w:rPr>
            </w:pPr>
            <w:r>
              <w:rPr>
                <w:rFonts w:ascii="Arial" w:hAnsi="Arial" w:cs="Arial"/>
                <w:sz w:val="16"/>
                <w:szCs w:val="16"/>
              </w:rPr>
              <w:t>x</w:t>
            </w:r>
          </w:p>
        </w:tc>
        <w:tc>
          <w:tcPr>
            <w:tcW w:w="992" w:type="dxa"/>
            <w:vAlign w:val="center"/>
          </w:tcPr>
          <w:p w14:paraId="134B20DF" w14:textId="77777777" w:rsidR="00D16E72" w:rsidRPr="004901F2" w:rsidRDefault="00627174" w:rsidP="00284F82">
            <w:pPr>
              <w:spacing w:before="40" w:after="40" w:line="300" w:lineRule="atLeast"/>
              <w:jc w:val="center"/>
              <w:rPr>
                <w:rFonts w:ascii="Arial" w:hAnsi="Arial" w:cs="Arial"/>
                <w:sz w:val="16"/>
                <w:szCs w:val="16"/>
              </w:rPr>
            </w:pPr>
            <w:r>
              <w:rPr>
                <w:rFonts w:ascii="Arial" w:hAnsi="Arial" w:cs="Arial"/>
                <w:sz w:val="16"/>
                <w:szCs w:val="16"/>
              </w:rPr>
              <w:t>x</w:t>
            </w:r>
          </w:p>
        </w:tc>
        <w:tc>
          <w:tcPr>
            <w:tcW w:w="992" w:type="dxa"/>
            <w:vAlign w:val="center"/>
          </w:tcPr>
          <w:p w14:paraId="4438C9BA" w14:textId="77777777" w:rsidR="00D16E72" w:rsidRPr="004901F2" w:rsidRDefault="00627174" w:rsidP="00284F82">
            <w:pPr>
              <w:spacing w:before="40" w:after="40" w:line="300" w:lineRule="atLeast"/>
              <w:jc w:val="center"/>
              <w:rPr>
                <w:rFonts w:ascii="Arial" w:hAnsi="Arial" w:cs="Arial"/>
                <w:b/>
                <w:sz w:val="16"/>
                <w:szCs w:val="16"/>
              </w:rPr>
            </w:pPr>
            <w:r>
              <w:rPr>
                <w:rFonts w:ascii="Arial" w:hAnsi="Arial" w:cs="Arial"/>
                <w:b/>
                <w:sz w:val="16"/>
                <w:szCs w:val="16"/>
              </w:rPr>
              <w:t>x</w:t>
            </w:r>
          </w:p>
        </w:tc>
        <w:tc>
          <w:tcPr>
            <w:tcW w:w="1099" w:type="dxa"/>
            <w:vAlign w:val="center"/>
          </w:tcPr>
          <w:p w14:paraId="519FBFAF"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sz w:val="16"/>
                <w:szCs w:val="16"/>
              </w:rPr>
              <w:t>PS</w:t>
            </w:r>
          </w:p>
        </w:tc>
      </w:tr>
      <w:tr w:rsidR="00D16E72" w:rsidRPr="004901F2" w14:paraId="46C651DA" w14:textId="77777777" w:rsidTr="00284F82">
        <w:tc>
          <w:tcPr>
            <w:tcW w:w="851" w:type="dxa"/>
            <w:vAlign w:val="center"/>
          </w:tcPr>
          <w:p w14:paraId="4BD89A75" w14:textId="77777777" w:rsidR="00D16E72" w:rsidRPr="004901F2" w:rsidRDefault="00D16E72" w:rsidP="00627174">
            <w:pPr>
              <w:spacing w:before="40" w:after="40" w:line="300" w:lineRule="atLeast"/>
              <w:rPr>
                <w:rFonts w:ascii="Arial" w:hAnsi="Arial" w:cs="Arial"/>
                <w:sz w:val="16"/>
                <w:szCs w:val="16"/>
              </w:rPr>
            </w:pPr>
            <w:r>
              <w:rPr>
                <w:rFonts w:ascii="Arial" w:hAnsi="Arial" w:cs="Arial"/>
                <w:sz w:val="16"/>
                <w:szCs w:val="16"/>
              </w:rPr>
              <w:t>5.</w:t>
            </w:r>
            <w:r w:rsidR="00627174">
              <w:rPr>
                <w:rFonts w:ascii="Arial" w:hAnsi="Arial" w:cs="Arial"/>
                <w:sz w:val="16"/>
                <w:szCs w:val="16"/>
              </w:rPr>
              <w:t>3</w:t>
            </w:r>
            <w:r w:rsidRPr="004901F2">
              <w:rPr>
                <w:rFonts w:ascii="Arial" w:hAnsi="Arial" w:cs="Arial"/>
                <w:sz w:val="16"/>
                <w:szCs w:val="16"/>
              </w:rPr>
              <w:t>.2</w:t>
            </w:r>
          </w:p>
        </w:tc>
        <w:tc>
          <w:tcPr>
            <w:tcW w:w="2693" w:type="dxa"/>
            <w:vAlign w:val="center"/>
          </w:tcPr>
          <w:p w14:paraId="4FAA4F3F" w14:textId="040314BC" w:rsidR="00D16E72" w:rsidRPr="004901F2" w:rsidRDefault="00627174" w:rsidP="00284F82">
            <w:pPr>
              <w:spacing w:before="40" w:after="40" w:line="300" w:lineRule="atLeast"/>
              <w:rPr>
                <w:rFonts w:ascii="Arial" w:hAnsi="Arial" w:cs="Arial"/>
                <w:sz w:val="16"/>
                <w:szCs w:val="16"/>
              </w:rPr>
            </w:pPr>
            <w:r>
              <w:rPr>
                <w:rFonts w:ascii="Arial" w:hAnsi="Arial" w:cs="Arial"/>
                <w:sz w:val="16"/>
                <w:szCs w:val="16"/>
              </w:rPr>
              <w:t>Pulp and paper production</w:t>
            </w:r>
          </w:p>
        </w:tc>
        <w:tc>
          <w:tcPr>
            <w:tcW w:w="850" w:type="dxa"/>
            <w:vAlign w:val="center"/>
          </w:tcPr>
          <w:p w14:paraId="53AF0E6F"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7DC99D66" w14:textId="77777777" w:rsidR="00D16E72" w:rsidRPr="004901F2" w:rsidRDefault="00627174" w:rsidP="00284F82">
            <w:pPr>
              <w:spacing w:before="40" w:after="40" w:line="300" w:lineRule="atLeast"/>
              <w:jc w:val="center"/>
              <w:rPr>
                <w:rFonts w:ascii="Arial" w:hAnsi="Arial" w:cs="Arial"/>
                <w:sz w:val="16"/>
                <w:szCs w:val="16"/>
              </w:rPr>
            </w:pPr>
            <w:r>
              <w:rPr>
                <w:rFonts w:ascii="Arial" w:hAnsi="Arial" w:cs="Arial"/>
                <w:sz w:val="16"/>
                <w:szCs w:val="16"/>
              </w:rPr>
              <w:t>x</w:t>
            </w:r>
          </w:p>
        </w:tc>
        <w:tc>
          <w:tcPr>
            <w:tcW w:w="851" w:type="dxa"/>
            <w:vAlign w:val="center"/>
          </w:tcPr>
          <w:p w14:paraId="3AA85388" w14:textId="77777777" w:rsidR="00D16E72" w:rsidRPr="004901F2" w:rsidRDefault="00627174" w:rsidP="00284F82">
            <w:pPr>
              <w:spacing w:before="40" w:after="40" w:line="300" w:lineRule="atLeast"/>
              <w:jc w:val="center"/>
              <w:rPr>
                <w:rFonts w:ascii="Arial" w:hAnsi="Arial" w:cs="Arial"/>
                <w:sz w:val="16"/>
                <w:szCs w:val="16"/>
              </w:rPr>
            </w:pPr>
            <w:r>
              <w:rPr>
                <w:rFonts w:ascii="Arial" w:hAnsi="Arial" w:cs="Arial"/>
                <w:sz w:val="16"/>
                <w:szCs w:val="16"/>
              </w:rPr>
              <w:t>x</w:t>
            </w:r>
          </w:p>
        </w:tc>
        <w:tc>
          <w:tcPr>
            <w:tcW w:w="992" w:type="dxa"/>
            <w:vAlign w:val="center"/>
          </w:tcPr>
          <w:p w14:paraId="66995D73" w14:textId="77777777" w:rsidR="00D16E72" w:rsidRPr="004901F2" w:rsidRDefault="00D16E72" w:rsidP="00284F82">
            <w:pPr>
              <w:spacing w:before="40" w:after="40" w:line="300" w:lineRule="atLeast"/>
              <w:jc w:val="center"/>
              <w:rPr>
                <w:rFonts w:ascii="Arial" w:hAnsi="Arial" w:cs="Arial"/>
                <w:sz w:val="16"/>
                <w:szCs w:val="16"/>
              </w:rPr>
            </w:pPr>
          </w:p>
        </w:tc>
        <w:tc>
          <w:tcPr>
            <w:tcW w:w="992" w:type="dxa"/>
            <w:vAlign w:val="center"/>
          </w:tcPr>
          <w:p w14:paraId="24A2E4D6" w14:textId="77777777" w:rsidR="00D16E72" w:rsidRPr="004901F2" w:rsidRDefault="00627174" w:rsidP="00284F82">
            <w:pPr>
              <w:spacing w:before="40" w:after="40" w:line="300" w:lineRule="atLeast"/>
              <w:jc w:val="center"/>
              <w:rPr>
                <w:rFonts w:ascii="Arial" w:hAnsi="Arial" w:cs="Arial"/>
                <w:sz w:val="16"/>
                <w:szCs w:val="16"/>
              </w:rPr>
            </w:pPr>
            <w:r>
              <w:rPr>
                <w:rFonts w:ascii="Arial" w:hAnsi="Arial" w:cs="Arial"/>
                <w:sz w:val="16"/>
                <w:szCs w:val="16"/>
              </w:rPr>
              <w:t>x</w:t>
            </w:r>
          </w:p>
        </w:tc>
        <w:tc>
          <w:tcPr>
            <w:tcW w:w="1099" w:type="dxa"/>
            <w:vAlign w:val="center"/>
          </w:tcPr>
          <w:p w14:paraId="1831BA57" w14:textId="77777777" w:rsidR="00D16E72" w:rsidRPr="004901F2" w:rsidRDefault="00627174" w:rsidP="00284F82">
            <w:pPr>
              <w:spacing w:before="40" w:after="40" w:line="300" w:lineRule="atLeast"/>
              <w:jc w:val="center"/>
              <w:rPr>
                <w:rFonts w:ascii="Arial" w:hAnsi="Arial" w:cs="Arial"/>
                <w:sz w:val="16"/>
                <w:szCs w:val="16"/>
              </w:rPr>
            </w:pPr>
            <w:r>
              <w:rPr>
                <w:rFonts w:ascii="Arial" w:hAnsi="Arial" w:cs="Arial"/>
                <w:sz w:val="16"/>
                <w:szCs w:val="16"/>
              </w:rPr>
              <w:t>PS</w:t>
            </w:r>
          </w:p>
        </w:tc>
      </w:tr>
      <w:tr w:rsidR="00D16E72" w:rsidRPr="004901F2" w14:paraId="0D52F786" w14:textId="77777777" w:rsidTr="00284F82">
        <w:tc>
          <w:tcPr>
            <w:tcW w:w="851" w:type="dxa"/>
            <w:vAlign w:val="center"/>
          </w:tcPr>
          <w:p w14:paraId="413F0584" w14:textId="77777777" w:rsidR="00D16E72" w:rsidRPr="004901F2" w:rsidRDefault="00D16E72" w:rsidP="00627174">
            <w:pPr>
              <w:spacing w:before="40" w:after="40" w:line="300" w:lineRule="atLeast"/>
              <w:rPr>
                <w:rFonts w:ascii="Arial" w:hAnsi="Arial" w:cs="Arial"/>
                <w:sz w:val="16"/>
                <w:szCs w:val="16"/>
              </w:rPr>
            </w:pPr>
            <w:r>
              <w:rPr>
                <w:rFonts w:ascii="Arial" w:hAnsi="Arial" w:cs="Arial"/>
                <w:sz w:val="16"/>
                <w:szCs w:val="16"/>
              </w:rPr>
              <w:t>5.</w:t>
            </w:r>
            <w:r w:rsidR="00627174">
              <w:rPr>
                <w:rFonts w:ascii="Arial" w:hAnsi="Arial" w:cs="Arial"/>
                <w:sz w:val="16"/>
                <w:szCs w:val="16"/>
              </w:rPr>
              <w:t>3</w:t>
            </w:r>
            <w:r w:rsidRPr="004901F2">
              <w:rPr>
                <w:rFonts w:ascii="Arial" w:hAnsi="Arial" w:cs="Arial"/>
                <w:sz w:val="16"/>
                <w:szCs w:val="16"/>
              </w:rPr>
              <w:t>.3</w:t>
            </w:r>
          </w:p>
        </w:tc>
        <w:tc>
          <w:tcPr>
            <w:tcW w:w="2693" w:type="dxa"/>
            <w:vAlign w:val="center"/>
          </w:tcPr>
          <w:p w14:paraId="29C37351" w14:textId="77777777" w:rsidR="00D16E72" w:rsidRPr="004901F2" w:rsidRDefault="00627174" w:rsidP="00284F82">
            <w:pPr>
              <w:spacing w:line="300" w:lineRule="atLeast"/>
              <w:rPr>
                <w:rFonts w:ascii="Arial" w:hAnsi="Arial" w:cs="Arial"/>
                <w:sz w:val="16"/>
                <w:szCs w:val="16"/>
              </w:rPr>
            </w:pPr>
            <w:r>
              <w:rPr>
                <w:rFonts w:ascii="Arial" w:hAnsi="Arial" w:cs="Arial"/>
                <w:sz w:val="16"/>
                <w:szCs w:val="16"/>
              </w:rPr>
              <w:t>Lime production and light-weight aggregate kilns</w:t>
            </w:r>
          </w:p>
        </w:tc>
        <w:tc>
          <w:tcPr>
            <w:tcW w:w="850" w:type="dxa"/>
            <w:vAlign w:val="center"/>
          </w:tcPr>
          <w:p w14:paraId="4A2BC683"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0C6B7280" w14:textId="77777777" w:rsidR="00D16E72" w:rsidRPr="004901F2" w:rsidRDefault="00D16E72" w:rsidP="00284F82">
            <w:pPr>
              <w:spacing w:before="40" w:after="40" w:line="300" w:lineRule="atLeast"/>
              <w:jc w:val="center"/>
              <w:rPr>
                <w:rFonts w:ascii="Arial" w:hAnsi="Arial" w:cs="Arial"/>
                <w:b/>
                <w:sz w:val="16"/>
                <w:szCs w:val="16"/>
              </w:rPr>
            </w:pPr>
          </w:p>
        </w:tc>
        <w:tc>
          <w:tcPr>
            <w:tcW w:w="851" w:type="dxa"/>
            <w:vAlign w:val="center"/>
          </w:tcPr>
          <w:p w14:paraId="111442FD" w14:textId="77777777" w:rsidR="00D16E72" w:rsidRPr="004901F2" w:rsidRDefault="00D16E72" w:rsidP="00284F82">
            <w:pPr>
              <w:spacing w:before="40" w:after="40" w:line="300" w:lineRule="atLeast"/>
              <w:jc w:val="center"/>
              <w:rPr>
                <w:rFonts w:ascii="Arial" w:hAnsi="Arial" w:cs="Arial"/>
                <w:sz w:val="16"/>
                <w:szCs w:val="16"/>
              </w:rPr>
            </w:pPr>
          </w:p>
        </w:tc>
        <w:tc>
          <w:tcPr>
            <w:tcW w:w="992" w:type="dxa"/>
            <w:vAlign w:val="center"/>
          </w:tcPr>
          <w:p w14:paraId="515A9703" w14:textId="77777777" w:rsidR="00D16E72" w:rsidRPr="004901F2" w:rsidRDefault="00627174" w:rsidP="00284F82">
            <w:pPr>
              <w:spacing w:before="40" w:after="40" w:line="300" w:lineRule="atLeast"/>
              <w:jc w:val="center"/>
              <w:rPr>
                <w:rFonts w:ascii="Arial" w:hAnsi="Arial" w:cs="Arial"/>
                <w:sz w:val="16"/>
                <w:szCs w:val="16"/>
              </w:rPr>
            </w:pPr>
            <w:r>
              <w:rPr>
                <w:rFonts w:ascii="Arial" w:hAnsi="Arial" w:cs="Arial"/>
                <w:sz w:val="16"/>
                <w:szCs w:val="16"/>
              </w:rPr>
              <w:t>x</w:t>
            </w:r>
          </w:p>
        </w:tc>
        <w:tc>
          <w:tcPr>
            <w:tcW w:w="992" w:type="dxa"/>
            <w:vAlign w:val="center"/>
          </w:tcPr>
          <w:p w14:paraId="1B602349" w14:textId="77777777" w:rsidR="00D16E72" w:rsidRPr="004901F2" w:rsidRDefault="00D16E72" w:rsidP="00284F82">
            <w:pPr>
              <w:spacing w:before="40" w:after="40" w:line="300" w:lineRule="atLeast"/>
              <w:jc w:val="center"/>
              <w:rPr>
                <w:rFonts w:ascii="Arial" w:hAnsi="Arial" w:cs="Arial"/>
                <w:sz w:val="16"/>
                <w:szCs w:val="16"/>
              </w:rPr>
            </w:pPr>
          </w:p>
        </w:tc>
        <w:tc>
          <w:tcPr>
            <w:tcW w:w="1099" w:type="dxa"/>
            <w:vAlign w:val="center"/>
          </w:tcPr>
          <w:p w14:paraId="52366F26"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sz w:val="16"/>
                <w:szCs w:val="16"/>
              </w:rPr>
              <w:t>PS</w:t>
            </w:r>
          </w:p>
        </w:tc>
      </w:tr>
      <w:tr w:rsidR="00D16E72" w:rsidRPr="004901F2" w14:paraId="2EAB3114" w14:textId="77777777" w:rsidTr="00284F82">
        <w:tc>
          <w:tcPr>
            <w:tcW w:w="851" w:type="dxa"/>
            <w:vAlign w:val="center"/>
          </w:tcPr>
          <w:p w14:paraId="42EE86AD" w14:textId="77777777" w:rsidR="00D16E72" w:rsidRPr="004901F2" w:rsidRDefault="00D16E72" w:rsidP="00627174">
            <w:pPr>
              <w:spacing w:before="40" w:after="40" w:line="300" w:lineRule="atLeast"/>
              <w:rPr>
                <w:rFonts w:ascii="Arial" w:hAnsi="Arial" w:cs="Arial"/>
                <w:sz w:val="16"/>
                <w:szCs w:val="16"/>
              </w:rPr>
            </w:pPr>
            <w:r>
              <w:rPr>
                <w:rFonts w:ascii="Arial" w:hAnsi="Arial" w:cs="Arial"/>
                <w:sz w:val="16"/>
                <w:szCs w:val="16"/>
              </w:rPr>
              <w:t>5.</w:t>
            </w:r>
            <w:r w:rsidR="00627174">
              <w:rPr>
                <w:rFonts w:ascii="Arial" w:hAnsi="Arial" w:cs="Arial"/>
                <w:sz w:val="16"/>
                <w:szCs w:val="16"/>
              </w:rPr>
              <w:t>3</w:t>
            </w:r>
            <w:r w:rsidRPr="004901F2">
              <w:rPr>
                <w:rFonts w:ascii="Arial" w:hAnsi="Arial" w:cs="Arial"/>
                <w:sz w:val="16"/>
                <w:szCs w:val="16"/>
              </w:rPr>
              <w:t>.4</w:t>
            </w:r>
          </w:p>
        </w:tc>
        <w:tc>
          <w:tcPr>
            <w:tcW w:w="2693" w:type="dxa"/>
            <w:vAlign w:val="center"/>
          </w:tcPr>
          <w:p w14:paraId="53B18120" w14:textId="77777777" w:rsidR="00D16E72" w:rsidRPr="004901F2" w:rsidRDefault="00627174" w:rsidP="00284F82">
            <w:pPr>
              <w:spacing w:line="300" w:lineRule="atLeast"/>
              <w:rPr>
                <w:rFonts w:ascii="Arial" w:hAnsi="Arial" w:cs="Arial"/>
                <w:sz w:val="16"/>
                <w:szCs w:val="16"/>
              </w:rPr>
            </w:pPr>
            <w:r>
              <w:rPr>
                <w:rFonts w:ascii="Arial" w:hAnsi="Arial" w:cs="Arial"/>
                <w:sz w:val="16"/>
                <w:szCs w:val="16"/>
              </w:rPr>
              <w:t>Other minerals and materials</w:t>
            </w:r>
          </w:p>
        </w:tc>
        <w:tc>
          <w:tcPr>
            <w:tcW w:w="850" w:type="dxa"/>
            <w:vAlign w:val="center"/>
          </w:tcPr>
          <w:p w14:paraId="5BB38024" w14:textId="77777777" w:rsidR="00D16E72" w:rsidRPr="004901F2" w:rsidRDefault="00D16E72" w:rsidP="00284F82">
            <w:pPr>
              <w:spacing w:before="40" w:after="40" w:line="300" w:lineRule="atLeast"/>
              <w:jc w:val="center"/>
              <w:rPr>
                <w:rFonts w:ascii="Arial" w:hAnsi="Arial" w:cs="Arial"/>
                <w:b/>
                <w:sz w:val="16"/>
                <w:szCs w:val="16"/>
              </w:rPr>
            </w:pPr>
          </w:p>
        </w:tc>
        <w:tc>
          <w:tcPr>
            <w:tcW w:w="851" w:type="dxa"/>
            <w:vAlign w:val="center"/>
          </w:tcPr>
          <w:p w14:paraId="1047C4EA" w14:textId="77777777" w:rsidR="00D16E72" w:rsidRPr="004901F2" w:rsidRDefault="00D16E72" w:rsidP="00284F82">
            <w:pPr>
              <w:spacing w:before="40" w:after="40" w:line="300" w:lineRule="atLeast"/>
              <w:jc w:val="center"/>
              <w:rPr>
                <w:rFonts w:ascii="Arial" w:hAnsi="Arial" w:cs="Arial"/>
                <w:b/>
                <w:sz w:val="16"/>
                <w:szCs w:val="16"/>
              </w:rPr>
            </w:pPr>
          </w:p>
        </w:tc>
        <w:tc>
          <w:tcPr>
            <w:tcW w:w="851" w:type="dxa"/>
            <w:vAlign w:val="center"/>
          </w:tcPr>
          <w:p w14:paraId="2C5A04B3" w14:textId="77777777" w:rsidR="00D16E72" w:rsidRPr="004901F2" w:rsidRDefault="00D16E72" w:rsidP="00284F82">
            <w:pPr>
              <w:spacing w:before="40" w:after="40" w:line="300" w:lineRule="atLeast"/>
              <w:jc w:val="center"/>
              <w:rPr>
                <w:rFonts w:ascii="Arial" w:hAnsi="Arial" w:cs="Arial"/>
                <w:b/>
                <w:sz w:val="16"/>
                <w:szCs w:val="16"/>
              </w:rPr>
            </w:pPr>
          </w:p>
        </w:tc>
        <w:tc>
          <w:tcPr>
            <w:tcW w:w="992" w:type="dxa"/>
            <w:vAlign w:val="center"/>
          </w:tcPr>
          <w:p w14:paraId="147309A4" w14:textId="77777777" w:rsidR="00D16E72" w:rsidRPr="004901F2" w:rsidRDefault="00D16E72" w:rsidP="00284F82">
            <w:pPr>
              <w:spacing w:before="40" w:after="40" w:line="300" w:lineRule="atLeast"/>
              <w:jc w:val="center"/>
              <w:rPr>
                <w:rFonts w:ascii="Arial" w:hAnsi="Arial" w:cs="Arial"/>
                <w:sz w:val="16"/>
                <w:szCs w:val="16"/>
              </w:rPr>
            </w:pPr>
          </w:p>
        </w:tc>
        <w:tc>
          <w:tcPr>
            <w:tcW w:w="992" w:type="dxa"/>
            <w:vAlign w:val="center"/>
          </w:tcPr>
          <w:p w14:paraId="1C459E6A" w14:textId="77777777" w:rsidR="00D16E72" w:rsidRPr="004901F2" w:rsidRDefault="00D16E72" w:rsidP="00284F82">
            <w:pPr>
              <w:spacing w:before="40" w:after="40" w:line="300" w:lineRule="atLeast"/>
              <w:jc w:val="center"/>
              <w:rPr>
                <w:rFonts w:ascii="Arial" w:hAnsi="Arial" w:cs="Arial"/>
                <w:b/>
                <w:sz w:val="16"/>
                <w:szCs w:val="16"/>
              </w:rPr>
            </w:pPr>
          </w:p>
        </w:tc>
        <w:tc>
          <w:tcPr>
            <w:tcW w:w="1099" w:type="dxa"/>
            <w:vAlign w:val="center"/>
          </w:tcPr>
          <w:p w14:paraId="35DB0713"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sz w:val="16"/>
                <w:szCs w:val="16"/>
              </w:rPr>
              <w:t>PS</w:t>
            </w:r>
          </w:p>
        </w:tc>
      </w:tr>
    </w:tbl>
    <w:p w14:paraId="7886A98C" w14:textId="77777777" w:rsidR="00D16E72" w:rsidRPr="00582EF2" w:rsidRDefault="00D16E72" w:rsidP="00D16E72">
      <w:pPr>
        <w:spacing w:before="60" w:after="60" w:line="260" w:lineRule="exact"/>
        <w:jc w:val="both"/>
        <w:rPr>
          <w:rFonts w:ascii="Arial" w:hAnsi="Arial" w:cs="Arial"/>
          <w:sz w:val="16"/>
          <w:szCs w:val="18"/>
        </w:rPr>
      </w:pPr>
      <w:r w:rsidRPr="00582EF2">
        <w:rPr>
          <w:rFonts w:ascii="Arial" w:hAnsi="Arial" w:cs="Arial"/>
          <w:sz w:val="16"/>
          <w:szCs w:val="18"/>
        </w:rPr>
        <w:t xml:space="preserve">Notes: </w:t>
      </w:r>
      <w:r w:rsidRPr="00582EF2">
        <w:rPr>
          <w:rFonts w:ascii="Arial" w:hAnsi="Arial" w:cs="Arial"/>
          <w:sz w:val="16"/>
          <w:szCs w:val="18"/>
        </w:rPr>
        <w:tab/>
        <w:t>PS = Point source by point source approach;</w:t>
      </w:r>
    </w:p>
    <w:p w14:paraId="61236588" w14:textId="77777777" w:rsidR="00D16E72" w:rsidRPr="00582EF2" w:rsidRDefault="00D16E72" w:rsidP="00D16E72">
      <w:pPr>
        <w:spacing w:after="60" w:line="260" w:lineRule="exact"/>
        <w:ind w:firstLine="720"/>
        <w:jc w:val="both"/>
        <w:rPr>
          <w:rFonts w:ascii="Arial" w:hAnsi="Arial" w:cs="Arial"/>
          <w:sz w:val="16"/>
          <w:szCs w:val="18"/>
        </w:rPr>
      </w:pPr>
      <w:r w:rsidRPr="00582EF2">
        <w:rPr>
          <w:rFonts w:ascii="Arial" w:hAnsi="Arial" w:cs="Arial"/>
          <w:b/>
          <w:sz w:val="16"/>
          <w:szCs w:val="18"/>
        </w:rPr>
        <w:t>X</w:t>
      </w:r>
      <w:r w:rsidRPr="00582EF2">
        <w:rPr>
          <w:rFonts w:ascii="Arial" w:hAnsi="Arial" w:cs="Arial"/>
          <w:sz w:val="16"/>
          <w:szCs w:val="18"/>
        </w:rPr>
        <w:t xml:space="preserve"> - Release pathway expected to be predominant for the sub-category;</w:t>
      </w:r>
    </w:p>
    <w:p w14:paraId="25FAEE0C" w14:textId="77777777" w:rsidR="00D16E72" w:rsidRPr="00582EF2" w:rsidRDefault="00D16E72" w:rsidP="00D16E72">
      <w:pPr>
        <w:spacing w:after="60" w:line="260" w:lineRule="exact"/>
        <w:ind w:firstLine="720"/>
        <w:jc w:val="both"/>
        <w:rPr>
          <w:rFonts w:ascii="Arial" w:hAnsi="Arial" w:cs="Arial"/>
          <w:sz w:val="16"/>
          <w:szCs w:val="18"/>
        </w:rPr>
      </w:pPr>
      <w:r w:rsidRPr="00582EF2">
        <w:rPr>
          <w:rFonts w:ascii="Arial" w:hAnsi="Arial" w:cs="Arial"/>
          <w:sz w:val="16"/>
          <w:szCs w:val="18"/>
        </w:rPr>
        <w:t>x - Additional release pathways to be considered, depending on specific source and national situation.</w:t>
      </w:r>
    </w:p>
    <w:p w14:paraId="268AFB75" w14:textId="77777777" w:rsidR="005A424C" w:rsidRDefault="007427D1" w:rsidP="007427D1">
      <w:pPr>
        <w:pStyle w:val="Heading2"/>
      </w:pPr>
      <w:bookmarkStart w:id="69" w:name="_Toc110355528"/>
      <w:r>
        <w:t>Cement production</w:t>
      </w:r>
      <w:bookmarkEnd w:id="69"/>
    </w:p>
    <w:p w14:paraId="7D2FA1E1" w14:textId="47584BF5" w:rsidR="005500EC" w:rsidRDefault="0044206B" w:rsidP="003833D6">
      <w:pPr>
        <w:spacing w:line="300" w:lineRule="atLeast"/>
        <w:jc w:val="both"/>
        <w:rPr>
          <w:szCs w:val="18"/>
        </w:rPr>
      </w:pPr>
      <w:r>
        <w:rPr>
          <w:szCs w:val="18"/>
        </w:rPr>
        <w:t xml:space="preserve">Currently </w:t>
      </w:r>
      <w:r w:rsidR="008B4756">
        <w:rPr>
          <w:szCs w:val="18"/>
        </w:rPr>
        <w:t xml:space="preserve">New Zealand has </w:t>
      </w:r>
      <w:r>
        <w:rPr>
          <w:szCs w:val="18"/>
        </w:rPr>
        <w:t xml:space="preserve">only one cement manufacturer - </w:t>
      </w:r>
      <w:r w:rsidR="008B4756">
        <w:rPr>
          <w:szCs w:val="18"/>
        </w:rPr>
        <w:t xml:space="preserve">Golden Bay Cement in Whangarei. </w:t>
      </w:r>
      <w:r w:rsidR="005500EC">
        <w:rPr>
          <w:szCs w:val="18"/>
        </w:rPr>
        <w:t>Historically the cement kiln has been fired on coal supplemented by waste wood, but the recent introduction of t</w:t>
      </w:r>
      <w:r w:rsidR="008B4756">
        <w:rPr>
          <w:szCs w:val="18"/>
        </w:rPr>
        <w:t xml:space="preserve">yre derived fuel from granulated waste tyres </w:t>
      </w:r>
      <w:r w:rsidR="00196782">
        <w:rPr>
          <w:szCs w:val="18"/>
        </w:rPr>
        <w:t>coupled with the purchase of a shredder machine in 2023</w:t>
      </w:r>
      <w:r w:rsidR="003A5F63">
        <w:rPr>
          <w:szCs w:val="18"/>
        </w:rPr>
        <w:t xml:space="preserve"> </w:t>
      </w:r>
      <w:r w:rsidR="005500EC">
        <w:rPr>
          <w:szCs w:val="18"/>
        </w:rPr>
        <w:t xml:space="preserve">has enabled the company to reduce its coal use by </w:t>
      </w:r>
      <w:r w:rsidR="00196782">
        <w:rPr>
          <w:szCs w:val="18"/>
        </w:rPr>
        <w:t>50</w:t>
      </w:r>
      <w:r w:rsidR="005500EC">
        <w:rPr>
          <w:szCs w:val="18"/>
        </w:rPr>
        <w:t>% (Fletcher Building, 202</w:t>
      </w:r>
      <w:r w:rsidR="00196782">
        <w:rPr>
          <w:szCs w:val="18"/>
        </w:rPr>
        <w:t>5</w:t>
      </w:r>
      <w:r w:rsidR="005500EC">
        <w:rPr>
          <w:szCs w:val="18"/>
        </w:rPr>
        <w:t>).</w:t>
      </w:r>
      <w:r w:rsidR="008B4756">
        <w:rPr>
          <w:szCs w:val="18"/>
        </w:rPr>
        <w:t xml:space="preserve"> </w:t>
      </w:r>
    </w:p>
    <w:p w14:paraId="45B0B7FD" w14:textId="58D38E8C" w:rsidR="005A424C" w:rsidRDefault="008B4756" w:rsidP="003833D6">
      <w:pPr>
        <w:spacing w:line="300" w:lineRule="atLeast"/>
        <w:jc w:val="both"/>
        <w:rPr>
          <w:szCs w:val="18"/>
        </w:rPr>
      </w:pPr>
      <w:r>
        <w:rPr>
          <w:szCs w:val="18"/>
        </w:rPr>
        <w:t>Total cement production</w:t>
      </w:r>
      <w:r w:rsidR="0044206B">
        <w:rPr>
          <w:szCs w:val="18"/>
        </w:rPr>
        <w:t xml:space="preserve"> </w:t>
      </w:r>
      <w:r>
        <w:rPr>
          <w:szCs w:val="18"/>
        </w:rPr>
        <w:t xml:space="preserve">for </w:t>
      </w:r>
      <w:r w:rsidR="00196782">
        <w:rPr>
          <w:szCs w:val="18"/>
        </w:rPr>
        <w:t>2024 is estimated to be one million</w:t>
      </w:r>
      <w:r w:rsidR="00677D1E">
        <w:rPr>
          <w:szCs w:val="18"/>
        </w:rPr>
        <w:t xml:space="preserve"> tonnes</w:t>
      </w:r>
      <w:r>
        <w:rPr>
          <w:szCs w:val="18"/>
        </w:rPr>
        <w:t>. (</w:t>
      </w:r>
      <w:r w:rsidR="00196782">
        <w:rPr>
          <w:szCs w:val="18"/>
        </w:rPr>
        <w:t>Fletcher Building, 2025</w:t>
      </w:r>
      <w:r>
        <w:rPr>
          <w:szCs w:val="18"/>
        </w:rPr>
        <w:t>)</w:t>
      </w:r>
      <w:r w:rsidR="006D3473">
        <w:rPr>
          <w:szCs w:val="18"/>
        </w:rPr>
        <w:t xml:space="preserve">. </w:t>
      </w:r>
      <w:r w:rsidR="00E84873">
        <w:rPr>
          <w:szCs w:val="18"/>
        </w:rPr>
        <w:t>The primary raw ingredient for cement manufactur</w:t>
      </w:r>
      <w:r w:rsidR="0044206B">
        <w:rPr>
          <w:szCs w:val="18"/>
        </w:rPr>
        <w:t>ing</w:t>
      </w:r>
      <w:r w:rsidR="00E84873">
        <w:rPr>
          <w:szCs w:val="18"/>
        </w:rPr>
        <w:t xml:space="preserve"> is limestone, which contains traces of mercury (see section 5.3). There</w:t>
      </w:r>
      <w:r w:rsidR="00A60C82">
        <w:rPr>
          <w:szCs w:val="18"/>
        </w:rPr>
        <w:t xml:space="preserve"> is</w:t>
      </w:r>
      <w:r w:rsidR="00E84873">
        <w:rPr>
          <w:szCs w:val="18"/>
        </w:rPr>
        <w:t xml:space="preserve"> also mercury in the coal used as fuel</w:t>
      </w:r>
      <w:r w:rsidR="00A60C82">
        <w:rPr>
          <w:szCs w:val="18"/>
        </w:rPr>
        <w:t xml:space="preserve"> and in the supplementary fuels. </w:t>
      </w:r>
      <w:r w:rsidR="00127652">
        <w:rPr>
          <w:szCs w:val="18"/>
        </w:rPr>
        <w:t xml:space="preserve">The emissions </w:t>
      </w:r>
      <w:r w:rsidR="00412E89">
        <w:rPr>
          <w:szCs w:val="18"/>
        </w:rPr>
        <w:t xml:space="preserve">to air </w:t>
      </w:r>
      <w:r w:rsidR="00127652">
        <w:rPr>
          <w:szCs w:val="18"/>
        </w:rPr>
        <w:t>from the kiln are tested annually</w:t>
      </w:r>
      <w:r w:rsidR="00B268E9">
        <w:rPr>
          <w:szCs w:val="18"/>
        </w:rPr>
        <w:t xml:space="preserve">. </w:t>
      </w:r>
      <w:r w:rsidR="00412E89">
        <w:rPr>
          <w:szCs w:val="18"/>
        </w:rPr>
        <w:t>The annual mercury emission rate derived from air emission testing carried out in 2024 was 0.4</w:t>
      </w:r>
      <w:r w:rsidR="00411076">
        <w:rPr>
          <w:szCs w:val="18"/>
        </w:rPr>
        <w:t>7</w:t>
      </w:r>
      <w:r w:rsidR="00412E89">
        <w:rPr>
          <w:szCs w:val="18"/>
        </w:rPr>
        <w:t xml:space="preserve"> kg/year. (</w:t>
      </w:r>
      <w:r w:rsidR="00411076">
        <w:rPr>
          <w:szCs w:val="18"/>
        </w:rPr>
        <w:t>T Davies</w:t>
      </w:r>
      <w:r w:rsidR="00412E89">
        <w:rPr>
          <w:szCs w:val="18"/>
        </w:rPr>
        <w:t xml:space="preserve">, </w:t>
      </w:r>
      <w:r w:rsidR="00411076">
        <w:rPr>
          <w:szCs w:val="18"/>
        </w:rPr>
        <w:t>Golden Bay Cement</w:t>
      </w:r>
      <w:r w:rsidR="00412E89">
        <w:rPr>
          <w:szCs w:val="18"/>
        </w:rPr>
        <w:t xml:space="preserve"> pers comm).</w:t>
      </w:r>
      <w:r w:rsidR="00127652">
        <w:rPr>
          <w:szCs w:val="18"/>
        </w:rPr>
        <w:t xml:space="preserve"> This figure</w:t>
      </w:r>
      <w:r w:rsidR="000E0B19">
        <w:rPr>
          <w:szCs w:val="18"/>
        </w:rPr>
        <w:t xml:space="preserve"> </w:t>
      </w:r>
      <w:r w:rsidR="00DA6BFD">
        <w:rPr>
          <w:szCs w:val="18"/>
        </w:rPr>
        <w:t>has been</w:t>
      </w:r>
      <w:r w:rsidR="000E0B19">
        <w:rPr>
          <w:szCs w:val="18"/>
        </w:rPr>
        <w:t xml:space="preserve"> </w:t>
      </w:r>
      <w:r w:rsidR="00FA5A6A">
        <w:rPr>
          <w:szCs w:val="18"/>
        </w:rPr>
        <w:t>used to estimate</w:t>
      </w:r>
      <w:r w:rsidR="000E0B19">
        <w:rPr>
          <w:szCs w:val="18"/>
        </w:rPr>
        <w:t xml:space="preserve"> the annual mercury inputs </w:t>
      </w:r>
      <w:r w:rsidR="00FA5A6A">
        <w:rPr>
          <w:szCs w:val="18"/>
        </w:rPr>
        <w:t>for cement production, including those due to fuel use.</w:t>
      </w:r>
    </w:p>
    <w:p w14:paraId="278F3516" w14:textId="3BCBFF12" w:rsidR="00DB6FCC" w:rsidRDefault="00DB6FCC" w:rsidP="003833D6">
      <w:pPr>
        <w:spacing w:line="300" w:lineRule="atLeast"/>
        <w:jc w:val="both"/>
        <w:rPr>
          <w:szCs w:val="18"/>
        </w:rPr>
      </w:pPr>
      <w:r>
        <w:rPr>
          <w:szCs w:val="18"/>
        </w:rPr>
        <w:t xml:space="preserve">The input factors given </w:t>
      </w:r>
      <w:r w:rsidR="00624FCE">
        <w:rPr>
          <w:szCs w:val="18"/>
        </w:rPr>
        <w:t xml:space="preserve">in </w:t>
      </w:r>
      <w:r>
        <w:rPr>
          <w:szCs w:val="18"/>
        </w:rPr>
        <w:t xml:space="preserve">the Toolkit </w:t>
      </w:r>
      <w:r w:rsidR="009E40D6">
        <w:rPr>
          <w:szCs w:val="18"/>
        </w:rPr>
        <w:t>cover a range of</w:t>
      </w:r>
      <w:r w:rsidR="00624FCE">
        <w:rPr>
          <w:szCs w:val="18"/>
        </w:rPr>
        <w:t xml:space="preserve"> 0.004 </w:t>
      </w:r>
      <w:r w:rsidR="009E40D6">
        <w:rPr>
          <w:szCs w:val="18"/>
        </w:rPr>
        <w:t>to</w:t>
      </w:r>
      <w:r w:rsidR="00624FCE">
        <w:rPr>
          <w:szCs w:val="18"/>
        </w:rPr>
        <w:t xml:space="preserve"> 0.</w:t>
      </w:r>
      <w:r w:rsidR="0084553F">
        <w:rPr>
          <w:szCs w:val="18"/>
        </w:rPr>
        <w:t>0</w:t>
      </w:r>
      <w:r w:rsidR="009E40D6">
        <w:rPr>
          <w:szCs w:val="18"/>
        </w:rPr>
        <w:t>5 g/tonne of cement</w:t>
      </w:r>
      <w:r w:rsidR="00624FCE">
        <w:rPr>
          <w:szCs w:val="18"/>
        </w:rPr>
        <w:t>. Applying th</w:t>
      </w:r>
      <w:r w:rsidR="009E40D6">
        <w:rPr>
          <w:szCs w:val="18"/>
        </w:rPr>
        <w:t>e</w:t>
      </w:r>
      <w:r w:rsidR="00624FCE">
        <w:rPr>
          <w:szCs w:val="18"/>
        </w:rPr>
        <w:t>s</w:t>
      </w:r>
      <w:r w:rsidR="009E40D6">
        <w:rPr>
          <w:szCs w:val="18"/>
        </w:rPr>
        <w:t>e factors</w:t>
      </w:r>
      <w:r w:rsidR="00624FCE">
        <w:rPr>
          <w:szCs w:val="18"/>
        </w:rPr>
        <w:t xml:space="preserve"> to a total annual production </w:t>
      </w:r>
      <w:r w:rsidR="009E40D6">
        <w:rPr>
          <w:szCs w:val="18"/>
        </w:rPr>
        <w:t xml:space="preserve">rate </w:t>
      </w:r>
      <w:r w:rsidR="00624FCE">
        <w:rPr>
          <w:szCs w:val="18"/>
        </w:rPr>
        <w:t xml:space="preserve">of </w:t>
      </w:r>
      <w:r w:rsidR="00412E89">
        <w:rPr>
          <w:szCs w:val="18"/>
        </w:rPr>
        <w:t>one million</w:t>
      </w:r>
      <w:r w:rsidR="00B268E9">
        <w:rPr>
          <w:szCs w:val="18"/>
        </w:rPr>
        <w:t xml:space="preserve"> </w:t>
      </w:r>
      <w:r w:rsidR="009E40D6">
        <w:rPr>
          <w:szCs w:val="18"/>
        </w:rPr>
        <w:t xml:space="preserve">tonnes gives mercury inputs of from </w:t>
      </w:r>
      <w:r w:rsidR="00412E89">
        <w:rPr>
          <w:szCs w:val="18"/>
        </w:rPr>
        <w:t>4</w:t>
      </w:r>
      <w:r w:rsidR="009E40D6">
        <w:rPr>
          <w:szCs w:val="18"/>
        </w:rPr>
        <w:t xml:space="preserve"> to </w:t>
      </w:r>
      <w:r w:rsidR="00412E89">
        <w:rPr>
          <w:szCs w:val="18"/>
        </w:rPr>
        <w:t xml:space="preserve">50 </w:t>
      </w:r>
      <w:r w:rsidR="009E40D6">
        <w:rPr>
          <w:szCs w:val="18"/>
        </w:rPr>
        <w:t xml:space="preserve">kg/year. </w:t>
      </w:r>
      <w:r w:rsidR="00412E89">
        <w:rPr>
          <w:szCs w:val="18"/>
        </w:rPr>
        <w:t>Even t</w:t>
      </w:r>
      <w:r w:rsidR="009E40D6">
        <w:rPr>
          <w:szCs w:val="18"/>
        </w:rPr>
        <w:t xml:space="preserve">he bottom of this range is </w:t>
      </w:r>
      <w:r w:rsidR="00873CB2">
        <w:rPr>
          <w:szCs w:val="18"/>
        </w:rPr>
        <w:t xml:space="preserve">about </w:t>
      </w:r>
      <w:r w:rsidR="00412E89">
        <w:rPr>
          <w:szCs w:val="18"/>
        </w:rPr>
        <w:t xml:space="preserve">nine </w:t>
      </w:r>
      <w:r w:rsidR="00873CB2">
        <w:rPr>
          <w:szCs w:val="18"/>
        </w:rPr>
        <w:t>times</w:t>
      </w:r>
      <w:r w:rsidR="00892EB8">
        <w:rPr>
          <w:szCs w:val="18"/>
        </w:rPr>
        <w:t xml:space="preserve"> higher than the Northland data</w:t>
      </w:r>
      <w:r w:rsidR="009E40D6">
        <w:rPr>
          <w:szCs w:val="18"/>
        </w:rPr>
        <w:t xml:space="preserve">, while the upper value is based on a highly conservative assessment of international information. </w:t>
      </w:r>
      <w:r w:rsidR="00412E89">
        <w:rPr>
          <w:szCs w:val="18"/>
        </w:rPr>
        <w:t>As a consequence, t</w:t>
      </w:r>
      <w:r w:rsidR="009E40D6">
        <w:rPr>
          <w:szCs w:val="18"/>
        </w:rPr>
        <w:t xml:space="preserve">he Toolkit default factors </w:t>
      </w:r>
      <w:r w:rsidR="00DA6BFD">
        <w:rPr>
          <w:szCs w:val="18"/>
        </w:rPr>
        <w:t>have not been</w:t>
      </w:r>
      <w:r w:rsidR="009E40D6">
        <w:rPr>
          <w:szCs w:val="18"/>
        </w:rPr>
        <w:t xml:space="preserve"> used for this source category because the available emissions data provides a more relevant estimate.</w:t>
      </w:r>
    </w:p>
    <w:p w14:paraId="3BF44E1B" w14:textId="1F9DF20B" w:rsidR="00E84873" w:rsidRDefault="000E0B19" w:rsidP="003833D6">
      <w:pPr>
        <w:spacing w:line="300" w:lineRule="atLeast"/>
        <w:jc w:val="both"/>
        <w:rPr>
          <w:szCs w:val="18"/>
        </w:rPr>
      </w:pPr>
      <w:r>
        <w:rPr>
          <w:szCs w:val="18"/>
        </w:rPr>
        <w:t xml:space="preserve">The Toolkit indicates that there is some partitioning of the mercury between </w:t>
      </w:r>
      <w:r w:rsidR="000F6514">
        <w:rPr>
          <w:szCs w:val="18"/>
        </w:rPr>
        <w:t xml:space="preserve">the </w:t>
      </w:r>
      <w:r>
        <w:rPr>
          <w:szCs w:val="18"/>
        </w:rPr>
        <w:t>air emission</w:t>
      </w:r>
      <w:r w:rsidR="000F6514">
        <w:rPr>
          <w:szCs w:val="18"/>
        </w:rPr>
        <w:t>s</w:t>
      </w:r>
      <w:r>
        <w:rPr>
          <w:szCs w:val="18"/>
        </w:rPr>
        <w:t xml:space="preserve"> and the clinker product. In the Toolkit terminology, the </w:t>
      </w:r>
      <w:r w:rsidR="00127652">
        <w:rPr>
          <w:szCs w:val="18"/>
        </w:rPr>
        <w:t>New Zealand plant</w:t>
      </w:r>
      <w:r>
        <w:rPr>
          <w:szCs w:val="18"/>
        </w:rPr>
        <w:t xml:space="preserve"> would be described as having simple particulate controls</w:t>
      </w:r>
      <w:r w:rsidR="00D4612C">
        <w:rPr>
          <w:rStyle w:val="FootnoteReference"/>
          <w:szCs w:val="18"/>
        </w:rPr>
        <w:footnoteReference w:id="9"/>
      </w:r>
      <w:r>
        <w:rPr>
          <w:szCs w:val="18"/>
        </w:rPr>
        <w:t>, with output distribution factors</w:t>
      </w:r>
      <w:r w:rsidR="00D4612C">
        <w:rPr>
          <w:szCs w:val="18"/>
        </w:rPr>
        <w:t xml:space="preserve"> of 0.7 (70%) to air and 0.3 (30%) to product.</w:t>
      </w:r>
      <w:r w:rsidR="000F6514">
        <w:rPr>
          <w:szCs w:val="18"/>
        </w:rPr>
        <w:t xml:space="preserve"> Applying these to the air emission rate of </w:t>
      </w:r>
      <w:r w:rsidR="00412E89">
        <w:rPr>
          <w:szCs w:val="18"/>
        </w:rPr>
        <w:t>0.4</w:t>
      </w:r>
      <w:r w:rsidR="00411076">
        <w:rPr>
          <w:szCs w:val="18"/>
        </w:rPr>
        <w:t>7</w:t>
      </w:r>
      <w:r w:rsidR="000F6514">
        <w:rPr>
          <w:szCs w:val="18"/>
        </w:rPr>
        <w:t xml:space="preserve"> kg/year, gives an estimated release in</w:t>
      </w:r>
      <w:r w:rsidR="00FA5A6A">
        <w:rPr>
          <w:szCs w:val="18"/>
        </w:rPr>
        <w:t xml:space="preserve"> product of </w:t>
      </w:r>
      <w:r w:rsidR="00873CB2">
        <w:rPr>
          <w:szCs w:val="18"/>
        </w:rPr>
        <w:t>0</w:t>
      </w:r>
      <w:r w:rsidR="00412E89">
        <w:rPr>
          <w:szCs w:val="18"/>
        </w:rPr>
        <w:t>.</w:t>
      </w:r>
      <w:r w:rsidR="00411076">
        <w:rPr>
          <w:szCs w:val="18"/>
        </w:rPr>
        <w:t>20</w:t>
      </w:r>
      <w:r w:rsidR="00412E89">
        <w:rPr>
          <w:szCs w:val="18"/>
        </w:rPr>
        <w:t xml:space="preserve"> </w:t>
      </w:r>
      <w:r w:rsidR="00FA5A6A">
        <w:rPr>
          <w:szCs w:val="18"/>
        </w:rPr>
        <w:t xml:space="preserve">kg/year, and a total production input of </w:t>
      </w:r>
      <w:r w:rsidR="00412E89">
        <w:rPr>
          <w:szCs w:val="18"/>
        </w:rPr>
        <w:t>0.6</w:t>
      </w:r>
      <w:r w:rsidR="00411076">
        <w:rPr>
          <w:szCs w:val="18"/>
        </w:rPr>
        <w:t>7</w:t>
      </w:r>
      <w:r w:rsidR="00FA5A6A">
        <w:rPr>
          <w:szCs w:val="18"/>
        </w:rPr>
        <w:t xml:space="preserve"> kg/year.</w:t>
      </w:r>
    </w:p>
    <w:p w14:paraId="266535BB" w14:textId="74DDB299" w:rsidR="00944DCC" w:rsidRPr="00232361" w:rsidRDefault="00944DCC" w:rsidP="00944DCC">
      <w:pPr>
        <w:spacing w:line="300" w:lineRule="atLeast"/>
        <w:jc w:val="both"/>
        <w:rPr>
          <w:szCs w:val="18"/>
        </w:rPr>
      </w:pPr>
      <w:r w:rsidRPr="00232361">
        <w:rPr>
          <w:szCs w:val="18"/>
        </w:rPr>
        <w:t xml:space="preserve">The mercury input and output </w:t>
      </w:r>
      <w:r w:rsidR="00FA5A6A">
        <w:rPr>
          <w:szCs w:val="18"/>
        </w:rPr>
        <w:t>estimates</w:t>
      </w:r>
      <w:r w:rsidRPr="00232361">
        <w:rPr>
          <w:szCs w:val="18"/>
        </w:rPr>
        <w:t xml:space="preserve"> for </w:t>
      </w:r>
      <w:r w:rsidR="003C357B">
        <w:rPr>
          <w:szCs w:val="18"/>
        </w:rPr>
        <w:t>cement</w:t>
      </w:r>
      <w:r w:rsidRPr="00232361">
        <w:rPr>
          <w:szCs w:val="18"/>
        </w:rPr>
        <w:t xml:space="preserve"> production are shown in </w:t>
      </w:r>
      <w:r w:rsidRPr="0094605E">
        <w:rPr>
          <w:szCs w:val="18"/>
        </w:rPr>
        <w:fldChar w:fldCharType="begin"/>
      </w:r>
      <w:r w:rsidRPr="0094605E">
        <w:rPr>
          <w:szCs w:val="18"/>
        </w:rPr>
        <w:instrText xml:space="preserve"> REF _Ref358523286 \h </w:instrText>
      </w:r>
      <w:r w:rsidR="0094605E">
        <w:rPr>
          <w:szCs w:val="18"/>
        </w:rPr>
        <w:instrText xml:space="preserve"> \* MERGEFORMAT </w:instrText>
      </w:r>
      <w:r w:rsidRPr="0094605E">
        <w:rPr>
          <w:szCs w:val="18"/>
        </w:rPr>
      </w:r>
      <w:r w:rsidRPr="0094605E">
        <w:rPr>
          <w:szCs w:val="18"/>
        </w:rPr>
        <w:fldChar w:fldCharType="separate"/>
      </w:r>
      <w:r w:rsidR="00892B2D" w:rsidRPr="00892B2D">
        <w:t xml:space="preserve">Table </w:t>
      </w:r>
      <w:r w:rsidR="00892B2D" w:rsidRPr="00892B2D">
        <w:rPr>
          <w:noProof/>
        </w:rPr>
        <w:t>5</w:t>
      </w:r>
      <w:r w:rsidR="00892B2D" w:rsidRPr="00892B2D">
        <w:rPr>
          <w:noProof/>
        </w:rPr>
        <w:noBreakHyphen/>
        <w:t>2</w:t>
      </w:r>
      <w:r w:rsidRPr="0094605E">
        <w:rPr>
          <w:szCs w:val="18"/>
        </w:rPr>
        <w:fldChar w:fldCharType="end"/>
      </w:r>
      <w:r w:rsidR="00016AD4">
        <w:rPr>
          <w:szCs w:val="18"/>
        </w:rPr>
        <w:t xml:space="preserve">. </w:t>
      </w:r>
      <w:r w:rsidR="00BE0250">
        <w:rPr>
          <w:szCs w:val="18"/>
        </w:rPr>
        <w:t xml:space="preserve">The 2012 estimates were much higher because the emissions from the </w:t>
      </w:r>
      <w:r w:rsidR="00EF462B">
        <w:rPr>
          <w:szCs w:val="18"/>
        </w:rPr>
        <w:t xml:space="preserve">now closed Holcim </w:t>
      </w:r>
      <w:r w:rsidR="00BE0250">
        <w:rPr>
          <w:szCs w:val="18"/>
        </w:rPr>
        <w:t xml:space="preserve">Westport plant were </w:t>
      </w:r>
      <w:r w:rsidR="00412E89">
        <w:rPr>
          <w:szCs w:val="18"/>
        </w:rPr>
        <w:t>greater</w:t>
      </w:r>
      <w:r w:rsidR="00BE0250">
        <w:rPr>
          <w:szCs w:val="18"/>
        </w:rPr>
        <w:t xml:space="preserve"> than at </w:t>
      </w:r>
      <w:r w:rsidR="00EF462B">
        <w:rPr>
          <w:szCs w:val="18"/>
        </w:rPr>
        <w:t>Golden Bay Cement.</w:t>
      </w:r>
    </w:p>
    <w:p w14:paraId="13CB0B32" w14:textId="2834BD2A" w:rsidR="00944DCC" w:rsidRDefault="00944DCC" w:rsidP="00213975">
      <w:pPr>
        <w:pStyle w:val="Caption"/>
        <w:spacing w:before="240"/>
        <w:rPr>
          <w:szCs w:val="18"/>
        </w:rPr>
      </w:pPr>
      <w:bookmarkStart w:id="70" w:name="_Ref358523286"/>
      <w:bookmarkStart w:id="71" w:name="_Toc110355473"/>
      <w:r w:rsidRPr="00944DCC">
        <w:rPr>
          <w:rFonts w:ascii="Arial" w:hAnsi="Arial" w:cs="Arial"/>
        </w:rPr>
        <w:t xml:space="preserve">Table </w:t>
      </w:r>
      <w:r w:rsidR="00390C9F">
        <w:rPr>
          <w:rFonts w:ascii="Arial" w:hAnsi="Arial" w:cs="Arial"/>
        </w:rPr>
        <w:fldChar w:fldCharType="begin"/>
      </w:r>
      <w:r w:rsidR="00390C9F">
        <w:rPr>
          <w:rFonts w:ascii="Arial" w:hAnsi="Arial" w:cs="Arial"/>
        </w:rPr>
        <w:instrText xml:space="preserve"> STYLEREF 1 \s </w:instrText>
      </w:r>
      <w:r w:rsidR="00390C9F">
        <w:rPr>
          <w:rFonts w:ascii="Arial" w:hAnsi="Arial" w:cs="Arial"/>
        </w:rPr>
        <w:fldChar w:fldCharType="separate"/>
      </w:r>
      <w:r w:rsidR="00892B2D">
        <w:rPr>
          <w:rFonts w:ascii="Arial" w:hAnsi="Arial" w:cs="Arial"/>
          <w:noProof/>
        </w:rPr>
        <w:t>5</w:t>
      </w:r>
      <w:r w:rsidR="00390C9F">
        <w:rPr>
          <w:rFonts w:ascii="Arial" w:hAnsi="Arial" w:cs="Arial"/>
        </w:rPr>
        <w:fldChar w:fldCharType="end"/>
      </w:r>
      <w:r w:rsidR="00390C9F">
        <w:rPr>
          <w:rFonts w:ascii="Arial" w:hAnsi="Arial" w:cs="Arial"/>
        </w:rPr>
        <w:noBreakHyphen/>
      </w:r>
      <w:r w:rsidR="00390C9F">
        <w:rPr>
          <w:rFonts w:ascii="Arial" w:hAnsi="Arial" w:cs="Arial"/>
        </w:rPr>
        <w:fldChar w:fldCharType="begin"/>
      </w:r>
      <w:r w:rsidR="00390C9F">
        <w:rPr>
          <w:rFonts w:ascii="Arial" w:hAnsi="Arial" w:cs="Arial"/>
        </w:rPr>
        <w:instrText xml:space="preserve"> SEQ Table \* ARABIC \s 1 </w:instrText>
      </w:r>
      <w:r w:rsidR="00390C9F">
        <w:rPr>
          <w:rFonts w:ascii="Arial" w:hAnsi="Arial" w:cs="Arial"/>
        </w:rPr>
        <w:fldChar w:fldCharType="separate"/>
      </w:r>
      <w:r w:rsidR="00892B2D">
        <w:rPr>
          <w:rFonts w:ascii="Arial" w:hAnsi="Arial" w:cs="Arial"/>
          <w:noProof/>
        </w:rPr>
        <w:t>2</w:t>
      </w:r>
      <w:r w:rsidR="00390C9F">
        <w:rPr>
          <w:rFonts w:ascii="Arial" w:hAnsi="Arial" w:cs="Arial"/>
        </w:rPr>
        <w:fldChar w:fldCharType="end"/>
      </w:r>
      <w:bookmarkEnd w:id="70"/>
      <w:r w:rsidRPr="00944DCC">
        <w:rPr>
          <w:rFonts w:ascii="Arial" w:hAnsi="Arial" w:cs="Arial"/>
        </w:rPr>
        <w:t>:</w:t>
      </w:r>
      <w:r>
        <w:t xml:space="preserve"> </w:t>
      </w:r>
      <w:r w:rsidR="00183044">
        <w:t xml:space="preserve"> </w:t>
      </w:r>
      <w:r w:rsidRPr="00284760">
        <w:rPr>
          <w:rFonts w:ascii="Arial" w:hAnsi="Arial" w:cs="Arial"/>
        </w:rPr>
        <w:t>Input and output estimates for</w:t>
      </w:r>
      <w:r>
        <w:rPr>
          <w:rFonts w:ascii="Arial" w:hAnsi="Arial" w:cs="Arial"/>
        </w:rPr>
        <w:t xml:space="preserve"> cement production</w:t>
      </w:r>
      <w:bookmarkEnd w:id="71"/>
    </w:p>
    <w:tbl>
      <w:tblPr>
        <w:tblStyle w:val="TableGrid"/>
        <w:tblW w:w="9322" w:type="dxa"/>
        <w:tblLook w:val="04A0" w:firstRow="1" w:lastRow="0" w:firstColumn="1" w:lastColumn="0" w:noHBand="0" w:noVBand="1"/>
      </w:tblPr>
      <w:tblGrid>
        <w:gridCol w:w="2376"/>
        <w:gridCol w:w="1701"/>
        <w:gridCol w:w="1701"/>
        <w:gridCol w:w="1772"/>
        <w:gridCol w:w="1772"/>
      </w:tblGrid>
      <w:tr w:rsidR="00944DCC" w14:paraId="6449D925" w14:textId="77777777" w:rsidTr="00213975">
        <w:tc>
          <w:tcPr>
            <w:tcW w:w="2376" w:type="dxa"/>
            <w:vMerge w:val="restart"/>
            <w:vAlign w:val="center"/>
          </w:tcPr>
          <w:p w14:paraId="6F7942D8" w14:textId="77777777" w:rsidR="00944DCC" w:rsidRPr="00F31685" w:rsidRDefault="00944DCC" w:rsidP="0002399A">
            <w:pPr>
              <w:spacing w:line="300" w:lineRule="atLeast"/>
              <w:jc w:val="center"/>
              <w:rPr>
                <w:rFonts w:ascii="Arial" w:hAnsi="Arial" w:cs="Arial"/>
                <w:b/>
                <w:sz w:val="16"/>
                <w:szCs w:val="16"/>
              </w:rPr>
            </w:pPr>
            <w:r w:rsidRPr="00F31685">
              <w:rPr>
                <w:rFonts w:ascii="Arial" w:hAnsi="Arial" w:cs="Arial"/>
                <w:b/>
                <w:sz w:val="16"/>
                <w:szCs w:val="16"/>
              </w:rPr>
              <w:t>Source</w:t>
            </w:r>
          </w:p>
        </w:tc>
        <w:tc>
          <w:tcPr>
            <w:tcW w:w="1701" w:type="dxa"/>
            <w:vMerge w:val="restart"/>
            <w:vAlign w:val="center"/>
          </w:tcPr>
          <w:p w14:paraId="1A0655D4" w14:textId="77777777" w:rsidR="00944DCC" w:rsidRPr="00F31685" w:rsidRDefault="00944DCC" w:rsidP="0002399A">
            <w:pPr>
              <w:spacing w:line="300" w:lineRule="atLeast"/>
              <w:jc w:val="center"/>
              <w:rPr>
                <w:rFonts w:ascii="Arial" w:hAnsi="Arial" w:cs="Arial"/>
                <w:b/>
                <w:sz w:val="16"/>
                <w:szCs w:val="16"/>
              </w:rPr>
            </w:pPr>
            <w:r w:rsidRPr="00F31685">
              <w:rPr>
                <w:rFonts w:ascii="Arial" w:hAnsi="Arial" w:cs="Arial"/>
                <w:b/>
                <w:sz w:val="16"/>
                <w:szCs w:val="16"/>
              </w:rPr>
              <w:t>Activity Rate, tonnes/yr</w:t>
            </w:r>
          </w:p>
        </w:tc>
        <w:tc>
          <w:tcPr>
            <w:tcW w:w="1701" w:type="dxa"/>
            <w:vMerge w:val="restart"/>
            <w:vAlign w:val="center"/>
          </w:tcPr>
          <w:p w14:paraId="00175526" w14:textId="77777777" w:rsidR="00944DCC" w:rsidRPr="00F31685" w:rsidRDefault="00944DCC" w:rsidP="0002399A">
            <w:pPr>
              <w:spacing w:line="300" w:lineRule="atLeast"/>
              <w:jc w:val="center"/>
              <w:rPr>
                <w:rFonts w:ascii="Arial" w:hAnsi="Arial" w:cs="Arial"/>
                <w:b/>
                <w:sz w:val="16"/>
                <w:szCs w:val="16"/>
              </w:rPr>
            </w:pPr>
            <w:r w:rsidRPr="00F31685">
              <w:rPr>
                <w:rFonts w:ascii="Arial" w:hAnsi="Arial" w:cs="Arial"/>
                <w:b/>
                <w:sz w:val="16"/>
                <w:szCs w:val="16"/>
              </w:rPr>
              <w:t>Annual Mercury Inputs, kg/yr</w:t>
            </w:r>
          </w:p>
        </w:tc>
        <w:tc>
          <w:tcPr>
            <w:tcW w:w="3544" w:type="dxa"/>
            <w:gridSpan w:val="2"/>
            <w:vAlign w:val="center"/>
          </w:tcPr>
          <w:p w14:paraId="1A2A4FF3" w14:textId="77777777" w:rsidR="00944DCC" w:rsidRPr="00F31685" w:rsidRDefault="00944DCC" w:rsidP="0002399A">
            <w:pPr>
              <w:spacing w:line="300" w:lineRule="atLeast"/>
              <w:jc w:val="center"/>
              <w:rPr>
                <w:rFonts w:ascii="Arial" w:hAnsi="Arial" w:cs="Arial"/>
                <w:b/>
                <w:sz w:val="16"/>
                <w:szCs w:val="16"/>
              </w:rPr>
            </w:pPr>
            <w:r w:rsidRPr="00F31685">
              <w:rPr>
                <w:rFonts w:ascii="Arial" w:hAnsi="Arial" w:cs="Arial"/>
                <w:b/>
                <w:sz w:val="16"/>
                <w:szCs w:val="16"/>
              </w:rPr>
              <w:t>Annual Mercury Outputs, kg/yr</w:t>
            </w:r>
          </w:p>
        </w:tc>
      </w:tr>
      <w:tr w:rsidR="00944DCC" w14:paraId="47F2A342" w14:textId="77777777" w:rsidTr="00213975">
        <w:tc>
          <w:tcPr>
            <w:tcW w:w="2376" w:type="dxa"/>
            <w:vMerge/>
            <w:vAlign w:val="center"/>
          </w:tcPr>
          <w:p w14:paraId="001C4CF6" w14:textId="77777777" w:rsidR="00944DCC" w:rsidRPr="00F31685" w:rsidRDefault="00944DCC" w:rsidP="0002399A">
            <w:pPr>
              <w:spacing w:line="300" w:lineRule="atLeast"/>
              <w:jc w:val="center"/>
              <w:rPr>
                <w:rFonts w:ascii="Arial" w:hAnsi="Arial" w:cs="Arial"/>
                <w:b/>
                <w:sz w:val="16"/>
                <w:szCs w:val="16"/>
              </w:rPr>
            </w:pPr>
          </w:p>
        </w:tc>
        <w:tc>
          <w:tcPr>
            <w:tcW w:w="1701" w:type="dxa"/>
            <w:vMerge/>
            <w:vAlign w:val="center"/>
          </w:tcPr>
          <w:p w14:paraId="58C12593" w14:textId="77777777" w:rsidR="00944DCC" w:rsidRPr="00F31685" w:rsidRDefault="00944DCC" w:rsidP="0002399A">
            <w:pPr>
              <w:spacing w:line="300" w:lineRule="atLeast"/>
              <w:jc w:val="center"/>
              <w:rPr>
                <w:rFonts w:ascii="Arial" w:hAnsi="Arial" w:cs="Arial"/>
                <w:b/>
                <w:sz w:val="16"/>
                <w:szCs w:val="16"/>
              </w:rPr>
            </w:pPr>
          </w:p>
        </w:tc>
        <w:tc>
          <w:tcPr>
            <w:tcW w:w="1701" w:type="dxa"/>
            <w:vMerge/>
            <w:vAlign w:val="center"/>
          </w:tcPr>
          <w:p w14:paraId="04CB58B1" w14:textId="77777777" w:rsidR="00944DCC" w:rsidRPr="00F31685" w:rsidRDefault="00944DCC" w:rsidP="0002399A">
            <w:pPr>
              <w:spacing w:line="300" w:lineRule="atLeast"/>
              <w:jc w:val="center"/>
              <w:rPr>
                <w:rFonts w:ascii="Arial" w:hAnsi="Arial" w:cs="Arial"/>
                <w:b/>
                <w:sz w:val="16"/>
                <w:szCs w:val="16"/>
              </w:rPr>
            </w:pPr>
          </w:p>
        </w:tc>
        <w:tc>
          <w:tcPr>
            <w:tcW w:w="1772" w:type="dxa"/>
            <w:vAlign w:val="center"/>
          </w:tcPr>
          <w:p w14:paraId="08162977" w14:textId="77777777" w:rsidR="00944DCC" w:rsidRPr="00F31685" w:rsidRDefault="00944DCC" w:rsidP="0002399A">
            <w:pPr>
              <w:spacing w:line="300" w:lineRule="atLeast"/>
              <w:jc w:val="center"/>
              <w:rPr>
                <w:rFonts w:ascii="Arial" w:hAnsi="Arial" w:cs="Arial"/>
                <w:b/>
                <w:sz w:val="16"/>
                <w:szCs w:val="16"/>
              </w:rPr>
            </w:pPr>
            <w:r w:rsidRPr="00F31685">
              <w:rPr>
                <w:rFonts w:ascii="Arial" w:hAnsi="Arial" w:cs="Arial"/>
                <w:b/>
                <w:sz w:val="16"/>
                <w:szCs w:val="16"/>
              </w:rPr>
              <w:t>Air</w:t>
            </w:r>
          </w:p>
        </w:tc>
        <w:tc>
          <w:tcPr>
            <w:tcW w:w="1772" w:type="dxa"/>
            <w:vAlign w:val="center"/>
          </w:tcPr>
          <w:p w14:paraId="55415F52" w14:textId="77777777" w:rsidR="00944DCC" w:rsidRPr="00F31685" w:rsidRDefault="00213975" w:rsidP="0002399A">
            <w:pPr>
              <w:spacing w:line="300" w:lineRule="atLeast"/>
              <w:jc w:val="center"/>
              <w:rPr>
                <w:rFonts w:ascii="Arial" w:hAnsi="Arial" w:cs="Arial"/>
                <w:b/>
                <w:sz w:val="16"/>
                <w:szCs w:val="16"/>
              </w:rPr>
            </w:pPr>
            <w:r>
              <w:rPr>
                <w:rFonts w:ascii="Arial" w:hAnsi="Arial" w:cs="Arial"/>
                <w:b/>
                <w:sz w:val="16"/>
                <w:szCs w:val="16"/>
              </w:rPr>
              <w:t>Product</w:t>
            </w:r>
          </w:p>
        </w:tc>
      </w:tr>
      <w:tr w:rsidR="00944DCC" w14:paraId="14E75705" w14:textId="77777777" w:rsidTr="00213975">
        <w:tc>
          <w:tcPr>
            <w:tcW w:w="2376" w:type="dxa"/>
          </w:tcPr>
          <w:p w14:paraId="426DE5FB" w14:textId="77777777" w:rsidR="00944DCC" w:rsidRPr="00F31685" w:rsidRDefault="00944DCC" w:rsidP="0002399A">
            <w:pPr>
              <w:spacing w:line="300" w:lineRule="atLeast"/>
              <w:jc w:val="both"/>
              <w:rPr>
                <w:rFonts w:ascii="Arial" w:hAnsi="Arial" w:cs="Arial"/>
                <w:sz w:val="16"/>
                <w:szCs w:val="16"/>
              </w:rPr>
            </w:pPr>
            <w:r>
              <w:rPr>
                <w:rFonts w:ascii="Arial" w:hAnsi="Arial" w:cs="Arial"/>
                <w:sz w:val="16"/>
                <w:szCs w:val="16"/>
              </w:rPr>
              <w:t>Cement production</w:t>
            </w:r>
            <w:r w:rsidR="00BE0250">
              <w:rPr>
                <w:rFonts w:ascii="Arial" w:hAnsi="Arial" w:cs="Arial"/>
                <w:sz w:val="16"/>
                <w:szCs w:val="16"/>
              </w:rPr>
              <w:t>, 2012</w:t>
            </w:r>
          </w:p>
        </w:tc>
        <w:tc>
          <w:tcPr>
            <w:tcW w:w="1701" w:type="dxa"/>
            <w:vAlign w:val="center"/>
          </w:tcPr>
          <w:p w14:paraId="0D1CA135" w14:textId="77777777" w:rsidR="00944DCC" w:rsidRPr="00F31685" w:rsidRDefault="00DA6BFD" w:rsidP="00944DCC">
            <w:pPr>
              <w:spacing w:line="300" w:lineRule="atLeast"/>
              <w:jc w:val="center"/>
              <w:rPr>
                <w:rFonts w:ascii="Arial" w:hAnsi="Arial" w:cs="Arial"/>
                <w:sz w:val="16"/>
                <w:szCs w:val="16"/>
              </w:rPr>
            </w:pPr>
            <w:r>
              <w:rPr>
                <w:rFonts w:ascii="Arial" w:hAnsi="Arial" w:cs="Arial"/>
                <w:sz w:val="16"/>
                <w:szCs w:val="16"/>
              </w:rPr>
              <w:t>1,110</w:t>
            </w:r>
            <w:r w:rsidR="00944DCC">
              <w:rPr>
                <w:rFonts w:ascii="Arial" w:hAnsi="Arial" w:cs="Arial"/>
                <w:sz w:val="16"/>
                <w:szCs w:val="16"/>
              </w:rPr>
              <w:t>,000</w:t>
            </w:r>
          </w:p>
        </w:tc>
        <w:tc>
          <w:tcPr>
            <w:tcW w:w="1701" w:type="dxa"/>
            <w:vAlign w:val="center"/>
          </w:tcPr>
          <w:p w14:paraId="1E612B9F" w14:textId="77777777" w:rsidR="00944DCC" w:rsidRPr="00F31685" w:rsidRDefault="00944DCC" w:rsidP="0002399A">
            <w:pPr>
              <w:spacing w:line="300" w:lineRule="atLeast"/>
              <w:jc w:val="center"/>
              <w:rPr>
                <w:rFonts w:ascii="Arial" w:hAnsi="Arial" w:cs="Arial"/>
                <w:sz w:val="16"/>
                <w:szCs w:val="16"/>
              </w:rPr>
            </w:pPr>
            <w:r>
              <w:rPr>
                <w:rFonts w:ascii="Arial" w:hAnsi="Arial" w:cs="Arial"/>
                <w:sz w:val="16"/>
                <w:szCs w:val="16"/>
              </w:rPr>
              <w:t>6.</w:t>
            </w:r>
            <w:r w:rsidR="00345303">
              <w:rPr>
                <w:rFonts w:ascii="Arial" w:hAnsi="Arial" w:cs="Arial"/>
                <w:sz w:val="16"/>
                <w:szCs w:val="16"/>
              </w:rPr>
              <w:t>3</w:t>
            </w:r>
          </w:p>
        </w:tc>
        <w:tc>
          <w:tcPr>
            <w:tcW w:w="1772" w:type="dxa"/>
            <w:vAlign w:val="center"/>
          </w:tcPr>
          <w:p w14:paraId="10D3438A" w14:textId="77777777" w:rsidR="00944DCC" w:rsidRPr="00F31685" w:rsidRDefault="00944DCC" w:rsidP="0002399A">
            <w:pPr>
              <w:spacing w:line="300" w:lineRule="atLeast"/>
              <w:jc w:val="center"/>
              <w:rPr>
                <w:rFonts w:ascii="Arial" w:hAnsi="Arial" w:cs="Arial"/>
                <w:sz w:val="16"/>
                <w:szCs w:val="16"/>
              </w:rPr>
            </w:pPr>
            <w:r>
              <w:rPr>
                <w:rFonts w:ascii="Arial" w:hAnsi="Arial" w:cs="Arial"/>
                <w:sz w:val="16"/>
                <w:szCs w:val="16"/>
              </w:rPr>
              <w:t>4.</w:t>
            </w:r>
            <w:r w:rsidR="00345303">
              <w:rPr>
                <w:rFonts w:ascii="Arial" w:hAnsi="Arial" w:cs="Arial"/>
                <w:sz w:val="16"/>
                <w:szCs w:val="16"/>
              </w:rPr>
              <w:t>4</w:t>
            </w:r>
          </w:p>
        </w:tc>
        <w:tc>
          <w:tcPr>
            <w:tcW w:w="1772" w:type="dxa"/>
            <w:vAlign w:val="center"/>
          </w:tcPr>
          <w:p w14:paraId="13D2B145" w14:textId="77777777" w:rsidR="00944DCC" w:rsidRPr="00F31685" w:rsidRDefault="00944DCC" w:rsidP="0002399A">
            <w:pPr>
              <w:spacing w:line="300" w:lineRule="atLeast"/>
              <w:jc w:val="center"/>
              <w:rPr>
                <w:rFonts w:ascii="Arial" w:hAnsi="Arial" w:cs="Arial"/>
                <w:sz w:val="16"/>
                <w:szCs w:val="16"/>
              </w:rPr>
            </w:pPr>
            <w:r>
              <w:rPr>
                <w:rFonts w:ascii="Arial" w:hAnsi="Arial" w:cs="Arial"/>
                <w:sz w:val="16"/>
                <w:szCs w:val="16"/>
              </w:rPr>
              <w:t>1.</w:t>
            </w:r>
            <w:r w:rsidR="00345303">
              <w:rPr>
                <w:rFonts w:ascii="Arial" w:hAnsi="Arial" w:cs="Arial"/>
                <w:sz w:val="16"/>
                <w:szCs w:val="16"/>
              </w:rPr>
              <w:t>9</w:t>
            </w:r>
          </w:p>
        </w:tc>
      </w:tr>
      <w:tr w:rsidR="00BE0250" w14:paraId="0F3143BE" w14:textId="77777777" w:rsidTr="00213975">
        <w:tc>
          <w:tcPr>
            <w:tcW w:w="2376" w:type="dxa"/>
          </w:tcPr>
          <w:p w14:paraId="0A022214" w14:textId="77777777" w:rsidR="00BE0250" w:rsidRDefault="00BE0250" w:rsidP="0002399A">
            <w:pPr>
              <w:spacing w:line="300" w:lineRule="atLeast"/>
              <w:jc w:val="both"/>
              <w:rPr>
                <w:rFonts w:ascii="Arial" w:hAnsi="Arial" w:cs="Arial"/>
                <w:sz w:val="16"/>
                <w:szCs w:val="16"/>
              </w:rPr>
            </w:pPr>
            <w:r>
              <w:rPr>
                <w:rFonts w:ascii="Arial" w:hAnsi="Arial" w:cs="Arial"/>
                <w:sz w:val="16"/>
                <w:szCs w:val="16"/>
              </w:rPr>
              <w:t>Cement production, 2016</w:t>
            </w:r>
          </w:p>
        </w:tc>
        <w:tc>
          <w:tcPr>
            <w:tcW w:w="1701" w:type="dxa"/>
            <w:vAlign w:val="center"/>
          </w:tcPr>
          <w:p w14:paraId="0EE202C7" w14:textId="77777777" w:rsidR="00BE0250" w:rsidRDefault="00BE0250" w:rsidP="00944DCC">
            <w:pPr>
              <w:spacing w:line="300" w:lineRule="atLeast"/>
              <w:jc w:val="center"/>
              <w:rPr>
                <w:rFonts w:ascii="Arial" w:hAnsi="Arial" w:cs="Arial"/>
                <w:sz w:val="16"/>
                <w:szCs w:val="16"/>
              </w:rPr>
            </w:pPr>
            <w:r>
              <w:rPr>
                <w:rFonts w:ascii="Arial" w:hAnsi="Arial" w:cs="Arial"/>
                <w:sz w:val="16"/>
                <w:szCs w:val="16"/>
              </w:rPr>
              <w:t>887,025</w:t>
            </w:r>
          </w:p>
        </w:tc>
        <w:tc>
          <w:tcPr>
            <w:tcW w:w="1701" w:type="dxa"/>
            <w:vAlign w:val="center"/>
          </w:tcPr>
          <w:p w14:paraId="0F9157E6" w14:textId="512EF020" w:rsidR="00BE0250" w:rsidRDefault="00BE0250" w:rsidP="0002399A">
            <w:pPr>
              <w:spacing w:line="300" w:lineRule="atLeast"/>
              <w:jc w:val="center"/>
              <w:rPr>
                <w:rFonts w:ascii="Arial" w:hAnsi="Arial" w:cs="Arial"/>
                <w:sz w:val="16"/>
                <w:szCs w:val="16"/>
              </w:rPr>
            </w:pPr>
            <w:r>
              <w:rPr>
                <w:rFonts w:ascii="Arial" w:hAnsi="Arial" w:cs="Arial"/>
                <w:sz w:val="16"/>
                <w:szCs w:val="16"/>
              </w:rPr>
              <w:t>0.4</w:t>
            </w:r>
            <w:r w:rsidR="00892EB8">
              <w:rPr>
                <w:rFonts w:ascii="Arial" w:hAnsi="Arial" w:cs="Arial"/>
                <w:sz w:val="16"/>
                <w:szCs w:val="16"/>
              </w:rPr>
              <w:t>7</w:t>
            </w:r>
          </w:p>
        </w:tc>
        <w:tc>
          <w:tcPr>
            <w:tcW w:w="1772" w:type="dxa"/>
            <w:vAlign w:val="center"/>
          </w:tcPr>
          <w:p w14:paraId="55E5D098" w14:textId="77777777" w:rsidR="00BE0250" w:rsidRDefault="00BE0250" w:rsidP="0002399A">
            <w:pPr>
              <w:spacing w:line="300" w:lineRule="atLeast"/>
              <w:jc w:val="center"/>
              <w:rPr>
                <w:rFonts w:ascii="Arial" w:hAnsi="Arial" w:cs="Arial"/>
                <w:sz w:val="16"/>
                <w:szCs w:val="16"/>
              </w:rPr>
            </w:pPr>
            <w:r>
              <w:rPr>
                <w:rFonts w:ascii="Arial" w:hAnsi="Arial" w:cs="Arial"/>
                <w:sz w:val="16"/>
                <w:szCs w:val="16"/>
              </w:rPr>
              <w:t>0.33</w:t>
            </w:r>
          </w:p>
        </w:tc>
        <w:tc>
          <w:tcPr>
            <w:tcW w:w="1772" w:type="dxa"/>
            <w:vAlign w:val="center"/>
          </w:tcPr>
          <w:p w14:paraId="6C804057" w14:textId="10BED505" w:rsidR="00BE0250" w:rsidRDefault="00BE0250" w:rsidP="0002399A">
            <w:pPr>
              <w:spacing w:line="300" w:lineRule="atLeast"/>
              <w:jc w:val="center"/>
              <w:rPr>
                <w:rFonts w:ascii="Arial" w:hAnsi="Arial" w:cs="Arial"/>
                <w:sz w:val="16"/>
                <w:szCs w:val="16"/>
              </w:rPr>
            </w:pPr>
            <w:r>
              <w:rPr>
                <w:rFonts w:ascii="Arial" w:hAnsi="Arial" w:cs="Arial"/>
                <w:sz w:val="16"/>
                <w:szCs w:val="16"/>
              </w:rPr>
              <w:t>0.1</w:t>
            </w:r>
            <w:r w:rsidR="00892EB8">
              <w:rPr>
                <w:rFonts w:ascii="Arial" w:hAnsi="Arial" w:cs="Arial"/>
                <w:sz w:val="16"/>
                <w:szCs w:val="16"/>
              </w:rPr>
              <w:t>4</w:t>
            </w:r>
          </w:p>
        </w:tc>
      </w:tr>
      <w:tr w:rsidR="00873CB2" w14:paraId="4BA0E5AB" w14:textId="77777777" w:rsidTr="00213975">
        <w:tc>
          <w:tcPr>
            <w:tcW w:w="2376" w:type="dxa"/>
          </w:tcPr>
          <w:p w14:paraId="64C548F4" w14:textId="78F46307" w:rsidR="00873CB2" w:rsidRDefault="00873CB2" w:rsidP="0002399A">
            <w:pPr>
              <w:spacing w:line="300" w:lineRule="atLeast"/>
              <w:jc w:val="both"/>
              <w:rPr>
                <w:rFonts w:ascii="Arial" w:hAnsi="Arial" w:cs="Arial"/>
                <w:sz w:val="16"/>
                <w:szCs w:val="16"/>
              </w:rPr>
            </w:pPr>
            <w:r>
              <w:rPr>
                <w:rFonts w:ascii="Arial" w:hAnsi="Arial" w:cs="Arial"/>
                <w:sz w:val="16"/>
                <w:szCs w:val="16"/>
              </w:rPr>
              <w:t>Cement production, 2020</w:t>
            </w:r>
          </w:p>
        </w:tc>
        <w:tc>
          <w:tcPr>
            <w:tcW w:w="1701" w:type="dxa"/>
            <w:vAlign w:val="center"/>
          </w:tcPr>
          <w:p w14:paraId="7F8CAAFA" w14:textId="7AF24240" w:rsidR="00873CB2" w:rsidRDefault="00873CB2" w:rsidP="00944DCC">
            <w:pPr>
              <w:spacing w:line="300" w:lineRule="atLeast"/>
              <w:jc w:val="center"/>
              <w:rPr>
                <w:rFonts w:ascii="Arial" w:hAnsi="Arial" w:cs="Arial"/>
                <w:sz w:val="16"/>
                <w:szCs w:val="16"/>
              </w:rPr>
            </w:pPr>
            <w:r>
              <w:rPr>
                <w:rFonts w:ascii="Arial" w:hAnsi="Arial" w:cs="Arial"/>
                <w:sz w:val="16"/>
                <w:szCs w:val="16"/>
              </w:rPr>
              <w:t>802,121</w:t>
            </w:r>
          </w:p>
        </w:tc>
        <w:tc>
          <w:tcPr>
            <w:tcW w:w="1701" w:type="dxa"/>
            <w:vAlign w:val="center"/>
          </w:tcPr>
          <w:p w14:paraId="52884011" w14:textId="4B3C94CC" w:rsidR="00873CB2" w:rsidRDefault="00873CB2" w:rsidP="0002399A">
            <w:pPr>
              <w:spacing w:line="300" w:lineRule="atLeast"/>
              <w:jc w:val="center"/>
              <w:rPr>
                <w:rFonts w:ascii="Arial" w:hAnsi="Arial" w:cs="Arial"/>
                <w:sz w:val="16"/>
                <w:szCs w:val="16"/>
              </w:rPr>
            </w:pPr>
            <w:r>
              <w:rPr>
                <w:rFonts w:ascii="Arial" w:hAnsi="Arial" w:cs="Arial"/>
                <w:sz w:val="16"/>
                <w:szCs w:val="16"/>
              </w:rPr>
              <w:t>1.31</w:t>
            </w:r>
          </w:p>
        </w:tc>
        <w:tc>
          <w:tcPr>
            <w:tcW w:w="1772" w:type="dxa"/>
            <w:vAlign w:val="center"/>
          </w:tcPr>
          <w:p w14:paraId="500EA0C5" w14:textId="537931C2" w:rsidR="00873CB2" w:rsidRDefault="00873CB2" w:rsidP="0002399A">
            <w:pPr>
              <w:spacing w:line="300" w:lineRule="atLeast"/>
              <w:jc w:val="center"/>
              <w:rPr>
                <w:rFonts w:ascii="Arial" w:hAnsi="Arial" w:cs="Arial"/>
                <w:sz w:val="16"/>
                <w:szCs w:val="16"/>
              </w:rPr>
            </w:pPr>
            <w:r>
              <w:rPr>
                <w:rFonts w:ascii="Arial" w:hAnsi="Arial" w:cs="Arial"/>
                <w:sz w:val="16"/>
                <w:szCs w:val="16"/>
              </w:rPr>
              <w:t>0.92</w:t>
            </w:r>
          </w:p>
        </w:tc>
        <w:tc>
          <w:tcPr>
            <w:tcW w:w="1772" w:type="dxa"/>
            <w:vAlign w:val="center"/>
          </w:tcPr>
          <w:p w14:paraId="5C3A822D" w14:textId="289AA7AD" w:rsidR="00873CB2" w:rsidRDefault="00873CB2" w:rsidP="0002399A">
            <w:pPr>
              <w:spacing w:line="300" w:lineRule="atLeast"/>
              <w:jc w:val="center"/>
              <w:rPr>
                <w:rFonts w:ascii="Arial" w:hAnsi="Arial" w:cs="Arial"/>
                <w:sz w:val="16"/>
                <w:szCs w:val="16"/>
              </w:rPr>
            </w:pPr>
            <w:r>
              <w:rPr>
                <w:rFonts w:ascii="Arial" w:hAnsi="Arial" w:cs="Arial"/>
                <w:sz w:val="16"/>
                <w:szCs w:val="16"/>
              </w:rPr>
              <w:t>0.39</w:t>
            </w:r>
          </w:p>
        </w:tc>
      </w:tr>
      <w:tr w:rsidR="00412E89" w14:paraId="7DD9FC02" w14:textId="77777777" w:rsidTr="00213975">
        <w:tc>
          <w:tcPr>
            <w:tcW w:w="2376" w:type="dxa"/>
          </w:tcPr>
          <w:p w14:paraId="11B37048" w14:textId="7951005A" w:rsidR="00412E89" w:rsidRDefault="00412E89" w:rsidP="00412E89">
            <w:pPr>
              <w:spacing w:line="300" w:lineRule="atLeast"/>
              <w:jc w:val="both"/>
              <w:rPr>
                <w:rFonts w:ascii="Arial" w:hAnsi="Arial" w:cs="Arial"/>
                <w:sz w:val="16"/>
                <w:szCs w:val="16"/>
              </w:rPr>
            </w:pPr>
            <w:r>
              <w:rPr>
                <w:rFonts w:ascii="Arial" w:hAnsi="Arial" w:cs="Arial"/>
                <w:sz w:val="16"/>
                <w:szCs w:val="16"/>
              </w:rPr>
              <w:t>Cement production, 2024</w:t>
            </w:r>
          </w:p>
        </w:tc>
        <w:tc>
          <w:tcPr>
            <w:tcW w:w="1701" w:type="dxa"/>
            <w:vAlign w:val="center"/>
          </w:tcPr>
          <w:p w14:paraId="2BE742C3" w14:textId="3387710F" w:rsidR="00412E89" w:rsidRDefault="00412E89" w:rsidP="00412E89">
            <w:pPr>
              <w:spacing w:line="300" w:lineRule="atLeast"/>
              <w:jc w:val="center"/>
              <w:rPr>
                <w:rFonts w:ascii="Arial" w:hAnsi="Arial" w:cs="Arial"/>
                <w:sz w:val="16"/>
                <w:szCs w:val="16"/>
              </w:rPr>
            </w:pPr>
            <w:r>
              <w:rPr>
                <w:rFonts w:ascii="Arial" w:hAnsi="Arial" w:cs="Arial"/>
                <w:sz w:val="16"/>
                <w:szCs w:val="16"/>
              </w:rPr>
              <w:t>1,000,000</w:t>
            </w:r>
          </w:p>
        </w:tc>
        <w:tc>
          <w:tcPr>
            <w:tcW w:w="1701" w:type="dxa"/>
            <w:vAlign w:val="center"/>
          </w:tcPr>
          <w:p w14:paraId="61F90D0D" w14:textId="1618E263" w:rsidR="00412E89" w:rsidRDefault="00412E89" w:rsidP="00412E89">
            <w:pPr>
              <w:spacing w:line="300" w:lineRule="atLeast"/>
              <w:jc w:val="center"/>
              <w:rPr>
                <w:rFonts w:ascii="Arial" w:hAnsi="Arial" w:cs="Arial"/>
                <w:sz w:val="16"/>
                <w:szCs w:val="16"/>
              </w:rPr>
            </w:pPr>
            <w:r>
              <w:rPr>
                <w:rFonts w:ascii="Arial" w:hAnsi="Arial" w:cs="Arial"/>
                <w:sz w:val="16"/>
                <w:szCs w:val="16"/>
              </w:rPr>
              <w:t>0.6</w:t>
            </w:r>
            <w:r w:rsidR="00370CE7">
              <w:rPr>
                <w:rFonts w:ascii="Arial" w:hAnsi="Arial" w:cs="Arial"/>
                <w:sz w:val="16"/>
                <w:szCs w:val="16"/>
              </w:rPr>
              <w:t>7</w:t>
            </w:r>
          </w:p>
        </w:tc>
        <w:tc>
          <w:tcPr>
            <w:tcW w:w="1772" w:type="dxa"/>
            <w:vAlign w:val="center"/>
          </w:tcPr>
          <w:p w14:paraId="2A76A03D" w14:textId="7A1CEA06" w:rsidR="00412E89" w:rsidRDefault="00411076" w:rsidP="00412E89">
            <w:pPr>
              <w:spacing w:line="300" w:lineRule="atLeast"/>
              <w:jc w:val="center"/>
              <w:rPr>
                <w:rFonts w:ascii="Arial" w:hAnsi="Arial" w:cs="Arial"/>
                <w:sz w:val="16"/>
                <w:szCs w:val="16"/>
              </w:rPr>
            </w:pPr>
            <w:r>
              <w:rPr>
                <w:rFonts w:ascii="Arial" w:hAnsi="Arial" w:cs="Arial"/>
                <w:sz w:val="16"/>
                <w:szCs w:val="16"/>
              </w:rPr>
              <w:t>0.47</w:t>
            </w:r>
          </w:p>
        </w:tc>
        <w:tc>
          <w:tcPr>
            <w:tcW w:w="1772" w:type="dxa"/>
            <w:vAlign w:val="center"/>
          </w:tcPr>
          <w:p w14:paraId="23EE08F2" w14:textId="13448CEB" w:rsidR="00412E89" w:rsidRDefault="00411076" w:rsidP="00412E89">
            <w:pPr>
              <w:spacing w:line="300" w:lineRule="atLeast"/>
              <w:jc w:val="center"/>
              <w:rPr>
                <w:rFonts w:ascii="Arial" w:hAnsi="Arial" w:cs="Arial"/>
                <w:sz w:val="16"/>
                <w:szCs w:val="16"/>
              </w:rPr>
            </w:pPr>
            <w:r>
              <w:rPr>
                <w:rFonts w:ascii="Arial" w:hAnsi="Arial" w:cs="Arial"/>
                <w:sz w:val="16"/>
                <w:szCs w:val="16"/>
              </w:rPr>
              <w:t>0.20</w:t>
            </w:r>
          </w:p>
        </w:tc>
      </w:tr>
    </w:tbl>
    <w:p w14:paraId="7000867E" w14:textId="77777777" w:rsidR="00944DCC" w:rsidRPr="00BE17CF" w:rsidRDefault="00944DCC" w:rsidP="00944DCC">
      <w:pPr>
        <w:tabs>
          <w:tab w:val="left" w:pos="2760"/>
        </w:tabs>
        <w:spacing w:before="120" w:line="300" w:lineRule="atLeast"/>
        <w:jc w:val="both"/>
        <w:rPr>
          <w:rFonts w:ascii="Arial" w:hAnsi="Arial" w:cs="Arial"/>
          <w:b/>
          <w:szCs w:val="18"/>
        </w:rPr>
      </w:pPr>
      <w:r w:rsidRPr="00BE17CF">
        <w:rPr>
          <w:rFonts w:ascii="Arial" w:hAnsi="Arial" w:cs="Arial"/>
          <w:b/>
          <w:szCs w:val="18"/>
        </w:rPr>
        <w:t>Certainty assessment</w:t>
      </w:r>
    </w:p>
    <w:p w14:paraId="5F3491FF" w14:textId="77777777" w:rsidR="00944DCC" w:rsidRDefault="00944DCC" w:rsidP="00944DCC">
      <w:pPr>
        <w:tabs>
          <w:tab w:val="left" w:pos="1701"/>
        </w:tabs>
        <w:spacing w:line="300" w:lineRule="atLeast"/>
        <w:jc w:val="both"/>
        <w:rPr>
          <w:szCs w:val="18"/>
        </w:rPr>
      </w:pPr>
      <w:r>
        <w:rPr>
          <w:szCs w:val="18"/>
        </w:rPr>
        <w:t xml:space="preserve">Activity data: </w:t>
      </w:r>
      <w:r>
        <w:rPr>
          <w:szCs w:val="18"/>
        </w:rPr>
        <w:tab/>
        <w:t xml:space="preserve">HIGH (because it was based on </w:t>
      </w:r>
      <w:r w:rsidR="000B1CA2">
        <w:rPr>
          <w:szCs w:val="18"/>
        </w:rPr>
        <w:t xml:space="preserve">plant production </w:t>
      </w:r>
      <w:r>
        <w:rPr>
          <w:szCs w:val="18"/>
        </w:rPr>
        <w:t>data)</w:t>
      </w:r>
      <w:r w:rsidR="00AD2153">
        <w:rPr>
          <w:szCs w:val="18"/>
        </w:rPr>
        <w:t>.</w:t>
      </w:r>
    </w:p>
    <w:p w14:paraId="7ED1D826" w14:textId="77777777" w:rsidR="00944DCC" w:rsidRDefault="00944DCC" w:rsidP="00944DCC">
      <w:pPr>
        <w:tabs>
          <w:tab w:val="left" w:pos="1701"/>
        </w:tabs>
        <w:spacing w:line="300" w:lineRule="atLeast"/>
        <w:jc w:val="both"/>
        <w:rPr>
          <w:szCs w:val="18"/>
        </w:rPr>
      </w:pPr>
      <w:r>
        <w:rPr>
          <w:szCs w:val="18"/>
        </w:rPr>
        <w:t xml:space="preserve">Input estimates: </w:t>
      </w:r>
      <w:r>
        <w:rPr>
          <w:szCs w:val="18"/>
        </w:rPr>
        <w:tab/>
        <w:t>MEDIUM (</w:t>
      </w:r>
      <w:r w:rsidRPr="00944DCC">
        <w:rPr>
          <w:szCs w:val="18"/>
        </w:rPr>
        <w:t xml:space="preserve">because </w:t>
      </w:r>
      <w:r w:rsidR="004F462D">
        <w:rPr>
          <w:szCs w:val="18"/>
        </w:rPr>
        <w:t xml:space="preserve">they </w:t>
      </w:r>
      <w:r w:rsidR="001E5DEF">
        <w:rPr>
          <w:szCs w:val="18"/>
        </w:rPr>
        <w:t>a</w:t>
      </w:r>
      <w:r w:rsidR="004F462D">
        <w:rPr>
          <w:szCs w:val="18"/>
        </w:rPr>
        <w:t>re</w:t>
      </w:r>
      <w:r w:rsidRPr="00944DCC">
        <w:rPr>
          <w:szCs w:val="18"/>
        </w:rPr>
        <w:t xml:space="preserve"> based on </w:t>
      </w:r>
      <w:r w:rsidR="00BE0250">
        <w:rPr>
          <w:szCs w:val="18"/>
        </w:rPr>
        <w:t xml:space="preserve">a limited amount of </w:t>
      </w:r>
      <w:r w:rsidRPr="00944DCC">
        <w:rPr>
          <w:szCs w:val="18"/>
        </w:rPr>
        <w:t>measured data</w:t>
      </w:r>
      <w:r>
        <w:rPr>
          <w:szCs w:val="18"/>
        </w:rPr>
        <w:t>)</w:t>
      </w:r>
      <w:r w:rsidR="00AD2153">
        <w:rPr>
          <w:szCs w:val="18"/>
        </w:rPr>
        <w:t>.</w:t>
      </w:r>
    </w:p>
    <w:p w14:paraId="535E14F4" w14:textId="77777777" w:rsidR="00944DCC" w:rsidRPr="0028681C" w:rsidRDefault="00944DCC" w:rsidP="00944DCC">
      <w:pPr>
        <w:tabs>
          <w:tab w:val="left" w:pos="1701"/>
        </w:tabs>
        <w:spacing w:line="300" w:lineRule="atLeast"/>
        <w:jc w:val="both"/>
        <w:rPr>
          <w:szCs w:val="18"/>
        </w:rPr>
      </w:pPr>
      <w:r>
        <w:rPr>
          <w:szCs w:val="18"/>
        </w:rPr>
        <w:t xml:space="preserve">Output estimates: </w:t>
      </w:r>
      <w:r>
        <w:rPr>
          <w:szCs w:val="18"/>
        </w:rPr>
        <w:tab/>
        <w:t>MEDIUM (</w:t>
      </w:r>
      <w:r w:rsidRPr="00944DCC">
        <w:rPr>
          <w:szCs w:val="18"/>
        </w:rPr>
        <w:t>because the product release was estimated from a default factor</w:t>
      </w:r>
      <w:r>
        <w:rPr>
          <w:szCs w:val="18"/>
        </w:rPr>
        <w:t>).</w:t>
      </w:r>
    </w:p>
    <w:p w14:paraId="5B56A4E3" w14:textId="77777777" w:rsidR="004506C1" w:rsidRDefault="00065714" w:rsidP="004D6C5A">
      <w:pPr>
        <w:pStyle w:val="Heading2"/>
      </w:pPr>
      <w:bookmarkStart w:id="72" w:name="_Toc110355529"/>
      <w:r>
        <w:t xml:space="preserve">Pulp </w:t>
      </w:r>
      <w:r w:rsidR="004D6C5A">
        <w:t>and paper production</w:t>
      </w:r>
      <w:bookmarkEnd w:id="72"/>
    </w:p>
    <w:p w14:paraId="260086E9" w14:textId="6875C4A1" w:rsidR="004506C1" w:rsidRDefault="005C1A7E" w:rsidP="003833D6">
      <w:pPr>
        <w:spacing w:line="300" w:lineRule="atLeast"/>
        <w:jc w:val="both"/>
        <w:rPr>
          <w:szCs w:val="18"/>
        </w:rPr>
      </w:pPr>
      <w:r>
        <w:rPr>
          <w:szCs w:val="18"/>
        </w:rPr>
        <w:t>Pulp and paper production is treated as a separate sub-category in the Toolkit because his</w:t>
      </w:r>
      <w:r w:rsidR="00992921">
        <w:rPr>
          <w:szCs w:val="18"/>
        </w:rPr>
        <w:t xml:space="preserve">torically there were significant </w:t>
      </w:r>
      <w:r>
        <w:rPr>
          <w:szCs w:val="18"/>
        </w:rPr>
        <w:t>use</w:t>
      </w:r>
      <w:r w:rsidR="00992921">
        <w:rPr>
          <w:szCs w:val="18"/>
        </w:rPr>
        <w:t>s</w:t>
      </w:r>
      <w:r>
        <w:rPr>
          <w:szCs w:val="18"/>
        </w:rPr>
        <w:t xml:space="preserve"> of mercury</w:t>
      </w:r>
      <w:r w:rsidR="00992921">
        <w:rPr>
          <w:szCs w:val="18"/>
        </w:rPr>
        <w:t xml:space="preserve"> within the industry; especially in chlor-alkali plants (see section 6.1), and as a slimicide (see section 7.6). However, both of these uses no longer occur in New Zealand, so the only significant source of mercury inputs and outputs is via the use of wood, as both a fuel and a raw material.</w:t>
      </w:r>
      <w:r w:rsidR="002925F9">
        <w:rPr>
          <w:szCs w:val="18"/>
        </w:rPr>
        <w:t xml:space="preserve"> These mercury releases have already been addressed under section 3.5 (biomass combustion).</w:t>
      </w:r>
    </w:p>
    <w:p w14:paraId="7D446871" w14:textId="77777777" w:rsidR="000965FA" w:rsidRDefault="001351A3" w:rsidP="001351A3">
      <w:pPr>
        <w:pStyle w:val="Heading2"/>
      </w:pPr>
      <w:bookmarkStart w:id="73" w:name="_Toc110355530"/>
      <w:r>
        <w:t>Production of lime and light-weight aggregate</w:t>
      </w:r>
      <w:bookmarkEnd w:id="73"/>
    </w:p>
    <w:p w14:paraId="4467A20C" w14:textId="77777777" w:rsidR="00666D2A" w:rsidRDefault="00666D2A" w:rsidP="003833D6">
      <w:pPr>
        <w:spacing w:line="300" w:lineRule="atLeast"/>
        <w:jc w:val="both"/>
        <w:rPr>
          <w:szCs w:val="18"/>
        </w:rPr>
      </w:pPr>
      <w:r>
        <w:rPr>
          <w:szCs w:val="18"/>
        </w:rPr>
        <w:t xml:space="preserve">This Toolkit sub-category covers the production of </w:t>
      </w:r>
      <w:r w:rsidRPr="00666D2A">
        <w:rPr>
          <w:szCs w:val="18"/>
        </w:rPr>
        <w:t>burnt lime from the high-temperature treatment (calcination) of limestone</w:t>
      </w:r>
      <w:r w:rsidR="00FA5A6A">
        <w:rPr>
          <w:szCs w:val="18"/>
        </w:rPr>
        <w:t>, and the similar processes used for manufacturing light-weight aggregate from clay, shal</w:t>
      </w:r>
      <w:r w:rsidR="00704007">
        <w:rPr>
          <w:szCs w:val="18"/>
        </w:rPr>
        <w:t>e or slate</w:t>
      </w:r>
      <w:r w:rsidR="00FA5A6A">
        <w:rPr>
          <w:szCs w:val="18"/>
        </w:rPr>
        <w:t xml:space="preserve">. There are a number of lime kilns in New Zealand, but no evidence has been found to indicate any significant production of the type of aggregate covered by the Toolkit. </w:t>
      </w:r>
    </w:p>
    <w:p w14:paraId="56C08EE2" w14:textId="40F206B5" w:rsidR="00D16E72" w:rsidRDefault="009F6440" w:rsidP="003833D6">
      <w:pPr>
        <w:spacing w:line="300" w:lineRule="atLeast"/>
        <w:jc w:val="both"/>
        <w:rPr>
          <w:szCs w:val="18"/>
        </w:rPr>
      </w:pPr>
      <w:r>
        <w:rPr>
          <w:szCs w:val="18"/>
        </w:rPr>
        <w:t xml:space="preserve">There are </w:t>
      </w:r>
      <w:r w:rsidR="000B1CA2">
        <w:rPr>
          <w:szCs w:val="18"/>
        </w:rPr>
        <w:t>5</w:t>
      </w:r>
      <w:r>
        <w:rPr>
          <w:szCs w:val="18"/>
        </w:rPr>
        <w:t xml:space="preserve"> lime kilns in New Zealand</w:t>
      </w:r>
      <w:r w:rsidR="00A3166C">
        <w:rPr>
          <w:szCs w:val="18"/>
        </w:rPr>
        <w:t xml:space="preserve"> </w:t>
      </w:r>
      <w:r>
        <w:rPr>
          <w:szCs w:val="18"/>
        </w:rPr>
        <w:t xml:space="preserve">which produce burnt lime from limestone. </w:t>
      </w:r>
      <w:r w:rsidR="000B1CA2">
        <w:rPr>
          <w:szCs w:val="18"/>
        </w:rPr>
        <w:t>T</w:t>
      </w:r>
      <w:r w:rsidR="00946235">
        <w:rPr>
          <w:szCs w:val="18"/>
        </w:rPr>
        <w:t>he two North Island pulp and paper mills</w:t>
      </w:r>
      <w:r w:rsidR="000B1CA2">
        <w:rPr>
          <w:szCs w:val="18"/>
        </w:rPr>
        <w:t xml:space="preserve"> also operate lime kilns but these do not process limestone</w:t>
      </w:r>
      <w:r w:rsidR="000B1CA2">
        <w:rPr>
          <w:rStyle w:val="FootnoteReference"/>
          <w:szCs w:val="18"/>
        </w:rPr>
        <w:footnoteReference w:id="10"/>
      </w:r>
      <w:r w:rsidR="00946235">
        <w:rPr>
          <w:szCs w:val="18"/>
        </w:rPr>
        <w:t>. The other 5 kilns are located in Te Kuiti, Otorohanga (2), and Te Kumi, all in the Waikato region, and Dunback, in Otago</w:t>
      </w:r>
      <w:r w:rsidR="00152A08">
        <w:rPr>
          <w:szCs w:val="18"/>
        </w:rPr>
        <w:t xml:space="preserve"> (MfE, 2025).</w:t>
      </w:r>
      <w:r w:rsidR="00685E96">
        <w:rPr>
          <w:szCs w:val="18"/>
        </w:rPr>
        <w:t xml:space="preserve"> Data is not available for the </w:t>
      </w:r>
      <w:r w:rsidR="00946235">
        <w:rPr>
          <w:szCs w:val="18"/>
        </w:rPr>
        <w:t>total burnt lime p</w:t>
      </w:r>
      <w:r w:rsidR="00704007">
        <w:rPr>
          <w:szCs w:val="18"/>
        </w:rPr>
        <w:t xml:space="preserve">roduction in New Zealand in </w:t>
      </w:r>
      <w:r w:rsidR="00954A27">
        <w:rPr>
          <w:szCs w:val="18"/>
        </w:rPr>
        <w:t>2024</w:t>
      </w:r>
      <w:r w:rsidR="00685E96">
        <w:rPr>
          <w:szCs w:val="18"/>
        </w:rPr>
        <w:t xml:space="preserve">. However it is possible to derive a production figure from the carbon dioxide emission figures that burnt lime manufacturers must declare annually to New Zealand’s Emission Trading Scheme. This calculation takes the </w:t>
      </w:r>
      <w:r w:rsidR="00264651">
        <w:rPr>
          <w:szCs w:val="18"/>
        </w:rPr>
        <w:t>form: total carbon dioxide emissions (tonnes)</w:t>
      </w:r>
      <w:r w:rsidR="00685E96">
        <w:rPr>
          <w:szCs w:val="18"/>
        </w:rPr>
        <w:t xml:space="preserve"> </w:t>
      </w:r>
      <w:r w:rsidR="00264651">
        <w:rPr>
          <w:szCs w:val="18"/>
        </w:rPr>
        <w:t>= 0.748 x (tonnes calcium oxide produced). D</w:t>
      </w:r>
      <w:r w:rsidR="004F1A64">
        <w:rPr>
          <w:szCs w:val="18"/>
        </w:rPr>
        <w:t xml:space="preserve">ata given in the </w:t>
      </w:r>
      <w:r w:rsidR="00704007">
        <w:rPr>
          <w:szCs w:val="18"/>
        </w:rPr>
        <w:t xml:space="preserve">most recent </w:t>
      </w:r>
      <w:r w:rsidR="004F1A64">
        <w:rPr>
          <w:szCs w:val="18"/>
        </w:rPr>
        <w:t xml:space="preserve">New Zealand Greenhouse Gas </w:t>
      </w:r>
      <w:r w:rsidR="00704007">
        <w:rPr>
          <w:szCs w:val="18"/>
        </w:rPr>
        <w:t>Inventory report</w:t>
      </w:r>
      <w:r w:rsidR="00264651">
        <w:rPr>
          <w:szCs w:val="18"/>
        </w:rPr>
        <w:t xml:space="preserve"> </w:t>
      </w:r>
      <w:r w:rsidR="00EF462B">
        <w:rPr>
          <w:szCs w:val="18"/>
        </w:rPr>
        <w:t xml:space="preserve">for </w:t>
      </w:r>
      <w:r w:rsidR="00954A27">
        <w:rPr>
          <w:szCs w:val="18"/>
        </w:rPr>
        <w:t xml:space="preserve">2023 </w:t>
      </w:r>
      <w:r w:rsidR="00264651">
        <w:rPr>
          <w:szCs w:val="18"/>
        </w:rPr>
        <w:t xml:space="preserve">gives a greenhouse gas emission </w:t>
      </w:r>
      <w:r w:rsidR="00E24C7F">
        <w:rPr>
          <w:szCs w:val="18"/>
        </w:rPr>
        <w:t xml:space="preserve">from lime production of </w:t>
      </w:r>
      <w:r w:rsidR="00093DFB">
        <w:rPr>
          <w:szCs w:val="18"/>
        </w:rPr>
        <w:t>96,200</w:t>
      </w:r>
      <w:r w:rsidR="00E24C7F">
        <w:rPr>
          <w:szCs w:val="18"/>
        </w:rPr>
        <w:t xml:space="preserve"> tonnes CO2. (MfE </w:t>
      </w:r>
      <w:r w:rsidR="00954A27">
        <w:rPr>
          <w:szCs w:val="18"/>
        </w:rPr>
        <w:t>2025</w:t>
      </w:r>
      <w:r w:rsidR="00E24C7F">
        <w:rPr>
          <w:szCs w:val="18"/>
        </w:rPr>
        <w:t xml:space="preserve">). This allows an estimate of actual lime production </w:t>
      </w:r>
      <w:r w:rsidR="00704007">
        <w:rPr>
          <w:szCs w:val="18"/>
        </w:rPr>
        <w:t xml:space="preserve">of </w:t>
      </w:r>
      <w:r w:rsidR="00093DFB">
        <w:rPr>
          <w:szCs w:val="18"/>
        </w:rPr>
        <w:t xml:space="preserve">128,610 </w:t>
      </w:r>
      <w:r w:rsidR="0084664C">
        <w:rPr>
          <w:szCs w:val="18"/>
        </w:rPr>
        <w:t xml:space="preserve">tonnes in </w:t>
      </w:r>
      <w:r w:rsidR="00093DFB">
        <w:rPr>
          <w:szCs w:val="18"/>
        </w:rPr>
        <w:t xml:space="preserve">2023 </w:t>
      </w:r>
      <w:r w:rsidR="00A53B83">
        <w:rPr>
          <w:szCs w:val="18"/>
        </w:rPr>
        <w:t>(</w:t>
      </w:r>
      <w:r w:rsidR="0084664C">
        <w:rPr>
          <w:szCs w:val="18"/>
        </w:rPr>
        <w:t xml:space="preserve">MfE, </w:t>
      </w:r>
      <w:r w:rsidR="00264651">
        <w:rPr>
          <w:szCs w:val="18"/>
        </w:rPr>
        <w:t>202</w:t>
      </w:r>
      <w:r w:rsidR="00093DFB">
        <w:rPr>
          <w:szCs w:val="18"/>
        </w:rPr>
        <w:t>5</w:t>
      </w:r>
      <w:r w:rsidR="00590B2A">
        <w:rPr>
          <w:szCs w:val="18"/>
        </w:rPr>
        <w:t>).</w:t>
      </w:r>
      <w:r w:rsidR="00E24C7F">
        <w:rPr>
          <w:szCs w:val="18"/>
        </w:rPr>
        <w:t xml:space="preserve"> This is lower than the </w:t>
      </w:r>
      <w:r w:rsidR="00093DFB">
        <w:rPr>
          <w:szCs w:val="18"/>
        </w:rPr>
        <w:t>144,385</w:t>
      </w:r>
      <w:r w:rsidR="00E24C7F">
        <w:rPr>
          <w:szCs w:val="18"/>
        </w:rPr>
        <w:t xml:space="preserve"> tonnes produced in </w:t>
      </w:r>
      <w:r w:rsidR="00093DFB">
        <w:rPr>
          <w:szCs w:val="18"/>
        </w:rPr>
        <w:t xml:space="preserve">2019 </w:t>
      </w:r>
      <w:r w:rsidR="00CA6AFB">
        <w:rPr>
          <w:szCs w:val="18"/>
        </w:rPr>
        <w:t>used for the previous inventory.</w:t>
      </w:r>
    </w:p>
    <w:p w14:paraId="34365CDA" w14:textId="77777777" w:rsidR="00D16E72" w:rsidRDefault="007C4605" w:rsidP="003833D6">
      <w:pPr>
        <w:spacing w:line="300" w:lineRule="atLeast"/>
        <w:jc w:val="both"/>
        <w:rPr>
          <w:szCs w:val="18"/>
        </w:rPr>
      </w:pPr>
      <w:r>
        <w:rPr>
          <w:szCs w:val="18"/>
        </w:rPr>
        <w:t>The Toolkit doe</w:t>
      </w:r>
      <w:r w:rsidR="00F912C2">
        <w:rPr>
          <w:szCs w:val="18"/>
        </w:rPr>
        <w:t>s no</w:t>
      </w:r>
      <w:r>
        <w:rPr>
          <w:szCs w:val="18"/>
        </w:rPr>
        <w:t xml:space="preserve">t recommend any default factors for lime manufacture because the available data is very limited. However, it does note a US EPA study which reported a mercury release rate of 9 mg/tonne of lime produced. </w:t>
      </w:r>
      <w:r w:rsidR="00F91D3F">
        <w:rPr>
          <w:szCs w:val="18"/>
        </w:rPr>
        <w:t xml:space="preserve">This is consistent with the results of &lt;10 and 20 mg/tonne reported by </w:t>
      </w:r>
      <w:r>
        <w:rPr>
          <w:szCs w:val="18"/>
        </w:rPr>
        <w:t xml:space="preserve">McBride </w:t>
      </w:r>
      <w:r w:rsidR="001842A7">
        <w:rPr>
          <w:szCs w:val="18"/>
        </w:rPr>
        <w:t xml:space="preserve">and Spiers </w:t>
      </w:r>
      <w:r>
        <w:rPr>
          <w:szCs w:val="18"/>
        </w:rPr>
        <w:t xml:space="preserve">(2001) </w:t>
      </w:r>
      <w:r w:rsidR="00F91D3F">
        <w:rPr>
          <w:szCs w:val="18"/>
        </w:rPr>
        <w:t xml:space="preserve">for two samples of agricultural lime (limestone) sourced from </w:t>
      </w:r>
      <w:r w:rsidR="00627ABE">
        <w:rPr>
          <w:szCs w:val="18"/>
        </w:rPr>
        <w:t xml:space="preserve">the </w:t>
      </w:r>
      <w:r w:rsidR="00666D2A">
        <w:rPr>
          <w:szCs w:val="18"/>
        </w:rPr>
        <w:t>n</w:t>
      </w:r>
      <w:r w:rsidR="00F91D3F">
        <w:rPr>
          <w:szCs w:val="18"/>
        </w:rPr>
        <w:t>orth</w:t>
      </w:r>
      <w:r w:rsidR="00627ABE">
        <w:rPr>
          <w:szCs w:val="18"/>
        </w:rPr>
        <w:t>-eastern United States</w:t>
      </w:r>
      <w:r w:rsidR="00F91D3F">
        <w:rPr>
          <w:szCs w:val="18"/>
        </w:rPr>
        <w:t>.</w:t>
      </w:r>
      <w:r>
        <w:rPr>
          <w:szCs w:val="18"/>
        </w:rPr>
        <w:t xml:space="preserve"> </w:t>
      </w:r>
      <w:r w:rsidR="00627ABE">
        <w:rPr>
          <w:szCs w:val="18"/>
        </w:rPr>
        <w:t xml:space="preserve">Within New Zealand, </w:t>
      </w:r>
      <w:r w:rsidR="00666D2A">
        <w:rPr>
          <w:szCs w:val="18"/>
        </w:rPr>
        <w:t xml:space="preserve">Curtis (2007) reported that a sample of </w:t>
      </w:r>
      <w:r w:rsidR="00A55620">
        <w:rPr>
          <w:szCs w:val="18"/>
        </w:rPr>
        <w:t xml:space="preserve">Otago </w:t>
      </w:r>
      <w:r w:rsidR="00666D2A">
        <w:rPr>
          <w:szCs w:val="18"/>
        </w:rPr>
        <w:t>limestone collected had a mercury content of 20 mg/tonne.</w:t>
      </w:r>
    </w:p>
    <w:p w14:paraId="2494EE7D" w14:textId="0F81D542" w:rsidR="00D16E72" w:rsidRDefault="001A2DC5" w:rsidP="003833D6">
      <w:pPr>
        <w:spacing w:line="300" w:lineRule="atLeast"/>
        <w:jc w:val="both"/>
        <w:rPr>
          <w:szCs w:val="18"/>
        </w:rPr>
      </w:pPr>
      <w:r>
        <w:rPr>
          <w:szCs w:val="18"/>
        </w:rPr>
        <w:t>I</w:t>
      </w:r>
      <w:r w:rsidR="00666D2A">
        <w:rPr>
          <w:szCs w:val="18"/>
        </w:rPr>
        <w:t xml:space="preserve">n the absence of any recommended </w:t>
      </w:r>
      <w:r>
        <w:rPr>
          <w:szCs w:val="18"/>
        </w:rPr>
        <w:t xml:space="preserve">Toolkit </w:t>
      </w:r>
      <w:r w:rsidR="00666D2A">
        <w:rPr>
          <w:szCs w:val="18"/>
        </w:rPr>
        <w:t xml:space="preserve">factors, </w:t>
      </w:r>
      <w:r w:rsidR="00730792">
        <w:rPr>
          <w:szCs w:val="18"/>
        </w:rPr>
        <w:t>a</w:t>
      </w:r>
      <w:r w:rsidR="00666D2A">
        <w:rPr>
          <w:szCs w:val="18"/>
        </w:rPr>
        <w:t xml:space="preserve"> range of </w:t>
      </w:r>
      <w:r w:rsidR="00730792">
        <w:rPr>
          <w:szCs w:val="18"/>
        </w:rPr>
        <w:t>5</w:t>
      </w:r>
      <w:r w:rsidR="00666D2A">
        <w:rPr>
          <w:szCs w:val="18"/>
        </w:rPr>
        <w:t xml:space="preserve"> to 20 mg/tonne</w:t>
      </w:r>
      <w:r w:rsidR="00730792">
        <w:rPr>
          <w:rStyle w:val="FootnoteReference"/>
          <w:szCs w:val="18"/>
        </w:rPr>
        <w:footnoteReference w:id="11"/>
      </w:r>
      <w:r w:rsidR="00666D2A">
        <w:rPr>
          <w:szCs w:val="18"/>
        </w:rPr>
        <w:t xml:space="preserve"> will be used for the mercury inputs estimates. Some of the lime kilns are fired on coal but the inputs and outputs from this component have already been accounted for under section 3.2</w:t>
      </w:r>
      <w:r w:rsidR="00E24C7F">
        <w:rPr>
          <w:szCs w:val="18"/>
        </w:rPr>
        <w:t xml:space="preserve"> and the carbon dioxide emissions described above are for the calcination process only. </w:t>
      </w:r>
      <w:r w:rsidR="00A55620">
        <w:rPr>
          <w:szCs w:val="18"/>
        </w:rPr>
        <w:t>In accordance with the Toolkit guidance, the output distribution factors will be assumed to be the same as those used for cement production.</w:t>
      </w:r>
    </w:p>
    <w:p w14:paraId="008DFC58" w14:textId="6F47EC7D" w:rsidR="003C357B" w:rsidRPr="00232361" w:rsidRDefault="003C357B" w:rsidP="003C357B">
      <w:pPr>
        <w:spacing w:line="300" w:lineRule="atLeast"/>
        <w:jc w:val="both"/>
        <w:rPr>
          <w:szCs w:val="18"/>
        </w:rPr>
      </w:pPr>
      <w:r w:rsidRPr="00232361">
        <w:rPr>
          <w:szCs w:val="18"/>
        </w:rPr>
        <w:t xml:space="preserve">The mercury input and output </w:t>
      </w:r>
      <w:r>
        <w:rPr>
          <w:szCs w:val="18"/>
        </w:rPr>
        <w:t>estimates</w:t>
      </w:r>
      <w:r w:rsidRPr="00232361">
        <w:rPr>
          <w:szCs w:val="18"/>
        </w:rPr>
        <w:t xml:space="preserve"> for </w:t>
      </w:r>
      <w:r>
        <w:rPr>
          <w:szCs w:val="18"/>
        </w:rPr>
        <w:t>lime</w:t>
      </w:r>
      <w:r w:rsidRPr="00232361">
        <w:rPr>
          <w:szCs w:val="18"/>
        </w:rPr>
        <w:t xml:space="preserve"> production are shown in </w:t>
      </w:r>
      <w:r w:rsidRPr="00B4207D">
        <w:rPr>
          <w:szCs w:val="18"/>
        </w:rPr>
        <w:fldChar w:fldCharType="begin"/>
      </w:r>
      <w:r w:rsidRPr="00B767A9">
        <w:rPr>
          <w:szCs w:val="18"/>
        </w:rPr>
        <w:instrText xml:space="preserve"> REF _Ref358532468 \h </w:instrText>
      </w:r>
      <w:r w:rsidR="00B767A9">
        <w:rPr>
          <w:szCs w:val="18"/>
        </w:rPr>
        <w:instrText xml:space="preserve"> \* MERGEFORMAT </w:instrText>
      </w:r>
      <w:r w:rsidRPr="00B4207D">
        <w:rPr>
          <w:szCs w:val="18"/>
        </w:rPr>
      </w:r>
      <w:r w:rsidRPr="00B4207D">
        <w:rPr>
          <w:szCs w:val="18"/>
        </w:rPr>
        <w:fldChar w:fldCharType="separate"/>
      </w:r>
      <w:r w:rsidR="00892B2D" w:rsidRPr="00892B2D">
        <w:t xml:space="preserve">Table </w:t>
      </w:r>
      <w:r w:rsidR="00892B2D" w:rsidRPr="00892B2D">
        <w:rPr>
          <w:noProof/>
        </w:rPr>
        <w:t>5</w:t>
      </w:r>
      <w:r w:rsidR="00892B2D" w:rsidRPr="00892B2D">
        <w:rPr>
          <w:noProof/>
        </w:rPr>
        <w:noBreakHyphen/>
        <w:t>3</w:t>
      </w:r>
      <w:r w:rsidRPr="00B4207D">
        <w:rPr>
          <w:szCs w:val="18"/>
        </w:rPr>
        <w:fldChar w:fldCharType="end"/>
      </w:r>
      <w:r>
        <w:rPr>
          <w:szCs w:val="18"/>
        </w:rPr>
        <w:t>.</w:t>
      </w:r>
    </w:p>
    <w:p w14:paraId="621661A8" w14:textId="2538A05D" w:rsidR="003C357B" w:rsidRDefault="003C357B" w:rsidP="00F00580">
      <w:pPr>
        <w:pStyle w:val="Caption"/>
        <w:spacing w:before="240"/>
        <w:rPr>
          <w:szCs w:val="18"/>
        </w:rPr>
      </w:pPr>
      <w:bookmarkStart w:id="74" w:name="_Ref358532468"/>
      <w:bookmarkStart w:id="75" w:name="_Toc110355474"/>
      <w:r w:rsidRPr="003C357B">
        <w:rPr>
          <w:rFonts w:ascii="Arial" w:hAnsi="Arial" w:cs="Arial"/>
        </w:rPr>
        <w:t xml:space="preserve">Table </w:t>
      </w:r>
      <w:r w:rsidR="00390C9F">
        <w:rPr>
          <w:rFonts w:ascii="Arial" w:hAnsi="Arial" w:cs="Arial"/>
        </w:rPr>
        <w:fldChar w:fldCharType="begin"/>
      </w:r>
      <w:r w:rsidR="00390C9F">
        <w:rPr>
          <w:rFonts w:ascii="Arial" w:hAnsi="Arial" w:cs="Arial"/>
        </w:rPr>
        <w:instrText xml:space="preserve"> STYLEREF 1 \s </w:instrText>
      </w:r>
      <w:r w:rsidR="00390C9F">
        <w:rPr>
          <w:rFonts w:ascii="Arial" w:hAnsi="Arial" w:cs="Arial"/>
        </w:rPr>
        <w:fldChar w:fldCharType="separate"/>
      </w:r>
      <w:r w:rsidR="00892B2D">
        <w:rPr>
          <w:rFonts w:ascii="Arial" w:hAnsi="Arial" w:cs="Arial"/>
          <w:noProof/>
        </w:rPr>
        <w:t>5</w:t>
      </w:r>
      <w:r w:rsidR="00390C9F">
        <w:rPr>
          <w:rFonts w:ascii="Arial" w:hAnsi="Arial" w:cs="Arial"/>
        </w:rPr>
        <w:fldChar w:fldCharType="end"/>
      </w:r>
      <w:r w:rsidR="00390C9F">
        <w:rPr>
          <w:rFonts w:ascii="Arial" w:hAnsi="Arial" w:cs="Arial"/>
        </w:rPr>
        <w:noBreakHyphen/>
      </w:r>
      <w:r w:rsidR="00390C9F">
        <w:rPr>
          <w:rFonts w:ascii="Arial" w:hAnsi="Arial" w:cs="Arial"/>
        </w:rPr>
        <w:fldChar w:fldCharType="begin"/>
      </w:r>
      <w:r w:rsidR="00390C9F">
        <w:rPr>
          <w:rFonts w:ascii="Arial" w:hAnsi="Arial" w:cs="Arial"/>
        </w:rPr>
        <w:instrText xml:space="preserve"> SEQ Table \* ARABIC \s 1 </w:instrText>
      </w:r>
      <w:r w:rsidR="00390C9F">
        <w:rPr>
          <w:rFonts w:ascii="Arial" w:hAnsi="Arial" w:cs="Arial"/>
        </w:rPr>
        <w:fldChar w:fldCharType="separate"/>
      </w:r>
      <w:r w:rsidR="00892B2D">
        <w:rPr>
          <w:rFonts w:ascii="Arial" w:hAnsi="Arial" w:cs="Arial"/>
          <w:noProof/>
        </w:rPr>
        <w:t>3</w:t>
      </w:r>
      <w:r w:rsidR="00390C9F">
        <w:rPr>
          <w:rFonts w:ascii="Arial" w:hAnsi="Arial" w:cs="Arial"/>
        </w:rPr>
        <w:fldChar w:fldCharType="end"/>
      </w:r>
      <w:bookmarkEnd w:id="74"/>
      <w:r w:rsidRPr="003C357B">
        <w:rPr>
          <w:rFonts w:ascii="Arial" w:hAnsi="Arial" w:cs="Arial"/>
        </w:rPr>
        <w:t>:</w:t>
      </w:r>
      <w:r>
        <w:t xml:space="preserve"> </w:t>
      </w:r>
      <w:r w:rsidR="00183044">
        <w:t xml:space="preserve"> </w:t>
      </w:r>
      <w:r w:rsidRPr="00284760">
        <w:rPr>
          <w:rFonts w:ascii="Arial" w:hAnsi="Arial" w:cs="Arial"/>
        </w:rPr>
        <w:t>Input and output estimates for</w:t>
      </w:r>
      <w:r>
        <w:rPr>
          <w:rFonts w:ascii="Arial" w:hAnsi="Arial" w:cs="Arial"/>
        </w:rPr>
        <w:t xml:space="preserve"> lime production</w:t>
      </w:r>
      <w:bookmarkEnd w:id="75"/>
    </w:p>
    <w:tbl>
      <w:tblPr>
        <w:tblStyle w:val="TableGrid"/>
        <w:tblW w:w="9067" w:type="dxa"/>
        <w:tblLook w:val="04A0" w:firstRow="1" w:lastRow="0" w:firstColumn="1" w:lastColumn="0" w:noHBand="0" w:noVBand="1"/>
      </w:tblPr>
      <w:tblGrid>
        <w:gridCol w:w="1749"/>
        <w:gridCol w:w="1382"/>
        <w:gridCol w:w="1374"/>
        <w:gridCol w:w="1506"/>
        <w:gridCol w:w="1469"/>
        <w:gridCol w:w="1587"/>
      </w:tblGrid>
      <w:tr w:rsidR="00730792" w14:paraId="3801256A" w14:textId="77777777" w:rsidTr="00ED0D86">
        <w:tc>
          <w:tcPr>
            <w:tcW w:w="1749" w:type="dxa"/>
            <w:vMerge w:val="restart"/>
            <w:vAlign w:val="center"/>
          </w:tcPr>
          <w:p w14:paraId="0FAD51E3" w14:textId="77777777" w:rsidR="00730792" w:rsidRPr="00F31685" w:rsidRDefault="00730792" w:rsidP="0002399A">
            <w:pPr>
              <w:spacing w:line="300" w:lineRule="atLeast"/>
              <w:jc w:val="center"/>
              <w:rPr>
                <w:rFonts w:ascii="Arial" w:hAnsi="Arial" w:cs="Arial"/>
                <w:b/>
                <w:sz w:val="16"/>
                <w:szCs w:val="16"/>
              </w:rPr>
            </w:pPr>
            <w:r w:rsidRPr="00F31685">
              <w:rPr>
                <w:rFonts w:ascii="Arial" w:hAnsi="Arial" w:cs="Arial"/>
                <w:b/>
                <w:sz w:val="16"/>
                <w:szCs w:val="16"/>
              </w:rPr>
              <w:t>Source</w:t>
            </w:r>
          </w:p>
        </w:tc>
        <w:tc>
          <w:tcPr>
            <w:tcW w:w="1382" w:type="dxa"/>
            <w:vMerge w:val="restart"/>
            <w:vAlign w:val="center"/>
          </w:tcPr>
          <w:p w14:paraId="072B26F8" w14:textId="77777777" w:rsidR="00730792" w:rsidRPr="00F31685" w:rsidRDefault="00730792" w:rsidP="0002399A">
            <w:pPr>
              <w:spacing w:line="300" w:lineRule="atLeast"/>
              <w:jc w:val="center"/>
              <w:rPr>
                <w:rFonts w:ascii="Arial" w:hAnsi="Arial" w:cs="Arial"/>
                <w:b/>
                <w:sz w:val="16"/>
                <w:szCs w:val="16"/>
              </w:rPr>
            </w:pPr>
            <w:r w:rsidRPr="00F31685">
              <w:rPr>
                <w:rFonts w:ascii="Arial" w:hAnsi="Arial" w:cs="Arial"/>
                <w:b/>
                <w:sz w:val="16"/>
                <w:szCs w:val="16"/>
              </w:rPr>
              <w:t>Activity Rate, tonnes/yr</w:t>
            </w:r>
          </w:p>
        </w:tc>
        <w:tc>
          <w:tcPr>
            <w:tcW w:w="1374" w:type="dxa"/>
            <w:vMerge w:val="restart"/>
            <w:vAlign w:val="center"/>
          </w:tcPr>
          <w:p w14:paraId="1D829FBC" w14:textId="77777777" w:rsidR="00730792" w:rsidRPr="00F31685" w:rsidRDefault="00730792" w:rsidP="0002399A">
            <w:pPr>
              <w:spacing w:line="300" w:lineRule="atLeast"/>
              <w:jc w:val="center"/>
              <w:rPr>
                <w:rFonts w:ascii="Arial" w:hAnsi="Arial" w:cs="Arial"/>
                <w:b/>
                <w:sz w:val="16"/>
                <w:szCs w:val="16"/>
              </w:rPr>
            </w:pPr>
            <w:r w:rsidRPr="00F31685">
              <w:rPr>
                <w:rFonts w:ascii="Arial" w:hAnsi="Arial" w:cs="Arial"/>
                <w:b/>
                <w:sz w:val="16"/>
                <w:szCs w:val="16"/>
              </w:rPr>
              <w:t>Mercury conten</w:t>
            </w:r>
            <w:r>
              <w:rPr>
                <w:rFonts w:ascii="Arial" w:hAnsi="Arial" w:cs="Arial"/>
                <w:b/>
                <w:sz w:val="16"/>
                <w:szCs w:val="16"/>
              </w:rPr>
              <w:t>t, mg/t</w:t>
            </w:r>
          </w:p>
        </w:tc>
        <w:tc>
          <w:tcPr>
            <w:tcW w:w="1506" w:type="dxa"/>
            <w:vMerge w:val="restart"/>
            <w:vAlign w:val="center"/>
          </w:tcPr>
          <w:p w14:paraId="3736A625" w14:textId="77777777" w:rsidR="00730792" w:rsidRPr="00F31685" w:rsidRDefault="00730792" w:rsidP="0002399A">
            <w:pPr>
              <w:spacing w:line="300" w:lineRule="atLeast"/>
              <w:jc w:val="center"/>
              <w:rPr>
                <w:rFonts w:ascii="Arial" w:hAnsi="Arial" w:cs="Arial"/>
                <w:b/>
                <w:sz w:val="16"/>
                <w:szCs w:val="16"/>
              </w:rPr>
            </w:pPr>
            <w:r w:rsidRPr="00F31685">
              <w:rPr>
                <w:rFonts w:ascii="Arial" w:hAnsi="Arial" w:cs="Arial"/>
                <w:b/>
                <w:sz w:val="16"/>
                <w:szCs w:val="16"/>
              </w:rPr>
              <w:t>Annual Mercury Inputs, kg/yr</w:t>
            </w:r>
          </w:p>
        </w:tc>
        <w:tc>
          <w:tcPr>
            <w:tcW w:w="3056" w:type="dxa"/>
            <w:gridSpan w:val="2"/>
            <w:vAlign w:val="center"/>
          </w:tcPr>
          <w:p w14:paraId="4690B1C8" w14:textId="77777777" w:rsidR="00730792" w:rsidRPr="00F31685" w:rsidRDefault="00730792" w:rsidP="0002399A">
            <w:pPr>
              <w:spacing w:line="300" w:lineRule="atLeast"/>
              <w:jc w:val="center"/>
              <w:rPr>
                <w:rFonts w:ascii="Arial" w:hAnsi="Arial" w:cs="Arial"/>
                <w:b/>
                <w:sz w:val="16"/>
                <w:szCs w:val="16"/>
              </w:rPr>
            </w:pPr>
            <w:r w:rsidRPr="00F31685">
              <w:rPr>
                <w:rFonts w:ascii="Arial" w:hAnsi="Arial" w:cs="Arial"/>
                <w:b/>
                <w:sz w:val="16"/>
                <w:szCs w:val="16"/>
              </w:rPr>
              <w:t>Annual Mercury Outputs, kg/yr</w:t>
            </w:r>
          </w:p>
        </w:tc>
      </w:tr>
      <w:tr w:rsidR="00730792" w14:paraId="0B1930A0" w14:textId="77777777" w:rsidTr="00ED0D86">
        <w:tc>
          <w:tcPr>
            <w:tcW w:w="1749" w:type="dxa"/>
            <w:vMerge/>
            <w:vAlign w:val="center"/>
          </w:tcPr>
          <w:p w14:paraId="1F053298" w14:textId="77777777" w:rsidR="00730792" w:rsidRPr="00F31685" w:rsidRDefault="00730792" w:rsidP="0002399A">
            <w:pPr>
              <w:spacing w:line="300" w:lineRule="atLeast"/>
              <w:jc w:val="center"/>
              <w:rPr>
                <w:rFonts w:ascii="Arial" w:hAnsi="Arial" w:cs="Arial"/>
                <w:b/>
                <w:sz w:val="16"/>
                <w:szCs w:val="16"/>
              </w:rPr>
            </w:pPr>
          </w:p>
        </w:tc>
        <w:tc>
          <w:tcPr>
            <w:tcW w:w="1382" w:type="dxa"/>
            <w:vMerge/>
            <w:vAlign w:val="center"/>
          </w:tcPr>
          <w:p w14:paraId="2572B7F4" w14:textId="77777777" w:rsidR="00730792" w:rsidRPr="00F31685" w:rsidRDefault="00730792" w:rsidP="0002399A">
            <w:pPr>
              <w:spacing w:line="300" w:lineRule="atLeast"/>
              <w:jc w:val="center"/>
              <w:rPr>
                <w:rFonts w:ascii="Arial" w:hAnsi="Arial" w:cs="Arial"/>
                <w:b/>
                <w:sz w:val="16"/>
                <w:szCs w:val="16"/>
              </w:rPr>
            </w:pPr>
          </w:p>
        </w:tc>
        <w:tc>
          <w:tcPr>
            <w:tcW w:w="1374" w:type="dxa"/>
            <w:vMerge/>
            <w:vAlign w:val="center"/>
          </w:tcPr>
          <w:p w14:paraId="3D07D11A" w14:textId="77777777" w:rsidR="00730792" w:rsidRPr="00F31685" w:rsidRDefault="00730792" w:rsidP="0002399A">
            <w:pPr>
              <w:spacing w:line="300" w:lineRule="atLeast"/>
              <w:jc w:val="center"/>
              <w:rPr>
                <w:rFonts w:ascii="Arial" w:hAnsi="Arial" w:cs="Arial"/>
                <w:b/>
                <w:sz w:val="16"/>
                <w:szCs w:val="16"/>
              </w:rPr>
            </w:pPr>
          </w:p>
        </w:tc>
        <w:tc>
          <w:tcPr>
            <w:tcW w:w="1506" w:type="dxa"/>
            <w:vMerge/>
            <w:vAlign w:val="center"/>
          </w:tcPr>
          <w:p w14:paraId="6FED9488" w14:textId="77777777" w:rsidR="00730792" w:rsidRPr="00F31685" w:rsidRDefault="00730792" w:rsidP="0002399A">
            <w:pPr>
              <w:spacing w:line="300" w:lineRule="atLeast"/>
              <w:jc w:val="center"/>
              <w:rPr>
                <w:rFonts w:ascii="Arial" w:hAnsi="Arial" w:cs="Arial"/>
                <w:b/>
                <w:sz w:val="16"/>
                <w:szCs w:val="16"/>
              </w:rPr>
            </w:pPr>
          </w:p>
        </w:tc>
        <w:tc>
          <w:tcPr>
            <w:tcW w:w="1469" w:type="dxa"/>
            <w:vAlign w:val="center"/>
          </w:tcPr>
          <w:p w14:paraId="08680731" w14:textId="77777777" w:rsidR="00730792" w:rsidRPr="00F31685" w:rsidRDefault="00730792" w:rsidP="0002399A">
            <w:pPr>
              <w:spacing w:line="300" w:lineRule="atLeast"/>
              <w:jc w:val="center"/>
              <w:rPr>
                <w:rFonts w:ascii="Arial" w:hAnsi="Arial" w:cs="Arial"/>
                <w:b/>
                <w:sz w:val="16"/>
                <w:szCs w:val="16"/>
              </w:rPr>
            </w:pPr>
            <w:r w:rsidRPr="00F31685">
              <w:rPr>
                <w:rFonts w:ascii="Arial" w:hAnsi="Arial" w:cs="Arial"/>
                <w:b/>
                <w:sz w:val="16"/>
                <w:szCs w:val="16"/>
              </w:rPr>
              <w:t>Air</w:t>
            </w:r>
          </w:p>
        </w:tc>
        <w:tc>
          <w:tcPr>
            <w:tcW w:w="1587" w:type="dxa"/>
            <w:vAlign w:val="center"/>
          </w:tcPr>
          <w:p w14:paraId="19E897ED" w14:textId="77777777" w:rsidR="00730792" w:rsidRPr="00F31685" w:rsidRDefault="00730792" w:rsidP="0002399A">
            <w:pPr>
              <w:spacing w:line="300" w:lineRule="atLeast"/>
              <w:jc w:val="center"/>
              <w:rPr>
                <w:rFonts w:ascii="Arial" w:hAnsi="Arial" w:cs="Arial"/>
                <w:b/>
                <w:sz w:val="16"/>
                <w:szCs w:val="16"/>
              </w:rPr>
            </w:pPr>
            <w:r>
              <w:rPr>
                <w:rFonts w:ascii="Arial" w:hAnsi="Arial" w:cs="Arial"/>
                <w:b/>
                <w:sz w:val="16"/>
                <w:szCs w:val="16"/>
              </w:rPr>
              <w:t>Product</w:t>
            </w:r>
          </w:p>
        </w:tc>
      </w:tr>
      <w:tr w:rsidR="00730792" w14:paraId="6B3A0AE9" w14:textId="77777777" w:rsidTr="00ED0D86">
        <w:tc>
          <w:tcPr>
            <w:tcW w:w="1749" w:type="dxa"/>
          </w:tcPr>
          <w:p w14:paraId="606B0F36" w14:textId="77777777" w:rsidR="00730792" w:rsidRPr="00F31685" w:rsidRDefault="00730792" w:rsidP="00355741">
            <w:pPr>
              <w:spacing w:line="300" w:lineRule="atLeast"/>
              <w:rPr>
                <w:rFonts w:ascii="Arial" w:hAnsi="Arial" w:cs="Arial"/>
                <w:sz w:val="16"/>
                <w:szCs w:val="16"/>
              </w:rPr>
            </w:pPr>
            <w:r>
              <w:rPr>
                <w:rFonts w:ascii="Arial" w:hAnsi="Arial" w:cs="Arial"/>
                <w:sz w:val="16"/>
                <w:szCs w:val="16"/>
              </w:rPr>
              <w:t>Lime production</w:t>
            </w:r>
            <w:r w:rsidR="00281515">
              <w:rPr>
                <w:rFonts w:ascii="Arial" w:hAnsi="Arial" w:cs="Arial"/>
                <w:sz w:val="16"/>
                <w:szCs w:val="16"/>
              </w:rPr>
              <w:t>, 2012</w:t>
            </w:r>
          </w:p>
        </w:tc>
        <w:tc>
          <w:tcPr>
            <w:tcW w:w="1382" w:type="dxa"/>
            <w:vAlign w:val="center"/>
          </w:tcPr>
          <w:p w14:paraId="06338774" w14:textId="77777777" w:rsidR="00730792" w:rsidRPr="00F31685" w:rsidRDefault="003630BE" w:rsidP="00730792">
            <w:pPr>
              <w:spacing w:line="300" w:lineRule="atLeast"/>
              <w:jc w:val="center"/>
              <w:rPr>
                <w:rFonts w:ascii="Arial" w:hAnsi="Arial" w:cs="Arial"/>
                <w:sz w:val="16"/>
                <w:szCs w:val="16"/>
              </w:rPr>
            </w:pPr>
            <w:r>
              <w:rPr>
                <w:rFonts w:ascii="Arial" w:hAnsi="Arial" w:cs="Arial"/>
                <w:sz w:val="16"/>
                <w:szCs w:val="16"/>
              </w:rPr>
              <w:t>1</w:t>
            </w:r>
            <w:r w:rsidR="00DA5279">
              <w:rPr>
                <w:rFonts w:ascii="Arial" w:hAnsi="Arial" w:cs="Arial"/>
                <w:sz w:val="16"/>
                <w:szCs w:val="16"/>
              </w:rPr>
              <w:t>7</w:t>
            </w:r>
            <w:r>
              <w:rPr>
                <w:rFonts w:ascii="Arial" w:hAnsi="Arial" w:cs="Arial"/>
                <w:sz w:val="16"/>
                <w:szCs w:val="16"/>
              </w:rPr>
              <w:t>0</w:t>
            </w:r>
            <w:r w:rsidR="00730792">
              <w:rPr>
                <w:rFonts w:ascii="Arial" w:hAnsi="Arial" w:cs="Arial"/>
                <w:sz w:val="16"/>
                <w:szCs w:val="16"/>
              </w:rPr>
              <w:t>,000</w:t>
            </w:r>
          </w:p>
        </w:tc>
        <w:tc>
          <w:tcPr>
            <w:tcW w:w="1374" w:type="dxa"/>
            <w:vAlign w:val="center"/>
          </w:tcPr>
          <w:p w14:paraId="01E011C9" w14:textId="77777777" w:rsidR="00730792" w:rsidRPr="00F31685" w:rsidRDefault="00730792" w:rsidP="00131E33">
            <w:pPr>
              <w:spacing w:line="300" w:lineRule="atLeast"/>
              <w:jc w:val="center"/>
              <w:rPr>
                <w:rFonts w:ascii="Arial" w:hAnsi="Arial" w:cs="Arial"/>
                <w:sz w:val="16"/>
                <w:szCs w:val="16"/>
              </w:rPr>
            </w:pPr>
            <w:r>
              <w:rPr>
                <w:rFonts w:ascii="Arial" w:hAnsi="Arial" w:cs="Arial"/>
                <w:sz w:val="16"/>
                <w:szCs w:val="16"/>
              </w:rPr>
              <w:t>5 - 20</w:t>
            </w:r>
          </w:p>
        </w:tc>
        <w:tc>
          <w:tcPr>
            <w:tcW w:w="1506" w:type="dxa"/>
            <w:vAlign w:val="center"/>
          </w:tcPr>
          <w:p w14:paraId="0C16F8AE" w14:textId="1C1A9B5D" w:rsidR="00730792" w:rsidRPr="00F31685" w:rsidRDefault="005F5773" w:rsidP="0002399A">
            <w:pPr>
              <w:spacing w:line="300" w:lineRule="atLeast"/>
              <w:jc w:val="center"/>
              <w:rPr>
                <w:rFonts w:ascii="Arial" w:hAnsi="Arial" w:cs="Arial"/>
                <w:sz w:val="16"/>
                <w:szCs w:val="16"/>
              </w:rPr>
            </w:pPr>
            <w:r>
              <w:rPr>
                <w:rFonts w:ascii="Arial" w:hAnsi="Arial" w:cs="Arial"/>
                <w:sz w:val="16"/>
                <w:szCs w:val="16"/>
              </w:rPr>
              <w:t>0.85 – 3.4</w:t>
            </w:r>
            <w:r w:rsidR="008F74B4">
              <w:rPr>
                <w:rFonts w:ascii="Arial" w:hAnsi="Arial" w:cs="Arial"/>
                <w:sz w:val="16"/>
                <w:szCs w:val="16"/>
              </w:rPr>
              <w:t xml:space="preserve"> (2.1)</w:t>
            </w:r>
          </w:p>
        </w:tc>
        <w:tc>
          <w:tcPr>
            <w:tcW w:w="1469" w:type="dxa"/>
            <w:vAlign w:val="center"/>
          </w:tcPr>
          <w:p w14:paraId="684EE894" w14:textId="58D8681D" w:rsidR="00730792" w:rsidRPr="00F31685" w:rsidRDefault="00EE5279" w:rsidP="00EE5279">
            <w:pPr>
              <w:spacing w:line="300" w:lineRule="atLeast"/>
              <w:jc w:val="center"/>
              <w:rPr>
                <w:rFonts w:ascii="Arial" w:hAnsi="Arial" w:cs="Arial"/>
                <w:sz w:val="16"/>
                <w:szCs w:val="16"/>
              </w:rPr>
            </w:pPr>
            <w:r>
              <w:rPr>
                <w:rFonts w:ascii="Arial" w:hAnsi="Arial" w:cs="Arial"/>
                <w:sz w:val="16"/>
                <w:szCs w:val="16"/>
              </w:rPr>
              <w:t>0.</w:t>
            </w:r>
            <w:r w:rsidR="00ED0D86">
              <w:rPr>
                <w:rFonts w:ascii="Arial" w:hAnsi="Arial" w:cs="Arial"/>
                <w:sz w:val="16"/>
                <w:szCs w:val="16"/>
              </w:rPr>
              <w:t>60</w:t>
            </w:r>
            <w:r w:rsidR="005F5773">
              <w:rPr>
                <w:rFonts w:ascii="Arial" w:hAnsi="Arial" w:cs="Arial"/>
                <w:sz w:val="16"/>
                <w:szCs w:val="16"/>
              </w:rPr>
              <w:t xml:space="preserve"> – 2.</w:t>
            </w:r>
            <w:r>
              <w:rPr>
                <w:rFonts w:ascii="Arial" w:hAnsi="Arial" w:cs="Arial"/>
                <w:sz w:val="16"/>
                <w:szCs w:val="16"/>
              </w:rPr>
              <w:t>38</w:t>
            </w:r>
            <w:r w:rsidR="00ED0D86">
              <w:rPr>
                <w:rFonts w:ascii="Arial" w:hAnsi="Arial" w:cs="Arial"/>
                <w:sz w:val="16"/>
                <w:szCs w:val="16"/>
              </w:rPr>
              <w:t xml:space="preserve"> </w:t>
            </w:r>
            <w:r w:rsidR="008F74B4">
              <w:rPr>
                <w:rFonts w:ascii="Arial" w:hAnsi="Arial" w:cs="Arial"/>
                <w:sz w:val="16"/>
                <w:szCs w:val="16"/>
              </w:rPr>
              <w:t>(1.5)</w:t>
            </w:r>
          </w:p>
        </w:tc>
        <w:tc>
          <w:tcPr>
            <w:tcW w:w="1587" w:type="dxa"/>
            <w:vAlign w:val="center"/>
          </w:tcPr>
          <w:p w14:paraId="363D5D88" w14:textId="1AFB869D" w:rsidR="00730792" w:rsidRPr="00F31685" w:rsidRDefault="005F5773" w:rsidP="00EE5279">
            <w:pPr>
              <w:spacing w:line="300" w:lineRule="atLeast"/>
              <w:jc w:val="center"/>
              <w:rPr>
                <w:rFonts w:ascii="Arial" w:hAnsi="Arial" w:cs="Arial"/>
                <w:sz w:val="16"/>
                <w:szCs w:val="16"/>
              </w:rPr>
            </w:pPr>
            <w:r>
              <w:rPr>
                <w:rFonts w:ascii="Arial" w:hAnsi="Arial" w:cs="Arial"/>
                <w:sz w:val="16"/>
                <w:szCs w:val="16"/>
              </w:rPr>
              <w:t>0.</w:t>
            </w:r>
            <w:r w:rsidR="00D1425D">
              <w:rPr>
                <w:rFonts w:ascii="Arial" w:hAnsi="Arial" w:cs="Arial"/>
                <w:sz w:val="16"/>
                <w:szCs w:val="16"/>
              </w:rPr>
              <w:t>2</w:t>
            </w:r>
            <w:r w:rsidR="00EE5279">
              <w:rPr>
                <w:rFonts w:ascii="Arial" w:hAnsi="Arial" w:cs="Arial"/>
                <w:sz w:val="16"/>
                <w:szCs w:val="16"/>
              </w:rPr>
              <w:t>55</w:t>
            </w:r>
            <w:r>
              <w:rPr>
                <w:rFonts w:ascii="Arial" w:hAnsi="Arial" w:cs="Arial"/>
                <w:sz w:val="16"/>
                <w:szCs w:val="16"/>
              </w:rPr>
              <w:t>– 1.</w:t>
            </w:r>
            <w:r w:rsidR="00D1425D">
              <w:rPr>
                <w:rFonts w:ascii="Arial" w:hAnsi="Arial" w:cs="Arial"/>
                <w:sz w:val="16"/>
                <w:szCs w:val="16"/>
              </w:rPr>
              <w:t>0</w:t>
            </w:r>
            <w:r w:rsidR="00EE5279">
              <w:rPr>
                <w:rFonts w:ascii="Arial" w:hAnsi="Arial" w:cs="Arial"/>
                <w:sz w:val="16"/>
                <w:szCs w:val="16"/>
              </w:rPr>
              <w:t>2</w:t>
            </w:r>
            <w:r w:rsidR="00D1425D">
              <w:rPr>
                <w:rFonts w:ascii="Arial" w:hAnsi="Arial" w:cs="Arial"/>
                <w:sz w:val="16"/>
                <w:szCs w:val="16"/>
              </w:rPr>
              <w:t xml:space="preserve"> (0.64)</w:t>
            </w:r>
          </w:p>
        </w:tc>
      </w:tr>
      <w:tr w:rsidR="00281515" w14:paraId="245B58A3" w14:textId="77777777" w:rsidTr="00ED0D86">
        <w:tc>
          <w:tcPr>
            <w:tcW w:w="1749" w:type="dxa"/>
          </w:tcPr>
          <w:p w14:paraId="2CC18B0D" w14:textId="77777777" w:rsidR="00281515" w:rsidRDefault="00281515" w:rsidP="00355741">
            <w:pPr>
              <w:spacing w:line="300" w:lineRule="atLeast"/>
              <w:rPr>
                <w:rFonts w:ascii="Arial" w:hAnsi="Arial" w:cs="Arial"/>
                <w:sz w:val="16"/>
                <w:szCs w:val="16"/>
              </w:rPr>
            </w:pPr>
            <w:r>
              <w:rPr>
                <w:rFonts w:ascii="Arial" w:hAnsi="Arial" w:cs="Arial"/>
                <w:sz w:val="16"/>
                <w:szCs w:val="16"/>
              </w:rPr>
              <w:t>Lime production, 2016</w:t>
            </w:r>
          </w:p>
        </w:tc>
        <w:tc>
          <w:tcPr>
            <w:tcW w:w="1382" w:type="dxa"/>
            <w:vAlign w:val="center"/>
          </w:tcPr>
          <w:p w14:paraId="180035AF" w14:textId="42438270" w:rsidR="00281515" w:rsidRDefault="0084664C" w:rsidP="00730792">
            <w:pPr>
              <w:spacing w:line="300" w:lineRule="atLeast"/>
              <w:jc w:val="center"/>
              <w:rPr>
                <w:rFonts w:ascii="Arial" w:hAnsi="Arial" w:cs="Arial"/>
                <w:sz w:val="16"/>
                <w:szCs w:val="16"/>
              </w:rPr>
            </w:pPr>
            <w:r>
              <w:rPr>
                <w:rFonts w:ascii="Arial" w:hAnsi="Arial" w:cs="Arial"/>
                <w:sz w:val="16"/>
                <w:szCs w:val="16"/>
              </w:rPr>
              <w:t>245,7</w:t>
            </w:r>
            <w:r w:rsidR="00281515">
              <w:rPr>
                <w:rFonts w:ascii="Arial" w:hAnsi="Arial" w:cs="Arial"/>
                <w:sz w:val="16"/>
                <w:szCs w:val="16"/>
              </w:rPr>
              <w:t>00</w:t>
            </w:r>
          </w:p>
        </w:tc>
        <w:tc>
          <w:tcPr>
            <w:tcW w:w="1374" w:type="dxa"/>
            <w:vAlign w:val="center"/>
          </w:tcPr>
          <w:p w14:paraId="5B184ABF" w14:textId="77777777" w:rsidR="00281515" w:rsidRDefault="00281515" w:rsidP="00131E33">
            <w:pPr>
              <w:spacing w:line="300" w:lineRule="atLeast"/>
              <w:jc w:val="center"/>
              <w:rPr>
                <w:rFonts w:ascii="Arial" w:hAnsi="Arial" w:cs="Arial"/>
                <w:sz w:val="16"/>
                <w:szCs w:val="16"/>
              </w:rPr>
            </w:pPr>
            <w:r>
              <w:rPr>
                <w:rFonts w:ascii="Arial" w:hAnsi="Arial" w:cs="Arial"/>
                <w:sz w:val="16"/>
                <w:szCs w:val="16"/>
              </w:rPr>
              <w:t>5 - 20</w:t>
            </w:r>
          </w:p>
        </w:tc>
        <w:tc>
          <w:tcPr>
            <w:tcW w:w="1506" w:type="dxa"/>
            <w:vAlign w:val="center"/>
          </w:tcPr>
          <w:p w14:paraId="4DF868DD" w14:textId="3FB31D04" w:rsidR="00281515" w:rsidRDefault="002E1BB2" w:rsidP="002E1BB2">
            <w:pPr>
              <w:spacing w:line="300" w:lineRule="atLeast"/>
              <w:jc w:val="center"/>
              <w:rPr>
                <w:rFonts w:ascii="Arial" w:hAnsi="Arial" w:cs="Arial"/>
                <w:sz w:val="16"/>
                <w:szCs w:val="16"/>
              </w:rPr>
            </w:pPr>
            <w:r>
              <w:rPr>
                <w:rFonts w:ascii="Arial" w:hAnsi="Arial" w:cs="Arial"/>
                <w:sz w:val="16"/>
                <w:szCs w:val="16"/>
              </w:rPr>
              <w:t>1.23</w:t>
            </w:r>
            <w:r w:rsidR="00281515">
              <w:rPr>
                <w:rFonts w:ascii="Arial" w:hAnsi="Arial" w:cs="Arial"/>
                <w:sz w:val="16"/>
                <w:szCs w:val="16"/>
              </w:rPr>
              <w:t xml:space="preserve"> – </w:t>
            </w:r>
            <w:r>
              <w:rPr>
                <w:rFonts w:ascii="Arial" w:hAnsi="Arial" w:cs="Arial"/>
                <w:sz w:val="16"/>
                <w:szCs w:val="16"/>
              </w:rPr>
              <w:t>4.91 (3.07</w:t>
            </w:r>
            <w:r w:rsidR="00281515">
              <w:rPr>
                <w:rFonts w:ascii="Arial" w:hAnsi="Arial" w:cs="Arial"/>
                <w:sz w:val="16"/>
                <w:szCs w:val="16"/>
              </w:rPr>
              <w:t>)</w:t>
            </w:r>
          </w:p>
        </w:tc>
        <w:tc>
          <w:tcPr>
            <w:tcW w:w="1469" w:type="dxa"/>
            <w:vAlign w:val="center"/>
          </w:tcPr>
          <w:p w14:paraId="4DDBBA34" w14:textId="589659AF" w:rsidR="00281515" w:rsidRDefault="00281515" w:rsidP="002E1BB2">
            <w:pPr>
              <w:spacing w:line="300" w:lineRule="atLeast"/>
              <w:jc w:val="center"/>
              <w:rPr>
                <w:rFonts w:ascii="Arial" w:hAnsi="Arial" w:cs="Arial"/>
                <w:sz w:val="16"/>
                <w:szCs w:val="16"/>
              </w:rPr>
            </w:pPr>
            <w:r>
              <w:rPr>
                <w:rFonts w:ascii="Arial" w:hAnsi="Arial" w:cs="Arial"/>
                <w:sz w:val="16"/>
                <w:szCs w:val="16"/>
              </w:rPr>
              <w:t>0</w:t>
            </w:r>
            <w:r w:rsidR="002E1BB2">
              <w:rPr>
                <w:rFonts w:ascii="Arial" w:hAnsi="Arial" w:cs="Arial"/>
                <w:sz w:val="16"/>
                <w:szCs w:val="16"/>
              </w:rPr>
              <w:t>.86 – 3.44</w:t>
            </w:r>
            <w:r w:rsidR="00ED0D86">
              <w:rPr>
                <w:rFonts w:ascii="Arial" w:hAnsi="Arial" w:cs="Arial"/>
                <w:sz w:val="16"/>
                <w:szCs w:val="16"/>
              </w:rPr>
              <w:t xml:space="preserve"> </w:t>
            </w:r>
            <w:r>
              <w:rPr>
                <w:rFonts w:ascii="Arial" w:hAnsi="Arial" w:cs="Arial"/>
                <w:sz w:val="16"/>
                <w:szCs w:val="16"/>
              </w:rPr>
              <w:t>(</w:t>
            </w:r>
            <w:r w:rsidR="002E1BB2">
              <w:rPr>
                <w:rFonts w:ascii="Arial" w:hAnsi="Arial" w:cs="Arial"/>
                <w:sz w:val="16"/>
                <w:szCs w:val="16"/>
              </w:rPr>
              <w:t>2</w:t>
            </w:r>
            <w:r>
              <w:rPr>
                <w:rFonts w:ascii="Arial" w:hAnsi="Arial" w:cs="Arial"/>
                <w:sz w:val="16"/>
                <w:szCs w:val="16"/>
              </w:rPr>
              <w:t>.</w:t>
            </w:r>
            <w:r w:rsidR="002E1BB2">
              <w:rPr>
                <w:rFonts w:ascii="Arial" w:hAnsi="Arial" w:cs="Arial"/>
                <w:sz w:val="16"/>
                <w:szCs w:val="16"/>
              </w:rPr>
              <w:t>15</w:t>
            </w:r>
            <w:r>
              <w:rPr>
                <w:rFonts w:ascii="Arial" w:hAnsi="Arial" w:cs="Arial"/>
                <w:sz w:val="16"/>
                <w:szCs w:val="16"/>
              </w:rPr>
              <w:t>)</w:t>
            </w:r>
          </w:p>
        </w:tc>
        <w:tc>
          <w:tcPr>
            <w:tcW w:w="1587" w:type="dxa"/>
            <w:vAlign w:val="center"/>
          </w:tcPr>
          <w:p w14:paraId="01834785" w14:textId="3E67E810" w:rsidR="00281515" w:rsidRDefault="00654EAB" w:rsidP="00EE5279">
            <w:pPr>
              <w:spacing w:line="300" w:lineRule="atLeast"/>
              <w:jc w:val="center"/>
              <w:rPr>
                <w:rFonts w:ascii="Arial" w:hAnsi="Arial" w:cs="Arial"/>
                <w:sz w:val="16"/>
                <w:szCs w:val="16"/>
              </w:rPr>
            </w:pPr>
            <w:r>
              <w:rPr>
                <w:rFonts w:ascii="Arial" w:hAnsi="Arial" w:cs="Arial"/>
                <w:sz w:val="16"/>
                <w:szCs w:val="16"/>
              </w:rPr>
              <w:t>0</w:t>
            </w:r>
            <w:r w:rsidR="002E1BB2">
              <w:rPr>
                <w:rFonts w:ascii="Arial" w:hAnsi="Arial" w:cs="Arial"/>
                <w:sz w:val="16"/>
                <w:szCs w:val="16"/>
              </w:rPr>
              <w:t>.3</w:t>
            </w:r>
            <w:r>
              <w:rPr>
                <w:rFonts w:ascii="Arial" w:hAnsi="Arial" w:cs="Arial"/>
                <w:sz w:val="16"/>
                <w:szCs w:val="16"/>
              </w:rPr>
              <w:t>7 –</w:t>
            </w:r>
            <w:r w:rsidR="002E1BB2">
              <w:rPr>
                <w:rFonts w:ascii="Arial" w:hAnsi="Arial" w:cs="Arial"/>
                <w:sz w:val="16"/>
                <w:szCs w:val="16"/>
              </w:rPr>
              <w:t xml:space="preserve"> 1.47</w:t>
            </w:r>
            <w:r w:rsidR="00C26390">
              <w:rPr>
                <w:rFonts w:ascii="Arial" w:hAnsi="Arial" w:cs="Arial"/>
                <w:sz w:val="16"/>
                <w:szCs w:val="16"/>
              </w:rPr>
              <w:t xml:space="preserve"> </w:t>
            </w:r>
            <w:r w:rsidR="002E1BB2">
              <w:rPr>
                <w:rFonts w:ascii="Arial" w:hAnsi="Arial" w:cs="Arial"/>
                <w:sz w:val="16"/>
                <w:szCs w:val="16"/>
              </w:rPr>
              <w:t>(0.92</w:t>
            </w:r>
            <w:r w:rsidR="00281515">
              <w:rPr>
                <w:rFonts w:ascii="Arial" w:hAnsi="Arial" w:cs="Arial"/>
                <w:sz w:val="16"/>
                <w:szCs w:val="16"/>
              </w:rPr>
              <w:t>)</w:t>
            </w:r>
          </w:p>
        </w:tc>
      </w:tr>
      <w:tr w:rsidR="00E24C7F" w14:paraId="1B8A2C6C" w14:textId="77777777" w:rsidTr="00ED0D86">
        <w:tc>
          <w:tcPr>
            <w:tcW w:w="1749" w:type="dxa"/>
          </w:tcPr>
          <w:p w14:paraId="2E10587E" w14:textId="13C43F22" w:rsidR="00E24C7F" w:rsidRDefault="00E24C7F" w:rsidP="00355741">
            <w:pPr>
              <w:spacing w:line="300" w:lineRule="atLeast"/>
              <w:rPr>
                <w:rFonts w:ascii="Arial" w:hAnsi="Arial" w:cs="Arial"/>
                <w:sz w:val="16"/>
                <w:szCs w:val="16"/>
              </w:rPr>
            </w:pPr>
            <w:r>
              <w:rPr>
                <w:rFonts w:ascii="Arial" w:hAnsi="Arial" w:cs="Arial"/>
                <w:sz w:val="16"/>
                <w:szCs w:val="16"/>
              </w:rPr>
              <w:t>Lime production, 2020</w:t>
            </w:r>
          </w:p>
        </w:tc>
        <w:tc>
          <w:tcPr>
            <w:tcW w:w="1382" w:type="dxa"/>
            <w:vAlign w:val="center"/>
          </w:tcPr>
          <w:p w14:paraId="441FB137" w14:textId="23A38123" w:rsidR="00E24C7F" w:rsidRDefault="00E24C7F" w:rsidP="00730792">
            <w:pPr>
              <w:spacing w:line="300" w:lineRule="atLeast"/>
              <w:jc w:val="center"/>
              <w:rPr>
                <w:rFonts w:ascii="Arial" w:hAnsi="Arial" w:cs="Arial"/>
                <w:sz w:val="16"/>
                <w:szCs w:val="16"/>
              </w:rPr>
            </w:pPr>
            <w:r>
              <w:rPr>
                <w:rFonts w:ascii="Arial" w:hAnsi="Arial" w:cs="Arial"/>
                <w:sz w:val="16"/>
                <w:szCs w:val="16"/>
              </w:rPr>
              <w:t>144,385</w:t>
            </w:r>
          </w:p>
        </w:tc>
        <w:tc>
          <w:tcPr>
            <w:tcW w:w="1374" w:type="dxa"/>
            <w:vAlign w:val="center"/>
          </w:tcPr>
          <w:p w14:paraId="0EDE63D9" w14:textId="5B068502" w:rsidR="00E24C7F" w:rsidRDefault="00E24C7F" w:rsidP="00131E33">
            <w:pPr>
              <w:spacing w:line="300" w:lineRule="atLeast"/>
              <w:jc w:val="center"/>
              <w:rPr>
                <w:rFonts w:ascii="Arial" w:hAnsi="Arial" w:cs="Arial"/>
                <w:sz w:val="16"/>
                <w:szCs w:val="16"/>
              </w:rPr>
            </w:pPr>
            <w:r>
              <w:rPr>
                <w:rFonts w:ascii="Arial" w:hAnsi="Arial" w:cs="Arial"/>
                <w:sz w:val="16"/>
                <w:szCs w:val="16"/>
              </w:rPr>
              <w:t>5 - 20</w:t>
            </w:r>
          </w:p>
        </w:tc>
        <w:tc>
          <w:tcPr>
            <w:tcW w:w="1506" w:type="dxa"/>
            <w:vAlign w:val="center"/>
          </w:tcPr>
          <w:p w14:paraId="04A93FA5" w14:textId="1CD7250C" w:rsidR="00E24C7F" w:rsidRDefault="00E24C7F" w:rsidP="002E1BB2">
            <w:pPr>
              <w:spacing w:line="300" w:lineRule="atLeast"/>
              <w:jc w:val="center"/>
              <w:rPr>
                <w:rFonts w:ascii="Arial" w:hAnsi="Arial" w:cs="Arial"/>
                <w:sz w:val="16"/>
                <w:szCs w:val="16"/>
              </w:rPr>
            </w:pPr>
            <w:r>
              <w:rPr>
                <w:rFonts w:ascii="Arial" w:hAnsi="Arial" w:cs="Arial"/>
                <w:sz w:val="16"/>
                <w:szCs w:val="16"/>
              </w:rPr>
              <w:t xml:space="preserve">0.72 </w:t>
            </w:r>
            <w:r w:rsidR="00A945B2">
              <w:rPr>
                <w:rFonts w:ascii="Arial" w:hAnsi="Arial" w:cs="Arial"/>
                <w:sz w:val="16"/>
                <w:szCs w:val="16"/>
              </w:rPr>
              <w:t>–</w:t>
            </w:r>
            <w:r>
              <w:rPr>
                <w:rFonts w:ascii="Arial" w:hAnsi="Arial" w:cs="Arial"/>
                <w:sz w:val="16"/>
                <w:szCs w:val="16"/>
              </w:rPr>
              <w:t xml:space="preserve"> </w:t>
            </w:r>
            <w:r w:rsidR="00A945B2">
              <w:rPr>
                <w:rFonts w:ascii="Arial" w:hAnsi="Arial" w:cs="Arial"/>
                <w:sz w:val="16"/>
                <w:szCs w:val="16"/>
              </w:rPr>
              <w:t>2.89</w:t>
            </w:r>
            <w:r w:rsidR="007A0537">
              <w:rPr>
                <w:rFonts w:ascii="Arial" w:hAnsi="Arial" w:cs="Arial"/>
                <w:sz w:val="16"/>
                <w:szCs w:val="16"/>
              </w:rPr>
              <w:t xml:space="preserve"> (1.81)</w:t>
            </w:r>
          </w:p>
        </w:tc>
        <w:tc>
          <w:tcPr>
            <w:tcW w:w="1469" w:type="dxa"/>
            <w:vAlign w:val="center"/>
          </w:tcPr>
          <w:p w14:paraId="6BFB5F2D" w14:textId="6B0D285A" w:rsidR="00E24C7F" w:rsidRDefault="00A945B2" w:rsidP="002E1BB2">
            <w:pPr>
              <w:spacing w:line="300" w:lineRule="atLeast"/>
              <w:jc w:val="center"/>
              <w:rPr>
                <w:rFonts w:ascii="Arial" w:hAnsi="Arial" w:cs="Arial"/>
                <w:sz w:val="16"/>
                <w:szCs w:val="16"/>
              </w:rPr>
            </w:pPr>
            <w:r>
              <w:rPr>
                <w:rFonts w:ascii="Arial" w:hAnsi="Arial" w:cs="Arial"/>
                <w:sz w:val="16"/>
                <w:szCs w:val="16"/>
              </w:rPr>
              <w:t>0.50 – 2.02</w:t>
            </w:r>
            <w:r w:rsidR="007A0537">
              <w:rPr>
                <w:rFonts w:ascii="Arial" w:hAnsi="Arial" w:cs="Arial"/>
                <w:sz w:val="16"/>
                <w:szCs w:val="16"/>
              </w:rPr>
              <w:t xml:space="preserve"> (1.26)</w:t>
            </w:r>
          </w:p>
        </w:tc>
        <w:tc>
          <w:tcPr>
            <w:tcW w:w="1587" w:type="dxa"/>
            <w:vAlign w:val="center"/>
          </w:tcPr>
          <w:p w14:paraId="257F3111" w14:textId="14E51268" w:rsidR="00E24C7F" w:rsidRDefault="00A945B2" w:rsidP="00EE5279">
            <w:pPr>
              <w:spacing w:line="300" w:lineRule="atLeast"/>
              <w:jc w:val="center"/>
              <w:rPr>
                <w:rFonts w:ascii="Arial" w:hAnsi="Arial" w:cs="Arial"/>
                <w:sz w:val="16"/>
                <w:szCs w:val="16"/>
              </w:rPr>
            </w:pPr>
            <w:r>
              <w:rPr>
                <w:rFonts w:ascii="Arial" w:hAnsi="Arial" w:cs="Arial"/>
                <w:sz w:val="16"/>
                <w:szCs w:val="16"/>
              </w:rPr>
              <w:t>0.22 – 0.867</w:t>
            </w:r>
            <w:r w:rsidR="007A0537">
              <w:rPr>
                <w:rFonts w:ascii="Arial" w:hAnsi="Arial" w:cs="Arial"/>
                <w:sz w:val="16"/>
                <w:szCs w:val="16"/>
              </w:rPr>
              <w:t xml:space="preserve"> (0.54)</w:t>
            </w:r>
          </w:p>
        </w:tc>
      </w:tr>
      <w:tr w:rsidR="00093DFB" w14:paraId="79409714" w14:textId="77777777" w:rsidTr="00ED0D86">
        <w:tc>
          <w:tcPr>
            <w:tcW w:w="1749" w:type="dxa"/>
          </w:tcPr>
          <w:p w14:paraId="79D8BD7E" w14:textId="3380A2FE" w:rsidR="00093DFB" w:rsidRDefault="00093DFB" w:rsidP="00355741">
            <w:pPr>
              <w:spacing w:line="300" w:lineRule="atLeast"/>
              <w:rPr>
                <w:rFonts w:ascii="Arial" w:hAnsi="Arial" w:cs="Arial"/>
                <w:sz w:val="16"/>
                <w:szCs w:val="16"/>
              </w:rPr>
            </w:pPr>
            <w:r>
              <w:rPr>
                <w:rFonts w:ascii="Arial" w:hAnsi="Arial" w:cs="Arial"/>
                <w:sz w:val="16"/>
                <w:szCs w:val="16"/>
              </w:rPr>
              <w:t>Lime production, 2024</w:t>
            </w:r>
          </w:p>
        </w:tc>
        <w:tc>
          <w:tcPr>
            <w:tcW w:w="1382" w:type="dxa"/>
            <w:vAlign w:val="center"/>
          </w:tcPr>
          <w:p w14:paraId="0AEA783F" w14:textId="5AED9561" w:rsidR="00093DFB" w:rsidRDefault="00093DFB" w:rsidP="00730792">
            <w:pPr>
              <w:spacing w:line="300" w:lineRule="atLeast"/>
              <w:jc w:val="center"/>
              <w:rPr>
                <w:rFonts w:ascii="Arial" w:hAnsi="Arial" w:cs="Arial"/>
                <w:sz w:val="16"/>
                <w:szCs w:val="16"/>
              </w:rPr>
            </w:pPr>
            <w:r>
              <w:rPr>
                <w:rFonts w:ascii="Arial" w:hAnsi="Arial" w:cs="Arial"/>
                <w:sz w:val="16"/>
                <w:szCs w:val="16"/>
              </w:rPr>
              <w:t>128,610</w:t>
            </w:r>
          </w:p>
        </w:tc>
        <w:tc>
          <w:tcPr>
            <w:tcW w:w="1374" w:type="dxa"/>
            <w:vAlign w:val="center"/>
          </w:tcPr>
          <w:p w14:paraId="6013CAE6" w14:textId="7A9EF540" w:rsidR="00093DFB" w:rsidRDefault="00093DFB" w:rsidP="00131E33">
            <w:pPr>
              <w:spacing w:line="300" w:lineRule="atLeast"/>
              <w:jc w:val="center"/>
              <w:rPr>
                <w:rFonts w:ascii="Arial" w:hAnsi="Arial" w:cs="Arial"/>
                <w:sz w:val="16"/>
                <w:szCs w:val="16"/>
              </w:rPr>
            </w:pPr>
            <w:r>
              <w:rPr>
                <w:rFonts w:ascii="Arial" w:hAnsi="Arial" w:cs="Arial"/>
                <w:sz w:val="16"/>
                <w:szCs w:val="16"/>
              </w:rPr>
              <w:t>5 - 20</w:t>
            </w:r>
          </w:p>
        </w:tc>
        <w:tc>
          <w:tcPr>
            <w:tcW w:w="1506" w:type="dxa"/>
            <w:vAlign w:val="center"/>
          </w:tcPr>
          <w:p w14:paraId="725BB45D" w14:textId="7159DFC9" w:rsidR="00093DFB" w:rsidRPr="0068435E" w:rsidRDefault="00782E54" w:rsidP="002E1BB2">
            <w:pPr>
              <w:spacing w:line="300" w:lineRule="atLeast"/>
              <w:jc w:val="center"/>
              <w:rPr>
                <w:rFonts w:ascii="Arial" w:hAnsi="Arial" w:cs="Arial"/>
                <w:color w:val="000000" w:themeColor="text1"/>
                <w:sz w:val="16"/>
                <w:szCs w:val="16"/>
              </w:rPr>
            </w:pPr>
            <w:r w:rsidRPr="0068435E">
              <w:rPr>
                <w:rFonts w:ascii="Arial" w:hAnsi="Arial" w:cs="Arial"/>
                <w:color w:val="000000" w:themeColor="text1"/>
                <w:sz w:val="16"/>
                <w:szCs w:val="16"/>
              </w:rPr>
              <w:t>0.64 – 2.57 (1.6</w:t>
            </w:r>
            <w:r w:rsidR="00277CC6">
              <w:rPr>
                <w:rFonts w:ascii="Arial" w:hAnsi="Arial" w:cs="Arial"/>
                <w:color w:val="000000" w:themeColor="text1"/>
                <w:sz w:val="16"/>
                <w:szCs w:val="16"/>
              </w:rPr>
              <w:t>1</w:t>
            </w:r>
            <w:r w:rsidRPr="0068435E">
              <w:rPr>
                <w:rFonts w:ascii="Arial" w:hAnsi="Arial" w:cs="Arial"/>
                <w:color w:val="000000" w:themeColor="text1"/>
                <w:sz w:val="16"/>
                <w:szCs w:val="16"/>
              </w:rPr>
              <w:t>)</w:t>
            </w:r>
          </w:p>
        </w:tc>
        <w:tc>
          <w:tcPr>
            <w:tcW w:w="1469" w:type="dxa"/>
            <w:vAlign w:val="center"/>
          </w:tcPr>
          <w:p w14:paraId="432359AF" w14:textId="1F4F65F1" w:rsidR="00093DFB" w:rsidRPr="000B1B79" w:rsidRDefault="00782E54" w:rsidP="002E1BB2">
            <w:pPr>
              <w:spacing w:line="300" w:lineRule="atLeast"/>
              <w:jc w:val="center"/>
              <w:rPr>
                <w:rFonts w:ascii="Arial" w:hAnsi="Arial" w:cs="Arial"/>
                <w:color w:val="000000" w:themeColor="text1"/>
                <w:sz w:val="16"/>
                <w:szCs w:val="16"/>
              </w:rPr>
            </w:pPr>
            <w:r w:rsidRPr="0068435E">
              <w:rPr>
                <w:rFonts w:ascii="Arial" w:hAnsi="Arial" w:cs="Arial"/>
                <w:color w:val="000000" w:themeColor="text1"/>
                <w:sz w:val="16"/>
                <w:szCs w:val="16"/>
              </w:rPr>
              <w:t>0.45 -1.8</w:t>
            </w:r>
            <w:r w:rsidR="00A86C3D" w:rsidRPr="000B1B79">
              <w:rPr>
                <w:rFonts w:ascii="Arial" w:hAnsi="Arial" w:cs="Arial"/>
                <w:color w:val="000000" w:themeColor="text1"/>
                <w:sz w:val="16"/>
                <w:szCs w:val="16"/>
              </w:rPr>
              <w:t>0</w:t>
            </w:r>
            <w:r w:rsidRPr="000B1B79">
              <w:rPr>
                <w:rFonts w:ascii="Arial" w:hAnsi="Arial" w:cs="Arial"/>
                <w:color w:val="000000" w:themeColor="text1"/>
                <w:sz w:val="16"/>
                <w:szCs w:val="16"/>
              </w:rPr>
              <w:t xml:space="preserve"> (1.1</w:t>
            </w:r>
            <w:r w:rsidR="00ED0D86">
              <w:rPr>
                <w:rFonts w:ascii="Arial" w:hAnsi="Arial" w:cs="Arial"/>
                <w:color w:val="000000" w:themeColor="text1"/>
                <w:sz w:val="16"/>
                <w:szCs w:val="16"/>
              </w:rPr>
              <w:t>3</w:t>
            </w:r>
            <w:r w:rsidRPr="000B1B79">
              <w:rPr>
                <w:rFonts w:ascii="Arial" w:hAnsi="Arial" w:cs="Arial"/>
                <w:color w:val="000000" w:themeColor="text1"/>
                <w:sz w:val="16"/>
                <w:szCs w:val="16"/>
              </w:rPr>
              <w:t>)</w:t>
            </w:r>
          </w:p>
        </w:tc>
        <w:tc>
          <w:tcPr>
            <w:tcW w:w="1587" w:type="dxa"/>
            <w:vAlign w:val="center"/>
          </w:tcPr>
          <w:p w14:paraId="3E3458D4" w14:textId="26C68E22" w:rsidR="00093DFB" w:rsidRPr="000B1B79" w:rsidRDefault="00782E54" w:rsidP="00EE5279">
            <w:pPr>
              <w:spacing w:line="300" w:lineRule="atLeast"/>
              <w:jc w:val="center"/>
              <w:rPr>
                <w:rFonts w:ascii="Arial" w:hAnsi="Arial" w:cs="Arial"/>
                <w:color w:val="000000" w:themeColor="text1"/>
                <w:sz w:val="16"/>
                <w:szCs w:val="16"/>
              </w:rPr>
            </w:pPr>
            <w:r w:rsidRPr="000B1B79">
              <w:rPr>
                <w:rFonts w:ascii="Arial" w:hAnsi="Arial" w:cs="Arial"/>
                <w:color w:val="000000" w:themeColor="text1"/>
                <w:sz w:val="16"/>
                <w:szCs w:val="16"/>
              </w:rPr>
              <w:t>0.19 – 0.77 (0.48)</w:t>
            </w:r>
          </w:p>
        </w:tc>
      </w:tr>
    </w:tbl>
    <w:p w14:paraId="5F643C35" w14:textId="77777777" w:rsidR="00730792" w:rsidRPr="00BE17CF" w:rsidRDefault="00730792" w:rsidP="00730792">
      <w:pPr>
        <w:tabs>
          <w:tab w:val="left" w:pos="2760"/>
        </w:tabs>
        <w:spacing w:before="120" w:line="300" w:lineRule="atLeast"/>
        <w:jc w:val="both"/>
        <w:rPr>
          <w:rFonts w:ascii="Arial" w:hAnsi="Arial" w:cs="Arial"/>
          <w:b/>
          <w:szCs w:val="18"/>
        </w:rPr>
      </w:pPr>
      <w:r w:rsidRPr="00BE17CF">
        <w:rPr>
          <w:rFonts w:ascii="Arial" w:hAnsi="Arial" w:cs="Arial"/>
          <w:b/>
          <w:szCs w:val="18"/>
        </w:rPr>
        <w:t>Certainty assessment</w:t>
      </w:r>
    </w:p>
    <w:p w14:paraId="23669E2D" w14:textId="77777777" w:rsidR="003C357B" w:rsidRDefault="003C357B" w:rsidP="003C357B">
      <w:pPr>
        <w:tabs>
          <w:tab w:val="left" w:pos="1701"/>
        </w:tabs>
        <w:spacing w:line="300" w:lineRule="atLeast"/>
        <w:jc w:val="both"/>
        <w:rPr>
          <w:szCs w:val="18"/>
        </w:rPr>
      </w:pPr>
      <w:r>
        <w:rPr>
          <w:szCs w:val="18"/>
        </w:rPr>
        <w:t xml:space="preserve">Activity data: </w:t>
      </w:r>
      <w:r>
        <w:rPr>
          <w:szCs w:val="18"/>
        </w:rPr>
        <w:tab/>
        <w:t>HIGH (because it was based on published data)</w:t>
      </w:r>
    </w:p>
    <w:p w14:paraId="32CEE922" w14:textId="65DD3415" w:rsidR="003C357B" w:rsidRDefault="003C357B" w:rsidP="003C357B">
      <w:pPr>
        <w:tabs>
          <w:tab w:val="left" w:pos="1701"/>
        </w:tabs>
        <w:spacing w:line="300" w:lineRule="atLeast"/>
        <w:jc w:val="both"/>
        <w:rPr>
          <w:szCs w:val="18"/>
        </w:rPr>
      </w:pPr>
      <w:r>
        <w:rPr>
          <w:szCs w:val="18"/>
        </w:rPr>
        <w:t xml:space="preserve">Input estimates: </w:t>
      </w:r>
      <w:r>
        <w:rPr>
          <w:szCs w:val="18"/>
        </w:rPr>
        <w:tab/>
      </w:r>
      <w:r w:rsidR="001D62C1">
        <w:rPr>
          <w:szCs w:val="18"/>
        </w:rPr>
        <w:t>LOW</w:t>
      </w:r>
      <w:r w:rsidR="00E309FF">
        <w:rPr>
          <w:szCs w:val="18"/>
        </w:rPr>
        <w:t xml:space="preserve"> - MEDIUM</w:t>
      </w:r>
      <w:r>
        <w:rPr>
          <w:szCs w:val="18"/>
        </w:rPr>
        <w:t xml:space="preserve"> (</w:t>
      </w:r>
      <w:r w:rsidRPr="00944DCC">
        <w:rPr>
          <w:szCs w:val="18"/>
        </w:rPr>
        <w:t xml:space="preserve">because </w:t>
      </w:r>
      <w:r w:rsidR="001D62C1">
        <w:rPr>
          <w:szCs w:val="18"/>
        </w:rPr>
        <w:t>they</w:t>
      </w:r>
      <w:r w:rsidRPr="00944DCC">
        <w:rPr>
          <w:szCs w:val="18"/>
        </w:rPr>
        <w:t xml:space="preserve"> </w:t>
      </w:r>
      <w:r w:rsidR="001E5DEF">
        <w:rPr>
          <w:szCs w:val="18"/>
        </w:rPr>
        <w:t>a</w:t>
      </w:r>
      <w:r w:rsidR="001D62C1">
        <w:rPr>
          <w:szCs w:val="18"/>
        </w:rPr>
        <w:t>re</w:t>
      </w:r>
      <w:r w:rsidRPr="00944DCC">
        <w:rPr>
          <w:szCs w:val="18"/>
        </w:rPr>
        <w:t xml:space="preserve"> based on </w:t>
      </w:r>
      <w:r w:rsidR="001D62C1">
        <w:rPr>
          <w:szCs w:val="18"/>
        </w:rPr>
        <w:t>limited published</w:t>
      </w:r>
      <w:r w:rsidRPr="00944DCC">
        <w:rPr>
          <w:szCs w:val="18"/>
        </w:rPr>
        <w:t xml:space="preserve"> data</w:t>
      </w:r>
      <w:r>
        <w:rPr>
          <w:szCs w:val="18"/>
        </w:rPr>
        <w:t>)</w:t>
      </w:r>
    </w:p>
    <w:p w14:paraId="46D28D73" w14:textId="77777777" w:rsidR="003C357B" w:rsidRPr="0028681C" w:rsidRDefault="003C357B" w:rsidP="003C357B">
      <w:pPr>
        <w:tabs>
          <w:tab w:val="left" w:pos="1701"/>
        </w:tabs>
        <w:spacing w:line="300" w:lineRule="atLeast"/>
        <w:jc w:val="both"/>
        <w:rPr>
          <w:szCs w:val="18"/>
        </w:rPr>
      </w:pPr>
      <w:r>
        <w:rPr>
          <w:szCs w:val="18"/>
        </w:rPr>
        <w:t xml:space="preserve">Output estimates: </w:t>
      </w:r>
      <w:r>
        <w:rPr>
          <w:szCs w:val="18"/>
        </w:rPr>
        <w:tab/>
      </w:r>
      <w:r w:rsidR="001D62C1">
        <w:rPr>
          <w:szCs w:val="18"/>
        </w:rPr>
        <w:t>LOW</w:t>
      </w:r>
      <w:r>
        <w:rPr>
          <w:szCs w:val="18"/>
        </w:rPr>
        <w:t xml:space="preserve"> (</w:t>
      </w:r>
      <w:r w:rsidRPr="00944DCC">
        <w:rPr>
          <w:szCs w:val="18"/>
        </w:rPr>
        <w:t xml:space="preserve">because the releases </w:t>
      </w:r>
      <w:r w:rsidR="001D62C1">
        <w:rPr>
          <w:szCs w:val="18"/>
        </w:rPr>
        <w:t xml:space="preserve">were </w:t>
      </w:r>
      <w:r w:rsidRPr="00944DCC">
        <w:rPr>
          <w:szCs w:val="18"/>
        </w:rPr>
        <w:t>estimated from default factor</w:t>
      </w:r>
      <w:r w:rsidR="001D62C1">
        <w:rPr>
          <w:szCs w:val="18"/>
        </w:rPr>
        <w:t>s for cement production</w:t>
      </w:r>
      <w:r>
        <w:rPr>
          <w:szCs w:val="18"/>
        </w:rPr>
        <w:t>).</w:t>
      </w:r>
    </w:p>
    <w:p w14:paraId="1689554A" w14:textId="77777777" w:rsidR="00FA0FEA" w:rsidRDefault="00841900" w:rsidP="00841900">
      <w:pPr>
        <w:pStyle w:val="Heading2"/>
      </w:pPr>
      <w:bookmarkStart w:id="76" w:name="_Toc110355531"/>
      <w:r>
        <w:t>Other minerals and materials</w:t>
      </w:r>
      <w:bookmarkEnd w:id="76"/>
      <w:r w:rsidR="00281515">
        <w:t xml:space="preserve"> </w:t>
      </w:r>
    </w:p>
    <w:p w14:paraId="2D99A990" w14:textId="33E76C50" w:rsidR="00743F9B" w:rsidRDefault="0002399A" w:rsidP="003833D6">
      <w:pPr>
        <w:spacing w:line="300" w:lineRule="atLeast"/>
        <w:jc w:val="both"/>
        <w:rPr>
          <w:szCs w:val="18"/>
        </w:rPr>
      </w:pPr>
      <w:r>
        <w:rPr>
          <w:szCs w:val="18"/>
        </w:rPr>
        <w:t xml:space="preserve">Two other New Zealand sources of mercury releases from minerals have been identified for this inventory; the application of phosphatic fertilisers and </w:t>
      </w:r>
      <w:r w:rsidR="0027412C">
        <w:rPr>
          <w:szCs w:val="18"/>
        </w:rPr>
        <w:t>agricultural lime to land.</w:t>
      </w:r>
    </w:p>
    <w:p w14:paraId="5032FDB2" w14:textId="77777777" w:rsidR="00743F9B" w:rsidRDefault="00743F9B">
      <w:pPr>
        <w:spacing w:after="0"/>
        <w:rPr>
          <w:szCs w:val="18"/>
        </w:rPr>
      </w:pPr>
      <w:r>
        <w:rPr>
          <w:szCs w:val="18"/>
        </w:rPr>
        <w:br w:type="page"/>
      </w:r>
    </w:p>
    <w:p w14:paraId="7B0ABD32" w14:textId="33F338E3" w:rsidR="00FA0FEA" w:rsidRPr="00D12873" w:rsidRDefault="00D12873" w:rsidP="003833D6">
      <w:pPr>
        <w:spacing w:line="300" w:lineRule="atLeast"/>
        <w:jc w:val="both"/>
        <w:rPr>
          <w:rFonts w:ascii="Arial" w:hAnsi="Arial" w:cs="Arial"/>
          <w:b/>
          <w:szCs w:val="18"/>
        </w:rPr>
      </w:pPr>
      <w:r>
        <w:rPr>
          <w:rFonts w:ascii="Arial" w:hAnsi="Arial" w:cs="Arial"/>
          <w:b/>
          <w:szCs w:val="18"/>
        </w:rPr>
        <w:t>Phosphate</w:t>
      </w:r>
      <w:r w:rsidR="0027412C" w:rsidRPr="00D12873">
        <w:rPr>
          <w:rFonts w:ascii="Arial" w:hAnsi="Arial" w:cs="Arial"/>
          <w:b/>
          <w:szCs w:val="18"/>
        </w:rPr>
        <w:t xml:space="preserve"> fertilisers</w:t>
      </w:r>
    </w:p>
    <w:p w14:paraId="660916BB" w14:textId="77777777" w:rsidR="00FA0FEA" w:rsidRPr="00D12873" w:rsidRDefault="00B2271A" w:rsidP="003833D6">
      <w:pPr>
        <w:spacing w:line="300" w:lineRule="atLeast"/>
        <w:jc w:val="both"/>
        <w:rPr>
          <w:szCs w:val="18"/>
        </w:rPr>
      </w:pPr>
      <w:r w:rsidRPr="00D12873">
        <w:rPr>
          <w:szCs w:val="18"/>
        </w:rPr>
        <w:t>New Zealand agriculture uses a significant amount of superphosphate fertiliser, which is manufactured from imported phosphate rock</w:t>
      </w:r>
      <w:r w:rsidR="00ED315A" w:rsidRPr="00D12873">
        <w:rPr>
          <w:szCs w:val="18"/>
        </w:rPr>
        <w:t xml:space="preserve"> (NZIC, 19</w:t>
      </w:r>
      <w:r w:rsidR="00FE40C7" w:rsidRPr="00D12873">
        <w:rPr>
          <w:szCs w:val="18"/>
        </w:rPr>
        <w:t>9</w:t>
      </w:r>
      <w:r w:rsidR="00ED315A" w:rsidRPr="00D12873">
        <w:rPr>
          <w:szCs w:val="18"/>
        </w:rPr>
        <w:t>8b)</w:t>
      </w:r>
      <w:r w:rsidRPr="00D12873">
        <w:rPr>
          <w:szCs w:val="18"/>
        </w:rPr>
        <w:t xml:space="preserve">. There are </w:t>
      </w:r>
      <w:r w:rsidR="00580634" w:rsidRPr="00D12873">
        <w:rPr>
          <w:szCs w:val="18"/>
        </w:rPr>
        <w:t>6</w:t>
      </w:r>
      <w:r w:rsidRPr="00D12873">
        <w:rPr>
          <w:szCs w:val="18"/>
        </w:rPr>
        <w:t xml:space="preserve"> manufacturing plants in New Zealand, located in </w:t>
      </w:r>
      <w:r w:rsidR="00580634" w:rsidRPr="00D12873">
        <w:rPr>
          <w:szCs w:val="18"/>
        </w:rPr>
        <w:t xml:space="preserve">Northland, </w:t>
      </w:r>
      <w:r w:rsidRPr="00D12873">
        <w:rPr>
          <w:szCs w:val="18"/>
        </w:rPr>
        <w:t xml:space="preserve">Bay of Plenty, </w:t>
      </w:r>
      <w:r w:rsidR="00580634" w:rsidRPr="00D12873">
        <w:rPr>
          <w:szCs w:val="18"/>
        </w:rPr>
        <w:t xml:space="preserve">Hawkes Bay, Canterbury, </w:t>
      </w:r>
      <w:r w:rsidRPr="00D12873">
        <w:rPr>
          <w:szCs w:val="18"/>
        </w:rPr>
        <w:t>Otago and Southland regions.</w:t>
      </w:r>
    </w:p>
    <w:p w14:paraId="05B9EF9C" w14:textId="776B6AAF" w:rsidR="0027412C" w:rsidRPr="00D12873" w:rsidRDefault="00B2271A" w:rsidP="003833D6">
      <w:pPr>
        <w:spacing w:line="300" w:lineRule="atLeast"/>
        <w:jc w:val="both"/>
        <w:rPr>
          <w:szCs w:val="18"/>
        </w:rPr>
      </w:pPr>
      <w:r w:rsidRPr="00D12873">
        <w:rPr>
          <w:szCs w:val="18"/>
        </w:rPr>
        <w:t xml:space="preserve">The phosphate rock is imported from numerous other countries and contains varying amounts of mercury. </w:t>
      </w:r>
      <w:r w:rsidR="00C900C8">
        <w:rPr>
          <w:szCs w:val="18"/>
        </w:rPr>
        <w:t xml:space="preserve">For the 2012 and 2016 </w:t>
      </w:r>
      <w:r w:rsidR="00270AE4">
        <w:rPr>
          <w:szCs w:val="18"/>
        </w:rPr>
        <w:t xml:space="preserve">inventories the amount of mercury introduced to New Zealand from phosphate rock </w:t>
      </w:r>
      <w:r w:rsidR="00C900C8">
        <w:rPr>
          <w:szCs w:val="18"/>
        </w:rPr>
        <w:t>was</w:t>
      </w:r>
      <w:r w:rsidR="00270AE4">
        <w:rPr>
          <w:szCs w:val="18"/>
        </w:rPr>
        <w:t xml:space="preserve"> estimated by converting import quantities into </w:t>
      </w:r>
      <w:r w:rsidR="005D63EE">
        <w:rPr>
          <w:szCs w:val="18"/>
        </w:rPr>
        <w:t>weight of superphosphate equivalent and then using the mean and range of superphosphate analytical results available to derive a range for mercury inputs. For example m</w:t>
      </w:r>
      <w:r w:rsidR="002C3F5A">
        <w:rPr>
          <w:szCs w:val="18"/>
        </w:rPr>
        <w:t xml:space="preserve">easurements </w:t>
      </w:r>
      <w:r w:rsidR="00D71DDC">
        <w:rPr>
          <w:szCs w:val="18"/>
        </w:rPr>
        <w:t>in</w:t>
      </w:r>
      <w:r w:rsidR="002C3F5A">
        <w:rPr>
          <w:szCs w:val="18"/>
        </w:rPr>
        <w:t xml:space="preserve"> 2015 and 2016 conducted on 65 monthly samples had values in the range &lt; 0.05 - 2.7 mg/kg </w:t>
      </w:r>
      <w:r w:rsidR="005D63EE">
        <w:rPr>
          <w:szCs w:val="18"/>
        </w:rPr>
        <w:t xml:space="preserve">superphosphate </w:t>
      </w:r>
      <w:r w:rsidR="002C3F5A">
        <w:rPr>
          <w:szCs w:val="18"/>
        </w:rPr>
        <w:t xml:space="preserve">with a mean of 0.09 mg/kg </w:t>
      </w:r>
      <w:r w:rsidR="005D63EE">
        <w:rPr>
          <w:szCs w:val="18"/>
        </w:rPr>
        <w:t xml:space="preserve">superphosphate </w:t>
      </w:r>
      <w:r w:rsidR="00221A31">
        <w:rPr>
          <w:szCs w:val="18"/>
        </w:rPr>
        <w:t xml:space="preserve">(G Sneath, </w:t>
      </w:r>
      <w:r w:rsidR="005D63EE">
        <w:rPr>
          <w:szCs w:val="18"/>
        </w:rPr>
        <w:t xml:space="preserve">Fertiliser Association, </w:t>
      </w:r>
      <w:r w:rsidR="00221A31">
        <w:rPr>
          <w:szCs w:val="18"/>
        </w:rPr>
        <w:t>pers comm</w:t>
      </w:r>
      <w:r w:rsidR="00355741">
        <w:rPr>
          <w:szCs w:val="18"/>
        </w:rPr>
        <w:t>,</w:t>
      </w:r>
      <w:r w:rsidR="00221A31">
        <w:rPr>
          <w:szCs w:val="18"/>
        </w:rPr>
        <w:t xml:space="preserve"> 2017). </w:t>
      </w:r>
      <w:r w:rsidR="005D63EE">
        <w:rPr>
          <w:szCs w:val="18"/>
        </w:rPr>
        <w:t xml:space="preserve">The </w:t>
      </w:r>
      <w:r w:rsidR="002C3F5A" w:rsidRPr="0023228D">
        <w:rPr>
          <w:szCs w:val="18"/>
        </w:rPr>
        <w:t xml:space="preserve">latter concentration figure </w:t>
      </w:r>
      <w:r w:rsidR="005D63EE">
        <w:rPr>
          <w:szCs w:val="18"/>
        </w:rPr>
        <w:t>was</w:t>
      </w:r>
      <w:r w:rsidR="00D83284">
        <w:rPr>
          <w:szCs w:val="18"/>
        </w:rPr>
        <w:t xml:space="preserve"> </w:t>
      </w:r>
      <w:r w:rsidR="002C3F5A" w:rsidRPr="0023228D">
        <w:rPr>
          <w:szCs w:val="18"/>
        </w:rPr>
        <w:t xml:space="preserve">used for the upper </w:t>
      </w:r>
      <w:r w:rsidR="00B86508">
        <w:rPr>
          <w:szCs w:val="18"/>
        </w:rPr>
        <w:t>limit</w:t>
      </w:r>
      <w:r w:rsidR="00B86508">
        <w:rPr>
          <w:rStyle w:val="FootnoteReference"/>
          <w:szCs w:val="18"/>
        </w:rPr>
        <w:footnoteReference w:id="12"/>
      </w:r>
      <w:r w:rsidR="002C3F5A" w:rsidRPr="0023228D">
        <w:rPr>
          <w:szCs w:val="18"/>
        </w:rPr>
        <w:t xml:space="preserve"> in the input and output estimates, along with a lower level of 0.05 mg/kg</w:t>
      </w:r>
      <w:r w:rsidR="00AD7585">
        <w:rPr>
          <w:szCs w:val="18"/>
        </w:rPr>
        <w:t xml:space="preserve"> to give a mercury input range of 54.8 – 98.6 kg/year for 2016.</w:t>
      </w:r>
    </w:p>
    <w:p w14:paraId="6EC1AA49" w14:textId="3F05D2C2" w:rsidR="00636B35" w:rsidRDefault="00AD7585" w:rsidP="00796FAD">
      <w:pPr>
        <w:spacing w:line="300" w:lineRule="atLeast"/>
        <w:jc w:val="both"/>
        <w:rPr>
          <w:szCs w:val="18"/>
        </w:rPr>
      </w:pPr>
      <w:r>
        <w:rPr>
          <w:szCs w:val="18"/>
        </w:rPr>
        <w:t>However according to the Fertiliser Association of New Zealand, superphosphate</w:t>
      </w:r>
      <w:r w:rsidR="00636B35">
        <w:rPr>
          <w:szCs w:val="18"/>
        </w:rPr>
        <w:t xml:space="preserve"> is not the only phosphate product which is applied in New Zealand. Other products include Sulphur Super and </w:t>
      </w:r>
      <w:r w:rsidR="00F5091F">
        <w:rPr>
          <w:szCs w:val="18"/>
        </w:rPr>
        <w:t>Di-ammonium Phosphate (</w:t>
      </w:r>
      <w:r w:rsidR="00636B35">
        <w:rPr>
          <w:szCs w:val="18"/>
        </w:rPr>
        <w:t>DAP</w:t>
      </w:r>
      <w:r w:rsidR="00F5091F">
        <w:rPr>
          <w:szCs w:val="18"/>
        </w:rPr>
        <w:t>)</w:t>
      </w:r>
      <w:r w:rsidR="00636B35">
        <w:rPr>
          <w:szCs w:val="18"/>
        </w:rPr>
        <w:t>.  Superphosphate and Sulphur Super</w:t>
      </w:r>
      <w:r w:rsidR="003B3E3C">
        <w:rPr>
          <w:szCs w:val="18"/>
        </w:rPr>
        <w:t xml:space="preserve"> </w:t>
      </w:r>
      <w:r w:rsidR="00CD1B86">
        <w:rPr>
          <w:szCs w:val="18"/>
        </w:rPr>
        <w:t xml:space="preserve">now </w:t>
      </w:r>
      <w:r w:rsidR="00636B35">
        <w:rPr>
          <w:szCs w:val="18"/>
        </w:rPr>
        <w:t xml:space="preserve">comprise </w:t>
      </w:r>
      <w:r w:rsidR="00CD1B86">
        <w:rPr>
          <w:szCs w:val="18"/>
        </w:rPr>
        <w:t>the majority</w:t>
      </w:r>
      <w:r w:rsidR="00636B35">
        <w:rPr>
          <w:szCs w:val="18"/>
        </w:rPr>
        <w:t xml:space="preserve"> of phosphate fertiliser applications with DAP holding the 40% of market share remaining</w:t>
      </w:r>
      <w:r w:rsidR="00CD1B86">
        <w:rPr>
          <w:szCs w:val="18"/>
        </w:rPr>
        <w:t xml:space="preserve"> (G Sneath, Fertiliser Association, pers comm</w:t>
      </w:r>
      <w:r w:rsidR="00F5091F">
        <w:rPr>
          <w:szCs w:val="18"/>
        </w:rPr>
        <w:t>,</w:t>
      </w:r>
      <w:r w:rsidR="00CD1B86">
        <w:rPr>
          <w:szCs w:val="18"/>
        </w:rPr>
        <w:t xml:space="preserve"> </w:t>
      </w:r>
      <w:r w:rsidR="009D747C">
        <w:rPr>
          <w:szCs w:val="18"/>
        </w:rPr>
        <w:t>2025</w:t>
      </w:r>
      <w:r w:rsidR="00CD1B86">
        <w:rPr>
          <w:szCs w:val="18"/>
        </w:rPr>
        <w:t>)</w:t>
      </w:r>
      <w:r w:rsidR="00636B35">
        <w:rPr>
          <w:szCs w:val="18"/>
        </w:rPr>
        <w:t xml:space="preserve">. It should be noted that these </w:t>
      </w:r>
      <w:r w:rsidR="00C900C8">
        <w:rPr>
          <w:szCs w:val="18"/>
        </w:rPr>
        <w:t xml:space="preserve">comparisons </w:t>
      </w:r>
      <w:r w:rsidR="00636B35">
        <w:rPr>
          <w:szCs w:val="18"/>
        </w:rPr>
        <w:t>are based on the phosphorous content of the fertiliser.</w:t>
      </w:r>
      <w:r w:rsidR="00D351AD">
        <w:rPr>
          <w:szCs w:val="18"/>
        </w:rPr>
        <w:t xml:space="preserve"> New Zealand fertiliser application records are recorded on the basis of the amount of phosphorous applied rather than the weight of the fertiliser itself because they vary in their phosphorous content. For example superphosphate is 9% phosphorous and DAP is 20% phosphorous. </w:t>
      </w:r>
      <w:r w:rsidR="008212CD">
        <w:rPr>
          <w:szCs w:val="18"/>
        </w:rPr>
        <w:t xml:space="preserve">As with previous inventories the approach used for fertiliser consumption is based on the average of the reference year and the two preceding years. </w:t>
      </w:r>
      <w:r w:rsidR="00CC0E4D">
        <w:rPr>
          <w:szCs w:val="18"/>
        </w:rPr>
        <w:t>In 2024</w:t>
      </w:r>
      <w:r w:rsidR="008212CD">
        <w:rPr>
          <w:szCs w:val="18"/>
        </w:rPr>
        <w:t xml:space="preserve"> </w:t>
      </w:r>
      <w:r w:rsidR="00C900C8">
        <w:rPr>
          <w:szCs w:val="18"/>
        </w:rPr>
        <w:t>122,</w:t>
      </w:r>
      <w:r w:rsidR="00F96022">
        <w:rPr>
          <w:szCs w:val="18"/>
        </w:rPr>
        <w:t>0</w:t>
      </w:r>
      <w:r w:rsidR="00C900C8">
        <w:rPr>
          <w:szCs w:val="18"/>
        </w:rPr>
        <w:t>00</w:t>
      </w:r>
      <w:r w:rsidR="00D351AD">
        <w:rPr>
          <w:szCs w:val="18"/>
        </w:rPr>
        <w:t xml:space="preserve"> tonnes of phosphorous </w:t>
      </w:r>
      <w:r w:rsidR="000061E7">
        <w:rPr>
          <w:szCs w:val="18"/>
        </w:rPr>
        <w:t xml:space="preserve">in </w:t>
      </w:r>
      <w:r w:rsidR="00D351AD">
        <w:rPr>
          <w:szCs w:val="18"/>
        </w:rPr>
        <w:t>fertiliser were applied in New Zealand</w:t>
      </w:r>
      <w:r w:rsidR="000061E7">
        <w:rPr>
          <w:szCs w:val="18"/>
        </w:rPr>
        <w:t xml:space="preserve"> (G Sneath, Fertiliser Association, pers comm</w:t>
      </w:r>
      <w:r w:rsidR="00F5091F">
        <w:rPr>
          <w:szCs w:val="18"/>
        </w:rPr>
        <w:t>,</w:t>
      </w:r>
      <w:r w:rsidR="000061E7">
        <w:rPr>
          <w:szCs w:val="18"/>
        </w:rPr>
        <w:t xml:space="preserve"> </w:t>
      </w:r>
      <w:r w:rsidR="00C900C8">
        <w:rPr>
          <w:szCs w:val="18"/>
        </w:rPr>
        <w:t>2025</w:t>
      </w:r>
      <w:r w:rsidR="000061E7">
        <w:rPr>
          <w:szCs w:val="18"/>
        </w:rPr>
        <w:t xml:space="preserve">). </w:t>
      </w:r>
      <w:r w:rsidR="00C30C3D">
        <w:rPr>
          <w:szCs w:val="18"/>
        </w:rPr>
        <w:t>This is significantly lower than the figure of 149,000 tonnes used for the 2020 Inventory and reflects a lon</w:t>
      </w:r>
      <w:r w:rsidR="009D747C">
        <w:rPr>
          <w:szCs w:val="18"/>
        </w:rPr>
        <w:t>g</w:t>
      </w:r>
      <w:r w:rsidR="00C30C3D">
        <w:rPr>
          <w:szCs w:val="18"/>
        </w:rPr>
        <w:t xml:space="preserve"> term trend</w:t>
      </w:r>
      <w:r w:rsidR="009D747C">
        <w:rPr>
          <w:szCs w:val="18"/>
        </w:rPr>
        <w:t xml:space="preserve"> in decreases of application of phosphate fertilisers.</w:t>
      </w:r>
      <w:r w:rsidR="00C30C3D">
        <w:rPr>
          <w:szCs w:val="18"/>
        </w:rPr>
        <w:t xml:space="preserve"> </w:t>
      </w:r>
    </w:p>
    <w:p w14:paraId="0C15608E" w14:textId="1FEB237F" w:rsidR="00F77E42" w:rsidRDefault="008212CD" w:rsidP="00796FAD">
      <w:pPr>
        <w:spacing w:line="300" w:lineRule="atLeast"/>
        <w:jc w:val="both"/>
        <w:rPr>
          <w:szCs w:val="18"/>
        </w:rPr>
      </w:pPr>
      <w:r>
        <w:rPr>
          <w:szCs w:val="18"/>
        </w:rPr>
        <w:t xml:space="preserve">Using </w:t>
      </w:r>
      <w:r w:rsidR="00BE6904">
        <w:rPr>
          <w:szCs w:val="18"/>
        </w:rPr>
        <w:t xml:space="preserve">average </w:t>
      </w:r>
      <w:r>
        <w:rPr>
          <w:szCs w:val="18"/>
        </w:rPr>
        <w:t>m</w:t>
      </w:r>
      <w:r w:rsidR="00D04C9D">
        <w:rPr>
          <w:szCs w:val="18"/>
        </w:rPr>
        <w:t>ercury analysis</w:t>
      </w:r>
      <w:r w:rsidR="00636B35">
        <w:rPr>
          <w:szCs w:val="18"/>
        </w:rPr>
        <w:t xml:space="preserve"> results </w:t>
      </w:r>
      <w:r>
        <w:rPr>
          <w:szCs w:val="18"/>
        </w:rPr>
        <w:t>for DAP and superphosphate over the same three years</w:t>
      </w:r>
      <w:r w:rsidR="00BE6904">
        <w:rPr>
          <w:szCs w:val="18"/>
        </w:rPr>
        <w:t xml:space="preserve"> (where non-detected results contribute a concentration of half the detection limit and assuming the superphosphate/DAP market share is 60/40) the </w:t>
      </w:r>
      <w:r w:rsidR="00F96022">
        <w:rPr>
          <w:szCs w:val="18"/>
        </w:rPr>
        <w:t xml:space="preserve">annual </w:t>
      </w:r>
      <w:r w:rsidR="00BE6904">
        <w:rPr>
          <w:szCs w:val="18"/>
        </w:rPr>
        <w:t>mercury release associated with the application of 122,</w:t>
      </w:r>
      <w:r w:rsidR="00F96022">
        <w:rPr>
          <w:szCs w:val="18"/>
        </w:rPr>
        <w:t>0</w:t>
      </w:r>
      <w:r w:rsidR="00BE6904">
        <w:rPr>
          <w:szCs w:val="18"/>
        </w:rPr>
        <w:t xml:space="preserve">00 tonnes </w:t>
      </w:r>
      <w:r w:rsidR="00F96022">
        <w:rPr>
          <w:szCs w:val="18"/>
        </w:rPr>
        <w:t xml:space="preserve">of phosphorous in fertiliser is 132 kg (G Sneath, Fertiliser Association, pers comm, 2025). </w:t>
      </w:r>
      <w:r w:rsidR="00BA093A">
        <w:rPr>
          <w:szCs w:val="18"/>
        </w:rPr>
        <w:t>As with previous inventories the mercury is assumed to be discharged to land.</w:t>
      </w:r>
    </w:p>
    <w:p w14:paraId="67AF4D4F" w14:textId="77777777" w:rsidR="0027412C" w:rsidRPr="0027412C" w:rsidRDefault="0027412C" w:rsidP="003833D6">
      <w:pPr>
        <w:spacing w:line="300" w:lineRule="atLeast"/>
        <w:jc w:val="both"/>
        <w:rPr>
          <w:rFonts w:ascii="Arial" w:hAnsi="Arial" w:cs="Arial"/>
          <w:b/>
          <w:szCs w:val="18"/>
        </w:rPr>
      </w:pPr>
      <w:r w:rsidRPr="0027412C">
        <w:rPr>
          <w:rFonts w:ascii="Arial" w:hAnsi="Arial" w:cs="Arial"/>
          <w:b/>
          <w:szCs w:val="18"/>
        </w:rPr>
        <w:t>Agricultural lime</w:t>
      </w:r>
    </w:p>
    <w:p w14:paraId="69CFDE74" w14:textId="35289EA2" w:rsidR="00263225" w:rsidRDefault="00794625" w:rsidP="003833D6">
      <w:pPr>
        <w:spacing w:line="300" w:lineRule="atLeast"/>
        <w:jc w:val="both"/>
        <w:rPr>
          <w:szCs w:val="18"/>
        </w:rPr>
      </w:pPr>
      <w:r>
        <w:rPr>
          <w:szCs w:val="18"/>
        </w:rPr>
        <w:t>Agricultural lime is applied directly to pastures in New Zealand as a soil conditioner. This material is manufactured simply by grinding limestone to produce a coarse powder, and the</w:t>
      </w:r>
      <w:r w:rsidR="00281515">
        <w:rPr>
          <w:szCs w:val="18"/>
        </w:rPr>
        <w:t xml:space="preserve"> total quantity produced in </w:t>
      </w:r>
      <w:r w:rsidR="00DA1043">
        <w:rPr>
          <w:szCs w:val="18"/>
        </w:rPr>
        <w:t xml:space="preserve">2023 </w:t>
      </w:r>
      <w:r>
        <w:rPr>
          <w:szCs w:val="18"/>
        </w:rPr>
        <w:t xml:space="preserve">was </w:t>
      </w:r>
      <w:r w:rsidR="00DA1043">
        <w:rPr>
          <w:szCs w:val="18"/>
        </w:rPr>
        <w:t xml:space="preserve">940,364 </w:t>
      </w:r>
      <w:r w:rsidR="00A945B2">
        <w:rPr>
          <w:szCs w:val="18"/>
        </w:rPr>
        <w:t>tonnes</w:t>
      </w:r>
      <w:r w:rsidR="00B4529F">
        <w:rPr>
          <w:szCs w:val="18"/>
        </w:rPr>
        <w:t xml:space="preserve"> </w:t>
      </w:r>
      <w:r w:rsidR="002F5753">
        <w:rPr>
          <w:szCs w:val="18"/>
        </w:rPr>
        <w:t>(</w:t>
      </w:r>
      <w:r w:rsidR="00F7116B">
        <w:rPr>
          <w:szCs w:val="18"/>
        </w:rPr>
        <w:t xml:space="preserve">NZ Petroleum and Minerals, </w:t>
      </w:r>
      <w:r w:rsidR="00DA1043">
        <w:rPr>
          <w:szCs w:val="18"/>
        </w:rPr>
        <w:t>2023</w:t>
      </w:r>
      <w:r w:rsidR="002F5753">
        <w:rPr>
          <w:szCs w:val="18"/>
        </w:rPr>
        <w:t>)</w:t>
      </w:r>
      <w:r>
        <w:rPr>
          <w:szCs w:val="18"/>
        </w:rPr>
        <w:t xml:space="preserve">. </w:t>
      </w:r>
      <w:r w:rsidR="00DA1043">
        <w:rPr>
          <w:szCs w:val="18"/>
        </w:rPr>
        <w:t>2024 quantities are not yet available so this value will be used as an estimate. It</w:t>
      </w:r>
      <w:r w:rsidR="00263225">
        <w:rPr>
          <w:szCs w:val="18"/>
        </w:rPr>
        <w:t xml:space="preserve"> is </w:t>
      </w:r>
      <w:r w:rsidR="00B4529F">
        <w:rPr>
          <w:szCs w:val="18"/>
        </w:rPr>
        <w:t xml:space="preserve">similar to </w:t>
      </w:r>
      <w:r w:rsidR="002368BD">
        <w:rPr>
          <w:szCs w:val="18"/>
        </w:rPr>
        <w:t>t</w:t>
      </w:r>
      <w:r w:rsidR="00263225">
        <w:rPr>
          <w:szCs w:val="18"/>
        </w:rPr>
        <w:t>he quanti</w:t>
      </w:r>
      <w:r w:rsidR="00DA1043">
        <w:rPr>
          <w:szCs w:val="18"/>
        </w:rPr>
        <w:t>ties</w:t>
      </w:r>
      <w:r w:rsidR="00263225">
        <w:rPr>
          <w:szCs w:val="18"/>
        </w:rPr>
        <w:t xml:space="preserve"> reported for</w:t>
      </w:r>
      <w:r w:rsidR="00DA1043">
        <w:rPr>
          <w:szCs w:val="18"/>
        </w:rPr>
        <w:t xml:space="preserve"> 2016 and</w:t>
      </w:r>
      <w:r w:rsidR="00263225">
        <w:rPr>
          <w:szCs w:val="18"/>
        </w:rPr>
        <w:t xml:space="preserve"> </w:t>
      </w:r>
      <w:r w:rsidR="00DA1043">
        <w:rPr>
          <w:szCs w:val="18"/>
        </w:rPr>
        <w:t>2020</w:t>
      </w:r>
      <w:r w:rsidR="00B4529F">
        <w:rPr>
          <w:szCs w:val="18"/>
        </w:rPr>
        <w:t>.</w:t>
      </w:r>
      <w:r w:rsidR="00263225">
        <w:rPr>
          <w:szCs w:val="18"/>
        </w:rPr>
        <w:t xml:space="preserve"> </w:t>
      </w:r>
    </w:p>
    <w:p w14:paraId="4B35D0BA" w14:textId="75249A42" w:rsidR="0027412C" w:rsidRDefault="00794625" w:rsidP="003833D6">
      <w:pPr>
        <w:spacing w:line="300" w:lineRule="atLeast"/>
        <w:jc w:val="both"/>
        <w:rPr>
          <w:szCs w:val="18"/>
        </w:rPr>
      </w:pPr>
      <w:r>
        <w:rPr>
          <w:szCs w:val="18"/>
        </w:rPr>
        <w:t xml:space="preserve">The mercury content </w:t>
      </w:r>
      <w:r w:rsidR="00AA0DC9">
        <w:rPr>
          <w:szCs w:val="18"/>
        </w:rPr>
        <w:t>has been</w:t>
      </w:r>
      <w:r>
        <w:rPr>
          <w:szCs w:val="18"/>
        </w:rPr>
        <w:t xml:space="preserve"> assumed to be the same as that noted previously in section 5.3; ie</w:t>
      </w:r>
      <w:r w:rsidR="00F76187">
        <w:rPr>
          <w:szCs w:val="18"/>
        </w:rPr>
        <w:t>,</w:t>
      </w:r>
      <w:r>
        <w:rPr>
          <w:szCs w:val="18"/>
        </w:rPr>
        <w:t xml:space="preserve"> </w:t>
      </w:r>
      <w:r w:rsidRPr="00794625">
        <w:rPr>
          <w:szCs w:val="18"/>
        </w:rPr>
        <w:t>5 to 20 mg/tonne</w:t>
      </w:r>
      <w:r w:rsidR="00D8194D">
        <w:rPr>
          <w:szCs w:val="18"/>
        </w:rPr>
        <w:t>.</w:t>
      </w:r>
    </w:p>
    <w:p w14:paraId="6A95412A" w14:textId="77777777" w:rsidR="0027412C" w:rsidRPr="00794625" w:rsidRDefault="00794625" w:rsidP="003833D6">
      <w:pPr>
        <w:spacing w:line="300" w:lineRule="atLeast"/>
        <w:jc w:val="both"/>
        <w:rPr>
          <w:rFonts w:ascii="Arial" w:hAnsi="Arial" w:cs="Arial"/>
          <w:b/>
          <w:szCs w:val="18"/>
        </w:rPr>
      </w:pPr>
      <w:r w:rsidRPr="00794625">
        <w:rPr>
          <w:rFonts w:ascii="Arial" w:hAnsi="Arial" w:cs="Arial"/>
          <w:b/>
          <w:szCs w:val="18"/>
        </w:rPr>
        <w:t>Input and output estimates</w:t>
      </w:r>
    </w:p>
    <w:p w14:paraId="6D8A6F79" w14:textId="390FE8A5" w:rsidR="00892B2D" w:rsidRPr="00892B2D" w:rsidRDefault="00F00580" w:rsidP="00892B2D">
      <w:pPr>
        <w:spacing w:line="300" w:lineRule="atLeast"/>
        <w:jc w:val="both"/>
      </w:pPr>
      <w:r w:rsidRPr="00232361">
        <w:rPr>
          <w:szCs w:val="18"/>
        </w:rPr>
        <w:t xml:space="preserve">The mercury input and output </w:t>
      </w:r>
      <w:r>
        <w:rPr>
          <w:szCs w:val="18"/>
        </w:rPr>
        <w:t>estimates</w:t>
      </w:r>
      <w:r w:rsidRPr="00232361">
        <w:rPr>
          <w:szCs w:val="18"/>
        </w:rPr>
        <w:t xml:space="preserve"> for </w:t>
      </w:r>
      <w:r>
        <w:rPr>
          <w:szCs w:val="18"/>
        </w:rPr>
        <w:t>the use of other mineral products</w:t>
      </w:r>
      <w:r w:rsidRPr="00232361">
        <w:rPr>
          <w:szCs w:val="18"/>
        </w:rPr>
        <w:t xml:space="preserve"> are shown in </w:t>
      </w:r>
      <w:r w:rsidRPr="0094605E">
        <w:rPr>
          <w:szCs w:val="18"/>
        </w:rPr>
        <w:fldChar w:fldCharType="begin"/>
      </w:r>
      <w:r w:rsidRPr="0094605E">
        <w:rPr>
          <w:szCs w:val="18"/>
        </w:rPr>
        <w:instrText xml:space="preserve"> REF _Ref358537738 \h </w:instrText>
      </w:r>
      <w:r w:rsidR="0094605E">
        <w:rPr>
          <w:szCs w:val="18"/>
        </w:rPr>
        <w:instrText xml:space="preserve"> \* MERGEFORMAT </w:instrText>
      </w:r>
      <w:r w:rsidRPr="0094605E">
        <w:rPr>
          <w:szCs w:val="18"/>
        </w:rPr>
      </w:r>
      <w:r w:rsidRPr="0094605E">
        <w:rPr>
          <w:szCs w:val="18"/>
        </w:rPr>
        <w:fldChar w:fldCharType="separate"/>
      </w:r>
    </w:p>
    <w:p w14:paraId="0CD4B240" w14:textId="325CDBDB" w:rsidR="00FC3ED9" w:rsidRPr="00892B2D" w:rsidRDefault="00892B2D" w:rsidP="00892B2D">
      <w:pPr>
        <w:spacing w:line="300" w:lineRule="atLeast"/>
        <w:jc w:val="both"/>
        <w:rPr>
          <w:szCs w:val="18"/>
        </w:rPr>
      </w:pPr>
      <w:r w:rsidRPr="00892B2D">
        <w:rPr>
          <w:noProof/>
        </w:rPr>
        <w:t>Table</w:t>
      </w:r>
      <w:r w:rsidRPr="00DB5237">
        <w:rPr>
          <w:rFonts w:ascii="Arial" w:hAnsi="Arial" w:cs="Arial"/>
        </w:rPr>
        <w:t xml:space="preserve"> </w:t>
      </w:r>
      <w:r>
        <w:rPr>
          <w:rFonts w:ascii="Arial" w:hAnsi="Arial" w:cs="Arial"/>
          <w:noProof/>
        </w:rPr>
        <w:t>5</w:t>
      </w:r>
      <w:r>
        <w:rPr>
          <w:rFonts w:ascii="Arial" w:hAnsi="Arial" w:cs="Arial"/>
          <w:noProof/>
        </w:rPr>
        <w:noBreakHyphen/>
        <w:t>4</w:t>
      </w:r>
      <w:r w:rsidR="00F00580" w:rsidRPr="0094605E">
        <w:rPr>
          <w:szCs w:val="18"/>
        </w:rPr>
        <w:fldChar w:fldCharType="end"/>
      </w:r>
      <w:r w:rsidR="00F00580">
        <w:rPr>
          <w:szCs w:val="18"/>
        </w:rPr>
        <w:t>.</w:t>
      </w:r>
      <w:bookmarkStart w:id="77" w:name="_Ref358537738"/>
      <w:bookmarkStart w:id="78" w:name="_Toc110355475"/>
    </w:p>
    <w:p w14:paraId="2C533558" w14:textId="0DF82FA4" w:rsidR="00F00580" w:rsidRDefault="00F00580" w:rsidP="00F00580">
      <w:pPr>
        <w:pStyle w:val="Caption"/>
        <w:spacing w:before="240"/>
        <w:rPr>
          <w:szCs w:val="18"/>
        </w:rPr>
      </w:pPr>
      <w:r w:rsidRPr="00DB5237">
        <w:rPr>
          <w:rFonts w:ascii="Arial" w:hAnsi="Arial" w:cs="Arial"/>
        </w:rPr>
        <w:t xml:space="preserve">Table </w:t>
      </w:r>
      <w:r w:rsidR="00390C9F">
        <w:rPr>
          <w:rFonts w:ascii="Arial" w:hAnsi="Arial" w:cs="Arial"/>
        </w:rPr>
        <w:fldChar w:fldCharType="begin"/>
      </w:r>
      <w:r w:rsidR="00390C9F">
        <w:rPr>
          <w:rFonts w:ascii="Arial" w:hAnsi="Arial" w:cs="Arial"/>
        </w:rPr>
        <w:instrText xml:space="preserve"> STYLEREF 1 \s </w:instrText>
      </w:r>
      <w:r w:rsidR="00390C9F">
        <w:rPr>
          <w:rFonts w:ascii="Arial" w:hAnsi="Arial" w:cs="Arial"/>
        </w:rPr>
        <w:fldChar w:fldCharType="separate"/>
      </w:r>
      <w:r w:rsidR="00892B2D">
        <w:rPr>
          <w:rFonts w:ascii="Arial" w:hAnsi="Arial" w:cs="Arial"/>
          <w:noProof/>
        </w:rPr>
        <w:t>5</w:t>
      </w:r>
      <w:r w:rsidR="00390C9F">
        <w:rPr>
          <w:rFonts w:ascii="Arial" w:hAnsi="Arial" w:cs="Arial"/>
        </w:rPr>
        <w:fldChar w:fldCharType="end"/>
      </w:r>
      <w:r w:rsidR="00390C9F">
        <w:rPr>
          <w:rFonts w:ascii="Arial" w:hAnsi="Arial" w:cs="Arial"/>
        </w:rPr>
        <w:noBreakHyphen/>
      </w:r>
      <w:r w:rsidR="00390C9F">
        <w:rPr>
          <w:rFonts w:ascii="Arial" w:hAnsi="Arial" w:cs="Arial"/>
        </w:rPr>
        <w:fldChar w:fldCharType="begin"/>
      </w:r>
      <w:r w:rsidR="00390C9F">
        <w:rPr>
          <w:rFonts w:ascii="Arial" w:hAnsi="Arial" w:cs="Arial"/>
        </w:rPr>
        <w:instrText xml:space="preserve"> SEQ Table \* ARABIC \s 1 </w:instrText>
      </w:r>
      <w:r w:rsidR="00390C9F">
        <w:rPr>
          <w:rFonts w:ascii="Arial" w:hAnsi="Arial" w:cs="Arial"/>
        </w:rPr>
        <w:fldChar w:fldCharType="separate"/>
      </w:r>
      <w:r w:rsidR="00892B2D">
        <w:rPr>
          <w:rFonts w:ascii="Arial" w:hAnsi="Arial" w:cs="Arial"/>
          <w:noProof/>
        </w:rPr>
        <w:t>4</w:t>
      </w:r>
      <w:r w:rsidR="00390C9F">
        <w:rPr>
          <w:rFonts w:ascii="Arial" w:hAnsi="Arial" w:cs="Arial"/>
        </w:rPr>
        <w:fldChar w:fldCharType="end"/>
      </w:r>
      <w:bookmarkEnd w:id="77"/>
      <w:r w:rsidRPr="00DB5237">
        <w:rPr>
          <w:rFonts w:ascii="Arial" w:hAnsi="Arial" w:cs="Arial"/>
        </w:rPr>
        <w:t>:</w:t>
      </w:r>
      <w:r>
        <w:t xml:space="preserve"> </w:t>
      </w:r>
      <w:r w:rsidR="00403501">
        <w:t xml:space="preserve"> </w:t>
      </w:r>
      <w:r w:rsidRPr="00284760">
        <w:rPr>
          <w:rFonts w:ascii="Arial" w:hAnsi="Arial" w:cs="Arial"/>
        </w:rPr>
        <w:t>Input and output estimates for</w:t>
      </w:r>
      <w:r>
        <w:rPr>
          <w:rFonts w:ascii="Arial" w:hAnsi="Arial" w:cs="Arial"/>
        </w:rPr>
        <w:t xml:space="preserve"> other mineral products</w:t>
      </w:r>
      <w:bookmarkEnd w:id="78"/>
    </w:p>
    <w:tbl>
      <w:tblPr>
        <w:tblStyle w:val="TableGrid"/>
        <w:tblW w:w="0" w:type="auto"/>
        <w:tblLook w:val="04A0" w:firstRow="1" w:lastRow="0" w:firstColumn="1" w:lastColumn="0" w:noHBand="0" w:noVBand="1"/>
      </w:tblPr>
      <w:tblGrid>
        <w:gridCol w:w="2031"/>
        <w:gridCol w:w="1340"/>
        <w:gridCol w:w="1440"/>
        <w:gridCol w:w="1706"/>
        <w:gridCol w:w="2544"/>
      </w:tblGrid>
      <w:tr w:rsidR="00F00580" w14:paraId="78DB0C9A" w14:textId="77777777" w:rsidTr="00277CC6">
        <w:tc>
          <w:tcPr>
            <w:tcW w:w="2031" w:type="dxa"/>
            <w:vMerge w:val="restart"/>
            <w:vAlign w:val="center"/>
          </w:tcPr>
          <w:p w14:paraId="0F323C6D" w14:textId="77777777" w:rsidR="00F00580" w:rsidRPr="00F31685" w:rsidRDefault="00F00580" w:rsidP="001E5DEF">
            <w:pPr>
              <w:spacing w:line="300" w:lineRule="atLeast"/>
              <w:jc w:val="center"/>
              <w:rPr>
                <w:rFonts w:ascii="Arial" w:hAnsi="Arial" w:cs="Arial"/>
                <w:b/>
                <w:sz w:val="16"/>
                <w:szCs w:val="16"/>
              </w:rPr>
            </w:pPr>
            <w:r w:rsidRPr="00F31685">
              <w:rPr>
                <w:rFonts w:ascii="Arial" w:hAnsi="Arial" w:cs="Arial"/>
                <w:b/>
                <w:sz w:val="16"/>
                <w:szCs w:val="16"/>
              </w:rPr>
              <w:t>Source</w:t>
            </w:r>
          </w:p>
        </w:tc>
        <w:tc>
          <w:tcPr>
            <w:tcW w:w="1340" w:type="dxa"/>
            <w:vMerge w:val="restart"/>
            <w:vAlign w:val="center"/>
          </w:tcPr>
          <w:p w14:paraId="1544D1B4" w14:textId="77777777" w:rsidR="00F00580" w:rsidRPr="00F31685" w:rsidRDefault="00F00580" w:rsidP="001E5DEF">
            <w:pPr>
              <w:spacing w:line="300" w:lineRule="atLeast"/>
              <w:jc w:val="center"/>
              <w:rPr>
                <w:rFonts w:ascii="Arial" w:hAnsi="Arial" w:cs="Arial"/>
                <w:b/>
                <w:sz w:val="16"/>
                <w:szCs w:val="16"/>
              </w:rPr>
            </w:pPr>
            <w:r w:rsidRPr="00F31685">
              <w:rPr>
                <w:rFonts w:ascii="Arial" w:hAnsi="Arial" w:cs="Arial"/>
                <w:b/>
                <w:sz w:val="16"/>
                <w:szCs w:val="16"/>
              </w:rPr>
              <w:t>Activity Rate, tonnes/yr</w:t>
            </w:r>
          </w:p>
        </w:tc>
        <w:tc>
          <w:tcPr>
            <w:tcW w:w="1440" w:type="dxa"/>
            <w:vMerge w:val="restart"/>
            <w:vAlign w:val="center"/>
          </w:tcPr>
          <w:p w14:paraId="0C2DB166" w14:textId="77777777" w:rsidR="00F00580" w:rsidRPr="00F31685" w:rsidRDefault="00F00580" w:rsidP="001E5DEF">
            <w:pPr>
              <w:spacing w:line="300" w:lineRule="atLeast"/>
              <w:jc w:val="center"/>
              <w:rPr>
                <w:rFonts w:ascii="Arial" w:hAnsi="Arial" w:cs="Arial"/>
                <w:b/>
                <w:sz w:val="16"/>
                <w:szCs w:val="16"/>
              </w:rPr>
            </w:pPr>
            <w:r w:rsidRPr="00F31685">
              <w:rPr>
                <w:rFonts w:ascii="Arial" w:hAnsi="Arial" w:cs="Arial"/>
                <w:b/>
                <w:sz w:val="16"/>
                <w:szCs w:val="16"/>
              </w:rPr>
              <w:t>Mercury conten</w:t>
            </w:r>
            <w:r w:rsidR="00B169B3">
              <w:rPr>
                <w:rFonts w:ascii="Arial" w:hAnsi="Arial" w:cs="Arial"/>
                <w:b/>
                <w:sz w:val="16"/>
                <w:szCs w:val="16"/>
              </w:rPr>
              <w:t xml:space="preserve">t, </w:t>
            </w:r>
            <w:r>
              <w:rPr>
                <w:rFonts w:ascii="Arial" w:hAnsi="Arial" w:cs="Arial"/>
                <w:b/>
                <w:sz w:val="16"/>
                <w:szCs w:val="16"/>
              </w:rPr>
              <w:t>g/t</w:t>
            </w:r>
            <w:r w:rsidR="00B169B3">
              <w:rPr>
                <w:rFonts w:ascii="Arial" w:hAnsi="Arial" w:cs="Arial"/>
                <w:b/>
                <w:sz w:val="16"/>
                <w:szCs w:val="16"/>
              </w:rPr>
              <w:t>onne</w:t>
            </w:r>
          </w:p>
        </w:tc>
        <w:tc>
          <w:tcPr>
            <w:tcW w:w="1706" w:type="dxa"/>
            <w:vMerge w:val="restart"/>
            <w:vAlign w:val="center"/>
          </w:tcPr>
          <w:p w14:paraId="4FFB42B6" w14:textId="77777777" w:rsidR="00F00580" w:rsidRPr="00F31685" w:rsidRDefault="00F00580" w:rsidP="001E5DEF">
            <w:pPr>
              <w:spacing w:line="300" w:lineRule="atLeast"/>
              <w:jc w:val="center"/>
              <w:rPr>
                <w:rFonts w:ascii="Arial" w:hAnsi="Arial" w:cs="Arial"/>
                <w:b/>
                <w:sz w:val="16"/>
                <w:szCs w:val="16"/>
              </w:rPr>
            </w:pPr>
            <w:r w:rsidRPr="00F31685">
              <w:rPr>
                <w:rFonts w:ascii="Arial" w:hAnsi="Arial" w:cs="Arial"/>
                <w:b/>
                <w:sz w:val="16"/>
                <w:szCs w:val="16"/>
              </w:rPr>
              <w:t>Annual Mercury Inputs, kg/yr</w:t>
            </w:r>
          </w:p>
        </w:tc>
        <w:tc>
          <w:tcPr>
            <w:tcW w:w="2544" w:type="dxa"/>
            <w:vAlign w:val="center"/>
          </w:tcPr>
          <w:p w14:paraId="753B23D8" w14:textId="77777777" w:rsidR="00F00580" w:rsidRPr="00F31685" w:rsidRDefault="00F00580" w:rsidP="001E5DEF">
            <w:pPr>
              <w:spacing w:line="300" w:lineRule="atLeast"/>
              <w:jc w:val="center"/>
              <w:rPr>
                <w:rFonts w:ascii="Arial" w:hAnsi="Arial" w:cs="Arial"/>
                <w:b/>
                <w:sz w:val="16"/>
                <w:szCs w:val="16"/>
              </w:rPr>
            </w:pPr>
            <w:r w:rsidRPr="00F31685">
              <w:rPr>
                <w:rFonts w:ascii="Arial" w:hAnsi="Arial" w:cs="Arial"/>
                <w:b/>
                <w:sz w:val="16"/>
                <w:szCs w:val="16"/>
              </w:rPr>
              <w:t>Annual Mercury Outputs, kg/yr</w:t>
            </w:r>
          </w:p>
        </w:tc>
      </w:tr>
      <w:tr w:rsidR="00F00580" w14:paraId="37CE7089" w14:textId="77777777" w:rsidTr="00277CC6">
        <w:tc>
          <w:tcPr>
            <w:tcW w:w="2031" w:type="dxa"/>
            <w:vMerge/>
            <w:vAlign w:val="center"/>
          </w:tcPr>
          <w:p w14:paraId="067F68F5" w14:textId="77777777" w:rsidR="00F00580" w:rsidRPr="00F31685" w:rsidRDefault="00F00580" w:rsidP="001E5DEF">
            <w:pPr>
              <w:spacing w:line="300" w:lineRule="atLeast"/>
              <w:jc w:val="center"/>
              <w:rPr>
                <w:rFonts w:ascii="Arial" w:hAnsi="Arial" w:cs="Arial"/>
                <w:b/>
                <w:sz w:val="16"/>
                <w:szCs w:val="16"/>
              </w:rPr>
            </w:pPr>
          </w:p>
        </w:tc>
        <w:tc>
          <w:tcPr>
            <w:tcW w:w="1340" w:type="dxa"/>
            <w:vMerge/>
            <w:vAlign w:val="center"/>
          </w:tcPr>
          <w:p w14:paraId="60EA3FF7" w14:textId="77777777" w:rsidR="00F00580" w:rsidRPr="00F31685" w:rsidRDefault="00F00580" w:rsidP="001E5DEF">
            <w:pPr>
              <w:spacing w:line="300" w:lineRule="atLeast"/>
              <w:jc w:val="center"/>
              <w:rPr>
                <w:rFonts w:ascii="Arial" w:hAnsi="Arial" w:cs="Arial"/>
                <w:b/>
                <w:sz w:val="16"/>
                <w:szCs w:val="16"/>
              </w:rPr>
            </w:pPr>
          </w:p>
        </w:tc>
        <w:tc>
          <w:tcPr>
            <w:tcW w:w="1440" w:type="dxa"/>
            <w:vMerge/>
            <w:vAlign w:val="center"/>
          </w:tcPr>
          <w:p w14:paraId="15A4D314" w14:textId="77777777" w:rsidR="00F00580" w:rsidRPr="00F31685" w:rsidRDefault="00F00580" w:rsidP="001E5DEF">
            <w:pPr>
              <w:spacing w:line="300" w:lineRule="atLeast"/>
              <w:jc w:val="center"/>
              <w:rPr>
                <w:rFonts w:ascii="Arial" w:hAnsi="Arial" w:cs="Arial"/>
                <w:b/>
                <w:sz w:val="16"/>
                <w:szCs w:val="16"/>
              </w:rPr>
            </w:pPr>
          </w:p>
        </w:tc>
        <w:tc>
          <w:tcPr>
            <w:tcW w:w="1706" w:type="dxa"/>
            <w:vMerge/>
            <w:vAlign w:val="center"/>
          </w:tcPr>
          <w:p w14:paraId="6F4272C4" w14:textId="77777777" w:rsidR="00F00580" w:rsidRPr="00F31685" w:rsidRDefault="00F00580" w:rsidP="001E5DEF">
            <w:pPr>
              <w:spacing w:line="300" w:lineRule="atLeast"/>
              <w:jc w:val="center"/>
              <w:rPr>
                <w:rFonts w:ascii="Arial" w:hAnsi="Arial" w:cs="Arial"/>
                <w:b/>
                <w:sz w:val="16"/>
                <w:szCs w:val="16"/>
              </w:rPr>
            </w:pPr>
          </w:p>
        </w:tc>
        <w:tc>
          <w:tcPr>
            <w:tcW w:w="2544" w:type="dxa"/>
            <w:vAlign w:val="center"/>
          </w:tcPr>
          <w:p w14:paraId="6339B480" w14:textId="77777777" w:rsidR="00F00580" w:rsidRPr="00F31685" w:rsidRDefault="00F00580" w:rsidP="001E5DEF">
            <w:pPr>
              <w:spacing w:line="300" w:lineRule="atLeast"/>
              <w:jc w:val="center"/>
              <w:rPr>
                <w:rFonts w:ascii="Arial" w:hAnsi="Arial" w:cs="Arial"/>
                <w:b/>
                <w:sz w:val="16"/>
                <w:szCs w:val="16"/>
              </w:rPr>
            </w:pPr>
            <w:r>
              <w:rPr>
                <w:rFonts w:ascii="Arial" w:hAnsi="Arial" w:cs="Arial"/>
                <w:b/>
                <w:sz w:val="16"/>
                <w:szCs w:val="16"/>
              </w:rPr>
              <w:t>Land</w:t>
            </w:r>
          </w:p>
        </w:tc>
      </w:tr>
      <w:tr w:rsidR="00F00580" w14:paraId="60BF5564" w14:textId="77777777" w:rsidTr="00277CC6">
        <w:tc>
          <w:tcPr>
            <w:tcW w:w="2031" w:type="dxa"/>
          </w:tcPr>
          <w:p w14:paraId="05C0100A" w14:textId="77777777" w:rsidR="00F00580" w:rsidRPr="00F31685" w:rsidRDefault="00F00580" w:rsidP="001E5DEF">
            <w:pPr>
              <w:spacing w:line="300" w:lineRule="atLeast"/>
              <w:jc w:val="both"/>
              <w:rPr>
                <w:rFonts w:ascii="Arial" w:hAnsi="Arial" w:cs="Arial"/>
                <w:sz w:val="16"/>
                <w:szCs w:val="16"/>
              </w:rPr>
            </w:pPr>
            <w:r>
              <w:rPr>
                <w:rFonts w:ascii="Arial" w:hAnsi="Arial" w:cs="Arial"/>
                <w:sz w:val="16"/>
                <w:szCs w:val="16"/>
              </w:rPr>
              <w:t>Phosphate fertiliser</w:t>
            </w:r>
            <w:r w:rsidR="008F0B99">
              <w:rPr>
                <w:rFonts w:ascii="Arial" w:hAnsi="Arial" w:cs="Arial"/>
                <w:sz w:val="16"/>
                <w:szCs w:val="16"/>
              </w:rPr>
              <w:t>, 2012</w:t>
            </w:r>
          </w:p>
        </w:tc>
        <w:tc>
          <w:tcPr>
            <w:tcW w:w="1340" w:type="dxa"/>
            <w:vAlign w:val="center"/>
          </w:tcPr>
          <w:p w14:paraId="34340210" w14:textId="77777777" w:rsidR="00F00580" w:rsidRPr="00F31685" w:rsidRDefault="00F00580" w:rsidP="00B169B3">
            <w:pPr>
              <w:spacing w:line="300" w:lineRule="atLeast"/>
              <w:jc w:val="center"/>
              <w:rPr>
                <w:rFonts w:ascii="Arial" w:hAnsi="Arial" w:cs="Arial"/>
                <w:sz w:val="16"/>
                <w:szCs w:val="16"/>
              </w:rPr>
            </w:pPr>
            <w:r>
              <w:rPr>
                <w:rFonts w:ascii="Arial" w:hAnsi="Arial" w:cs="Arial"/>
                <w:sz w:val="16"/>
                <w:szCs w:val="16"/>
              </w:rPr>
              <w:t>6</w:t>
            </w:r>
            <w:r w:rsidR="00B169B3">
              <w:rPr>
                <w:rFonts w:ascii="Arial" w:hAnsi="Arial" w:cs="Arial"/>
                <w:sz w:val="16"/>
                <w:szCs w:val="16"/>
              </w:rPr>
              <w:t>3</w:t>
            </w:r>
            <w:r>
              <w:rPr>
                <w:rFonts w:ascii="Arial" w:hAnsi="Arial" w:cs="Arial"/>
                <w:sz w:val="16"/>
                <w:szCs w:val="16"/>
              </w:rPr>
              <w:t>0,</w:t>
            </w:r>
            <w:r w:rsidR="00B169B3">
              <w:rPr>
                <w:rFonts w:ascii="Arial" w:hAnsi="Arial" w:cs="Arial"/>
                <w:sz w:val="16"/>
                <w:szCs w:val="16"/>
              </w:rPr>
              <w:t>750</w:t>
            </w:r>
          </w:p>
        </w:tc>
        <w:tc>
          <w:tcPr>
            <w:tcW w:w="1440" w:type="dxa"/>
            <w:vAlign w:val="center"/>
          </w:tcPr>
          <w:p w14:paraId="4A3FDCA7" w14:textId="77777777" w:rsidR="00F00580" w:rsidRPr="00F31685" w:rsidRDefault="00E1590E" w:rsidP="00537ED1">
            <w:pPr>
              <w:spacing w:line="300" w:lineRule="atLeast"/>
              <w:jc w:val="center"/>
              <w:rPr>
                <w:rFonts w:ascii="Arial" w:hAnsi="Arial" w:cs="Arial"/>
                <w:sz w:val="16"/>
                <w:szCs w:val="16"/>
              </w:rPr>
            </w:pPr>
            <w:r>
              <w:rPr>
                <w:rFonts w:ascii="Arial" w:hAnsi="Arial" w:cs="Arial"/>
                <w:sz w:val="16"/>
                <w:szCs w:val="16"/>
              </w:rPr>
              <w:t>0.</w:t>
            </w:r>
            <w:r w:rsidR="00AB4ACB">
              <w:rPr>
                <w:rFonts w:ascii="Arial" w:hAnsi="Arial" w:cs="Arial"/>
                <w:sz w:val="16"/>
                <w:szCs w:val="16"/>
              </w:rPr>
              <w:t>0</w:t>
            </w:r>
            <w:r w:rsidR="004B386B">
              <w:rPr>
                <w:rFonts w:ascii="Arial" w:hAnsi="Arial" w:cs="Arial"/>
                <w:sz w:val="16"/>
                <w:szCs w:val="16"/>
              </w:rPr>
              <w:t>5</w:t>
            </w:r>
            <w:r>
              <w:rPr>
                <w:rFonts w:ascii="Arial" w:hAnsi="Arial" w:cs="Arial"/>
                <w:sz w:val="16"/>
                <w:szCs w:val="16"/>
              </w:rPr>
              <w:t xml:space="preserve"> – 0</w:t>
            </w:r>
            <w:r w:rsidR="00537ED1">
              <w:rPr>
                <w:rFonts w:ascii="Arial" w:hAnsi="Arial" w:cs="Arial"/>
                <w:sz w:val="16"/>
                <w:szCs w:val="16"/>
              </w:rPr>
              <w:t>.3</w:t>
            </w:r>
            <w:r>
              <w:rPr>
                <w:rFonts w:ascii="Arial" w:hAnsi="Arial" w:cs="Arial"/>
                <w:sz w:val="16"/>
                <w:szCs w:val="16"/>
              </w:rPr>
              <w:t>4</w:t>
            </w:r>
          </w:p>
        </w:tc>
        <w:tc>
          <w:tcPr>
            <w:tcW w:w="1706" w:type="dxa"/>
            <w:vAlign w:val="center"/>
          </w:tcPr>
          <w:p w14:paraId="0F00DF64" w14:textId="14731DD4" w:rsidR="00F00580" w:rsidRPr="00F31685" w:rsidRDefault="00AA0DC9" w:rsidP="00016AD4">
            <w:pPr>
              <w:spacing w:line="300" w:lineRule="atLeast"/>
              <w:jc w:val="center"/>
              <w:rPr>
                <w:rFonts w:ascii="Arial" w:hAnsi="Arial" w:cs="Arial"/>
                <w:sz w:val="16"/>
                <w:szCs w:val="16"/>
              </w:rPr>
            </w:pPr>
            <w:r>
              <w:rPr>
                <w:rFonts w:ascii="Arial" w:hAnsi="Arial" w:cs="Arial"/>
                <w:sz w:val="16"/>
                <w:szCs w:val="16"/>
              </w:rPr>
              <w:t>31</w:t>
            </w:r>
            <w:r w:rsidR="00AB4ACB">
              <w:rPr>
                <w:rFonts w:ascii="Arial" w:hAnsi="Arial" w:cs="Arial"/>
                <w:sz w:val="16"/>
                <w:szCs w:val="16"/>
              </w:rPr>
              <w:t>.5</w:t>
            </w:r>
            <w:r>
              <w:rPr>
                <w:rFonts w:ascii="Arial" w:hAnsi="Arial" w:cs="Arial"/>
                <w:sz w:val="16"/>
                <w:szCs w:val="16"/>
              </w:rPr>
              <w:t xml:space="preserve"> </w:t>
            </w:r>
            <w:r w:rsidR="00537ED1">
              <w:rPr>
                <w:rFonts w:ascii="Arial" w:hAnsi="Arial" w:cs="Arial"/>
                <w:sz w:val="16"/>
                <w:szCs w:val="16"/>
              </w:rPr>
              <w:t>–</w:t>
            </w:r>
            <w:r>
              <w:rPr>
                <w:rFonts w:ascii="Arial" w:hAnsi="Arial" w:cs="Arial"/>
                <w:sz w:val="16"/>
                <w:szCs w:val="16"/>
              </w:rPr>
              <w:t xml:space="preserve"> 2</w:t>
            </w:r>
            <w:r w:rsidR="00537ED1">
              <w:rPr>
                <w:rFonts w:ascii="Arial" w:hAnsi="Arial" w:cs="Arial"/>
                <w:sz w:val="16"/>
                <w:szCs w:val="16"/>
              </w:rPr>
              <w:t>14.5</w:t>
            </w:r>
            <w:r w:rsidR="00016AD4">
              <w:rPr>
                <w:rFonts w:ascii="Arial" w:hAnsi="Arial" w:cs="Arial"/>
                <w:sz w:val="16"/>
                <w:szCs w:val="16"/>
              </w:rPr>
              <w:t xml:space="preserve"> </w:t>
            </w:r>
            <w:r w:rsidR="00537ED1">
              <w:rPr>
                <w:rFonts w:ascii="Arial" w:hAnsi="Arial" w:cs="Arial"/>
                <w:sz w:val="16"/>
                <w:szCs w:val="16"/>
              </w:rPr>
              <w:t>(123)</w:t>
            </w:r>
          </w:p>
        </w:tc>
        <w:tc>
          <w:tcPr>
            <w:tcW w:w="2544" w:type="dxa"/>
            <w:vAlign w:val="center"/>
          </w:tcPr>
          <w:p w14:paraId="2F86C84F" w14:textId="33BAAC20" w:rsidR="00F00580" w:rsidRPr="00F31685" w:rsidRDefault="00AA0DC9" w:rsidP="00537ED1">
            <w:pPr>
              <w:spacing w:line="300" w:lineRule="atLeast"/>
              <w:jc w:val="center"/>
              <w:rPr>
                <w:rFonts w:ascii="Arial" w:hAnsi="Arial" w:cs="Arial"/>
                <w:sz w:val="16"/>
                <w:szCs w:val="16"/>
              </w:rPr>
            </w:pPr>
            <w:r>
              <w:rPr>
                <w:rFonts w:ascii="Arial" w:hAnsi="Arial" w:cs="Arial"/>
                <w:sz w:val="16"/>
                <w:szCs w:val="16"/>
              </w:rPr>
              <w:t>3</w:t>
            </w:r>
            <w:r w:rsidR="00AB4ACB">
              <w:rPr>
                <w:rFonts w:ascii="Arial" w:hAnsi="Arial" w:cs="Arial"/>
                <w:sz w:val="16"/>
                <w:szCs w:val="16"/>
              </w:rPr>
              <w:t>1</w:t>
            </w:r>
            <w:r>
              <w:rPr>
                <w:rFonts w:ascii="Arial" w:hAnsi="Arial" w:cs="Arial"/>
                <w:sz w:val="16"/>
                <w:szCs w:val="16"/>
              </w:rPr>
              <w:t>.</w:t>
            </w:r>
            <w:r w:rsidR="00AB4ACB">
              <w:rPr>
                <w:rFonts w:ascii="Arial" w:hAnsi="Arial" w:cs="Arial"/>
                <w:sz w:val="16"/>
                <w:szCs w:val="16"/>
              </w:rPr>
              <w:t>5</w:t>
            </w:r>
            <w:r>
              <w:rPr>
                <w:rFonts w:ascii="Arial" w:hAnsi="Arial" w:cs="Arial"/>
                <w:sz w:val="16"/>
                <w:szCs w:val="16"/>
              </w:rPr>
              <w:t xml:space="preserve"> </w:t>
            </w:r>
            <w:r w:rsidR="00537ED1">
              <w:rPr>
                <w:rFonts w:ascii="Arial" w:hAnsi="Arial" w:cs="Arial"/>
                <w:sz w:val="16"/>
                <w:szCs w:val="16"/>
              </w:rPr>
              <w:t>– 214.5</w:t>
            </w:r>
            <w:r w:rsidR="00277CC6">
              <w:rPr>
                <w:rFonts w:ascii="Arial" w:hAnsi="Arial" w:cs="Arial"/>
                <w:sz w:val="16"/>
                <w:szCs w:val="16"/>
              </w:rPr>
              <w:t xml:space="preserve"> </w:t>
            </w:r>
            <w:r w:rsidR="00537ED1">
              <w:rPr>
                <w:rFonts w:ascii="Arial" w:hAnsi="Arial" w:cs="Arial"/>
                <w:sz w:val="16"/>
                <w:szCs w:val="16"/>
              </w:rPr>
              <w:t>(123)</w:t>
            </w:r>
          </w:p>
        </w:tc>
      </w:tr>
      <w:tr w:rsidR="00796FAD" w14:paraId="5CBD473C" w14:textId="77777777" w:rsidTr="00277CC6">
        <w:tc>
          <w:tcPr>
            <w:tcW w:w="2031" w:type="dxa"/>
            <w:tcBorders>
              <w:bottom w:val="single" w:sz="4" w:space="0" w:color="auto"/>
            </w:tcBorders>
          </w:tcPr>
          <w:p w14:paraId="273BBD3D" w14:textId="77777777" w:rsidR="00796FAD" w:rsidRDefault="00796FAD" w:rsidP="00796FAD">
            <w:pPr>
              <w:spacing w:line="300" w:lineRule="atLeast"/>
              <w:jc w:val="both"/>
              <w:rPr>
                <w:rFonts w:ascii="Arial" w:hAnsi="Arial" w:cs="Arial"/>
                <w:sz w:val="16"/>
                <w:szCs w:val="16"/>
              </w:rPr>
            </w:pPr>
            <w:r w:rsidRPr="00796FAD">
              <w:rPr>
                <w:rFonts w:ascii="Arial" w:hAnsi="Arial" w:cs="Arial"/>
                <w:sz w:val="16"/>
                <w:szCs w:val="16"/>
              </w:rPr>
              <w:t>Phosphate fertiliser, 2016</w:t>
            </w:r>
          </w:p>
        </w:tc>
        <w:tc>
          <w:tcPr>
            <w:tcW w:w="1340" w:type="dxa"/>
            <w:tcBorders>
              <w:bottom w:val="single" w:sz="4" w:space="0" w:color="auto"/>
            </w:tcBorders>
            <w:vAlign w:val="center"/>
          </w:tcPr>
          <w:p w14:paraId="39D793D1" w14:textId="71C39F1E" w:rsidR="00796FAD" w:rsidRDefault="00796FAD" w:rsidP="00796FAD">
            <w:pPr>
              <w:spacing w:line="300" w:lineRule="atLeast"/>
              <w:jc w:val="center"/>
              <w:rPr>
                <w:rFonts w:ascii="Arial" w:hAnsi="Arial" w:cs="Arial"/>
                <w:sz w:val="16"/>
                <w:szCs w:val="16"/>
              </w:rPr>
            </w:pPr>
            <w:r>
              <w:rPr>
                <w:rFonts w:ascii="Arial" w:hAnsi="Arial" w:cs="Arial"/>
                <w:sz w:val="16"/>
                <w:szCs w:val="16"/>
              </w:rPr>
              <w:t>1,096,000</w:t>
            </w:r>
          </w:p>
        </w:tc>
        <w:tc>
          <w:tcPr>
            <w:tcW w:w="1440" w:type="dxa"/>
            <w:tcBorders>
              <w:bottom w:val="single" w:sz="4" w:space="0" w:color="auto"/>
            </w:tcBorders>
            <w:vAlign w:val="center"/>
          </w:tcPr>
          <w:p w14:paraId="1E4E9DC8" w14:textId="78BC4399" w:rsidR="00796FAD" w:rsidRDefault="00796FAD" w:rsidP="00796FAD">
            <w:pPr>
              <w:spacing w:line="300" w:lineRule="atLeast"/>
              <w:jc w:val="center"/>
              <w:rPr>
                <w:rFonts w:ascii="Arial" w:hAnsi="Arial" w:cs="Arial"/>
                <w:sz w:val="16"/>
                <w:szCs w:val="16"/>
              </w:rPr>
            </w:pPr>
            <w:r>
              <w:rPr>
                <w:rFonts w:ascii="Arial" w:hAnsi="Arial" w:cs="Arial"/>
                <w:sz w:val="16"/>
                <w:szCs w:val="16"/>
              </w:rPr>
              <w:t>0.05 – 0.09</w:t>
            </w:r>
          </w:p>
        </w:tc>
        <w:tc>
          <w:tcPr>
            <w:tcW w:w="1706" w:type="dxa"/>
            <w:tcBorders>
              <w:bottom w:val="single" w:sz="4" w:space="0" w:color="auto"/>
            </w:tcBorders>
            <w:vAlign w:val="center"/>
          </w:tcPr>
          <w:p w14:paraId="4907C7DD" w14:textId="1B6A248A" w:rsidR="00796FAD" w:rsidRDefault="00796FAD" w:rsidP="00016AD4">
            <w:pPr>
              <w:spacing w:line="300" w:lineRule="atLeast"/>
              <w:jc w:val="center"/>
              <w:rPr>
                <w:rFonts w:ascii="Arial" w:hAnsi="Arial" w:cs="Arial"/>
                <w:sz w:val="16"/>
                <w:szCs w:val="16"/>
              </w:rPr>
            </w:pPr>
            <w:r>
              <w:rPr>
                <w:rFonts w:ascii="Arial" w:hAnsi="Arial" w:cs="Arial"/>
                <w:sz w:val="16"/>
                <w:szCs w:val="16"/>
              </w:rPr>
              <w:t>54.8 – 98.6 (76.7)</w:t>
            </w:r>
          </w:p>
        </w:tc>
        <w:tc>
          <w:tcPr>
            <w:tcW w:w="2544" w:type="dxa"/>
            <w:tcBorders>
              <w:bottom w:val="single" w:sz="4" w:space="0" w:color="auto"/>
            </w:tcBorders>
            <w:vAlign w:val="center"/>
          </w:tcPr>
          <w:p w14:paraId="4A8B4AB1" w14:textId="52087E99" w:rsidR="00796FAD" w:rsidRDefault="00796FAD" w:rsidP="00796FAD">
            <w:pPr>
              <w:spacing w:line="300" w:lineRule="atLeast"/>
              <w:jc w:val="center"/>
              <w:rPr>
                <w:rFonts w:ascii="Arial" w:hAnsi="Arial" w:cs="Arial"/>
                <w:sz w:val="16"/>
                <w:szCs w:val="16"/>
              </w:rPr>
            </w:pPr>
            <w:r>
              <w:rPr>
                <w:rFonts w:ascii="Arial" w:hAnsi="Arial" w:cs="Arial"/>
                <w:sz w:val="16"/>
                <w:szCs w:val="16"/>
              </w:rPr>
              <w:t>54.8 – 98.6 (76.7)</w:t>
            </w:r>
          </w:p>
        </w:tc>
      </w:tr>
      <w:tr w:rsidR="00F7116B" w14:paraId="7F858145" w14:textId="77777777" w:rsidTr="00277CC6">
        <w:tc>
          <w:tcPr>
            <w:tcW w:w="2031" w:type="dxa"/>
            <w:tcBorders>
              <w:bottom w:val="double" w:sz="4" w:space="0" w:color="auto"/>
            </w:tcBorders>
          </w:tcPr>
          <w:p w14:paraId="4B98907B" w14:textId="0ACD29C1" w:rsidR="00F7116B" w:rsidRPr="00796FAD" w:rsidRDefault="00F7116B" w:rsidP="00796FAD">
            <w:pPr>
              <w:spacing w:line="300" w:lineRule="atLeast"/>
              <w:jc w:val="both"/>
              <w:rPr>
                <w:rFonts w:ascii="Arial" w:hAnsi="Arial" w:cs="Arial"/>
                <w:sz w:val="16"/>
                <w:szCs w:val="16"/>
              </w:rPr>
            </w:pPr>
            <w:r>
              <w:rPr>
                <w:rFonts w:ascii="Arial" w:hAnsi="Arial" w:cs="Arial"/>
                <w:sz w:val="16"/>
                <w:szCs w:val="16"/>
              </w:rPr>
              <w:t>Phosphate fertiliser, 2020</w:t>
            </w:r>
          </w:p>
        </w:tc>
        <w:tc>
          <w:tcPr>
            <w:tcW w:w="1340" w:type="dxa"/>
            <w:tcBorders>
              <w:bottom w:val="double" w:sz="4" w:space="0" w:color="auto"/>
            </w:tcBorders>
            <w:vAlign w:val="center"/>
          </w:tcPr>
          <w:p w14:paraId="36EB9AFF" w14:textId="1E4EEF22" w:rsidR="00F7116B" w:rsidRDefault="00BA093A" w:rsidP="00796FAD">
            <w:pPr>
              <w:spacing w:line="300" w:lineRule="atLeast"/>
              <w:jc w:val="center"/>
              <w:rPr>
                <w:rFonts w:ascii="Arial" w:hAnsi="Arial" w:cs="Arial"/>
                <w:sz w:val="16"/>
                <w:szCs w:val="16"/>
              </w:rPr>
            </w:pPr>
            <w:r>
              <w:rPr>
                <w:rFonts w:ascii="Arial" w:hAnsi="Arial" w:cs="Arial"/>
                <w:sz w:val="16"/>
                <w:szCs w:val="16"/>
              </w:rPr>
              <w:t>149,000 (as P)</w:t>
            </w:r>
          </w:p>
        </w:tc>
        <w:tc>
          <w:tcPr>
            <w:tcW w:w="1440" w:type="dxa"/>
            <w:tcBorders>
              <w:bottom w:val="double" w:sz="4" w:space="0" w:color="auto"/>
            </w:tcBorders>
            <w:vAlign w:val="center"/>
          </w:tcPr>
          <w:p w14:paraId="07A5FA16" w14:textId="03774723" w:rsidR="00F7116B" w:rsidRDefault="004B5561" w:rsidP="00796FAD">
            <w:pPr>
              <w:spacing w:line="300" w:lineRule="atLeast"/>
              <w:jc w:val="center"/>
              <w:rPr>
                <w:rFonts w:ascii="Arial" w:hAnsi="Arial" w:cs="Arial"/>
                <w:sz w:val="16"/>
                <w:szCs w:val="16"/>
              </w:rPr>
            </w:pPr>
            <w:r>
              <w:rPr>
                <w:rFonts w:ascii="Arial" w:hAnsi="Arial" w:cs="Arial"/>
                <w:sz w:val="16"/>
                <w:szCs w:val="16"/>
              </w:rPr>
              <w:t>1.255</w:t>
            </w:r>
            <w:r w:rsidR="00BA093A">
              <w:rPr>
                <w:rFonts w:ascii="Arial" w:hAnsi="Arial" w:cs="Arial"/>
                <w:sz w:val="16"/>
                <w:szCs w:val="16"/>
              </w:rPr>
              <w:t xml:space="preserve"> (as P)</w:t>
            </w:r>
          </w:p>
        </w:tc>
        <w:tc>
          <w:tcPr>
            <w:tcW w:w="1706" w:type="dxa"/>
            <w:tcBorders>
              <w:bottom w:val="double" w:sz="4" w:space="0" w:color="auto"/>
            </w:tcBorders>
            <w:vAlign w:val="center"/>
          </w:tcPr>
          <w:p w14:paraId="0577E27B" w14:textId="7A138584" w:rsidR="00F7116B" w:rsidRDefault="00BA093A" w:rsidP="00016AD4">
            <w:pPr>
              <w:spacing w:line="300" w:lineRule="atLeast"/>
              <w:jc w:val="center"/>
              <w:rPr>
                <w:rFonts w:ascii="Arial" w:hAnsi="Arial" w:cs="Arial"/>
                <w:sz w:val="16"/>
                <w:szCs w:val="16"/>
              </w:rPr>
            </w:pPr>
            <w:r>
              <w:rPr>
                <w:rFonts w:ascii="Arial" w:hAnsi="Arial" w:cs="Arial"/>
                <w:sz w:val="16"/>
                <w:szCs w:val="16"/>
              </w:rPr>
              <w:t>187</w:t>
            </w:r>
          </w:p>
        </w:tc>
        <w:tc>
          <w:tcPr>
            <w:tcW w:w="2544" w:type="dxa"/>
            <w:tcBorders>
              <w:bottom w:val="double" w:sz="4" w:space="0" w:color="auto"/>
            </w:tcBorders>
            <w:vAlign w:val="center"/>
          </w:tcPr>
          <w:p w14:paraId="63383CE8" w14:textId="0B58F51C" w:rsidR="00F7116B" w:rsidRDefault="004B5561" w:rsidP="00796FAD">
            <w:pPr>
              <w:spacing w:line="300" w:lineRule="atLeast"/>
              <w:jc w:val="center"/>
              <w:rPr>
                <w:rFonts w:ascii="Arial" w:hAnsi="Arial" w:cs="Arial"/>
                <w:sz w:val="16"/>
                <w:szCs w:val="16"/>
              </w:rPr>
            </w:pPr>
            <w:r>
              <w:rPr>
                <w:rFonts w:ascii="Arial" w:hAnsi="Arial" w:cs="Arial"/>
                <w:sz w:val="16"/>
                <w:szCs w:val="16"/>
              </w:rPr>
              <w:t>187</w:t>
            </w:r>
          </w:p>
        </w:tc>
      </w:tr>
      <w:tr w:rsidR="00F96022" w14:paraId="3CE16B9C" w14:textId="77777777" w:rsidTr="00277CC6">
        <w:tc>
          <w:tcPr>
            <w:tcW w:w="2031" w:type="dxa"/>
            <w:tcBorders>
              <w:bottom w:val="double" w:sz="4" w:space="0" w:color="auto"/>
            </w:tcBorders>
          </w:tcPr>
          <w:p w14:paraId="06CC9010" w14:textId="45EE8355" w:rsidR="00F96022" w:rsidRDefault="00F96022" w:rsidP="00796FAD">
            <w:pPr>
              <w:spacing w:line="300" w:lineRule="atLeast"/>
              <w:jc w:val="both"/>
              <w:rPr>
                <w:rFonts w:ascii="Arial" w:hAnsi="Arial" w:cs="Arial"/>
                <w:sz w:val="16"/>
                <w:szCs w:val="16"/>
              </w:rPr>
            </w:pPr>
            <w:r>
              <w:rPr>
                <w:rFonts w:ascii="Arial" w:hAnsi="Arial" w:cs="Arial"/>
                <w:sz w:val="16"/>
                <w:szCs w:val="16"/>
              </w:rPr>
              <w:t>Phosphate fertiliser, 2024</w:t>
            </w:r>
          </w:p>
        </w:tc>
        <w:tc>
          <w:tcPr>
            <w:tcW w:w="1340" w:type="dxa"/>
            <w:tcBorders>
              <w:bottom w:val="double" w:sz="4" w:space="0" w:color="auto"/>
            </w:tcBorders>
            <w:vAlign w:val="center"/>
          </w:tcPr>
          <w:p w14:paraId="70BF617E" w14:textId="73159551" w:rsidR="00F96022" w:rsidRDefault="00F96022" w:rsidP="00796FAD">
            <w:pPr>
              <w:spacing w:line="300" w:lineRule="atLeast"/>
              <w:jc w:val="center"/>
              <w:rPr>
                <w:rFonts w:ascii="Arial" w:hAnsi="Arial" w:cs="Arial"/>
                <w:sz w:val="16"/>
                <w:szCs w:val="16"/>
              </w:rPr>
            </w:pPr>
            <w:r>
              <w:rPr>
                <w:rFonts w:ascii="Arial" w:hAnsi="Arial" w:cs="Arial"/>
                <w:sz w:val="16"/>
                <w:szCs w:val="16"/>
              </w:rPr>
              <w:t>122,000 (as P)</w:t>
            </w:r>
          </w:p>
        </w:tc>
        <w:tc>
          <w:tcPr>
            <w:tcW w:w="1440" w:type="dxa"/>
            <w:tcBorders>
              <w:bottom w:val="double" w:sz="4" w:space="0" w:color="auto"/>
            </w:tcBorders>
            <w:vAlign w:val="center"/>
          </w:tcPr>
          <w:p w14:paraId="790C1B00" w14:textId="5819DA4B" w:rsidR="00F96022" w:rsidRDefault="00F96022" w:rsidP="00796FAD">
            <w:pPr>
              <w:spacing w:line="300" w:lineRule="atLeast"/>
              <w:jc w:val="center"/>
              <w:rPr>
                <w:rFonts w:ascii="Arial" w:hAnsi="Arial" w:cs="Arial"/>
                <w:sz w:val="16"/>
                <w:szCs w:val="16"/>
              </w:rPr>
            </w:pPr>
            <w:r>
              <w:rPr>
                <w:rFonts w:ascii="Arial" w:hAnsi="Arial" w:cs="Arial"/>
                <w:sz w:val="16"/>
                <w:szCs w:val="16"/>
              </w:rPr>
              <w:t xml:space="preserve">1.082 (as P) </w:t>
            </w:r>
          </w:p>
        </w:tc>
        <w:tc>
          <w:tcPr>
            <w:tcW w:w="1706" w:type="dxa"/>
            <w:tcBorders>
              <w:bottom w:val="double" w:sz="4" w:space="0" w:color="auto"/>
            </w:tcBorders>
            <w:vAlign w:val="center"/>
          </w:tcPr>
          <w:p w14:paraId="6074D558" w14:textId="25589C78" w:rsidR="00F96022" w:rsidRDefault="00F96022" w:rsidP="00016AD4">
            <w:pPr>
              <w:spacing w:line="300" w:lineRule="atLeast"/>
              <w:jc w:val="center"/>
              <w:rPr>
                <w:rFonts w:ascii="Arial" w:hAnsi="Arial" w:cs="Arial"/>
                <w:sz w:val="16"/>
                <w:szCs w:val="16"/>
              </w:rPr>
            </w:pPr>
            <w:r>
              <w:rPr>
                <w:rFonts w:ascii="Arial" w:hAnsi="Arial" w:cs="Arial"/>
                <w:sz w:val="16"/>
                <w:szCs w:val="16"/>
              </w:rPr>
              <w:t>132</w:t>
            </w:r>
          </w:p>
        </w:tc>
        <w:tc>
          <w:tcPr>
            <w:tcW w:w="2544" w:type="dxa"/>
            <w:tcBorders>
              <w:bottom w:val="double" w:sz="4" w:space="0" w:color="auto"/>
            </w:tcBorders>
            <w:vAlign w:val="center"/>
          </w:tcPr>
          <w:p w14:paraId="7D298507" w14:textId="68A3097A" w:rsidR="00F96022" w:rsidRDefault="00F96022" w:rsidP="00796FAD">
            <w:pPr>
              <w:spacing w:line="300" w:lineRule="atLeast"/>
              <w:jc w:val="center"/>
              <w:rPr>
                <w:rFonts w:ascii="Arial" w:hAnsi="Arial" w:cs="Arial"/>
                <w:sz w:val="16"/>
                <w:szCs w:val="16"/>
              </w:rPr>
            </w:pPr>
            <w:r>
              <w:rPr>
                <w:rFonts w:ascii="Arial" w:hAnsi="Arial" w:cs="Arial"/>
                <w:sz w:val="16"/>
                <w:szCs w:val="16"/>
              </w:rPr>
              <w:t>132</w:t>
            </w:r>
          </w:p>
        </w:tc>
      </w:tr>
      <w:tr w:rsidR="00F00580" w14:paraId="3E42C86A" w14:textId="77777777" w:rsidTr="00277CC6">
        <w:tc>
          <w:tcPr>
            <w:tcW w:w="2031" w:type="dxa"/>
            <w:tcBorders>
              <w:top w:val="double" w:sz="4" w:space="0" w:color="auto"/>
            </w:tcBorders>
          </w:tcPr>
          <w:p w14:paraId="6462A7F4" w14:textId="77777777" w:rsidR="00F00580" w:rsidRDefault="00F00580" w:rsidP="00F00580">
            <w:pPr>
              <w:spacing w:line="300" w:lineRule="atLeast"/>
              <w:jc w:val="both"/>
              <w:rPr>
                <w:rFonts w:ascii="Arial" w:hAnsi="Arial" w:cs="Arial"/>
                <w:sz w:val="16"/>
                <w:szCs w:val="16"/>
              </w:rPr>
            </w:pPr>
            <w:r>
              <w:rPr>
                <w:rFonts w:ascii="Arial" w:hAnsi="Arial" w:cs="Arial"/>
                <w:sz w:val="16"/>
                <w:szCs w:val="16"/>
              </w:rPr>
              <w:t>Agricultural lime</w:t>
            </w:r>
            <w:r w:rsidR="008F0B99">
              <w:rPr>
                <w:rFonts w:ascii="Arial" w:hAnsi="Arial" w:cs="Arial"/>
                <w:sz w:val="16"/>
                <w:szCs w:val="16"/>
              </w:rPr>
              <w:t>, 2012</w:t>
            </w:r>
          </w:p>
        </w:tc>
        <w:tc>
          <w:tcPr>
            <w:tcW w:w="1340" w:type="dxa"/>
            <w:tcBorders>
              <w:top w:val="double" w:sz="4" w:space="0" w:color="auto"/>
            </w:tcBorders>
            <w:vAlign w:val="center"/>
          </w:tcPr>
          <w:p w14:paraId="37D22FB5" w14:textId="77777777" w:rsidR="00F00580" w:rsidRDefault="00B169B3" w:rsidP="001E5DEF">
            <w:pPr>
              <w:spacing w:line="300" w:lineRule="atLeast"/>
              <w:jc w:val="center"/>
              <w:rPr>
                <w:rFonts w:ascii="Arial" w:hAnsi="Arial" w:cs="Arial"/>
                <w:sz w:val="16"/>
                <w:szCs w:val="16"/>
              </w:rPr>
            </w:pPr>
            <w:r>
              <w:rPr>
                <w:rFonts w:ascii="Arial" w:hAnsi="Arial" w:cs="Arial"/>
                <w:sz w:val="16"/>
                <w:szCs w:val="16"/>
              </w:rPr>
              <w:t>1,370,000</w:t>
            </w:r>
          </w:p>
        </w:tc>
        <w:tc>
          <w:tcPr>
            <w:tcW w:w="1440" w:type="dxa"/>
            <w:tcBorders>
              <w:top w:val="double" w:sz="4" w:space="0" w:color="auto"/>
            </w:tcBorders>
            <w:vAlign w:val="center"/>
          </w:tcPr>
          <w:p w14:paraId="157CF418" w14:textId="77777777" w:rsidR="00F00580" w:rsidRDefault="00B169B3" w:rsidP="00B169B3">
            <w:pPr>
              <w:spacing w:line="300" w:lineRule="atLeast"/>
              <w:jc w:val="center"/>
              <w:rPr>
                <w:rFonts w:ascii="Arial" w:hAnsi="Arial" w:cs="Arial"/>
                <w:sz w:val="16"/>
                <w:szCs w:val="16"/>
              </w:rPr>
            </w:pPr>
            <w:r>
              <w:rPr>
                <w:rFonts w:ascii="Arial" w:hAnsi="Arial" w:cs="Arial"/>
                <w:sz w:val="16"/>
                <w:szCs w:val="16"/>
              </w:rPr>
              <w:t>0.005 -0.02</w:t>
            </w:r>
          </w:p>
        </w:tc>
        <w:tc>
          <w:tcPr>
            <w:tcW w:w="1706" w:type="dxa"/>
            <w:tcBorders>
              <w:top w:val="double" w:sz="4" w:space="0" w:color="auto"/>
            </w:tcBorders>
            <w:vAlign w:val="center"/>
          </w:tcPr>
          <w:p w14:paraId="75ACFF2D" w14:textId="2AEDA3D4" w:rsidR="00F00580" w:rsidRDefault="00DD171F" w:rsidP="001E5DEF">
            <w:pPr>
              <w:spacing w:line="300" w:lineRule="atLeast"/>
              <w:jc w:val="center"/>
              <w:rPr>
                <w:rFonts w:ascii="Arial" w:hAnsi="Arial" w:cs="Arial"/>
                <w:sz w:val="16"/>
                <w:szCs w:val="16"/>
              </w:rPr>
            </w:pPr>
            <w:r>
              <w:rPr>
                <w:rFonts w:ascii="Arial" w:hAnsi="Arial" w:cs="Arial"/>
                <w:sz w:val="16"/>
                <w:szCs w:val="16"/>
              </w:rPr>
              <w:t xml:space="preserve">7 </w:t>
            </w:r>
            <w:r w:rsidR="00B169C6">
              <w:rPr>
                <w:rFonts w:ascii="Arial" w:hAnsi="Arial" w:cs="Arial"/>
                <w:sz w:val="16"/>
                <w:szCs w:val="16"/>
              </w:rPr>
              <w:t>–</w:t>
            </w:r>
            <w:r>
              <w:rPr>
                <w:rFonts w:ascii="Arial" w:hAnsi="Arial" w:cs="Arial"/>
                <w:sz w:val="16"/>
                <w:szCs w:val="16"/>
              </w:rPr>
              <w:t xml:space="preserve"> 27</w:t>
            </w:r>
            <w:r w:rsidR="00B169C6">
              <w:rPr>
                <w:rFonts w:ascii="Arial" w:hAnsi="Arial" w:cs="Arial"/>
                <w:sz w:val="16"/>
                <w:szCs w:val="16"/>
              </w:rPr>
              <w:t xml:space="preserve"> (17)</w:t>
            </w:r>
          </w:p>
        </w:tc>
        <w:tc>
          <w:tcPr>
            <w:tcW w:w="2544" w:type="dxa"/>
            <w:tcBorders>
              <w:top w:val="double" w:sz="4" w:space="0" w:color="auto"/>
            </w:tcBorders>
            <w:vAlign w:val="center"/>
          </w:tcPr>
          <w:p w14:paraId="08C665F9" w14:textId="79B2B33C" w:rsidR="00F00580" w:rsidRDefault="00DD171F" w:rsidP="001E5DEF">
            <w:pPr>
              <w:spacing w:line="300" w:lineRule="atLeast"/>
              <w:jc w:val="center"/>
              <w:rPr>
                <w:rFonts w:ascii="Arial" w:hAnsi="Arial" w:cs="Arial"/>
                <w:sz w:val="16"/>
                <w:szCs w:val="16"/>
              </w:rPr>
            </w:pPr>
            <w:r>
              <w:rPr>
                <w:rFonts w:ascii="Arial" w:hAnsi="Arial" w:cs="Arial"/>
                <w:sz w:val="16"/>
                <w:szCs w:val="16"/>
              </w:rPr>
              <w:t xml:space="preserve">7 </w:t>
            </w:r>
            <w:r w:rsidR="00B169C6">
              <w:rPr>
                <w:rFonts w:ascii="Arial" w:hAnsi="Arial" w:cs="Arial"/>
                <w:sz w:val="16"/>
                <w:szCs w:val="16"/>
              </w:rPr>
              <w:t>–</w:t>
            </w:r>
            <w:r>
              <w:rPr>
                <w:rFonts w:ascii="Arial" w:hAnsi="Arial" w:cs="Arial"/>
                <w:sz w:val="16"/>
                <w:szCs w:val="16"/>
              </w:rPr>
              <w:t xml:space="preserve"> 27</w:t>
            </w:r>
            <w:r w:rsidR="00B169C6">
              <w:rPr>
                <w:rFonts w:ascii="Arial" w:hAnsi="Arial" w:cs="Arial"/>
                <w:sz w:val="16"/>
                <w:szCs w:val="16"/>
              </w:rPr>
              <w:t xml:space="preserve"> (17)</w:t>
            </w:r>
          </w:p>
        </w:tc>
      </w:tr>
      <w:tr w:rsidR="008F0B99" w14:paraId="68970BBE" w14:textId="77777777" w:rsidTr="00277CC6">
        <w:tc>
          <w:tcPr>
            <w:tcW w:w="2031" w:type="dxa"/>
          </w:tcPr>
          <w:p w14:paraId="230F64E0" w14:textId="77777777" w:rsidR="008F0B99" w:rsidRDefault="008F0B99" w:rsidP="00F00580">
            <w:pPr>
              <w:spacing w:line="300" w:lineRule="atLeast"/>
              <w:jc w:val="both"/>
              <w:rPr>
                <w:rFonts w:ascii="Arial" w:hAnsi="Arial" w:cs="Arial"/>
                <w:sz w:val="16"/>
                <w:szCs w:val="16"/>
              </w:rPr>
            </w:pPr>
            <w:r>
              <w:rPr>
                <w:rFonts w:ascii="Arial" w:hAnsi="Arial" w:cs="Arial"/>
                <w:sz w:val="16"/>
                <w:szCs w:val="16"/>
              </w:rPr>
              <w:t>Agricultural lime, 2016</w:t>
            </w:r>
          </w:p>
        </w:tc>
        <w:tc>
          <w:tcPr>
            <w:tcW w:w="1340" w:type="dxa"/>
            <w:vAlign w:val="center"/>
          </w:tcPr>
          <w:p w14:paraId="209D9B1A" w14:textId="77777777" w:rsidR="008F0B99" w:rsidRDefault="008F0B99" w:rsidP="001E5DEF">
            <w:pPr>
              <w:spacing w:line="300" w:lineRule="atLeast"/>
              <w:jc w:val="center"/>
              <w:rPr>
                <w:rFonts w:ascii="Arial" w:hAnsi="Arial" w:cs="Arial"/>
                <w:sz w:val="16"/>
                <w:szCs w:val="16"/>
              </w:rPr>
            </w:pPr>
            <w:r>
              <w:rPr>
                <w:rFonts w:ascii="Arial" w:hAnsi="Arial" w:cs="Arial"/>
                <w:sz w:val="16"/>
                <w:szCs w:val="16"/>
              </w:rPr>
              <w:t>975, 538</w:t>
            </w:r>
          </w:p>
        </w:tc>
        <w:tc>
          <w:tcPr>
            <w:tcW w:w="1440" w:type="dxa"/>
            <w:vAlign w:val="center"/>
          </w:tcPr>
          <w:p w14:paraId="5953F0FC" w14:textId="77777777" w:rsidR="008F0B99" w:rsidRDefault="008F0B99" w:rsidP="00B169B3">
            <w:pPr>
              <w:spacing w:line="300" w:lineRule="atLeast"/>
              <w:jc w:val="center"/>
              <w:rPr>
                <w:rFonts w:ascii="Arial" w:hAnsi="Arial" w:cs="Arial"/>
                <w:sz w:val="16"/>
                <w:szCs w:val="16"/>
              </w:rPr>
            </w:pPr>
            <w:r>
              <w:rPr>
                <w:rFonts w:ascii="Arial" w:hAnsi="Arial" w:cs="Arial"/>
                <w:sz w:val="16"/>
                <w:szCs w:val="16"/>
              </w:rPr>
              <w:t>0.005 – 0.02</w:t>
            </w:r>
          </w:p>
        </w:tc>
        <w:tc>
          <w:tcPr>
            <w:tcW w:w="1706" w:type="dxa"/>
            <w:vAlign w:val="center"/>
          </w:tcPr>
          <w:p w14:paraId="0450EAC3" w14:textId="3D730B56" w:rsidR="008F0B99" w:rsidRDefault="008F0B99" w:rsidP="001E5DEF">
            <w:pPr>
              <w:spacing w:line="300" w:lineRule="atLeast"/>
              <w:jc w:val="center"/>
              <w:rPr>
                <w:rFonts w:ascii="Arial" w:hAnsi="Arial" w:cs="Arial"/>
                <w:sz w:val="16"/>
                <w:szCs w:val="16"/>
              </w:rPr>
            </w:pPr>
            <w:r>
              <w:rPr>
                <w:rFonts w:ascii="Arial" w:hAnsi="Arial" w:cs="Arial"/>
                <w:sz w:val="16"/>
                <w:szCs w:val="16"/>
              </w:rPr>
              <w:t>4.88 – 19.5 (12.2)</w:t>
            </w:r>
          </w:p>
        </w:tc>
        <w:tc>
          <w:tcPr>
            <w:tcW w:w="2544" w:type="dxa"/>
            <w:vAlign w:val="center"/>
          </w:tcPr>
          <w:p w14:paraId="2F4AEDF1" w14:textId="0186C334" w:rsidR="008F0B99" w:rsidRDefault="00842CA3" w:rsidP="001E5DEF">
            <w:pPr>
              <w:spacing w:line="300" w:lineRule="atLeast"/>
              <w:jc w:val="center"/>
              <w:rPr>
                <w:rFonts w:ascii="Arial" w:hAnsi="Arial" w:cs="Arial"/>
                <w:sz w:val="16"/>
                <w:szCs w:val="16"/>
              </w:rPr>
            </w:pPr>
            <w:r>
              <w:rPr>
                <w:rFonts w:ascii="Arial" w:hAnsi="Arial" w:cs="Arial"/>
                <w:sz w:val="16"/>
                <w:szCs w:val="16"/>
              </w:rPr>
              <w:t>4.88 – 19.5 (12.2)</w:t>
            </w:r>
          </w:p>
        </w:tc>
      </w:tr>
      <w:tr w:rsidR="00F7116B" w14:paraId="65D4C9B3" w14:textId="77777777" w:rsidTr="00277CC6">
        <w:tc>
          <w:tcPr>
            <w:tcW w:w="2031" w:type="dxa"/>
          </w:tcPr>
          <w:p w14:paraId="4943315E" w14:textId="600B64FB" w:rsidR="00F7116B" w:rsidRDefault="00F7116B" w:rsidP="00F00580">
            <w:pPr>
              <w:spacing w:line="300" w:lineRule="atLeast"/>
              <w:jc w:val="both"/>
              <w:rPr>
                <w:rFonts w:ascii="Arial" w:hAnsi="Arial" w:cs="Arial"/>
                <w:sz w:val="16"/>
                <w:szCs w:val="16"/>
              </w:rPr>
            </w:pPr>
            <w:r>
              <w:rPr>
                <w:rFonts w:ascii="Arial" w:hAnsi="Arial" w:cs="Arial"/>
                <w:sz w:val="16"/>
                <w:szCs w:val="16"/>
              </w:rPr>
              <w:t>Agricultural lime, 2020</w:t>
            </w:r>
          </w:p>
        </w:tc>
        <w:tc>
          <w:tcPr>
            <w:tcW w:w="1340" w:type="dxa"/>
            <w:vAlign w:val="center"/>
          </w:tcPr>
          <w:p w14:paraId="31C9BA71" w14:textId="6333ADAC" w:rsidR="00F7116B" w:rsidRDefault="00B4529F" w:rsidP="001E5DEF">
            <w:pPr>
              <w:spacing w:line="300" w:lineRule="atLeast"/>
              <w:jc w:val="center"/>
              <w:rPr>
                <w:rFonts w:ascii="Arial" w:hAnsi="Arial" w:cs="Arial"/>
                <w:sz w:val="16"/>
                <w:szCs w:val="16"/>
              </w:rPr>
            </w:pPr>
            <w:r>
              <w:rPr>
                <w:rFonts w:ascii="Arial" w:hAnsi="Arial" w:cs="Arial"/>
                <w:sz w:val="16"/>
                <w:szCs w:val="16"/>
              </w:rPr>
              <w:t>986,870</w:t>
            </w:r>
          </w:p>
        </w:tc>
        <w:tc>
          <w:tcPr>
            <w:tcW w:w="1440" w:type="dxa"/>
            <w:vAlign w:val="center"/>
          </w:tcPr>
          <w:p w14:paraId="23024BFB" w14:textId="0CE7C2BA" w:rsidR="00F7116B" w:rsidRDefault="00F7116B" w:rsidP="00B169B3">
            <w:pPr>
              <w:spacing w:line="300" w:lineRule="atLeast"/>
              <w:jc w:val="center"/>
              <w:rPr>
                <w:rFonts w:ascii="Arial" w:hAnsi="Arial" w:cs="Arial"/>
                <w:sz w:val="16"/>
                <w:szCs w:val="16"/>
              </w:rPr>
            </w:pPr>
            <w:r>
              <w:rPr>
                <w:rFonts w:ascii="Arial" w:hAnsi="Arial" w:cs="Arial"/>
                <w:sz w:val="16"/>
                <w:szCs w:val="16"/>
              </w:rPr>
              <w:t>0.005 – 0.02</w:t>
            </w:r>
          </w:p>
        </w:tc>
        <w:tc>
          <w:tcPr>
            <w:tcW w:w="1706" w:type="dxa"/>
            <w:vAlign w:val="center"/>
          </w:tcPr>
          <w:p w14:paraId="2A29A83D" w14:textId="00ED99EA" w:rsidR="00F7116B" w:rsidRDefault="00B4529F" w:rsidP="001E5DEF">
            <w:pPr>
              <w:spacing w:line="300" w:lineRule="atLeast"/>
              <w:jc w:val="center"/>
              <w:rPr>
                <w:rFonts w:ascii="Arial" w:hAnsi="Arial" w:cs="Arial"/>
                <w:sz w:val="16"/>
                <w:szCs w:val="16"/>
              </w:rPr>
            </w:pPr>
            <w:r>
              <w:rPr>
                <w:rFonts w:ascii="Arial" w:hAnsi="Arial" w:cs="Arial"/>
                <w:sz w:val="16"/>
                <w:szCs w:val="16"/>
              </w:rPr>
              <w:t>4.93</w:t>
            </w:r>
            <w:r w:rsidR="00F7116B">
              <w:rPr>
                <w:rFonts w:ascii="Arial" w:hAnsi="Arial" w:cs="Arial"/>
                <w:sz w:val="16"/>
                <w:szCs w:val="16"/>
              </w:rPr>
              <w:t xml:space="preserve"> – </w:t>
            </w:r>
            <w:r>
              <w:rPr>
                <w:rFonts w:ascii="Arial" w:hAnsi="Arial" w:cs="Arial"/>
                <w:sz w:val="16"/>
                <w:szCs w:val="16"/>
              </w:rPr>
              <w:t>19.7</w:t>
            </w:r>
            <w:r w:rsidR="007A0537">
              <w:rPr>
                <w:rFonts w:ascii="Arial" w:hAnsi="Arial" w:cs="Arial"/>
                <w:sz w:val="16"/>
                <w:szCs w:val="16"/>
              </w:rPr>
              <w:t xml:space="preserve"> (12.3)</w:t>
            </w:r>
          </w:p>
        </w:tc>
        <w:tc>
          <w:tcPr>
            <w:tcW w:w="2544" w:type="dxa"/>
            <w:vAlign w:val="center"/>
          </w:tcPr>
          <w:p w14:paraId="1B27EDA6" w14:textId="2A4605FA" w:rsidR="00F7116B" w:rsidRDefault="00B4529F" w:rsidP="00277CC6">
            <w:pPr>
              <w:spacing w:line="300" w:lineRule="atLeast"/>
              <w:jc w:val="center"/>
              <w:rPr>
                <w:rFonts w:ascii="Arial" w:hAnsi="Arial" w:cs="Arial"/>
                <w:sz w:val="16"/>
                <w:szCs w:val="16"/>
              </w:rPr>
            </w:pPr>
            <w:r>
              <w:rPr>
                <w:rFonts w:ascii="Arial" w:hAnsi="Arial" w:cs="Arial"/>
                <w:sz w:val="16"/>
                <w:szCs w:val="16"/>
              </w:rPr>
              <w:t>4.93 – 19.7</w:t>
            </w:r>
            <w:r w:rsidR="00277CC6">
              <w:rPr>
                <w:rFonts w:ascii="Arial" w:hAnsi="Arial" w:cs="Arial"/>
                <w:sz w:val="16"/>
                <w:szCs w:val="16"/>
              </w:rPr>
              <w:t xml:space="preserve"> </w:t>
            </w:r>
            <w:r w:rsidR="00D16B41">
              <w:rPr>
                <w:rFonts w:ascii="Arial" w:hAnsi="Arial" w:cs="Arial"/>
                <w:sz w:val="16"/>
                <w:szCs w:val="16"/>
              </w:rPr>
              <w:t>(</w:t>
            </w:r>
            <w:r>
              <w:rPr>
                <w:rFonts w:ascii="Arial" w:hAnsi="Arial" w:cs="Arial"/>
                <w:sz w:val="16"/>
                <w:szCs w:val="16"/>
              </w:rPr>
              <w:t>12.3</w:t>
            </w:r>
            <w:r w:rsidR="00D16B41">
              <w:rPr>
                <w:rFonts w:ascii="Arial" w:hAnsi="Arial" w:cs="Arial"/>
                <w:sz w:val="16"/>
                <w:szCs w:val="16"/>
              </w:rPr>
              <w:t>)</w:t>
            </w:r>
          </w:p>
        </w:tc>
      </w:tr>
      <w:tr w:rsidR="00DA1043" w14:paraId="3729E386" w14:textId="77777777" w:rsidTr="00277CC6">
        <w:tc>
          <w:tcPr>
            <w:tcW w:w="2031" w:type="dxa"/>
          </w:tcPr>
          <w:p w14:paraId="69EE46EA" w14:textId="169DC918" w:rsidR="00DA1043" w:rsidRDefault="00DA1043" w:rsidP="00F00580">
            <w:pPr>
              <w:spacing w:line="300" w:lineRule="atLeast"/>
              <w:jc w:val="both"/>
              <w:rPr>
                <w:rFonts w:ascii="Arial" w:hAnsi="Arial" w:cs="Arial"/>
                <w:sz w:val="16"/>
                <w:szCs w:val="16"/>
              </w:rPr>
            </w:pPr>
            <w:r>
              <w:rPr>
                <w:rFonts w:ascii="Arial" w:hAnsi="Arial" w:cs="Arial"/>
                <w:sz w:val="16"/>
                <w:szCs w:val="16"/>
              </w:rPr>
              <w:t>Agricultural Lime, 2024</w:t>
            </w:r>
          </w:p>
        </w:tc>
        <w:tc>
          <w:tcPr>
            <w:tcW w:w="1340" w:type="dxa"/>
            <w:vAlign w:val="center"/>
          </w:tcPr>
          <w:p w14:paraId="75236E59" w14:textId="53C5CE75" w:rsidR="00DA1043" w:rsidRDefault="00DA1043" w:rsidP="001E5DEF">
            <w:pPr>
              <w:spacing w:line="300" w:lineRule="atLeast"/>
              <w:jc w:val="center"/>
              <w:rPr>
                <w:rFonts w:ascii="Arial" w:hAnsi="Arial" w:cs="Arial"/>
                <w:sz w:val="16"/>
                <w:szCs w:val="16"/>
              </w:rPr>
            </w:pPr>
            <w:r>
              <w:rPr>
                <w:rFonts w:ascii="Arial" w:hAnsi="Arial" w:cs="Arial"/>
                <w:sz w:val="16"/>
                <w:szCs w:val="16"/>
              </w:rPr>
              <w:t>940,364</w:t>
            </w:r>
          </w:p>
        </w:tc>
        <w:tc>
          <w:tcPr>
            <w:tcW w:w="1440" w:type="dxa"/>
            <w:vAlign w:val="center"/>
          </w:tcPr>
          <w:p w14:paraId="6B4D4963" w14:textId="545EE8BC" w:rsidR="00DA1043" w:rsidRDefault="00DA1043" w:rsidP="00B169B3">
            <w:pPr>
              <w:spacing w:line="300" w:lineRule="atLeast"/>
              <w:jc w:val="center"/>
              <w:rPr>
                <w:rFonts w:ascii="Arial" w:hAnsi="Arial" w:cs="Arial"/>
                <w:sz w:val="16"/>
                <w:szCs w:val="16"/>
              </w:rPr>
            </w:pPr>
            <w:r>
              <w:rPr>
                <w:rFonts w:ascii="Arial" w:hAnsi="Arial" w:cs="Arial"/>
                <w:sz w:val="16"/>
                <w:szCs w:val="16"/>
              </w:rPr>
              <w:t>0.005 – 0.02</w:t>
            </w:r>
          </w:p>
        </w:tc>
        <w:tc>
          <w:tcPr>
            <w:tcW w:w="1706" w:type="dxa"/>
            <w:vAlign w:val="center"/>
          </w:tcPr>
          <w:p w14:paraId="0F053AF4" w14:textId="7C36F914" w:rsidR="00DA1043" w:rsidRDefault="00DA1043" w:rsidP="001E5DEF">
            <w:pPr>
              <w:spacing w:line="300" w:lineRule="atLeast"/>
              <w:jc w:val="center"/>
              <w:rPr>
                <w:rFonts w:ascii="Arial" w:hAnsi="Arial" w:cs="Arial"/>
                <w:sz w:val="16"/>
                <w:szCs w:val="16"/>
              </w:rPr>
            </w:pPr>
            <w:r>
              <w:rPr>
                <w:rFonts w:ascii="Arial" w:hAnsi="Arial" w:cs="Arial"/>
                <w:sz w:val="16"/>
                <w:szCs w:val="16"/>
              </w:rPr>
              <w:t xml:space="preserve">4.70 </w:t>
            </w:r>
            <w:r w:rsidR="008B6029">
              <w:rPr>
                <w:rFonts w:ascii="Arial" w:hAnsi="Arial" w:cs="Arial"/>
                <w:sz w:val="16"/>
                <w:szCs w:val="16"/>
              </w:rPr>
              <w:t>–</w:t>
            </w:r>
            <w:r>
              <w:rPr>
                <w:rFonts w:ascii="Arial" w:hAnsi="Arial" w:cs="Arial"/>
                <w:sz w:val="16"/>
                <w:szCs w:val="16"/>
              </w:rPr>
              <w:t xml:space="preserve"> </w:t>
            </w:r>
            <w:r w:rsidR="008B6029">
              <w:rPr>
                <w:rFonts w:ascii="Arial" w:hAnsi="Arial" w:cs="Arial"/>
                <w:sz w:val="16"/>
                <w:szCs w:val="16"/>
              </w:rPr>
              <w:t>18.8 (11.</w:t>
            </w:r>
            <w:r w:rsidR="00743F9B">
              <w:rPr>
                <w:rFonts w:ascii="Arial" w:hAnsi="Arial" w:cs="Arial"/>
                <w:sz w:val="16"/>
                <w:szCs w:val="16"/>
              </w:rPr>
              <w:t>8</w:t>
            </w:r>
            <w:r w:rsidR="008B6029">
              <w:rPr>
                <w:rFonts w:ascii="Arial" w:hAnsi="Arial" w:cs="Arial"/>
                <w:sz w:val="16"/>
                <w:szCs w:val="16"/>
              </w:rPr>
              <w:t>)</w:t>
            </w:r>
          </w:p>
        </w:tc>
        <w:tc>
          <w:tcPr>
            <w:tcW w:w="2544" w:type="dxa"/>
            <w:vAlign w:val="center"/>
          </w:tcPr>
          <w:p w14:paraId="56B349FA" w14:textId="24AC4C08" w:rsidR="00DA1043" w:rsidRDefault="008B6029" w:rsidP="001E5DEF">
            <w:pPr>
              <w:spacing w:line="300" w:lineRule="atLeast"/>
              <w:jc w:val="center"/>
              <w:rPr>
                <w:rFonts w:ascii="Arial" w:hAnsi="Arial" w:cs="Arial"/>
                <w:sz w:val="16"/>
                <w:szCs w:val="16"/>
              </w:rPr>
            </w:pPr>
            <w:r>
              <w:rPr>
                <w:rFonts w:ascii="Arial" w:hAnsi="Arial" w:cs="Arial"/>
                <w:sz w:val="16"/>
                <w:szCs w:val="16"/>
              </w:rPr>
              <w:t>4.70 – 18.8</w:t>
            </w:r>
            <w:r w:rsidR="00277CC6">
              <w:rPr>
                <w:rFonts w:ascii="Arial" w:hAnsi="Arial" w:cs="Arial"/>
                <w:sz w:val="16"/>
                <w:szCs w:val="16"/>
              </w:rPr>
              <w:t>1</w:t>
            </w:r>
            <w:r>
              <w:rPr>
                <w:rFonts w:ascii="Arial" w:hAnsi="Arial" w:cs="Arial"/>
                <w:sz w:val="16"/>
                <w:szCs w:val="16"/>
              </w:rPr>
              <w:t xml:space="preserve"> (11.</w:t>
            </w:r>
            <w:r w:rsidR="00743F9B">
              <w:rPr>
                <w:rFonts w:ascii="Arial" w:hAnsi="Arial" w:cs="Arial"/>
                <w:sz w:val="16"/>
                <w:szCs w:val="16"/>
              </w:rPr>
              <w:t>8</w:t>
            </w:r>
            <w:r>
              <w:rPr>
                <w:rFonts w:ascii="Arial" w:hAnsi="Arial" w:cs="Arial"/>
                <w:sz w:val="16"/>
                <w:szCs w:val="16"/>
              </w:rPr>
              <w:t>)</w:t>
            </w:r>
          </w:p>
        </w:tc>
      </w:tr>
    </w:tbl>
    <w:p w14:paraId="05AA6606" w14:textId="77777777" w:rsidR="00F00580" w:rsidRPr="00BE17CF" w:rsidRDefault="00F00580" w:rsidP="00F00580">
      <w:pPr>
        <w:tabs>
          <w:tab w:val="left" w:pos="2760"/>
        </w:tabs>
        <w:spacing w:before="120" w:line="300" w:lineRule="atLeast"/>
        <w:jc w:val="both"/>
        <w:rPr>
          <w:rFonts w:ascii="Arial" w:hAnsi="Arial" w:cs="Arial"/>
          <w:b/>
          <w:szCs w:val="18"/>
        </w:rPr>
      </w:pPr>
      <w:r w:rsidRPr="00BE17CF">
        <w:rPr>
          <w:rFonts w:ascii="Arial" w:hAnsi="Arial" w:cs="Arial"/>
          <w:b/>
          <w:szCs w:val="18"/>
        </w:rPr>
        <w:t>Certainty assessment</w:t>
      </w:r>
    </w:p>
    <w:p w14:paraId="75189A2A" w14:textId="26645D95" w:rsidR="00F00580" w:rsidRDefault="00F00580" w:rsidP="00F00580">
      <w:pPr>
        <w:tabs>
          <w:tab w:val="left" w:pos="1701"/>
        </w:tabs>
        <w:spacing w:line="300" w:lineRule="atLeast"/>
        <w:jc w:val="both"/>
        <w:rPr>
          <w:szCs w:val="18"/>
        </w:rPr>
      </w:pPr>
      <w:r>
        <w:rPr>
          <w:szCs w:val="18"/>
        </w:rPr>
        <w:t>Act</w:t>
      </w:r>
      <w:r w:rsidR="00110FC0">
        <w:rPr>
          <w:szCs w:val="18"/>
        </w:rPr>
        <w:t xml:space="preserve">ivity data: </w:t>
      </w:r>
      <w:r w:rsidR="00E309FF">
        <w:rPr>
          <w:szCs w:val="18"/>
        </w:rPr>
        <w:tab/>
      </w:r>
      <w:r w:rsidR="00110FC0">
        <w:rPr>
          <w:szCs w:val="18"/>
        </w:rPr>
        <w:t>HIGH (because it i</w:t>
      </w:r>
      <w:r>
        <w:rPr>
          <w:szCs w:val="18"/>
        </w:rPr>
        <w:t xml:space="preserve">s based on </w:t>
      </w:r>
      <w:r w:rsidR="00110FC0">
        <w:rPr>
          <w:szCs w:val="18"/>
        </w:rPr>
        <w:t>national statistics</w:t>
      </w:r>
      <w:r>
        <w:rPr>
          <w:szCs w:val="18"/>
        </w:rPr>
        <w:t>)</w:t>
      </w:r>
    </w:p>
    <w:p w14:paraId="4BDF40FB" w14:textId="7366E967" w:rsidR="00F00580" w:rsidRDefault="00F00580" w:rsidP="00E309FF">
      <w:pPr>
        <w:tabs>
          <w:tab w:val="left" w:pos="1701"/>
        </w:tabs>
        <w:spacing w:line="300" w:lineRule="atLeast"/>
        <w:ind w:left="1700" w:hanging="1700"/>
        <w:jc w:val="both"/>
        <w:rPr>
          <w:szCs w:val="18"/>
        </w:rPr>
      </w:pPr>
      <w:r>
        <w:rPr>
          <w:szCs w:val="18"/>
        </w:rPr>
        <w:t xml:space="preserve">Input estimates: </w:t>
      </w:r>
      <w:r>
        <w:rPr>
          <w:szCs w:val="18"/>
        </w:rPr>
        <w:tab/>
      </w:r>
      <w:r w:rsidR="00E309FF">
        <w:rPr>
          <w:szCs w:val="18"/>
        </w:rPr>
        <w:tab/>
        <w:t xml:space="preserve">HIGH for phosphate fertiliser (because it is based on a comprehensive analytical programme) </w:t>
      </w:r>
      <w:r>
        <w:rPr>
          <w:szCs w:val="18"/>
        </w:rPr>
        <w:t>LOW</w:t>
      </w:r>
      <w:r w:rsidR="00E309FF">
        <w:rPr>
          <w:szCs w:val="18"/>
        </w:rPr>
        <w:t xml:space="preserve"> – MEDIUM for agricultural lime </w:t>
      </w:r>
      <w:r>
        <w:rPr>
          <w:szCs w:val="18"/>
        </w:rPr>
        <w:t>(</w:t>
      </w:r>
      <w:r w:rsidRPr="00944DCC">
        <w:rPr>
          <w:szCs w:val="18"/>
        </w:rPr>
        <w:t xml:space="preserve">because </w:t>
      </w:r>
      <w:r>
        <w:rPr>
          <w:szCs w:val="18"/>
        </w:rPr>
        <w:t>they</w:t>
      </w:r>
      <w:r w:rsidR="00110FC0">
        <w:rPr>
          <w:szCs w:val="18"/>
        </w:rPr>
        <w:t xml:space="preserve"> a</w:t>
      </w:r>
      <w:r>
        <w:rPr>
          <w:szCs w:val="18"/>
        </w:rPr>
        <w:t>re</w:t>
      </w:r>
      <w:r w:rsidRPr="00944DCC">
        <w:rPr>
          <w:szCs w:val="18"/>
        </w:rPr>
        <w:t xml:space="preserve"> based on </w:t>
      </w:r>
      <w:r>
        <w:rPr>
          <w:szCs w:val="18"/>
        </w:rPr>
        <w:t>limited published</w:t>
      </w:r>
      <w:r w:rsidRPr="00944DCC">
        <w:rPr>
          <w:szCs w:val="18"/>
        </w:rPr>
        <w:t xml:space="preserve"> data</w:t>
      </w:r>
      <w:r>
        <w:rPr>
          <w:szCs w:val="18"/>
        </w:rPr>
        <w:t>)</w:t>
      </w:r>
    </w:p>
    <w:p w14:paraId="48A00BD8" w14:textId="12B055F1" w:rsidR="00855A6E" w:rsidRDefault="00F00580" w:rsidP="002368BD">
      <w:pPr>
        <w:tabs>
          <w:tab w:val="left" w:pos="1701"/>
        </w:tabs>
        <w:spacing w:line="300" w:lineRule="atLeast"/>
        <w:jc w:val="both"/>
        <w:rPr>
          <w:szCs w:val="18"/>
        </w:rPr>
      </w:pPr>
      <w:r>
        <w:rPr>
          <w:szCs w:val="18"/>
        </w:rPr>
        <w:t xml:space="preserve">Output estimates: </w:t>
      </w:r>
      <w:r>
        <w:rPr>
          <w:szCs w:val="18"/>
        </w:rPr>
        <w:tab/>
        <w:t>LOW (</w:t>
      </w:r>
      <w:r w:rsidRPr="00944DCC">
        <w:rPr>
          <w:szCs w:val="18"/>
        </w:rPr>
        <w:t xml:space="preserve">because </w:t>
      </w:r>
      <w:r w:rsidR="00110FC0">
        <w:rPr>
          <w:szCs w:val="18"/>
        </w:rPr>
        <w:t xml:space="preserve">no manufacturing </w:t>
      </w:r>
      <w:r w:rsidRPr="00944DCC">
        <w:rPr>
          <w:szCs w:val="18"/>
        </w:rPr>
        <w:t>release</w:t>
      </w:r>
      <w:r w:rsidR="00110FC0">
        <w:rPr>
          <w:szCs w:val="18"/>
        </w:rPr>
        <w:t xml:space="preserve"> factors were available</w:t>
      </w:r>
      <w:r>
        <w:rPr>
          <w:szCs w:val="18"/>
        </w:rPr>
        <w:t>).</w:t>
      </w:r>
    </w:p>
    <w:p w14:paraId="20791D21" w14:textId="38163FF2" w:rsidR="00D766AB" w:rsidRPr="00D766AB" w:rsidRDefault="00D766AB" w:rsidP="00D766AB">
      <w:pPr>
        <w:pStyle w:val="Heading2"/>
        <w:rPr>
          <w:rFonts w:eastAsia="Calibri"/>
        </w:rPr>
      </w:pPr>
      <w:bookmarkStart w:id="79" w:name="_Toc110355532"/>
      <w:r w:rsidRPr="00D766AB">
        <w:rPr>
          <w:rFonts w:eastAsia="Calibri"/>
        </w:rPr>
        <w:t>Summary for this category</w:t>
      </w:r>
      <w:bookmarkEnd w:id="79"/>
      <w:r w:rsidRPr="00D766AB">
        <w:rPr>
          <w:rFonts w:eastAsia="Calibri"/>
        </w:rPr>
        <w:t xml:space="preserve"> </w:t>
      </w:r>
    </w:p>
    <w:p w14:paraId="615F2C37" w14:textId="35916D56" w:rsidR="00682584" w:rsidRDefault="00D766AB" w:rsidP="00D766AB">
      <w:pPr>
        <w:spacing w:line="300" w:lineRule="atLeast"/>
        <w:jc w:val="both"/>
        <w:rPr>
          <w:rFonts w:eastAsia="Calibri"/>
          <w:szCs w:val="22"/>
        </w:rPr>
      </w:pPr>
      <w:r>
        <w:rPr>
          <w:rFonts w:eastAsia="Calibri"/>
          <w:szCs w:val="22"/>
        </w:rPr>
        <w:t xml:space="preserve">The estimated inputs and outputs for the minerals category are summarised in </w:t>
      </w:r>
      <w:r w:rsidRPr="0094605E">
        <w:rPr>
          <w:rFonts w:eastAsia="Calibri"/>
          <w:szCs w:val="22"/>
        </w:rPr>
        <w:fldChar w:fldCharType="begin"/>
      </w:r>
      <w:r w:rsidRPr="0094605E">
        <w:rPr>
          <w:rFonts w:eastAsia="Calibri"/>
          <w:szCs w:val="22"/>
        </w:rPr>
        <w:instrText xml:space="preserve"> REF _Ref358538907 \h </w:instrText>
      </w:r>
      <w:r w:rsidR="0094605E">
        <w:rPr>
          <w:rFonts w:eastAsia="Calibri"/>
          <w:szCs w:val="22"/>
        </w:rPr>
        <w:instrText xml:space="preserve"> \* MERGEFORMAT </w:instrText>
      </w:r>
      <w:r w:rsidRPr="0094605E">
        <w:rPr>
          <w:rFonts w:eastAsia="Calibri"/>
          <w:szCs w:val="22"/>
        </w:rPr>
      </w:r>
      <w:r w:rsidRPr="0094605E">
        <w:rPr>
          <w:rFonts w:eastAsia="Calibri"/>
          <w:szCs w:val="22"/>
        </w:rPr>
        <w:fldChar w:fldCharType="separate"/>
      </w:r>
      <w:r w:rsidR="00892B2D" w:rsidRPr="00892B2D">
        <w:t xml:space="preserve">Table </w:t>
      </w:r>
      <w:r w:rsidR="00892B2D" w:rsidRPr="00892B2D">
        <w:rPr>
          <w:noProof/>
        </w:rPr>
        <w:t>5</w:t>
      </w:r>
      <w:r w:rsidR="00892B2D" w:rsidRPr="00892B2D">
        <w:rPr>
          <w:noProof/>
        </w:rPr>
        <w:noBreakHyphen/>
        <w:t>5</w:t>
      </w:r>
      <w:r w:rsidRPr="0094605E">
        <w:rPr>
          <w:rFonts w:eastAsia="Calibri"/>
          <w:szCs w:val="22"/>
        </w:rPr>
        <w:fldChar w:fldCharType="end"/>
      </w:r>
      <w:r w:rsidR="00E309FF">
        <w:rPr>
          <w:rFonts w:eastAsia="Calibri"/>
          <w:szCs w:val="22"/>
        </w:rPr>
        <w:t>.</w:t>
      </w:r>
    </w:p>
    <w:p w14:paraId="1B3020C9" w14:textId="680F0A71" w:rsidR="00D766AB" w:rsidRPr="007901FE" w:rsidRDefault="00D766AB" w:rsidP="008A059D">
      <w:pPr>
        <w:pStyle w:val="Caption"/>
        <w:spacing w:before="240"/>
        <w:ind w:left="1440" w:hanging="1440"/>
        <w:rPr>
          <w:rFonts w:ascii="Arial" w:hAnsi="Arial" w:cs="Arial"/>
          <w:szCs w:val="18"/>
        </w:rPr>
      </w:pPr>
      <w:bookmarkStart w:id="80" w:name="_Ref358538907"/>
      <w:bookmarkStart w:id="81" w:name="_Toc110355476"/>
      <w:r w:rsidRPr="00682584">
        <w:rPr>
          <w:rFonts w:ascii="Arial" w:hAnsi="Arial" w:cs="Arial"/>
        </w:rPr>
        <w:t xml:space="preserve">Table </w:t>
      </w:r>
      <w:r w:rsidR="00390C9F">
        <w:rPr>
          <w:rFonts w:ascii="Arial" w:hAnsi="Arial" w:cs="Arial"/>
        </w:rPr>
        <w:fldChar w:fldCharType="begin"/>
      </w:r>
      <w:r w:rsidR="00390C9F">
        <w:rPr>
          <w:rFonts w:ascii="Arial" w:hAnsi="Arial" w:cs="Arial"/>
        </w:rPr>
        <w:instrText xml:space="preserve"> STYLEREF 1 \s </w:instrText>
      </w:r>
      <w:r w:rsidR="00390C9F">
        <w:rPr>
          <w:rFonts w:ascii="Arial" w:hAnsi="Arial" w:cs="Arial"/>
        </w:rPr>
        <w:fldChar w:fldCharType="separate"/>
      </w:r>
      <w:r w:rsidR="00892B2D">
        <w:rPr>
          <w:rFonts w:ascii="Arial" w:hAnsi="Arial" w:cs="Arial"/>
          <w:noProof/>
        </w:rPr>
        <w:t>5</w:t>
      </w:r>
      <w:r w:rsidR="00390C9F">
        <w:rPr>
          <w:rFonts w:ascii="Arial" w:hAnsi="Arial" w:cs="Arial"/>
        </w:rPr>
        <w:fldChar w:fldCharType="end"/>
      </w:r>
      <w:r w:rsidR="00390C9F">
        <w:rPr>
          <w:rFonts w:ascii="Arial" w:hAnsi="Arial" w:cs="Arial"/>
        </w:rPr>
        <w:noBreakHyphen/>
      </w:r>
      <w:r w:rsidR="00390C9F">
        <w:rPr>
          <w:rFonts w:ascii="Arial" w:hAnsi="Arial" w:cs="Arial"/>
        </w:rPr>
        <w:fldChar w:fldCharType="begin"/>
      </w:r>
      <w:r w:rsidR="00390C9F">
        <w:rPr>
          <w:rFonts w:ascii="Arial" w:hAnsi="Arial" w:cs="Arial"/>
        </w:rPr>
        <w:instrText xml:space="preserve"> SEQ Table \* ARABIC \s 1 </w:instrText>
      </w:r>
      <w:r w:rsidR="00390C9F">
        <w:rPr>
          <w:rFonts w:ascii="Arial" w:hAnsi="Arial" w:cs="Arial"/>
        </w:rPr>
        <w:fldChar w:fldCharType="separate"/>
      </w:r>
      <w:r w:rsidR="00892B2D">
        <w:rPr>
          <w:rFonts w:ascii="Arial" w:hAnsi="Arial" w:cs="Arial"/>
          <w:noProof/>
        </w:rPr>
        <w:t>5</w:t>
      </w:r>
      <w:r w:rsidR="00390C9F">
        <w:rPr>
          <w:rFonts w:ascii="Arial" w:hAnsi="Arial" w:cs="Arial"/>
        </w:rPr>
        <w:fldChar w:fldCharType="end"/>
      </w:r>
      <w:bookmarkEnd w:id="80"/>
      <w:r w:rsidRPr="00682584">
        <w:rPr>
          <w:rFonts w:ascii="Arial" w:hAnsi="Arial" w:cs="Arial"/>
        </w:rPr>
        <w:t>:</w:t>
      </w:r>
      <w:r w:rsidRPr="007901FE">
        <w:rPr>
          <w:rFonts w:ascii="Arial" w:hAnsi="Arial" w:cs="Arial"/>
        </w:rPr>
        <w:t xml:space="preserve"> </w:t>
      </w:r>
      <w:r w:rsidR="00403501">
        <w:rPr>
          <w:rFonts w:ascii="Arial" w:hAnsi="Arial" w:cs="Arial"/>
        </w:rPr>
        <w:t xml:space="preserve"> </w:t>
      </w:r>
      <w:r w:rsidRPr="007901FE">
        <w:rPr>
          <w:rFonts w:ascii="Arial" w:hAnsi="Arial" w:cs="Arial"/>
        </w:rPr>
        <w:t>Summary of inputs and o</w:t>
      </w:r>
      <w:r>
        <w:rPr>
          <w:rFonts w:ascii="Arial" w:hAnsi="Arial" w:cs="Arial"/>
        </w:rPr>
        <w:t xml:space="preserve">utputs for </w:t>
      </w:r>
      <w:r w:rsidRPr="00D766AB">
        <w:rPr>
          <w:rFonts w:ascii="Arial" w:hAnsi="Arial" w:cs="Arial"/>
        </w:rPr>
        <w:t>production of minerals and related materials with mercury impurities</w:t>
      </w:r>
      <w:r w:rsidR="00842CA3">
        <w:rPr>
          <w:rFonts w:ascii="Arial" w:hAnsi="Arial" w:cs="Arial"/>
        </w:rPr>
        <w:t xml:space="preserve"> for </w:t>
      </w:r>
      <w:bookmarkEnd w:id="81"/>
      <w:r w:rsidR="00EB2D58">
        <w:rPr>
          <w:rFonts w:ascii="Arial" w:hAnsi="Arial" w:cs="Arial"/>
        </w:rPr>
        <w:t>2024</w:t>
      </w:r>
    </w:p>
    <w:tbl>
      <w:tblPr>
        <w:tblStyle w:val="TableGrid"/>
        <w:tblW w:w="9214" w:type="dxa"/>
        <w:tblInd w:w="108" w:type="dxa"/>
        <w:tblLook w:val="04A0" w:firstRow="1" w:lastRow="0" w:firstColumn="1" w:lastColumn="0" w:noHBand="0" w:noVBand="1"/>
      </w:tblPr>
      <w:tblGrid>
        <w:gridCol w:w="1985"/>
        <w:gridCol w:w="1417"/>
        <w:gridCol w:w="1134"/>
        <w:gridCol w:w="1134"/>
        <w:gridCol w:w="1304"/>
        <w:gridCol w:w="1077"/>
        <w:gridCol w:w="1163"/>
      </w:tblGrid>
      <w:tr w:rsidR="00D766AB" w:rsidRPr="007901FE" w14:paraId="387F85FB" w14:textId="77777777" w:rsidTr="001E5DEF">
        <w:tc>
          <w:tcPr>
            <w:tcW w:w="1985" w:type="dxa"/>
            <w:vMerge w:val="restart"/>
            <w:vAlign w:val="center"/>
          </w:tcPr>
          <w:p w14:paraId="20667A97" w14:textId="77777777" w:rsidR="00D766AB" w:rsidRPr="004E3E02" w:rsidRDefault="00D766AB" w:rsidP="001E5DEF">
            <w:pPr>
              <w:spacing w:line="300" w:lineRule="atLeast"/>
              <w:rPr>
                <w:rFonts w:ascii="Arial" w:hAnsi="Arial" w:cs="Arial"/>
                <w:b/>
                <w:sz w:val="16"/>
                <w:szCs w:val="16"/>
              </w:rPr>
            </w:pPr>
            <w:r w:rsidRPr="004E3E02">
              <w:rPr>
                <w:rFonts w:ascii="Arial" w:hAnsi="Arial" w:cs="Arial"/>
                <w:b/>
                <w:sz w:val="16"/>
                <w:szCs w:val="16"/>
              </w:rPr>
              <w:t>Category</w:t>
            </w:r>
          </w:p>
        </w:tc>
        <w:tc>
          <w:tcPr>
            <w:tcW w:w="1417" w:type="dxa"/>
            <w:vMerge w:val="restart"/>
            <w:vAlign w:val="center"/>
          </w:tcPr>
          <w:p w14:paraId="1679B5D8" w14:textId="77777777" w:rsidR="00D766AB" w:rsidRPr="004E3E02" w:rsidRDefault="00D766AB" w:rsidP="001E5DEF">
            <w:pPr>
              <w:spacing w:line="300" w:lineRule="atLeast"/>
              <w:jc w:val="center"/>
              <w:rPr>
                <w:rFonts w:ascii="Arial" w:hAnsi="Arial" w:cs="Arial"/>
                <w:b/>
                <w:sz w:val="16"/>
                <w:szCs w:val="16"/>
              </w:rPr>
            </w:pPr>
            <w:r w:rsidRPr="004E3E02">
              <w:rPr>
                <w:rFonts w:ascii="Arial" w:hAnsi="Arial" w:cs="Arial"/>
                <w:b/>
                <w:sz w:val="16"/>
                <w:szCs w:val="16"/>
              </w:rPr>
              <w:t>Mercury Inputs, kg/year</w:t>
            </w:r>
          </w:p>
        </w:tc>
        <w:tc>
          <w:tcPr>
            <w:tcW w:w="5812" w:type="dxa"/>
            <w:gridSpan w:val="5"/>
            <w:vAlign w:val="center"/>
          </w:tcPr>
          <w:p w14:paraId="5641E1C7" w14:textId="77777777" w:rsidR="00D766AB" w:rsidRPr="004E3E02" w:rsidRDefault="00D766AB" w:rsidP="001E5DEF">
            <w:pPr>
              <w:spacing w:line="300" w:lineRule="atLeast"/>
              <w:jc w:val="center"/>
              <w:rPr>
                <w:rFonts w:ascii="Arial" w:hAnsi="Arial" w:cs="Arial"/>
                <w:b/>
                <w:sz w:val="16"/>
                <w:szCs w:val="16"/>
              </w:rPr>
            </w:pPr>
            <w:r w:rsidRPr="004E3E02">
              <w:rPr>
                <w:rFonts w:ascii="Arial" w:hAnsi="Arial" w:cs="Arial"/>
                <w:b/>
                <w:sz w:val="16"/>
                <w:szCs w:val="16"/>
              </w:rPr>
              <w:t>Mercury Outputs, kg/yr</w:t>
            </w:r>
          </w:p>
        </w:tc>
      </w:tr>
      <w:tr w:rsidR="00D766AB" w:rsidRPr="007901FE" w14:paraId="45682AF9" w14:textId="77777777" w:rsidTr="004E008C">
        <w:tc>
          <w:tcPr>
            <w:tcW w:w="1985" w:type="dxa"/>
            <w:vMerge/>
            <w:vAlign w:val="center"/>
          </w:tcPr>
          <w:p w14:paraId="0F43BD3C" w14:textId="77777777" w:rsidR="00D766AB" w:rsidRPr="004E3E02" w:rsidRDefault="00D766AB" w:rsidP="001E5DEF">
            <w:pPr>
              <w:spacing w:line="300" w:lineRule="atLeast"/>
              <w:rPr>
                <w:rFonts w:ascii="Arial" w:hAnsi="Arial" w:cs="Arial"/>
                <w:b/>
                <w:sz w:val="16"/>
                <w:szCs w:val="16"/>
              </w:rPr>
            </w:pPr>
          </w:p>
        </w:tc>
        <w:tc>
          <w:tcPr>
            <w:tcW w:w="1417" w:type="dxa"/>
            <w:vMerge/>
          </w:tcPr>
          <w:p w14:paraId="34BF727A" w14:textId="77777777" w:rsidR="00D766AB" w:rsidRPr="004E3E02" w:rsidRDefault="00D766AB" w:rsidP="001E5DEF">
            <w:pPr>
              <w:spacing w:line="300" w:lineRule="atLeast"/>
              <w:jc w:val="both"/>
              <w:rPr>
                <w:rFonts w:ascii="Arial" w:hAnsi="Arial" w:cs="Arial"/>
                <w:b/>
                <w:sz w:val="16"/>
                <w:szCs w:val="16"/>
              </w:rPr>
            </w:pPr>
          </w:p>
        </w:tc>
        <w:tc>
          <w:tcPr>
            <w:tcW w:w="1134" w:type="dxa"/>
            <w:vAlign w:val="center"/>
          </w:tcPr>
          <w:p w14:paraId="2F977755" w14:textId="77777777" w:rsidR="00D766AB" w:rsidRPr="004E3E02" w:rsidRDefault="00D766AB" w:rsidP="001E5DEF">
            <w:pPr>
              <w:spacing w:line="300" w:lineRule="atLeast"/>
              <w:jc w:val="center"/>
              <w:rPr>
                <w:rFonts w:ascii="Arial" w:hAnsi="Arial" w:cs="Arial"/>
                <w:b/>
                <w:sz w:val="16"/>
                <w:szCs w:val="16"/>
              </w:rPr>
            </w:pPr>
            <w:r w:rsidRPr="004E3E02">
              <w:rPr>
                <w:rFonts w:ascii="Arial" w:hAnsi="Arial" w:cs="Arial"/>
                <w:b/>
                <w:sz w:val="16"/>
                <w:szCs w:val="16"/>
              </w:rPr>
              <w:t>Air</w:t>
            </w:r>
          </w:p>
        </w:tc>
        <w:tc>
          <w:tcPr>
            <w:tcW w:w="1134" w:type="dxa"/>
            <w:vAlign w:val="center"/>
          </w:tcPr>
          <w:p w14:paraId="60C9B684" w14:textId="77777777" w:rsidR="00D766AB" w:rsidRPr="004E3E02" w:rsidRDefault="00D766AB" w:rsidP="001E5DEF">
            <w:pPr>
              <w:spacing w:line="300" w:lineRule="atLeast"/>
              <w:jc w:val="center"/>
              <w:rPr>
                <w:rFonts w:ascii="Arial" w:hAnsi="Arial" w:cs="Arial"/>
                <w:b/>
                <w:sz w:val="16"/>
                <w:szCs w:val="16"/>
              </w:rPr>
            </w:pPr>
            <w:r w:rsidRPr="004E3E02">
              <w:rPr>
                <w:rFonts w:ascii="Arial" w:hAnsi="Arial" w:cs="Arial"/>
                <w:b/>
                <w:sz w:val="16"/>
                <w:szCs w:val="16"/>
              </w:rPr>
              <w:t>Water</w:t>
            </w:r>
          </w:p>
        </w:tc>
        <w:tc>
          <w:tcPr>
            <w:tcW w:w="1304" w:type="dxa"/>
            <w:vAlign w:val="center"/>
          </w:tcPr>
          <w:p w14:paraId="356BE076" w14:textId="77777777" w:rsidR="00D766AB" w:rsidRPr="004E3E02" w:rsidRDefault="00D766AB" w:rsidP="001E5DEF">
            <w:pPr>
              <w:spacing w:line="300" w:lineRule="atLeast"/>
              <w:jc w:val="center"/>
              <w:rPr>
                <w:rFonts w:ascii="Arial" w:hAnsi="Arial" w:cs="Arial"/>
                <w:b/>
                <w:sz w:val="16"/>
                <w:szCs w:val="16"/>
              </w:rPr>
            </w:pPr>
            <w:r w:rsidRPr="004E3E02">
              <w:rPr>
                <w:rFonts w:ascii="Arial" w:hAnsi="Arial" w:cs="Arial"/>
                <w:b/>
                <w:sz w:val="16"/>
                <w:szCs w:val="16"/>
              </w:rPr>
              <w:t>Land</w:t>
            </w:r>
          </w:p>
        </w:tc>
        <w:tc>
          <w:tcPr>
            <w:tcW w:w="1077" w:type="dxa"/>
            <w:vAlign w:val="center"/>
          </w:tcPr>
          <w:p w14:paraId="068EE809" w14:textId="77777777" w:rsidR="00D766AB" w:rsidRPr="004E3E02" w:rsidRDefault="00D766AB" w:rsidP="001E5DEF">
            <w:pPr>
              <w:spacing w:line="300" w:lineRule="atLeast"/>
              <w:jc w:val="center"/>
              <w:rPr>
                <w:rFonts w:ascii="Arial" w:hAnsi="Arial" w:cs="Arial"/>
                <w:b/>
                <w:sz w:val="16"/>
                <w:szCs w:val="16"/>
              </w:rPr>
            </w:pPr>
            <w:r w:rsidRPr="004E3E02">
              <w:rPr>
                <w:rFonts w:ascii="Arial" w:hAnsi="Arial" w:cs="Arial"/>
                <w:b/>
                <w:sz w:val="16"/>
                <w:szCs w:val="16"/>
              </w:rPr>
              <w:t>Product</w:t>
            </w:r>
          </w:p>
        </w:tc>
        <w:tc>
          <w:tcPr>
            <w:tcW w:w="1163" w:type="dxa"/>
            <w:vAlign w:val="center"/>
          </w:tcPr>
          <w:p w14:paraId="33685A97" w14:textId="77777777" w:rsidR="00D766AB" w:rsidRPr="004E3E02" w:rsidRDefault="00D766AB" w:rsidP="001E5DEF">
            <w:pPr>
              <w:spacing w:line="300" w:lineRule="atLeast"/>
              <w:jc w:val="center"/>
              <w:rPr>
                <w:rFonts w:ascii="Arial" w:hAnsi="Arial" w:cs="Arial"/>
                <w:b/>
                <w:sz w:val="16"/>
                <w:szCs w:val="16"/>
              </w:rPr>
            </w:pPr>
            <w:r w:rsidRPr="004E3E02">
              <w:rPr>
                <w:rFonts w:ascii="Arial" w:hAnsi="Arial" w:cs="Arial"/>
                <w:b/>
                <w:sz w:val="16"/>
                <w:szCs w:val="16"/>
              </w:rPr>
              <w:t>Waste</w:t>
            </w:r>
          </w:p>
        </w:tc>
      </w:tr>
      <w:tr w:rsidR="00D766AB" w:rsidRPr="007901FE" w14:paraId="61CE6B05" w14:textId="77777777" w:rsidTr="004E008C">
        <w:tc>
          <w:tcPr>
            <w:tcW w:w="1985" w:type="dxa"/>
            <w:vAlign w:val="center"/>
          </w:tcPr>
          <w:p w14:paraId="48455D4F" w14:textId="77777777" w:rsidR="00D766AB" w:rsidRPr="004E3E02" w:rsidRDefault="00D766AB" w:rsidP="001E5DEF">
            <w:pPr>
              <w:spacing w:line="300" w:lineRule="atLeast"/>
              <w:rPr>
                <w:rFonts w:ascii="Arial" w:hAnsi="Arial" w:cs="Arial"/>
                <w:sz w:val="16"/>
                <w:szCs w:val="16"/>
              </w:rPr>
            </w:pPr>
            <w:r>
              <w:rPr>
                <w:rFonts w:ascii="Arial" w:hAnsi="Arial" w:cs="Arial"/>
                <w:sz w:val="16"/>
                <w:szCs w:val="16"/>
              </w:rPr>
              <w:t>Cement</w:t>
            </w:r>
          </w:p>
        </w:tc>
        <w:tc>
          <w:tcPr>
            <w:tcW w:w="1417" w:type="dxa"/>
            <w:vAlign w:val="center"/>
          </w:tcPr>
          <w:p w14:paraId="28198B26" w14:textId="082C3BE0" w:rsidR="00D766AB" w:rsidRPr="0068435E" w:rsidRDefault="00412E89" w:rsidP="001E5DEF">
            <w:pPr>
              <w:spacing w:line="300" w:lineRule="atLeast"/>
              <w:jc w:val="center"/>
              <w:rPr>
                <w:rFonts w:ascii="Arial" w:hAnsi="Arial" w:cs="Arial"/>
                <w:sz w:val="16"/>
                <w:szCs w:val="16"/>
                <w:highlight w:val="yellow"/>
              </w:rPr>
            </w:pPr>
            <w:r w:rsidRPr="0068435E">
              <w:rPr>
                <w:rFonts w:ascii="Arial" w:hAnsi="Arial" w:cs="Arial"/>
                <w:sz w:val="16"/>
                <w:szCs w:val="16"/>
              </w:rPr>
              <w:t>0.6</w:t>
            </w:r>
            <w:r w:rsidR="00411076">
              <w:rPr>
                <w:rFonts w:ascii="Arial" w:hAnsi="Arial" w:cs="Arial"/>
                <w:sz w:val="16"/>
                <w:szCs w:val="16"/>
              </w:rPr>
              <w:t>7</w:t>
            </w:r>
          </w:p>
        </w:tc>
        <w:tc>
          <w:tcPr>
            <w:tcW w:w="1134" w:type="dxa"/>
            <w:vAlign w:val="center"/>
          </w:tcPr>
          <w:p w14:paraId="76FBF669" w14:textId="0F559927" w:rsidR="00D766AB" w:rsidRPr="0068435E" w:rsidRDefault="00412E89" w:rsidP="00A51C46">
            <w:pPr>
              <w:spacing w:line="300" w:lineRule="atLeast"/>
              <w:jc w:val="center"/>
              <w:rPr>
                <w:rFonts w:ascii="Arial" w:hAnsi="Arial" w:cs="Arial"/>
                <w:sz w:val="16"/>
                <w:szCs w:val="16"/>
                <w:highlight w:val="yellow"/>
              </w:rPr>
            </w:pPr>
            <w:r>
              <w:rPr>
                <w:rFonts w:ascii="Arial" w:hAnsi="Arial" w:cs="Arial"/>
                <w:sz w:val="16"/>
                <w:szCs w:val="16"/>
              </w:rPr>
              <w:t>0.4</w:t>
            </w:r>
            <w:r w:rsidR="00370CE7">
              <w:rPr>
                <w:rFonts w:ascii="Arial" w:hAnsi="Arial" w:cs="Arial"/>
                <w:sz w:val="16"/>
                <w:szCs w:val="16"/>
              </w:rPr>
              <w:t>7</w:t>
            </w:r>
          </w:p>
        </w:tc>
        <w:tc>
          <w:tcPr>
            <w:tcW w:w="1134" w:type="dxa"/>
            <w:vAlign w:val="center"/>
          </w:tcPr>
          <w:p w14:paraId="3B291088" w14:textId="77777777" w:rsidR="00D766AB" w:rsidRPr="00C30C3D" w:rsidRDefault="00D766AB" w:rsidP="001E5DEF">
            <w:pPr>
              <w:spacing w:line="300" w:lineRule="atLeast"/>
              <w:jc w:val="center"/>
              <w:rPr>
                <w:rFonts w:ascii="Arial" w:hAnsi="Arial" w:cs="Arial"/>
                <w:sz w:val="16"/>
                <w:szCs w:val="16"/>
              </w:rPr>
            </w:pPr>
            <w:r w:rsidRPr="00C30C3D">
              <w:rPr>
                <w:rFonts w:ascii="Arial" w:hAnsi="Arial" w:cs="Arial"/>
                <w:sz w:val="16"/>
                <w:szCs w:val="16"/>
              </w:rPr>
              <w:t>-</w:t>
            </w:r>
          </w:p>
        </w:tc>
        <w:tc>
          <w:tcPr>
            <w:tcW w:w="1304" w:type="dxa"/>
            <w:vAlign w:val="center"/>
          </w:tcPr>
          <w:p w14:paraId="316C0AF2" w14:textId="77777777" w:rsidR="00D766AB" w:rsidRPr="00C30C3D" w:rsidRDefault="00D766AB" w:rsidP="001E5DEF">
            <w:pPr>
              <w:spacing w:line="300" w:lineRule="atLeast"/>
              <w:jc w:val="center"/>
              <w:rPr>
                <w:rFonts w:ascii="Arial" w:hAnsi="Arial" w:cs="Arial"/>
                <w:sz w:val="16"/>
                <w:szCs w:val="16"/>
              </w:rPr>
            </w:pPr>
            <w:r w:rsidRPr="00C30C3D">
              <w:rPr>
                <w:rFonts w:ascii="Arial" w:hAnsi="Arial" w:cs="Arial"/>
                <w:sz w:val="16"/>
                <w:szCs w:val="16"/>
              </w:rPr>
              <w:t>-</w:t>
            </w:r>
          </w:p>
        </w:tc>
        <w:tc>
          <w:tcPr>
            <w:tcW w:w="1077" w:type="dxa"/>
            <w:vAlign w:val="center"/>
          </w:tcPr>
          <w:p w14:paraId="18ECC214" w14:textId="4A33C1DD" w:rsidR="00D766AB" w:rsidRPr="0068435E" w:rsidRDefault="00412E89" w:rsidP="00A51C46">
            <w:pPr>
              <w:spacing w:line="300" w:lineRule="atLeast"/>
              <w:jc w:val="center"/>
              <w:rPr>
                <w:rFonts w:ascii="Arial" w:hAnsi="Arial" w:cs="Arial"/>
                <w:sz w:val="16"/>
                <w:szCs w:val="16"/>
                <w:highlight w:val="yellow"/>
              </w:rPr>
            </w:pPr>
            <w:r w:rsidRPr="0068435E">
              <w:rPr>
                <w:rFonts w:ascii="Arial" w:hAnsi="Arial" w:cs="Arial"/>
                <w:sz w:val="16"/>
                <w:szCs w:val="16"/>
              </w:rPr>
              <w:t>0.</w:t>
            </w:r>
            <w:r w:rsidR="00370CE7">
              <w:rPr>
                <w:rFonts w:ascii="Arial" w:hAnsi="Arial" w:cs="Arial"/>
                <w:sz w:val="16"/>
                <w:szCs w:val="16"/>
              </w:rPr>
              <w:t>20</w:t>
            </w:r>
          </w:p>
        </w:tc>
        <w:tc>
          <w:tcPr>
            <w:tcW w:w="1163" w:type="dxa"/>
            <w:vAlign w:val="center"/>
          </w:tcPr>
          <w:p w14:paraId="4DDE3CC7" w14:textId="77777777" w:rsidR="00D766AB" w:rsidRPr="00C30C3D" w:rsidRDefault="00D766AB" w:rsidP="001E5DEF">
            <w:pPr>
              <w:spacing w:line="300" w:lineRule="atLeast"/>
              <w:jc w:val="center"/>
              <w:rPr>
                <w:rFonts w:ascii="Arial" w:hAnsi="Arial" w:cs="Arial"/>
                <w:sz w:val="16"/>
                <w:szCs w:val="16"/>
              </w:rPr>
            </w:pPr>
            <w:r w:rsidRPr="00C30C3D">
              <w:rPr>
                <w:rFonts w:ascii="Arial" w:hAnsi="Arial" w:cs="Arial"/>
                <w:sz w:val="16"/>
                <w:szCs w:val="16"/>
              </w:rPr>
              <w:t>-</w:t>
            </w:r>
          </w:p>
        </w:tc>
      </w:tr>
      <w:tr w:rsidR="00D766AB" w:rsidRPr="007901FE" w14:paraId="6732C28E" w14:textId="77777777" w:rsidTr="004E008C">
        <w:tc>
          <w:tcPr>
            <w:tcW w:w="1985" w:type="dxa"/>
            <w:vAlign w:val="center"/>
          </w:tcPr>
          <w:p w14:paraId="46EC78A8" w14:textId="77777777" w:rsidR="00D766AB" w:rsidRPr="004E3E02" w:rsidRDefault="00D766AB" w:rsidP="001E5DEF">
            <w:pPr>
              <w:spacing w:line="300" w:lineRule="atLeast"/>
              <w:rPr>
                <w:rFonts w:ascii="Arial" w:hAnsi="Arial" w:cs="Arial"/>
                <w:sz w:val="16"/>
                <w:szCs w:val="16"/>
              </w:rPr>
            </w:pPr>
            <w:r>
              <w:rPr>
                <w:rFonts w:ascii="Arial" w:hAnsi="Arial" w:cs="Arial"/>
                <w:sz w:val="16"/>
                <w:szCs w:val="16"/>
              </w:rPr>
              <w:t>Pulp and paper</w:t>
            </w:r>
          </w:p>
        </w:tc>
        <w:tc>
          <w:tcPr>
            <w:tcW w:w="1417" w:type="dxa"/>
            <w:vAlign w:val="center"/>
          </w:tcPr>
          <w:p w14:paraId="78DD96B3" w14:textId="77777777" w:rsidR="00D766AB" w:rsidRPr="00C30C3D" w:rsidRDefault="00B72462" w:rsidP="001E5DEF">
            <w:pPr>
              <w:spacing w:line="300" w:lineRule="atLeast"/>
              <w:jc w:val="center"/>
              <w:rPr>
                <w:rFonts w:ascii="Arial" w:hAnsi="Arial" w:cs="Arial"/>
                <w:sz w:val="16"/>
                <w:szCs w:val="16"/>
              </w:rPr>
            </w:pPr>
            <w:r w:rsidRPr="00C30C3D">
              <w:rPr>
                <w:rFonts w:ascii="Arial" w:hAnsi="Arial" w:cs="Arial"/>
                <w:sz w:val="16"/>
                <w:szCs w:val="16"/>
              </w:rPr>
              <w:t>-</w:t>
            </w:r>
          </w:p>
        </w:tc>
        <w:tc>
          <w:tcPr>
            <w:tcW w:w="1134" w:type="dxa"/>
            <w:vAlign w:val="center"/>
          </w:tcPr>
          <w:p w14:paraId="67EB50C7" w14:textId="77777777" w:rsidR="00D766AB" w:rsidRPr="00C30C3D" w:rsidRDefault="00B72462" w:rsidP="001E5DEF">
            <w:pPr>
              <w:spacing w:line="300" w:lineRule="atLeast"/>
              <w:jc w:val="center"/>
              <w:rPr>
                <w:rFonts w:ascii="Arial" w:hAnsi="Arial" w:cs="Arial"/>
                <w:sz w:val="16"/>
                <w:szCs w:val="16"/>
              </w:rPr>
            </w:pPr>
            <w:r w:rsidRPr="00C30C3D">
              <w:rPr>
                <w:rFonts w:ascii="Arial" w:hAnsi="Arial" w:cs="Arial"/>
                <w:sz w:val="16"/>
                <w:szCs w:val="16"/>
              </w:rPr>
              <w:t>-</w:t>
            </w:r>
          </w:p>
        </w:tc>
        <w:tc>
          <w:tcPr>
            <w:tcW w:w="1134" w:type="dxa"/>
            <w:vAlign w:val="center"/>
          </w:tcPr>
          <w:p w14:paraId="4986D6F5" w14:textId="77777777" w:rsidR="00D766AB" w:rsidRPr="00C30C3D" w:rsidRDefault="00B72462" w:rsidP="001E5DEF">
            <w:pPr>
              <w:spacing w:line="300" w:lineRule="atLeast"/>
              <w:jc w:val="center"/>
              <w:rPr>
                <w:rFonts w:ascii="Arial" w:hAnsi="Arial" w:cs="Arial"/>
                <w:sz w:val="16"/>
                <w:szCs w:val="16"/>
              </w:rPr>
            </w:pPr>
            <w:r w:rsidRPr="00C30C3D">
              <w:rPr>
                <w:rFonts w:ascii="Arial" w:hAnsi="Arial" w:cs="Arial"/>
                <w:sz w:val="16"/>
                <w:szCs w:val="16"/>
              </w:rPr>
              <w:t>-</w:t>
            </w:r>
          </w:p>
        </w:tc>
        <w:tc>
          <w:tcPr>
            <w:tcW w:w="1304" w:type="dxa"/>
            <w:vAlign w:val="center"/>
          </w:tcPr>
          <w:p w14:paraId="54F147B9" w14:textId="77777777" w:rsidR="00D766AB" w:rsidRPr="00C30C3D" w:rsidRDefault="00B72462" w:rsidP="001E5DEF">
            <w:pPr>
              <w:spacing w:line="300" w:lineRule="atLeast"/>
              <w:jc w:val="center"/>
              <w:rPr>
                <w:rFonts w:ascii="Arial" w:hAnsi="Arial" w:cs="Arial"/>
                <w:sz w:val="16"/>
                <w:szCs w:val="16"/>
              </w:rPr>
            </w:pPr>
            <w:r w:rsidRPr="00C30C3D">
              <w:rPr>
                <w:rFonts w:ascii="Arial" w:hAnsi="Arial" w:cs="Arial"/>
                <w:sz w:val="16"/>
                <w:szCs w:val="16"/>
              </w:rPr>
              <w:t>-</w:t>
            </w:r>
          </w:p>
        </w:tc>
        <w:tc>
          <w:tcPr>
            <w:tcW w:w="1077" w:type="dxa"/>
            <w:vAlign w:val="center"/>
          </w:tcPr>
          <w:p w14:paraId="4759726D" w14:textId="77777777" w:rsidR="00D766AB" w:rsidRPr="00C30C3D" w:rsidRDefault="00D766AB" w:rsidP="001E5DEF">
            <w:pPr>
              <w:spacing w:line="300" w:lineRule="atLeast"/>
              <w:jc w:val="center"/>
              <w:rPr>
                <w:rFonts w:ascii="Arial" w:hAnsi="Arial" w:cs="Arial"/>
                <w:sz w:val="16"/>
                <w:szCs w:val="16"/>
              </w:rPr>
            </w:pPr>
            <w:r w:rsidRPr="00C30C3D">
              <w:rPr>
                <w:rFonts w:ascii="Arial" w:hAnsi="Arial" w:cs="Arial"/>
                <w:sz w:val="16"/>
                <w:szCs w:val="16"/>
              </w:rPr>
              <w:t>-</w:t>
            </w:r>
          </w:p>
        </w:tc>
        <w:tc>
          <w:tcPr>
            <w:tcW w:w="1163" w:type="dxa"/>
            <w:vAlign w:val="center"/>
          </w:tcPr>
          <w:p w14:paraId="4D87A0DB" w14:textId="77777777" w:rsidR="00D766AB" w:rsidRPr="00C30C3D" w:rsidRDefault="00D766AB" w:rsidP="001E5DEF">
            <w:pPr>
              <w:spacing w:line="300" w:lineRule="atLeast"/>
              <w:jc w:val="center"/>
              <w:rPr>
                <w:rFonts w:ascii="Arial" w:hAnsi="Arial" w:cs="Arial"/>
                <w:sz w:val="16"/>
                <w:szCs w:val="16"/>
              </w:rPr>
            </w:pPr>
            <w:r w:rsidRPr="00C30C3D">
              <w:rPr>
                <w:rFonts w:ascii="Arial" w:hAnsi="Arial" w:cs="Arial"/>
                <w:sz w:val="16"/>
                <w:szCs w:val="16"/>
              </w:rPr>
              <w:t>-</w:t>
            </w:r>
          </w:p>
        </w:tc>
      </w:tr>
      <w:tr w:rsidR="00412E89" w:rsidRPr="007901FE" w14:paraId="77D46D64" w14:textId="77777777" w:rsidTr="004E008C">
        <w:tc>
          <w:tcPr>
            <w:tcW w:w="1985" w:type="dxa"/>
            <w:vAlign w:val="center"/>
          </w:tcPr>
          <w:p w14:paraId="215EA8FD" w14:textId="77777777" w:rsidR="00412E89" w:rsidRPr="004E3E02" w:rsidRDefault="00412E89" w:rsidP="00412E89">
            <w:pPr>
              <w:spacing w:line="300" w:lineRule="atLeast"/>
              <w:rPr>
                <w:rFonts w:ascii="Arial" w:hAnsi="Arial" w:cs="Arial"/>
                <w:sz w:val="16"/>
                <w:szCs w:val="16"/>
              </w:rPr>
            </w:pPr>
            <w:r>
              <w:rPr>
                <w:rFonts w:ascii="Arial" w:hAnsi="Arial" w:cs="Arial"/>
                <w:sz w:val="16"/>
                <w:szCs w:val="16"/>
              </w:rPr>
              <w:t>Lime</w:t>
            </w:r>
          </w:p>
        </w:tc>
        <w:tc>
          <w:tcPr>
            <w:tcW w:w="1417" w:type="dxa"/>
            <w:vAlign w:val="center"/>
          </w:tcPr>
          <w:p w14:paraId="4785BEDD" w14:textId="3EDB9513" w:rsidR="00412E89" w:rsidRPr="0068435E" w:rsidRDefault="00412E89" w:rsidP="00412E89">
            <w:pPr>
              <w:spacing w:line="300" w:lineRule="atLeast"/>
              <w:jc w:val="center"/>
              <w:rPr>
                <w:rFonts w:ascii="Arial" w:hAnsi="Arial" w:cs="Arial"/>
                <w:color w:val="000000" w:themeColor="text1"/>
                <w:sz w:val="16"/>
                <w:szCs w:val="16"/>
                <w:highlight w:val="yellow"/>
              </w:rPr>
            </w:pPr>
            <w:r w:rsidRPr="0068435E">
              <w:rPr>
                <w:rFonts w:ascii="Arial" w:hAnsi="Arial" w:cs="Arial"/>
                <w:color w:val="000000" w:themeColor="text1"/>
                <w:sz w:val="16"/>
                <w:szCs w:val="16"/>
              </w:rPr>
              <w:t>0.643 – 2.57</w:t>
            </w:r>
            <w:r w:rsidR="00743F9B">
              <w:rPr>
                <w:rFonts w:ascii="Arial" w:hAnsi="Arial" w:cs="Arial"/>
                <w:color w:val="000000" w:themeColor="text1"/>
                <w:sz w:val="16"/>
                <w:szCs w:val="16"/>
              </w:rPr>
              <w:t xml:space="preserve"> </w:t>
            </w:r>
            <w:r w:rsidRPr="0068435E">
              <w:rPr>
                <w:rFonts w:ascii="Arial" w:hAnsi="Arial" w:cs="Arial"/>
                <w:color w:val="000000" w:themeColor="text1"/>
                <w:sz w:val="16"/>
                <w:szCs w:val="16"/>
              </w:rPr>
              <w:t>(1.6</w:t>
            </w:r>
            <w:r w:rsidR="00743F9B">
              <w:rPr>
                <w:rFonts w:ascii="Arial" w:hAnsi="Arial" w:cs="Arial"/>
                <w:color w:val="000000" w:themeColor="text1"/>
                <w:sz w:val="16"/>
                <w:szCs w:val="16"/>
              </w:rPr>
              <w:t>1</w:t>
            </w:r>
            <w:r w:rsidRPr="0068435E">
              <w:rPr>
                <w:rFonts w:ascii="Arial" w:hAnsi="Arial" w:cs="Arial"/>
                <w:color w:val="000000" w:themeColor="text1"/>
                <w:sz w:val="16"/>
                <w:szCs w:val="16"/>
              </w:rPr>
              <w:t>)</w:t>
            </w:r>
          </w:p>
        </w:tc>
        <w:tc>
          <w:tcPr>
            <w:tcW w:w="1134" w:type="dxa"/>
            <w:vAlign w:val="center"/>
          </w:tcPr>
          <w:p w14:paraId="70F7ECAA" w14:textId="72D1066B" w:rsidR="00412E89" w:rsidRPr="0068435E" w:rsidRDefault="00412E89" w:rsidP="00412E89">
            <w:pPr>
              <w:spacing w:line="300" w:lineRule="atLeast"/>
              <w:jc w:val="center"/>
              <w:rPr>
                <w:rFonts w:ascii="Arial" w:hAnsi="Arial" w:cs="Arial"/>
                <w:color w:val="000000" w:themeColor="text1"/>
                <w:sz w:val="16"/>
                <w:szCs w:val="16"/>
                <w:highlight w:val="yellow"/>
              </w:rPr>
            </w:pPr>
            <w:r w:rsidRPr="0068435E">
              <w:rPr>
                <w:rFonts w:ascii="Arial" w:hAnsi="Arial" w:cs="Arial"/>
                <w:color w:val="000000" w:themeColor="text1"/>
                <w:sz w:val="16"/>
                <w:szCs w:val="16"/>
              </w:rPr>
              <w:t>0.450 -1.80</w:t>
            </w:r>
            <w:r w:rsidR="00743F9B">
              <w:rPr>
                <w:rFonts w:ascii="Arial" w:hAnsi="Arial" w:cs="Arial"/>
                <w:color w:val="000000" w:themeColor="text1"/>
                <w:sz w:val="16"/>
                <w:szCs w:val="16"/>
              </w:rPr>
              <w:t xml:space="preserve"> </w:t>
            </w:r>
            <w:r w:rsidRPr="0068435E">
              <w:rPr>
                <w:rFonts w:ascii="Arial" w:hAnsi="Arial" w:cs="Arial"/>
                <w:color w:val="000000" w:themeColor="text1"/>
                <w:sz w:val="16"/>
                <w:szCs w:val="16"/>
              </w:rPr>
              <w:t>(1.1</w:t>
            </w:r>
            <w:r w:rsidR="00743F9B">
              <w:rPr>
                <w:rFonts w:ascii="Arial" w:hAnsi="Arial" w:cs="Arial"/>
                <w:color w:val="000000" w:themeColor="text1"/>
                <w:sz w:val="16"/>
                <w:szCs w:val="16"/>
              </w:rPr>
              <w:t>3</w:t>
            </w:r>
            <w:r w:rsidRPr="0068435E">
              <w:rPr>
                <w:rFonts w:ascii="Arial" w:hAnsi="Arial" w:cs="Arial"/>
                <w:color w:val="000000" w:themeColor="text1"/>
                <w:sz w:val="16"/>
                <w:szCs w:val="16"/>
              </w:rPr>
              <w:t>)</w:t>
            </w:r>
          </w:p>
        </w:tc>
        <w:tc>
          <w:tcPr>
            <w:tcW w:w="1134" w:type="dxa"/>
            <w:vAlign w:val="center"/>
          </w:tcPr>
          <w:p w14:paraId="723F216D" w14:textId="351379B5" w:rsidR="00412E89" w:rsidRPr="0068435E" w:rsidRDefault="00412E89" w:rsidP="00412E89">
            <w:pPr>
              <w:spacing w:line="300" w:lineRule="atLeast"/>
              <w:jc w:val="center"/>
              <w:rPr>
                <w:rFonts w:ascii="Arial" w:hAnsi="Arial" w:cs="Arial"/>
                <w:color w:val="000000" w:themeColor="text1"/>
                <w:sz w:val="16"/>
                <w:szCs w:val="16"/>
              </w:rPr>
            </w:pPr>
            <w:r w:rsidRPr="0068435E">
              <w:rPr>
                <w:rFonts w:ascii="Arial" w:hAnsi="Arial" w:cs="Arial"/>
                <w:color w:val="000000" w:themeColor="text1"/>
                <w:sz w:val="16"/>
                <w:szCs w:val="16"/>
              </w:rPr>
              <w:t>-</w:t>
            </w:r>
          </w:p>
        </w:tc>
        <w:tc>
          <w:tcPr>
            <w:tcW w:w="1304" w:type="dxa"/>
            <w:vAlign w:val="center"/>
          </w:tcPr>
          <w:p w14:paraId="7AF2538C" w14:textId="77777777" w:rsidR="00412E89" w:rsidRPr="0068435E" w:rsidRDefault="00412E89" w:rsidP="00412E89">
            <w:pPr>
              <w:spacing w:line="300" w:lineRule="atLeast"/>
              <w:jc w:val="center"/>
              <w:rPr>
                <w:rFonts w:ascii="Arial" w:hAnsi="Arial" w:cs="Arial"/>
                <w:color w:val="000000" w:themeColor="text1"/>
                <w:sz w:val="16"/>
                <w:szCs w:val="16"/>
              </w:rPr>
            </w:pPr>
            <w:r w:rsidRPr="0068435E">
              <w:rPr>
                <w:rFonts w:ascii="Arial" w:hAnsi="Arial" w:cs="Arial"/>
                <w:color w:val="000000" w:themeColor="text1"/>
                <w:sz w:val="16"/>
                <w:szCs w:val="16"/>
              </w:rPr>
              <w:t>-</w:t>
            </w:r>
          </w:p>
        </w:tc>
        <w:tc>
          <w:tcPr>
            <w:tcW w:w="1077" w:type="dxa"/>
            <w:vAlign w:val="center"/>
          </w:tcPr>
          <w:p w14:paraId="3D7C12ED" w14:textId="5EC881E6" w:rsidR="00412E89" w:rsidRPr="0068435E" w:rsidRDefault="00412E89" w:rsidP="00412E89">
            <w:pPr>
              <w:spacing w:line="300" w:lineRule="atLeast"/>
              <w:jc w:val="center"/>
              <w:rPr>
                <w:rFonts w:ascii="Arial" w:hAnsi="Arial" w:cs="Arial"/>
                <w:color w:val="000000" w:themeColor="text1"/>
                <w:sz w:val="16"/>
                <w:szCs w:val="16"/>
                <w:highlight w:val="yellow"/>
              </w:rPr>
            </w:pPr>
            <w:r w:rsidRPr="0068435E">
              <w:rPr>
                <w:rFonts w:ascii="Arial" w:hAnsi="Arial" w:cs="Arial"/>
                <w:color w:val="000000" w:themeColor="text1"/>
                <w:sz w:val="16"/>
                <w:szCs w:val="16"/>
              </w:rPr>
              <w:t>0.193 – 0.772 (0.483)</w:t>
            </w:r>
          </w:p>
        </w:tc>
        <w:tc>
          <w:tcPr>
            <w:tcW w:w="1163" w:type="dxa"/>
            <w:vAlign w:val="center"/>
          </w:tcPr>
          <w:p w14:paraId="5BEEEBAF" w14:textId="77777777" w:rsidR="00412E89" w:rsidRPr="00C30C3D" w:rsidRDefault="00412E89" w:rsidP="00412E89">
            <w:pPr>
              <w:spacing w:line="300" w:lineRule="atLeast"/>
              <w:jc w:val="center"/>
              <w:rPr>
                <w:rFonts w:ascii="Arial" w:hAnsi="Arial" w:cs="Arial"/>
                <w:sz w:val="16"/>
                <w:szCs w:val="16"/>
              </w:rPr>
            </w:pPr>
            <w:r w:rsidRPr="00C30C3D">
              <w:rPr>
                <w:rFonts w:ascii="Arial" w:hAnsi="Arial" w:cs="Arial"/>
                <w:sz w:val="16"/>
                <w:szCs w:val="16"/>
              </w:rPr>
              <w:t>-</w:t>
            </w:r>
          </w:p>
        </w:tc>
      </w:tr>
      <w:tr w:rsidR="00796FAD" w:rsidRPr="007901FE" w14:paraId="42CEC4CA" w14:textId="77777777" w:rsidTr="004E008C">
        <w:tc>
          <w:tcPr>
            <w:tcW w:w="1985" w:type="dxa"/>
            <w:vAlign w:val="center"/>
          </w:tcPr>
          <w:p w14:paraId="2B7586D9" w14:textId="509AD612" w:rsidR="00796FAD" w:rsidRPr="00796FAD" w:rsidRDefault="00796FAD" w:rsidP="00796FAD">
            <w:pPr>
              <w:spacing w:line="300" w:lineRule="atLeast"/>
              <w:rPr>
                <w:rFonts w:ascii="Arial" w:hAnsi="Arial" w:cs="Arial"/>
                <w:sz w:val="16"/>
                <w:szCs w:val="16"/>
              </w:rPr>
            </w:pPr>
            <w:r>
              <w:rPr>
                <w:rFonts w:ascii="Arial" w:hAnsi="Arial" w:cs="Arial"/>
                <w:sz w:val="16"/>
                <w:szCs w:val="16"/>
              </w:rPr>
              <w:t>P</w:t>
            </w:r>
            <w:r w:rsidRPr="00796FAD">
              <w:rPr>
                <w:rFonts w:ascii="Arial" w:hAnsi="Arial" w:cs="Arial"/>
                <w:sz w:val="16"/>
                <w:szCs w:val="16"/>
              </w:rPr>
              <w:t>hosphate</w:t>
            </w:r>
            <w:r>
              <w:rPr>
                <w:rFonts w:ascii="Arial" w:hAnsi="Arial" w:cs="Arial"/>
                <w:sz w:val="16"/>
                <w:szCs w:val="16"/>
              </w:rPr>
              <w:t xml:space="preserve"> fertiliser</w:t>
            </w:r>
          </w:p>
        </w:tc>
        <w:tc>
          <w:tcPr>
            <w:tcW w:w="1417" w:type="dxa"/>
            <w:vAlign w:val="center"/>
          </w:tcPr>
          <w:p w14:paraId="56C2ED80" w14:textId="4D2C4313" w:rsidR="00796FAD" w:rsidRPr="0068435E" w:rsidRDefault="00F96022" w:rsidP="00796FAD">
            <w:pPr>
              <w:spacing w:line="300" w:lineRule="atLeast"/>
              <w:jc w:val="center"/>
              <w:rPr>
                <w:rFonts w:ascii="Arial" w:hAnsi="Arial" w:cs="Arial"/>
                <w:sz w:val="16"/>
                <w:szCs w:val="16"/>
                <w:highlight w:val="yellow"/>
              </w:rPr>
            </w:pPr>
            <w:r w:rsidRPr="0068435E">
              <w:rPr>
                <w:rFonts w:ascii="Arial" w:hAnsi="Arial" w:cs="Arial"/>
                <w:sz w:val="16"/>
                <w:szCs w:val="16"/>
              </w:rPr>
              <w:t>132</w:t>
            </w:r>
          </w:p>
        </w:tc>
        <w:tc>
          <w:tcPr>
            <w:tcW w:w="1134" w:type="dxa"/>
            <w:vAlign w:val="center"/>
          </w:tcPr>
          <w:p w14:paraId="0F1E29F6" w14:textId="1CDEE225" w:rsidR="00796FAD" w:rsidRPr="0068435E" w:rsidRDefault="00796FAD" w:rsidP="00796FAD">
            <w:pPr>
              <w:spacing w:line="300" w:lineRule="atLeast"/>
              <w:jc w:val="center"/>
              <w:rPr>
                <w:rFonts w:ascii="Arial" w:hAnsi="Arial" w:cs="Arial"/>
                <w:sz w:val="16"/>
                <w:szCs w:val="16"/>
                <w:highlight w:val="yellow"/>
              </w:rPr>
            </w:pPr>
          </w:p>
        </w:tc>
        <w:tc>
          <w:tcPr>
            <w:tcW w:w="1134" w:type="dxa"/>
            <w:vAlign w:val="center"/>
          </w:tcPr>
          <w:p w14:paraId="133C6968" w14:textId="77777777" w:rsidR="00796FAD" w:rsidRPr="0068435E" w:rsidRDefault="00796FAD" w:rsidP="00796FAD">
            <w:pPr>
              <w:spacing w:line="300" w:lineRule="atLeast"/>
              <w:jc w:val="center"/>
              <w:rPr>
                <w:rFonts w:ascii="Arial" w:hAnsi="Arial" w:cs="Arial"/>
                <w:sz w:val="16"/>
                <w:szCs w:val="16"/>
                <w:highlight w:val="yellow"/>
              </w:rPr>
            </w:pPr>
            <w:r w:rsidRPr="00C30C3D">
              <w:rPr>
                <w:rFonts w:ascii="Arial" w:hAnsi="Arial" w:cs="Arial"/>
                <w:sz w:val="16"/>
                <w:szCs w:val="16"/>
              </w:rPr>
              <w:t>-</w:t>
            </w:r>
          </w:p>
        </w:tc>
        <w:tc>
          <w:tcPr>
            <w:tcW w:w="1304" w:type="dxa"/>
            <w:vAlign w:val="center"/>
          </w:tcPr>
          <w:p w14:paraId="0FA4869D" w14:textId="361606AC" w:rsidR="00796FAD" w:rsidRPr="0068435E" w:rsidRDefault="00F96022" w:rsidP="00796FAD">
            <w:pPr>
              <w:spacing w:line="300" w:lineRule="atLeast"/>
              <w:jc w:val="center"/>
              <w:rPr>
                <w:rFonts w:ascii="Arial" w:hAnsi="Arial" w:cs="Arial"/>
                <w:sz w:val="16"/>
                <w:szCs w:val="16"/>
                <w:highlight w:val="yellow"/>
              </w:rPr>
            </w:pPr>
            <w:r w:rsidRPr="0068435E">
              <w:rPr>
                <w:rFonts w:ascii="Arial" w:hAnsi="Arial" w:cs="Arial"/>
                <w:sz w:val="16"/>
                <w:szCs w:val="16"/>
              </w:rPr>
              <w:t>132</w:t>
            </w:r>
          </w:p>
        </w:tc>
        <w:tc>
          <w:tcPr>
            <w:tcW w:w="1077" w:type="dxa"/>
            <w:vAlign w:val="center"/>
          </w:tcPr>
          <w:p w14:paraId="35CCE19E" w14:textId="77777777" w:rsidR="00796FAD" w:rsidRPr="00C30C3D" w:rsidRDefault="00796FAD" w:rsidP="00796FAD">
            <w:pPr>
              <w:spacing w:line="300" w:lineRule="atLeast"/>
              <w:jc w:val="center"/>
              <w:rPr>
                <w:rFonts w:ascii="Arial" w:hAnsi="Arial" w:cs="Arial"/>
                <w:sz w:val="16"/>
                <w:szCs w:val="16"/>
              </w:rPr>
            </w:pPr>
            <w:r w:rsidRPr="00C30C3D">
              <w:rPr>
                <w:rFonts w:ascii="Arial" w:hAnsi="Arial" w:cs="Arial"/>
                <w:sz w:val="16"/>
                <w:szCs w:val="16"/>
              </w:rPr>
              <w:t>-</w:t>
            </w:r>
          </w:p>
        </w:tc>
        <w:tc>
          <w:tcPr>
            <w:tcW w:w="1163" w:type="dxa"/>
            <w:vAlign w:val="center"/>
          </w:tcPr>
          <w:p w14:paraId="0FF8472A" w14:textId="77777777" w:rsidR="00796FAD" w:rsidRPr="00C30C3D" w:rsidRDefault="00796FAD" w:rsidP="00796FAD">
            <w:pPr>
              <w:spacing w:line="300" w:lineRule="atLeast"/>
              <w:jc w:val="center"/>
              <w:rPr>
                <w:rFonts w:ascii="Arial" w:hAnsi="Arial" w:cs="Arial"/>
                <w:sz w:val="16"/>
                <w:szCs w:val="16"/>
              </w:rPr>
            </w:pPr>
            <w:r w:rsidRPr="00C30C3D">
              <w:rPr>
                <w:rFonts w:ascii="Arial" w:hAnsi="Arial" w:cs="Arial"/>
                <w:sz w:val="16"/>
                <w:szCs w:val="16"/>
              </w:rPr>
              <w:t>-</w:t>
            </w:r>
          </w:p>
        </w:tc>
      </w:tr>
      <w:tr w:rsidR="00D766AB" w:rsidRPr="007901FE" w14:paraId="0E035535" w14:textId="77777777" w:rsidTr="004E008C">
        <w:tc>
          <w:tcPr>
            <w:tcW w:w="1985" w:type="dxa"/>
            <w:vAlign w:val="center"/>
          </w:tcPr>
          <w:p w14:paraId="11604B82" w14:textId="77777777" w:rsidR="00D766AB" w:rsidRPr="004E3E02" w:rsidRDefault="00D766AB" w:rsidP="001E5DEF">
            <w:pPr>
              <w:spacing w:line="300" w:lineRule="atLeast"/>
              <w:rPr>
                <w:rFonts w:ascii="Arial" w:hAnsi="Arial" w:cs="Arial"/>
                <w:sz w:val="16"/>
                <w:szCs w:val="16"/>
              </w:rPr>
            </w:pPr>
            <w:r>
              <w:rPr>
                <w:rFonts w:ascii="Arial" w:hAnsi="Arial" w:cs="Arial"/>
                <w:sz w:val="16"/>
                <w:szCs w:val="16"/>
              </w:rPr>
              <w:t>Agricultural lime</w:t>
            </w:r>
          </w:p>
        </w:tc>
        <w:tc>
          <w:tcPr>
            <w:tcW w:w="1417" w:type="dxa"/>
            <w:vAlign w:val="center"/>
          </w:tcPr>
          <w:p w14:paraId="363D70B3" w14:textId="6D182DE2" w:rsidR="00D766AB" w:rsidRPr="0068435E" w:rsidRDefault="00412E89" w:rsidP="001E5DEF">
            <w:pPr>
              <w:spacing w:line="300" w:lineRule="atLeast"/>
              <w:jc w:val="center"/>
              <w:rPr>
                <w:rFonts w:ascii="Arial" w:hAnsi="Arial" w:cs="Arial"/>
                <w:sz w:val="16"/>
                <w:szCs w:val="16"/>
                <w:highlight w:val="yellow"/>
              </w:rPr>
            </w:pPr>
            <w:r w:rsidRPr="0068435E">
              <w:rPr>
                <w:rFonts w:ascii="Arial" w:hAnsi="Arial" w:cs="Arial"/>
                <w:sz w:val="16"/>
                <w:szCs w:val="16"/>
              </w:rPr>
              <w:t>4.70 – 18.8 (11.</w:t>
            </w:r>
            <w:r w:rsidR="00743F9B">
              <w:rPr>
                <w:rFonts w:ascii="Arial" w:hAnsi="Arial" w:cs="Arial"/>
                <w:sz w:val="16"/>
                <w:szCs w:val="16"/>
              </w:rPr>
              <w:t>8)</w:t>
            </w:r>
          </w:p>
        </w:tc>
        <w:tc>
          <w:tcPr>
            <w:tcW w:w="1134" w:type="dxa"/>
            <w:vAlign w:val="center"/>
          </w:tcPr>
          <w:p w14:paraId="6E195EE3" w14:textId="77777777" w:rsidR="00D766AB" w:rsidRPr="00C30C3D" w:rsidRDefault="00D766AB" w:rsidP="001E5DEF">
            <w:pPr>
              <w:spacing w:line="300" w:lineRule="atLeast"/>
              <w:jc w:val="center"/>
              <w:rPr>
                <w:rFonts w:ascii="Arial" w:hAnsi="Arial" w:cs="Arial"/>
                <w:sz w:val="16"/>
                <w:szCs w:val="16"/>
              </w:rPr>
            </w:pPr>
            <w:r w:rsidRPr="00C30C3D">
              <w:rPr>
                <w:rFonts w:ascii="Arial" w:hAnsi="Arial" w:cs="Arial"/>
                <w:sz w:val="16"/>
                <w:szCs w:val="16"/>
              </w:rPr>
              <w:t>-</w:t>
            </w:r>
          </w:p>
        </w:tc>
        <w:tc>
          <w:tcPr>
            <w:tcW w:w="1134" w:type="dxa"/>
            <w:vAlign w:val="center"/>
          </w:tcPr>
          <w:p w14:paraId="5E5A1ED4" w14:textId="77777777" w:rsidR="00D766AB" w:rsidRPr="00C30C3D" w:rsidRDefault="00D766AB" w:rsidP="001E5DEF">
            <w:pPr>
              <w:spacing w:line="300" w:lineRule="atLeast"/>
              <w:jc w:val="center"/>
              <w:rPr>
                <w:rFonts w:ascii="Arial" w:hAnsi="Arial" w:cs="Arial"/>
                <w:sz w:val="16"/>
                <w:szCs w:val="16"/>
              </w:rPr>
            </w:pPr>
            <w:r w:rsidRPr="00C30C3D">
              <w:rPr>
                <w:rFonts w:ascii="Arial" w:hAnsi="Arial" w:cs="Arial"/>
                <w:sz w:val="16"/>
                <w:szCs w:val="16"/>
              </w:rPr>
              <w:t>-</w:t>
            </w:r>
          </w:p>
        </w:tc>
        <w:tc>
          <w:tcPr>
            <w:tcW w:w="1304" w:type="dxa"/>
            <w:vAlign w:val="center"/>
          </w:tcPr>
          <w:p w14:paraId="425D884D" w14:textId="33B78CFE" w:rsidR="00D766AB" w:rsidRPr="0068435E" w:rsidRDefault="00412E89" w:rsidP="001E5DEF">
            <w:pPr>
              <w:spacing w:line="300" w:lineRule="atLeast"/>
              <w:jc w:val="center"/>
              <w:rPr>
                <w:rFonts w:ascii="Arial" w:hAnsi="Arial" w:cs="Arial"/>
                <w:sz w:val="16"/>
                <w:szCs w:val="16"/>
                <w:highlight w:val="yellow"/>
              </w:rPr>
            </w:pPr>
            <w:r w:rsidRPr="00E16750">
              <w:rPr>
                <w:rFonts w:ascii="Arial" w:hAnsi="Arial" w:cs="Arial"/>
                <w:sz w:val="16"/>
                <w:szCs w:val="16"/>
              </w:rPr>
              <w:t>4.70 – 18.8 (11.</w:t>
            </w:r>
            <w:r w:rsidR="00743F9B">
              <w:rPr>
                <w:rFonts w:ascii="Arial" w:hAnsi="Arial" w:cs="Arial"/>
                <w:sz w:val="16"/>
                <w:szCs w:val="16"/>
              </w:rPr>
              <w:t>8</w:t>
            </w:r>
          </w:p>
        </w:tc>
        <w:tc>
          <w:tcPr>
            <w:tcW w:w="1077" w:type="dxa"/>
            <w:vAlign w:val="center"/>
          </w:tcPr>
          <w:p w14:paraId="1942D149" w14:textId="77777777" w:rsidR="00D766AB" w:rsidRPr="00C30C3D" w:rsidRDefault="005F5773" w:rsidP="00A51C46">
            <w:pPr>
              <w:spacing w:line="300" w:lineRule="atLeast"/>
              <w:jc w:val="center"/>
              <w:rPr>
                <w:rFonts w:ascii="Arial" w:hAnsi="Arial" w:cs="Arial"/>
                <w:sz w:val="16"/>
                <w:szCs w:val="16"/>
              </w:rPr>
            </w:pPr>
            <w:r w:rsidRPr="00C30C3D">
              <w:rPr>
                <w:rFonts w:ascii="Arial" w:hAnsi="Arial" w:cs="Arial"/>
                <w:sz w:val="16"/>
                <w:szCs w:val="16"/>
              </w:rPr>
              <w:t>-</w:t>
            </w:r>
          </w:p>
        </w:tc>
        <w:tc>
          <w:tcPr>
            <w:tcW w:w="1163" w:type="dxa"/>
            <w:vAlign w:val="center"/>
          </w:tcPr>
          <w:p w14:paraId="336392CB" w14:textId="77777777" w:rsidR="00D766AB" w:rsidRPr="00C30C3D" w:rsidRDefault="00D766AB" w:rsidP="001E5DEF">
            <w:pPr>
              <w:spacing w:line="300" w:lineRule="atLeast"/>
              <w:jc w:val="center"/>
              <w:rPr>
                <w:rFonts w:ascii="Arial" w:hAnsi="Arial" w:cs="Arial"/>
                <w:sz w:val="16"/>
                <w:szCs w:val="16"/>
              </w:rPr>
            </w:pPr>
            <w:r w:rsidRPr="00C30C3D">
              <w:rPr>
                <w:rFonts w:ascii="Arial" w:hAnsi="Arial" w:cs="Arial"/>
                <w:sz w:val="16"/>
                <w:szCs w:val="16"/>
              </w:rPr>
              <w:t>-</w:t>
            </w:r>
          </w:p>
        </w:tc>
      </w:tr>
      <w:tr w:rsidR="00D766AB" w:rsidRPr="007901FE" w14:paraId="01A3B49A" w14:textId="77777777" w:rsidTr="004E008C">
        <w:tc>
          <w:tcPr>
            <w:tcW w:w="1985" w:type="dxa"/>
          </w:tcPr>
          <w:p w14:paraId="30E89577" w14:textId="77777777" w:rsidR="00D766AB" w:rsidRPr="0028621C" w:rsidRDefault="00D766AB" w:rsidP="001E5DEF">
            <w:pPr>
              <w:spacing w:line="300" w:lineRule="atLeast"/>
              <w:jc w:val="both"/>
              <w:rPr>
                <w:rFonts w:ascii="Arial" w:hAnsi="Arial" w:cs="Arial"/>
                <w:b/>
                <w:sz w:val="16"/>
                <w:szCs w:val="16"/>
              </w:rPr>
            </w:pPr>
            <w:r w:rsidRPr="0028621C">
              <w:rPr>
                <w:rFonts w:ascii="Arial" w:hAnsi="Arial" w:cs="Arial"/>
                <w:b/>
                <w:sz w:val="16"/>
                <w:szCs w:val="16"/>
              </w:rPr>
              <w:t>Totals</w:t>
            </w:r>
          </w:p>
        </w:tc>
        <w:tc>
          <w:tcPr>
            <w:tcW w:w="1417" w:type="dxa"/>
            <w:vAlign w:val="center"/>
          </w:tcPr>
          <w:p w14:paraId="65BACD72" w14:textId="51E3AF7A" w:rsidR="00D766AB" w:rsidRPr="00C30C3D" w:rsidRDefault="00C30C3D" w:rsidP="002E1BB2">
            <w:pPr>
              <w:spacing w:line="300" w:lineRule="atLeast"/>
              <w:jc w:val="center"/>
              <w:rPr>
                <w:rFonts w:ascii="Arial" w:hAnsi="Arial" w:cs="Arial"/>
                <w:b/>
                <w:sz w:val="16"/>
                <w:szCs w:val="16"/>
              </w:rPr>
            </w:pPr>
            <w:r w:rsidRPr="0068435E">
              <w:rPr>
                <w:rFonts w:ascii="Arial" w:hAnsi="Arial" w:cs="Arial"/>
                <w:b/>
                <w:sz w:val="16"/>
                <w:szCs w:val="16"/>
              </w:rPr>
              <w:t>13</w:t>
            </w:r>
            <w:r w:rsidR="00411076">
              <w:rPr>
                <w:rFonts w:ascii="Arial" w:hAnsi="Arial" w:cs="Arial"/>
                <w:b/>
                <w:sz w:val="16"/>
                <w:szCs w:val="16"/>
              </w:rPr>
              <w:t>8</w:t>
            </w:r>
            <w:r w:rsidR="004B5561" w:rsidRPr="00C30C3D">
              <w:rPr>
                <w:rFonts w:ascii="Arial" w:hAnsi="Arial" w:cs="Arial"/>
                <w:b/>
                <w:sz w:val="16"/>
                <w:szCs w:val="16"/>
              </w:rPr>
              <w:t xml:space="preserve"> – </w:t>
            </w:r>
            <w:r w:rsidRPr="0068435E">
              <w:rPr>
                <w:rFonts w:ascii="Arial" w:hAnsi="Arial" w:cs="Arial"/>
                <w:b/>
                <w:sz w:val="16"/>
                <w:szCs w:val="16"/>
              </w:rPr>
              <w:t>154</w:t>
            </w:r>
            <w:r w:rsidR="002E1BB2" w:rsidRPr="00C30C3D">
              <w:rPr>
                <w:rFonts w:ascii="Arial" w:hAnsi="Arial" w:cs="Arial"/>
                <w:b/>
                <w:sz w:val="16"/>
                <w:szCs w:val="16"/>
              </w:rPr>
              <w:t xml:space="preserve"> (</w:t>
            </w:r>
            <w:r w:rsidRPr="0068435E">
              <w:rPr>
                <w:rFonts w:ascii="Arial" w:hAnsi="Arial" w:cs="Arial"/>
                <w:b/>
                <w:sz w:val="16"/>
                <w:szCs w:val="16"/>
              </w:rPr>
              <w:t>14</w:t>
            </w:r>
            <w:r w:rsidR="00411076">
              <w:rPr>
                <w:rFonts w:ascii="Arial" w:hAnsi="Arial" w:cs="Arial"/>
                <w:b/>
                <w:sz w:val="16"/>
                <w:szCs w:val="16"/>
              </w:rPr>
              <w:t>6</w:t>
            </w:r>
            <w:r w:rsidR="0028621C" w:rsidRPr="00C30C3D">
              <w:rPr>
                <w:rFonts w:ascii="Arial" w:hAnsi="Arial" w:cs="Arial"/>
                <w:b/>
                <w:sz w:val="16"/>
                <w:szCs w:val="16"/>
              </w:rPr>
              <w:t>)</w:t>
            </w:r>
          </w:p>
        </w:tc>
        <w:tc>
          <w:tcPr>
            <w:tcW w:w="1134" w:type="dxa"/>
            <w:vAlign w:val="center"/>
          </w:tcPr>
          <w:p w14:paraId="4A6878BD" w14:textId="12D616DD" w:rsidR="00D766AB" w:rsidRPr="00C30C3D" w:rsidRDefault="00C30C3D" w:rsidP="00392B4A">
            <w:pPr>
              <w:spacing w:line="300" w:lineRule="atLeast"/>
              <w:jc w:val="center"/>
              <w:rPr>
                <w:rFonts w:ascii="Arial" w:hAnsi="Arial" w:cs="Arial"/>
                <w:b/>
                <w:sz w:val="16"/>
                <w:szCs w:val="16"/>
              </w:rPr>
            </w:pPr>
            <w:r w:rsidRPr="000B1B79">
              <w:rPr>
                <w:rFonts w:ascii="Arial" w:hAnsi="Arial" w:cs="Arial"/>
                <w:b/>
                <w:sz w:val="16"/>
                <w:szCs w:val="16"/>
              </w:rPr>
              <w:t>0.</w:t>
            </w:r>
            <w:r w:rsidR="00370CE7">
              <w:rPr>
                <w:rFonts w:ascii="Arial" w:hAnsi="Arial" w:cs="Arial"/>
                <w:b/>
                <w:sz w:val="16"/>
                <w:szCs w:val="16"/>
              </w:rPr>
              <w:t>92</w:t>
            </w:r>
            <w:r w:rsidR="004B5561" w:rsidRPr="00C30C3D">
              <w:rPr>
                <w:rFonts w:ascii="Arial" w:hAnsi="Arial" w:cs="Arial"/>
                <w:b/>
                <w:sz w:val="16"/>
                <w:szCs w:val="16"/>
              </w:rPr>
              <w:t xml:space="preserve"> – </w:t>
            </w:r>
            <w:r w:rsidRPr="000B1B79">
              <w:rPr>
                <w:rFonts w:ascii="Arial" w:hAnsi="Arial" w:cs="Arial"/>
                <w:b/>
                <w:sz w:val="16"/>
                <w:szCs w:val="16"/>
              </w:rPr>
              <w:t>2.2</w:t>
            </w:r>
            <w:r w:rsidR="00370CE7">
              <w:rPr>
                <w:rFonts w:ascii="Arial" w:hAnsi="Arial" w:cs="Arial"/>
                <w:b/>
                <w:sz w:val="16"/>
                <w:szCs w:val="16"/>
              </w:rPr>
              <w:t>7</w:t>
            </w:r>
            <w:r w:rsidR="009C00C2" w:rsidRPr="00C30C3D">
              <w:rPr>
                <w:rFonts w:ascii="Arial" w:hAnsi="Arial" w:cs="Arial"/>
                <w:b/>
                <w:sz w:val="16"/>
                <w:szCs w:val="16"/>
              </w:rPr>
              <w:t xml:space="preserve"> (</w:t>
            </w:r>
            <w:r w:rsidRPr="000B1B79">
              <w:rPr>
                <w:rFonts w:ascii="Arial" w:hAnsi="Arial" w:cs="Arial"/>
                <w:b/>
                <w:sz w:val="16"/>
                <w:szCs w:val="16"/>
              </w:rPr>
              <w:t>1.</w:t>
            </w:r>
            <w:r w:rsidR="00743F9B">
              <w:rPr>
                <w:rFonts w:ascii="Arial" w:hAnsi="Arial" w:cs="Arial"/>
                <w:b/>
                <w:sz w:val="16"/>
                <w:szCs w:val="16"/>
              </w:rPr>
              <w:t>60</w:t>
            </w:r>
            <w:r w:rsidR="0028621C" w:rsidRPr="00C30C3D">
              <w:rPr>
                <w:rFonts w:ascii="Arial" w:hAnsi="Arial" w:cs="Arial"/>
                <w:b/>
                <w:sz w:val="16"/>
                <w:szCs w:val="16"/>
              </w:rPr>
              <w:t>)</w:t>
            </w:r>
          </w:p>
        </w:tc>
        <w:tc>
          <w:tcPr>
            <w:tcW w:w="1134" w:type="dxa"/>
            <w:vAlign w:val="center"/>
          </w:tcPr>
          <w:p w14:paraId="24ECBAD6" w14:textId="77777777" w:rsidR="00D766AB" w:rsidRPr="00C30C3D" w:rsidRDefault="00BF30F1" w:rsidP="001E5DEF">
            <w:pPr>
              <w:spacing w:line="300" w:lineRule="atLeast"/>
              <w:jc w:val="center"/>
              <w:rPr>
                <w:rFonts w:ascii="Arial" w:hAnsi="Arial" w:cs="Arial"/>
                <w:b/>
                <w:sz w:val="16"/>
                <w:szCs w:val="16"/>
              </w:rPr>
            </w:pPr>
            <w:r w:rsidRPr="00C30C3D">
              <w:rPr>
                <w:rFonts w:ascii="Arial" w:hAnsi="Arial" w:cs="Arial"/>
                <w:b/>
                <w:sz w:val="16"/>
                <w:szCs w:val="16"/>
              </w:rPr>
              <w:t>-</w:t>
            </w:r>
          </w:p>
        </w:tc>
        <w:tc>
          <w:tcPr>
            <w:tcW w:w="1304" w:type="dxa"/>
            <w:vAlign w:val="center"/>
          </w:tcPr>
          <w:p w14:paraId="28C864DB" w14:textId="219B96CD" w:rsidR="00D766AB" w:rsidRPr="00C30C3D" w:rsidRDefault="00C30C3D" w:rsidP="001E5DEF">
            <w:pPr>
              <w:spacing w:line="300" w:lineRule="atLeast"/>
              <w:jc w:val="center"/>
              <w:rPr>
                <w:rFonts w:ascii="Arial" w:hAnsi="Arial" w:cs="Arial"/>
                <w:b/>
                <w:sz w:val="16"/>
                <w:szCs w:val="16"/>
              </w:rPr>
            </w:pPr>
            <w:r w:rsidRPr="000B1B79">
              <w:rPr>
                <w:rFonts w:ascii="Arial" w:hAnsi="Arial" w:cs="Arial"/>
                <w:b/>
                <w:sz w:val="16"/>
                <w:szCs w:val="16"/>
              </w:rPr>
              <w:t>136.7</w:t>
            </w:r>
            <w:r w:rsidR="004B5561" w:rsidRPr="00C30C3D">
              <w:rPr>
                <w:rFonts w:ascii="Arial" w:hAnsi="Arial" w:cs="Arial"/>
                <w:b/>
                <w:sz w:val="16"/>
                <w:szCs w:val="16"/>
              </w:rPr>
              <w:t xml:space="preserve">– </w:t>
            </w:r>
            <w:r w:rsidRPr="000B1B79">
              <w:rPr>
                <w:rFonts w:ascii="Arial" w:hAnsi="Arial" w:cs="Arial"/>
                <w:b/>
                <w:sz w:val="16"/>
                <w:szCs w:val="16"/>
              </w:rPr>
              <w:t>150.8</w:t>
            </w:r>
            <w:r w:rsidR="00743F9B">
              <w:rPr>
                <w:rFonts w:ascii="Arial" w:hAnsi="Arial" w:cs="Arial"/>
                <w:b/>
                <w:sz w:val="16"/>
                <w:szCs w:val="16"/>
              </w:rPr>
              <w:t xml:space="preserve"> </w:t>
            </w:r>
            <w:r w:rsidR="009C00C2" w:rsidRPr="00C30C3D">
              <w:rPr>
                <w:rFonts w:ascii="Arial" w:hAnsi="Arial" w:cs="Arial"/>
                <w:b/>
                <w:sz w:val="16"/>
                <w:szCs w:val="16"/>
              </w:rPr>
              <w:t>(</w:t>
            </w:r>
            <w:r w:rsidRPr="000B1B79">
              <w:rPr>
                <w:rFonts w:ascii="Arial" w:hAnsi="Arial" w:cs="Arial"/>
                <w:b/>
                <w:sz w:val="16"/>
                <w:szCs w:val="16"/>
              </w:rPr>
              <w:t>14</w:t>
            </w:r>
            <w:r w:rsidR="00743F9B">
              <w:rPr>
                <w:rFonts w:ascii="Arial" w:hAnsi="Arial" w:cs="Arial"/>
                <w:b/>
                <w:sz w:val="16"/>
                <w:szCs w:val="16"/>
              </w:rPr>
              <w:t>4</w:t>
            </w:r>
            <w:r w:rsidR="0028621C" w:rsidRPr="00C30C3D">
              <w:rPr>
                <w:rFonts w:ascii="Arial" w:hAnsi="Arial" w:cs="Arial"/>
                <w:b/>
                <w:sz w:val="16"/>
                <w:szCs w:val="16"/>
              </w:rPr>
              <w:t>)</w:t>
            </w:r>
          </w:p>
        </w:tc>
        <w:tc>
          <w:tcPr>
            <w:tcW w:w="1077" w:type="dxa"/>
            <w:vAlign w:val="center"/>
          </w:tcPr>
          <w:p w14:paraId="2AD1F97B" w14:textId="55ECAD6C" w:rsidR="00D766AB" w:rsidRPr="00C30C3D" w:rsidRDefault="00C30C3D" w:rsidP="00863A03">
            <w:pPr>
              <w:spacing w:line="300" w:lineRule="atLeast"/>
              <w:jc w:val="center"/>
              <w:rPr>
                <w:rFonts w:ascii="Arial" w:hAnsi="Arial" w:cs="Arial"/>
                <w:b/>
                <w:sz w:val="16"/>
                <w:szCs w:val="16"/>
              </w:rPr>
            </w:pPr>
            <w:r w:rsidRPr="000B1B79">
              <w:rPr>
                <w:rFonts w:ascii="Arial" w:hAnsi="Arial" w:cs="Arial"/>
                <w:b/>
                <w:sz w:val="16"/>
                <w:szCs w:val="16"/>
              </w:rPr>
              <w:t>0.3</w:t>
            </w:r>
            <w:r w:rsidR="00370CE7">
              <w:rPr>
                <w:rFonts w:ascii="Arial" w:hAnsi="Arial" w:cs="Arial"/>
                <w:b/>
                <w:sz w:val="16"/>
                <w:szCs w:val="16"/>
              </w:rPr>
              <w:t>9</w:t>
            </w:r>
            <w:r w:rsidRPr="000B1B79">
              <w:rPr>
                <w:rFonts w:ascii="Arial" w:hAnsi="Arial" w:cs="Arial"/>
                <w:b/>
                <w:sz w:val="16"/>
                <w:szCs w:val="16"/>
              </w:rPr>
              <w:t>3</w:t>
            </w:r>
            <w:r w:rsidR="004B5561" w:rsidRPr="00C30C3D">
              <w:rPr>
                <w:rFonts w:ascii="Arial" w:hAnsi="Arial" w:cs="Arial"/>
                <w:b/>
                <w:sz w:val="16"/>
                <w:szCs w:val="16"/>
              </w:rPr>
              <w:t xml:space="preserve"> </w:t>
            </w:r>
            <w:r w:rsidR="002F2268" w:rsidRPr="00C30C3D">
              <w:rPr>
                <w:rFonts w:ascii="Arial" w:hAnsi="Arial" w:cs="Arial"/>
                <w:b/>
                <w:sz w:val="16"/>
                <w:szCs w:val="16"/>
              </w:rPr>
              <w:t>–</w:t>
            </w:r>
            <w:r w:rsidR="004B5561" w:rsidRPr="00C30C3D">
              <w:rPr>
                <w:rFonts w:ascii="Arial" w:hAnsi="Arial" w:cs="Arial"/>
                <w:b/>
                <w:sz w:val="16"/>
                <w:szCs w:val="16"/>
              </w:rPr>
              <w:t xml:space="preserve"> </w:t>
            </w:r>
            <w:r w:rsidRPr="000B1B79">
              <w:rPr>
                <w:rFonts w:ascii="Arial" w:hAnsi="Arial" w:cs="Arial"/>
                <w:b/>
                <w:sz w:val="16"/>
                <w:szCs w:val="16"/>
              </w:rPr>
              <w:t>0.9</w:t>
            </w:r>
            <w:r w:rsidR="00370CE7">
              <w:rPr>
                <w:rFonts w:ascii="Arial" w:hAnsi="Arial" w:cs="Arial"/>
                <w:b/>
                <w:sz w:val="16"/>
                <w:szCs w:val="16"/>
              </w:rPr>
              <w:t>7</w:t>
            </w:r>
            <w:r w:rsidRPr="000B1B79">
              <w:rPr>
                <w:rFonts w:ascii="Arial" w:hAnsi="Arial" w:cs="Arial"/>
                <w:b/>
                <w:sz w:val="16"/>
                <w:szCs w:val="16"/>
              </w:rPr>
              <w:t>2</w:t>
            </w:r>
            <w:r w:rsidR="009C00C2" w:rsidRPr="00C30C3D">
              <w:rPr>
                <w:rFonts w:ascii="Arial" w:hAnsi="Arial" w:cs="Arial"/>
                <w:b/>
                <w:sz w:val="16"/>
                <w:szCs w:val="16"/>
              </w:rPr>
              <w:t xml:space="preserve"> (</w:t>
            </w:r>
            <w:r w:rsidRPr="000B1B79">
              <w:rPr>
                <w:rFonts w:ascii="Arial" w:hAnsi="Arial" w:cs="Arial"/>
                <w:b/>
                <w:sz w:val="16"/>
                <w:szCs w:val="16"/>
              </w:rPr>
              <w:t>0.6</w:t>
            </w:r>
            <w:r w:rsidR="00370CE7">
              <w:rPr>
                <w:rFonts w:ascii="Arial" w:hAnsi="Arial" w:cs="Arial"/>
                <w:b/>
                <w:sz w:val="16"/>
                <w:szCs w:val="16"/>
              </w:rPr>
              <w:t>8</w:t>
            </w:r>
            <w:r w:rsidR="00743F9B">
              <w:rPr>
                <w:rFonts w:ascii="Arial" w:hAnsi="Arial" w:cs="Arial"/>
                <w:b/>
                <w:sz w:val="16"/>
                <w:szCs w:val="16"/>
              </w:rPr>
              <w:t>3</w:t>
            </w:r>
            <w:r w:rsidR="0028621C" w:rsidRPr="00C30C3D">
              <w:rPr>
                <w:rFonts w:ascii="Arial" w:hAnsi="Arial" w:cs="Arial"/>
                <w:b/>
                <w:sz w:val="16"/>
                <w:szCs w:val="16"/>
              </w:rPr>
              <w:t>)</w:t>
            </w:r>
          </w:p>
        </w:tc>
        <w:tc>
          <w:tcPr>
            <w:tcW w:w="1163" w:type="dxa"/>
            <w:vAlign w:val="center"/>
          </w:tcPr>
          <w:p w14:paraId="545CA7F1" w14:textId="77777777" w:rsidR="00D766AB" w:rsidRPr="00C30C3D" w:rsidRDefault="00BF30F1" w:rsidP="001E5DEF">
            <w:pPr>
              <w:spacing w:line="300" w:lineRule="atLeast"/>
              <w:jc w:val="center"/>
              <w:rPr>
                <w:rFonts w:ascii="Arial" w:hAnsi="Arial" w:cs="Arial"/>
                <w:b/>
                <w:sz w:val="16"/>
                <w:szCs w:val="16"/>
              </w:rPr>
            </w:pPr>
            <w:r w:rsidRPr="00C30C3D">
              <w:rPr>
                <w:rFonts w:ascii="Arial" w:hAnsi="Arial" w:cs="Arial"/>
                <w:b/>
                <w:sz w:val="16"/>
                <w:szCs w:val="16"/>
              </w:rPr>
              <w:t>-</w:t>
            </w:r>
          </w:p>
        </w:tc>
      </w:tr>
    </w:tbl>
    <w:p w14:paraId="5F19B453" w14:textId="77777777" w:rsidR="00D16E72" w:rsidRPr="00622310" w:rsidRDefault="00284F82" w:rsidP="00D16E72">
      <w:pPr>
        <w:pStyle w:val="Heading1"/>
      </w:pPr>
      <w:bookmarkStart w:id="82" w:name="_Toc110355533"/>
      <w:r w:rsidRPr="00622310">
        <w:t>Intentional use of mercury in industrial processes</w:t>
      </w:r>
      <w:bookmarkEnd w:id="82"/>
    </w:p>
    <w:p w14:paraId="7827B508" w14:textId="3BEA0693" w:rsidR="00D16E72" w:rsidRDefault="00F63F5D" w:rsidP="003833D6">
      <w:pPr>
        <w:spacing w:line="300" w:lineRule="atLeast"/>
        <w:jc w:val="both"/>
        <w:rPr>
          <w:szCs w:val="18"/>
        </w:rPr>
      </w:pPr>
      <w:r w:rsidRPr="00F63F5D">
        <w:rPr>
          <w:szCs w:val="18"/>
        </w:rPr>
        <w:t xml:space="preserve">This category covers mercury releases from </w:t>
      </w:r>
      <w:r>
        <w:rPr>
          <w:szCs w:val="18"/>
        </w:rPr>
        <w:t>several industrial chemical processes</w:t>
      </w:r>
      <w:r w:rsidRPr="00F63F5D">
        <w:rPr>
          <w:szCs w:val="18"/>
        </w:rPr>
        <w:t xml:space="preserve"> (</w:t>
      </w:r>
      <w:r w:rsidR="00C738EC">
        <w:rPr>
          <w:szCs w:val="18"/>
        </w:rPr>
        <w:t xml:space="preserve">UNEP, </w:t>
      </w:r>
      <w:r w:rsidR="00B51E8B">
        <w:rPr>
          <w:szCs w:val="18"/>
        </w:rPr>
        <w:t>2023</w:t>
      </w:r>
      <w:r w:rsidRPr="00F63F5D">
        <w:rPr>
          <w:szCs w:val="18"/>
        </w:rPr>
        <w:t>)</w:t>
      </w:r>
      <w:r>
        <w:rPr>
          <w:szCs w:val="18"/>
        </w:rPr>
        <w:t>, none of which exist in New Zealand</w:t>
      </w:r>
      <w:r w:rsidRPr="00F63F5D">
        <w:rPr>
          <w:szCs w:val="18"/>
        </w:rPr>
        <w:t xml:space="preserve">. </w:t>
      </w:r>
      <w:r>
        <w:rPr>
          <w:szCs w:val="18"/>
        </w:rPr>
        <w:t>However, for the sake of completeness, t</w:t>
      </w:r>
      <w:r w:rsidRPr="00F63F5D">
        <w:rPr>
          <w:szCs w:val="18"/>
        </w:rPr>
        <w:t xml:space="preserve">he sub-categories and the primary release pathways are summarised in </w:t>
      </w:r>
      <w:r w:rsidRPr="0094605E">
        <w:rPr>
          <w:szCs w:val="18"/>
        </w:rPr>
        <w:fldChar w:fldCharType="begin"/>
      </w:r>
      <w:r w:rsidRPr="0094605E">
        <w:rPr>
          <w:szCs w:val="18"/>
        </w:rPr>
        <w:instrText xml:space="preserve"> REF _Ref358539938 \h </w:instrText>
      </w:r>
      <w:r w:rsidR="0094605E">
        <w:rPr>
          <w:szCs w:val="18"/>
        </w:rPr>
        <w:instrText xml:space="preserve"> \* MERGEFORMAT </w:instrText>
      </w:r>
      <w:r w:rsidRPr="0094605E">
        <w:rPr>
          <w:szCs w:val="18"/>
        </w:rPr>
      </w:r>
      <w:r w:rsidRPr="0094605E">
        <w:rPr>
          <w:szCs w:val="18"/>
        </w:rPr>
        <w:fldChar w:fldCharType="separate"/>
      </w:r>
      <w:r w:rsidR="00892B2D" w:rsidRPr="00892B2D">
        <w:t xml:space="preserve">Table </w:t>
      </w:r>
      <w:r w:rsidR="00892B2D" w:rsidRPr="00892B2D">
        <w:rPr>
          <w:noProof/>
        </w:rPr>
        <w:t>6</w:t>
      </w:r>
      <w:r w:rsidR="00892B2D" w:rsidRPr="00892B2D">
        <w:rPr>
          <w:noProof/>
        </w:rPr>
        <w:noBreakHyphen/>
        <w:t>1</w:t>
      </w:r>
      <w:r w:rsidRPr="0094605E">
        <w:rPr>
          <w:szCs w:val="18"/>
        </w:rPr>
        <w:fldChar w:fldCharType="end"/>
      </w:r>
      <w:r w:rsidR="00DB09D1" w:rsidRPr="00DB09D1">
        <w:rPr>
          <w:szCs w:val="18"/>
        </w:rPr>
        <w:t>, which has been copied directly from the UNEP Toolkit</w:t>
      </w:r>
      <w:r>
        <w:rPr>
          <w:szCs w:val="18"/>
        </w:rPr>
        <w:t>, and information on the relevance to New Zealand</w:t>
      </w:r>
      <w:r w:rsidRPr="00F63F5D">
        <w:rPr>
          <w:szCs w:val="18"/>
        </w:rPr>
        <w:t xml:space="preserve"> </w:t>
      </w:r>
      <w:r>
        <w:rPr>
          <w:szCs w:val="18"/>
        </w:rPr>
        <w:t xml:space="preserve">is presented </w:t>
      </w:r>
      <w:r w:rsidRPr="00F63F5D">
        <w:rPr>
          <w:szCs w:val="18"/>
        </w:rPr>
        <w:t>below.</w:t>
      </w:r>
    </w:p>
    <w:p w14:paraId="2658EECA" w14:textId="3C3FC86C" w:rsidR="00D16E72" w:rsidRDefault="00684B56" w:rsidP="00DB5237">
      <w:pPr>
        <w:pStyle w:val="Caption"/>
        <w:spacing w:before="240"/>
        <w:ind w:left="1440" w:hanging="1440"/>
        <w:rPr>
          <w:szCs w:val="18"/>
        </w:rPr>
      </w:pPr>
      <w:bookmarkStart w:id="83" w:name="_Ref358539938"/>
      <w:bookmarkStart w:id="84" w:name="_Toc110355477"/>
      <w:r w:rsidRPr="00DB5237">
        <w:rPr>
          <w:rFonts w:ascii="Arial" w:hAnsi="Arial" w:cs="Arial"/>
        </w:rPr>
        <w:t xml:space="preserve">Table </w:t>
      </w:r>
      <w:r w:rsidR="00390C9F">
        <w:rPr>
          <w:rFonts w:ascii="Arial" w:hAnsi="Arial" w:cs="Arial"/>
        </w:rPr>
        <w:fldChar w:fldCharType="begin"/>
      </w:r>
      <w:r w:rsidR="00390C9F">
        <w:rPr>
          <w:rFonts w:ascii="Arial" w:hAnsi="Arial" w:cs="Arial"/>
        </w:rPr>
        <w:instrText xml:space="preserve"> STYLEREF 1 \s </w:instrText>
      </w:r>
      <w:r w:rsidR="00390C9F">
        <w:rPr>
          <w:rFonts w:ascii="Arial" w:hAnsi="Arial" w:cs="Arial"/>
        </w:rPr>
        <w:fldChar w:fldCharType="separate"/>
      </w:r>
      <w:r w:rsidR="00892B2D">
        <w:rPr>
          <w:rFonts w:ascii="Arial" w:hAnsi="Arial" w:cs="Arial"/>
          <w:noProof/>
        </w:rPr>
        <w:t>6</w:t>
      </w:r>
      <w:r w:rsidR="00390C9F">
        <w:rPr>
          <w:rFonts w:ascii="Arial" w:hAnsi="Arial" w:cs="Arial"/>
        </w:rPr>
        <w:fldChar w:fldCharType="end"/>
      </w:r>
      <w:r w:rsidR="00390C9F">
        <w:rPr>
          <w:rFonts w:ascii="Arial" w:hAnsi="Arial" w:cs="Arial"/>
        </w:rPr>
        <w:noBreakHyphen/>
      </w:r>
      <w:r w:rsidR="00390C9F">
        <w:rPr>
          <w:rFonts w:ascii="Arial" w:hAnsi="Arial" w:cs="Arial"/>
        </w:rPr>
        <w:fldChar w:fldCharType="begin"/>
      </w:r>
      <w:r w:rsidR="00390C9F">
        <w:rPr>
          <w:rFonts w:ascii="Arial" w:hAnsi="Arial" w:cs="Arial"/>
        </w:rPr>
        <w:instrText xml:space="preserve"> SEQ Table \* ARABIC \s 1 </w:instrText>
      </w:r>
      <w:r w:rsidR="00390C9F">
        <w:rPr>
          <w:rFonts w:ascii="Arial" w:hAnsi="Arial" w:cs="Arial"/>
        </w:rPr>
        <w:fldChar w:fldCharType="separate"/>
      </w:r>
      <w:r w:rsidR="00892B2D">
        <w:rPr>
          <w:rFonts w:ascii="Arial" w:hAnsi="Arial" w:cs="Arial"/>
          <w:noProof/>
        </w:rPr>
        <w:t>1</w:t>
      </w:r>
      <w:r w:rsidR="00390C9F">
        <w:rPr>
          <w:rFonts w:ascii="Arial" w:hAnsi="Arial" w:cs="Arial"/>
        </w:rPr>
        <w:fldChar w:fldCharType="end"/>
      </w:r>
      <w:bookmarkEnd w:id="83"/>
      <w:r w:rsidRPr="00DB5237">
        <w:rPr>
          <w:rFonts w:ascii="Arial" w:hAnsi="Arial" w:cs="Arial"/>
        </w:rPr>
        <w:t>:</w:t>
      </w:r>
      <w:r>
        <w:t xml:space="preserve"> </w:t>
      </w:r>
      <w:r w:rsidR="00403501">
        <w:t xml:space="preserve"> </w:t>
      </w:r>
      <w:r w:rsidR="00D16E72" w:rsidRPr="003D7CC9">
        <w:rPr>
          <w:rFonts w:ascii="Arial" w:hAnsi="Arial" w:cs="Arial"/>
        </w:rPr>
        <w:t>T</w:t>
      </w:r>
      <w:r w:rsidR="00D16E72">
        <w:rPr>
          <w:rFonts w:ascii="Arial" w:hAnsi="Arial" w:cs="Arial"/>
        </w:rPr>
        <w:t xml:space="preserve">oolkit framework for category </w:t>
      </w:r>
      <w:r w:rsidR="00284F82">
        <w:rPr>
          <w:rFonts w:ascii="Arial" w:hAnsi="Arial" w:cs="Arial"/>
        </w:rPr>
        <w:t>4</w:t>
      </w:r>
      <w:r w:rsidR="00D16E72">
        <w:rPr>
          <w:rFonts w:ascii="Arial" w:hAnsi="Arial" w:cs="Arial"/>
        </w:rPr>
        <w:t xml:space="preserve"> – </w:t>
      </w:r>
      <w:r w:rsidR="00284F82">
        <w:rPr>
          <w:rFonts w:ascii="Arial" w:hAnsi="Arial" w:cs="Arial"/>
        </w:rPr>
        <w:t>intentional use of mercury in industrial processes</w:t>
      </w:r>
      <w:bookmarkEnd w:id="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93"/>
        <w:gridCol w:w="850"/>
        <w:gridCol w:w="851"/>
        <w:gridCol w:w="851"/>
        <w:gridCol w:w="992"/>
        <w:gridCol w:w="992"/>
        <w:gridCol w:w="1099"/>
      </w:tblGrid>
      <w:tr w:rsidR="00D16E72" w:rsidRPr="004901F2" w14:paraId="14BC7099" w14:textId="77777777" w:rsidTr="00284F82">
        <w:tc>
          <w:tcPr>
            <w:tcW w:w="851" w:type="dxa"/>
            <w:vAlign w:val="center"/>
          </w:tcPr>
          <w:p w14:paraId="3CCD9107"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Toolkit Chapter</w:t>
            </w:r>
          </w:p>
        </w:tc>
        <w:tc>
          <w:tcPr>
            <w:tcW w:w="2693" w:type="dxa"/>
            <w:vAlign w:val="center"/>
          </w:tcPr>
          <w:p w14:paraId="3541849F"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Sub-category</w:t>
            </w:r>
          </w:p>
        </w:tc>
        <w:tc>
          <w:tcPr>
            <w:tcW w:w="850" w:type="dxa"/>
            <w:vAlign w:val="center"/>
          </w:tcPr>
          <w:p w14:paraId="2D89A1C1"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Air</w:t>
            </w:r>
          </w:p>
        </w:tc>
        <w:tc>
          <w:tcPr>
            <w:tcW w:w="851" w:type="dxa"/>
            <w:vAlign w:val="center"/>
          </w:tcPr>
          <w:p w14:paraId="140F225D"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Water</w:t>
            </w:r>
          </w:p>
        </w:tc>
        <w:tc>
          <w:tcPr>
            <w:tcW w:w="851" w:type="dxa"/>
            <w:vAlign w:val="center"/>
          </w:tcPr>
          <w:p w14:paraId="23A5F492"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Land</w:t>
            </w:r>
          </w:p>
        </w:tc>
        <w:tc>
          <w:tcPr>
            <w:tcW w:w="992" w:type="dxa"/>
            <w:vAlign w:val="center"/>
          </w:tcPr>
          <w:p w14:paraId="30A45404"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Product</w:t>
            </w:r>
          </w:p>
        </w:tc>
        <w:tc>
          <w:tcPr>
            <w:tcW w:w="992" w:type="dxa"/>
            <w:vAlign w:val="center"/>
          </w:tcPr>
          <w:p w14:paraId="2B37E22A"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Waste/ residue</w:t>
            </w:r>
          </w:p>
        </w:tc>
        <w:tc>
          <w:tcPr>
            <w:tcW w:w="1099" w:type="dxa"/>
            <w:vAlign w:val="center"/>
          </w:tcPr>
          <w:p w14:paraId="19EC2E64"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Main approach</w:t>
            </w:r>
          </w:p>
        </w:tc>
      </w:tr>
      <w:tr w:rsidR="00D16E72" w:rsidRPr="004901F2" w14:paraId="6E8B5EB8" w14:textId="77777777" w:rsidTr="00284F82">
        <w:tc>
          <w:tcPr>
            <w:tcW w:w="851" w:type="dxa"/>
            <w:vAlign w:val="center"/>
          </w:tcPr>
          <w:p w14:paraId="1C384EE3" w14:textId="77777777" w:rsidR="00D16E72" w:rsidRPr="004901F2" w:rsidRDefault="00D16E72" w:rsidP="00684B56">
            <w:pPr>
              <w:spacing w:before="40" w:after="40" w:line="300" w:lineRule="atLeast"/>
              <w:rPr>
                <w:rFonts w:ascii="Arial" w:hAnsi="Arial" w:cs="Arial"/>
                <w:sz w:val="16"/>
                <w:szCs w:val="16"/>
              </w:rPr>
            </w:pPr>
            <w:r>
              <w:rPr>
                <w:rFonts w:ascii="Arial" w:hAnsi="Arial" w:cs="Arial"/>
                <w:sz w:val="16"/>
                <w:szCs w:val="16"/>
              </w:rPr>
              <w:t>5.</w:t>
            </w:r>
            <w:r w:rsidR="00684B56">
              <w:rPr>
                <w:rFonts w:ascii="Arial" w:hAnsi="Arial" w:cs="Arial"/>
                <w:sz w:val="16"/>
                <w:szCs w:val="16"/>
              </w:rPr>
              <w:t>4</w:t>
            </w:r>
            <w:r w:rsidRPr="004901F2">
              <w:rPr>
                <w:rFonts w:ascii="Arial" w:hAnsi="Arial" w:cs="Arial"/>
                <w:sz w:val="16"/>
                <w:szCs w:val="16"/>
              </w:rPr>
              <w:t>.1</w:t>
            </w:r>
          </w:p>
        </w:tc>
        <w:tc>
          <w:tcPr>
            <w:tcW w:w="2693" w:type="dxa"/>
            <w:vAlign w:val="center"/>
          </w:tcPr>
          <w:p w14:paraId="373721DF" w14:textId="77777777" w:rsidR="00D16E72" w:rsidRPr="004901F2" w:rsidRDefault="00684B56" w:rsidP="00684B56">
            <w:pPr>
              <w:spacing w:line="300" w:lineRule="atLeast"/>
              <w:rPr>
                <w:rFonts w:ascii="Arial" w:hAnsi="Arial" w:cs="Arial"/>
                <w:sz w:val="16"/>
                <w:szCs w:val="16"/>
              </w:rPr>
            </w:pPr>
            <w:r>
              <w:rPr>
                <w:rFonts w:ascii="Arial" w:hAnsi="Arial" w:cs="Arial"/>
                <w:sz w:val="16"/>
                <w:szCs w:val="16"/>
              </w:rPr>
              <w:t>Chlor-alkali production with m</w:t>
            </w:r>
            <w:r w:rsidR="00D16E72">
              <w:rPr>
                <w:rFonts w:ascii="Arial" w:hAnsi="Arial" w:cs="Arial"/>
                <w:sz w:val="16"/>
                <w:szCs w:val="16"/>
              </w:rPr>
              <w:t>ercury</w:t>
            </w:r>
            <w:r>
              <w:rPr>
                <w:rFonts w:ascii="Arial" w:hAnsi="Arial" w:cs="Arial"/>
                <w:sz w:val="16"/>
                <w:szCs w:val="16"/>
              </w:rPr>
              <w:t xml:space="preserve"> technology</w:t>
            </w:r>
          </w:p>
        </w:tc>
        <w:tc>
          <w:tcPr>
            <w:tcW w:w="850" w:type="dxa"/>
            <w:vAlign w:val="center"/>
          </w:tcPr>
          <w:p w14:paraId="591B45D2"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06527304" w14:textId="77777777" w:rsidR="00D16E72" w:rsidRPr="004901F2" w:rsidRDefault="00D16E72" w:rsidP="00284F82">
            <w:pPr>
              <w:spacing w:before="40" w:after="40" w:line="300" w:lineRule="atLeast"/>
              <w:jc w:val="center"/>
              <w:rPr>
                <w:rFonts w:ascii="Arial" w:hAnsi="Arial" w:cs="Arial"/>
                <w:sz w:val="16"/>
                <w:szCs w:val="16"/>
              </w:rPr>
            </w:pPr>
            <w:r w:rsidRPr="00177AB0">
              <w:rPr>
                <w:rFonts w:ascii="Arial" w:hAnsi="Arial" w:cs="Arial"/>
                <w:b/>
                <w:sz w:val="16"/>
                <w:szCs w:val="16"/>
              </w:rPr>
              <w:t>X</w:t>
            </w:r>
          </w:p>
        </w:tc>
        <w:tc>
          <w:tcPr>
            <w:tcW w:w="851" w:type="dxa"/>
            <w:vAlign w:val="center"/>
          </w:tcPr>
          <w:p w14:paraId="24131F3F"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b/>
                <w:sz w:val="16"/>
                <w:szCs w:val="16"/>
              </w:rPr>
              <w:t>X</w:t>
            </w:r>
          </w:p>
        </w:tc>
        <w:tc>
          <w:tcPr>
            <w:tcW w:w="992" w:type="dxa"/>
            <w:vAlign w:val="center"/>
          </w:tcPr>
          <w:p w14:paraId="0CA26F9C"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b/>
                <w:sz w:val="16"/>
                <w:szCs w:val="16"/>
              </w:rPr>
              <w:t>X</w:t>
            </w:r>
          </w:p>
        </w:tc>
        <w:tc>
          <w:tcPr>
            <w:tcW w:w="992" w:type="dxa"/>
            <w:vAlign w:val="center"/>
          </w:tcPr>
          <w:p w14:paraId="4EA05E3B"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1099" w:type="dxa"/>
            <w:vAlign w:val="center"/>
          </w:tcPr>
          <w:p w14:paraId="794BDDDD"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sz w:val="16"/>
                <w:szCs w:val="16"/>
              </w:rPr>
              <w:t>PS</w:t>
            </w:r>
          </w:p>
        </w:tc>
      </w:tr>
      <w:tr w:rsidR="00D16E72" w:rsidRPr="004901F2" w14:paraId="662DB9A1" w14:textId="77777777" w:rsidTr="00284F82">
        <w:tc>
          <w:tcPr>
            <w:tcW w:w="851" w:type="dxa"/>
            <w:vAlign w:val="center"/>
          </w:tcPr>
          <w:p w14:paraId="73BDA75C" w14:textId="77777777" w:rsidR="00D16E72" w:rsidRPr="004901F2" w:rsidRDefault="00684B56" w:rsidP="00284F82">
            <w:pPr>
              <w:spacing w:before="40" w:after="40" w:line="300" w:lineRule="atLeast"/>
              <w:rPr>
                <w:rFonts w:ascii="Arial" w:hAnsi="Arial" w:cs="Arial"/>
                <w:sz w:val="16"/>
                <w:szCs w:val="16"/>
              </w:rPr>
            </w:pPr>
            <w:r>
              <w:rPr>
                <w:rFonts w:ascii="Arial" w:hAnsi="Arial" w:cs="Arial"/>
                <w:sz w:val="16"/>
                <w:szCs w:val="16"/>
              </w:rPr>
              <w:t>5.4</w:t>
            </w:r>
            <w:r w:rsidR="00D16E72" w:rsidRPr="004901F2">
              <w:rPr>
                <w:rFonts w:ascii="Arial" w:hAnsi="Arial" w:cs="Arial"/>
                <w:sz w:val="16"/>
                <w:szCs w:val="16"/>
              </w:rPr>
              <w:t>.2</w:t>
            </w:r>
          </w:p>
        </w:tc>
        <w:tc>
          <w:tcPr>
            <w:tcW w:w="2693" w:type="dxa"/>
            <w:vAlign w:val="center"/>
          </w:tcPr>
          <w:p w14:paraId="4DCA71A0" w14:textId="77777777" w:rsidR="00D16E72" w:rsidRPr="004901F2" w:rsidRDefault="00684B56" w:rsidP="00284F82">
            <w:pPr>
              <w:spacing w:before="40" w:after="40" w:line="300" w:lineRule="atLeast"/>
              <w:rPr>
                <w:rFonts w:ascii="Arial" w:hAnsi="Arial" w:cs="Arial"/>
                <w:sz w:val="16"/>
                <w:szCs w:val="16"/>
              </w:rPr>
            </w:pPr>
            <w:r>
              <w:rPr>
                <w:rFonts w:ascii="Arial" w:hAnsi="Arial" w:cs="Arial"/>
                <w:sz w:val="16"/>
                <w:szCs w:val="16"/>
              </w:rPr>
              <w:t>VCM (vinyl chloride monomer) production with HgCl</w:t>
            </w:r>
            <w:r w:rsidRPr="00684B56">
              <w:rPr>
                <w:rFonts w:ascii="Arial" w:hAnsi="Arial" w:cs="Arial"/>
                <w:sz w:val="16"/>
                <w:szCs w:val="16"/>
                <w:vertAlign w:val="subscript"/>
              </w:rPr>
              <w:t>2</w:t>
            </w:r>
            <w:r>
              <w:rPr>
                <w:rFonts w:ascii="Arial" w:hAnsi="Arial" w:cs="Arial"/>
                <w:sz w:val="16"/>
                <w:szCs w:val="16"/>
              </w:rPr>
              <w:t xml:space="preserve"> catalyst</w:t>
            </w:r>
          </w:p>
        </w:tc>
        <w:tc>
          <w:tcPr>
            <w:tcW w:w="850" w:type="dxa"/>
            <w:vAlign w:val="center"/>
          </w:tcPr>
          <w:p w14:paraId="6A75F50B" w14:textId="77777777" w:rsidR="00D16E72" w:rsidRPr="00684B56" w:rsidRDefault="00684B56" w:rsidP="00284F82">
            <w:pPr>
              <w:spacing w:before="40" w:after="40" w:line="300" w:lineRule="atLeast"/>
              <w:jc w:val="center"/>
              <w:rPr>
                <w:rFonts w:ascii="Arial" w:hAnsi="Arial" w:cs="Arial"/>
                <w:sz w:val="16"/>
                <w:szCs w:val="16"/>
              </w:rPr>
            </w:pPr>
            <w:r w:rsidRPr="00684B56">
              <w:rPr>
                <w:rFonts w:ascii="Arial" w:hAnsi="Arial" w:cs="Arial"/>
                <w:sz w:val="16"/>
                <w:szCs w:val="16"/>
              </w:rPr>
              <w:t>x</w:t>
            </w:r>
          </w:p>
        </w:tc>
        <w:tc>
          <w:tcPr>
            <w:tcW w:w="851" w:type="dxa"/>
            <w:vAlign w:val="center"/>
          </w:tcPr>
          <w:p w14:paraId="4A4692BE" w14:textId="77777777" w:rsidR="00D16E72" w:rsidRPr="00684B56" w:rsidRDefault="00684B56" w:rsidP="00284F82">
            <w:pPr>
              <w:spacing w:before="40" w:after="40" w:line="300" w:lineRule="atLeast"/>
              <w:jc w:val="center"/>
              <w:rPr>
                <w:rFonts w:ascii="Arial" w:hAnsi="Arial" w:cs="Arial"/>
                <w:sz w:val="16"/>
                <w:szCs w:val="16"/>
              </w:rPr>
            </w:pPr>
            <w:r>
              <w:rPr>
                <w:rFonts w:ascii="Arial" w:hAnsi="Arial" w:cs="Arial"/>
                <w:sz w:val="16"/>
                <w:szCs w:val="16"/>
              </w:rPr>
              <w:t>x</w:t>
            </w:r>
          </w:p>
        </w:tc>
        <w:tc>
          <w:tcPr>
            <w:tcW w:w="851" w:type="dxa"/>
            <w:vAlign w:val="center"/>
          </w:tcPr>
          <w:p w14:paraId="10786482" w14:textId="77777777" w:rsidR="00D16E72" w:rsidRPr="004901F2" w:rsidRDefault="00D16E72" w:rsidP="00284F82">
            <w:pPr>
              <w:spacing w:before="40" w:after="40" w:line="300" w:lineRule="atLeast"/>
              <w:jc w:val="center"/>
              <w:rPr>
                <w:rFonts w:ascii="Arial" w:hAnsi="Arial" w:cs="Arial"/>
                <w:sz w:val="16"/>
                <w:szCs w:val="16"/>
              </w:rPr>
            </w:pPr>
          </w:p>
        </w:tc>
        <w:tc>
          <w:tcPr>
            <w:tcW w:w="992" w:type="dxa"/>
            <w:vAlign w:val="center"/>
          </w:tcPr>
          <w:p w14:paraId="75B48EC3" w14:textId="77777777" w:rsidR="00D16E72" w:rsidRPr="004901F2" w:rsidRDefault="00D16E72" w:rsidP="00284F82">
            <w:pPr>
              <w:spacing w:before="40" w:after="40" w:line="300" w:lineRule="atLeast"/>
              <w:jc w:val="center"/>
              <w:rPr>
                <w:rFonts w:ascii="Arial" w:hAnsi="Arial" w:cs="Arial"/>
                <w:sz w:val="16"/>
                <w:szCs w:val="16"/>
              </w:rPr>
            </w:pPr>
          </w:p>
        </w:tc>
        <w:tc>
          <w:tcPr>
            <w:tcW w:w="992" w:type="dxa"/>
            <w:vAlign w:val="center"/>
          </w:tcPr>
          <w:p w14:paraId="2AD5D03E" w14:textId="77777777" w:rsidR="00D16E72" w:rsidRPr="004901F2" w:rsidRDefault="00684B56" w:rsidP="00284F82">
            <w:pPr>
              <w:spacing w:before="40" w:after="40" w:line="300" w:lineRule="atLeast"/>
              <w:jc w:val="center"/>
              <w:rPr>
                <w:rFonts w:ascii="Arial" w:hAnsi="Arial" w:cs="Arial"/>
                <w:sz w:val="16"/>
                <w:szCs w:val="16"/>
              </w:rPr>
            </w:pPr>
            <w:r w:rsidRPr="004901F2">
              <w:rPr>
                <w:rFonts w:ascii="Arial" w:hAnsi="Arial" w:cs="Arial"/>
                <w:b/>
                <w:sz w:val="16"/>
                <w:szCs w:val="16"/>
              </w:rPr>
              <w:t>X</w:t>
            </w:r>
          </w:p>
        </w:tc>
        <w:tc>
          <w:tcPr>
            <w:tcW w:w="1099" w:type="dxa"/>
            <w:vAlign w:val="center"/>
          </w:tcPr>
          <w:p w14:paraId="67A2A8AC" w14:textId="77777777" w:rsidR="00D16E72" w:rsidRPr="004901F2" w:rsidRDefault="00684B56" w:rsidP="00284F82">
            <w:pPr>
              <w:spacing w:before="40" w:after="40" w:line="300" w:lineRule="atLeast"/>
              <w:jc w:val="center"/>
              <w:rPr>
                <w:rFonts w:ascii="Arial" w:hAnsi="Arial" w:cs="Arial"/>
                <w:sz w:val="16"/>
                <w:szCs w:val="16"/>
              </w:rPr>
            </w:pPr>
            <w:r>
              <w:rPr>
                <w:rFonts w:ascii="Arial" w:hAnsi="Arial" w:cs="Arial"/>
                <w:sz w:val="16"/>
                <w:szCs w:val="16"/>
              </w:rPr>
              <w:t>PS</w:t>
            </w:r>
          </w:p>
        </w:tc>
      </w:tr>
      <w:tr w:rsidR="00D16E72" w:rsidRPr="004901F2" w14:paraId="51238B60" w14:textId="77777777" w:rsidTr="00284F82">
        <w:tc>
          <w:tcPr>
            <w:tcW w:w="851" w:type="dxa"/>
            <w:vAlign w:val="center"/>
          </w:tcPr>
          <w:p w14:paraId="03374BF4" w14:textId="77777777" w:rsidR="00D16E72" w:rsidRPr="004901F2" w:rsidRDefault="00684B56" w:rsidP="00284F82">
            <w:pPr>
              <w:spacing w:before="40" w:after="40" w:line="300" w:lineRule="atLeast"/>
              <w:rPr>
                <w:rFonts w:ascii="Arial" w:hAnsi="Arial" w:cs="Arial"/>
                <w:sz w:val="16"/>
                <w:szCs w:val="16"/>
              </w:rPr>
            </w:pPr>
            <w:r>
              <w:rPr>
                <w:rFonts w:ascii="Arial" w:hAnsi="Arial" w:cs="Arial"/>
                <w:sz w:val="16"/>
                <w:szCs w:val="16"/>
              </w:rPr>
              <w:t>5.4</w:t>
            </w:r>
            <w:r w:rsidR="00D16E72" w:rsidRPr="004901F2">
              <w:rPr>
                <w:rFonts w:ascii="Arial" w:hAnsi="Arial" w:cs="Arial"/>
                <w:sz w:val="16"/>
                <w:szCs w:val="16"/>
              </w:rPr>
              <w:t>.3</w:t>
            </w:r>
          </w:p>
        </w:tc>
        <w:tc>
          <w:tcPr>
            <w:tcW w:w="2693" w:type="dxa"/>
            <w:vAlign w:val="center"/>
          </w:tcPr>
          <w:p w14:paraId="7B6989C8" w14:textId="77777777" w:rsidR="00D16E72" w:rsidRPr="004901F2" w:rsidRDefault="00684B56" w:rsidP="00284F82">
            <w:pPr>
              <w:spacing w:line="300" w:lineRule="atLeast"/>
              <w:rPr>
                <w:rFonts w:ascii="Arial" w:hAnsi="Arial" w:cs="Arial"/>
                <w:sz w:val="16"/>
                <w:szCs w:val="16"/>
              </w:rPr>
            </w:pPr>
            <w:r>
              <w:rPr>
                <w:rFonts w:ascii="Arial" w:hAnsi="Arial" w:cs="Arial"/>
                <w:sz w:val="16"/>
                <w:szCs w:val="16"/>
              </w:rPr>
              <w:t>Acetaldehyde production with HgSO</w:t>
            </w:r>
            <w:r w:rsidRPr="00684B56">
              <w:rPr>
                <w:rFonts w:ascii="Arial" w:hAnsi="Arial" w:cs="Arial"/>
                <w:sz w:val="16"/>
                <w:szCs w:val="16"/>
                <w:vertAlign w:val="subscript"/>
              </w:rPr>
              <w:t>4</w:t>
            </w:r>
            <w:r>
              <w:rPr>
                <w:rFonts w:ascii="Arial" w:hAnsi="Arial" w:cs="Arial"/>
                <w:sz w:val="16"/>
                <w:szCs w:val="16"/>
              </w:rPr>
              <w:t xml:space="preserve"> as catalyst</w:t>
            </w:r>
          </w:p>
        </w:tc>
        <w:tc>
          <w:tcPr>
            <w:tcW w:w="850" w:type="dxa"/>
            <w:vAlign w:val="center"/>
          </w:tcPr>
          <w:p w14:paraId="1AD7BC11" w14:textId="77777777" w:rsidR="00D16E72" w:rsidRPr="004901F2" w:rsidRDefault="00D16E72" w:rsidP="00284F82">
            <w:pPr>
              <w:spacing w:before="40" w:after="40" w:line="300" w:lineRule="atLeast"/>
              <w:jc w:val="center"/>
              <w:rPr>
                <w:rFonts w:ascii="Arial" w:hAnsi="Arial" w:cs="Arial"/>
                <w:b/>
                <w:sz w:val="16"/>
                <w:szCs w:val="16"/>
              </w:rPr>
            </w:pPr>
          </w:p>
        </w:tc>
        <w:tc>
          <w:tcPr>
            <w:tcW w:w="851" w:type="dxa"/>
            <w:vAlign w:val="center"/>
          </w:tcPr>
          <w:p w14:paraId="61568CB3" w14:textId="77777777" w:rsidR="00D16E72" w:rsidRPr="004901F2" w:rsidRDefault="00D16E72" w:rsidP="00284F82">
            <w:pPr>
              <w:spacing w:before="40" w:after="40" w:line="300" w:lineRule="atLeast"/>
              <w:jc w:val="center"/>
              <w:rPr>
                <w:rFonts w:ascii="Arial" w:hAnsi="Arial" w:cs="Arial"/>
                <w:b/>
                <w:sz w:val="16"/>
                <w:szCs w:val="16"/>
              </w:rPr>
            </w:pPr>
          </w:p>
        </w:tc>
        <w:tc>
          <w:tcPr>
            <w:tcW w:w="851" w:type="dxa"/>
            <w:vAlign w:val="center"/>
          </w:tcPr>
          <w:p w14:paraId="50609587" w14:textId="77777777" w:rsidR="00D16E72" w:rsidRPr="004901F2" w:rsidRDefault="00D16E72" w:rsidP="00284F82">
            <w:pPr>
              <w:spacing w:before="40" w:after="40" w:line="300" w:lineRule="atLeast"/>
              <w:jc w:val="center"/>
              <w:rPr>
                <w:rFonts w:ascii="Arial" w:hAnsi="Arial" w:cs="Arial"/>
                <w:sz w:val="16"/>
                <w:szCs w:val="16"/>
              </w:rPr>
            </w:pPr>
          </w:p>
        </w:tc>
        <w:tc>
          <w:tcPr>
            <w:tcW w:w="992" w:type="dxa"/>
            <w:vAlign w:val="center"/>
          </w:tcPr>
          <w:p w14:paraId="24554877" w14:textId="77777777" w:rsidR="00D16E72" w:rsidRPr="004901F2" w:rsidRDefault="00D16E72" w:rsidP="00284F82">
            <w:pPr>
              <w:spacing w:before="40" w:after="40" w:line="300" w:lineRule="atLeast"/>
              <w:jc w:val="center"/>
              <w:rPr>
                <w:rFonts w:ascii="Arial" w:hAnsi="Arial" w:cs="Arial"/>
                <w:sz w:val="16"/>
                <w:szCs w:val="16"/>
              </w:rPr>
            </w:pPr>
          </w:p>
        </w:tc>
        <w:tc>
          <w:tcPr>
            <w:tcW w:w="992" w:type="dxa"/>
            <w:vAlign w:val="center"/>
          </w:tcPr>
          <w:p w14:paraId="76C9D0B3" w14:textId="77777777" w:rsidR="00D16E72" w:rsidRPr="004901F2" w:rsidRDefault="00D16E72" w:rsidP="00284F82">
            <w:pPr>
              <w:spacing w:before="40" w:after="40" w:line="300" w:lineRule="atLeast"/>
              <w:jc w:val="center"/>
              <w:rPr>
                <w:rFonts w:ascii="Arial" w:hAnsi="Arial" w:cs="Arial"/>
                <w:sz w:val="16"/>
                <w:szCs w:val="16"/>
              </w:rPr>
            </w:pPr>
          </w:p>
        </w:tc>
        <w:tc>
          <w:tcPr>
            <w:tcW w:w="1099" w:type="dxa"/>
            <w:vAlign w:val="center"/>
          </w:tcPr>
          <w:p w14:paraId="37584A34"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sz w:val="16"/>
                <w:szCs w:val="16"/>
              </w:rPr>
              <w:t>PS</w:t>
            </w:r>
          </w:p>
        </w:tc>
      </w:tr>
      <w:tr w:rsidR="00D16E72" w:rsidRPr="004901F2" w14:paraId="2C31B9BE" w14:textId="77777777" w:rsidTr="00284F82">
        <w:tc>
          <w:tcPr>
            <w:tcW w:w="851" w:type="dxa"/>
            <w:vAlign w:val="center"/>
          </w:tcPr>
          <w:p w14:paraId="5BA6BD96" w14:textId="77777777" w:rsidR="00D16E72" w:rsidRPr="004901F2" w:rsidRDefault="00684B56" w:rsidP="00284F82">
            <w:pPr>
              <w:spacing w:before="40" w:after="40" w:line="300" w:lineRule="atLeast"/>
              <w:rPr>
                <w:rFonts w:ascii="Arial" w:hAnsi="Arial" w:cs="Arial"/>
                <w:sz w:val="16"/>
                <w:szCs w:val="16"/>
              </w:rPr>
            </w:pPr>
            <w:r>
              <w:rPr>
                <w:rFonts w:ascii="Arial" w:hAnsi="Arial" w:cs="Arial"/>
                <w:sz w:val="16"/>
                <w:szCs w:val="16"/>
              </w:rPr>
              <w:t>5.4</w:t>
            </w:r>
            <w:r w:rsidR="00D16E72" w:rsidRPr="004901F2">
              <w:rPr>
                <w:rFonts w:ascii="Arial" w:hAnsi="Arial" w:cs="Arial"/>
                <w:sz w:val="16"/>
                <w:szCs w:val="16"/>
              </w:rPr>
              <w:t>.4</w:t>
            </w:r>
          </w:p>
        </w:tc>
        <w:tc>
          <w:tcPr>
            <w:tcW w:w="2693" w:type="dxa"/>
            <w:vAlign w:val="center"/>
          </w:tcPr>
          <w:p w14:paraId="26C409EC" w14:textId="77777777" w:rsidR="00D16E72" w:rsidRPr="004901F2" w:rsidRDefault="00684B56" w:rsidP="00284F82">
            <w:pPr>
              <w:spacing w:line="300" w:lineRule="atLeast"/>
              <w:rPr>
                <w:rFonts w:ascii="Arial" w:hAnsi="Arial" w:cs="Arial"/>
                <w:sz w:val="16"/>
                <w:szCs w:val="16"/>
              </w:rPr>
            </w:pPr>
            <w:r>
              <w:rPr>
                <w:rFonts w:ascii="Arial" w:hAnsi="Arial" w:cs="Arial"/>
                <w:sz w:val="16"/>
                <w:szCs w:val="16"/>
              </w:rPr>
              <w:t>Other chemicals and polymers with mercury catalysts</w:t>
            </w:r>
          </w:p>
        </w:tc>
        <w:tc>
          <w:tcPr>
            <w:tcW w:w="850" w:type="dxa"/>
            <w:vAlign w:val="center"/>
          </w:tcPr>
          <w:p w14:paraId="49BD61D3" w14:textId="77777777" w:rsidR="00D16E72" w:rsidRPr="004901F2" w:rsidRDefault="00D16E72" w:rsidP="00284F82">
            <w:pPr>
              <w:spacing w:before="40" w:after="40" w:line="300" w:lineRule="atLeast"/>
              <w:jc w:val="center"/>
              <w:rPr>
                <w:rFonts w:ascii="Arial" w:hAnsi="Arial" w:cs="Arial"/>
                <w:b/>
                <w:sz w:val="16"/>
                <w:szCs w:val="16"/>
              </w:rPr>
            </w:pPr>
          </w:p>
        </w:tc>
        <w:tc>
          <w:tcPr>
            <w:tcW w:w="851" w:type="dxa"/>
            <w:vAlign w:val="center"/>
          </w:tcPr>
          <w:p w14:paraId="015EB33F" w14:textId="77777777" w:rsidR="00D16E72" w:rsidRPr="004901F2" w:rsidRDefault="00D16E72" w:rsidP="00284F82">
            <w:pPr>
              <w:spacing w:before="40" w:after="40" w:line="300" w:lineRule="atLeast"/>
              <w:jc w:val="center"/>
              <w:rPr>
                <w:rFonts w:ascii="Arial" w:hAnsi="Arial" w:cs="Arial"/>
                <w:b/>
                <w:sz w:val="16"/>
                <w:szCs w:val="16"/>
              </w:rPr>
            </w:pPr>
          </w:p>
        </w:tc>
        <w:tc>
          <w:tcPr>
            <w:tcW w:w="851" w:type="dxa"/>
            <w:vAlign w:val="center"/>
          </w:tcPr>
          <w:p w14:paraId="290F3854" w14:textId="77777777" w:rsidR="00D16E72" w:rsidRPr="004901F2" w:rsidRDefault="00D16E72" w:rsidP="00284F82">
            <w:pPr>
              <w:spacing w:before="40" w:after="40" w:line="300" w:lineRule="atLeast"/>
              <w:jc w:val="center"/>
              <w:rPr>
                <w:rFonts w:ascii="Arial" w:hAnsi="Arial" w:cs="Arial"/>
                <w:b/>
                <w:sz w:val="16"/>
                <w:szCs w:val="16"/>
              </w:rPr>
            </w:pPr>
          </w:p>
        </w:tc>
        <w:tc>
          <w:tcPr>
            <w:tcW w:w="992" w:type="dxa"/>
            <w:vAlign w:val="center"/>
          </w:tcPr>
          <w:p w14:paraId="47F0AA16" w14:textId="77777777" w:rsidR="00D16E72" w:rsidRPr="004901F2" w:rsidRDefault="00D16E72" w:rsidP="00284F82">
            <w:pPr>
              <w:spacing w:before="40" w:after="40" w:line="300" w:lineRule="atLeast"/>
              <w:jc w:val="center"/>
              <w:rPr>
                <w:rFonts w:ascii="Arial" w:hAnsi="Arial" w:cs="Arial"/>
                <w:sz w:val="16"/>
                <w:szCs w:val="16"/>
              </w:rPr>
            </w:pPr>
          </w:p>
        </w:tc>
        <w:tc>
          <w:tcPr>
            <w:tcW w:w="992" w:type="dxa"/>
            <w:vAlign w:val="center"/>
          </w:tcPr>
          <w:p w14:paraId="76B9DC7A" w14:textId="77777777" w:rsidR="00D16E72" w:rsidRPr="004901F2" w:rsidRDefault="00D16E72" w:rsidP="00284F82">
            <w:pPr>
              <w:spacing w:before="40" w:after="40" w:line="300" w:lineRule="atLeast"/>
              <w:jc w:val="center"/>
              <w:rPr>
                <w:rFonts w:ascii="Arial" w:hAnsi="Arial" w:cs="Arial"/>
                <w:b/>
                <w:sz w:val="16"/>
                <w:szCs w:val="16"/>
              </w:rPr>
            </w:pPr>
          </w:p>
        </w:tc>
        <w:tc>
          <w:tcPr>
            <w:tcW w:w="1099" w:type="dxa"/>
            <w:vAlign w:val="center"/>
          </w:tcPr>
          <w:p w14:paraId="534C2B9B"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sz w:val="16"/>
                <w:szCs w:val="16"/>
              </w:rPr>
              <w:t>PS</w:t>
            </w:r>
          </w:p>
        </w:tc>
      </w:tr>
    </w:tbl>
    <w:p w14:paraId="0AAF7F19" w14:textId="77777777" w:rsidR="00D16E72" w:rsidRPr="00582EF2" w:rsidRDefault="00D16E72" w:rsidP="00D16E72">
      <w:pPr>
        <w:spacing w:before="60" w:after="60" w:line="260" w:lineRule="exact"/>
        <w:jc w:val="both"/>
        <w:rPr>
          <w:rFonts w:ascii="Arial" w:hAnsi="Arial" w:cs="Arial"/>
          <w:sz w:val="16"/>
          <w:szCs w:val="18"/>
        </w:rPr>
      </w:pPr>
      <w:r w:rsidRPr="00582EF2">
        <w:rPr>
          <w:rFonts w:ascii="Arial" w:hAnsi="Arial" w:cs="Arial"/>
          <w:sz w:val="16"/>
          <w:szCs w:val="18"/>
        </w:rPr>
        <w:t xml:space="preserve">Notes: </w:t>
      </w:r>
      <w:r w:rsidRPr="00582EF2">
        <w:rPr>
          <w:rFonts w:ascii="Arial" w:hAnsi="Arial" w:cs="Arial"/>
          <w:sz w:val="16"/>
          <w:szCs w:val="18"/>
        </w:rPr>
        <w:tab/>
        <w:t xml:space="preserve">PS = Point </w:t>
      </w:r>
      <w:r w:rsidR="003F6605">
        <w:rPr>
          <w:rFonts w:ascii="Arial" w:hAnsi="Arial" w:cs="Arial"/>
          <w:sz w:val="16"/>
          <w:szCs w:val="18"/>
        </w:rPr>
        <w:t>source by point source approach;</w:t>
      </w:r>
    </w:p>
    <w:p w14:paraId="09ABAA17" w14:textId="77777777" w:rsidR="00D16E72" w:rsidRPr="00582EF2" w:rsidRDefault="00D16E72" w:rsidP="00D16E72">
      <w:pPr>
        <w:spacing w:after="60" w:line="260" w:lineRule="exact"/>
        <w:ind w:firstLine="720"/>
        <w:jc w:val="both"/>
        <w:rPr>
          <w:rFonts w:ascii="Arial" w:hAnsi="Arial" w:cs="Arial"/>
          <w:sz w:val="16"/>
          <w:szCs w:val="18"/>
        </w:rPr>
      </w:pPr>
      <w:r w:rsidRPr="00582EF2">
        <w:rPr>
          <w:rFonts w:ascii="Arial" w:hAnsi="Arial" w:cs="Arial"/>
          <w:b/>
          <w:sz w:val="16"/>
          <w:szCs w:val="18"/>
        </w:rPr>
        <w:t>X</w:t>
      </w:r>
      <w:r w:rsidRPr="00582EF2">
        <w:rPr>
          <w:rFonts w:ascii="Arial" w:hAnsi="Arial" w:cs="Arial"/>
          <w:sz w:val="16"/>
          <w:szCs w:val="18"/>
        </w:rPr>
        <w:t xml:space="preserve"> - Release pathway expected to be predominant for the sub-category;</w:t>
      </w:r>
    </w:p>
    <w:p w14:paraId="19A8FD30" w14:textId="77777777" w:rsidR="00D16E72" w:rsidRPr="00582EF2" w:rsidRDefault="00D16E72" w:rsidP="00D16E72">
      <w:pPr>
        <w:spacing w:after="60" w:line="260" w:lineRule="exact"/>
        <w:ind w:firstLine="720"/>
        <w:jc w:val="both"/>
        <w:rPr>
          <w:rFonts w:ascii="Arial" w:hAnsi="Arial" w:cs="Arial"/>
          <w:sz w:val="16"/>
          <w:szCs w:val="18"/>
        </w:rPr>
      </w:pPr>
      <w:r w:rsidRPr="00582EF2">
        <w:rPr>
          <w:rFonts w:ascii="Arial" w:hAnsi="Arial" w:cs="Arial"/>
          <w:sz w:val="16"/>
          <w:szCs w:val="18"/>
        </w:rPr>
        <w:t>x - Additional release pathways to be considered, depending on specific source and national situation.</w:t>
      </w:r>
    </w:p>
    <w:p w14:paraId="0305E332" w14:textId="77777777" w:rsidR="00351058" w:rsidRDefault="00351058" w:rsidP="00351058">
      <w:pPr>
        <w:pStyle w:val="Heading2"/>
      </w:pPr>
      <w:bookmarkStart w:id="85" w:name="_Toc110355534"/>
      <w:r>
        <w:t>Industrial uses of mercury in New Zealand</w:t>
      </w:r>
      <w:r w:rsidR="00842CA3">
        <w:rPr>
          <w:rStyle w:val="FootnoteReference"/>
        </w:rPr>
        <w:footnoteReference w:id="13"/>
      </w:r>
      <w:bookmarkEnd w:id="85"/>
    </w:p>
    <w:p w14:paraId="13E9B6F4" w14:textId="0EF5170F" w:rsidR="00D16E72" w:rsidRDefault="00351058" w:rsidP="003833D6">
      <w:pPr>
        <w:spacing w:line="300" w:lineRule="atLeast"/>
        <w:jc w:val="both"/>
        <w:rPr>
          <w:szCs w:val="18"/>
        </w:rPr>
      </w:pPr>
      <w:r>
        <w:rPr>
          <w:szCs w:val="18"/>
        </w:rPr>
        <w:t xml:space="preserve">Chlor-alkali plants were used at </w:t>
      </w:r>
      <w:r w:rsidR="00EE6CF7">
        <w:rPr>
          <w:szCs w:val="18"/>
        </w:rPr>
        <w:t xml:space="preserve">one </w:t>
      </w:r>
      <w:r>
        <w:rPr>
          <w:szCs w:val="18"/>
        </w:rPr>
        <w:t>of the pulp and paper mills until th</w:t>
      </w:r>
      <w:r w:rsidR="00C26911">
        <w:rPr>
          <w:szCs w:val="18"/>
        </w:rPr>
        <w:t>e</w:t>
      </w:r>
      <w:r>
        <w:rPr>
          <w:szCs w:val="18"/>
        </w:rPr>
        <w:t xml:space="preserve"> early 1980s, when they were replaced with </w:t>
      </w:r>
      <w:r w:rsidR="00EE6CF7">
        <w:rPr>
          <w:szCs w:val="18"/>
        </w:rPr>
        <w:t xml:space="preserve">a </w:t>
      </w:r>
      <w:r>
        <w:rPr>
          <w:szCs w:val="18"/>
        </w:rPr>
        <w:t xml:space="preserve">modern </w:t>
      </w:r>
      <w:r w:rsidR="00EE6CF7">
        <w:rPr>
          <w:szCs w:val="18"/>
        </w:rPr>
        <w:t xml:space="preserve">system based on a </w:t>
      </w:r>
      <w:r>
        <w:rPr>
          <w:szCs w:val="18"/>
        </w:rPr>
        <w:t>membrane cell technolog</w:t>
      </w:r>
      <w:r w:rsidR="00EE6CF7">
        <w:rPr>
          <w:szCs w:val="18"/>
        </w:rPr>
        <w:t>y</w:t>
      </w:r>
      <w:r>
        <w:rPr>
          <w:szCs w:val="18"/>
        </w:rPr>
        <w:t xml:space="preserve"> </w:t>
      </w:r>
      <w:r w:rsidR="00842CA3">
        <w:rPr>
          <w:szCs w:val="18"/>
        </w:rPr>
        <w:t xml:space="preserve">which does not involve mercury </w:t>
      </w:r>
      <w:r>
        <w:rPr>
          <w:szCs w:val="18"/>
        </w:rPr>
        <w:t>(NZIC, 1998</w:t>
      </w:r>
      <w:r w:rsidR="00A2343E">
        <w:rPr>
          <w:szCs w:val="18"/>
        </w:rPr>
        <w:t>c</w:t>
      </w:r>
      <w:r>
        <w:rPr>
          <w:szCs w:val="18"/>
        </w:rPr>
        <w:t>).</w:t>
      </w:r>
    </w:p>
    <w:p w14:paraId="081C748E" w14:textId="77777777" w:rsidR="00842CA3" w:rsidRDefault="00FC7951" w:rsidP="00982F85">
      <w:pPr>
        <w:spacing w:line="300" w:lineRule="atLeast"/>
        <w:jc w:val="both"/>
        <w:rPr>
          <w:szCs w:val="18"/>
        </w:rPr>
      </w:pPr>
      <w:r>
        <w:rPr>
          <w:szCs w:val="18"/>
        </w:rPr>
        <w:t xml:space="preserve">Vinyl chloride monomer </w:t>
      </w:r>
      <w:r w:rsidR="001E5DEF">
        <w:rPr>
          <w:szCs w:val="18"/>
        </w:rPr>
        <w:t xml:space="preserve">is not manufactured in New Zealand, although significant volumes of the polymerised form of vinyl chloride (ie polyvinyl chloride, PVC) are imported for use in making PVC products. </w:t>
      </w:r>
    </w:p>
    <w:p w14:paraId="46B021C2" w14:textId="22D8FF48" w:rsidR="00D16E72" w:rsidRDefault="00842CA3" w:rsidP="00982F85">
      <w:pPr>
        <w:spacing w:line="300" w:lineRule="atLeast"/>
        <w:jc w:val="both"/>
        <w:rPr>
          <w:szCs w:val="18"/>
        </w:rPr>
      </w:pPr>
      <w:r>
        <w:rPr>
          <w:szCs w:val="18"/>
        </w:rPr>
        <w:t xml:space="preserve">Similarly, there is </w:t>
      </w:r>
      <w:r w:rsidR="001E5DEF">
        <w:rPr>
          <w:szCs w:val="18"/>
        </w:rPr>
        <w:t>no manufacturing of acetaldehyde in New Zealand</w:t>
      </w:r>
      <w:r>
        <w:rPr>
          <w:szCs w:val="18"/>
        </w:rPr>
        <w:t>, or of two-part polyurethanes involving mercury catalysts</w:t>
      </w:r>
      <w:r w:rsidR="001E5DEF">
        <w:rPr>
          <w:szCs w:val="18"/>
        </w:rPr>
        <w:t>.</w:t>
      </w:r>
      <w:r w:rsidR="00BB4A96">
        <w:rPr>
          <w:szCs w:val="18"/>
        </w:rPr>
        <w:t xml:space="preserve"> </w:t>
      </w:r>
    </w:p>
    <w:p w14:paraId="146F3DD0" w14:textId="3DEE4DEF" w:rsidR="00367819" w:rsidRDefault="00367819" w:rsidP="00982F85">
      <w:pPr>
        <w:spacing w:line="300" w:lineRule="atLeast"/>
        <w:jc w:val="both"/>
        <w:rPr>
          <w:szCs w:val="18"/>
        </w:rPr>
      </w:pPr>
      <w:r>
        <w:rPr>
          <w:szCs w:val="18"/>
        </w:rPr>
        <w:t xml:space="preserve">In 2021 the Minister for the Environment, Hon David Parker, recommended to Cabinet that the National Emission Standards for Air Quality be amended to specifically prohibit </w:t>
      </w:r>
      <w:r w:rsidR="00BB4A96">
        <w:rPr>
          <w:szCs w:val="18"/>
        </w:rPr>
        <w:t>the use of mercury in chlor alkali, acetaldehyde, vinyl chloride monomer, sodium or potassium methylate or ethylate</w:t>
      </w:r>
      <w:r>
        <w:rPr>
          <w:szCs w:val="18"/>
        </w:rPr>
        <w:t xml:space="preserve"> </w:t>
      </w:r>
      <w:r w:rsidR="00BB4A96">
        <w:rPr>
          <w:szCs w:val="18"/>
        </w:rPr>
        <w:t>and polyurethane production (Office of the Minister for the Environment, 2021).</w:t>
      </w:r>
    </w:p>
    <w:p w14:paraId="0FF701E2" w14:textId="77777777" w:rsidR="00367819" w:rsidRDefault="00367819" w:rsidP="00982F85">
      <w:pPr>
        <w:spacing w:line="300" w:lineRule="atLeast"/>
        <w:jc w:val="both"/>
        <w:rPr>
          <w:szCs w:val="18"/>
        </w:rPr>
      </w:pPr>
    </w:p>
    <w:p w14:paraId="6E0BF5D3" w14:textId="77777777" w:rsidR="00D16E72" w:rsidRDefault="00D16E72" w:rsidP="009049D8">
      <w:pPr>
        <w:spacing w:line="300" w:lineRule="atLeast"/>
        <w:jc w:val="both"/>
        <w:rPr>
          <w:szCs w:val="18"/>
        </w:rPr>
      </w:pPr>
      <w:r>
        <w:rPr>
          <w:szCs w:val="18"/>
        </w:rPr>
        <w:br w:type="page"/>
      </w:r>
    </w:p>
    <w:p w14:paraId="5BE2A480" w14:textId="77777777" w:rsidR="00D16E72" w:rsidRPr="00FA5F85" w:rsidRDefault="00EF225E" w:rsidP="00D16E72">
      <w:pPr>
        <w:pStyle w:val="Heading1"/>
      </w:pPr>
      <w:bookmarkStart w:id="86" w:name="_Toc110355535"/>
      <w:r w:rsidRPr="00FA5F85">
        <w:t>Consumer products with intentional use of mercury</w:t>
      </w:r>
      <w:bookmarkEnd w:id="86"/>
    </w:p>
    <w:p w14:paraId="20CD9E4A" w14:textId="6B3B51BD" w:rsidR="00D16E72" w:rsidRPr="000061E7" w:rsidRDefault="004A332D" w:rsidP="003833D6">
      <w:pPr>
        <w:spacing w:line="300" w:lineRule="atLeast"/>
        <w:jc w:val="both"/>
        <w:rPr>
          <w:szCs w:val="18"/>
        </w:rPr>
      </w:pPr>
      <w:r w:rsidRPr="000061E7">
        <w:rPr>
          <w:szCs w:val="18"/>
        </w:rPr>
        <w:t>This category covers mercury uses in a wide range of different consumer products (</w:t>
      </w:r>
      <w:r w:rsidR="00C738EC" w:rsidRPr="000061E7">
        <w:rPr>
          <w:szCs w:val="18"/>
        </w:rPr>
        <w:t xml:space="preserve">UNEP, </w:t>
      </w:r>
      <w:r w:rsidR="00B51E8B">
        <w:rPr>
          <w:szCs w:val="18"/>
        </w:rPr>
        <w:t>2023</w:t>
      </w:r>
      <w:r w:rsidRPr="000061E7">
        <w:rPr>
          <w:szCs w:val="18"/>
        </w:rPr>
        <w:t xml:space="preserve">). The various sub-categories and the primary release pathways are summarised in </w:t>
      </w:r>
      <w:r w:rsidRPr="000061E7">
        <w:rPr>
          <w:szCs w:val="18"/>
        </w:rPr>
        <w:fldChar w:fldCharType="begin"/>
      </w:r>
      <w:r w:rsidRPr="000061E7">
        <w:rPr>
          <w:szCs w:val="18"/>
        </w:rPr>
        <w:instrText xml:space="preserve"> REF _Ref358542118 \h </w:instrText>
      </w:r>
      <w:r w:rsidR="00016AD4" w:rsidRPr="000061E7">
        <w:rPr>
          <w:szCs w:val="18"/>
        </w:rPr>
        <w:instrText xml:space="preserve"> \* MERGEFORMAT </w:instrText>
      </w:r>
      <w:r w:rsidRPr="000061E7">
        <w:rPr>
          <w:szCs w:val="18"/>
        </w:rPr>
      </w:r>
      <w:r w:rsidRPr="000061E7">
        <w:rPr>
          <w:szCs w:val="18"/>
        </w:rPr>
        <w:fldChar w:fldCharType="separate"/>
      </w:r>
      <w:r w:rsidR="00892B2D" w:rsidRPr="00892B2D">
        <w:t xml:space="preserve">Table </w:t>
      </w:r>
      <w:r w:rsidR="00892B2D" w:rsidRPr="00892B2D">
        <w:rPr>
          <w:noProof/>
        </w:rPr>
        <w:t>7</w:t>
      </w:r>
      <w:r w:rsidR="00892B2D" w:rsidRPr="00892B2D">
        <w:rPr>
          <w:noProof/>
        </w:rPr>
        <w:noBreakHyphen/>
        <w:t>1</w:t>
      </w:r>
      <w:r w:rsidRPr="000061E7">
        <w:rPr>
          <w:szCs w:val="18"/>
        </w:rPr>
        <w:fldChar w:fldCharType="end"/>
      </w:r>
      <w:r w:rsidRPr="000061E7">
        <w:rPr>
          <w:szCs w:val="18"/>
        </w:rPr>
        <w:t>.</w:t>
      </w:r>
    </w:p>
    <w:p w14:paraId="0B3E43EB" w14:textId="0C2DE70D" w:rsidR="00D16E72" w:rsidRPr="000061E7" w:rsidRDefault="00EF225E" w:rsidP="00EF225E">
      <w:pPr>
        <w:pStyle w:val="Caption"/>
        <w:spacing w:before="240"/>
        <w:ind w:left="1440" w:hanging="1440"/>
        <w:rPr>
          <w:szCs w:val="18"/>
        </w:rPr>
      </w:pPr>
      <w:bookmarkStart w:id="87" w:name="_Ref358542118"/>
      <w:bookmarkStart w:id="88" w:name="_Toc110355478"/>
      <w:r w:rsidRPr="000061E7">
        <w:rPr>
          <w:rFonts w:ascii="Arial" w:hAnsi="Arial" w:cs="Arial"/>
        </w:rPr>
        <w:t xml:space="preserve">Table </w:t>
      </w:r>
      <w:r w:rsidR="002B0D65" w:rsidRPr="000061E7">
        <w:rPr>
          <w:rFonts w:ascii="Arial" w:hAnsi="Arial" w:cs="Arial"/>
        </w:rPr>
        <w:fldChar w:fldCharType="begin"/>
      </w:r>
      <w:r w:rsidR="002B0D65" w:rsidRPr="000061E7">
        <w:rPr>
          <w:rFonts w:ascii="Arial" w:hAnsi="Arial" w:cs="Arial"/>
        </w:rPr>
        <w:instrText xml:space="preserve"> STYLEREF 1 \s </w:instrText>
      </w:r>
      <w:r w:rsidR="002B0D65" w:rsidRPr="000061E7">
        <w:rPr>
          <w:rFonts w:ascii="Arial" w:hAnsi="Arial" w:cs="Arial"/>
        </w:rPr>
        <w:fldChar w:fldCharType="separate"/>
      </w:r>
      <w:r w:rsidR="00892B2D">
        <w:rPr>
          <w:rFonts w:ascii="Arial" w:hAnsi="Arial" w:cs="Arial"/>
          <w:noProof/>
        </w:rPr>
        <w:t>7</w:t>
      </w:r>
      <w:r w:rsidR="002B0D65" w:rsidRPr="000061E7">
        <w:rPr>
          <w:rFonts w:ascii="Arial" w:hAnsi="Arial" w:cs="Arial"/>
          <w:noProof/>
        </w:rPr>
        <w:fldChar w:fldCharType="end"/>
      </w:r>
      <w:r w:rsidR="00390C9F" w:rsidRPr="000061E7">
        <w:rPr>
          <w:rFonts w:ascii="Arial" w:hAnsi="Arial" w:cs="Arial"/>
        </w:rPr>
        <w:noBreakHyphen/>
      </w:r>
      <w:r w:rsidR="002B0D65" w:rsidRPr="000061E7">
        <w:rPr>
          <w:rFonts w:ascii="Arial" w:hAnsi="Arial" w:cs="Arial"/>
        </w:rPr>
        <w:fldChar w:fldCharType="begin"/>
      </w:r>
      <w:r w:rsidR="002B0D65" w:rsidRPr="000061E7">
        <w:rPr>
          <w:rFonts w:ascii="Arial" w:hAnsi="Arial" w:cs="Arial"/>
        </w:rPr>
        <w:instrText xml:space="preserve"> SEQ Table \* ARABIC \s 1 </w:instrText>
      </w:r>
      <w:r w:rsidR="002B0D65" w:rsidRPr="000061E7">
        <w:rPr>
          <w:rFonts w:ascii="Arial" w:hAnsi="Arial" w:cs="Arial"/>
        </w:rPr>
        <w:fldChar w:fldCharType="separate"/>
      </w:r>
      <w:r w:rsidR="00892B2D">
        <w:rPr>
          <w:rFonts w:ascii="Arial" w:hAnsi="Arial" w:cs="Arial"/>
          <w:noProof/>
        </w:rPr>
        <w:t>1</w:t>
      </w:r>
      <w:r w:rsidR="002B0D65" w:rsidRPr="000061E7">
        <w:rPr>
          <w:rFonts w:ascii="Arial" w:hAnsi="Arial" w:cs="Arial"/>
          <w:noProof/>
        </w:rPr>
        <w:fldChar w:fldCharType="end"/>
      </w:r>
      <w:bookmarkEnd w:id="87"/>
      <w:r w:rsidRPr="000061E7">
        <w:rPr>
          <w:rFonts w:ascii="Arial" w:hAnsi="Arial" w:cs="Arial"/>
        </w:rPr>
        <w:t>:</w:t>
      </w:r>
      <w:r w:rsidRPr="000061E7">
        <w:t xml:space="preserve"> </w:t>
      </w:r>
      <w:r w:rsidR="00403501">
        <w:t xml:space="preserve"> </w:t>
      </w:r>
      <w:r w:rsidR="00D16E72" w:rsidRPr="000061E7">
        <w:rPr>
          <w:rFonts w:ascii="Arial" w:hAnsi="Arial" w:cs="Arial"/>
        </w:rPr>
        <w:t xml:space="preserve">Toolkit framework for category </w:t>
      </w:r>
      <w:r w:rsidRPr="000061E7">
        <w:rPr>
          <w:rFonts w:ascii="Arial" w:hAnsi="Arial" w:cs="Arial"/>
        </w:rPr>
        <w:t>5</w:t>
      </w:r>
      <w:r w:rsidR="00D16E72" w:rsidRPr="000061E7">
        <w:rPr>
          <w:rFonts w:ascii="Arial" w:hAnsi="Arial" w:cs="Arial"/>
        </w:rPr>
        <w:t xml:space="preserve"> – </w:t>
      </w:r>
      <w:r w:rsidRPr="000061E7">
        <w:rPr>
          <w:rFonts w:ascii="Arial" w:hAnsi="Arial" w:cs="Arial"/>
        </w:rPr>
        <w:t>consumer products with intentional use of mercury</w:t>
      </w:r>
      <w:bookmarkEnd w:id="8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93"/>
        <w:gridCol w:w="850"/>
        <w:gridCol w:w="851"/>
        <w:gridCol w:w="851"/>
        <w:gridCol w:w="992"/>
        <w:gridCol w:w="992"/>
        <w:gridCol w:w="1099"/>
      </w:tblGrid>
      <w:tr w:rsidR="00D16E72" w:rsidRPr="000061E7" w14:paraId="75B3DA43" w14:textId="77777777" w:rsidTr="00284F82">
        <w:tc>
          <w:tcPr>
            <w:tcW w:w="851" w:type="dxa"/>
            <w:vAlign w:val="center"/>
          </w:tcPr>
          <w:p w14:paraId="6EC04956" w14:textId="77777777" w:rsidR="00D16E72" w:rsidRPr="000061E7" w:rsidRDefault="00D16E72" w:rsidP="00284F82">
            <w:pPr>
              <w:spacing w:before="40" w:after="40" w:line="300" w:lineRule="atLeast"/>
              <w:jc w:val="center"/>
              <w:rPr>
                <w:rFonts w:ascii="Arial" w:hAnsi="Arial" w:cs="Arial"/>
                <w:b/>
                <w:sz w:val="16"/>
                <w:szCs w:val="16"/>
              </w:rPr>
            </w:pPr>
            <w:r w:rsidRPr="000061E7">
              <w:rPr>
                <w:rFonts w:ascii="Arial" w:hAnsi="Arial" w:cs="Arial"/>
                <w:b/>
                <w:sz w:val="16"/>
                <w:szCs w:val="16"/>
              </w:rPr>
              <w:t>Toolkit Chapter</w:t>
            </w:r>
          </w:p>
        </w:tc>
        <w:tc>
          <w:tcPr>
            <w:tcW w:w="2693" w:type="dxa"/>
            <w:vAlign w:val="center"/>
          </w:tcPr>
          <w:p w14:paraId="61CA6692" w14:textId="77777777" w:rsidR="00D16E72" w:rsidRPr="000061E7" w:rsidRDefault="00D16E72" w:rsidP="00284F82">
            <w:pPr>
              <w:spacing w:before="40" w:after="40" w:line="300" w:lineRule="atLeast"/>
              <w:jc w:val="center"/>
              <w:rPr>
                <w:rFonts w:ascii="Arial" w:hAnsi="Arial" w:cs="Arial"/>
                <w:b/>
                <w:sz w:val="16"/>
                <w:szCs w:val="16"/>
              </w:rPr>
            </w:pPr>
            <w:r w:rsidRPr="000061E7">
              <w:rPr>
                <w:rFonts w:ascii="Arial" w:hAnsi="Arial" w:cs="Arial"/>
                <w:b/>
                <w:sz w:val="16"/>
                <w:szCs w:val="16"/>
              </w:rPr>
              <w:t>Sub-category</w:t>
            </w:r>
          </w:p>
        </w:tc>
        <w:tc>
          <w:tcPr>
            <w:tcW w:w="850" w:type="dxa"/>
            <w:vAlign w:val="center"/>
          </w:tcPr>
          <w:p w14:paraId="2CCDD278" w14:textId="77777777" w:rsidR="00D16E72" w:rsidRPr="000061E7" w:rsidRDefault="00D16E72" w:rsidP="00284F82">
            <w:pPr>
              <w:spacing w:before="40" w:after="40" w:line="300" w:lineRule="atLeast"/>
              <w:jc w:val="center"/>
              <w:rPr>
                <w:rFonts w:ascii="Arial" w:hAnsi="Arial" w:cs="Arial"/>
                <w:b/>
                <w:sz w:val="16"/>
                <w:szCs w:val="16"/>
              </w:rPr>
            </w:pPr>
            <w:r w:rsidRPr="000061E7">
              <w:rPr>
                <w:rFonts w:ascii="Arial" w:hAnsi="Arial" w:cs="Arial"/>
                <w:b/>
                <w:sz w:val="16"/>
                <w:szCs w:val="16"/>
              </w:rPr>
              <w:t>Air</w:t>
            </w:r>
          </w:p>
        </w:tc>
        <w:tc>
          <w:tcPr>
            <w:tcW w:w="851" w:type="dxa"/>
            <w:vAlign w:val="center"/>
          </w:tcPr>
          <w:p w14:paraId="6F1020DB" w14:textId="77777777" w:rsidR="00D16E72" w:rsidRPr="000061E7" w:rsidRDefault="00D16E72" w:rsidP="00284F82">
            <w:pPr>
              <w:spacing w:before="40" w:after="40" w:line="300" w:lineRule="atLeast"/>
              <w:jc w:val="center"/>
              <w:rPr>
                <w:rFonts w:ascii="Arial" w:hAnsi="Arial" w:cs="Arial"/>
                <w:b/>
                <w:sz w:val="16"/>
                <w:szCs w:val="16"/>
              </w:rPr>
            </w:pPr>
            <w:r w:rsidRPr="000061E7">
              <w:rPr>
                <w:rFonts w:ascii="Arial" w:hAnsi="Arial" w:cs="Arial"/>
                <w:b/>
                <w:sz w:val="16"/>
                <w:szCs w:val="16"/>
              </w:rPr>
              <w:t>Water</w:t>
            </w:r>
          </w:p>
        </w:tc>
        <w:tc>
          <w:tcPr>
            <w:tcW w:w="851" w:type="dxa"/>
            <w:vAlign w:val="center"/>
          </w:tcPr>
          <w:p w14:paraId="58C9548A" w14:textId="77777777" w:rsidR="00D16E72" w:rsidRPr="000061E7" w:rsidRDefault="00D16E72" w:rsidP="00284F82">
            <w:pPr>
              <w:spacing w:before="40" w:after="40" w:line="300" w:lineRule="atLeast"/>
              <w:jc w:val="center"/>
              <w:rPr>
                <w:rFonts w:ascii="Arial" w:hAnsi="Arial" w:cs="Arial"/>
                <w:b/>
                <w:sz w:val="16"/>
                <w:szCs w:val="16"/>
              </w:rPr>
            </w:pPr>
            <w:r w:rsidRPr="000061E7">
              <w:rPr>
                <w:rFonts w:ascii="Arial" w:hAnsi="Arial" w:cs="Arial"/>
                <w:b/>
                <w:sz w:val="16"/>
                <w:szCs w:val="16"/>
              </w:rPr>
              <w:t>Land</w:t>
            </w:r>
          </w:p>
        </w:tc>
        <w:tc>
          <w:tcPr>
            <w:tcW w:w="992" w:type="dxa"/>
            <w:vAlign w:val="center"/>
          </w:tcPr>
          <w:p w14:paraId="3EBD0A06" w14:textId="77777777" w:rsidR="00D16E72" w:rsidRPr="000061E7" w:rsidRDefault="00D16E72" w:rsidP="00284F82">
            <w:pPr>
              <w:spacing w:before="40" w:after="40" w:line="300" w:lineRule="atLeast"/>
              <w:jc w:val="center"/>
              <w:rPr>
                <w:rFonts w:ascii="Arial" w:hAnsi="Arial" w:cs="Arial"/>
                <w:b/>
                <w:sz w:val="16"/>
                <w:szCs w:val="16"/>
              </w:rPr>
            </w:pPr>
            <w:r w:rsidRPr="000061E7">
              <w:rPr>
                <w:rFonts w:ascii="Arial" w:hAnsi="Arial" w:cs="Arial"/>
                <w:b/>
                <w:sz w:val="16"/>
                <w:szCs w:val="16"/>
              </w:rPr>
              <w:t>Product</w:t>
            </w:r>
          </w:p>
        </w:tc>
        <w:tc>
          <w:tcPr>
            <w:tcW w:w="992" w:type="dxa"/>
            <w:vAlign w:val="center"/>
          </w:tcPr>
          <w:p w14:paraId="7536647D" w14:textId="77777777" w:rsidR="00D16E72" w:rsidRPr="000061E7" w:rsidRDefault="00D16E72" w:rsidP="00284F82">
            <w:pPr>
              <w:spacing w:before="40" w:after="40" w:line="300" w:lineRule="atLeast"/>
              <w:jc w:val="center"/>
              <w:rPr>
                <w:rFonts w:ascii="Arial" w:hAnsi="Arial" w:cs="Arial"/>
                <w:b/>
                <w:sz w:val="16"/>
                <w:szCs w:val="16"/>
              </w:rPr>
            </w:pPr>
            <w:r w:rsidRPr="000061E7">
              <w:rPr>
                <w:rFonts w:ascii="Arial" w:hAnsi="Arial" w:cs="Arial"/>
                <w:b/>
                <w:sz w:val="16"/>
                <w:szCs w:val="16"/>
              </w:rPr>
              <w:t>Waste/ residue</w:t>
            </w:r>
          </w:p>
        </w:tc>
        <w:tc>
          <w:tcPr>
            <w:tcW w:w="1099" w:type="dxa"/>
            <w:vAlign w:val="center"/>
          </w:tcPr>
          <w:p w14:paraId="42BA0738" w14:textId="77777777" w:rsidR="00D16E72" w:rsidRPr="000061E7" w:rsidRDefault="00D16E72" w:rsidP="00284F82">
            <w:pPr>
              <w:spacing w:before="40" w:after="40" w:line="300" w:lineRule="atLeast"/>
              <w:jc w:val="center"/>
              <w:rPr>
                <w:rFonts w:ascii="Arial" w:hAnsi="Arial" w:cs="Arial"/>
                <w:b/>
                <w:sz w:val="16"/>
                <w:szCs w:val="16"/>
              </w:rPr>
            </w:pPr>
            <w:r w:rsidRPr="000061E7">
              <w:rPr>
                <w:rFonts w:ascii="Arial" w:hAnsi="Arial" w:cs="Arial"/>
                <w:b/>
                <w:sz w:val="16"/>
                <w:szCs w:val="16"/>
              </w:rPr>
              <w:t>Main approach</w:t>
            </w:r>
          </w:p>
        </w:tc>
      </w:tr>
      <w:tr w:rsidR="00D16E72" w:rsidRPr="000061E7" w14:paraId="6B81EEDD" w14:textId="77777777" w:rsidTr="00284F82">
        <w:tc>
          <w:tcPr>
            <w:tcW w:w="851" w:type="dxa"/>
            <w:vAlign w:val="center"/>
          </w:tcPr>
          <w:p w14:paraId="0FC94443" w14:textId="77777777" w:rsidR="00D16E72" w:rsidRPr="000061E7" w:rsidRDefault="00D16E72" w:rsidP="00EF225E">
            <w:pPr>
              <w:spacing w:before="40" w:after="40" w:line="300" w:lineRule="atLeast"/>
              <w:rPr>
                <w:rFonts w:ascii="Arial" w:hAnsi="Arial" w:cs="Arial"/>
                <w:sz w:val="16"/>
                <w:szCs w:val="16"/>
              </w:rPr>
            </w:pPr>
            <w:r w:rsidRPr="000061E7">
              <w:rPr>
                <w:rFonts w:ascii="Arial" w:hAnsi="Arial" w:cs="Arial"/>
                <w:sz w:val="16"/>
                <w:szCs w:val="16"/>
              </w:rPr>
              <w:t>5.</w:t>
            </w:r>
            <w:r w:rsidR="00EF225E" w:rsidRPr="000061E7">
              <w:rPr>
                <w:rFonts w:ascii="Arial" w:hAnsi="Arial" w:cs="Arial"/>
                <w:sz w:val="16"/>
                <w:szCs w:val="16"/>
              </w:rPr>
              <w:t>5</w:t>
            </w:r>
            <w:r w:rsidRPr="000061E7">
              <w:rPr>
                <w:rFonts w:ascii="Arial" w:hAnsi="Arial" w:cs="Arial"/>
                <w:sz w:val="16"/>
                <w:szCs w:val="16"/>
              </w:rPr>
              <w:t>.1</w:t>
            </w:r>
          </w:p>
        </w:tc>
        <w:tc>
          <w:tcPr>
            <w:tcW w:w="2693" w:type="dxa"/>
            <w:vAlign w:val="center"/>
          </w:tcPr>
          <w:p w14:paraId="374C8500" w14:textId="77777777" w:rsidR="00D16E72" w:rsidRPr="000061E7" w:rsidRDefault="00EF225E" w:rsidP="00EF225E">
            <w:pPr>
              <w:spacing w:line="300" w:lineRule="atLeast"/>
              <w:rPr>
                <w:rFonts w:ascii="Arial" w:hAnsi="Arial" w:cs="Arial"/>
                <w:sz w:val="16"/>
                <w:szCs w:val="16"/>
              </w:rPr>
            </w:pPr>
            <w:r w:rsidRPr="000061E7">
              <w:rPr>
                <w:rFonts w:ascii="Arial" w:hAnsi="Arial" w:cs="Arial"/>
                <w:sz w:val="16"/>
                <w:szCs w:val="16"/>
              </w:rPr>
              <w:t>Thermometers with m</w:t>
            </w:r>
            <w:r w:rsidR="00D16E72" w:rsidRPr="000061E7">
              <w:rPr>
                <w:rFonts w:ascii="Arial" w:hAnsi="Arial" w:cs="Arial"/>
                <w:sz w:val="16"/>
                <w:szCs w:val="16"/>
              </w:rPr>
              <w:t>ercury</w:t>
            </w:r>
          </w:p>
        </w:tc>
        <w:tc>
          <w:tcPr>
            <w:tcW w:w="850" w:type="dxa"/>
            <w:vAlign w:val="center"/>
          </w:tcPr>
          <w:p w14:paraId="0D970F7E" w14:textId="77777777" w:rsidR="00D16E72" w:rsidRPr="000061E7" w:rsidRDefault="00D16E72" w:rsidP="00284F82">
            <w:pPr>
              <w:spacing w:before="40" w:after="40" w:line="300" w:lineRule="atLeast"/>
              <w:jc w:val="center"/>
              <w:rPr>
                <w:rFonts w:ascii="Arial" w:hAnsi="Arial" w:cs="Arial"/>
                <w:b/>
                <w:sz w:val="16"/>
                <w:szCs w:val="16"/>
              </w:rPr>
            </w:pPr>
            <w:r w:rsidRPr="000061E7">
              <w:rPr>
                <w:rFonts w:ascii="Arial" w:hAnsi="Arial" w:cs="Arial"/>
                <w:b/>
                <w:sz w:val="16"/>
                <w:szCs w:val="16"/>
              </w:rPr>
              <w:t>X</w:t>
            </w:r>
          </w:p>
        </w:tc>
        <w:tc>
          <w:tcPr>
            <w:tcW w:w="851" w:type="dxa"/>
            <w:vAlign w:val="center"/>
          </w:tcPr>
          <w:p w14:paraId="773A1AFA" w14:textId="77777777" w:rsidR="00D16E72" w:rsidRPr="000061E7" w:rsidRDefault="00D16E72" w:rsidP="00284F82">
            <w:pPr>
              <w:spacing w:before="40" w:after="40" w:line="300" w:lineRule="atLeast"/>
              <w:jc w:val="center"/>
              <w:rPr>
                <w:rFonts w:ascii="Arial" w:hAnsi="Arial" w:cs="Arial"/>
                <w:sz w:val="16"/>
                <w:szCs w:val="16"/>
              </w:rPr>
            </w:pPr>
            <w:r w:rsidRPr="000061E7">
              <w:rPr>
                <w:rFonts w:ascii="Arial" w:hAnsi="Arial" w:cs="Arial"/>
                <w:b/>
                <w:sz w:val="16"/>
                <w:szCs w:val="16"/>
              </w:rPr>
              <w:t>X</w:t>
            </w:r>
          </w:p>
        </w:tc>
        <w:tc>
          <w:tcPr>
            <w:tcW w:w="851" w:type="dxa"/>
            <w:vAlign w:val="center"/>
          </w:tcPr>
          <w:p w14:paraId="0B29F098" w14:textId="77777777" w:rsidR="00D16E72" w:rsidRPr="000061E7" w:rsidRDefault="00D16E72" w:rsidP="00284F82">
            <w:pPr>
              <w:spacing w:before="40" w:after="40" w:line="300" w:lineRule="atLeast"/>
              <w:jc w:val="center"/>
              <w:rPr>
                <w:rFonts w:ascii="Arial" w:hAnsi="Arial" w:cs="Arial"/>
                <w:sz w:val="16"/>
                <w:szCs w:val="16"/>
              </w:rPr>
            </w:pPr>
            <w:r w:rsidRPr="000061E7">
              <w:rPr>
                <w:rFonts w:ascii="Arial" w:hAnsi="Arial" w:cs="Arial"/>
                <w:b/>
                <w:sz w:val="16"/>
                <w:szCs w:val="16"/>
              </w:rPr>
              <w:t>X</w:t>
            </w:r>
          </w:p>
        </w:tc>
        <w:tc>
          <w:tcPr>
            <w:tcW w:w="992" w:type="dxa"/>
            <w:vAlign w:val="center"/>
          </w:tcPr>
          <w:p w14:paraId="62FFAFCA" w14:textId="77777777" w:rsidR="00D16E72" w:rsidRPr="000061E7" w:rsidRDefault="00D16E72" w:rsidP="00284F82">
            <w:pPr>
              <w:spacing w:before="40" w:after="40" w:line="300" w:lineRule="atLeast"/>
              <w:jc w:val="center"/>
              <w:rPr>
                <w:rFonts w:ascii="Arial" w:hAnsi="Arial" w:cs="Arial"/>
                <w:sz w:val="16"/>
                <w:szCs w:val="16"/>
              </w:rPr>
            </w:pPr>
            <w:r w:rsidRPr="000061E7">
              <w:rPr>
                <w:rFonts w:ascii="Arial" w:hAnsi="Arial" w:cs="Arial"/>
                <w:b/>
                <w:sz w:val="16"/>
                <w:szCs w:val="16"/>
              </w:rPr>
              <w:t>X</w:t>
            </w:r>
          </w:p>
        </w:tc>
        <w:tc>
          <w:tcPr>
            <w:tcW w:w="992" w:type="dxa"/>
            <w:vAlign w:val="center"/>
          </w:tcPr>
          <w:p w14:paraId="0607B78C" w14:textId="77777777" w:rsidR="00D16E72" w:rsidRPr="000061E7" w:rsidRDefault="00D16E72" w:rsidP="00284F82">
            <w:pPr>
              <w:spacing w:before="40" w:after="40" w:line="300" w:lineRule="atLeast"/>
              <w:jc w:val="center"/>
              <w:rPr>
                <w:rFonts w:ascii="Arial" w:hAnsi="Arial" w:cs="Arial"/>
                <w:b/>
                <w:sz w:val="16"/>
                <w:szCs w:val="16"/>
              </w:rPr>
            </w:pPr>
            <w:r w:rsidRPr="000061E7">
              <w:rPr>
                <w:rFonts w:ascii="Arial" w:hAnsi="Arial" w:cs="Arial"/>
                <w:b/>
                <w:sz w:val="16"/>
                <w:szCs w:val="16"/>
              </w:rPr>
              <w:t>X</w:t>
            </w:r>
          </w:p>
        </w:tc>
        <w:tc>
          <w:tcPr>
            <w:tcW w:w="1099" w:type="dxa"/>
            <w:vAlign w:val="center"/>
          </w:tcPr>
          <w:p w14:paraId="71191D32" w14:textId="77777777" w:rsidR="00D16E72" w:rsidRPr="000061E7" w:rsidRDefault="00EF225E" w:rsidP="00284F82">
            <w:pPr>
              <w:spacing w:before="40" w:after="40" w:line="300" w:lineRule="atLeast"/>
              <w:jc w:val="center"/>
              <w:rPr>
                <w:rFonts w:ascii="Arial" w:hAnsi="Arial" w:cs="Arial"/>
                <w:sz w:val="16"/>
                <w:szCs w:val="16"/>
              </w:rPr>
            </w:pPr>
            <w:r w:rsidRPr="000061E7">
              <w:rPr>
                <w:rFonts w:ascii="Arial" w:hAnsi="Arial" w:cs="Arial"/>
                <w:sz w:val="16"/>
                <w:szCs w:val="16"/>
              </w:rPr>
              <w:t>OW</w:t>
            </w:r>
          </w:p>
        </w:tc>
      </w:tr>
      <w:tr w:rsidR="00D16E72" w:rsidRPr="000061E7" w14:paraId="1EE7FB58" w14:textId="77777777" w:rsidTr="00284F82">
        <w:tc>
          <w:tcPr>
            <w:tcW w:w="851" w:type="dxa"/>
            <w:vAlign w:val="center"/>
          </w:tcPr>
          <w:p w14:paraId="72B57D1B" w14:textId="77777777" w:rsidR="00D16E72" w:rsidRPr="000061E7" w:rsidRDefault="00EF225E" w:rsidP="00284F82">
            <w:pPr>
              <w:spacing w:before="40" w:after="40" w:line="300" w:lineRule="atLeast"/>
              <w:rPr>
                <w:rFonts w:ascii="Arial" w:hAnsi="Arial" w:cs="Arial"/>
                <w:sz w:val="16"/>
                <w:szCs w:val="16"/>
              </w:rPr>
            </w:pPr>
            <w:r w:rsidRPr="000061E7">
              <w:rPr>
                <w:rFonts w:ascii="Arial" w:hAnsi="Arial" w:cs="Arial"/>
                <w:sz w:val="16"/>
                <w:szCs w:val="16"/>
              </w:rPr>
              <w:t>5.5</w:t>
            </w:r>
            <w:r w:rsidR="00D16E72" w:rsidRPr="000061E7">
              <w:rPr>
                <w:rFonts w:ascii="Arial" w:hAnsi="Arial" w:cs="Arial"/>
                <w:sz w:val="16"/>
                <w:szCs w:val="16"/>
              </w:rPr>
              <w:t>.2</w:t>
            </w:r>
          </w:p>
        </w:tc>
        <w:tc>
          <w:tcPr>
            <w:tcW w:w="2693" w:type="dxa"/>
            <w:vAlign w:val="center"/>
          </w:tcPr>
          <w:p w14:paraId="378D7982" w14:textId="77777777" w:rsidR="00D16E72" w:rsidRPr="000061E7" w:rsidRDefault="00EF225E" w:rsidP="00EF225E">
            <w:pPr>
              <w:spacing w:before="40" w:after="40" w:line="300" w:lineRule="atLeast"/>
              <w:rPr>
                <w:rFonts w:ascii="Arial" w:hAnsi="Arial" w:cs="Arial"/>
                <w:sz w:val="16"/>
                <w:szCs w:val="16"/>
              </w:rPr>
            </w:pPr>
            <w:r w:rsidRPr="000061E7">
              <w:rPr>
                <w:rFonts w:ascii="Arial" w:hAnsi="Arial" w:cs="Arial"/>
                <w:sz w:val="16"/>
                <w:szCs w:val="16"/>
              </w:rPr>
              <w:t xml:space="preserve">Electrical switches, contacts and relays with </w:t>
            </w:r>
            <w:r w:rsidR="00D16E72" w:rsidRPr="000061E7">
              <w:rPr>
                <w:rFonts w:ascii="Arial" w:hAnsi="Arial" w:cs="Arial"/>
                <w:sz w:val="16"/>
                <w:szCs w:val="16"/>
              </w:rPr>
              <w:t xml:space="preserve">mercury </w:t>
            </w:r>
          </w:p>
        </w:tc>
        <w:tc>
          <w:tcPr>
            <w:tcW w:w="850" w:type="dxa"/>
            <w:vAlign w:val="center"/>
          </w:tcPr>
          <w:p w14:paraId="497B3E14" w14:textId="77777777" w:rsidR="00D16E72" w:rsidRPr="000061E7" w:rsidRDefault="00D16E72" w:rsidP="00284F82">
            <w:pPr>
              <w:spacing w:before="40" w:after="40" w:line="300" w:lineRule="atLeast"/>
              <w:jc w:val="center"/>
              <w:rPr>
                <w:rFonts w:ascii="Arial" w:hAnsi="Arial" w:cs="Arial"/>
                <w:b/>
                <w:sz w:val="16"/>
                <w:szCs w:val="16"/>
              </w:rPr>
            </w:pPr>
            <w:r w:rsidRPr="000061E7">
              <w:rPr>
                <w:rFonts w:ascii="Arial" w:hAnsi="Arial" w:cs="Arial"/>
                <w:b/>
                <w:sz w:val="16"/>
                <w:szCs w:val="16"/>
              </w:rPr>
              <w:t>X</w:t>
            </w:r>
          </w:p>
        </w:tc>
        <w:tc>
          <w:tcPr>
            <w:tcW w:w="851" w:type="dxa"/>
            <w:vAlign w:val="center"/>
          </w:tcPr>
          <w:p w14:paraId="1809548B" w14:textId="77777777" w:rsidR="00D16E72" w:rsidRPr="000061E7" w:rsidRDefault="00EF225E" w:rsidP="00284F82">
            <w:pPr>
              <w:spacing w:before="40" w:after="40" w:line="300" w:lineRule="atLeast"/>
              <w:jc w:val="center"/>
              <w:rPr>
                <w:rFonts w:ascii="Arial" w:hAnsi="Arial" w:cs="Arial"/>
                <w:sz w:val="16"/>
                <w:szCs w:val="16"/>
              </w:rPr>
            </w:pPr>
            <w:r w:rsidRPr="000061E7">
              <w:rPr>
                <w:rFonts w:ascii="Arial" w:hAnsi="Arial" w:cs="Arial"/>
                <w:sz w:val="16"/>
                <w:szCs w:val="16"/>
              </w:rPr>
              <w:t>x</w:t>
            </w:r>
          </w:p>
        </w:tc>
        <w:tc>
          <w:tcPr>
            <w:tcW w:w="851" w:type="dxa"/>
            <w:vAlign w:val="center"/>
          </w:tcPr>
          <w:p w14:paraId="38FD12B7" w14:textId="77777777" w:rsidR="00D16E72" w:rsidRPr="000061E7" w:rsidRDefault="00D16E72" w:rsidP="00284F82">
            <w:pPr>
              <w:spacing w:before="40" w:after="40" w:line="300" w:lineRule="atLeast"/>
              <w:jc w:val="center"/>
              <w:rPr>
                <w:rFonts w:ascii="Arial" w:hAnsi="Arial" w:cs="Arial"/>
                <w:sz w:val="16"/>
                <w:szCs w:val="16"/>
              </w:rPr>
            </w:pPr>
            <w:r w:rsidRPr="000061E7">
              <w:rPr>
                <w:rFonts w:ascii="Arial" w:hAnsi="Arial" w:cs="Arial"/>
                <w:b/>
                <w:sz w:val="16"/>
                <w:szCs w:val="16"/>
              </w:rPr>
              <w:t>X</w:t>
            </w:r>
          </w:p>
        </w:tc>
        <w:tc>
          <w:tcPr>
            <w:tcW w:w="992" w:type="dxa"/>
            <w:vAlign w:val="center"/>
          </w:tcPr>
          <w:p w14:paraId="5FC3D57D" w14:textId="77777777" w:rsidR="00D16E72" w:rsidRPr="000061E7" w:rsidRDefault="00EF225E" w:rsidP="00284F82">
            <w:pPr>
              <w:spacing w:before="40" w:after="40" w:line="300" w:lineRule="atLeast"/>
              <w:jc w:val="center"/>
              <w:rPr>
                <w:rFonts w:ascii="Arial" w:hAnsi="Arial" w:cs="Arial"/>
                <w:sz w:val="16"/>
                <w:szCs w:val="16"/>
              </w:rPr>
            </w:pPr>
            <w:r w:rsidRPr="000061E7">
              <w:rPr>
                <w:rFonts w:ascii="Arial" w:hAnsi="Arial" w:cs="Arial"/>
                <w:b/>
                <w:sz w:val="16"/>
                <w:szCs w:val="16"/>
              </w:rPr>
              <w:t>X</w:t>
            </w:r>
          </w:p>
        </w:tc>
        <w:tc>
          <w:tcPr>
            <w:tcW w:w="992" w:type="dxa"/>
            <w:vAlign w:val="center"/>
          </w:tcPr>
          <w:p w14:paraId="76E20289" w14:textId="77777777" w:rsidR="00D16E72" w:rsidRPr="000061E7" w:rsidRDefault="00EF225E" w:rsidP="00284F82">
            <w:pPr>
              <w:spacing w:before="40" w:after="40" w:line="300" w:lineRule="atLeast"/>
              <w:jc w:val="center"/>
              <w:rPr>
                <w:rFonts w:ascii="Arial" w:hAnsi="Arial" w:cs="Arial"/>
                <w:sz w:val="16"/>
                <w:szCs w:val="16"/>
              </w:rPr>
            </w:pPr>
            <w:r w:rsidRPr="000061E7">
              <w:rPr>
                <w:rFonts w:ascii="Arial" w:hAnsi="Arial" w:cs="Arial"/>
                <w:b/>
                <w:sz w:val="16"/>
                <w:szCs w:val="16"/>
              </w:rPr>
              <w:t>X</w:t>
            </w:r>
          </w:p>
        </w:tc>
        <w:tc>
          <w:tcPr>
            <w:tcW w:w="1099" w:type="dxa"/>
            <w:vAlign w:val="center"/>
          </w:tcPr>
          <w:p w14:paraId="578831B6" w14:textId="77777777" w:rsidR="00D16E72" w:rsidRPr="000061E7" w:rsidRDefault="00D16E72" w:rsidP="00284F82">
            <w:pPr>
              <w:spacing w:before="40" w:after="40" w:line="300" w:lineRule="atLeast"/>
              <w:jc w:val="center"/>
              <w:rPr>
                <w:rFonts w:ascii="Arial" w:hAnsi="Arial" w:cs="Arial"/>
                <w:sz w:val="16"/>
                <w:szCs w:val="16"/>
              </w:rPr>
            </w:pPr>
            <w:r w:rsidRPr="000061E7">
              <w:rPr>
                <w:rFonts w:ascii="Arial" w:hAnsi="Arial" w:cs="Arial"/>
                <w:sz w:val="16"/>
                <w:szCs w:val="16"/>
              </w:rPr>
              <w:t>OW</w:t>
            </w:r>
          </w:p>
        </w:tc>
      </w:tr>
      <w:tr w:rsidR="00D16E72" w:rsidRPr="000061E7" w14:paraId="522EDBA8" w14:textId="77777777" w:rsidTr="00284F82">
        <w:tc>
          <w:tcPr>
            <w:tcW w:w="851" w:type="dxa"/>
            <w:vAlign w:val="center"/>
          </w:tcPr>
          <w:p w14:paraId="44A22BD8" w14:textId="77777777" w:rsidR="00D16E72" w:rsidRPr="000061E7" w:rsidRDefault="00EF225E" w:rsidP="00284F82">
            <w:pPr>
              <w:spacing w:before="40" w:after="40" w:line="300" w:lineRule="atLeast"/>
              <w:rPr>
                <w:rFonts w:ascii="Arial" w:hAnsi="Arial" w:cs="Arial"/>
                <w:sz w:val="16"/>
                <w:szCs w:val="16"/>
              </w:rPr>
            </w:pPr>
            <w:r w:rsidRPr="000061E7">
              <w:rPr>
                <w:rFonts w:ascii="Arial" w:hAnsi="Arial" w:cs="Arial"/>
                <w:sz w:val="16"/>
                <w:szCs w:val="16"/>
              </w:rPr>
              <w:t>5.5</w:t>
            </w:r>
            <w:r w:rsidR="00D16E72" w:rsidRPr="000061E7">
              <w:rPr>
                <w:rFonts w:ascii="Arial" w:hAnsi="Arial" w:cs="Arial"/>
                <w:sz w:val="16"/>
                <w:szCs w:val="16"/>
              </w:rPr>
              <w:t>.3</w:t>
            </w:r>
          </w:p>
        </w:tc>
        <w:tc>
          <w:tcPr>
            <w:tcW w:w="2693" w:type="dxa"/>
            <w:vAlign w:val="center"/>
          </w:tcPr>
          <w:p w14:paraId="1C78E53F" w14:textId="77777777" w:rsidR="00D16E72" w:rsidRPr="000061E7" w:rsidRDefault="00EF225E" w:rsidP="00284F82">
            <w:pPr>
              <w:spacing w:line="300" w:lineRule="atLeast"/>
              <w:rPr>
                <w:rFonts w:ascii="Arial" w:hAnsi="Arial" w:cs="Arial"/>
                <w:sz w:val="16"/>
                <w:szCs w:val="16"/>
              </w:rPr>
            </w:pPr>
            <w:r w:rsidRPr="000061E7">
              <w:rPr>
                <w:rFonts w:ascii="Arial" w:hAnsi="Arial" w:cs="Arial"/>
                <w:sz w:val="16"/>
                <w:szCs w:val="16"/>
              </w:rPr>
              <w:t>Light sources with mercury</w:t>
            </w:r>
          </w:p>
        </w:tc>
        <w:tc>
          <w:tcPr>
            <w:tcW w:w="850" w:type="dxa"/>
            <w:vAlign w:val="center"/>
          </w:tcPr>
          <w:p w14:paraId="64FF6B51" w14:textId="77777777" w:rsidR="00D16E72" w:rsidRPr="000061E7" w:rsidRDefault="00D16E72" w:rsidP="00284F82">
            <w:pPr>
              <w:spacing w:before="40" w:after="40" w:line="300" w:lineRule="atLeast"/>
              <w:jc w:val="center"/>
              <w:rPr>
                <w:rFonts w:ascii="Arial" w:hAnsi="Arial" w:cs="Arial"/>
                <w:b/>
                <w:sz w:val="16"/>
                <w:szCs w:val="16"/>
              </w:rPr>
            </w:pPr>
            <w:r w:rsidRPr="000061E7">
              <w:rPr>
                <w:rFonts w:ascii="Arial" w:hAnsi="Arial" w:cs="Arial"/>
                <w:b/>
                <w:sz w:val="16"/>
                <w:szCs w:val="16"/>
              </w:rPr>
              <w:t>X</w:t>
            </w:r>
          </w:p>
        </w:tc>
        <w:tc>
          <w:tcPr>
            <w:tcW w:w="851" w:type="dxa"/>
            <w:vAlign w:val="center"/>
          </w:tcPr>
          <w:p w14:paraId="35C4DC91" w14:textId="77777777" w:rsidR="00D16E72" w:rsidRPr="000061E7" w:rsidRDefault="00EF225E" w:rsidP="00284F82">
            <w:pPr>
              <w:spacing w:before="40" w:after="40" w:line="300" w:lineRule="atLeast"/>
              <w:jc w:val="center"/>
              <w:rPr>
                <w:rFonts w:ascii="Arial" w:hAnsi="Arial" w:cs="Arial"/>
                <w:sz w:val="16"/>
                <w:szCs w:val="16"/>
              </w:rPr>
            </w:pPr>
            <w:r w:rsidRPr="000061E7">
              <w:rPr>
                <w:rFonts w:ascii="Arial" w:hAnsi="Arial" w:cs="Arial"/>
                <w:sz w:val="16"/>
                <w:szCs w:val="16"/>
              </w:rPr>
              <w:t>x</w:t>
            </w:r>
          </w:p>
        </w:tc>
        <w:tc>
          <w:tcPr>
            <w:tcW w:w="851" w:type="dxa"/>
            <w:vAlign w:val="center"/>
          </w:tcPr>
          <w:p w14:paraId="5C4E6DDB" w14:textId="77777777" w:rsidR="00D16E72" w:rsidRPr="000061E7" w:rsidRDefault="00D16E72" w:rsidP="00284F82">
            <w:pPr>
              <w:spacing w:before="40" w:after="40" w:line="300" w:lineRule="atLeast"/>
              <w:jc w:val="center"/>
              <w:rPr>
                <w:rFonts w:ascii="Arial" w:hAnsi="Arial" w:cs="Arial"/>
                <w:sz w:val="16"/>
                <w:szCs w:val="16"/>
              </w:rPr>
            </w:pPr>
            <w:r w:rsidRPr="000061E7">
              <w:rPr>
                <w:rFonts w:ascii="Arial" w:hAnsi="Arial" w:cs="Arial"/>
                <w:b/>
                <w:sz w:val="16"/>
                <w:szCs w:val="16"/>
              </w:rPr>
              <w:t>X</w:t>
            </w:r>
          </w:p>
        </w:tc>
        <w:tc>
          <w:tcPr>
            <w:tcW w:w="992" w:type="dxa"/>
            <w:vAlign w:val="center"/>
          </w:tcPr>
          <w:p w14:paraId="47D959D4" w14:textId="77777777" w:rsidR="00D16E72" w:rsidRPr="000061E7" w:rsidRDefault="00D16E72" w:rsidP="00284F82">
            <w:pPr>
              <w:spacing w:before="40" w:after="40" w:line="300" w:lineRule="atLeast"/>
              <w:jc w:val="center"/>
              <w:rPr>
                <w:rFonts w:ascii="Arial" w:hAnsi="Arial" w:cs="Arial"/>
                <w:sz w:val="16"/>
                <w:szCs w:val="16"/>
              </w:rPr>
            </w:pPr>
            <w:r w:rsidRPr="000061E7">
              <w:rPr>
                <w:rFonts w:ascii="Arial" w:hAnsi="Arial" w:cs="Arial"/>
                <w:b/>
                <w:sz w:val="16"/>
                <w:szCs w:val="16"/>
              </w:rPr>
              <w:t>X</w:t>
            </w:r>
          </w:p>
        </w:tc>
        <w:tc>
          <w:tcPr>
            <w:tcW w:w="992" w:type="dxa"/>
            <w:vAlign w:val="center"/>
          </w:tcPr>
          <w:p w14:paraId="7857E9BC" w14:textId="77777777" w:rsidR="00D16E72" w:rsidRPr="000061E7" w:rsidRDefault="00D16E72" w:rsidP="00284F82">
            <w:pPr>
              <w:spacing w:before="40" w:after="40" w:line="300" w:lineRule="atLeast"/>
              <w:jc w:val="center"/>
              <w:rPr>
                <w:rFonts w:ascii="Arial" w:hAnsi="Arial" w:cs="Arial"/>
                <w:sz w:val="16"/>
                <w:szCs w:val="16"/>
              </w:rPr>
            </w:pPr>
            <w:r w:rsidRPr="000061E7">
              <w:rPr>
                <w:rFonts w:ascii="Arial" w:hAnsi="Arial" w:cs="Arial"/>
                <w:b/>
                <w:sz w:val="16"/>
                <w:szCs w:val="16"/>
              </w:rPr>
              <w:t>X</w:t>
            </w:r>
          </w:p>
        </w:tc>
        <w:tc>
          <w:tcPr>
            <w:tcW w:w="1099" w:type="dxa"/>
            <w:vAlign w:val="center"/>
          </w:tcPr>
          <w:p w14:paraId="5FAEDBB0" w14:textId="77777777" w:rsidR="00D16E72" w:rsidRPr="000061E7" w:rsidRDefault="00121BFA" w:rsidP="00284F82">
            <w:pPr>
              <w:spacing w:before="40" w:after="40" w:line="300" w:lineRule="atLeast"/>
              <w:jc w:val="center"/>
              <w:rPr>
                <w:rFonts w:ascii="Arial" w:hAnsi="Arial" w:cs="Arial"/>
                <w:sz w:val="16"/>
                <w:szCs w:val="16"/>
              </w:rPr>
            </w:pPr>
            <w:r w:rsidRPr="000061E7">
              <w:rPr>
                <w:rFonts w:ascii="Arial" w:hAnsi="Arial" w:cs="Arial"/>
                <w:sz w:val="16"/>
                <w:szCs w:val="16"/>
              </w:rPr>
              <w:t>OW</w:t>
            </w:r>
          </w:p>
        </w:tc>
      </w:tr>
      <w:tr w:rsidR="00D16E72" w:rsidRPr="000061E7" w14:paraId="6756CDA5" w14:textId="77777777" w:rsidTr="00284F82">
        <w:tc>
          <w:tcPr>
            <w:tcW w:w="851" w:type="dxa"/>
            <w:vAlign w:val="center"/>
          </w:tcPr>
          <w:p w14:paraId="6AADAB5F" w14:textId="77777777" w:rsidR="00D16E72" w:rsidRPr="000061E7" w:rsidRDefault="00EF225E" w:rsidP="00284F82">
            <w:pPr>
              <w:spacing w:before="40" w:after="40" w:line="300" w:lineRule="atLeast"/>
              <w:rPr>
                <w:rFonts w:ascii="Arial" w:hAnsi="Arial" w:cs="Arial"/>
                <w:sz w:val="16"/>
                <w:szCs w:val="16"/>
              </w:rPr>
            </w:pPr>
            <w:r w:rsidRPr="000061E7">
              <w:rPr>
                <w:rFonts w:ascii="Arial" w:hAnsi="Arial" w:cs="Arial"/>
                <w:sz w:val="16"/>
                <w:szCs w:val="16"/>
              </w:rPr>
              <w:t>5.5</w:t>
            </w:r>
            <w:r w:rsidR="00D16E72" w:rsidRPr="000061E7">
              <w:rPr>
                <w:rFonts w:ascii="Arial" w:hAnsi="Arial" w:cs="Arial"/>
                <w:sz w:val="16"/>
                <w:szCs w:val="16"/>
              </w:rPr>
              <w:t>.4</w:t>
            </w:r>
          </w:p>
        </w:tc>
        <w:tc>
          <w:tcPr>
            <w:tcW w:w="2693" w:type="dxa"/>
            <w:vAlign w:val="center"/>
          </w:tcPr>
          <w:p w14:paraId="23945892" w14:textId="77777777" w:rsidR="00D16E72" w:rsidRPr="000061E7" w:rsidRDefault="00EF225E" w:rsidP="00284F82">
            <w:pPr>
              <w:spacing w:line="300" w:lineRule="atLeast"/>
              <w:rPr>
                <w:rFonts w:ascii="Arial" w:hAnsi="Arial" w:cs="Arial"/>
                <w:sz w:val="16"/>
                <w:szCs w:val="16"/>
              </w:rPr>
            </w:pPr>
            <w:r w:rsidRPr="000061E7">
              <w:rPr>
                <w:rFonts w:ascii="Arial" w:hAnsi="Arial" w:cs="Arial"/>
                <w:sz w:val="16"/>
                <w:szCs w:val="16"/>
              </w:rPr>
              <w:t>Batteries containing mercury</w:t>
            </w:r>
          </w:p>
        </w:tc>
        <w:tc>
          <w:tcPr>
            <w:tcW w:w="850" w:type="dxa"/>
            <w:vAlign w:val="center"/>
          </w:tcPr>
          <w:p w14:paraId="0D169296" w14:textId="77777777" w:rsidR="00D16E72" w:rsidRPr="000061E7" w:rsidRDefault="00D16E72" w:rsidP="00284F82">
            <w:pPr>
              <w:spacing w:before="40" w:after="40" w:line="300" w:lineRule="atLeast"/>
              <w:jc w:val="center"/>
              <w:rPr>
                <w:rFonts w:ascii="Arial" w:hAnsi="Arial" w:cs="Arial"/>
                <w:b/>
                <w:sz w:val="16"/>
                <w:szCs w:val="16"/>
              </w:rPr>
            </w:pPr>
            <w:r w:rsidRPr="000061E7">
              <w:rPr>
                <w:rFonts w:ascii="Arial" w:hAnsi="Arial" w:cs="Arial"/>
                <w:b/>
                <w:sz w:val="16"/>
                <w:szCs w:val="16"/>
              </w:rPr>
              <w:t>X</w:t>
            </w:r>
          </w:p>
        </w:tc>
        <w:tc>
          <w:tcPr>
            <w:tcW w:w="851" w:type="dxa"/>
            <w:vAlign w:val="center"/>
          </w:tcPr>
          <w:p w14:paraId="36024B27" w14:textId="77777777" w:rsidR="00D16E72" w:rsidRPr="000061E7" w:rsidRDefault="00EF225E" w:rsidP="00284F82">
            <w:pPr>
              <w:spacing w:before="40" w:after="40" w:line="300" w:lineRule="atLeast"/>
              <w:jc w:val="center"/>
              <w:rPr>
                <w:rFonts w:ascii="Arial" w:hAnsi="Arial" w:cs="Arial"/>
                <w:sz w:val="16"/>
                <w:szCs w:val="16"/>
              </w:rPr>
            </w:pPr>
            <w:r w:rsidRPr="000061E7">
              <w:rPr>
                <w:rFonts w:ascii="Arial" w:hAnsi="Arial" w:cs="Arial"/>
                <w:sz w:val="16"/>
                <w:szCs w:val="16"/>
              </w:rPr>
              <w:t>x</w:t>
            </w:r>
          </w:p>
        </w:tc>
        <w:tc>
          <w:tcPr>
            <w:tcW w:w="851" w:type="dxa"/>
            <w:vAlign w:val="center"/>
          </w:tcPr>
          <w:p w14:paraId="1109D5A9" w14:textId="77777777" w:rsidR="00D16E72" w:rsidRPr="000061E7" w:rsidRDefault="00D16E72" w:rsidP="00284F82">
            <w:pPr>
              <w:spacing w:before="40" w:after="40" w:line="300" w:lineRule="atLeast"/>
              <w:jc w:val="center"/>
              <w:rPr>
                <w:rFonts w:ascii="Arial" w:hAnsi="Arial" w:cs="Arial"/>
                <w:b/>
                <w:sz w:val="16"/>
                <w:szCs w:val="16"/>
              </w:rPr>
            </w:pPr>
            <w:r w:rsidRPr="000061E7">
              <w:rPr>
                <w:rFonts w:ascii="Arial" w:hAnsi="Arial" w:cs="Arial"/>
                <w:b/>
                <w:sz w:val="16"/>
                <w:szCs w:val="16"/>
              </w:rPr>
              <w:t>X</w:t>
            </w:r>
          </w:p>
        </w:tc>
        <w:tc>
          <w:tcPr>
            <w:tcW w:w="992" w:type="dxa"/>
            <w:vAlign w:val="center"/>
          </w:tcPr>
          <w:p w14:paraId="41567A9A" w14:textId="77777777" w:rsidR="00D16E72" w:rsidRPr="000061E7" w:rsidRDefault="00D16E72" w:rsidP="00284F82">
            <w:pPr>
              <w:spacing w:before="40" w:after="40" w:line="300" w:lineRule="atLeast"/>
              <w:jc w:val="center"/>
              <w:rPr>
                <w:rFonts w:ascii="Arial" w:hAnsi="Arial" w:cs="Arial"/>
                <w:sz w:val="16"/>
                <w:szCs w:val="16"/>
              </w:rPr>
            </w:pPr>
            <w:r w:rsidRPr="000061E7">
              <w:rPr>
                <w:rFonts w:ascii="Arial" w:hAnsi="Arial" w:cs="Arial"/>
                <w:b/>
                <w:sz w:val="16"/>
                <w:szCs w:val="16"/>
              </w:rPr>
              <w:t>X</w:t>
            </w:r>
          </w:p>
        </w:tc>
        <w:tc>
          <w:tcPr>
            <w:tcW w:w="992" w:type="dxa"/>
            <w:vAlign w:val="center"/>
          </w:tcPr>
          <w:p w14:paraId="2DAA475B" w14:textId="77777777" w:rsidR="00D16E72" w:rsidRPr="000061E7" w:rsidRDefault="00D16E72" w:rsidP="00284F82">
            <w:pPr>
              <w:spacing w:before="40" w:after="40" w:line="300" w:lineRule="atLeast"/>
              <w:jc w:val="center"/>
              <w:rPr>
                <w:rFonts w:ascii="Arial" w:hAnsi="Arial" w:cs="Arial"/>
                <w:b/>
                <w:sz w:val="16"/>
                <w:szCs w:val="16"/>
              </w:rPr>
            </w:pPr>
            <w:r w:rsidRPr="000061E7">
              <w:rPr>
                <w:rFonts w:ascii="Arial" w:hAnsi="Arial" w:cs="Arial"/>
                <w:b/>
                <w:sz w:val="16"/>
                <w:szCs w:val="16"/>
              </w:rPr>
              <w:t>X</w:t>
            </w:r>
          </w:p>
        </w:tc>
        <w:tc>
          <w:tcPr>
            <w:tcW w:w="1099" w:type="dxa"/>
            <w:vAlign w:val="center"/>
          </w:tcPr>
          <w:p w14:paraId="788026A0" w14:textId="77777777" w:rsidR="00D16E72" w:rsidRPr="000061E7" w:rsidRDefault="00121BFA" w:rsidP="00284F82">
            <w:pPr>
              <w:spacing w:before="40" w:after="40" w:line="300" w:lineRule="atLeast"/>
              <w:jc w:val="center"/>
              <w:rPr>
                <w:rFonts w:ascii="Arial" w:hAnsi="Arial" w:cs="Arial"/>
                <w:sz w:val="16"/>
                <w:szCs w:val="16"/>
              </w:rPr>
            </w:pPr>
            <w:r w:rsidRPr="000061E7">
              <w:rPr>
                <w:rFonts w:ascii="Arial" w:hAnsi="Arial" w:cs="Arial"/>
                <w:sz w:val="16"/>
                <w:szCs w:val="16"/>
              </w:rPr>
              <w:t>OW</w:t>
            </w:r>
          </w:p>
        </w:tc>
      </w:tr>
      <w:tr w:rsidR="00D16E72" w:rsidRPr="000061E7" w14:paraId="5BBE66E9" w14:textId="77777777" w:rsidTr="00284F82">
        <w:tc>
          <w:tcPr>
            <w:tcW w:w="851" w:type="dxa"/>
            <w:vAlign w:val="center"/>
          </w:tcPr>
          <w:p w14:paraId="081C2729" w14:textId="77777777" w:rsidR="00D16E72" w:rsidRPr="000061E7" w:rsidRDefault="00EF225E" w:rsidP="00284F82">
            <w:pPr>
              <w:spacing w:before="40" w:after="40" w:line="300" w:lineRule="atLeast"/>
              <w:rPr>
                <w:rFonts w:ascii="Arial" w:hAnsi="Arial" w:cs="Arial"/>
                <w:sz w:val="16"/>
                <w:szCs w:val="16"/>
              </w:rPr>
            </w:pPr>
            <w:r w:rsidRPr="000061E7">
              <w:rPr>
                <w:rFonts w:ascii="Arial" w:hAnsi="Arial" w:cs="Arial"/>
                <w:sz w:val="16"/>
                <w:szCs w:val="16"/>
              </w:rPr>
              <w:t>5.5</w:t>
            </w:r>
            <w:r w:rsidR="00D16E72" w:rsidRPr="000061E7">
              <w:rPr>
                <w:rFonts w:ascii="Arial" w:hAnsi="Arial" w:cs="Arial"/>
                <w:sz w:val="16"/>
                <w:szCs w:val="16"/>
              </w:rPr>
              <w:t>.5</w:t>
            </w:r>
          </w:p>
        </w:tc>
        <w:tc>
          <w:tcPr>
            <w:tcW w:w="2693" w:type="dxa"/>
            <w:vAlign w:val="center"/>
          </w:tcPr>
          <w:p w14:paraId="3B16F8CE" w14:textId="77777777" w:rsidR="00D16E72" w:rsidRPr="000061E7" w:rsidRDefault="00EF225E" w:rsidP="00284F82">
            <w:pPr>
              <w:spacing w:line="300" w:lineRule="atLeast"/>
              <w:rPr>
                <w:rFonts w:ascii="Arial" w:hAnsi="Arial" w:cs="Arial"/>
                <w:sz w:val="16"/>
                <w:szCs w:val="16"/>
              </w:rPr>
            </w:pPr>
            <w:r w:rsidRPr="000061E7">
              <w:rPr>
                <w:rFonts w:ascii="Arial" w:hAnsi="Arial" w:cs="Arial"/>
                <w:sz w:val="16"/>
                <w:szCs w:val="16"/>
              </w:rPr>
              <w:t>Polyurethane with mercury catalyst</w:t>
            </w:r>
          </w:p>
        </w:tc>
        <w:tc>
          <w:tcPr>
            <w:tcW w:w="850" w:type="dxa"/>
            <w:vAlign w:val="center"/>
          </w:tcPr>
          <w:p w14:paraId="7B53D76A" w14:textId="77777777" w:rsidR="00D16E72" w:rsidRPr="000061E7" w:rsidRDefault="00D16E72" w:rsidP="00284F82">
            <w:pPr>
              <w:spacing w:before="40" w:after="40" w:line="300" w:lineRule="atLeast"/>
              <w:jc w:val="center"/>
              <w:rPr>
                <w:rFonts w:ascii="Arial" w:hAnsi="Arial" w:cs="Arial"/>
                <w:b/>
                <w:sz w:val="16"/>
                <w:szCs w:val="16"/>
              </w:rPr>
            </w:pPr>
            <w:r w:rsidRPr="000061E7">
              <w:rPr>
                <w:rFonts w:ascii="Arial" w:hAnsi="Arial" w:cs="Arial"/>
                <w:b/>
                <w:sz w:val="16"/>
                <w:szCs w:val="16"/>
              </w:rPr>
              <w:t>X</w:t>
            </w:r>
          </w:p>
        </w:tc>
        <w:tc>
          <w:tcPr>
            <w:tcW w:w="851" w:type="dxa"/>
            <w:vAlign w:val="center"/>
          </w:tcPr>
          <w:p w14:paraId="5A7C02E1" w14:textId="77777777" w:rsidR="00D16E72" w:rsidRPr="000061E7" w:rsidRDefault="00EF225E" w:rsidP="00284F82">
            <w:pPr>
              <w:spacing w:before="40" w:after="40" w:line="300" w:lineRule="atLeast"/>
              <w:jc w:val="center"/>
              <w:rPr>
                <w:rFonts w:ascii="Arial" w:hAnsi="Arial" w:cs="Arial"/>
                <w:sz w:val="16"/>
                <w:szCs w:val="16"/>
              </w:rPr>
            </w:pPr>
            <w:r w:rsidRPr="000061E7">
              <w:rPr>
                <w:rFonts w:ascii="Arial" w:hAnsi="Arial" w:cs="Arial"/>
                <w:sz w:val="16"/>
                <w:szCs w:val="16"/>
              </w:rPr>
              <w:t>x</w:t>
            </w:r>
          </w:p>
        </w:tc>
        <w:tc>
          <w:tcPr>
            <w:tcW w:w="851" w:type="dxa"/>
            <w:vAlign w:val="center"/>
          </w:tcPr>
          <w:p w14:paraId="628757DD" w14:textId="77777777" w:rsidR="00D16E72" w:rsidRPr="000061E7" w:rsidRDefault="00D16E72" w:rsidP="00284F82">
            <w:pPr>
              <w:spacing w:before="40" w:after="40" w:line="300" w:lineRule="atLeast"/>
              <w:jc w:val="center"/>
              <w:rPr>
                <w:rFonts w:ascii="Arial" w:hAnsi="Arial" w:cs="Arial"/>
                <w:sz w:val="16"/>
                <w:szCs w:val="16"/>
              </w:rPr>
            </w:pPr>
            <w:r w:rsidRPr="000061E7">
              <w:rPr>
                <w:rFonts w:ascii="Arial" w:hAnsi="Arial" w:cs="Arial"/>
                <w:b/>
                <w:sz w:val="16"/>
                <w:szCs w:val="16"/>
              </w:rPr>
              <w:t>X</w:t>
            </w:r>
          </w:p>
        </w:tc>
        <w:tc>
          <w:tcPr>
            <w:tcW w:w="992" w:type="dxa"/>
            <w:vAlign w:val="center"/>
          </w:tcPr>
          <w:p w14:paraId="7D42A939" w14:textId="77777777" w:rsidR="00D16E72" w:rsidRPr="000061E7" w:rsidRDefault="00D16E72" w:rsidP="00284F82">
            <w:pPr>
              <w:spacing w:before="40" w:after="40" w:line="300" w:lineRule="atLeast"/>
              <w:jc w:val="center"/>
              <w:rPr>
                <w:rFonts w:ascii="Arial" w:hAnsi="Arial" w:cs="Arial"/>
                <w:sz w:val="16"/>
                <w:szCs w:val="16"/>
              </w:rPr>
            </w:pPr>
            <w:r w:rsidRPr="000061E7">
              <w:rPr>
                <w:rFonts w:ascii="Arial" w:hAnsi="Arial" w:cs="Arial"/>
                <w:b/>
                <w:sz w:val="16"/>
                <w:szCs w:val="16"/>
              </w:rPr>
              <w:t>X</w:t>
            </w:r>
          </w:p>
        </w:tc>
        <w:tc>
          <w:tcPr>
            <w:tcW w:w="992" w:type="dxa"/>
            <w:vAlign w:val="center"/>
          </w:tcPr>
          <w:p w14:paraId="0162FE26" w14:textId="77777777" w:rsidR="00D16E72" w:rsidRPr="000061E7" w:rsidRDefault="00D16E72" w:rsidP="00284F82">
            <w:pPr>
              <w:spacing w:before="40" w:after="40" w:line="300" w:lineRule="atLeast"/>
              <w:jc w:val="center"/>
              <w:rPr>
                <w:rFonts w:ascii="Arial" w:hAnsi="Arial" w:cs="Arial"/>
                <w:sz w:val="16"/>
                <w:szCs w:val="16"/>
              </w:rPr>
            </w:pPr>
            <w:r w:rsidRPr="000061E7">
              <w:rPr>
                <w:rFonts w:ascii="Arial" w:hAnsi="Arial" w:cs="Arial"/>
                <w:b/>
                <w:sz w:val="16"/>
                <w:szCs w:val="16"/>
              </w:rPr>
              <w:t>X</w:t>
            </w:r>
          </w:p>
        </w:tc>
        <w:tc>
          <w:tcPr>
            <w:tcW w:w="1099" w:type="dxa"/>
            <w:vAlign w:val="center"/>
          </w:tcPr>
          <w:p w14:paraId="4DBCB6D2" w14:textId="77777777" w:rsidR="00D16E72" w:rsidRPr="000061E7" w:rsidRDefault="00121BFA" w:rsidP="00284F82">
            <w:pPr>
              <w:spacing w:before="40" w:after="40" w:line="300" w:lineRule="atLeast"/>
              <w:jc w:val="center"/>
              <w:rPr>
                <w:rFonts w:ascii="Arial" w:hAnsi="Arial" w:cs="Arial"/>
                <w:sz w:val="16"/>
                <w:szCs w:val="16"/>
              </w:rPr>
            </w:pPr>
            <w:r w:rsidRPr="000061E7">
              <w:rPr>
                <w:rFonts w:ascii="Arial" w:hAnsi="Arial" w:cs="Arial"/>
                <w:sz w:val="16"/>
                <w:szCs w:val="16"/>
              </w:rPr>
              <w:t>OW</w:t>
            </w:r>
          </w:p>
        </w:tc>
      </w:tr>
      <w:tr w:rsidR="00D16E72" w:rsidRPr="000061E7" w14:paraId="130A2F6D" w14:textId="77777777" w:rsidTr="00284F82">
        <w:tc>
          <w:tcPr>
            <w:tcW w:w="851" w:type="dxa"/>
            <w:vAlign w:val="center"/>
          </w:tcPr>
          <w:p w14:paraId="327EEF08" w14:textId="77777777" w:rsidR="00D16E72" w:rsidRPr="000061E7" w:rsidRDefault="00EF225E" w:rsidP="00284F82">
            <w:pPr>
              <w:spacing w:before="40" w:after="40" w:line="300" w:lineRule="atLeast"/>
              <w:rPr>
                <w:rFonts w:ascii="Arial" w:hAnsi="Arial" w:cs="Arial"/>
                <w:sz w:val="16"/>
                <w:szCs w:val="16"/>
              </w:rPr>
            </w:pPr>
            <w:r w:rsidRPr="000061E7">
              <w:rPr>
                <w:rFonts w:ascii="Arial" w:hAnsi="Arial" w:cs="Arial"/>
                <w:sz w:val="16"/>
                <w:szCs w:val="16"/>
              </w:rPr>
              <w:t>5.5</w:t>
            </w:r>
            <w:r w:rsidR="00D16E72" w:rsidRPr="000061E7">
              <w:rPr>
                <w:rFonts w:ascii="Arial" w:hAnsi="Arial" w:cs="Arial"/>
                <w:sz w:val="16"/>
                <w:szCs w:val="16"/>
              </w:rPr>
              <w:t>.6</w:t>
            </w:r>
          </w:p>
        </w:tc>
        <w:tc>
          <w:tcPr>
            <w:tcW w:w="2693" w:type="dxa"/>
            <w:vAlign w:val="center"/>
          </w:tcPr>
          <w:p w14:paraId="4AA4DF72" w14:textId="77777777" w:rsidR="00D16E72" w:rsidRPr="000061E7" w:rsidRDefault="00EF225E" w:rsidP="00284F82">
            <w:pPr>
              <w:spacing w:before="40" w:after="40" w:line="300" w:lineRule="atLeast"/>
              <w:rPr>
                <w:rFonts w:ascii="Arial" w:hAnsi="Arial" w:cs="Arial"/>
                <w:sz w:val="16"/>
                <w:szCs w:val="16"/>
              </w:rPr>
            </w:pPr>
            <w:r w:rsidRPr="000061E7">
              <w:rPr>
                <w:rFonts w:ascii="Arial" w:hAnsi="Arial" w:cs="Arial"/>
                <w:sz w:val="16"/>
                <w:szCs w:val="16"/>
              </w:rPr>
              <w:t>Biocides and pesticides</w:t>
            </w:r>
          </w:p>
        </w:tc>
        <w:tc>
          <w:tcPr>
            <w:tcW w:w="850" w:type="dxa"/>
            <w:vAlign w:val="center"/>
          </w:tcPr>
          <w:p w14:paraId="321CF494" w14:textId="77777777" w:rsidR="00D16E72" w:rsidRPr="000061E7" w:rsidRDefault="00D16E72" w:rsidP="00284F82">
            <w:pPr>
              <w:spacing w:before="40" w:after="40" w:line="300" w:lineRule="atLeast"/>
              <w:jc w:val="center"/>
              <w:rPr>
                <w:rFonts w:ascii="Arial" w:hAnsi="Arial" w:cs="Arial"/>
                <w:b/>
                <w:sz w:val="16"/>
                <w:szCs w:val="16"/>
              </w:rPr>
            </w:pPr>
            <w:r w:rsidRPr="000061E7">
              <w:rPr>
                <w:rFonts w:ascii="Arial" w:hAnsi="Arial" w:cs="Arial"/>
                <w:b/>
                <w:sz w:val="16"/>
                <w:szCs w:val="16"/>
              </w:rPr>
              <w:t>X</w:t>
            </w:r>
          </w:p>
        </w:tc>
        <w:tc>
          <w:tcPr>
            <w:tcW w:w="851" w:type="dxa"/>
            <w:vAlign w:val="center"/>
          </w:tcPr>
          <w:p w14:paraId="1BDF9547" w14:textId="77777777" w:rsidR="00D16E72" w:rsidRPr="000061E7" w:rsidRDefault="00D16E72" w:rsidP="00284F82">
            <w:pPr>
              <w:spacing w:before="40" w:after="40" w:line="300" w:lineRule="atLeast"/>
              <w:jc w:val="center"/>
              <w:rPr>
                <w:rFonts w:ascii="Arial" w:hAnsi="Arial" w:cs="Arial"/>
                <w:sz w:val="16"/>
                <w:szCs w:val="16"/>
              </w:rPr>
            </w:pPr>
            <w:r w:rsidRPr="000061E7">
              <w:rPr>
                <w:rFonts w:ascii="Arial" w:hAnsi="Arial" w:cs="Arial"/>
                <w:b/>
                <w:sz w:val="16"/>
                <w:szCs w:val="16"/>
              </w:rPr>
              <w:t>X</w:t>
            </w:r>
          </w:p>
        </w:tc>
        <w:tc>
          <w:tcPr>
            <w:tcW w:w="851" w:type="dxa"/>
            <w:vAlign w:val="center"/>
          </w:tcPr>
          <w:p w14:paraId="6B6E9184" w14:textId="77777777" w:rsidR="00D16E72" w:rsidRPr="000061E7" w:rsidRDefault="00D16E72" w:rsidP="00284F82">
            <w:pPr>
              <w:spacing w:before="40" w:after="40" w:line="300" w:lineRule="atLeast"/>
              <w:jc w:val="center"/>
              <w:rPr>
                <w:rFonts w:ascii="Arial" w:hAnsi="Arial" w:cs="Arial"/>
                <w:sz w:val="16"/>
                <w:szCs w:val="16"/>
              </w:rPr>
            </w:pPr>
            <w:r w:rsidRPr="000061E7">
              <w:rPr>
                <w:rFonts w:ascii="Arial" w:hAnsi="Arial" w:cs="Arial"/>
                <w:b/>
                <w:sz w:val="16"/>
                <w:szCs w:val="16"/>
              </w:rPr>
              <w:t>X</w:t>
            </w:r>
          </w:p>
        </w:tc>
        <w:tc>
          <w:tcPr>
            <w:tcW w:w="992" w:type="dxa"/>
            <w:vAlign w:val="center"/>
          </w:tcPr>
          <w:p w14:paraId="0BD17529" w14:textId="77777777" w:rsidR="00D16E72" w:rsidRPr="000061E7" w:rsidRDefault="00D16E72" w:rsidP="00284F82">
            <w:pPr>
              <w:spacing w:before="40" w:after="40" w:line="300" w:lineRule="atLeast"/>
              <w:jc w:val="center"/>
              <w:rPr>
                <w:rFonts w:ascii="Arial" w:hAnsi="Arial" w:cs="Arial"/>
                <w:sz w:val="16"/>
                <w:szCs w:val="16"/>
              </w:rPr>
            </w:pPr>
            <w:r w:rsidRPr="000061E7">
              <w:rPr>
                <w:rFonts w:ascii="Arial" w:hAnsi="Arial" w:cs="Arial"/>
                <w:b/>
                <w:sz w:val="16"/>
                <w:szCs w:val="16"/>
              </w:rPr>
              <w:t>X</w:t>
            </w:r>
          </w:p>
        </w:tc>
        <w:tc>
          <w:tcPr>
            <w:tcW w:w="992" w:type="dxa"/>
            <w:vAlign w:val="center"/>
          </w:tcPr>
          <w:p w14:paraId="7D885146" w14:textId="77777777" w:rsidR="00D16E72" w:rsidRPr="000061E7" w:rsidRDefault="00D16E72" w:rsidP="00284F82">
            <w:pPr>
              <w:spacing w:before="40" w:after="40" w:line="300" w:lineRule="atLeast"/>
              <w:jc w:val="center"/>
              <w:rPr>
                <w:rFonts w:ascii="Arial" w:hAnsi="Arial" w:cs="Arial"/>
                <w:sz w:val="16"/>
                <w:szCs w:val="16"/>
              </w:rPr>
            </w:pPr>
            <w:r w:rsidRPr="000061E7">
              <w:rPr>
                <w:rFonts w:ascii="Arial" w:hAnsi="Arial" w:cs="Arial"/>
                <w:b/>
                <w:sz w:val="16"/>
                <w:szCs w:val="16"/>
              </w:rPr>
              <w:t>X</w:t>
            </w:r>
          </w:p>
        </w:tc>
        <w:tc>
          <w:tcPr>
            <w:tcW w:w="1099" w:type="dxa"/>
            <w:vAlign w:val="center"/>
          </w:tcPr>
          <w:p w14:paraId="71A2F126" w14:textId="77777777" w:rsidR="00D16E72" w:rsidRPr="000061E7" w:rsidRDefault="00121BFA" w:rsidP="00284F82">
            <w:pPr>
              <w:spacing w:before="40" w:after="40" w:line="300" w:lineRule="atLeast"/>
              <w:jc w:val="center"/>
              <w:rPr>
                <w:rFonts w:ascii="Arial" w:hAnsi="Arial" w:cs="Arial"/>
                <w:sz w:val="16"/>
                <w:szCs w:val="16"/>
              </w:rPr>
            </w:pPr>
            <w:r w:rsidRPr="000061E7">
              <w:rPr>
                <w:rFonts w:ascii="Arial" w:hAnsi="Arial" w:cs="Arial"/>
                <w:sz w:val="16"/>
                <w:szCs w:val="16"/>
              </w:rPr>
              <w:t>OW</w:t>
            </w:r>
          </w:p>
        </w:tc>
      </w:tr>
      <w:tr w:rsidR="00D16E72" w:rsidRPr="000061E7" w14:paraId="71371B82" w14:textId="77777777" w:rsidTr="00284F82">
        <w:tc>
          <w:tcPr>
            <w:tcW w:w="851" w:type="dxa"/>
            <w:vAlign w:val="center"/>
          </w:tcPr>
          <w:p w14:paraId="08CA1C60" w14:textId="77777777" w:rsidR="00D16E72" w:rsidRPr="000061E7" w:rsidRDefault="00EF225E" w:rsidP="00284F82">
            <w:pPr>
              <w:spacing w:before="40" w:after="40" w:line="300" w:lineRule="atLeast"/>
              <w:rPr>
                <w:rFonts w:ascii="Arial" w:hAnsi="Arial" w:cs="Arial"/>
                <w:sz w:val="16"/>
                <w:szCs w:val="16"/>
              </w:rPr>
            </w:pPr>
            <w:r w:rsidRPr="000061E7">
              <w:rPr>
                <w:rFonts w:ascii="Arial" w:hAnsi="Arial" w:cs="Arial"/>
                <w:sz w:val="16"/>
                <w:szCs w:val="16"/>
              </w:rPr>
              <w:t>5.5</w:t>
            </w:r>
            <w:r w:rsidR="00D16E72" w:rsidRPr="000061E7">
              <w:rPr>
                <w:rFonts w:ascii="Arial" w:hAnsi="Arial" w:cs="Arial"/>
                <w:sz w:val="16"/>
                <w:szCs w:val="16"/>
              </w:rPr>
              <w:t>.7</w:t>
            </w:r>
          </w:p>
        </w:tc>
        <w:tc>
          <w:tcPr>
            <w:tcW w:w="2693" w:type="dxa"/>
            <w:vAlign w:val="center"/>
          </w:tcPr>
          <w:p w14:paraId="4CAF560E" w14:textId="77777777" w:rsidR="00D16E72" w:rsidRPr="000061E7" w:rsidRDefault="00EF225E" w:rsidP="00284F82">
            <w:pPr>
              <w:spacing w:before="40" w:after="40" w:line="300" w:lineRule="atLeast"/>
              <w:rPr>
                <w:rFonts w:ascii="Arial" w:hAnsi="Arial" w:cs="Arial"/>
                <w:sz w:val="16"/>
                <w:szCs w:val="16"/>
              </w:rPr>
            </w:pPr>
            <w:r w:rsidRPr="000061E7">
              <w:rPr>
                <w:rFonts w:ascii="Arial" w:hAnsi="Arial" w:cs="Arial"/>
                <w:sz w:val="16"/>
                <w:szCs w:val="16"/>
              </w:rPr>
              <w:t>Paints</w:t>
            </w:r>
          </w:p>
        </w:tc>
        <w:tc>
          <w:tcPr>
            <w:tcW w:w="850" w:type="dxa"/>
            <w:vAlign w:val="center"/>
          </w:tcPr>
          <w:p w14:paraId="7D85465A" w14:textId="77777777" w:rsidR="00D16E72" w:rsidRPr="000061E7" w:rsidRDefault="00D16E72" w:rsidP="00284F82">
            <w:pPr>
              <w:spacing w:before="40" w:after="40" w:line="300" w:lineRule="atLeast"/>
              <w:jc w:val="center"/>
              <w:rPr>
                <w:rFonts w:ascii="Arial" w:hAnsi="Arial" w:cs="Arial"/>
                <w:b/>
                <w:sz w:val="16"/>
                <w:szCs w:val="16"/>
              </w:rPr>
            </w:pPr>
            <w:r w:rsidRPr="000061E7">
              <w:rPr>
                <w:rFonts w:ascii="Arial" w:hAnsi="Arial" w:cs="Arial"/>
                <w:b/>
                <w:sz w:val="16"/>
                <w:szCs w:val="16"/>
              </w:rPr>
              <w:t>X</w:t>
            </w:r>
          </w:p>
        </w:tc>
        <w:tc>
          <w:tcPr>
            <w:tcW w:w="851" w:type="dxa"/>
            <w:vAlign w:val="center"/>
          </w:tcPr>
          <w:p w14:paraId="7CE8E0C7" w14:textId="77777777" w:rsidR="00D16E72" w:rsidRPr="000061E7" w:rsidRDefault="00EF225E" w:rsidP="00284F82">
            <w:pPr>
              <w:spacing w:before="40" w:after="40" w:line="300" w:lineRule="atLeast"/>
              <w:jc w:val="center"/>
              <w:rPr>
                <w:rFonts w:ascii="Arial" w:hAnsi="Arial" w:cs="Arial"/>
                <w:sz w:val="16"/>
                <w:szCs w:val="16"/>
              </w:rPr>
            </w:pPr>
            <w:r w:rsidRPr="000061E7">
              <w:rPr>
                <w:rFonts w:ascii="Arial" w:hAnsi="Arial" w:cs="Arial"/>
                <w:sz w:val="16"/>
                <w:szCs w:val="16"/>
              </w:rPr>
              <w:t>x</w:t>
            </w:r>
          </w:p>
        </w:tc>
        <w:tc>
          <w:tcPr>
            <w:tcW w:w="851" w:type="dxa"/>
            <w:vAlign w:val="center"/>
          </w:tcPr>
          <w:p w14:paraId="0D043CB0" w14:textId="77777777" w:rsidR="00D16E72" w:rsidRPr="000061E7" w:rsidRDefault="00D16E72" w:rsidP="00284F82">
            <w:pPr>
              <w:spacing w:before="40" w:after="40" w:line="300" w:lineRule="atLeast"/>
              <w:jc w:val="center"/>
              <w:rPr>
                <w:rFonts w:ascii="Arial" w:hAnsi="Arial" w:cs="Arial"/>
                <w:sz w:val="16"/>
                <w:szCs w:val="16"/>
              </w:rPr>
            </w:pPr>
            <w:r w:rsidRPr="000061E7">
              <w:rPr>
                <w:rFonts w:ascii="Arial" w:hAnsi="Arial" w:cs="Arial"/>
                <w:sz w:val="16"/>
                <w:szCs w:val="16"/>
              </w:rPr>
              <w:t>x</w:t>
            </w:r>
          </w:p>
        </w:tc>
        <w:tc>
          <w:tcPr>
            <w:tcW w:w="992" w:type="dxa"/>
            <w:vAlign w:val="center"/>
          </w:tcPr>
          <w:p w14:paraId="7698F24B" w14:textId="77777777" w:rsidR="00D16E72" w:rsidRPr="000061E7" w:rsidRDefault="00EF225E" w:rsidP="00284F82">
            <w:pPr>
              <w:spacing w:before="40" w:after="40" w:line="300" w:lineRule="atLeast"/>
              <w:jc w:val="center"/>
              <w:rPr>
                <w:rFonts w:ascii="Arial" w:hAnsi="Arial" w:cs="Arial"/>
                <w:sz w:val="16"/>
                <w:szCs w:val="16"/>
              </w:rPr>
            </w:pPr>
            <w:r w:rsidRPr="000061E7">
              <w:rPr>
                <w:rFonts w:ascii="Arial" w:hAnsi="Arial" w:cs="Arial"/>
                <w:b/>
                <w:sz w:val="16"/>
                <w:szCs w:val="16"/>
              </w:rPr>
              <w:t>X</w:t>
            </w:r>
          </w:p>
        </w:tc>
        <w:tc>
          <w:tcPr>
            <w:tcW w:w="992" w:type="dxa"/>
            <w:vAlign w:val="center"/>
          </w:tcPr>
          <w:p w14:paraId="64941696" w14:textId="77777777" w:rsidR="00D16E72" w:rsidRPr="000061E7" w:rsidRDefault="00EF225E" w:rsidP="00284F82">
            <w:pPr>
              <w:spacing w:before="40" w:after="40" w:line="300" w:lineRule="atLeast"/>
              <w:jc w:val="center"/>
              <w:rPr>
                <w:rFonts w:ascii="Arial" w:hAnsi="Arial" w:cs="Arial"/>
                <w:sz w:val="16"/>
                <w:szCs w:val="16"/>
              </w:rPr>
            </w:pPr>
            <w:r w:rsidRPr="000061E7">
              <w:rPr>
                <w:rFonts w:ascii="Arial" w:hAnsi="Arial" w:cs="Arial"/>
                <w:sz w:val="16"/>
                <w:szCs w:val="16"/>
              </w:rPr>
              <w:t>x</w:t>
            </w:r>
          </w:p>
        </w:tc>
        <w:tc>
          <w:tcPr>
            <w:tcW w:w="1099" w:type="dxa"/>
            <w:vAlign w:val="center"/>
          </w:tcPr>
          <w:p w14:paraId="203375B3" w14:textId="77777777" w:rsidR="00D16E72" w:rsidRPr="000061E7" w:rsidRDefault="00121BFA" w:rsidP="00284F82">
            <w:pPr>
              <w:spacing w:before="40" w:after="40" w:line="300" w:lineRule="atLeast"/>
              <w:jc w:val="center"/>
              <w:rPr>
                <w:rFonts w:ascii="Arial" w:hAnsi="Arial" w:cs="Arial"/>
                <w:sz w:val="16"/>
                <w:szCs w:val="16"/>
              </w:rPr>
            </w:pPr>
            <w:r w:rsidRPr="000061E7">
              <w:rPr>
                <w:rFonts w:ascii="Arial" w:hAnsi="Arial" w:cs="Arial"/>
                <w:sz w:val="16"/>
                <w:szCs w:val="16"/>
              </w:rPr>
              <w:t>OW</w:t>
            </w:r>
          </w:p>
        </w:tc>
      </w:tr>
      <w:tr w:rsidR="00D16E72" w:rsidRPr="000061E7" w14:paraId="6E50F069" w14:textId="77777777" w:rsidTr="00284F82">
        <w:tc>
          <w:tcPr>
            <w:tcW w:w="851" w:type="dxa"/>
            <w:vAlign w:val="center"/>
          </w:tcPr>
          <w:p w14:paraId="6A272F01" w14:textId="77777777" w:rsidR="00D16E72" w:rsidRPr="000061E7" w:rsidRDefault="00EF225E" w:rsidP="00284F82">
            <w:pPr>
              <w:spacing w:before="40" w:after="40" w:line="300" w:lineRule="atLeast"/>
              <w:rPr>
                <w:rFonts w:ascii="Arial" w:hAnsi="Arial" w:cs="Arial"/>
                <w:sz w:val="16"/>
                <w:szCs w:val="16"/>
              </w:rPr>
            </w:pPr>
            <w:r w:rsidRPr="000061E7">
              <w:rPr>
                <w:rFonts w:ascii="Arial" w:hAnsi="Arial" w:cs="Arial"/>
                <w:sz w:val="16"/>
                <w:szCs w:val="16"/>
              </w:rPr>
              <w:t>5.5</w:t>
            </w:r>
            <w:r w:rsidR="00D16E72" w:rsidRPr="000061E7">
              <w:rPr>
                <w:rFonts w:ascii="Arial" w:hAnsi="Arial" w:cs="Arial"/>
                <w:sz w:val="16"/>
                <w:szCs w:val="16"/>
              </w:rPr>
              <w:t>.8</w:t>
            </w:r>
          </w:p>
        </w:tc>
        <w:tc>
          <w:tcPr>
            <w:tcW w:w="2693" w:type="dxa"/>
            <w:vAlign w:val="center"/>
          </w:tcPr>
          <w:p w14:paraId="7C431F0A" w14:textId="77777777" w:rsidR="00D16E72" w:rsidRPr="000061E7" w:rsidRDefault="00EF225E" w:rsidP="00EF225E">
            <w:pPr>
              <w:spacing w:before="40" w:after="40" w:line="300" w:lineRule="atLeast"/>
              <w:rPr>
                <w:rFonts w:ascii="Arial" w:hAnsi="Arial" w:cs="Arial"/>
                <w:sz w:val="16"/>
                <w:szCs w:val="16"/>
              </w:rPr>
            </w:pPr>
            <w:r w:rsidRPr="000061E7">
              <w:rPr>
                <w:rFonts w:ascii="Arial" w:hAnsi="Arial" w:cs="Arial"/>
                <w:sz w:val="16"/>
                <w:szCs w:val="16"/>
              </w:rPr>
              <w:t>Pharmaceuticals for human and veterinary uses</w:t>
            </w:r>
          </w:p>
        </w:tc>
        <w:tc>
          <w:tcPr>
            <w:tcW w:w="850" w:type="dxa"/>
            <w:vAlign w:val="center"/>
          </w:tcPr>
          <w:p w14:paraId="360AAF21" w14:textId="77777777" w:rsidR="00D16E72" w:rsidRPr="000061E7" w:rsidRDefault="00D16E72" w:rsidP="00284F82">
            <w:pPr>
              <w:spacing w:before="40" w:after="40" w:line="300" w:lineRule="atLeast"/>
              <w:jc w:val="center"/>
              <w:rPr>
                <w:rFonts w:ascii="Arial" w:hAnsi="Arial" w:cs="Arial"/>
                <w:b/>
                <w:sz w:val="16"/>
                <w:szCs w:val="16"/>
              </w:rPr>
            </w:pPr>
            <w:r w:rsidRPr="000061E7">
              <w:rPr>
                <w:rFonts w:ascii="Arial" w:hAnsi="Arial" w:cs="Arial"/>
                <w:b/>
                <w:sz w:val="16"/>
                <w:szCs w:val="16"/>
              </w:rPr>
              <w:t>X</w:t>
            </w:r>
          </w:p>
        </w:tc>
        <w:tc>
          <w:tcPr>
            <w:tcW w:w="851" w:type="dxa"/>
            <w:vAlign w:val="center"/>
          </w:tcPr>
          <w:p w14:paraId="52ED5F6D" w14:textId="77777777" w:rsidR="00D16E72" w:rsidRPr="000061E7" w:rsidRDefault="00EF225E" w:rsidP="00284F82">
            <w:pPr>
              <w:spacing w:before="40" w:after="40" w:line="300" w:lineRule="atLeast"/>
              <w:jc w:val="center"/>
              <w:rPr>
                <w:rFonts w:ascii="Arial" w:hAnsi="Arial" w:cs="Arial"/>
                <w:sz w:val="16"/>
                <w:szCs w:val="16"/>
              </w:rPr>
            </w:pPr>
            <w:r w:rsidRPr="000061E7">
              <w:rPr>
                <w:rFonts w:ascii="Arial" w:hAnsi="Arial" w:cs="Arial"/>
                <w:sz w:val="16"/>
                <w:szCs w:val="16"/>
              </w:rPr>
              <w:t>x</w:t>
            </w:r>
          </w:p>
        </w:tc>
        <w:tc>
          <w:tcPr>
            <w:tcW w:w="851" w:type="dxa"/>
            <w:vAlign w:val="center"/>
          </w:tcPr>
          <w:p w14:paraId="7772BBA6" w14:textId="77777777" w:rsidR="00D16E72" w:rsidRPr="000061E7" w:rsidRDefault="00EF225E" w:rsidP="00284F82">
            <w:pPr>
              <w:spacing w:before="40" w:after="40" w:line="300" w:lineRule="atLeast"/>
              <w:jc w:val="center"/>
              <w:rPr>
                <w:rFonts w:ascii="Arial" w:hAnsi="Arial" w:cs="Arial"/>
                <w:sz w:val="16"/>
                <w:szCs w:val="16"/>
              </w:rPr>
            </w:pPr>
            <w:r w:rsidRPr="000061E7">
              <w:rPr>
                <w:rFonts w:ascii="Arial" w:hAnsi="Arial" w:cs="Arial"/>
                <w:sz w:val="16"/>
                <w:szCs w:val="16"/>
              </w:rPr>
              <w:t>x</w:t>
            </w:r>
          </w:p>
        </w:tc>
        <w:tc>
          <w:tcPr>
            <w:tcW w:w="992" w:type="dxa"/>
            <w:vAlign w:val="center"/>
          </w:tcPr>
          <w:p w14:paraId="0795D475" w14:textId="77777777" w:rsidR="00D16E72" w:rsidRPr="000061E7" w:rsidRDefault="00EF225E" w:rsidP="00284F82">
            <w:pPr>
              <w:spacing w:before="40" w:after="40" w:line="300" w:lineRule="atLeast"/>
              <w:jc w:val="center"/>
              <w:rPr>
                <w:rFonts w:ascii="Arial" w:hAnsi="Arial" w:cs="Arial"/>
                <w:sz w:val="16"/>
                <w:szCs w:val="16"/>
              </w:rPr>
            </w:pPr>
            <w:r w:rsidRPr="000061E7">
              <w:rPr>
                <w:rFonts w:ascii="Arial" w:hAnsi="Arial" w:cs="Arial"/>
                <w:sz w:val="16"/>
                <w:szCs w:val="16"/>
              </w:rPr>
              <w:t>x</w:t>
            </w:r>
          </w:p>
        </w:tc>
        <w:tc>
          <w:tcPr>
            <w:tcW w:w="992" w:type="dxa"/>
            <w:vAlign w:val="center"/>
          </w:tcPr>
          <w:p w14:paraId="1A043771" w14:textId="77777777" w:rsidR="00D16E72" w:rsidRPr="000061E7" w:rsidRDefault="00D16E72" w:rsidP="00284F82">
            <w:pPr>
              <w:spacing w:before="40" w:after="40" w:line="300" w:lineRule="atLeast"/>
              <w:jc w:val="center"/>
              <w:rPr>
                <w:rFonts w:ascii="Arial" w:hAnsi="Arial" w:cs="Arial"/>
                <w:sz w:val="16"/>
                <w:szCs w:val="16"/>
              </w:rPr>
            </w:pPr>
            <w:r w:rsidRPr="000061E7">
              <w:rPr>
                <w:rFonts w:ascii="Arial" w:hAnsi="Arial" w:cs="Arial"/>
                <w:b/>
                <w:sz w:val="16"/>
                <w:szCs w:val="16"/>
              </w:rPr>
              <w:t>X</w:t>
            </w:r>
          </w:p>
        </w:tc>
        <w:tc>
          <w:tcPr>
            <w:tcW w:w="1099" w:type="dxa"/>
            <w:vAlign w:val="center"/>
          </w:tcPr>
          <w:p w14:paraId="2ECFA09A" w14:textId="77777777" w:rsidR="00D16E72" w:rsidRPr="000061E7" w:rsidRDefault="00121BFA" w:rsidP="00284F82">
            <w:pPr>
              <w:spacing w:before="40" w:after="40" w:line="300" w:lineRule="atLeast"/>
              <w:jc w:val="center"/>
              <w:rPr>
                <w:rFonts w:ascii="Arial" w:hAnsi="Arial" w:cs="Arial"/>
                <w:sz w:val="16"/>
                <w:szCs w:val="16"/>
              </w:rPr>
            </w:pPr>
            <w:r w:rsidRPr="000061E7">
              <w:rPr>
                <w:rFonts w:ascii="Arial" w:hAnsi="Arial" w:cs="Arial"/>
                <w:sz w:val="16"/>
                <w:szCs w:val="16"/>
              </w:rPr>
              <w:t>OW</w:t>
            </w:r>
          </w:p>
        </w:tc>
      </w:tr>
      <w:tr w:rsidR="00D16E72" w:rsidRPr="000061E7" w14:paraId="08D2A74F" w14:textId="77777777" w:rsidTr="00284F82">
        <w:tc>
          <w:tcPr>
            <w:tcW w:w="851" w:type="dxa"/>
            <w:vAlign w:val="center"/>
          </w:tcPr>
          <w:p w14:paraId="3223DC63" w14:textId="77777777" w:rsidR="00D16E72" w:rsidRPr="000061E7" w:rsidRDefault="00EF225E" w:rsidP="00284F82">
            <w:pPr>
              <w:spacing w:before="40" w:after="40" w:line="300" w:lineRule="atLeast"/>
              <w:rPr>
                <w:rFonts w:ascii="Arial" w:hAnsi="Arial" w:cs="Arial"/>
                <w:sz w:val="16"/>
                <w:szCs w:val="16"/>
              </w:rPr>
            </w:pPr>
            <w:r w:rsidRPr="000061E7">
              <w:rPr>
                <w:rFonts w:ascii="Arial" w:hAnsi="Arial" w:cs="Arial"/>
                <w:sz w:val="16"/>
                <w:szCs w:val="16"/>
              </w:rPr>
              <w:t>5.5</w:t>
            </w:r>
            <w:r w:rsidR="00D16E72" w:rsidRPr="000061E7">
              <w:rPr>
                <w:rFonts w:ascii="Arial" w:hAnsi="Arial" w:cs="Arial"/>
                <w:sz w:val="16"/>
                <w:szCs w:val="16"/>
              </w:rPr>
              <w:t>.9</w:t>
            </w:r>
          </w:p>
        </w:tc>
        <w:tc>
          <w:tcPr>
            <w:tcW w:w="2693" w:type="dxa"/>
            <w:vAlign w:val="center"/>
          </w:tcPr>
          <w:p w14:paraId="24CA9FB4" w14:textId="77777777" w:rsidR="00D16E72" w:rsidRPr="000061E7" w:rsidRDefault="00EF225E" w:rsidP="00284F82">
            <w:pPr>
              <w:spacing w:before="40" w:after="40" w:line="300" w:lineRule="atLeast"/>
              <w:rPr>
                <w:rFonts w:ascii="Arial" w:hAnsi="Arial" w:cs="Arial"/>
                <w:sz w:val="16"/>
                <w:szCs w:val="16"/>
              </w:rPr>
            </w:pPr>
            <w:r w:rsidRPr="000061E7">
              <w:rPr>
                <w:rFonts w:ascii="Arial" w:hAnsi="Arial" w:cs="Arial"/>
                <w:sz w:val="16"/>
                <w:szCs w:val="16"/>
              </w:rPr>
              <w:t>Cosmetics and related products</w:t>
            </w:r>
          </w:p>
        </w:tc>
        <w:tc>
          <w:tcPr>
            <w:tcW w:w="850" w:type="dxa"/>
            <w:vAlign w:val="center"/>
          </w:tcPr>
          <w:p w14:paraId="0C5D78C9" w14:textId="77777777" w:rsidR="00D16E72" w:rsidRPr="000061E7" w:rsidRDefault="00D16E72" w:rsidP="00284F82">
            <w:pPr>
              <w:spacing w:before="40" w:after="40" w:line="300" w:lineRule="atLeast"/>
              <w:jc w:val="center"/>
              <w:rPr>
                <w:rFonts w:ascii="Arial" w:hAnsi="Arial" w:cs="Arial"/>
                <w:b/>
                <w:sz w:val="16"/>
                <w:szCs w:val="16"/>
              </w:rPr>
            </w:pPr>
          </w:p>
        </w:tc>
        <w:tc>
          <w:tcPr>
            <w:tcW w:w="851" w:type="dxa"/>
            <w:vAlign w:val="center"/>
          </w:tcPr>
          <w:p w14:paraId="78EF79ED" w14:textId="77777777" w:rsidR="00D16E72" w:rsidRPr="000061E7" w:rsidRDefault="00EF225E" w:rsidP="00284F82">
            <w:pPr>
              <w:spacing w:before="40" w:after="40" w:line="300" w:lineRule="atLeast"/>
              <w:jc w:val="center"/>
              <w:rPr>
                <w:rFonts w:ascii="Arial" w:hAnsi="Arial" w:cs="Arial"/>
                <w:sz w:val="16"/>
                <w:szCs w:val="16"/>
              </w:rPr>
            </w:pPr>
            <w:r w:rsidRPr="000061E7">
              <w:rPr>
                <w:rFonts w:ascii="Arial" w:hAnsi="Arial" w:cs="Arial"/>
                <w:b/>
                <w:sz w:val="16"/>
                <w:szCs w:val="16"/>
              </w:rPr>
              <w:t>X</w:t>
            </w:r>
          </w:p>
        </w:tc>
        <w:tc>
          <w:tcPr>
            <w:tcW w:w="851" w:type="dxa"/>
            <w:vAlign w:val="center"/>
          </w:tcPr>
          <w:p w14:paraId="1625812C" w14:textId="77777777" w:rsidR="00D16E72" w:rsidRPr="000061E7" w:rsidRDefault="00D16E72" w:rsidP="00284F82">
            <w:pPr>
              <w:spacing w:before="40" w:after="40" w:line="300" w:lineRule="atLeast"/>
              <w:jc w:val="center"/>
              <w:rPr>
                <w:rFonts w:ascii="Arial" w:hAnsi="Arial" w:cs="Arial"/>
                <w:sz w:val="16"/>
                <w:szCs w:val="16"/>
              </w:rPr>
            </w:pPr>
          </w:p>
        </w:tc>
        <w:tc>
          <w:tcPr>
            <w:tcW w:w="992" w:type="dxa"/>
            <w:vAlign w:val="center"/>
          </w:tcPr>
          <w:p w14:paraId="37D92311" w14:textId="77777777" w:rsidR="00D16E72" w:rsidRPr="000061E7" w:rsidRDefault="00EF225E" w:rsidP="00284F82">
            <w:pPr>
              <w:spacing w:before="40" w:after="40" w:line="300" w:lineRule="atLeast"/>
              <w:jc w:val="center"/>
              <w:rPr>
                <w:rFonts w:ascii="Arial" w:hAnsi="Arial" w:cs="Arial"/>
                <w:sz w:val="16"/>
                <w:szCs w:val="16"/>
              </w:rPr>
            </w:pPr>
            <w:r w:rsidRPr="000061E7">
              <w:rPr>
                <w:rFonts w:ascii="Arial" w:hAnsi="Arial" w:cs="Arial"/>
                <w:b/>
                <w:sz w:val="16"/>
                <w:szCs w:val="16"/>
              </w:rPr>
              <w:t>X</w:t>
            </w:r>
          </w:p>
        </w:tc>
        <w:tc>
          <w:tcPr>
            <w:tcW w:w="992" w:type="dxa"/>
            <w:vAlign w:val="center"/>
          </w:tcPr>
          <w:p w14:paraId="202311DA" w14:textId="77777777" w:rsidR="00D16E72" w:rsidRPr="000061E7" w:rsidRDefault="00D16E72" w:rsidP="00284F82">
            <w:pPr>
              <w:spacing w:before="40" w:after="40" w:line="300" w:lineRule="atLeast"/>
              <w:jc w:val="center"/>
              <w:rPr>
                <w:rFonts w:ascii="Arial" w:hAnsi="Arial" w:cs="Arial"/>
                <w:sz w:val="16"/>
                <w:szCs w:val="16"/>
              </w:rPr>
            </w:pPr>
            <w:r w:rsidRPr="000061E7">
              <w:rPr>
                <w:rFonts w:ascii="Arial" w:hAnsi="Arial" w:cs="Arial"/>
                <w:sz w:val="16"/>
                <w:szCs w:val="16"/>
              </w:rPr>
              <w:t>x</w:t>
            </w:r>
          </w:p>
        </w:tc>
        <w:tc>
          <w:tcPr>
            <w:tcW w:w="1099" w:type="dxa"/>
            <w:vAlign w:val="center"/>
          </w:tcPr>
          <w:p w14:paraId="7C70A764" w14:textId="77777777" w:rsidR="00D16E72" w:rsidRPr="000061E7" w:rsidRDefault="00121BFA" w:rsidP="00284F82">
            <w:pPr>
              <w:spacing w:before="40" w:after="40" w:line="300" w:lineRule="atLeast"/>
              <w:jc w:val="center"/>
              <w:rPr>
                <w:rFonts w:ascii="Arial" w:hAnsi="Arial" w:cs="Arial"/>
                <w:sz w:val="16"/>
                <w:szCs w:val="16"/>
              </w:rPr>
            </w:pPr>
            <w:r w:rsidRPr="000061E7">
              <w:rPr>
                <w:rFonts w:ascii="Arial" w:hAnsi="Arial" w:cs="Arial"/>
                <w:sz w:val="16"/>
                <w:szCs w:val="16"/>
              </w:rPr>
              <w:t>OW</w:t>
            </w:r>
          </w:p>
        </w:tc>
      </w:tr>
    </w:tbl>
    <w:p w14:paraId="14693E78" w14:textId="77777777" w:rsidR="00D16E72" w:rsidRPr="000061E7" w:rsidRDefault="00D16E72" w:rsidP="00D16E72">
      <w:pPr>
        <w:spacing w:before="60" w:after="60" w:line="260" w:lineRule="exact"/>
        <w:jc w:val="both"/>
        <w:rPr>
          <w:rFonts w:ascii="Arial" w:hAnsi="Arial" w:cs="Arial"/>
          <w:sz w:val="16"/>
          <w:szCs w:val="18"/>
        </w:rPr>
      </w:pPr>
      <w:r w:rsidRPr="000061E7">
        <w:rPr>
          <w:rFonts w:ascii="Arial" w:hAnsi="Arial" w:cs="Arial"/>
          <w:sz w:val="16"/>
          <w:szCs w:val="18"/>
        </w:rPr>
        <w:t xml:space="preserve">Notes: </w:t>
      </w:r>
      <w:r w:rsidRPr="000061E7">
        <w:rPr>
          <w:rFonts w:ascii="Arial" w:hAnsi="Arial" w:cs="Arial"/>
          <w:sz w:val="16"/>
          <w:szCs w:val="18"/>
        </w:rPr>
        <w:tab/>
        <w:t>OW = National/overview approach;</w:t>
      </w:r>
    </w:p>
    <w:p w14:paraId="248E40FC" w14:textId="77777777" w:rsidR="00D16E72" w:rsidRPr="000061E7" w:rsidRDefault="00D16E72" w:rsidP="00D16E72">
      <w:pPr>
        <w:spacing w:after="60" w:line="260" w:lineRule="exact"/>
        <w:ind w:firstLine="720"/>
        <w:jc w:val="both"/>
        <w:rPr>
          <w:rFonts w:ascii="Arial" w:hAnsi="Arial" w:cs="Arial"/>
          <w:sz w:val="16"/>
          <w:szCs w:val="18"/>
        </w:rPr>
      </w:pPr>
      <w:r w:rsidRPr="000061E7">
        <w:rPr>
          <w:rFonts w:ascii="Arial" w:hAnsi="Arial" w:cs="Arial"/>
          <w:b/>
          <w:sz w:val="16"/>
          <w:szCs w:val="18"/>
        </w:rPr>
        <w:t>X</w:t>
      </w:r>
      <w:r w:rsidRPr="000061E7">
        <w:rPr>
          <w:rFonts w:ascii="Arial" w:hAnsi="Arial" w:cs="Arial"/>
          <w:sz w:val="16"/>
          <w:szCs w:val="18"/>
        </w:rPr>
        <w:t xml:space="preserve"> - Release pathway expected to be predominant for the sub-category;</w:t>
      </w:r>
    </w:p>
    <w:p w14:paraId="005FD0A7" w14:textId="77777777" w:rsidR="00D16E72" w:rsidRPr="000061E7" w:rsidRDefault="00D16E72" w:rsidP="00D16E72">
      <w:pPr>
        <w:spacing w:after="60" w:line="260" w:lineRule="exact"/>
        <w:ind w:firstLine="720"/>
        <w:jc w:val="both"/>
        <w:rPr>
          <w:rFonts w:ascii="Arial" w:hAnsi="Arial" w:cs="Arial"/>
          <w:sz w:val="16"/>
          <w:szCs w:val="18"/>
        </w:rPr>
      </w:pPr>
      <w:r w:rsidRPr="000061E7">
        <w:rPr>
          <w:rFonts w:ascii="Arial" w:hAnsi="Arial" w:cs="Arial"/>
          <w:sz w:val="16"/>
          <w:szCs w:val="18"/>
        </w:rPr>
        <w:t>x - Additional release pathways to be considered, depending on specific source and national situation.</w:t>
      </w:r>
    </w:p>
    <w:p w14:paraId="76D4469E" w14:textId="77777777" w:rsidR="00D16E72" w:rsidRPr="008F1D97" w:rsidRDefault="00F215CA" w:rsidP="00F215CA">
      <w:pPr>
        <w:pStyle w:val="Heading2"/>
      </w:pPr>
      <w:bookmarkStart w:id="89" w:name="_Toc110355536"/>
      <w:r w:rsidRPr="00754C65">
        <w:t>Mercury thermometers</w:t>
      </w:r>
      <w:bookmarkEnd w:id="89"/>
    </w:p>
    <w:p w14:paraId="48A62531" w14:textId="77777777" w:rsidR="00E22081" w:rsidRPr="00754C65" w:rsidRDefault="00E22081" w:rsidP="00E22081">
      <w:pPr>
        <w:spacing w:line="300" w:lineRule="atLeast"/>
        <w:jc w:val="both"/>
        <w:rPr>
          <w:szCs w:val="18"/>
        </w:rPr>
      </w:pPr>
      <w:r w:rsidRPr="00754C65">
        <w:rPr>
          <w:szCs w:val="18"/>
        </w:rPr>
        <w:t>No New Zealand manufacturers of mercury in glass thermometers were identified in this survey.</w:t>
      </w:r>
    </w:p>
    <w:p w14:paraId="28EDB287" w14:textId="77777777" w:rsidR="007F5800" w:rsidRPr="00754C65" w:rsidRDefault="007F5800" w:rsidP="00043714">
      <w:pPr>
        <w:spacing w:line="300" w:lineRule="atLeast"/>
        <w:jc w:val="both"/>
        <w:rPr>
          <w:rFonts w:ascii="Arial" w:hAnsi="Arial" w:cs="Arial"/>
          <w:b/>
          <w:szCs w:val="18"/>
        </w:rPr>
      </w:pPr>
      <w:r w:rsidRPr="00754C65">
        <w:rPr>
          <w:rFonts w:ascii="Arial" w:hAnsi="Arial" w:cs="Arial"/>
          <w:b/>
          <w:szCs w:val="18"/>
        </w:rPr>
        <w:t>Imports/sales</w:t>
      </w:r>
    </w:p>
    <w:p w14:paraId="48280476" w14:textId="20908C92" w:rsidR="00F705E1" w:rsidRPr="00923BEC" w:rsidRDefault="00043714" w:rsidP="00043714">
      <w:pPr>
        <w:spacing w:line="300" w:lineRule="atLeast"/>
        <w:jc w:val="both"/>
        <w:rPr>
          <w:szCs w:val="18"/>
        </w:rPr>
      </w:pPr>
      <w:r w:rsidRPr="00923BEC">
        <w:rPr>
          <w:szCs w:val="18"/>
        </w:rPr>
        <w:t xml:space="preserve">Import data for </w:t>
      </w:r>
      <w:r w:rsidR="006B60B4" w:rsidRPr="00923BEC">
        <w:rPr>
          <w:szCs w:val="18"/>
        </w:rPr>
        <w:t>Customs’ code 9025.11.00.00 (liquid-filled, direct-reading, thermometers and pyrometers) was obtained from Statistics New Zealand for</w:t>
      </w:r>
      <w:r w:rsidR="002368BD">
        <w:rPr>
          <w:szCs w:val="18"/>
        </w:rPr>
        <w:t xml:space="preserve"> </w:t>
      </w:r>
      <w:r w:rsidR="00FA5F85">
        <w:rPr>
          <w:szCs w:val="18"/>
        </w:rPr>
        <w:t>2024</w:t>
      </w:r>
      <w:r w:rsidR="006B60B4" w:rsidRPr="00923BEC">
        <w:rPr>
          <w:szCs w:val="18"/>
        </w:rPr>
        <w:t xml:space="preserve">. However, this </w:t>
      </w:r>
      <w:r w:rsidR="00F539EB" w:rsidRPr="00923BEC">
        <w:rPr>
          <w:szCs w:val="18"/>
        </w:rPr>
        <w:t>only indicates the total value of the imports, which was $</w:t>
      </w:r>
      <w:r w:rsidR="008B6029">
        <w:rPr>
          <w:szCs w:val="18"/>
        </w:rPr>
        <w:t>828,664</w:t>
      </w:r>
      <w:r w:rsidR="00FA5F85">
        <w:rPr>
          <w:szCs w:val="18"/>
        </w:rPr>
        <w:t>.</w:t>
      </w:r>
      <w:r w:rsidR="00F539EB" w:rsidRPr="00923BEC">
        <w:rPr>
          <w:szCs w:val="18"/>
        </w:rPr>
        <w:t xml:space="preserve"> In addition, the data cover all types of thermometers, including those not containing mercury, such as alcohol-filled thermometers.</w:t>
      </w:r>
    </w:p>
    <w:p w14:paraId="423FF3CA" w14:textId="16B6CBA9" w:rsidR="00544451" w:rsidRPr="00FA5F85" w:rsidRDefault="00FA5F85" w:rsidP="00043714">
      <w:pPr>
        <w:spacing w:line="300" w:lineRule="atLeast"/>
        <w:jc w:val="both"/>
        <w:rPr>
          <w:szCs w:val="18"/>
        </w:rPr>
      </w:pPr>
      <w:r w:rsidRPr="004C4210">
        <w:rPr>
          <w:szCs w:val="18"/>
        </w:rPr>
        <w:t>There is only one New Zealand supplier of mercury containing thermometers. Only one thermometer was sold by them in 2024.</w:t>
      </w:r>
    </w:p>
    <w:p w14:paraId="28C12158" w14:textId="761DC9CE" w:rsidR="00E803B5" w:rsidRPr="00FA5F85" w:rsidRDefault="00E803B5" w:rsidP="00043714">
      <w:pPr>
        <w:spacing w:line="300" w:lineRule="atLeast"/>
        <w:jc w:val="both"/>
        <w:rPr>
          <w:szCs w:val="18"/>
        </w:rPr>
      </w:pPr>
      <w:r w:rsidRPr="00FA5F85">
        <w:rPr>
          <w:szCs w:val="18"/>
        </w:rPr>
        <w:t xml:space="preserve">Mercury thermometers are listed as </w:t>
      </w:r>
      <w:r w:rsidR="00402872" w:rsidRPr="00FA5F85">
        <w:rPr>
          <w:szCs w:val="18"/>
        </w:rPr>
        <w:t>non-electronic measuring devices</w:t>
      </w:r>
      <w:r w:rsidRPr="00FA5F85">
        <w:rPr>
          <w:szCs w:val="18"/>
        </w:rPr>
        <w:t xml:space="preserve"> which cannot be manufactured, imported or exported after 2020</w:t>
      </w:r>
      <w:r w:rsidR="00402872" w:rsidRPr="00FA5F85">
        <w:rPr>
          <w:szCs w:val="18"/>
        </w:rPr>
        <w:t xml:space="preserve"> as required by </w:t>
      </w:r>
      <w:r w:rsidRPr="00FA5F85">
        <w:rPr>
          <w:szCs w:val="18"/>
        </w:rPr>
        <w:t>The Minamata Convention</w:t>
      </w:r>
      <w:r w:rsidR="00402872" w:rsidRPr="00FA5F85">
        <w:rPr>
          <w:szCs w:val="18"/>
        </w:rPr>
        <w:t>. An exception is made if the thermometers are installed in large-scale equipment or used for high precision measurement where no suitable mercury-free alternative is available (</w:t>
      </w:r>
      <w:r w:rsidR="00E309FF">
        <w:rPr>
          <w:szCs w:val="18"/>
        </w:rPr>
        <w:t>UNEP</w:t>
      </w:r>
      <w:r w:rsidR="00402872" w:rsidRPr="00FA5F85">
        <w:rPr>
          <w:szCs w:val="18"/>
        </w:rPr>
        <w:t>, 202</w:t>
      </w:r>
      <w:r w:rsidR="00E309FF">
        <w:rPr>
          <w:szCs w:val="18"/>
        </w:rPr>
        <w:t>4</w:t>
      </w:r>
      <w:r w:rsidR="00402872" w:rsidRPr="00FA5F85">
        <w:rPr>
          <w:szCs w:val="18"/>
        </w:rPr>
        <w:t>)</w:t>
      </w:r>
    </w:p>
    <w:p w14:paraId="2A786CD1" w14:textId="77777777" w:rsidR="0070571C" w:rsidRPr="00FA5F85" w:rsidRDefault="0070571C" w:rsidP="00043714">
      <w:pPr>
        <w:spacing w:line="300" w:lineRule="atLeast"/>
        <w:jc w:val="both"/>
        <w:rPr>
          <w:rFonts w:ascii="Arial" w:hAnsi="Arial" w:cs="Arial"/>
          <w:b/>
          <w:szCs w:val="18"/>
        </w:rPr>
      </w:pPr>
      <w:r w:rsidRPr="00FA5F85">
        <w:rPr>
          <w:rFonts w:ascii="Arial" w:hAnsi="Arial" w:cs="Arial"/>
          <w:b/>
          <w:szCs w:val="18"/>
        </w:rPr>
        <w:t>Current Stocks</w:t>
      </w:r>
    </w:p>
    <w:p w14:paraId="68F35EFF" w14:textId="26223E47" w:rsidR="0070571C" w:rsidRPr="00FA5F85" w:rsidRDefault="0070571C" w:rsidP="00043714">
      <w:pPr>
        <w:spacing w:line="300" w:lineRule="atLeast"/>
        <w:jc w:val="both"/>
        <w:rPr>
          <w:szCs w:val="18"/>
        </w:rPr>
      </w:pPr>
      <w:r w:rsidRPr="00FA5F85">
        <w:rPr>
          <w:szCs w:val="18"/>
        </w:rPr>
        <w:t>An estimate of ‘current’ thermometer stocks in New Zealand was pr</w:t>
      </w:r>
      <w:r w:rsidR="00CD6AF0" w:rsidRPr="00FA5F85">
        <w:rPr>
          <w:szCs w:val="18"/>
        </w:rPr>
        <w:t>epared for the 2012</w:t>
      </w:r>
      <w:r w:rsidRPr="00FA5F85">
        <w:rPr>
          <w:szCs w:val="18"/>
        </w:rPr>
        <w:t xml:space="preserve"> Inventory Report through a survey of hospitals and laboratories throughout the country. The total stocks were estimated at 53,400 units, with a total mercury content of between 26.7 and 267 kg.  This work has not been repeated for the current inventory, but it could be expected that the total will have declined, as </w:t>
      </w:r>
      <w:r w:rsidR="00BB30B4" w:rsidRPr="00FA5F85">
        <w:rPr>
          <w:szCs w:val="18"/>
        </w:rPr>
        <w:t xml:space="preserve">the </w:t>
      </w:r>
      <w:r w:rsidRPr="00FA5F85">
        <w:rPr>
          <w:szCs w:val="18"/>
        </w:rPr>
        <w:t xml:space="preserve">organisations </w:t>
      </w:r>
      <w:r w:rsidR="00BB30B4" w:rsidRPr="00FA5F85">
        <w:rPr>
          <w:szCs w:val="18"/>
        </w:rPr>
        <w:t xml:space="preserve">continue to </w:t>
      </w:r>
      <w:r w:rsidRPr="00FA5F85">
        <w:rPr>
          <w:szCs w:val="18"/>
        </w:rPr>
        <w:t>move towards using non-mercury alternatives.</w:t>
      </w:r>
      <w:r w:rsidR="00C06775" w:rsidRPr="00FA5F85">
        <w:rPr>
          <w:szCs w:val="18"/>
        </w:rPr>
        <w:t xml:space="preserve">  </w:t>
      </w:r>
    </w:p>
    <w:p w14:paraId="5B904B01" w14:textId="77777777" w:rsidR="00EC2DCF" w:rsidRPr="00FA5F85" w:rsidRDefault="00EC2DCF" w:rsidP="00EC2DCF">
      <w:pPr>
        <w:spacing w:line="300" w:lineRule="atLeast"/>
        <w:jc w:val="both"/>
        <w:rPr>
          <w:rFonts w:ascii="Arial" w:hAnsi="Arial" w:cs="Arial"/>
          <w:b/>
          <w:szCs w:val="18"/>
        </w:rPr>
      </w:pPr>
      <w:r w:rsidRPr="00FA5F85">
        <w:rPr>
          <w:rFonts w:ascii="Arial" w:hAnsi="Arial" w:cs="Arial"/>
          <w:b/>
          <w:szCs w:val="18"/>
        </w:rPr>
        <w:t>Input and output estimates</w:t>
      </w:r>
    </w:p>
    <w:p w14:paraId="499A548E" w14:textId="3DB8248F" w:rsidR="00EC2DCF" w:rsidRPr="00FA5F85" w:rsidRDefault="00EC2DCF" w:rsidP="00EC2DCF">
      <w:pPr>
        <w:spacing w:line="300" w:lineRule="atLeast"/>
        <w:jc w:val="both"/>
        <w:rPr>
          <w:szCs w:val="18"/>
        </w:rPr>
      </w:pPr>
      <w:r w:rsidRPr="00FA5F85">
        <w:rPr>
          <w:szCs w:val="18"/>
        </w:rPr>
        <w:t xml:space="preserve">The Toolkit indicates that medical thermometers typically contain 0.5 – 1.5 grams of mercury each, while laboratory thermometers can contain 1 – 40 grams per unit. The upper limit for laboratory thermometers appears quite extreme, so for the purposes of this inventory, the estimate </w:t>
      </w:r>
      <w:r w:rsidR="00F34A46" w:rsidRPr="00FA5F85">
        <w:rPr>
          <w:szCs w:val="18"/>
        </w:rPr>
        <w:t>has been</w:t>
      </w:r>
      <w:r w:rsidRPr="00FA5F85">
        <w:rPr>
          <w:szCs w:val="18"/>
        </w:rPr>
        <w:t xml:space="preserve"> based on an overall range of 0.5 –</w:t>
      </w:r>
      <w:r w:rsidR="00FA2C00" w:rsidRPr="00FA5F85">
        <w:rPr>
          <w:szCs w:val="18"/>
        </w:rPr>
        <w:t xml:space="preserve"> 5</w:t>
      </w:r>
      <w:r w:rsidRPr="00FA5F85">
        <w:rPr>
          <w:szCs w:val="18"/>
        </w:rPr>
        <w:t xml:space="preserve"> grams/unit</w:t>
      </w:r>
      <w:r w:rsidR="00FA2C00" w:rsidRPr="00FA5F85">
        <w:rPr>
          <w:szCs w:val="18"/>
        </w:rPr>
        <w:t xml:space="preserve"> (also noting that </w:t>
      </w:r>
      <w:r w:rsidR="00F313F7" w:rsidRPr="00FA5F85">
        <w:rPr>
          <w:szCs w:val="18"/>
        </w:rPr>
        <w:t xml:space="preserve">the </w:t>
      </w:r>
      <w:r w:rsidR="00FA2C00" w:rsidRPr="00FA5F85">
        <w:rPr>
          <w:szCs w:val="18"/>
        </w:rPr>
        <w:t>majority of units are ‘medical’ size)</w:t>
      </w:r>
      <w:r w:rsidRPr="00FA5F85">
        <w:rPr>
          <w:szCs w:val="18"/>
        </w:rPr>
        <w:t>.</w:t>
      </w:r>
    </w:p>
    <w:p w14:paraId="40AABAB4" w14:textId="70BF83BB" w:rsidR="00043714" w:rsidRPr="00FA5F85" w:rsidRDefault="00F313F7" w:rsidP="00043714">
      <w:pPr>
        <w:spacing w:line="300" w:lineRule="atLeast"/>
        <w:jc w:val="both"/>
        <w:rPr>
          <w:szCs w:val="18"/>
        </w:rPr>
      </w:pPr>
      <w:r w:rsidRPr="00FA5F85">
        <w:rPr>
          <w:szCs w:val="18"/>
        </w:rPr>
        <w:t>For estimating outputs, the Toolkit recommends distribution factors of 0.1 (10%) to air, 0.3 (30%) to water and 0.6 (60%) to waste</w:t>
      </w:r>
      <w:r w:rsidR="002E5978" w:rsidRPr="00FA5F85">
        <w:rPr>
          <w:szCs w:val="18"/>
        </w:rPr>
        <w:t>, for countries with publicly controlled waste collection services.</w:t>
      </w:r>
      <w:r w:rsidR="009F5AB4" w:rsidRPr="00FA5F85">
        <w:rPr>
          <w:szCs w:val="18"/>
        </w:rPr>
        <w:t xml:space="preserve"> </w:t>
      </w:r>
      <w:r w:rsidR="00F539EB" w:rsidRPr="00FA5F85">
        <w:rPr>
          <w:szCs w:val="18"/>
        </w:rPr>
        <w:t>I</w:t>
      </w:r>
      <w:r w:rsidR="009F5AB4" w:rsidRPr="00FA5F85">
        <w:rPr>
          <w:szCs w:val="18"/>
        </w:rPr>
        <w:t xml:space="preserve">t should be noted that these factors </w:t>
      </w:r>
      <w:r w:rsidR="00F34A46" w:rsidRPr="00FA5F85">
        <w:rPr>
          <w:szCs w:val="18"/>
        </w:rPr>
        <w:t xml:space="preserve">should </w:t>
      </w:r>
      <w:r w:rsidR="009F5AB4" w:rsidRPr="00FA5F85">
        <w:rPr>
          <w:szCs w:val="18"/>
        </w:rPr>
        <w:t>only be applied to the annual imports/sales numbers, rather than the total thermometer stocks</w:t>
      </w:r>
      <w:r w:rsidR="00F539EB" w:rsidRPr="00FA5F85">
        <w:rPr>
          <w:szCs w:val="18"/>
        </w:rPr>
        <w:t xml:space="preserve"> in a country</w:t>
      </w:r>
      <w:r w:rsidR="009F5AB4" w:rsidRPr="00FA5F85">
        <w:rPr>
          <w:szCs w:val="18"/>
        </w:rPr>
        <w:t xml:space="preserve">, on the basis that the former </w:t>
      </w:r>
      <w:r w:rsidR="002941D9" w:rsidRPr="00FA5F85">
        <w:rPr>
          <w:szCs w:val="18"/>
        </w:rPr>
        <w:t xml:space="preserve">most likely </w:t>
      </w:r>
      <w:r w:rsidR="009F5AB4" w:rsidRPr="00FA5F85">
        <w:rPr>
          <w:szCs w:val="18"/>
        </w:rPr>
        <w:t xml:space="preserve">represent the annual turnover rate for </w:t>
      </w:r>
      <w:r w:rsidR="002941D9" w:rsidRPr="00FA5F85">
        <w:rPr>
          <w:szCs w:val="18"/>
        </w:rPr>
        <w:t xml:space="preserve">the </w:t>
      </w:r>
      <w:r w:rsidR="009F5AB4" w:rsidRPr="00FA5F85">
        <w:rPr>
          <w:szCs w:val="18"/>
        </w:rPr>
        <w:t>current stocks.</w:t>
      </w:r>
      <w:r w:rsidR="002941D9" w:rsidRPr="00FA5F85">
        <w:rPr>
          <w:szCs w:val="18"/>
        </w:rPr>
        <w:t xml:space="preserve"> In addition, the current stocks </w:t>
      </w:r>
      <w:r w:rsidR="00F34A46" w:rsidRPr="00FA5F85">
        <w:rPr>
          <w:szCs w:val="18"/>
        </w:rPr>
        <w:t xml:space="preserve">should </w:t>
      </w:r>
      <w:r w:rsidR="002941D9" w:rsidRPr="00FA5F85">
        <w:rPr>
          <w:szCs w:val="18"/>
        </w:rPr>
        <w:t>not be counted as part of the annual inputs because the mercury is not ‘mobilised’ until the thermometers are disposed.</w:t>
      </w:r>
    </w:p>
    <w:p w14:paraId="70C9738A" w14:textId="53D29D0A" w:rsidR="009F5AB4" w:rsidRPr="00FA5F85" w:rsidRDefault="009F5AB4" w:rsidP="009F5AB4">
      <w:pPr>
        <w:spacing w:line="300" w:lineRule="atLeast"/>
        <w:jc w:val="both"/>
        <w:rPr>
          <w:szCs w:val="18"/>
        </w:rPr>
      </w:pPr>
      <w:r w:rsidRPr="00FA5F85">
        <w:rPr>
          <w:szCs w:val="18"/>
        </w:rPr>
        <w:t xml:space="preserve">The mercury input and output estimates for the use of thermometers are shown in </w:t>
      </w:r>
      <w:r w:rsidRPr="00FA5F85">
        <w:rPr>
          <w:szCs w:val="18"/>
        </w:rPr>
        <w:fldChar w:fldCharType="begin"/>
      </w:r>
      <w:r w:rsidRPr="00FA5F85">
        <w:rPr>
          <w:szCs w:val="18"/>
        </w:rPr>
        <w:instrText xml:space="preserve"> REF _Ref358641586 \h </w:instrText>
      </w:r>
      <w:r w:rsidR="00F14312" w:rsidRPr="00FA5F85">
        <w:rPr>
          <w:szCs w:val="18"/>
        </w:rPr>
        <w:instrText xml:space="preserve"> \* MERGEFORMAT </w:instrText>
      </w:r>
      <w:r w:rsidRPr="00FA5F85">
        <w:rPr>
          <w:szCs w:val="18"/>
        </w:rPr>
      </w:r>
      <w:r w:rsidRPr="00FA5F85">
        <w:rPr>
          <w:szCs w:val="18"/>
        </w:rPr>
        <w:fldChar w:fldCharType="separate"/>
      </w:r>
      <w:r w:rsidR="00892B2D" w:rsidRPr="00892B2D">
        <w:t xml:space="preserve">Table </w:t>
      </w:r>
      <w:r w:rsidR="00892B2D" w:rsidRPr="00892B2D">
        <w:rPr>
          <w:noProof/>
        </w:rPr>
        <w:t>7</w:t>
      </w:r>
      <w:r w:rsidR="00892B2D" w:rsidRPr="00892B2D">
        <w:rPr>
          <w:noProof/>
        </w:rPr>
        <w:noBreakHyphen/>
        <w:t>2</w:t>
      </w:r>
      <w:r w:rsidRPr="00FA5F85">
        <w:rPr>
          <w:szCs w:val="18"/>
        </w:rPr>
        <w:fldChar w:fldCharType="end"/>
      </w:r>
      <w:r w:rsidR="00016AD4" w:rsidRPr="00FA5F85">
        <w:rPr>
          <w:szCs w:val="18"/>
        </w:rPr>
        <w:t>.</w:t>
      </w:r>
    </w:p>
    <w:p w14:paraId="7B626167" w14:textId="01937A19" w:rsidR="009F5AB4" w:rsidRPr="00FA5F85" w:rsidRDefault="009F5AB4" w:rsidP="009F5AB4">
      <w:pPr>
        <w:pStyle w:val="Caption"/>
        <w:spacing w:before="240"/>
        <w:rPr>
          <w:szCs w:val="18"/>
        </w:rPr>
      </w:pPr>
      <w:bookmarkStart w:id="90" w:name="_Ref358641586"/>
      <w:bookmarkStart w:id="91" w:name="_Toc110355479"/>
      <w:r w:rsidRPr="00FA5F85">
        <w:rPr>
          <w:rFonts w:ascii="Arial" w:hAnsi="Arial" w:cs="Arial"/>
        </w:rPr>
        <w:t xml:space="preserve">Table </w:t>
      </w:r>
      <w:r w:rsidR="00390C9F" w:rsidRPr="00FA5F85">
        <w:rPr>
          <w:rFonts w:ascii="Arial" w:hAnsi="Arial" w:cs="Arial"/>
        </w:rPr>
        <w:fldChar w:fldCharType="begin"/>
      </w:r>
      <w:r w:rsidR="00390C9F" w:rsidRPr="00FA5F85">
        <w:rPr>
          <w:rFonts w:ascii="Arial" w:hAnsi="Arial" w:cs="Arial"/>
        </w:rPr>
        <w:instrText xml:space="preserve"> STYLEREF 1 \s </w:instrText>
      </w:r>
      <w:r w:rsidR="00390C9F" w:rsidRPr="00FA5F85">
        <w:rPr>
          <w:rFonts w:ascii="Arial" w:hAnsi="Arial" w:cs="Arial"/>
        </w:rPr>
        <w:fldChar w:fldCharType="separate"/>
      </w:r>
      <w:r w:rsidR="00892B2D">
        <w:rPr>
          <w:rFonts w:ascii="Arial" w:hAnsi="Arial" w:cs="Arial"/>
          <w:noProof/>
        </w:rPr>
        <w:t>7</w:t>
      </w:r>
      <w:r w:rsidR="00390C9F" w:rsidRPr="00FA5F85">
        <w:rPr>
          <w:rFonts w:ascii="Arial" w:hAnsi="Arial" w:cs="Arial"/>
        </w:rPr>
        <w:fldChar w:fldCharType="end"/>
      </w:r>
      <w:r w:rsidR="00390C9F" w:rsidRPr="00FA5F85">
        <w:rPr>
          <w:rFonts w:ascii="Arial" w:hAnsi="Arial" w:cs="Arial"/>
        </w:rPr>
        <w:noBreakHyphen/>
      </w:r>
      <w:r w:rsidR="00390C9F" w:rsidRPr="00FA5F85">
        <w:rPr>
          <w:rFonts w:ascii="Arial" w:hAnsi="Arial" w:cs="Arial"/>
        </w:rPr>
        <w:fldChar w:fldCharType="begin"/>
      </w:r>
      <w:r w:rsidR="00390C9F" w:rsidRPr="00FA5F85">
        <w:rPr>
          <w:rFonts w:ascii="Arial" w:hAnsi="Arial" w:cs="Arial"/>
        </w:rPr>
        <w:instrText xml:space="preserve"> SEQ Table \* ARABIC \s 1 </w:instrText>
      </w:r>
      <w:r w:rsidR="00390C9F" w:rsidRPr="00FA5F85">
        <w:rPr>
          <w:rFonts w:ascii="Arial" w:hAnsi="Arial" w:cs="Arial"/>
        </w:rPr>
        <w:fldChar w:fldCharType="separate"/>
      </w:r>
      <w:r w:rsidR="00892B2D">
        <w:rPr>
          <w:rFonts w:ascii="Arial" w:hAnsi="Arial" w:cs="Arial"/>
          <w:noProof/>
        </w:rPr>
        <w:t>2</w:t>
      </w:r>
      <w:r w:rsidR="00390C9F" w:rsidRPr="00FA5F85">
        <w:rPr>
          <w:rFonts w:ascii="Arial" w:hAnsi="Arial" w:cs="Arial"/>
        </w:rPr>
        <w:fldChar w:fldCharType="end"/>
      </w:r>
      <w:bookmarkEnd w:id="90"/>
      <w:r w:rsidRPr="00FA5F85">
        <w:rPr>
          <w:rFonts w:ascii="Arial" w:hAnsi="Arial" w:cs="Arial"/>
        </w:rPr>
        <w:t>:</w:t>
      </w:r>
      <w:r w:rsidRPr="00FA5F85">
        <w:t xml:space="preserve"> </w:t>
      </w:r>
      <w:r w:rsidR="00403501" w:rsidRPr="00FA5F85">
        <w:t xml:space="preserve"> </w:t>
      </w:r>
      <w:r w:rsidRPr="00FA5F85">
        <w:rPr>
          <w:rFonts w:ascii="Arial" w:hAnsi="Arial" w:cs="Arial"/>
        </w:rPr>
        <w:t>Input and output estimates for mercury thermometers</w:t>
      </w:r>
      <w:bookmarkEnd w:id="91"/>
    </w:p>
    <w:tbl>
      <w:tblPr>
        <w:tblStyle w:val="TableGrid"/>
        <w:tblW w:w="9228" w:type="dxa"/>
        <w:tblLayout w:type="fixed"/>
        <w:tblLook w:val="04A0" w:firstRow="1" w:lastRow="0" w:firstColumn="1" w:lastColumn="0" w:noHBand="0" w:noVBand="1"/>
      </w:tblPr>
      <w:tblGrid>
        <w:gridCol w:w="1590"/>
        <w:gridCol w:w="969"/>
        <w:gridCol w:w="1083"/>
        <w:gridCol w:w="1311"/>
        <w:gridCol w:w="1425"/>
        <w:gridCol w:w="1425"/>
        <w:gridCol w:w="1425"/>
      </w:tblGrid>
      <w:tr w:rsidR="00F539EB" w:rsidRPr="00FA5F85" w14:paraId="20EBCEFC" w14:textId="77777777" w:rsidTr="00FB536D">
        <w:trPr>
          <w:trHeight w:val="776"/>
        </w:trPr>
        <w:tc>
          <w:tcPr>
            <w:tcW w:w="1590" w:type="dxa"/>
            <w:vMerge w:val="restart"/>
            <w:vAlign w:val="center"/>
          </w:tcPr>
          <w:p w14:paraId="083F9865" w14:textId="77777777" w:rsidR="00F539EB" w:rsidRPr="00FA5F85" w:rsidRDefault="00F539EB" w:rsidP="009F5AB4">
            <w:pPr>
              <w:spacing w:line="300" w:lineRule="atLeast"/>
              <w:jc w:val="center"/>
              <w:rPr>
                <w:rFonts w:ascii="Arial" w:hAnsi="Arial" w:cs="Arial"/>
                <w:b/>
                <w:sz w:val="16"/>
                <w:szCs w:val="16"/>
              </w:rPr>
            </w:pPr>
            <w:r w:rsidRPr="00FA5F85">
              <w:rPr>
                <w:rFonts w:ascii="Arial" w:hAnsi="Arial" w:cs="Arial"/>
                <w:b/>
                <w:sz w:val="16"/>
                <w:szCs w:val="16"/>
              </w:rPr>
              <w:t>Source</w:t>
            </w:r>
          </w:p>
        </w:tc>
        <w:tc>
          <w:tcPr>
            <w:tcW w:w="969" w:type="dxa"/>
            <w:vMerge w:val="restart"/>
            <w:vAlign w:val="center"/>
          </w:tcPr>
          <w:p w14:paraId="0AC6046E" w14:textId="77777777" w:rsidR="00F539EB" w:rsidRPr="00FA5F85" w:rsidRDefault="00F539EB" w:rsidP="009F5AB4">
            <w:pPr>
              <w:spacing w:line="300" w:lineRule="atLeast"/>
              <w:jc w:val="center"/>
              <w:rPr>
                <w:rFonts w:ascii="Arial" w:hAnsi="Arial" w:cs="Arial"/>
                <w:b/>
                <w:sz w:val="16"/>
                <w:szCs w:val="16"/>
              </w:rPr>
            </w:pPr>
            <w:r w:rsidRPr="00FA5F85">
              <w:rPr>
                <w:rFonts w:ascii="Arial" w:hAnsi="Arial" w:cs="Arial"/>
                <w:b/>
                <w:sz w:val="16"/>
                <w:szCs w:val="16"/>
              </w:rPr>
              <w:t>Activity Rate, units/yr</w:t>
            </w:r>
          </w:p>
        </w:tc>
        <w:tc>
          <w:tcPr>
            <w:tcW w:w="1083" w:type="dxa"/>
            <w:vMerge w:val="restart"/>
            <w:vAlign w:val="center"/>
          </w:tcPr>
          <w:p w14:paraId="69A4AA1A" w14:textId="77777777" w:rsidR="00F539EB" w:rsidRPr="00FA5F85" w:rsidRDefault="00F539EB" w:rsidP="009F5AB4">
            <w:pPr>
              <w:spacing w:line="300" w:lineRule="atLeast"/>
              <w:jc w:val="center"/>
              <w:rPr>
                <w:rFonts w:ascii="Arial" w:hAnsi="Arial" w:cs="Arial"/>
                <w:b/>
                <w:sz w:val="16"/>
                <w:szCs w:val="16"/>
              </w:rPr>
            </w:pPr>
            <w:r w:rsidRPr="00FA5F85">
              <w:rPr>
                <w:rFonts w:ascii="Arial" w:hAnsi="Arial" w:cs="Arial"/>
                <w:b/>
                <w:sz w:val="16"/>
                <w:szCs w:val="16"/>
              </w:rPr>
              <w:t>Mercury content, g/unit</w:t>
            </w:r>
          </w:p>
        </w:tc>
        <w:tc>
          <w:tcPr>
            <w:tcW w:w="1311" w:type="dxa"/>
            <w:vMerge w:val="restart"/>
            <w:vAlign w:val="center"/>
          </w:tcPr>
          <w:p w14:paraId="6D1EA5D9" w14:textId="77777777" w:rsidR="00F539EB" w:rsidRPr="00FA5F85" w:rsidRDefault="00F539EB" w:rsidP="009F5AB4">
            <w:pPr>
              <w:spacing w:line="300" w:lineRule="atLeast"/>
              <w:jc w:val="center"/>
              <w:rPr>
                <w:rFonts w:ascii="Arial" w:hAnsi="Arial" w:cs="Arial"/>
                <w:b/>
                <w:sz w:val="16"/>
                <w:szCs w:val="16"/>
              </w:rPr>
            </w:pPr>
            <w:r w:rsidRPr="00FA5F85">
              <w:rPr>
                <w:rFonts w:ascii="Arial" w:hAnsi="Arial" w:cs="Arial"/>
                <w:b/>
                <w:sz w:val="16"/>
                <w:szCs w:val="16"/>
              </w:rPr>
              <w:t>Annual Mercury Inputs, kg/yr</w:t>
            </w:r>
          </w:p>
        </w:tc>
        <w:tc>
          <w:tcPr>
            <w:tcW w:w="4275" w:type="dxa"/>
            <w:gridSpan w:val="3"/>
            <w:vAlign w:val="center"/>
          </w:tcPr>
          <w:p w14:paraId="4BCD6014" w14:textId="77777777" w:rsidR="00F539EB" w:rsidRPr="00FA5F85" w:rsidRDefault="00F539EB" w:rsidP="00C94C0B">
            <w:pPr>
              <w:spacing w:line="300" w:lineRule="atLeast"/>
              <w:jc w:val="center"/>
              <w:rPr>
                <w:rFonts w:ascii="Arial" w:hAnsi="Arial" w:cs="Arial"/>
                <w:b/>
                <w:sz w:val="16"/>
                <w:szCs w:val="16"/>
              </w:rPr>
            </w:pPr>
            <w:r w:rsidRPr="00FA5F85">
              <w:rPr>
                <w:rFonts w:ascii="Arial" w:hAnsi="Arial" w:cs="Arial"/>
                <w:b/>
                <w:sz w:val="16"/>
                <w:szCs w:val="16"/>
              </w:rPr>
              <w:t>Annual Mercury Outputs, kg/yr</w:t>
            </w:r>
          </w:p>
        </w:tc>
      </w:tr>
      <w:tr w:rsidR="00F539EB" w:rsidRPr="00FA5F85" w14:paraId="6FD2135E" w14:textId="77777777" w:rsidTr="00FB536D">
        <w:tc>
          <w:tcPr>
            <w:tcW w:w="1590" w:type="dxa"/>
            <w:vMerge/>
            <w:vAlign w:val="center"/>
          </w:tcPr>
          <w:p w14:paraId="11706CB8" w14:textId="77777777" w:rsidR="00F539EB" w:rsidRPr="00FA5F85" w:rsidRDefault="00F539EB" w:rsidP="009F5AB4">
            <w:pPr>
              <w:spacing w:line="300" w:lineRule="atLeast"/>
              <w:jc w:val="center"/>
              <w:rPr>
                <w:rFonts w:ascii="Arial" w:hAnsi="Arial" w:cs="Arial"/>
                <w:b/>
                <w:sz w:val="16"/>
                <w:szCs w:val="16"/>
              </w:rPr>
            </w:pPr>
          </w:p>
        </w:tc>
        <w:tc>
          <w:tcPr>
            <w:tcW w:w="969" w:type="dxa"/>
            <w:vMerge/>
            <w:vAlign w:val="center"/>
          </w:tcPr>
          <w:p w14:paraId="21079A26" w14:textId="77777777" w:rsidR="00F539EB" w:rsidRPr="00FA5F85" w:rsidRDefault="00F539EB" w:rsidP="009F5AB4">
            <w:pPr>
              <w:spacing w:line="300" w:lineRule="atLeast"/>
              <w:jc w:val="center"/>
              <w:rPr>
                <w:rFonts w:ascii="Arial" w:hAnsi="Arial" w:cs="Arial"/>
                <w:b/>
                <w:sz w:val="16"/>
                <w:szCs w:val="16"/>
              </w:rPr>
            </w:pPr>
          </w:p>
        </w:tc>
        <w:tc>
          <w:tcPr>
            <w:tcW w:w="1083" w:type="dxa"/>
            <w:vMerge/>
            <w:vAlign w:val="center"/>
          </w:tcPr>
          <w:p w14:paraId="3BB16C56" w14:textId="77777777" w:rsidR="00F539EB" w:rsidRPr="00FA5F85" w:rsidRDefault="00F539EB" w:rsidP="009F5AB4">
            <w:pPr>
              <w:spacing w:line="300" w:lineRule="atLeast"/>
              <w:jc w:val="center"/>
              <w:rPr>
                <w:rFonts w:ascii="Arial" w:hAnsi="Arial" w:cs="Arial"/>
                <w:b/>
                <w:sz w:val="16"/>
                <w:szCs w:val="16"/>
              </w:rPr>
            </w:pPr>
          </w:p>
        </w:tc>
        <w:tc>
          <w:tcPr>
            <w:tcW w:w="1311" w:type="dxa"/>
            <w:vMerge/>
            <w:vAlign w:val="center"/>
          </w:tcPr>
          <w:p w14:paraId="2095F27D" w14:textId="77777777" w:rsidR="00F539EB" w:rsidRPr="00FA5F85" w:rsidRDefault="00F539EB" w:rsidP="009F5AB4">
            <w:pPr>
              <w:spacing w:line="300" w:lineRule="atLeast"/>
              <w:jc w:val="center"/>
              <w:rPr>
                <w:rFonts w:ascii="Arial" w:hAnsi="Arial" w:cs="Arial"/>
                <w:b/>
                <w:sz w:val="16"/>
                <w:szCs w:val="16"/>
              </w:rPr>
            </w:pPr>
          </w:p>
        </w:tc>
        <w:tc>
          <w:tcPr>
            <w:tcW w:w="1425" w:type="dxa"/>
            <w:vAlign w:val="center"/>
          </w:tcPr>
          <w:p w14:paraId="338477AF" w14:textId="77777777" w:rsidR="00F539EB" w:rsidRPr="00FA5F85" w:rsidRDefault="00F539EB" w:rsidP="009F5AB4">
            <w:pPr>
              <w:spacing w:line="300" w:lineRule="atLeast"/>
              <w:jc w:val="center"/>
              <w:rPr>
                <w:rFonts w:ascii="Arial" w:hAnsi="Arial" w:cs="Arial"/>
                <w:b/>
                <w:sz w:val="16"/>
                <w:szCs w:val="16"/>
              </w:rPr>
            </w:pPr>
            <w:r w:rsidRPr="00FA5F85">
              <w:rPr>
                <w:rFonts w:ascii="Arial" w:hAnsi="Arial" w:cs="Arial"/>
                <w:b/>
                <w:sz w:val="16"/>
                <w:szCs w:val="16"/>
              </w:rPr>
              <w:t>Air</w:t>
            </w:r>
          </w:p>
        </w:tc>
        <w:tc>
          <w:tcPr>
            <w:tcW w:w="1425" w:type="dxa"/>
            <w:vAlign w:val="center"/>
          </w:tcPr>
          <w:p w14:paraId="7BF038FB" w14:textId="77777777" w:rsidR="00F539EB" w:rsidRPr="00FA5F85" w:rsidRDefault="00F539EB" w:rsidP="009F5AB4">
            <w:pPr>
              <w:spacing w:line="300" w:lineRule="atLeast"/>
              <w:jc w:val="center"/>
              <w:rPr>
                <w:rFonts w:ascii="Arial" w:hAnsi="Arial" w:cs="Arial"/>
                <w:b/>
                <w:sz w:val="16"/>
                <w:szCs w:val="16"/>
              </w:rPr>
            </w:pPr>
            <w:r w:rsidRPr="00FA5F85">
              <w:rPr>
                <w:rFonts w:ascii="Arial" w:hAnsi="Arial" w:cs="Arial"/>
                <w:b/>
                <w:sz w:val="16"/>
                <w:szCs w:val="16"/>
              </w:rPr>
              <w:t>Water</w:t>
            </w:r>
          </w:p>
        </w:tc>
        <w:tc>
          <w:tcPr>
            <w:tcW w:w="1425" w:type="dxa"/>
            <w:vAlign w:val="center"/>
          </w:tcPr>
          <w:p w14:paraId="49C6EF2B" w14:textId="77777777" w:rsidR="00F539EB" w:rsidRPr="00FA5F85" w:rsidRDefault="00F539EB" w:rsidP="00531219">
            <w:pPr>
              <w:spacing w:line="300" w:lineRule="atLeast"/>
              <w:jc w:val="center"/>
              <w:rPr>
                <w:rFonts w:ascii="Arial" w:hAnsi="Arial" w:cs="Arial"/>
                <w:b/>
                <w:sz w:val="16"/>
                <w:szCs w:val="16"/>
              </w:rPr>
            </w:pPr>
            <w:r w:rsidRPr="00FA5F85">
              <w:rPr>
                <w:rFonts w:ascii="Arial" w:hAnsi="Arial" w:cs="Arial"/>
                <w:b/>
                <w:sz w:val="16"/>
                <w:szCs w:val="16"/>
              </w:rPr>
              <w:t>Waste</w:t>
            </w:r>
          </w:p>
        </w:tc>
      </w:tr>
      <w:tr w:rsidR="00F539EB" w:rsidRPr="00FA5F85" w14:paraId="4C5E22DD" w14:textId="77777777" w:rsidTr="00FB536D">
        <w:tc>
          <w:tcPr>
            <w:tcW w:w="1590" w:type="dxa"/>
            <w:vAlign w:val="center"/>
          </w:tcPr>
          <w:p w14:paraId="693DF9AD" w14:textId="77777777" w:rsidR="00F539EB" w:rsidRPr="00FA5F85" w:rsidRDefault="00F539EB" w:rsidP="00F539EB">
            <w:pPr>
              <w:spacing w:line="300" w:lineRule="atLeast"/>
              <w:rPr>
                <w:rFonts w:ascii="Arial" w:hAnsi="Arial" w:cs="Arial"/>
                <w:sz w:val="16"/>
                <w:szCs w:val="16"/>
              </w:rPr>
            </w:pPr>
            <w:r w:rsidRPr="00FA5F85">
              <w:rPr>
                <w:rFonts w:ascii="Arial" w:hAnsi="Arial" w:cs="Arial"/>
                <w:sz w:val="16"/>
                <w:szCs w:val="16"/>
              </w:rPr>
              <w:t xml:space="preserve">Annual sales, 2012 </w:t>
            </w:r>
          </w:p>
        </w:tc>
        <w:tc>
          <w:tcPr>
            <w:tcW w:w="969" w:type="dxa"/>
            <w:vAlign w:val="center"/>
          </w:tcPr>
          <w:p w14:paraId="09A05DDC" w14:textId="77777777" w:rsidR="00F539EB" w:rsidRPr="00FA5F85" w:rsidRDefault="00F539EB" w:rsidP="008B086D">
            <w:pPr>
              <w:spacing w:line="300" w:lineRule="atLeast"/>
              <w:jc w:val="center"/>
              <w:rPr>
                <w:rFonts w:ascii="Arial" w:hAnsi="Arial" w:cs="Arial"/>
                <w:sz w:val="16"/>
                <w:szCs w:val="16"/>
              </w:rPr>
            </w:pPr>
            <w:r w:rsidRPr="00FA5F85">
              <w:rPr>
                <w:rFonts w:ascii="Arial" w:hAnsi="Arial" w:cs="Arial"/>
                <w:sz w:val="16"/>
                <w:szCs w:val="16"/>
              </w:rPr>
              <w:t>6,500</w:t>
            </w:r>
          </w:p>
        </w:tc>
        <w:tc>
          <w:tcPr>
            <w:tcW w:w="1083" w:type="dxa"/>
            <w:vAlign w:val="center"/>
          </w:tcPr>
          <w:p w14:paraId="683D65A2" w14:textId="77777777" w:rsidR="00F539EB" w:rsidRPr="00FA5F85" w:rsidRDefault="00F539EB" w:rsidP="009F5AB4">
            <w:pPr>
              <w:spacing w:line="300" w:lineRule="atLeast"/>
              <w:jc w:val="center"/>
              <w:rPr>
                <w:rFonts w:ascii="Arial" w:hAnsi="Arial" w:cs="Arial"/>
                <w:sz w:val="16"/>
                <w:szCs w:val="16"/>
              </w:rPr>
            </w:pPr>
            <w:r w:rsidRPr="00FA5F85">
              <w:rPr>
                <w:rFonts w:ascii="Arial" w:hAnsi="Arial" w:cs="Arial"/>
                <w:sz w:val="16"/>
                <w:szCs w:val="16"/>
              </w:rPr>
              <w:t>0.5 – 5</w:t>
            </w:r>
          </w:p>
        </w:tc>
        <w:tc>
          <w:tcPr>
            <w:tcW w:w="1311" w:type="dxa"/>
            <w:vAlign w:val="center"/>
          </w:tcPr>
          <w:p w14:paraId="1670F835" w14:textId="77777777" w:rsidR="00F539EB" w:rsidRPr="00FA5F85" w:rsidRDefault="00F539EB" w:rsidP="00B12769">
            <w:pPr>
              <w:spacing w:line="300" w:lineRule="atLeast"/>
              <w:jc w:val="center"/>
              <w:rPr>
                <w:rFonts w:ascii="Arial" w:hAnsi="Arial" w:cs="Arial"/>
                <w:sz w:val="16"/>
                <w:szCs w:val="16"/>
              </w:rPr>
            </w:pPr>
            <w:r w:rsidRPr="00FA5F85">
              <w:rPr>
                <w:rFonts w:ascii="Arial" w:hAnsi="Arial" w:cs="Arial"/>
                <w:sz w:val="16"/>
                <w:szCs w:val="16"/>
              </w:rPr>
              <w:t>3.25 – 32.5</w:t>
            </w:r>
            <w:r w:rsidR="00FB536D" w:rsidRPr="00FA5F85">
              <w:rPr>
                <w:rFonts w:ascii="Arial" w:hAnsi="Arial" w:cs="Arial"/>
                <w:sz w:val="16"/>
                <w:szCs w:val="16"/>
              </w:rPr>
              <w:t xml:space="preserve"> (17.9)</w:t>
            </w:r>
          </w:p>
        </w:tc>
        <w:tc>
          <w:tcPr>
            <w:tcW w:w="1425" w:type="dxa"/>
            <w:vAlign w:val="center"/>
          </w:tcPr>
          <w:p w14:paraId="06EEC281" w14:textId="77777777" w:rsidR="00F539EB" w:rsidRPr="00FA5F85" w:rsidRDefault="00F539EB" w:rsidP="00B12769">
            <w:pPr>
              <w:spacing w:line="300" w:lineRule="atLeast"/>
              <w:jc w:val="center"/>
              <w:rPr>
                <w:rFonts w:ascii="Arial" w:hAnsi="Arial" w:cs="Arial"/>
                <w:sz w:val="16"/>
                <w:szCs w:val="16"/>
              </w:rPr>
            </w:pPr>
            <w:r w:rsidRPr="00FA5F85">
              <w:rPr>
                <w:rFonts w:ascii="Arial" w:hAnsi="Arial" w:cs="Arial"/>
                <w:sz w:val="16"/>
                <w:szCs w:val="16"/>
              </w:rPr>
              <w:t>0.325 – 3.25</w:t>
            </w:r>
            <w:r w:rsidR="00FB536D" w:rsidRPr="00FA5F85">
              <w:rPr>
                <w:rFonts w:ascii="Arial" w:hAnsi="Arial" w:cs="Arial"/>
                <w:sz w:val="16"/>
                <w:szCs w:val="16"/>
              </w:rPr>
              <w:t xml:space="preserve"> (1.8)</w:t>
            </w:r>
          </w:p>
        </w:tc>
        <w:tc>
          <w:tcPr>
            <w:tcW w:w="1425" w:type="dxa"/>
          </w:tcPr>
          <w:p w14:paraId="10A879A7" w14:textId="77777777" w:rsidR="00F539EB" w:rsidRPr="00FA5F85" w:rsidRDefault="00F539EB" w:rsidP="00B12769">
            <w:pPr>
              <w:spacing w:line="300" w:lineRule="atLeast"/>
              <w:jc w:val="center"/>
              <w:rPr>
                <w:rFonts w:ascii="Arial" w:hAnsi="Arial" w:cs="Arial"/>
                <w:sz w:val="16"/>
                <w:szCs w:val="16"/>
              </w:rPr>
            </w:pPr>
            <w:r w:rsidRPr="00FA5F85">
              <w:rPr>
                <w:rFonts w:ascii="Arial" w:hAnsi="Arial" w:cs="Arial"/>
                <w:sz w:val="16"/>
                <w:szCs w:val="16"/>
              </w:rPr>
              <w:t>0.975 – 9.75</w:t>
            </w:r>
            <w:r w:rsidR="00FB536D" w:rsidRPr="00FA5F85">
              <w:rPr>
                <w:rFonts w:ascii="Arial" w:hAnsi="Arial" w:cs="Arial"/>
                <w:sz w:val="16"/>
                <w:szCs w:val="16"/>
              </w:rPr>
              <w:t xml:space="preserve"> (5.4)</w:t>
            </w:r>
          </w:p>
        </w:tc>
        <w:tc>
          <w:tcPr>
            <w:tcW w:w="1425" w:type="dxa"/>
            <w:vAlign w:val="center"/>
          </w:tcPr>
          <w:p w14:paraId="2A4FA448" w14:textId="77777777" w:rsidR="00F539EB" w:rsidRPr="00FA5F85" w:rsidRDefault="00F539EB" w:rsidP="00DD3364">
            <w:pPr>
              <w:spacing w:line="300" w:lineRule="atLeast"/>
              <w:jc w:val="center"/>
              <w:rPr>
                <w:rFonts w:ascii="Arial" w:hAnsi="Arial" w:cs="Arial"/>
                <w:sz w:val="16"/>
                <w:szCs w:val="16"/>
              </w:rPr>
            </w:pPr>
            <w:r w:rsidRPr="00FA5F85">
              <w:rPr>
                <w:rFonts w:ascii="Arial" w:hAnsi="Arial" w:cs="Arial"/>
                <w:sz w:val="16"/>
                <w:szCs w:val="16"/>
              </w:rPr>
              <w:t>1.95 – 19.5</w:t>
            </w:r>
            <w:r w:rsidR="00FB536D" w:rsidRPr="00FA5F85">
              <w:rPr>
                <w:rFonts w:ascii="Arial" w:hAnsi="Arial" w:cs="Arial"/>
                <w:sz w:val="16"/>
                <w:szCs w:val="16"/>
              </w:rPr>
              <w:t xml:space="preserve"> (10.7)</w:t>
            </w:r>
          </w:p>
        </w:tc>
      </w:tr>
      <w:tr w:rsidR="00F539EB" w:rsidRPr="00FA5F85" w14:paraId="76DD00CE" w14:textId="77777777" w:rsidTr="00FB536D">
        <w:tc>
          <w:tcPr>
            <w:tcW w:w="1590" w:type="dxa"/>
            <w:vAlign w:val="center"/>
          </w:tcPr>
          <w:p w14:paraId="526C67C7" w14:textId="77777777" w:rsidR="00F539EB" w:rsidRPr="00FA5F85" w:rsidRDefault="00F539EB" w:rsidP="00F539EB">
            <w:pPr>
              <w:spacing w:line="300" w:lineRule="atLeast"/>
              <w:rPr>
                <w:rFonts w:ascii="Arial" w:hAnsi="Arial" w:cs="Arial"/>
                <w:sz w:val="16"/>
                <w:szCs w:val="16"/>
              </w:rPr>
            </w:pPr>
            <w:r w:rsidRPr="00FA5F85">
              <w:rPr>
                <w:rFonts w:ascii="Arial" w:hAnsi="Arial" w:cs="Arial"/>
                <w:sz w:val="16"/>
                <w:szCs w:val="16"/>
              </w:rPr>
              <w:t>Annual sales, 2016</w:t>
            </w:r>
          </w:p>
        </w:tc>
        <w:tc>
          <w:tcPr>
            <w:tcW w:w="969" w:type="dxa"/>
            <w:vAlign w:val="center"/>
          </w:tcPr>
          <w:p w14:paraId="23D621EC" w14:textId="5A9174F5" w:rsidR="00F539EB" w:rsidRPr="00FA5F85" w:rsidRDefault="00FB536D" w:rsidP="005C2229">
            <w:pPr>
              <w:spacing w:line="300" w:lineRule="atLeast"/>
              <w:jc w:val="center"/>
              <w:rPr>
                <w:rFonts w:ascii="Arial" w:hAnsi="Arial" w:cs="Arial"/>
                <w:sz w:val="16"/>
                <w:szCs w:val="16"/>
              </w:rPr>
            </w:pPr>
            <w:r w:rsidRPr="00FA5F85">
              <w:rPr>
                <w:rFonts w:ascii="Arial" w:hAnsi="Arial" w:cs="Arial"/>
                <w:sz w:val="16"/>
                <w:szCs w:val="16"/>
              </w:rPr>
              <w:t>3,8</w:t>
            </w:r>
            <w:r w:rsidR="005C2229" w:rsidRPr="00FA5F85">
              <w:rPr>
                <w:rFonts w:ascii="Arial" w:hAnsi="Arial" w:cs="Arial"/>
                <w:sz w:val="16"/>
                <w:szCs w:val="16"/>
              </w:rPr>
              <w:t>1</w:t>
            </w:r>
            <w:r w:rsidRPr="00FA5F85">
              <w:rPr>
                <w:rFonts w:ascii="Arial" w:hAnsi="Arial" w:cs="Arial"/>
                <w:sz w:val="16"/>
                <w:szCs w:val="16"/>
              </w:rPr>
              <w:t>0</w:t>
            </w:r>
          </w:p>
        </w:tc>
        <w:tc>
          <w:tcPr>
            <w:tcW w:w="1083" w:type="dxa"/>
            <w:vAlign w:val="center"/>
          </w:tcPr>
          <w:p w14:paraId="68E03266" w14:textId="77777777" w:rsidR="00F539EB" w:rsidRPr="00FA5F85" w:rsidRDefault="00FB536D" w:rsidP="009F5AB4">
            <w:pPr>
              <w:spacing w:line="300" w:lineRule="atLeast"/>
              <w:jc w:val="center"/>
              <w:rPr>
                <w:rFonts w:ascii="Arial" w:hAnsi="Arial" w:cs="Arial"/>
                <w:sz w:val="16"/>
                <w:szCs w:val="16"/>
              </w:rPr>
            </w:pPr>
            <w:r w:rsidRPr="00FA5F85">
              <w:rPr>
                <w:rFonts w:ascii="Arial" w:hAnsi="Arial" w:cs="Arial"/>
                <w:sz w:val="16"/>
                <w:szCs w:val="16"/>
              </w:rPr>
              <w:t>0.5 - 5</w:t>
            </w:r>
          </w:p>
        </w:tc>
        <w:tc>
          <w:tcPr>
            <w:tcW w:w="1311" w:type="dxa"/>
            <w:vAlign w:val="center"/>
          </w:tcPr>
          <w:p w14:paraId="7BFA60D2" w14:textId="178235B3" w:rsidR="00F539EB" w:rsidRPr="00FA5F85" w:rsidRDefault="00FB536D" w:rsidP="00B12769">
            <w:pPr>
              <w:spacing w:line="300" w:lineRule="atLeast"/>
              <w:jc w:val="center"/>
              <w:rPr>
                <w:rFonts w:ascii="Arial" w:hAnsi="Arial" w:cs="Arial"/>
                <w:sz w:val="16"/>
                <w:szCs w:val="16"/>
              </w:rPr>
            </w:pPr>
            <w:r w:rsidRPr="00FA5F85">
              <w:rPr>
                <w:rFonts w:ascii="Arial" w:hAnsi="Arial" w:cs="Arial"/>
                <w:sz w:val="16"/>
                <w:szCs w:val="16"/>
              </w:rPr>
              <w:t>1.9</w:t>
            </w:r>
            <w:r w:rsidR="009F0657" w:rsidRPr="00FA5F85">
              <w:rPr>
                <w:rFonts w:ascii="Arial" w:hAnsi="Arial" w:cs="Arial"/>
                <w:sz w:val="16"/>
                <w:szCs w:val="16"/>
              </w:rPr>
              <w:t>1</w:t>
            </w:r>
            <w:r w:rsidRPr="00FA5F85">
              <w:rPr>
                <w:rFonts w:ascii="Arial" w:hAnsi="Arial" w:cs="Arial"/>
                <w:sz w:val="16"/>
                <w:szCs w:val="16"/>
              </w:rPr>
              <w:t xml:space="preserve"> – 19.0</w:t>
            </w:r>
            <w:r w:rsidR="009F0657" w:rsidRPr="00FA5F85">
              <w:rPr>
                <w:rFonts w:ascii="Arial" w:hAnsi="Arial" w:cs="Arial"/>
                <w:sz w:val="16"/>
                <w:szCs w:val="16"/>
              </w:rPr>
              <w:t>5</w:t>
            </w:r>
            <w:r w:rsidRPr="00FA5F85">
              <w:rPr>
                <w:rFonts w:ascii="Arial" w:hAnsi="Arial" w:cs="Arial"/>
                <w:sz w:val="16"/>
                <w:szCs w:val="16"/>
              </w:rPr>
              <w:t xml:space="preserve"> (</w:t>
            </w:r>
            <w:r w:rsidR="00AE16C6" w:rsidRPr="00FA5F85">
              <w:rPr>
                <w:rFonts w:ascii="Arial" w:hAnsi="Arial" w:cs="Arial"/>
                <w:sz w:val="16"/>
                <w:szCs w:val="16"/>
              </w:rPr>
              <w:t>10.</w:t>
            </w:r>
            <w:r w:rsidR="00E13A5B" w:rsidRPr="00FA5F85">
              <w:rPr>
                <w:rFonts w:ascii="Arial" w:hAnsi="Arial" w:cs="Arial"/>
                <w:sz w:val="16"/>
                <w:szCs w:val="16"/>
              </w:rPr>
              <w:t>48</w:t>
            </w:r>
            <w:r w:rsidRPr="00FA5F85">
              <w:rPr>
                <w:rFonts w:ascii="Arial" w:hAnsi="Arial" w:cs="Arial"/>
                <w:sz w:val="16"/>
                <w:szCs w:val="16"/>
              </w:rPr>
              <w:t>)</w:t>
            </w:r>
          </w:p>
        </w:tc>
        <w:tc>
          <w:tcPr>
            <w:tcW w:w="1425" w:type="dxa"/>
            <w:vAlign w:val="center"/>
          </w:tcPr>
          <w:p w14:paraId="4F615C76" w14:textId="7B4E8868" w:rsidR="00F539EB" w:rsidRPr="00FA5F85" w:rsidRDefault="009337A9" w:rsidP="009F0657">
            <w:pPr>
              <w:spacing w:line="300" w:lineRule="atLeast"/>
              <w:jc w:val="center"/>
              <w:rPr>
                <w:rFonts w:ascii="Arial" w:hAnsi="Arial" w:cs="Arial"/>
                <w:sz w:val="16"/>
                <w:szCs w:val="16"/>
              </w:rPr>
            </w:pPr>
            <w:r w:rsidRPr="00FA5F85">
              <w:rPr>
                <w:rFonts w:ascii="Arial" w:hAnsi="Arial" w:cs="Arial"/>
                <w:sz w:val="16"/>
                <w:szCs w:val="16"/>
              </w:rPr>
              <w:t>0.19 – 1.9</w:t>
            </w:r>
            <w:r w:rsidR="00E13A5B" w:rsidRPr="00FA5F85">
              <w:rPr>
                <w:rFonts w:ascii="Arial" w:hAnsi="Arial" w:cs="Arial"/>
                <w:sz w:val="16"/>
                <w:szCs w:val="16"/>
              </w:rPr>
              <w:t>1   (1.05</w:t>
            </w:r>
            <w:r w:rsidR="00FB536D" w:rsidRPr="00FA5F85">
              <w:rPr>
                <w:rFonts w:ascii="Arial" w:hAnsi="Arial" w:cs="Arial"/>
                <w:sz w:val="16"/>
                <w:szCs w:val="16"/>
              </w:rPr>
              <w:t>)</w:t>
            </w:r>
          </w:p>
        </w:tc>
        <w:tc>
          <w:tcPr>
            <w:tcW w:w="1425" w:type="dxa"/>
          </w:tcPr>
          <w:p w14:paraId="65250497" w14:textId="0ED3F765" w:rsidR="00F539EB" w:rsidRPr="00FA5F85" w:rsidRDefault="009337A9" w:rsidP="00B12769">
            <w:pPr>
              <w:spacing w:line="300" w:lineRule="atLeast"/>
              <w:jc w:val="center"/>
              <w:rPr>
                <w:rFonts w:ascii="Arial" w:hAnsi="Arial" w:cs="Arial"/>
                <w:sz w:val="16"/>
                <w:szCs w:val="16"/>
              </w:rPr>
            </w:pPr>
            <w:r w:rsidRPr="00FA5F85">
              <w:rPr>
                <w:rFonts w:ascii="Arial" w:hAnsi="Arial" w:cs="Arial"/>
                <w:sz w:val="16"/>
                <w:szCs w:val="16"/>
              </w:rPr>
              <w:t>0</w:t>
            </w:r>
            <w:r w:rsidR="009F0657" w:rsidRPr="00FA5F85">
              <w:rPr>
                <w:rFonts w:ascii="Arial" w:hAnsi="Arial" w:cs="Arial"/>
                <w:sz w:val="16"/>
                <w:szCs w:val="16"/>
              </w:rPr>
              <w:t>.57 – 5.72</w:t>
            </w:r>
            <w:r w:rsidRPr="00FA5F85">
              <w:rPr>
                <w:rFonts w:ascii="Arial" w:hAnsi="Arial" w:cs="Arial"/>
                <w:sz w:val="16"/>
                <w:szCs w:val="16"/>
              </w:rPr>
              <w:t xml:space="preserve">  (3.1</w:t>
            </w:r>
            <w:r w:rsidR="00E13A5B" w:rsidRPr="00FA5F85">
              <w:rPr>
                <w:rFonts w:ascii="Arial" w:hAnsi="Arial" w:cs="Arial"/>
                <w:sz w:val="16"/>
                <w:szCs w:val="16"/>
              </w:rPr>
              <w:t>4</w:t>
            </w:r>
            <w:r w:rsidR="00FB536D" w:rsidRPr="00FA5F85">
              <w:rPr>
                <w:rFonts w:ascii="Arial" w:hAnsi="Arial" w:cs="Arial"/>
                <w:sz w:val="16"/>
                <w:szCs w:val="16"/>
              </w:rPr>
              <w:t>)</w:t>
            </w:r>
          </w:p>
        </w:tc>
        <w:tc>
          <w:tcPr>
            <w:tcW w:w="1425" w:type="dxa"/>
            <w:vAlign w:val="center"/>
          </w:tcPr>
          <w:p w14:paraId="582DFA02" w14:textId="0EF2D578" w:rsidR="00F539EB" w:rsidRPr="00FA5F85" w:rsidRDefault="00E13A5B" w:rsidP="00DD3364">
            <w:pPr>
              <w:spacing w:line="300" w:lineRule="atLeast"/>
              <w:jc w:val="center"/>
              <w:rPr>
                <w:rFonts w:ascii="Arial" w:hAnsi="Arial" w:cs="Arial"/>
                <w:sz w:val="16"/>
                <w:szCs w:val="16"/>
              </w:rPr>
            </w:pPr>
            <w:r w:rsidRPr="00FA5F85">
              <w:rPr>
                <w:rFonts w:ascii="Arial" w:hAnsi="Arial" w:cs="Arial"/>
                <w:sz w:val="16"/>
                <w:szCs w:val="16"/>
              </w:rPr>
              <w:t>1.14 – 11.4  (6.29</w:t>
            </w:r>
            <w:r w:rsidR="00FB536D" w:rsidRPr="00FA5F85">
              <w:rPr>
                <w:rFonts w:ascii="Arial" w:hAnsi="Arial" w:cs="Arial"/>
                <w:sz w:val="16"/>
                <w:szCs w:val="16"/>
              </w:rPr>
              <w:t>)</w:t>
            </w:r>
          </w:p>
        </w:tc>
      </w:tr>
      <w:tr w:rsidR="00C14859" w:rsidRPr="00FA5F85" w14:paraId="765821B5" w14:textId="77777777" w:rsidTr="00FB536D">
        <w:tc>
          <w:tcPr>
            <w:tcW w:w="1590" w:type="dxa"/>
            <w:vAlign w:val="center"/>
          </w:tcPr>
          <w:p w14:paraId="2D653693" w14:textId="197BD8CF" w:rsidR="00C14859" w:rsidRPr="00FA5F85" w:rsidRDefault="00C14859" w:rsidP="00F539EB">
            <w:pPr>
              <w:spacing w:line="300" w:lineRule="atLeast"/>
              <w:rPr>
                <w:rFonts w:ascii="Arial" w:hAnsi="Arial" w:cs="Arial"/>
                <w:sz w:val="16"/>
                <w:szCs w:val="16"/>
              </w:rPr>
            </w:pPr>
            <w:r w:rsidRPr="00FA5F85">
              <w:rPr>
                <w:rFonts w:ascii="Arial" w:hAnsi="Arial" w:cs="Arial"/>
                <w:sz w:val="16"/>
                <w:szCs w:val="16"/>
              </w:rPr>
              <w:t>Annual sales, 2020</w:t>
            </w:r>
          </w:p>
        </w:tc>
        <w:tc>
          <w:tcPr>
            <w:tcW w:w="969" w:type="dxa"/>
            <w:vAlign w:val="center"/>
          </w:tcPr>
          <w:p w14:paraId="1EEB6638" w14:textId="1133A305" w:rsidR="00C14859" w:rsidRPr="00FA5F85" w:rsidRDefault="00AC0C9A" w:rsidP="005C2229">
            <w:pPr>
              <w:spacing w:line="300" w:lineRule="atLeast"/>
              <w:jc w:val="center"/>
              <w:rPr>
                <w:rFonts w:ascii="Arial" w:hAnsi="Arial" w:cs="Arial"/>
                <w:sz w:val="16"/>
                <w:szCs w:val="16"/>
              </w:rPr>
            </w:pPr>
            <w:r w:rsidRPr="00FA5F85">
              <w:rPr>
                <w:rFonts w:ascii="Arial" w:hAnsi="Arial" w:cs="Arial"/>
                <w:sz w:val="16"/>
                <w:szCs w:val="16"/>
              </w:rPr>
              <w:t>1</w:t>
            </w:r>
            <w:r w:rsidR="009D6D91" w:rsidRPr="00FA5F85">
              <w:rPr>
                <w:rFonts w:ascii="Arial" w:hAnsi="Arial" w:cs="Arial"/>
                <w:sz w:val="16"/>
                <w:szCs w:val="16"/>
              </w:rPr>
              <w:t>,</w:t>
            </w:r>
            <w:r w:rsidRPr="00FA5F85">
              <w:rPr>
                <w:rFonts w:ascii="Arial" w:hAnsi="Arial" w:cs="Arial"/>
                <w:sz w:val="16"/>
                <w:szCs w:val="16"/>
              </w:rPr>
              <w:t>107</w:t>
            </w:r>
          </w:p>
        </w:tc>
        <w:tc>
          <w:tcPr>
            <w:tcW w:w="1083" w:type="dxa"/>
            <w:vAlign w:val="center"/>
          </w:tcPr>
          <w:p w14:paraId="47BD2A64" w14:textId="107F53C1" w:rsidR="00C14859" w:rsidRPr="00FA5F85" w:rsidRDefault="00C14859" w:rsidP="009F5AB4">
            <w:pPr>
              <w:spacing w:line="300" w:lineRule="atLeast"/>
              <w:jc w:val="center"/>
              <w:rPr>
                <w:rFonts w:ascii="Arial" w:hAnsi="Arial" w:cs="Arial"/>
                <w:sz w:val="16"/>
                <w:szCs w:val="16"/>
              </w:rPr>
            </w:pPr>
            <w:r w:rsidRPr="00FA5F85">
              <w:rPr>
                <w:rFonts w:ascii="Arial" w:hAnsi="Arial" w:cs="Arial"/>
                <w:sz w:val="16"/>
                <w:szCs w:val="16"/>
              </w:rPr>
              <w:t>0.5 - 5</w:t>
            </w:r>
          </w:p>
        </w:tc>
        <w:tc>
          <w:tcPr>
            <w:tcW w:w="1311" w:type="dxa"/>
            <w:vAlign w:val="center"/>
          </w:tcPr>
          <w:p w14:paraId="3F101313" w14:textId="5CDEE720" w:rsidR="00C14859" w:rsidRPr="00FA5F85" w:rsidRDefault="00AC0C9A" w:rsidP="00B12769">
            <w:pPr>
              <w:spacing w:line="300" w:lineRule="atLeast"/>
              <w:jc w:val="center"/>
              <w:rPr>
                <w:rFonts w:ascii="Arial" w:hAnsi="Arial" w:cs="Arial"/>
                <w:sz w:val="16"/>
                <w:szCs w:val="16"/>
              </w:rPr>
            </w:pPr>
            <w:r w:rsidRPr="00FA5F85">
              <w:rPr>
                <w:rFonts w:ascii="Arial" w:hAnsi="Arial" w:cs="Arial"/>
                <w:sz w:val="16"/>
                <w:szCs w:val="16"/>
              </w:rPr>
              <w:t>0.554 – 5.54 (3.0</w:t>
            </w:r>
            <w:r w:rsidR="001F6EB0" w:rsidRPr="00FA5F85">
              <w:rPr>
                <w:rFonts w:ascii="Arial" w:hAnsi="Arial" w:cs="Arial"/>
                <w:sz w:val="16"/>
                <w:szCs w:val="16"/>
              </w:rPr>
              <w:t>4</w:t>
            </w:r>
            <w:r w:rsidRPr="00FA5F85">
              <w:rPr>
                <w:rFonts w:ascii="Arial" w:hAnsi="Arial" w:cs="Arial"/>
                <w:sz w:val="16"/>
                <w:szCs w:val="16"/>
              </w:rPr>
              <w:t>)</w:t>
            </w:r>
          </w:p>
        </w:tc>
        <w:tc>
          <w:tcPr>
            <w:tcW w:w="1425" w:type="dxa"/>
            <w:vAlign w:val="center"/>
          </w:tcPr>
          <w:p w14:paraId="66B88416" w14:textId="508AE0D4" w:rsidR="00C14859" w:rsidRPr="00FA5F85" w:rsidRDefault="00AC0C9A" w:rsidP="009F0657">
            <w:pPr>
              <w:spacing w:line="300" w:lineRule="atLeast"/>
              <w:jc w:val="center"/>
              <w:rPr>
                <w:rFonts w:ascii="Arial" w:hAnsi="Arial" w:cs="Arial"/>
                <w:sz w:val="16"/>
                <w:szCs w:val="16"/>
              </w:rPr>
            </w:pPr>
            <w:r w:rsidRPr="00FA5F85">
              <w:rPr>
                <w:rFonts w:ascii="Arial" w:hAnsi="Arial" w:cs="Arial"/>
                <w:sz w:val="16"/>
                <w:szCs w:val="16"/>
              </w:rPr>
              <w:t>0.055 – 0.554</w:t>
            </w:r>
            <w:r w:rsidR="009362F3" w:rsidRPr="00FA5F85">
              <w:rPr>
                <w:rFonts w:ascii="Arial" w:hAnsi="Arial" w:cs="Arial"/>
                <w:sz w:val="16"/>
                <w:szCs w:val="16"/>
              </w:rPr>
              <w:t xml:space="preserve"> (0.305)</w:t>
            </w:r>
          </w:p>
        </w:tc>
        <w:tc>
          <w:tcPr>
            <w:tcW w:w="1425" w:type="dxa"/>
          </w:tcPr>
          <w:p w14:paraId="4FB02512" w14:textId="4C9DA2C1" w:rsidR="00C14859" w:rsidRPr="00FA5F85" w:rsidRDefault="009362F3" w:rsidP="00B12769">
            <w:pPr>
              <w:spacing w:line="300" w:lineRule="atLeast"/>
              <w:jc w:val="center"/>
              <w:rPr>
                <w:rFonts w:ascii="Arial" w:hAnsi="Arial" w:cs="Arial"/>
                <w:sz w:val="16"/>
                <w:szCs w:val="16"/>
              </w:rPr>
            </w:pPr>
            <w:r w:rsidRPr="00FA5F85">
              <w:rPr>
                <w:rFonts w:ascii="Arial" w:hAnsi="Arial" w:cs="Arial"/>
                <w:sz w:val="16"/>
                <w:szCs w:val="16"/>
              </w:rPr>
              <w:t>0.166 – 1.66 (0.91)</w:t>
            </w:r>
          </w:p>
        </w:tc>
        <w:tc>
          <w:tcPr>
            <w:tcW w:w="1425" w:type="dxa"/>
            <w:vAlign w:val="center"/>
          </w:tcPr>
          <w:p w14:paraId="338AFEA7" w14:textId="19544C0B" w:rsidR="00C14859" w:rsidRPr="00FA5F85" w:rsidRDefault="009362F3" w:rsidP="00DD3364">
            <w:pPr>
              <w:spacing w:line="300" w:lineRule="atLeast"/>
              <w:jc w:val="center"/>
              <w:rPr>
                <w:rFonts w:ascii="Arial" w:hAnsi="Arial" w:cs="Arial"/>
                <w:sz w:val="16"/>
                <w:szCs w:val="16"/>
              </w:rPr>
            </w:pPr>
            <w:r w:rsidRPr="00FA5F85">
              <w:rPr>
                <w:rFonts w:ascii="Arial" w:hAnsi="Arial" w:cs="Arial"/>
                <w:sz w:val="16"/>
                <w:szCs w:val="16"/>
              </w:rPr>
              <w:t>0.332 – 3.32 (1.83)</w:t>
            </w:r>
          </w:p>
        </w:tc>
      </w:tr>
      <w:tr w:rsidR="00FA5F85" w:rsidRPr="00FA5F85" w14:paraId="169B90E5" w14:textId="77777777" w:rsidTr="00FB536D">
        <w:tc>
          <w:tcPr>
            <w:tcW w:w="1590" w:type="dxa"/>
            <w:vAlign w:val="center"/>
          </w:tcPr>
          <w:p w14:paraId="387A387A" w14:textId="4DB04351" w:rsidR="00FA5F85" w:rsidRPr="00FA5F85" w:rsidRDefault="00FA5F85" w:rsidP="00F539EB">
            <w:pPr>
              <w:spacing w:line="300" w:lineRule="atLeast"/>
              <w:rPr>
                <w:rFonts w:ascii="Arial" w:hAnsi="Arial" w:cs="Arial"/>
                <w:sz w:val="16"/>
                <w:szCs w:val="16"/>
              </w:rPr>
            </w:pPr>
            <w:r>
              <w:rPr>
                <w:rFonts w:ascii="Arial" w:hAnsi="Arial" w:cs="Arial"/>
                <w:sz w:val="16"/>
                <w:szCs w:val="16"/>
              </w:rPr>
              <w:t>Annual sales, 2024</w:t>
            </w:r>
          </w:p>
        </w:tc>
        <w:tc>
          <w:tcPr>
            <w:tcW w:w="969" w:type="dxa"/>
            <w:vAlign w:val="center"/>
          </w:tcPr>
          <w:p w14:paraId="43D57776" w14:textId="2C0DC92C" w:rsidR="00FA5F85" w:rsidRPr="00FA5F85" w:rsidRDefault="00FA5F85" w:rsidP="005C2229">
            <w:pPr>
              <w:spacing w:line="300" w:lineRule="atLeast"/>
              <w:jc w:val="center"/>
              <w:rPr>
                <w:rFonts w:ascii="Arial" w:hAnsi="Arial" w:cs="Arial"/>
                <w:sz w:val="16"/>
                <w:szCs w:val="16"/>
              </w:rPr>
            </w:pPr>
            <w:r>
              <w:rPr>
                <w:rFonts w:ascii="Arial" w:hAnsi="Arial" w:cs="Arial"/>
                <w:sz w:val="16"/>
                <w:szCs w:val="16"/>
              </w:rPr>
              <w:t>1</w:t>
            </w:r>
          </w:p>
        </w:tc>
        <w:tc>
          <w:tcPr>
            <w:tcW w:w="1083" w:type="dxa"/>
            <w:vAlign w:val="center"/>
          </w:tcPr>
          <w:p w14:paraId="6F54CD38" w14:textId="52A87F70" w:rsidR="00FA5F85" w:rsidRPr="00FA5F85" w:rsidRDefault="00FA5F85" w:rsidP="009F5AB4">
            <w:pPr>
              <w:spacing w:line="300" w:lineRule="atLeast"/>
              <w:jc w:val="center"/>
              <w:rPr>
                <w:rFonts w:ascii="Arial" w:hAnsi="Arial" w:cs="Arial"/>
                <w:sz w:val="16"/>
                <w:szCs w:val="16"/>
              </w:rPr>
            </w:pPr>
            <w:r>
              <w:rPr>
                <w:rFonts w:ascii="Arial" w:hAnsi="Arial" w:cs="Arial"/>
                <w:sz w:val="16"/>
                <w:szCs w:val="16"/>
              </w:rPr>
              <w:t>0.5 - 5</w:t>
            </w:r>
          </w:p>
        </w:tc>
        <w:tc>
          <w:tcPr>
            <w:tcW w:w="1311" w:type="dxa"/>
            <w:vAlign w:val="center"/>
          </w:tcPr>
          <w:p w14:paraId="2351D801" w14:textId="5DEA5B30" w:rsidR="00FA5F85" w:rsidRPr="00FA5F85" w:rsidRDefault="00FA5F85" w:rsidP="00B12769">
            <w:pPr>
              <w:spacing w:line="300" w:lineRule="atLeast"/>
              <w:jc w:val="center"/>
              <w:rPr>
                <w:rFonts w:ascii="Arial" w:hAnsi="Arial" w:cs="Arial"/>
                <w:sz w:val="16"/>
                <w:szCs w:val="16"/>
              </w:rPr>
            </w:pPr>
            <w:r>
              <w:rPr>
                <w:rFonts w:ascii="Arial" w:hAnsi="Arial" w:cs="Arial"/>
                <w:sz w:val="16"/>
                <w:szCs w:val="16"/>
              </w:rPr>
              <w:t>0.0005 – 0.005</w:t>
            </w:r>
            <w:r w:rsidR="00D13262">
              <w:rPr>
                <w:rFonts w:ascii="Arial" w:hAnsi="Arial" w:cs="Arial"/>
                <w:sz w:val="16"/>
                <w:szCs w:val="16"/>
              </w:rPr>
              <w:t xml:space="preserve"> (0.0028)</w:t>
            </w:r>
          </w:p>
        </w:tc>
        <w:tc>
          <w:tcPr>
            <w:tcW w:w="1425" w:type="dxa"/>
            <w:vAlign w:val="center"/>
          </w:tcPr>
          <w:p w14:paraId="15D85F2E" w14:textId="0FA08216" w:rsidR="00FA5F85" w:rsidRPr="00FA5F85" w:rsidRDefault="00D13262" w:rsidP="009F0657">
            <w:pPr>
              <w:spacing w:line="300" w:lineRule="atLeast"/>
              <w:jc w:val="center"/>
              <w:rPr>
                <w:rFonts w:ascii="Arial" w:hAnsi="Arial" w:cs="Arial"/>
                <w:sz w:val="16"/>
                <w:szCs w:val="16"/>
              </w:rPr>
            </w:pPr>
            <w:r>
              <w:rPr>
                <w:rFonts w:ascii="Arial" w:hAnsi="Arial" w:cs="Arial"/>
                <w:sz w:val="16"/>
                <w:szCs w:val="16"/>
              </w:rPr>
              <w:t>0.00005 – 0.0005 (0.00028)</w:t>
            </w:r>
          </w:p>
        </w:tc>
        <w:tc>
          <w:tcPr>
            <w:tcW w:w="1425" w:type="dxa"/>
          </w:tcPr>
          <w:p w14:paraId="28C81FC2" w14:textId="708AA90E" w:rsidR="00FA5F85" w:rsidRPr="00FA5F85" w:rsidRDefault="00D13262" w:rsidP="00B12769">
            <w:pPr>
              <w:spacing w:line="300" w:lineRule="atLeast"/>
              <w:jc w:val="center"/>
              <w:rPr>
                <w:rFonts w:ascii="Arial" w:hAnsi="Arial" w:cs="Arial"/>
                <w:sz w:val="16"/>
                <w:szCs w:val="16"/>
              </w:rPr>
            </w:pPr>
            <w:r>
              <w:rPr>
                <w:rFonts w:ascii="Arial" w:hAnsi="Arial" w:cs="Arial"/>
                <w:sz w:val="16"/>
                <w:szCs w:val="16"/>
              </w:rPr>
              <w:t>0.00015 – 0.0015 (0.00083)</w:t>
            </w:r>
          </w:p>
        </w:tc>
        <w:tc>
          <w:tcPr>
            <w:tcW w:w="1425" w:type="dxa"/>
            <w:vAlign w:val="center"/>
          </w:tcPr>
          <w:p w14:paraId="20772A39" w14:textId="0D2C5A62" w:rsidR="00FA5F85" w:rsidRPr="00FA5F85" w:rsidRDefault="00D13262" w:rsidP="00DD3364">
            <w:pPr>
              <w:spacing w:line="300" w:lineRule="atLeast"/>
              <w:jc w:val="center"/>
              <w:rPr>
                <w:rFonts w:ascii="Arial" w:hAnsi="Arial" w:cs="Arial"/>
                <w:sz w:val="16"/>
                <w:szCs w:val="16"/>
              </w:rPr>
            </w:pPr>
            <w:r>
              <w:rPr>
                <w:rFonts w:ascii="Arial" w:hAnsi="Arial" w:cs="Arial"/>
                <w:sz w:val="16"/>
                <w:szCs w:val="16"/>
              </w:rPr>
              <w:t>0.0003 – 0.003 (0.0017)</w:t>
            </w:r>
          </w:p>
        </w:tc>
      </w:tr>
    </w:tbl>
    <w:p w14:paraId="1774D620" w14:textId="77777777" w:rsidR="009F5AB4" w:rsidRPr="00FA5F85" w:rsidRDefault="009F5AB4" w:rsidP="009F5AB4">
      <w:pPr>
        <w:tabs>
          <w:tab w:val="left" w:pos="2760"/>
        </w:tabs>
        <w:spacing w:before="120" w:line="300" w:lineRule="atLeast"/>
        <w:jc w:val="both"/>
        <w:rPr>
          <w:rFonts w:ascii="Arial" w:hAnsi="Arial" w:cs="Arial"/>
          <w:b/>
          <w:szCs w:val="18"/>
        </w:rPr>
      </w:pPr>
      <w:r w:rsidRPr="00FA5F85">
        <w:rPr>
          <w:rFonts w:ascii="Arial" w:hAnsi="Arial" w:cs="Arial"/>
          <w:b/>
          <w:szCs w:val="18"/>
        </w:rPr>
        <w:t>Certainty assessment</w:t>
      </w:r>
    </w:p>
    <w:p w14:paraId="784743B1" w14:textId="1431E71B" w:rsidR="009F5AB4" w:rsidRPr="00FA5F85" w:rsidRDefault="009F5AB4" w:rsidP="009F5AB4">
      <w:pPr>
        <w:tabs>
          <w:tab w:val="left" w:pos="1701"/>
        </w:tabs>
        <w:spacing w:line="300" w:lineRule="atLeast"/>
        <w:jc w:val="both"/>
        <w:rPr>
          <w:szCs w:val="18"/>
        </w:rPr>
      </w:pPr>
      <w:r w:rsidRPr="00FA5F85">
        <w:rPr>
          <w:szCs w:val="18"/>
        </w:rPr>
        <w:t xml:space="preserve">Activity data: </w:t>
      </w:r>
      <w:r w:rsidRPr="00FA5F85">
        <w:rPr>
          <w:szCs w:val="18"/>
        </w:rPr>
        <w:tab/>
      </w:r>
      <w:r w:rsidR="00B871DA" w:rsidRPr="00FA5F85">
        <w:rPr>
          <w:szCs w:val="18"/>
        </w:rPr>
        <w:t>MEDIUM</w:t>
      </w:r>
      <w:r w:rsidRPr="00FA5F85">
        <w:rPr>
          <w:szCs w:val="18"/>
        </w:rPr>
        <w:t xml:space="preserve"> (because it is based on </w:t>
      </w:r>
      <w:r w:rsidR="001D5B6B">
        <w:rPr>
          <w:szCs w:val="18"/>
        </w:rPr>
        <w:t xml:space="preserve">limited </w:t>
      </w:r>
      <w:r w:rsidR="00B871DA" w:rsidRPr="00FA5F85">
        <w:rPr>
          <w:szCs w:val="18"/>
        </w:rPr>
        <w:t>survey data</w:t>
      </w:r>
      <w:r w:rsidRPr="00FA5F85">
        <w:rPr>
          <w:szCs w:val="18"/>
        </w:rPr>
        <w:t>)</w:t>
      </w:r>
    </w:p>
    <w:p w14:paraId="60FCD4BC" w14:textId="77777777" w:rsidR="009F5AB4" w:rsidRPr="00FA5F85" w:rsidRDefault="009F5AB4" w:rsidP="009F5AB4">
      <w:pPr>
        <w:tabs>
          <w:tab w:val="left" w:pos="1701"/>
        </w:tabs>
        <w:spacing w:line="300" w:lineRule="atLeast"/>
        <w:jc w:val="both"/>
        <w:rPr>
          <w:szCs w:val="18"/>
        </w:rPr>
      </w:pPr>
      <w:r w:rsidRPr="00FA5F85">
        <w:rPr>
          <w:szCs w:val="18"/>
        </w:rPr>
        <w:t xml:space="preserve">Input estimates: </w:t>
      </w:r>
      <w:r w:rsidRPr="00FA5F85">
        <w:rPr>
          <w:szCs w:val="18"/>
        </w:rPr>
        <w:tab/>
        <w:t xml:space="preserve">LOW (because they are based on </w:t>
      </w:r>
      <w:r w:rsidR="00B871DA" w:rsidRPr="00FA5F85">
        <w:rPr>
          <w:szCs w:val="18"/>
        </w:rPr>
        <w:t>the Toolkit default factors</w:t>
      </w:r>
      <w:r w:rsidRPr="00FA5F85">
        <w:rPr>
          <w:szCs w:val="18"/>
        </w:rPr>
        <w:t>)</w:t>
      </w:r>
    </w:p>
    <w:p w14:paraId="5E7A1ED1" w14:textId="77777777" w:rsidR="009F5AB4" w:rsidRPr="00C06775" w:rsidRDefault="009F5AB4" w:rsidP="009F5AB4">
      <w:pPr>
        <w:tabs>
          <w:tab w:val="left" w:pos="1701"/>
        </w:tabs>
        <w:spacing w:line="300" w:lineRule="atLeast"/>
        <w:jc w:val="both"/>
        <w:rPr>
          <w:szCs w:val="18"/>
        </w:rPr>
      </w:pPr>
      <w:r w:rsidRPr="00FA5F85">
        <w:rPr>
          <w:szCs w:val="18"/>
        </w:rPr>
        <w:t xml:space="preserve">Output estimates: </w:t>
      </w:r>
      <w:r w:rsidRPr="00FA5F85">
        <w:rPr>
          <w:szCs w:val="18"/>
        </w:rPr>
        <w:tab/>
        <w:t xml:space="preserve">LOW (because </w:t>
      </w:r>
      <w:r w:rsidR="00B871DA" w:rsidRPr="00FA5F85">
        <w:rPr>
          <w:szCs w:val="18"/>
        </w:rPr>
        <w:t>they are based on the Toolkit default factors</w:t>
      </w:r>
      <w:r w:rsidRPr="00FA5F85">
        <w:rPr>
          <w:szCs w:val="18"/>
        </w:rPr>
        <w:t>).</w:t>
      </w:r>
    </w:p>
    <w:p w14:paraId="0DFD0EB2" w14:textId="77777777" w:rsidR="00F215CA" w:rsidRPr="008F1D97" w:rsidRDefault="00700CDE" w:rsidP="00700CDE">
      <w:pPr>
        <w:pStyle w:val="Heading2"/>
      </w:pPr>
      <w:bookmarkStart w:id="92" w:name="_Toc110355537"/>
      <w:r w:rsidRPr="008F1D97">
        <w:t>Electrical and electronic switches, contacts and relays</w:t>
      </w:r>
      <w:bookmarkEnd w:id="92"/>
    </w:p>
    <w:p w14:paraId="4029832D" w14:textId="49AD8907" w:rsidR="00F215CA" w:rsidRDefault="00A6353F" w:rsidP="003833D6">
      <w:pPr>
        <w:spacing w:line="300" w:lineRule="atLeast"/>
        <w:jc w:val="both"/>
        <w:rPr>
          <w:szCs w:val="18"/>
        </w:rPr>
      </w:pPr>
      <w:r w:rsidRPr="008F1D97">
        <w:rPr>
          <w:szCs w:val="18"/>
        </w:rPr>
        <w:t>Mercury has been used, and continues to be used, in a variety of electrical switches and relays. Histori</w:t>
      </w:r>
      <w:r w:rsidR="00967CFC" w:rsidRPr="008F1D97">
        <w:rPr>
          <w:szCs w:val="18"/>
        </w:rPr>
        <w:t xml:space="preserve">cally, one of the largest uses </w:t>
      </w:r>
      <w:r w:rsidRPr="008F1D97">
        <w:rPr>
          <w:szCs w:val="18"/>
        </w:rPr>
        <w:t>by volumes of mercury</w:t>
      </w:r>
      <w:r w:rsidR="00967CFC" w:rsidRPr="008F1D97">
        <w:rPr>
          <w:szCs w:val="18"/>
        </w:rPr>
        <w:t>,</w:t>
      </w:r>
      <w:r w:rsidRPr="008F1D97">
        <w:rPr>
          <w:szCs w:val="18"/>
        </w:rPr>
        <w:t xml:space="preserve"> per unit</w:t>
      </w:r>
      <w:r w:rsidR="00967CFC" w:rsidRPr="008F1D97">
        <w:rPr>
          <w:szCs w:val="18"/>
        </w:rPr>
        <w:t>,</w:t>
      </w:r>
      <w:r w:rsidRPr="008F1D97">
        <w:rPr>
          <w:szCs w:val="18"/>
        </w:rPr>
        <w:t xml:space="preserve"> was in electrical rectifiers and </w:t>
      </w:r>
      <w:r w:rsidR="00967CFC" w:rsidRPr="008F1D97">
        <w:rPr>
          <w:szCs w:val="18"/>
        </w:rPr>
        <w:t>mercury arc valves, which were used in electricity distribution networks</w:t>
      </w:r>
      <w:r w:rsidR="007A32B6" w:rsidRPr="008F1D97">
        <w:rPr>
          <w:szCs w:val="18"/>
        </w:rPr>
        <w:t xml:space="preserve"> and industrial facilities</w:t>
      </w:r>
      <w:r w:rsidR="00967CFC" w:rsidRPr="008F1D97">
        <w:rPr>
          <w:szCs w:val="18"/>
        </w:rPr>
        <w:t xml:space="preserve">. This type of equipment has a long service life, so there may still be a significant number of items still in use, despite the ready availability of non-mercury alternatives. At the consumer level, small mercury tilt switches have </w:t>
      </w:r>
      <w:r w:rsidR="007332EE" w:rsidRPr="008F1D97">
        <w:rPr>
          <w:szCs w:val="18"/>
        </w:rPr>
        <w:t xml:space="preserve">been widely used in many </w:t>
      </w:r>
      <w:r w:rsidR="00967CFC" w:rsidRPr="008F1D97">
        <w:rPr>
          <w:szCs w:val="18"/>
        </w:rPr>
        <w:t>electrical appliances</w:t>
      </w:r>
      <w:r w:rsidR="007332EE" w:rsidRPr="008F1D97">
        <w:rPr>
          <w:szCs w:val="18"/>
        </w:rPr>
        <w:t>, and in car boot li</w:t>
      </w:r>
      <w:r w:rsidR="007A32B6" w:rsidRPr="008F1D97">
        <w:rPr>
          <w:szCs w:val="18"/>
        </w:rPr>
        <w:t>ght switches and ABS braking systems</w:t>
      </w:r>
      <w:r w:rsidR="007332EE" w:rsidRPr="008F1D97">
        <w:rPr>
          <w:szCs w:val="18"/>
        </w:rPr>
        <w:t xml:space="preserve">. </w:t>
      </w:r>
      <w:r w:rsidR="007A32B6" w:rsidRPr="008F1D97">
        <w:rPr>
          <w:szCs w:val="18"/>
        </w:rPr>
        <w:t xml:space="preserve">Mercury switches can also </w:t>
      </w:r>
      <w:r w:rsidR="00917E95" w:rsidRPr="008F1D97">
        <w:rPr>
          <w:szCs w:val="18"/>
        </w:rPr>
        <w:t xml:space="preserve">be </w:t>
      </w:r>
      <w:r w:rsidR="007A32B6" w:rsidRPr="008F1D97">
        <w:rPr>
          <w:szCs w:val="18"/>
        </w:rPr>
        <w:t>found in some electrical thermostats, flame sensors, and bilge pumps for boats</w:t>
      </w:r>
      <w:r w:rsidR="00E979AB" w:rsidRPr="008F1D97">
        <w:rPr>
          <w:szCs w:val="18"/>
        </w:rPr>
        <w:t xml:space="preserve"> (</w:t>
      </w:r>
      <w:r w:rsidR="00C738EC" w:rsidRPr="008F1D97">
        <w:rPr>
          <w:szCs w:val="18"/>
        </w:rPr>
        <w:t>UNEP,</w:t>
      </w:r>
      <w:r w:rsidR="00CF190C">
        <w:rPr>
          <w:szCs w:val="18"/>
        </w:rPr>
        <w:t xml:space="preserve"> </w:t>
      </w:r>
      <w:r w:rsidR="00B51E8B">
        <w:rPr>
          <w:szCs w:val="18"/>
        </w:rPr>
        <w:t>2023</w:t>
      </w:r>
      <w:r w:rsidR="00E979AB" w:rsidRPr="008F1D97">
        <w:rPr>
          <w:szCs w:val="18"/>
        </w:rPr>
        <w:t>)</w:t>
      </w:r>
      <w:r w:rsidR="007A32B6" w:rsidRPr="008F1D97">
        <w:rPr>
          <w:szCs w:val="18"/>
        </w:rPr>
        <w:t>.</w:t>
      </w:r>
    </w:p>
    <w:p w14:paraId="0624771E" w14:textId="2664CB67" w:rsidR="00965BC1" w:rsidRPr="008F1D97" w:rsidRDefault="00965BC1" w:rsidP="003833D6">
      <w:pPr>
        <w:spacing w:line="300" w:lineRule="atLeast"/>
        <w:jc w:val="both"/>
        <w:rPr>
          <w:szCs w:val="18"/>
        </w:rPr>
      </w:pPr>
      <w:r>
        <w:rPr>
          <w:szCs w:val="18"/>
        </w:rPr>
        <w:t xml:space="preserve">Mercury containing switches and relays </w:t>
      </w:r>
      <w:r w:rsidR="00420411">
        <w:rPr>
          <w:szCs w:val="18"/>
        </w:rPr>
        <w:t xml:space="preserve">are products </w:t>
      </w:r>
      <w:r>
        <w:rPr>
          <w:szCs w:val="18"/>
        </w:rPr>
        <w:t xml:space="preserve">which cannot be manufactured, imported or exported after 2020 as required by The Minamata Convention. </w:t>
      </w:r>
      <w:r w:rsidR="00420411">
        <w:rPr>
          <w:szCs w:val="18"/>
        </w:rPr>
        <w:t xml:space="preserve">Exceptions include very high accuracy capacitance and loss measurement bridges and high frequency radio frequency switches and relays in monitoring and control instruments with a maximum mercury content of 20 mg per bridge, switch or relay </w:t>
      </w:r>
      <w:r>
        <w:rPr>
          <w:szCs w:val="18"/>
        </w:rPr>
        <w:t>(</w:t>
      </w:r>
      <w:r w:rsidR="001D5B6B">
        <w:rPr>
          <w:szCs w:val="18"/>
        </w:rPr>
        <w:t>UNEP</w:t>
      </w:r>
      <w:r>
        <w:rPr>
          <w:szCs w:val="18"/>
        </w:rPr>
        <w:t>, 202</w:t>
      </w:r>
      <w:r w:rsidR="001D5B6B">
        <w:rPr>
          <w:szCs w:val="18"/>
        </w:rPr>
        <w:t>4</w:t>
      </w:r>
      <w:r>
        <w:rPr>
          <w:szCs w:val="18"/>
        </w:rPr>
        <w:t>)</w:t>
      </w:r>
      <w:r w:rsidR="00420411">
        <w:rPr>
          <w:szCs w:val="18"/>
        </w:rPr>
        <w:t>.</w:t>
      </w:r>
    </w:p>
    <w:p w14:paraId="139A3E40" w14:textId="77777777" w:rsidR="004E106C" w:rsidRPr="008F1D97" w:rsidRDefault="00CE6712" w:rsidP="004E106C">
      <w:pPr>
        <w:spacing w:line="300" w:lineRule="atLeast"/>
        <w:jc w:val="both"/>
        <w:rPr>
          <w:rFonts w:ascii="Arial" w:hAnsi="Arial" w:cs="Arial"/>
          <w:b/>
          <w:szCs w:val="18"/>
        </w:rPr>
      </w:pPr>
      <w:r w:rsidRPr="008F1D97">
        <w:rPr>
          <w:rFonts w:ascii="Arial" w:hAnsi="Arial" w:cs="Arial"/>
          <w:b/>
          <w:szCs w:val="18"/>
        </w:rPr>
        <w:t>2012 survey of current stocks, imports, sales and use</w:t>
      </w:r>
    </w:p>
    <w:p w14:paraId="1F52DC1E" w14:textId="77777777" w:rsidR="004E106C" w:rsidRPr="008F1D97" w:rsidRDefault="00CE6712" w:rsidP="004E106C">
      <w:pPr>
        <w:spacing w:line="300" w:lineRule="atLeast"/>
        <w:jc w:val="both"/>
        <w:rPr>
          <w:szCs w:val="18"/>
        </w:rPr>
      </w:pPr>
      <w:r w:rsidRPr="008F1D97">
        <w:rPr>
          <w:szCs w:val="18"/>
        </w:rPr>
        <w:t xml:space="preserve">The </w:t>
      </w:r>
      <w:r w:rsidR="00506DFC" w:rsidRPr="008F1D97">
        <w:rPr>
          <w:szCs w:val="18"/>
        </w:rPr>
        <w:t xml:space="preserve">work for the </w:t>
      </w:r>
      <w:r w:rsidRPr="008F1D97">
        <w:rPr>
          <w:szCs w:val="18"/>
        </w:rPr>
        <w:t>2012 Inventory included a</w:t>
      </w:r>
      <w:r w:rsidR="00FD1D32" w:rsidRPr="008F1D97">
        <w:rPr>
          <w:szCs w:val="18"/>
        </w:rPr>
        <w:t>n extensive</w:t>
      </w:r>
      <w:r w:rsidRPr="008F1D97">
        <w:rPr>
          <w:szCs w:val="18"/>
        </w:rPr>
        <w:t xml:space="preserve"> survey of </w:t>
      </w:r>
      <w:r w:rsidR="00FD1D32" w:rsidRPr="008F1D97">
        <w:rPr>
          <w:szCs w:val="18"/>
        </w:rPr>
        <w:t xml:space="preserve">possible importers, distributors and users of electrical equipment to identify possible stocks of mercury-containing equipment. No significant imports were identified but one supplier was found to have about 200 small switches in stock, with a mercury content of about 1 gram per switch, and annual sales of about 10 switches. It was concluded that </w:t>
      </w:r>
      <w:r w:rsidR="00A63879" w:rsidRPr="008F1D97">
        <w:rPr>
          <w:szCs w:val="18"/>
        </w:rPr>
        <w:t xml:space="preserve">the total quantities of mercury </w:t>
      </w:r>
      <w:r w:rsidR="00FD1D32" w:rsidRPr="008F1D97">
        <w:rPr>
          <w:szCs w:val="18"/>
        </w:rPr>
        <w:t>possibly being distributed through sales of switches would</w:t>
      </w:r>
      <w:r w:rsidR="00A63879" w:rsidRPr="008F1D97">
        <w:rPr>
          <w:szCs w:val="18"/>
        </w:rPr>
        <w:t xml:space="preserve"> be very small.</w:t>
      </w:r>
    </w:p>
    <w:p w14:paraId="1D750639" w14:textId="409A8359" w:rsidR="00965BC1" w:rsidRPr="008F1D97" w:rsidRDefault="00FD1D32" w:rsidP="004E106C">
      <w:pPr>
        <w:spacing w:line="300" w:lineRule="atLeast"/>
        <w:jc w:val="both"/>
        <w:rPr>
          <w:szCs w:val="18"/>
        </w:rPr>
      </w:pPr>
      <w:r w:rsidRPr="008F1D97">
        <w:rPr>
          <w:szCs w:val="18"/>
        </w:rPr>
        <w:t xml:space="preserve">The survey of possible users of electrical equipment identified total current stock holdings of about 170 kg of mercury, mainly in old relays and switches. This survey has not been repeated for the current </w:t>
      </w:r>
      <w:r w:rsidR="00506DFC" w:rsidRPr="008F1D97">
        <w:rPr>
          <w:szCs w:val="18"/>
        </w:rPr>
        <w:t>inventory, but it should be</w:t>
      </w:r>
      <w:r w:rsidRPr="008F1D97">
        <w:rPr>
          <w:szCs w:val="18"/>
        </w:rPr>
        <w:t xml:space="preserve"> expecte</w:t>
      </w:r>
      <w:r w:rsidR="00506DFC" w:rsidRPr="008F1D97">
        <w:rPr>
          <w:szCs w:val="18"/>
        </w:rPr>
        <w:t>d</w:t>
      </w:r>
      <w:r w:rsidRPr="008F1D97">
        <w:rPr>
          <w:szCs w:val="18"/>
        </w:rPr>
        <w:t xml:space="preserve"> that </w:t>
      </w:r>
      <w:r w:rsidR="00506DFC" w:rsidRPr="008F1D97">
        <w:rPr>
          <w:szCs w:val="18"/>
        </w:rPr>
        <w:t>the stock</w:t>
      </w:r>
      <w:r w:rsidRPr="008F1D97">
        <w:rPr>
          <w:szCs w:val="18"/>
        </w:rPr>
        <w:t xml:space="preserve"> holdings will be gradually decreasing, </w:t>
      </w:r>
      <w:r w:rsidR="00506DFC" w:rsidRPr="008F1D97">
        <w:rPr>
          <w:szCs w:val="18"/>
        </w:rPr>
        <w:t>as most people contacted in 2012 indicated that they were phasing out any mercury-containing equipment.</w:t>
      </w:r>
    </w:p>
    <w:p w14:paraId="6888A04B" w14:textId="77777777" w:rsidR="004E106C" w:rsidRPr="008F1D97" w:rsidRDefault="004E106C" w:rsidP="004E106C">
      <w:pPr>
        <w:spacing w:line="300" w:lineRule="atLeast"/>
        <w:jc w:val="both"/>
        <w:rPr>
          <w:rFonts w:ascii="Arial" w:hAnsi="Arial" w:cs="Arial"/>
          <w:b/>
          <w:szCs w:val="18"/>
        </w:rPr>
      </w:pPr>
      <w:r w:rsidRPr="008F1D97">
        <w:rPr>
          <w:rFonts w:ascii="Arial" w:hAnsi="Arial" w:cs="Arial"/>
          <w:b/>
          <w:szCs w:val="18"/>
        </w:rPr>
        <w:t>Input and output estimates</w:t>
      </w:r>
    </w:p>
    <w:p w14:paraId="5C7A3E0D" w14:textId="7BEE7BDF" w:rsidR="004E106C" w:rsidRPr="008F1D97" w:rsidRDefault="004E106C" w:rsidP="004E106C">
      <w:pPr>
        <w:spacing w:line="300" w:lineRule="atLeast"/>
        <w:jc w:val="both"/>
        <w:rPr>
          <w:szCs w:val="18"/>
        </w:rPr>
      </w:pPr>
      <w:r w:rsidRPr="008F1D97">
        <w:rPr>
          <w:szCs w:val="18"/>
        </w:rPr>
        <w:t xml:space="preserve">The </w:t>
      </w:r>
      <w:r w:rsidR="00506DFC" w:rsidRPr="008F1D97">
        <w:rPr>
          <w:szCs w:val="18"/>
        </w:rPr>
        <w:t xml:space="preserve">methodology given in the </w:t>
      </w:r>
      <w:r w:rsidRPr="008F1D97">
        <w:rPr>
          <w:szCs w:val="18"/>
        </w:rPr>
        <w:t>Toolkit</w:t>
      </w:r>
      <w:r w:rsidR="00595ACA" w:rsidRPr="008F1D97">
        <w:rPr>
          <w:szCs w:val="18"/>
        </w:rPr>
        <w:t xml:space="preserve"> </w:t>
      </w:r>
      <w:r w:rsidR="00506DFC" w:rsidRPr="008F1D97">
        <w:rPr>
          <w:szCs w:val="18"/>
        </w:rPr>
        <w:t>is based on a simple population-based estimate</w:t>
      </w:r>
      <w:r w:rsidR="007D231F">
        <w:rPr>
          <w:szCs w:val="18"/>
        </w:rPr>
        <w:t>. A new lower input factor for electrical switches and relays of 0.0012 g/</w:t>
      </w:r>
      <w:r w:rsidR="007D231F" w:rsidRPr="007D231F">
        <w:rPr>
          <w:szCs w:val="18"/>
        </w:rPr>
        <w:t xml:space="preserve"> </w:t>
      </w:r>
      <w:r w:rsidR="007D231F" w:rsidRPr="008F1D97">
        <w:rPr>
          <w:szCs w:val="18"/>
        </w:rPr>
        <w:t>year per capita</w:t>
      </w:r>
      <w:r w:rsidR="007D231F">
        <w:rPr>
          <w:szCs w:val="18"/>
        </w:rPr>
        <w:t xml:space="preserve"> was introduced in the latest version of the Toolkit.</w:t>
      </w:r>
      <w:r w:rsidR="007E4980" w:rsidRPr="008F1D97">
        <w:rPr>
          <w:szCs w:val="18"/>
        </w:rPr>
        <w:t xml:space="preserve"> </w:t>
      </w:r>
      <w:r w:rsidR="00CC1036" w:rsidRPr="008F1D97">
        <w:rPr>
          <w:szCs w:val="18"/>
        </w:rPr>
        <w:t>For</w:t>
      </w:r>
      <w:r w:rsidR="005950EB">
        <w:rPr>
          <w:szCs w:val="18"/>
        </w:rPr>
        <w:t xml:space="preserve"> </w:t>
      </w:r>
      <w:r w:rsidR="007D231F">
        <w:rPr>
          <w:szCs w:val="18"/>
        </w:rPr>
        <w:t xml:space="preserve">previous </w:t>
      </w:r>
      <w:r w:rsidR="005950EB">
        <w:rPr>
          <w:szCs w:val="18"/>
        </w:rPr>
        <w:t>New Zealand</w:t>
      </w:r>
      <w:r w:rsidR="00BC3632">
        <w:rPr>
          <w:szCs w:val="18"/>
        </w:rPr>
        <w:t xml:space="preserve"> i</w:t>
      </w:r>
      <w:r w:rsidR="00CC1036" w:rsidRPr="008F1D97">
        <w:rPr>
          <w:szCs w:val="18"/>
        </w:rPr>
        <w:t>nventor</w:t>
      </w:r>
      <w:r w:rsidR="00F47A70">
        <w:rPr>
          <w:szCs w:val="18"/>
        </w:rPr>
        <w:t>ies</w:t>
      </w:r>
      <w:r w:rsidR="00CC1036" w:rsidRPr="008F1D97">
        <w:rPr>
          <w:szCs w:val="18"/>
        </w:rPr>
        <w:t xml:space="preserve"> </w:t>
      </w:r>
      <w:r w:rsidR="00BC3632">
        <w:rPr>
          <w:szCs w:val="18"/>
        </w:rPr>
        <w:t>prepared since 2012</w:t>
      </w:r>
      <w:r w:rsidR="005950EB">
        <w:rPr>
          <w:szCs w:val="18"/>
        </w:rPr>
        <w:t>,</w:t>
      </w:r>
      <w:r w:rsidR="00BC3632">
        <w:rPr>
          <w:szCs w:val="18"/>
        </w:rPr>
        <w:t xml:space="preserve"> </w:t>
      </w:r>
      <w:r w:rsidR="00CC1036" w:rsidRPr="008F1D97">
        <w:rPr>
          <w:szCs w:val="18"/>
        </w:rPr>
        <w:t xml:space="preserve">factors of </w:t>
      </w:r>
      <w:r w:rsidR="007E4980" w:rsidRPr="008F1D97">
        <w:rPr>
          <w:szCs w:val="18"/>
        </w:rPr>
        <w:t xml:space="preserve">0.002 - 0.02 grams/year per capita </w:t>
      </w:r>
      <w:r w:rsidR="007D231F">
        <w:rPr>
          <w:szCs w:val="18"/>
        </w:rPr>
        <w:t xml:space="preserve">were </w:t>
      </w:r>
      <w:r w:rsidR="00BC3632">
        <w:rPr>
          <w:szCs w:val="18"/>
        </w:rPr>
        <w:t>used</w:t>
      </w:r>
      <w:r w:rsidR="007D231F">
        <w:rPr>
          <w:szCs w:val="18"/>
        </w:rPr>
        <w:t xml:space="preserve">. </w:t>
      </w:r>
      <w:r w:rsidR="005950EB">
        <w:rPr>
          <w:szCs w:val="18"/>
        </w:rPr>
        <w:t>The New Zealand population at June 30 2024 was 5,338,500 (Statistics NZ, 2024)</w:t>
      </w:r>
    </w:p>
    <w:p w14:paraId="58AB6CA3" w14:textId="77777777" w:rsidR="004E106C" w:rsidRPr="008F1D97" w:rsidRDefault="004E106C" w:rsidP="004E106C">
      <w:pPr>
        <w:spacing w:line="300" w:lineRule="atLeast"/>
        <w:jc w:val="both"/>
        <w:rPr>
          <w:szCs w:val="18"/>
        </w:rPr>
      </w:pPr>
      <w:r w:rsidRPr="008F1D97">
        <w:rPr>
          <w:szCs w:val="18"/>
        </w:rPr>
        <w:t>For outputs, the Toolkit recommends distribution factors of 0.1 (10%) to air, 0</w:t>
      </w:r>
      <w:r w:rsidR="0021500D" w:rsidRPr="008F1D97">
        <w:rPr>
          <w:szCs w:val="18"/>
        </w:rPr>
        <w:t>.1</w:t>
      </w:r>
      <w:r w:rsidRPr="008F1D97">
        <w:rPr>
          <w:szCs w:val="18"/>
        </w:rPr>
        <w:t xml:space="preserve"> (</w:t>
      </w:r>
      <w:r w:rsidR="0021500D" w:rsidRPr="008F1D97">
        <w:rPr>
          <w:szCs w:val="18"/>
        </w:rPr>
        <w:t>1</w:t>
      </w:r>
      <w:r w:rsidRPr="008F1D97">
        <w:rPr>
          <w:szCs w:val="18"/>
        </w:rPr>
        <w:t xml:space="preserve">0%) to </w:t>
      </w:r>
      <w:r w:rsidR="0021500D" w:rsidRPr="008F1D97">
        <w:rPr>
          <w:szCs w:val="18"/>
        </w:rPr>
        <w:t>land and 0.8</w:t>
      </w:r>
      <w:r w:rsidRPr="008F1D97">
        <w:rPr>
          <w:szCs w:val="18"/>
        </w:rPr>
        <w:t xml:space="preserve"> (</w:t>
      </w:r>
      <w:r w:rsidR="0021500D" w:rsidRPr="008F1D97">
        <w:rPr>
          <w:szCs w:val="18"/>
        </w:rPr>
        <w:t>8</w:t>
      </w:r>
      <w:r w:rsidRPr="008F1D97">
        <w:rPr>
          <w:szCs w:val="18"/>
        </w:rPr>
        <w:t>0%) to waste, for countries with publicly controlled waste collection services</w:t>
      </w:r>
      <w:r w:rsidR="0021500D" w:rsidRPr="008F1D97">
        <w:rPr>
          <w:szCs w:val="18"/>
        </w:rPr>
        <w:t>, but only limited waste separation</w:t>
      </w:r>
      <w:r w:rsidRPr="008F1D97">
        <w:rPr>
          <w:szCs w:val="18"/>
        </w:rPr>
        <w:t xml:space="preserve">. </w:t>
      </w:r>
      <w:r w:rsidR="0021500D" w:rsidRPr="008F1D97">
        <w:rPr>
          <w:szCs w:val="18"/>
        </w:rPr>
        <w:t>T</w:t>
      </w:r>
      <w:r w:rsidRPr="008F1D97">
        <w:rPr>
          <w:szCs w:val="18"/>
        </w:rPr>
        <w:t xml:space="preserve">hese factors </w:t>
      </w:r>
      <w:r w:rsidR="004A35E3" w:rsidRPr="008F1D97">
        <w:rPr>
          <w:szCs w:val="18"/>
        </w:rPr>
        <w:t xml:space="preserve">have </w:t>
      </w:r>
      <w:r w:rsidRPr="008F1D97">
        <w:rPr>
          <w:szCs w:val="18"/>
        </w:rPr>
        <w:t>be</w:t>
      </w:r>
      <w:r w:rsidR="004A35E3" w:rsidRPr="008F1D97">
        <w:rPr>
          <w:szCs w:val="18"/>
        </w:rPr>
        <w:t>en</w:t>
      </w:r>
      <w:r w:rsidRPr="008F1D97">
        <w:rPr>
          <w:szCs w:val="18"/>
        </w:rPr>
        <w:t xml:space="preserve"> applied to the </w:t>
      </w:r>
      <w:r w:rsidR="0021500D" w:rsidRPr="008F1D97">
        <w:rPr>
          <w:szCs w:val="18"/>
        </w:rPr>
        <w:t xml:space="preserve">per capita inputs estimated using the </w:t>
      </w:r>
      <w:r w:rsidR="004A35E3" w:rsidRPr="008F1D97">
        <w:rPr>
          <w:szCs w:val="18"/>
        </w:rPr>
        <w:t xml:space="preserve">modified </w:t>
      </w:r>
      <w:r w:rsidR="0021500D" w:rsidRPr="008F1D97">
        <w:rPr>
          <w:szCs w:val="18"/>
        </w:rPr>
        <w:t xml:space="preserve">Toolkit factors. </w:t>
      </w:r>
    </w:p>
    <w:p w14:paraId="437382FB" w14:textId="77DA1DFF" w:rsidR="00FA6036" w:rsidRPr="008F1D97" w:rsidRDefault="00FA6036" w:rsidP="00FA6036">
      <w:pPr>
        <w:spacing w:line="300" w:lineRule="atLeast"/>
        <w:jc w:val="both"/>
        <w:rPr>
          <w:szCs w:val="18"/>
        </w:rPr>
      </w:pPr>
      <w:r w:rsidRPr="008F1D97">
        <w:rPr>
          <w:szCs w:val="18"/>
        </w:rPr>
        <w:t>The mercury input and output estimates for m</w:t>
      </w:r>
      <w:r w:rsidR="0021500D" w:rsidRPr="008F1D97">
        <w:rPr>
          <w:szCs w:val="18"/>
        </w:rPr>
        <w:t>ercu</w:t>
      </w:r>
      <w:r w:rsidRPr="008F1D97">
        <w:rPr>
          <w:szCs w:val="18"/>
        </w:rPr>
        <w:t>ry switches and relays are shown in</w:t>
      </w:r>
      <w:r w:rsidR="006F6748" w:rsidRPr="008F1D97">
        <w:rPr>
          <w:szCs w:val="18"/>
        </w:rPr>
        <w:t xml:space="preserve"> Table 7-3</w:t>
      </w:r>
      <w:r w:rsidR="00435C60" w:rsidRPr="008F1D97">
        <w:rPr>
          <w:szCs w:val="18"/>
        </w:rPr>
        <w:t>.</w:t>
      </w:r>
    </w:p>
    <w:p w14:paraId="4174A1E3" w14:textId="13ABEE93" w:rsidR="00CC1036" w:rsidRPr="008F1D97" w:rsidRDefault="00CC1036" w:rsidP="00CC1036">
      <w:pPr>
        <w:pStyle w:val="Caption"/>
        <w:spacing w:before="240"/>
        <w:rPr>
          <w:szCs w:val="18"/>
        </w:rPr>
      </w:pPr>
      <w:bookmarkStart w:id="93" w:name="_Toc110355480"/>
      <w:bookmarkStart w:id="94" w:name="_Ref358705422"/>
      <w:r w:rsidRPr="008F1D97">
        <w:rPr>
          <w:rFonts w:ascii="Arial" w:hAnsi="Arial" w:cs="Arial"/>
        </w:rPr>
        <w:t xml:space="preserve">Table </w:t>
      </w:r>
      <w:r w:rsidRPr="008F1D97">
        <w:rPr>
          <w:rFonts w:ascii="Arial" w:hAnsi="Arial" w:cs="Arial"/>
        </w:rPr>
        <w:fldChar w:fldCharType="begin"/>
      </w:r>
      <w:r w:rsidRPr="008F1D97">
        <w:rPr>
          <w:rFonts w:ascii="Arial" w:hAnsi="Arial" w:cs="Arial"/>
        </w:rPr>
        <w:instrText xml:space="preserve"> STYLEREF 1 \s </w:instrText>
      </w:r>
      <w:r w:rsidRPr="008F1D97">
        <w:rPr>
          <w:rFonts w:ascii="Arial" w:hAnsi="Arial" w:cs="Arial"/>
        </w:rPr>
        <w:fldChar w:fldCharType="separate"/>
      </w:r>
      <w:r w:rsidR="00892B2D">
        <w:rPr>
          <w:rFonts w:ascii="Arial" w:hAnsi="Arial" w:cs="Arial"/>
          <w:noProof/>
        </w:rPr>
        <w:t>7</w:t>
      </w:r>
      <w:r w:rsidRPr="008F1D97">
        <w:rPr>
          <w:rFonts w:ascii="Arial" w:hAnsi="Arial" w:cs="Arial"/>
        </w:rPr>
        <w:fldChar w:fldCharType="end"/>
      </w:r>
      <w:r w:rsidRPr="008F1D97">
        <w:rPr>
          <w:rFonts w:ascii="Arial" w:hAnsi="Arial" w:cs="Arial"/>
        </w:rPr>
        <w:noBreakHyphen/>
      </w:r>
      <w:r w:rsidRPr="008F1D97">
        <w:rPr>
          <w:rFonts w:ascii="Arial" w:hAnsi="Arial" w:cs="Arial"/>
        </w:rPr>
        <w:fldChar w:fldCharType="begin"/>
      </w:r>
      <w:r w:rsidRPr="008F1D97">
        <w:rPr>
          <w:rFonts w:ascii="Arial" w:hAnsi="Arial" w:cs="Arial"/>
        </w:rPr>
        <w:instrText xml:space="preserve"> SEQ Table \* ARABIC \s 1 </w:instrText>
      </w:r>
      <w:r w:rsidRPr="008F1D97">
        <w:rPr>
          <w:rFonts w:ascii="Arial" w:hAnsi="Arial" w:cs="Arial"/>
        </w:rPr>
        <w:fldChar w:fldCharType="separate"/>
      </w:r>
      <w:r w:rsidR="00892B2D">
        <w:rPr>
          <w:rFonts w:ascii="Arial" w:hAnsi="Arial" w:cs="Arial"/>
          <w:noProof/>
        </w:rPr>
        <w:t>3</w:t>
      </w:r>
      <w:r w:rsidRPr="008F1D97">
        <w:rPr>
          <w:rFonts w:ascii="Arial" w:hAnsi="Arial" w:cs="Arial"/>
        </w:rPr>
        <w:fldChar w:fldCharType="end"/>
      </w:r>
      <w:r w:rsidRPr="008F1D97">
        <w:rPr>
          <w:rFonts w:ascii="Arial" w:hAnsi="Arial" w:cs="Arial"/>
        </w:rPr>
        <w:t>:</w:t>
      </w:r>
      <w:r w:rsidRPr="008F1D97">
        <w:t xml:space="preserve"> </w:t>
      </w:r>
      <w:r w:rsidR="00403501">
        <w:t xml:space="preserve"> </w:t>
      </w:r>
      <w:r w:rsidRPr="008F1D97">
        <w:rPr>
          <w:rFonts w:ascii="Arial" w:hAnsi="Arial" w:cs="Arial"/>
        </w:rPr>
        <w:t xml:space="preserve">Input </w:t>
      </w:r>
      <w:r w:rsidRPr="00C1611D">
        <w:rPr>
          <w:rFonts w:ascii="Arial" w:hAnsi="Arial" w:cs="Arial"/>
        </w:rPr>
        <w:t>and output estimates for mercury switches and relays</w:t>
      </w:r>
      <w:bookmarkEnd w:id="93"/>
    </w:p>
    <w:tbl>
      <w:tblPr>
        <w:tblStyle w:val="TableGrid"/>
        <w:tblW w:w="9285" w:type="dxa"/>
        <w:tblLayout w:type="fixed"/>
        <w:tblLook w:val="04A0" w:firstRow="1" w:lastRow="0" w:firstColumn="1" w:lastColumn="0" w:noHBand="0" w:noVBand="1"/>
      </w:tblPr>
      <w:tblGrid>
        <w:gridCol w:w="1704"/>
        <w:gridCol w:w="1197"/>
        <w:gridCol w:w="1254"/>
        <w:gridCol w:w="1425"/>
        <w:gridCol w:w="1235"/>
        <w:gridCol w:w="1235"/>
        <w:gridCol w:w="1235"/>
      </w:tblGrid>
      <w:tr w:rsidR="00CC1036" w:rsidRPr="008F1D97" w14:paraId="01CB92A3" w14:textId="77777777" w:rsidTr="00CF1189">
        <w:trPr>
          <w:trHeight w:val="776"/>
        </w:trPr>
        <w:tc>
          <w:tcPr>
            <w:tcW w:w="1704" w:type="dxa"/>
            <w:vMerge w:val="restart"/>
            <w:vAlign w:val="center"/>
          </w:tcPr>
          <w:p w14:paraId="32735EFA" w14:textId="77777777" w:rsidR="00CC1036" w:rsidRPr="008F1D97" w:rsidRDefault="00CC1036" w:rsidP="00430120">
            <w:pPr>
              <w:spacing w:line="300" w:lineRule="atLeast"/>
              <w:jc w:val="center"/>
              <w:rPr>
                <w:rFonts w:ascii="Arial" w:hAnsi="Arial" w:cs="Arial"/>
                <w:b/>
                <w:sz w:val="16"/>
                <w:szCs w:val="16"/>
              </w:rPr>
            </w:pPr>
            <w:r w:rsidRPr="008F1D97">
              <w:rPr>
                <w:rFonts w:ascii="Arial" w:hAnsi="Arial" w:cs="Arial"/>
                <w:b/>
                <w:sz w:val="16"/>
                <w:szCs w:val="16"/>
              </w:rPr>
              <w:t>Source</w:t>
            </w:r>
          </w:p>
        </w:tc>
        <w:tc>
          <w:tcPr>
            <w:tcW w:w="1197" w:type="dxa"/>
            <w:vMerge w:val="restart"/>
            <w:vAlign w:val="center"/>
          </w:tcPr>
          <w:p w14:paraId="0F0F6AAD" w14:textId="77777777" w:rsidR="00CC1036" w:rsidRPr="008F1D97" w:rsidRDefault="00CC1036" w:rsidP="00430120">
            <w:pPr>
              <w:spacing w:line="300" w:lineRule="atLeast"/>
              <w:jc w:val="center"/>
              <w:rPr>
                <w:rFonts w:ascii="Arial" w:hAnsi="Arial" w:cs="Arial"/>
                <w:b/>
                <w:sz w:val="16"/>
                <w:szCs w:val="16"/>
              </w:rPr>
            </w:pPr>
            <w:r w:rsidRPr="008F1D97">
              <w:rPr>
                <w:rFonts w:ascii="Arial" w:hAnsi="Arial" w:cs="Arial"/>
                <w:b/>
                <w:sz w:val="16"/>
                <w:szCs w:val="16"/>
              </w:rPr>
              <w:t>‘Activity’ (population)</w:t>
            </w:r>
          </w:p>
        </w:tc>
        <w:tc>
          <w:tcPr>
            <w:tcW w:w="1254" w:type="dxa"/>
            <w:vMerge w:val="restart"/>
            <w:vAlign w:val="center"/>
          </w:tcPr>
          <w:p w14:paraId="5D7C17C2" w14:textId="77777777" w:rsidR="00CC1036" w:rsidRPr="008F1D97" w:rsidRDefault="00CC1036" w:rsidP="00430120">
            <w:pPr>
              <w:spacing w:line="300" w:lineRule="atLeast"/>
              <w:jc w:val="center"/>
              <w:rPr>
                <w:rFonts w:ascii="Arial" w:hAnsi="Arial" w:cs="Arial"/>
                <w:b/>
                <w:sz w:val="16"/>
                <w:szCs w:val="16"/>
              </w:rPr>
            </w:pPr>
            <w:r w:rsidRPr="008F1D97">
              <w:rPr>
                <w:rFonts w:ascii="Arial" w:hAnsi="Arial" w:cs="Arial"/>
                <w:b/>
                <w:sz w:val="16"/>
                <w:szCs w:val="16"/>
              </w:rPr>
              <w:t>Mercury input rate, g/capita</w:t>
            </w:r>
          </w:p>
        </w:tc>
        <w:tc>
          <w:tcPr>
            <w:tcW w:w="1425" w:type="dxa"/>
            <w:vMerge w:val="restart"/>
            <w:vAlign w:val="center"/>
          </w:tcPr>
          <w:p w14:paraId="7CA84E0E" w14:textId="77777777" w:rsidR="00CC1036" w:rsidRPr="008F1D97" w:rsidRDefault="00CC1036" w:rsidP="00430120">
            <w:pPr>
              <w:spacing w:line="300" w:lineRule="atLeast"/>
              <w:jc w:val="center"/>
              <w:rPr>
                <w:rFonts w:ascii="Arial" w:hAnsi="Arial" w:cs="Arial"/>
                <w:b/>
                <w:sz w:val="16"/>
                <w:szCs w:val="16"/>
              </w:rPr>
            </w:pPr>
            <w:r w:rsidRPr="008F1D97">
              <w:rPr>
                <w:rFonts w:ascii="Arial" w:hAnsi="Arial" w:cs="Arial"/>
                <w:b/>
                <w:sz w:val="16"/>
                <w:szCs w:val="16"/>
              </w:rPr>
              <w:t>Annual Mercury Inputs, kg/yr</w:t>
            </w:r>
          </w:p>
        </w:tc>
        <w:tc>
          <w:tcPr>
            <w:tcW w:w="3705" w:type="dxa"/>
            <w:gridSpan w:val="3"/>
            <w:vAlign w:val="center"/>
          </w:tcPr>
          <w:p w14:paraId="5FC77475" w14:textId="77777777" w:rsidR="00CC1036" w:rsidRPr="008F1D97" w:rsidRDefault="00CC1036" w:rsidP="00430120">
            <w:pPr>
              <w:spacing w:line="300" w:lineRule="atLeast"/>
              <w:jc w:val="center"/>
              <w:rPr>
                <w:rFonts w:ascii="Arial" w:hAnsi="Arial" w:cs="Arial"/>
                <w:b/>
                <w:sz w:val="16"/>
                <w:szCs w:val="16"/>
              </w:rPr>
            </w:pPr>
            <w:r w:rsidRPr="008F1D97">
              <w:rPr>
                <w:rFonts w:ascii="Arial" w:hAnsi="Arial" w:cs="Arial"/>
                <w:b/>
                <w:sz w:val="16"/>
                <w:szCs w:val="16"/>
              </w:rPr>
              <w:t>Annual Mercury Outputs, kg/yr</w:t>
            </w:r>
          </w:p>
        </w:tc>
      </w:tr>
      <w:tr w:rsidR="00CC1036" w:rsidRPr="008F1D97" w14:paraId="01685EC9" w14:textId="77777777" w:rsidTr="00CF1189">
        <w:tc>
          <w:tcPr>
            <w:tcW w:w="1704" w:type="dxa"/>
            <w:vMerge/>
            <w:vAlign w:val="center"/>
          </w:tcPr>
          <w:p w14:paraId="79C51A6E" w14:textId="77777777" w:rsidR="00CC1036" w:rsidRPr="008F1D97" w:rsidRDefault="00CC1036" w:rsidP="00430120">
            <w:pPr>
              <w:spacing w:line="300" w:lineRule="atLeast"/>
              <w:jc w:val="center"/>
              <w:rPr>
                <w:rFonts w:ascii="Arial" w:hAnsi="Arial" w:cs="Arial"/>
                <w:b/>
                <w:sz w:val="16"/>
                <w:szCs w:val="16"/>
              </w:rPr>
            </w:pPr>
          </w:p>
        </w:tc>
        <w:tc>
          <w:tcPr>
            <w:tcW w:w="1197" w:type="dxa"/>
            <w:vMerge/>
            <w:vAlign w:val="center"/>
          </w:tcPr>
          <w:p w14:paraId="1993D60B" w14:textId="77777777" w:rsidR="00CC1036" w:rsidRPr="008F1D97" w:rsidRDefault="00CC1036" w:rsidP="00430120">
            <w:pPr>
              <w:spacing w:line="300" w:lineRule="atLeast"/>
              <w:jc w:val="center"/>
              <w:rPr>
                <w:rFonts w:ascii="Arial" w:hAnsi="Arial" w:cs="Arial"/>
                <w:b/>
                <w:sz w:val="16"/>
                <w:szCs w:val="16"/>
              </w:rPr>
            </w:pPr>
          </w:p>
        </w:tc>
        <w:tc>
          <w:tcPr>
            <w:tcW w:w="1254" w:type="dxa"/>
            <w:vMerge/>
            <w:vAlign w:val="center"/>
          </w:tcPr>
          <w:p w14:paraId="57871393" w14:textId="77777777" w:rsidR="00CC1036" w:rsidRPr="008F1D97" w:rsidRDefault="00CC1036" w:rsidP="00430120">
            <w:pPr>
              <w:spacing w:line="300" w:lineRule="atLeast"/>
              <w:jc w:val="center"/>
              <w:rPr>
                <w:rFonts w:ascii="Arial" w:hAnsi="Arial" w:cs="Arial"/>
                <w:b/>
                <w:sz w:val="16"/>
                <w:szCs w:val="16"/>
              </w:rPr>
            </w:pPr>
          </w:p>
        </w:tc>
        <w:tc>
          <w:tcPr>
            <w:tcW w:w="1425" w:type="dxa"/>
            <w:vMerge/>
            <w:vAlign w:val="center"/>
          </w:tcPr>
          <w:p w14:paraId="7406D55A" w14:textId="77777777" w:rsidR="00CC1036" w:rsidRPr="008F1D97" w:rsidRDefault="00CC1036" w:rsidP="00430120">
            <w:pPr>
              <w:spacing w:line="300" w:lineRule="atLeast"/>
              <w:jc w:val="center"/>
              <w:rPr>
                <w:rFonts w:ascii="Arial" w:hAnsi="Arial" w:cs="Arial"/>
                <w:b/>
                <w:sz w:val="16"/>
                <w:szCs w:val="16"/>
              </w:rPr>
            </w:pPr>
          </w:p>
        </w:tc>
        <w:tc>
          <w:tcPr>
            <w:tcW w:w="1235" w:type="dxa"/>
            <w:vAlign w:val="center"/>
          </w:tcPr>
          <w:p w14:paraId="4533CD90" w14:textId="77777777" w:rsidR="00CC1036" w:rsidRPr="008F1D97" w:rsidRDefault="00CC1036" w:rsidP="00430120">
            <w:pPr>
              <w:spacing w:line="300" w:lineRule="atLeast"/>
              <w:jc w:val="center"/>
              <w:rPr>
                <w:rFonts w:ascii="Arial" w:hAnsi="Arial" w:cs="Arial"/>
                <w:b/>
                <w:sz w:val="16"/>
                <w:szCs w:val="16"/>
              </w:rPr>
            </w:pPr>
            <w:r w:rsidRPr="008F1D97">
              <w:rPr>
                <w:rFonts w:ascii="Arial" w:hAnsi="Arial" w:cs="Arial"/>
                <w:b/>
                <w:sz w:val="16"/>
                <w:szCs w:val="16"/>
              </w:rPr>
              <w:t>Air</w:t>
            </w:r>
          </w:p>
        </w:tc>
        <w:tc>
          <w:tcPr>
            <w:tcW w:w="1235" w:type="dxa"/>
            <w:vAlign w:val="center"/>
          </w:tcPr>
          <w:p w14:paraId="6F61EE7E" w14:textId="77777777" w:rsidR="00CC1036" w:rsidRPr="008F1D97" w:rsidRDefault="00CC1036" w:rsidP="00430120">
            <w:pPr>
              <w:spacing w:line="300" w:lineRule="atLeast"/>
              <w:jc w:val="center"/>
              <w:rPr>
                <w:rFonts w:ascii="Arial" w:hAnsi="Arial" w:cs="Arial"/>
                <w:b/>
                <w:sz w:val="16"/>
                <w:szCs w:val="16"/>
              </w:rPr>
            </w:pPr>
            <w:r w:rsidRPr="008F1D97">
              <w:rPr>
                <w:rFonts w:ascii="Arial" w:hAnsi="Arial" w:cs="Arial"/>
                <w:b/>
                <w:sz w:val="16"/>
                <w:szCs w:val="16"/>
              </w:rPr>
              <w:t>Land</w:t>
            </w:r>
          </w:p>
        </w:tc>
        <w:tc>
          <w:tcPr>
            <w:tcW w:w="1235" w:type="dxa"/>
            <w:vAlign w:val="center"/>
          </w:tcPr>
          <w:p w14:paraId="1B07482B" w14:textId="77777777" w:rsidR="00CC1036" w:rsidRPr="008F1D97" w:rsidRDefault="00CC1036" w:rsidP="00430120">
            <w:pPr>
              <w:spacing w:line="300" w:lineRule="atLeast"/>
              <w:jc w:val="center"/>
              <w:rPr>
                <w:rFonts w:ascii="Arial" w:hAnsi="Arial" w:cs="Arial"/>
                <w:b/>
                <w:sz w:val="16"/>
                <w:szCs w:val="16"/>
              </w:rPr>
            </w:pPr>
            <w:r w:rsidRPr="008F1D97">
              <w:rPr>
                <w:rFonts w:ascii="Arial" w:hAnsi="Arial" w:cs="Arial"/>
                <w:b/>
                <w:sz w:val="16"/>
                <w:szCs w:val="16"/>
              </w:rPr>
              <w:t>Waste</w:t>
            </w:r>
          </w:p>
        </w:tc>
      </w:tr>
      <w:tr w:rsidR="00CC1036" w:rsidRPr="008F1D97" w14:paraId="4E331AA1" w14:textId="77777777" w:rsidTr="00FB4130">
        <w:tc>
          <w:tcPr>
            <w:tcW w:w="1704" w:type="dxa"/>
            <w:vAlign w:val="center"/>
          </w:tcPr>
          <w:p w14:paraId="1C08EB3C" w14:textId="77777777" w:rsidR="00CC1036" w:rsidRPr="008F1D97" w:rsidRDefault="00CC1036" w:rsidP="00FB4130">
            <w:pPr>
              <w:spacing w:line="300" w:lineRule="atLeast"/>
              <w:rPr>
                <w:rFonts w:ascii="Arial" w:hAnsi="Arial" w:cs="Arial"/>
                <w:sz w:val="16"/>
                <w:szCs w:val="16"/>
              </w:rPr>
            </w:pPr>
            <w:r w:rsidRPr="008F1D97">
              <w:rPr>
                <w:rFonts w:ascii="Arial" w:hAnsi="Arial" w:cs="Arial"/>
                <w:sz w:val="16"/>
                <w:szCs w:val="16"/>
              </w:rPr>
              <w:t>Annual usage</w:t>
            </w:r>
            <w:r w:rsidR="00CF1189" w:rsidRPr="008F1D97">
              <w:rPr>
                <w:rFonts w:ascii="Arial" w:hAnsi="Arial" w:cs="Arial"/>
                <w:sz w:val="16"/>
                <w:szCs w:val="16"/>
              </w:rPr>
              <w:t>, 2012</w:t>
            </w:r>
          </w:p>
        </w:tc>
        <w:tc>
          <w:tcPr>
            <w:tcW w:w="1197" w:type="dxa"/>
            <w:vAlign w:val="center"/>
          </w:tcPr>
          <w:p w14:paraId="1D3528B4" w14:textId="77777777" w:rsidR="00CC1036" w:rsidRPr="008F1D97" w:rsidRDefault="00CC1036" w:rsidP="00430120">
            <w:pPr>
              <w:spacing w:line="300" w:lineRule="atLeast"/>
              <w:jc w:val="center"/>
              <w:rPr>
                <w:rFonts w:ascii="Arial" w:hAnsi="Arial" w:cs="Arial"/>
                <w:sz w:val="16"/>
                <w:szCs w:val="16"/>
              </w:rPr>
            </w:pPr>
            <w:r w:rsidRPr="008F1D97">
              <w:rPr>
                <w:rFonts w:ascii="Arial" w:hAnsi="Arial" w:cs="Arial"/>
                <w:sz w:val="16"/>
                <w:szCs w:val="16"/>
              </w:rPr>
              <w:t>4.4 x 10</w:t>
            </w:r>
            <w:r w:rsidRPr="008F1D97">
              <w:rPr>
                <w:rFonts w:ascii="Arial" w:hAnsi="Arial" w:cs="Arial"/>
                <w:sz w:val="16"/>
                <w:szCs w:val="16"/>
                <w:vertAlign w:val="superscript"/>
              </w:rPr>
              <w:t>6</w:t>
            </w:r>
          </w:p>
        </w:tc>
        <w:tc>
          <w:tcPr>
            <w:tcW w:w="1254" w:type="dxa"/>
            <w:vAlign w:val="center"/>
          </w:tcPr>
          <w:p w14:paraId="1B674072" w14:textId="77777777" w:rsidR="00CC1036" w:rsidRPr="008F1D97" w:rsidRDefault="00CC1036" w:rsidP="00430120">
            <w:pPr>
              <w:spacing w:line="300" w:lineRule="atLeast"/>
              <w:jc w:val="center"/>
              <w:rPr>
                <w:rFonts w:ascii="Arial" w:hAnsi="Arial" w:cs="Arial"/>
                <w:sz w:val="16"/>
                <w:szCs w:val="16"/>
              </w:rPr>
            </w:pPr>
            <w:r w:rsidRPr="008F1D97">
              <w:rPr>
                <w:rFonts w:ascii="Arial" w:hAnsi="Arial" w:cs="Arial"/>
                <w:sz w:val="16"/>
                <w:szCs w:val="16"/>
              </w:rPr>
              <w:t>0.002 – 0.02</w:t>
            </w:r>
          </w:p>
        </w:tc>
        <w:tc>
          <w:tcPr>
            <w:tcW w:w="1425" w:type="dxa"/>
            <w:vAlign w:val="center"/>
          </w:tcPr>
          <w:p w14:paraId="63201656" w14:textId="1FD108C8" w:rsidR="00CC1036" w:rsidRPr="008F1D97" w:rsidRDefault="00CC1036" w:rsidP="00430120">
            <w:pPr>
              <w:spacing w:line="300" w:lineRule="atLeast"/>
              <w:jc w:val="center"/>
              <w:rPr>
                <w:rFonts w:ascii="Arial" w:hAnsi="Arial" w:cs="Arial"/>
                <w:sz w:val="16"/>
                <w:szCs w:val="16"/>
              </w:rPr>
            </w:pPr>
            <w:r w:rsidRPr="008F1D97">
              <w:rPr>
                <w:rFonts w:ascii="Arial" w:hAnsi="Arial" w:cs="Arial"/>
                <w:sz w:val="16"/>
                <w:szCs w:val="16"/>
              </w:rPr>
              <w:t>8.8 – 88</w:t>
            </w:r>
            <w:r w:rsidR="006E651F" w:rsidRPr="008F1D97">
              <w:rPr>
                <w:rFonts w:ascii="Arial" w:hAnsi="Arial" w:cs="Arial"/>
                <w:sz w:val="16"/>
                <w:szCs w:val="16"/>
              </w:rPr>
              <w:t xml:space="preserve">     (48.4)</w:t>
            </w:r>
          </w:p>
        </w:tc>
        <w:tc>
          <w:tcPr>
            <w:tcW w:w="1235" w:type="dxa"/>
            <w:vAlign w:val="center"/>
          </w:tcPr>
          <w:p w14:paraId="6105DD49" w14:textId="457C62DD" w:rsidR="00CC1036" w:rsidRPr="008F1D97" w:rsidRDefault="00CC1036" w:rsidP="00430120">
            <w:pPr>
              <w:spacing w:line="300" w:lineRule="atLeast"/>
              <w:jc w:val="center"/>
              <w:rPr>
                <w:rFonts w:ascii="Arial" w:hAnsi="Arial" w:cs="Arial"/>
                <w:sz w:val="16"/>
                <w:szCs w:val="16"/>
              </w:rPr>
            </w:pPr>
            <w:r w:rsidRPr="008F1D97">
              <w:rPr>
                <w:rFonts w:ascii="Arial" w:hAnsi="Arial" w:cs="Arial"/>
                <w:sz w:val="16"/>
                <w:szCs w:val="16"/>
              </w:rPr>
              <w:t>0.9 – 8.8</w:t>
            </w:r>
            <w:r w:rsidR="006E651F" w:rsidRPr="008F1D97">
              <w:rPr>
                <w:rFonts w:ascii="Arial" w:hAnsi="Arial" w:cs="Arial"/>
                <w:sz w:val="16"/>
                <w:szCs w:val="16"/>
              </w:rPr>
              <w:t xml:space="preserve"> (4.84)</w:t>
            </w:r>
          </w:p>
        </w:tc>
        <w:tc>
          <w:tcPr>
            <w:tcW w:w="1235" w:type="dxa"/>
          </w:tcPr>
          <w:p w14:paraId="39071B3A" w14:textId="4FE9980B" w:rsidR="00CC1036" w:rsidRPr="008F1D97" w:rsidRDefault="00CC1036" w:rsidP="00430120">
            <w:pPr>
              <w:spacing w:line="300" w:lineRule="atLeast"/>
              <w:jc w:val="center"/>
              <w:rPr>
                <w:rFonts w:ascii="Arial" w:hAnsi="Arial" w:cs="Arial"/>
                <w:sz w:val="16"/>
                <w:szCs w:val="16"/>
              </w:rPr>
            </w:pPr>
            <w:r w:rsidRPr="008F1D97">
              <w:rPr>
                <w:rFonts w:ascii="Arial" w:hAnsi="Arial" w:cs="Arial"/>
                <w:sz w:val="16"/>
                <w:szCs w:val="16"/>
              </w:rPr>
              <w:t xml:space="preserve">0.9 – 8.8 </w:t>
            </w:r>
            <w:r w:rsidR="006E651F" w:rsidRPr="008F1D97">
              <w:rPr>
                <w:rFonts w:ascii="Arial" w:hAnsi="Arial" w:cs="Arial"/>
                <w:sz w:val="16"/>
                <w:szCs w:val="16"/>
              </w:rPr>
              <w:t>(4.84)</w:t>
            </w:r>
          </w:p>
        </w:tc>
        <w:tc>
          <w:tcPr>
            <w:tcW w:w="1235" w:type="dxa"/>
            <w:vAlign w:val="center"/>
          </w:tcPr>
          <w:p w14:paraId="60AC5483" w14:textId="32B4955D" w:rsidR="00CC1036" w:rsidRPr="008F1D97" w:rsidRDefault="00CC1036" w:rsidP="00430120">
            <w:pPr>
              <w:spacing w:line="300" w:lineRule="atLeast"/>
              <w:jc w:val="center"/>
              <w:rPr>
                <w:rFonts w:ascii="Arial" w:hAnsi="Arial" w:cs="Arial"/>
                <w:sz w:val="16"/>
                <w:szCs w:val="16"/>
              </w:rPr>
            </w:pPr>
            <w:r w:rsidRPr="008F1D97">
              <w:rPr>
                <w:rFonts w:ascii="Arial" w:hAnsi="Arial" w:cs="Arial"/>
                <w:sz w:val="16"/>
                <w:szCs w:val="16"/>
              </w:rPr>
              <w:t xml:space="preserve">7.0 – 70.4 </w:t>
            </w:r>
            <w:r w:rsidR="006E651F" w:rsidRPr="008F1D97">
              <w:rPr>
                <w:rFonts w:ascii="Arial" w:hAnsi="Arial" w:cs="Arial"/>
                <w:sz w:val="16"/>
                <w:szCs w:val="16"/>
              </w:rPr>
              <w:t>(38.7)</w:t>
            </w:r>
          </w:p>
        </w:tc>
      </w:tr>
      <w:tr w:rsidR="006E651F" w:rsidRPr="008F1D97" w14:paraId="553AE895" w14:textId="77777777" w:rsidTr="00FB4130">
        <w:tc>
          <w:tcPr>
            <w:tcW w:w="1704" w:type="dxa"/>
            <w:vAlign w:val="center"/>
          </w:tcPr>
          <w:p w14:paraId="199161B1" w14:textId="77777777" w:rsidR="006E651F" w:rsidRPr="008F1D97" w:rsidRDefault="006E651F" w:rsidP="00FB4130">
            <w:pPr>
              <w:spacing w:line="300" w:lineRule="atLeast"/>
              <w:rPr>
                <w:rFonts w:ascii="Arial" w:hAnsi="Arial" w:cs="Arial"/>
                <w:sz w:val="16"/>
                <w:szCs w:val="16"/>
              </w:rPr>
            </w:pPr>
            <w:r w:rsidRPr="008F1D97">
              <w:rPr>
                <w:rFonts w:ascii="Arial" w:hAnsi="Arial" w:cs="Arial"/>
                <w:sz w:val="16"/>
                <w:szCs w:val="16"/>
              </w:rPr>
              <w:t>Annual usage, 2016</w:t>
            </w:r>
          </w:p>
        </w:tc>
        <w:tc>
          <w:tcPr>
            <w:tcW w:w="1197" w:type="dxa"/>
            <w:vAlign w:val="center"/>
          </w:tcPr>
          <w:p w14:paraId="795D768C" w14:textId="77777777" w:rsidR="006E651F" w:rsidRPr="008F1D97" w:rsidRDefault="006E651F" w:rsidP="006E651F">
            <w:pPr>
              <w:spacing w:line="300" w:lineRule="atLeast"/>
              <w:jc w:val="center"/>
              <w:rPr>
                <w:rFonts w:ascii="Arial" w:hAnsi="Arial" w:cs="Arial"/>
                <w:sz w:val="16"/>
                <w:szCs w:val="16"/>
              </w:rPr>
            </w:pPr>
            <w:r w:rsidRPr="008F1D97">
              <w:rPr>
                <w:rFonts w:ascii="Arial" w:hAnsi="Arial" w:cs="Arial"/>
                <w:sz w:val="16"/>
                <w:szCs w:val="16"/>
              </w:rPr>
              <w:t>4.7 x 10</w:t>
            </w:r>
            <w:r w:rsidRPr="008F1D97">
              <w:rPr>
                <w:rFonts w:ascii="Arial" w:hAnsi="Arial" w:cs="Arial"/>
                <w:sz w:val="16"/>
                <w:szCs w:val="16"/>
                <w:vertAlign w:val="superscript"/>
              </w:rPr>
              <w:t>6</w:t>
            </w:r>
          </w:p>
        </w:tc>
        <w:tc>
          <w:tcPr>
            <w:tcW w:w="1254" w:type="dxa"/>
            <w:vAlign w:val="center"/>
          </w:tcPr>
          <w:p w14:paraId="1199E25B" w14:textId="77777777" w:rsidR="006E651F" w:rsidRPr="008F1D97" w:rsidRDefault="006E651F" w:rsidP="006E651F">
            <w:pPr>
              <w:spacing w:line="300" w:lineRule="atLeast"/>
              <w:jc w:val="center"/>
              <w:rPr>
                <w:rFonts w:ascii="Arial" w:hAnsi="Arial" w:cs="Arial"/>
                <w:sz w:val="16"/>
                <w:szCs w:val="16"/>
              </w:rPr>
            </w:pPr>
            <w:r w:rsidRPr="008F1D97">
              <w:rPr>
                <w:rFonts w:ascii="Arial" w:hAnsi="Arial" w:cs="Arial"/>
                <w:sz w:val="16"/>
                <w:szCs w:val="16"/>
              </w:rPr>
              <w:t>0.002 – 0.02</w:t>
            </w:r>
          </w:p>
        </w:tc>
        <w:tc>
          <w:tcPr>
            <w:tcW w:w="1425" w:type="dxa"/>
            <w:vAlign w:val="center"/>
          </w:tcPr>
          <w:p w14:paraId="578D7C86" w14:textId="15FAC2B8" w:rsidR="006E651F" w:rsidRPr="008F1D97" w:rsidRDefault="006E651F" w:rsidP="006E651F">
            <w:pPr>
              <w:spacing w:line="300" w:lineRule="atLeast"/>
              <w:jc w:val="center"/>
              <w:rPr>
                <w:rFonts w:ascii="Arial" w:hAnsi="Arial" w:cs="Arial"/>
                <w:sz w:val="16"/>
                <w:szCs w:val="16"/>
              </w:rPr>
            </w:pPr>
            <w:r w:rsidRPr="008F1D97">
              <w:rPr>
                <w:rFonts w:ascii="Arial" w:hAnsi="Arial" w:cs="Arial"/>
                <w:sz w:val="16"/>
                <w:szCs w:val="16"/>
              </w:rPr>
              <w:t>9.4 - 94      (51.7</w:t>
            </w:r>
            <w:r w:rsidR="00E13A5B" w:rsidRPr="008F1D97">
              <w:rPr>
                <w:rFonts w:ascii="Arial" w:hAnsi="Arial" w:cs="Arial"/>
                <w:sz w:val="16"/>
                <w:szCs w:val="16"/>
              </w:rPr>
              <w:t>0</w:t>
            </w:r>
            <w:r w:rsidRPr="008F1D97">
              <w:rPr>
                <w:rFonts w:ascii="Arial" w:hAnsi="Arial" w:cs="Arial"/>
                <w:sz w:val="16"/>
                <w:szCs w:val="16"/>
              </w:rPr>
              <w:t>)</w:t>
            </w:r>
          </w:p>
        </w:tc>
        <w:tc>
          <w:tcPr>
            <w:tcW w:w="1235" w:type="dxa"/>
            <w:vAlign w:val="center"/>
          </w:tcPr>
          <w:p w14:paraId="69EEF4BF" w14:textId="10FAF0CD" w:rsidR="006E651F" w:rsidRPr="008F1D97" w:rsidRDefault="006E651F" w:rsidP="006E651F">
            <w:pPr>
              <w:spacing w:line="300" w:lineRule="atLeast"/>
              <w:jc w:val="center"/>
              <w:rPr>
                <w:rFonts w:ascii="Arial" w:hAnsi="Arial" w:cs="Arial"/>
                <w:sz w:val="16"/>
                <w:szCs w:val="16"/>
              </w:rPr>
            </w:pPr>
            <w:r w:rsidRPr="008F1D97">
              <w:rPr>
                <w:rFonts w:ascii="Arial" w:hAnsi="Arial" w:cs="Arial"/>
                <w:sz w:val="16"/>
                <w:szCs w:val="16"/>
              </w:rPr>
              <w:t>0.94 – 9.4 (5.17)</w:t>
            </w:r>
          </w:p>
        </w:tc>
        <w:tc>
          <w:tcPr>
            <w:tcW w:w="1235" w:type="dxa"/>
          </w:tcPr>
          <w:p w14:paraId="0F303BF3" w14:textId="44B41391" w:rsidR="006E651F" w:rsidRPr="008F1D97" w:rsidRDefault="009E4945" w:rsidP="006E651F">
            <w:pPr>
              <w:spacing w:line="300" w:lineRule="atLeast"/>
              <w:jc w:val="center"/>
              <w:rPr>
                <w:rFonts w:ascii="Arial" w:hAnsi="Arial" w:cs="Arial"/>
                <w:sz w:val="16"/>
                <w:szCs w:val="16"/>
              </w:rPr>
            </w:pPr>
            <w:r w:rsidRPr="008F1D97">
              <w:rPr>
                <w:rFonts w:ascii="Arial" w:hAnsi="Arial" w:cs="Arial"/>
                <w:sz w:val="16"/>
                <w:szCs w:val="16"/>
              </w:rPr>
              <w:t>0.9</w:t>
            </w:r>
            <w:r w:rsidR="006E651F" w:rsidRPr="008F1D97">
              <w:rPr>
                <w:rFonts w:ascii="Arial" w:hAnsi="Arial" w:cs="Arial"/>
                <w:sz w:val="16"/>
                <w:szCs w:val="16"/>
              </w:rPr>
              <w:t>4 – 9.4   (5.17)</w:t>
            </w:r>
          </w:p>
        </w:tc>
        <w:tc>
          <w:tcPr>
            <w:tcW w:w="1235" w:type="dxa"/>
            <w:vAlign w:val="center"/>
          </w:tcPr>
          <w:p w14:paraId="487896B8" w14:textId="7D847E7F" w:rsidR="006E651F" w:rsidRPr="008F1D97" w:rsidRDefault="006E651F" w:rsidP="006E651F">
            <w:pPr>
              <w:spacing w:line="300" w:lineRule="atLeast"/>
              <w:jc w:val="center"/>
              <w:rPr>
                <w:rFonts w:ascii="Arial" w:hAnsi="Arial" w:cs="Arial"/>
                <w:sz w:val="16"/>
                <w:szCs w:val="16"/>
              </w:rPr>
            </w:pPr>
            <w:r w:rsidRPr="008F1D97">
              <w:rPr>
                <w:rFonts w:ascii="Arial" w:hAnsi="Arial" w:cs="Arial"/>
                <w:sz w:val="16"/>
                <w:szCs w:val="16"/>
              </w:rPr>
              <w:t>7.5 – 75.2 (41.36)</w:t>
            </w:r>
          </w:p>
        </w:tc>
      </w:tr>
      <w:tr w:rsidR="008F1D97" w:rsidRPr="008F1D97" w14:paraId="279513EB" w14:textId="77777777" w:rsidTr="00FB4130">
        <w:tc>
          <w:tcPr>
            <w:tcW w:w="1704" w:type="dxa"/>
            <w:vAlign w:val="center"/>
          </w:tcPr>
          <w:p w14:paraId="301C3927" w14:textId="1A4DCFFF" w:rsidR="008F1D97" w:rsidRPr="008F1D97" w:rsidRDefault="008F1D97" w:rsidP="00FB4130">
            <w:pPr>
              <w:spacing w:line="300" w:lineRule="atLeast"/>
              <w:rPr>
                <w:rFonts w:ascii="Arial" w:hAnsi="Arial" w:cs="Arial"/>
                <w:sz w:val="16"/>
                <w:szCs w:val="16"/>
              </w:rPr>
            </w:pPr>
            <w:r>
              <w:rPr>
                <w:rFonts w:ascii="Arial" w:hAnsi="Arial" w:cs="Arial"/>
                <w:sz w:val="16"/>
                <w:szCs w:val="16"/>
              </w:rPr>
              <w:t>Annual usage, 2020</w:t>
            </w:r>
          </w:p>
        </w:tc>
        <w:tc>
          <w:tcPr>
            <w:tcW w:w="1197" w:type="dxa"/>
            <w:vAlign w:val="center"/>
          </w:tcPr>
          <w:p w14:paraId="45C955C6" w14:textId="70155359" w:rsidR="008F1D97" w:rsidRPr="008F1D97" w:rsidRDefault="008F1D97" w:rsidP="006E651F">
            <w:pPr>
              <w:spacing w:line="300" w:lineRule="atLeast"/>
              <w:jc w:val="center"/>
              <w:rPr>
                <w:rFonts w:ascii="Arial" w:hAnsi="Arial" w:cs="Arial"/>
                <w:sz w:val="16"/>
                <w:szCs w:val="16"/>
              </w:rPr>
            </w:pPr>
            <w:r>
              <w:rPr>
                <w:rFonts w:ascii="Arial" w:hAnsi="Arial" w:cs="Arial"/>
                <w:sz w:val="16"/>
                <w:szCs w:val="16"/>
              </w:rPr>
              <w:t>5.0 x 10</w:t>
            </w:r>
            <w:r w:rsidRPr="00CF190C">
              <w:rPr>
                <w:rFonts w:ascii="Arial" w:hAnsi="Arial" w:cs="Arial"/>
                <w:sz w:val="16"/>
                <w:szCs w:val="16"/>
                <w:vertAlign w:val="superscript"/>
              </w:rPr>
              <w:t>6</w:t>
            </w:r>
          </w:p>
        </w:tc>
        <w:tc>
          <w:tcPr>
            <w:tcW w:w="1254" w:type="dxa"/>
            <w:vAlign w:val="center"/>
          </w:tcPr>
          <w:p w14:paraId="57EC6724" w14:textId="24B5CA1D" w:rsidR="008F1D97" w:rsidRPr="008F1D97" w:rsidRDefault="008F1D97" w:rsidP="006E651F">
            <w:pPr>
              <w:spacing w:line="300" w:lineRule="atLeast"/>
              <w:jc w:val="center"/>
              <w:rPr>
                <w:rFonts w:ascii="Arial" w:hAnsi="Arial" w:cs="Arial"/>
                <w:sz w:val="16"/>
                <w:szCs w:val="16"/>
              </w:rPr>
            </w:pPr>
            <w:r>
              <w:rPr>
                <w:rFonts w:ascii="Arial" w:hAnsi="Arial" w:cs="Arial"/>
                <w:sz w:val="16"/>
                <w:szCs w:val="16"/>
              </w:rPr>
              <w:t>0.002 – 0.02</w:t>
            </w:r>
          </w:p>
        </w:tc>
        <w:tc>
          <w:tcPr>
            <w:tcW w:w="1425" w:type="dxa"/>
            <w:vAlign w:val="center"/>
          </w:tcPr>
          <w:p w14:paraId="233DC498" w14:textId="62D14114" w:rsidR="008F1D97" w:rsidRPr="008F1D97" w:rsidRDefault="008F1D97" w:rsidP="006E651F">
            <w:pPr>
              <w:spacing w:line="300" w:lineRule="atLeast"/>
              <w:jc w:val="center"/>
              <w:rPr>
                <w:rFonts w:ascii="Arial" w:hAnsi="Arial" w:cs="Arial"/>
                <w:sz w:val="16"/>
                <w:szCs w:val="16"/>
              </w:rPr>
            </w:pPr>
            <w:r>
              <w:rPr>
                <w:rFonts w:ascii="Arial" w:hAnsi="Arial" w:cs="Arial"/>
                <w:sz w:val="16"/>
                <w:szCs w:val="16"/>
              </w:rPr>
              <w:t>10 – 100    (55.</w:t>
            </w:r>
            <w:r w:rsidR="00027FF3">
              <w:rPr>
                <w:rFonts w:ascii="Arial" w:hAnsi="Arial" w:cs="Arial"/>
                <w:sz w:val="16"/>
                <w:szCs w:val="16"/>
              </w:rPr>
              <w:t>3</w:t>
            </w:r>
            <w:r>
              <w:rPr>
                <w:rFonts w:ascii="Arial" w:hAnsi="Arial" w:cs="Arial"/>
                <w:sz w:val="16"/>
                <w:szCs w:val="16"/>
              </w:rPr>
              <w:t>)</w:t>
            </w:r>
          </w:p>
        </w:tc>
        <w:tc>
          <w:tcPr>
            <w:tcW w:w="1235" w:type="dxa"/>
            <w:vAlign w:val="center"/>
          </w:tcPr>
          <w:p w14:paraId="13ABC002" w14:textId="0384284B" w:rsidR="008F1D97" w:rsidRPr="008F1D97" w:rsidRDefault="008F1D97" w:rsidP="006E651F">
            <w:pPr>
              <w:spacing w:line="300" w:lineRule="atLeast"/>
              <w:jc w:val="center"/>
              <w:rPr>
                <w:rFonts w:ascii="Arial" w:hAnsi="Arial" w:cs="Arial"/>
                <w:sz w:val="16"/>
                <w:szCs w:val="16"/>
              </w:rPr>
            </w:pPr>
            <w:r>
              <w:rPr>
                <w:rFonts w:ascii="Arial" w:hAnsi="Arial" w:cs="Arial"/>
                <w:sz w:val="16"/>
                <w:szCs w:val="16"/>
              </w:rPr>
              <w:t>1.0 – 10 (5.50)</w:t>
            </w:r>
          </w:p>
        </w:tc>
        <w:tc>
          <w:tcPr>
            <w:tcW w:w="1235" w:type="dxa"/>
          </w:tcPr>
          <w:p w14:paraId="3EF1B676" w14:textId="2EC5CBDC" w:rsidR="008F1D97" w:rsidRPr="008F1D97" w:rsidRDefault="008F1D97" w:rsidP="006E651F">
            <w:pPr>
              <w:spacing w:line="300" w:lineRule="atLeast"/>
              <w:jc w:val="center"/>
              <w:rPr>
                <w:rFonts w:ascii="Arial" w:hAnsi="Arial" w:cs="Arial"/>
                <w:sz w:val="16"/>
                <w:szCs w:val="16"/>
              </w:rPr>
            </w:pPr>
            <w:r>
              <w:rPr>
                <w:rFonts w:ascii="Arial" w:hAnsi="Arial" w:cs="Arial"/>
                <w:sz w:val="16"/>
                <w:szCs w:val="16"/>
              </w:rPr>
              <w:t>1.0 – 10 (5.50)</w:t>
            </w:r>
          </w:p>
        </w:tc>
        <w:tc>
          <w:tcPr>
            <w:tcW w:w="1235" w:type="dxa"/>
            <w:vAlign w:val="center"/>
          </w:tcPr>
          <w:p w14:paraId="59F1AD60" w14:textId="050E80DF" w:rsidR="008F1D97" w:rsidRPr="008F1D97" w:rsidRDefault="00C1611D" w:rsidP="006E651F">
            <w:pPr>
              <w:spacing w:line="300" w:lineRule="atLeast"/>
              <w:jc w:val="center"/>
              <w:rPr>
                <w:rFonts w:ascii="Arial" w:hAnsi="Arial" w:cs="Arial"/>
                <w:sz w:val="16"/>
                <w:szCs w:val="16"/>
              </w:rPr>
            </w:pPr>
            <w:r>
              <w:rPr>
                <w:rFonts w:ascii="Arial" w:hAnsi="Arial" w:cs="Arial"/>
                <w:sz w:val="16"/>
                <w:szCs w:val="16"/>
              </w:rPr>
              <w:t>8.0 – 80.0 (44</w:t>
            </w:r>
            <w:r w:rsidR="00027FF3">
              <w:rPr>
                <w:rFonts w:ascii="Arial" w:hAnsi="Arial" w:cs="Arial"/>
                <w:sz w:val="16"/>
                <w:szCs w:val="16"/>
              </w:rPr>
              <w:t>.2</w:t>
            </w:r>
            <w:r>
              <w:rPr>
                <w:rFonts w:ascii="Arial" w:hAnsi="Arial" w:cs="Arial"/>
                <w:sz w:val="16"/>
                <w:szCs w:val="16"/>
              </w:rPr>
              <w:t>)</w:t>
            </w:r>
          </w:p>
        </w:tc>
      </w:tr>
      <w:tr w:rsidR="005950EB" w:rsidRPr="008F1D97" w14:paraId="7C23B509" w14:textId="77777777" w:rsidTr="00FB4130">
        <w:tc>
          <w:tcPr>
            <w:tcW w:w="1704" w:type="dxa"/>
            <w:vAlign w:val="center"/>
          </w:tcPr>
          <w:p w14:paraId="7384BA59" w14:textId="6A3AEA4A" w:rsidR="005950EB" w:rsidRDefault="005950EB" w:rsidP="00FB4130">
            <w:pPr>
              <w:spacing w:line="300" w:lineRule="atLeast"/>
              <w:rPr>
                <w:rFonts w:ascii="Arial" w:hAnsi="Arial" w:cs="Arial"/>
                <w:sz w:val="16"/>
                <w:szCs w:val="16"/>
              </w:rPr>
            </w:pPr>
            <w:r>
              <w:rPr>
                <w:rFonts w:ascii="Arial" w:hAnsi="Arial" w:cs="Arial"/>
                <w:sz w:val="16"/>
                <w:szCs w:val="16"/>
              </w:rPr>
              <w:t>Annual usage, 2024</w:t>
            </w:r>
          </w:p>
        </w:tc>
        <w:tc>
          <w:tcPr>
            <w:tcW w:w="1197" w:type="dxa"/>
            <w:vAlign w:val="center"/>
          </w:tcPr>
          <w:p w14:paraId="45EDDB32" w14:textId="747F0E54" w:rsidR="005950EB" w:rsidRDefault="005950EB" w:rsidP="006E651F">
            <w:pPr>
              <w:spacing w:line="300" w:lineRule="atLeast"/>
              <w:jc w:val="center"/>
              <w:rPr>
                <w:rFonts w:ascii="Arial" w:hAnsi="Arial" w:cs="Arial"/>
                <w:sz w:val="16"/>
                <w:szCs w:val="16"/>
              </w:rPr>
            </w:pPr>
            <w:r>
              <w:rPr>
                <w:rFonts w:ascii="Arial" w:hAnsi="Arial" w:cs="Arial"/>
                <w:sz w:val="16"/>
                <w:szCs w:val="16"/>
              </w:rPr>
              <w:t>5.34 x 10</w:t>
            </w:r>
            <w:r w:rsidRPr="0068435E">
              <w:rPr>
                <w:rFonts w:ascii="Arial" w:hAnsi="Arial" w:cs="Arial"/>
                <w:sz w:val="16"/>
                <w:szCs w:val="16"/>
                <w:vertAlign w:val="superscript"/>
              </w:rPr>
              <w:t>6</w:t>
            </w:r>
          </w:p>
        </w:tc>
        <w:tc>
          <w:tcPr>
            <w:tcW w:w="1254" w:type="dxa"/>
            <w:vAlign w:val="center"/>
          </w:tcPr>
          <w:p w14:paraId="50FEF889" w14:textId="01FAD500" w:rsidR="005950EB" w:rsidRDefault="007D231F" w:rsidP="006E651F">
            <w:pPr>
              <w:spacing w:line="300" w:lineRule="atLeast"/>
              <w:jc w:val="center"/>
              <w:rPr>
                <w:rFonts w:ascii="Arial" w:hAnsi="Arial" w:cs="Arial"/>
                <w:sz w:val="16"/>
                <w:szCs w:val="16"/>
              </w:rPr>
            </w:pPr>
            <w:r>
              <w:rPr>
                <w:rFonts w:ascii="Arial" w:hAnsi="Arial" w:cs="Arial"/>
                <w:sz w:val="16"/>
                <w:szCs w:val="16"/>
              </w:rPr>
              <w:t>0.0012</w:t>
            </w:r>
          </w:p>
        </w:tc>
        <w:tc>
          <w:tcPr>
            <w:tcW w:w="1425" w:type="dxa"/>
            <w:vAlign w:val="center"/>
          </w:tcPr>
          <w:p w14:paraId="609184C5" w14:textId="47880299" w:rsidR="005950EB" w:rsidRDefault="007D231F" w:rsidP="006E651F">
            <w:pPr>
              <w:spacing w:line="300" w:lineRule="atLeast"/>
              <w:jc w:val="center"/>
              <w:rPr>
                <w:rFonts w:ascii="Arial" w:hAnsi="Arial" w:cs="Arial"/>
                <w:sz w:val="16"/>
                <w:szCs w:val="16"/>
              </w:rPr>
            </w:pPr>
            <w:r>
              <w:rPr>
                <w:rFonts w:ascii="Arial" w:hAnsi="Arial" w:cs="Arial"/>
                <w:sz w:val="16"/>
                <w:szCs w:val="16"/>
              </w:rPr>
              <w:t>6.4</w:t>
            </w:r>
          </w:p>
        </w:tc>
        <w:tc>
          <w:tcPr>
            <w:tcW w:w="1235" w:type="dxa"/>
            <w:vAlign w:val="center"/>
          </w:tcPr>
          <w:p w14:paraId="499F7413" w14:textId="008A3240" w:rsidR="005950EB" w:rsidRDefault="007D231F" w:rsidP="006E651F">
            <w:pPr>
              <w:spacing w:line="300" w:lineRule="atLeast"/>
              <w:jc w:val="center"/>
              <w:rPr>
                <w:rFonts w:ascii="Arial" w:hAnsi="Arial" w:cs="Arial"/>
                <w:sz w:val="16"/>
                <w:szCs w:val="16"/>
              </w:rPr>
            </w:pPr>
            <w:r>
              <w:rPr>
                <w:rFonts w:ascii="Arial" w:hAnsi="Arial" w:cs="Arial"/>
                <w:sz w:val="16"/>
                <w:szCs w:val="16"/>
              </w:rPr>
              <w:t>0.64</w:t>
            </w:r>
          </w:p>
        </w:tc>
        <w:tc>
          <w:tcPr>
            <w:tcW w:w="1235" w:type="dxa"/>
          </w:tcPr>
          <w:p w14:paraId="0534D612" w14:textId="774A550D" w:rsidR="005950EB" w:rsidRDefault="007D231F" w:rsidP="006E651F">
            <w:pPr>
              <w:spacing w:line="300" w:lineRule="atLeast"/>
              <w:jc w:val="center"/>
              <w:rPr>
                <w:rFonts w:ascii="Arial" w:hAnsi="Arial" w:cs="Arial"/>
                <w:sz w:val="16"/>
                <w:szCs w:val="16"/>
              </w:rPr>
            </w:pPr>
            <w:r>
              <w:rPr>
                <w:rFonts w:ascii="Arial" w:hAnsi="Arial" w:cs="Arial"/>
                <w:sz w:val="16"/>
                <w:szCs w:val="16"/>
              </w:rPr>
              <w:t>0.64</w:t>
            </w:r>
          </w:p>
        </w:tc>
        <w:tc>
          <w:tcPr>
            <w:tcW w:w="1235" w:type="dxa"/>
            <w:vAlign w:val="center"/>
          </w:tcPr>
          <w:p w14:paraId="570529DC" w14:textId="7BC5914B" w:rsidR="005950EB" w:rsidRDefault="000F160B" w:rsidP="006E651F">
            <w:pPr>
              <w:spacing w:line="300" w:lineRule="atLeast"/>
              <w:jc w:val="center"/>
              <w:rPr>
                <w:rFonts w:ascii="Arial" w:hAnsi="Arial" w:cs="Arial"/>
                <w:sz w:val="16"/>
                <w:szCs w:val="16"/>
              </w:rPr>
            </w:pPr>
            <w:r>
              <w:rPr>
                <w:rFonts w:ascii="Arial" w:hAnsi="Arial" w:cs="Arial"/>
                <w:sz w:val="16"/>
                <w:szCs w:val="16"/>
              </w:rPr>
              <w:t>5.12</w:t>
            </w:r>
          </w:p>
        </w:tc>
      </w:tr>
    </w:tbl>
    <w:p w14:paraId="411610B6" w14:textId="77777777" w:rsidR="00CF54BC" w:rsidRDefault="00CF54BC" w:rsidP="0087321F">
      <w:pPr>
        <w:tabs>
          <w:tab w:val="left" w:pos="2760"/>
        </w:tabs>
        <w:spacing w:before="120" w:line="300" w:lineRule="atLeast"/>
        <w:jc w:val="both"/>
        <w:rPr>
          <w:rFonts w:ascii="Arial" w:hAnsi="Arial" w:cs="Arial"/>
          <w:b/>
          <w:szCs w:val="18"/>
        </w:rPr>
      </w:pPr>
    </w:p>
    <w:p w14:paraId="3F0EB7DF" w14:textId="77777777" w:rsidR="00CF54BC" w:rsidRDefault="00CF54BC">
      <w:pPr>
        <w:spacing w:after="0"/>
        <w:rPr>
          <w:rFonts w:ascii="Arial" w:hAnsi="Arial" w:cs="Arial"/>
          <w:b/>
          <w:szCs w:val="18"/>
        </w:rPr>
      </w:pPr>
      <w:r>
        <w:rPr>
          <w:rFonts w:ascii="Arial" w:hAnsi="Arial" w:cs="Arial"/>
          <w:b/>
          <w:szCs w:val="18"/>
        </w:rPr>
        <w:br w:type="page"/>
      </w:r>
    </w:p>
    <w:p w14:paraId="4FF990DE" w14:textId="068BDFA0" w:rsidR="0087321F" w:rsidRPr="008F1D97" w:rsidRDefault="0087321F" w:rsidP="0087321F">
      <w:pPr>
        <w:tabs>
          <w:tab w:val="left" w:pos="2760"/>
        </w:tabs>
        <w:spacing w:before="120" w:line="300" w:lineRule="atLeast"/>
        <w:jc w:val="both"/>
        <w:rPr>
          <w:rFonts w:ascii="Arial" w:hAnsi="Arial" w:cs="Arial"/>
          <w:b/>
          <w:szCs w:val="18"/>
        </w:rPr>
      </w:pPr>
      <w:r w:rsidRPr="008F1D97">
        <w:rPr>
          <w:rFonts w:ascii="Arial" w:hAnsi="Arial" w:cs="Arial"/>
          <w:b/>
          <w:szCs w:val="18"/>
        </w:rPr>
        <w:t>Certainty assessment</w:t>
      </w:r>
    </w:p>
    <w:p w14:paraId="34376E57" w14:textId="77777777" w:rsidR="0087321F" w:rsidRPr="008F1D97" w:rsidRDefault="0087321F" w:rsidP="0087321F">
      <w:pPr>
        <w:tabs>
          <w:tab w:val="left" w:pos="1701"/>
        </w:tabs>
        <w:spacing w:line="300" w:lineRule="atLeast"/>
        <w:jc w:val="both"/>
        <w:rPr>
          <w:szCs w:val="18"/>
        </w:rPr>
      </w:pPr>
      <w:r w:rsidRPr="008F1D97">
        <w:rPr>
          <w:szCs w:val="18"/>
        </w:rPr>
        <w:t xml:space="preserve">Activity data: </w:t>
      </w:r>
      <w:r w:rsidRPr="008F1D97">
        <w:rPr>
          <w:szCs w:val="18"/>
        </w:rPr>
        <w:tab/>
        <w:t>HIGH (because it is based on national population)</w:t>
      </w:r>
    </w:p>
    <w:p w14:paraId="4D90C357" w14:textId="77777777" w:rsidR="0087321F" w:rsidRPr="008F1D97" w:rsidRDefault="0087321F" w:rsidP="0087321F">
      <w:pPr>
        <w:tabs>
          <w:tab w:val="left" w:pos="1701"/>
        </w:tabs>
        <w:spacing w:line="300" w:lineRule="atLeast"/>
        <w:jc w:val="both"/>
        <w:rPr>
          <w:szCs w:val="18"/>
        </w:rPr>
      </w:pPr>
      <w:r w:rsidRPr="008F1D97">
        <w:rPr>
          <w:szCs w:val="18"/>
        </w:rPr>
        <w:t xml:space="preserve">Input estimates: </w:t>
      </w:r>
      <w:r w:rsidRPr="008F1D97">
        <w:rPr>
          <w:szCs w:val="18"/>
        </w:rPr>
        <w:tab/>
        <w:t>LOW (because they are based on the Toolkit default factors)</w:t>
      </w:r>
    </w:p>
    <w:p w14:paraId="45A2C23D" w14:textId="77777777" w:rsidR="0087321F" w:rsidRPr="0028681C" w:rsidRDefault="0087321F" w:rsidP="0087321F">
      <w:pPr>
        <w:tabs>
          <w:tab w:val="left" w:pos="1701"/>
        </w:tabs>
        <w:spacing w:line="300" w:lineRule="atLeast"/>
        <w:jc w:val="both"/>
        <w:rPr>
          <w:szCs w:val="18"/>
        </w:rPr>
      </w:pPr>
      <w:r w:rsidRPr="008F1D97">
        <w:rPr>
          <w:szCs w:val="18"/>
        </w:rPr>
        <w:t xml:space="preserve">Output estimates: </w:t>
      </w:r>
      <w:r w:rsidRPr="008F1D97">
        <w:rPr>
          <w:szCs w:val="18"/>
        </w:rPr>
        <w:tab/>
        <w:t>LOW (because they are based on the Toolkit default factors).</w:t>
      </w:r>
    </w:p>
    <w:p w14:paraId="10026BA4" w14:textId="7826C66F" w:rsidR="00700CDE" w:rsidRPr="002F2268" w:rsidRDefault="00700CDE" w:rsidP="00700CDE">
      <w:pPr>
        <w:pStyle w:val="Heading2"/>
      </w:pPr>
      <w:bookmarkStart w:id="95" w:name="_Toc110355538"/>
      <w:bookmarkEnd w:id="94"/>
      <w:r w:rsidRPr="002F2268">
        <w:t>Light sources (lamps)</w:t>
      </w:r>
      <w:bookmarkEnd w:id="95"/>
    </w:p>
    <w:p w14:paraId="0833A332" w14:textId="6567D19D" w:rsidR="00257A69" w:rsidRDefault="00E979AB" w:rsidP="00257A69">
      <w:pPr>
        <w:spacing w:line="300" w:lineRule="atLeast"/>
        <w:jc w:val="both"/>
        <w:rPr>
          <w:szCs w:val="18"/>
        </w:rPr>
      </w:pPr>
      <w:r w:rsidRPr="004A4BAD">
        <w:rPr>
          <w:szCs w:val="18"/>
        </w:rPr>
        <w:t xml:space="preserve">Mercury is used in small amounts (per lamp) in fluorescent tubes (LFLs) and compact fluorescent lamps (CFLs), and in </w:t>
      </w:r>
      <w:r w:rsidRPr="002F2268">
        <w:rPr>
          <w:szCs w:val="18"/>
        </w:rPr>
        <w:t>high-pressure discharge types, such as metal halide, mercury vapour, sodium, and neon lamps</w:t>
      </w:r>
      <w:r w:rsidR="00964A7A" w:rsidRPr="002F2268">
        <w:rPr>
          <w:szCs w:val="18"/>
        </w:rPr>
        <w:t xml:space="preserve"> (</w:t>
      </w:r>
      <w:r w:rsidR="00C738EC" w:rsidRPr="002F2268">
        <w:rPr>
          <w:szCs w:val="18"/>
        </w:rPr>
        <w:t xml:space="preserve">UNEP, </w:t>
      </w:r>
      <w:r w:rsidR="005D6850">
        <w:rPr>
          <w:szCs w:val="18"/>
        </w:rPr>
        <w:t>2023</w:t>
      </w:r>
      <w:r w:rsidR="00964A7A" w:rsidRPr="002F2268">
        <w:rPr>
          <w:szCs w:val="18"/>
        </w:rPr>
        <w:t>)</w:t>
      </w:r>
      <w:r w:rsidRPr="002F2268">
        <w:rPr>
          <w:szCs w:val="18"/>
        </w:rPr>
        <w:t xml:space="preserve">. </w:t>
      </w:r>
    </w:p>
    <w:p w14:paraId="47E81F03" w14:textId="79211022" w:rsidR="00700CDE" w:rsidRPr="000D1ED3" w:rsidRDefault="00E979AB" w:rsidP="00E979AB">
      <w:pPr>
        <w:spacing w:line="300" w:lineRule="atLeast"/>
        <w:jc w:val="both"/>
        <w:rPr>
          <w:szCs w:val="18"/>
        </w:rPr>
      </w:pPr>
      <w:r w:rsidRPr="002F2268">
        <w:rPr>
          <w:szCs w:val="18"/>
        </w:rPr>
        <w:t>The most common use for the discharge lamps is in street lighting.</w:t>
      </w:r>
      <w:r w:rsidRPr="00175210">
        <w:rPr>
          <w:szCs w:val="18"/>
        </w:rPr>
        <w:t xml:space="preserve"> </w:t>
      </w:r>
      <w:r w:rsidR="00306F85" w:rsidRPr="004A4BAD">
        <w:rPr>
          <w:szCs w:val="18"/>
        </w:rPr>
        <w:t>Increasingly in New Zealand high discharge street lamps are being replaced by light emitting diode (LED) lights which do not contain mercu</w:t>
      </w:r>
      <w:r w:rsidR="00306F85" w:rsidRPr="002F2268">
        <w:rPr>
          <w:szCs w:val="18"/>
        </w:rPr>
        <w:t xml:space="preserve">ry and which are more energy efficient, have lower maintenance costs and produce a safer driving environment due to improved white light clarity and colour recognition for drivers. (IPWEA, 2016). </w:t>
      </w:r>
      <w:r w:rsidR="000D1ED3">
        <w:rPr>
          <w:szCs w:val="18"/>
        </w:rPr>
        <w:t>Auckland Transport’s design code for street lighting specifies: “all new or replacement luminaries must be LED luminaries” (Auckland Transport</w:t>
      </w:r>
      <w:r w:rsidR="0009021C">
        <w:rPr>
          <w:szCs w:val="18"/>
        </w:rPr>
        <w:t>,</w:t>
      </w:r>
      <w:r w:rsidR="000D1ED3">
        <w:rPr>
          <w:szCs w:val="18"/>
        </w:rPr>
        <w:t xml:space="preserve"> 2022</w:t>
      </w:r>
      <w:r w:rsidR="009002F2">
        <w:rPr>
          <w:szCs w:val="18"/>
        </w:rPr>
        <w:t>)</w:t>
      </w:r>
      <w:r w:rsidR="0062356D">
        <w:rPr>
          <w:szCs w:val="18"/>
        </w:rPr>
        <w:t>.</w:t>
      </w:r>
    </w:p>
    <w:p w14:paraId="5BC9E224" w14:textId="77777777" w:rsidR="000F030B" w:rsidRPr="0013167D" w:rsidRDefault="00B647AA" w:rsidP="003833D6">
      <w:pPr>
        <w:spacing w:line="300" w:lineRule="atLeast"/>
        <w:jc w:val="both"/>
        <w:rPr>
          <w:rFonts w:ascii="Arial" w:hAnsi="Arial" w:cs="Arial"/>
          <w:b/>
          <w:szCs w:val="18"/>
        </w:rPr>
      </w:pPr>
      <w:r w:rsidRPr="00175210">
        <w:rPr>
          <w:rFonts w:ascii="Arial" w:hAnsi="Arial" w:cs="Arial"/>
          <w:b/>
          <w:szCs w:val="18"/>
        </w:rPr>
        <w:t>LFL</w:t>
      </w:r>
      <w:r w:rsidR="00AD5485" w:rsidRPr="004A4BAD">
        <w:rPr>
          <w:rFonts w:ascii="Arial" w:hAnsi="Arial" w:cs="Arial"/>
          <w:b/>
          <w:szCs w:val="18"/>
        </w:rPr>
        <w:t>s</w:t>
      </w:r>
      <w:r w:rsidRPr="0013167D">
        <w:rPr>
          <w:rFonts w:ascii="Arial" w:hAnsi="Arial" w:cs="Arial"/>
          <w:b/>
          <w:szCs w:val="18"/>
        </w:rPr>
        <w:t xml:space="preserve"> and CFL</w:t>
      </w:r>
      <w:r w:rsidR="00AD5485" w:rsidRPr="0013167D">
        <w:rPr>
          <w:rFonts w:ascii="Arial" w:hAnsi="Arial" w:cs="Arial"/>
          <w:b/>
          <w:szCs w:val="18"/>
        </w:rPr>
        <w:t>s</w:t>
      </w:r>
    </w:p>
    <w:p w14:paraId="054110EC" w14:textId="1D643110" w:rsidR="0081164D" w:rsidRPr="0081164D" w:rsidRDefault="00B442C4" w:rsidP="0081164D">
      <w:pPr>
        <w:spacing w:line="300" w:lineRule="atLeast"/>
        <w:jc w:val="both"/>
        <w:rPr>
          <w:szCs w:val="18"/>
        </w:rPr>
      </w:pPr>
      <w:r>
        <w:rPr>
          <w:szCs w:val="18"/>
        </w:rPr>
        <w:t xml:space="preserve">LFLs and </w:t>
      </w:r>
      <w:r w:rsidRPr="00257A69">
        <w:rPr>
          <w:szCs w:val="18"/>
        </w:rPr>
        <w:t>CFLs</w:t>
      </w:r>
      <w:r>
        <w:rPr>
          <w:szCs w:val="18"/>
        </w:rPr>
        <w:t xml:space="preserve"> use a small amount of mercury and argon in a tube to produce </w:t>
      </w:r>
      <w:r w:rsidRPr="00257A69">
        <w:rPr>
          <w:szCs w:val="18"/>
        </w:rPr>
        <w:t xml:space="preserve">ultraviolet light </w:t>
      </w:r>
      <w:r>
        <w:rPr>
          <w:szCs w:val="18"/>
        </w:rPr>
        <w:t xml:space="preserve">when </w:t>
      </w:r>
      <w:r w:rsidRPr="00257A69">
        <w:rPr>
          <w:szCs w:val="18"/>
        </w:rPr>
        <w:t xml:space="preserve">an electric current </w:t>
      </w:r>
      <w:r>
        <w:rPr>
          <w:szCs w:val="18"/>
        </w:rPr>
        <w:t>is passed through the tube</w:t>
      </w:r>
      <w:r w:rsidRPr="00257A69">
        <w:rPr>
          <w:szCs w:val="18"/>
        </w:rPr>
        <w:t xml:space="preserve">. This stimulates </w:t>
      </w:r>
      <w:r>
        <w:rPr>
          <w:szCs w:val="18"/>
        </w:rPr>
        <w:t>a</w:t>
      </w:r>
      <w:r w:rsidRPr="00257A69">
        <w:rPr>
          <w:szCs w:val="18"/>
        </w:rPr>
        <w:t xml:space="preserve"> phosphor coating to produce visible light</w:t>
      </w:r>
      <w:r w:rsidR="0081164D">
        <w:rPr>
          <w:szCs w:val="18"/>
        </w:rPr>
        <w:t>. Modern t</w:t>
      </w:r>
      <w:r w:rsidR="0081164D" w:rsidRPr="0081164D">
        <w:rPr>
          <w:szCs w:val="18"/>
        </w:rPr>
        <w:t>riband phosphor lamps utilise three combined materials to create an overall white hue</w:t>
      </w:r>
      <w:r w:rsidR="0081164D">
        <w:rPr>
          <w:szCs w:val="18"/>
        </w:rPr>
        <w:t xml:space="preserve"> and are the </w:t>
      </w:r>
      <w:r w:rsidR="0081164D" w:rsidRPr="0081164D">
        <w:rPr>
          <w:szCs w:val="18"/>
        </w:rPr>
        <w:t xml:space="preserve">technical successor of </w:t>
      </w:r>
      <w:r w:rsidR="0081164D">
        <w:rPr>
          <w:szCs w:val="18"/>
        </w:rPr>
        <w:t xml:space="preserve">the original </w:t>
      </w:r>
      <w:r w:rsidR="0081164D" w:rsidRPr="0081164D">
        <w:rPr>
          <w:szCs w:val="18"/>
        </w:rPr>
        <w:t>halophosphate lamps</w:t>
      </w:r>
      <w:r w:rsidR="00883194">
        <w:rPr>
          <w:szCs w:val="18"/>
        </w:rPr>
        <w:t xml:space="preserve"> </w:t>
      </w:r>
      <w:r w:rsidR="003E6992">
        <w:rPr>
          <w:szCs w:val="18"/>
        </w:rPr>
        <w:t xml:space="preserve">(UNEP, </w:t>
      </w:r>
      <w:r w:rsidR="00303908">
        <w:rPr>
          <w:szCs w:val="18"/>
        </w:rPr>
        <w:t>2023</w:t>
      </w:r>
      <w:r w:rsidR="003E6992">
        <w:rPr>
          <w:szCs w:val="18"/>
        </w:rPr>
        <w:t>)</w:t>
      </w:r>
      <w:r w:rsidR="0081164D" w:rsidRPr="0081164D">
        <w:rPr>
          <w:szCs w:val="18"/>
        </w:rPr>
        <w:t xml:space="preserve">. </w:t>
      </w:r>
    </w:p>
    <w:p w14:paraId="5757AF4A" w14:textId="5181EB0C" w:rsidR="00B442C4" w:rsidRDefault="00B442C4" w:rsidP="003833D6">
      <w:pPr>
        <w:spacing w:line="300" w:lineRule="atLeast"/>
        <w:jc w:val="both"/>
        <w:rPr>
          <w:szCs w:val="18"/>
        </w:rPr>
      </w:pPr>
      <w:r>
        <w:rPr>
          <w:szCs w:val="18"/>
        </w:rPr>
        <w:t xml:space="preserve">A CFLi lamp includes the ballast which initially powers up </w:t>
      </w:r>
      <w:r w:rsidR="007F7177">
        <w:rPr>
          <w:szCs w:val="18"/>
        </w:rPr>
        <w:t xml:space="preserve">the light </w:t>
      </w:r>
      <w:r>
        <w:rPr>
          <w:szCs w:val="18"/>
        </w:rPr>
        <w:t>and then controls the current. These CFLs can be inserted directly into a light socket. CFLni lamps do not include a ballast and can only operate in a luiminaire unit which contains one</w:t>
      </w:r>
      <w:r w:rsidR="007F7177">
        <w:rPr>
          <w:szCs w:val="18"/>
        </w:rPr>
        <w:t xml:space="preserve"> and tend to be used for commercial lighting applications rather than domestic.</w:t>
      </w:r>
    </w:p>
    <w:p w14:paraId="6AF576D0" w14:textId="3240BFB2" w:rsidR="00D16E72" w:rsidRPr="0013167D" w:rsidRDefault="00E4552A" w:rsidP="003833D6">
      <w:pPr>
        <w:spacing w:line="300" w:lineRule="atLeast"/>
        <w:jc w:val="both"/>
        <w:rPr>
          <w:szCs w:val="18"/>
        </w:rPr>
      </w:pPr>
      <w:r w:rsidRPr="0013167D">
        <w:rPr>
          <w:szCs w:val="18"/>
        </w:rPr>
        <w:t>Import data for fluorescent lamps and tubes was obtained from Statistics New Zealand</w:t>
      </w:r>
      <w:r w:rsidR="0013167D">
        <w:rPr>
          <w:szCs w:val="18"/>
        </w:rPr>
        <w:t xml:space="preserve"> for </w:t>
      </w:r>
      <w:r w:rsidR="00797856">
        <w:rPr>
          <w:szCs w:val="18"/>
        </w:rPr>
        <w:t>2024</w:t>
      </w:r>
      <w:r w:rsidR="00797856" w:rsidRPr="0013167D">
        <w:rPr>
          <w:szCs w:val="18"/>
        </w:rPr>
        <w:t xml:space="preserve"> </w:t>
      </w:r>
      <w:r w:rsidRPr="0013167D">
        <w:rPr>
          <w:szCs w:val="18"/>
        </w:rPr>
        <w:t xml:space="preserve">(HS Code: 8539.31.00.00). This indicated total annual imports of LFLs and CFLs of </w:t>
      </w:r>
      <w:r w:rsidR="00797856">
        <w:rPr>
          <w:szCs w:val="18"/>
        </w:rPr>
        <w:t xml:space="preserve">763,148 </w:t>
      </w:r>
      <w:r w:rsidRPr="0013167D">
        <w:rPr>
          <w:szCs w:val="18"/>
        </w:rPr>
        <w:t>units per year</w:t>
      </w:r>
      <w:r w:rsidR="0013167D">
        <w:rPr>
          <w:szCs w:val="18"/>
        </w:rPr>
        <w:t>.</w:t>
      </w:r>
      <w:r w:rsidRPr="0013167D">
        <w:rPr>
          <w:szCs w:val="18"/>
        </w:rPr>
        <w:t xml:space="preserve"> </w:t>
      </w:r>
    </w:p>
    <w:p w14:paraId="0F7E1B91" w14:textId="7A6CBC9A" w:rsidR="009551B8" w:rsidRDefault="00DF0900" w:rsidP="009551B8">
      <w:pPr>
        <w:spacing w:line="300" w:lineRule="atLeast"/>
        <w:jc w:val="both"/>
        <w:rPr>
          <w:szCs w:val="18"/>
        </w:rPr>
      </w:pPr>
      <w:r w:rsidRPr="0013167D">
        <w:rPr>
          <w:szCs w:val="18"/>
        </w:rPr>
        <w:t>The Energy Efficiency &amp; Conservation Authority (EECA) collects sales data for all regulated appliances</w:t>
      </w:r>
      <w:r w:rsidR="0026045A">
        <w:rPr>
          <w:szCs w:val="18"/>
        </w:rPr>
        <w:t xml:space="preserve"> (EECA, </w:t>
      </w:r>
      <w:r w:rsidR="005079C7">
        <w:rPr>
          <w:szCs w:val="18"/>
        </w:rPr>
        <w:t>2025</w:t>
      </w:r>
      <w:r w:rsidR="0026045A">
        <w:rPr>
          <w:szCs w:val="18"/>
        </w:rPr>
        <w:t>)</w:t>
      </w:r>
      <w:r w:rsidRPr="0026045A">
        <w:rPr>
          <w:szCs w:val="18"/>
        </w:rPr>
        <w:t>.</w:t>
      </w:r>
      <w:r w:rsidR="0026045A">
        <w:rPr>
          <w:szCs w:val="18"/>
        </w:rPr>
        <w:t xml:space="preserve"> From 1 April </w:t>
      </w:r>
      <w:r w:rsidR="00874C1F">
        <w:rPr>
          <w:szCs w:val="18"/>
        </w:rPr>
        <w:t xml:space="preserve">2023 </w:t>
      </w:r>
      <w:r w:rsidR="0026045A">
        <w:rPr>
          <w:szCs w:val="18"/>
        </w:rPr>
        <w:t xml:space="preserve">– 31 March </w:t>
      </w:r>
      <w:r w:rsidR="00874C1F">
        <w:rPr>
          <w:szCs w:val="18"/>
        </w:rPr>
        <w:t xml:space="preserve">2024 </w:t>
      </w:r>
      <w:r w:rsidR="0026045A">
        <w:rPr>
          <w:szCs w:val="18"/>
        </w:rPr>
        <w:t xml:space="preserve">there were </w:t>
      </w:r>
      <w:r w:rsidR="00874C1F">
        <w:rPr>
          <w:szCs w:val="18"/>
        </w:rPr>
        <w:t>122,640</w:t>
      </w:r>
      <w:r w:rsidR="009551B8">
        <w:rPr>
          <w:szCs w:val="18"/>
        </w:rPr>
        <w:t xml:space="preserve"> CFLs and </w:t>
      </w:r>
      <w:r w:rsidR="00874C1F">
        <w:rPr>
          <w:szCs w:val="18"/>
        </w:rPr>
        <w:t>314,193</w:t>
      </w:r>
      <w:r w:rsidR="009551B8">
        <w:rPr>
          <w:szCs w:val="18"/>
        </w:rPr>
        <w:t xml:space="preserve"> LFLs sold in New Zealand. </w:t>
      </w:r>
      <w:r w:rsidR="009551B8" w:rsidRPr="0026045A">
        <w:rPr>
          <w:szCs w:val="18"/>
        </w:rPr>
        <w:t>This sales data has been used in estimating the mercury inputs, rather than the bulk import information noted above.</w:t>
      </w:r>
      <w:r w:rsidR="00142571">
        <w:rPr>
          <w:szCs w:val="18"/>
        </w:rPr>
        <w:t xml:space="preserve"> Since peaking in 2014 with sales figures of 2.72 million, annual CFL light sales have declined steadily as they are replaced with LED lamps. Sales for </w:t>
      </w:r>
      <w:r w:rsidR="00874C1F">
        <w:rPr>
          <w:szCs w:val="18"/>
        </w:rPr>
        <w:t xml:space="preserve">2024 </w:t>
      </w:r>
      <w:r w:rsidR="005079C7">
        <w:rPr>
          <w:szCs w:val="18"/>
        </w:rPr>
        <w:t xml:space="preserve">were </w:t>
      </w:r>
      <w:r w:rsidR="00874C1F">
        <w:rPr>
          <w:szCs w:val="18"/>
        </w:rPr>
        <w:t>30</w:t>
      </w:r>
      <w:r w:rsidR="00142571">
        <w:rPr>
          <w:szCs w:val="18"/>
        </w:rPr>
        <w:t xml:space="preserve">% </w:t>
      </w:r>
      <w:r w:rsidR="00874C1F">
        <w:rPr>
          <w:szCs w:val="18"/>
        </w:rPr>
        <w:t xml:space="preserve">lower than </w:t>
      </w:r>
      <w:r w:rsidR="00142571">
        <w:rPr>
          <w:szCs w:val="18"/>
        </w:rPr>
        <w:t xml:space="preserve">those for </w:t>
      </w:r>
      <w:r w:rsidR="00874C1F">
        <w:rPr>
          <w:szCs w:val="18"/>
        </w:rPr>
        <w:t>2023</w:t>
      </w:r>
      <w:r w:rsidR="00142571">
        <w:rPr>
          <w:szCs w:val="18"/>
        </w:rPr>
        <w:t>.</w:t>
      </w:r>
    </w:p>
    <w:p w14:paraId="3DD86BA7" w14:textId="2B079FB8" w:rsidR="00286F4B" w:rsidRDefault="00C9606F" w:rsidP="009551B8">
      <w:pPr>
        <w:spacing w:line="300" w:lineRule="atLeast"/>
        <w:jc w:val="both"/>
        <w:rPr>
          <w:szCs w:val="18"/>
        </w:rPr>
      </w:pPr>
      <w:r>
        <w:rPr>
          <w:szCs w:val="18"/>
        </w:rPr>
        <w:t>Since 2020 t</w:t>
      </w:r>
      <w:r w:rsidR="00AD3B23">
        <w:rPr>
          <w:szCs w:val="18"/>
        </w:rPr>
        <w:t xml:space="preserve">he Minamata Convention has not permitted import or export of CFLs less than 30 watts </w:t>
      </w:r>
      <w:r>
        <w:rPr>
          <w:szCs w:val="18"/>
        </w:rPr>
        <w:t xml:space="preserve">with a mercury content exceeding 5 mg per lamp. </w:t>
      </w:r>
      <w:r w:rsidR="007F7177">
        <w:rPr>
          <w:szCs w:val="18"/>
        </w:rPr>
        <w:t xml:space="preserve">All CFLi lamps less than 30 watts are banned from 2025. </w:t>
      </w:r>
      <w:r>
        <w:rPr>
          <w:szCs w:val="18"/>
        </w:rPr>
        <w:t xml:space="preserve">CFLs greater than 30 watts </w:t>
      </w:r>
      <w:r w:rsidR="00286F4B">
        <w:rPr>
          <w:szCs w:val="18"/>
        </w:rPr>
        <w:t xml:space="preserve">and all CFLni lamps </w:t>
      </w:r>
      <w:r>
        <w:rPr>
          <w:szCs w:val="18"/>
        </w:rPr>
        <w:t>will be banned from 2026</w:t>
      </w:r>
      <w:r w:rsidR="003E6992">
        <w:rPr>
          <w:szCs w:val="18"/>
        </w:rPr>
        <w:t xml:space="preserve"> (UNEP, </w:t>
      </w:r>
      <w:r w:rsidR="00020973">
        <w:rPr>
          <w:szCs w:val="18"/>
        </w:rPr>
        <w:t>202</w:t>
      </w:r>
      <w:r w:rsidR="001D5B6B">
        <w:rPr>
          <w:szCs w:val="18"/>
        </w:rPr>
        <w:t>4</w:t>
      </w:r>
      <w:r w:rsidR="00020973">
        <w:rPr>
          <w:szCs w:val="18"/>
        </w:rPr>
        <w:t>)</w:t>
      </w:r>
      <w:r>
        <w:rPr>
          <w:szCs w:val="18"/>
        </w:rPr>
        <w:t xml:space="preserve">.  </w:t>
      </w:r>
    </w:p>
    <w:p w14:paraId="2E1F46A8" w14:textId="32B0A913" w:rsidR="00AD3B23" w:rsidRDefault="00C9606F" w:rsidP="009551B8">
      <w:pPr>
        <w:spacing w:line="300" w:lineRule="atLeast"/>
        <w:jc w:val="both"/>
        <w:rPr>
          <w:szCs w:val="18"/>
        </w:rPr>
      </w:pPr>
      <w:r>
        <w:rPr>
          <w:szCs w:val="18"/>
        </w:rPr>
        <w:t xml:space="preserve">Similarly LFLs of the triband phosphor type </w:t>
      </w:r>
      <w:r w:rsidR="00286F4B">
        <w:rPr>
          <w:szCs w:val="18"/>
        </w:rPr>
        <w:t>less than 60 Watts with a mercury content greater than 5 mg and halophosphor LFLs less than 60 W and mercury content less 10 mg than have not been permitted for import or export since 2020.</w:t>
      </w:r>
      <w:r w:rsidR="0081164D">
        <w:rPr>
          <w:szCs w:val="18"/>
        </w:rPr>
        <w:t xml:space="preserve"> The remaining LFLs are scheduled to be phased out in 2026 and 2027</w:t>
      </w:r>
      <w:r w:rsidR="00020973">
        <w:rPr>
          <w:szCs w:val="18"/>
        </w:rPr>
        <w:t xml:space="preserve"> (UNEP, 2024)</w:t>
      </w:r>
      <w:r w:rsidR="0081164D">
        <w:rPr>
          <w:szCs w:val="18"/>
        </w:rPr>
        <w:t>.</w:t>
      </w:r>
    </w:p>
    <w:p w14:paraId="30D3C3E3" w14:textId="23BFC63A" w:rsidR="00874C1F" w:rsidRDefault="009551B8" w:rsidP="003833D6">
      <w:pPr>
        <w:spacing w:line="300" w:lineRule="atLeast"/>
        <w:jc w:val="both"/>
        <w:rPr>
          <w:szCs w:val="18"/>
        </w:rPr>
      </w:pPr>
      <w:r>
        <w:rPr>
          <w:szCs w:val="18"/>
        </w:rPr>
        <w:t xml:space="preserve">With regard to </w:t>
      </w:r>
      <w:r w:rsidR="00AA5CB4">
        <w:rPr>
          <w:szCs w:val="18"/>
        </w:rPr>
        <w:t xml:space="preserve">the </w:t>
      </w:r>
      <w:r>
        <w:rPr>
          <w:szCs w:val="18"/>
        </w:rPr>
        <w:t>mercury content</w:t>
      </w:r>
      <w:r w:rsidR="00AA5CB4">
        <w:rPr>
          <w:szCs w:val="18"/>
        </w:rPr>
        <w:t xml:space="preserve"> of CFLs </w:t>
      </w:r>
      <w:r>
        <w:rPr>
          <w:szCs w:val="18"/>
        </w:rPr>
        <w:t>it is expected that most New Zealand products sold will comply with Australian requirements</w:t>
      </w:r>
      <w:r w:rsidR="00736C60">
        <w:rPr>
          <w:szCs w:val="18"/>
        </w:rPr>
        <w:t xml:space="preserve"> </w:t>
      </w:r>
      <w:r>
        <w:rPr>
          <w:szCs w:val="18"/>
        </w:rPr>
        <w:t xml:space="preserve">(M Hammond-Blain, EECA, pers comm, 2022). </w:t>
      </w:r>
      <w:r w:rsidR="00B43B3D">
        <w:rPr>
          <w:szCs w:val="18"/>
        </w:rPr>
        <w:t>Under Australian regulations maximum mercury</w:t>
      </w:r>
      <w:r w:rsidR="006F0ECC" w:rsidRPr="0026045A">
        <w:rPr>
          <w:szCs w:val="18"/>
        </w:rPr>
        <w:t xml:space="preserve"> </w:t>
      </w:r>
      <w:r w:rsidR="00B43B3D">
        <w:rPr>
          <w:szCs w:val="18"/>
        </w:rPr>
        <w:t xml:space="preserve">levels for CFL lights are 5 mg for lights 30 Watts and over and 2.5 mg for lights under 30 Watts. </w:t>
      </w:r>
      <w:r w:rsidR="00031BA6">
        <w:rPr>
          <w:szCs w:val="18"/>
        </w:rPr>
        <w:t>The Toolkit’s most recent revision</w:t>
      </w:r>
      <w:r w:rsidR="00031CA0">
        <w:rPr>
          <w:szCs w:val="18"/>
        </w:rPr>
        <w:t xml:space="preserve"> (UNEP, </w:t>
      </w:r>
      <w:r w:rsidR="00874C1F">
        <w:rPr>
          <w:szCs w:val="18"/>
        </w:rPr>
        <w:t>2023</w:t>
      </w:r>
      <w:r w:rsidR="00031CA0">
        <w:rPr>
          <w:szCs w:val="18"/>
        </w:rPr>
        <w:t>)</w:t>
      </w:r>
      <w:r w:rsidR="00031BA6">
        <w:rPr>
          <w:szCs w:val="18"/>
        </w:rPr>
        <w:t xml:space="preserve"> recommended a default input factor of 2.7 mg</w:t>
      </w:r>
      <w:r w:rsidR="0082680E">
        <w:rPr>
          <w:szCs w:val="18"/>
        </w:rPr>
        <w:t xml:space="preserve"> mercury</w:t>
      </w:r>
      <w:r w:rsidR="00031BA6">
        <w:rPr>
          <w:szCs w:val="18"/>
        </w:rPr>
        <w:t xml:space="preserve"> per CFL and this has been adopted.</w:t>
      </w:r>
    </w:p>
    <w:p w14:paraId="2133504A" w14:textId="3FB60091" w:rsidR="00DF0900" w:rsidRPr="0026045A" w:rsidRDefault="00B43B3D" w:rsidP="003833D6">
      <w:pPr>
        <w:spacing w:line="300" w:lineRule="atLeast"/>
        <w:jc w:val="both"/>
        <w:rPr>
          <w:szCs w:val="18"/>
        </w:rPr>
      </w:pPr>
      <w:r>
        <w:rPr>
          <w:szCs w:val="18"/>
        </w:rPr>
        <w:t>From 2017</w:t>
      </w:r>
      <w:r w:rsidR="00142571">
        <w:rPr>
          <w:szCs w:val="18"/>
        </w:rPr>
        <w:t xml:space="preserve"> Australian regulations required</w:t>
      </w:r>
      <w:r>
        <w:rPr>
          <w:szCs w:val="18"/>
        </w:rPr>
        <w:t xml:space="preserve"> LFL lights </w:t>
      </w:r>
      <w:r w:rsidR="00142571">
        <w:rPr>
          <w:szCs w:val="18"/>
        </w:rPr>
        <w:t xml:space="preserve">to have a mercury content </w:t>
      </w:r>
      <w:r>
        <w:rPr>
          <w:szCs w:val="18"/>
        </w:rPr>
        <w:t>below 5 mg.</w:t>
      </w:r>
      <w:r w:rsidR="00C92D6F">
        <w:rPr>
          <w:szCs w:val="18"/>
        </w:rPr>
        <w:t xml:space="preserve"> </w:t>
      </w:r>
      <w:r w:rsidR="00AA5CB4">
        <w:rPr>
          <w:szCs w:val="18"/>
        </w:rPr>
        <w:t>P</w:t>
      </w:r>
      <w:r w:rsidR="00031BA6">
        <w:rPr>
          <w:szCs w:val="18"/>
        </w:rPr>
        <w:t xml:space="preserve">revious </w:t>
      </w:r>
      <w:r w:rsidR="00AA5CB4">
        <w:rPr>
          <w:szCs w:val="18"/>
        </w:rPr>
        <w:t>New</w:t>
      </w:r>
      <w:r w:rsidR="00883194">
        <w:rPr>
          <w:szCs w:val="18"/>
        </w:rPr>
        <w:t xml:space="preserve"> </w:t>
      </w:r>
      <w:r w:rsidR="00AA5CB4">
        <w:rPr>
          <w:szCs w:val="18"/>
        </w:rPr>
        <w:t xml:space="preserve">Zealand mercury </w:t>
      </w:r>
      <w:r w:rsidR="00031BA6">
        <w:rPr>
          <w:szCs w:val="18"/>
        </w:rPr>
        <w:t>inventor</w:t>
      </w:r>
      <w:r w:rsidR="00AA5CB4">
        <w:rPr>
          <w:szCs w:val="18"/>
        </w:rPr>
        <w:t>ies have</w:t>
      </w:r>
      <w:r w:rsidR="00031BA6">
        <w:rPr>
          <w:szCs w:val="18"/>
        </w:rPr>
        <w:t xml:space="preserve"> used a range from </w:t>
      </w:r>
      <w:r w:rsidR="0082680E">
        <w:rPr>
          <w:szCs w:val="18"/>
        </w:rPr>
        <w:t>1.1 – 5 mg mercury per LFL</w:t>
      </w:r>
      <w:r w:rsidR="00AA5CB4">
        <w:rPr>
          <w:szCs w:val="18"/>
        </w:rPr>
        <w:t xml:space="preserve">. This is </w:t>
      </w:r>
      <w:r w:rsidR="0082680E">
        <w:rPr>
          <w:szCs w:val="18"/>
        </w:rPr>
        <w:t>is lower than the current Toolkit default factor of 8 mg mercury / LFL but is more appropriate for the New Zealand market.</w:t>
      </w:r>
      <w:r w:rsidR="00883194">
        <w:rPr>
          <w:szCs w:val="18"/>
        </w:rPr>
        <w:t xml:space="preserve"> A recent lighting product review gives a mercury content range of 1.5 – 3.3 mg for triband phosphor LFLs and 8 – 10 mg for halophosphate LFLs</w:t>
      </w:r>
      <w:r w:rsidR="003E6992">
        <w:rPr>
          <w:szCs w:val="18"/>
        </w:rPr>
        <w:t xml:space="preserve"> (UNEP, 2020)</w:t>
      </w:r>
      <w:r w:rsidR="00883194">
        <w:rPr>
          <w:szCs w:val="18"/>
        </w:rPr>
        <w:t xml:space="preserve">. </w:t>
      </w:r>
    </w:p>
    <w:p w14:paraId="65DBED71" w14:textId="77777777" w:rsidR="00B647AA" w:rsidRPr="00031BA6" w:rsidRDefault="00B647AA" w:rsidP="003833D6">
      <w:pPr>
        <w:spacing w:line="300" w:lineRule="atLeast"/>
        <w:jc w:val="both"/>
        <w:rPr>
          <w:rFonts w:ascii="Arial" w:hAnsi="Arial" w:cs="Arial"/>
          <w:b/>
          <w:szCs w:val="18"/>
        </w:rPr>
      </w:pPr>
      <w:r w:rsidRPr="00031BA6">
        <w:rPr>
          <w:rFonts w:ascii="Arial" w:hAnsi="Arial" w:cs="Arial"/>
          <w:b/>
          <w:szCs w:val="18"/>
        </w:rPr>
        <w:t>Other discharge lamps</w:t>
      </w:r>
    </w:p>
    <w:p w14:paraId="60C45EC0" w14:textId="1911E581" w:rsidR="001C5CCF" w:rsidRDefault="003A7F6D" w:rsidP="00784A01">
      <w:pPr>
        <w:spacing w:line="300" w:lineRule="atLeast"/>
        <w:jc w:val="both"/>
        <w:rPr>
          <w:szCs w:val="18"/>
        </w:rPr>
      </w:pPr>
      <w:r w:rsidRPr="00142571">
        <w:rPr>
          <w:szCs w:val="18"/>
        </w:rPr>
        <w:t>Import data was also obtained for a range of other discharge lamps, using 7 different HS codes (ie. those in the range 8539.32.00.01 to 8539.49.90.00).</w:t>
      </w:r>
      <w:r w:rsidRPr="003C0CD3">
        <w:rPr>
          <w:szCs w:val="18"/>
        </w:rPr>
        <w:t xml:space="preserve"> This showed total imports in </w:t>
      </w:r>
      <w:r w:rsidR="001C5CCF">
        <w:rPr>
          <w:szCs w:val="18"/>
        </w:rPr>
        <w:t>2024</w:t>
      </w:r>
      <w:r w:rsidR="001C5CCF" w:rsidRPr="003C0CD3">
        <w:rPr>
          <w:szCs w:val="18"/>
        </w:rPr>
        <w:t xml:space="preserve"> </w:t>
      </w:r>
      <w:r w:rsidRPr="003C0CD3">
        <w:rPr>
          <w:szCs w:val="18"/>
        </w:rPr>
        <w:t xml:space="preserve">of about </w:t>
      </w:r>
      <w:r w:rsidR="001C5CCF">
        <w:rPr>
          <w:szCs w:val="18"/>
        </w:rPr>
        <w:t>41,000</w:t>
      </w:r>
      <w:r w:rsidRPr="003C0CD3">
        <w:rPr>
          <w:szCs w:val="18"/>
        </w:rPr>
        <w:t xml:space="preserve"> high-intensity discharge lamps, and about </w:t>
      </w:r>
      <w:r w:rsidR="001C5CCF">
        <w:rPr>
          <w:szCs w:val="18"/>
        </w:rPr>
        <w:t>201,000</w:t>
      </w:r>
      <w:r w:rsidR="00CF54BC">
        <w:rPr>
          <w:szCs w:val="18"/>
        </w:rPr>
        <w:t xml:space="preserve"> </w:t>
      </w:r>
      <w:r w:rsidRPr="003C0CD3">
        <w:rPr>
          <w:szCs w:val="18"/>
        </w:rPr>
        <w:t>‘other’ lamps</w:t>
      </w:r>
      <w:r w:rsidR="00CF54BC">
        <w:rPr>
          <w:szCs w:val="18"/>
        </w:rPr>
        <w:t>’</w:t>
      </w:r>
      <w:r w:rsidR="009002F2">
        <w:rPr>
          <w:szCs w:val="18"/>
        </w:rPr>
        <w:t xml:space="preserve">, many of </w:t>
      </w:r>
      <w:r w:rsidR="000D1ED3">
        <w:rPr>
          <w:szCs w:val="18"/>
        </w:rPr>
        <w:t>which are ultra violet lights with or without a filament.</w:t>
      </w:r>
      <w:r w:rsidRPr="003C0CD3">
        <w:rPr>
          <w:szCs w:val="18"/>
        </w:rPr>
        <w:t xml:space="preserve"> </w:t>
      </w:r>
    </w:p>
    <w:p w14:paraId="36593ACF" w14:textId="5E9E3644" w:rsidR="00A55B20" w:rsidRDefault="00A55B20" w:rsidP="00A55B20">
      <w:pPr>
        <w:spacing w:line="300" w:lineRule="atLeast"/>
        <w:jc w:val="both"/>
        <w:rPr>
          <w:szCs w:val="18"/>
        </w:rPr>
      </w:pPr>
      <w:r>
        <w:rPr>
          <w:szCs w:val="18"/>
        </w:rPr>
        <w:t>With regard to the high intensity lamps</w:t>
      </w:r>
      <w:r w:rsidRPr="00A55B20">
        <w:rPr>
          <w:szCs w:val="18"/>
        </w:rPr>
        <w:t xml:space="preserve"> </w:t>
      </w:r>
      <w:r w:rsidR="00672C8D">
        <w:rPr>
          <w:szCs w:val="18"/>
        </w:rPr>
        <w:t>t</w:t>
      </w:r>
      <w:r>
        <w:rPr>
          <w:szCs w:val="18"/>
        </w:rPr>
        <w:t>he Lighting Council of New Zealand has raised the issue of failed power correction capacitors for this type of light</w:t>
      </w:r>
      <w:r w:rsidR="00CF54BC">
        <w:rPr>
          <w:szCs w:val="18"/>
        </w:rPr>
        <w:t>,</w:t>
      </w:r>
      <w:r>
        <w:rPr>
          <w:szCs w:val="18"/>
        </w:rPr>
        <w:t xml:space="preserve"> leading to a perceived increased risk of electrical fires (Lighting Council NZ, 2024). The Lighting Council regard all high intensity discharge lamps as obsolete technologies and encourage their replacement with light emitting diode lights (LEDs) which have substantially lower energy use, maintenance needs and operating costs.</w:t>
      </w:r>
    </w:p>
    <w:p w14:paraId="23AE013C" w14:textId="42BD1913" w:rsidR="00A55B20" w:rsidRDefault="009002F2" w:rsidP="00784A01">
      <w:pPr>
        <w:spacing w:line="300" w:lineRule="atLeast"/>
        <w:jc w:val="both"/>
        <w:rPr>
          <w:szCs w:val="18"/>
        </w:rPr>
      </w:pPr>
      <w:r>
        <w:rPr>
          <w:szCs w:val="18"/>
        </w:rPr>
        <w:t>As can be seen in Table 7-4</w:t>
      </w:r>
      <w:r w:rsidR="000E0956">
        <w:rPr>
          <w:szCs w:val="18"/>
        </w:rPr>
        <w:t>,</w:t>
      </w:r>
      <w:r>
        <w:rPr>
          <w:szCs w:val="18"/>
        </w:rPr>
        <w:t xml:space="preserve"> </w:t>
      </w:r>
      <w:r w:rsidR="001C5CCF">
        <w:rPr>
          <w:szCs w:val="18"/>
        </w:rPr>
        <w:t>high pressure mercury vapour lamps</w:t>
      </w:r>
      <w:r w:rsidR="00672C8D">
        <w:rPr>
          <w:szCs w:val="18"/>
        </w:rPr>
        <w:t xml:space="preserve"> (HPMVs)</w:t>
      </w:r>
      <w:r w:rsidR="001C5CCF">
        <w:rPr>
          <w:szCs w:val="18"/>
        </w:rPr>
        <w:t xml:space="preserve"> have continued their steep decline with only 1504 units imp</w:t>
      </w:r>
      <w:r w:rsidR="007C19E1">
        <w:rPr>
          <w:szCs w:val="18"/>
        </w:rPr>
        <w:t>o</w:t>
      </w:r>
      <w:r w:rsidR="001C5CCF">
        <w:rPr>
          <w:szCs w:val="18"/>
        </w:rPr>
        <w:t>rted in 2024.</w:t>
      </w:r>
      <w:r w:rsidR="007C19E1">
        <w:rPr>
          <w:szCs w:val="18"/>
        </w:rPr>
        <w:t xml:space="preserve"> These lights are typically used in factories and warehouses. </w:t>
      </w:r>
      <w:r w:rsidR="006F7381">
        <w:rPr>
          <w:szCs w:val="18"/>
        </w:rPr>
        <w:t xml:space="preserve">The Minamata Convention </w:t>
      </w:r>
      <w:r w:rsidR="00672C8D">
        <w:rPr>
          <w:szCs w:val="18"/>
        </w:rPr>
        <w:t>has not allowed</w:t>
      </w:r>
      <w:r w:rsidR="006F7381">
        <w:rPr>
          <w:szCs w:val="18"/>
        </w:rPr>
        <w:t xml:space="preserve"> </w:t>
      </w:r>
      <w:r w:rsidR="00672C8D">
        <w:rPr>
          <w:szCs w:val="18"/>
        </w:rPr>
        <w:t>import and export of HPMVs since 2020</w:t>
      </w:r>
      <w:r w:rsidR="006870C2">
        <w:rPr>
          <w:szCs w:val="18"/>
        </w:rPr>
        <w:t xml:space="preserve"> (UNEP, 2024)</w:t>
      </w:r>
      <w:r w:rsidR="00672C8D">
        <w:rPr>
          <w:szCs w:val="18"/>
        </w:rPr>
        <w:t>.</w:t>
      </w:r>
    </w:p>
    <w:p w14:paraId="724ECC95" w14:textId="3C1B246C" w:rsidR="00784A01" w:rsidRDefault="00980DDE" w:rsidP="00784A01">
      <w:pPr>
        <w:spacing w:line="300" w:lineRule="atLeast"/>
        <w:jc w:val="both"/>
        <w:rPr>
          <w:szCs w:val="18"/>
        </w:rPr>
      </w:pPr>
      <w:r>
        <w:rPr>
          <w:szCs w:val="18"/>
        </w:rPr>
        <w:t xml:space="preserve">Imports of high pressure sodium </w:t>
      </w:r>
      <w:r w:rsidR="00FD7E3F">
        <w:rPr>
          <w:szCs w:val="18"/>
        </w:rPr>
        <w:t xml:space="preserve">(HPS) </w:t>
      </w:r>
      <w:r>
        <w:rPr>
          <w:szCs w:val="18"/>
        </w:rPr>
        <w:t xml:space="preserve">lamps in 2024 at 23,781 units have increased 50% compared to 2020 although that year’s activity may have been affected by the Covid pandemic. </w:t>
      </w:r>
      <w:r w:rsidR="00A677EA">
        <w:rPr>
          <w:szCs w:val="18"/>
        </w:rPr>
        <w:t xml:space="preserve">It would appear that these lamps </w:t>
      </w:r>
      <w:r w:rsidR="00A55B20">
        <w:rPr>
          <w:szCs w:val="18"/>
        </w:rPr>
        <w:t>are still being used for street lighting and other commercial and industrial applications despite initiatives like those of Auckland Transport mentioned above to replace them with LEDs.</w:t>
      </w:r>
      <w:r w:rsidR="00672C8D">
        <w:rPr>
          <w:szCs w:val="18"/>
        </w:rPr>
        <w:t xml:space="preserve"> Given that </w:t>
      </w:r>
      <w:r w:rsidR="00AF36CF">
        <w:rPr>
          <w:szCs w:val="18"/>
        </w:rPr>
        <w:t xml:space="preserve">the </w:t>
      </w:r>
      <w:r w:rsidR="00214FC1">
        <w:rPr>
          <w:szCs w:val="18"/>
        </w:rPr>
        <w:t>life of</w:t>
      </w:r>
      <w:r w:rsidR="00AF36CF">
        <w:rPr>
          <w:szCs w:val="18"/>
        </w:rPr>
        <w:t xml:space="preserve"> an HPS lamp is</w:t>
      </w:r>
      <w:r w:rsidR="00214FC1">
        <w:rPr>
          <w:szCs w:val="18"/>
        </w:rPr>
        <w:t xml:space="preserve"> about 4 years (NZ Transport Agency, 2025) </w:t>
      </w:r>
      <w:r w:rsidR="00FD7E3F">
        <w:rPr>
          <w:szCs w:val="18"/>
        </w:rPr>
        <w:t>the 2024 HPS imp</w:t>
      </w:r>
      <w:r w:rsidR="00AF36CF">
        <w:rPr>
          <w:szCs w:val="18"/>
        </w:rPr>
        <w:t xml:space="preserve">ort quantities suggest there are still about 95,000 </w:t>
      </w:r>
      <w:r w:rsidR="000E0956">
        <w:rPr>
          <w:szCs w:val="18"/>
        </w:rPr>
        <w:t xml:space="preserve">such </w:t>
      </w:r>
      <w:r w:rsidR="00AF36CF">
        <w:rPr>
          <w:szCs w:val="18"/>
        </w:rPr>
        <w:t xml:space="preserve">street lights operating </w:t>
      </w:r>
      <w:r w:rsidR="000E0956">
        <w:rPr>
          <w:szCs w:val="18"/>
        </w:rPr>
        <w:t xml:space="preserve">out </w:t>
      </w:r>
      <w:r w:rsidR="00AF36CF">
        <w:rPr>
          <w:szCs w:val="18"/>
        </w:rPr>
        <w:t>of a total of about 300,000 street lights in New Zealand (Te Ara Encyclopedia, 2009).</w:t>
      </w:r>
    </w:p>
    <w:p w14:paraId="623F3864" w14:textId="3F071435" w:rsidR="00A677EA" w:rsidRDefault="00A677EA" w:rsidP="00784A01">
      <w:pPr>
        <w:spacing w:line="300" w:lineRule="atLeast"/>
        <w:jc w:val="both"/>
        <w:rPr>
          <w:szCs w:val="18"/>
        </w:rPr>
      </w:pPr>
      <w:r>
        <w:rPr>
          <w:szCs w:val="18"/>
        </w:rPr>
        <w:t>Metal halide lamp imports have declined since 2020, although 16,163 units were still imported.</w:t>
      </w:r>
      <w:r w:rsidR="00A55B20">
        <w:rPr>
          <w:szCs w:val="18"/>
        </w:rPr>
        <w:t xml:space="preserve"> These lights are </w:t>
      </w:r>
      <w:r w:rsidR="006870C2">
        <w:rPr>
          <w:szCs w:val="18"/>
        </w:rPr>
        <w:t>used in car headlamps and it is not possible to retrofit with mercury free replacements without replacing the lighting control circuit which may be uneconomic. It can also be difficult to obtain an LED lamp with the same shape (UNEP, 2020).</w:t>
      </w:r>
    </w:p>
    <w:p w14:paraId="4602B804" w14:textId="5E872471" w:rsidR="008317A2" w:rsidRPr="000D1ED3" w:rsidRDefault="000E0956" w:rsidP="00784A01">
      <w:pPr>
        <w:spacing w:line="300" w:lineRule="atLeast"/>
        <w:jc w:val="both"/>
        <w:rPr>
          <w:szCs w:val="18"/>
        </w:rPr>
      </w:pPr>
      <w:r>
        <w:rPr>
          <w:szCs w:val="18"/>
        </w:rPr>
        <w:t>Numbers of u</w:t>
      </w:r>
      <w:r w:rsidR="00C6643A">
        <w:rPr>
          <w:szCs w:val="18"/>
        </w:rPr>
        <w:t>ltraviolet lights imported in 2024 were similar to those imported in 2020. While it is assumed many of these lamps are used in the cosmetic tanning industry</w:t>
      </w:r>
      <w:r w:rsidR="008C4ECC">
        <w:rPr>
          <w:szCs w:val="18"/>
        </w:rPr>
        <w:t>,</w:t>
      </w:r>
      <w:r w:rsidR="00C6643A">
        <w:rPr>
          <w:szCs w:val="18"/>
        </w:rPr>
        <w:t xml:space="preserve"> other potential applications include wastewater sterilisation, light sources for the operation and calibration of scientific instruments, </w:t>
      </w:r>
      <w:r w:rsidR="008B7E69">
        <w:rPr>
          <w:szCs w:val="18"/>
        </w:rPr>
        <w:t>bank note recognition projector lamps, studio lighting, show effect lighting and theatre lighting, insect zapping, and various medical applications including skin conditi</w:t>
      </w:r>
      <w:r w:rsidR="00360880">
        <w:rPr>
          <w:szCs w:val="18"/>
        </w:rPr>
        <w:t>o</w:t>
      </w:r>
      <w:r w:rsidR="008B7E69">
        <w:rPr>
          <w:szCs w:val="18"/>
        </w:rPr>
        <w:t>ns and gastric endoscopes.</w:t>
      </w:r>
      <w:r w:rsidR="007C09E0">
        <w:rPr>
          <w:szCs w:val="18"/>
        </w:rPr>
        <w:t xml:space="preserve"> (UNEP, 2020).</w:t>
      </w:r>
      <w:r w:rsidR="00CC1209">
        <w:rPr>
          <w:szCs w:val="18"/>
        </w:rPr>
        <w:t xml:space="preserve"> These processes often have specific requirements in terms of </w:t>
      </w:r>
      <w:r w:rsidR="00360880">
        <w:rPr>
          <w:szCs w:val="18"/>
        </w:rPr>
        <w:t>ultraviolet light wavelength</w:t>
      </w:r>
      <w:r w:rsidR="00CC1209">
        <w:rPr>
          <w:szCs w:val="18"/>
        </w:rPr>
        <w:t xml:space="preserve"> </w:t>
      </w:r>
      <w:r w:rsidR="00360880">
        <w:rPr>
          <w:szCs w:val="18"/>
        </w:rPr>
        <w:t>which may not be matched by potential LED replacements.</w:t>
      </w:r>
    </w:p>
    <w:p w14:paraId="0C1470F8" w14:textId="77777777" w:rsidR="00AD5485" w:rsidRDefault="00AD5485" w:rsidP="00AD5485">
      <w:pPr>
        <w:spacing w:line="300" w:lineRule="atLeast"/>
        <w:jc w:val="both"/>
        <w:rPr>
          <w:rFonts w:ascii="Arial" w:hAnsi="Arial" w:cs="Arial"/>
          <w:b/>
          <w:szCs w:val="18"/>
        </w:rPr>
      </w:pPr>
      <w:r w:rsidRPr="00784A01">
        <w:rPr>
          <w:rFonts w:ascii="Arial" w:hAnsi="Arial" w:cs="Arial"/>
          <w:b/>
          <w:szCs w:val="18"/>
        </w:rPr>
        <w:t>Input and output estimates</w:t>
      </w:r>
    </w:p>
    <w:p w14:paraId="073E89AD" w14:textId="5331EA76" w:rsidR="00AD5485" w:rsidRPr="00784A01" w:rsidRDefault="00AD5485" w:rsidP="00AD5485">
      <w:pPr>
        <w:spacing w:line="300" w:lineRule="atLeast"/>
        <w:jc w:val="both"/>
        <w:rPr>
          <w:szCs w:val="18"/>
        </w:rPr>
      </w:pPr>
      <w:r w:rsidRPr="0086053D">
        <w:rPr>
          <w:szCs w:val="18"/>
        </w:rPr>
        <w:t xml:space="preserve">The </w:t>
      </w:r>
      <w:r w:rsidR="006B3D36" w:rsidRPr="00A44BC4">
        <w:rPr>
          <w:szCs w:val="18"/>
        </w:rPr>
        <w:t xml:space="preserve">estimates for the </w:t>
      </w:r>
      <w:r w:rsidRPr="00175210">
        <w:rPr>
          <w:szCs w:val="18"/>
        </w:rPr>
        <w:t>total mercury inputs for all l</w:t>
      </w:r>
      <w:r w:rsidRPr="004A4BAD">
        <w:rPr>
          <w:szCs w:val="18"/>
        </w:rPr>
        <w:t xml:space="preserve">amps </w:t>
      </w:r>
      <w:r w:rsidR="006B3D36" w:rsidRPr="00784A01">
        <w:rPr>
          <w:szCs w:val="18"/>
        </w:rPr>
        <w:t>are summarised in</w:t>
      </w:r>
      <w:r w:rsidR="00635649" w:rsidRPr="00784A01">
        <w:rPr>
          <w:szCs w:val="18"/>
        </w:rPr>
        <w:t xml:space="preserve"> Table 7-4</w:t>
      </w:r>
      <w:r w:rsidR="006B3D36" w:rsidRPr="00784A01">
        <w:rPr>
          <w:szCs w:val="18"/>
        </w:rPr>
        <w:t xml:space="preserve">. </w:t>
      </w:r>
      <w:r w:rsidR="00C76876" w:rsidRPr="00784A01">
        <w:rPr>
          <w:szCs w:val="18"/>
        </w:rPr>
        <w:t xml:space="preserve">This </w:t>
      </w:r>
      <w:r w:rsidRPr="00784A01">
        <w:rPr>
          <w:szCs w:val="18"/>
        </w:rPr>
        <w:t xml:space="preserve">has been based on the </w:t>
      </w:r>
      <w:r w:rsidR="00C76876" w:rsidRPr="00784A01">
        <w:rPr>
          <w:szCs w:val="18"/>
        </w:rPr>
        <w:t xml:space="preserve">mercury content information </w:t>
      </w:r>
      <w:r w:rsidRPr="00784A01">
        <w:rPr>
          <w:szCs w:val="18"/>
        </w:rPr>
        <w:t xml:space="preserve">given above </w:t>
      </w:r>
      <w:r w:rsidR="00C76876" w:rsidRPr="00784A01">
        <w:rPr>
          <w:szCs w:val="18"/>
        </w:rPr>
        <w:t>or the</w:t>
      </w:r>
      <w:r w:rsidRPr="00784A01">
        <w:rPr>
          <w:szCs w:val="18"/>
        </w:rPr>
        <w:t xml:space="preserve"> Toolkit default factors</w:t>
      </w:r>
      <w:r w:rsidR="00C76876" w:rsidRPr="00784A01">
        <w:rPr>
          <w:szCs w:val="18"/>
        </w:rPr>
        <w:t xml:space="preserve"> when local information was not available</w:t>
      </w:r>
      <w:r w:rsidRPr="00784A01">
        <w:rPr>
          <w:szCs w:val="18"/>
        </w:rPr>
        <w:t>.</w:t>
      </w:r>
    </w:p>
    <w:p w14:paraId="575C3C21" w14:textId="67F1EF5A" w:rsidR="00016AD4" w:rsidRPr="003370C1" w:rsidRDefault="003A7F6D" w:rsidP="003370C1">
      <w:pPr>
        <w:spacing w:line="300" w:lineRule="atLeast"/>
        <w:jc w:val="both"/>
        <w:rPr>
          <w:szCs w:val="18"/>
        </w:rPr>
      </w:pPr>
      <w:bookmarkStart w:id="96" w:name="_Ref360000428"/>
      <w:r w:rsidRPr="00784A01">
        <w:rPr>
          <w:szCs w:val="18"/>
        </w:rPr>
        <w:t>For outputs, the Toolkit recommends distribution factors of 0.05 (5%) to air, and 0.95 (95%) to waste, for countries with publicly controlled waste collection services, but only limited waste separation. These factors will be applied to the New Zealand input estimates</w:t>
      </w:r>
      <w:r w:rsidR="00CC1209">
        <w:rPr>
          <w:szCs w:val="18"/>
        </w:rPr>
        <w:t xml:space="preserve">. </w:t>
      </w:r>
    </w:p>
    <w:p w14:paraId="6EB8A435" w14:textId="77777777" w:rsidR="000E0956" w:rsidRDefault="000E0956">
      <w:pPr>
        <w:spacing w:after="0"/>
        <w:rPr>
          <w:rFonts w:ascii="Arial" w:hAnsi="Arial" w:cs="Arial"/>
          <w:b/>
          <w:bCs/>
        </w:rPr>
      </w:pPr>
      <w:bookmarkStart w:id="97" w:name="_Toc110355481"/>
      <w:r>
        <w:rPr>
          <w:rFonts w:ascii="Arial" w:hAnsi="Arial" w:cs="Arial"/>
        </w:rPr>
        <w:br w:type="page"/>
      </w:r>
    </w:p>
    <w:p w14:paraId="05347271" w14:textId="17EC23BA" w:rsidR="006B3D36" w:rsidRPr="0086053D" w:rsidRDefault="006B3D36" w:rsidP="006B3D36">
      <w:pPr>
        <w:pStyle w:val="Caption"/>
        <w:spacing w:before="240"/>
        <w:rPr>
          <w:rFonts w:ascii="Arial" w:hAnsi="Arial" w:cs="Arial"/>
          <w:szCs w:val="18"/>
        </w:rPr>
      </w:pPr>
      <w:r w:rsidRPr="0086053D">
        <w:rPr>
          <w:rFonts w:ascii="Arial" w:hAnsi="Arial" w:cs="Arial"/>
        </w:rPr>
        <w:t xml:space="preserve">Table </w:t>
      </w:r>
      <w:r w:rsidR="00390C9F" w:rsidRPr="0086053D">
        <w:rPr>
          <w:rFonts w:ascii="Arial" w:hAnsi="Arial" w:cs="Arial"/>
        </w:rPr>
        <w:fldChar w:fldCharType="begin"/>
      </w:r>
      <w:r w:rsidR="00390C9F" w:rsidRPr="0086053D">
        <w:rPr>
          <w:rFonts w:ascii="Arial" w:hAnsi="Arial" w:cs="Arial"/>
        </w:rPr>
        <w:instrText xml:space="preserve"> STYLEREF 1 \s </w:instrText>
      </w:r>
      <w:r w:rsidR="00390C9F" w:rsidRPr="0086053D">
        <w:rPr>
          <w:rFonts w:ascii="Arial" w:hAnsi="Arial" w:cs="Arial"/>
        </w:rPr>
        <w:fldChar w:fldCharType="separate"/>
      </w:r>
      <w:r w:rsidR="00892B2D">
        <w:rPr>
          <w:rFonts w:ascii="Arial" w:hAnsi="Arial" w:cs="Arial"/>
          <w:noProof/>
        </w:rPr>
        <w:t>7</w:t>
      </w:r>
      <w:r w:rsidR="00390C9F" w:rsidRPr="0086053D">
        <w:rPr>
          <w:rFonts w:ascii="Arial" w:hAnsi="Arial" w:cs="Arial"/>
        </w:rPr>
        <w:fldChar w:fldCharType="end"/>
      </w:r>
      <w:r w:rsidR="00390C9F" w:rsidRPr="0086053D">
        <w:rPr>
          <w:rFonts w:ascii="Arial" w:hAnsi="Arial" w:cs="Arial"/>
        </w:rPr>
        <w:noBreakHyphen/>
      </w:r>
      <w:r w:rsidR="00390C9F" w:rsidRPr="0086053D">
        <w:rPr>
          <w:rFonts w:ascii="Arial" w:hAnsi="Arial" w:cs="Arial"/>
        </w:rPr>
        <w:fldChar w:fldCharType="begin"/>
      </w:r>
      <w:r w:rsidR="00390C9F" w:rsidRPr="0086053D">
        <w:rPr>
          <w:rFonts w:ascii="Arial" w:hAnsi="Arial" w:cs="Arial"/>
        </w:rPr>
        <w:instrText xml:space="preserve"> SEQ Table \* ARABIC \s 1 </w:instrText>
      </w:r>
      <w:r w:rsidR="00390C9F" w:rsidRPr="0086053D">
        <w:rPr>
          <w:rFonts w:ascii="Arial" w:hAnsi="Arial" w:cs="Arial"/>
        </w:rPr>
        <w:fldChar w:fldCharType="separate"/>
      </w:r>
      <w:r w:rsidR="00892B2D">
        <w:rPr>
          <w:rFonts w:ascii="Arial" w:hAnsi="Arial" w:cs="Arial"/>
          <w:noProof/>
        </w:rPr>
        <w:t>4</w:t>
      </w:r>
      <w:r w:rsidR="00390C9F" w:rsidRPr="0086053D">
        <w:rPr>
          <w:rFonts w:ascii="Arial" w:hAnsi="Arial" w:cs="Arial"/>
        </w:rPr>
        <w:fldChar w:fldCharType="end"/>
      </w:r>
      <w:bookmarkEnd w:id="96"/>
      <w:r w:rsidRPr="0086053D">
        <w:rPr>
          <w:rFonts w:ascii="Arial" w:hAnsi="Arial" w:cs="Arial"/>
          <w:szCs w:val="18"/>
        </w:rPr>
        <w:t xml:space="preserve">: </w:t>
      </w:r>
      <w:r w:rsidR="00403501">
        <w:rPr>
          <w:rFonts w:ascii="Arial" w:hAnsi="Arial" w:cs="Arial"/>
          <w:szCs w:val="18"/>
        </w:rPr>
        <w:t xml:space="preserve"> </w:t>
      </w:r>
      <w:r w:rsidRPr="0086053D">
        <w:rPr>
          <w:rFonts w:ascii="Arial" w:hAnsi="Arial" w:cs="Arial"/>
          <w:szCs w:val="18"/>
        </w:rPr>
        <w:t>Input estimates for lamps</w:t>
      </w:r>
      <w:bookmarkEnd w:id="97"/>
    </w:p>
    <w:tbl>
      <w:tblPr>
        <w:tblStyle w:val="TableGrid"/>
        <w:tblW w:w="0" w:type="auto"/>
        <w:tblLook w:val="04A0" w:firstRow="1" w:lastRow="0" w:firstColumn="1" w:lastColumn="0" w:noHBand="0" w:noVBand="1"/>
      </w:tblPr>
      <w:tblGrid>
        <w:gridCol w:w="3431"/>
        <w:gridCol w:w="1808"/>
        <w:gridCol w:w="1922"/>
        <w:gridCol w:w="1900"/>
      </w:tblGrid>
      <w:tr w:rsidR="00E45E6D" w:rsidRPr="0086053D" w14:paraId="18987379" w14:textId="77777777" w:rsidTr="000E0956">
        <w:tc>
          <w:tcPr>
            <w:tcW w:w="3431" w:type="dxa"/>
            <w:vAlign w:val="center"/>
          </w:tcPr>
          <w:p w14:paraId="4816FC31" w14:textId="77777777" w:rsidR="00E45E6D" w:rsidRPr="0086053D" w:rsidRDefault="00E45E6D" w:rsidP="00E45E6D">
            <w:pPr>
              <w:spacing w:line="300" w:lineRule="atLeast"/>
              <w:jc w:val="center"/>
              <w:rPr>
                <w:rFonts w:ascii="Arial" w:hAnsi="Arial" w:cs="Arial"/>
                <w:b/>
                <w:sz w:val="16"/>
                <w:szCs w:val="16"/>
              </w:rPr>
            </w:pPr>
            <w:r w:rsidRPr="0086053D">
              <w:rPr>
                <w:rFonts w:ascii="Arial" w:hAnsi="Arial" w:cs="Arial"/>
                <w:b/>
                <w:sz w:val="16"/>
                <w:szCs w:val="16"/>
              </w:rPr>
              <w:t>Lamp type</w:t>
            </w:r>
          </w:p>
        </w:tc>
        <w:tc>
          <w:tcPr>
            <w:tcW w:w="1808" w:type="dxa"/>
            <w:vAlign w:val="center"/>
          </w:tcPr>
          <w:p w14:paraId="34D5C4E9" w14:textId="77777777" w:rsidR="00E45E6D" w:rsidRPr="0086053D" w:rsidRDefault="00E45E6D" w:rsidP="00E45E6D">
            <w:pPr>
              <w:spacing w:line="300" w:lineRule="atLeast"/>
              <w:jc w:val="center"/>
              <w:rPr>
                <w:rFonts w:ascii="Arial" w:hAnsi="Arial" w:cs="Arial"/>
                <w:b/>
                <w:sz w:val="16"/>
                <w:szCs w:val="16"/>
              </w:rPr>
            </w:pPr>
            <w:r w:rsidRPr="0086053D">
              <w:rPr>
                <w:rFonts w:ascii="Arial" w:hAnsi="Arial" w:cs="Arial"/>
                <w:b/>
                <w:sz w:val="16"/>
                <w:szCs w:val="16"/>
              </w:rPr>
              <w:t>Mercury content, mg/lamp</w:t>
            </w:r>
          </w:p>
        </w:tc>
        <w:tc>
          <w:tcPr>
            <w:tcW w:w="1922" w:type="dxa"/>
            <w:vAlign w:val="center"/>
          </w:tcPr>
          <w:p w14:paraId="07EFE1B6" w14:textId="77777777" w:rsidR="00E45E6D" w:rsidRPr="0086053D" w:rsidRDefault="00E45E6D" w:rsidP="00E45E6D">
            <w:pPr>
              <w:spacing w:line="300" w:lineRule="atLeast"/>
              <w:jc w:val="center"/>
              <w:rPr>
                <w:rFonts w:ascii="Arial" w:hAnsi="Arial" w:cs="Arial"/>
                <w:b/>
                <w:sz w:val="16"/>
                <w:szCs w:val="16"/>
              </w:rPr>
            </w:pPr>
            <w:r w:rsidRPr="0086053D">
              <w:rPr>
                <w:rFonts w:ascii="Arial" w:hAnsi="Arial" w:cs="Arial"/>
                <w:b/>
                <w:sz w:val="16"/>
                <w:szCs w:val="16"/>
              </w:rPr>
              <w:t>Number of lamps, thousands</w:t>
            </w:r>
          </w:p>
        </w:tc>
        <w:tc>
          <w:tcPr>
            <w:tcW w:w="1900" w:type="dxa"/>
            <w:vAlign w:val="center"/>
          </w:tcPr>
          <w:p w14:paraId="18B2A609" w14:textId="77777777" w:rsidR="00E45E6D" w:rsidRPr="0086053D" w:rsidRDefault="00E45E6D" w:rsidP="00E45E6D">
            <w:pPr>
              <w:spacing w:line="300" w:lineRule="atLeast"/>
              <w:jc w:val="center"/>
              <w:rPr>
                <w:rFonts w:ascii="Arial" w:hAnsi="Arial" w:cs="Arial"/>
                <w:b/>
                <w:sz w:val="16"/>
                <w:szCs w:val="16"/>
              </w:rPr>
            </w:pPr>
            <w:r w:rsidRPr="0086053D">
              <w:rPr>
                <w:rFonts w:ascii="Arial" w:hAnsi="Arial" w:cs="Arial"/>
                <w:b/>
                <w:sz w:val="16"/>
                <w:szCs w:val="16"/>
              </w:rPr>
              <w:t>Total mercury input, kg/year</w:t>
            </w:r>
          </w:p>
        </w:tc>
      </w:tr>
      <w:tr w:rsidR="00E45E6D" w:rsidRPr="0086053D" w14:paraId="05B07AF5" w14:textId="77777777" w:rsidTr="000E0956">
        <w:tc>
          <w:tcPr>
            <w:tcW w:w="3431" w:type="dxa"/>
            <w:tcBorders>
              <w:bottom w:val="single" w:sz="4" w:space="0" w:color="auto"/>
            </w:tcBorders>
            <w:vAlign w:val="bottom"/>
          </w:tcPr>
          <w:p w14:paraId="2B92B862" w14:textId="76F57B60" w:rsidR="00E45E6D" w:rsidRPr="0086053D" w:rsidRDefault="00E45E6D" w:rsidP="00E45E6D">
            <w:pPr>
              <w:spacing w:line="300" w:lineRule="atLeast"/>
              <w:rPr>
                <w:rFonts w:ascii="Arial" w:hAnsi="Arial" w:cs="Arial"/>
                <w:sz w:val="16"/>
                <w:szCs w:val="16"/>
              </w:rPr>
            </w:pPr>
            <w:r w:rsidRPr="0086053D">
              <w:rPr>
                <w:rFonts w:ascii="Arial" w:hAnsi="Arial" w:cs="Arial"/>
                <w:sz w:val="16"/>
                <w:szCs w:val="16"/>
              </w:rPr>
              <w:t>Fluorescent Tubes (LFLs)</w:t>
            </w:r>
            <w:r w:rsidR="003A7F6D" w:rsidRPr="0086053D">
              <w:rPr>
                <w:rFonts w:ascii="Arial" w:hAnsi="Arial" w:cs="Arial"/>
                <w:sz w:val="16"/>
                <w:szCs w:val="16"/>
              </w:rPr>
              <w:t>, 2012</w:t>
            </w:r>
          </w:p>
        </w:tc>
        <w:tc>
          <w:tcPr>
            <w:tcW w:w="1808" w:type="dxa"/>
            <w:tcBorders>
              <w:bottom w:val="single" w:sz="4" w:space="0" w:color="auto"/>
            </w:tcBorders>
            <w:vAlign w:val="center"/>
          </w:tcPr>
          <w:p w14:paraId="36B84FC2" w14:textId="77777777" w:rsidR="00E45E6D" w:rsidRPr="0086053D" w:rsidRDefault="00E45E6D" w:rsidP="00E45E6D">
            <w:pPr>
              <w:spacing w:line="300" w:lineRule="atLeast"/>
              <w:jc w:val="center"/>
              <w:rPr>
                <w:rFonts w:ascii="Arial" w:hAnsi="Arial" w:cs="Arial"/>
                <w:sz w:val="16"/>
                <w:szCs w:val="16"/>
              </w:rPr>
            </w:pPr>
            <w:r w:rsidRPr="0086053D">
              <w:rPr>
                <w:rFonts w:ascii="Arial" w:hAnsi="Arial" w:cs="Arial"/>
                <w:sz w:val="16"/>
                <w:szCs w:val="16"/>
              </w:rPr>
              <w:t>2 – 5</w:t>
            </w:r>
          </w:p>
        </w:tc>
        <w:tc>
          <w:tcPr>
            <w:tcW w:w="1922" w:type="dxa"/>
            <w:tcBorders>
              <w:bottom w:val="single" w:sz="4" w:space="0" w:color="auto"/>
            </w:tcBorders>
            <w:vAlign w:val="center"/>
          </w:tcPr>
          <w:p w14:paraId="57D89C3E" w14:textId="77777777" w:rsidR="00E45E6D" w:rsidRPr="0086053D" w:rsidRDefault="00E45E6D" w:rsidP="00E45E6D">
            <w:pPr>
              <w:spacing w:line="300" w:lineRule="atLeast"/>
              <w:jc w:val="center"/>
              <w:rPr>
                <w:rFonts w:ascii="Arial" w:hAnsi="Arial" w:cs="Arial"/>
                <w:sz w:val="16"/>
                <w:szCs w:val="16"/>
              </w:rPr>
            </w:pPr>
            <w:r w:rsidRPr="0086053D">
              <w:rPr>
                <w:rFonts w:ascii="Arial" w:hAnsi="Arial" w:cs="Arial"/>
                <w:sz w:val="16"/>
                <w:szCs w:val="16"/>
              </w:rPr>
              <w:t>3</w:t>
            </w:r>
            <w:r w:rsidR="00406B91" w:rsidRPr="0086053D">
              <w:rPr>
                <w:rFonts w:ascii="Arial" w:hAnsi="Arial" w:cs="Arial"/>
                <w:sz w:val="16"/>
                <w:szCs w:val="16"/>
              </w:rPr>
              <w:t>,0</w:t>
            </w:r>
            <w:r w:rsidRPr="0086053D">
              <w:rPr>
                <w:rFonts w:ascii="Arial" w:hAnsi="Arial" w:cs="Arial"/>
                <w:sz w:val="16"/>
                <w:szCs w:val="16"/>
              </w:rPr>
              <w:t>00 – 3</w:t>
            </w:r>
            <w:r w:rsidR="00406B91" w:rsidRPr="0086053D">
              <w:rPr>
                <w:rFonts w:ascii="Arial" w:hAnsi="Arial" w:cs="Arial"/>
                <w:sz w:val="16"/>
                <w:szCs w:val="16"/>
              </w:rPr>
              <w:t>,</w:t>
            </w:r>
            <w:r w:rsidRPr="0086053D">
              <w:rPr>
                <w:rFonts w:ascii="Arial" w:hAnsi="Arial" w:cs="Arial"/>
                <w:sz w:val="16"/>
                <w:szCs w:val="16"/>
              </w:rPr>
              <w:t>5</w:t>
            </w:r>
            <w:r w:rsidR="00406B91" w:rsidRPr="0086053D">
              <w:rPr>
                <w:rFonts w:ascii="Arial" w:hAnsi="Arial" w:cs="Arial"/>
                <w:sz w:val="16"/>
                <w:szCs w:val="16"/>
              </w:rPr>
              <w:t>0</w:t>
            </w:r>
            <w:r w:rsidRPr="0086053D">
              <w:rPr>
                <w:rFonts w:ascii="Arial" w:hAnsi="Arial" w:cs="Arial"/>
                <w:sz w:val="16"/>
                <w:szCs w:val="16"/>
              </w:rPr>
              <w:t>0</w:t>
            </w:r>
          </w:p>
        </w:tc>
        <w:tc>
          <w:tcPr>
            <w:tcW w:w="1900" w:type="dxa"/>
            <w:tcBorders>
              <w:bottom w:val="single" w:sz="4" w:space="0" w:color="auto"/>
            </w:tcBorders>
            <w:vAlign w:val="center"/>
          </w:tcPr>
          <w:p w14:paraId="2BEEDD67" w14:textId="77777777" w:rsidR="00E45E6D" w:rsidRPr="0086053D" w:rsidRDefault="00C76876" w:rsidP="00E45E6D">
            <w:pPr>
              <w:spacing w:line="300" w:lineRule="atLeast"/>
              <w:jc w:val="center"/>
              <w:rPr>
                <w:rFonts w:ascii="Arial" w:hAnsi="Arial" w:cs="Arial"/>
                <w:sz w:val="16"/>
                <w:szCs w:val="16"/>
              </w:rPr>
            </w:pPr>
            <w:r w:rsidRPr="0086053D">
              <w:rPr>
                <w:rFonts w:ascii="Arial" w:hAnsi="Arial" w:cs="Arial"/>
                <w:sz w:val="16"/>
                <w:szCs w:val="16"/>
              </w:rPr>
              <w:t>6 – 17.5</w:t>
            </w:r>
          </w:p>
        </w:tc>
      </w:tr>
      <w:tr w:rsidR="003A7F6D" w:rsidRPr="0086053D" w14:paraId="0598222A" w14:textId="77777777" w:rsidTr="00505FAE">
        <w:tc>
          <w:tcPr>
            <w:tcW w:w="3431" w:type="dxa"/>
            <w:tcBorders>
              <w:bottom w:val="single" w:sz="4" w:space="0" w:color="auto"/>
            </w:tcBorders>
            <w:vAlign w:val="bottom"/>
          </w:tcPr>
          <w:p w14:paraId="08A057B1" w14:textId="3D7E0077" w:rsidR="003A7F6D" w:rsidRPr="0086053D" w:rsidRDefault="003A7F6D" w:rsidP="00E45E6D">
            <w:pPr>
              <w:spacing w:line="300" w:lineRule="atLeast"/>
              <w:rPr>
                <w:rFonts w:ascii="Arial" w:hAnsi="Arial" w:cs="Arial"/>
                <w:sz w:val="16"/>
                <w:szCs w:val="16"/>
              </w:rPr>
            </w:pPr>
            <w:r w:rsidRPr="0086053D">
              <w:rPr>
                <w:rFonts w:ascii="Arial" w:hAnsi="Arial" w:cs="Arial"/>
                <w:sz w:val="16"/>
                <w:szCs w:val="16"/>
              </w:rPr>
              <w:t>Fluorescent Tubes (LFLs), 2016</w:t>
            </w:r>
          </w:p>
        </w:tc>
        <w:tc>
          <w:tcPr>
            <w:tcW w:w="1808" w:type="dxa"/>
            <w:tcBorders>
              <w:bottom w:val="single" w:sz="4" w:space="0" w:color="auto"/>
            </w:tcBorders>
            <w:vAlign w:val="center"/>
          </w:tcPr>
          <w:p w14:paraId="0A50CBB7" w14:textId="000A4C76" w:rsidR="003A7F6D" w:rsidRPr="0086053D" w:rsidRDefault="006F0ECC" w:rsidP="00E45E6D">
            <w:pPr>
              <w:spacing w:line="300" w:lineRule="atLeast"/>
              <w:jc w:val="center"/>
              <w:rPr>
                <w:rFonts w:ascii="Arial" w:hAnsi="Arial" w:cs="Arial"/>
                <w:sz w:val="16"/>
                <w:szCs w:val="16"/>
              </w:rPr>
            </w:pPr>
            <w:r w:rsidRPr="0086053D">
              <w:rPr>
                <w:rFonts w:ascii="Arial" w:hAnsi="Arial" w:cs="Arial"/>
                <w:sz w:val="16"/>
                <w:szCs w:val="16"/>
              </w:rPr>
              <w:t>1.1 - 5</w:t>
            </w:r>
          </w:p>
        </w:tc>
        <w:tc>
          <w:tcPr>
            <w:tcW w:w="1922" w:type="dxa"/>
            <w:tcBorders>
              <w:bottom w:val="single" w:sz="4" w:space="0" w:color="auto"/>
            </w:tcBorders>
            <w:vAlign w:val="center"/>
          </w:tcPr>
          <w:p w14:paraId="58A3EE9B" w14:textId="1E984616" w:rsidR="003A7F6D" w:rsidRPr="0086053D" w:rsidRDefault="006F0ECC" w:rsidP="00E45E6D">
            <w:pPr>
              <w:spacing w:line="300" w:lineRule="atLeast"/>
              <w:jc w:val="center"/>
              <w:rPr>
                <w:rFonts w:ascii="Arial" w:hAnsi="Arial" w:cs="Arial"/>
                <w:sz w:val="16"/>
                <w:szCs w:val="16"/>
              </w:rPr>
            </w:pPr>
            <w:r w:rsidRPr="0086053D">
              <w:rPr>
                <w:rFonts w:ascii="Arial" w:hAnsi="Arial" w:cs="Arial"/>
                <w:sz w:val="16"/>
                <w:szCs w:val="16"/>
              </w:rPr>
              <w:t>1,600</w:t>
            </w:r>
          </w:p>
        </w:tc>
        <w:tc>
          <w:tcPr>
            <w:tcW w:w="1900" w:type="dxa"/>
            <w:tcBorders>
              <w:bottom w:val="single" w:sz="4" w:space="0" w:color="auto"/>
            </w:tcBorders>
            <w:vAlign w:val="center"/>
          </w:tcPr>
          <w:p w14:paraId="240597AA" w14:textId="01ABFF6B" w:rsidR="003A7F6D" w:rsidRPr="0086053D" w:rsidRDefault="006F0ECC" w:rsidP="00E45E6D">
            <w:pPr>
              <w:spacing w:line="300" w:lineRule="atLeast"/>
              <w:jc w:val="center"/>
              <w:rPr>
                <w:rFonts w:ascii="Arial" w:hAnsi="Arial" w:cs="Arial"/>
                <w:sz w:val="16"/>
                <w:szCs w:val="16"/>
              </w:rPr>
            </w:pPr>
            <w:r w:rsidRPr="0086053D">
              <w:rPr>
                <w:rFonts w:ascii="Arial" w:hAnsi="Arial" w:cs="Arial"/>
                <w:sz w:val="16"/>
                <w:szCs w:val="16"/>
              </w:rPr>
              <w:t>1.76 – 8.0</w:t>
            </w:r>
          </w:p>
        </w:tc>
      </w:tr>
      <w:tr w:rsidR="0061732C" w:rsidRPr="003E52A4" w14:paraId="495BC709" w14:textId="77777777" w:rsidTr="00505FAE">
        <w:tc>
          <w:tcPr>
            <w:tcW w:w="3431" w:type="dxa"/>
            <w:tcBorders>
              <w:top w:val="single" w:sz="4" w:space="0" w:color="auto"/>
              <w:bottom w:val="single" w:sz="4" w:space="0" w:color="auto"/>
            </w:tcBorders>
            <w:vAlign w:val="bottom"/>
          </w:tcPr>
          <w:p w14:paraId="6FD6E8DA" w14:textId="61CB62F4" w:rsidR="0061732C" w:rsidRPr="000661C4" w:rsidRDefault="0061732C" w:rsidP="0061732C">
            <w:pPr>
              <w:spacing w:line="300" w:lineRule="atLeast"/>
              <w:rPr>
                <w:rFonts w:ascii="Arial" w:hAnsi="Arial" w:cs="Arial"/>
                <w:sz w:val="16"/>
                <w:szCs w:val="16"/>
              </w:rPr>
            </w:pPr>
            <w:r w:rsidRPr="000661C4">
              <w:rPr>
                <w:rFonts w:ascii="Arial" w:hAnsi="Arial" w:cs="Arial"/>
                <w:sz w:val="16"/>
                <w:szCs w:val="16"/>
              </w:rPr>
              <w:t>Fluorescent Tubes (LFLs), 2</w:t>
            </w:r>
            <w:r w:rsidR="003C0CD3" w:rsidRPr="000661C4">
              <w:rPr>
                <w:rFonts w:ascii="Arial" w:hAnsi="Arial" w:cs="Arial"/>
                <w:sz w:val="16"/>
                <w:szCs w:val="16"/>
              </w:rPr>
              <w:t>020</w:t>
            </w:r>
          </w:p>
        </w:tc>
        <w:tc>
          <w:tcPr>
            <w:tcW w:w="1808" w:type="dxa"/>
            <w:tcBorders>
              <w:top w:val="single" w:sz="4" w:space="0" w:color="auto"/>
              <w:bottom w:val="single" w:sz="4" w:space="0" w:color="auto"/>
            </w:tcBorders>
            <w:vAlign w:val="center"/>
          </w:tcPr>
          <w:p w14:paraId="22AFE1DE" w14:textId="557D3BD9" w:rsidR="0061732C" w:rsidRPr="000661C4" w:rsidRDefault="00685405" w:rsidP="0061732C">
            <w:pPr>
              <w:spacing w:line="300" w:lineRule="atLeast"/>
              <w:jc w:val="center"/>
              <w:rPr>
                <w:rFonts w:ascii="Arial" w:hAnsi="Arial" w:cs="Arial"/>
                <w:sz w:val="16"/>
                <w:szCs w:val="16"/>
              </w:rPr>
            </w:pPr>
            <w:r w:rsidRPr="000661C4">
              <w:rPr>
                <w:rFonts w:ascii="Arial" w:hAnsi="Arial" w:cs="Arial"/>
                <w:sz w:val="16"/>
                <w:szCs w:val="16"/>
              </w:rPr>
              <w:t>1.1 - 5</w:t>
            </w:r>
          </w:p>
        </w:tc>
        <w:tc>
          <w:tcPr>
            <w:tcW w:w="1922" w:type="dxa"/>
            <w:tcBorders>
              <w:top w:val="single" w:sz="4" w:space="0" w:color="auto"/>
              <w:bottom w:val="single" w:sz="4" w:space="0" w:color="auto"/>
            </w:tcBorders>
            <w:vAlign w:val="center"/>
          </w:tcPr>
          <w:p w14:paraId="5078C010" w14:textId="1F7A40F9" w:rsidR="0061732C" w:rsidRPr="000661C4" w:rsidRDefault="0086053D" w:rsidP="0061732C">
            <w:pPr>
              <w:spacing w:line="300" w:lineRule="atLeast"/>
              <w:jc w:val="center"/>
              <w:rPr>
                <w:rFonts w:ascii="Arial" w:hAnsi="Arial" w:cs="Arial"/>
                <w:sz w:val="16"/>
                <w:szCs w:val="16"/>
              </w:rPr>
            </w:pPr>
            <w:r w:rsidRPr="000661C4">
              <w:rPr>
                <w:rFonts w:ascii="Arial" w:hAnsi="Arial" w:cs="Arial"/>
                <w:sz w:val="16"/>
                <w:szCs w:val="16"/>
              </w:rPr>
              <w:t>832</w:t>
            </w:r>
          </w:p>
        </w:tc>
        <w:tc>
          <w:tcPr>
            <w:tcW w:w="1900" w:type="dxa"/>
            <w:tcBorders>
              <w:top w:val="single" w:sz="4" w:space="0" w:color="auto"/>
              <w:bottom w:val="single" w:sz="4" w:space="0" w:color="auto"/>
            </w:tcBorders>
            <w:vAlign w:val="center"/>
          </w:tcPr>
          <w:p w14:paraId="436D0B6A" w14:textId="131EFB8A" w:rsidR="0061732C" w:rsidRPr="000661C4" w:rsidRDefault="0086053D" w:rsidP="0061732C">
            <w:pPr>
              <w:spacing w:line="300" w:lineRule="atLeast"/>
              <w:jc w:val="center"/>
              <w:rPr>
                <w:rFonts w:ascii="Arial" w:hAnsi="Arial" w:cs="Arial"/>
                <w:sz w:val="16"/>
                <w:szCs w:val="16"/>
              </w:rPr>
            </w:pPr>
            <w:r w:rsidRPr="000661C4">
              <w:rPr>
                <w:rFonts w:ascii="Arial" w:hAnsi="Arial" w:cs="Arial"/>
                <w:sz w:val="16"/>
                <w:szCs w:val="16"/>
              </w:rPr>
              <w:t>0.92 – 4.2</w:t>
            </w:r>
          </w:p>
        </w:tc>
      </w:tr>
      <w:tr w:rsidR="00360880" w:rsidRPr="003E52A4" w14:paraId="6FA5241F" w14:textId="77777777" w:rsidTr="00505FAE">
        <w:tc>
          <w:tcPr>
            <w:tcW w:w="3431" w:type="dxa"/>
            <w:tcBorders>
              <w:top w:val="single" w:sz="4" w:space="0" w:color="auto"/>
              <w:bottom w:val="single" w:sz="4" w:space="0" w:color="auto"/>
            </w:tcBorders>
            <w:vAlign w:val="bottom"/>
          </w:tcPr>
          <w:p w14:paraId="686867BC" w14:textId="3BAABCC9" w:rsidR="00360880" w:rsidRPr="000661C4" w:rsidRDefault="00360880" w:rsidP="0061732C">
            <w:pPr>
              <w:spacing w:line="300" w:lineRule="atLeast"/>
              <w:rPr>
                <w:rFonts w:ascii="Arial" w:hAnsi="Arial" w:cs="Arial"/>
                <w:sz w:val="16"/>
                <w:szCs w:val="16"/>
              </w:rPr>
            </w:pPr>
            <w:r>
              <w:rPr>
                <w:rFonts w:ascii="Arial" w:hAnsi="Arial" w:cs="Arial"/>
                <w:sz w:val="16"/>
                <w:szCs w:val="16"/>
              </w:rPr>
              <w:t>Fluorescent Tubes (LFLs), 2024</w:t>
            </w:r>
          </w:p>
        </w:tc>
        <w:tc>
          <w:tcPr>
            <w:tcW w:w="1808" w:type="dxa"/>
            <w:tcBorders>
              <w:top w:val="single" w:sz="4" w:space="0" w:color="auto"/>
              <w:bottom w:val="single" w:sz="4" w:space="0" w:color="auto"/>
            </w:tcBorders>
            <w:vAlign w:val="center"/>
          </w:tcPr>
          <w:p w14:paraId="08607B08" w14:textId="1FCBB1B3" w:rsidR="00360880" w:rsidRPr="000661C4" w:rsidRDefault="00360880" w:rsidP="0061732C">
            <w:pPr>
              <w:spacing w:line="300" w:lineRule="atLeast"/>
              <w:jc w:val="center"/>
              <w:rPr>
                <w:rFonts w:ascii="Arial" w:hAnsi="Arial" w:cs="Arial"/>
                <w:sz w:val="16"/>
                <w:szCs w:val="16"/>
              </w:rPr>
            </w:pPr>
            <w:r>
              <w:rPr>
                <w:rFonts w:ascii="Arial" w:hAnsi="Arial" w:cs="Arial"/>
                <w:sz w:val="16"/>
                <w:szCs w:val="16"/>
              </w:rPr>
              <w:t>1.1 - 5</w:t>
            </w:r>
          </w:p>
        </w:tc>
        <w:tc>
          <w:tcPr>
            <w:tcW w:w="1922" w:type="dxa"/>
            <w:tcBorders>
              <w:top w:val="single" w:sz="4" w:space="0" w:color="auto"/>
              <w:bottom w:val="single" w:sz="4" w:space="0" w:color="auto"/>
            </w:tcBorders>
            <w:vAlign w:val="center"/>
          </w:tcPr>
          <w:p w14:paraId="785C8C50" w14:textId="74923136" w:rsidR="00360880" w:rsidRPr="000661C4" w:rsidRDefault="00360880" w:rsidP="0061732C">
            <w:pPr>
              <w:spacing w:line="300" w:lineRule="atLeast"/>
              <w:jc w:val="center"/>
              <w:rPr>
                <w:rFonts w:ascii="Arial" w:hAnsi="Arial" w:cs="Arial"/>
                <w:sz w:val="16"/>
                <w:szCs w:val="16"/>
              </w:rPr>
            </w:pPr>
            <w:r>
              <w:rPr>
                <w:rFonts w:ascii="Arial" w:hAnsi="Arial" w:cs="Arial"/>
                <w:sz w:val="16"/>
                <w:szCs w:val="16"/>
              </w:rPr>
              <w:t>314</w:t>
            </w:r>
          </w:p>
        </w:tc>
        <w:tc>
          <w:tcPr>
            <w:tcW w:w="1900" w:type="dxa"/>
            <w:tcBorders>
              <w:top w:val="single" w:sz="4" w:space="0" w:color="auto"/>
              <w:bottom w:val="single" w:sz="4" w:space="0" w:color="auto"/>
            </w:tcBorders>
            <w:vAlign w:val="center"/>
          </w:tcPr>
          <w:p w14:paraId="117FD1ED" w14:textId="4368E4A2" w:rsidR="00360880" w:rsidRPr="000661C4" w:rsidRDefault="00360880" w:rsidP="0061732C">
            <w:pPr>
              <w:spacing w:line="300" w:lineRule="atLeast"/>
              <w:jc w:val="center"/>
              <w:rPr>
                <w:rFonts w:ascii="Arial" w:hAnsi="Arial" w:cs="Arial"/>
                <w:sz w:val="16"/>
                <w:szCs w:val="16"/>
              </w:rPr>
            </w:pPr>
            <w:r>
              <w:rPr>
                <w:rFonts w:ascii="Arial" w:hAnsi="Arial" w:cs="Arial"/>
                <w:sz w:val="16"/>
                <w:szCs w:val="16"/>
              </w:rPr>
              <w:t>0.3</w:t>
            </w:r>
            <w:r w:rsidR="000E0956">
              <w:rPr>
                <w:rFonts w:ascii="Arial" w:hAnsi="Arial" w:cs="Arial"/>
                <w:sz w:val="16"/>
                <w:szCs w:val="16"/>
              </w:rPr>
              <w:t>5</w:t>
            </w:r>
            <w:r>
              <w:rPr>
                <w:rFonts w:ascii="Arial" w:hAnsi="Arial" w:cs="Arial"/>
                <w:sz w:val="16"/>
                <w:szCs w:val="16"/>
              </w:rPr>
              <w:t xml:space="preserve"> – 1.57</w:t>
            </w:r>
          </w:p>
        </w:tc>
      </w:tr>
      <w:tr w:rsidR="0061732C" w:rsidRPr="003E52A4" w14:paraId="03DC8C35" w14:textId="77777777" w:rsidTr="00505FAE">
        <w:tc>
          <w:tcPr>
            <w:tcW w:w="3431" w:type="dxa"/>
            <w:tcBorders>
              <w:top w:val="single" w:sz="4" w:space="0" w:color="auto"/>
              <w:bottom w:val="single" w:sz="4" w:space="0" w:color="auto"/>
            </w:tcBorders>
            <w:vAlign w:val="bottom"/>
          </w:tcPr>
          <w:p w14:paraId="5E69C7DE" w14:textId="25E4ABA0" w:rsidR="0061732C" w:rsidRPr="003C0CD3" w:rsidRDefault="0061732C" w:rsidP="0061732C">
            <w:pPr>
              <w:spacing w:line="300" w:lineRule="atLeast"/>
              <w:rPr>
                <w:rFonts w:ascii="Arial" w:hAnsi="Arial" w:cs="Arial"/>
                <w:sz w:val="16"/>
                <w:szCs w:val="16"/>
              </w:rPr>
            </w:pPr>
            <w:r w:rsidRPr="00E833B5">
              <w:rPr>
                <w:rFonts w:ascii="Arial" w:hAnsi="Arial" w:cs="Arial"/>
                <w:sz w:val="16"/>
                <w:szCs w:val="16"/>
              </w:rPr>
              <w:t>Compact Fluorescent Lamps (CFLs), 2012</w:t>
            </w:r>
          </w:p>
        </w:tc>
        <w:tc>
          <w:tcPr>
            <w:tcW w:w="1808" w:type="dxa"/>
            <w:tcBorders>
              <w:top w:val="single" w:sz="4" w:space="0" w:color="auto"/>
              <w:bottom w:val="single" w:sz="4" w:space="0" w:color="auto"/>
            </w:tcBorders>
            <w:vAlign w:val="center"/>
          </w:tcPr>
          <w:p w14:paraId="1B2578B3" w14:textId="77777777" w:rsidR="0061732C" w:rsidRPr="00E833B5" w:rsidRDefault="0061732C" w:rsidP="0061732C">
            <w:pPr>
              <w:spacing w:line="300" w:lineRule="atLeast"/>
              <w:jc w:val="center"/>
              <w:rPr>
                <w:rFonts w:ascii="Arial" w:hAnsi="Arial" w:cs="Arial"/>
                <w:sz w:val="16"/>
                <w:szCs w:val="16"/>
              </w:rPr>
            </w:pPr>
            <w:r w:rsidRPr="00E833B5">
              <w:rPr>
                <w:rFonts w:ascii="Arial" w:hAnsi="Arial" w:cs="Arial"/>
                <w:sz w:val="16"/>
                <w:szCs w:val="16"/>
              </w:rPr>
              <w:t>1 – 3</w:t>
            </w:r>
          </w:p>
        </w:tc>
        <w:tc>
          <w:tcPr>
            <w:tcW w:w="1922" w:type="dxa"/>
            <w:tcBorders>
              <w:top w:val="single" w:sz="4" w:space="0" w:color="auto"/>
              <w:bottom w:val="single" w:sz="4" w:space="0" w:color="auto"/>
            </w:tcBorders>
            <w:vAlign w:val="center"/>
          </w:tcPr>
          <w:p w14:paraId="079437D5" w14:textId="77777777" w:rsidR="0061732C" w:rsidRPr="00E833B5" w:rsidRDefault="0061732C" w:rsidP="0061732C">
            <w:pPr>
              <w:spacing w:line="300" w:lineRule="atLeast"/>
              <w:jc w:val="center"/>
              <w:rPr>
                <w:rFonts w:ascii="Arial" w:hAnsi="Arial" w:cs="Arial"/>
                <w:sz w:val="16"/>
                <w:szCs w:val="16"/>
              </w:rPr>
            </w:pPr>
            <w:r w:rsidRPr="00E833B5">
              <w:rPr>
                <w:rFonts w:ascii="Arial" w:hAnsi="Arial" w:cs="Arial"/>
                <w:sz w:val="16"/>
                <w:szCs w:val="16"/>
              </w:rPr>
              <w:t>2,500 – 3,500</w:t>
            </w:r>
          </w:p>
        </w:tc>
        <w:tc>
          <w:tcPr>
            <w:tcW w:w="1900" w:type="dxa"/>
            <w:tcBorders>
              <w:top w:val="single" w:sz="4" w:space="0" w:color="auto"/>
              <w:bottom w:val="single" w:sz="4" w:space="0" w:color="auto"/>
            </w:tcBorders>
            <w:vAlign w:val="center"/>
          </w:tcPr>
          <w:p w14:paraId="5C2EA0D2" w14:textId="77777777" w:rsidR="0061732C" w:rsidRPr="00E833B5" w:rsidRDefault="0061732C" w:rsidP="0061732C">
            <w:pPr>
              <w:spacing w:line="300" w:lineRule="atLeast"/>
              <w:jc w:val="center"/>
              <w:rPr>
                <w:rFonts w:ascii="Arial" w:hAnsi="Arial" w:cs="Arial"/>
                <w:sz w:val="16"/>
                <w:szCs w:val="16"/>
              </w:rPr>
            </w:pPr>
            <w:r w:rsidRPr="00E833B5">
              <w:rPr>
                <w:rFonts w:ascii="Arial" w:hAnsi="Arial" w:cs="Arial"/>
                <w:sz w:val="16"/>
                <w:szCs w:val="16"/>
              </w:rPr>
              <w:t>2.5 – 10.5</w:t>
            </w:r>
          </w:p>
        </w:tc>
      </w:tr>
      <w:tr w:rsidR="0061732C" w:rsidRPr="003E52A4" w14:paraId="083D94AC" w14:textId="77777777" w:rsidTr="00505FAE">
        <w:tc>
          <w:tcPr>
            <w:tcW w:w="3431" w:type="dxa"/>
            <w:tcBorders>
              <w:bottom w:val="single" w:sz="4" w:space="0" w:color="auto"/>
            </w:tcBorders>
            <w:vAlign w:val="bottom"/>
          </w:tcPr>
          <w:p w14:paraId="1ABFAE51" w14:textId="75E8057E" w:rsidR="0061732C" w:rsidRPr="00E833B5" w:rsidRDefault="0061732C" w:rsidP="0061732C">
            <w:pPr>
              <w:spacing w:line="300" w:lineRule="atLeast"/>
              <w:rPr>
                <w:rFonts w:ascii="Arial" w:hAnsi="Arial" w:cs="Arial"/>
                <w:sz w:val="16"/>
                <w:szCs w:val="16"/>
              </w:rPr>
            </w:pPr>
            <w:r w:rsidRPr="00E833B5">
              <w:rPr>
                <w:rFonts w:ascii="Arial" w:hAnsi="Arial" w:cs="Arial"/>
                <w:sz w:val="16"/>
                <w:szCs w:val="16"/>
              </w:rPr>
              <w:t>Compact Fluorescent Lamps (CFLs), 2016</w:t>
            </w:r>
          </w:p>
        </w:tc>
        <w:tc>
          <w:tcPr>
            <w:tcW w:w="1808" w:type="dxa"/>
            <w:tcBorders>
              <w:top w:val="single" w:sz="4" w:space="0" w:color="auto"/>
              <w:bottom w:val="single" w:sz="4" w:space="0" w:color="auto"/>
            </w:tcBorders>
            <w:vAlign w:val="center"/>
          </w:tcPr>
          <w:p w14:paraId="468F24BB" w14:textId="280A749E" w:rsidR="0061732C" w:rsidRPr="00E833B5" w:rsidRDefault="0061732C" w:rsidP="0061732C">
            <w:pPr>
              <w:spacing w:line="300" w:lineRule="atLeast"/>
              <w:jc w:val="center"/>
              <w:rPr>
                <w:rFonts w:ascii="Arial" w:hAnsi="Arial" w:cs="Arial"/>
                <w:sz w:val="16"/>
                <w:szCs w:val="16"/>
              </w:rPr>
            </w:pPr>
            <w:r w:rsidRPr="00E833B5">
              <w:rPr>
                <w:rFonts w:ascii="Arial" w:hAnsi="Arial" w:cs="Arial"/>
                <w:sz w:val="16"/>
                <w:szCs w:val="16"/>
              </w:rPr>
              <w:t>1.1 - 5</w:t>
            </w:r>
          </w:p>
        </w:tc>
        <w:tc>
          <w:tcPr>
            <w:tcW w:w="1922" w:type="dxa"/>
            <w:tcBorders>
              <w:bottom w:val="single" w:sz="4" w:space="0" w:color="auto"/>
            </w:tcBorders>
            <w:vAlign w:val="center"/>
          </w:tcPr>
          <w:p w14:paraId="7C80E276" w14:textId="199B1EFD" w:rsidR="0061732C" w:rsidRPr="00E833B5" w:rsidRDefault="0061732C" w:rsidP="0061732C">
            <w:pPr>
              <w:spacing w:line="300" w:lineRule="atLeast"/>
              <w:jc w:val="center"/>
              <w:rPr>
                <w:rFonts w:ascii="Arial" w:hAnsi="Arial" w:cs="Arial"/>
                <w:sz w:val="16"/>
                <w:szCs w:val="16"/>
              </w:rPr>
            </w:pPr>
            <w:r w:rsidRPr="00E833B5">
              <w:rPr>
                <w:rFonts w:ascii="Arial" w:hAnsi="Arial" w:cs="Arial"/>
                <w:sz w:val="16"/>
                <w:szCs w:val="16"/>
              </w:rPr>
              <w:t>1,400</w:t>
            </w:r>
          </w:p>
        </w:tc>
        <w:tc>
          <w:tcPr>
            <w:tcW w:w="1900" w:type="dxa"/>
            <w:tcBorders>
              <w:bottom w:val="single" w:sz="4" w:space="0" w:color="auto"/>
            </w:tcBorders>
            <w:vAlign w:val="center"/>
          </w:tcPr>
          <w:p w14:paraId="777CC279" w14:textId="42A93284" w:rsidR="0061732C" w:rsidRPr="00E833B5" w:rsidRDefault="0061732C" w:rsidP="0061732C">
            <w:pPr>
              <w:spacing w:line="300" w:lineRule="atLeast"/>
              <w:jc w:val="center"/>
              <w:rPr>
                <w:rFonts w:ascii="Arial" w:hAnsi="Arial" w:cs="Arial"/>
                <w:sz w:val="16"/>
                <w:szCs w:val="16"/>
              </w:rPr>
            </w:pPr>
            <w:r w:rsidRPr="00E833B5">
              <w:rPr>
                <w:rFonts w:ascii="Arial" w:hAnsi="Arial" w:cs="Arial"/>
                <w:sz w:val="16"/>
                <w:szCs w:val="16"/>
              </w:rPr>
              <w:t>1.54 – 7.0</w:t>
            </w:r>
          </w:p>
        </w:tc>
      </w:tr>
      <w:tr w:rsidR="000661C4" w:rsidRPr="003E52A4" w14:paraId="49B79EF7" w14:textId="77777777" w:rsidTr="00505FAE">
        <w:tc>
          <w:tcPr>
            <w:tcW w:w="3431" w:type="dxa"/>
            <w:tcBorders>
              <w:top w:val="single" w:sz="4" w:space="0" w:color="auto"/>
              <w:bottom w:val="single" w:sz="4" w:space="0" w:color="auto"/>
            </w:tcBorders>
            <w:vAlign w:val="bottom"/>
          </w:tcPr>
          <w:p w14:paraId="6C7FEB5F" w14:textId="4CC5F9DE" w:rsidR="0061732C" w:rsidRPr="000661C4" w:rsidRDefault="00E833B5" w:rsidP="0061732C">
            <w:pPr>
              <w:spacing w:line="300" w:lineRule="atLeast"/>
              <w:rPr>
                <w:rFonts w:ascii="Arial" w:hAnsi="Arial" w:cs="Arial"/>
                <w:sz w:val="16"/>
                <w:szCs w:val="16"/>
              </w:rPr>
            </w:pPr>
            <w:r w:rsidRPr="000661C4">
              <w:rPr>
                <w:rFonts w:ascii="Arial" w:hAnsi="Arial" w:cs="Arial"/>
                <w:sz w:val="16"/>
                <w:szCs w:val="16"/>
              </w:rPr>
              <w:t>Compact Fluorescent Lamps (CFLs), 2020</w:t>
            </w:r>
          </w:p>
        </w:tc>
        <w:tc>
          <w:tcPr>
            <w:tcW w:w="1808" w:type="dxa"/>
            <w:tcBorders>
              <w:top w:val="single" w:sz="4" w:space="0" w:color="auto"/>
              <w:bottom w:val="single" w:sz="4" w:space="0" w:color="auto"/>
            </w:tcBorders>
            <w:vAlign w:val="center"/>
          </w:tcPr>
          <w:p w14:paraId="02759965" w14:textId="4223567B" w:rsidR="0061732C" w:rsidRPr="000661C4" w:rsidRDefault="0082680E" w:rsidP="0061732C">
            <w:pPr>
              <w:spacing w:line="300" w:lineRule="atLeast"/>
              <w:jc w:val="center"/>
              <w:rPr>
                <w:rFonts w:ascii="Arial" w:hAnsi="Arial" w:cs="Arial"/>
                <w:sz w:val="16"/>
                <w:szCs w:val="16"/>
              </w:rPr>
            </w:pPr>
            <w:r>
              <w:rPr>
                <w:rFonts w:ascii="Arial" w:hAnsi="Arial" w:cs="Arial"/>
                <w:sz w:val="16"/>
                <w:szCs w:val="16"/>
              </w:rPr>
              <w:t>2.7</w:t>
            </w:r>
          </w:p>
        </w:tc>
        <w:tc>
          <w:tcPr>
            <w:tcW w:w="1922" w:type="dxa"/>
            <w:tcBorders>
              <w:top w:val="single" w:sz="4" w:space="0" w:color="auto"/>
              <w:bottom w:val="single" w:sz="4" w:space="0" w:color="auto"/>
            </w:tcBorders>
            <w:vAlign w:val="center"/>
          </w:tcPr>
          <w:p w14:paraId="748A7129" w14:textId="3AE3262D" w:rsidR="0061732C" w:rsidRPr="000661C4" w:rsidRDefault="00E833B5" w:rsidP="0061732C">
            <w:pPr>
              <w:spacing w:line="300" w:lineRule="atLeast"/>
              <w:jc w:val="center"/>
              <w:rPr>
                <w:rFonts w:ascii="Arial" w:hAnsi="Arial" w:cs="Arial"/>
                <w:sz w:val="16"/>
                <w:szCs w:val="16"/>
              </w:rPr>
            </w:pPr>
            <w:r w:rsidRPr="000661C4">
              <w:rPr>
                <w:rFonts w:ascii="Arial" w:hAnsi="Arial" w:cs="Arial"/>
                <w:sz w:val="16"/>
                <w:szCs w:val="16"/>
              </w:rPr>
              <w:t>94</w:t>
            </w:r>
            <w:r w:rsidR="003C0CD3">
              <w:rPr>
                <w:rFonts w:ascii="Arial" w:hAnsi="Arial" w:cs="Arial"/>
                <w:sz w:val="16"/>
                <w:szCs w:val="16"/>
              </w:rPr>
              <w:t>3</w:t>
            </w:r>
          </w:p>
        </w:tc>
        <w:tc>
          <w:tcPr>
            <w:tcW w:w="1900" w:type="dxa"/>
            <w:tcBorders>
              <w:top w:val="single" w:sz="4" w:space="0" w:color="auto"/>
              <w:bottom w:val="single" w:sz="4" w:space="0" w:color="auto"/>
            </w:tcBorders>
            <w:vAlign w:val="center"/>
          </w:tcPr>
          <w:p w14:paraId="7E2417F2" w14:textId="0FEBC7BC" w:rsidR="0061732C" w:rsidRPr="000661C4" w:rsidRDefault="0082680E" w:rsidP="0061732C">
            <w:pPr>
              <w:spacing w:line="300" w:lineRule="atLeast"/>
              <w:jc w:val="center"/>
              <w:rPr>
                <w:rFonts w:ascii="Arial" w:hAnsi="Arial" w:cs="Arial"/>
                <w:sz w:val="16"/>
                <w:szCs w:val="16"/>
              </w:rPr>
            </w:pPr>
            <w:r>
              <w:rPr>
                <w:rFonts w:ascii="Arial" w:hAnsi="Arial" w:cs="Arial"/>
                <w:sz w:val="16"/>
                <w:szCs w:val="16"/>
              </w:rPr>
              <w:t>2.55</w:t>
            </w:r>
          </w:p>
        </w:tc>
      </w:tr>
      <w:tr w:rsidR="00360880" w:rsidRPr="003E52A4" w14:paraId="467F5299" w14:textId="77777777" w:rsidTr="00505FAE">
        <w:tc>
          <w:tcPr>
            <w:tcW w:w="3431" w:type="dxa"/>
            <w:tcBorders>
              <w:top w:val="single" w:sz="4" w:space="0" w:color="auto"/>
              <w:bottom w:val="single" w:sz="4" w:space="0" w:color="auto"/>
            </w:tcBorders>
            <w:vAlign w:val="bottom"/>
          </w:tcPr>
          <w:p w14:paraId="36C86A32" w14:textId="167BAF89" w:rsidR="00360880" w:rsidRPr="000661C4" w:rsidRDefault="00360880" w:rsidP="00360880">
            <w:pPr>
              <w:spacing w:line="300" w:lineRule="atLeast"/>
              <w:rPr>
                <w:rFonts w:ascii="Arial" w:hAnsi="Arial" w:cs="Arial"/>
                <w:sz w:val="16"/>
                <w:szCs w:val="16"/>
              </w:rPr>
            </w:pPr>
            <w:r w:rsidRPr="000661C4">
              <w:rPr>
                <w:rFonts w:ascii="Arial" w:hAnsi="Arial" w:cs="Arial"/>
                <w:sz w:val="16"/>
                <w:szCs w:val="16"/>
              </w:rPr>
              <w:t>Compact Fluorescent Lamps (CFLs), 202</w:t>
            </w:r>
            <w:r>
              <w:rPr>
                <w:rFonts w:ascii="Arial" w:hAnsi="Arial" w:cs="Arial"/>
                <w:sz w:val="16"/>
                <w:szCs w:val="16"/>
              </w:rPr>
              <w:t>4</w:t>
            </w:r>
          </w:p>
        </w:tc>
        <w:tc>
          <w:tcPr>
            <w:tcW w:w="1808" w:type="dxa"/>
            <w:tcBorders>
              <w:top w:val="single" w:sz="4" w:space="0" w:color="auto"/>
              <w:bottom w:val="double" w:sz="4" w:space="0" w:color="auto"/>
            </w:tcBorders>
            <w:vAlign w:val="center"/>
          </w:tcPr>
          <w:p w14:paraId="419EDECC" w14:textId="7DBA94C2" w:rsidR="00360880" w:rsidRDefault="00F83996" w:rsidP="00360880">
            <w:pPr>
              <w:spacing w:line="300" w:lineRule="atLeast"/>
              <w:jc w:val="center"/>
              <w:rPr>
                <w:rFonts w:ascii="Arial" w:hAnsi="Arial" w:cs="Arial"/>
                <w:sz w:val="16"/>
                <w:szCs w:val="16"/>
              </w:rPr>
            </w:pPr>
            <w:r>
              <w:rPr>
                <w:rFonts w:ascii="Arial" w:hAnsi="Arial" w:cs="Arial"/>
                <w:sz w:val="16"/>
                <w:szCs w:val="16"/>
              </w:rPr>
              <w:t>2.7</w:t>
            </w:r>
          </w:p>
        </w:tc>
        <w:tc>
          <w:tcPr>
            <w:tcW w:w="1922" w:type="dxa"/>
            <w:tcBorders>
              <w:top w:val="single" w:sz="4" w:space="0" w:color="auto"/>
              <w:bottom w:val="single" w:sz="4" w:space="0" w:color="auto"/>
            </w:tcBorders>
            <w:vAlign w:val="center"/>
          </w:tcPr>
          <w:p w14:paraId="06D621C3" w14:textId="080A8C10" w:rsidR="00360880" w:rsidRPr="000661C4" w:rsidRDefault="00F83996" w:rsidP="00360880">
            <w:pPr>
              <w:spacing w:line="300" w:lineRule="atLeast"/>
              <w:jc w:val="center"/>
              <w:rPr>
                <w:rFonts w:ascii="Arial" w:hAnsi="Arial" w:cs="Arial"/>
                <w:sz w:val="16"/>
                <w:szCs w:val="16"/>
              </w:rPr>
            </w:pPr>
            <w:r>
              <w:rPr>
                <w:rFonts w:ascii="Arial" w:hAnsi="Arial" w:cs="Arial"/>
                <w:sz w:val="16"/>
                <w:szCs w:val="16"/>
              </w:rPr>
              <w:t>12</w:t>
            </w:r>
            <w:r w:rsidR="00920F6F">
              <w:rPr>
                <w:rFonts w:ascii="Arial" w:hAnsi="Arial" w:cs="Arial"/>
                <w:sz w:val="16"/>
                <w:szCs w:val="16"/>
              </w:rPr>
              <w:t>3</w:t>
            </w:r>
          </w:p>
        </w:tc>
        <w:tc>
          <w:tcPr>
            <w:tcW w:w="1900" w:type="dxa"/>
            <w:tcBorders>
              <w:top w:val="single" w:sz="4" w:space="0" w:color="auto"/>
              <w:bottom w:val="single" w:sz="4" w:space="0" w:color="auto"/>
            </w:tcBorders>
            <w:vAlign w:val="center"/>
          </w:tcPr>
          <w:p w14:paraId="5FD9EDA9" w14:textId="55675F24" w:rsidR="00360880" w:rsidRDefault="00F83996" w:rsidP="00360880">
            <w:pPr>
              <w:spacing w:line="300" w:lineRule="atLeast"/>
              <w:jc w:val="center"/>
              <w:rPr>
                <w:rFonts w:ascii="Arial" w:hAnsi="Arial" w:cs="Arial"/>
                <w:sz w:val="16"/>
                <w:szCs w:val="16"/>
              </w:rPr>
            </w:pPr>
            <w:r>
              <w:rPr>
                <w:rFonts w:ascii="Arial" w:hAnsi="Arial" w:cs="Arial"/>
                <w:sz w:val="16"/>
                <w:szCs w:val="16"/>
              </w:rPr>
              <w:t>0.331</w:t>
            </w:r>
          </w:p>
        </w:tc>
      </w:tr>
      <w:tr w:rsidR="00360880" w:rsidRPr="003E52A4" w14:paraId="32B2CCFF" w14:textId="77777777" w:rsidTr="000E0956">
        <w:tc>
          <w:tcPr>
            <w:tcW w:w="3431" w:type="dxa"/>
            <w:tcBorders>
              <w:top w:val="double" w:sz="4" w:space="0" w:color="auto"/>
              <w:bottom w:val="single" w:sz="4" w:space="0" w:color="auto"/>
            </w:tcBorders>
            <w:vAlign w:val="bottom"/>
          </w:tcPr>
          <w:p w14:paraId="3EFB80A8" w14:textId="19E2C6D2" w:rsidR="00360880" w:rsidRPr="00784A01" w:rsidRDefault="00360880" w:rsidP="00360880">
            <w:pPr>
              <w:spacing w:line="300" w:lineRule="atLeast"/>
              <w:rPr>
                <w:rFonts w:ascii="Arial" w:hAnsi="Arial" w:cs="Arial"/>
                <w:sz w:val="16"/>
                <w:szCs w:val="16"/>
              </w:rPr>
            </w:pPr>
            <w:r w:rsidRPr="00784A01">
              <w:rPr>
                <w:rFonts w:ascii="Arial" w:hAnsi="Arial" w:cs="Arial"/>
                <w:sz w:val="16"/>
                <w:szCs w:val="16"/>
              </w:rPr>
              <w:t>High Pressure Mercury Vapour, 2012</w:t>
            </w:r>
          </w:p>
        </w:tc>
        <w:tc>
          <w:tcPr>
            <w:tcW w:w="1808" w:type="dxa"/>
            <w:tcBorders>
              <w:top w:val="double" w:sz="4" w:space="0" w:color="auto"/>
              <w:bottom w:val="single" w:sz="4" w:space="0" w:color="auto"/>
            </w:tcBorders>
            <w:vAlign w:val="center"/>
          </w:tcPr>
          <w:p w14:paraId="518377BC" w14:textId="77777777" w:rsidR="00360880" w:rsidRPr="00784A01" w:rsidRDefault="00360880" w:rsidP="00360880">
            <w:pPr>
              <w:spacing w:line="300" w:lineRule="atLeast"/>
              <w:jc w:val="center"/>
              <w:rPr>
                <w:rFonts w:ascii="Arial" w:hAnsi="Arial" w:cs="Arial"/>
                <w:sz w:val="16"/>
                <w:szCs w:val="16"/>
              </w:rPr>
            </w:pPr>
            <w:r w:rsidRPr="00784A01">
              <w:rPr>
                <w:rFonts w:ascii="Arial" w:hAnsi="Arial" w:cs="Arial"/>
                <w:sz w:val="16"/>
                <w:szCs w:val="16"/>
              </w:rPr>
              <w:t>30</w:t>
            </w:r>
          </w:p>
        </w:tc>
        <w:tc>
          <w:tcPr>
            <w:tcW w:w="1922" w:type="dxa"/>
            <w:tcBorders>
              <w:top w:val="double" w:sz="4" w:space="0" w:color="auto"/>
              <w:bottom w:val="single" w:sz="4" w:space="0" w:color="auto"/>
            </w:tcBorders>
            <w:vAlign w:val="center"/>
          </w:tcPr>
          <w:p w14:paraId="3B9544CF" w14:textId="77777777" w:rsidR="00360880" w:rsidRPr="00784A01" w:rsidRDefault="00360880" w:rsidP="00360880">
            <w:pPr>
              <w:spacing w:line="300" w:lineRule="atLeast"/>
              <w:jc w:val="center"/>
              <w:rPr>
                <w:rFonts w:ascii="Arial" w:hAnsi="Arial" w:cs="Arial"/>
                <w:sz w:val="16"/>
                <w:szCs w:val="16"/>
              </w:rPr>
            </w:pPr>
            <w:r w:rsidRPr="00784A01">
              <w:rPr>
                <w:rFonts w:ascii="Arial" w:hAnsi="Arial" w:cs="Arial"/>
                <w:sz w:val="16"/>
                <w:szCs w:val="16"/>
              </w:rPr>
              <w:t>50</w:t>
            </w:r>
          </w:p>
        </w:tc>
        <w:tc>
          <w:tcPr>
            <w:tcW w:w="1900" w:type="dxa"/>
            <w:tcBorders>
              <w:top w:val="double" w:sz="4" w:space="0" w:color="auto"/>
              <w:bottom w:val="single" w:sz="4" w:space="0" w:color="auto"/>
            </w:tcBorders>
            <w:vAlign w:val="center"/>
          </w:tcPr>
          <w:p w14:paraId="687D870C" w14:textId="77777777" w:rsidR="00360880" w:rsidRPr="00784A01" w:rsidRDefault="00360880" w:rsidP="00360880">
            <w:pPr>
              <w:spacing w:line="300" w:lineRule="atLeast"/>
              <w:jc w:val="center"/>
              <w:rPr>
                <w:rFonts w:ascii="Arial" w:hAnsi="Arial" w:cs="Arial"/>
                <w:sz w:val="16"/>
                <w:szCs w:val="16"/>
              </w:rPr>
            </w:pPr>
            <w:r w:rsidRPr="00784A01">
              <w:rPr>
                <w:rFonts w:ascii="Arial" w:hAnsi="Arial" w:cs="Arial"/>
                <w:sz w:val="16"/>
                <w:szCs w:val="16"/>
              </w:rPr>
              <w:t>1.5</w:t>
            </w:r>
          </w:p>
        </w:tc>
      </w:tr>
      <w:tr w:rsidR="00360880" w:rsidRPr="003E52A4" w14:paraId="08E45678" w14:textId="77777777" w:rsidTr="000E0956">
        <w:tc>
          <w:tcPr>
            <w:tcW w:w="3431" w:type="dxa"/>
            <w:tcBorders>
              <w:bottom w:val="single" w:sz="4" w:space="0" w:color="auto"/>
            </w:tcBorders>
            <w:vAlign w:val="bottom"/>
          </w:tcPr>
          <w:p w14:paraId="6026122E" w14:textId="4B6F64FE" w:rsidR="00360880" w:rsidRPr="00784A01" w:rsidRDefault="00360880" w:rsidP="00360880">
            <w:pPr>
              <w:spacing w:line="300" w:lineRule="atLeast"/>
              <w:rPr>
                <w:rFonts w:ascii="Arial" w:hAnsi="Arial" w:cs="Arial"/>
                <w:sz w:val="16"/>
                <w:szCs w:val="16"/>
              </w:rPr>
            </w:pPr>
            <w:r w:rsidRPr="00784A01">
              <w:rPr>
                <w:rFonts w:ascii="Arial" w:hAnsi="Arial" w:cs="Arial"/>
                <w:sz w:val="16"/>
                <w:szCs w:val="16"/>
              </w:rPr>
              <w:t>High Pressure Mercury Vapour, 2016</w:t>
            </w:r>
          </w:p>
        </w:tc>
        <w:tc>
          <w:tcPr>
            <w:tcW w:w="1808" w:type="dxa"/>
            <w:tcBorders>
              <w:top w:val="single" w:sz="4" w:space="0" w:color="auto"/>
              <w:bottom w:val="single" w:sz="4" w:space="0" w:color="auto"/>
            </w:tcBorders>
            <w:vAlign w:val="center"/>
          </w:tcPr>
          <w:p w14:paraId="2F944B8C" w14:textId="192C27C3" w:rsidR="00360880" w:rsidRPr="00784A01" w:rsidRDefault="00360880" w:rsidP="00360880">
            <w:pPr>
              <w:spacing w:line="300" w:lineRule="atLeast"/>
              <w:jc w:val="center"/>
              <w:rPr>
                <w:rFonts w:ascii="Arial" w:hAnsi="Arial" w:cs="Arial"/>
                <w:sz w:val="16"/>
                <w:szCs w:val="16"/>
              </w:rPr>
            </w:pPr>
            <w:r w:rsidRPr="00784A01">
              <w:rPr>
                <w:rFonts w:ascii="Arial" w:hAnsi="Arial" w:cs="Arial"/>
                <w:sz w:val="16"/>
                <w:szCs w:val="16"/>
              </w:rPr>
              <w:t>30</w:t>
            </w:r>
          </w:p>
        </w:tc>
        <w:tc>
          <w:tcPr>
            <w:tcW w:w="1922" w:type="dxa"/>
            <w:tcBorders>
              <w:bottom w:val="single" w:sz="4" w:space="0" w:color="auto"/>
            </w:tcBorders>
            <w:vAlign w:val="center"/>
          </w:tcPr>
          <w:p w14:paraId="672315B8" w14:textId="6CCA13F1" w:rsidR="00360880" w:rsidRPr="00784A01" w:rsidRDefault="00360880" w:rsidP="00360880">
            <w:pPr>
              <w:spacing w:line="300" w:lineRule="atLeast"/>
              <w:jc w:val="center"/>
              <w:rPr>
                <w:rFonts w:ascii="Arial" w:hAnsi="Arial" w:cs="Arial"/>
                <w:sz w:val="16"/>
                <w:szCs w:val="16"/>
              </w:rPr>
            </w:pPr>
            <w:r w:rsidRPr="00784A01">
              <w:rPr>
                <w:rFonts w:ascii="Arial" w:hAnsi="Arial" w:cs="Arial"/>
                <w:sz w:val="16"/>
                <w:szCs w:val="16"/>
              </w:rPr>
              <w:t>35</w:t>
            </w:r>
          </w:p>
        </w:tc>
        <w:tc>
          <w:tcPr>
            <w:tcW w:w="1900" w:type="dxa"/>
            <w:tcBorders>
              <w:bottom w:val="single" w:sz="4" w:space="0" w:color="auto"/>
            </w:tcBorders>
            <w:vAlign w:val="center"/>
          </w:tcPr>
          <w:p w14:paraId="48052835" w14:textId="74CD57A7" w:rsidR="00360880" w:rsidRPr="00784A01" w:rsidRDefault="00360880" w:rsidP="00360880">
            <w:pPr>
              <w:spacing w:line="300" w:lineRule="atLeast"/>
              <w:jc w:val="center"/>
              <w:rPr>
                <w:rFonts w:ascii="Arial" w:hAnsi="Arial" w:cs="Arial"/>
                <w:sz w:val="16"/>
                <w:szCs w:val="16"/>
              </w:rPr>
            </w:pPr>
            <w:r w:rsidRPr="00784A01">
              <w:rPr>
                <w:rFonts w:ascii="Arial" w:hAnsi="Arial" w:cs="Arial"/>
                <w:sz w:val="16"/>
                <w:szCs w:val="16"/>
              </w:rPr>
              <w:t>1.1</w:t>
            </w:r>
          </w:p>
        </w:tc>
      </w:tr>
      <w:tr w:rsidR="00360880" w:rsidRPr="003E52A4" w14:paraId="3F08A354" w14:textId="77777777" w:rsidTr="000E0956">
        <w:tc>
          <w:tcPr>
            <w:tcW w:w="3431" w:type="dxa"/>
            <w:tcBorders>
              <w:top w:val="single" w:sz="4" w:space="0" w:color="auto"/>
              <w:bottom w:val="single" w:sz="4" w:space="0" w:color="auto"/>
            </w:tcBorders>
            <w:vAlign w:val="bottom"/>
          </w:tcPr>
          <w:p w14:paraId="32A68AF0" w14:textId="3C7EF77A" w:rsidR="00360880" w:rsidRPr="000661C4" w:rsidRDefault="00360880" w:rsidP="00360880">
            <w:pPr>
              <w:spacing w:line="300" w:lineRule="atLeast"/>
              <w:rPr>
                <w:rFonts w:ascii="Arial" w:hAnsi="Arial" w:cs="Arial"/>
                <w:sz w:val="16"/>
                <w:szCs w:val="16"/>
              </w:rPr>
            </w:pPr>
            <w:r w:rsidRPr="000661C4">
              <w:rPr>
                <w:rFonts w:ascii="Arial" w:hAnsi="Arial" w:cs="Arial"/>
                <w:sz w:val="16"/>
                <w:szCs w:val="16"/>
              </w:rPr>
              <w:t>High Pressure Mercury Vapour, 2020</w:t>
            </w:r>
          </w:p>
        </w:tc>
        <w:tc>
          <w:tcPr>
            <w:tcW w:w="1808" w:type="dxa"/>
            <w:tcBorders>
              <w:top w:val="single" w:sz="4" w:space="0" w:color="auto"/>
              <w:bottom w:val="single" w:sz="4" w:space="0" w:color="auto"/>
            </w:tcBorders>
            <w:vAlign w:val="center"/>
          </w:tcPr>
          <w:p w14:paraId="3A2CED55" w14:textId="2A8B9FA9" w:rsidR="00360880" w:rsidRPr="000661C4" w:rsidRDefault="00360880" w:rsidP="00360880">
            <w:pPr>
              <w:spacing w:line="300" w:lineRule="atLeast"/>
              <w:jc w:val="center"/>
              <w:rPr>
                <w:rFonts w:ascii="Arial" w:hAnsi="Arial" w:cs="Arial"/>
                <w:sz w:val="16"/>
                <w:szCs w:val="16"/>
              </w:rPr>
            </w:pPr>
            <w:r>
              <w:rPr>
                <w:rFonts w:ascii="Arial" w:hAnsi="Arial" w:cs="Arial"/>
                <w:sz w:val="16"/>
                <w:szCs w:val="16"/>
              </w:rPr>
              <w:t>40</w:t>
            </w:r>
          </w:p>
        </w:tc>
        <w:tc>
          <w:tcPr>
            <w:tcW w:w="1922" w:type="dxa"/>
            <w:tcBorders>
              <w:top w:val="single" w:sz="4" w:space="0" w:color="auto"/>
              <w:bottom w:val="single" w:sz="4" w:space="0" w:color="auto"/>
            </w:tcBorders>
            <w:vAlign w:val="center"/>
          </w:tcPr>
          <w:p w14:paraId="6899AF0B" w14:textId="07177364" w:rsidR="00360880" w:rsidRPr="000661C4" w:rsidRDefault="00360880" w:rsidP="00360880">
            <w:pPr>
              <w:spacing w:line="300" w:lineRule="atLeast"/>
              <w:jc w:val="center"/>
              <w:rPr>
                <w:rFonts w:ascii="Arial" w:hAnsi="Arial" w:cs="Arial"/>
                <w:sz w:val="16"/>
                <w:szCs w:val="16"/>
              </w:rPr>
            </w:pPr>
            <w:r w:rsidRPr="000661C4">
              <w:rPr>
                <w:rFonts w:ascii="Arial" w:hAnsi="Arial" w:cs="Arial"/>
                <w:sz w:val="16"/>
                <w:szCs w:val="16"/>
              </w:rPr>
              <w:t>15</w:t>
            </w:r>
          </w:p>
        </w:tc>
        <w:tc>
          <w:tcPr>
            <w:tcW w:w="1900" w:type="dxa"/>
            <w:tcBorders>
              <w:top w:val="single" w:sz="4" w:space="0" w:color="auto"/>
              <w:bottom w:val="single" w:sz="4" w:space="0" w:color="auto"/>
            </w:tcBorders>
            <w:vAlign w:val="center"/>
          </w:tcPr>
          <w:p w14:paraId="6ADD18AD" w14:textId="538B7A08" w:rsidR="00360880" w:rsidRPr="000661C4" w:rsidRDefault="00360880" w:rsidP="00360880">
            <w:pPr>
              <w:spacing w:line="300" w:lineRule="atLeast"/>
              <w:jc w:val="center"/>
              <w:rPr>
                <w:rFonts w:ascii="Arial" w:hAnsi="Arial" w:cs="Arial"/>
                <w:sz w:val="16"/>
                <w:szCs w:val="16"/>
              </w:rPr>
            </w:pPr>
            <w:r>
              <w:rPr>
                <w:rFonts w:ascii="Arial" w:hAnsi="Arial" w:cs="Arial"/>
                <w:sz w:val="16"/>
                <w:szCs w:val="16"/>
              </w:rPr>
              <w:t>0.61</w:t>
            </w:r>
          </w:p>
        </w:tc>
      </w:tr>
      <w:tr w:rsidR="00F83996" w:rsidRPr="003E52A4" w14:paraId="02E838E1" w14:textId="77777777" w:rsidTr="000E0956">
        <w:tc>
          <w:tcPr>
            <w:tcW w:w="3431" w:type="dxa"/>
            <w:tcBorders>
              <w:top w:val="single" w:sz="4" w:space="0" w:color="auto"/>
              <w:bottom w:val="single" w:sz="4" w:space="0" w:color="auto"/>
            </w:tcBorders>
            <w:vAlign w:val="bottom"/>
          </w:tcPr>
          <w:p w14:paraId="28E55C9C" w14:textId="6B700C85" w:rsidR="00F83996" w:rsidRPr="000661C4" w:rsidRDefault="00F83996" w:rsidP="00360880">
            <w:pPr>
              <w:spacing w:line="300" w:lineRule="atLeast"/>
              <w:rPr>
                <w:rFonts w:ascii="Arial" w:hAnsi="Arial" w:cs="Arial"/>
                <w:sz w:val="16"/>
                <w:szCs w:val="16"/>
              </w:rPr>
            </w:pPr>
            <w:r w:rsidRPr="000661C4">
              <w:rPr>
                <w:rFonts w:ascii="Arial" w:hAnsi="Arial" w:cs="Arial"/>
                <w:sz w:val="16"/>
                <w:szCs w:val="16"/>
              </w:rPr>
              <w:t>High Pressure Mercury Vapour, 202</w:t>
            </w:r>
            <w:r>
              <w:rPr>
                <w:rFonts w:ascii="Arial" w:hAnsi="Arial" w:cs="Arial"/>
                <w:sz w:val="16"/>
                <w:szCs w:val="16"/>
              </w:rPr>
              <w:t>4</w:t>
            </w:r>
          </w:p>
        </w:tc>
        <w:tc>
          <w:tcPr>
            <w:tcW w:w="1808" w:type="dxa"/>
            <w:tcBorders>
              <w:top w:val="single" w:sz="4" w:space="0" w:color="auto"/>
              <w:bottom w:val="single" w:sz="4" w:space="0" w:color="auto"/>
            </w:tcBorders>
            <w:vAlign w:val="center"/>
          </w:tcPr>
          <w:p w14:paraId="021E93EF" w14:textId="35F4DEFF" w:rsidR="00F83996" w:rsidRDefault="00F83996" w:rsidP="00360880">
            <w:pPr>
              <w:spacing w:line="300" w:lineRule="atLeast"/>
              <w:jc w:val="center"/>
              <w:rPr>
                <w:rFonts w:ascii="Arial" w:hAnsi="Arial" w:cs="Arial"/>
                <w:sz w:val="16"/>
                <w:szCs w:val="16"/>
              </w:rPr>
            </w:pPr>
            <w:r>
              <w:rPr>
                <w:rFonts w:ascii="Arial" w:hAnsi="Arial" w:cs="Arial"/>
                <w:sz w:val="16"/>
                <w:szCs w:val="16"/>
              </w:rPr>
              <w:t>40</w:t>
            </w:r>
          </w:p>
        </w:tc>
        <w:tc>
          <w:tcPr>
            <w:tcW w:w="1922" w:type="dxa"/>
            <w:tcBorders>
              <w:top w:val="single" w:sz="4" w:space="0" w:color="auto"/>
              <w:bottom w:val="single" w:sz="4" w:space="0" w:color="auto"/>
            </w:tcBorders>
            <w:vAlign w:val="center"/>
          </w:tcPr>
          <w:p w14:paraId="6A1DE155" w14:textId="17ABE9AD" w:rsidR="00F83996" w:rsidRPr="000661C4" w:rsidRDefault="00F83996" w:rsidP="00360880">
            <w:pPr>
              <w:spacing w:line="300" w:lineRule="atLeast"/>
              <w:jc w:val="center"/>
              <w:rPr>
                <w:rFonts w:ascii="Arial" w:hAnsi="Arial" w:cs="Arial"/>
                <w:sz w:val="16"/>
                <w:szCs w:val="16"/>
              </w:rPr>
            </w:pPr>
            <w:r>
              <w:rPr>
                <w:rFonts w:ascii="Arial" w:hAnsi="Arial" w:cs="Arial"/>
                <w:sz w:val="16"/>
                <w:szCs w:val="16"/>
              </w:rPr>
              <w:t>1.50</w:t>
            </w:r>
          </w:p>
        </w:tc>
        <w:tc>
          <w:tcPr>
            <w:tcW w:w="1900" w:type="dxa"/>
            <w:tcBorders>
              <w:top w:val="single" w:sz="4" w:space="0" w:color="auto"/>
              <w:bottom w:val="single" w:sz="4" w:space="0" w:color="auto"/>
            </w:tcBorders>
            <w:vAlign w:val="center"/>
          </w:tcPr>
          <w:p w14:paraId="175A6BDA" w14:textId="39305D9A" w:rsidR="00F83996" w:rsidRDefault="00F83996" w:rsidP="00360880">
            <w:pPr>
              <w:spacing w:line="300" w:lineRule="atLeast"/>
              <w:jc w:val="center"/>
              <w:rPr>
                <w:rFonts w:ascii="Arial" w:hAnsi="Arial" w:cs="Arial"/>
                <w:sz w:val="16"/>
                <w:szCs w:val="16"/>
              </w:rPr>
            </w:pPr>
            <w:r>
              <w:rPr>
                <w:rFonts w:ascii="Arial" w:hAnsi="Arial" w:cs="Arial"/>
                <w:sz w:val="16"/>
                <w:szCs w:val="16"/>
              </w:rPr>
              <w:t>0.060</w:t>
            </w:r>
          </w:p>
        </w:tc>
      </w:tr>
      <w:tr w:rsidR="00360880" w:rsidRPr="003E52A4" w14:paraId="56C86B82" w14:textId="77777777" w:rsidTr="000E0956">
        <w:tc>
          <w:tcPr>
            <w:tcW w:w="3431" w:type="dxa"/>
            <w:tcBorders>
              <w:top w:val="double" w:sz="4" w:space="0" w:color="auto"/>
              <w:bottom w:val="single" w:sz="4" w:space="0" w:color="auto"/>
            </w:tcBorders>
            <w:vAlign w:val="bottom"/>
          </w:tcPr>
          <w:p w14:paraId="106F3339" w14:textId="0B82496E" w:rsidR="00360880" w:rsidRPr="00784A01" w:rsidRDefault="00360880" w:rsidP="00360880">
            <w:pPr>
              <w:spacing w:line="300" w:lineRule="atLeast"/>
              <w:rPr>
                <w:rFonts w:ascii="Arial" w:hAnsi="Arial" w:cs="Arial"/>
                <w:sz w:val="16"/>
                <w:szCs w:val="16"/>
              </w:rPr>
            </w:pPr>
            <w:r w:rsidRPr="00784A01">
              <w:rPr>
                <w:rFonts w:ascii="Arial" w:hAnsi="Arial" w:cs="Arial"/>
                <w:sz w:val="16"/>
                <w:szCs w:val="16"/>
              </w:rPr>
              <w:t>High Pressure Sodium Lamps (HPS), 2012</w:t>
            </w:r>
          </w:p>
        </w:tc>
        <w:tc>
          <w:tcPr>
            <w:tcW w:w="1808" w:type="dxa"/>
            <w:tcBorders>
              <w:top w:val="double" w:sz="4" w:space="0" w:color="auto"/>
              <w:bottom w:val="single" w:sz="4" w:space="0" w:color="auto"/>
            </w:tcBorders>
            <w:vAlign w:val="center"/>
          </w:tcPr>
          <w:p w14:paraId="150CCA5B" w14:textId="77777777" w:rsidR="00360880" w:rsidRPr="00784A01" w:rsidRDefault="00360880" w:rsidP="00360880">
            <w:pPr>
              <w:spacing w:line="300" w:lineRule="atLeast"/>
              <w:jc w:val="center"/>
              <w:rPr>
                <w:rFonts w:ascii="Arial" w:hAnsi="Arial" w:cs="Arial"/>
                <w:sz w:val="16"/>
                <w:szCs w:val="16"/>
              </w:rPr>
            </w:pPr>
            <w:r w:rsidRPr="00784A01">
              <w:rPr>
                <w:rFonts w:ascii="Arial" w:hAnsi="Arial" w:cs="Arial"/>
                <w:sz w:val="16"/>
                <w:szCs w:val="16"/>
              </w:rPr>
              <w:t>10 - 30</w:t>
            </w:r>
          </w:p>
        </w:tc>
        <w:tc>
          <w:tcPr>
            <w:tcW w:w="1922" w:type="dxa"/>
            <w:tcBorders>
              <w:top w:val="double" w:sz="4" w:space="0" w:color="auto"/>
              <w:bottom w:val="single" w:sz="4" w:space="0" w:color="auto"/>
            </w:tcBorders>
            <w:vAlign w:val="center"/>
          </w:tcPr>
          <w:p w14:paraId="26BBC4D3" w14:textId="77777777" w:rsidR="00360880" w:rsidRPr="00784A01" w:rsidRDefault="00360880" w:rsidP="00360880">
            <w:pPr>
              <w:spacing w:line="300" w:lineRule="atLeast"/>
              <w:jc w:val="center"/>
              <w:rPr>
                <w:rFonts w:ascii="Arial" w:hAnsi="Arial" w:cs="Arial"/>
                <w:sz w:val="16"/>
                <w:szCs w:val="16"/>
              </w:rPr>
            </w:pPr>
            <w:r w:rsidRPr="00784A01">
              <w:rPr>
                <w:rFonts w:ascii="Arial" w:hAnsi="Arial" w:cs="Arial"/>
                <w:sz w:val="16"/>
                <w:szCs w:val="16"/>
              </w:rPr>
              <w:t>120</w:t>
            </w:r>
          </w:p>
        </w:tc>
        <w:tc>
          <w:tcPr>
            <w:tcW w:w="1900" w:type="dxa"/>
            <w:tcBorders>
              <w:top w:val="double" w:sz="4" w:space="0" w:color="auto"/>
              <w:bottom w:val="single" w:sz="4" w:space="0" w:color="auto"/>
            </w:tcBorders>
            <w:vAlign w:val="center"/>
          </w:tcPr>
          <w:p w14:paraId="0C7A9C3C" w14:textId="77777777" w:rsidR="00360880" w:rsidRPr="00784A01" w:rsidRDefault="00360880" w:rsidP="00360880">
            <w:pPr>
              <w:spacing w:line="300" w:lineRule="atLeast"/>
              <w:jc w:val="center"/>
              <w:rPr>
                <w:rFonts w:ascii="Arial" w:hAnsi="Arial" w:cs="Arial"/>
                <w:sz w:val="16"/>
                <w:szCs w:val="16"/>
              </w:rPr>
            </w:pPr>
            <w:r w:rsidRPr="00784A01">
              <w:rPr>
                <w:rFonts w:ascii="Arial" w:hAnsi="Arial" w:cs="Arial"/>
                <w:sz w:val="16"/>
                <w:szCs w:val="16"/>
              </w:rPr>
              <w:t>1.2 - 3.6</w:t>
            </w:r>
          </w:p>
        </w:tc>
      </w:tr>
      <w:tr w:rsidR="00360880" w:rsidRPr="003E52A4" w14:paraId="209EF8A9" w14:textId="77777777" w:rsidTr="000E0956">
        <w:tc>
          <w:tcPr>
            <w:tcW w:w="3431" w:type="dxa"/>
            <w:tcBorders>
              <w:bottom w:val="single" w:sz="4" w:space="0" w:color="auto"/>
            </w:tcBorders>
            <w:vAlign w:val="bottom"/>
          </w:tcPr>
          <w:p w14:paraId="120C4504" w14:textId="79D58873" w:rsidR="00360880" w:rsidRPr="00784A01" w:rsidRDefault="00360880" w:rsidP="00360880">
            <w:pPr>
              <w:spacing w:line="300" w:lineRule="atLeast"/>
              <w:rPr>
                <w:rFonts w:ascii="Arial" w:hAnsi="Arial" w:cs="Arial"/>
                <w:sz w:val="16"/>
                <w:szCs w:val="16"/>
              </w:rPr>
            </w:pPr>
            <w:r w:rsidRPr="00784A01">
              <w:rPr>
                <w:rFonts w:ascii="Arial" w:hAnsi="Arial" w:cs="Arial"/>
                <w:sz w:val="16"/>
                <w:szCs w:val="16"/>
              </w:rPr>
              <w:t>High Pressure Sodium Lamps (HPS), 2016</w:t>
            </w:r>
          </w:p>
        </w:tc>
        <w:tc>
          <w:tcPr>
            <w:tcW w:w="1808" w:type="dxa"/>
            <w:tcBorders>
              <w:bottom w:val="single" w:sz="4" w:space="0" w:color="auto"/>
            </w:tcBorders>
            <w:vAlign w:val="center"/>
          </w:tcPr>
          <w:p w14:paraId="7BC06C89" w14:textId="2BED4C76" w:rsidR="00360880" w:rsidRPr="00784A01" w:rsidRDefault="00360880" w:rsidP="00360880">
            <w:pPr>
              <w:spacing w:line="300" w:lineRule="atLeast"/>
              <w:jc w:val="center"/>
              <w:rPr>
                <w:rFonts w:ascii="Arial" w:hAnsi="Arial" w:cs="Arial"/>
                <w:sz w:val="16"/>
                <w:szCs w:val="16"/>
              </w:rPr>
            </w:pPr>
            <w:r w:rsidRPr="00784A01">
              <w:rPr>
                <w:rFonts w:ascii="Arial" w:hAnsi="Arial" w:cs="Arial"/>
                <w:sz w:val="16"/>
                <w:szCs w:val="16"/>
              </w:rPr>
              <w:t>10 – 30</w:t>
            </w:r>
          </w:p>
        </w:tc>
        <w:tc>
          <w:tcPr>
            <w:tcW w:w="1922" w:type="dxa"/>
            <w:tcBorders>
              <w:bottom w:val="single" w:sz="4" w:space="0" w:color="auto"/>
            </w:tcBorders>
            <w:vAlign w:val="center"/>
          </w:tcPr>
          <w:p w14:paraId="2010CBEB" w14:textId="1F6BE55C" w:rsidR="00360880" w:rsidRPr="00784A01" w:rsidRDefault="00360880" w:rsidP="00360880">
            <w:pPr>
              <w:spacing w:line="300" w:lineRule="atLeast"/>
              <w:jc w:val="center"/>
              <w:rPr>
                <w:rFonts w:ascii="Arial" w:hAnsi="Arial" w:cs="Arial"/>
                <w:sz w:val="16"/>
                <w:szCs w:val="16"/>
              </w:rPr>
            </w:pPr>
            <w:r w:rsidRPr="00784A01">
              <w:rPr>
                <w:rFonts w:ascii="Arial" w:hAnsi="Arial" w:cs="Arial"/>
                <w:sz w:val="16"/>
                <w:szCs w:val="16"/>
              </w:rPr>
              <w:t>56</w:t>
            </w:r>
          </w:p>
        </w:tc>
        <w:tc>
          <w:tcPr>
            <w:tcW w:w="1900" w:type="dxa"/>
            <w:tcBorders>
              <w:bottom w:val="single" w:sz="4" w:space="0" w:color="auto"/>
            </w:tcBorders>
            <w:vAlign w:val="center"/>
          </w:tcPr>
          <w:p w14:paraId="3F6BAB7F" w14:textId="694FE667" w:rsidR="00360880" w:rsidRPr="00784A01" w:rsidRDefault="00360880" w:rsidP="00360880">
            <w:pPr>
              <w:spacing w:line="300" w:lineRule="atLeast"/>
              <w:jc w:val="center"/>
              <w:rPr>
                <w:rFonts w:ascii="Arial" w:hAnsi="Arial" w:cs="Arial"/>
                <w:sz w:val="16"/>
                <w:szCs w:val="16"/>
              </w:rPr>
            </w:pPr>
            <w:r w:rsidRPr="00784A01">
              <w:rPr>
                <w:rFonts w:ascii="Arial" w:hAnsi="Arial" w:cs="Arial"/>
                <w:sz w:val="16"/>
                <w:szCs w:val="16"/>
              </w:rPr>
              <w:t>1.7 – 2.8</w:t>
            </w:r>
          </w:p>
        </w:tc>
      </w:tr>
      <w:tr w:rsidR="00360880" w:rsidRPr="003E52A4" w14:paraId="55BDC8B8" w14:textId="77777777" w:rsidTr="000E0956">
        <w:tc>
          <w:tcPr>
            <w:tcW w:w="3431" w:type="dxa"/>
            <w:tcBorders>
              <w:top w:val="single" w:sz="4" w:space="0" w:color="auto"/>
              <w:bottom w:val="single" w:sz="4" w:space="0" w:color="auto"/>
            </w:tcBorders>
            <w:vAlign w:val="bottom"/>
          </w:tcPr>
          <w:p w14:paraId="36FE640F" w14:textId="3C09D3AF" w:rsidR="00360880" w:rsidRPr="000661C4" w:rsidRDefault="00360880" w:rsidP="00360880">
            <w:pPr>
              <w:spacing w:line="300" w:lineRule="atLeast"/>
              <w:rPr>
                <w:rFonts w:ascii="Arial" w:hAnsi="Arial" w:cs="Arial"/>
                <w:sz w:val="16"/>
                <w:szCs w:val="16"/>
              </w:rPr>
            </w:pPr>
            <w:r w:rsidRPr="000661C4">
              <w:rPr>
                <w:rFonts w:ascii="Arial" w:hAnsi="Arial" w:cs="Arial"/>
                <w:sz w:val="16"/>
                <w:szCs w:val="16"/>
              </w:rPr>
              <w:t>High Pressure Sodium Lamps (HPS), 2020</w:t>
            </w:r>
          </w:p>
        </w:tc>
        <w:tc>
          <w:tcPr>
            <w:tcW w:w="1808" w:type="dxa"/>
            <w:tcBorders>
              <w:top w:val="single" w:sz="4" w:space="0" w:color="auto"/>
              <w:bottom w:val="single" w:sz="4" w:space="0" w:color="auto"/>
            </w:tcBorders>
            <w:vAlign w:val="center"/>
          </w:tcPr>
          <w:p w14:paraId="58515995" w14:textId="641C9AAF" w:rsidR="00360880" w:rsidRPr="000661C4" w:rsidRDefault="00360880" w:rsidP="00360880">
            <w:pPr>
              <w:spacing w:line="300" w:lineRule="atLeast"/>
              <w:jc w:val="center"/>
              <w:rPr>
                <w:rFonts w:ascii="Arial" w:hAnsi="Arial" w:cs="Arial"/>
                <w:sz w:val="16"/>
                <w:szCs w:val="16"/>
              </w:rPr>
            </w:pPr>
            <w:r>
              <w:rPr>
                <w:rFonts w:ascii="Arial" w:hAnsi="Arial" w:cs="Arial"/>
                <w:sz w:val="16"/>
                <w:szCs w:val="16"/>
              </w:rPr>
              <w:t>10 - 30</w:t>
            </w:r>
          </w:p>
        </w:tc>
        <w:tc>
          <w:tcPr>
            <w:tcW w:w="1922" w:type="dxa"/>
            <w:tcBorders>
              <w:top w:val="single" w:sz="4" w:space="0" w:color="auto"/>
              <w:bottom w:val="single" w:sz="4" w:space="0" w:color="auto"/>
            </w:tcBorders>
            <w:vAlign w:val="center"/>
          </w:tcPr>
          <w:p w14:paraId="43E68391" w14:textId="24BB7F01" w:rsidR="00360880" w:rsidRPr="000661C4" w:rsidRDefault="00360880" w:rsidP="00360880">
            <w:pPr>
              <w:spacing w:line="300" w:lineRule="atLeast"/>
              <w:jc w:val="center"/>
              <w:rPr>
                <w:rFonts w:ascii="Arial" w:hAnsi="Arial" w:cs="Arial"/>
                <w:sz w:val="16"/>
                <w:szCs w:val="16"/>
              </w:rPr>
            </w:pPr>
            <w:r w:rsidRPr="000661C4">
              <w:rPr>
                <w:rFonts w:ascii="Arial" w:hAnsi="Arial" w:cs="Arial"/>
                <w:sz w:val="16"/>
                <w:szCs w:val="16"/>
              </w:rPr>
              <w:t>16</w:t>
            </w:r>
          </w:p>
        </w:tc>
        <w:tc>
          <w:tcPr>
            <w:tcW w:w="1900" w:type="dxa"/>
            <w:tcBorders>
              <w:top w:val="single" w:sz="4" w:space="0" w:color="auto"/>
              <w:bottom w:val="single" w:sz="4" w:space="0" w:color="auto"/>
            </w:tcBorders>
            <w:vAlign w:val="center"/>
          </w:tcPr>
          <w:p w14:paraId="7D5234BA" w14:textId="2783C41E" w:rsidR="00360880" w:rsidRPr="000661C4" w:rsidRDefault="00360880" w:rsidP="00360880">
            <w:pPr>
              <w:spacing w:line="300" w:lineRule="atLeast"/>
              <w:jc w:val="center"/>
              <w:rPr>
                <w:rFonts w:ascii="Arial" w:hAnsi="Arial" w:cs="Arial"/>
                <w:sz w:val="16"/>
                <w:szCs w:val="16"/>
              </w:rPr>
            </w:pPr>
            <w:r>
              <w:rPr>
                <w:rFonts w:ascii="Arial" w:hAnsi="Arial" w:cs="Arial"/>
                <w:sz w:val="16"/>
                <w:szCs w:val="16"/>
              </w:rPr>
              <w:t>0.16 – 0.48</w:t>
            </w:r>
          </w:p>
        </w:tc>
      </w:tr>
      <w:tr w:rsidR="00F83996" w:rsidRPr="003E52A4" w14:paraId="08BE137F" w14:textId="77777777" w:rsidTr="000E0956">
        <w:tc>
          <w:tcPr>
            <w:tcW w:w="3431" w:type="dxa"/>
            <w:tcBorders>
              <w:top w:val="single" w:sz="4" w:space="0" w:color="auto"/>
              <w:bottom w:val="single" w:sz="4" w:space="0" w:color="auto"/>
            </w:tcBorders>
            <w:vAlign w:val="bottom"/>
          </w:tcPr>
          <w:p w14:paraId="490042BC" w14:textId="044BBFED" w:rsidR="00F83996" w:rsidRPr="000661C4" w:rsidRDefault="00F83996" w:rsidP="00360880">
            <w:pPr>
              <w:spacing w:line="300" w:lineRule="atLeast"/>
              <w:rPr>
                <w:rFonts w:ascii="Arial" w:hAnsi="Arial" w:cs="Arial"/>
                <w:sz w:val="16"/>
                <w:szCs w:val="16"/>
              </w:rPr>
            </w:pPr>
            <w:r w:rsidRPr="000661C4">
              <w:rPr>
                <w:rFonts w:ascii="Arial" w:hAnsi="Arial" w:cs="Arial"/>
                <w:sz w:val="16"/>
                <w:szCs w:val="16"/>
              </w:rPr>
              <w:t>High Pressure Sodium Lamps (HPS), 202</w:t>
            </w:r>
            <w:r>
              <w:rPr>
                <w:rFonts w:ascii="Arial" w:hAnsi="Arial" w:cs="Arial"/>
                <w:sz w:val="16"/>
                <w:szCs w:val="16"/>
              </w:rPr>
              <w:t>4</w:t>
            </w:r>
          </w:p>
        </w:tc>
        <w:tc>
          <w:tcPr>
            <w:tcW w:w="1808" w:type="dxa"/>
            <w:tcBorders>
              <w:top w:val="single" w:sz="4" w:space="0" w:color="auto"/>
              <w:bottom w:val="single" w:sz="4" w:space="0" w:color="auto"/>
            </w:tcBorders>
            <w:vAlign w:val="center"/>
          </w:tcPr>
          <w:p w14:paraId="2A0D05C2" w14:textId="5A24355B" w:rsidR="00F83996" w:rsidRDefault="00F83996" w:rsidP="00360880">
            <w:pPr>
              <w:spacing w:line="300" w:lineRule="atLeast"/>
              <w:jc w:val="center"/>
              <w:rPr>
                <w:rFonts w:ascii="Arial" w:hAnsi="Arial" w:cs="Arial"/>
                <w:sz w:val="16"/>
                <w:szCs w:val="16"/>
              </w:rPr>
            </w:pPr>
            <w:r>
              <w:rPr>
                <w:rFonts w:ascii="Arial" w:hAnsi="Arial" w:cs="Arial"/>
                <w:sz w:val="16"/>
                <w:szCs w:val="16"/>
              </w:rPr>
              <w:t>10 - 30</w:t>
            </w:r>
          </w:p>
        </w:tc>
        <w:tc>
          <w:tcPr>
            <w:tcW w:w="1922" w:type="dxa"/>
            <w:tcBorders>
              <w:top w:val="single" w:sz="4" w:space="0" w:color="auto"/>
              <w:bottom w:val="single" w:sz="4" w:space="0" w:color="auto"/>
            </w:tcBorders>
            <w:vAlign w:val="center"/>
          </w:tcPr>
          <w:p w14:paraId="50A2A6B0" w14:textId="683F6F65" w:rsidR="00F83996" w:rsidRPr="000661C4" w:rsidRDefault="00F83996" w:rsidP="00360880">
            <w:pPr>
              <w:spacing w:line="300" w:lineRule="atLeast"/>
              <w:jc w:val="center"/>
              <w:rPr>
                <w:rFonts w:ascii="Arial" w:hAnsi="Arial" w:cs="Arial"/>
                <w:sz w:val="16"/>
                <w:szCs w:val="16"/>
              </w:rPr>
            </w:pPr>
            <w:r>
              <w:rPr>
                <w:rFonts w:ascii="Arial" w:hAnsi="Arial" w:cs="Arial"/>
                <w:sz w:val="16"/>
                <w:szCs w:val="16"/>
              </w:rPr>
              <w:t>2</w:t>
            </w:r>
            <w:r w:rsidR="00920F6F">
              <w:rPr>
                <w:rFonts w:ascii="Arial" w:hAnsi="Arial" w:cs="Arial"/>
                <w:sz w:val="16"/>
                <w:szCs w:val="16"/>
              </w:rPr>
              <w:t>4</w:t>
            </w:r>
          </w:p>
        </w:tc>
        <w:tc>
          <w:tcPr>
            <w:tcW w:w="1900" w:type="dxa"/>
            <w:tcBorders>
              <w:top w:val="single" w:sz="4" w:space="0" w:color="auto"/>
              <w:bottom w:val="single" w:sz="4" w:space="0" w:color="auto"/>
            </w:tcBorders>
            <w:vAlign w:val="center"/>
          </w:tcPr>
          <w:p w14:paraId="0AE18528" w14:textId="5A4C95B5" w:rsidR="00F83996" w:rsidRDefault="00F83996" w:rsidP="00360880">
            <w:pPr>
              <w:spacing w:line="300" w:lineRule="atLeast"/>
              <w:jc w:val="center"/>
              <w:rPr>
                <w:rFonts w:ascii="Arial" w:hAnsi="Arial" w:cs="Arial"/>
                <w:sz w:val="16"/>
                <w:szCs w:val="16"/>
              </w:rPr>
            </w:pPr>
            <w:r>
              <w:rPr>
                <w:rFonts w:ascii="Arial" w:hAnsi="Arial" w:cs="Arial"/>
                <w:sz w:val="16"/>
                <w:szCs w:val="16"/>
              </w:rPr>
              <w:t>0.2</w:t>
            </w:r>
            <w:r w:rsidR="00920F6F">
              <w:rPr>
                <w:rFonts w:ascii="Arial" w:hAnsi="Arial" w:cs="Arial"/>
                <w:sz w:val="16"/>
                <w:szCs w:val="16"/>
              </w:rPr>
              <w:t>4</w:t>
            </w:r>
            <w:r>
              <w:rPr>
                <w:rFonts w:ascii="Arial" w:hAnsi="Arial" w:cs="Arial"/>
                <w:sz w:val="16"/>
                <w:szCs w:val="16"/>
              </w:rPr>
              <w:t xml:space="preserve"> – 0.71</w:t>
            </w:r>
          </w:p>
        </w:tc>
      </w:tr>
      <w:tr w:rsidR="00360880" w:rsidRPr="003E52A4" w14:paraId="40D35F09" w14:textId="77777777" w:rsidTr="000E0956">
        <w:tc>
          <w:tcPr>
            <w:tcW w:w="3431" w:type="dxa"/>
            <w:tcBorders>
              <w:top w:val="double" w:sz="4" w:space="0" w:color="auto"/>
              <w:bottom w:val="single" w:sz="4" w:space="0" w:color="auto"/>
            </w:tcBorders>
            <w:vAlign w:val="bottom"/>
          </w:tcPr>
          <w:p w14:paraId="61D13F87" w14:textId="0FE08F61" w:rsidR="00360880" w:rsidRPr="00685405" w:rsidRDefault="00360880" w:rsidP="00360880">
            <w:pPr>
              <w:spacing w:line="300" w:lineRule="atLeast"/>
              <w:rPr>
                <w:rFonts w:ascii="Arial" w:hAnsi="Arial" w:cs="Arial"/>
                <w:sz w:val="16"/>
                <w:szCs w:val="16"/>
              </w:rPr>
            </w:pPr>
            <w:r w:rsidRPr="00784A01">
              <w:rPr>
                <w:rFonts w:ascii="Arial" w:hAnsi="Arial" w:cs="Arial"/>
                <w:sz w:val="16"/>
                <w:szCs w:val="16"/>
              </w:rPr>
              <w:t>UV lamps for tanning, 2012</w:t>
            </w:r>
          </w:p>
        </w:tc>
        <w:tc>
          <w:tcPr>
            <w:tcW w:w="1808" w:type="dxa"/>
            <w:tcBorders>
              <w:top w:val="double" w:sz="4" w:space="0" w:color="auto"/>
              <w:bottom w:val="single" w:sz="4" w:space="0" w:color="auto"/>
            </w:tcBorders>
            <w:vAlign w:val="center"/>
          </w:tcPr>
          <w:p w14:paraId="337F0E10" w14:textId="5CB729A3" w:rsidR="00360880" w:rsidRPr="00784A01" w:rsidRDefault="00360880" w:rsidP="00360880">
            <w:pPr>
              <w:spacing w:line="300" w:lineRule="atLeast"/>
              <w:jc w:val="center"/>
              <w:rPr>
                <w:rFonts w:ascii="Arial" w:hAnsi="Arial" w:cs="Arial"/>
                <w:sz w:val="16"/>
                <w:szCs w:val="16"/>
              </w:rPr>
            </w:pPr>
            <w:r w:rsidRPr="00784A01">
              <w:rPr>
                <w:rFonts w:ascii="Arial" w:hAnsi="Arial" w:cs="Arial"/>
                <w:sz w:val="16"/>
                <w:szCs w:val="16"/>
              </w:rPr>
              <w:t>5 – 25</w:t>
            </w:r>
          </w:p>
        </w:tc>
        <w:tc>
          <w:tcPr>
            <w:tcW w:w="1922" w:type="dxa"/>
            <w:tcBorders>
              <w:top w:val="double" w:sz="4" w:space="0" w:color="auto"/>
              <w:bottom w:val="single" w:sz="4" w:space="0" w:color="auto"/>
            </w:tcBorders>
            <w:vAlign w:val="center"/>
          </w:tcPr>
          <w:p w14:paraId="2C4B447F" w14:textId="77777777" w:rsidR="00360880" w:rsidRPr="00784A01" w:rsidRDefault="00360880" w:rsidP="00360880">
            <w:pPr>
              <w:spacing w:line="300" w:lineRule="atLeast"/>
              <w:jc w:val="center"/>
              <w:rPr>
                <w:rFonts w:ascii="Arial" w:hAnsi="Arial" w:cs="Arial"/>
                <w:sz w:val="16"/>
                <w:szCs w:val="16"/>
              </w:rPr>
            </w:pPr>
            <w:r w:rsidRPr="00784A01">
              <w:rPr>
                <w:rFonts w:ascii="Arial" w:hAnsi="Arial" w:cs="Arial"/>
                <w:sz w:val="16"/>
                <w:szCs w:val="16"/>
              </w:rPr>
              <w:t>50 - 100</w:t>
            </w:r>
          </w:p>
        </w:tc>
        <w:tc>
          <w:tcPr>
            <w:tcW w:w="1900" w:type="dxa"/>
            <w:tcBorders>
              <w:top w:val="double" w:sz="4" w:space="0" w:color="auto"/>
              <w:bottom w:val="single" w:sz="4" w:space="0" w:color="auto"/>
            </w:tcBorders>
            <w:vAlign w:val="center"/>
          </w:tcPr>
          <w:p w14:paraId="5E8F76F4" w14:textId="77777777" w:rsidR="00360880" w:rsidRPr="00784A01" w:rsidRDefault="00360880" w:rsidP="00360880">
            <w:pPr>
              <w:spacing w:line="300" w:lineRule="atLeast"/>
              <w:jc w:val="center"/>
              <w:rPr>
                <w:rFonts w:ascii="Arial" w:hAnsi="Arial" w:cs="Arial"/>
                <w:sz w:val="16"/>
                <w:szCs w:val="16"/>
              </w:rPr>
            </w:pPr>
            <w:r w:rsidRPr="00784A01">
              <w:rPr>
                <w:rFonts w:ascii="Arial" w:hAnsi="Arial" w:cs="Arial"/>
                <w:sz w:val="16"/>
                <w:szCs w:val="16"/>
              </w:rPr>
              <w:t>0.25 – 2.5</w:t>
            </w:r>
          </w:p>
        </w:tc>
      </w:tr>
      <w:tr w:rsidR="00360880" w:rsidRPr="003E52A4" w14:paraId="684695F9" w14:textId="77777777" w:rsidTr="000E0956">
        <w:tc>
          <w:tcPr>
            <w:tcW w:w="3431" w:type="dxa"/>
            <w:tcBorders>
              <w:bottom w:val="single" w:sz="4" w:space="0" w:color="auto"/>
            </w:tcBorders>
            <w:vAlign w:val="bottom"/>
          </w:tcPr>
          <w:p w14:paraId="14DC71D7" w14:textId="0BEDA46C" w:rsidR="00360880" w:rsidRPr="00784A01" w:rsidRDefault="00360880" w:rsidP="00360880">
            <w:pPr>
              <w:spacing w:line="300" w:lineRule="atLeast"/>
              <w:rPr>
                <w:rFonts w:ascii="Arial" w:hAnsi="Arial" w:cs="Arial"/>
                <w:sz w:val="16"/>
                <w:szCs w:val="16"/>
              </w:rPr>
            </w:pPr>
            <w:r w:rsidRPr="00784A01">
              <w:rPr>
                <w:rFonts w:ascii="Arial" w:hAnsi="Arial" w:cs="Arial"/>
                <w:sz w:val="16"/>
                <w:szCs w:val="16"/>
              </w:rPr>
              <w:t>UV lamps for tanning, 2016</w:t>
            </w:r>
          </w:p>
        </w:tc>
        <w:tc>
          <w:tcPr>
            <w:tcW w:w="1808" w:type="dxa"/>
            <w:tcBorders>
              <w:bottom w:val="single" w:sz="4" w:space="0" w:color="auto"/>
            </w:tcBorders>
            <w:vAlign w:val="center"/>
          </w:tcPr>
          <w:p w14:paraId="6807EF83" w14:textId="4CF68A26" w:rsidR="00360880" w:rsidRPr="00784A01" w:rsidRDefault="00360880" w:rsidP="00360880">
            <w:pPr>
              <w:spacing w:line="300" w:lineRule="atLeast"/>
              <w:jc w:val="center"/>
              <w:rPr>
                <w:rFonts w:ascii="Arial" w:hAnsi="Arial" w:cs="Arial"/>
                <w:sz w:val="16"/>
                <w:szCs w:val="16"/>
              </w:rPr>
            </w:pPr>
            <w:r w:rsidRPr="00784A01">
              <w:rPr>
                <w:rFonts w:ascii="Arial" w:hAnsi="Arial" w:cs="Arial"/>
                <w:sz w:val="16"/>
                <w:szCs w:val="16"/>
              </w:rPr>
              <w:t>5 – 25</w:t>
            </w:r>
          </w:p>
        </w:tc>
        <w:tc>
          <w:tcPr>
            <w:tcW w:w="1922" w:type="dxa"/>
            <w:tcBorders>
              <w:bottom w:val="single" w:sz="4" w:space="0" w:color="auto"/>
            </w:tcBorders>
            <w:vAlign w:val="center"/>
          </w:tcPr>
          <w:p w14:paraId="137C6D74" w14:textId="094AC7FA" w:rsidR="00360880" w:rsidRPr="00784A01" w:rsidRDefault="00360880" w:rsidP="00360880">
            <w:pPr>
              <w:spacing w:line="300" w:lineRule="atLeast"/>
              <w:jc w:val="center"/>
              <w:rPr>
                <w:rFonts w:ascii="Arial" w:hAnsi="Arial" w:cs="Arial"/>
                <w:sz w:val="16"/>
                <w:szCs w:val="16"/>
              </w:rPr>
            </w:pPr>
            <w:r w:rsidRPr="00784A01">
              <w:rPr>
                <w:rFonts w:ascii="Arial" w:hAnsi="Arial" w:cs="Arial"/>
                <w:sz w:val="16"/>
                <w:szCs w:val="16"/>
              </w:rPr>
              <w:t>92</w:t>
            </w:r>
          </w:p>
        </w:tc>
        <w:tc>
          <w:tcPr>
            <w:tcW w:w="1900" w:type="dxa"/>
            <w:tcBorders>
              <w:bottom w:val="single" w:sz="4" w:space="0" w:color="auto"/>
            </w:tcBorders>
            <w:vAlign w:val="center"/>
          </w:tcPr>
          <w:p w14:paraId="277FAE18" w14:textId="7D81F24E" w:rsidR="00360880" w:rsidRPr="00784A01" w:rsidRDefault="00360880" w:rsidP="00360880">
            <w:pPr>
              <w:spacing w:line="300" w:lineRule="atLeast"/>
              <w:jc w:val="center"/>
              <w:rPr>
                <w:rFonts w:ascii="Arial" w:hAnsi="Arial" w:cs="Arial"/>
                <w:sz w:val="16"/>
                <w:szCs w:val="16"/>
              </w:rPr>
            </w:pPr>
            <w:r w:rsidRPr="00784A01">
              <w:rPr>
                <w:rFonts w:ascii="Arial" w:hAnsi="Arial" w:cs="Arial"/>
                <w:sz w:val="16"/>
                <w:szCs w:val="16"/>
              </w:rPr>
              <w:t>0.46 – 2.3</w:t>
            </w:r>
          </w:p>
        </w:tc>
      </w:tr>
      <w:tr w:rsidR="00360880" w:rsidRPr="003E52A4" w14:paraId="5FCD80B6" w14:textId="77777777" w:rsidTr="000E0956">
        <w:tc>
          <w:tcPr>
            <w:tcW w:w="3431" w:type="dxa"/>
            <w:tcBorders>
              <w:top w:val="single" w:sz="4" w:space="0" w:color="auto"/>
            </w:tcBorders>
            <w:vAlign w:val="bottom"/>
          </w:tcPr>
          <w:p w14:paraId="393240EA" w14:textId="0610F34F" w:rsidR="00360880" w:rsidRPr="000661C4" w:rsidRDefault="00360880" w:rsidP="00360880">
            <w:pPr>
              <w:spacing w:line="300" w:lineRule="atLeast"/>
              <w:rPr>
                <w:rFonts w:ascii="Arial" w:hAnsi="Arial" w:cs="Arial"/>
                <w:sz w:val="16"/>
                <w:szCs w:val="16"/>
              </w:rPr>
            </w:pPr>
            <w:r w:rsidRPr="000661C4">
              <w:rPr>
                <w:rFonts w:ascii="Arial" w:hAnsi="Arial" w:cs="Arial"/>
                <w:sz w:val="16"/>
                <w:szCs w:val="16"/>
              </w:rPr>
              <w:t>UV lamps for tanning, 2020</w:t>
            </w:r>
          </w:p>
        </w:tc>
        <w:tc>
          <w:tcPr>
            <w:tcW w:w="1808" w:type="dxa"/>
            <w:tcBorders>
              <w:top w:val="single" w:sz="4" w:space="0" w:color="auto"/>
            </w:tcBorders>
            <w:vAlign w:val="center"/>
          </w:tcPr>
          <w:p w14:paraId="57F12779" w14:textId="529307C3" w:rsidR="00360880" w:rsidRPr="000661C4" w:rsidRDefault="00360880" w:rsidP="00360880">
            <w:pPr>
              <w:spacing w:line="300" w:lineRule="atLeast"/>
              <w:jc w:val="center"/>
              <w:rPr>
                <w:rFonts w:ascii="Arial" w:hAnsi="Arial" w:cs="Arial"/>
                <w:sz w:val="16"/>
                <w:szCs w:val="16"/>
              </w:rPr>
            </w:pPr>
            <w:r>
              <w:rPr>
                <w:rFonts w:ascii="Arial" w:hAnsi="Arial" w:cs="Arial"/>
                <w:sz w:val="16"/>
                <w:szCs w:val="16"/>
              </w:rPr>
              <w:t>5 - 25</w:t>
            </w:r>
          </w:p>
        </w:tc>
        <w:tc>
          <w:tcPr>
            <w:tcW w:w="1922" w:type="dxa"/>
            <w:tcBorders>
              <w:top w:val="single" w:sz="4" w:space="0" w:color="auto"/>
            </w:tcBorders>
            <w:vAlign w:val="center"/>
          </w:tcPr>
          <w:p w14:paraId="59843E53" w14:textId="03B6D38C" w:rsidR="00360880" w:rsidRPr="000661C4" w:rsidRDefault="00360880" w:rsidP="00360880">
            <w:pPr>
              <w:spacing w:line="300" w:lineRule="atLeast"/>
              <w:jc w:val="center"/>
              <w:rPr>
                <w:rFonts w:ascii="Arial" w:hAnsi="Arial" w:cs="Arial"/>
                <w:sz w:val="16"/>
                <w:szCs w:val="16"/>
              </w:rPr>
            </w:pPr>
            <w:r w:rsidRPr="000661C4">
              <w:rPr>
                <w:rFonts w:ascii="Arial" w:hAnsi="Arial" w:cs="Arial"/>
                <w:sz w:val="16"/>
                <w:szCs w:val="16"/>
              </w:rPr>
              <w:t>210</w:t>
            </w:r>
          </w:p>
        </w:tc>
        <w:tc>
          <w:tcPr>
            <w:tcW w:w="1900" w:type="dxa"/>
            <w:tcBorders>
              <w:top w:val="single" w:sz="4" w:space="0" w:color="auto"/>
            </w:tcBorders>
            <w:vAlign w:val="center"/>
          </w:tcPr>
          <w:p w14:paraId="4157C92C" w14:textId="07F669A4" w:rsidR="00360880" w:rsidRPr="000661C4" w:rsidRDefault="00360880" w:rsidP="00360880">
            <w:pPr>
              <w:spacing w:line="300" w:lineRule="atLeast"/>
              <w:jc w:val="center"/>
              <w:rPr>
                <w:rFonts w:ascii="Arial" w:hAnsi="Arial" w:cs="Arial"/>
                <w:sz w:val="16"/>
                <w:szCs w:val="16"/>
              </w:rPr>
            </w:pPr>
            <w:r>
              <w:rPr>
                <w:rFonts w:ascii="Arial" w:hAnsi="Arial" w:cs="Arial"/>
                <w:sz w:val="16"/>
                <w:szCs w:val="16"/>
              </w:rPr>
              <w:t>1.1 – 5.3</w:t>
            </w:r>
          </w:p>
        </w:tc>
      </w:tr>
      <w:tr w:rsidR="00F83996" w:rsidRPr="003E52A4" w14:paraId="7CD10CE9" w14:textId="77777777" w:rsidTr="000E0956">
        <w:tc>
          <w:tcPr>
            <w:tcW w:w="3431" w:type="dxa"/>
            <w:tcBorders>
              <w:top w:val="single" w:sz="4" w:space="0" w:color="auto"/>
            </w:tcBorders>
            <w:vAlign w:val="bottom"/>
          </w:tcPr>
          <w:p w14:paraId="3E08BF3B" w14:textId="26330ED9" w:rsidR="00F83996" w:rsidRPr="000661C4" w:rsidRDefault="00F83996" w:rsidP="00360880">
            <w:pPr>
              <w:spacing w:line="300" w:lineRule="atLeast"/>
              <w:rPr>
                <w:rFonts w:ascii="Arial" w:hAnsi="Arial" w:cs="Arial"/>
                <w:sz w:val="16"/>
                <w:szCs w:val="16"/>
              </w:rPr>
            </w:pPr>
            <w:r w:rsidRPr="000661C4">
              <w:rPr>
                <w:rFonts w:ascii="Arial" w:hAnsi="Arial" w:cs="Arial"/>
                <w:sz w:val="16"/>
                <w:szCs w:val="16"/>
              </w:rPr>
              <w:t>UV lamps for tanning, 202</w:t>
            </w:r>
            <w:r>
              <w:rPr>
                <w:rFonts w:ascii="Arial" w:hAnsi="Arial" w:cs="Arial"/>
                <w:sz w:val="16"/>
                <w:szCs w:val="16"/>
              </w:rPr>
              <w:t>4</w:t>
            </w:r>
          </w:p>
        </w:tc>
        <w:tc>
          <w:tcPr>
            <w:tcW w:w="1808" w:type="dxa"/>
            <w:tcBorders>
              <w:top w:val="single" w:sz="4" w:space="0" w:color="auto"/>
            </w:tcBorders>
            <w:vAlign w:val="center"/>
          </w:tcPr>
          <w:p w14:paraId="709D12C5" w14:textId="5C9955A9" w:rsidR="00F83996" w:rsidRDefault="00F83996" w:rsidP="00360880">
            <w:pPr>
              <w:spacing w:line="300" w:lineRule="atLeast"/>
              <w:jc w:val="center"/>
              <w:rPr>
                <w:rFonts w:ascii="Arial" w:hAnsi="Arial" w:cs="Arial"/>
                <w:sz w:val="16"/>
                <w:szCs w:val="16"/>
              </w:rPr>
            </w:pPr>
            <w:r>
              <w:rPr>
                <w:rFonts w:ascii="Arial" w:hAnsi="Arial" w:cs="Arial"/>
                <w:sz w:val="16"/>
                <w:szCs w:val="16"/>
              </w:rPr>
              <w:t>5 - 25</w:t>
            </w:r>
          </w:p>
        </w:tc>
        <w:tc>
          <w:tcPr>
            <w:tcW w:w="1922" w:type="dxa"/>
            <w:tcBorders>
              <w:top w:val="single" w:sz="4" w:space="0" w:color="auto"/>
            </w:tcBorders>
            <w:vAlign w:val="center"/>
          </w:tcPr>
          <w:p w14:paraId="54E615B0" w14:textId="3A0F6AB1" w:rsidR="00F83996" w:rsidRPr="000661C4" w:rsidRDefault="004E7599" w:rsidP="00360880">
            <w:pPr>
              <w:spacing w:line="300" w:lineRule="atLeast"/>
              <w:jc w:val="center"/>
              <w:rPr>
                <w:rFonts w:ascii="Arial" w:hAnsi="Arial" w:cs="Arial"/>
                <w:sz w:val="16"/>
                <w:szCs w:val="16"/>
              </w:rPr>
            </w:pPr>
            <w:r>
              <w:rPr>
                <w:rFonts w:ascii="Arial" w:hAnsi="Arial" w:cs="Arial"/>
                <w:sz w:val="16"/>
                <w:szCs w:val="16"/>
              </w:rPr>
              <w:t>201</w:t>
            </w:r>
          </w:p>
        </w:tc>
        <w:tc>
          <w:tcPr>
            <w:tcW w:w="1900" w:type="dxa"/>
            <w:tcBorders>
              <w:top w:val="single" w:sz="4" w:space="0" w:color="auto"/>
            </w:tcBorders>
            <w:vAlign w:val="center"/>
          </w:tcPr>
          <w:p w14:paraId="19DAE006" w14:textId="36DCDB5B" w:rsidR="00F83996" w:rsidRDefault="004E7599" w:rsidP="00360880">
            <w:pPr>
              <w:spacing w:line="300" w:lineRule="atLeast"/>
              <w:jc w:val="center"/>
              <w:rPr>
                <w:rFonts w:ascii="Arial" w:hAnsi="Arial" w:cs="Arial"/>
                <w:sz w:val="16"/>
                <w:szCs w:val="16"/>
              </w:rPr>
            </w:pPr>
            <w:r>
              <w:rPr>
                <w:rFonts w:ascii="Arial" w:hAnsi="Arial" w:cs="Arial"/>
                <w:sz w:val="16"/>
                <w:szCs w:val="16"/>
              </w:rPr>
              <w:t>1.0 – 5.0</w:t>
            </w:r>
          </w:p>
        </w:tc>
      </w:tr>
      <w:tr w:rsidR="00360880" w:rsidRPr="003E52A4" w14:paraId="29070DB7" w14:textId="77777777" w:rsidTr="000E0956">
        <w:tc>
          <w:tcPr>
            <w:tcW w:w="3431" w:type="dxa"/>
            <w:tcBorders>
              <w:top w:val="double" w:sz="4" w:space="0" w:color="auto"/>
            </w:tcBorders>
            <w:vAlign w:val="bottom"/>
          </w:tcPr>
          <w:p w14:paraId="07F1A16F" w14:textId="36C98A1E" w:rsidR="00360880" w:rsidRPr="00784A01" w:rsidRDefault="00360880" w:rsidP="00360880">
            <w:pPr>
              <w:spacing w:line="300" w:lineRule="atLeast"/>
              <w:rPr>
                <w:rFonts w:ascii="Arial" w:hAnsi="Arial" w:cs="Arial"/>
                <w:sz w:val="16"/>
                <w:szCs w:val="16"/>
              </w:rPr>
            </w:pPr>
            <w:r w:rsidRPr="00784A01">
              <w:rPr>
                <w:rFonts w:ascii="Arial" w:hAnsi="Arial" w:cs="Arial"/>
                <w:sz w:val="16"/>
                <w:szCs w:val="16"/>
              </w:rPr>
              <w:t>Metal halide lamps, 2012</w:t>
            </w:r>
          </w:p>
        </w:tc>
        <w:tc>
          <w:tcPr>
            <w:tcW w:w="1808" w:type="dxa"/>
            <w:tcBorders>
              <w:top w:val="double" w:sz="4" w:space="0" w:color="auto"/>
            </w:tcBorders>
            <w:vAlign w:val="center"/>
          </w:tcPr>
          <w:p w14:paraId="5BCAC589" w14:textId="77777777" w:rsidR="00360880" w:rsidRPr="00784A01" w:rsidRDefault="00360880" w:rsidP="00360880">
            <w:pPr>
              <w:spacing w:line="300" w:lineRule="atLeast"/>
              <w:jc w:val="center"/>
              <w:rPr>
                <w:rFonts w:ascii="Arial" w:hAnsi="Arial" w:cs="Arial"/>
                <w:sz w:val="16"/>
                <w:szCs w:val="16"/>
              </w:rPr>
            </w:pPr>
            <w:r w:rsidRPr="00784A01">
              <w:rPr>
                <w:rFonts w:ascii="Arial" w:hAnsi="Arial" w:cs="Arial"/>
                <w:sz w:val="16"/>
                <w:szCs w:val="16"/>
              </w:rPr>
              <w:t>25</w:t>
            </w:r>
          </w:p>
        </w:tc>
        <w:tc>
          <w:tcPr>
            <w:tcW w:w="1922" w:type="dxa"/>
            <w:tcBorders>
              <w:top w:val="double" w:sz="4" w:space="0" w:color="auto"/>
            </w:tcBorders>
            <w:vAlign w:val="center"/>
          </w:tcPr>
          <w:p w14:paraId="0D090B0A" w14:textId="77777777" w:rsidR="00360880" w:rsidRPr="00784A01" w:rsidRDefault="00360880" w:rsidP="00360880">
            <w:pPr>
              <w:spacing w:line="300" w:lineRule="atLeast"/>
              <w:jc w:val="center"/>
              <w:rPr>
                <w:rFonts w:ascii="Arial" w:hAnsi="Arial" w:cs="Arial"/>
                <w:sz w:val="16"/>
                <w:szCs w:val="16"/>
              </w:rPr>
            </w:pPr>
            <w:r w:rsidRPr="00784A01">
              <w:rPr>
                <w:rFonts w:ascii="Arial" w:hAnsi="Arial" w:cs="Arial"/>
                <w:sz w:val="16"/>
                <w:szCs w:val="16"/>
              </w:rPr>
              <w:t>500</w:t>
            </w:r>
          </w:p>
        </w:tc>
        <w:tc>
          <w:tcPr>
            <w:tcW w:w="1900" w:type="dxa"/>
            <w:tcBorders>
              <w:top w:val="double" w:sz="4" w:space="0" w:color="auto"/>
            </w:tcBorders>
            <w:vAlign w:val="center"/>
          </w:tcPr>
          <w:p w14:paraId="2EF9322F" w14:textId="77777777" w:rsidR="00360880" w:rsidRPr="00784A01" w:rsidRDefault="00360880" w:rsidP="00360880">
            <w:pPr>
              <w:spacing w:line="300" w:lineRule="atLeast"/>
              <w:jc w:val="center"/>
              <w:rPr>
                <w:rFonts w:ascii="Arial" w:hAnsi="Arial" w:cs="Arial"/>
                <w:sz w:val="16"/>
                <w:szCs w:val="16"/>
              </w:rPr>
            </w:pPr>
            <w:r w:rsidRPr="00784A01">
              <w:rPr>
                <w:rFonts w:ascii="Arial" w:hAnsi="Arial" w:cs="Arial"/>
                <w:sz w:val="16"/>
                <w:szCs w:val="16"/>
              </w:rPr>
              <w:t>12.5</w:t>
            </w:r>
          </w:p>
        </w:tc>
      </w:tr>
      <w:tr w:rsidR="00360880" w:rsidRPr="003E52A4" w14:paraId="3445DB29" w14:textId="77777777" w:rsidTr="000E0956">
        <w:tc>
          <w:tcPr>
            <w:tcW w:w="3431" w:type="dxa"/>
            <w:vAlign w:val="bottom"/>
          </w:tcPr>
          <w:p w14:paraId="75F69E7C" w14:textId="2E363445" w:rsidR="00360880" w:rsidRPr="00784A01" w:rsidRDefault="00360880" w:rsidP="00360880">
            <w:pPr>
              <w:spacing w:line="300" w:lineRule="atLeast"/>
              <w:rPr>
                <w:rFonts w:ascii="Arial" w:hAnsi="Arial" w:cs="Arial"/>
                <w:sz w:val="16"/>
                <w:szCs w:val="16"/>
              </w:rPr>
            </w:pPr>
            <w:r w:rsidRPr="00784A01">
              <w:rPr>
                <w:rFonts w:ascii="Arial" w:hAnsi="Arial" w:cs="Arial"/>
                <w:sz w:val="16"/>
                <w:szCs w:val="16"/>
              </w:rPr>
              <w:t>Metal halide lamps, 2016</w:t>
            </w:r>
          </w:p>
        </w:tc>
        <w:tc>
          <w:tcPr>
            <w:tcW w:w="1808" w:type="dxa"/>
            <w:vAlign w:val="center"/>
          </w:tcPr>
          <w:p w14:paraId="112AEF1B" w14:textId="291EAEC5" w:rsidR="00360880" w:rsidRPr="00784A01" w:rsidRDefault="00360880" w:rsidP="00360880">
            <w:pPr>
              <w:spacing w:line="300" w:lineRule="atLeast"/>
              <w:jc w:val="center"/>
              <w:rPr>
                <w:rFonts w:ascii="Arial" w:hAnsi="Arial" w:cs="Arial"/>
                <w:sz w:val="16"/>
                <w:szCs w:val="16"/>
              </w:rPr>
            </w:pPr>
            <w:r w:rsidRPr="00784A01">
              <w:rPr>
                <w:rFonts w:ascii="Arial" w:hAnsi="Arial" w:cs="Arial"/>
                <w:sz w:val="16"/>
                <w:szCs w:val="16"/>
              </w:rPr>
              <w:t>25</w:t>
            </w:r>
          </w:p>
        </w:tc>
        <w:tc>
          <w:tcPr>
            <w:tcW w:w="1922" w:type="dxa"/>
            <w:vAlign w:val="center"/>
          </w:tcPr>
          <w:p w14:paraId="372390F0" w14:textId="14E67539" w:rsidR="00360880" w:rsidRPr="00784A01" w:rsidRDefault="00360880" w:rsidP="00360880">
            <w:pPr>
              <w:spacing w:line="300" w:lineRule="atLeast"/>
              <w:jc w:val="center"/>
              <w:rPr>
                <w:rFonts w:ascii="Arial" w:hAnsi="Arial" w:cs="Arial"/>
                <w:sz w:val="16"/>
                <w:szCs w:val="16"/>
              </w:rPr>
            </w:pPr>
            <w:r w:rsidRPr="00784A01">
              <w:rPr>
                <w:rFonts w:ascii="Arial" w:hAnsi="Arial" w:cs="Arial"/>
                <w:sz w:val="16"/>
                <w:szCs w:val="16"/>
              </w:rPr>
              <w:t>106</w:t>
            </w:r>
          </w:p>
        </w:tc>
        <w:tc>
          <w:tcPr>
            <w:tcW w:w="1900" w:type="dxa"/>
            <w:vAlign w:val="center"/>
          </w:tcPr>
          <w:p w14:paraId="6A7C0E84" w14:textId="1357BE38" w:rsidR="00360880" w:rsidRPr="00784A01" w:rsidRDefault="00360880" w:rsidP="00360880">
            <w:pPr>
              <w:spacing w:line="300" w:lineRule="atLeast"/>
              <w:jc w:val="center"/>
              <w:rPr>
                <w:rFonts w:ascii="Arial" w:hAnsi="Arial" w:cs="Arial"/>
                <w:sz w:val="16"/>
                <w:szCs w:val="16"/>
              </w:rPr>
            </w:pPr>
            <w:r w:rsidRPr="00784A01">
              <w:rPr>
                <w:rFonts w:ascii="Arial" w:hAnsi="Arial" w:cs="Arial"/>
                <w:sz w:val="16"/>
                <w:szCs w:val="16"/>
              </w:rPr>
              <w:t>1.6 – 5.3</w:t>
            </w:r>
          </w:p>
        </w:tc>
      </w:tr>
      <w:tr w:rsidR="00360880" w:rsidRPr="003E52A4" w14:paraId="535FC1B9" w14:textId="77777777" w:rsidTr="000E0956">
        <w:tc>
          <w:tcPr>
            <w:tcW w:w="3431" w:type="dxa"/>
            <w:vAlign w:val="bottom"/>
          </w:tcPr>
          <w:p w14:paraId="5C49441F" w14:textId="290AF756" w:rsidR="00360880" w:rsidRPr="00351B54" w:rsidRDefault="00360880" w:rsidP="00360880">
            <w:pPr>
              <w:spacing w:line="300" w:lineRule="atLeast"/>
              <w:rPr>
                <w:rFonts w:ascii="Arial" w:hAnsi="Arial" w:cs="Arial"/>
                <w:sz w:val="16"/>
                <w:szCs w:val="16"/>
              </w:rPr>
            </w:pPr>
            <w:r w:rsidRPr="00351B54">
              <w:rPr>
                <w:rFonts w:ascii="Arial" w:hAnsi="Arial" w:cs="Arial"/>
                <w:sz w:val="16"/>
                <w:szCs w:val="16"/>
              </w:rPr>
              <w:t>Metal halide lamps, 2020</w:t>
            </w:r>
          </w:p>
        </w:tc>
        <w:tc>
          <w:tcPr>
            <w:tcW w:w="1808" w:type="dxa"/>
            <w:vAlign w:val="center"/>
          </w:tcPr>
          <w:p w14:paraId="01C738E0" w14:textId="3DF01320" w:rsidR="00360880" w:rsidRPr="00351B54" w:rsidRDefault="00360880" w:rsidP="00360880">
            <w:pPr>
              <w:spacing w:line="300" w:lineRule="atLeast"/>
              <w:jc w:val="center"/>
              <w:rPr>
                <w:rFonts w:ascii="Arial" w:hAnsi="Arial" w:cs="Arial"/>
                <w:sz w:val="16"/>
                <w:szCs w:val="16"/>
              </w:rPr>
            </w:pPr>
            <w:r>
              <w:rPr>
                <w:rFonts w:ascii="Arial" w:hAnsi="Arial" w:cs="Arial"/>
                <w:sz w:val="16"/>
                <w:szCs w:val="16"/>
              </w:rPr>
              <w:t>25</w:t>
            </w:r>
          </w:p>
        </w:tc>
        <w:tc>
          <w:tcPr>
            <w:tcW w:w="1922" w:type="dxa"/>
            <w:vAlign w:val="center"/>
          </w:tcPr>
          <w:p w14:paraId="52DD9429" w14:textId="4A09188F" w:rsidR="00360880" w:rsidRPr="00351B54" w:rsidRDefault="00360880" w:rsidP="00360880">
            <w:pPr>
              <w:spacing w:line="300" w:lineRule="atLeast"/>
              <w:jc w:val="center"/>
              <w:rPr>
                <w:rFonts w:ascii="Arial" w:hAnsi="Arial" w:cs="Arial"/>
                <w:sz w:val="16"/>
                <w:szCs w:val="16"/>
              </w:rPr>
            </w:pPr>
            <w:r w:rsidRPr="00351B54">
              <w:rPr>
                <w:rFonts w:ascii="Arial" w:hAnsi="Arial" w:cs="Arial"/>
                <w:sz w:val="16"/>
                <w:szCs w:val="16"/>
              </w:rPr>
              <w:t>27</w:t>
            </w:r>
          </w:p>
        </w:tc>
        <w:tc>
          <w:tcPr>
            <w:tcW w:w="1900" w:type="dxa"/>
            <w:vAlign w:val="center"/>
          </w:tcPr>
          <w:p w14:paraId="1989B7E0" w14:textId="53E0BC98" w:rsidR="00360880" w:rsidRPr="00351B54" w:rsidRDefault="00360880" w:rsidP="00360880">
            <w:pPr>
              <w:spacing w:line="300" w:lineRule="atLeast"/>
              <w:jc w:val="center"/>
              <w:rPr>
                <w:rFonts w:ascii="Arial" w:hAnsi="Arial" w:cs="Arial"/>
                <w:sz w:val="16"/>
                <w:szCs w:val="16"/>
              </w:rPr>
            </w:pPr>
            <w:r>
              <w:rPr>
                <w:rFonts w:ascii="Arial" w:hAnsi="Arial" w:cs="Arial"/>
                <w:sz w:val="16"/>
                <w:szCs w:val="16"/>
              </w:rPr>
              <w:t>0.68</w:t>
            </w:r>
          </w:p>
        </w:tc>
      </w:tr>
      <w:tr w:rsidR="004E7599" w:rsidRPr="003E52A4" w14:paraId="20571D07" w14:textId="77777777" w:rsidTr="000E0956">
        <w:tc>
          <w:tcPr>
            <w:tcW w:w="3431" w:type="dxa"/>
            <w:vAlign w:val="bottom"/>
          </w:tcPr>
          <w:p w14:paraId="24D2FF0C" w14:textId="68B8A836" w:rsidR="004E7599" w:rsidRPr="00351B54" w:rsidRDefault="004E7599" w:rsidP="00360880">
            <w:pPr>
              <w:spacing w:line="300" w:lineRule="atLeast"/>
              <w:rPr>
                <w:rFonts w:ascii="Arial" w:hAnsi="Arial" w:cs="Arial"/>
                <w:sz w:val="16"/>
                <w:szCs w:val="16"/>
              </w:rPr>
            </w:pPr>
            <w:r>
              <w:rPr>
                <w:rFonts w:ascii="Arial" w:hAnsi="Arial" w:cs="Arial"/>
                <w:sz w:val="16"/>
                <w:szCs w:val="16"/>
              </w:rPr>
              <w:t>Metal halide lamps, 2024</w:t>
            </w:r>
          </w:p>
        </w:tc>
        <w:tc>
          <w:tcPr>
            <w:tcW w:w="1808" w:type="dxa"/>
            <w:vAlign w:val="center"/>
          </w:tcPr>
          <w:p w14:paraId="4D8F2409" w14:textId="603CC28F" w:rsidR="004E7599" w:rsidRDefault="004E7599" w:rsidP="00360880">
            <w:pPr>
              <w:spacing w:line="300" w:lineRule="atLeast"/>
              <w:jc w:val="center"/>
              <w:rPr>
                <w:rFonts w:ascii="Arial" w:hAnsi="Arial" w:cs="Arial"/>
                <w:sz w:val="16"/>
                <w:szCs w:val="16"/>
              </w:rPr>
            </w:pPr>
            <w:r>
              <w:rPr>
                <w:rFonts w:ascii="Arial" w:hAnsi="Arial" w:cs="Arial"/>
                <w:sz w:val="16"/>
                <w:szCs w:val="16"/>
              </w:rPr>
              <w:t>25</w:t>
            </w:r>
          </w:p>
        </w:tc>
        <w:tc>
          <w:tcPr>
            <w:tcW w:w="1922" w:type="dxa"/>
            <w:vAlign w:val="center"/>
          </w:tcPr>
          <w:p w14:paraId="07663B59" w14:textId="1AA95C84" w:rsidR="004E7599" w:rsidRPr="00351B54" w:rsidRDefault="004E7599" w:rsidP="00360880">
            <w:pPr>
              <w:spacing w:line="300" w:lineRule="atLeast"/>
              <w:jc w:val="center"/>
              <w:rPr>
                <w:rFonts w:ascii="Arial" w:hAnsi="Arial" w:cs="Arial"/>
                <w:sz w:val="16"/>
                <w:szCs w:val="16"/>
              </w:rPr>
            </w:pPr>
            <w:r>
              <w:rPr>
                <w:rFonts w:ascii="Arial" w:hAnsi="Arial" w:cs="Arial"/>
                <w:sz w:val="16"/>
                <w:szCs w:val="16"/>
              </w:rPr>
              <w:t>16</w:t>
            </w:r>
          </w:p>
        </w:tc>
        <w:tc>
          <w:tcPr>
            <w:tcW w:w="1900" w:type="dxa"/>
            <w:vAlign w:val="center"/>
          </w:tcPr>
          <w:p w14:paraId="77FF8325" w14:textId="6E4EE3FB" w:rsidR="004E7599" w:rsidRDefault="004E7599" w:rsidP="00360880">
            <w:pPr>
              <w:spacing w:line="300" w:lineRule="atLeast"/>
              <w:jc w:val="center"/>
              <w:rPr>
                <w:rFonts w:ascii="Arial" w:hAnsi="Arial" w:cs="Arial"/>
                <w:sz w:val="16"/>
                <w:szCs w:val="16"/>
              </w:rPr>
            </w:pPr>
            <w:r>
              <w:rPr>
                <w:rFonts w:ascii="Arial" w:hAnsi="Arial" w:cs="Arial"/>
                <w:sz w:val="16"/>
                <w:szCs w:val="16"/>
              </w:rPr>
              <w:t>0.40</w:t>
            </w:r>
          </w:p>
        </w:tc>
      </w:tr>
    </w:tbl>
    <w:p w14:paraId="0EA5FAC1" w14:textId="77777777" w:rsidR="00E45E6D" w:rsidRPr="00351B54" w:rsidRDefault="00E45E6D" w:rsidP="003A7F6D">
      <w:pPr>
        <w:spacing w:after="0" w:line="300" w:lineRule="atLeast"/>
        <w:jc w:val="both"/>
        <w:rPr>
          <w:szCs w:val="18"/>
          <w:highlight w:val="yellow"/>
        </w:rPr>
      </w:pPr>
    </w:p>
    <w:p w14:paraId="3681E9A5" w14:textId="77777777" w:rsidR="00920F6F" w:rsidRDefault="00920F6F">
      <w:pPr>
        <w:spacing w:after="0"/>
        <w:rPr>
          <w:szCs w:val="18"/>
        </w:rPr>
      </w:pPr>
      <w:r>
        <w:rPr>
          <w:szCs w:val="18"/>
        </w:rPr>
        <w:br w:type="page"/>
      </w:r>
    </w:p>
    <w:p w14:paraId="4AED3AC8" w14:textId="148066AC" w:rsidR="0062356D" w:rsidRDefault="00AD5485" w:rsidP="00920F6F">
      <w:pPr>
        <w:spacing w:line="300" w:lineRule="atLeast"/>
        <w:jc w:val="both"/>
        <w:rPr>
          <w:szCs w:val="18"/>
        </w:rPr>
      </w:pPr>
      <w:r w:rsidRPr="00685405">
        <w:rPr>
          <w:szCs w:val="18"/>
        </w:rPr>
        <w:t xml:space="preserve">The mercury input and output estimates for mercury </w:t>
      </w:r>
      <w:r w:rsidR="000678C3" w:rsidRPr="00685405">
        <w:rPr>
          <w:szCs w:val="18"/>
        </w:rPr>
        <w:t>lamps</w:t>
      </w:r>
      <w:r w:rsidRPr="001345C5">
        <w:rPr>
          <w:szCs w:val="18"/>
        </w:rPr>
        <w:t xml:space="preserve"> are </w:t>
      </w:r>
      <w:r w:rsidR="004E7599">
        <w:rPr>
          <w:szCs w:val="18"/>
        </w:rPr>
        <w:t>shown in Table 7.5.</w:t>
      </w:r>
    </w:p>
    <w:p w14:paraId="4E4A2BD5" w14:textId="64FDB144" w:rsidR="00AD5485" w:rsidRPr="0086053D" w:rsidRDefault="00655CC9" w:rsidP="008A45A0">
      <w:pPr>
        <w:pStyle w:val="Caption"/>
        <w:spacing w:before="240"/>
        <w:rPr>
          <w:szCs w:val="18"/>
        </w:rPr>
      </w:pPr>
      <w:bookmarkStart w:id="98" w:name="_Ref358714485"/>
      <w:bookmarkStart w:id="99" w:name="_Toc110355482"/>
      <w:r w:rsidRPr="0086053D">
        <w:rPr>
          <w:rFonts w:ascii="Arial" w:hAnsi="Arial" w:cs="Arial"/>
        </w:rPr>
        <w:t xml:space="preserve">Table </w:t>
      </w:r>
      <w:r w:rsidRPr="0086053D">
        <w:rPr>
          <w:rFonts w:ascii="Arial" w:hAnsi="Arial" w:cs="Arial"/>
        </w:rPr>
        <w:fldChar w:fldCharType="begin"/>
      </w:r>
      <w:r w:rsidRPr="0086053D">
        <w:rPr>
          <w:rFonts w:ascii="Arial" w:hAnsi="Arial" w:cs="Arial"/>
        </w:rPr>
        <w:instrText xml:space="preserve"> STYLEREF 1 \s </w:instrText>
      </w:r>
      <w:r w:rsidRPr="0086053D">
        <w:rPr>
          <w:rFonts w:ascii="Arial" w:hAnsi="Arial" w:cs="Arial"/>
        </w:rPr>
        <w:fldChar w:fldCharType="separate"/>
      </w:r>
      <w:r w:rsidR="00892B2D">
        <w:rPr>
          <w:rFonts w:ascii="Arial" w:hAnsi="Arial" w:cs="Arial"/>
          <w:noProof/>
        </w:rPr>
        <w:t>7</w:t>
      </w:r>
      <w:r w:rsidRPr="0086053D">
        <w:rPr>
          <w:rFonts w:ascii="Arial" w:hAnsi="Arial" w:cs="Arial"/>
        </w:rPr>
        <w:fldChar w:fldCharType="end"/>
      </w:r>
      <w:r w:rsidRPr="0086053D">
        <w:rPr>
          <w:rFonts w:ascii="Arial" w:hAnsi="Arial" w:cs="Arial"/>
        </w:rPr>
        <w:noBreakHyphen/>
      </w:r>
      <w:r w:rsidRPr="0086053D">
        <w:rPr>
          <w:rFonts w:ascii="Arial" w:hAnsi="Arial" w:cs="Arial"/>
        </w:rPr>
        <w:fldChar w:fldCharType="begin"/>
      </w:r>
      <w:r w:rsidRPr="0086053D">
        <w:rPr>
          <w:rFonts w:ascii="Arial" w:hAnsi="Arial" w:cs="Arial"/>
        </w:rPr>
        <w:instrText xml:space="preserve"> SEQ Table \* ARABIC \s 1 </w:instrText>
      </w:r>
      <w:r w:rsidRPr="0086053D">
        <w:rPr>
          <w:rFonts w:ascii="Arial" w:hAnsi="Arial" w:cs="Arial"/>
        </w:rPr>
        <w:fldChar w:fldCharType="separate"/>
      </w:r>
      <w:r w:rsidR="00892B2D">
        <w:rPr>
          <w:rFonts w:ascii="Arial" w:hAnsi="Arial" w:cs="Arial"/>
          <w:noProof/>
        </w:rPr>
        <w:t>5</w:t>
      </w:r>
      <w:r w:rsidRPr="0086053D">
        <w:rPr>
          <w:rFonts w:ascii="Arial" w:hAnsi="Arial" w:cs="Arial"/>
        </w:rPr>
        <w:fldChar w:fldCharType="end"/>
      </w:r>
      <w:r w:rsidRPr="0086053D">
        <w:rPr>
          <w:rFonts w:ascii="Arial" w:hAnsi="Arial" w:cs="Arial"/>
          <w:szCs w:val="18"/>
        </w:rPr>
        <w:t xml:space="preserve">: </w:t>
      </w:r>
      <w:r w:rsidR="00403501">
        <w:rPr>
          <w:rFonts w:ascii="Arial" w:hAnsi="Arial" w:cs="Arial"/>
          <w:szCs w:val="18"/>
        </w:rPr>
        <w:t xml:space="preserve"> </w:t>
      </w:r>
      <w:r>
        <w:rPr>
          <w:rFonts w:ascii="Arial" w:hAnsi="Arial" w:cs="Arial"/>
        </w:rPr>
        <w:t>I</w:t>
      </w:r>
      <w:r w:rsidRPr="0086053D">
        <w:rPr>
          <w:rFonts w:ascii="Arial" w:hAnsi="Arial" w:cs="Arial"/>
        </w:rPr>
        <w:t>nput and output estimates for mercury lamps</w:t>
      </w:r>
      <w:bookmarkEnd w:id="98"/>
      <w:bookmarkEnd w:id="99"/>
    </w:p>
    <w:tbl>
      <w:tblPr>
        <w:tblStyle w:val="TableGrid"/>
        <w:tblW w:w="9322" w:type="dxa"/>
        <w:tblLook w:val="04A0" w:firstRow="1" w:lastRow="0" w:firstColumn="1" w:lastColumn="0" w:noHBand="0" w:noVBand="1"/>
      </w:tblPr>
      <w:tblGrid>
        <w:gridCol w:w="3073"/>
        <w:gridCol w:w="2166"/>
        <w:gridCol w:w="1995"/>
        <w:gridCol w:w="2088"/>
      </w:tblGrid>
      <w:tr w:rsidR="001B6E36" w:rsidRPr="00685405" w14:paraId="2F9C38D3" w14:textId="77777777" w:rsidTr="0043742F">
        <w:trPr>
          <w:trHeight w:val="776"/>
        </w:trPr>
        <w:tc>
          <w:tcPr>
            <w:tcW w:w="3073" w:type="dxa"/>
            <w:vMerge w:val="restart"/>
            <w:vAlign w:val="center"/>
          </w:tcPr>
          <w:p w14:paraId="0E806D23" w14:textId="77777777" w:rsidR="001B6E36" w:rsidRPr="00685405" w:rsidRDefault="001B6E36" w:rsidP="00C34A7E">
            <w:pPr>
              <w:spacing w:line="300" w:lineRule="atLeast"/>
              <w:jc w:val="center"/>
              <w:rPr>
                <w:rFonts w:ascii="Arial" w:hAnsi="Arial" w:cs="Arial"/>
                <w:b/>
                <w:sz w:val="16"/>
                <w:szCs w:val="16"/>
              </w:rPr>
            </w:pPr>
            <w:r w:rsidRPr="00685405">
              <w:rPr>
                <w:rFonts w:ascii="Arial" w:hAnsi="Arial" w:cs="Arial"/>
                <w:b/>
                <w:sz w:val="16"/>
                <w:szCs w:val="16"/>
              </w:rPr>
              <w:t>Source</w:t>
            </w:r>
          </w:p>
        </w:tc>
        <w:tc>
          <w:tcPr>
            <w:tcW w:w="2166" w:type="dxa"/>
            <w:vMerge w:val="restart"/>
            <w:vAlign w:val="center"/>
          </w:tcPr>
          <w:p w14:paraId="6FE79AA0" w14:textId="77777777" w:rsidR="001B6E36" w:rsidRPr="00685405" w:rsidRDefault="001B6E36" w:rsidP="00C34A7E">
            <w:pPr>
              <w:spacing w:line="300" w:lineRule="atLeast"/>
              <w:jc w:val="center"/>
              <w:rPr>
                <w:rFonts w:ascii="Arial" w:hAnsi="Arial" w:cs="Arial"/>
                <w:b/>
                <w:sz w:val="16"/>
                <w:szCs w:val="16"/>
              </w:rPr>
            </w:pPr>
            <w:r w:rsidRPr="00685405">
              <w:rPr>
                <w:rFonts w:ascii="Arial" w:hAnsi="Arial" w:cs="Arial"/>
                <w:b/>
                <w:sz w:val="16"/>
                <w:szCs w:val="16"/>
              </w:rPr>
              <w:t>Annual Mercury Inputs, kg/yr</w:t>
            </w:r>
          </w:p>
        </w:tc>
        <w:tc>
          <w:tcPr>
            <w:tcW w:w="4083" w:type="dxa"/>
            <w:gridSpan w:val="2"/>
            <w:vAlign w:val="center"/>
          </w:tcPr>
          <w:p w14:paraId="2323CDD5" w14:textId="77777777" w:rsidR="001B6E36" w:rsidRPr="00685405" w:rsidRDefault="001B6E36" w:rsidP="00C34A7E">
            <w:pPr>
              <w:spacing w:line="300" w:lineRule="atLeast"/>
              <w:jc w:val="center"/>
              <w:rPr>
                <w:rFonts w:ascii="Arial" w:hAnsi="Arial" w:cs="Arial"/>
                <w:b/>
                <w:sz w:val="16"/>
                <w:szCs w:val="16"/>
              </w:rPr>
            </w:pPr>
            <w:r w:rsidRPr="00685405">
              <w:rPr>
                <w:rFonts w:ascii="Arial" w:hAnsi="Arial" w:cs="Arial"/>
                <w:b/>
                <w:sz w:val="16"/>
                <w:szCs w:val="16"/>
              </w:rPr>
              <w:t>Annual Mercury Outputs, kg/yr</w:t>
            </w:r>
          </w:p>
        </w:tc>
      </w:tr>
      <w:tr w:rsidR="001B6E36" w:rsidRPr="00685405" w14:paraId="53FFDD95" w14:textId="77777777" w:rsidTr="0043742F">
        <w:tc>
          <w:tcPr>
            <w:tcW w:w="3073" w:type="dxa"/>
            <w:vMerge/>
            <w:vAlign w:val="center"/>
          </w:tcPr>
          <w:p w14:paraId="173CC554" w14:textId="77777777" w:rsidR="001B6E36" w:rsidRPr="00685405" w:rsidRDefault="001B6E36" w:rsidP="00C34A7E">
            <w:pPr>
              <w:spacing w:line="300" w:lineRule="atLeast"/>
              <w:jc w:val="center"/>
              <w:rPr>
                <w:rFonts w:ascii="Arial" w:hAnsi="Arial" w:cs="Arial"/>
                <w:b/>
                <w:sz w:val="16"/>
                <w:szCs w:val="16"/>
              </w:rPr>
            </w:pPr>
          </w:p>
        </w:tc>
        <w:tc>
          <w:tcPr>
            <w:tcW w:w="2166" w:type="dxa"/>
            <w:vMerge/>
            <w:vAlign w:val="center"/>
          </w:tcPr>
          <w:p w14:paraId="116AF6B8" w14:textId="77777777" w:rsidR="001B6E36" w:rsidRPr="00685405" w:rsidRDefault="001B6E36" w:rsidP="00C34A7E">
            <w:pPr>
              <w:spacing w:line="300" w:lineRule="atLeast"/>
              <w:jc w:val="center"/>
              <w:rPr>
                <w:rFonts w:ascii="Arial" w:hAnsi="Arial" w:cs="Arial"/>
                <w:b/>
                <w:sz w:val="16"/>
                <w:szCs w:val="16"/>
              </w:rPr>
            </w:pPr>
          </w:p>
        </w:tc>
        <w:tc>
          <w:tcPr>
            <w:tcW w:w="1995" w:type="dxa"/>
            <w:vAlign w:val="center"/>
          </w:tcPr>
          <w:p w14:paraId="4F87A418" w14:textId="77777777" w:rsidR="001B6E36" w:rsidRPr="00685405" w:rsidRDefault="001B6E36" w:rsidP="00C34A7E">
            <w:pPr>
              <w:spacing w:line="300" w:lineRule="atLeast"/>
              <w:jc w:val="center"/>
              <w:rPr>
                <w:rFonts w:ascii="Arial" w:hAnsi="Arial" w:cs="Arial"/>
                <w:b/>
                <w:sz w:val="16"/>
                <w:szCs w:val="16"/>
              </w:rPr>
            </w:pPr>
            <w:r w:rsidRPr="00685405">
              <w:rPr>
                <w:rFonts w:ascii="Arial" w:hAnsi="Arial" w:cs="Arial"/>
                <w:b/>
                <w:sz w:val="16"/>
                <w:szCs w:val="16"/>
              </w:rPr>
              <w:t>Air</w:t>
            </w:r>
          </w:p>
        </w:tc>
        <w:tc>
          <w:tcPr>
            <w:tcW w:w="2088" w:type="dxa"/>
            <w:vAlign w:val="center"/>
          </w:tcPr>
          <w:p w14:paraId="21AF0FDA" w14:textId="77777777" w:rsidR="001B6E36" w:rsidRPr="00685405" w:rsidRDefault="001B6E36" w:rsidP="00C34A7E">
            <w:pPr>
              <w:spacing w:line="300" w:lineRule="atLeast"/>
              <w:jc w:val="center"/>
              <w:rPr>
                <w:rFonts w:ascii="Arial" w:hAnsi="Arial" w:cs="Arial"/>
                <w:b/>
                <w:sz w:val="16"/>
                <w:szCs w:val="16"/>
              </w:rPr>
            </w:pPr>
            <w:r w:rsidRPr="00685405">
              <w:rPr>
                <w:rFonts w:ascii="Arial" w:hAnsi="Arial" w:cs="Arial"/>
                <w:b/>
                <w:sz w:val="16"/>
                <w:szCs w:val="16"/>
              </w:rPr>
              <w:t>Waste</w:t>
            </w:r>
          </w:p>
        </w:tc>
      </w:tr>
      <w:tr w:rsidR="001B6E36" w:rsidRPr="00685405" w14:paraId="2599CF3C" w14:textId="77777777" w:rsidTr="0043742F">
        <w:tc>
          <w:tcPr>
            <w:tcW w:w="3073" w:type="dxa"/>
          </w:tcPr>
          <w:p w14:paraId="19E49099" w14:textId="5CC1DCD6" w:rsidR="001B6E36" w:rsidRPr="00685405" w:rsidRDefault="001B6E36" w:rsidP="00C34A7E">
            <w:pPr>
              <w:spacing w:line="300" w:lineRule="atLeast"/>
              <w:jc w:val="both"/>
              <w:rPr>
                <w:rFonts w:ascii="Arial" w:hAnsi="Arial" w:cs="Arial"/>
                <w:sz w:val="16"/>
                <w:szCs w:val="16"/>
              </w:rPr>
            </w:pPr>
            <w:r w:rsidRPr="00685405">
              <w:rPr>
                <w:rFonts w:ascii="Arial" w:hAnsi="Arial" w:cs="Arial"/>
                <w:sz w:val="16"/>
                <w:szCs w:val="16"/>
              </w:rPr>
              <w:t>All lamps (see details above)</w:t>
            </w:r>
            <w:r w:rsidR="0043742F" w:rsidRPr="00685405">
              <w:rPr>
                <w:rFonts w:ascii="Arial" w:hAnsi="Arial" w:cs="Arial"/>
                <w:sz w:val="16"/>
                <w:szCs w:val="16"/>
              </w:rPr>
              <w:t>, 2012</w:t>
            </w:r>
          </w:p>
        </w:tc>
        <w:tc>
          <w:tcPr>
            <w:tcW w:w="2166" w:type="dxa"/>
            <w:vAlign w:val="center"/>
          </w:tcPr>
          <w:p w14:paraId="708BED89" w14:textId="77777777" w:rsidR="001B6E36" w:rsidRPr="00685405" w:rsidRDefault="0082333F" w:rsidP="0082333F">
            <w:pPr>
              <w:spacing w:line="300" w:lineRule="atLeast"/>
              <w:jc w:val="center"/>
              <w:rPr>
                <w:rFonts w:ascii="Arial" w:hAnsi="Arial" w:cs="Arial"/>
                <w:sz w:val="16"/>
                <w:szCs w:val="16"/>
              </w:rPr>
            </w:pPr>
            <w:r w:rsidRPr="00685405">
              <w:rPr>
                <w:rFonts w:ascii="Arial" w:hAnsi="Arial" w:cs="Arial"/>
                <w:sz w:val="16"/>
                <w:szCs w:val="16"/>
              </w:rPr>
              <w:t>24</w:t>
            </w:r>
            <w:r w:rsidR="001B6E36" w:rsidRPr="00685405">
              <w:rPr>
                <w:rFonts w:ascii="Arial" w:hAnsi="Arial" w:cs="Arial"/>
                <w:sz w:val="16"/>
                <w:szCs w:val="16"/>
              </w:rPr>
              <w:t xml:space="preserve"> – </w:t>
            </w:r>
            <w:r w:rsidRPr="00685405">
              <w:rPr>
                <w:rFonts w:ascii="Arial" w:hAnsi="Arial" w:cs="Arial"/>
                <w:sz w:val="16"/>
                <w:szCs w:val="16"/>
              </w:rPr>
              <w:t>48.1</w:t>
            </w:r>
            <w:r w:rsidR="00923950" w:rsidRPr="00685405">
              <w:rPr>
                <w:rFonts w:ascii="Arial" w:hAnsi="Arial" w:cs="Arial"/>
                <w:sz w:val="16"/>
                <w:szCs w:val="16"/>
              </w:rPr>
              <w:t xml:space="preserve"> (</w:t>
            </w:r>
            <w:r w:rsidRPr="00685405">
              <w:rPr>
                <w:rFonts w:ascii="Arial" w:hAnsi="Arial" w:cs="Arial"/>
                <w:sz w:val="16"/>
                <w:szCs w:val="16"/>
              </w:rPr>
              <w:t>36</w:t>
            </w:r>
            <w:r w:rsidR="00923950" w:rsidRPr="00685405">
              <w:rPr>
                <w:rFonts w:ascii="Arial" w:hAnsi="Arial" w:cs="Arial"/>
                <w:sz w:val="16"/>
                <w:szCs w:val="16"/>
              </w:rPr>
              <w:t>.</w:t>
            </w:r>
            <w:r w:rsidR="008409D2" w:rsidRPr="00685405">
              <w:rPr>
                <w:rFonts w:ascii="Arial" w:hAnsi="Arial" w:cs="Arial"/>
                <w:sz w:val="16"/>
                <w:szCs w:val="16"/>
              </w:rPr>
              <w:t>0</w:t>
            </w:r>
            <w:r w:rsidR="001B6E36" w:rsidRPr="00685405">
              <w:rPr>
                <w:rFonts w:ascii="Arial" w:hAnsi="Arial" w:cs="Arial"/>
                <w:sz w:val="16"/>
                <w:szCs w:val="16"/>
              </w:rPr>
              <w:t>)</w:t>
            </w:r>
          </w:p>
        </w:tc>
        <w:tc>
          <w:tcPr>
            <w:tcW w:w="1995" w:type="dxa"/>
            <w:vAlign w:val="center"/>
          </w:tcPr>
          <w:p w14:paraId="43248433" w14:textId="77777777" w:rsidR="001B6E36" w:rsidRPr="00685405" w:rsidRDefault="00923950" w:rsidP="0082333F">
            <w:pPr>
              <w:spacing w:line="300" w:lineRule="atLeast"/>
              <w:jc w:val="center"/>
              <w:rPr>
                <w:rFonts w:ascii="Arial" w:hAnsi="Arial" w:cs="Arial"/>
                <w:sz w:val="16"/>
                <w:szCs w:val="16"/>
              </w:rPr>
            </w:pPr>
            <w:r w:rsidRPr="00685405">
              <w:rPr>
                <w:rFonts w:ascii="Arial" w:hAnsi="Arial" w:cs="Arial"/>
                <w:sz w:val="16"/>
                <w:szCs w:val="16"/>
              </w:rPr>
              <w:t>1</w:t>
            </w:r>
            <w:r w:rsidR="0082333F" w:rsidRPr="00685405">
              <w:rPr>
                <w:rFonts w:ascii="Arial" w:hAnsi="Arial" w:cs="Arial"/>
                <w:sz w:val="16"/>
                <w:szCs w:val="16"/>
              </w:rPr>
              <w:t>.2</w:t>
            </w:r>
            <w:r w:rsidR="001B6E36" w:rsidRPr="00685405">
              <w:rPr>
                <w:rFonts w:ascii="Arial" w:hAnsi="Arial" w:cs="Arial"/>
                <w:sz w:val="16"/>
                <w:szCs w:val="16"/>
              </w:rPr>
              <w:t xml:space="preserve"> – </w:t>
            </w:r>
            <w:r w:rsidR="0082333F" w:rsidRPr="00685405">
              <w:rPr>
                <w:rFonts w:ascii="Arial" w:hAnsi="Arial" w:cs="Arial"/>
                <w:sz w:val="16"/>
                <w:szCs w:val="16"/>
              </w:rPr>
              <w:t>2</w:t>
            </w:r>
            <w:r w:rsidR="001B6E36" w:rsidRPr="00685405">
              <w:rPr>
                <w:rFonts w:ascii="Arial" w:hAnsi="Arial" w:cs="Arial"/>
                <w:sz w:val="16"/>
                <w:szCs w:val="16"/>
              </w:rPr>
              <w:t>.</w:t>
            </w:r>
            <w:r w:rsidR="0082333F" w:rsidRPr="00685405">
              <w:rPr>
                <w:rFonts w:ascii="Arial" w:hAnsi="Arial" w:cs="Arial"/>
                <w:sz w:val="16"/>
                <w:szCs w:val="16"/>
              </w:rPr>
              <w:t>4</w:t>
            </w:r>
            <w:r w:rsidRPr="00685405">
              <w:rPr>
                <w:rFonts w:ascii="Arial" w:hAnsi="Arial" w:cs="Arial"/>
                <w:sz w:val="16"/>
                <w:szCs w:val="16"/>
              </w:rPr>
              <w:t xml:space="preserve"> (</w:t>
            </w:r>
            <w:r w:rsidR="0082333F" w:rsidRPr="00685405">
              <w:rPr>
                <w:rFonts w:ascii="Arial" w:hAnsi="Arial" w:cs="Arial"/>
                <w:sz w:val="16"/>
                <w:szCs w:val="16"/>
              </w:rPr>
              <w:t>1</w:t>
            </w:r>
            <w:r w:rsidRPr="00685405">
              <w:rPr>
                <w:rFonts w:ascii="Arial" w:hAnsi="Arial" w:cs="Arial"/>
                <w:sz w:val="16"/>
                <w:szCs w:val="16"/>
              </w:rPr>
              <w:t>.</w:t>
            </w:r>
            <w:r w:rsidR="0082333F" w:rsidRPr="00685405">
              <w:rPr>
                <w:rFonts w:ascii="Arial" w:hAnsi="Arial" w:cs="Arial"/>
                <w:sz w:val="16"/>
                <w:szCs w:val="16"/>
              </w:rPr>
              <w:t>8</w:t>
            </w:r>
            <w:r w:rsidRPr="00685405">
              <w:rPr>
                <w:rFonts w:ascii="Arial" w:hAnsi="Arial" w:cs="Arial"/>
                <w:sz w:val="16"/>
                <w:szCs w:val="16"/>
              </w:rPr>
              <w:t>)</w:t>
            </w:r>
          </w:p>
        </w:tc>
        <w:tc>
          <w:tcPr>
            <w:tcW w:w="2088" w:type="dxa"/>
            <w:vAlign w:val="center"/>
          </w:tcPr>
          <w:p w14:paraId="6AF073DD" w14:textId="7913F8E4" w:rsidR="001B6E36" w:rsidRPr="00685405" w:rsidRDefault="0082333F" w:rsidP="006E7B4B">
            <w:pPr>
              <w:spacing w:line="300" w:lineRule="atLeast"/>
              <w:jc w:val="center"/>
              <w:rPr>
                <w:rFonts w:ascii="Arial" w:hAnsi="Arial" w:cs="Arial"/>
                <w:sz w:val="16"/>
                <w:szCs w:val="16"/>
              </w:rPr>
            </w:pPr>
            <w:r w:rsidRPr="00685405">
              <w:rPr>
                <w:rFonts w:ascii="Arial" w:hAnsi="Arial" w:cs="Arial"/>
                <w:sz w:val="16"/>
                <w:szCs w:val="16"/>
              </w:rPr>
              <w:t>2</w:t>
            </w:r>
            <w:r w:rsidR="00923950" w:rsidRPr="00685405">
              <w:rPr>
                <w:rFonts w:ascii="Arial" w:hAnsi="Arial" w:cs="Arial"/>
                <w:sz w:val="16"/>
                <w:szCs w:val="16"/>
              </w:rPr>
              <w:t>2.</w:t>
            </w:r>
            <w:r w:rsidRPr="00685405">
              <w:rPr>
                <w:rFonts w:ascii="Arial" w:hAnsi="Arial" w:cs="Arial"/>
                <w:sz w:val="16"/>
                <w:szCs w:val="16"/>
              </w:rPr>
              <w:t>8</w:t>
            </w:r>
            <w:r w:rsidR="001B6E36" w:rsidRPr="00685405">
              <w:rPr>
                <w:rFonts w:ascii="Arial" w:hAnsi="Arial" w:cs="Arial"/>
                <w:sz w:val="16"/>
                <w:szCs w:val="16"/>
              </w:rPr>
              <w:t xml:space="preserve"> – </w:t>
            </w:r>
            <w:r w:rsidRPr="00685405">
              <w:rPr>
                <w:rFonts w:ascii="Arial" w:hAnsi="Arial" w:cs="Arial"/>
                <w:sz w:val="16"/>
                <w:szCs w:val="16"/>
              </w:rPr>
              <w:t>45</w:t>
            </w:r>
            <w:r w:rsidR="00923950" w:rsidRPr="00685405">
              <w:rPr>
                <w:rFonts w:ascii="Arial" w:hAnsi="Arial" w:cs="Arial"/>
                <w:sz w:val="16"/>
                <w:szCs w:val="16"/>
              </w:rPr>
              <w:t>.</w:t>
            </w:r>
            <w:r w:rsidR="008409D2" w:rsidRPr="00685405">
              <w:rPr>
                <w:rFonts w:ascii="Arial" w:hAnsi="Arial" w:cs="Arial"/>
                <w:sz w:val="16"/>
                <w:szCs w:val="16"/>
              </w:rPr>
              <w:t>7 (34.2</w:t>
            </w:r>
            <w:r w:rsidR="00923950" w:rsidRPr="00685405">
              <w:rPr>
                <w:rFonts w:ascii="Arial" w:hAnsi="Arial" w:cs="Arial"/>
                <w:sz w:val="16"/>
                <w:szCs w:val="16"/>
              </w:rPr>
              <w:t>)</w:t>
            </w:r>
          </w:p>
        </w:tc>
      </w:tr>
      <w:tr w:rsidR="0043742F" w:rsidRPr="00685405" w14:paraId="651E76D6" w14:textId="77777777" w:rsidTr="0043742F">
        <w:tc>
          <w:tcPr>
            <w:tcW w:w="3073" w:type="dxa"/>
          </w:tcPr>
          <w:p w14:paraId="12AD9ECB" w14:textId="169953EB" w:rsidR="0043742F" w:rsidRPr="001345C5" w:rsidRDefault="0043742F" w:rsidP="00C34A7E">
            <w:pPr>
              <w:spacing w:line="300" w:lineRule="atLeast"/>
              <w:jc w:val="both"/>
              <w:rPr>
                <w:rFonts w:ascii="Arial" w:hAnsi="Arial" w:cs="Arial"/>
                <w:sz w:val="16"/>
                <w:szCs w:val="16"/>
              </w:rPr>
            </w:pPr>
            <w:r w:rsidRPr="00685405">
              <w:rPr>
                <w:rFonts w:ascii="Arial" w:hAnsi="Arial" w:cs="Arial"/>
                <w:sz w:val="16"/>
                <w:szCs w:val="16"/>
              </w:rPr>
              <w:t>All lamps (see details above), 2016</w:t>
            </w:r>
          </w:p>
        </w:tc>
        <w:tc>
          <w:tcPr>
            <w:tcW w:w="2166" w:type="dxa"/>
            <w:vAlign w:val="center"/>
          </w:tcPr>
          <w:p w14:paraId="29B18898" w14:textId="694BA4B6" w:rsidR="0043742F" w:rsidRPr="00685405" w:rsidRDefault="006F0ECC" w:rsidP="0082333F">
            <w:pPr>
              <w:spacing w:line="300" w:lineRule="atLeast"/>
              <w:jc w:val="center"/>
              <w:rPr>
                <w:rFonts w:ascii="Arial" w:hAnsi="Arial" w:cs="Arial"/>
                <w:sz w:val="16"/>
                <w:szCs w:val="16"/>
              </w:rPr>
            </w:pPr>
            <w:r w:rsidRPr="00685405">
              <w:rPr>
                <w:rFonts w:ascii="Arial" w:hAnsi="Arial" w:cs="Arial"/>
                <w:sz w:val="16"/>
                <w:szCs w:val="16"/>
              </w:rPr>
              <w:t>8.16 – 26.5 (17.3</w:t>
            </w:r>
            <w:r w:rsidR="00E13A5B" w:rsidRPr="00685405">
              <w:rPr>
                <w:rFonts w:ascii="Arial" w:hAnsi="Arial" w:cs="Arial"/>
                <w:sz w:val="16"/>
                <w:szCs w:val="16"/>
              </w:rPr>
              <w:t>3</w:t>
            </w:r>
            <w:r w:rsidRPr="00685405">
              <w:rPr>
                <w:rFonts w:ascii="Arial" w:hAnsi="Arial" w:cs="Arial"/>
                <w:sz w:val="16"/>
                <w:szCs w:val="16"/>
              </w:rPr>
              <w:t>)</w:t>
            </w:r>
          </w:p>
        </w:tc>
        <w:tc>
          <w:tcPr>
            <w:tcW w:w="1995" w:type="dxa"/>
            <w:vAlign w:val="center"/>
          </w:tcPr>
          <w:p w14:paraId="1AD20790" w14:textId="1C368958" w:rsidR="0043742F" w:rsidRPr="00685405" w:rsidRDefault="006E7B4B" w:rsidP="006E7B4B">
            <w:pPr>
              <w:spacing w:line="300" w:lineRule="atLeast"/>
              <w:jc w:val="center"/>
              <w:rPr>
                <w:rFonts w:ascii="Arial" w:hAnsi="Arial" w:cs="Arial"/>
                <w:sz w:val="16"/>
                <w:szCs w:val="16"/>
              </w:rPr>
            </w:pPr>
            <w:r w:rsidRPr="00685405">
              <w:rPr>
                <w:rFonts w:ascii="Arial" w:hAnsi="Arial" w:cs="Arial"/>
                <w:sz w:val="16"/>
                <w:szCs w:val="16"/>
              </w:rPr>
              <w:t>0.41 – 1.33 (0.88</w:t>
            </w:r>
            <w:r w:rsidR="0043742F" w:rsidRPr="00685405">
              <w:rPr>
                <w:rFonts w:ascii="Arial" w:hAnsi="Arial" w:cs="Arial"/>
                <w:sz w:val="16"/>
                <w:szCs w:val="16"/>
              </w:rPr>
              <w:t>)</w:t>
            </w:r>
          </w:p>
        </w:tc>
        <w:tc>
          <w:tcPr>
            <w:tcW w:w="2088" w:type="dxa"/>
            <w:vAlign w:val="center"/>
          </w:tcPr>
          <w:p w14:paraId="0678D8B6" w14:textId="51C7CD18" w:rsidR="0043742F" w:rsidRPr="00685405" w:rsidRDefault="006E7B4B" w:rsidP="006E7B4B">
            <w:pPr>
              <w:spacing w:line="300" w:lineRule="atLeast"/>
              <w:jc w:val="center"/>
              <w:rPr>
                <w:rFonts w:ascii="Arial" w:hAnsi="Arial" w:cs="Arial"/>
                <w:sz w:val="16"/>
                <w:szCs w:val="16"/>
              </w:rPr>
            </w:pPr>
            <w:r w:rsidRPr="00685405">
              <w:rPr>
                <w:rFonts w:ascii="Arial" w:hAnsi="Arial" w:cs="Arial"/>
                <w:sz w:val="16"/>
                <w:szCs w:val="16"/>
              </w:rPr>
              <w:t>7.75</w:t>
            </w:r>
            <w:r w:rsidR="0043742F" w:rsidRPr="00685405">
              <w:rPr>
                <w:rFonts w:ascii="Arial" w:hAnsi="Arial" w:cs="Arial"/>
                <w:sz w:val="16"/>
                <w:szCs w:val="16"/>
              </w:rPr>
              <w:t xml:space="preserve"> – </w:t>
            </w:r>
            <w:r w:rsidRPr="00685405">
              <w:rPr>
                <w:rFonts w:ascii="Arial" w:hAnsi="Arial" w:cs="Arial"/>
                <w:sz w:val="16"/>
                <w:szCs w:val="16"/>
              </w:rPr>
              <w:t>25.18</w:t>
            </w:r>
            <w:r w:rsidR="0043742F" w:rsidRPr="00685405">
              <w:rPr>
                <w:rFonts w:ascii="Arial" w:hAnsi="Arial" w:cs="Arial"/>
                <w:sz w:val="16"/>
                <w:szCs w:val="16"/>
              </w:rPr>
              <w:t xml:space="preserve"> (</w:t>
            </w:r>
            <w:r w:rsidRPr="00685405">
              <w:rPr>
                <w:rFonts w:ascii="Arial" w:hAnsi="Arial" w:cs="Arial"/>
                <w:sz w:val="16"/>
                <w:szCs w:val="16"/>
              </w:rPr>
              <w:t>16.47</w:t>
            </w:r>
            <w:r w:rsidR="0043742F" w:rsidRPr="00685405">
              <w:rPr>
                <w:rFonts w:ascii="Arial" w:hAnsi="Arial" w:cs="Arial"/>
                <w:sz w:val="16"/>
                <w:szCs w:val="16"/>
              </w:rPr>
              <w:t>)</w:t>
            </w:r>
          </w:p>
        </w:tc>
      </w:tr>
      <w:tr w:rsidR="001345C5" w:rsidRPr="00685405" w14:paraId="0842BB12" w14:textId="77777777" w:rsidTr="0043742F">
        <w:tc>
          <w:tcPr>
            <w:tcW w:w="3073" w:type="dxa"/>
          </w:tcPr>
          <w:p w14:paraId="3989321B" w14:textId="68B52D3A" w:rsidR="001345C5" w:rsidRPr="001345C5" w:rsidRDefault="001345C5" w:rsidP="00C34A7E">
            <w:pPr>
              <w:spacing w:line="300" w:lineRule="atLeast"/>
              <w:jc w:val="both"/>
              <w:rPr>
                <w:rFonts w:ascii="Arial" w:hAnsi="Arial" w:cs="Arial"/>
                <w:sz w:val="16"/>
                <w:szCs w:val="16"/>
              </w:rPr>
            </w:pPr>
            <w:r>
              <w:rPr>
                <w:rFonts w:ascii="Arial" w:hAnsi="Arial" w:cs="Arial"/>
                <w:sz w:val="16"/>
                <w:szCs w:val="16"/>
              </w:rPr>
              <w:t>All lamps (see details above), 2020</w:t>
            </w:r>
          </w:p>
        </w:tc>
        <w:tc>
          <w:tcPr>
            <w:tcW w:w="2166" w:type="dxa"/>
            <w:vAlign w:val="center"/>
          </w:tcPr>
          <w:p w14:paraId="5F53F9C5" w14:textId="4F75DABE" w:rsidR="001345C5" w:rsidRPr="0086053D" w:rsidRDefault="0082680E" w:rsidP="0082333F">
            <w:pPr>
              <w:spacing w:line="300" w:lineRule="atLeast"/>
              <w:jc w:val="center"/>
              <w:rPr>
                <w:rFonts w:ascii="Arial" w:hAnsi="Arial" w:cs="Arial"/>
                <w:sz w:val="16"/>
                <w:szCs w:val="16"/>
              </w:rPr>
            </w:pPr>
            <w:r>
              <w:rPr>
                <w:rFonts w:ascii="Arial" w:hAnsi="Arial" w:cs="Arial"/>
                <w:sz w:val="16"/>
                <w:szCs w:val="16"/>
              </w:rPr>
              <w:t>6.0</w:t>
            </w:r>
            <w:r w:rsidR="0086053D">
              <w:rPr>
                <w:rFonts w:ascii="Arial" w:hAnsi="Arial" w:cs="Arial"/>
                <w:sz w:val="16"/>
                <w:szCs w:val="16"/>
              </w:rPr>
              <w:t xml:space="preserve"> – </w:t>
            </w:r>
            <w:r w:rsidR="009C2987">
              <w:rPr>
                <w:rFonts w:ascii="Arial" w:hAnsi="Arial" w:cs="Arial"/>
                <w:sz w:val="16"/>
                <w:szCs w:val="16"/>
              </w:rPr>
              <w:t>13.8</w:t>
            </w:r>
            <w:r w:rsidR="0086053D">
              <w:rPr>
                <w:rFonts w:ascii="Arial" w:hAnsi="Arial" w:cs="Arial"/>
                <w:sz w:val="16"/>
                <w:szCs w:val="16"/>
              </w:rPr>
              <w:t xml:space="preserve"> (</w:t>
            </w:r>
            <w:r w:rsidR="009C2987">
              <w:rPr>
                <w:rFonts w:ascii="Arial" w:hAnsi="Arial" w:cs="Arial"/>
                <w:sz w:val="16"/>
                <w:szCs w:val="16"/>
              </w:rPr>
              <w:t>9.</w:t>
            </w:r>
            <w:r w:rsidR="008A2CA8">
              <w:rPr>
                <w:rFonts w:ascii="Arial" w:hAnsi="Arial" w:cs="Arial"/>
                <w:sz w:val="16"/>
                <w:szCs w:val="16"/>
              </w:rPr>
              <w:t>83</w:t>
            </w:r>
            <w:r w:rsidR="0086053D">
              <w:rPr>
                <w:rFonts w:ascii="Arial" w:hAnsi="Arial" w:cs="Arial"/>
                <w:sz w:val="16"/>
                <w:szCs w:val="16"/>
              </w:rPr>
              <w:t>)</w:t>
            </w:r>
          </w:p>
        </w:tc>
        <w:tc>
          <w:tcPr>
            <w:tcW w:w="1995" w:type="dxa"/>
            <w:vAlign w:val="center"/>
          </w:tcPr>
          <w:p w14:paraId="33A1E1BE" w14:textId="2EADAA2A" w:rsidR="001345C5" w:rsidRPr="00A44BC4" w:rsidRDefault="00A44BC4" w:rsidP="006E7B4B">
            <w:pPr>
              <w:spacing w:line="300" w:lineRule="atLeast"/>
              <w:jc w:val="center"/>
              <w:rPr>
                <w:rFonts w:ascii="Arial" w:hAnsi="Arial" w:cs="Arial"/>
                <w:sz w:val="16"/>
                <w:szCs w:val="16"/>
              </w:rPr>
            </w:pPr>
            <w:r>
              <w:rPr>
                <w:rFonts w:ascii="Arial" w:hAnsi="Arial" w:cs="Arial"/>
                <w:sz w:val="16"/>
                <w:szCs w:val="16"/>
              </w:rPr>
              <w:t>0.</w:t>
            </w:r>
            <w:r w:rsidR="009C2987">
              <w:rPr>
                <w:rFonts w:ascii="Arial" w:hAnsi="Arial" w:cs="Arial"/>
                <w:sz w:val="16"/>
                <w:szCs w:val="16"/>
              </w:rPr>
              <w:t>30</w:t>
            </w:r>
            <w:r>
              <w:rPr>
                <w:rFonts w:ascii="Arial" w:hAnsi="Arial" w:cs="Arial"/>
                <w:sz w:val="16"/>
                <w:szCs w:val="16"/>
              </w:rPr>
              <w:t xml:space="preserve"> – 0.</w:t>
            </w:r>
            <w:r w:rsidR="009C2987">
              <w:rPr>
                <w:rFonts w:ascii="Arial" w:hAnsi="Arial" w:cs="Arial"/>
                <w:sz w:val="16"/>
                <w:szCs w:val="16"/>
              </w:rPr>
              <w:t>69</w:t>
            </w:r>
            <w:r>
              <w:rPr>
                <w:rFonts w:ascii="Arial" w:hAnsi="Arial" w:cs="Arial"/>
                <w:sz w:val="16"/>
                <w:szCs w:val="16"/>
              </w:rPr>
              <w:t xml:space="preserve"> (0.5</w:t>
            </w:r>
            <w:r w:rsidR="009C2987">
              <w:rPr>
                <w:rFonts w:ascii="Arial" w:hAnsi="Arial" w:cs="Arial"/>
                <w:sz w:val="16"/>
                <w:szCs w:val="16"/>
              </w:rPr>
              <w:t>0</w:t>
            </w:r>
            <w:r>
              <w:rPr>
                <w:rFonts w:ascii="Arial" w:hAnsi="Arial" w:cs="Arial"/>
                <w:sz w:val="16"/>
                <w:szCs w:val="16"/>
              </w:rPr>
              <w:t>)</w:t>
            </w:r>
          </w:p>
        </w:tc>
        <w:tc>
          <w:tcPr>
            <w:tcW w:w="2088" w:type="dxa"/>
            <w:vAlign w:val="center"/>
          </w:tcPr>
          <w:p w14:paraId="645E146E" w14:textId="0198DFDD" w:rsidR="001345C5" w:rsidRPr="00A44BC4" w:rsidRDefault="00A44BC4" w:rsidP="006E7B4B">
            <w:pPr>
              <w:spacing w:line="300" w:lineRule="atLeast"/>
              <w:jc w:val="center"/>
              <w:rPr>
                <w:rFonts w:ascii="Arial" w:hAnsi="Arial" w:cs="Arial"/>
                <w:sz w:val="16"/>
                <w:szCs w:val="16"/>
              </w:rPr>
            </w:pPr>
            <w:r>
              <w:rPr>
                <w:rFonts w:ascii="Arial" w:hAnsi="Arial" w:cs="Arial"/>
                <w:sz w:val="16"/>
                <w:szCs w:val="16"/>
              </w:rPr>
              <w:t>5.</w:t>
            </w:r>
            <w:r w:rsidR="009C2987">
              <w:rPr>
                <w:rFonts w:ascii="Arial" w:hAnsi="Arial" w:cs="Arial"/>
                <w:sz w:val="16"/>
                <w:szCs w:val="16"/>
              </w:rPr>
              <w:t>71</w:t>
            </w:r>
            <w:r>
              <w:rPr>
                <w:rFonts w:ascii="Arial" w:hAnsi="Arial" w:cs="Arial"/>
                <w:sz w:val="16"/>
                <w:szCs w:val="16"/>
              </w:rPr>
              <w:t xml:space="preserve"> – 1</w:t>
            </w:r>
            <w:r w:rsidR="009C2987">
              <w:rPr>
                <w:rFonts w:ascii="Arial" w:hAnsi="Arial" w:cs="Arial"/>
                <w:sz w:val="16"/>
                <w:szCs w:val="16"/>
              </w:rPr>
              <w:t>3.1</w:t>
            </w:r>
            <w:r>
              <w:rPr>
                <w:rFonts w:ascii="Arial" w:hAnsi="Arial" w:cs="Arial"/>
                <w:sz w:val="16"/>
                <w:szCs w:val="16"/>
              </w:rPr>
              <w:t xml:space="preserve"> (</w:t>
            </w:r>
            <w:r w:rsidR="009C2987">
              <w:rPr>
                <w:rFonts w:ascii="Arial" w:hAnsi="Arial" w:cs="Arial"/>
                <w:sz w:val="16"/>
                <w:szCs w:val="16"/>
              </w:rPr>
              <w:t>9.</w:t>
            </w:r>
            <w:r w:rsidR="008A2CA8">
              <w:rPr>
                <w:rFonts w:ascii="Arial" w:hAnsi="Arial" w:cs="Arial"/>
                <w:sz w:val="16"/>
                <w:szCs w:val="16"/>
              </w:rPr>
              <w:t>3</w:t>
            </w:r>
            <w:r>
              <w:rPr>
                <w:rFonts w:ascii="Arial" w:hAnsi="Arial" w:cs="Arial"/>
                <w:sz w:val="16"/>
                <w:szCs w:val="16"/>
              </w:rPr>
              <w:t>)</w:t>
            </w:r>
          </w:p>
        </w:tc>
      </w:tr>
      <w:tr w:rsidR="004E7599" w:rsidRPr="00685405" w14:paraId="18EB750F" w14:textId="77777777" w:rsidTr="0043742F">
        <w:tc>
          <w:tcPr>
            <w:tcW w:w="3073" w:type="dxa"/>
          </w:tcPr>
          <w:p w14:paraId="464CF4FA" w14:textId="22480576" w:rsidR="004E7599" w:rsidRDefault="004E7599" w:rsidP="00C34A7E">
            <w:pPr>
              <w:spacing w:line="300" w:lineRule="atLeast"/>
              <w:jc w:val="both"/>
              <w:rPr>
                <w:rFonts w:ascii="Arial" w:hAnsi="Arial" w:cs="Arial"/>
                <w:sz w:val="16"/>
                <w:szCs w:val="16"/>
              </w:rPr>
            </w:pPr>
            <w:r>
              <w:rPr>
                <w:rFonts w:ascii="Arial" w:hAnsi="Arial" w:cs="Arial"/>
                <w:sz w:val="16"/>
                <w:szCs w:val="16"/>
              </w:rPr>
              <w:t>All lamps (see details above), 2024</w:t>
            </w:r>
          </w:p>
        </w:tc>
        <w:tc>
          <w:tcPr>
            <w:tcW w:w="2166" w:type="dxa"/>
            <w:vAlign w:val="center"/>
          </w:tcPr>
          <w:p w14:paraId="115EFE54" w14:textId="7A4BBB4A" w:rsidR="004E7599" w:rsidRDefault="004E7599" w:rsidP="0082333F">
            <w:pPr>
              <w:spacing w:line="300" w:lineRule="atLeast"/>
              <w:jc w:val="center"/>
              <w:rPr>
                <w:rFonts w:ascii="Arial" w:hAnsi="Arial" w:cs="Arial"/>
                <w:sz w:val="16"/>
                <w:szCs w:val="16"/>
              </w:rPr>
            </w:pPr>
            <w:r>
              <w:rPr>
                <w:rFonts w:ascii="Arial" w:hAnsi="Arial" w:cs="Arial"/>
                <w:sz w:val="16"/>
                <w:szCs w:val="16"/>
              </w:rPr>
              <w:t>2.</w:t>
            </w:r>
            <w:r w:rsidR="00920F6F">
              <w:rPr>
                <w:rFonts w:ascii="Arial" w:hAnsi="Arial" w:cs="Arial"/>
                <w:sz w:val="16"/>
                <w:szCs w:val="16"/>
              </w:rPr>
              <w:t>4</w:t>
            </w:r>
            <w:r>
              <w:rPr>
                <w:rFonts w:ascii="Arial" w:hAnsi="Arial" w:cs="Arial"/>
                <w:sz w:val="16"/>
                <w:szCs w:val="16"/>
              </w:rPr>
              <w:t xml:space="preserve"> – 8.1</w:t>
            </w:r>
            <w:r w:rsidR="00961F17">
              <w:rPr>
                <w:rFonts w:ascii="Arial" w:hAnsi="Arial" w:cs="Arial"/>
                <w:sz w:val="16"/>
                <w:szCs w:val="16"/>
              </w:rPr>
              <w:t xml:space="preserve"> (5.25)</w:t>
            </w:r>
          </w:p>
        </w:tc>
        <w:tc>
          <w:tcPr>
            <w:tcW w:w="1995" w:type="dxa"/>
            <w:vAlign w:val="center"/>
          </w:tcPr>
          <w:p w14:paraId="044F9863" w14:textId="5DB02C83" w:rsidR="004E7599" w:rsidRDefault="00961F17" w:rsidP="006E7B4B">
            <w:pPr>
              <w:spacing w:line="300" w:lineRule="atLeast"/>
              <w:jc w:val="center"/>
              <w:rPr>
                <w:rFonts w:ascii="Arial" w:hAnsi="Arial" w:cs="Arial"/>
                <w:sz w:val="16"/>
                <w:szCs w:val="16"/>
              </w:rPr>
            </w:pPr>
            <w:r>
              <w:rPr>
                <w:rFonts w:ascii="Arial" w:hAnsi="Arial" w:cs="Arial"/>
                <w:sz w:val="16"/>
                <w:szCs w:val="16"/>
              </w:rPr>
              <w:t>0.1</w:t>
            </w:r>
            <w:r w:rsidR="00920F6F">
              <w:rPr>
                <w:rFonts w:ascii="Arial" w:hAnsi="Arial" w:cs="Arial"/>
                <w:sz w:val="16"/>
                <w:szCs w:val="16"/>
              </w:rPr>
              <w:t>2</w:t>
            </w:r>
            <w:r>
              <w:rPr>
                <w:rFonts w:ascii="Arial" w:hAnsi="Arial" w:cs="Arial"/>
                <w:sz w:val="16"/>
                <w:szCs w:val="16"/>
              </w:rPr>
              <w:t xml:space="preserve"> – 0.4</w:t>
            </w:r>
            <w:r w:rsidR="00920F6F">
              <w:rPr>
                <w:rFonts w:ascii="Arial" w:hAnsi="Arial" w:cs="Arial"/>
                <w:sz w:val="16"/>
                <w:szCs w:val="16"/>
              </w:rPr>
              <w:t>1</w:t>
            </w:r>
            <w:r>
              <w:rPr>
                <w:rFonts w:ascii="Arial" w:hAnsi="Arial" w:cs="Arial"/>
                <w:sz w:val="16"/>
                <w:szCs w:val="16"/>
              </w:rPr>
              <w:t xml:space="preserve"> (0.26)</w:t>
            </w:r>
          </w:p>
        </w:tc>
        <w:tc>
          <w:tcPr>
            <w:tcW w:w="2088" w:type="dxa"/>
            <w:vAlign w:val="center"/>
          </w:tcPr>
          <w:p w14:paraId="7C95C675" w14:textId="049DDDB7" w:rsidR="004E7599" w:rsidRDefault="00961F17" w:rsidP="006E7B4B">
            <w:pPr>
              <w:spacing w:line="300" w:lineRule="atLeast"/>
              <w:jc w:val="center"/>
              <w:rPr>
                <w:rFonts w:ascii="Arial" w:hAnsi="Arial" w:cs="Arial"/>
                <w:sz w:val="16"/>
                <w:szCs w:val="16"/>
              </w:rPr>
            </w:pPr>
            <w:r>
              <w:rPr>
                <w:rFonts w:ascii="Arial" w:hAnsi="Arial" w:cs="Arial"/>
                <w:sz w:val="16"/>
                <w:szCs w:val="16"/>
              </w:rPr>
              <w:t>2.2</w:t>
            </w:r>
            <w:r w:rsidR="0062356D">
              <w:rPr>
                <w:rFonts w:ascii="Arial" w:hAnsi="Arial" w:cs="Arial"/>
                <w:sz w:val="16"/>
                <w:szCs w:val="16"/>
              </w:rPr>
              <w:t>7</w:t>
            </w:r>
            <w:r>
              <w:rPr>
                <w:rFonts w:ascii="Arial" w:hAnsi="Arial" w:cs="Arial"/>
                <w:sz w:val="16"/>
                <w:szCs w:val="16"/>
              </w:rPr>
              <w:t xml:space="preserve"> – 7.7</w:t>
            </w:r>
            <w:r w:rsidR="0062356D">
              <w:rPr>
                <w:rFonts w:ascii="Arial" w:hAnsi="Arial" w:cs="Arial"/>
                <w:sz w:val="16"/>
                <w:szCs w:val="16"/>
              </w:rPr>
              <w:t>1</w:t>
            </w:r>
            <w:r>
              <w:rPr>
                <w:rFonts w:ascii="Arial" w:hAnsi="Arial" w:cs="Arial"/>
                <w:sz w:val="16"/>
                <w:szCs w:val="16"/>
              </w:rPr>
              <w:t xml:space="preserve"> (4.9</w:t>
            </w:r>
            <w:r w:rsidR="0062356D">
              <w:rPr>
                <w:rFonts w:ascii="Arial" w:hAnsi="Arial" w:cs="Arial"/>
                <w:sz w:val="16"/>
                <w:szCs w:val="16"/>
              </w:rPr>
              <w:t>9</w:t>
            </w:r>
            <w:r>
              <w:rPr>
                <w:rFonts w:ascii="Arial" w:hAnsi="Arial" w:cs="Arial"/>
                <w:sz w:val="16"/>
                <w:szCs w:val="16"/>
              </w:rPr>
              <w:t>)</w:t>
            </w:r>
          </w:p>
        </w:tc>
      </w:tr>
    </w:tbl>
    <w:p w14:paraId="33AEEB3C" w14:textId="77777777" w:rsidR="00AD5485" w:rsidRPr="00685405" w:rsidRDefault="00AD5485" w:rsidP="00AD5485">
      <w:pPr>
        <w:tabs>
          <w:tab w:val="left" w:pos="2760"/>
        </w:tabs>
        <w:spacing w:before="120" w:line="300" w:lineRule="atLeast"/>
        <w:jc w:val="both"/>
        <w:rPr>
          <w:rFonts w:ascii="Arial" w:hAnsi="Arial" w:cs="Arial"/>
          <w:b/>
          <w:szCs w:val="18"/>
        </w:rPr>
      </w:pPr>
      <w:r w:rsidRPr="00685405">
        <w:rPr>
          <w:rFonts w:ascii="Arial" w:hAnsi="Arial" w:cs="Arial"/>
          <w:b/>
          <w:szCs w:val="18"/>
        </w:rPr>
        <w:t>Certainty assessment</w:t>
      </w:r>
    </w:p>
    <w:p w14:paraId="5883269A" w14:textId="77777777" w:rsidR="00AD5485" w:rsidRPr="00685405" w:rsidRDefault="00AD5485" w:rsidP="00AD5485">
      <w:pPr>
        <w:tabs>
          <w:tab w:val="left" w:pos="1701"/>
        </w:tabs>
        <w:spacing w:line="300" w:lineRule="atLeast"/>
        <w:jc w:val="both"/>
        <w:rPr>
          <w:szCs w:val="18"/>
        </w:rPr>
      </w:pPr>
      <w:r w:rsidRPr="00685405">
        <w:rPr>
          <w:szCs w:val="18"/>
        </w:rPr>
        <w:t xml:space="preserve">Activity data: </w:t>
      </w:r>
      <w:r w:rsidRPr="00685405">
        <w:rPr>
          <w:szCs w:val="18"/>
        </w:rPr>
        <w:tab/>
        <w:t xml:space="preserve">HIGH (because it is based on national </w:t>
      </w:r>
      <w:r w:rsidR="008A45A0" w:rsidRPr="00685405">
        <w:rPr>
          <w:szCs w:val="18"/>
        </w:rPr>
        <w:t>import data</w:t>
      </w:r>
      <w:r w:rsidRPr="00685405">
        <w:rPr>
          <w:szCs w:val="18"/>
        </w:rPr>
        <w:t>)</w:t>
      </w:r>
    </w:p>
    <w:p w14:paraId="3A6CB890" w14:textId="77777777" w:rsidR="00AD5485" w:rsidRPr="00685405" w:rsidRDefault="00AD5485" w:rsidP="00AD5485">
      <w:pPr>
        <w:tabs>
          <w:tab w:val="left" w:pos="1701"/>
        </w:tabs>
        <w:spacing w:line="300" w:lineRule="atLeast"/>
        <w:jc w:val="both"/>
        <w:rPr>
          <w:szCs w:val="18"/>
        </w:rPr>
      </w:pPr>
      <w:r w:rsidRPr="00685405">
        <w:rPr>
          <w:szCs w:val="18"/>
        </w:rPr>
        <w:t xml:space="preserve">Input estimates: </w:t>
      </w:r>
      <w:r w:rsidRPr="00685405">
        <w:rPr>
          <w:szCs w:val="18"/>
        </w:rPr>
        <w:tab/>
      </w:r>
      <w:r w:rsidR="008A45A0" w:rsidRPr="00685405">
        <w:rPr>
          <w:szCs w:val="18"/>
        </w:rPr>
        <w:t>MEDIUM</w:t>
      </w:r>
      <w:r w:rsidRPr="00685405">
        <w:rPr>
          <w:szCs w:val="18"/>
        </w:rPr>
        <w:t xml:space="preserve"> (because they are based on </w:t>
      </w:r>
      <w:r w:rsidR="008A45A0" w:rsidRPr="00685405">
        <w:rPr>
          <w:szCs w:val="18"/>
        </w:rPr>
        <w:t>published data and industry estimates</w:t>
      </w:r>
      <w:r w:rsidRPr="00685405">
        <w:rPr>
          <w:szCs w:val="18"/>
        </w:rPr>
        <w:t>)</w:t>
      </w:r>
    </w:p>
    <w:p w14:paraId="77F14540" w14:textId="77777777" w:rsidR="00AD5485" w:rsidRPr="00685405" w:rsidRDefault="00AD5485" w:rsidP="00AD5485">
      <w:pPr>
        <w:tabs>
          <w:tab w:val="left" w:pos="1701"/>
        </w:tabs>
        <w:spacing w:line="300" w:lineRule="atLeast"/>
        <w:jc w:val="both"/>
        <w:rPr>
          <w:szCs w:val="18"/>
        </w:rPr>
      </w:pPr>
      <w:r w:rsidRPr="00685405">
        <w:rPr>
          <w:szCs w:val="18"/>
        </w:rPr>
        <w:t xml:space="preserve">Output estimates: </w:t>
      </w:r>
      <w:r w:rsidRPr="00685405">
        <w:rPr>
          <w:szCs w:val="18"/>
        </w:rPr>
        <w:tab/>
        <w:t>LOW (because they are based on the Toolkit default factors).</w:t>
      </w:r>
    </w:p>
    <w:p w14:paraId="7DFA9963" w14:textId="77777777" w:rsidR="005F4E22" w:rsidRPr="002F2268" w:rsidRDefault="005F4E22" w:rsidP="005F4E22">
      <w:pPr>
        <w:pStyle w:val="Heading2"/>
      </w:pPr>
      <w:bookmarkStart w:id="100" w:name="_Toc110355539"/>
      <w:r w:rsidRPr="002F2268">
        <w:t>Light sources (LCD screens)</w:t>
      </w:r>
      <w:bookmarkEnd w:id="100"/>
    </w:p>
    <w:p w14:paraId="7EC0737A" w14:textId="0286D8C6" w:rsidR="0043742F" w:rsidRPr="002F2268" w:rsidRDefault="0043742F" w:rsidP="0043742F">
      <w:pPr>
        <w:spacing w:line="300" w:lineRule="atLeast"/>
        <w:jc w:val="both"/>
        <w:rPr>
          <w:szCs w:val="18"/>
        </w:rPr>
      </w:pPr>
      <w:r w:rsidRPr="002F2268">
        <w:rPr>
          <w:szCs w:val="18"/>
        </w:rPr>
        <w:t>LCD screens containing cold cathode fluorescent lamps (CCFLs) as the lighting source were considered a significant source of mercury for the 2012 Mercury Inventory. The intervening years have seen a period of rapid technological growth where light emitting diode (LED) lighting has completely replaced CCFL lighting in LCD television screens and computer monitors</w:t>
      </w:r>
    </w:p>
    <w:p w14:paraId="0F357286" w14:textId="485FD74C" w:rsidR="0043742F" w:rsidRDefault="0043742F" w:rsidP="0043742F">
      <w:pPr>
        <w:spacing w:line="300" w:lineRule="atLeast"/>
        <w:jc w:val="both"/>
        <w:rPr>
          <w:szCs w:val="18"/>
        </w:rPr>
      </w:pPr>
      <w:r w:rsidRPr="002F2268">
        <w:rPr>
          <w:szCs w:val="18"/>
        </w:rPr>
        <w:t>Because LEDs are mercury free, television screens and computer monitors need no longer be considered as a continuing source of mercury inputs.</w:t>
      </w:r>
      <w:r w:rsidRPr="0043742F">
        <w:rPr>
          <w:szCs w:val="18"/>
        </w:rPr>
        <w:t xml:space="preserve"> </w:t>
      </w:r>
    </w:p>
    <w:p w14:paraId="63152D35" w14:textId="77777777" w:rsidR="00700CDE" w:rsidRPr="0060459D" w:rsidRDefault="00700CDE" w:rsidP="00700CDE">
      <w:pPr>
        <w:pStyle w:val="Heading2"/>
      </w:pPr>
      <w:bookmarkStart w:id="101" w:name="_Toc110355540"/>
      <w:r w:rsidRPr="0060459D">
        <w:t>Batteries</w:t>
      </w:r>
      <w:bookmarkEnd w:id="101"/>
    </w:p>
    <w:p w14:paraId="75A66CBC" w14:textId="3CD79470" w:rsidR="003454A9" w:rsidRPr="003454A9" w:rsidRDefault="00EB17C1" w:rsidP="003454A9">
      <w:pPr>
        <w:spacing w:line="300" w:lineRule="atLeast"/>
        <w:jc w:val="both"/>
        <w:rPr>
          <w:szCs w:val="18"/>
        </w:rPr>
      </w:pPr>
      <w:r>
        <w:rPr>
          <w:szCs w:val="18"/>
        </w:rPr>
        <w:t>Historically m</w:t>
      </w:r>
      <w:r w:rsidR="003454A9" w:rsidRPr="003454A9">
        <w:rPr>
          <w:szCs w:val="18"/>
        </w:rPr>
        <w:t xml:space="preserve">ercury </w:t>
      </w:r>
      <w:r>
        <w:rPr>
          <w:szCs w:val="18"/>
        </w:rPr>
        <w:t>wa</w:t>
      </w:r>
      <w:r w:rsidR="003454A9" w:rsidRPr="003454A9">
        <w:rPr>
          <w:szCs w:val="18"/>
        </w:rPr>
        <w:t xml:space="preserve">s added to batteries for technical reasons such as the prevention of </w:t>
      </w:r>
      <w:r w:rsidR="00483F02">
        <w:rPr>
          <w:szCs w:val="18"/>
        </w:rPr>
        <w:t xml:space="preserve">hydrogen </w:t>
      </w:r>
      <w:r w:rsidR="003454A9" w:rsidRPr="003454A9">
        <w:rPr>
          <w:szCs w:val="18"/>
        </w:rPr>
        <w:t xml:space="preserve">gas production </w:t>
      </w:r>
      <w:r w:rsidR="00483F02">
        <w:rPr>
          <w:szCs w:val="18"/>
        </w:rPr>
        <w:t xml:space="preserve">which can cause </w:t>
      </w:r>
      <w:r>
        <w:rPr>
          <w:szCs w:val="18"/>
        </w:rPr>
        <w:t>bulging and leaking.</w:t>
      </w:r>
      <w:r w:rsidR="003454A9" w:rsidRPr="003454A9">
        <w:rPr>
          <w:szCs w:val="18"/>
        </w:rPr>
        <w:t xml:space="preserve"> </w:t>
      </w:r>
      <w:r>
        <w:rPr>
          <w:szCs w:val="18"/>
        </w:rPr>
        <w:t>I</w:t>
      </w:r>
      <w:r w:rsidR="003454A9" w:rsidRPr="003454A9">
        <w:rPr>
          <w:szCs w:val="18"/>
        </w:rPr>
        <w:t>n mercury oxide cells it is a major active ingredient account</w:t>
      </w:r>
      <w:r w:rsidR="003454A9">
        <w:rPr>
          <w:szCs w:val="18"/>
        </w:rPr>
        <w:t xml:space="preserve">ing for 32% of battery weight. Its uses </w:t>
      </w:r>
      <w:r>
        <w:rPr>
          <w:szCs w:val="18"/>
        </w:rPr>
        <w:t xml:space="preserve">have been </w:t>
      </w:r>
      <w:r w:rsidR="003454A9" w:rsidRPr="003454A9">
        <w:rPr>
          <w:szCs w:val="18"/>
        </w:rPr>
        <w:t xml:space="preserve">predominantly restricted to </w:t>
      </w:r>
      <w:r w:rsidR="00A90C86">
        <w:rPr>
          <w:szCs w:val="18"/>
        </w:rPr>
        <w:t xml:space="preserve">primary batteries, that is </w:t>
      </w:r>
      <w:r w:rsidR="003454A9">
        <w:rPr>
          <w:szCs w:val="18"/>
        </w:rPr>
        <w:t>batteries</w:t>
      </w:r>
      <w:r w:rsidR="00A90C86">
        <w:rPr>
          <w:szCs w:val="18"/>
        </w:rPr>
        <w:t xml:space="preserve"> which are not recharg</w:t>
      </w:r>
      <w:r w:rsidR="009D6D91">
        <w:rPr>
          <w:szCs w:val="18"/>
        </w:rPr>
        <w:t>e</w:t>
      </w:r>
      <w:r w:rsidR="00A90C86">
        <w:rPr>
          <w:szCs w:val="18"/>
        </w:rPr>
        <w:t>able</w:t>
      </w:r>
      <w:r w:rsidR="003454A9">
        <w:rPr>
          <w:szCs w:val="18"/>
        </w:rPr>
        <w:t xml:space="preserve"> (UNEP, </w:t>
      </w:r>
      <w:r w:rsidR="004850C0">
        <w:rPr>
          <w:szCs w:val="18"/>
        </w:rPr>
        <w:t>2023</w:t>
      </w:r>
      <w:r w:rsidR="003454A9">
        <w:rPr>
          <w:szCs w:val="18"/>
        </w:rPr>
        <w:t>).</w:t>
      </w:r>
    </w:p>
    <w:p w14:paraId="48BDAA71" w14:textId="00C12131" w:rsidR="002B3859" w:rsidRDefault="003454A9" w:rsidP="003454A9">
      <w:pPr>
        <w:spacing w:line="300" w:lineRule="atLeast"/>
        <w:jc w:val="both"/>
        <w:rPr>
          <w:szCs w:val="18"/>
        </w:rPr>
      </w:pPr>
      <w:r w:rsidRPr="003454A9">
        <w:rPr>
          <w:szCs w:val="18"/>
        </w:rPr>
        <w:t xml:space="preserve">The </w:t>
      </w:r>
      <w:r w:rsidR="00127C60">
        <w:rPr>
          <w:szCs w:val="18"/>
        </w:rPr>
        <w:t>Statistics Ne</w:t>
      </w:r>
      <w:r w:rsidR="002B3859">
        <w:rPr>
          <w:szCs w:val="18"/>
        </w:rPr>
        <w:t>w</w:t>
      </w:r>
      <w:r w:rsidR="00127C60">
        <w:rPr>
          <w:szCs w:val="18"/>
        </w:rPr>
        <w:t xml:space="preserve"> Zealand</w:t>
      </w:r>
      <w:r w:rsidR="002B3859">
        <w:rPr>
          <w:szCs w:val="18"/>
        </w:rPr>
        <w:t>’s</w:t>
      </w:r>
      <w:r w:rsidR="00127C60">
        <w:rPr>
          <w:szCs w:val="18"/>
        </w:rPr>
        <w:t xml:space="preserve"> Infoshare </w:t>
      </w:r>
      <w:r w:rsidR="002B3859">
        <w:rPr>
          <w:szCs w:val="18"/>
        </w:rPr>
        <w:t>site</w:t>
      </w:r>
      <w:r w:rsidR="00127C60">
        <w:rPr>
          <w:szCs w:val="18"/>
        </w:rPr>
        <w:t xml:space="preserve"> show</w:t>
      </w:r>
      <w:r w:rsidR="002B3859">
        <w:rPr>
          <w:szCs w:val="18"/>
        </w:rPr>
        <w:t>s</w:t>
      </w:r>
      <w:r w:rsidR="00127C60">
        <w:rPr>
          <w:szCs w:val="18"/>
        </w:rPr>
        <w:t xml:space="preserve"> that approximately 72 million primary batteries were imported into New Zealand in 2024. </w:t>
      </w:r>
      <w:r w:rsidR="002B3859">
        <w:rPr>
          <w:szCs w:val="18"/>
        </w:rPr>
        <w:t>Of this total about 18% comprise non-alkaline z</w:t>
      </w:r>
      <w:r w:rsidR="00127C60">
        <w:rPr>
          <w:szCs w:val="18"/>
        </w:rPr>
        <w:t xml:space="preserve">inc carbon </w:t>
      </w:r>
      <w:r w:rsidRPr="003454A9">
        <w:rPr>
          <w:szCs w:val="18"/>
        </w:rPr>
        <w:t>batteries</w:t>
      </w:r>
      <w:r w:rsidR="00A90C86">
        <w:rPr>
          <w:szCs w:val="18"/>
        </w:rPr>
        <w:t xml:space="preserve"> </w:t>
      </w:r>
      <w:r w:rsidR="00BF7687">
        <w:rPr>
          <w:szCs w:val="18"/>
        </w:rPr>
        <w:t xml:space="preserve">(typically </w:t>
      </w:r>
      <w:r w:rsidR="00A90C86">
        <w:rPr>
          <w:szCs w:val="18"/>
        </w:rPr>
        <w:t>cylindrical AA and AAA and rectangular 9V types</w:t>
      </w:r>
      <w:r w:rsidR="00BF7687">
        <w:rPr>
          <w:szCs w:val="18"/>
        </w:rPr>
        <w:t>)</w:t>
      </w:r>
      <w:r w:rsidRPr="003454A9">
        <w:rPr>
          <w:szCs w:val="18"/>
        </w:rPr>
        <w:t xml:space="preserve"> </w:t>
      </w:r>
      <w:r w:rsidR="002B3859">
        <w:rPr>
          <w:szCs w:val="18"/>
        </w:rPr>
        <w:t xml:space="preserve">and lithium batteries </w:t>
      </w:r>
      <w:r w:rsidR="00BF7687">
        <w:rPr>
          <w:szCs w:val="18"/>
        </w:rPr>
        <w:t xml:space="preserve">both of which </w:t>
      </w:r>
      <w:r w:rsidR="002B3859">
        <w:rPr>
          <w:szCs w:val="18"/>
        </w:rPr>
        <w:t xml:space="preserve">are </w:t>
      </w:r>
      <w:r w:rsidR="00084F34">
        <w:rPr>
          <w:szCs w:val="18"/>
        </w:rPr>
        <w:t>acknowledged to be mercury free globally.</w:t>
      </w:r>
    </w:p>
    <w:p w14:paraId="2245ABFC" w14:textId="4FC087DF" w:rsidR="002B3859" w:rsidRDefault="002B3859" w:rsidP="003454A9">
      <w:pPr>
        <w:spacing w:line="300" w:lineRule="atLeast"/>
        <w:jc w:val="both"/>
        <w:rPr>
          <w:szCs w:val="18"/>
        </w:rPr>
      </w:pPr>
      <w:r>
        <w:rPr>
          <w:szCs w:val="18"/>
        </w:rPr>
        <w:t>The remaining 59 million batteries may contain mercury at trace to more significant levels</w:t>
      </w:r>
      <w:r w:rsidR="00BF7687">
        <w:rPr>
          <w:szCs w:val="18"/>
        </w:rPr>
        <w:t>. They</w:t>
      </w:r>
      <w:r>
        <w:rPr>
          <w:szCs w:val="18"/>
        </w:rPr>
        <w:t xml:space="preserve"> have the following distribution:</w:t>
      </w:r>
    </w:p>
    <w:p w14:paraId="33293B6F" w14:textId="11A95C3E" w:rsidR="002B3859" w:rsidRDefault="002B3859" w:rsidP="002B3859">
      <w:pPr>
        <w:pStyle w:val="ListParagraph"/>
        <w:numPr>
          <w:ilvl w:val="0"/>
          <w:numId w:val="43"/>
        </w:numPr>
        <w:spacing w:line="300" w:lineRule="atLeast"/>
        <w:jc w:val="both"/>
        <w:rPr>
          <w:szCs w:val="18"/>
        </w:rPr>
      </w:pPr>
      <w:r>
        <w:rPr>
          <w:szCs w:val="18"/>
        </w:rPr>
        <w:t xml:space="preserve">About 76% are alkaline manganese dioxide </w:t>
      </w:r>
      <w:r w:rsidR="00084F34">
        <w:rPr>
          <w:szCs w:val="18"/>
        </w:rPr>
        <w:t xml:space="preserve">composition and like the zinc carbon batteries are typically sold as </w:t>
      </w:r>
      <w:r w:rsidR="00C115D6">
        <w:rPr>
          <w:szCs w:val="18"/>
        </w:rPr>
        <w:t xml:space="preserve">cylindrical </w:t>
      </w:r>
      <w:r w:rsidR="00084F34">
        <w:rPr>
          <w:szCs w:val="18"/>
        </w:rPr>
        <w:t>AA, AAA and rectangular 9V products</w:t>
      </w:r>
    </w:p>
    <w:p w14:paraId="3290E20E" w14:textId="15B7E3ED" w:rsidR="00084F34" w:rsidRDefault="00084F34" w:rsidP="002B3859">
      <w:pPr>
        <w:pStyle w:val="ListParagraph"/>
        <w:numPr>
          <w:ilvl w:val="0"/>
          <w:numId w:val="43"/>
        </w:numPr>
        <w:spacing w:line="300" w:lineRule="atLeast"/>
        <w:jc w:val="both"/>
        <w:rPr>
          <w:szCs w:val="18"/>
        </w:rPr>
      </w:pPr>
      <w:r>
        <w:rPr>
          <w:szCs w:val="18"/>
        </w:rPr>
        <w:t>About 15% are alkaline button batteries</w:t>
      </w:r>
      <w:r w:rsidR="00EB17C1">
        <w:rPr>
          <w:szCs w:val="18"/>
        </w:rPr>
        <w:t xml:space="preserve"> used in products like digital thermometers and calculators</w:t>
      </w:r>
      <w:r>
        <w:rPr>
          <w:szCs w:val="18"/>
        </w:rPr>
        <w:t xml:space="preserve">.  </w:t>
      </w:r>
    </w:p>
    <w:p w14:paraId="0EB41C0A" w14:textId="212D8BB7" w:rsidR="00084F34" w:rsidRDefault="00084F34" w:rsidP="002B3859">
      <w:pPr>
        <w:pStyle w:val="ListParagraph"/>
        <w:numPr>
          <w:ilvl w:val="0"/>
          <w:numId w:val="43"/>
        </w:numPr>
        <w:spacing w:line="300" w:lineRule="atLeast"/>
        <w:jc w:val="both"/>
        <w:rPr>
          <w:szCs w:val="18"/>
        </w:rPr>
      </w:pPr>
      <w:r>
        <w:rPr>
          <w:szCs w:val="18"/>
        </w:rPr>
        <w:t xml:space="preserve">About 7% are air zinc </w:t>
      </w:r>
      <w:r w:rsidR="00BF7687">
        <w:rPr>
          <w:szCs w:val="18"/>
        </w:rPr>
        <w:t xml:space="preserve">button </w:t>
      </w:r>
      <w:r>
        <w:rPr>
          <w:szCs w:val="18"/>
        </w:rPr>
        <w:t xml:space="preserve">batteries </w:t>
      </w:r>
      <w:r w:rsidRPr="003454A9">
        <w:rPr>
          <w:szCs w:val="18"/>
        </w:rPr>
        <w:t>predominantly</w:t>
      </w:r>
      <w:r w:rsidR="00EB17C1">
        <w:rPr>
          <w:szCs w:val="18"/>
        </w:rPr>
        <w:t xml:space="preserve"> used</w:t>
      </w:r>
      <w:r w:rsidRPr="003454A9">
        <w:rPr>
          <w:szCs w:val="18"/>
        </w:rPr>
        <w:t xml:space="preserve"> in</w:t>
      </w:r>
      <w:r>
        <w:rPr>
          <w:szCs w:val="18"/>
        </w:rPr>
        <w:t xml:space="preserve"> hearing aids.</w:t>
      </w:r>
    </w:p>
    <w:p w14:paraId="78B2A462" w14:textId="0A86A34A" w:rsidR="00084F34" w:rsidRDefault="00084F34" w:rsidP="002B3859">
      <w:pPr>
        <w:pStyle w:val="ListParagraph"/>
        <w:numPr>
          <w:ilvl w:val="0"/>
          <w:numId w:val="43"/>
        </w:numPr>
        <w:spacing w:line="300" w:lineRule="atLeast"/>
        <w:jc w:val="both"/>
        <w:rPr>
          <w:szCs w:val="18"/>
        </w:rPr>
      </w:pPr>
      <w:r>
        <w:rPr>
          <w:szCs w:val="18"/>
        </w:rPr>
        <w:t>About 0.7% are silver oxide button batteries</w:t>
      </w:r>
      <w:r w:rsidR="00EB17C1">
        <w:rPr>
          <w:szCs w:val="18"/>
        </w:rPr>
        <w:t xml:space="preserve"> used in watches and cameras</w:t>
      </w:r>
    </w:p>
    <w:p w14:paraId="582ABDF0" w14:textId="2E28B373" w:rsidR="00084F34" w:rsidRPr="002B3859" w:rsidRDefault="00084F34" w:rsidP="0068435E">
      <w:pPr>
        <w:pStyle w:val="ListParagraph"/>
        <w:numPr>
          <w:ilvl w:val="0"/>
          <w:numId w:val="43"/>
        </w:numPr>
        <w:spacing w:line="300" w:lineRule="atLeast"/>
        <w:jc w:val="both"/>
        <w:rPr>
          <w:szCs w:val="18"/>
        </w:rPr>
      </w:pPr>
      <w:r>
        <w:rPr>
          <w:szCs w:val="18"/>
        </w:rPr>
        <w:t>About 0.04% are mercuric oxide batteries</w:t>
      </w:r>
    </w:p>
    <w:p w14:paraId="771F506B" w14:textId="282963EF" w:rsidR="002B3859" w:rsidRDefault="004630F5" w:rsidP="003454A9">
      <w:pPr>
        <w:spacing w:line="300" w:lineRule="atLeast"/>
        <w:jc w:val="both"/>
        <w:rPr>
          <w:szCs w:val="18"/>
        </w:rPr>
      </w:pPr>
      <w:r>
        <w:rPr>
          <w:szCs w:val="18"/>
        </w:rPr>
        <w:t xml:space="preserve">42% of alkaline manganese dioxide batteries were imported from China with significant contributions also from Indonesia, Malaysia and Singapore. China also contributed the lion’s share (95%) of alkaline button batteries. On the other hand Germany at 63% was the major contributor of air zinc button batteries with Singapore and China </w:t>
      </w:r>
      <w:r w:rsidR="008441DD">
        <w:rPr>
          <w:szCs w:val="18"/>
        </w:rPr>
        <w:t>supplying 29%. Japan was the major supplier of silver oxide button batteries (60%). China is listed as the sole supplier of mercuric oxide batteries although only 22,877 units were imported.</w:t>
      </w:r>
      <w:r>
        <w:rPr>
          <w:szCs w:val="18"/>
        </w:rPr>
        <w:t xml:space="preserve">  </w:t>
      </w:r>
    </w:p>
    <w:p w14:paraId="1515B3F0" w14:textId="27629457" w:rsidR="001D2235" w:rsidRDefault="001D2235" w:rsidP="004716E6">
      <w:pPr>
        <w:spacing w:line="300" w:lineRule="atLeast"/>
        <w:jc w:val="both"/>
        <w:rPr>
          <w:szCs w:val="18"/>
        </w:rPr>
      </w:pPr>
      <w:r>
        <w:rPr>
          <w:szCs w:val="18"/>
        </w:rPr>
        <w:t xml:space="preserve">According to legislation </w:t>
      </w:r>
      <w:r w:rsidR="004C162E">
        <w:rPr>
          <w:szCs w:val="18"/>
        </w:rPr>
        <w:t>and regulations relevant for</w:t>
      </w:r>
      <w:r>
        <w:rPr>
          <w:szCs w:val="18"/>
        </w:rPr>
        <w:t xml:space="preserve"> the countries supplying New Zealand</w:t>
      </w:r>
      <w:r w:rsidR="00D81F98">
        <w:rPr>
          <w:szCs w:val="18"/>
        </w:rPr>
        <w:t xml:space="preserve">, </w:t>
      </w:r>
      <w:r w:rsidR="004C162E">
        <w:rPr>
          <w:szCs w:val="18"/>
        </w:rPr>
        <w:t>cylindrical</w:t>
      </w:r>
      <w:r w:rsidR="00D81F98">
        <w:rPr>
          <w:szCs w:val="18"/>
        </w:rPr>
        <w:t xml:space="preserve"> </w:t>
      </w:r>
      <w:r>
        <w:rPr>
          <w:szCs w:val="18"/>
        </w:rPr>
        <w:t xml:space="preserve">batteries </w:t>
      </w:r>
      <w:r w:rsidR="004C162E">
        <w:rPr>
          <w:szCs w:val="18"/>
        </w:rPr>
        <w:t>imported</w:t>
      </w:r>
      <w:r>
        <w:rPr>
          <w:szCs w:val="18"/>
        </w:rPr>
        <w:t xml:space="preserve"> </w:t>
      </w:r>
      <w:r w:rsidR="004C162E">
        <w:rPr>
          <w:szCs w:val="18"/>
        </w:rPr>
        <w:t xml:space="preserve">in 2024 </w:t>
      </w:r>
      <w:r>
        <w:rPr>
          <w:szCs w:val="18"/>
        </w:rPr>
        <w:t>should</w:t>
      </w:r>
      <w:r w:rsidR="00B439CD">
        <w:rPr>
          <w:szCs w:val="18"/>
        </w:rPr>
        <w:t xml:space="preserve"> now</w:t>
      </w:r>
      <w:r>
        <w:rPr>
          <w:szCs w:val="18"/>
        </w:rPr>
        <w:t xml:space="preserve"> be mercury free.</w:t>
      </w:r>
      <w:r w:rsidR="004C162E">
        <w:rPr>
          <w:szCs w:val="18"/>
        </w:rPr>
        <w:t xml:space="preserve"> Annex A of the Min</w:t>
      </w:r>
      <w:r w:rsidR="00485FAB">
        <w:rPr>
          <w:szCs w:val="18"/>
        </w:rPr>
        <w:t>a</w:t>
      </w:r>
      <w:r w:rsidR="004C162E">
        <w:rPr>
          <w:szCs w:val="18"/>
        </w:rPr>
        <w:t>mata Convention de</w:t>
      </w:r>
      <w:r w:rsidR="00243FB9">
        <w:rPr>
          <w:szCs w:val="18"/>
        </w:rPr>
        <w:t>tails</w:t>
      </w:r>
      <w:r w:rsidR="004C162E">
        <w:rPr>
          <w:szCs w:val="18"/>
        </w:rPr>
        <w:t xml:space="preserve"> the prohibition of  importing or exporting of batteries containing mercury</w:t>
      </w:r>
      <w:r w:rsidR="00C115D6">
        <w:rPr>
          <w:szCs w:val="18"/>
        </w:rPr>
        <w:t xml:space="preserve"> and this has been </w:t>
      </w:r>
      <w:r w:rsidR="00243FB9">
        <w:rPr>
          <w:szCs w:val="18"/>
        </w:rPr>
        <w:t>a requirement</w:t>
      </w:r>
      <w:r w:rsidR="004C162E">
        <w:rPr>
          <w:szCs w:val="18"/>
        </w:rPr>
        <w:t xml:space="preserve"> since 2020. Button zinc silver oxide and button zinc air batteries with a mercury content less than 2% </w:t>
      </w:r>
      <w:r w:rsidR="00243FB9">
        <w:rPr>
          <w:szCs w:val="18"/>
        </w:rPr>
        <w:t xml:space="preserve">have been </w:t>
      </w:r>
      <w:r w:rsidR="004C162E">
        <w:rPr>
          <w:szCs w:val="18"/>
        </w:rPr>
        <w:t>exempt but must be phased out by 2025</w:t>
      </w:r>
      <w:r w:rsidR="00243FB9">
        <w:rPr>
          <w:szCs w:val="18"/>
        </w:rPr>
        <w:t xml:space="preserve"> (UNEP, 2024)</w:t>
      </w:r>
      <w:r w:rsidR="004C162E">
        <w:rPr>
          <w:szCs w:val="18"/>
        </w:rPr>
        <w:t xml:space="preserve">.  </w:t>
      </w:r>
    </w:p>
    <w:p w14:paraId="3B56AFA9" w14:textId="24DE33FB" w:rsidR="00A40366" w:rsidRDefault="00F3403C" w:rsidP="003454A9">
      <w:pPr>
        <w:spacing w:line="300" w:lineRule="atLeast"/>
        <w:jc w:val="both"/>
        <w:rPr>
          <w:szCs w:val="18"/>
        </w:rPr>
      </w:pPr>
      <w:r>
        <w:rPr>
          <w:szCs w:val="18"/>
        </w:rPr>
        <w:t>EU Regulation 2017/852 prohibit</w:t>
      </w:r>
      <w:r w:rsidR="004716E6">
        <w:rPr>
          <w:szCs w:val="18"/>
        </w:rPr>
        <w:t>ed</w:t>
      </w:r>
      <w:r>
        <w:rPr>
          <w:szCs w:val="18"/>
        </w:rPr>
        <w:t xml:space="preserve"> export</w:t>
      </w:r>
      <w:r w:rsidR="005A52CA">
        <w:rPr>
          <w:szCs w:val="18"/>
        </w:rPr>
        <w:t>,</w:t>
      </w:r>
      <w:r>
        <w:rPr>
          <w:szCs w:val="18"/>
        </w:rPr>
        <w:t xml:space="preserve"> import and manufacturing of batteries that contain more than 0.0005% of mercury by weight after 31 December 2018 (UNEP, 20</w:t>
      </w:r>
      <w:r w:rsidR="00602181">
        <w:rPr>
          <w:szCs w:val="18"/>
        </w:rPr>
        <w:t>23</w:t>
      </w:r>
      <w:r>
        <w:rPr>
          <w:szCs w:val="18"/>
        </w:rPr>
        <w:t>)</w:t>
      </w:r>
      <w:r w:rsidR="00295461">
        <w:rPr>
          <w:szCs w:val="18"/>
        </w:rPr>
        <w:t>.</w:t>
      </w:r>
      <w:r w:rsidR="003454A9" w:rsidRPr="003454A9">
        <w:rPr>
          <w:szCs w:val="18"/>
        </w:rPr>
        <w:t xml:space="preserve"> </w:t>
      </w:r>
    </w:p>
    <w:p w14:paraId="29FCBDAB" w14:textId="3236CE8E" w:rsidR="00D81F98" w:rsidRDefault="00D81F98" w:rsidP="00D81F98">
      <w:pPr>
        <w:spacing w:line="300" w:lineRule="atLeast"/>
        <w:jc w:val="both"/>
        <w:rPr>
          <w:szCs w:val="18"/>
        </w:rPr>
      </w:pPr>
      <w:r>
        <w:rPr>
          <w:szCs w:val="18"/>
        </w:rPr>
        <w:t>I</w:t>
      </w:r>
      <w:r w:rsidRPr="00182894">
        <w:rPr>
          <w:szCs w:val="18"/>
        </w:rPr>
        <w:t>n China</w:t>
      </w:r>
      <w:r w:rsidR="00243FB9">
        <w:rPr>
          <w:szCs w:val="18"/>
        </w:rPr>
        <w:t>,</w:t>
      </w:r>
      <w:r w:rsidRPr="00182894">
        <w:rPr>
          <w:szCs w:val="18"/>
        </w:rPr>
        <w:t xml:space="preserve"> from 1 January 2021, </w:t>
      </w:r>
      <w:r>
        <w:rPr>
          <w:szCs w:val="18"/>
        </w:rPr>
        <w:t xml:space="preserve">manufacture of the following battery types </w:t>
      </w:r>
      <w:r w:rsidR="00EB17C1">
        <w:rPr>
          <w:szCs w:val="18"/>
        </w:rPr>
        <w:t>was</w:t>
      </w:r>
      <w:r>
        <w:rPr>
          <w:szCs w:val="18"/>
        </w:rPr>
        <w:t xml:space="preserve"> prohibited: </w:t>
      </w:r>
      <w:r w:rsidRPr="00182894">
        <w:rPr>
          <w:szCs w:val="18"/>
        </w:rPr>
        <w:t>mercury oxide</w:t>
      </w:r>
      <w:r>
        <w:rPr>
          <w:szCs w:val="18"/>
        </w:rPr>
        <w:t xml:space="preserve"> batteries</w:t>
      </w:r>
      <w:r w:rsidRPr="00182894">
        <w:rPr>
          <w:szCs w:val="18"/>
        </w:rPr>
        <w:t>, cylindrical alkaline manganese batteries with mercury concentration more than 0.0001% and alkaline manganese batteries with mercury concentration more than 0.0005%</w:t>
      </w:r>
      <w:r>
        <w:rPr>
          <w:szCs w:val="18"/>
        </w:rPr>
        <w:t>.</w:t>
      </w:r>
      <w:r w:rsidRPr="00182894">
        <w:rPr>
          <w:szCs w:val="18"/>
        </w:rPr>
        <w:t xml:space="preserve"> </w:t>
      </w:r>
      <w:r>
        <w:rPr>
          <w:szCs w:val="18"/>
        </w:rPr>
        <w:t>Z</w:t>
      </w:r>
      <w:r w:rsidRPr="00182894">
        <w:rPr>
          <w:szCs w:val="18"/>
        </w:rPr>
        <w:t>inc-silver oxide and zinc air batter</w:t>
      </w:r>
      <w:r>
        <w:rPr>
          <w:szCs w:val="18"/>
        </w:rPr>
        <w:t>ies</w:t>
      </w:r>
      <w:r w:rsidRPr="00182894">
        <w:rPr>
          <w:szCs w:val="18"/>
        </w:rPr>
        <w:t xml:space="preserve"> with mercury concentrations below 2%</w:t>
      </w:r>
      <w:r>
        <w:rPr>
          <w:szCs w:val="18"/>
        </w:rPr>
        <w:t xml:space="preserve"> </w:t>
      </w:r>
      <w:r w:rsidR="00EB17C1">
        <w:rPr>
          <w:szCs w:val="18"/>
        </w:rPr>
        <w:t>were</w:t>
      </w:r>
      <w:r>
        <w:rPr>
          <w:szCs w:val="18"/>
        </w:rPr>
        <w:t xml:space="preserve"> exempted</w:t>
      </w:r>
      <w:r w:rsidR="00EB17C1">
        <w:rPr>
          <w:szCs w:val="18"/>
        </w:rPr>
        <w:t xml:space="preserve"> (UNEP, 2023).</w:t>
      </w:r>
    </w:p>
    <w:p w14:paraId="7EF3FCF2" w14:textId="6C06C54D" w:rsidR="00B439CD" w:rsidRPr="00B902AA" w:rsidRDefault="00B439CD" w:rsidP="00B439CD">
      <w:pPr>
        <w:spacing w:line="300" w:lineRule="atLeast"/>
        <w:jc w:val="both"/>
        <w:rPr>
          <w:szCs w:val="18"/>
        </w:rPr>
      </w:pPr>
      <w:r>
        <w:rPr>
          <w:szCs w:val="18"/>
        </w:rPr>
        <w:t>The National Electrical Manufacturers Association</w:t>
      </w:r>
      <w:r w:rsidR="0068435E">
        <w:rPr>
          <w:szCs w:val="18"/>
        </w:rPr>
        <w:t xml:space="preserve"> (NEMA)</w:t>
      </w:r>
      <w:r>
        <w:rPr>
          <w:szCs w:val="18"/>
        </w:rPr>
        <w:t xml:space="preserve"> in the US</w:t>
      </w:r>
      <w:r w:rsidRPr="00B902AA">
        <w:rPr>
          <w:szCs w:val="18"/>
        </w:rPr>
        <w:t xml:space="preserve"> reports that there are examples of mercury use in cylindrical batteries (China) and zinc air batteries (Japan) but with low sales volumes, roughly estimated less than 5% for cylindrical (China) and less than 10% for zinc air (Japan). It is NEMA’s understanding that all other types are globally mercury free. </w:t>
      </w:r>
    </w:p>
    <w:p w14:paraId="20FB2354" w14:textId="5D25EFB0" w:rsidR="00B439CD" w:rsidRDefault="00483F02" w:rsidP="00D81F98">
      <w:pPr>
        <w:spacing w:line="300" w:lineRule="atLeast"/>
        <w:jc w:val="both"/>
        <w:rPr>
          <w:szCs w:val="18"/>
        </w:rPr>
      </w:pPr>
      <w:r>
        <w:rPr>
          <w:szCs w:val="18"/>
        </w:rPr>
        <w:t>A 2019 UNEP study revealed that the major battery suppliers Duracell, Energizer, Varta and Panasonic supplied only mercury free alkaline button, silver oxide and zinc air batteries (UNEP, 20</w:t>
      </w:r>
      <w:r w:rsidR="00602181">
        <w:rPr>
          <w:szCs w:val="18"/>
        </w:rPr>
        <w:t>23</w:t>
      </w:r>
      <w:r>
        <w:rPr>
          <w:szCs w:val="18"/>
        </w:rPr>
        <w:t>).</w:t>
      </w:r>
    </w:p>
    <w:p w14:paraId="4B9ACE9A" w14:textId="56EB8D35" w:rsidR="001E452F" w:rsidRPr="00B902AA" w:rsidRDefault="001E452F" w:rsidP="001E452F">
      <w:pPr>
        <w:spacing w:line="300" w:lineRule="atLeast"/>
        <w:jc w:val="both"/>
        <w:rPr>
          <w:szCs w:val="18"/>
        </w:rPr>
      </w:pPr>
      <w:r>
        <w:rPr>
          <w:szCs w:val="18"/>
        </w:rPr>
        <w:t>With respect to mercury oxide batteries</w:t>
      </w:r>
      <w:r w:rsidR="002B16AE">
        <w:rPr>
          <w:szCs w:val="18"/>
        </w:rPr>
        <w:t>,</w:t>
      </w:r>
      <w:r>
        <w:rPr>
          <w:szCs w:val="18"/>
        </w:rPr>
        <w:t xml:space="preserve"> the Toolkit comments that there are instances where national trade statistics may be inaccurate. This arises because they are normally sold in small quantities and consequently </w:t>
      </w:r>
      <w:r w:rsidR="002B16AE">
        <w:rPr>
          <w:szCs w:val="18"/>
        </w:rPr>
        <w:t>are vulnerable to mis-categorisation of other batteries in traders’ reports to statistics bureaus.</w:t>
      </w:r>
      <w:r>
        <w:rPr>
          <w:szCs w:val="18"/>
        </w:rPr>
        <w:t xml:space="preserve"> </w:t>
      </w:r>
      <w:r w:rsidRPr="00B902AA">
        <w:rPr>
          <w:szCs w:val="18"/>
        </w:rPr>
        <w:t xml:space="preserve">This </w:t>
      </w:r>
      <w:r w:rsidR="002B16AE">
        <w:rPr>
          <w:szCs w:val="18"/>
        </w:rPr>
        <w:t xml:space="preserve">can have significant </w:t>
      </w:r>
      <w:r w:rsidRPr="00B902AA">
        <w:rPr>
          <w:szCs w:val="18"/>
        </w:rPr>
        <w:t xml:space="preserve"> consequences, because even moderate reported sales of mercury-oxide batteries may represent </w:t>
      </w:r>
      <w:r w:rsidR="002B16AE">
        <w:rPr>
          <w:szCs w:val="18"/>
        </w:rPr>
        <w:t xml:space="preserve">a very high </w:t>
      </w:r>
      <w:r w:rsidRPr="00B902AA">
        <w:rPr>
          <w:szCs w:val="18"/>
        </w:rPr>
        <w:t xml:space="preserve">mercury turnover </w:t>
      </w:r>
      <w:r w:rsidR="002B16AE">
        <w:rPr>
          <w:szCs w:val="18"/>
        </w:rPr>
        <w:t>because of the high mercury content in these batteries</w:t>
      </w:r>
      <w:r w:rsidRPr="00B902AA">
        <w:rPr>
          <w:szCs w:val="18"/>
        </w:rPr>
        <w:t xml:space="preserve"> </w:t>
      </w:r>
      <w:r>
        <w:rPr>
          <w:szCs w:val="18"/>
        </w:rPr>
        <w:t>(UNEP</w:t>
      </w:r>
      <w:r w:rsidR="002B16AE">
        <w:rPr>
          <w:szCs w:val="18"/>
        </w:rPr>
        <w:t xml:space="preserve">, </w:t>
      </w:r>
      <w:r>
        <w:rPr>
          <w:szCs w:val="18"/>
        </w:rPr>
        <w:t>2023)</w:t>
      </w:r>
      <w:r w:rsidR="002B16AE">
        <w:rPr>
          <w:szCs w:val="18"/>
        </w:rPr>
        <w:t xml:space="preserve">. On the other hand UNEP note that </w:t>
      </w:r>
      <w:r w:rsidR="002B16AE" w:rsidRPr="00182894">
        <w:rPr>
          <w:szCs w:val="18"/>
        </w:rPr>
        <w:t>the high frequency of mercury oxide battery registrations confirms the continued trade of these batteries.</w:t>
      </w:r>
    </w:p>
    <w:p w14:paraId="2196BDC1" w14:textId="77777777" w:rsidR="00EB17C1" w:rsidRPr="00784A01" w:rsidRDefault="00EB17C1" w:rsidP="00EB17C1">
      <w:pPr>
        <w:spacing w:line="300" w:lineRule="atLeast"/>
        <w:jc w:val="both"/>
        <w:rPr>
          <w:rFonts w:ascii="Arial" w:hAnsi="Arial" w:cs="Arial"/>
          <w:b/>
          <w:szCs w:val="18"/>
        </w:rPr>
      </w:pPr>
      <w:r w:rsidRPr="00784A01">
        <w:rPr>
          <w:rFonts w:ascii="Arial" w:hAnsi="Arial" w:cs="Arial"/>
          <w:b/>
          <w:szCs w:val="18"/>
        </w:rPr>
        <w:t>Input and output estimates</w:t>
      </w:r>
    </w:p>
    <w:p w14:paraId="785C5A28" w14:textId="77777777" w:rsidR="002B16AE" w:rsidRDefault="003454A9" w:rsidP="003454A9">
      <w:pPr>
        <w:spacing w:line="300" w:lineRule="atLeast"/>
        <w:jc w:val="both"/>
        <w:rPr>
          <w:szCs w:val="18"/>
        </w:rPr>
      </w:pPr>
      <w:r w:rsidRPr="003454A9">
        <w:rPr>
          <w:szCs w:val="18"/>
        </w:rPr>
        <w:t>In order to estimate mercury inputs from batteries, import data was obtained for each battery type, using HS codes 8506.10.00.01 to 8506.80.00.19</w:t>
      </w:r>
      <w:r w:rsidR="002B16AE">
        <w:rPr>
          <w:szCs w:val="18"/>
        </w:rPr>
        <w:t>.</w:t>
      </w:r>
    </w:p>
    <w:p w14:paraId="0B615D09" w14:textId="1225CA30" w:rsidR="003454A9" w:rsidRDefault="002B16AE" w:rsidP="003454A9">
      <w:pPr>
        <w:spacing w:line="300" w:lineRule="atLeast"/>
        <w:jc w:val="both"/>
        <w:rPr>
          <w:szCs w:val="18"/>
        </w:rPr>
      </w:pPr>
      <w:r>
        <w:rPr>
          <w:szCs w:val="18"/>
        </w:rPr>
        <w:t xml:space="preserve">Where batteries have been adjudged to contain mercury, </w:t>
      </w:r>
      <w:r w:rsidR="003454A9" w:rsidRPr="003454A9">
        <w:rPr>
          <w:szCs w:val="18"/>
        </w:rPr>
        <w:t xml:space="preserve">the quantities of mercury were calculated by multiplying the number of units by their respective average weights and by the mercury </w:t>
      </w:r>
      <w:r w:rsidR="006C26C6">
        <w:rPr>
          <w:szCs w:val="18"/>
        </w:rPr>
        <w:t>content of</w:t>
      </w:r>
      <w:r w:rsidR="003454A9" w:rsidRPr="003454A9">
        <w:rPr>
          <w:szCs w:val="18"/>
        </w:rPr>
        <w:t xml:space="preserve"> each ce</w:t>
      </w:r>
      <w:r w:rsidR="00CE1F59">
        <w:rPr>
          <w:szCs w:val="18"/>
        </w:rPr>
        <w:t>ll</w:t>
      </w:r>
      <w:r w:rsidR="006C26C6">
        <w:rPr>
          <w:szCs w:val="18"/>
        </w:rPr>
        <w:t xml:space="preserve">. </w:t>
      </w:r>
    </w:p>
    <w:p w14:paraId="58F8D899" w14:textId="40E91D9B" w:rsidR="009344A1" w:rsidRDefault="009344A1" w:rsidP="003454A9">
      <w:pPr>
        <w:spacing w:line="300" w:lineRule="atLeast"/>
        <w:jc w:val="both"/>
        <w:rPr>
          <w:szCs w:val="18"/>
        </w:rPr>
      </w:pPr>
      <w:r>
        <w:rPr>
          <w:szCs w:val="18"/>
        </w:rPr>
        <w:t xml:space="preserve">In line with the discussion in the preceding </w:t>
      </w:r>
      <w:r w:rsidR="00DA5088">
        <w:rPr>
          <w:szCs w:val="18"/>
        </w:rPr>
        <w:t xml:space="preserve">section </w:t>
      </w:r>
      <w:r>
        <w:rPr>
          <w:szCs w:val="18"/>
        </w:rPr>
        <w:t xml:space="preserve">it has been assumed </w:t>
      </w:r>
      <w:r w:rsidR="00DA5088">
        <w:rPr>
          <w:szCs w:val="18"/>
        </w:rPr>
        <w:t xml:space="preserve">that all alkaline cylindrical batteries imported in 2024 were mercury free. </w:t>
      </w:r>
      <w:r w:rsidR="001C3556">
        <w:rPr>
          <w:szCs w:val="18"/>
        </w:rPr>
        <w:t xml:space="preserve">After 2025 it may be possible to assume that all primary battery types imported are mercury free but until then alkaline, silver oxide and zinc air button batteries have been treated as in the 2016 and 2020 inventories where it was assumed that 25% of the total imports from each category </w:t>
      </w:r>
      <w:r w:rsidR="00613311">
        <w:rPr>
          <w:szCs w:val="18"/>
        </w:rPr>
        <w:t xml:space="preserve">still </w:t>
      </w:r>
      <w:r w:rsidR="001C3556">
        <w:rPr>
          <w:szCs w:val="18"/>
        </w:rPr>
        <w:t>contain mercury. Toolkit factors have been modified to accommodate this.</w:t>
      </w:r>
    </w:p>
    <w:p w14:paraId="30EEEEAA" w14:textId="77777777" w:rsidR="00B902AA" w:rsidRPr="003454A9" w:rsidRDefault="00B902AA" w:rsidP="003454A9">
      <w:pPr>
        <w:spacing w:line="300" w:lineRule="atLeast"/>
        <w:jc w:val="both"/>
        <w:rPr>
          <w:szCs w:val="18"/>
        </w:rPr>
      </w:pPr>
    </w:p>
    <w:p w14:paraId="01C5EF8B" w14:textId="61F01133" w:rsidR="00613311" w:rsidRPr="00182894" w:rsidRDefault="003454A9" w:rsidP="00613311">
      <w:pPr>
        <w:spacing w:line="300" w:lineRule="atLeast"/>
        <w:jc w:val="both"/>
        <w:rPr>
          <w:szCs w:val="18"/>
        </w:rPr>
      </w:pPr>
      <w:r w:rsidRPr="003454A9">
        <w:rPr>
          <w:szCs w:val="18"/>
        </w:rPr>
        <w:t xml:space="preserve">The estimated mercury inputs for the different battery types are shown in Table </w:t>
      </w:r>
      <w:r w:rsidR="00686908">
        <w:rPr>
          <w:szCs w:val="18"/>
        </w:rPr>
        <w:t>7-6</w:t>
      </w:r>
      <w:r w:rsidR="006C26C6">
        <w:rPr>
          <w:rStyle w:val="FootnoteReference"/>
          <w:szCs w:val="18"/>
        </w:rPr>
        <w:footnoteReference w:id="14"/>
      </w:r>
      <w:r w:rsidR="006C26C6">
        <w:rPr>
          <w:szCs w:val="18"/>
        </w:rPr>
        <w:t>.</w:t>
      </w:r>
      <w:r w:rsidRPr="003454A9">
        <w:rPr>
          <w:szCs w:val="18"/>
        </w:rPr>
        <w:t xml:space="preserve"> For the outputs it was assumed that all of the bat</w:t>
      </w:r>
      <w:r>
        <w:rPr>
          <w:szCs w:val="18"/>
        </w:rPr>
        <w:t>teries were disposed to waste</w:t>
      </w:r>
      <w:r w:rsidR="00613311">
        <w:rPr>
          <w:szCs w:val="18"/>
        </w:rPr>
        <w:t xml:space="preserve"> (landfill). The Toolkit notes that e</w:t>
      </w:r>
      <w:r w:rsidR="00613311" w:rsidRPr="00182894">
        <w:rPr>
          <w:szCs w:val="18"/>
        </w:rPr>
        <w:t xml:space="preserve">ven in countries with separate battery collection, </w:t>
      </w:r>
      <w:r w:rsidR="00223A21">
        <w:rPr>
          <w:szCs w:val="18"/>
        </w:rPr>
        <w:t xml:space="preserve">a </w:t>
      </w:r>
      <w:r w:rsidR="00613311" w:rsidRPr="00182894">
        <w:rPr>
          <w:szCs w:val="18"/>
        </w:rPr>
        <w:t>major p</w:t>
      </w:r>
      <w:r w:rsidR="00223A21">
        <w:rPr>
          <w:szCs w:val="18"/>
        </w:rPr>
        <w:t>roportion</w:t>
      </w:r>
      <w:r w:rsidR="00613311" w:rsidRPr="00182894">
        <w:rPr>
          <w:szCs w:val="18"/>
        </w:rPr>
        <w:t xml:space="preserve"> of the consumed batteries are disposed of with general household waste.</w:t>
      </w:r>
      <w:r w:rsidR="00613311">
        <w:rPr>
          <w:szCs w:val="18"/>
        </w:rPr>
        <w:t xml:space="preserve"> (UNEP, 20</w:t>
      </w:r>
      <w:r w:rsidR="005162FD">
        <w:rPr>
          <w:szCs w:val="18"/>
        </w:rPr>
        <w:t>2</w:t>
      </w:r>
      <w:r w:rsidR="00613311">
        <w:rPr>
          <w:szCs w:val="18"/>
        </w:rPr>
        <w:t>3)</w:t>
      </w:r>
      <w:r w:rsidR="00223A21">
        <w:rPr>
          <w:szCs w:val="18"/>
        </w:rPr>
        <w:t>.</w:t>
      </w:r>
    </w:p>
    <w:p w14:paraId="60FE0C78" w14:textId="77B06B0F" w:rsidR="001D2235" w:rsidRDefault="00680091" w:rsidP="003454A9">
      <w:pPr>
        <w:spacing w:line="300" w:lineRule="atLeast"/>
        <w:jc w:val="both"/>
        <w:rPr>
          <w:szCs w:val="18"/>
        </w:rPr>
      </w:pPr>
      <w:r>
        <w:rPr>
          <w:szCs w:val="18"/>
        </w:rPr>
        <w:t>A report by Consumer NZ discussed the used battery disposal options for households</w:t>
      </w:r>
      <w:r w:rsidR="00CA7AFE">
        <w:rPr>
          <w:szCs w:val="18"/>
        </w:rPr>
        <w:t xml:space="preserve"> (Consumer NZ, 2019)</w:t>
      </w:r>
      <w:r w:rsidR="00F064A6">
        <w:rPr>
          <w:szCs w:val="18"/>
        </w:rPr>
        <w:t>. The options available</w:t>
      </w:r>
      <w:r>
        <w:rPr>
          <w:szCs w:val="18"/>
        </w:rPr>
        <w:t xml:space="preserve"> were either </w:t>
      </w:r>
      <w:r w:rsidR="00201A2B">
        <w:rPr>
          <w:szCs w:val="18"/>
        </w:rPr>
        <w:t>disposal at</w:t>
      </w:r>
      <w:r w:rsidR="00F064A6">
        <w:rPr>
          <w:szCs w:val="18"/>
        </w:rPr>
        <w:t xml:space="preserve"> the local council run hazardous waste collection facility at transfer stations or landfills or depositing with a battery recycling scheme</w:t>
      </w:r>
      <w:r w:rsidR="003E52A4">
        <w:rPr>
          <w:szCs w:val="18"/>
        </w:rPr>
        <w:t>.</w:t>
      </w:r>
      <w:r w:rsidR="00F064A6">
        <w:rPr>
          <w:szCs w:val="18"/>
        </w:rPr>
        <w:t xml:space="preserve"> </w:t>
      </w:r>
      <w:r w:rsidR="00201A2B">
        <w:rPr>
          <w:szCs w:val="18"/>
        </w:rPr>
        <w:t>I</w:t>
      </w:r>
      <w:r w:rsidR="00F064A6">
        <w:rPr>
          <w:szCs w:val="18"/>
        </w:rPr>
        <w:t xml:space="preserve">n the former case batteries are </w:t>
      </w:r>
      <w:r w:rsidR="00CA7AFE">
        <w:rPr>
          <w:szCs w:val="18"/>
        </w:rPr>
        <w:t xml:space="preserve">typically treated </w:t>
      </w:r>
      <w:r w:rsidR="00F064A6">
        <w:rPr>
          <w:szCs w:val="18"/>
        </w:rPr>
        <w:t>by encapsulation in concrete</w:t>
      </w:r>
      <w:r w:rsidR="00CA7AFE">
        <w:rPr>
          <w:szCs w:val="18"/>
        </w:rPr>
        <w:t xml:space="preserve"> </w:t>
      </w:r>
      <w:r w:rsidR="00F064A6">
        <w:rPr>
          <w:szCs w:val="18"/>
        </w:rPr>
        <w:t xml:space="preserve">and then transferred to landfill. </w:t>
      </w:r>
      <w:r w:rsidR="00A828D3">
        <w:rPr>
          <w:szCs w:val="18"/>
        </w:rPr>
        <w:t>For the latter, b</w:t>
      </w:r>
      <w:r w:rsidR="00F064A6">
        <w:rPr>
          <w:szCs w:val="18"/>
        </w:rPr>
        <w:t>attery recycling was estimated to cover only 0.2% of annual battery sales</w:t>
      </w:r>
      <w:r w:rsidR="00A828D3">
        <w:rPr>
          <w:rStyle w:val="FootnoteReference"/>
          <w:szCs w:val="18"/>
        </w:rPr>
        <w:footnoteReference w:id="15"/>
      </w:r>
      <w:r w:rsidR="00F064A6">
        <w:rPr>
          <w:szCs w:val="18"/>
        </w:rPr>
        <w:t xml:space="preserve">  </w:t>
      </w:r>
      <w:r w:rsidR="00887AA0">
        <w:rPr>
          <w:szCs w:val="18"/>
        </w:rPr>
        <w:t>and the batteries are currently being stored by the recyclers b</w:t>
      </w:r>
      <w:r w:rsidR="00A828D3">
        <w:rPr>
          <w:szCs w:val="18"/>
        </w:rPr>
        <w:t>ecause there are no</w:t>
      </w:r>
      <w:r w:rsidR="00887AA0">
        <w:rPr>
          <w:szCs w:val="18"/>
        </w:rPr>
        <w:t xml:space="preserve"> local</w:t>
      </w:r>
      <w:r w:rsidR="00A828D3">
        <w:rPr>
          <w:szCs w:val="18"/>
        </w:rPr>
        <w:t xml:space="preserve"> companies capable of recycling batteries in New Zealand</w:t>
      </w:r>
      <w:r w:rsidR="00887AA0">
        <w:rPr>
          <w:szCs w:val="18"/>
        </w:rPr>
        <w:t>.</w:t>
      </w:r>
      <w:r w:rsidR="00F064A6">
        <w:rPr>
          <w:szCs w:val="18"/>
        </w:rPr>
        <w:t xml:space="preserve"> </w:t>
      </w:r>
    </w:p>
    <w:p w14:paraId="2A261103" w14:textId="28FBBDCC" w:rsidR="001D2235" w:rsidRDefault="001D2235" w:rsidP="003454A9">
      <w:pPr>
        <w:spacing w:line="300" w:lineRule="atLeast"/>
        <w:jc w:val="both"/>
        <w:rPr>
          <w:szCs w:val="18"/>
        </w:rPr>
      </w:pPr>
      <w:r>
        <w:rPr>
          <w:szCs w:val="18"/>
        </w:rPr>
        <w:t>WasteMINZ is currently investigating issues associated with the small battery sector in New Zealand including disposal with a report due in January 2026.</w:t>
      </w:r>
    </w:p>
    <w:p w14:paraId="358120D7" w14:textId="6CF5BB79" w:rsidR="003C732A" w:rsidRDefault="003454A9" w:rsidP="003454A9">
      <w:pPr>
        <w:spacing w:line="300" w:lineRule="atLeast"/>
        <w:jc w:val="both"/>
        <w:rPr>
          <w:szCs w:val="18"/>
        </w:rPr>
      </w:pPr>
      <w:r w:rsidRPr="003454A9">
        <w:rPr>
          <w:szCs w:val="18"/>
        </w:rPr>
        <w:t>The input and output cal</w:t>
      </w:r>
      <w:r w:rsidR="00686908">
        <w:rPr>
          <w:szCs w:val="18"/>
        </w:rPr>
        <w:t>culations are shown in Table 7-7</w:t>
      </w:r>
      <w:r w:rsidRPr="003454A9">
        <w:rPr>
          <w:szCs w:val="18"/>
        </w:rPr>
        <w:t xml:space="preserve">. </w:t>
      </w:r>
      <w:r w:rsidR="00AE7B6F">
        <w:rPr>
          <w:szCs w:val="18"/>
        </w:rPr>
        <w:t>The figures shown in brackets are the mean of the reported ranges.</w:t>
      </w:r>
    </w:p>
    <w:p w14:paraId="184F0AEE" w14:textId="5AEA8232" w:rsidR="00AE7B6F" w:rsidRDefault="00D16D45" w:rsidP="00D16D45">
      <w:pPr>
        <w:spacing w:after="0"/>
        <w:rPr>
          <w:szCs w:val="18"/>
        </w:rPr>
      </w:pPr>
      <w:r>
        <w:rPr>
          <w:szCs w:val="18"/>
        </w:rPr>
        <w:br w:type="page"/>
      </w:r>
    </w:p>
    <w:p w14:paraId="211022BF" w14:textId="4B2F0F7F" w:rsidR="008F7FA4" w:rsidRPr="0060459D" w:rsidRDefault="00655CC9" w:rsidP="00EF7C55">
      <w:pPr>
        <w:pStyle w:val="Caption"/>
        <w:spacing w:before="240"/>
        <w:rPr>
          <w:rFonts w:ascii="Arial" w:hAnsi="Arial" w:cs="Arial"/>
          <w:szCs w:val="18"/>
        </w:rPr>
      </w:pPr>
      <w:bookmarkStart w:id="102" w:name="_Ref358741347"/>
      <w:bookmarkStart w:id="103" w:name="_Toc110355483"/>
      <w:r w:rsidRPr="0086053D">
        <w:rPr>
          <w:rFonts w:ascii="Arial" w:hAnsi="Arial" w:cs="Arial"/>
        </w:rPr>
        <w:t xml:space="preserve">Table </w:t>
      </w:r>
      <w:r w:rsidRPr="0086053D">
        <w:rPr>
          <w:rFonts w:ascii="Arial" w:hAnsi="Arial" w:cs="Arial"/>
        </w:rPr>
        <w:fldChar w:fldCharType="begin"/>
      </w:r>
      <w:r w:rsidRPr="0086053D">
        <w:rPr>
          <w:rFonts w:ascii="Arial" w:hAnsi="Arial" w:cs="Arial"/>
        </w:rPr>
        <w:instrText xml:space="preserve"> STYLEREF 1 \s </w:instrText>
      </w:r>
      <w:r w:rsidRPr="0086053D">
        <w:rPr>
          <w:rFonts w:ascii="Arial" w:hAnsi="Arial" w:cs="Arial"/>
        </w:rPr>
        <w:fldChar w:fldCharType="separate"/>
      </w:r>
      <w:r w:rsidR="00892B2D">
        <w:rPr>
          <w:rFonts w:ascii="Arial" w:hAnsi="Arial" w:cs="Arial"/>
          <w:noProof/>
        </w:rPr>
        <w:t>7</w:t>
      </w:r>
      <w:r w:rsidRPr="0086053D">
        <w:rPr>
          <w:rFonts w:ascii="Arial" w:hAnsi="Arial" w:cs="Arial"/>
        </w:rPr>
        <w:fldChar w:fldCharType="end"/>
      </w:r>
      <w:r w:rsidRPr="0086053D">
        <w:rPr>
          <w:rFonts w:ascii="Arial" w:hAnsi="Arial" w:cs="Arial"/>
        </w:rPr>
        <w:noBreakHyphen/>
      </w:r>
      <w:r w:rsidRPr="0086053D">
        <w:rPr>
          <w:rFonts w:ascii="Arial" w:hAnsi="Arial" w:cs="Arial"/>
        </w:rPr>
        <w:fldChar w:fldCharType="begin"/>
      </w:r>
      <w:r w:rsidRPr="0086053D">
        <w:rPr>
          <w:rFonts w:ascii="Arial" w:hAnsi="Arial" w:cs="Arial"/>
        </w:rPr>
        <w:instrText xml:space="preserve"> SEQ Table \* ARABIC \s 1 </w:instrText>
      </w:r>
      <w:r w:rsidRPr="0086053D">
        <w:rPr>
          <w:rFonts w:ascii="Arial" w:hAnsi="Arial" w:cs="Arial"/>
        </w:rPr>
        <w:fldChar w:fldCharType="separate"/>
      </w:r>
      <w:r w:rsidR="00892B2D">
        <w:rPr>
          <w:rFonts w:ascii="Arial" w:hAnsi="Arial" w:cs="Arial"/>
          <w:noProof/>
        </w:rPr>
        <w:t>6</w:t>
      </w:r>
      <w:r w:rsidRPr="0086053D">
        <w:rPr>
          <w:rFonts w:ascii="Arial" w:hAnsi="Arial" w:cs="Arial"/>
        </w:rPr>
        <w:fldChar w:fldCharType="end"/>
      </w:r>
      <w:r w:rsidRPr="0086053D">
        <w:rPr>
          <w:rFonts w:ascii="Arial" w:hAnsi="Arial" w:cs="Arial"/>
          <w:szCs w:val="18"/>
        </w:rPr>
        <w:t xml:space="preserve">: </w:t>
      </w:r>
      <w:r w:rsidR="00403501">
        <w:rPr>
          <w:rFonts w:ascii="Arial" w:hAnsi="Arial" w:cs="Arial"/>
          <w:szCs w:val="18"/>
        </w:rPr>
        <w:t xml:space="preserve"> </w:t>
      </w:r>
      <w:r w:rsidRPr="0060459D">
        <w:rPr>
          <w:rFonts w:ascii="Arial" w:hAnsi="Arial" w:cs="Arial"/>
        </w:rPr>
        <w:t>Estimated mercury inputs for batteries</w:t>
      </w:r>
      <w:bookmarkEnd w:id="102"/>
      <w:bookmarkEnd w:id="103"/>
    </w:p>
    <w:tbl>
      <w:tblPr>
        <w:tblStyle w:val="TableGrid"/>
        <w:tblW w:w="0" w:type="auto"/>
        <w:tblLook w:val="04A0" w:firstRow="1" w:lastRow="0" w:firstColumn="1" w:lastColumn="0" w:noHBand="0" w:noVBand="1"/>
      </w:tblPr>
      <w:tblGrid>
        <w:gridCol w:w="2124"/>
        <w:gridCol w:w="958"/>
        <w:gridCol w:w="1187"/>
        <w:gridCol w:w="1248"/>
        <w:gridCol w:w="1037"/>
        <w:gridCol w:w="1216"/>
        <w:gridCol w:w="1291"/>
      </w:tblGrid>
      <w:tr w:rsidR="00A8443D" w:rsidRPr="0060459D" w14:paraId="6737324D" w14:textId="77777777" w:rsidTr="005162FD">
        <w:tc>
          <w:tcPr>
            <w:tcW w:w="2124" w:type="dxa"/>
            <w:vAlign w:val="center"/>
          </w:tcPr>
          <w:p w14:paraId="5F652037" w14:textId="77777777" w:rsidR="00A8443D" w:rsidRPr="0060459D" w:rsidRDefault="00A8443D" w:rsidP="00653E3B">
            <w:pPr>
              <w:spacing w:line="300" w:lineRule="atLeast"/>
              <w:jc w:val="center"/>
              <w:rPr>
                <w:rFonts w:ascii="Arial" w:hAnsi="Arial" w:cs="Arial"/>
                <w:b/>
                <w:sz w:val="16"/>
                <w:szCs w:val="16"/>
              </w:rPr>
            </w:pPr>
            <w:r w:rsidRPr="0060459D">
              <w:rPr>
                <w:rFonts w:ascii="Arial" w:hAnsi="Arial" w:cs="Arial"/>
                <w:b/>
                <w:sz w:val="16"/>
                <w:szCs w:val="16"/>
              </w:rPr>
              <w:t>Type</w:t>
            </w:r>
          </w:p>
        </w:tc>
        <w:tc>
          <w:tcPr>
            <w:tcW w:w="958" w:type="dxa"/>
            <w:vAlign w:val="center"/>
          </w:tcPr>
          <w:p w14:paraId="4591D258" w14:textId="77777777" w:rsidR="00A8443D" w:rsidRPr="0060459D" w:rsidRDefault="00A8443D" w:rsidP="00653E3B">
            <w:pPr>
              <w:spacing w:line="300" w:lineRule="atLeast"/>
              <w:jc w:val="center"/>
              <w:rPr>
                <w:rFonts w:ascii="Arial" w:hAnsi="Arial" w:cs="Arial"/>
                <w:b/>
                <w:sz w:val="16"/>
                <w:szCs w:val="16"/>
              </w:rPr>
            </w:pPr>
            <w:r w:rsidRPr="0060459D">
              <w:rPr>
                <w:rFonts w:ascii="Arial" w:hAnsi="Arial" w:cs="Arial"/>
                <w:b/>
                <w:sz w:val="16"/>
                <w:szCs w:val="16"/>
              </w:rPr>
              <w:t>Size, cm</w:t>
            </w:r>
            <w:r w:rsidRPr="0060459D">
              <w:rPr>
                <w:rFonts w:ascii="Arial" w:hAnsi="Arial" w:cs="Arial"/>
                <w:b/>
                <w:sz w:val="16"/>
                <w:szCs w:val="16"/>
                <w:vertAlign w:val="superscript"/>
              </w:rPr>
              <w:t>3</w:t>
            </w:r>
          </w:p>
        </w:tc>
        <w:tc>
          <w:tcPr>
            <w:tcW w:w="1187" w:type="dxa"/>
            <w:vAlign w:val="center"/>
          </w:tcPr>
          <w:p w14:paraId="063F572F" w14:textId="77777777" w:rsidR="00A8443D" w:rsidRPr="0060459D" w:rsidRDefault="00A8443D" w:rsidP="00653E3B">
            <w:pPr>
              <w:spacing w:line="300" w:lineRule="atLeast"/>
              <w:jc w:val="center"/>
              <w:rPr>
                <w:rFonts w:ascii="Arial" w:hAnsi="Arial" w:cs="Arial"/>
                <w:b/>
                <w:sz w:val="16"/>
                <w:szCs w:val="16"/>
              </w:rPr>
            </w:pPr>
            <w:r w:rsidRPr="0060459D">
              <w:rPr>
                <w:rFonts w:ascii="Arial" w:hAnsi="Arial" w:cs="Arial"/>
                <w:b/>
                <w:sz w:val="16"/>
                <w:szCs w:val="16"/>
              </w:rPr>
              <w:t>Mercury content g/kg</w:t>
            </w:r>
          </w:p>
        </w:tc>
        <w:tc>
          <w:tcPr>
            <w:tcW w:w="1248" w:type="dxa"/>
            <w:vAlign w:val="center"/>
          </w:tcPr>
          <w:p w14:paraId="4700580D" w14:textId="77777777" w:rsidR="00A8443D" w:rsidRPr="0060459D" w:rsidRDefault="00A8443D" w:rsidP="00653E3B">
            <w:pPr>
              <w:spacing w:line="300" w:lineRule="atLeast"/>
              <w:jc w:val="center"/>
              <w:rPr>
                <w:rFonts w:ascii="Arial" w:hAnsi="Arial" w:cs="Arial"/>
                <w:b/>
                <w:sz w:val="16"/>
                <w:szCs w:val="16"/>
              </w:rPr>
            </w:pPr>
            <w:r w:rsidRPr="0060459D">
              <w:rPr>
                <w:rFonts w:ascii="Arial" w:hAnsi="Arial" w:cs="Arial"/>
                <w:b/>
                <w:sz w:val="16"/>
                <w:szCs w:val="16"/>
              </w:rPr>
              <w:t>Number of batteries</w:t>
            </w:r>
          </w:p>
        </w:tc>
        <w:tc>
          <w:tcPr>
            <w:tcW w:w="1037" w:type="dxa"/>
            <w:vAlign w:val="center"/>
          </w:tcPr>
          <w:p w14:paraId="733ECA7A" w14:textId="77777777" w:rsidR="00A8443D" w:rsidRPr="0060459D" w:rsidRDefault="00A8443D" w:rsidP="00653E3B">
            <w:pPr>
              <w:spacing w:line="300" w:lineRule="atLeast"/>
              <w:jc w:val="center"/>
              <w:rPr>
                <w:rFonts w:ascii="Arial" w:hAnsi="Arial" w:cs="Arial"/>
                <w:b/>
                <w:sz w:val="16"/>
                <w:szCs w:val="16"/>
              </w:rPr>
            </w:pPr>
            <w:r w:rsidRPr="0060459D">
              <w:rPr>
                <w:rFonts w:ascii="Arial" w:hAnsi="Arial" w:cs="Arial"/>
                <w:b/>
                <w:sz w:val="16"/>
                <w:szCs w:val="16"/>
              </w:rPr>
              <w:t>Weight per battery, g</w:t>
            </w:r>
          </w:p>
        </w:tc>
        <w:tc>
          <w:tcPr>
            <w:tcW w:w="1216" w:type="dxa"/>
            <w:vAlign w:val="center"/>
          </w:tcPr>
          <w:p w14:paraId="4AEAAFC4" w14:textId="77777777" w:rsidR="00A8443D" w:rsidRPr="0060459D" w:rsidRDefault="00A8443D" w:rsidP="00653E3B">
            <w:pPr>
              <w:spacing w:line="300" w:lineRule="atLeast"/>
              <w:jc w:val="center"/>
              <w:rPr>
                <w:rFonts w:ascii="Arial" w:hAnsi="Arial" w:cs="Arial"/>
                <w:b/>
                <w:sz w:val="16"/>
                <w:szCs w:val="16"/>
              </w:rPr>
            </w:pPr>
            <w:r w:rsidRPr="0060459D">
              <w:rPr>
                <w:rFonts w:ascii="Arial" w:hAnsi="Arial" w:cs="Arial"/>
                <w:b/>
                <w:sz w:val="16"/>
                <w:szCs w:val="16"/>
              </w:rPr>
              <w:t>Total weight of batteries, kg</w:t>
            </w:r>
          </w:p>
        </w:tc>
        <w:tc>
          <w:tcPr>
            <w:tcW w:w="1291" w:type="dxa"/>
            <w:vAlign w:val="center"/>
          </w:tcPr>
          <w:p w14:paraId="2865DF60" w14:textId="77777777" w:rsidR="00A8443D" w:rsidRPr="0060459D" w:rsidRDefault="00A8443D" w:rsidP="00653E3B">
            <w:pPr>
              <w:spacing w:line="300" w:lineRule="atLeast"/>
              <w:jc w:val="center"/>
              <w:rPr>
                <w:rFonts w:ascii="Arial" w:hAnsi="Arial" w:cs="Arial"/>
                <w:b/>
                <w:sz w:val="16"/>
                <w:szCs w:val="16"/>
              </w:rPr>
            </w:pPr>
            <w:r w:rsidRPr="0060459D">
              <w:rPr>
                <w:rFonts w:ascii="Arial" w:hAnsi="Arial" w:cs="Arial"/>
                <w:b/>
                <w:sz w:val="16"/>
                <w:szCs w:val="16"/>
              </w:rPr>
              <w:t>Mercury inputs, kg</w:t>
            </w:r>
          </w:p>
        </w:tc>
      </w:tr>
      <w:tr w:rsidR="00A8443D" w:rsidRPr="0060459D" w14:paraId="2A7CFA99" w14:textId="77777777" w:rsidTr="005162FD">
        <w:tc>
          <w:tcPr>
            <w:tcW w:w="2124" w:type="dxa"/>
            <w:tcBorders>
              <w:bottom w:val="single" w:sz="4" w:space="0" w:color="auto"/>
            </w:tcBorders>
          </w:tcPr>
          <w:p w14:paraId="4B91984D" w14:textId="383AE7A9" w:rsidR="00A8443D" w:rsidRPr="0060459D" w:rsidRDefault="00A8443D" w:rsidP="00653E3B">
            <w:pPr>
              <w:spacing w:line="300" w:lineRule="atLeast"/>
              <w:jc w:val="both"/>
              <w:rPr>
                <w:rFonts w:ascii="Arial" w:hAnsi="Arial" w:cs="Arial"/>
                <w:sz w:val="16"/>
                <w:szCs w:val="16"/>
              </w:rPr>
            </w:pPr>
            <w:r w:rsidRPr="0060459D">
              <w:rPr>
                <w:rFonts w:ascii="Arial" w:hAnsi="Arial" w:cs="Arial"/>
                <w:sz w:val="16"/>
                <w:szCs w:val="16"/>
              </w:rPr>
              <w:t>Mercur</w:t>
            </w:r>
            <w:r w:rsidR="00AD00D2">
              <w:rPr>
                <w:rFonts w:ascii="Arial" w:hAnsi="Arial" w:cs="Arial"/>
                <w:sz w:val="16"/>
                <w:szCs w:val="16"/>
              </w:rPr>
              <w:t>y</w:t>
            </w:r>
            <w:r w:rsidRPr="0060459D">
              <w:rPr>
                <w:rFonts w:ascii="Arial" w:hAnsi="Arial" w:cs="Arial"/>
                <w:sz w:val="16"/>
                <w:szCs w:val="16"/>
              </w:rPr>
              <w:t xml:space="preserve"> oxide</w:t>
            </w:r>
            <w:r>
              <w:rPr>
                <w:rFonts w:ascii="Arial" w:hAnsi="Arial" w:cs="Arial"/>
                <w:sz w:val="16"/>
                <w:szCs w:val="16"/>
              </w:rPr>
              <w:t xml:space="preserve"> button, 2012</w:t>
            </w:r>
          </w:p>
        </w:tc>
        <w:tc>
          <w:tcPr>
            <w:tcW w:w="958" w:type="dxa"/>
            <w:tcBorders>
              <w:bottom w:val="single" w:sz="4" w:space="0" w:color="auto"/>
            </w:tcBorders>
            <w:vAlign w:val="center"/>
          </w:tcPr>
          <w:p w14:paraId="2B8CA421" w14:textId="77777777" w:rsidR="00A8443D" w:rsidRPr="0060459D" w:rsidRDefault="00A8443D" w:rsidP="00653E3B">
            <w:pPr>
              <w:spacing w:line="300" w:lineRule="atLeast"/>
              <w:jc w:val="center"/>
              <w:rPr>
                <w:rFonts w:ascii="Arial" w:hAnsi="Arial" w:cs="Arial"/>
                <w:sz w:val="16"/>
                <w:szCs w:val="16"/>
              </w:rPr>
            </w:pPr>
            <w:r w:rsidRPr="0060459D">
              <w:rPr>
                <w:rFonts w:ascii="Arial" w:hAnsi="Arial" w:cs="Arial"/>
                <w:sz w:val="16"/>
                <w:szCs w:val="16"/>
              </w:rPr>
              <w:t>&lt;300</w:t>
            </w:r>
          </w:p>
        </w:tc>
        <w:tc>
          <w:tcPr>
            <w:tcW w:w="1187" w:type="dxa"/>
            <w:tcBorders>
              <w:bottom w:val="single" w:sz="4" w:space="0" w:color="auto"/>
            </w:tcBorders>
            <w:vAlign w:val="center"/>
          </w:tcPr>
          <w:p w14:paraId="4D815DE1" w14:textId="77777777" w:rsidR="00A8443D" w:rsidRPr="0060459D" w:rsidRDefault="00A8443D" w:rsidP="00653E3B">
            <w:pPr>
              <w:spacing w:line="300" w:lineRule="atLeast"/>
              <w:jc w:val="center"/>
              <w:rPr>
                <w:rFonts w:ascii="Arial" w:hAnsi="Arial" w:cs="Arial"/>
                <w:sz w:val="16"/>
                <w:szCs w:val="16"/>
              </w:rPr>
            </w:pPr>
            <w:r w:rsidRPr="0060459D">
              <w:rPr>
                <w:rFonts w:ascii="Arial" w:hAnsi="Arial" w:cs="Arial"/>
                <w:sz w:val="16"/>
                <w:szCs w:val="16"/>
              </w:rPr>
              <w:t>320</w:t>
            </w:r>
          </w:p>
        </w:tc>
        <w:tc>
          <w:tcPr>
            <w:tcW w:w="1248" w:type="dxa"/>
            <w:tcBorders>
              <w:bottom w:val="single" w:sz="4" w:space="0" w:color="auto"/>
            </w:tcBorders>
            <w:vAlign w:val="center"/>
          </w:tcPr>
          <w:p w14:paraId="76FB5D0C" w14:textId="77777777" w:rsidR="00A8443D" w:rsidRPr="0060459D" w:rsidRDefault="00A8443D" w:rsidP="00653E3B">
            <w:pPr>
              <w:spacing w:line="300" w:lineRule="atLeast"/>
              <w:jc w:val="center"/>
              <w:rPr>
                <w:rFonts w:ascii="Arial" w:hAnsi="Arial" w:cs="Arial"/>
                <w:sz w:val="16"/>
                <w:szCs w:val="16"/>
              </w:rPr>
            </w:pPr>
            <w:r w:rsidRPr="0060459D">
              <w:rPr>
                <w:rFonts w:ascii="Arial" w:hAnsi="Arial" w:cs="Arial"/>
                <w:sz w:val="16"/>
                <w:szCs w:val="16"/>
              </w:rPr>
              <w:t>98,126</w:t>
            </w:r>
          </w:p>
        </w:tc>
        <w:tc>
          <w:tcPr>
            <w:tcW w:w="1037" w:type="dxa"/>
            <w:tcBorders>
              <w:bottom w:val="single" w:sz="4" w:space="0" w:color="auto"/>
            </w:tcBorders>
            <w:vAlign w:val="center"/>
          </w:tcPr>
          <w:p w14:paraId="242D8D2C" w14:textId="77777777" w:rsidR="00A8443D" w:rsidRPr="0060459D" w:rsidRDefault="00A8443D" w:rsidP="00653E3B">
            <w:pPr>
              <w:spacing w:line="300" w:lineRule="atLeast"/>
              <w:jc w:val="center"/>
              <w:rPr>
                <w:rFonts w:ascii="Arial" w:hAnsi="Arial" w:cs="Arial"/>
                <w:sz w:val="16"/>
                <w:szCs w:val="16"/>
              </w:rPr>
            </w:pPr>
            <w:r w:rsidRPr="0060459D">
              <w:rPr>
                <w:rFonts w:ascii="Arial" w:hAnsi="Arial" w:cs="Arial"/>
                <w:sz w:val="16"/>
                <w:szCs w:val="16"/>
              </w:rPr>
              <w:t>1</w:t>
            </w:r>
          </w:p>
        </w:tc>
        <w:tc>
          <w:tcPr>
            <w:tcW w:w="1216" w:type="dxa"/>
            <w:tcBorders>
              <w:bottom w:val="single" w:sz="4" w:space="0" w:color="auto"/>
            </w:tcBorders>
            <w:vAlign w:val="center"/>
          </w:tcPr>
          <w:p w14:paraId="028D958C" w14:textId="77777777" w:rsidR="00A8443D" w:rsidRPr="0060459D" w:rsidRDefault="00A8443D" w:rsidP="00653E3B">
            <w:pPr>
              <w:spacing w:line="300" w:lineRule="atLeast"/>
              <w:jc w:val="center"/>
              <w:rPr>
                <w:rFonts w:ascii="Arial" w:hAnsi="Arial" w:cs="Arial"/>
                <w:sz w:val="16"/>
                <w:szCs w:val="16"/>
              </w:rPr>
            </w:pPr>
            <w:r w:rsidRPr="0060459D">
              <w:rPr>
                <w:rFonts w:ascii="Arial" w:hAnsi="Arial" w:cs="Arial"/>
                <w:sz w:val="16"/>
                <w:szCs w:val="16"/>
              </w:rPr>
              <w:t>98</w:t>
            </w:r>
          </w:p>
        </w:tc>
        <w:tc>
          <w:tcPr>
            <w:tcW w:w="1291" w:type="dxa"/>
            <w:tcBorders>
              <w:bottom w:val="single" w:sz="4" w:space="0" w:color="auto"/>
            </w:tcBorders>
            <w:vAlign w:val="center"/>
          </w:tcPr>
          <w:p w14:paraId="0CAED70E" w14:textId="77777777" w:rsidR="00A8443D" w:rsidRPr="0060459D" w:rsidRDefault="00A8443D" w:rsidP="00653E3B">
            <w:pPr>
              <w:spacing w:line="300" w:lineRule="atLeast"/>
              <w:jc w:val="center"/>
              <w:rPr>
                <w:rFonts w:ascii="Arial" w:hAnsi="Arial" w:cs="Arial"/>
                <w:sz w:val="16"/>
                <w:szCs w:val="16"/>
              </w:rPr>
            </w:pPr>
            <w:r w:rsidRPr="0060459D">
              <w:rPr>
                <w:rFonts w:ascii="Arial" w:hAnsi="Arial" w:cs="Arial"/>
                <w:sz w:val="16"/>
                <w:szCs w:val="16"/>
              </w:rPr>
              <w:t>31.4</w:t>
            </w:r>
          </w:p>
        </w:tc>
      </w:tr>
      <w:tr w:rsidR="000661C4" w:rsidRPr="0060459D" w14:paraId="7E02F342" w14:textId="77777777" w:rsidTr="005162FD">
        <w:tc>
          <w:tcPr>
            <w:tcW w:w="2124" w:type="dxa"/>
            <w:tcBorders>
              <w:bottom w:val="single" w:sz="4" w:space="0" w:color="auto"/>
            </w:tcBorders>
          </w:tcPr>
          <w:p w14:paraId="5E407A34" w14:textId="642DDB66" w:rsidR="00AE7B6F" w:rsidRPr="0060459D" w:rsidRDefault="00AE7B6F" w:rsidP="00AE7B6F">
            <w:pPr>
              <w:spacing w:line="300" w:lineRule="atLeast"/>
              <w:jc w:val="both"/>
              <w:rPr>
                <w:rFonts w:ascii="Arial" w:hAnsi="Arial" w:cs="Arial"/>
                <w:sz w:val="16"/>
                <w:szCs w:val="16"/>
              </w:rPr>
            </w:pPr>
            <w:r w:rsidRPr="0060459D">
              <w:rPr>
                <w:rFonts w:ascii="Arial" w:hAnsi="Arial" w:cs="Arial"/>
                <w:sz w:val="16"/>
                <w:szCs w:val="16"/>
              </w:rPr>
              <w:t>Mercur</w:t>
            </w:r>
            <w:r w:rsidR="00AD00D2">
              <w:rPr>
                <w:rFonts w:ascii="Arial" w:hAnsi="Arial" w:cs="Arial"/>
                <w:sz w:val="16"/>
                <w:szCs w:val="16"/>
              </w:rPr>
              <w:t>y</w:t>
            </w:r>
            <w:r w:rsidRPr="0060459D">
              <w:rPr>
                <w:rFonts w:ascii="Arial" w:hAnsi="Arial" w:cs="Arial"/>
                <w:sz w:val="16"/>
                <w:szCs w:val="16"/>
              </w:rPr>
              <w:t xml:space="preserve"> oxide</w:t>
            </w:r>
            <w:r>
              <w:rPr>
                <w:rFonts w:ascii="Arial" w:hAnsi="Arial" w:cs="Arial"/>
                <w:sz w:val="16"/>
                <w:szCs w:val="16"/>
              </w:rPr>
              <w:t xml:space="preserve"> button, 2016</w:t>
            </w:r>
          </w:p>
        </w:tc>
        <w:tc>
          <w:tcPr>
            <w:tcW w:w="958" w:type="dxa"/>
            <w:tcBorders>
              <w:bottom w:val="single" w:sz="4" w:space="0" w:color="auto"/>
            </w:tcBorders>
            <w:vAlign w:val="center"/>
          </w:tcPr>
          <w:p w14:paraId="6A9D0796" w14:textId="0B01CEFA" w:rsidR="00AE7B6F" w:rsidRPr="0060459D" w:rsidRDefault="00AE7B6F" w:rsidP="00AE7B6F">
            <w:pPr>
              <w:spacing w:line="300" w:lineRule="atLeast"/>
              <w:jc w:val="center"/>
              <w:rPr>
                <w:rFonts w:ascii="Arial" w:hAnsi="Arial" w:cs="Arial"/>
                <w:sz w:val="16"/>
                <w:szCs w:val="16"/>
              </w:rPr>
            </w:pPr>
            <w:r>
              <w:rPr>
                <w:rFonts w:ascii="Arial" w:hAnsi="Arial" w:cs="Arial"/>
                <w:sz w:val="16"/>
                <w:szCs w:val="16"/>
              </w:rPr>
              <w:t>&lt;300</w:t>
            </w:r>
          </w:p>
        </w:tc>
        <w:tc>
          <w:tcPr>
            <w:tcW w:w="1187" w:type="dxa"/>
            <w:tcBorders>
              <w:bottom w:val="single" w:sz="4" w:space="0" w:color="auto"/>
            </w:tcBorders>
            <w:vAlign w:val="center"/>
          </w:tcPr>
          <w:p w14:paraId="2538F882" w14:textId="5F6E083D" w:rsidR="00AE7B6F" w:rsidRPr="0060459D" w:rsidRDefault="00AE7B6F" w:rsidP="00AE7B6F">
            <w:pPr>
              <w:spacing w:line="300" w:lineRule="atLeast"/>
              <w:jc w:val="center"/>
              <w:rPr>
                <w:rFonts w:ascii="Arial" w:hAnsi="Arial" w:cs="Arial"/>
                <w:sz w:val="16"/>
                <w:szCs w:val="16"/>
              </w:rPr>
            </w:pPr>
            <w:r>
              <w:rPr>
                <w:rFonts w:ascii="Arial" w:hAnsi="Arial" w:cs="Arial"/>
                <w:sz w:val="16"/>
                <w:szCs w:val="16"/>
              </w:rPr>
              <w:t>320</w:t>
            </w:r>
          </w:p>
        </w:tc>
        <w:tc>
          <w:tcPr>
            <w:tcW w:w="1248" w:type="dxa"/>
            <w:tcBorders>
              <w:bottom w:val="single" w:sz="4" w:space="0" w:color="auto"/>
            </w:tcBorders>
            <w:vAlign w:val="center"/>
          </w:tcPr>
          <w:p w14:paraId="15A2661A" w14:textId="00913F27" w:rsidR="00AE7B6F" w:rsidRPr="0060459D" w:rsidRDefault="00AE7B6F" w:rsidP="00AE7B6F">
            <w:pPr>
              <w:spacing w:line="300" w:lineRule="atLeast"/>
              <w:jc w:val="center"/>
              <w:rPr>
                <w:rFonts w:ascii="Arial" w:hAnsi="Arial" w:cs="Arial"/>
                <w:sz w:val="16"/>
                <w:szCs w:val="16"/>
              </w:rPr>
            </w:pPr>
            <w:r>
              <w:rPr>
                <w:rFonts w:ascii="Arial" w:hAnsi="Arial" w:cs="Arial"/>
                <w:sz w:val="16"/>
                <w:szCs w:val="16"/>
              </w:rPr>
              <w:t>2</w:t>
            </w:r>
            <w:r w:rsidR="004850C0">
              <w:rPr>
                <w:rFonts w:ascii="Arial" w:hAnsi="Arial" w:cs="Arial"/>
                <w:sz w:val="16"/>
                <w:szCs w:val="16"/>
              </w:rPr>
              <w:t>,</w:t>
            </w:r>
            <w:r>
              <w:rPr>
                <w:rFonts w:ascii="Arial" w:hAnsi="Arial" w:cs="Arial"/>
                <w:sz w:val="16"/>
                <w:szCs w:val="16"/>
              </w:rPr>
              <w:t>543</w:t>
            </w:r>
          </w:p>
        </w:tc>
        <w:tc>
          <w:tcPr>
            <w:tcW w:w="1037" w:type="dxa"/>
            <w:tcBorders>
              <w:bottom w:val="single" w:sz="4" w:space="0" w:color="auto"/>
            </w:tcBorders>
            <w:vAlign w:val="center"/>
          </w:tcPr>
          <w:p w14:paraId="1233A2E1" w14:textId="5746BCF4" w:rsidR="00AE7B6F" w:rsidRPr="0060459D" w:rsidRDefault="00AE7B6F" w:rsidP="00AE7B6F">
            <w:pPr>
              <w:spacing w:line="300" w:lineRule="atLeast"/>
              <w:jc w:val="center"/>
              <w:rPr>
                <w:rFonts w:ascii="Arial" w:hAnsi="Arial" w:cs="Arial"/>
                <w:sz w:val="16"/>
                <w:szCs w:val="16"/>
              </w:rPr>
            </w:pPr>
            <w:r>
              <w:rPr>
                <w:rFonts w:ascii="Arial" w:hAnsi="Arial" w:cs="Arial"/>
                <w:sz w:val="16"/>
                <w:szCs w:val="16"/>
              </w:rPr>
              <w:t>1</w:t>
            </w:r>
          </w:p>
        </w:tc>
        <w:tc>
          <w:tcPr>
            <w:tcW w:w="1216" w:type="dxa"/>
            <w:tcBorders>
              <w:bottom w:val="single" w:sz="4" w:space="0" w:color="auto"/>
            </w:tcBorders>
            <w:vAlign w:val="center"/>
          </w:tcPr>
          <w:p w14:paraId="61FC4463" w14:textId="4FCBD294" w:rsidR="00AE7B6F" w:rsidRPr="0060459D" w:rsidRDefault="00AE7B6F" w:rsidP="00AE7B6F">
            <w:pPr>
              <w:spacing w:line="300" w:lineRule="atLeast"/>
              <w:jc w:val="center"/>
              <w:rPr>
                <w:rFonts w:ascii="Arial" w:hAnsi="Arial" w:cs="Arial"/>
                <w:sz w:val="16"/>
                <w:szCs w:val="16"/>
              </w:rPr>
            </w:pPr>
            <w:r>
              <w:rPr>
                <w:rFonts w:ascii="Arial" w:hAnsi="Arial" w:cs="Arial"/>
                <w:sz w:val="16"/>
                <w:szCs w:val="16"/>
              </w:rPr>
              <w:t>2.5</w:t>
            </w:r>
          </w:p>
        </w:tc>
        <w:tc>
          <w:tcPr>
            <w:tcW w:w="1291" w:type="dxa"/>
            <w:tcBorders>
              <w:bottom w:val="single" w:sz="4" w:space="0" w:color="auto"/>
            </w:tcBorders>
            <w:vAlign w:val="center"/>
          </w:tcPr>
          <w:p w14:paraId="25D88214" w14:textId="595A4DDB" w:rsidR="00AE7B6F" w:rsidRPr="0060459D" w:rsidRDefault="00AE7B6F" w:rsidP="00AE7B6F">
            <w:pPr>
              <w:spacing w:line="300" w:lineRule="atLeast"/>
              <w:jc w:val="center"/>
              <w:rPr>
                <w:rFonts w:ascii="Arial" w:hAnsi="Arial" w:cs="Arial"/>
                <w:sz w:val="16"/>
                <w:szCs w:val="16"/>
              </w:rPr>
            </w:pPr>
            <w:r>
              <w:rPr>
                <w:rFonts w:ascii="Arial" w:hAnsi="Arial" w:cs="Arial"/>
                <w:sz w:val="16"/>
                <w:szCs w:val="16"/>
              </w:rPr>
              <w:t>0.81</w:t>
            </w:r>
          </w:p>
        </w:tc>
      </w:tr>
      <w:tr w:rsidR="000661C4" w:rsidRPr="0060459D" w14:paraId="7DB27CBE" w14:textId="77777777" w:rsidTr="005162FD">
        <w:tc>
          <w:tcPr>
            <w:tcW w:w="2124" w:type="dxa"/>
            <w:tcBorders>
              <w:bottom w:val="double" w:sz="4" w:space="0" w:color="auto"/>
            </w:tcBorders>
          </w:tcPr>
          <w:p w14:paraId="17A68722" w14:textId="6E42FC3F" w:rsidR="00AE7B6F" w:rsidRPr="0060459D" w:rsidRDefault="00AE7B6F" w:rsidP="00AE7B6F">
            <w:pPr>
              <w:spacing w:line="300" w:lineRule="atLeast"/>
              <w:jc w:val="both"/>
              <w:rPr>
                <w:rFonts w:ascii="Arial" w:hAnsi="Arial" w:cs="Arial"/>
                <w:sz w:val="16"/>
                <w:szCs w:val="16"/>
              </w:rPr>
            </w:pPr>
            <w:r>
              <w:rPr>
                <w:rFonts w:ascii="Arial" w:hAnsi="Arial" w:cs="Arial"/>
                <w:sz w:val="16"/>
                <w:szCs w:val="16"/>
              </w:rPr>
              <w:t>Mercur</w:t>
            </w:r>
            <w:r w:rsidR="00AD00D2">
              <w:rPr>
                <w:rFonts w:ascii="Arial" w:hAnsi="Arial" w:cs="Arial"/>
                <w:sz w:val="16"/>
                <w:szCs w:val="16"/>
              </w:rPr>
              <w:t>y</w:t>
            </w:r>
            <w:r>
              <w:rPr>
                <w:rFonts w:ascii="Arial" w:hAnsi="Arial" w:cs="Arial"/>
                <w:sz w:val="16"/>
                <w:szCs w:val="16"/>
              </w:rPr>
              <w:t xml:space="preserve"> oxide button, 2020</w:t>
            </w:r>
          </w:p>
        </w:tc>
        <w:tc>
          <w:tcPr>
            <w:tcW w:w="958" w:type="dxa"/>
            <w:tcBorders>
              <w:bottom w:val="double" w:sz="4" w:space="0" w:color="auto"/>
            </w:tcBorders>
            <w:vAlign w:val="center"/>
          </w:tcPr>
          <w:p w14:paraId="6A9AD97C" w14:textId="2CEA3C9C" w:rsidR="00AE7B6F" w:rsidRPr="0060459D" w:rsidRDefault="00AE7B6F" w:rsidP="00AE7B6F">
            <w:pPr>
              <w:spacing w:line="300" w:lineRule="atLeast"/>
              <w:jc w:val="center"/>
              <w:rPr>
                <w:rFonts w:ascii="Arial" w:hAnsi="Arial" w:cs="Arial"/>
                <w:sz w:val="16"/>
                <w:szCs w:val="16"/>
              </w:rPr>
            </w:pPr>
            <w:r>
              <w:rPr>
                <w:rFonts w:ascii="Arial" w:hAnsi="Arial" w:cs="Arial"/>
                <w:sz w:val="16"/>
                <w:szCs w:val="16"/>
              </w:rPr>
              <w:t>&lt;300</w:t>
            </w:r>
          </w:p>
        </w:tc>
        <w:tc>
          <w:tcPr>
            <w:tcW w:w="1187" w:type="dxa"/>
            <w:tcBorders>
              <w:bottom w:val="double" w:sz="4" w:space="0" w:color="auto"/>
            </w:tcBorders>
            <w:vAlign w:val="center"/>
          </w:tcPr>
          <w:p w14:paraId="51966018" w14:textId="3123FA99" w:rsidR="00AE7B6F" w:rsidRPr="0060459D" w:rsidRDefault="00AE7B6F" w:rsidP="00AE7B6F">
            <w:pPr>
              <w:spacing w:line="300" w:lineRule="atLeast"/>
              <w:jc w:val="center"/>
              <w:rPr>
                <w:rFonts w:ascii="Arial" w:hAnsi="Arial" w:cs="Arial"/>
                <w:sz w:val="16"/>
                <w:szCs w:val="16"/>
              </w:rPr>
            </w:pPr>
            <w:r>
              <w:rPr>
                <w:rFonts w:ascii="Arial" w:hAnsi="Arial" w:cs="Arial"/>
                <w:sz w:val="16"/>
                <w:szCs w:val="16"/>
              </w:rPr>
              <w:t>320</w:t>
            </w:r>
          </w:p>
        </w:tc>
        <w:tc>
          <w:tcPr>
            <w:tcW w:w="1248" w:type="dxa"/>
            <w:tcBorders>
              <w:bottom w:val="double" w:sz="4" w:space="0" w:color="auto"/>
            </w:tcBorders>
            <w:vAlign w:val="center"/>
          </w:tcPr>
          <w:p w14:paraId="10F16C69" w14:textId="4C5195D3" w:rsidR="00AE7B6F" w:rsidRPr="0060459D" w:rsidRDefault="00AE7B6F" w:rsidP="00AE7B6F">
            <w:pPr>
              <w:spacing w:line="300" w:lineRule="atLeast"/>
              <w:jc w:val="center"/>
              <w:rPr>
                <w:rFonts w:ascii="Arial" w:hAnsi="Arial" w:cs="Arial"/>
                <w:sz w:val="16"/>
                <w:szCs w:val="16"/>
              </w:rPr>
            </w:pPr>
            <w:r>
              <w:rPr>
                <w:rFonts w:ascii="Arial" w:hAnsi="Arial" w:cs="Arial"/>
                <w:sz w:val="16"/>
                <w:szCs w:val="16"/>
              </w:rPr>
              <w:t>14,287</w:t>
            </w:r>
          </w:p>
        </w:tc>
        <w:tc>
          <w:tcPr>
            <w:tcW w:w="1037" w:type="dxa"/>
            <w:tcBorders>
              <w:bottom w:val="double" w:sz="4" w:space="0" w:color="auto"/>
            </w:tcBorders>
            <w:vAlign w:val="center"/>
          </w:tcPr>
          <w:p w14:paraId="18D8BD02" w14:textId="70ED9C1C" w:rsidR="00AE7B6F" w:rsidRPr="0060459D" w:rsidRDefault="00AE7B6F" w:rsidP="00AE7B6F">
            <w:pPr>
              <w:spacing w:line="300" w:lineRule="atLeast"/>
              <w:jc w:val="center"/>
              <w:rPr>
                <w:rFonts w:ascii="Arial" w:hAnsi="Arial" w:cs="Arial"/>
                <w:sz w:val="16"/>
                <w:szCs w:val="16"/>
              </w:rPr>
            </w:pPr>
            <w:r>
              <w:rPr>
                <w:rFonts w:ascii="Arial" w:hAnsi="Arial" w:cs="Arial"/>
                <w:sz w:val="16"/>
                <w:szCs w:val="16"/>
              </w:rPr>
              <w:t>1</w:t>
            </w:r>
          </w:p>
        </w:tc>
        <w:tc>
          <w:tcPr>
            <w:tcW w:w="1216" w:type="dxa"/>
            <w:tcBorders>
              <w:bottom w:val="double" w:sz="4" w:space="0" w:color="auto"/>
            </w:tcBorders>
            <w:vAlign w:val="center"/>
          </w:tcPr>
          <w:p w14:paraId="4DD7A66E" w14:textId="668AE3EB" w:rsidR="00AE7B6F" w:rsidRPr="0060459D" w:rsidRDefault="00AE7B6F" w:rsidP="00AE7B6F">
            <w:pPr>
              <w:spacing w:line="300" w:lineRule="atLeast"/>
              <w:jc w:val="center"/>
              <w:rPr>
                <w:rFonts w:ascii="Arial" w:hAnsi="Arial" w:cs="Arial"/>
                <w:sz w:val="16"/>
                <w:szCs w:val="16"/>
              </w:rPr>
            </w:pPr>
            <w:r>
              <w:rPr>
                <w:rFonts w:ascii="Arial" w:hAnsi="Arial" w:cs="Arial"/>
                <w:sz w:val="16"/>
                <w:szCs w:val="16"/>
              </w:rPr>
              <w:t>14.3</w:t>
            </w:r>
          </w:p>
        </w:tc>
        <w:tc>
          <w:tcPr>
            <w:tcW w:w="1291" w:type="dxa"/>
            <w:tcBorders>
              <w:bottom w:val="double" w:sz="4" w:space="0" w:color="auto"/>
            </w:tcBorders>
            <w:vAlign w:val="center"/>
          </w:tcPr>
          <w:p w14:paraId="6518A658" w14:textId="43C9AC6F" w:rsidR="00AE7B6F" w:rsidRPr="0060459D" w:rsidRDefault="00AE7B6F" w:rsidP="00AE7B6F">
            <w:pPr>
              <w:spacing w:line="300" w:lineRule="atLeast"/>
              <w:jc w:val="center"/>
              <w:rPr>
                <w:rFonts w:ascii="Arial" w:hAnsi="Arial" w:cs="Arial"/>
                <w:sz w:val="16"/>
                <w:szCs w:val="16"/>
              </w:rPr>
            </w:pPr>
            <w:r>
              <w:rPr>
                <w:rFonts w:ascii="Arial" w:hAnsi="Arial" w:cs="Arial"/>
                <w:sz w:val="16"/>
                <w:szCs w:val="16"/>
              </w:rPr>
              <w:t>4.5</w:t>
            </w:r>
            <w:r w:rsidR="006870F1">
              <w:rPr>
                <w:rFonts w:ascii="Arial" w:hAnsi="Arial" w:cs="Arial"/>
                <w:sz w:val="16"/>
                <w:szCs w:val="16"/>
              </w:rPr>
              <w:t>7</w:t>
            </w:r>
          </w:p>
        </w:tc>
      </w:tr>
      <w:tr w:rsidR="004850C0" w:rsidRPr="0060459D" w14:paraId="31FB5CD0" w14:textId="77777777" w:rsidTr="005162FD">
        <w:tc>
          <w:tcPr>
            <w:tcW w:w="2124" w:type="dxa"/>
            <w:tcBorders>
              <w:bottom w:val="double" w:sz="4" w:space="0" w:color="auto"/>
            </w:tcBorders>
          </w:tcPr>
          <w:p w14:paraId="33E427E3" w14:textId="7818868A" w:rsidR="004850C0" w:rsidRDefault="004850C0" w:rsidP="00AE7B6F">
            <w:pPr>
              <w:spacing w:line="300" w:lineRule="atLeast"/>
              <w:jc w:val="both"/>
              <w:rPr>
                <w:rFonts w:ascii="Arial" w:hAnsi="Arial" w:cs="Arial"/>
                <w:sz w:val="16"/>
                <w:szCs w:val="16"/>
              </w:rPr>
            </w:pPr>
            <w:r>
              <w:rPr>
                <w:rFonts w:ascii="Arial" w:hAnsi="Arial" w:cs="Arial"/>
                <w:sz w:val="16"/>
                <w:szCs w:val="16"/>
              </w:rPr>
              <w:t>Mercury oxide button, 2024</w:t>
            </w:r>
          </w:p>
        </w:tc>
        <w:tc>
          <w:tcPr>
            <w:tcW w:w="958" w:type="dxa"/>
            <w:tcBorders>
              <w:bottom w:val="double" w:sz="4" w:space="0" w:color="auto"/>
            </w:tcBorders>
            <w:vAlign w:val="center"/>
          </w:tcPr>
          <w:p w14:paraId="52DAF00D" w14:textId="2151BC44" w:rsidR="004850C0" w:rsidRDefault="004850C0" w:rsidP="00AE7B6F">
            <w:pPr>
              <w:spacing w:line="300" w:lineRule="atLeast"/>
              <w:jc w:val="center"/>
              <w:rPr>
                <w:rFonts w:ascii="Arial" w:hAnsi="Arial" w:cs="Arial"/>
                <w:sz w:val="16"/>
                <w:szCs w:val="16"/>
              </w:rPr>
            </w:pPr>
            <w:r>
              <w:rPr>
                <w:rFonts w:ascii="Arial" w:hAnsi="Arial" w:cs="Arial"/>
                <w:sz w:val="16"/>
                <w:szCs w:val="16"/>
              </w:rPr>
              <w:t>&lt; 300</w:t>
            </w:r>
          </w:p>
        </w:tc>
        <w:tc>
          <w:tcPr>
            <w:tcW w:w="1187" w:type="dxa"/>
            <w:tcBorders>
              <w:bottom w:val="double" w:sz="4" w:space="0" w:color="auto"/>
            </w:tcBorders>
            <w:vAlign w:val="center"/>
          </w:tcPr>
          <w:p w14:paraId="34381297" w14:textId="361826F6" w:rsidR="004850C0" w:rsidRDefault="004850C0" w:rsidP="00AE7B6F">
            <w:pPr>
              <w:spacing w:line="300" w:lineRule="atLeast"/>
              <w:jc w:val="center"/>
              <w:rPr>
                <w:rFonts w:ascii="Arial" w:hAnsi="Arial" w:cs="Arial"/>
                <w:sz w:val="16"/>
                <w:szCs w:val="16"/>
              </w:rPr>
            </w:pPr>
            <w:r>
              <w:rPr>
                <w:rFonts w:ascii="Arial" w:hAnsi="Arial" w:cs="Arial"/>
                <w:sz w:val="16"/>
                <w:szCs w:val="16"/>
              </w:rPr>
              <w:t>320</w:t>
            </w:r>
          </w:p>
        </w:tc>
        <w:tc>
          <w:tcPr>
            <w:tcW w:w="1248" w:type="dxa"/>
            <w:tcBorders>
              <w:bottom w:val="double" w:sz="4" w:space="0" w:color="auto"/>
            </w:tcBorders>
            <w:vAlign w:val="center"/>
          </w:tcPr>
          <w:p w14:paraId="662E0BF6" w14:textId="2A2C13FB" w:rsidR="004850C0" w:rsidRDefault="004850C0" w:rsidP="00AE7B6F">
            <w:pPr>
              <w:spacing w:line="300" w:lineRule="atLeast"/>
              <w:jc w:val="center"/>
              <w:rPr>
                <w:rFonts w:ascii="Arial" w:hAnsi="Arial" w:cs="Arial"/>
                <w:sz w:val="16"/>
                <w:szCs w:val="16"/>
              </w:rPr>
            </w:pPr>
            <w:r>
              <w:rPr>
                <w:rFonts w:ascii="Arial" w:hAnsi="Arial" w:cs="Arial"/>
                <w:sz w:val="16"/>
                <w:szCs w:val="16"/>
              </w:rPr>
              <w:t>22,877</w:t>
            </w:r>
          </w:p>
        </w:tc>
        <w:tc>
          <w:tcPr>
            <w:tcW w:w="1037" w:type="dxa"/>
            <w:tcBorders>
              <w:bottom w:val="double" w:sz="4" w:space="0" w:color="auto"/>
            </w:tcBorders>
            <w:vAlign w:val="center"/>
          </w:tcPr>
          <w:p w14:paraId="0F8DC5CB" w14:textId="7F17C08C" w:rsidR="004850C0" w:rsidRDefault="004850C0" w:rsidP="00AE7B6F">
            <w:pPr>
              <w:spacing w:line="300" w:lineRule="atLeast"/>
              <w:jc w:val="center"/>
              <w:rPr>
                <w:rFonts w:ascii="Arial" w:hAnsi="Arial" w:cs="Arial"/>
                <w:sz w:val="16"/>
                <w:szCs w:val="16"/>
              </w:rPr>
            </w:pPr>
            <w:r>
              <w:rPr>
                <w:rFonts w:ascii="Arial" w:hAnsi="Arial" w:cs="Arial"/>
                <w:sz w:val="16"/>
                <w:szCs w:val="16"/>
              </w:rPr>
              <w:t>1</w:t>
            </w:r>
          </w:p>
        </w:tc>
        <w:tc>
          <w:tcPr>
            <w:tcW w:w="1216" w:type="dxa"/>
            <w:tcBorders>
              <w:bottom w:val="double" w:sz="4" w:space="0" w:color="auto"/>
            </w:tcBorders>
            <w:vAlign w:val="center"/>
          </w:tcPr>
          <w:p w14:paraId="4CE9C607" w14:textId="62E95E7D" w:rsidR="004850C0" w:rsidRDefault="004850C0" w:rsidP="00AE7B6F">
            <w:pPr>
              <w:spacing w:line="300" w:lineRule="atLeast"/>
              <w:jc w:val="center"/>
              <w:rPr>
                <w:rFonts w:ascii="Arial" w:hAnsi="Arial" w:cs="Arial"/>
                <w:sz w:val="16"/>
                <w:szCs w:val="16"/>
              </w:rPr>
            </w:pPr>
            <w:r>
              <w:rPr>
                <w:rFonts w:ascii="Arial" w:hAnsi="Arial" w:cs="Arial"/>
                <w:sz w:val="16"/>
                <w:szCs w:val="16"/>
              </w:rPr>
              <w:t>22.</w:t>
            </w:r>
            <w:r w:rsidR="005162FD">
              <w:rPr>
                <w:rFonts w:ascii="Arial" w:hAnsi="Arial" w:cs="Arial"/>
                <w:sz w:val="16"/>
                <w:szCs w:val="16"/>
              </w:rPr>
              <w:t>9</w:t>
            </w:r>
          </w:p>
        </w:tc>
        <w:tc>
          <w:tcPr>
            <w:tcW w:w="1291" w:type="dxa"/>
            <w:tcBorders>
              <w:bottom w:val="double" w:sz="4" w:space="0" w:color="auto"/>
            </w:tcBorders>
            <w:vAlign w:val="center"/>
          </w:tcPr>
          <w:p w14:paraId="3F5EC6BF" w14:textId="2DDAC704" w:rsidR="004850C0" w:rsidRDefault="004850C0" w:rsidP="00AE7B6F">
            <w:pPr>
              <w:spacing w:line="300" w:lineRule="atLeast"/>
              <w:jc w:val="center"/>
              <w:rPr>
                <w:rFonts w:ascii="Arial" w:hAnsi="Arial" w:cs="Arial"/>
                <w:sz w:val="16"/>
                <w:szCs w:val="16"/>
              </w:rPr>
            </w:pPr>
            <w:r>
              <w:rPr>
                <w:rFonts w:ascii="Arial" w:hAnsi="Arial" w:cs="Arial"/>
                <w:sz w:val="16"/>
                <w:szCs w:val="16"/>
              </w:rPr>
              <w:t>7.32</w:t>
            </w:r>
          </w:p>
        </w:tc>
      </w:tr>
      <w:tr w:rsidR="00A8443D" w:rsidRPr="0060459D" w14:paraId="733CF03D" w14:textId="77777777" w:rsidTr="005162FD">
        <w:tc>
          <w:tcPr>
            <w:tcW w:w="2124" w:type="dxa"/>
            <w:tcBorders>
              <w:top w:val="double" w:sz="4" w:space="0" w:color="auto"/>
              <w:bottom w:val="single" w:sz="4" w:space="0" w:color="auto"/>
            </w:tcBorders>
          </w:tcPr>
          <w:p w14:paraId="4368921D" w14:textId="77777777" w:rsidR="00A8443D" w:rsidRPr="0060459D" w:rsidRDefault="00A8443D" w:rsidP="00653E3B">
            <w:pPr>
              <w:spacing w:line="300" w:lineRule="atLeast"/>
              <w:jc w:val="both"/>
              <w:rPr>
                <w:rFonts w:ascii="Arial" w:hAnsi="Arial" w:cs="Arial"/>
                <w:sz w:val="16"/>
                <w:szCs w:val="16"/>
              </w:rPr>
            </w:pPr>
            <w:r w:rsidRPr="0060459D">
              <w:rPr>
                <w:rFonts w:ascii="Arial" w:hAnsi="Arial" w:cs="Arial"/>
                <w:sz w:val="16"/>
                <w:szCs w:val="16"/>
              </w:rPr>
              <w:t>Silver oxide</w:t>
            </w:r>
            <w:r>
              <w:rPr>
                <w:rFonts w:ascii="Arial" w:hAnsi="Arial" w:cs="Arial"/>
                <w:sz w:val="16"/>
                <w:szCs w:val="16"/>
              </w:rPr>
              <w:t xml:space="preserve"> button, 2012</w:t>
            </w:r>
          </w:p>
        </w:tc>
        <w:tc>
          <w:tcPr>
            <w:tcW w:w="958" w:type="dxa"/>
            <w:tcBorders>
              <w:top w:val="double" w:sz="4" w:space="0" w:color="auto"/>
              <w:bottom w:val="single" w:sz="4" w:space="0" w:color="auto"/>
            </w:tcBorders>
            <w:vAlign w:val="center"/>
          </w:tcPr>
          <w:p w14:paraId="1DBA3D93" w14:textId="77777777" w:rsidR="00A8443D" w:rsidRPr="0060459D" w:rsidRDefault="00A8443D" w:rsidP="00653E3B">
            <w:pPr>
              <w:spacing w:line="300" w:lineRule="atLeast"/>
              <w:jc w:val="center"/>
              <w:rPr>
                <w:rFonts w:ascii="Arial" w:hAnsi="Arial" w:cs="Arial"/>
                <w:sz w:val="16"/>
                <w:szCs w:val="16"/>
              </w:rPr>
            </w:pPr>
            <w:r w:rsidRPr="0060459D">
              <w:rPr>
                <w:rFonts w:ascii="Arial" w:hAnsi="Arial" w:cs="Arial"/>
                <w:sz w:val="16"/>
                <w:szCs w:val="16"/>
              </w:rPr>
              <w:t>all</w:t>
            </w:r>
          </w:p>
        </w:tc>
        <w:tc>
          <w:tcPr>
            <w:tcW w:w="1187" w:type="dxa"/>
            <w:tcBorders>
              <w:top w:val="double" w:sz="4" w:space="0" w:color="auto"/>
              <w:bottom w:val="single" w:sz="4" w:space="0" w:color="auto"/>
            </w:tcBorders>
            <w:vAlign w:val="center"/>
          </w:tcPr>
          <w:p w14:paraId="0CD8FE7B" w14:textId="77777777" w:rsidR="00A8443D" w:rsidRPr="0060459D" w:rsidRDefault="00A8443D" w:rsidP="00653E3B">
            <w:pPr>
              <w:spacing w:line="300" w:lineRule="atLeast"/>
              <w:jc w:val="center"/>
              <w:rPr>
                <w:rFonts w:ascii="Arial" w:hAnsi="Arial" w:cs="Arial"/>
                <w:sz w:val="16"/>
                <w:szCs w:val="16"/>
              </w:rPr>
            </w:pPr>
            <w:r w:rsidRPr="0060459D">
              <w:rPr>
                <w:rFonts w:ascii="Arial" w:hAnsi="Arial" w:cs="Arial"/>
                <w:sz w:val="16"/>
                <w:szCs w:val="16"/>
              </w:rPr>
              <w:t>3.4 – 10</w:t>
            </w:r>
          </w:p>
        </w:tc>
        <w:tc>
          <w:tcPr>
            <w:tcW w:w="1248" w:type="dxa"/>
            <w:tcBorders>
              <w:top w:val="double" w:sz="4" w:space="0" w:color="auto"/>
              <w:bottom w:val="single" w:sz="4" w:space="0" w:color="auto"/>
            </w:tcBorders>
            <w:vAlign w:val="center"/>
          </w:tcPr>
          <w:p w14:paraId="7BA7727F" w14:textId="77777777" w:rsidR="00A8443D" w:rsidRPr="0060459D" w:rsidRDefault="00A8443D" w:rsidP="00653E3B">
            <w:pPr>
              <w:spacing w:line="300" w:lineRule="atLeast"/>
              <w:jc w:val="center"/>
              <w:rPr>
                <w:rFonts w:ascii="Arial" w:hAnsi="Arial" w:cs="Arial"/>
                <w:sz w:val="16"/>
                <w:szCs w:val="16"/>
              </w:rPr>
            </w:pPr>
            <w:r w:rsidRPr="0060459D">
              <w:rPr>
                <w:rFonts w:ascii="Arial" w:hAnsi="Arial" w:cs="Arial"/>
                <w:sz w:val="16"/>
                <w:szCs w:val="16"/>
              </w:rPr>
              <w:t>653,266</w:t>
            </w:r>
          </w:p>
        </w:tc>
        <w:tc>
          <w:tcPr>
            <w:tcW w:w="1037" w:type="dxa"/>
            <w:tcBorders>
              <w:top w:val="double" w:sz="4" w:space="0" w:color="auto"/>
              <w:bottom w:val="single" w:sz="4" w:space="0" w:color="auto"/>
            </w:tcBorders>
            <w:vAlign w:val="center"/>
          </w:tcPr>
          <w:p w14:paraId="61E06CB8" w14:textId="77777777" w:rsidR="00A8443D" w:rsidRPr="0060459D" w:rsidRDefault="00A8443D" w:rsidP="00653E3B">
            <w:pPr>
              <w:spacing w:line="300" w:lineRule="atLeast"/>
              <w:jc w:val="center"/>
              <w:rPr>
                <w:rFonts w:ascii="Arial" w:hAnsi="Arial" w:cs="Arial"/>
                <w:sz w:val="16"/>
                <w:szCs w:val="16"/>
              </w:rPr>
            </w:pPr>
            <w:r w:rsidRPr="0060459D">
              <w:rPr>
                <w:rFonts w:ascii="Arial" w:hAnsi="Arial" w:cs="Arial"/>
                <w:sz w:val="16"/>
                <w:szCs w:val="16"/>
              </w:rPr>
              <w:t>1</w:t>
            </w:r>
          </w:p>
        </w:tc>
        <w:tc>
          <w:tcPr>
            <w:tcW w:w="1216" w:type="dxa"/>
            <w:tcBorders>
              <w:top w:val="double" w:sz="4" w:space="0" w:color="auto"/>
              <w:bottom w:val="single" w:sz="4" w:space="0" w:color="auto"/>
            </w:tcBorders>
            <w:vAlign w:val="center"/>
          </w:tcPr>
          <w:p w14:paraId="79B7AEF9" w14:textId="77777777" w:rsidR="00A8443D" w:rsidRPr="0060459D" w:rsidRDefault="00A8443D" w:rsidP="00653E3B">
            <w:pPr>
              <w:spacing w:line="300" w:lineRule="atLeast"/>
              <w:jc w:val="center"/>
              <w:rPr>
                <w:rFonts w:ascii="Arial" w:hAnsi="Arial" w:cs="Arial"/>
                <w:sz w:val="16"/>
                <w:szCs w:val="16"/>
              </w:rPr>
            </w:pPr>
            <w:r w:rsidRPr="0060459D">
              <w:rPr>
                <w:rFonts w:ascii="Arial" w:hAnsi="Arial" w:cs="Arial"/>
                <w:sz w:val="16"/>
                <w:szCs w:val="16"/>
              </w:rPr>
              <w:t>653</w:t>
            </w:r>
          </w:p>
        </w:tc>
        <w:tc>
          <w:tcPr>
            <w:tcW w:w="1291" w:type="dxa"/>
            <w:tcBorders>
              <w:top w:val="double" w:sz="4" w:space="0" w:color="auto"/>
              <w:bottom w:val="single" w:sz="4" w:space="0" w:color="auto"/>
            </w:tcBorders>
            <w:vAlign w:val="center"/>
          </w:tcPr>
          <w:p w14:paraId="16C08863" w14:textId="77777777" w:rsidR="00A8443D" w:rsidRPr="0060459D" w:rsidRDefault="00A8443D" w:rsidP="00653E3B">
            <w:pPr>
              <w:spacing w:line="300" w:lineRule="atLeast"/>
              <w:jc w:val="center"/>
              <w:rPr>
                <w:rFonts w:ascii="Arial" w:hAnsi="Arial" w:cs="Arial"/>
                <w:sz w:val="16"/>
                <w:szCs w:val="16"/>
              </w:rPr>
            </w:pPr>
            <w:r w:rsidRPr="0060459D">
              <w:rPr>
                <w:rFonts w:ascii="Arial" w:hAnsi="Arial" w:cs="Arial"/>
                <w:sz w:val="16"/>
                <w:szCs w:val="16"/>
              </w:rPr>
              <w:t>2.2 – 6.5</w:t>
            </w:r>
          </w:p>
        </w:tc>
      </w:tr>
      <w:tr w:rsidR="00A8443D" w:rsidRPr="0060459D" w14:paraId="62BA1808" w14:textId="77777777" w:rsidTr="005162FD">
        <w:tc>
          <w:tcPr>
            <w:tcW w:w="2124" w:type="dxa"/>
            <w:tcBorders>
              <w:bottom w:val="single" w:sz="4" w:space="0" w:color="auto"/>
            </w:tcBorders>
          </w:tcPr>
          <w:p w14:paraId="03D94FCC" w14:textId="7FD631F6" w:rsidR="00A8443D" w:rsidRPr="0060459D" w:rsidRDefault="00A8443D" w:rsidP="00653E3B">
            <w:pPr>
              <w:spacing w:line="300" w:lineRule="atLeast"/>
              <w:jc w:val="both"/>
              <w:rPr>
                <w:rFonts w:ascii="Arial" w:hAnsi="Arial" w:cs="Arial"/>
                <w:sz w:val="16"/>
                <w:szCs w:val="16"/>
              </w:rPr>
            </w:pPr>
            <w:r w:rsidRPr="0060459D">
              <w:rPr>
                <w:rFonts w:ascii="Arial" w:hAnsi="Arial" w:cs="Arial"/>
                <w:sz w:val="16"/>
                <w:szCs w:val="16"/>
              </w:rPr>
              <w:t>Silver oxide</w:t>
            </w:r>
            <w:r>
              <w:rPr>
                <w:rFonts w:ascii="Arial" w:hAnsi="Arial" w:cs="Arial"/>
                <w:sz w:val="16"/>
                <w:szCs w:val="16"/>
              </w:rPr>
              <w:t xml:space="preserve"> button, 201</w:t>
            </w:r>
            <w:r w:rsidR="00DC0C4B">
              <w:rPr>
                <w:rFonts w:ascii="Arial" w:hAnsi="Arial" w:cs="Arial"/>
                <w:sz w:val="16"/>
                <w:szCs w:val="16"/>
              </w:rPr>
              <w:t>6</w:t>
            </w:r>
          </w:p>
        </w:tc>
        <w:tc>
          <w:tcPr>
            <w:tcW w:w="958" w:type="dxa"/>
            <w:tcBorders>
              <w:bottom w:val="single" w:sz="4" w:space="0" w:color="auto"/>
            </w:tcBorders>
            <w:vAlign w:val="center"/>
          </w:tcPr>
          <w:p w14:paraId="42D6ED7F" w14:textId="77777777" w:rsidR="00A8443D" w:rsidRPr="0060459D" w:rsidRDefault="00A8443D" w:rsidP="00653E3B">
            <w:pPr>
              <w:spacing w:line="300" w:lineRule="atLeast"/>
              <w:jc w:val="center"/>
              <w:rPr>
                <w:rFonts w:ascii="Arial" w:hAnsi="Arial" w:cs="Arial"/>
                <w:sz w:val="16"/>
                <w:szCs w:val="16"/>
              </w:rPr>
            </w:pPr>
            <w:r>
              <w:rPr>
                <w:rFonts w:ascii="Arial" w:hAnsi="Arial" w:cs="Arial"/>
                <w:sz w:val="16"/>
                <w:szCs w:val="16"/>
              </w:rPr>
              <w:t>all</w:t>
            </w:r>
          </w:p>
        </w:tc>
        <w:tc>
          <w:tcPr>
            <w:tcW w:w="1187" w:type="dxa"/>
            <w:tcBorders>
              <w:bottom w:val="single" w:sz="4" w:space="0" w:color="auto"/>
            </w:tcBorders>
            <w:vAlign w:val="center"/>
          </w:tcPr>
          <w:p w14:paraId="4A61F74E" w14:textId="39A8136C" w:rsidR="00A8443D" w:rsidRPr="0060459D" w:rsidRDefault="009C6631" w:rsidP="00653E3B">
            <w:pPr>
              <w:spacing w:line="300" w:lineRule="atLeast"/>
              <w:jc w:val="center"/>
              <w:rPr>
                <w:rFonts w:ascii="Arial" w:hAnsi="Arial" w:cs="Arial"/>
                <w:sz w:val="16"/>
                <w:szCs w:val="16"/>
              </w:rPr>
            </w:pPr>
            <w:r>
              <w:rPr>
                <w:rFonts w:ascii="Arial" w:hAnsi="Arial" w:cs="Arial"/>
                <w:sz w:val="16"/>
                <w:szCs w:val="16"/>
              </w:rPr>
              <w:t>1</w:t>
            </w:r>
          </w:p>
        </w:tc>
        <w:tc>
          <w:tcPr>
            <w:tcW w:w="1248" w:type="dxa"/>
            <w:tcBorders>
              <w:bottom w:val="single" w:sz="4" w:space="0" w:color="auto"/>
            </w:tcBorders>
            <w:vAlign w:val="center"/>
          </w:tcPr>
          <w:p w14:paraId="2B5940D5" w14:textId="0E64AD39" w:rsidR="00A8443D" w:rsidRPr="0060459D" w:rsidRDefault="009C6631" w:rsidP="00653E3B">
            <w:pPr>
              <w:spacing w:line="300" w:lineRule="atLeast"/>
              <w:jc w:val="center"/>
              <w:rPr>
                <w:rFonts w:ascii="Arial" w:hAnsi="Arial" w:cs="Arial"/>
                <w:sz w:val="16"/>
                <w:szCs w:val="16"/>
              </w:rPr>
            </w:pPr>
            <w:r>
              <w:rPr>
                <w:rFonts w:ascii="Arial" w:hAnsi="Arial" w:cs="Arial"/>
                <w:sz w:val="16"/>
                <w:szCs w:val="16"/>
              </w:rPr>
              <w:t>815,320</w:t>
            </w:r>
          </w:p>
        </w:tc>
        <w:tc>
          <w:tcPr>
            <w:tcW w:w="1037" w:type="dxa"/>
            <w:tcBorders>
              <w:bottom w:val="single" w:sz="4" w:space="0" w:color="auto"/>
            </w:tcBorders>
            <w:vAlign w:val="center"/>
          </w:tcPr>
          <w:p w14:paraId="1A18E886" w14:textId="77777777" w:rsidR="00A8443D" w:rsidRPr="0060459D" w:rsidRDefault="00A8443D" w:rsidP="00653E3B">
            <w:pPr>
              <w:spacing w:line="300" w:lineRule="atLeast"/>
              <w:jc w:val="center"/>
              <w:rPr>
                <w:rFonts w:ascii="Arial" w:hAnsi="Arial" w:cs="Arial"/>
                <w:sz w:val="16"/>
                <w:szCs w:val="16"/>
              </w:rPr>
            </w:pPr>
            <w:r>
              <w:rPr>
                <w:rFonts w:ascii="Arial" w:hAnsi="Arial" w:cs="Arial"/>
                <w:sz w:val="16"/>
                <w:szCs w:val="16"/>
              </w:rPr>
              <w:t>1</w:t>
            </w:r>
          </w:p>
        </w:tc>
        <w:tc>
          <w:tcPr>
            <w:tcW w:w="1216" w:type="dxa"/>
            <w:tcBorders>
              <w:bottom w:val="single" w:sz="4" w:space="0" w:color="auto"/>
            </w:tcBorders>
            <w:vAlign w:val="center"/>
          </w:tcPr>
          <w:p w14:paraId="489D188C" w14:textId="27FECAFE" w:rsidR="00A8443D" w:rsidRPr="0060459D" w:rsidRDefault="009C6631" w:rsidP="00653E3B">
            <w:pPr>
              <w:spacing w:line="300" w:lineRule="atLeast"/>
              <w:jc w:val="center"/>
              <w:rPr>
                <w:rFonts w:ascii="Arial" w:hAnsi="Arial" w:cs="Arial"/>
                <w:sz w:val="16"/>
                <w:szCs w:val="16"/>
              </w:rPr>
            </w:pPr>
            <w:r>
              <w:rPr>
                <w:rFonts w:ascii="Arial" w:hAnsi="Arial" w:cs="Arial"/>
                <w:sz w:val="16"/>
                <w:szCs w:val="16"/>
              </w:rPr>
              <w:t>815</w:t>
            </w:r>
          </w:p>
        </w:tc>
        <w:tc>
          <w:tcPr>
            <w:tcW w:w="1291" w:type="dxa"/>
            <w:tcBorders>
              <w:bottom w:val="single" w:sz="4" w:space="0" w:color="auto"/>
            </w:tcBorders>
            <w:vAlign w:val="center"/>
          </w:tcPr>
          <w:p w14:paraId="4DC391B8" w14:textId="1BE5F799" w:rsidR="00A8443D" w:rsidRPr="0060459D" w:rsidRDefault="009C6631" w:rsidP="00653E3B">
            <w:pPr>
              <w:spacing w:line="300" w:lineRule="atLeast"/>
              <w:jc w:val="center"/>
              <w:rPr>
                <w:rFonts w:ascii="Arial" w:hAnsi="Arial" w:cs="Arial"/>
                <w:sz w:val="16"/>
                <w:szCs w:val="16"/>
              </w:rPr>
            </w:pPr>
            <w:r>
              <w:rPr>
                <w:rFonts w:ascii="Arial" w:hAnsi="Arial" w:cs="Arial"/>
                <w:sz w:val="16"/>
                <w:szCs w:val="16"/>
              </w:rPr>
              <w:t>0.82</w:t>
            </w:r>
          </w:p>
        </w:tc>
      </w:tr>
      <w:tr w:rsidR="00DC0C4B" w:rsidRPr="0060459D" w14:paraId="7B6FAD73" w14:textId="77777777" w:rsidTr="005162FD">
        <w:tc>
          <w:tcPr>
            <w:tcW w:w="2124" w:type="dxa"/>
            <w:tcBorders>
              <w:top w:val="single" w:sz="4" w:space="0" w:color="auto"/>
              <w:bottom w:val="double" w:sz="4" w:space="0" w:color="auto"/>
            </w:tcBorders>
          </w:tcPr>
          <w:p w14:paraId="5CFDFB6E" w14:textId="47D09F9A" w:rsidR="00DC0C4B" w:rsidRPr="0060459D" w:rsidRDefault="00DC0C4B" w:rsidP="00653E3B">
            <w:pPr>
              <w:spacing w:line="300" w:lineRule="atLeast"/>
              <w:jc w:val="both"/>
              <w:rPr>
                <w:rFonts w:ascii="Arial" w:hAnsi="Arial" w:cs="Arial"/>
                <w:sz w:val="16"/>
                <w:szCs w:val="16"/>
              </w:rPr>
            </w:pPr>
            <w:r>
              <w:rPr>
                <w:rFonts w:ascii="Arial" w:hAnsi="Arial" w:cs="Arial"/>
                <w:sz w:val="16"/>
                <w:szCs w:val="16"/>
              </w:rPr>
              <w:t>Silver oxide button, 2020</w:t>
            </w:r>
          </w:p>
        </w:tc>
        <w:tc>
          <w:tcPr>
            <w:tcW w:w="958" w:type="dxa"/>
            <w:tcBorders>
              <w:top w:val="single" w:sz="4" w:space="0" w:color="auto"/>
              <w:bottom w:val="double" w:sz="4" w:space="0" w:color="auto"/>
            </w:tcBorders>
            <w:vAlign w:val="center"/>
          </w:tcPr>
          <w:p w14:paraId="16A392E4" w14:textId="27259F21" w:rsidR="00DC0C4B" w:rsidRDefault="00DC0C4B" w:rsidP="00653E3B">
            <w:pPr>
              <w:spacing w:line="300" w:lineRule="atLeast"/>
              <w:jc w:val="center"/>
              <w:rPr>
                <w:rFonts w:ascii="Arial" w:hAnsi="Arial" w:cs="Arial"/>
                <w:sz w:val="16"/>
                <w:szCs w:val="16"/>
              </w:rPr>
            </w:pPr>
            <w:r>
              <w:rPr>
                <w:rFonts w:ascii="Arial" w:hAnsi="Arial" w:cs="Arial"/>
                <w:sz w:val="16"/>
                <w:szCs w:val="16"/>
              </w:rPr>
              <w:t>all</w:t>
            </w:r>
          </w:p>
        </w:tc>
        <w:tc>
          <w:tcPr>
            <w:tcW w:w="1187" w:type="dxa"/>
            <w:tcBorders>
              <w:top w:val="single" w:sz="4" w:space="0" w:color="auto"/>
              <w:bottom w:val="double" w:sz="4" w:space="0" w:color="auto"/>
            </w:tcBorders>
            <w:vAlign w:val="center"/>
          </w:tcPr>
          <w:p w14:paraId="1C46E5D5" w14:textId="3697C292" w:rsidR="00DC0C4B" w:rsidRDefault="00F45F3B" w:rsidP="00653E3B">
            <w:pPr>
              <w:spacing w:line="300" w:lineRule="atLeast"/>
              <w:jc w:val="center"/>
              <w:rPr>
                <w:rFonts w:ascii="Arial" w:hAnsi="Arial" w:cs="Arial"/>
                <w:sz w:val="16"/>
                <w:szCs w:val="16"/>
              </w:rPr>
            </w:pPr>
            <w:r>
              <w:rPr>
                <w:rFonts w:ascii="Arial" w:hAnsi="Arial" w:cs="Arial"/>
                <w:sz w:val="16"/>
                <w:szCs w:val="16"/>
              </w:rPr>
              <w:t>1</w:t>
            </w:r>
          </w:p>
        </w:tc>
        <w:tc>
          <w:tcPr>
            <w:tcW w:w="1248" w:type="dxa"/>
            <w:tcBorders>
              <w:top w:val="single" w:sz="4" w:space="0" w:color="auto"/>
              <w:bottom w:val="double" w:sz="4" w:space="0" w:color="auto"/>
            </w:tcBorders>
            <w:vAlign w:val="center"/>
          </w:tcPr>
          <w:p w14:paraId="66EBEE46" w14:textId="50AEF4FB" w:rsidR="00DC0C4B" w:rsidRDefault="00F45F3B" w:rsidP="00653E3B">
            <w:pPr>
              <w:spacing w:line="300" w:lineRule="atLeast"/>
              <w:jc w:val="center"/>
              <w:rPr>
                <w:rFonts w:ascii="Arial" w:hAnsi="Arial" w:cs="Arial"/>
                <w:sz w:val="16"/>
                <w:szCs w:val="16"/>
              </w:rPr>
            </w:pPr>
            <w:r>
              <w:rPr>
                <w:rFonts w:ascii="Arial" w:hAnsi="Arial" w:cs="Arial"/>
                <w:sz w:val="16"/>
                <w:szCs w:val="16"/>
              </w:rPr>
              <w:t>305,051</w:t>
            </w:r>
          </w:p>
        </w:tc>
        <w:tc>
          <w:tcPr>
            <w:tcW w:w="1037" w:type="dxa"/>
            <w:tcBorders>
              <w:top w:val="single" w:sz="4" w:space="0" w:color="auto"/>
              <w:bottom w:val="double" w:sz="4" w:space="0" w:color="auto"/>
            </w:tcBorders>
            <w:vAlign w:val="center"/>
          </w:tcPr>
          <w:p w14:paraId="0420E1BA" w14:textId="62F91EFE" w:rsidR="00DC0C4B" w:rsidRDefault="00F45F3B" w:rsidP="00653E3B">
            <w:pPr>
              <w:spacing w:line="300" w:lineRule="atLeast"/>
              <w:jc w:val="center"/>
              <w:rPr>
                <w:rFonts w:ascii="Arial" w:hAnsi="Arial" w:cs="Arial"/>
                <w:sz w:val="16"/>
                <w:szCs w:val="16"/>
              </w:rPr>
            </w:pPr>
            <w:r>
              <w:rPr>
                <w:rFonts w:ascii="Arial" w:hAnsi="Arial" w:cs="Arial"/>
                <w:sz w:val="16"/>
                <w:szCs w:val="16"/>
              </w:rPr>
              <w:t>1</w:t>
            </w:r>
          </w:p>
        </w:tc>
        <w:tc>
          <w:tcPr>
            <w:tcW w:w="1216" w:type="dxa"/>
            <w:tcBorders>
              <w:top w:val="single" w:sz="4" w:space="0" w:color="auto"/>
              <w:bottom w:val="double" w:sz="4" w:space="0" w:color="auto"/>
            </w:tcBorders>
            <w:vAlign w:val="center"/>
          </w:tcPr>
          <w:p w14:paraId="7C805E6E" w14:textId="5AF7EBB1" w:rsidR="00DC0C4B" w:rsidRDefault="00E57A9E" w:rsidP="00653E3B">
            <w:pPr>
              <w:spacing w:line="300" w:lineRule="atLeast"/>
              <w:jc w:val="center"/>
              <w:rPr>
                <w:rFonts w:ascii="Arial" w:hAnsi="Arial" w:cs="Arial"/>
                <w:sz w:val="16"/>
                <w:szCs w:val="16"/>
              </w:rPr>
            </w:pPr>
            <w:r>
              <w:rPr>
                <w:rFonts w:ascii="Arial" w:hAnsi="Arial" w:cs="Arial"/>
                <w:sz w:val="16"/>
                <w:szCs w:val="16"/>
              </w:rPr>
              <w:t>305</w:t>
            </w:r>
          </w:p>
        </w:tc>
        <w:tc>
          <w:tcPr>
            <w:tcW w:w="1291" w:type="dxa"/>
            <w:tcBorders>
              <w:top w:val="single" w:sz="4" w:space="0" w:color="auto"/>
              <w:bottom w:val="double" w:sz="4" w:space="0" w:color="auto"/>
            </w:tcBorders>
            <w:vAlign w:val="center"/>
          </w:tcPr>
          <w:p w14:paraId="63B39533" w14:textId="693E25F0" w:rsidR="00DC0C4B" w:rsidRDefault="00E57A9E" w:rsidP="00653E3B">
            <w:pPr>
              <w:spacing w:line="300" w:lineRule="atLeast"/>
              <w:jc w:val="center"/>
              <w:rPr>
                <w:rFonts w:ascii="Arial" w:hAnsi="Arial" w:cs="Arial"/>
                <w:sz w:val="16"/>
                <w:szCs w:val="16"/>
              </w:rPr>
            </w:pPr>
            <w:r>
              <w:rPr>
                <w:rFonts w:ascii="Arial" w:hAnsi="Arial" w:cs="Arial"/>
                <w:sz w:val="16"/>
                <w:szCs w:val="16"/>
              </w:rPr>
              <w:t>0.31</w:t>
            </w:r>
          </w:p>
        </w:tc>
      </w:tr>
      <w:tr w:rsidR="004850C0" w:rsidRPr="0060459D" w14:paraId="1E0F221D" w14:textId="77777777" w:rsidTr="005162FD">
        <w:tc>
          <w:tcPr>
            <w:tcW w:w="2124" w:type="dxa"/>
            <w:tcBorders>
              <w:top w:val="single" w:sz="4" w:space="0" w:color="auto"/>
              <w:bottom w:val="double" w:sz="4" w:space="0" w:color="auto"/>
            </w:tcBorders>
          </w:tcPr>
          <w:p w14:paraId="557CE247" w14:textId="7466B349" w:rsidR="004850C0" w:rsidRDefault="001A644B" w:rsidP="00653E3B">
            <w:pPr>
              <w:spacing w:line="300" w:lineRule="atLeast"/>
              <w:jc w:val="both"/>
              <w:rPr>
                <w:rFonts w:ascii="Arial" w:hAnsi="Arial" w:cs="Arial"/>
                <w:sz w:val="16"/>
                <w:szCs w:val="16"/>
              </w:rPr>
            </w:pPr>
            <w:r>
              <w:rPr>
                <w:rFonts w:ascii="Arial" w:hAnsi="Arial" w:cs="Arial"/>
                <w:sz w:val="16"/>
                <w:szCs w:val="16"/>
              </w:rPr>
              <w:t>Silver oxide button, 2024</w:t>
            </w:r>
          </w:p>
        </w:tc>
        <w:tc>
          <w:tcPr>
            <w:tcW w:w="958" w:type="dxa"/>
            <w:tcBorders>
              <w:top w:val="single" w:sz="4" w:space="0" w:color="auto"/>
              <w:bottom w:val="double" w:sz="4" w:space="0" w:color="auto"/>
            </w:tcBorders>
            <w:vAlign w:val="center"/>
          </w:tcPr>
          <w:p w14:paraId="3301A7BE" w14:textId="289F44FE" w:rsidR="004850C0" w:rsidRDefault="001A644B" w:rsidP="00653E3B">
            <w:pPr>
              <w:spacing w:line="300" w:lineRule="atLeast"/>
              <w:jc w:val="center"/>
              <w:rPr>
                <w:rFonts w:ascii="Arial" w:hAnsi="Arial" w:cs="Arial"/>
                <w:sz w:val="16"/>
                <w:szCs w:val="16"/>
              </w:rPr>
            </w:pPr>
            <w:r>
              <w:rPr>
                <w:rFonts w:ascii="Arial" w:hAnsi="Arial" w:cs="Arial"/>
                <w:sz w:val="16"/>
                <w:szCs w:val="16"/>
              </w:rPr>
              <w:t>all</w:t>
            </w:r>
          </w:p>
        </w:tc>
        <w:tc>
          <w:tcPr>
            <w:tcW w:w="1187" w:type="dxa"/>
            <w:tcBorders>
              <w:top w:val="single" w:sz="4" w:space="0" w:color="auto"/>
              <w:bottom w:val="double" w:sz="4" w:space="0" w:color="auto"/>
            </w:tcBorders>
            <w:vAlign w:val="center"/>
          </w:tcPr>
          <w:p w14:paraId="618CF7B7" w14:textId="6C6D48E5" w:rsidR="004850C0" w:rsidRDefault="001A644B" w:rsidP="00653E3B">
            <w:pPr>
              <w:spacing w:line="300" w:lineRule="atLeast"/>
              <w:jc w:val="center"/>
              <w:rPr>
                <w:rFonts w:ascii="Arial" w:hAnsi="Arial" w:cs="Arial"/>
                <w:sz w:val="16"/>
                <w:szCs w:val="16"/>
              </w:rPr>
            </w:pPr>
            <w:r>
              <w:rPr>
                <w:rFonts w:ascii="Arial" w:hAnsi="Arial" w:cs="Arial"/>
                <w:sz w:val="16"/>
                <w:szCs w:val="16"/>
              </w:rPr>
              <w:t>1</w:t>
            </w:r>
          </w:p>
        </w:tc>
        <w:tc>
          <w:tcPr>
            <w:tcW w:w="1248" w:type="dxa"/>
            <w:tcBorders>
              <w:top w:val="single" w:sz="4" w:space="0" w:color="auto"/>
              <w:bottom w:val="double" w:sz="4" w:space="0" w:color="auto"/>
            </w:tcBorders>
            <w:vAlign w:val="center"/>
          </w:tcPr>
          <w:p w14:paraId="7808238F" w14:textId="16B24C7D" w:rsidR="004850C0" w:rsidRDefault="001A644B" w:rsidP="00653E3B">
            <w:pPr>
              <w:spacing w:line="300" w:lineRule="atLeast"/>
              <w:jc w:val="center"/>
              <w:rPr>
                <w:rFonts w:ascii="Arial" w:hAnsi="Arial" w:cs="Arial"/>
                <w:sz w:val="16"/>
                <w:szCs w:val="16"/>
              </w:rPr>
            </w:pPr>
            <w:r>
              <w:rPr>
                <w:rFonts w:ascii="Arial" w:hAnsi="Arial" w:cs="Arial"/>
                <w:sz w:val="16"/>
                <w:szCs w:val="16"/>
              </w:rPr>
              <w:t>398,040</w:t>
            </w:r>
          </w:p>
        </w:tc>
        <w:tc>
          <w:tcPr>
            <w:tcW w:w="1037" w:type="dxa"/>
            <w:tcBorders>
              <w:top w:val="single" w:sz="4" w:space="0" w:color="auto"/>
              <w:bottom w:val="double" w:sz="4" w:space="0" w:color="auto"/>
            </w:tcBorders>
            <w:vAlign w:val="center"/>
          </w:tcPr>
          <w:p w14:paraId="6B491D5B" w14:textId="085DBC5B" w:rsidR="004850C0" w:rsidRDefault="001A644B" w:rsidP="00653E3B">
            <w:pPr>
              <w:spacing w:line="300" w:lineRule="atLeast"/>
              <w:jc w:val="center"/>
              <w:rPr>
                <w:rFonts w:ascii="Arial" w:hAnsi="Arial" w:cs="Arial"/>
                <w:sz w:val="16"/>
                <w:szCs w:val="16"/>
              </w:rPr>
            </w:pPr>
            <w:r>
              <w:rPr>
                <w:rFonts w:ascii="Arial" w:hAnsi="Arial" w:cs="Arial"/>
                <w:sz w:val="16"/>
                <w:szCs w:val="16"/>
              </w:rPr>
              <w:t>1</w:t>
            </w:r>
          </w:p>
        </w:tc>
        <w:tc>
          <w:tcPr>
            <w:tcW w:w="1216" w:type="dxa"/>
            <w:tcBorders>
              <w:top w:val="single" w:sz="4" w:space="0" w:color="auto"/>
              <w:bottom w:val="double" w:sz="4" w:space="0" w:color="auto"/>
            </w:tcBorders>
            <w:vAlign w:val="center"/>
          </w:tcPr>
          <w:p w14:paraId="6EF8285D" w14:textId="794A13AE" w:rsidR="004850C0" w:rsidRDefault="001A644B" w:rsidP="00653E3B">
            <w:pPr>
              <w:spacing w:line="300" w:lineRule="atLeast"/>
              <w:jc w:val="center"/>
              <w:rPr>
                <w:rFonts w:ascii="Arial" w:hAnsi="Arial" w:cs="Arial"/>
                <w:sz w:val="16"/>
                <w:szCs w:val="16"/>
              </w:rPr>
            </w:pPr>
            <w:r>
              <w:rPr>
                <w:rFonts w:ascii="Arial" w:hAnsi="Arial" w:cs="Arial"/>
                <w:sz w:val="16"/>
                <w:szCs w:val="16"/>
              </w:rPr>
              <w:t>398</w:t>
            </w:r>
          </w:p>
        </w:tc>
        <w:tc>
          <w:tcPr>
            <w:tcW w:w="1291" w:type="dxa"/>
            <w:tcBorders>
              <w:top w:val="single" w:sz="4" w:space="0" w:color="auto"/>
              <w:bottom w:val="double" w:sz="4" w:space="0" w:color="auto"/>
            </w:tcBorders>
            <w:vAlign w:val="center"/>
          </w:tcPr>
          <w:p w14:paraId="41315ED0" w14:textId="1CD175F0" w:rsidR="004850C0" w:rsidRDefault="004A0737" w:rsidP="00653E3B">
            <w:pPr>
              <w:spacing w:line="300" w:lineRule="atLeast"/>
              <w:jc w:val="center"/>
              <w:rPr>
                <w:rFonts w:ascii="Arial" w:hAnsi="Arial" w:cs="Arial"/>
                <w:sz w:val="16"/>
                <w:szCs w:val="16"/>
              </w:rPr>
            </w:pPr>
            <w:r>
              <w:rPr>
                <w:rFonts w:ascii="Arial" w:hAnsi="Arial" w:cs="Arial"/>
                <w:sz w:val="16"/>
                <w:szCs w:val="16"/>
              </w:rPr>
              <w:t>0.</w:t>
            </w:r>
            <w:r w:rsidR="005162FD">
              <w:rPr>
                <w:rFonts w:ascii="Arial" w:hAnsi="Arial" w:cs="Arial"/>
                <w:sz w:val="16"/>
                <w:szCs w:val="16"/>
              </w:rPr>
              <w:t>40</w:t>
            </w:r>
          </w:p>
        </w:tc>
      </w:tr>
      <w:tr w:rsidR="00A8443D" w:rsidRPr="0060459D" w14:paraId="119BD3EF" w14:textId="77777777" w:rsidTr="005162FD">
        <w:tc>
          <w:tcPr>
            <w:tcW w:w="2124" w:type="dxa"/>
            <w:tcBorders>
              <w:top w:val="double" w:sz="4" w:space="0" w:color="auto"/>
              <w:bottom w:val="single" w:sz="4" w:space="0" w:color="auto"/>
            </w:tcBorders>
          </w:tcPr>
          <w:p w14:paraId="1838E318" w14:textId="77777777" w:rsidR="00A8443D" w:rsidRPr="0060459D" w:rsidRDefault="00A8443D" w:rsidP="00653E3B">
            <w:pPr>
              <w:spacing w:line="300" w:lineRule="atLeast"/>
              <w:jc w:val="both"/>
              <w:rPr>
                <w:rFonts w:ascii="Arial" w:hAnsi="Arial" w:cs="Arial"/>
                <w:sz w:val="16"/>
                <w:szCs w:val="16"/>
              </w:rPr>
            </w:pPr>
            <w:r w:rsidRPr="0060459D">
              <w:rPr>
                <w:rFonts w:ascii="Arial" w:hAnsi="Arial" w:cs="Arial"/>
                <w:sz w:val="16"/>
                <w:szCs w:val="16"/>
              </w:rPr>
              <w:t>Zinc air</w:t>
            </w:r>
            <w:r>
              <w:rPr>
                <w:rFonts w:ascii="Arial" w:hAnsi="Arial" w:cs="Arial"/>
                <w:sz w:val="16"/>
                <w:szCs w:val="16"/>
              </w:rPr>
              <w:t xml:space="preserve"> button, 2012</w:t>
            </w:r>
          </w:p>
        </w:tc>
        <w:tc>
          <w:tcPr>
            <w:tcW w:w="958" w:type="dxa"/>
            <w:tcBorders>
              <w:top w:val="double" w:sz="4" w:space="0" w:color="auto"/>
              <w:bottom w:val="single" w:sz="4" w:space="0" w:color="auto"/>
            </w:tcBorders>
            <w:vAlign w:val="center"/>
          </w:tcPr>
          <w:p w14:paraId="596CD0AE" w14:textId="77777777" w:rsidR="00A8443D" w:rsidRPr="0060459D" w:rsidRDefault="00A8443D" w:rsidP="00653E3B">
            <w:pPr>
              <w:spacing w:line="300" w:lineRule="atLeast"/>
              <w:jc w:val="center"/>
              <w:rPr>
                <w:rFonts w:ascii="Arial" w:hAnsi="Arial" w:cs="Arial"/>
                <w:sz w:val="16"/>
                <w:szCs w:val="16"/>
              </w:rPr>
            </w:pPr>
            <w:r w:rsidRPr="0060459D">
              <w:rPr>
                <w:rFonts w:ascii="Arial" w:hAnsi="Arial" w:cs="Arial"/>
                <w:sz w:val="16"/>
                <w:szCs w:val="16"/>
              </w:rPr>
              <w:t>all</w:t>
            </w:r>
          </w:p>
        </w:tc>
        <w:tc>
          <w:tcPr>
            <w:tcW w:w="1187" w:type="dxa"/>
            <w:tcBorders>
              <w:top w:val="double" w:sz="4" w:space="0" w:color="auto"/>
              <w:bottom w:val="single" w:sz="4" w:space="0" w:color="auto"/>
            </w:tcBorders>
            <w:vAlign w:val="center"/>
          </w:tcPr>
          <w:p w14:paraId="3E8E8F8F" w14:textId="77777777" w:rsidR="00A8443D" w:rsidRPr="0060459D" w:rsidRDefault="00A8443D" w:rsidP="00653E3B">
            <w:pPr>
              <w:spacing w:line="300" w:lineRule="atLeast"/>
              <w:jc w:val="center"/>
              <w:rPr>
                <w:rFonts w:ascii="Arial" w:hAnsi="Arial" w:cs="Arial"/>
                <w:sz w:val="16"/>
                <w:szCs w:val="16"/>
              </w:rPr>
            </w:pPr>
            <w:r w:rsidRPr="0060459D">
              <w:rPr>
                <w:rFonts w:ascii="Arial" w:hAnsi="Arial" w:cs="Arial"/>
                <w:sz w:val="16"/>
                <w:szCs w:val="16"/>
              </w:rPr>
              <w:t>0 - 30</w:t>
            </w:r>
          </w:p>
        </w:tc>
        <w:tc>
          <w:tcPr>
            <w:tcW w:w="1248" w:type="dxa"/>
            <w:tcBorders>
              <w:top w:val="double" w:sz="4" w:space="0" w:color="auto"/>
              <w:bottom w:val="single" w:sz="4" w:space="0" w:color="auto"/>
            </w:tcBorders>
            <w:vAlign w:val="center"/>
          </w:tcPr>
          <w:p w14:paraId="7E262D73" w14:textId="77777777" w:rsidR="00A8443D" w:rsidRPr="0060459D" w:rsidRDefault="00A8443D" w:rsidP="00653E3B">
            <w:pPr>
              <w:spacing w:line="300" w:lineRule="atLeast"/>
              <w:jc w:val="center"/>
              <w:rPr>
                <w:rFonts w:ascii="Arial" w:hAnsi="Arial" w:cs="Arial"/>
                <w:sz w:val="16"/>
                <w:szCs w:val="16"/>
              </w:rPr>
            </w:pPr>
            <w:r w:rsidRPr="0060459D">
              <w:rPr>
                <w:rFonts w:ascii="Arial" w:hAnsi="Arial" w:cs="Arial"/>
                <w:sz w:val="16"/>
                <w:szCs w:val="16"/>
              </w:rPr>
              <w:t>2,754,161</w:t>
            </w:r>
          </w:p>
        </w:tc>
        <w:tc>
          <w:tcPr>
            <w:tcW w:w="1037" w:type="dxa"/>
            <w:tcBorders>
              <w:top w:val="double" w:sz="4" w:space="0" w:color="auto"/>
              <w:bottom w:val="single" w:sz="4" w:space="0" w:color="auto"/>
            </w:tcBorders>
            <w:vAlign w:val="center"/>
          </w:tcPr>
          <w:p w14:paraId="19AA8014" w14:textId="77777777" w:rsidR="00A8443D" w:rsidRPr="0060459D" w:rsidRDefault="00A8443D" w:rsidP="00653E3B">
            <w:pPr>
              <w:spacing w:line="300" w:lineRule="atLeast"/>
              <w:jc w:val="center"/>
              <w:rPr>
                <w:rFonts w:ascii="Arial" w:hAnsi="Arial" w:cs="Arial"/>
                <w:sz w:val="16"/>
                <w:szCs w:val="16"/>
              </w:rPr>
            </w:pPr>
            <w:r w:rsidRPr="0060459D">
              <w:rPr>
                <w:rFonts w:ascii="Arial" w:hAnsi="Arial" w:cs="Arial"/>
                <w:sz w:val="16"/>
                <w:szCs w:val="16"/>
              </w:rPr>
              <w:t>1</w:t>
            </w:r>
          </w:p>
        </w:tc>
        <w:tc>
          <w:tcPr>
            <w:tcW w:w="1216" w:type="dxa"/>
            <w:tcBorders>
              <w:top w:val="double" w:sz="4" w:space="0" w:color="auto"/>
              <w:bottom w:val="single" w:sz="4" w:space="0" w:color="auto"/>
            </w:tcBorders>
            <w:vAlign w:val="center"/>
          </w:tcPr>
          <w:p w14:paraId="3D0036F0" w14:textId="77777777" w:rsidR="00A8443D" w:rsidRPr="0060459D" w:rsidRDefault="00A8443D" w:rsidP="00653E3B">
            <w:pPr>
              <w:spacing w:line="300" w:lineRule="atLeast"/>
              <w:jc w:val="center"/>
              <w:rPr>
                <w:rFonts w:ascii="Arial" w:hAnsi="Arial" w:cs="Arial"/>
                <w:sz w:val="16"/>
                <w:szCs w:val="16"/>
              </w:rPr>
            </w:pPr>
            <w:r w:rsidRPr="0060459D">
              <w:rPr>
                <w:rFonts w:ascii="Arial" w:hAnsi="Arial" w:cs="Arial"/>
                <w:sz w:val="16"/>
                <w:szCs w:val="16"/>
              </w:rPr>
              <w:t>2,754</w:t>
            </w:r>
          </w:p>
        </w:tc>
        <w:tc>
          <w:tcPr>
            <w:tcW w:w="1291" w:type="dxa"/>
            <w:tcBorders>
              <w:top w:val="double" w:sz="4" w:space="0" w:color="auto"/>
              <w:bottom w:val="single" w:sz="4" w:space="0" w:color="auto"/>
            </w:tcBorders>
            <w:vAlign w:val="center"/>
          </w:tcPr>
          <w:p w14:paraId="4C486D74" w14:textId="77777777" w:rsidR="00A8443D" w:rsidRPr="0060459D" w:rsidRDefault="00A8443D" w:rsidP="00653E3B">
            <w:pPr>
              <w:spacing w:line="300" w:lineRule="atLeast"/>
              <w:jc w:val="center"/>
              <w:rPr>
                <w:rFonts w:ascii="Arial" w:hAnsi="Arial" w:cs="Arial"/>
                <w:sz w:val="16"/>
                <w:szCs w:val="16"/>
              </w:rPr>
            </w:pPr>
            <w:r w:rsidRPr="0060459D">
              <w:rPr>
                <w:rFonts w:ascii="Arial" w:hAnsi="Arial" w:cs="Arial"/>
                <w:sz w:val="16"/>
                <w:szCs w:val="16"/>
              </w:rPr>
              <w:t>0 – 82.6</w:t>
            </w:r>
          </w:p>
        </w:tc>
      </w:tr>
      <w:tr w:rsidR="00A8443D" w:rsidRPr="0060459D" w14:paraId="01BC6FA2" w14:textId="77777777" w:rsidTr="005162FD">
        <w:tc>
          <w:tcPr>
            <w:tcW w:w="2124" w:type="dxa"/>
            <w:tcBorders>
              <w:bottom w:val="single" w:sz="4" w:space="0" w:color="auto"/>
            </w:tcBorders>
          </w:tcPr>
          <w:p w14:paraId="221E34AB" w14:textId="2465EB30" w:rsidR="00A8443D" w:rsidRPr="0060459D" w:rsidRDefault="00A8443D" w:rsidP="00653E3B">
            <w:pPr>
              <w:spacing w:line="300" w:lineRule="atLeast"/>
              <w:jc w:val="both"/>
              <w:rPr>
                <w:rFonts w:ascii="Arial" w:hAnsi="Arial" w:cs="Arial"/>
                <w:sz w:val="16"/>
                <w:szCs w:val="16"/>
              </w:rPr>
            </w:pPr>
            <w:r w:rsidRPr="0060459D">
              <w:rPr>
                <w:rFonts w:ascii="Arial" w:hAnsi="Arial" w:cs="Arial"/>
                <w:sz w:val="16"/>
                <w:szCs w:val="16"/>
              </w:rPr>
              <w:t>Zinc air</w:t>
            </w:r>
            <w:r>
              <w:rPr>
                <w:rFonts w:ascii="Arial" w:hAnsi="Arial" w:cs="Arial"/>
                <w:sz w:val="16"/>
                <w:szCs w:val="16"/>
              </w:rPr>
              <w:t xml:space="preserve"> button, 201</w:t>
            </w:r>
            <w:r w:rsidR="009C6631">
              <w:rPr>
                <w:rFonts w:ascii="Arial" w:hAnsi="Arial" w:cs="Arial"/>
                <w:sz w:val="16"/>
                <w:szCs w:val="16"/>
              </w:rPr>
              <w:t>6</w:t>
            </w:r>
          </w:p>
        </w:tc>
        <w:tc>
          <w:tcPr>
            <w:tcW w:w="958" w:type="dxa"/>
            <w:tcBorders>
              <w:bottom w:val="single" w:sz="4" w:space="0" w:color="auto"/>
            </w:tcBorders>
            <w:vAlign w:val="center"/>
          </w:tcPr>
          <w:p w14:paraId="7BD74A7A" w14:textId="77777777" w:rsidR="00A8443D" w:rsidRPr="0060459D" w:rsidRDefault="00A8443D" w:rsidP="00653E3B">
            <w:pPr>
              <w:spacing w:line="300" w:lineRule="atLeast"/>
              <w:jc w:val="center"/>
              <w:rPr>
                <w:rFonts w:ascii="Arial" w:hAnsi="Arial" w:cs="Arial"/>
                <w:sz w:val="16"/>
                <w:szCs w:val="16"/>
              </w:rPr>
            </w:pPr>
            <w:r>
              <w:rPr>
                <w:rFonts w:ascii="Arial" w:hAnsi="Arial" w:cs="Arial"/>
                <w:sz w:val="16"/>
                <w:szCs w:val="16"/>
              </w:rPr>
              <w:t>all</w:t>
            </w:r>
          </w:p>
        </w:tc>
        <w:tc>
          <w:tcPr>
            <w:tcW w:w="1187" w:type="dxa"/>
            <w:tcBorders>
              <w:bottom w:val="single" w:sz="4" w:space="0" w:color="auto"/>
            </w:tcBorders>
            <w:vAlign w:val="center"/>
          </w:tcPr>
          <w:p w14:paraId="0D5119AB" w14:textId="0F587C11" w:rsidR="00A8443D" w:rsidRPr="0060459D" w:rsidRDefault="009C6631" w:rsidP="00653E3B">
            <w:pPr>
              <w:spacing w:line="300" w:lineRule="atLeast"/>
              <w:jc w:val="center"/>
              <w:rPr>
                <w:rFonts w:ascii="Arial" w:hAnsi="Arial" w:cs="Arial"/>
                <w:sz w:val="16"/>
                <w:szCs w:val="16"/>
              </w:rPr>
            </w:pPr>
            <w:r>
              <w:rPr>
                <w:rFonts w:ascii="Arial" w:hAnsi="Arial" w:cs="Arial"/>
                <w:sz w:val="16"/>
                <w:szCs w:val="16"/>
              </w:rPr>
              <w:t>3</w:t>
            </w:r>
          </w:p>
        </w:tc>
        <w:tc>
          <w:tcPr>
            <w:tcW w:w="1248" w:type="dxa"/>
            <w:tcBorders>
              <w:bottom w:val="single" w:sz="4" w:space="0" w:color="auto"/>
            </w:tcBorders>
            <w:vAlign w:val="center"/>
          </w:tcPr>
          <w:p w14:paraId="7B526599" w14:textId="1E4D6D47" w:rsidR="00A8443D" w:rsidRPr="0060459D" w:rsidRDefault="009C6631" w:rsidP="00653E3B">
            <w:pPr>
              <w:spacing w:line="300" w:lineRule="atLeast"/>
              <w:jc w:val="center"/>
              <w:rPr>
                <w:rFonts w:ascii="Arial" w:hAnsi="Arial" w:cs="Arial"/>
                <w:sz w:val="16"/>
                <w:szCs w:val="16"/>
              </w:rPr>
            </w:pPr>
            <w:r>
              <w:rPr>
                <w:rFonts w:ascii="Arial" w:hAnsi="Arial" w:cs="Arial"/>
                <w:sz w:val="16"/>
                <w:szCs w:val="16"/>
              </w:rPr>
              <w:t>3,748,150</w:t>
            </w:r>
          </w:p>
        </w:tc>
        <w:tc>
          <w:tcPr>
            <w:tcW w:w="1037" w:type="dxa"/>
            <w:tcBorders>
              <w:bottom w:val="single" w:sz="4" w:space="0" w:color="auto"/>
            </w:tcBorders>
            <w:vAlign w:val="center"/>
          </w:tcPr>
          <w:p w14:paraId="23108C6E" w14:textId="77777777" w:rsidR="00A8443D" w:rsidRPr="0060459D" w:rsidRDefault="00A8443D" w:rsidP="00653E3B">
            <w:pPr>
              <w:spacing w:line="300" w:lineRule="atLeast"/>
              <w:jc w:val="center"/>
              <w:rPr>
                <w:rFonts w:ascii="Arial" w:hAnsi="Arial" w:cs="Arial"/>
                <w:sz w:val="16"/>
                <w:szCs w:val="16"/>
              </w:rPr>
            </w:pPr>
            <w:r>
              <w:rPr>
                <w:rFonts w:ascii="Arial" w:hAnsi="Arial" w:cs="Arial"/>
                <w:sz w:val="16"/>
                <w:szCs w:val="16"/>
              </w:rPr>
              <w:t>1</w:t>
            </w:r>
          </w:p>
        </w:tc>
        <w:tc>
          <w:tcPr>
            <w:tcW w:w="1216" w:type="dxa"/>
            <w:tcBorders>
              <w:bottom w:val="single" w:sz="4" w:space="0" w:color="auto"/>
            </w:tcBorders>
            <w:vAlign w:val="center"/>
          </w:tcPr>
          <w:p w14:paraId="4CE81687" w14:textId="3CFA6A93" w:rsidR="00A8443D" w:rsidRPr="0060459D" w:rsidRDefault="009C6631" w:rsidP="00653E3B">
            <w:pPr>
              <w:spacing w:line="300" w:lineRule="atLeast"/>
              <w:jc w:val="center"/>
              <w:rPr>
                <w:rFonts w:ascii="Arial" w:hAnsi="Arial" w:cs="Arial"/>
                <w:sz w:val="16"/>
                <w:szCs w:val="16"/>
              </w:rPr>
            </w:pPr>
            <w:r>
              <w:rPr>
                <w:rFonts w:ascii="Arial" w:hAnsi="Arial" w:cs="Arial"/>
                <w:sz w:val="16"/>
                <w:szCs w:val="16"/>
              </w:rPr>
              <w:t>3,748</w:t>
            </w:r>
          </w:p>
        </w:tc>
        <w:tc>
          <w:tcPr>
            <w:tcW w:w="1291" w:type="dxa"/>
            <w:tcBorders>
              <w:bottom w:val="single" w:sz="4" w:space="0" w:color="auto"/>
            </w:tcBorders>
            <w:vAlign w:val="center"/>
          </w:tcPr>
          <w:p w14:paraId="7EB50637" w14:textId="18469276" w:rsidR="00A8443D" w:rsidRPr="0060459D" w:rsidRDefault="009C6631" w:rsidP="00653E3B">
            <w:pPr>
              <w:spacing w:line="300" w:lineRule="atLeast"/>
              <w:jc w:val="center"/>
              <w:rPr>
                <w:rFonts w:ascii="Arial" w:hAnsi="Arial" w:cs="Arial"/>
                <w:sz w:val="16"/>
                <w:szCs w:val="16"/>
              </w:rPr>
            </w:pPr>
            <w:r>
              <w:rPr>
                <w:rFonts w:ascii="Arial" w:hAnsi="Arial" w:cs="Arial"/>
                <w:sz w:val="16"/>
                <w:szCs w:val="16"/>
              </w:rPr>
              <w:t>11.2</w:t>
            </w:r>
          </w:p>
        </w:tc>
      </w:tr>
      <w:tr w:rsidR="00E57A9E" w:rsidRPr="0060459D" w14:paraId="23557A22" w14:textId="77777777" w:rsidTr="005162FD">
        <w:tc>
          <w:tcPr>
            <w:tcW w:w="2124" w:type="dxa"/>
            <w:tcBorders>
              <w:top w:val="single" w:sz="4" w:space="0" w:color="auto"/>
              <w:bottom w:val="double" w:sz="4" w:space="0" w:color="auto"/>
            </w:tcBorders>
          </w:tcPr>
          <w:p w14:paraId="3376FC1E" w14:textId="391DDE1D" w:rsidR="00E57A9E" w:rsidRPr="0060459D" w:rsidRDefault="00E57A9E" w:rsidP="00653E3B">
            <w:pPr>
              <w:spacing w:line="300" w:lineRule="atLeast"/>
              <w:jc w:val="both"/>
              <w:rPr>
                <w:rFonts w:ascii="Arial" w:hAnsi="Arial" w:cs="Arial"/>
                <w:sz w:val="16"/>
                <w:szCs w:val="16"/>
              </w:rPr>
            </w:pPr>
            <w:r>
              <w:rPr>
                <w:rFonts w:ascii="Arial" w:hAnsi="Arial" w:cs="Arial"/>
                <w:sz w:val="16"/>
                <w:szCs w:val="16"/>
              </w:rPr>
              <w:t>Zinc air button, 2020</w:t>
            </w:r>
          </w:p>
        </w:tc>
        <w:tc>
          <w:tcPr>
            <w:tcW w:w="958" w:type="dxa"/>
            <w:tcBorders>
              <w:top w:val="single" w:sz="4" w:space="0" w:color="auto"/>
              <w:bottom w:val="double" w:sz="4" w:space="0" w:color="auto"/>
            </w:tcBorders>
            <w:vAlign w:val="center"/>
          </w:tcPr>
          <w:p w14:paraId="76B2EA47" w14:textId="1178D291" w:rsidR="00E57A9E" w:rsidRDefault="00E57A9E" w:rsidP="00653E3B">
            <w:pPr>
              <w:spacing w:line="300" w:lineRule="atLeast"/>
              <w:jc w:val="center"/>
              <w:rPr>
                <w:rFonts w:ascii="Arial" w:hAnsi="Arial" w:cs="Arial"/>
                <w:sz w:val="16"/>
                <w:szCs w:val="16"/>
              </w:rPr>
            </w:pPr>
            <w:r>
              <w:rPr>
                <w:rFonts w:ascii="Arial" w:hAnsi="Arial" w:cs="Arial"/>
                <w:sz w:val="16"/>
                <w:szCs w:val="16"/>
              </w:rPr>
              <w:t>all</w:t>
            </w:r>
          </w:p>
        </w:tc>
        <w:tc>
          <w:tcPr>
            <w:tcW w:w="1187" w:type="dxa"/>
            <w:tcBorders>
              <w:top w:val="single" w:sz="4" w:space="0" w:color="auto"/>
              <w:bottom w:val="double" w:sz="4" w:space="0" w:color="auto"/>
            </w:tcBorders>
            <w:vAlign w:val="center"/>
          </w:tcPr>
          <w:p w14:paraId="48D2AEC3" w14:textId="6332C004" w:rsidR="00E57A9E" w:rsidRDefault="00E57A9E" w:rsidP="00653E3B">
            <w:pPr>
              <w:spacing w:line="300" w:lineRule="atLeast"/>
              <w:jc w:val="center"/>
              <w:rPr>
                <w:rFonts w:ascii="Arial" w:hAnsi="Arial" w:cs="Arial"/>
                <w:sz w:val="16"/>
                <w:szCs w:val="16"/>
              </w:rPr>
            </w:pPr>
            <w:r>
              <w:rPr>
                <w:rFonts w:ascii="Arial" w:hAnsi="Arial" w:cs="Arial"/>
                <w:sz w:val="16"/>
                <w:szCs w:val="16"/>
              </w:rPr>
              <w:t>3</w:t>
            </w:r>
          </w:p>
        </w:tc>
        <w:tc>
          <w:tcPr>
            <w:tcW w:w="1248" w:type="dxa"/>
            <w:tcBorders>
              <w:top w:val="single" w:sz="4" w:space="0" w:color="auto"/>
              <w:bottom w:val="double" w:sz="4" w:space="0" w:color="auto"/>
            </w:tcBorders>
            <w:vAlign w:val="center"/>
          </w:tcPr>
          <w:p w14:paraId="55874A2D" w14:textId="299995D7" w:rsidR="00E57A9E" w:rsidRDefault="00E57A9E" w:rsidP="00653E3B">
            <w:pPr>
              <w:spacing w:line="300" w:lineRule="atLeast"/>
              <w:jc w:val="center"/>
              <w:rPr>
                <w:rFonts w:ascii="Arial" w:hAnsi="Arial" w:cs="Arial"/>
                <w:sz w:val="16"/>
                <w:szCs w:val="16"/>
              </w:rPr>
            </w:pPr>
            <w:r>
              <w:rPr>
                <w:rFonts w:ascii="Arial" w:hAnsi="Arial" w:cs="Arial"/>
                <w:sz w:val="16"/>
                <w:szCs w:val="16"/>
              </w:rPr>
              <w:t>3,975,291</w:t>
            </w:r>
          </w:p>
        </w:tc>
        <w:tc>
          <w:tcPr>
            <w:tcW w:w="1037" w:type="dxa"/>
            <w:tcBorders>
              <w:top w:val="single" w:sz="4" w:space="0" w:color="auto"/>
              <w:bottom w:val="double" w:sz="4" w:space="0" w:color="auto"/>
            </w:tcBorders>
            <w:vAlign w:val="center"/>
          </w:tcPr>
          <w:p w14:paraId="42358A4C" w14:textId="041630DA" w:rsidR="00E57A9E" w:rsidRDefault="00E57A9E" w:rsidP="00653E3B">
            <w:pPr>
              <w:spacing w:line="300" w:lineRule="atLeast"/>
              <w:jc w:val="center"/>
              <w:rPr>
                <w:rFonts w:ascii="Arial" w:hAnsi="Arial" w:cs="Arial"/>
                <w:sz w:val="16"/>
                <w:szCs w:val="16"/>
              </w:rPr>
            </w:pPr>
            <w:r>
              <w:rPr>
                <w:rFonts w:ascii="Arial" w:hAnsi="Arial" w:cs="Arial"/>
                <w:sz w:val="16"/>
                <w:szCs w:val="16"/>
              </w:rPr>
              <w:t>1</w:t>
            </w:r>
          </w:p>
        </w:tc>
        <w:tc>
          <w:tcPr>
            <w:tcW w:w="1216" w:type="dxa"/>
            <w:tcBorders>
              <w:top w:val="single" w:sz="4" w:space="0" w:color="auto"/>
              <w:bottom w:val="double" w:sz="4" w:space="0" w:color="auto"/>
            </w:tcBorders>
            <w:vAlign w:val="center"/>
          </w:tcPr>
          <w:p w14:paraId="1B07594F" w14:textId="1A9F85AA" w:rsidR="00E57A9E" w:rsidRDefault="00E57A9E" w:rsidP="00653E3B">
            <w:pPr>
              <w:spacing w:line="300" w:lineRule="atLeast"/>
              <w:jc w:val="center"/>
              <w:rPr>
                <w:rFonts w:ascii="Arial" w:hAnsi="Arial" w:cs="Arial"/>
                <w:sz w:val="16"/>
                <w:szCs w:val="16"/>
              </w:rPr>
            </w:pPr>
            <w:r>
              <w:rPr>
                <w:rFonts w:ascii="Arial" w:hAnsi="Arial" w:cs="Arial"/>
                <w:sz w:val="16"/>
                <w:szCs w:val="16"/>
              </w:rPr>
              <w:t>3,975</w:t>
            </w:r>
          </w:p>
        </w:tc>
        <w:tc>
          <w:tcPr>
            <w:tcW w:w="1291" w:type="dxa"/>
            <w:tcBorders>
              <w:top w:val="single" w:sz="4" w:space="0" w:color="auto"/>
              <w:bottom w:val="double" w:sz="4" w:space="0" w:color="auto"/>
            </w:tcBorders>
            <w:vAlign w:val="center"/>
          </w:tcPr>
          <w:p w14:paraId="03F9DB0F" w14:textId="392A6630" w:rsidR="00E57A9E" w:rsidRDefault="00E57A9E" w:rsidP="00653E3B">
            <w:pPr>
              <w:spacing w:line="300" w:lineRule="atLeast"/>
              <w:jc w:val="center"/>
              <w:rPr>
                <w:rFonts w:ascii="Arial" w:hAnsi="Arial" w:cs="Arial"/>
                <w:sz w:val="16"/>
                <w:szCs w:val="16"/>
              </w:rPr>
            </w:pPr>
            <w:r>
              <w:rPr>
                <w:rFonts w:ascii="Arial" w:hAnsi="Arial" w:cs="Arial"/>
                <w:sz w:val="16"/>
                <w:szCs w:val="16"/>
              </w:rPr>
              <w:t>11.9</w:t>
            </w:r>
          </w:p>
        </w:tc>
      </w:tr>
      <w:tr w:rsidR="001A644B" w:rsidRPr="0060459D" w14:paraId="12CE262E" w14:textId="77777777" w:rsidTr="005162FD">
        <w:tc>
          <w:tcPr>
            <w:tcW w:w="2124" w:type="dxa"/>
            <w:tcBorders>
              <w:top w:val="single" w:sz="4" w:space="0" w:color="auto"/>
              <w:bottom w:val="double" w:sz="4" w:space="0" w:color="auto"/>
            </w:tcBorders>
          </w:tcPr>
          <w:p w14:paraId="7F7C415C" w14:textId="5D92B650" w:rsidR="001A644B" w:rsidRDefault="001A644B" w:rsidP="00653E3B">
            <w:pPr>
              <w:spacing w:line="300" w:lineRule="atLeast"/>
              <w:jc w:val="both"/>
              <w:rPr>
                <w:rFonts w:ascii="Arial" w:hAnsi="Arial" w:cs="Arial"/>
                <w:sz w:val="16"/>
                <w:szCs w:val="16"/>
              </w:rPr>
            </w:pPr>
            <w:r>
              <w:rPr>
                <w:rFonts w:ascii="Arial" w:hAnsi="Arial" w:cs="Arial"/>
                <w:sz w:val="16"/>
                <w:szCs w:val="16"/>
              </w:rPr>
              <w:t>Zinc air button, 2024</w:t>
            </w:r>
          </w:p>
        </w:tc>
        <w:tc>
          <w:tcPr>
            <w:tcW w:w="958" w:type="dxa"/>
            <w:tcBorders>
              <w:top w:val="single" w:sz="4" w:space="0" w:color="auto"/>
              <w:bottom w:val="double" w:sz="4" w:space="0" w:color="auto"/>
            </w:tcBorders>
            <w:vAlign w:val="center"/>
          </w:tcPr>
          <w:p w14:paraId="5CE4535E" w14:textId="2829FA0D" w:rsidR="001A644B" w:rsidRDefault="001A644B" w:rsidP="00653E3B">
            <w:pPr>
              <w:spacing w:line="300" w:lineRule="atLeast"/>
              <w:jc w:val="center"/>
              <w:rPr>
                <w:rFonts w:ascii="Arial" w:hAnsi="Arial" w:cs="Arial"/>
                <w:sz w:val="16"/>
                <w:szCs w:val="16"/>
              </w:rPr>
            </w:pPr>
            <w:r>
              <w:rPr>
                <w:rFonts w:ascii="Arial" w:hAnsi="Arial" w:cs="Arial"/>
                <w:sz w:val="16"/>
                <w:szCs w:val="16"/>
              </w:rPr>
              <w:t xml:space="preserve">all </w:t>
            </w:r>
          </w:p>
        </w:tc>
        <w:tc>
          <w:tcPr>
            <w:tcW w:w="1187" w:type="dxa"/>
            <w:tcBorders>
              <w:top w:val="single" w:sz="4" w:space="0" w:color="auto"/>
              <w:bottom w:val="double" w:sz="4" w:space="0" w:color="auto"/>
            </w:tcBorders>
            <w:vAlign w:val="center"/>
          </w:tcPr>
          <w:p w14:paraId="3E5F1B09" w14:textId="1DCE8AB2" w:rsidR="001A644B" w:rsidRDefault="001A644B" w:rsidP="00653E3B">
            <w:pPr>
              <w:spacing w:line="300" w:lineRule="atLeast"/>
              <w:jc w:val="center"/>
              <w:rPr>
                <w:rFonts w:ascii="Arial" w:hAnsi="Arial" w:cs="Arial"/>
                <w:sz w:val="16"/>
                <w:szCs w:val="16"/>
              </w:rPr>
            </w:pPr>
            <w:r>
              <w:rPr>
                <w:rFonts w:ascii="Arial" w:hAnsi="Arial" w:cs="Arial"/>
                <w:sz w:val="16"/>
                <w:szCs w:val="16"/>
              </w:rPr>
              <w:t>3</w:t>
            </w:r>
          </w:p>
        </w:tc>
        <w:tc>
          <w:tcPr>
            <w:tcW w:w="1248" w:type="dxa"/>
            <w:tcBorders>
              <w:top w:val="single" w:sz="4" w:space="0" w:color="auto"/>
              <w:bottom w:val="double" w:sz="4" w:space="0" w:color="auto"/>
            </w:tcBorders>
            <w:vAlign w:val="center"/>
          </w:tcPr>
          <w:p w14:paraId="619CF299" w14:textId="21FECD4F" w:rsidR="001A644B" w:rsidRDefault="001A644B" w:rsidP="00653E3B">
            <w:pPr>
              <w:spacing w:line="300" w:lineRule="atLeast"/>
              <w:jc w:val="center"/>
              <w:rPr>
                <w:rFonts w:ascii="Arial" w:hAnsi="Arial" w:cs="Arial"/>
                <w:sz w:val="16"/>
                <w:szCs w:val="16"/>
              </w:rPr>
            </w:pPr>
            <w:r>
              <w:rPr>
                <w:rFonts w:ascii="Arial" w:hAnsi="Arial" w:cs="Arial"/>
                <w:sz w:val="16"/>
                <w:szCs w:val="16"/>
              </w:rPr>
              <w:t>4,810,097</w:t>
            </w:r>
          </w:p>
        </w:tc>
        <w:tc>
          <w:tcPr>
            <w:tcW w:w="1037" w:type="dxa"/>
            <w:tcBorders>
              <w:top w:val="single" w:sz="4" w:space="0" w:color="auto"/>
              <w:bottom w:val="double" w:sz="4" w:space="0" w:color="auto"/>
            </w:tcBorders>
            <w:vAlign w:val="center"/>
          </w:tcPr>
          <w:p w14:paraId="5D13B89D" w14:textId="302FAF9A" w:rsidR="001A644B" w:rsidRDefault="001A644B" w:rsidP="00653E3B">
            <w:pPr>
              <w:spacing w:line="300" w:lineRule="atLeast"/>
              <w:jc w:val="center"/>
              <w:rPr>
                <w:rFonts w:ascii="Arial" w:hAnsi="Arial" w:cs="Arial"/>
                <w:sz w:val="16"/>
                <w:szCs w:val="16"/>
              </w:rPr>
            </w:pPr>
            <w:r>
              <w:rPr>
                <w:rFonts w:ascii="Arial" w:hAnsi="Arial" w:cs="Arial"/>
                <w:sz w:val="16"/>
                <w:szCs w:val="16"/>
              </w:rPr>
              <w:t>1</w:t>
            </w:r>
          </w:p>
        </w:tc>
        <w:tc>
          <w:tcPr>
            <w:tcW w:w="1216" w:type="dxa"/>
            <w:tcBorders>
              <w:top w:val="single" w:sz="4" w:space="0" w:color="auto"/>
              <w:bottom w:val="double" w:sz="4" w:space="0" w:color="auto"/>
            </w:tcBorders>
            <w:vAlign w:val="center"/>
          </w:tcPr>
          <w:p w14:paraId="589E417D" w14:textId="43956E0D" w:rsidR="001A644B" w:rsidRDefault="001A644B" w:rsidP="00653E3B">
            <w:pPr>
              <w:spacing w:line="300" w:lineRule="atLeast"/>
              <w:jc w:val="center"/>
              <w:rPr>
                <w:rFonts w:ascii="Arial" w:hAnsi="Arial" w:cs="Arial"/>
                <w:sz w:val="16"/>
                <w:szCs w:val="16"/>
              </w:rPr>
            </w:pPr>
            <w:r>
              <w:rPr>
                <w:rFonts w:ascii="Arial" w:hAnsi="Arial" w:cs="Arial"/>
                <w:sz w:val="16"/>
                <w:szCs w:val="16"/>
              </w:rPr>
              <w:t>4,810</w:t>
            </w:r>
          </w:p>
        </w:tc>
        <w:tc>
          <w:tcPr>
            <w:tcW w:w="1291" w:type="dxa"/>
            <w:tcBorders>
              <w:top w:val="single" w:sz="4" w:space="0" w:color="auto"/>
              <w:bottom w:val="double" w:sz="4" w:space="0" w:color="auto"/>
            </w:tcBorders>
            <w:vAlign w:val="center"/>
          </w:tcPr>
          <w:p w14:paraId="4A434C2D" w14:textId="56ABC269" w:rsidR="001A644B" w:rsidRDefault="001A644B" w:rsidP="00653E3B">
            <w:pPr>
              <w:spacing w:line="300" w:lineRule="atLeast"/>
              <w:jc w:val="center"/>
              <w:rPr>
                <w:rFonts w:ascii="Arial" w:hAnsi="Arial" w:cs="Arial"/>
                <w:sz w:val="16"/>
                <w:szCs w:val="16"/>
              </w:rPr>
            </w:pPr>
            <w:r>
              <w:rPr>
                <w:rFonts w:ascii="Arial" w:hAnsi="Arial" w:cs="Arial"/>
                <w:sz w:val="16"/>
                <w:szCs w:val="16"/>
              </w:rPr>
              <w:t>14.4</w:t>
            </w:r>
          </w:p>
        </w:tc>
      </w:tr>
      <w:tr w:rsidR="00A8443D" w:rsidRPr="0060459D" w14:paraId="3154B693" w14:textId="77777777" w:rsidTr="005162FD">
        <w:tc>
          <w:tcPr>
            <w:tcW w:w="2124" w:type="dxa"/>
            <w:tcBorders>
              <w:top w:val="double" w:sz="4" w:space="0" w:color="auto"/>
              <w:bottom w:val="single" w:sz="4" w:space="0" w:color="auto"/>
            </w:tcBorders>
          </w:tcPr>
          <w:p w14:paraId="5201D9F3" w14:textId="79DE898E" w:rsidR="00A8443D" w:rsidRPr="0060459D" w:rsidRDefault="00A8443D" w:rsidP="00653E3B">
            <w:pPr>
              <w:spacing w:line="300" w:lineRule="atLeast"/>
              <w:jc w:val="both"/>
              <w:rPr>
                <w:rFonts w:ascii="Arial" w:hAnsi="Arial" w:cs="Arial"/>
                <w:sz w:val="16"/>
                <w:szCs w:val="16"/>
              </w:rPr>
            </w:pPr>
            <w:r w:rsidRPr="0060459D">
              <w:rPr>
                <w:rFonts w:ascii="Arial" w:hAnsi="Arial" w:cs="Arial"/>
                <w:sz w:val="16"/>
                <w:szCs w:val="16"/>
              </w:rPr>
              <w:t>Alkaline</w:t>
            </w:r>
            <w:r>
              <w:rPr>
                <w:rFonts w:ascii="Arial" w:hAnsi="Arial" w:cs="Arial"/>
                <w:sz w:val="16"/>
                <w:szCs w:val="16"/>
              </w:rPr>
              <w:t xml:space="preserve"> button, 2016</w:t>
            </w:r>
            <w:r w:rsidR="00686908" w:rsidRPr="00686908">
              <w:rPr>
                <w:rFonts w:ascii="Arial" w:hAnsi="Arial" w:cs="Arial"/>
                <w:sz w:val="16"/>
                <w:szCs w:val="16"/>
                <w:vertAlign w:val="superscript"/>
              </w:rPr>
              <w:t>a</w:t>
            </w:r>
          </w:p>
        </w:tc>
        <w:tc>
          <w:tcPr>
            <w:tcW w:w="958" w:type="dxa"/>
            <w:tcBorders>
              <w:top w:val="double" w:sz="4" w:space="0" w:color="auto"/>
              <w:bottom w:val="single" w:sz="4" w:space="0" w:color="auto"/>
            </w:tcBorders>
            <w:vAlign w:val="center"/>
          </w:tcPr>
          <w:p w14:paraId="2C131E10" w14:textId="77777777" w:rsidR="00A8443D" w:rsidRPr="0060459D" w:rsidRDefault="00A8443D" w:rsidP="00653E3B">
            <w:pPr>
              <w:spacing w:line="300" w:lineRule="atLeast"/>
              <w:jc w:val="center"/>
              <w:rPr>
                <w:rFonts w:ascii="Arial" w:hAnsi="Arial" w:cs="Arial"/>
                <w:sz w:val="16"/>
                <w:szCs w:val="16"/>
              </w:rPr>
            </w:pPr>
            <w:r>
              <w:rPr>
                <w:rFonts w:ascii="Arial" w:hAnsi="Arial" w:cs="Arial"/>
                <w:sz w:val="16"/>
                <w:szCs w:val="16"/>
              </w:rPr>
              <w:t>all</w:t>
            </w:r>
          </w:p>
        </w:tc>
        <w:tc>
          <w:tcPr>
            <w:tcW w:w="1187" w:type="dxa"/>
            <w:tcBorders>
              <w:top w:val="double" w:sz="4" w:space="0" w:color="auto"/>
              <w:bottom w:val="single" w:sz="4" w:space="0" w:color="auto"/>
            </w:tcBorders>
            <w:vAlign w:val="center"/>
          </w:tcPr>
          <w:p w14:paraId="74751D08" w14:textId="187A087D" w:rsidR="00A8443D" w:rsidRPr="0060459D" w:rsidRDefault="00515FA9" w:rsidP="00653E3B">
            <w:pPr>
              <w:spacing w:line="300" w:lineRule="atLeast"/>
              <w:jc w:val="center"/>
              <w:rPr>
                <w:rFonts w:ascii="Arial" w:hAnsi="Arial" w:cs="Arial"/>
                <w:sz w:val="16"/>
                <w:szCs w:val="16"/>
              </w:rPr>
            </w:pPr>
            <w:r>
              <w:rPr>
                <w:rFonts w:ascii="Arial" w:hAnsi="Arial" w:cs="Arial"/>
                <w:sz w:val="16"/>
                <w:szCs w:val="16"/>
              </w:rPr>
              <w:t>1.25</w:t>
            </w:r>
          </w:p>
        </w:tc>
        <w:tc>
          <w:tcPr>
            <w:tcW w:w="1248" w:type="dxa"/>
            <w:tcBorders>
              <w:top w:val="double" w:sz="4" w:space="0" w:color="auto"/>
              <w:bottom w:val="single" w:sz="4" w:space="0" w:color="auto"/>
            </w:tcBorders>
            <w:vAlign w:val="center"/>
          </w:tcPr>
          <w:p w14:paraId="4BE7B836" w14:textId="076D71D7" w:rsidR="00A8443D" w:rsidRPr="0060459D" w:rsidRDefault="009C6631" w:rsidP="00653E3B">
            <w:pPr>
              <w:spacing w:line="300" w:lineRule="atLeast"/>
              <w:jc w:val="center"/>
              <w:rPr>
                <w:rFonts w:ascii="Arial" w:hAnsi="Arial" w:cs="Arial"/>
                <w:sz w:val="16"/>
                <w:szCs w:val="16"/>
              </w:rPr>
            </w:pPr>
            <w:r>
              <w:rPr>
                <w:rFonts w:ascii="Arial" w:hAnsi="Arial" w:cs="Arial"/>
                <w:sz w:val="16"/>
                <w:szCs w:val="16"/>
              </w:rPr>
              <w:t>6,828,996</w:t>
            </w:r>
          </w:p>
        </w:tc>
        <w:tc>
          <w:tcPr>
            <w:tcW w:w="1037" w:type="dxa"/>
            <w:tcBorders>
              <w:top w:val="double" w:sz="4" w:space="0" w:color="auto"/>
              <w:bottom w:val="single" w:sz="4" w:space="0" w:color="auto"/>
            </w:tcBorders>
            <w:vAlign w:val="center"/>
          </w:tcPr>
          <w:p w14:paraId="1392D6A6" w14:textId="77777777" w:rsidR="00A8443D" w:rsidRPr="0060459D" w:rsidRDefault="00A8443D" w:rsidP="00653E3B">
            <w:pPr>
              <w:spacing w:line="300" w:lineRule="atLeast"/>
              <w:jc w:val="center"/>
              <w:rPr>
                <w:rFonts w:ascii="Arial" w:hAnsi="Arial" w:cs="Arial"/>
                <w:sz w:val="16"/>
                <w:szCs w:val="16"/>
              </w:rPr>
            </w:pPr>
            <w:r w:rsidRPr="0060459D">
              <w:rPr>
                <w:rFonts w:ascii="Arial" w:hAnsi="Arial" w:cs="Arial"/>
                <w:sz w:val="16"/>
                <w:szCs w:val="16"/>
              </w:rPr>
              <w:t>1</w:t>
            </w:r>
          </w:p>
        </w:tc>
        <w:tc>
          <w:tcPr>
            <w:tcW w:w="1216" w:type="dxa"/>
            <w:tcBorders>
              <w:top w:val="double" w:sz="4" w:space="0" w:color="auto"/>
              <w:bottom w:val="single" w:sz="4" w:space="0" w:color="auto"/>
            </w:tcBorders>
            <w:vAlign w:val="center"/>
          </w:tcPr>
          <w:p w14:paraId="0341486B" w14:textId="36CC6826" w:rsidR="00A8443D" w:rsidRPr="0060459D" w:rsidRDefault="009C6631" w:rsidP="00653E3B">
            <w:pPr>
              <w:spacing w:line="300" w:lineRule="atLeast"/>
              <w:jc w:val="center"/>
              <w:rPr>
                <w:rFonts w:ascii="Arial" w:hAnsi="Arial" w:cs="Arial"/>
                <w:sz w:val="16"/>
                <w:szCs w:val="16"/>
              </w:rPr>
            </w:pPr>
            <w:r>
              <w:rPr>
                <w:rFonts w:ascii="Arial" w:hAnsi="Arial" w:cs="Arial"/>
                <w:sz w:val="16"/>
                <w:szCs w:val="16"/>
              </w:rPr>
              <w:t>6,829</w:t>
            </w:r>
          </w:p>
        </w:tc>
        <w:tc>
          <w:tcPr>
            <w:tcW w:w="1291" w:type="dxa"/>
            <w:tcBorders>
              <w:top w:val="double" w:sz="4" w:space="0" w:color="auto"/>
              <w:bottom w:val="single" w:sz="4" w:space="0" w:color="auto"/>
            </w:tcBorders>
            <w:vAlign w:val="center"/>
          </w:tcPr>
          <w:p w14:paraId="7A83E77E" w14:textId="2FCFC2D0" w:rsidR="00A8443D" w:rsidRPr="0060459D" w:rsidRDefault="009C6631" w:rsidP="00653E3B">
            <w:pPr>
              <w:spacing w:line="300" w:lineRule="atLeast"/>
              <w:jc w:val="center"/>
              <w:rPr>
                <w:rFonts w:ascii="Arial" w:hAnsi="Arial" w:cs="Arial"/>
                <w:sz w:val="16"/>
                <w:szCs w:val="16"/>
              </w:rPr>
            </w:pPr>
            <w:r>
              <w:rPr>
                <w:rFonts w:ascii="Arial" w:hAnsi="Arial" w:cs="Arial"/>
                <w:sz w:val="16"/>
                <w:szCs w:val="16"/>
              </w:rPr>
              <w:t>8.54</w:t>
            </w:r>
          </w:p>
        </w:tc>
      </w:tr>
      <w:tr w:rsidR="00E57A9E" w:rsidRPr="0060459D" w14:paraId="739856CE" w14:textId="77777777" w:rsidTr="005162FD">
        <w:tc>
          <w:tcPr>
            <w:tcW w:w="2124" w:type="dxa"/>
            <w:tcBorders>
              <w:bottom w:val="double" w:sz="4" w:space="0" w:color="auto"/>
            </w:tcBorders>
          </w:tcPr>
          <w:p w14:paraId="2D592588" w14:textId="676B2BE4" w:rsidR="00E57A9E" w:rsidRPr="0060459D" w:rsidRDefault="00E57A9E" w:rsidP="00653E3B">
            <w:pPr>
              <w:spacing w:line="300" w:lineRule="atLeast"/>
              <w:jc w:val="both"/>
              <w:rPr>
                <w:rFonts w:ascii="Arial" w:hAnsi="Arial" w:cs="Arial"/>
                <w:sz w:val="16"/>
                <w:szCs w:val="16"/>
              </w:rPr>
            </w:pPr>
            <w:r>
              <w:rPr>
                <w:rFonts w:ascii="Arial" w:hAnsi="Arial" w:cs="Arial"/>
                <w:sz w:val="16"/>
                <w:szCs w:val="16"/>
              </w:rPr>
              <w:t>Alkaline button, 2020</w:t>
            </w:r>
            <w:r w:rsidRPr="00C026A9">
              <w:rPr>
                <w:rFonts w:ascii="Arial" w:hAnsi="Arial" w:cs="Arial"/>
                <w:sz w:val="16"/>
                <w:szCs w:val="16"/>
                <w:vertAlign w:val="superscript"/>
              </w:rPr>
              <w:t>a</w:t>
            </w:r>
          </w:p>
        </w:tc>
        <w:tc>
          <w:tcPr>
            <w:tcW w:w="958" w:type="dxa"/>
            <w:tcBorders>
              <w:bottom w:val="double" w:sz="4" w:space="0" w:color="auto"/>
            </w:tcBorders>
            <w:vAlign w:val="center"/>
          </w:tcPr>
          <w:p w14:paraId="50019338" w14:textId="38C5FDF5" w:rsidR="00E57A9E" w:rsidRDefault="00E57A9E" w:rsidP="00653E3B">
            <w:pPr>
              <w:spacing w:line="300" w:lineRule="atLeast"/>
              <w:jc w:val="center"/>
              <w:rPr>
                <w:rFonts w:ascii="Arial" w:hAnsi="Arial" w:cs="Arial"/>
                <w:sz w:val="16"/>
                <w:szCs w:val="16"/>
              </w:rPr>
            </w:pPr>
            <w:r>
              <w:rPr>
                <w:rFonts w:ascii="Arial" w:hAnsi="Arial" w:cs="Arial"/>
                <w:sz w:val="16"/>
                <w:szCs w:val="16"/>
              </w:rPr>
              <w:t>all</w:t>
            </w:r>
          </w:p>
        </w:tc>
        <w:tc>
          <w:tcPr>
            <w:tcW w:w="1187" w:type="dxa"/>
            <w:tcBorders>
              <w:bottom w:val="double" w:sz="4" w:space="0" w:color="auto"/>
            </w:tcBorders>
            <w:vAlign w:val="center"/>
          </w:tcPr>
          <w:p w14:paraId="6779A9C0" w14:textId="4A66E627" w:rsidR="00E57A9E" w:rsidRDefault="00515FA9" w:rsidP="00653E3B">
            <w:pPr>
              <w:spacing w:line="300" w:lineRule="atLeast"/>
              <w:jc w:val="center"/>
              <w:rPr>
                <w:rFonts w:ascii="Arial" w:hAnsi="Arial" w:cs="Arial"/>
                <w:sz w:val="16"/>
                <w:szCs w:val="16"/>
              </w:rPr>
            </w:pPr>
            <w:r>
              <w:rPr>
                <w:rFonts w:ascii="Arial" w:hAnsi="Arial" w:cs="Arial"/>
                <w:sz w:val="16"/>
                <w:szCs w:val="16"/>
              </w:rPr>
              <w:t>1.25</w:t>
            </w:r>
          </w:p>
        </w:tc>
        <w:tc>
          <w:tcPr>
            <w:tcW w:w="1248" w:type="dxa"/>
            <w:tcBorders>
              <w:bottom w:val="double" w:sz="4" w:space="0" w:color="auto"/>
            </w:tcBorders>
            <w:vAlign w:val="center"/>
          </w:tcPr>
          <w:p w14:paraId="417225DB" w14:textId="7856DA59" w:rsidR="00E57A9E" w:rsidRDefault="00E57A9E" w:rsidP="00653E3B">
            <w:pPr>
              <w:spacing w:line="300" w:lineRule="atLeast"/>
              <w:jc w:val="center"/>
              <w:rPr>
                <w:rFonts w:ascii="Arial" w:hAnsi="Arial" w:cs="Arial"/>
                <w:sz w:val="16"/>
                <w:szCs w:val="16"/>
              </w:rPr>
            </w:pPr>
            <w:r>
              <w:rPr>
                <w:rFonts w:ascii="Arial" w:hAnsi="Arial" w:cs="Arial"/>
                <w:sz w:val="16"/>
                <w:szCs w:val="16"/>
              </w:rPr>
              <w:t>8,474,609</w:t>
            </w:r>
          </w:p>
        </w:tc>
        <w:tc>
          <w:tcPr>
            <w:tcW w:w="1037" w:type="dxa"/>
            <w:tcBorders>
              <w:bottom w:val="double" w:sz="4" w:space="0" w:color="auto"/>
            </w:tcBorders>
            <w:vAlign w:val="center"/>
          </w:tcPr>
          <w:p w14:paraId="53232D1B" w14:textId="05182B3E" w:rsidR="00E57A9E" w:rsidRPr="0060459D" w:rsidRDefault="00D524E4" w:rsidP="00653E3B">
            <w:pPr>
              <w:spacing w:line="300" w:lineRule="atLeast"/>
              <w:jc w:val="center"/>
              <w:rPr>
                <w:rFonts w:ascii="Arial" w:hAnsi="Arial" w:cs="Arial"/>
                <w:sz w:val="16"/>
                <w:szCs w:val="16"/>
              </w:rPr>
            </w:pPr>
            <w:r>
              <w:rPr>
                <w:rFonts w:ascii="Arial" w:hAnsi="Arial" w:cs="Arial"/>
                <w:sz w:val="16"/>
                <w:szCs w:val="16"/>
              </w:rPr>
              <w:t>1</w:t>
            </w:r>
          </w:p>
        </w:tc>
        <w:tc>
          <w:tcPr>
            <w:tcW w:w="1216" w:type="dxa"/>
            <w:tcBorders>
              <w:bottom w:val="double" w:sz="4" w:space="0" w:color="auto"/>
            </w:tcBorders>
            <w:vAlign w:val="center"/>
          </w:tcPr>
          <w:p w14:paraId="078649E4" w14:textId="788D945F" w:rsidR="00E57A9E" w:rsidRDefault="00D524E4" w:rsidP="00653E3B">
            <w:pPr>
              <w:spacing w:line="300" w:lineRule="atLeast"/>
              <w:jc w:val="center"/>
              <w:rPr>
                <w:rFonts w:ascii="Arial" w:hAnsi="Arial" w:cs="Arial"/>
                <w:sz w:val="16"/>
                <w:szCs w:val="16"/>
              </w:rPr>
            </w:pPr>
            <w:r>
              <w:rPr>
                <w:rFonts w:ascii="Arial" w:hAnsi="Arial" w:cs="Arial"/>
                <w:sz w:val="16"/>
                <w:szCs w:val="16"/>
              </w:rPr>
              <w:t>8,475</w:t>
            </w:r>
          </w:p>
        </w:tc>
        <w:tc>
          <w:tcPr>
            <w:tcW w:w="1291" w:type="dxa"/>
            <w:tcBorders>
              <w:bottom w:val="double" w:sz="4" w:space="0" w:color="auto"/>
            </w:tcBorders>
            <w:vAlign w:val="center"/>
          </w:tcPr>
          <w:p w14:paraId="45CD6494" w14:textId="7A79A6D6" w:rsidR="00E57A9E" w:rsidRDefault="00515FA9" w:rsidP="00653E3B">
            <w:pPr>
              <w:spacing w:line="300" w:lineRule="atLeast"/>
              <w:jc w:val="center"/>
              <w:rPr>
                <w:rFonts w:ascii="Arial" w:hAnsi="Arial" w:cs="Arial"/>
                <w:sz w:val="16"/>
                <w:szCs w:val="16"/>
              </w:rPr>
            </w:pPr>
            <w:r>
              <w:rPr>
                <w:rFonts w:ascii="Arial" w:hAnsi="Arial" w:cs="Arial"/>
                <w:sz w:val="16"/>
                <w:szCs w:val="16"/>
              </w:rPr>
              <w:t>10.6</w:t>
            </w:r>
          </w:p>
        </w:tc>
      </w:tr>
      <w:tr w:rsidR="001A644B" w:rsidRPr="0060459D" w14:paraId="02C03188" w14:textId="77777777" w:rsidTr="005162FD">
        <w:tc>
          <w:tcPr>
            <w:tcW w:w="2124" w:type="dxa"/>
            <w:tcBorders>
              <w:bottom w:val="double" w:sz="4" w:space="0" w:color="auto"/>
            </w:tcBorders>
          </w:tcPr>
          <w:p w14:paraId="79C6A33F" w14:textId="3DAF088A" w:rsidR="001A644B" w:rsidRDefault="001A644B" w:rsidP="00653E3B">
            <w:pPr>
              <w:spacing w:line="300" w:lineRule="atLeast"/>
              <w:jc w:val="both"/>
              <w:rPr>
                <w:rFonts w:ascii="Arial" w:hAnsi="Arial" w:cs="Arial"/>
                <w:sz w:val="16"/>
                <w:szCs w:val="16"/>
              </w:rPr>
            </w:pPr>
            <w:r>
              <w:rPr>
                <w:rFonts w:ascii="Arial" w:hAnsi="Arial" w:cs="Arial"/>
                <w:sz w:val="16"/>
                <w:szCs w:val="16"/>
              </w:rPr>
              <w:t>Alkaline button, 2024</w:t>
            </w:r>
            <w:r w:rsidRPr="00C026A9">
              <w:rPr>
                <w:rFonts w:ascii="Arial" w:hAnsi="Arial" w:cs="Arial"/>
                <w:sz w:val="16"/>
                <w:szCs w:val="16"/>
                <w:vertAlign w:val="superscript"/>
              </w:rPr>
              <w:t xml:space="preserve"> a</w:t>
            </w:r>
          </w:p>
        </w:tc>
        <w:tc>
          <w:tcPr>
            <w:tcW w:w="958" w:type="dxa"/>
            <w:tcBorders>
              <w:bottom w:val="double" w:sz="4" w:space="0" w:color="auto"/>
            </w:tcBorders>
            <w:vAlign w:val="center"/>
          </w:tcPr>
          <w:p w14:paraId="54719056" w14:textId="3779368C" w:rsidR="001A644B" w:rsidRDefault="001A644B" w:rsidP="00653E3B">
            <w:pPr>
              <w:spacing w:line="300" w:lineRule="atLeast"/>
              <w:jc w:val="center"/>
              <w:rPr>
                <w:rFonts w:ascii="Arial" w:hAnsi="Arial" w:cs="Arial"/>
                <w:sz w:val="16"/>
                <w:szCs w:val="16"/>
              </w:rPr>
            </w:pPr>
            <w:r>
              <w:rPr>
                <w:rFonts w:ascii="Arial" w:hAnsi="Arial" w:cs="Arial"/>
                <w:sz w:val="16"/>
                <w:szCs w:val="16"/>
              </w:rPr>
              <w:t>all</w:t>
            </w:r>
          </w:p>
        </w:tc>
        <w:tc>
          <w:tcPr>
            <w:tcW w:w="1187" w:type="dxa"/>
            <w:tcBorders>
              <w:bottom w:val="double" w:sz="4" w:space="0" w:color="auto"/>
            </w:tcBorders>
            <w:vAlign w:val="center"/>
          </w:tcPr>
          <w:p w14:paraId="23BB1507" w14:textId="77326115" w:rsidR="001A644B" w:rsidRDefault="001A644B" w:rsidP="00653E3B">
            <w:pPr>
              <w:spacing w:line="300" w:lineRule="atLeast"/>
              <w:jc w:val="center"/>
              <w:rPr>
                <w:rFonts w:ascii="Arial" w:hAnsi="Arial" w:cs="Arial"/>
                <w:sz w:val="16"/>
                <w:szCs w:val="16"/>
              </w:rPr>
            </w:pPr>
            <w:r>
              <w:rPr>
                <w:rFonts w:ascii="Arial" w:hAnsi="Arial" w:cs="Arial"/>
                <w:sz w:val="16"/>
                <w:szCs w:val="16"/>
              </w:rPr>
              <w:t>1.25</w:t>
            </w:r>
          </w:p>
        </w:tc>
        <w:tc>
          <w:tcPr>
            <w:tcW w:w="1248" w:type="dxa"/>
            <w:tcBorders>
              <w:bottom w:val="double" w:sz="4" w:space="0" w:color="auto"/>
            </w:tcBorders>
            <w:vAlign w:val="center"/>
          </w:tcPr>
          <w:p w14:paraId="5B226297" w14:textId="6585BF50" w:rsidR="001A644B" w:rsidRDefault="00DF5F39" w:rsidP="00653E3B">
            <w:pPr>
              <w:spacing w:line="300" w:lineRule="atLeast"/>
              <w:jc w:val="center"/>
              <w:rPr>
                <w:rFonts w:ascii="Arial" w:hAnsi="Arial" w:cs="Arial"/>
                <w:sz w:val="16"/>
                <w:szCs w:val="16"/>
              </w:rPr>
            </w:pPr>
            <w:r>
              <w:rPr>
                <w:rFonts w:ascii="Arial" w:hAnsi="Arial" w:cs="Arial"/>
                <w:sz w:val="16"/>
                <w:szCs w:val="16"/>
              </w:rPr>
              <w:t>9,031,832</w:t>
            </w:r>
          </w:p>
        </w:tc>
        <w:tc>
          <w:tcPr>
            <w:tcW w:w="1037" w:type="dxa"/>
            <w:tcBorders>
              <w:bottom w:val="double" w:sz="4" w:space="0" w:color="auto"/>
            </w:tcBorders>
            <w:vAlign w:val="center"/>
          </w:tcPr>
          <w:p w14:paraId="512D2BC6" w14:textId="1DFE6049" w:rsidR="001A644B" w:rsidRDefault="00DF5F39" w:rsidP="00653E3B">
            <w:pPr>
              <w:spacing w:line="300" w:lineRule="atLeast"/>
              <w:jc w:val="center"/>
              <w:rPr>
                <w:rFonts w:ascii="Arial" w:hAnsi="Arial" w:cs="Arial"/>
                <w:sz w:val="16"/>
                <w:szCs w:val="16"/>
              </w:rPr>
            </w:pPr>
            <w:r>
              <w:rPr>
                <w:rFonts w:ascii="Arial" w:hAnsi="Arial" w:cs="Arial"/>
                <w:sz w:val="16"/>
                <w:szCs w:val="16"/>
              </w:rPr>
              <w:t>1</w:t>
            </w:r>
          </w:p>
        </w:tc>
        <w:tc>
          <w:tcPr>
            <w:tcW w:w="1216" w:type="dxa"/>
            <w:tcBorders>
              <w:bottom w:val="double" w:sz="4" w:space="0" w:color="auto"/>
            </w:tcBorders>
            <w:vAlign w:val="center"/>
          </w:tcPr>
          <w:p w14:paraId="4CF51A81" w14:textId="0A946787" w:rsidR="001A644B" w:rsidRDefault="00DF5F39" w:rsidP="00653E3B">
            <w:pPr>
              <w:spacing w:line="300" w:lineRule="atLeast"/>
              <w:jc w:val="center"/>
              <w:rPr>
                <w:rFonts w:ascii="Arial" w:hAnsi="Arial" w:cs="Arial"/>
                <w:sz w:val="16"/>
                <w:szCs w:val="16"/>
              </w:rPr>
            </w:pPr>
            <w:r>
              <w:rPr>
                <w:rFonts w:ascii="Arial" w:hAnsi="Arial" w:cs="Arial"/>
                <w:sz w:val="16"/>
                <w:szCs w:val="16"/>
              </w:rPr>
              <w:t>9,03</w:t>
            </w:r>
            <w:r w:rsidR="005162FD">
              <w:rPr>
                <w:rFonts w:ascii="Arial" w:hAnsi="Arial" w:cs="Arial"/>
                <w:sz w:val="16"/>
                <w:szCs w:val="16"/>
              </w:rPr>
              <w:t>2</w:t>
            </w:r>
          </w:p>
        </w:tc>
        <w:tc>
          <w:tcPr>
            <w:tcW w:w="1291" w:type="dxa"/>
            <w:tcBorders>
              <w:bottom w:val="double" w:sz="4" w:space="0" w:color="auto"/>
            </w:tcBorders>
            <w:vAlign w:val="center"/>
          </w:tcPr>
          <w:p w14:paraId="72069CF4" w14:textId="3F92B543" w:rsidR="001A644B" w:rsidRDefault="00DF5F39" w:rsidP="00653E3B">
            <w:pPr>
              <w:spacing w:line="300" w:lineRule="atLeast"/>
              <w:jc w:val="center"/>
              <w:rPr>
                <w:rFonts w:ascii="Arial" w:hAnsi="Arial" w:cs="Arial"/>
                <w:sz w:val="16"/>
                <w:szCs w:val="16"/>
              </w:rPr>
            </w:pPr>
            <w:r>
              <w:rPr>
                <w:rFonts w:ascii="Arial" w:hAnsi="Arial" w:cs="Arial"/>
                <w:sz w:val="16"/>
                <w:szCs w:val="16"/>
              </w:rPr>
              <w:t>11.</w:t>
            </w:r>
            <w:r w:rsidR="005162FD">
              <w:rPr>
                <w:rFonts w:ascii="Arial" w:hAnsi="Arial" w:cs="Arial"/>
                <w:sz w:val="16"/>
                <w:szCs w:val="16"/>
              </w:rPr>
              <w:t>3</w:t>
            </w:r>
          </w:p>
        </w:tc>
      </w:tr>
      <w:tr w:rsidR="00A8443D" w:rsidRPr="0060459D" w14:paraId="72763C28" w14:textId="77777777" w:rsidTr="005162FD">
        <w:tc>
          <w:tcPr>
            <w:tcW w:w="2124" w:type="dxa"/>
            <w:tcBorders>
              <w:top w:val="double" w:sz="4" w:space="0" w:color="auto"/>
            </w:tcBorders>
          </w:tcPr>
          <w:p w14:paraId="4B2C39DC" w14:textId="355068CF" w:rsidR="00A8443D" w:rsidRPr="0060459D" w:rsidRDefault="00A8443D" w:rsidP="00653E3B">
            <w:pPr>
              <w:spacing w:line="300" w:lineRule="atLeast"/>
              <w:jc w:val="both"/>
              <w:rPr>
                <w:rFonts w:ascii="Arial" w:hAnsi="Arial" w:cs="Arial"/>
                <w:sz w:val="16"/>
                <w:szCs w:val="16"/>
              </w:rPr>
            </w:pPr>
            <w:r>
              <w:rPr>
                <w:rFonts w:ascii="Arial" w:hAnsi="Arial" w:cs="Arial"/>
                <w:sz w:val="16"/>
                <w:szCs w:val="16"/>
              </w:rPr>
              <w:t>Alkaline MnO</w:t>
            </w:r>
            <w:r w:rsidRPr="00A8443D">
              <w:rPr>
                <w:rFonts w:ascii="Arial" w:hAnsi="Arial" w:cs="Arial"/>
                <w:sz w:val="16"/>
                <w:szCs w:val="16"/>
                <w:vertAlign w:val="subscript"/>
              </w:rPr>
              <w:t>2</w:t>
            </w:r>
            <w:r>
              <w:rPr>
                <w:rFonts w:ascii="Arial" w:hAnsi="Arial" w:cs="Arial"/>
                <w:sz w:val="16"/>
                <w:szCs w:val="16"/>
              </w:rPr>
              <w:t>, 2012</w:t>
            </w:r>
          </w:p>
        </w:tc>
        <w:tc>
          <w:tcPr>
            <w:tcW w:w="958" w:type="dxa"/>
            <w:tcBorders>
              <w:top w:val="double" w:sz="4" w:space="0" w:color="auto"/>
            </w:tcBorders>
            <w:vAlign w:val="center"/>
          </w:tcPr>
          <w:p w14:paraId="7AB48602" w14:textId="255A743B" w:rsidR="00A8443D" w:rsidRDefault="00A8443D" w:rsidP="00653E3B">
            <w:pPr>
              <w:spacing w:line="300" w:lineRule="atLeast"/>
              <w:jc w:val="center"/>
              <w:rPr>
                <w:rFonts w:ascii="Arial" w:hAnsi="Arial" w:cs="Arial"/>
                <w:sz w:val="16"/>
                <w:szCs w:val="16"/>
              </w:rPr>
            </w:pPr>
            <w:r>
              <w:rPr>
                <w:rFonts w:ascii="Arial" w:hAnsi="Arial" w:cs="Arial"/>
                <w:sz w:val="16"/>
                <w:szCs w:val="16"/>
              </w:rPr>
              <w:t>&lt;300</w:t>
            </w:r>
          </w:p>
        </w:tc>
        <w:tc>
          <w:tcPr>
            <w:tcW w:w="1187" w:type="dxa"/>
            <w:tcBorders>
              <w:top w:val="double" w:sz="4" w:space="0" w:color="auto"/>
            </w:tcBorders>
            <w:vAlign w:val="center"/>
          </w:tcPr>
          <w:p w14:paraId="7A85F9CD" w14:textId="69501567" w:rsidR="00A8443D" w:rsidRDefault="00A8443D" w:rsidP="00653E3B">
            <w:pPr>
              <w:spacing w:line="300" w:lineRule="atLeast"/>
              <w:jc w:val="center"/>
              <w:rPr>
                <w:rFonts w:ascii="Arial" w:hAnsi="Arial" w:cs="Arial"/>
                <w:sz w:val="16"/>
                <w:szCs w:val="16"/>
              </w:rPr>
            </w:pPr>
            <w:r>
              <w:rPr>
                <w:rFonts w:ascii="Arial" w:hAnsi="Arial" w:cs="Arial"/>
                <w:sz w:val="16"/>
                <w:szCs w:val="16"/>
              </w:rPr>
              <w:t>0 – 0.00006</w:t>
            </w:r>
            <w:r w:rsidR="00686908" w:rsidRPr="00686908">
              <w:rPr>
                <w:rFonts w:ascii="Arial" w:hAnsi="Arial" w:cs="Arial"/>
                <w:sz w:val="16"/>
                <w:szCs w:val="16"/>
                <w:vertAlign w:val="superscript"/>
              </w:rPr>
              <w:t>b</w:t>
            </w:r>
          </w:p>
        </w:tc>
        <w:tc>
          <w:tcPr>
            <w:tcW w:w="1248" w:type="dxa"/>
            <w:tcBorders>
              <w:top w:val="double" w:sz="4" w:space="0" w:color="auto"/>
            </w:tcBorders>
            <w:vAlign w:val="center"/>
          </w:tcPr>
          <w:p w14:paraId="00CD3014" w14:textId="0FB3D30A" w:rsidR="00A8443D" w:rsidRDefault="00A8443D" w:rsidP="00653E3B">
            <w:pPr>
              <w:spacing w:line="300" w:lineRule="atLeast"/>
              <w:jc w:val="center"/>
              <w:rPr>
                <w:rFonts w:ascii="Arial" w:hAnsi="Arial" w:cs="Arial"/>
                <w:sz w:val="16"/>
                <w:szCs w:val="16"/>
              </w:rPr>
            </w:pPr>
            <w:r>
              <w:rPr>
                <w:rFonts w:ascii="Arial" w:hAnsi="Arial" w:cs="Arial"/>
                <w:sz w:val="16"/>
                <w:szCs w:val="16"/>
              </w:rPr>
              <w:t>36,705,233</w:t>
            </w:r>
          </w:p>
        </w:tc>
        <w:tc>
          <w:tcPr>
            <w:tcW w:w="1037" w:type="dxa"/>
            <w:tcBorders>
              <w:top w:val="double" w:sz="4" w:space="0" w:color="auto"/>
            </w:tcBorders>
            <w:vAlign w:val="center"/>
          </w:tcPr>
          <w:p w14:paraId="5ABA1374" w14:textId="00B3D252" w:rsidR="00A8443D" w:rsidRPr="0060459D" w:rsidRDefault="00A8443D" w:rsidP="00653E3B">
            <w:pPr>
              <w:spacing w:line="300" w:lineRule="atLeast"/>
              <w:jc w:val="center"/>
              <w:rPr>
                <w:rFonts w:ascii="Arial" w:hAnsi="Arial" w:cs="Arial"/>
                <w:sz w:val="16"/>
                <w:szCs w:val="16"/>
              </w:rPr>
            </w:pPr>
            <w:r>
              <w:rPr>
                <w:rFonts w:ascii="Arial" w:hAnsi="Arial" w:cs="Arial"/>
                <w:sz w:val="16"/>
                <w:szCs w:val="16"/>
              </w:rPr>
              <w:t>12</w:t>
            </w:r>
          </w:p>
        </w:tc>
        <w:tc>
          <w:tcPr>
            <w:tcW w:w="1216" w:type="dxa"/>
            <w:tcBorders>
              <w:top w:val="double" w:sz="4" w:space="0" w:color="auto"/>
            </w:tcBorders>
            <w:vAlign w:val="center"/>
          </w:tcPr>
          <w:p w14:paraId="2F893F15" w14:textId="1E8A20D9" w:rsidR="00A8443D" w:rsidRDefault="00A8443D" w:rsidP="00653E3B">
            <w:pPr>
              <w:spacing w:line="300" w:lineRule="atLeast"/>
              <w:jc w:val="center"/>
              <w:rPr>
                <w:rFonts w:ascii="Arial" w:hAnsi="Arial" w:cs="Arial"/>
                <w:sz w:val="16"/>
                <w:szCs w:val="16"/>
              </w:rPr>
            </w:pPr>
            <w:r>
              <w:rPr>
                <w:rFonts w:ascii="Arial" w:hAnsi="Arial" w:cs="Arial"/>
                <w:sz w:val="16"/>
                <w:szCs w:val="16"/>
              </w:rPr>
              <w:t>440,462</w:t>
            </w:r>
          </w:p>
        </w:tc>
        <w:tc>
          <w:tcPr>
            <w:tcW w:w="1291" w:type="dxa"/>
            <w:tcBorders>
              <w:top w:val="double" w:sz="4" w:space="0" w:color="auto"/>
            </w:tcBorders>
            <w:vAlign w:val="center"/>
          </w:tcPr>
          <w:p w14:paraId="3F45C3D3" w14:textId="3D2084CF" w:rsidR="00A8443D" w:rsidRDefault="00A8443D" w:rsidP="00653E3B">
            <w:pPr>
              <w:spacing w:line="300" w:lineRule="atLeast"/>
              <w:jc w:val="center"/>
              <w:rPr>
                <w:rFonts w:ascii="Arial" w:hAnsi="Arial" w:cs="Arial"/>
                <w:sz w:val="16"/>
                <w:szCs w:val="16"/>
              </w:rPr>
            </w:pPr>
            <w:r>
              <w:rPr>
                <w:rFonts w:ascii="Arial" w:hAnsi="Arial" w:cs="Arial"/>
                <w:sz w:val="16"/>
                <w:szCs w:val="16"/>
              </w:rPr>
              <w:t>0 – 0.026</w:t>
            </w:r>
          </w:p>
        </w:tc>
      </w:tr>
      <w:tr w:rsidR="00A8443D" w:rsidRPr="0060459D" w14:paraId="60EB2021" w14:textId="77777777" w:rsidTr="005162FD">
        <w:tc>
          <w:tcPr>
            <w:tcW w:w="2124" w:type="dxa"/>
          </w:tcPr>
          <w:p w14:paraId="14B37AD4" w14:textId="596E0902" w:rsidR="00A8443D" w:rsidRPr="0060459D" w:rsidRDefault="00A8443D" w:rsidP="00653E3B">
            <w:pPr>
              <w:spacing w:line="300" w:lineRule="atLeast"/>
              <w:jc w:val="both"/>
              <w:rPr>
                <w:rFonts w:ascii="Arial" w:hAnsi="Arial" w:cs="Arial"/>
                <w:sz w:val="16"/>
                <w:szCs w:val="16"/>
              </w:rPr>
            </w:pPr>
            <w:r>
              <w:rPr>
                <w:rFonts w:ascii="Arial" w:hAnsi="Arial" w:cs="Arial"/>
                <w:sz w:val="16"/>
                <w:szCs w:val="16"/>
              </w:rPr>
              <w:t>Alkaline MnO</w:t>
            </w:r>
            <w:r w:rsidRPr="00A8443D">
              <w:rPr>
                <w:rFonts w:ascii="Arial" w:hAnsi="Arial" w:cs="Arial"/>
                <w:sz w:val="16"/>
                <w:szCs w:val="16"/>
                <w:vertAlign w:val="subscript"/>
              </w:rPr>
              <w:t>2</w:t>
            </w:r>
            <w:r>
              <w:rPr>
                <w:rFonts w:ascii="Arial" w:hAnsi="Arial" w:cs="Arial"/>
                <w:sz w:val="16"/>
                <w:szCs w:val="16"/>
              </w:rPr>
              <w:t>, 2016</w:t>
            </w:r>
          </w:p>
        </w:tc>
        <w:tc>
          <w:tcPr>
            <w:tcW w:w="958" w:type="dxa"/>
            <w:vAlign w:val="center"/>
          </w:tcPr>
          <w:p w14:paraId="447BE28B" w14:textId="28BEC0E0" w:rsidR="00A8443D" w:rsidRDefault="00A8443D" w:rsidP="00653E3B">
            <w:pPr>
              <w:spacing w:line="300" w:lineRule="atLeast"/>
              <w:jc w:val="center"/>
              <w:rPr>
                <w:rFonts w:ascii="Arial" w:hAnsi="Arial" w:cs="Arial"/>
                <w:sz w:val="16"/>
                <w:szCs w:val="16"/>
              </w:rPr>
            </w:pPr>
            <w:r>
              <w:rPr>
                <w:rFonts w:ascii="Arial" w:hAnsi="Arial" w:cs="Arial"/>
                <w:sz w:val="16"/>
                <w:szCs w:val="16"/>
              </w:rPr>
              <w:t>&lt;300</w:t>
            </w:r>
          </w:p>
        </w:tc>
        <w:tc>
          <w:tcPr>
            <w:tcW w:w="1187" w:type="dxa"/>
            <w:vAlign w:val="center"/>
          </w:tcPr>
          <w:p w14:paraId="5FAECBEE" w14:textId="26EECC1D" w:rsidR="00A8443D" w:rsidRDefault="009C6631" w:rsidP="00653E3B">
            <w:pPr>
              <w:spacing w:line="300" w:lineRule="atLeast"/>
              <w:jc w:val="center"/>
              <w:rPr>
                <w:rFonts w:ascii="Arial" w:hAnsi="Arial" w:cs="Arial"/>
                <w:sz w:val="16"/>
                <w:szCs w:val="16"/>
              </w:rPr>
            </w:pPr>
            <w:r>
              <w:rPr>
                <w:rFonts w:ascii="Arial" w:hAnsi="Arial" w:cs="Arial"/>
                <w:sz w:val="16"/>
                <w:szCs w:val="16"/>
              </w:rPr>
              <w:t>0.25</w:t>
            </w:r>
          </w:p>
        </w:tc>
        <w:tc>
          <w:tcPr>
            <w:tcW w:w="1248" w:type="dxa"/>
            <w:vAlign w:val="center"/>
          </w:tcPr>
          <w:p w14:paraId="4FD256B5" w14:textId="32193067" w:rsidR="00A8443D" w:rsidRDefault="009C6631" w:rsidP="00653E3B">
            <w:pPr>
              <w:spacing w:line="300" w:lineRule="atLeast"/>
              <w:jc w:val="center"/>
              <w:rPr>
                <w:rFonts w:ascii="Arial" w:hAnsi="Arial" w:cs="Arial"/>
                <w:sz w:val="16"/>
                <w:szCs w:val="16"/>
              </w:rPr>
            </w:pPr>
            <w:r>
              <w:rPr>
                <w:rFonts w:ascii="Arial" w:hAnsi="Arial" w:cs="Arial"/>
                <w:sz w:val="16"/>
                <w:szCs w:val="16"/>
              </w:rPr>
              <w:t>31,167,321</w:t>
            </w:r>
          </w:p>
        </w:tc>
        <w:tc>
          <w:tcPr>
            <w:tcW w:w="1037" w:type="dxa"/>
            <w:vAlign w:val="center"/>
          </w:tcPr>
          <w:p w14:paraId="53553126" w14:textId="0D98434C" w:rsidR="00A8443D" w:rsidRPr="0060459D" w:rsidRDefault="00A8443D" w:rsidP="00653E3B">
            <w:pPr>
              <w:spacing w:line="300" w:lineRule="atLeast"/>
              <w:jc w:val="center"/>
              <w:rPr>
                <w:rFonts w:ascii="Arial" w:hAnsi="Arial" w:cs="Arial"/>
                <w:sz w:val="16"/>
                <w:szCs w:val="16"/>
              </w:rPr>
            </w:pPr>
            <w:r>
              <w:rPr>
                <w:rFonts w:ascii="Arial" w:hAnsi="Arial" w:cs="Arial"/>
                <w:sz w:val="16"/>
                <w:szCs w:val="16"/>
              </w:rPr>
              <w:t>12</w:t>
            </w:r>
          </w:p>
        </w:tc>
        <w:tc>
          <w:tcPr>
            <w:tcW w:w="1216" w:type="dxa"/>
            <w:vAlign w:val="center"/>
          </w:tcPr>
          <w:p w14:paraId="064B5F04" w14:textId="0B62BE48" w:rsidR="00A8443D" w:rsidRDefault="009C6631" w:rsidP="00653E3B">
            <w:pPr>
              <w:spacing w:line="300" w:lineRule="atLeast"/>
              <w:jc w:val="center"/>
              <w:rPr>
                <w:rFonts w:ascii="Arial" w:hAnsi="Arial" w:cs="Arial"/>
                <w:sz w:val="16"/>
                <w:szCs w:val="16"/>
              </w:rPr>
            </w:pPr>
            <w:r>
              <w:rPr>
                <w:rFonts w:ascii="Arial" w:hAnsi="Arial" w:cs="Arial"/>
                <w:sz w:val="16"/>
                <w:szCs w:val="16"/>
              </w:rPr>
              <w:t>374,004</w:t>
            </w:r>
          </w:p>
        </w:tc>
        <w:tc>
          <w:tcPr>
            <w:tcW w:w="1291" w:type="dxa"/>
            <w:vAlign w:val="center"/>
          </w:tcPr>
          <w:p w14:paraId="1488D8A0" w14:textId="07C9725F" w:rsidR="00A8443D" w:rsidRDefault="009C6631" w:rsidP="00653E3B">
            <w:pPr>
              <w:spacing w:line="300" w:lineRule="atLeast"/>
              <w:jc w:val="center"/>
              <w:rPr>
                <w:rFonts w:ascii="Arial" w:hAnsi="Arial" w:cs="Arial"/>
                <w:sz w:val="16"/>
                <w:szCs w:val="16"/>
              </w:rPr>
            </w:pPr>
            <w:r>
              <w:rPr>
                <w:rFonts w:ascii="Arial" w:hAnsi="Arial" w:cs="Arial"/>
                <w:sz w:val="16"/>
                <w:szCs w:val="16"/>
              </w:rPr>
              <w:t>23.4</w:t>
            </w:r>
          </w:p>
        </w:tc>
      </w:tr>
      <w:tr w:rsidR="00D524E4" w:rsidRPr="0060459D" w14:paraId="5AE83BA9" w14:textId="77777777" w:rsidTr="005162FD">
        <w:tc>
          <w:tcPr>
            <w:tcW w:w="2124" w:type="dxa"/>
          </w:tcPr>
          <w:p w14:paraId="2B062EE3" w14:textId="2C776EDA" w:rsidR="00D524E4" w:rsidRDefault="00D524E4" w:rsidP="00653E3B">
            <w:pPr>
              <w:spacing w:line="300" w:lineRule="atLeast"/>
              <w:jc w:val="both"/>
              <w:rPr>
                <w:rFonts w:ascii="Arial" w:hAnsi="Arial" w:cs="Arial"/>
                <w:sz w:val="16"/>
                <w:szCs w:val="16"/>
              </w:rPr>
            </w:pPr>
            <w:r>
              <w:rPr>
                <w:rFonts w:ascii="Arial" w:hAnsi="Arial" w:cs="Arial"/>
                <w:sz w:val="16"/>
                <w:szCs w:val="16"/>
              </w:rPr>
              <w:t>Alkaline MnO</w:t>
            </w:r>
            <w:r w:rsidRPr="00A8443D">
              <w:rPr>
                <w:rFonts w:ascii="Arial" w:hAnsi="Arial" w:cs="Arial"/>
                <w:sz w:val="16"/>
                <w:szCs w:val="16"/>
                <w:vertAlign w:val="subscript"/>
              </w:rPr>
              <w:t>2</w:t>
            </w:r>
            <w:r w:rsidRPr="00C026A9">
              <w:rPr>
                <w:rFonts w:ascii="Arial" w:hAnsi="Arial" w:cs="Arial"/>
                <w:sz w:val="16"/>
                <w:szCs w:val="16"/>
              </w:rPr>
              <w:t>,</w:t>
            </w:r>
            <w:r w:rsidRPr="00D524E4">
              <w:rPr>
                <w:rFonts w:ascii="Arial" w:hAnsi="Arial" w:cs="Arial"/>
                <w:sz w:val="16"/>
                <w:szCs w:val="16"/>
              </w:rPr>
              <w:t xml:space="preserve"> </w:t>
            </w:r>
            <w:r w:rsidRPr="00C026A9">
              <w:rPr>
                <w:rFonts w:ascii="Arial" w:hAnsi="Arial" w:cs="Arial"/>
                <w:sz w:val="16"/>
                <w:szCs w:val="16"/>
              </w:rPr>
              <w:t>2020</w:t>
            </w:r>
          </w:p>
        </w:tc>
        <w:tc>
          <w:tcPr>
            <w:tcW w:w="958" w:type="dxa"/>
            <w:vAlign w:val="center"/>
          </w:tcPr>
          <w:p w14:paraId="27419641" w14:textId="56192F0D" w:rsidR="00D524E4" w:rsidRDefault="00D524E4" w:rsidP="00653E3B">
            <w:pPr>
              <w:spacing w:line="300" w:lineRule="atLeast"/>
              <w:jc w:val="center"/>
              <w:rPr>
                <w:rFonts w:ascii="Arial" w:hAnsi="Arial" w:cs="Arial"/>
                <w:sz w:val="16"/>
                <w:szCs w:val="16"/>
              </w:rPr>
            </w:pPr>
            <w:r>
              <w:rPr>
                <w:rFonts w:ascii="Arial" w:hAnsi="Arial" w:cs="Arial"/>
                <w:sz w:val="16"/>
                <w:szCs w:val="16"/>
              </w:rPr>
              <w:t>&lt;300</w:t>
            </w:r>
          </w:p>
        </w:tc>
        <w:tc>
          <w:tcPr>
            <w:tcW w:w="1187" w:type="dxa"/>
            <w:vAlign w:val="center"/>
          </w:tcPr>
          <w:p w14:paraId="1A2E02A6" w14:textId="43853C4A" w:rsidR="00D524E4" w:rsidRDefault="00D524E4" w:rsidP="00653E3B">
            <w:pPr>
              <w:spacing w:line="300" w:lineRule="atLeast"/>
              <w:jc w:val="center"/>
              <w:rPr>
                <w:rFonts w:ascii="Arial" w:hAnsi="Arial" w:cs="Arial"/>
                <w:sz w:val="16"/>
                <w:szCs w:val="16"/>
              </w:rPr>
            </w:pPr>
            <w:r>
              <w:rPr>
                <w:rFonts w:ascii="Arial" w:hAnsi="Arial" w:cs="Arial"/>
                <w:sz w:val="16"/>
                <w:szCs w:val="16"/>
              </w:rPr>
              <w:t>0.</w:t>
            </w:r>
            <w:r w:rsidR="008737A0">
              <w:rPr>
                <w:rFonts w:ascii="Arial" w:hAnsi="Arial" w:cs="Arial"/>
                <w:sz w:val="16"/>
                <w:szCs w:val="16"/>
              </w:rPr>
              <w:t>063</w:t>
            </w:r>
          </w:p>
        </w:tc>
        <w:tc>
          <w:tcPr>
            <w:tcW w:w="1248" w:type="dxa"/>
            <w:vAlign w:val="center"/>
          </w:tcPr>
          <w:p w14:paraId="72285545" w14:textId="0323A7E9" w:rsidR="00D524E4" w:rsidRDefault="005E3683" w:rsidP="00653E3B">
            <w:pPr>
              <w:spacing w:line="300" w:lineRule="atLeast"/>
              <w:jc w:val="center"/>
              <w:rPr>
                <w:rFonts w:ascii="Arial" w:hAnsi="Arial" w:cs="Arial"/>
                <w:sz w:val="16"/>
                <w:szCs w:val="16"/>
              </w:rPr>
            </w:pPr>
            <w:r>
              <w:rPr>
                <w:rFonts w:ascii="Arial" w:hAnsi="Arial" w:cs="Arial"/>
                <w:sz w:val="16"/>
                <w:szCs w:val="16"/>
              </w:rPr>
              <w:t>47,043,112</w:t>
            </w:r>
          </w:p>
        </w:tc>
        <w:tc>
          <w:tcPr>
            <w:tcW w:w="1037" w:type="dxa"/>
            <w:vAlign w:val="center"/>
          </w:tcPr>
          <w:p w14:paraId="105C3666" w14:textId="6E8E2245" w:rsidR="00D524E4" w:rsidRDefault="005E3683" w:rsidP="00653E3B">
            <w:pPr>
              <w:spacing w:line="300" w:lineRule="atLeast"/>
              <w:jc w:val="center"/>
              <w:rPr>
                <w:rFonts w:ascii="Arial" w:hAnsi="Arial" w:cs="Arial"/>
                <w:sz w:val="16"/>
                <w:szCs w:val="16"/>
              </w:rPr>
            </w:pPr>
            <w:r>
              <w:rPr>
                <w:rFonts w:ascii="Arial" w:hAnsi="Arial" w:cs="Arial"/>
                <w:sz w:val="16"/>
                <w:szCs w:val="16"/>
              </w:rPr>
              <w:t>12</w:t>
            </w:r>
          </w:p>
        </w:tc>
        <w:tc>
          <w:tcPr>
            <w:tcW w:w="1216" w:type="dxa"/>
            <w:vAlign w:val="center"/>
          </w:tcPr>
          <w:p w14:paraId="3C9FA41F" w14:textId="3B2A8A59" w:rsidR="00D524E4" w:rsidRDefault="005E3683" w:rsidP="00653E3B">
            <w:pPr>
              <w:spacing w:line="300" w:lineRule="atLeast"/>
              <w:jc w:val="center"/>
              <w:rPr>
                <w:rFonts w:ascii="Arial" w:hAnsi="Arial" w:cs="Arial"/>
                <w:sz w:val="16"/>
                <w:szCs w:val="16"/>
              </w:rPr>
            </w:pPr>
            <w:r>
              <w:rPr>
                <w:rFonts w:ascii="Arial" w:hAnsi="Arial" w:cs="Arial"/>
                <w:sz w:val="16"/>
                <w:szCs w:val="16"/>
              </w:rPr>
              <w:t>564,516</w:t>
            </w:r>
          </w:p>
        </w:tc>
        <w:tc>
          <w:tcPr>
            <w:tcW w:w="1291" w:type="dxa"/>
            <w:vAlign w:val="center"/>
          </w:tcPr>
          <w:p w14:paraId="53681486" w14:textId="27C43B77" w:rsidR="00D524E4" w:rsidRDefault="005E3683" w:rsidP="00653E3B">
            <w:pPr>
              <w:spacing w:line="300" w:lineRule="atLeast"/>
              <w:jc w:val="center"/>
              <w:rPr>
                <w:rFonts w:ascii="Arial" w:hAnsi="Arial" w:cs="Arial"/>
                <w:sz w:val="16"/>
                <w:szCs w:val="16"/>
              </w:rPr>
            </w:pPr>
            <w:r>
              <w:rPr>
                <w:rFonts w:ascii="Arial" w:hAnsi="Arial" w:cs="Arial"/>
                <w:sz w:val="16"/>
                <w:szCs w:val="16"/>
              </w:rPr>
              <w:t>35.</w:t>
            </w:r>
            <w:r w:rsidR="008737A0">
              <w:rPr>
                <w:rFonts w:ascii="Arial" w:hAnsi="Arial" w:cs="Arial"/>
                <w:sz w:val="16"/>
                <w:szCs w:val="16"/>
              </w:rPr>
              <w:t>6</w:t>
            </w:r>
          </w:p>
        </w:tc>
      </w:tr>
      <w:tr w:rsidR="00DF5F39" w:rsidRPr="0060459D" w14:paraId="0AECE521" w14:textId="77777777" w:rsidTr="005162FD">
        <w:tc>
          <w:tcPr>
            <w:tcW w:w="2124" w:type="dxa"/>
            <w:tcBorders>
              <w:bottom w:val="single" w:sz="4" w:space="0" w:color="auto"/>
            </w:tcBorders>
          </w:tcPr>
          <w:p w14:paraId="062D6FCF" w14:textId="0BE0FF22" w:rsidR="00DF5F39" w:rsidRDefault="00DF5F39" w:rsidP="00653E3B">
            <w:pPr>
              <w:spacing w:line="300" w:lineRule="atLeast"/>
              <w:jc w:val="both"/>
              <w:rPr>
                <w:rFonts w:ascii="Arial" w:hAnsi="Arial" w:cs="Arial"/>
                <w:sz w:val="16"/>
                <w:szCs w:val="16"/>
              </w:rPr>
            </w:pPr>
            <w:r>
              <w:rPr>
                <w:rFonts w:ascii="Arial" w:hAnsi="Arial" w:cs="Arial"/>
                <w:sz w:val="16"/>
                <w:szCs w:val="16"/>
              </w:rPr>
              <w:t>Alkaline MnO</w:t>
            </w:r>
            <w:r w:rsidRPr="004C4210">
              <w:rPr>
                <w:rFonts w:ascii="Arial" w:hAnsi="Arial" w:cs="Arial"/>
                <w:sz w:val="16"/>
                <w:szCs w:val="16"/>
                <w:vertAlign w:val="subscript"/>
              </w:rPr>
              <w:t>2</w:t>
            </w:r>
            <w:r>
              <w:rPr>
                <w:rFonts w:ascii="Arial" w:hAnsi="Arial" w:cs="Arial"/>
                <w:sz w:val="16"/>
                <w:szCs w:val="16"/>
              </w:rPr>
              <w:t>, 2024</w:t>
            </w:r>
          </w:p>
        </w:tc>
        <w:tc>
          <w:tcPr>
            <w:tcW w:w="958" w:type="dxa"/>
            <w:tcBorders>
              <w:bottom w:val="single" w:sz="4" w:space="0" w:color="auto"/>
            </w:tcBorders>
            <w:vAlign w:val="center"/>
          </w:tcPr>
          <w:p w14:paraId="18270083" w14:textId="7880BA84" w:rsidR="00DF5F39" w:rsidRDefault="00DF5F39" w:rsidP="00653E3B">
            <w:pPr>
              <w:spacing w:line="300" w:lineRule="atLeast"/>
              <w:jc w:val="center"/>
              <w:rPr>
                <w:rFonts w:ascii="Arial" w:hAnsi="Arial" w:cs="Arial"/>
                <w:sz w:val="16"/>
                <w:szCs w:val="16"/>
              </w:rPr>
            </w:pPr>
            <w:r>
              <w:rPr>
                <w:rFonts w:ascii="Arial" w:hAnsi="Arial" w:cs="Arial"/>
                <w:sz w:val="16"/>
                <w:szCs w:val="16"/>
              </w:rPr>
              <w:t>&lt;300</w:t>
            </w:r>
          </w:p>
        </w:tc>
        <w:tc>
          <w:tcPr>
            <w:tcW w:w="1187" w:type="dxa"/>
            <w:tcBorders>
              <w:bottom w:val="single" w:sz="4" w:space="0" w:color="auto"/>
            </w:tcBorders>
            <w:vAlign w:val="center"/>
          </w:tcPr>
          <w:p w14:paraId="2B4B70CA" w14:textId="43E4B462" w:rsidR="00DF5F39" w:rsidRDefault="00DF5F39" w:rsidP="00653E3B">
            <w:pPr>
              <w:spacing w:line="300" w:lineRule="atLeast"/>
              <w:jc w:val="center"/>
              <w:rPr>
                <w:rFonts w:ascii="Arial" w:hAnsi="Arial" w:cs="Arial"/>
                <w:sz w:val="16"/>
                <w:szCs w:val="16"/>
              </w:rPr>
            </w:pPr>
            <w:r>
              <w:rPr>
                <w:rFonts w:ascii="Arial" w:hAnsi="Arial" w:cs="Arial"/>
                <w:sz w:val="16"/>
                <w:szCs w:val="16"/>
              </w:rPr>
              <w:t>0</w:t>
            </w:r>
          </w:p>
        </w:tc>
        <w:tc>
          <w:tcPr>
            <w:tcW w:w="1248" w:type="dxa"/>
            <w:tcBorders>
              <w:bottom w:val="single" w:sz="4" w:space="0" w:color="auto"/>
            </w:tcBorders>
            <w:vAlign w:val="center"/>
          </w:tcPr>
          <w:p w14:paraId="0832CF00" w14:textId="4A6684B4" w:rsidR="00DF5F39" w:rsidRDefault="00DF5F39" w:rsidP="00653E3B">
            <w:pPr>
              <w:spacing w:line="300" w:lineRule="atLeast"/>
              <w:jc w:val="center"/>
              <w:rPr>
                <w:rFonts w:ascii="Arial" w:hAnsi="Arial" w:cs="Arial"/>
                <w:sz w:val="16"/>
                <w:szCs w:val="16"/>
              </w:rPr>
            </w:pPr>
            <w:r>
              <w:rPr>
                <w:rFonts w:ascii="Arial" w:hAnsi="Arial" w:cs="Arial"/>
                <w:sz w:val="16"/>
                <w:szCs w:val="16"/>
              </w:rPr>
              <w:t>44,579,939</w:t>
            </w:r>
          </w:p>
        </w:tc>
        <w:tc>
          <w:tcPr>
            <w:tcW w:w="1037" w:type="dxa"/>
            <w:tcBorders>
              <w:bottom w:val="single" w:sz="4" w:space="0" w:color="auto"/>
            </w:tcBorders>
            <w:vAlign w:val="center"/>
          </w:tcPr>
          <w:p w14:paraId="203BEFC5" w14:textId="67E42B2D" w:rsidR="00DF5F39" w:rsidRDefault="00DF5F39" w:rsidP="00653E3B">
            <w:pPr>
              <w:spacing w:line="300" w:lineRule="atLeast"/>
              <w:jc w:val="center"/>
              <w:rPr>
                <w:rFonts w:ascii="Arial" w:hAnsi="Arial" w:cs="Arial"/>
                <w:sz w:val="16"/>
                <w:szCs w:val="16"/>
              </w:rPr>
            </w:pPr>
            <w:r>
              <w:rPr>
                <w:rFonts w:ascii="Arial" w:hAnsi="Arial" w:cs="Arial"/>
                <w:sz w:val="16"/>
                <w:szCs w:val="16"/>
              </w:rPr>
              <w:t>12</w:t>
            </w:r>
          </w:p>
        </w:tc>
        <w:tc>
          <w:tcPr>
            <w:tcW w:w="1216" w:type="dxa"/>
            <w:tcBorders>
              <w:bottom w:val="single" w:sz="4" w:space="0" w:color="auto"/>
            </w:tcBorders>
            <w:vAlign w:val="center"/>
          </w:tcPr>
          <w:p w14:paraId="366A17F5" w14:textId="353CBBA8" w:rsidR="00DF5F39" w:rsidRDefault="00DF5F39" w:rsidP="00653E3B">
            <w:pPr>
              <w:spacing w:line="300" w:lineRule="atLeast"/>
              <w:jc w:val="center"/>
              <w:rPr>
                <w:rFonts w:ascii="Arial" w:hAnsi="Arial" w:cs="Arial"/>
                <w:sz w:val="16"/>
                <w:szCs w:val="16"/>
              </w:rPr>
            </w:pPr>
            <w:r>
              <w:rPr>
                <w:rFonts w:ascii="Arial" w:hAnsi="Arial" w:cs="Arial"/>
                <w:sz w:val="16"/>
                <w:szCs w:val="16"/>
              </w:rPr>
              <w:t>534</w:t>
            </w:r>
            <w:r w:rsidR="00BC5BB3">
              <w:rPr>
                <w:rFonts w:ascii="Arial" w:hAnsi="Arial" w:cs="Arial"/>
                <w:sz w:val="16"/>
                <w:szCs w:val="16"/>
              </w:rPr>
              <w:t>,959.3</w:t>
            </w:r>
          </w:p>
        </w:tc>
        <w:tc>
          <w:tcPr>
            <w:tcW w:w="1291" w:type="dxa"/>
            <w:tcBorders>
              <w:bottom w:val="single" w:sz="4" w:space="0" w:color="auto"/>
            </w:tcBorders>
            <w:vAlign w:val="center"/>
          </w:tcPr>
          <w:p w14:paraId="1F25DF1C" w14:textId="27AE8FE2" w:rsidR="00DF5F39" w:rsidRDefault="00FF1F68" w:rsidP="00653E3B">
            <w:pPr>
              <w:spacing w:line="300" w:lineRule="atLeast"/>
              <w:jc w:val="center"/>
              <w:rPr>
                <w:rFonts w:ascii="Arial" w:hAnsi="Arial" w:cs="Arial"/>
                <w:sz w:val="16"/>
                <w:szCs w:val="16"/>
              </w:rPr>
            </w:pPr>
            <w:r>
              <w:rPr>
                <w:rFonts w:ascii="Arial" w:hAnsi="Arial" w:cs="Arial"/>
                <w:sz w:val="16"/>
                <w:szCs w:val="16"/>
              </w:rPr>
              <w:t>0</w:t>
            </w:r>
          </w:p>
        </w:tc>
      </w:tr>
    </w:tbl>
    <w:p w14:paraId="454E94ED" w14:textId="01006BBF" w:rsidR="00686908" w:rsidRPr="00306F85" w:rsidRDefault="00686908" w:rsidP="004C4210">
      <w:pPr>
        <w:tabs>
          <w:tab w:val="left" w:pos="2760"/>
        </w:tabs>
        <w:spacing w:after="0" w:line="300" w:lineRule="atLeast"/>
        <w:jc w:val="both"/>
        <w:rPr>
          <w:rFonts w:ascii="Arial" w:hAnsi="Arial" w:cs="Arial"/>
          <w:sz w:val="16"/>
          <w:szCs w:val="18"/>
        </w:rPr>
      </w:pPr>
      <w:bookmarkStart w:id="104" w:name="_Ref358740231"/>
      <w:r>
        <w:rPr>
          <w:rFonts w:ascii="Arial" w:hAnsi="Arial" w:cs="Arial"/>
          <w:sz w:val="16"/>
          <w:szCs w:val="18"/>
        </w:rPr>
        <w:t>Footnotes</w:t>
      </w:r>
      <w:r w:rsidR="00BC5BB3">
        <w:rPr>
          <w:rFonts w:ascii="Arial" w:hAnsi="Arial" w:cs="Arial"/>
          <w:sz w:val="16"/>
          <w:szCs w:val="18"/>
        </w:rPr>
        <w:t xml:space="preserve">:  </w:t>
      </w:r>
      <w:r>
        <w:rPr>
          <w:rFonts w:ascii="Arial" w:hAnsi="Arial" w:cs="Arial"/>
          <w:sz w:val="16"/>
          <w:szCs w:val="18"/>
        </w:rPr>
        <w:t>a</w:t>
      </w:r>
      <w:r w:rsidR="00BC5BB3">
        <w:rPr>
          <w:rFonts w:ascii="Arial" w:hAnsi="Arial" w:cs="Arial"/>
          <w:sz w:val="16"/>
          <w:szCs w:val="18"/>
        </w:rPr>
        <w:t xml:space="preserve">. </w:t>
      </w:r>
      <w:r>
        <w:rPr>
          <w:rFonts w:ascii="Arial" w:hAnsi="Arial" w:cs="Arial"/>
          <w:sz w:val="16"/>
          <w:szCs w:val="18"/>
        </w:rPr>
        <w:t>the import data provided in 2012 did not provide separate data for alkaline button batteries</w:t>
      </w:r>
      <w:r w:rsidR="00BC5BB3">
        <w:rPr>
          <w:rFonts w:ascii="Arial" w:hAnsi="Arial" w:cs="Arial"/>
          <w:sz w:val="16"/>
          <w:szCs w:val="18"/>
        </w:rPr>
        <w:t xml:space="preserve">  </w:t>
      </w:r>
      <w:r>
        <w:rPr>
          <w:rFonts w:ascii="Arial" w:hAnsi="Arial" w:cs="Arial"/>
          <w:sz w:val="16"/>
          <w:szCs w:val="18"/>
        </w:rPr>
        <w:t>b</w:t>
      </w:r>
      <w:r w:rsidR="00BC5BB3">
        <w:rPr>
          <w:rFonts w:ascii="Arial" w:hAnsi="Arial" w:cs="Arial"/>
          <w:sz w:val="16"/>
          <w:szCs w:val="18"/>
        </w:rPr>
        <w:t xml:space="preserve">. </w:t>
      </w:r>
      <w:r>
        <w:rPr>
          <w:rFonts w:ascii="Arial" w:hAnsi="Arial" w:cs="Arial"/>
          <w:sz w:val="16"/>
          <w:szCs w:val="18"/>
        </w:rPr>
        <w:t>the mercury content factor used in 2012 was not correct.</w:t>
      </w:r>
    </w:p>
    <w:p w14:paraId="680D5D4F" w14:textId="461BB856" w:rsidR="00DA79A8" w:rsidRPr="0060459D" w:rsidRDefault="00655CC9" w:rsidP="00AB1819">
      <w:pPr>
        <w:pStyle w:val="Caption"/>
        <w:spacing w:before="240"/>
        <w:rPr>
          <w:rFonts w:eastAsia="Calibri"/>
          <w:szCs w:val="22"/>
        </w:rPr>
      </w:pPr>
      <w:bookmarkStart w:id="105" w:name="_Toc110355484"/>
      <w:r w:rsidRPr="0086053D">
        <w:rPr>
          <w:rFonts w:ascii="Arial" w:hAnsi="Arial" w:cs="Arial"/>
        </w:rPr>
        <w:t xml:space="preserve">Table </w:t>
      </w:r>
      <w:r w:rsidRPr="0086053D">
        <w:rPr>
          <w:rFonts w:ascii="Arial" w:hAnsi="Arial" w:cs="Arial"/>
        </w:rPr>
        <w:fldChar w:fldCharType="begin"/>
      </w:r>
      <w:r w:rsidRPr="0086053D">
        <w:rPr>
          <w:rFonts w:ascii="Arial" w:hAnsi="Arial" w:cs="Arial"/>
        </w:rPr>
        <w:instrText xml:space="preserve"> STYLEREF 1 \s </w:instrText>
      </w:r>
      <w:r w:rsidRPr="0086053D">
        <w:rPr>
          <w:rFonts w:ascii="Arial" w:hAnsi="Arial" w:cs="Arial"/>
        </w:rPr>
        <w:fldChar w:fldCharType="separate"/>
      </w:r>
      <w:r w:rsidR="00892B2D">
        <w:rPr>
          <w:rFonts w:ascii="Arial" w:hAnsi="Arial" w:cs="Arial"/>
          <w:noProof/>
        </w:rPr>
        <w:t>7</w:t>
      </w:r>
      <w:r w:rsidRPr="0086053D">
        <w:rPr>
          <w:rFonts w:ascii="Arial" w:hAnsi="Arial" w:cs="Arial"/>
        </w:rPr>
        <w:fldChar w:fldCharType="end"/>
      </w:r>
      <w:r w:rsidRPr="0086053D">
        <w:rPr>
          <w:rFonts w:ascii="Arial" w:hAnsi="Arial" w:cs="Arial"/>
        </w:rPr>
        <w:noBreakHyphen/>
      </w:r>
      <w:r w:rsidRPr="0086053D">
        <w:rPr>
          <w:rFonts w:ascii="Arial" w:hAnsi="Arial" w:cs="Arial"/>
        </w:rPr>
        <w:fldChar w:fldCharType="begin"/>
      </w:r>
      <w:r w:rsidRPr="0086053D">
        <w:rPr>
          <w:rFonts w:ascii="Arial" w:hAnsi="Arial" w:cs="Arial"/>
        </w:rPr>
        <w:instrText xml:space="preserve"> SEQ Table \* ARABIC \s 1 </w:instrText>
      </w:r>
      <w:r w:rsidRPr="0086053D">
        <w:rPr>
          <w:rFonts w:ascii="Arial" w:hAnsi="Arial" w:cs="Arial"/>
        </w:rPr>
        <w:fldChar w:fldCharType="separate"/>
      </w:r>
      <w:r w:rsidR="00892B2D">
        <w:rPr>
          <w:rFonts w:ascii="Arial" w:hAnsi="Arial" w:cs="Arial"/>
          <w:noProof/>
        </w:rPr>
        <w:t>7</w:t>
      </w:r>
      <w:r w:rsidRPr="0086053D">
        <w:rPr>
          <w:rFonts w:ascii="Arial" w:hAnsi="Arial" w:cs="Arial"/>
        </w:rPr>
        <w:fldChar w:fldCharType="end"/>
      </w:r>
      <w:r w:rsidRPr="0086053D">
        <w:rPr>
          <w:rFonts w:ascii="Arial" w:hAnsi="Arial" w:cs="Arial"/>
          <w:szCs w:val="18"/>
        </w:rPr>
        <w:t>:</w:t>
      </w:r>
      <w:r w:rsidR="00403501">
        <w:rPr>
          <w:rFonts w:ascii="Arial" w:hAnsi="Arial" w:cs="Arial"/>
          <w:szCs w:val="18"/>
        </w:rPr>
        <w:t xml:space="preserve"> </w:t>
      </w:r>
      <w:r w:rsidRPr="0086053D">
        <w:rPr>
          <w:rFonts w:ascii="Arial" w:hAnsi="Arial" w:cs="Arial"/>
          <w:szCs w:val="18"/>
        </w:rPr>
        <w:t xml:space="preserve"> </w:t>
      </w:r>
      <w:r w:rsidRPr="0060459D">
        <w:rPr>
          <w:rFonts w:ascii="Arial" w:hAnsi="Arial" w:cs="Arial"/>
        </w:rPr>
        <w:t>Input and output estimates for batteries</w:t>
      </w:r>
      <w:bookmarkEnd w:id="104"/>
      <w:bookmarkEnd w:id="105"/>
    </w:p>
    <w:tbl>
      <w:tblPr>
        <w:tblStyle w:val="TableGrid"/>
        <w:tblW w:w="9067" w:type="dxa"/>
        <w:tblLook w:val="04A0" w:firstRow="1" w:lastRow="0" w:firstColumn="1" w:lastColumn="0" w:noHBand="0" w:noVBand="1"/>
      </w:tblPr>
      <w:tblGrid>
        <w:gridCol w:w="2412"/>
        <w:gridCol w:w="1648"/>
        <w:gridCol w:w="1637"/>
        <w:gridCol w:w="1637"/>
        <w:gridCol w:w="1733"/>
      </w:tblGrid>
      <w:tr w:rsidR="00DA79A8" w:rsidRPr="0060459D" w14:paraId="23900291" w14:textId="77777777" w:rsidTr="005162FD">
        <w:tc>
          <w:tcPr>
            <w:tcW w:w="2412" w:type="dxa"/>
            <w:vMerge w:val="restart"/>
            <w:vAlign w:val="center"/>
          </w:tcPr>
          <w:p w14:paraId="63C1903D" w14:textId="77777777" w:rsidR="00DA79A8" w:rsidRPr="0060459D" w:rsidRDefault="00DA79A8" w:rsidP="00DA79A8">
            <w:pPr>
              <w:spacing w:line="300" w:lineRule="atLeast"/>
              <w:jc w:val="center"/>
              <w:rPr>
                <w:rFonts w:ascii="Arial" w:hAnsi="Arial" w:cs="Arial"/>
                <w:b/>
                <w:sz w:val="16"/>
                <w:szCs w:val="16"/>
              </w:rPr>
            </w:pPr>
            <w:r w:rsidRPr="0060459D">
              <w:rPr>
                <w:rFonts w:ascii="Arial" w:hAnsi="Arial" w:cs="Arial"/>
                <w:b/>
                <w:sz w:val="16"/>
                <w:szCs w:val="16"/>
              </w:rPr>
              <w:t>Source</w:t>
            </w:r>
          </w:p>
        </w:tc>
        <w:tc>
          <w:tcPr>
            <w:tcW w:w="1648" w:type="dxa"/>
            <w:vMerge w:val="restart"/>
            <w:vAlign w:val="center"/>
          </w:tcPr>
          <w:p w14:paraId="13C76D9F" w14:textId="77777777" w:rsidR="00DA79A8" w:rsidRPr="0060459D" w:rsidRDefault="00DA79A8" w:rsidP="00475B33">
            <w:pPr>
              <w:spacing w:line="300" w:lineRule="atLeast"/>
              <w:jc w:val="center"/>
              <w:rPr>
                <w:rFonts w:ascii="Arial" w:hAnsi="Arial" w:cs="Arial"/>
                <w:b/>
                <w:sz w:val="16"/>
                <w:szCs w:val="16"/>
              </w:rPr>
            </w:pPr>
            <w:r w:rsidRPr="0060459D">
              <w:rPr>
                <w:rFonts w:ascii="Arial" w:hAnsi="Arial" w:cs="Arial"/>
                <w:b/>
                <w:sz w:val="16"/>
                <w:szCs w:val="16"/>
              </w:rPr>
              <w:t xml:space="preserve">Activity Rate, </w:t>
            </w:r>
            <w:r w:rsidR="00475B33" w:rsidRPr="0060459D">
              <w:rPr>
                <w:rFonts w:ascii="Arial" w:hAnsi="Arial" w:cs="Arial"/>
                <w:b/>
                <w:sz w:val="16"/>
                <w:szCs w:val="16"/>
              </w:rPr>
              <w:t>units</w:t>
            </w:r>
            <w:r w:rsidRPr="0060459D">
              <w:rPr>
                <w:rFonts w:ascii="Arial" w:hAnsi="Arial" w:cs="Arial"/>
                <w:b/>
                <w:sz w:val="16"/>
                <w:szCs w:val="16"/>
              </w:rPr>
              <w:t>/yr</w:t>
            </w:r>
          </w:p>
        </w:tc>
        <w:tc>
          <w:tcPr>
            <w:tcW w:w="1637" w:type="dxa"/>
            <w:vMerge w:val="restart"/>
            <w:vAlign w:val="center"/>
          </w:tcPr>
          <w:p w14:paraId="64C53118" w14:textId="77777777" w:rsidR="00DA79A8" w:rsidRPr="0060459D" w:rsidRDefault="00475B33" w:rsidP="00DA79A8">
            <w:pPr>
              <w:spacing w:line="300" w:lineRule="atLeast"/>
              <w:jc w:val="center"/>
              <w:rPr>
                <w:rFonts w:ascii="Arial" w:hAnsi="Arial" w:cs="Arial"/>
                <w:b/>
                <w:sz w:val="16"/>
                <w:szCs w:val="16"/>
              </w:rPr>
            </w:pPr>
            <w:r w:rsidRPr="0060459D">
              <w:rPr>
                <w:rFonts w:ascii="Arial" w:hAnsi="Arial" w:cs="Arial"/>
                <w:b/>
                <w:sz w:val="16"/>
                <w:szCs w:val="16"/>
              </w:rPr>
              <w:t xml:space="preserve">Mercury content, </w:t>
            </w:r>
            <w:r w:rsidR="00DA79A8" w:rsidRPr="0060459D">
              <w:rPr>
                <w:rFonts w:ascii="Arial" w:hAnsi="Arial" w:cs="Arial"/>
                <w:b/>
                <w:sz w:val="16"/>
                <w:szCs w:val="16"/>
              </w:rPr>
              <w:t>g/kg</w:t>
            </w:r>
          </w:p>
        </w:tc>
        <w:tc>
          <w:tcPr>
            <w:tcW w:w="1637" w:type="dxa"/>
            <w:vMerge w:val="restart"/>
            <w:vAlign w:val="center"/>
          </w:tcPr>
          <w:p w14:paraId="7BF958BB" w14:textId="77777777" w:rsidR="00DA79A8" w:rsidRPr="0060459D" w:rsidRDefault="00DA79A8" w:rsidP="00DA79A8">
            <w:pPr>
              <w:spacing w:line="300" w:lineRule="atLeast"/>
              <w:jc w:val="center"/>
              <w:rPr>
                <w:rFonts w:ascii="Arial" w:hAnsi="Arial" w:cs="Arial"/>
                <w:b/>
                <w:sz w:val="16"/>
                <w:szCs w:val="16"/>
              </w:rPr>
            </w:pPr>
            <w:r w:rsidRPr="0060459D">
              <w:rPr>
                <w:rFonts w:ascii="Arial" w:hAnsi="Arial" w:cs="Arial"/>
                <w:b/>
                <w:sz w:val="16"/>
                <w:szCs w:val="16"/>
              </w:rPr>
              <w:t>Annual Mercury Inputs, kg/yr</w:t>
            </w:r>
          </w:p>
        </w:tc>
        <w:tc>
          <w:tcPr>
            <w:tcW w:w="1733" w:type="dxa"/>
            <w:vAlign w:val="center"/>
          </w:tcPr>
          <w:p w14:paraId="27CDF72B" w14:textId="77777777" w:rsidR="00DA79A8" w:rsidRPr="0060459D" w:rsidRDefault="00DA79A8" w:rsidP="00DA79A8">
            <w:pPr>
              <w:spacing w:line="300" w:lineRule="atLeast"/>
              <w:jc w:val="center"/>
              <w:rPr>
                <w:rFonts w:ascii="Arial" w:hAnsi="Arial" w:cs="Arial"/>
                <w:b/>
                <w:sz w:val="16"/>
                <w:szCs w:val="16"/>
              </w:rPr>
            </w:pPr>
            <w:r w:rsidRPr="0060459D">
              <w:rPr>
                <w:rFonts w:ascii="Arial" w:hAnsi="Arial" w:cs="Arial"/>
                <w:b/>
                <w:sz w:val="16"/>
                <w:szCs w:val="16"/>
              </w:rPr>
              <w:t>Annual Mercury Outputs, kg/yr</w:t>
            </w:r>
          </w:p>
        </w:tc>
      </w:tr>
      <w:tr w:rsidR="00DA79A8" w:rsidRPr="0060459D" w14:paraId="0D3A81BE" w14:textId="77777777" w:rsidTr="005162FD">
        <w:tc>
          <w:tcPr>
            <w:tcW w:w="2412" w:type="dxa"/>
            <w:vMerge/>
            <w:vAlign w:val="center"/>
          </w:tcPr>
          <w:p w14:paraId="66BF3543" w14:textId="77777777" w:rsidR="00DA79A8" w:rsidRPr="0060459D" w:rsidRDefault="00DA79A8" w:rsidP="00DA79A8">
            <w:pPr>
              <w:spacing w:line="300" w:lineRule="atLeast"/>
              <w:jc w:val="center"/>
              <w:rPr>
                <w:rFonts w:ascii="Arial" w:hAnsi="Arial" w:cs="Arial"/>
                <w:b/>
                <w:sz w:val="16"/>
                <w:szCs w:val="16"/>
              </w:rPr>
            </w:pPr>
          </w:p>
        </w:tc>
        <w:tc>
          <w:tcPr>
            <w:tcW w:w="1648" w:type="dxa"/>
            <w:vMerge/>
            <w:vAlign w:val="center"/>
          </w:tcPr>
          <w:p w14:paraId="506B3B35" w14:textId="77777777" w:rsidR="00DA79A8" w:rsidRPr="0060459D" w:rsidRDefault="00DA79A8" w:rsidP="00DA79A8">
            <w:pPr>
              <w:spacing w:line="300" w:lineRule="atLeast"/>
              <w:jc w:val="center"/>
              <w:rPr>
                <w:rFonts w:ascii="Arial" w:hAnsi="Arial" w:cs="Arial"/>
                <w:b/>
                <w:sz w:val="16"/>
                <w:szCs w:val="16"/>
              </w:rPr>
            </w:pPr>
          </w:p>
        </w:tc>
        <w:tc>
          <w:tcPr>
            <w:tcW w:w="1637" w:type="dxa"/>
            <w:vMerge/>
            <w:vAlign w:val="center"/>
          </w:tcPr>
          <w:p w14:paraId="3CCB415D" w14:textId="77777777" w:rsidR="00DA79A8" w:rsidRPr="0060459D" w:rsidRDefault="00DA79A8" w:rsidP="00DA79A8">
            <w:pPr>
              <w:spacing w:line="300" w:lineRule="atLeast"/>
              <w:jc w:val="center"/>
              <w:rPr>
                <w:rFonts w:ascii="Arial" w:hAnsi="Arial" w:cs="Arial"/>
                <w:b/>
                <w:sz w:val="16"/>
                <w:szCs w:val="16"/>
              </w:rPr>
            </w:pPr>
          </w:p>
        </w:tc>
        <w:tc>
          <w:tcPr>
            <w:tcW w:w="1637" w:type="dxa"/>
            <w:vMerge/>
            <w:vAlign w:val="center"/>
          </w:tcPr>
          <w:p w14:paraId="5C974FD8" w14:textId="77777777" w:rsidR="00DA79A8" w:rsidRPr="0060459D" w:rsidRDefault="00DA79A8" w:rsidP="00DA79A8">
            <w:pPr>
              <w:spacing w:line="300" w:lineRule="atLeast"/>
              <w:jc w:val="center"/>
              <w:rPr>
                <w:rFonts w:ascii="Arial" w:hAnsi="Arial" w:cs="Arial"/>
                <w:b/>
                <w:sz w:val="16"/>
                <w:szCs w:val="16"/>
              </w:rPr>
            </w:pPr>
          </w:p>
        </w:tc>
        <w:tc>
          <w:tcPr>
            <w:tcW w:w="1733" w:type="dxa"/>
            <w:vAlign w:val="center"/>
          </w:tcPr>
          <w:p w14:paraId="33DF011D" w14:textId="77777777" w:rsidR="00DA79A8" w:rsidRPr="0060459D" w:rsidRDefault="00475B33" w:rsidP="00DA79A8">
            <w:pPr>
              <w:spacing w:line="300" w:lineRule="atLeast"/>
              <w:jc w:val="center"/>
              <w:rPr>
                <w:rFonts w:ascii="Arial" w:hAnsi="Arial" w:cs="Arial"/>
                <w:b/>
                <w:sz w:val="16"/>
                <w:szCs w:val="16"/>
              </w:rPr>
            </w:pPr>
            <w:r w:rsidRPr="0060459D">
              <w:rPr>
                <w:rFonts w:ascii="Arial" w:hAnsi="Arial" w:cs="Arial"/>
                <w:b/>
                <w:sz w:val="16"/>
                <w:szCs w:val="16"/>
              </w:rPr>
              <w:t>Waste</w:t>
            </w:r>
          </w:p>
        </w:tc>
      </w:tr>
      <w:tr w:rsidR="00DA79A8" w:rsidRPr="0060459D" w14:paraId="07286C83" w14:textId="77777777" w:rsidTr="005162FD">
        <w:tc>
          <w:tcPr>
            <w:tcW w:w="2412" w:type="dxa"/>
          </w:tcPr>
          <w:p w14:paraId="188FFF16" w14:textId="3826C2EF" w:rsidR="00DA79A8" w:rsidRPr="0060459D" w:rsidRDefault="00475B33" w:rsidP="00DA79A8">
            <w:pPr>
              <w:spacing w:line="300" w:lineRule="atLeast"/>
              <w:jc w:val="both"/>
              <w:rPr>
                <w:rFonts w:ascii="Arial" w:hAnsi="Arial" w:cs="Arial"/>
                <w:sz w:val="16"/>
                <w:szCs w:val="16"/>
              </w:rPr>
            </w:pPr>
            <w:r w:rsidRPr="0060459D">
              <w:rPr>
                <w:rFonts w:ascii="Arial" w:hAnsi="Arial" w:cs="Arial"/>
                <w:sz w:val="16"/>
                <w:szCs w:val="16"/>
              </w:rPr>
              <w:t>Batteries</w:t>
            </w:r>
            <w:r w:rsidR="00D118C1">
              <w:rPr>
                <w:rFonts w:ascii="Arial" w:hAnsi="Arial" w:cs="Arial"/>
                <w:sz w:val="16"/>
                <w:szCs w:val="16"/>
              </w:rPr>
              <w:t>, 2012</w:t>
            </w:r>
          </w:p>
        </w:tc>
        <w:tc>
          <w:tcPr>
            <w:tcW w:w="1648" w:type="dxa"/>
            <w:vAlign w:val="center"/>
          </w:tcPr>
          <w:p w14:paraId="6739B725" w14:textId="163C6B58" w:rsidR="00DA79A8" w:rsidRPr="0060459D" w:rsidRDefault="009C6631" w:rsidP="00DA79A8">
            <w:pPr>
              <w:spacing w:line="300" w:lineRule="atLeast"/>
              <w:jc w:val="center"/>
              <w:rPr>
                <w:rFonts w:ascii="Arial" w:hAnsi="Arial" w:cs="Arial"/>
                <w:sz w:val="16"/>
                <w:szCs w:val="16"/>
              </w:rPr>
            </w:pPr>
            <w:r>
              <w:rPr>
                <w:rFonts w:ascii="Arial" w:hAnsi="Arial" w:cs="Arial"/>
                <w:sz w:val="16"/>
                <w:szCs w:val="16"/>
              </w:rPr>
              <w:t>40,240,776</w:t>
            </w:r>
          </w:p>
        </w:tc>
        <w:tc>
          <w:tcPr>
            <w:tcW w:w="1637" w:type="dxa"/>
            <w:vAlign w:val="center"/>
          </w:tcPr>
          <w:p w14:paraId="2C340393" w14:textId="77777777" w:rsidR="00DA79A8" w:rsidRPr="0060459D" w:rsidRDefault="00DA79A8" w:rsidP="00475B33">
            <w:pPr>
              <w:spacing w:line="300" w:lineRule="atLeast"/>
              <w:jc w:val="center"/>
              <w:rPr>
                <w:rFonts w:ascii="Arial" w:hAnsi="Arial" w:cs="Arial"/>
                <w:sz w:val="16"/>
                <w:szCs w:val="16"/>
              </w:rPr>
            </w:pPr>
            <w:r w:rsidRPr="0060459D">
              <w:rPr>
                <w:rFonts w:ascii="Arial" w:hAnsi="Arial" w:cs="Arial"/>
                <w:sz w:val="16"/>
                <w:szCs w:val="16"/>
              </w:rPr>
              <w:t>0</w:t>
            </w:r>
            <w:r w:rsidR="00475B33" w:rsidRPr="0060459D">
              <w:rPr>
                <w:rFonts w:ascii="Arial" w:hAnsi="Arial" w:cs="Arial"/>
                <w:sz w:val="16"/>
                <w:szCs w:val="16"/>
              </w:rPr>
              <w:t xml:space="preserve"> - 32</w:t>
            </w:r>
            <w:r w:rsidRPr="0060459D">
              <w:rPr>
                <w:rFonts w:ascii="Arial" w:hAnsi="Arial" w:cs="Arial"/>
                <w:sz w:val="16"/>
                <w:szCs w:val="16"/>
              </w:rPr>
              <w:t>0</w:t>
            </w:r>
          </w:p>
        </w:tc>
        <w:tc>
          <w:tcPr>
            <w:tcW w:w="1637" w:type="dxa"/>
            <w:vAlign w:val="center"/>
          </w:tcPr>
          <w:p w14:paraId="6279DEEA" w14:textId="77777777" w:rsidR="00DA79A8" w:rsidRPr="00423FC9" w:rsidRDefault="00A947B2" w:rsidP="00114836">
            <w:pPr>
              <w:spacing w:line="300" w:lineRule="atLeast"/>
              <w:jc w:val="center"/>
              <w:rPr>
                <w:rFonts w:ascii="Arial" w:hAnsi="Arial" w:cs="Arial"/>
                <w:sz w:val="16"/>
                <w:szCs w:val="16"/>
              </w:rPr>
            </w:pPr>
            <w:r w:rsidRPr="00423FC9">
              <w:rPr>
                <w:rFonts w:ascii="Arial" w:hAnsi="Arial" w:cs="Arial"/>
                <w:sz w:val="16"/>
                <w:szCs w:val="16"/>
              </w:rPr>
              <w:t>33.6 – 120.6</w:t>
            </w:r>
            <w:r w:rsidR="00114836" w:rsidRPr="00423FC9">
              <w:rPr>
                <w:rFonts w:ascii="Arial" w:hAnsi="Arial" w:cs="Arial"/>
                <w:sz w:val="16"/>
                <w:szCs w:val="16"/>
              </w:rPr>
              <w:t xml:space="preserve"> (77.1)</w:t>
            </w:r>
          </w:p>
        </w:tc>
        <w:tc>
          <w:tcPr>
            <w:tcW w:w="1733" w:type="dxa"/>
            <w:vAlign w:val="center"/>
          </w:tcPr>
          <w:p w14:paraId="78699FE8" w14:textId="77777777" w:rsidR="00DA79A8" w:rsidRPr="00423FC9" w:rsidRDefault="00A947B2" w:rsidP="00114836">
            <w:pPr>
              <w:spacing w:line="300" w:lineRule="atLeast"/>
              <w:jc w:val="center"/>
              <w:rPr>
                <w:rFonts w:ascii="Arial" w:hAnsi="Arial" w:cs="Arial"/>
                <w:sz w:val="16"/>
                <w:szCs w:val="16"/>
              </w:rPr>
            </w:pPr>
            <w:r w:rsidRPr="00423FC9">
              <w:rPr>
                <w:rFonts w:ascii="Arial" w:hAnsi="Arial" w:cs="Arial"/>
                <w:sz w:val="16"/>
                <w:szCs w:val="16"/>
              </w:rPr>
              <w:t>33.6 – 120.6</w:t>
            </w:r>
            <w:r w:rsidR="00114836" w:rsidRPr="00423FC9">
              <w:rPr>
                <w:rFonts w:ascii="Arial" w:hAnsi="Arial" w:cs="Arial"/>
                <w:sz w:val="16"/>
                <w:szCs w:val="16"/>
              </w:rPr>
              <w:t xml:space="preserve"> (77.1)</w:t>
            </w:r>
          </w:p>
        </w:tc>
      </w:tr>
      <w:tr w:rsidR="00D118C1" w:rsidRPr="0060459D" w14:paraId="708EFA57" w14:textId="77777777" w:rsidTr="005162FD">
        <w:tc>
          <w:tcPr>
            <w:tcW w:w="2412" w:type="dxa"/>
          </w:tcPr>
          <w:p w14:paraId="689C0D14" w14:textId="23C18193" w:rsidR="00D118C1" w:rsidRPr="0060459D" w:rsidRDefault="00D118C1" w:rsidP="00DA79A8">
            <w:pPr>
              <w:spacing w:line="300" w:lineRule="atLeast"/>
              <w:jc w:val="both"/>
              <w:rPr>
                <w:rFonts w:ascii="Arial" w:hAnsi="Arial" w:cs="Arial"/>
                <w:sz w:val="16"/>
                <w:szCs w:val="16"/>
              </w:rPr>
            </w:pPr>
            <w:r>
              <w:rPr>
                <w:rFonts w:ascii="Arial" w:hAnsi="Arial" w:cs="Arial"/>
                <w:sz w:val="16"/>
                <w:szCs w:val="16"/>
              </w:rPr>
              <w:t>Batteries, 2016</w:t>
            </w:r>
          </w:p>
        </w:tc>
        <w:tc>
          <w:tcPr>
            <w:tcW w:w="1648" w:type="dxa"/>
            <w:vAlign w:val="center"/>
          </w:tcPr>
          <w:p w14:paraId="45AE9BC5" w14:textId="42150F4D" w:rsidR="00D118C1" w:rsidRPr="0060459D" w:rsidRDefault="009B194D" w:rsidP="00DA79A8">
            <w:pPr>
              <w:spacing w:line="300" w:lineRule="atLeast"/>
              <w:jc w:val="center"/>
              <w:rPr>
                <w:rFonts w:ascii="Arial" w:hAnsi="Arial" w:cs="Arial"/>
                <w:sz w:val="16"/>
                <w:szCs w:val="16"/>
              </w:rPr>
            </w:pPr>
            <w:r>
              <w:rPr>
                <w:rFonts w:ascii="Arial" w:hAnsi="Arial" w:cs="Arial"/>
                <w:sz w:val="16"/>
                <w:szCs w:val="16"/>
              </w:rPr>
              <w:t>42,936,897</w:t>
            </w:r>
          </w:p>
        </w:tc>
        <w:tc>
          <w:tcPr>
            <w:tcW w:w="1637" w:type="dxa"/>
            <w:vAlign w:val="center"/>
          </w:tcPr>
          <w:p w14:paraId="569AB6CC" w14:textId="5194A537" w:rsidR="00D118C1" w:rsidRPr="0060459D" w:rsidRDefault="00D118C1" w:rsidP="00475B33">
            <w:pPr>
              <w:spacing w:line="300" w:lineRule="atLeast"/>
              <w:jc w:val="center"/>
              <w:rPr>
                <w:rFonts w:ascii="Arial" w:hAnsi="Arial" w:cs="Arial"/>
                <w:sz w:val="16"/>
                <w:szCs w:val="16"/>
              </w:rPr>
            </w:pPr>
            <w:r>
              <w:rPr>
                <w:rFonts w:ascii="Arial" w:hAnsi="Arial" w:cs="Arial"/>
                <w:sz w:val="16"/>
                <w:szCs w:val="16"/>
              </w:rPr>
              <w:t>0 - 320</w:t>
            </w:r>
          </w:p>
        </w:tc>
        <w:tc>
          <w:tcPr>
            <w:tcW w:w="1637" w:type="dxa"/>
            <w:vAlign w:val="center"/>
          </w:tcPr>
          <w:p w14:paraId="08638EF9" w14:textId="68DFC377" w:rsidR="00D118C1" w:rsidRPr="0060459D" w:rsidRDefault="009B194D" w:rsidP="00114836">
            <w:pPr>
              <w:spacing w:line="300" w:lineRule="atLeast"/>
              <w:jc w:val="center"/>
              <w:rPr>
                <w:rFonts w:ascii="Arial" w:hAnsi="Arial" w:cs="Arial"/>
                <w:sz w:val="16"/>
                <w:szCs w:val="16"/>
              </w:rPr>
            </w:pPr>
            <w:r>
              <w:rPr>
                <w:rFonts w:ascii="Arial" w:hAnsi="Arial" w:cs="Arial"/>
                <w:sz w:val="16"/>
                <w:szCs w:val="16"/>
              </w:rPr>
              <w:t>44.77</w:t>
            </w:r>
          </w:p>
        </w:tc>
        <w:tc>
          <w:tcPr>
            <w:tcW w:w="1733" w:type="dxa"/>
            <w:vAlign w:val="center"/>
          </w:tcPr>
          <w:p w14:paraId="6E709848" w14:textId="706684D6" w:rsidR="00D118C1" w:rsidRPr="0060459D" w:rsidRDefault="009B194D" w:rsidP="00114836">
            <w:pPr>
              <w:spacing w:line="300" w:lineRule="atLeast"/>
              <w:jc w:val="center"/>
              <w:rPr>
                <w:rFonts w:ascii="Arial" w:hAnsi="Arial" w:cs="Arial"/>
                <w:sz w:val="16"/>
                <w:szCs w:val="16"/>
              </w:rPr>
            </w:pPr>
            <w:r>
              <w:rPr>
                <w:rFonts w:ascii="Arial" w:hAnsi="Arial" w:cs="Arial"/>
                <w:sz w:val="16"/>
                <w:szCs w:val="16"/>
              </w:rPr>
              <w:t>44.77</w:t>
            </w:r>
          </w:p>
        </w:tc>
      </w:tr>
      <w:tr w:rsidR="00515FA9" w:rsidRPr="0060459D" w14:paraId="56337492" w14:textId="77777777" w:rsidTr="005162FD">
        <w:tc>
          <w:tcPr>
            <w:tcW w:w="2412" w:type="dxa"/>
          </w:tcPr>
          <w:p w14:paraId="3E838878" w14:textId="6C2674E4" w:rsidR="00515FA9" w:rsidRDefault="000C50D0" w:rsidP="00DA79A8">
            <w:pPr>
              <w:spacing w:line="300" w:lineRule="atLeast"/>
              <w:jc w:val="both"/>
              <w:rPr>
                <w:rFonts w:ascii="Arial" w:hAnsi="Arial" w:cs="Arial"/>
                <w:sz w:val="16"/>
                <w:szCs w:val="16"/>
              </w:rPr>
            </w:pPr>
            <w:r>
              <w:rPr>
                <w:rFonts w:ascii="Arial" w:hAnsi="Arial" w:cs="Arial"/>
                <w:sz w:val="16"/>
                <w:szCs w:val="16"/>
              </w:rPr>
              <w:t>Batteries, 2020</w:t>
            </w:r>
          </w:p>
        </w:tc>
        <w:tc>
          <w:tcPr>
            <w:tcW w:w="1648" w:type="dxa"/>
            <w:vAlign w:val="center"/>
          </w:tcPr>
          <w:p w14:paraId="57173BDC" w14:textId="384C4C7D" w:rsidR="00515FA9" w:rsidRDefault="000C50D0" w:rsidP="00DA79A8">
            <w:pPr>
              <w:spacing w:line="300" w:lineRule="atLeast"/>
              <w:jc w:val="center"/>
              <w:rPr>
                <w:rFonts w:ascii="Arial" w:hAnsi="Arial" w:cs="Arial"/>
                <w:sz w:val="16"/>
                <w:szCs w:val="16"/>
              </w:rPr>
            </w:pPr>
            <w:r>
              <w:rPr>
                <w:rFonts w:ascii="Arial" w:hAnsi="Arial" w:cs="Arial"/>
                <w:sz w:val="16"/>
                <w:szCs w:val="16"/>
              </w:rPr>
              <w:t>59,812,360</w:t>
            </w:r>
          </w:p>
        </w:tc>
        <w:tc>
          <w:tcPr>
            <w:tcW w:w="1637" w:type="dxa"/>
            <w:vAlign w:val="center"/>
          </w:tcPr>
          <w:p w14:paraId="31603FB7" w14:textId="2A23AF07" w:rsidR="00515FA9" w:rsidRDefault="000C50D0" w:rsidP="00475B33">
            <w:pPr>
              <w:spacing w:line="300" w:lineRule="atLeast"/>
              <w:jc w:val="center"/>
              <w:rPr>
                <w:rFonts w:ascii="Arial" w:hAnsi="Arial" w:cs="Arial"/>
                <w:sz w:val="16"/>
                <w:szCs w:val="16"/>
              </w:rPr>
            </w:pPr>
            <w:r>
              <w:rPr>
                <w:rFonts w:ascii="Arial" w:hAnsi="Arial" w:cs="Arial"/>
                <w:sz w:val="16"/>
                <w:szCs w:val="16"/>
              </w:rPr>
              <w:t>0 - 320</w:t>
            </w:r>
          </w:p>
        </w:tc>
        <w:tc>
          <w:tcPr>
            <w:tcW w:w="1637" w:type="dxa"/>
            <w:vAlign w:val="center"/>
          </w:tcPr>
          <w:p w14:paraId="54790C52" w14:textId="2517F963" w:rsidR="00515FA9" w:rsidRDefault="000C50D0" w:rsidP="00114836">
            <w:pPr>
              <w:spacing w:line="300" w:lineRule="atLeast"/>
              <w:jc w:val="center"/>
              <w:rPr>
                <w:rFonts w:ascii="Arial" w:hAnsi="Arial" w:cs="Arial"/>
                <w:sz w:val="16"/>
                <w:szCs w:val="16"/>
              </w:rPr>
            </w:pPr>
            <w:r>
              <w:rPr>
                <w:rFonts w:ascii="Arial" w:hAnsi="Arial" w:cs="Arial"/>
                <w:sz w:val="16"/>
                <w:szCs w:val="16"/>
              </w:rPr>
              <w:t>62.</w:t>
            </w:r>
            <w:r w:rsidR="00BE6BC2">
              <w:rPr>
                <w:rFonts w:ascii="Arial" w:hAnsi="Arial" w:cs="Arial"/>
                <w:sz w:val="16"/>
                <w:szCs w:val="16"/>
              </w:rPr>
              <w:t>9</w:t>
            </w:r>
            <w:r w:rsidR="00153387">
              <w:rPr>
                <w:rFonts w:ascii="Arial" w:hAnsi="Arial" w:cs="Arial"/>
                <w:sz w:val="16"/>
                <w:szCs w:val="16"/>
              </w:rPr>
              <w:t>9</w:t>
            </w:r>
          </w:p>
        </w:tc>
        <w:tc>
          <w:tcPr>
            <w:tcW w:w="1733" w:type="dxa"/>
            <w:vAlign w:val="center"/>
          </w:tcPr>
          <w:p w14:paraId="42DA9283" w14:textId="134DD429" w:rsidR="00515FA9" w:rsidRDefault="00153387" w:rsidP="00114836">
            <w:pPr>
              <w:spacing w:line="300" w:lineRule="atLeast"/>
              <w:jc w:val="center"/>
              <w:rPr>
                <w:rFonts w:ascii="Arial" w:hAnsi="Arial" w:cs="Arial"/>
                <w:sz w:val="16"/>
                <w:szCs w:val="16"/>
              </w:rPr>
            </w:pPr>
            <w:r>
              <w:rPr>
                <w:rFonts w:ascii="Arial" w:hAnsi="Arial" w:cs="Arial"/>
                <w:sz w:val="16"/>
                <w:szCs w:val="16"/>
              </w:rPr>
              <w:t>62.</w:t>
            </w:r>
            <w:r w:rsidR="00BE6BC2">
              <w:rPr>
                <w:rFonts w:ascii="Arial" w:hAnsi="Arial" w:cs="Arial"/>
                <w:sz w:val="16"/>
                <w:szCs w:val="16"/>
              </w:rPr>
              <w:t>9</w:t>
            </w:r>
            <w:r>
              <w:rPr>
                <w:rFonts w:ascii="Arial" w:hAnsi="Arial" w:cs="Arial"/>
                <w:sz w:val="16"/>
                <w:szCs w:val="16"/>
              </w:rPr>
              <w:t>9</w:t>
            </w:r>
          </w:p>
        </w:tc>
      </w:tr>
      <w:tr w:rsidR="00BC5BB3" w:rsidRPr="0060459D" w14:paraId="7D8A5D9D" w14:textId="77777777" w:rsidTr="005162FD">
        <w:tc>
          <w:tcPr>
            <w:tcW w:w="2412" w:type="dxa"/>
          </w:tcPr>
          <w:p w14:paraId="0164A251" w14:textId="47F0077A" w:rsidR="00BC5BB3" w:rsidRDefault="00BC5BB3" w:rsidP="00DA79A8">
            <w:pPr>
              <w:spacing w:line="300" w:lineRule="atLeast"/>
              <w:jc w:val="both"/>
              <w:rPr>
                <w:rFonts w:ascii="Arial" w:hAnsi="Arial" w:cs="Arial"/>
                <w:sz w:val="16"/>
                <w:szCs w:val="16"/>
              </w:rPr>
            </w:pPr>
            <w:r>
              <w:rPr>
                <w:rFonts w:ascii="Arial" w:hAnsi="Arial" w:cs="Arial"/>
                <w:sz w:val="16"/>
                <w:szCs w:val="16"/>
              </w:rPr>
              <w:t>Batteries, 2024</w:t>
            </w:r>
          </w:p>
        </w:tc>
        <w:tc>
          <w:tcPr>
            <w:tcW w:w="1648" w:type="dxa"/>
            <w:vAlign w:val="center"/>
          </w:tcPr>
          <w:p w14:paraId="0CB3B361" w14:textId="586BC220" w:rsidR="00BC5BB3" w:rsidRDefault="00BC5BB3" w:rsidP="00DA79A8">
            <w:pPr>
              <w:spacing w:line="300" w:lineRule="atLeast"/>
              <w:jc w:val="center"/>
              <w:rPr>
                <w:rFonts w:ascii="Arial" w:hAnsi="Arial" w:cs="Arial"/>
                <w:sz w:val="16"/>
                <w:szCs w:val="16"/>
              </w:rPr>
            </w:pPr>
            <w:r>
              <w:rPr>
                <w:rFonts w:ascii="Arial" w:hAnsi="Arial" w:cs="Arial"/>
                <w:sz w:val="16"/>
                <w:szCs w:val="16"/>
              </w:rPr>
              <w:t>58,842,785</w:t>
            </w:r>
          </w:p>
        </w:tc>
        <w:tc>
          <w:tcPr>
            <w:tcW w:w="1637" w:type="dxa"/>
            <w:vAlign w:val="center"/>
          </w:tcPr>
          <w:p w14:paraId="64F53B52" w14:textId="118D9455" w:rsidR="00BC5BB3" w:rsidRDefault="00BC5BB3" w:rsidP="00475B33">
            <w:pPr>
              <w:spacing w:line="300" w:lineRule="atLeast"/>
              <w:jc w:val="center"/>
              <w:rPr>
                <w:rFonts w:ascii="Arial" w:hAnsi="Arial" w:cs="Arial"/>
                <w:sz w:val="16"/>
                <w:szCs w:val="16"/>
              </w:rPr>
            </w:pPr>
            <w:r>
              <w:rPr>
                <w:rFonts w:ascii="Arial" w:hAnsi="Arial" w:cs="Arial"/>
                <w:sz w:val="16"/>
                <w:szCs w:val="16"/>
              </w:rPr>
              <w:t>0 - 320</w:t>
            </w:r>
          </w:p>
        </w:tc>
        <w:tc>
          <w:tcPr>
            <w:tcW w:w="1637" w:type="dxa"/>
            <w:vAlign w:val="center"/>
          </w:tcPr>
          <w:p w14:paraId="2EF1AF24" w14:textId="3BDF5A43" w:rsidR="00BC5BB3" w:rsidRDefault="00F42217" w:rsidP="00114836">
            <w:pPr>
              <w:spacing w:line="300" w:lineRule="atLeast"/>
              <w:jc w:val="center"/>
              <w:rPr>
                <w:rFonts w:ascii="Arial" w:hAnsi="Arial" w:cs="Arial"/>
                <w:sz w:val="16"/>
                <w:szCs w:val="16"/>
              </w:rPr>
            </w:pPr>
            <w:r>
              <w:rPr>
                <w:rFonts w:ascii="Arial" w:hAnsi="Arial" w:cs="Arial"/>
                <w:sz w:val="16"/>
                <w:szCs w:val="16"/>
              </w:rPr>
              <w:t>33.4</w:t>
            </w:r>
            <w:r w:rsidR="005162FD">
              <w:rPr>
                <w:rFonts w:ascii="Arial" w:hAnsi="Arial" w:cs="Arial"/>
                <w:sz w:val="16"/>
                <w:szCs w:val="16"/>
              </w:rPr>
              <w:t>4</w:t>
            </w:r>
          </w:p>
        </w:tc>
        <w:tc>
          <w:tcPr>
            <w:tcW w:w="1733" w:type="dxa"/>
            <w:vAlign w:val="center"/>
          </w:tcPr>
          <w:p w14:paraId="08D8BAFE" w14:textId="187BCBA2" w:rsidR="00BC5BB3" w:rsidRDefault="00F42217" w:rsidP="00114836">
            <w:pPr>
              <w:spacing w:line="300" w:lineRule="atLeast"/>
              <w:jc w:val="center"/>
              <w:rPr>
                <w:rFonts w:ascii="Arial" w:hAnsi="Arial" w:cs="Arial"/>
                <w:sz w:val="16"/>
                <w:szCs w:val="16"/>
              </w:rPr>
            </w:pPr>
            <w:r>
              <w:rPr>
                <w:rFonts w:ascii="Arial" w:hAnsi="Arial" w:cs="Arial"/>
                <w:sz w:val="16"/>
                <w:szCs w:val="16"/>
              </w:rPr>
              <w:t>33.4</w:t>
            </w:r>
            <w:r w:rsidR="005162FD">
              <w:rPr>
                <w:rFonts w:ascii="Arial" w:hAnsi="Arial" w:cs="Arial"/>
                <w:sz w:val="16"/>
                <w:szCs w:val="16"/>
              </w:rPr>
              <w:t>4</w:t>
            </w:r>
          </w:p>
        </w:tc>
      </w:tr>
    </w:tbl>
    <w:p w14:paraId="34D7A05A" w14:textId="77777777" w:rsidR="00DA79A8" w:rsidRPr="0060459D" w:rsidRDefault="00DA79A8" w:rsidP="00DA79A8">
      <w:pPr>
        <w:spacing w:before="120" w:line="300" w:lineRule="atLeast"/>
        <w:jc w:val="both"/>
        <w:rPr>
          <w:rFonts w:ascii="Arial" w:hAnsi="Arial" w:cs="Arial"/>
          <w:b/>
          <w:szCs w:val="18"/>
        </w:rPr>
      </w:pPr>
      <w:r w:rsidRPr="0060459D">
        <w:rPr>
          <w:rFonts w:ascii="Arial" w:hAnsi="Arial" w:cs="Arial"/>
          <w:b/>
          <w:szCs w:val="18"/>
        </w:rPr>
        <w:t>Certainty assessment</w:t>
      </w:r>
    </w:p>
    <w:p w14:paraId="4F2F7077" w14:textId="77777777" w:rsidR="00DA79A8" w:rsidRPr="0060459D" w:rsidRDefault="00DA79A8" w:rsidP="00DA79A8">
      <w:pPr>
        <w:tabs>
          <w:tab w:val="left" w:pos="1985"/>
        </w:tabs>
        <w:spacing w:line="300" w:lineRule="atLeast"/>
        <w:jc w:val="both"/>
        <w:rPr>
          <w:szCs w:val="18"/>
        </w:rPr>
      </w:pPr>
      <w:r w:rsidRPr="0060459D">
        <w:rPr>
          <w:szCs w:val="18"/>
        </w:rPr>
        <w:t xml:space="preserve">Activity data: </w:t>
      </w:r>
      <w:r w:rsidRPr="0060459D">
        <w:rPr>
          <w:szCs w:val="18"/>
        </w:rPr>
        <w:tab/>
        <w:t xml:space="preserve">HIGH (because it was obtained from national </w:t>
      </w:r>
      <w:r w:rsidR="00475B33" w:rsidRPr="0060459D">
        <w:rPr>
          <w:szCs w:val="18"/>
        </w:rPr>
        <w:t>import statistics</w:t>
      </w:r>
      <w:r w:rsidRPr="0060459D">
        <w:rPr>
          <w:szCs w:val="18"/>
        </w:rPr>
        <w:t>)</w:t>
      </w:r>
    </w:p>
    <w:p w14:paraId="69FA61EA" w14:textId="77777777" w:rsidR="00DA79A8" w:rsidRPr="0060459D" w:rsidRDefault="00DA79A8" w:rsidP="00DA79A8">
      <w:pPr>
        <w:tabs>
          <w:tab w:val="left" w:pos="1985"/>
        </w:tabs>
        <w:spacing w:line="300" w:lineRule="atLeast"/>
        <w:jc w:val="both"/>
        <w:rPr>
          <w:szCs w:val="18"/>
        </w:rPr>
      </w:pPr>
      <w:r w:rsidRPr="0060459D">
        <w:rPr>
          <w:szCs w:val="18"/>
        </w:rPr>
        <w:t xml:space="preserve">Input estimates: </w:t>
      </w:r>
      <w:r w:rsidRPr="0060459D">
        <w:rPr>
          <w:szCs w:val="18"/>
        </w:rPr>
        <w:tab/>
      </w:r>
      <w:r w:rsidR="00475B33" w:rsidRPr="0060459D">
        <w:rPr>
          <w:szCs w:val="18"/>
        </w:rPr>
        <w:t>MEDIUM</w:t>
      </w:r>
      <w:r w:rsidRPr="0060459D">
        <w:rPr>
          <w:szCs w:val="18"/>
        </w:rPr>
        <w:t xml:space="preserve"> (because they are based on </w:t>
      </w:r>
      <w:r w:rsidR="00475B33" w:rsidRPr="0060459D">
        <w:rPr>
          <w:szCs w:val="18"/>
        </w:rPr>
        <w:t xml:space="preserve">product data and </w:t>
      </w:r>
      <w:r w:rsidRPr="0060459D">
        <w:rPr>
          <w:szCs w:val="18"/>
        </w:rPr>
        <w:t>the default Toolkit factors)</w:t>
      </w:r>
    </w:p>
    <w:p w14:paraId="458B424C" w14:textId="77777777" w:rsidR="00DA79A8" w:rsidRPr="0028681C" w:rsidRDefault="00DA79A8" w:rsidP="00DA79A8">
      <w:pPr>
        <w:tabs>
          <w:tab w:val="left" w:pos="1985"/>
        </w:tabs>
        <w:spacing w:line="300" w:lineRule="atLeast"/>
        <w:jc w:val="both"/>
        <w:rPr>
          <w:szCs w:val="18"/>
        </w:rPr>
      </w:pPr>
      <w:r w:rsidRPr="0060459D">
        <w:rPr>
          <w:szCs w:val="18"/>
        </w:rPr>
        <w:t xml:space="preserve">Output estimates: </w:t>
      </w:r>
      <w:r w:rsidRPr="0060459D">
        <w:rPr>
          <w:szCs w:val="18"/>
        </w:rPr>
        <w:tab/>
      </w:r>
      <w:r w:rsidR="00475B33" w:rsidRPr="0060459D">
        <w:rPr>
          <w:szCs w:val="18"/>
        </w:rPr>
        <w:t>HIGH</w:t>
      </w:r>
      <w:r w:rsidRPr="0060459D">
        <w:rPr>
          <w:szCs w:val="18"/>
        </w:rPr>
        <w:t xml:space="preserve"> (because </w:t>
      </w:r>
      <w:r w:rsidR="00475B33" w:rsidRPr="0060459D">
        <w:rPr>
          <w:szCs w:val="18"/>
        </w:rPr>
        <w:t>essentially all batteries are disposed to landfill</w:t>
      </w:r>
      <w:r w:rsidRPr="0060459D">
        <w:rPr>
          <w:szCs w:val="18"/>
        </w:rPr>
        <w:t>).</w:t>
      </w:r>
    </w:p>
    <w:p w14:paraId="0A7B33DB" w14:textId="77777777" w:rsidR="00700CDE" w:rsidRPr="00686908" w:rsidRDefault="00700CDE" w:rsidP="00700CDE">
      <w:pPr>
        <w:pStyle w:val="Heading2"/>
      </w:pPr>
      <w:bookmarkStart w:id="106" w:name="_Toc110355541"/>
      <w:r w:rsidRPr="00686908">
        <w:t>Polyurethanes with mercury catalyst</w:t>
      </w:r>
      <w:bookmarkEnd w:id="106"/>
    </w:p>
    <w:p w14:paraId="316F30E0" w14:textId="79018345" w:rsidR="00C432BB" w:rsidRDefault="00C432BB" w:rsidP="00C432BB">
      <w:pPr>
        <w:spacing w:line="300" w:lineRule="atLeast"/>
        <w:jc w:val="both"/>
        <w:rPr>
          <w:szCs w:val="18"/>
        </w:rPr>
      </w:pPr>
      <w:r>
        <w:rPr>
          <w:szCs w:val="18"/>
        </w:rPr>
        <w:t xml:space="preserve">As discussed in Section 6.1, in 2021 the Minister for the Environment, Hon David Parker, recommended to Cabinet that the National Emission Standards for Air Quality be amended to specifically prohibit the use of mercury in polyurethane production (Office of the Minister for the Environment, 2021). For the 2012 and 2016 Inventory reports it was estimated that sales of mercury catalyst were occurring from a single importer with a total quantity of 200 grams. </w:t>
      </w:r>
      <w:r w:rsidR="00A77FFE">
        <w:rPr>
          <w:szCs w:val="18"/>
        </w:rPr>
        <w:t>With</w:t>
      </w:r>
      <w:r>
        <w:rPr>
          <w:szCs w:val="18"/>
        </w:rPr>
        <w:t xml:space="preserve"> </w:t>
      </w:r>
      <w:r w:rsidR="00A77FFE">
        <w:rPr>
          <w:szCs w:val="18"/>
        </w:rPr>
        <w:t xml:space="preserve">the impending ban and the small quantities previously involved it has been assumed that releases from this source are insignificant. </w:t>
      </w:r>
    </w:p>
    <w:p w14:paraId="47611F1D" w14:textId="77777777" w:rsidR="00700CDE" w:rsidRDefault="00700CDE" w:rsidP="00700CDE">
      <w:pPr>
        <w:pStyle w:val="Heading2"/>
      </w:pPr>
      <w:bookmarkStart w:id="107" w:name="_Toc110355542"/>
      <w:r>
        <w:t>Biocides and pesticides</w:t>
      </w:r>
      <w:bookmarkEnd w:id="107"/>
    </w:p>
    <w:p w14:paraId="73F376DF" w14:textId="6F784DC0" w:rsidR="00700CDE" w:rsidRDefault="00A571B0" w:rsidP="003833D6">
      <w:pPr>
        <w:spacing w:line="300" w:lineRule="atLeast"/>
        <w:jc w:val="both"/>
        <w:rPr>
          <w:szCs w:val="18"/>
        </w:rPr>
      </w:pPr>
      <w:r>
        <w:rPr>
          <w:szCs w:val="18"/>
        </w:rPr>
        <w:t>Most substances intended for use as agricultural or veterinary medicines in New Zealand are required to be registered under the Agricultural Chemicals</w:t>
      </w:r>
      <w:r w:rsidR="000F3AB4">
        <w:rPr>
          <w:szCs w:val="18"/>
        </w:rPr>
        <w:t xml:space="preserve"> and Veterinary Medicines Act. </w:t>
      </w:r>
      <w:r>
        <w:rPr>
          <w:szCs w:val="18"/>
        </w:rPr>
        <w:t>A database of current registrations is maintained by the Ministry for Primary Industries</w:t>
      </w:r>
      <w:r w:rsidR="009E2437">
        <w:rPr>
          <w:szCs w:val="18"/>
        </w:rPr>
        <w:t xml:space="preserve"> (MPI, 202</w:t>
      </w:r>
      <w:r w:rsidR="00602181">
        <w:rPr>
          <w:szCs w:val="18"/>
        </w:rPr>
        <w:t>5</w:t>
      </w:r>
      <w:r w:rsidR="009E2437">
        <w:rPr>
          <w:szCs w:val="18"/>
        </w:rPr>
        <w:t>)</w:t>
      </w:r>
      <w:r>
        <w:rPr>
          <w:szCs w:val="18"/>
        </w:rPr>
        <w:t>, and a search of</w:t>
      </w:r>
      <w:r w:rsidR="003A6F8C">
        <w:rPr>
          <w:szCs w:val="18"/>
        </w:rPr>
        <w:t xml:space="preserve"> this database </w:t>
      </w:r>
      <w:r>
        <w:rPr>
          <w:szCs w:val="18"/>
        </w:rPr>
        <w:t>showed no mercury-containing chemicals.</w:t>
      </w:r>
    </w:p>
    <w:p w14:paraId="5E2432F5" w14:textId="5A99DCC9" w:rsidR="00700CDE" w:rsidRDefault="00E170BB" w:rsidP="003833D6">
      <w:pPr>
        <w:spacing w:line="300" w:lineRule="atLeast"/>
        <w:jc w:val="both"/>
        <w:rPr>
          <w:szCs w:val="18"/>
        </w:rPr>
      </w:pPr>
      <w:r w:rsidRPr="00E170BB">
        <w:rPr>
          <w:szCs w:val="18"/>
        </w:rPr>
        <w:t>On the basis of the above, it can be concluded that there is no current use of mercury-based biocides as agricultural or veterinary medicines in New Zealand. However, it should be noted that some minor uses have been identified in animal vaccines and eye drops, where the mercury compounds act as a preservative. These uses are covered under section 7.9.</w:t>
      </w:r>
    </w:p>
    <w:p w14:paraId="2DC3DB37" w14:textId="77777777" w:rsidR="00700CDE" w:rsidRDefault="00E472E6" w:rsidP="00E472E6">
      <w:pPr>
        <w:pStyle w:val="Heading2"/>
      </w:pPr>
      <w:bookmarkStart w:id="108" w:name="_Toc110355543"/>
      <w:r>
        <w:t>Paints</w:t>
      </w:r>
      <w:bookmarkEnd w:id="108"/>
    </w:p>
    <w:p w14:paraId="4DBD8A45" w14:textId="7D504DE6" w:rsidR="00221B28" w:rsidRPr="00221B28" w:rsidRDefault="000F3AB4" w:rsidP="0000574C">
      <w:pPr>
        <w:spacing w:line="300" w:lineRule="atLeast"/>
        <w:jc w:val="both"/>
        <w:rPr>
          <w:szCs w:val="18"/>
        </w:rPr>
      </w:pPr>
      <w:r>
        <w:rPr>
          <w:szCs w:val="18"/>
        </w:rPr>
        <w:t xml:space="preserve">The </w:t>
      </w:r>
      <w:r w:rsidR="003A6F8C">
        <w:rPr>
          <w:szCs w:val="18"/>
        </w:rPr>
        <w:t>report for the 2012</w:t>
      </w:r>
      <w:r>
        <w:rPr>
          <w:szCs w:val="18"/>
        </w:rPr>
        <w:t xml:space="preserve"> Inventory </w:t>
      </w:r>
      <w:r w:rsidR="003A6F8C">
        <w:rPr>
          <w:szCs w:val="18"/>
        </w:rPr>
        <w:t xml:space="preserve">indicated </w:t>
      </w:r>
      <w:r>
        <w:rPr>
          <w:szCs w:val="18"/>
        </w:rPr>
        <w:t>that mercury pigments were believed to be no longer used in New Zealand</w:t>
      </w:r>
      <w:r w:rsidR="003A6F8C">
        <w:rPr>
          <w:szCs w:val="18"/>
        </w:rPr>
        <w:t>, and there is no reason to expect that this situation has changed.</w:t>
      </w:r>
      <w:r w:rsidR="00F0717E">
        <w:rPr>
          <w:szCs w:val="18"/>
        </w:rPr>
        <w:t xml:space="preserve"> Some additional support for this position can be taken from the fact that no mercury – based </w:t>
      </w:r>
      <w:r w:rsidR="00DF5261">
        <w:rPr>
          <w:szCs w:val="18"/>
        </w:rPr>
        <w:t>products</w:t>
      </w:r>
      <w:r w:rsidR="00F0717E">
        <w:rPr>
          <w:szCs w:val="18"/>
        </w:rPr>
        <w:t xml:space="preserve"> could be identified in a search of the national databases of substances approved under the </w:t>
      </w:r>
      <w:r w:rsidR="00F0717E" w:rsidRPr="00F0717E">
        <w:rPr>
          <w:i/>
          <w:szCs w:val="18"/>
        </w:rPr>
        <w:t>Hazardous Substances and New Organisms Act 1996</w:t>
      </w:r>
      <w:r w:rsidR="00F0717E">
        <w:rPr>
          <w:szCs w:val="18"/>
        </w:rPr>
        <w:t>. (EPA, 2017).</w:t>
      </w:r>
    </w:p>
    <w:p w14:paraId="7B6E693B" w14:textId="77777777" w:rsidR="00700CDE" w:rsidRPr="00F47A70" w:rsidRDefault="00E472E6" w:rsidP="00E472E6">
      <w:pPr>
        <w:pStyle w:val="Heading2"/>
      </w:pPr>
      <w:bookmarkStart w:id="109" w:name="_Toc110355544"/>
      <w:r w:rsidRPr="00553792">
        <w:t>Pharmaceuticals for human and vet</w:t>
      </w:r>
      <w:r w:rsidRPr="00F47A70">
        <w:t>erinary use</w:t>
      </w:r>
      <w:bookmarkEnd w:id="109"/>
    </w:p>
    <w:p w14:paraId="55C7F96A" w14:textId="1C454640" w:rsidR="00E472E6" w:rsidRPr="002253E6" w:rsidRDefault="006F3584" w:rsidP="00D71381">
      <w:pPr>
        <w:spacing w:line="300" w:lineRule="atLeast"/>
        <w:jc w:val="both"/>
        <w:rPr>
          <w:szCs w:val="18"/>
        </w:rPr>
      </w:pPr>
      <w:r w:rsidRPr="002253E6">
        <w:rPr>
          <w:szCs w:val="18"/>
        </w:rPr>
        <w:t xml:space="preserve">Mercury compounds have been used in the past in various pharmaceuticals such as vaccines, eye drops, </w:t>
      </w:r>
      <w:r w:rsidR="00CA2DE5" w:rsidRPr="002253E6">
        <w:rPr>
          <w:szCs w:val="18"/>
        </w:rPr>
        <w:t xml:space="preserve">topical antiseptics, </w:t>
      </w:r>
      <w:r w:rsidRPr="002253E6">
        <w:rPr>
          <w:szCs w:val="18"/>
        </w:rPr>
        <w:t>and other products, functioning mainly as a preservative. In addition, it is still used today in animal vaccines, with the most common additive being Thiomersal</w:t>
      </w:r>
      <w:r w:rsidR="00D71381" w:rsidRPr="002253E6">
        <w:rPr>
          <w:rStyle w:val="FootnoteReference"/>
          <w:szCs w:val="18"/>
        </w:rPr>
        <w:footnoteReference w:id="16"/>
      </w:r>
      <w:r w:rsidRPr="002253E6">
        <w:rPr>
          <w:szCs w:val="18"/>
        </w:rPr>
        <w:t xml:space="preserve">. </w:t>
      </w:r>
      <w:r w:rsidR="00577456" w:rsidRPr="002253E6">
        <w:rPr>
          <w:szCs w:val="18"/>
        </w:rPr>
        <w:t xml:space="preserve">This chemical is listed in </w:t>
      </w:r>
      <w:r w:rsidR="00B16113" w:rsidRPr="002253E6">
        <w:rPr>
          <w:szCs w:val="18"/>
        </w:rPr>
        <w:t xml:space="preserve">the </w:t>
      </w:r>
      <w:r w:rsidR="00577456" w:rsidRPr="002253E6">
        <w:rPr>
          <w:szCs w:val="18"/>
        </w:rPr>
        <w:t>specific exclusions given in Annex 1 of the Minamata Convention</w:t>
      </w:r>
      <w:r w:rsidR="00602181">
        <w:rPr>
          <w:szCs w:val="18"/>
        </w:rPr>
        <w:t xml:space="preserve"> (UNEP, 2024).</w:t>
      </w:r>
    </w:p>
    <w:p w14:paraId="00271E65" w14:textId="71BACA49" w:rsidR="00640369" w:rsidRPr="004C4210" w:rsidRDefault="00AB3F90" w:rsidP="007146F0">
      <w:pPr>
        <w:spacing w:line="300" w:lineRule="atLeast"/>
        <w:jc w:val="both"/>
        <w:rPr>
          <w:szCs w:val="18"/>
          <w:highlight w:val="yellow"/>
        </w:rPr>
      </w:pPr>
      <w:r w:rsidRPr="002253E6">
        <w:rPr>
          <w:szCs w:val="18"/>
        </w:rPr>
        <w:t xml:space="preserve">A Ministry of Health immunization handbook (Ministry of Health, </w:t>
      </w:r>
      <w:r w:rsidR="002253E6" w:rsidRPr="000B1B79">
        <w:rPr>
          <w:szCs w:val="18"/>
        </w:rPr>
        <w:t>2025</w:t>
      </w:r>
      <w:r w:rsidRPr="002253E6">
        <w:rPr>
          <w:szCs w:val="18"/>
        </w:rPr>
        <w:t>) states that none of the vaccines on the New Zealand National Immunisation schedule contain thiomersal</w:t>
      </w:r>
      <w:r w:rsidR="002253E6" w:rsidRPr="000B1B79">
        <w:rPr>
          <w:szCs w:val="18"/>
        </w:rPr>
        <w:t>.</w:t>
      </w:r>
      <w:r w:rsidRPr="002253E6">
        <w:rPr>
          <w:szCs w:val="18"/>
        </w:rPr>
        <w:t xml:space="preserve"> </w:t>
      </w:r>
      <w:r w:rsidR="00F8459A" w:rsidRPr="002253E6">
        <w:rPr>
          <w:szCs w:val="18"/>
        </w:rPr>
        <w:t>A s</w:t>
      </w:r>
      <w:r w:rsidR="007146F0" w:rsidRPr="002253E6">
        <w:rPr>
          <w:szCs w:val="18"/>
        </w:rPr>
        <w:t>earch</w:t>
      </w:r>
      <w:r w:rsidR="00F8459A" w:rsidRPr="002253E6">
        <w:rPr>
          <w:szCs w:val="18"/>
        </w:rPr>
        <w:t xml:space="preserve"> of the </w:t>
      </w:r>
      <w:r w:rsidR="007146F0" w:rsidRPr="002253E6">
        <w:rPr>
          <w:szCs w:val="18"/>
        </w:rPr>
        <w:t xml:space="preserve">Medsafe database </w:t>
      </w:r>
      <w:r w:rsidR="00101DB2" w:rsidRPr="002253E6">
        <w:rPr>
          <w:szCs w:val="18"/>
        </w:rPr>
        <w:t xml:space="preserve">showed that there </w:t>
      </w:r>
      <w:r w:rsidR="00553792" w:rsidRPr="002253E6">
        <w:rPr>
          <w:szCs w:val="18"/>
        </w:rPr>
        <w:t xml:space="preserve">are </w:t>
      </w:r>
      <w:r w:rsidR="00101DB2" w:rsidRPr="002253E6">
        <w:rPr>
          <w:szCs w:val="18"/>
        </w:rPr>
        <w:t xml:space="preserve">currently </w:t>
      </w:r>
      <w:r w:rsidR="002253E6" w:rsidRPr="000B1B79">
        <w:rPr>
          <w:szCs w:val="18"/>
        </w:rPr>
        <w:t xml:space="preserve">no </w:t>
      </w:r>
      <w:r w:rsidR="00553792" w:rsidRPr="002253E6">
        <w:rPr>
          <w:szCs w:val="18"/>
        </w:rPr>
        <w:t xml:space="preserve"> </w:t>
      </w:r>
      <w:r w:rsidR="00101DB2" w:rsidRPr="002253E6">
        <w:rPr>
          <w:szCs w:val="18"/>
        </w:rPr>
        <w:t>mercury-</w:t>
      </w:r>
      <w:r w:rsidR="007146F0" w:rsidRPr="002253E6">
        <w:rPr>
          <w:szCs w:val="18"/>
        </w:rPr>
        <w:t>containing human pharmaceutical products</w:t>
      </w:r>
      <w:r w:rsidR="00101DB2" w:rsidRPr="002253E6">
        <w:rPr>
          <w:szCs w:val="18"/>
        </w:rPr>
        <w:t xml:space="preserve"> registered for use in New Zealand</w:t>
      </w:r>
      <w:r w:rsidRPr="002253E6">
        <w:rPr>
          <w:szCs w:val="18"/>
        </w:rPr>
        <w:t xml:space="preserve"> </w:t>
      </w:r>
      <w:r w:rsidR="002253E6" w:rsidRPr="000B1B79">
        <w:rPr>
          <w:szCs w:val="18"/>
        </w:rPr>
        <w:t xml:space="preserve">. In the previous inventory one eye drop product contained </w:t>
      </w:r>
      <w:r w:rsidR="00101DB2" w:rsidRPr="002253E6">
        <w:rPr>
          <w:szCs w:val="18"/>
        </w:rPr>
        <w:t>p</w:t>
      </w:r>
      <w:r w:rsidR="007146F0" w:rsidRPr="002253E6">
        <w:rPr>
          <w:szCs w:val="18"/>
        </w:rPr>
        <w:t>henylmercuric nitrate</w:t>
      </w:r>
      <w:r w:rsidR="002253E6" w:rsidRPr="000B1B79">
        <w:rPr>
          <w:szCs w:val="18"/>
        </w:rPr>
        <w:t xml:space="preserve"> with </w:t>
      </w:r>
      <w:r w:rsidR="00E51E55" w:rsidRPr="002253E6">
        <w:rPr>
          <w:szCs w:val="18"/>
        </w:rPr>
        <w:t>a total input of 0.02</w:t>
      </w:r>
      <w:r w:rsidR="00553792" w:rsidRPr="002253E6">
        <w:rPr>
          <w:szCs w:val="18"/>
        </w:rPr>
        <w:t>1</w:t>
      </w:r>
      <w:r w:rsidR="00E51E55" w:rsidRPr="002253E6">
        <w:rPr>
          <w:szCs w:val="18"/>
        </w:rPr>
        <w:t xml:space="preserve"> kg of mercury</w:t>
      </w:r>
      <w:r w:rsidR="002253E6" w:rsidRPr="004C4210">
        <w:rPr>
          <w:szCs w:val="18"/>
        </w:rPr>
        <w:t xml:space="preserve">. The manufacturer confirmed that </w:t>
      </w:r>
      <w:r w:rsidR="00D874DD">
        <w:rPr>
          <w:szCs w:val="18"/>
        </w:rPr>
        <w:t>this product had not been p</w:t>
      </w:r>
      <w:r w:rsidR="00FF1F68">
        <w:rPr>
          <w:szCs w:val="18"/>
        </w:rPr>
        <w:t>r</w:t>
      </w:r>
      <w:r w:rsidR="00D874DD">
        <w:rPr>
          <w:szCs w:val="18"/>
        </w:rPr>
        <w:t>oduced in 2024.</w:t>
      </w:r>
      <w:r w:rsidR="00A02EC6" w:rsidRPr="002253E6">
        <w:rPr>
          <w:szCs w:val="18"/>
        </w:rPr>
        <w:t xml:space="preserve"> </w:t>
      </w:r>
      <w:r w:rsidR="00A02EC6" w:rsidRPr="00D874DD">
        <w:rPr>
          <w:szCs w:val="18"/>
        </w:rPr>
        <w:t>(A Lal, Teva Pharma (NZ) Ltd, pers comm</w:t>
      </w:r>
      <w:r w:rsidR="00DA1E2B">
        <w:rPr>
          <w:szCs w:val="18"/>
        </w:rPr>
        <w:t>, 2026</w:t>
      </w:r>
      <w:r w:rsidR="00A02EC6" w:rsidRPr="00D874DD">
        <w:rPr>
          <w:szCs w:val="18"/>
        </w:rPr>
        <w:t>)</w:t>
      </w:r>
      <w:r w:rsidR="00E51E55" w:rsidRPr="00D874DD">
        <w:rPr>
          <w:szCs w:val="18"/>
        </w:rPr>
        <w:t>.</w:t>
      </w:r>
    </w:p>
    <w:p w14:paraId="3020B7B9" w14:textId="182D4E3A" w:rsidR="00680160" w:rsidRPr="00D874DD" w:rsidRDefault="00A30F8A" w:rsidP="00680160">
      <w:pPr>
        <w:spacing w:line="300" w:lineRule="atLeast"/>
        <w:jc w:val="both"/>
        <w:rPr>
          <w:szCs w:val="18"/>
        </w:rPr>
      </w:pPr>
      <w:r w:rsidRPr="00D874DD">
        <w:rPr>
          <w:szCs w:val="18"/>
        </w:rPr>
        <w:t xml:space="preserve">A survey of </w:t>
      </w:r>
      <w:r w:rsidR="006718C2" w:rsidRPr="00D874DD">
        <w:rPr>
          <w:szCs w:val="18"/>
        </w:rPr>
        <w:t>T</w:t>
      </w:r>
      <w:r w:rsidRPr="00D874DD">
        <w:rPr>
          <w:szCs w:val="18"/>
        </w:rPr>
        <w:t xml:space="preserve">hiomersal use by local manufacturers and distributors of veterinary medicines was conducted </w:t>
      </w:r>
      <w:r w:rsidR="00557C8C" w:rsidRPr="00D874DD">
        <w:rPr>
          <w:szCs w:val="18"/>
        </w:rPr>
        <w:t>on the Ministry</w:t>
      </w:r>
      <w:r w:rsidR="00602181">
        <w:rPr>
          <w:szCs w:val="18"/>
        </w:rPr>
        <w:t xml:space="preserve"> for the Environment’s</w:t>
      </w:r>
      <w:r w:rsidR="00557C8C" w:rsidRPr="00D874DD">
        <w:rPr>
          <w:szCs w:val="18"/>
        </w:rPr>
        <w:t xml:space="preserve"> behalf by Animal and Plant Health New Zealand. Information was requested </w:t>
      </w:r>
      <w:r w:rsidR="00A10805" w:rsidRPr="00D874DD">
        <w:rPr>
          <w:szCs w:val="18"/>
        </w:rPr>
        <w:t xml:space="preserve">for the </w:t>
      </w:r>
      <w:r w:rsidR="007B490E" w:rsidRPr="004C4210">
        <w:rPr>
          <w:szCs w:val="18"/>
        </w:rPr>
        <w:t>2024</w:t>
      </w:r>
      <w:r w:rsidR="007B490E" w:rsidRPr="00D874DD">
        <w:rPr>
          <w:szCs w:val="18"/>
        </w:rPr>
        <w:t xml:space="preserve"> </w:t>
      </w:r>
      <w:r w:rsidR="00A10805" w:rsidRPr="00D874DD">
        <w:rPr>
          <w:szCs w:val="18"/>
        </w:rPr>
        <w:t xml:space="preserve">calendar year </w:t>
      </w:r>
      <w:r w:rsidR="00557C8C" w:rsidRPr="00D874DD">
        <w:rPr>
          <w:szCs w:val="18"/>
        </w:rPr>
        <w:t xml:space="preserve">on the amounts of </w:t>
      </w:r>
      <w:r w:rsidR="006718C2" w:rsidRPr="00D874DD">
        <w:rPr>
          <w:szCs w:val="18"/>
        </w:rPr>
        <w:t>T</w:t>
      </w:r>
      <w:r w:rsidR="00557C8C" w:rsidRPr="00D874DD">
        <w:rPr>
          <w:szCs w:val="18"/>
        </w:rPr>
        <w:t xml:space="preserve">hiomersal raw material imported for further formulation and the amounts of </w:t>
      </w:r>
      <w:r w:rsidR="006718C2" w:rsidRPr="00D874DD">
        <w:rPr>
          <w:szCs w:val="18"/>
        </w:rPr>
        <w:t>T</w:t>
      </w:r>
      <w:r w:rsidR="00A10805" w:rsidRPr="00D874DD">
        <w:rPr>
          <w:szCs w:val="18"/>
        </w:rPr>
        <w:t xml:space="preserve">hiomersal in </w:t>
      </w:r>
      <w:r w:rsidR="00557C8C" w:rsidRPr="00D874DD">
        <w:rPr>
          <w:szCs w:val="18"/>
        </w:rPr>
        <w:t>ready to use animal products that were imported.</w:t>
      </w:r>
      <w:r w:rsidR="00A10805" w:rsidRPr="00D874DD">
        <w:rPr>
          <w:szCs w:val="18"/>
        </w:rPr>
        <w:t xml:space="preserve"> Respondents to the survey indicated that a total of 50 kg of </w:t>
      </w:r>
      <w:r w:rsidR="006718C2" w:rsidRPr="00D874DD">
        <w:rPr>
          <w:szCs w:val="18"/>
        </w:rPr>
        <w:t>T</w:t>
      </w:r>
      <w:r w:rsidR="00A10805" w:rsidRPr="00D874DD">
        <w:rPr>
          <w:szCs w:val="18"/>
        </w:rPr>
        <w:t xml:space="preserve">hiomersal raw material and </w:t>
      </w:r>
      <w:r w:rsidR="007B490E" w:rsidRPr="000B1B79">
        <w:rPr>
          <w:szCs w:val="18"/>
        </w:rPr>
        <w:t>8.224</w:t>
      </w:r>
      <w:r w:rsidR="00A10805" w:rsidRPr="00D874DD">
        <w:rPr>
          <w:szCs w:val="18"/>
        </w:rPr>
        <w:t xml:space="preserve"> kg of </w:t>
      </w:r>
      <w:r w:rsidR="006718C2" w:rsidRPr="00D874DD">
        <w:rPr>
          <w:szCs w:val="18"/>
        </w:rPr>
        <w:t>T</w:t>
      </w:r>
      <w:r w:rsidR="00A10805" w:rsidRPr="00D874DD">
        <w:rPr>
          <w:szCs w:val="18"/>
        </w:rPr>
        <w:t xml:space="preserve">hiomersal in animal formulations </w:t>
      </w:r>
      <w:r w:rsidRPr="00D874DD">
        <w:rPr>
          <w:szCs w:val="18"/>
        </w:rPr>
        <w:t>w</w:t>
      </w:r>
      <w:r w:rsidR="00680160" w:rsidRPr="00D874DD">
        <w:rPr>
          <w:szCs w:val="18"/>
        </w:rPr>
        <w:t>ere</w:t>
      </w:r>
      <w:r w:rsidRPr="00D874DD">
        <w:rPr>
          <w:szCs w:val="18"/>
        </w:rPr>
        <w:t xml:space="preserve"> </w:t>
      </w:r>
      <w:r w:rsidR="00680160" w:rsidRPr="00D874DD">
        <w:rPr>
          <w:szCs w:val="18"/>
        </w:rPr>
        <w:t xml:space="preserve">imported. </w:t>
      </w:r>
      <w:r w:rsidR="007B490E" w:rsidRPr="000B1B79">
        <w:rPr>
          <w:szCs w:val="18"/>
        </w:rPr>
        <w:t>No</w:t>
      </w:r>
      <w:r w:rsidR="004C4210">
        <w:rPr>
          <w:szCs w:val="18"/>
        </w:rPr>
        <w:t xml:space="preserve"> </w:t>
      </w:r>
      <w:r w:rsidR="007B490E" w:rsidRPr="004C4210">
        <w:rPr>
          <w:szCs w:val="18"/>
        </w:rPr>
        <w:t>t</w:t>
      </w:r>
      <w:r w:rsidR="00680160" w:rsidRPr="00D874DD">
        <w:rPr>
          <w:szCs w:val="18"/>
        </w:rPr>
        <w:t xml:space="preserve">hiomersal </w:t>
      </w:r>
      <w:r w:rsidR="007B490E" w:rsidRPr="004C4210">
        <w:rPr>
          <w:szCs w:val="18"/>
        </w:rPr>
        <w:t>containing</w:t>
      </w:r>
      <w:r w:rsidR="007B490E" w:rsidRPr="00D874DD">
        <w:rPr>
          <w:szCs w:val="18"/>
        </w:rPr>
        <w:t xml:space="preserve"> </w:t>
      </w:r>
      <w:r w:rsidR="00680160" w:rsidRPr="00D874DD">
        <w:rPr>
          <w:szCs w:val="18"/>
        </w:rPr>
        <w:t>animal products were exported.</w:t>
      </w:r>
    </w:p>
    <w:p w14:paraId="722E32F5" w14:textId="1D1EBFDE" w:rsidR="00640369" w:rsidRPr="000B2D99" w:rsidRDefault="006718C2" w:rsidP="007146F0">
      <w:pPr>
        <w:spacing w:line="300" w:lineRule="atLeast"/>
        <w:jc w:val="both"/>
        <w:rPr>
          <w:szCs w:val="18"/>
        </w:rPr>
      </w:pPr>
      <w:r w:rsidRPr="00D874DD">
        <w:rPr>
          <w:szCs w:val="18"/>
        </w:rPr>
        <w:t>The total import</w:t>
      </w:r>
      <w:r w:rsidR="00D874DD" w:rsidRPr="000B1B79">
        <w:rPr>
          <w:szCs w:val="18"/>
        </w:rPr>
        <w:t>ed</w:t>
      </w:r>
      <w:r w:rsidRPr="00D874DD">
        <w:rPr>
          <w:szCs w:val="18"/>
        </w:rPr>
        <w:t xml:space="preserve"> quantity of </w:t>
      </w:r>
      <w:r w:rsidR="00D874DD" w:rsidRPr="000B1B79">
        <w:rPr>
          <w:szCs w:val="18"/>
        </w:rPr>
        <w:t>58.224</w:t>
      </w:r>
      <w:r w:rsidRPr="00D874DD">
        <w:rPr>
          <w:szCs w:val="18"/>
        </w:rPr>
        <w:t xml:space="preserve"> kg for Thiomersal </w:t>
      </w:r>
      <w:r w:rsidR="00235D59" w:rsidRPr="00D874DD">
        <w:rPr>
          <w:szCs w:val="18"/>
        </w:rPr>
        <w:t xml:space="preserve">in animal products contains </w:t>
      </w:r>
      <w:r w:rsidR="00D874DD" w:rsidRPr="000B1B79">
        <w:rPr>
          <w:szCs w:val="18"/>
        </w:rPr>
        <w:t>28.85</w:t>
      </w:r>
      <w:r w:rsidR="00235D59" w:rsidRPr="00D874DD">
        <w:rPr>
          <w:szCs w:val="18"/>
        </w:rPr>
        <w:t xml:space="preserve"> kg mercury</w:t>
      </w:r>
      <w:r w:rsidR="00D874DD">
        <w:rPr>
          <w:szCs w:val="18"/>
        </w:rPr>
        <w:t xml:space="preserve"> and this represents the total input </w:t>
      </w:r>
      <w:r w:rsidR="00D516D8" w:rsidRPr="00D874DD">
        <w:rPr>
          <w:szCs w:val="18"/>
        </w:rPr>
        <w:t>for pharmaceuticals for human and veterinar</w:t>
      </w:r>
      <w:r w:rsidR="00D874DD">
        <w:rPr>
          <w:szCs w:val="18"/>
        </w:rPr>
        <w:t>y use.</w:t>
      </w:r>
    </w:p>
    <w:p w14:paraId="76B0E7D1" w14:textId="77777777" w:rsidR="00E472E6" w:rsidRDefault="00E472E6" w:rsidP="00E472E6">
      <w:pPr>
        <w:pStyle w:val="Heading2"/>
      </w:pPr>
      <w:bookmarkStart w:id="110" w:name="_Toc110355545"/>
      <w:r>
        <w:t>Cosmetics and related products</w:t>
      </w:r>
      <w:bookmarkEnd w:id="110"/>
    </w:p>
    <w:p w14:paraId="7BBA2719" w14:textId="102DAD7E" w:rsidR="00E472E6" w:rsidRDefault="00347840" w:rsidP="002637C5">
      <w:pPr>
        <w:spacing w:line="300" w:lineRule="atLeast"/>
        <w:jc w:val="both"/>
        <w:rPr>
          <w:szCs w:val="18"/>
        </w:rPr>
      </w:pPr>
      <w:r>
        <w:rPr>
          <w:szCs w:val="18"/>
        </w:rPr>
        <w:t>Cosmetic product rules were updated by New Zealand’s Environmental Protection Authority on 1 January 2026.  Mercury and its compounds are prohibited in cosmetics except those special cases included in Schedule 7 where t</w:t>
      </w:r>
      <w:r w:rsidR="00C1434B">
        <w:rPr>
          <w:szCs w:val="18"/>
        </w:rPr>
        <w:t>hiomersal and phenylmercuric salts are permitted for use as preservatives</w:t>
      </w:r>
      <w:r>
        <w:rPr>
          <w:szCs w:val="18"/>
        </w:rPr>
        <w:t xml:space="preserve"> in eye products</w:t>
      </w:r>
      <w:r w:rsidR="00C1434B">
        <w:rPr>
          <w:szCs w:val="18"/>
        </w:rPr>
        <w:t xml:space="preserve"> at concentrations of no more than 0.007% (as Hg).</w:t>
      </w:r>
      <w:r w:rsidR="002637C5">
        <w:rPr>
          <w:szCs w:val="18"/>
        </w:rPr>
        <w:t xml:space="preserve"> </w:t>
      </w:r>
      <w:r w:rsidR="00F0717E">
        <w:rPr>
          <w:szCs w:val="18"/>
        </w:rPr>
        <w:t>Checks with 5 cosmetics manufacturers found n</w:t>
      </w:r>
      <w:r w:rsidR="002637C5">
        <w:rPr>
          <w:szCs w:val="18"/>
        </w:rPr>
        <w:t xml:space="preserve">o </w:t>
      </w:r>
      <w:r w:rsidR="00F0717E">
        <w:rPr>
          <w:szCs w:val="18"/>
        </w:rPr>
        <w:t xml:space="preserve">evidence of mercury use in 2012, and there is no reason to expect that this situation </w:t>
      </w:r>
      <w:r w:rsidR="00E0576D">
        <w:rPr>
          <w:szCs w:val="18"/>
        </w:rPr>
        <w:t xml:space="preserve">will be any different for </w:t>
      </w:r>
      <w:r>
        <w:rPr>
          <w:szCs w:val="18"/>
        </w:rPr>
        <w:t>2024.</w:t>
      </w:r>
    </w:p>
    <w:p w14:paraId="2F7AD2C2" w14:textId="77777777" w:rsidR="00DB5237" w:rsidRPr="00D766AB" w:rsidRDefault="00DB5237" w:rsidP="00DB5237">
      <w:pPr>
        <w:pStyle w:val="Heading2"/>
        <w:rPr>
          <w:rFonts w:eastAsia="Calibri"/>
        </w:rPr>
      </w:pPr>
      <w:bookmarkStart w:id="111" w:name="_Toc110355546"/>
      <w:r w:rsidRPr="00D766AB">
        <w:rPr>
          <w:rFonts w:eastAsia="Calibri"/>
        </w:rPr>
        <w:t>Summary for this category</w:t>
      </w:r>
      <w:bookmarkEnd w:id="111"/>
      <w:r w:rsidRPr="00D766AB">
        <w:rPr>
          <w:rFonts w:eastAsia="Calibri"/>
        </w:rPr>
        <w:t xml:space="preserve"> </w:t>
      </w:r>
    </w:p>
    <w:p w14:paraId="15F42CE1" w14:textId="3C97FB08" w:rsidR="00DB5237" w:rsidRDefault="00DB5237" w:rsidP="00917E95">
      <w:pPr>
        <w:spacing w:line="300" w:lineRule="atLeast"/>
        <w:rPr>
          <w:rFonts w:eastAsia="Calibri"/>
          <w:szCs w:val="22"/>
        </w:rPr>
      </w:pPr>
      <w:r>
        <w:rPr>
          <w:rFonts w:eastAsia="Calibri"/>
          <w:szCs w:val="22"/>
        </w:rPr>
        <w:t xml:space="preserve">The estimated inputs and outputs for the </w:t>
      </w:r>
      <w:r w:rsidR="00EE59AC">
        <w:rPr>
          <w:rFonts w:eastAsia="Calibri"/>
          <w:szCs w:val="22"/>
        </w:rPr>
        <w:t>consumer products</w:t>
      </w:r>
      <w:r>
        <w:rPr>
          <w:rFonts w:eastAsia="Calibri"/>
          <w:szCs w:val="22"/>
        </w:rPr>
        <w:t xml:space="preserve"> category are summarised in</w:t>
      </w:r>
      <w:r w:rsidR="00016AD4">
        <w:rPr>
          <w:rFonts w:eastAsia="Calibri"/>
          <w:szCs w:val="22"/>
        </w:rPr>
        <w:t xml:space="preserve"> Table 7-8</w:t>
      </w:r>
      <w:r>
        <w:rPr>
          <w:rFonts w:eastAsia="Calibri"/>
          <w:szCs w:val="22"/>
        </w:rPr>
        <w:t xml:space="preserve">, which shows that </w:t>
      </w:r>
      <w:r w:rsidR="001235FF">
        <w:rPr>
          <w:rFonts w:eastAsia="Calibri"/>
          <w:szCs w:val="22"/>
        </w:rPr>
        <w:t>the most significant input</w:t>
      </w:r>
      <w:r w:rsidR="00056890">
        <w:rPr>
          <w:rFonts w:eastAsia="Calibri"/>
          <w:szCs w:val="22"/>
        </w:rPr>
        <w:t>s</w:t>
      </w:r>
      <w:r w:rsidR="001235FF">
        <w:rPr>
          <w:rFonts w:eastAsia="Calibri"/>
          <w:szCs w:val="22"/>
        </w:rPr>
        <w:t xml:space="preserve"> </w:t>
      </w:r>
      <w:r w:rsidR="00056890">
        <w:rPr>
          <w:rFonts w:eastAsia="Calibri"/>
          <w:szCs w:val="22"/>
        </w:rPr>
        <w:t>are</w:t>
      </w:r>
      <w:r w:rsidR="001235FF">
        <w:rPr>
          <w:rFonts w:eastAsia="Calibri"/>
          <w:szCs w:val="22"/>
        </w:rPr>
        <w:t xml:space="preserve"> from </w:t>
      </w:r>
      <w:r w:rsidR="005529DE">
        <w:rPr>
          <w:rFonts w:eastAsia="Calibri"/>
          <w:szCs w:val="22"/>
        </w:rPr>
        <w:t xml:space="preserve">pharmaceuticals (vaccines) and </w:t>
      </w:r>
      <w:r w:rsidR="001235FF">
        <w:rPr>
          <w:rFonts w:eastAsia="Calibri"/>
          <w:szCs w:val="22"/>
        </w:rPr>
        <w:t>mercury switches and relays</w:t>
      </w:r>
      <w:r w:rsidR="002637C5">
        <w:rPr>
          <w:rFonts w:eastAsia="Calibri"/>
          <w:szCs w:val="22"/>
        </w:rPr>
        <w:t>,</w:t>
      </w:r>
      <w:r w:rsidR="002637C5" w:rsidRPr="002637C5">
        <w:rPr>
          <w:rFonts w:eastAsia="Calibri"/>
          <w:szCs w:val="22"/>
        </w:rPr>
        <w:t xml:space="preserve"> </w:t>
      </w:r>
      <w:r w:rsidR="002637C5">
        <w:rPr>
          <w:rFonts w:eastAsia="Calibri"/>
          <w:szCs w:val="22"/>
        </w:rPr>
        <w:t>lamps and batteries</w:t>
      </w:r>
      <w:r w:rsidR="001235FF">
        <w:rPr>
          <w:rFonts w:eastAsia="Calibri"/>
          <w:szCs w:val="22"/>
        </w:rPr>
        <w:t xml:space="preserve">. </w:t>
      </w:r>
    </w:p>
    <w:p w14:paraId="536A6364" w14:textId="37070021" w:rsidR="00DB5237" w:rsidRPr="007901FE" w:rsidRDefault="00DB5237" w:rsidP="00685703">
      <w:pPr>
        <w:pStyle w:val="Caption"/>
        <w:spacing w:before="240"/>
        <w:ind w:left="1440" w:hanging="1440"/>
        <w:rPr>
          <w:rFonts w:ascii="Arial" w:hAnsi="Arial" w:cs="Arial"/>
          <w:szCs w:val="18"/>
        </w:rPr>
      </w:pPr>
      <w:bookmarkStart w:id="112" w:name="_Ref358548583"/>
      <w:bookmarkStart w:id="113" w:name="_Ref358779143"/>
      <w:bookmarkStart w:id="114" w:name="_Toc110355485"/>
      <w:r w:rsidRPr="00DB5237">
        <w:rPr>
          <w:rFonts w:ascii="Arial" w:hAnsi="Arial" w:cs="Arial"/>
        </w:rPr>
        <w:t xml:space="preserve">Table </w:t>
      </w:r>
      <w:r w:rsidR="00390C9F">
        <w:rPr>
          <w:rFonts w:ascii="Arial" w:hAnsi="Arial" w:cs="Arial"/>
        </w:rPr>
        <w:fldChar w:fldCharType="begin"/>
      </w:r>
      <w:r w:rsidR="00390C9F">
        <w:rPr>
          <w:rFonts w:ascii="Arial" w:hAnsi="Arial" w:cs="Arial"/>
        </w:rPr>
        <w:instrText xml:space="preserve"> STYLEREF 1 \s </w:instrText>
      </w:r>
      <w:r w:rsidR="00390C9F">
        <w:rPr>
          <w:rFonts w:ascii="Arial" w:hAnsi="Arial" w:cs="Arial"/>
        </w:rPr>
        <w:fldChar w:fldCharType="separate"/>
      </w:r>
      <w:r w:rsidR="00892B2D">
        <w:rPr>
          <w:rFonts w:ascii="Arial" w:hAnsi="Arial" w:cs="Arial"/>
          <w:noProof/>
        </w:rPr>
        <w:t>7</w:t>
      </w:r>
      <w:r w:rsidR="00390C9F">
        <w:rPr>
          <w:rFonts w:ascii="Arial" w:hAnsi="Arial" w:cs="Arial"/>
        </w:rPr>
        <w:fldChar w:fldCharType="end"/>
      </w:r>
      <w:r w:rsidR="00390C9F">
        <w:rPr>
          <w:rFonts w:ascii="Arial" w:hAnsi="Arial" w:cs="Arial"/>
        </w:rPr>
        <w:noBreakHyphen/>
      </w:r>
      <w:r w:rsidR="00390C9F">
        <w:rPr>
          <w:rFonts w:ascii="Arial" w:hAnsi="Arial" w:cs="Arial"/>
        </w:rPr>
        <w:fldChar w:fldCharType="begin"/>
      </w:r>
      <w:r w:rsidR="00390C9F">
        <w:rPr>
          <w:rFonts w:ascii="Arial" w:hAnsi="Arial" w:cs="Arial"/>
        </w:rPr>
        <w:instrText xml:space="preserve"> SEQ Table \* ARABIC \s 1 </w:instrText>
      </w:r>
      <w:r w:rsidR="00390C9F">
        <w:rPr>
          <w:rFonts w:ascii="Arial" w:hAnsi="Arial" w:cs="Arial"/>
        </w:rPr>
        <w:fldChar w:fldCharType="separate"/>
      </w:r>
      <w:r w:rsidR="00892B2D">
        <w:rPr>
          <w:rFonts w:ascii="Arial" w:hAnsi="Arial" w:cs="Arial"/>
          <w:noProof/>
        </w:rPr>
        <w:t>8</w:t>
      </w:r>
      <w:r w:rsidR="00390C9F">
        <w:rPr>
          <w:rFonts w:ascii="Arial" w:hAnsi="Arial" w:cs="Arial"/>
        </w:rPr>
        <w:fldChar w:fldCharType="end"/>
      </w:r>
      <w:bookmarkEnd w:id="112"/>
      <w:bookmarkEnd w:id="113"/>
      <w:r w:rsidRPr="00DB5237">
        <w:rPr>
          <w:rFonts w:ascii="Arial" w:hAnsi="Arial" w:cs="Arial"/>
        </w:rPr>
        <w:t>:</w:t>
      </w:r>
      <w:r w:rsidRPr="007901FE">
        <w:rPr>
          <w:rFonts w:ascii="Arial" w:hAnsi="Arial" w:cs="Arial"/>
        </w:rPr>
        <w:t xml:space="preserve"> </w:t>
      </w:r>
      <w:r w:rsidR="00403501">
        <w:rPr>
          <w:rFonts w:ascii="Arial" w:hAnsi="Arial" w:cs="Arial"/>
        </w:rPr>
        <w:t xml:space="preserve"> </w:t>
      </w:r>
      <w:r w:rsidRPr="007901FE">
        <w:rPr>
          <w:rFonts w:ascii="Arial" w:hAnsi="Arial" w:cs="Arial"/>
        </w:rPr>
        <w:t>Summary of inputs and o</w:t>
      </w:r>
      <w:r>
        <w:rPr>
          <w:rFonts w:ascii="Arial" w:hAnsi="Arial" w:cs="Arial"/>
        </w:rPr>
        <w:t xml:space="preserve">utputs for </w:t>
      </w:r>
      <w:r w:rsidR="00685703">
        <w:rPr>
          <w:rFonts w:ascii="Arial" w:hAnsi="Arial" w:cs="Arial"/>
        </w:rPr>
        <w:t xml:space="preserve">consumer </w:t>
      </w:r>
      <w:r w:rsidRPr="00D766AB">
        <w:rPr>
          <w:rFonts w:ascii="Arial" w:hAnsi="Arial" w:cs="Arial"/>
        </w:rPr>
        <w:t>product</w:t>
      </w:r>
      <w:r w:rsidR="00685703">
        <w:rPr>
          <w:rFonts w:ascii="Arial" w:hAnsi="Arial" w:cs="Arial"/>
        </w:rPr>
        <w:t>s with intentional use of mercury</w:t>
      </w:r>
      <w:r w:rsidR="00147313">
        <w:rPr>
          <w:rFonts w:ascii="Arial" w:hAnsi="Arial" w:cs="Arial"/>
        </w:rPr>
        <w:t xml:space="preserve"> for </w:t>
      </w:r>
      <w:bookmarkEnd w:id="114"/>
      <w:r w:rsidR="00D13262">
        <w:rPr>
          <w:rFonts w:ascii="Arial" w:hAnsi="Arial" w:cs="Arial"/>
        </w:rPr>
        <w:t>2024</w:t>
      </w:r>
    </w:p>
    <w:tbl>
      <w:tblPr>
        <w:tblStyle w:val="TableGrid"/>
        <w:tblW w:w="9006" w:type="dxa"/>
        <w:tblInd w:w="108" w:type="dxa"/>
        <w:tblLook w:val="04A0" w:firstRow="1" w:lastRow="0" w:firstColumn="1" w:lastColumn="0" w:noHBand="0" w:noVBand="1"/>
      </w:tblPr>
      <w:tblGrid>
        <w:gridCol w:w="1577"/>
        <w:gridCol w:w="1458"/>
        <w:gridCol w:w="1194"/>
        <w:gridCol w:w="1470"/>
        <w:gridCol w:w="918"/>
        <w:gridCol w:w="1079"/>
        <w:gridCol w:w="1310"/>
      </w:tblGrid>
      <w:tr w:rsidR="00147313" w:rsidRPr="007901FE" w14:paraId="620ECBDB" w14:textId="77777777" w:rsidTr="00427FB4">
        <w:tc>
          <w:tcPr>
            <w:tcW w:w="1577" w:type="dxa"/>
            <w:vMerge w:val="restart"/>
            <w:vAlign w:val="center"/>
          </w:tcPr>
          <w:p w14:paraId="3373E140" w14:textId="77777777" w:rsidR="00147313" w:rsidRPr="004E3E02" w:rsidRDefault="00147313" w:rsidP="003A7261">
            <w:pPr>
              <w:spacing w:line="300" w:lineRule="atLeast"/>
              <w:rPr>
                <w:rFonts w:ascii="Arial" w:hAnsi="Arial" w:cs="Arial"/>
                <w:b/>
                <w:sz w:val="16"/>
                <w:szCs w:val="16"/>
              </w:rPr>
            </w:pPr>
            <w:r w:rsidRPr="004E3E02">
              <w:rPr>
                <w:rFonts w:ascii="Arial" w:hAnsi="Arial" w:cs="Arial"/>
                <w:b/>
                <w:sz w:val="16"/>
                <w:szCs w:val="16"/>
              </w:rPr>
              <w:t>Category</w:t>
            </w:r>
          </w:p>
        </w:tc>
        <w:tc>
          <w:tcPr>
            <w:tcW w:w="1458" w:type="dxa"/>
            <w:vMerge w:val="restart"/>
            <w:vAlign w:val="center"/>
          </w:tcPr>
          <w:p w14:paraId="7F9519A1" w14:textId="77777777" w:rsidR="00147313" w:rsidRPr="004E3E02" w:rsidRDefault="00147313" w:rsidP="003A7261">
            <w:pPr>
              <w:spacing w:line="300" w:lineRule="atLeast"/>
              <w:jc w:val="center"/>
              <w:rPr>
                <w:rFonts w:ascii="Arial" w:hAnsi="Arial" w:cs="Arial"/>
                <w:b/>
                <w:sz w:val="16"/>
                <w:szCs w:val="16"/>
              </w:rPr>
            </w:pPr>
            <w:r w:rsidRPr="004E3E02">
              <w:rPr>
                <w:rFonts w:ascii="Arial" w:hAnsi="Arial" w:cs="Arial"/>
                <w:b/>
                <w:sz w:val="16"/>
                <w:szCs w:val="16"/>
              </w:rPr>
              <w:t>Mercury Inputs, kg/year</w:t>
            </w:r>
          </w:p>
        </w:tc>
        <w:tc>
          <w:tcPr>
            <w:tcW w:w="5971" w:type="dxa"/>
            <w:gridSpan w:val="5"/>
            <w:vAlign w:val="center"/>
          </w:tcPr>
          <w:p w14:paraId="16053D56" w14:textId="77777777" w:rsidR="00147313" w:rsidRPr="004E3E02" w:rsidRDefault="00147313" w:rsidP="003A7261">
            <w:pPr>
              <w:spacing w:line="300" w:lineRule="atLeast"/>
              <w:jc w:val="center"/>
              <w:rPr>
                <w:rFonts w:ascii="Arial" w:hAnsi="Arial" w:cs="Arial"/>
                <w:b/>
                <w:sz w:val="16"/>
                <w:szCs w:val="16"/>
              </w:rPr>
            </w:pPr>
            <w:r w:rsidRPr="004E3E02">
              <w:rPr>
                <w:rFonts w:ascii="Arial" w:hAnsi="Arial" w:cs="Arial"/>
                <w:b/>
                <w:sz w:val="16"/>
                <w:szCs w:val="16"/>
              </w:rPr>
              <w:t>Mercury Outputs, kg/yr</w:t>
            </w:r>
          </w:p>
        </w:tc>
      </w:tr>
      <w:tr w:rsidR="00147313" w:rsidRPr="007901FE" w14:paraId="15518E92" w14:textId="77777777" w:rsidTr="00DA1E2B">
        <w:tc>
          <w:tcPr>
            <w:tcW w:w="1577" w:type="dxa"/>
            <w:vMerge/>
            <w:vAlign w:val="center"/>
          </w:tcPr>
          <w:p w14:paraId="6CAF7290" w14:textId="77777777" w:rsidR="00147313" w:rsidRPr="004E3E02" w:rsidRDefault="00147313" w:rsidP="003A7261">
            <w:pPr>
              <w:spacing w:line="300" w:lineRule="atLeast"/>
              <w:rPr>
                <w:rFonts w:ascii="Arial" w:hAnsi="Arial" w:cs="Arial"/>
                <w:b/>
                <w:sz w:val="16"/>
                <w:szCs w:val="16"/>
              </w:rPr>
            </w:pPr>
          </w:p>
        </w:tc>
        <w:tc>
          <w:tcPr>
            <w:tcW w:w="1458" w:type="dxa"/>
            <w:vMerge/>
          </w:tcPr>
          <w:p w14:paraId="21CAEEA2" w14:textId="77777777" w:rsidR="00147313" w:rsidRPr="004E3E02" w:rsidRDefault="00147313" w:rsidP="003A7261">
            <w:pPr>
              <w:spacing w:line="300" w:lineRule="atLeast"/>
              <w:jc w:val="both"/>
              <w:rPr>
                <w:rFonts w:ascii="Arial" w:hAnsi="Arial" w:cs="Arial"/>
                <w:b/>
                <w:sz w:val="16"/>
                <w:szCs w:val="16"/>
              </w:rPr>
            </w:pPr>
          </w:p>
        </w:tc>
        <w:tc>
          <w:tcPr>
            <w:tcW w:w="1194" w:type="dxa"/>
            <w:vAlign w:val="center"/>
          </w:tcPr>
          <w:p w14:paraId="01317B1F" w14:textId="77777777" w:rsidR="00147313" w:rsidRPr="004E3E02" w:rsidRDefault="00147313" w:rsidP="003A7261">
            <w:pPr>
              <w:spacing w:line="300" w:lineRule="atLeast"/>
              <w:jc w:val="center"/>
              <w:rPr>
                <w:rFonts w:ascii="Arial" w:hAnsi="Arial" w:cs="Arial"/>
                <w:b/>
                <w:sz w:val="16"/>
                <w:szCs w:val="16"/>
              </w:rPr>
            </w:pPr>
            <w:r w:rsidRPr="004E3E02">
              <w:rPr>
                <w:rFonts w:ascii="Arial" w:hAnsi="Arial" w:cs="Arial"/>
                <w:b/>
                <w:sz w:val="16"/>
                <w:szCs w:val="16"/>
              </w:rPr>
              <w:t>Air</w:t>
            </w:r>
          </w:p>
        </w:tc>
        <w:tc>
          <w:tcPr>
            <w:tcW w:w="1470" w:type="dxa"/>
            <w:vAlign w:val="center"/>
          </w:tcPr>
          <w:p w14:paraId="624D0590" w14:textId="77777777" w:rsidR="00147313" w:rsidRPr="004E3E02" w:rsidRDefault="00147313" w:rsidP="003A7261">
            <w:pPr>
              <w:spacing w:line="300" w:lineRule="atLeast"/>
              <w:jc w:val="center"/>
              <w:rPr>
                <w:rFonts w:ascii="Arial" w:hAnsi="Arial" w:cs="Arial"/>
                <w:b/>
                <w:sz w:val="16"/>
                <w:szCs w:val="16"/>
              </w:rPr>
            </w:pPr>
            <w:r w:rsidRPr="004E3E02">
              <w:rPr>
                <w:rFonts w:ascii="Arial" w:hAnsi="Arial" w:cs="Arial"/>
                <w:b/>
                <w:sz w:val="16"/>
                <w:szCs w:val="16"/>
              </w:rPr>
              <w:t>Water</w:t>
            </w:r>
          </w:p>
        </w:tc>
        <w:tc>
          <w:tcPr>
            <w:tcW w:w="918" w:type="dxa"/>
            <w:vAlign w:val="center"/>
          </w:tcPr>
          <w:p w14:paraId="3FDB5315" w14:textId="77777777" w:rsidR="00147313" w:rsidRPr="004E3E02" w:rsidRDefault="00147313" w:rsidP="003A7261">
            <w:pPr>
              <w:spacing w:line="300" w:lineRule="atLeast"/>
              <w:jc w:val="center"/>
              <w:rPr>
                <w:rFonts w:ascii="Arial" w:hAnsi="Arial" w:cs="Arial"/>
                <w:b/>
                <w:sz w:val="16"/>
                <w:szCs w:val="16"/>
              </w:rPr>
            </w:pPr>
            <w:r w:rsidRPr="004E3E02">
              <w:rPr>
                <w:rFonts w:ascii="Arial" w:hAnsi="Arial" w:cs="Arial"/>
                <w:b/>
                <w:sz w:val="16"/>
                <w:szCs w:val="16"/>
              </w:rPr>
              <w:t>Land</w:t>
            </w:r>
          </w:p>
        </w:tc>
        <w:tc>
          <w:tcPr>
            <w:tcW w:w="1079" w:type="dxa"/>
            <w:vAlign w:val="center"/>
          </w:tcPr>
          <w:p w14:paraId="5C0F35E7" w14:textId="77777777" w:rsidR="00147313" w:rsidRPr="004E3E02" w:rsidRDefault="00147313" w:rsidP="003A7261">
            <w:pPr>
              <w:spacing w:line="300" w:lineRule="atLeast"/>
              <w:jc w:val="center"/>
              <w:rPr>
                <w:rFonts w:ascii="Arial" w:hAnsi="Arial" w:cs="Arial"/>
                <w:b/>
                <w:sz w:val="16"/>
                <w:szCs w:val="16"/>
              </w:rPr>
            </w:pPr>
            <w:r w:rsidRPr="004E3E02">
              <w:rPr>
                <w:rFonts w:ascii="Arial" w:hAnsi="Arial" w:cs="Arial"/>
                <w:b/>
                <w:sz w:val="16"/>
                <w:szCs w:val="16"/>
              </w:rPr>
              <w:t>Product</w:t>
            </w:r>
          </w:p>
        </w:tc>
        <w:tc>
          <w:tcPr>
            <w:tcW w:w="1310" w:type="dxa"/>
            <w:vAlign w:val="center"/>
          </w:tcPr>
          <w:p w14:paraId="4E93C0A0" w14:textId="77777777" w:rsidR="00147313" w:rsidRPr="004E3E02" w:rsidRDefault="00147313" w:rsidP="003A7261">
            <w:pPr>
              <w:spacing w:line="300" w:lineRule="atLeast"/>
              <w:jc w:val="center"/>
              <w:rPr>
                <w:rFonts w:ascii="Arial" w:hAnsi="Arial" w:cs="Arial"/>
                <w:b/>
                <w:sz w:val="16"/>
                <w:szCs w:val="16"/>
              </w:rPr>
            </w:pPr>
            <w:r w:rsidRPr="004E3E02">
              <w:rPr>
                <w:rFonts w:ascii="Arial" w:hAnsi="Arial" w:cs="Arial"/>
                <w:b/>
                <w:sz w:val="16"/>
                <w:szCs w:val="16"/>
              </w:rPr>
              <w:t>Waste</w:t>
            </w:r>
          </w:p>
        </w:tc>
      </w:tr>
      <w:tr w:rsidR="00D13262" w:rsidRPr="007901FE" w14:paraId="2D96836B" w14:textId="77777777" w:rsidTr="00DA1E2B">
        <w:tc>
          <w:tcPr>
            <w:tcW w:w="1577" w:type="dxa"/>
            <w:vAlign w:val="center"/>
          </w:tcPr>
          <w:p w14:paraId="74D745B6" w14:textId="77777777" w:rsidR="00D13262" w:rsidRPr="004901F2" w:rsidRDefault="00D13262" w:rsidP="00D13262">
            <w:pPr>
              <w:spacing w:line="300" w:lineRule="atLeast"/>
              <w:rPr>
                <w:rFonts w:ascii="Arial" w:hAnsi="Arial" w:cs="Arial"/>
                <w:sz w:val="16"/>
                <w:szCs w:val="16"/>
              </w:rPr>
            </w:pPr>
            <w:r>
              <w:rPr>
                <w:rFonts w:ascii="Arial" w:hAnsi="Arial" w:cs="Arial"/>
                <w:sz w:val="16"/>
                <w:szCs w:val="16"/>
              </w:rPr>
              <w:t>Thermometers with mercury</w:t>
            </w:r>
          </w:p>
        </w:tc>
        <w:tc>
          <w:tcPr>
            <w:tcW w:w="1458" w:type="dxa"/>
            <w:vAlign w:val="center"/>
          </w:tcPr>
          <w:p w14:paraId="019A4CAF" w14:textId="67349A1B" w:rsidR="00D13262" w:rsidRPr="004C4210" w:rsidRDefault="00D13262" w:rsidP="00D13262">
            <w:pPr>
              <w:spacing w:line="300" w:lineRule="atLeast"/>
              <w:jc w:val="center"/>
              <w:rPr>
                <w:rFonts w:ascii="Arial" w:hAnsi="Arial" w:cs="Arial"/>
                <w:sz w:val="16"/>
                <w:szCs w:val="16"/>
                <w:highlight w:val="yellow"/>
              </w:rPr>
            </w:pPr>
            <w:r>
              <w:rPr>
                <w:rFonts w:ascii="Arial" w:hAnsi="Arial" w:cs="Arial"/>
                <w:sz w:val="16"/>
                <w:szCs w:val="16"/>
              </w:rPr>
              <w:t>0.0005 – 0.005 (0.0028)</w:t>
            </w:r>
          </w:p>
        </w:tc>
        <w:tc>
          <w:tcPr>
            <w:tcW w:w="1194" w:type="dxa"/>
            <w:vAlign w:val="center"/>
          </w:tcPr>
          <w:p w14:paraId="177C88E7" w14:textId="7C1852A3" w:rsidR="00D13262" w:rsidRPr="004C4210" w:rsidRDefault="00D13262" w:rsidP="00D13262">
            <w:pPr>
              <w:spacing w:line="300" w:lineRule="atLeast"/>
              <w:jc w:val="center"/>
              <w:rPr>
                <w:rFonts w:ascii="Arial" w:hAnsi="Arial" w:cs="Arial"/>
                <w:sz w:val="16"/>
                <w:szCs w:val="16"/>
                <w:highlight w:val="yellow"/>
              </w:rPr>
            </w:pPr>
            <w:r>
              <w:rPr>
                <w:rFonts w:ascii="Arial" w:hAnsi="Arial" w:cs="Arial"/>
                <w:sz w:val="16"/>
                <w:szCs w:val="16"/>
              </w:rPr>
              <w:t>0.00005 – 0.0005 (0.00028)</w:t>
            </w:r>
          </w:p>
        </w:tc>
        <w:tc>
          <w:tcPr>
            <w:tcW w:w="1470" w:type="dxa"/>
          </w:tcPr>
          <w:p w14:paraId="1F9CC9A8" w14:textId="18639634" w:rsidR="00D13262" w:rsidRPr="004C4210" w:rsidRDefault="00D13262" w:rsidP="00D13262">
            <w:pPr>
              <w:spacing w:line="300" w:lineRule="atLeast"/>
              <w:jc w:val="center"/>
              <w:rPr>
                <w:rFonts w:ascii="Arial" w:hAnsi="Arial" w:cs="Arial"/>
                <w:sz w:val="16"/>
                <w:szCs w:val="16"/>
                <w:highlight w:val="yellow"/>
              </w:rPr>
            </w:pPr>
            <w:r>
              <w:rPr>
                <w:rFonts w:ascii="Arial" w:hAnsi="Arial" w:cs="Arial"/>
                <w:sz w:val="16"/>
                <w:szCs w:val="16"/>
              </w:rPr>
              <w:t>0.00015 – 0.0015 (0.00083)</w:t>
            </w:r>
          </w:p>
        </w:tc>
        <w:tc>
          <w:tcPr>
            <w:tcW w:w="918" w:type="dxa"/>
            <w:vAlign w:val="center"/>
          </w:tcPr>
          <w:p w14:paraId="5CF0F8CD" w14:textId="1E3618CE" w:rsidR="00D13262" w:rsidRPr="00D13262" w:rsidRDefault="00D13262" w:rsidP="00D13262">
            <w:pPr>
              <w:spacing w:line="300" w:lineRule="atLeast"/>
              <w:jc w:val="center"/>
              <w:rPr>
                <w:rFonts w:ascii="Arial" w:hAnsi="Arial" w:cs="Arial"/>
                <w:sz w:val="16"/>
                <w:szCs w:val="16"/>
              </w:rPr>
            </w:pPr>
            <w:r w:rsidRPr="00D13262">
              <w:rPr>
                <w:rFonts w:ascii="Arial" w:hAnsi="Arial" w:cs="Arial"/>
                <w:sz w:val="16"/>
                <w:szCs w:val="16"/>
              </w:rPr>
              <w:t>-</w:t>
            </w:r>
          </w:p>
        </w:tc>
        <w:tc>
          <w:tcPr>
            <w:tcW w:w="1079" w:type="dxa"/>
            <w:vAlign w:val="center"/>
          </w:tcPr>
          <w:p w14:paraId="2385AC99" w14:textId="77777777" w:rsidR="00D13262" w:rsidRPr="00D13262" w:rsidRDefault="00D13262" w:rsidP="00D13262">
            <w:pPr>
              <w:spacing w:line="300" w:lineRule="atLeast"/>
              <w:jc w:val="center"/>
              <w:rPr>
                <w:rFonts w:ascii="Arial" w:hAnsi="Arial" w:cs="Arial"/>
                <w:sz w:val="16"/>
                <w:szCs w:val="16"/>
              </w:rPr>
            </w:pPr>
            <w:r w:rsidRPr="00D13262">
              <w:rPr>
                <w:rFonts w:ascii="Arial" w:hAnsi="Arial" w:cs="Arial"/>
                <w:sz w:val="16"/>
                <w:szCs w:val="16"/>
              </w:rPr>
              <w:t>-</w:t>
            </w:r>
          </w:p>
        </w:tc>
        <w:tc>
          <w:tcPr>
            <w:tcW w:w="1310" w:type="dxa"/>
            <w:vAlign w:val="center"/>
          </w:tcPr>
          <w:p w14:paraId="5A3B3CC0" w14:textId="67BBADF0" w:rsidR="00D13262" w:rsidRPr="004C4210" w:rsidRDefault="00B87789" w:rsidP="00D13262">
            <w:pPr>
              <w:spacing w:line="300" w:lineRule="atLeast"/>
              <w:jc w:val="center"/>
              <w:rPr>
                <w:rFonts w:ascii="Arial" w:hAnsi="Arial" w:cs="Arial"/>
                <w:sz w:val="16"/>
                <w:szCs w:val="16"/>
                <w:highlight w:val="yellow"/>
              </w:rPr>
            </w:pPr>
            <w:r>
              <w:rPr>
                <w:rFonts w:ascii="Arial" w:hAnsi="Arial" w:cs="Arial"/>
                <w:sz w:val="16"/>
                <w:szCs w:val="16"/>
              </w:rPr>
              <w:t>0.0003 – 0.003 (0.0017)</w:t>
            </w:r>
          </w:p>
        </w:tc>
      </w:tr>
      <w:tr w:rsidR="00147313" w:rsidRPr="007901FE" w14:paraId="597BDA24" w14:textId="77777777" w:rsidTr="00DA1E2B">
        <w:tc>
          <w:tcPr>
            <w:tcW w:w="1577" w:type="dxa"/>
            <w:vAlign w:val="center"/>
          </w:tcPr>
          <w:p w14:paraId="023C6868" w14:textId="377F3643" w:rsidR="00147313" w:rsidRPr="004901F2" w:rsidRDefault="002A2A59" w:rsidP="004E5D6C">
            <w:pPr>
              <w:spacing w:before="40" w:after="40" w:line="300" w:lineRule="atLeast"/>
              <w:rPr>
                <w:rFonts w:ascii="Arial" w:hAnsi="Arial" w:cs="Arial"/>
                <w:sz w:val="16"/>
                <w:szCs w:val="16"/>
              </w:rPr>
            </w:pPr>
            <w:r>
              <w:rPr>
                <w:rFonts w:ascii="Arial" w:hAnsi="Arial" w:cs="Arial"/>
                <w:sz w:val="16"/>
                <w:szCs w:val="16"/>
              </w:rPr>
              <w:t>S</w:t>
            </w:r>
            <w:r w:rsidR="00147313">
              <w:rPr>
                <w:rFonts w:ascii="Arial" w:hAnsi="Arial" w:cs="Arial"/>
                <w:sz w:val="16"/>
                <w:szCs w:val="16"/>
              </w:rPr>
              <w:t xml:space="preserve">witches, contacts and relays </w:t>
            </w:r>
          </w:p>
        </w:tc>
        <w:tc>
          <w:tcPr>
            <w:tcW w:w="1458" w:type="dxa"/>
            <w:vAlign w:val="center"/>
          </w:tcPr>
          <w:p w14:paraId="627E0AA9" w14:textId="5C0A857B" w:rsidR="00147313" w:rsidRPr="006F0EAC" w:rsidRDefault="000F160B" w:rsidP="00746C34">
            <w:pPr>
              <w:spacing w:line="300" w:lineRule="atLeast"/>
              <w:jc w:val="center"/>
              <w:rPr>
                <w:rFonts w:ascii="Arial" w:hAnsi="Arial" w:cs="Arial"/>
                <w:sz w:val="16"/>
                <w:szCs w:val="16"/>
              </w:rPr>
            </w:pPr>
            <w:r>
              <w:rPr>
                <w:rFonts w:ascii="Arial" w:hAnsi="Arial" w:cs="Arial"/>
                <w:sz w:val="16"/>
                <w:szCs w:val="16"/>
              </w:rPr>
              <w:t>6.4</w:t>
            </w:r>
          </w:p>
        </w:tc>
        <w:tc>
          <w:tcPr>
            <w:tcW w:w="1194" w:type="dxa"/>
            <w:vAlign w:val="center"/>
          </w:tcPr>
          <w:p w14:paraId="186BEE09" w14:textId="3BD83662" w:rsidR="00147313" w:rsidRPr="006F0EAC" w:rsidRDefault="000F160B" w:rsidP="00746C34">
            <w:pPr>
              <w:spacing w:line="300" w:lineRule="atLeast"/>
              <w:jc w:val="center"/>
              <w:rPr>
                <w:rFonts w:ascii="Arial" w:hAnsi="Arial" w:cs="Arial"/>
                <w:sz w:val="16"/>
                <w:szCs w:val="16"/>
              </w:rPr>
            </w:pPr>
            <w:r>
              <w:rPr>
                <w:rFonts w:ascii="Arial" w:hAnsi="Arial" w:cs="Arial"/>
                <w:sz w:val="16"/>
                <w:szCs w:val="16"/>
              </w:rPr>
              <w:t>0.64</w:t>
            </w:r>
          </w:p>
        </w:tc>
        <w:tc>
          <w:tcPr>
            <w:tcW w:w="1470" w:type="dxa"/>
            <w:vAlign w:val="center"/>
          </w:tcPr>
          <w:p w14:paraId="7F978451" w14:textId="77777777" w:rsidR="00147313" w:rsidRPr="006F0EAC" w:rsidRDefault="00147313" w:rsidP="00746C34">
            <w:pPr>
              <w:spacing w:line="300" w:lineRule="atLeast"/>
              <w:jc w:val="center"/>
              <w:rPr>
                <w:rFonts w:ascii="Arial" w:hAnsi="Arial" w:cs="Arial"/>
                <w:sz w:val="16"/>
                <w:szCs w:val="16"/>
              </w:rPr>
            </w:pPr>
            <w:r w:rsidRPr="006F0EAC">
              <w:rPr>
                <w:rFonts w:ascii="Arial" w:hAnsi="Arial" w:cs="Arial"/>
                <w:sz w:val="16"/>
                <w:szCs w:val="16"/>
              </w:rPr>
              <w:t>-</w:t>
            </w:r>
          </w:p>
        </w:tc>
        <w:tc>
          <w:tcPr>
            <w:tcW w:w="918" w:type="dxa"/>
            <w:vAlign w:val="center"/>
          </w:tcPr>
          <w:p w14:paraId="72BC0857" w14:textId="76BF22EE" w:rsidR="00147313" w:rsidRPr="006F0EAC" w:rsidRDefault="000F160B" w:rsidP="00746C34">
            <w:pPr>
              <w:spacing w:line="300" w:lineRule="atLeast"/>
              <w:jc w:val="center"/>
              <w:rPr>
                <w:rFonts w:ascii="Arial" w:hAnsi="Arial" w:cs="Arial"/>
                <w:sz w:val="16"/>
                <w:szCs w:val="16"/>
              </w:rPr>
            </w:pPr>
            <w:r>
              <w:rPr>
                <w:rFonts w:ascii="Arial" w:hAnsi="Arial" w:cs="Arial"/>
                <w:sz w:val="16"/>
                <w:szCs w:val="16"/>
              </w:rPr>
              <w:t>0.64</w:t>
            </w:r>
          </w:p>
        </w:tc>
        <w:tc>
          <w:tcPr>
            <w:tcW w:w="1079" w:type="dxa"/>
            <w:vAlign w:val="center"/>
          </w:tcPr>
          <w:p w14:paraId="3298E79E" w14:textId="77777777" w:rsidR="00147313" w:rsidRPr="006F0EAC" w:rsidRDefault="00147313" w:rsidP="00746C34">
            <w:pPr>
              <w:spacing w:line="300" w:lineRule="atLeast"/>
              <w:jc w:val="center"/>
              <w:rPr>
                <w:rFonts w:ascii="Arial" w:hAnsi="Arial" w:cs="Arial"/>
                <w:sz w:val="16"/>
                <w:szCs w:val="16"/>
              </w:rPr>
            </w:pPr>
            <w:r w:rsidRPr="006F0EAC">
              <w:rPr>
                <w:rFonts w:ascii="Arial" w:hAnsi="Arial" w:cs="Arial"/>
                <w:sz w:val="16"/>
                <w:szCs w:val="16"/>
              </w:rPr>
              <w:t>-</w:t>
            </w:r>
          </w:p>
        </w:tc>
        <w:tc>
          <w:tcPr>
            <w:tcW w:w="1310" w:type="dxa"/>
            <w:vAlign w:val="center"/>
          </w:tcPr>
          <w:p w14:paraId="2EFA7589" w14:textId="3C0E32A3" w:rsidR="00147313" w:rsidRPr="006F0EAC" w:rsidRDefault="000F160B" w:rsidP="005D18AD">
            <w:pPr>
              <w:spacing w:line="300" w:lineRule="atLeast"/>
              <w:jc w:val="center"/>
              <w:rPr>
                <w:rFonts w:ascii="Arial" w:hAnsi="Arial" w:cs="Arial"/>
                <w:sz w:val="16"/>
                <w:szCs w:val="16"/>
              </w:rPr>
            </w:pPr>
            <w:r>
              <w:rPr>
                <w:rFonts w:ascii="Arial" w:hAnsi="Arial" w:cs="Arial"/>
                <w:sz w:val="16"/>
                <w:szCs w:val="16"/>
              </w:rPr>
              <w:t>5.12</w:t>
            </w:r>
          </w:p>
        </w:tc>
      </w:tr>
      <w:tr w:rsidR="006E7B4B" w:rsidRPr="002A2A59" w14:paraId="16189A06" w14:textId="77777777" w:rsidTr="00DA1E2B">
        <w:tc>
          <w:tcPr>
            <w:tcW w:w="1577" w:type="dxa"/>
            <w:vAlign w:val="center"/>
          </w:tcPr>
          <w:p w14:paraId="7F6C7AF4" w14:textId="4AB2931E" w:rsidR="006E7B4B" w:rsidRPr="002A2A59" w:rsidRDefault="006E7B4B" w:rsidP="006E7B4B">
            <w:pPr>
              <w:spacing w:line="300" w:lineRule="atLeast"/>
              <w:rPr>
                <w:rFonts w:ascii="Arial" w:hAnsi="Arial" w:cs="Arial"/>
                <w:sz w:val="16"/>
                <w:szCs w:val="16"/>
              </w:rPr>
            </w:pPr>
            <w:r w:rsidRPr="002A2A59">
              <w:rPr>
                <w:rFonts w:ascii="Arial" w:hAnsi="Arial" w:cs="Arial"/>
                <w:sz w:val="16"/>
                <w:szCs w:val="16"/>
              </w:rPr>
              <w:t>Lamps</w:t>
            </w:r>
          </w:p>
        </w:tc>
        <w:tc>
          <w:tcPr>
            <w:tcW w:w="1458" w:type="dxa"/>
            <w:vAlign w:val="center"/>
          </w:tcPr>
          <w:p w14:paraId="7FB5E7B6" w14:textId="307D70CD" w:rsidR="006E7B4B" w:rsidRPr="00A44BC4" w:rsidRDefault="00465BCE" w:rsidP="006E7B4B">
            <w:pPr>
              <w:spacing w:line="300" w:lineRule="atLeast"/>
              <w:jc w:val="center"/>
              <w:rPr>
                <w:rFonts w:ascii="Arial" w:hAnsi="Arial" w:cs="Arial"/>
                <w:sz w:val="16"/>
                <w:szCs w:val="16"/>
              </w:rPr>
            </w:pPr>
            <w:r>
              <w:rPr>
                <w:rFonts w:ascii="Arial" w:hAnsi="Arial" w:cs="Arial"/>
                <w:sz w:val="16"/>
                <w:szCs w:val="16"/>
              </w:rPr>
              <w:t>2.3</w:t>
            </w:r>
            <w:r w:rsidR="00F91445">
              <w:rPr>
                <w:rFonts w:ascii="Arial" w:hAnsi="Arial" w:cs="Arial"/>
                <w:sz w:val="16"/>
                <w:szCs w:val="16"/>
              </w:rPr>
              <w:t>9</w:t>
            </w:r>
            <w:r>
              <w:rPr>
                <w:rFonts w:ascii="Arial" w:hAnsi="Arial" w:cs="Arial"/>
                <w:sz w:val="16"/>
                <w:szCs w:val="16"/>
              </w:rPr>
              <w:t xml:space="preserve"> – 8.11 (5.25)</w:t>
            </w:r>
          </w:p>
        </w:tc>
        <w:tc>
          <w:tcPr>
            <w:tcW w:w="1194" w:type="dxa"/>
            <w:vAlign w:val="center"/>
          </w:tcPr>
          <w:p w14:paraId="008721BD" w14:textId="40CF0748" w:rsidR="006E7B4B" w:rsidRPr="00A44BC4" w:rsidRDefault="00465BCE" w:rsidP="006E7B4B">
            <w:pPr>
              <w:spacing w:line="300" w:lineRule="atLeast"/>
              <w:jc w:val="center"/>
              <w:rPr>
                <w:rFonts w:ascii="Arial" w:hAnsi="Arial" w:cs="Arial"/>
                <w:sz w:val="16"/>
                <w:szCs w:val="16"/>
              </w:rPr>
            </w:pPr>
            <w:r>
              <w:rPr>
                <w:rFonts w:ascii="Arial" w:hAnsi="Arial" w:cs="Arial"/>
                <w:sz w:val="16"/>
                <w:szCs w:val="16"/>
              </w:rPr>
              <w:t>0.119 – 0.406 (0.263)</w:t>
            </w:r>
          </w:p>
        </w:tc>
        <w:tc>
          <w:tcPr>
            <w:tcW w:w="1470" w:type="dxa"/>
            <w:vAlign w:val="center"/>
          </w:tcPr>
          <w:p w14:paraId="5B26036F" w14:textId="05F4B58B" w:rsidR="006E7B4B" w:rsidRPr="00A44BC4" w:rsidRDefault="006E7B4B" w:rsidP="006E7B4B">
            <w:pPr>
              <w:spacing w:line="300" w:lineRule="atLeast"/>
              <w:jc w:val="center"/>
              <w:rPr>
                <w:rFonts w:ascii="Arial" w:hAnsi="Arial" w:cs="Arial"/>
                <w:sz w:val="16"/>
                <w:szCs w:val="16"/>
              </w:rPr>
            </w:pPr>
            <w:r w:rsidRPr="00A44BC4">
              <w:rPr>
                <w:rFonts w:ascii="Arial" w:hAnsi="Arial" w:cs="Arial"/>
                <w:sz w:val="16"/>
                <w:szCs w:val="16"/>
              </w:rPr>
              <w:t>-</w:t>
            </w:r>
          </w:p>
        </w:tc>
        <w:tc>
          <w:tcPr>
            <w:tcW w:w="918" w:type="dxa"/>
            <w:vAlign w:val="center"/>
          </w:tcPr>
          <w:p w14:paraId="5C5EA6DF" w14:textId="77777777" w:rsidR="006E7B4B" w:rsidRPr="00A44BC4" w:rsidRDefault="006E7B4B" w:rsidP="006E7B4B">
            <w:pPr>
              <w:spacing w:line="300" w:lineRule="atLeast"/>
              <w:jc w:val="center"/>
              <w:rPr>
                <w:rFonts w:ascii="Arial" w:hAnsi="Arial" w:cs="Arial"/>
                <w:sz w:val="16"/>
                <w:szCs w:val="16"/>
              </w:rPr>
            </w:pPr>
            <w:r w:rsidRPr="00A44BC4">
              <w:rPr>
                <w:rFonts w:ascii="Arial" w:hAnsi="Arial" w:cs="Arial"/>
                <w:sz w:val="16"/>
                <w:szCs w:val="16"/>
              </w:rPr>
              <w:t>-</w:t>
            </w:r>
          </w:p>
        </w:tc>
        <w:tc>
          <w:tcPr>
            <w:tcW w:w="1079" w:type="dxa"/>
            <w:vAlign w:val="center"/>
          </w:tcPr>
          <w:p w14:paraId="36348D62" w14:textId="77777777" w:rsidR="006E7B4B" w:rsidRPr="00A44BC4" w:rsidRDefault="006E7B4B" w:rsidP="006E7B4B">
            <w:pPr>
              <w:spacing w:line="300" w:lineRule="atLeast"/>
              <w:jc w:val="center"/>
              <w:rPr>
                <w:rFonts w:ascii="Arial" w:hAnsi="Arial" w:cs="Arial"/>
                <w:sz w:val="16"/>
                <w:szCs w:val="16"/>
              </w:rPr>
            </w:pPr>
            <w:r w:rsidRPr="00A44BC4">
              <w:rPr>
                <w:rFonts w:ascii="Arial" w:hAnsi="Arial" w:cs="Arial"/>
                <w:sz w:val="16"/>
                <w:szCs w:val="16"/>
              </w:rPr>
              <w:t>-</w:t>
            </w:r>
          </w:p>
        </w:tc>
        <w:tc>
          <w:tcPr>
            <w:tcW w:w="1310" w:type="dxa"/>
            <w:vAlign w:val="center"/>
          </w:tcPr>
          <w:p w14:paraId="1920B050" w14:textId="2B2EBA3E" w:rsidR="006E7B4B" w:rsidRPr="00A44BC4" w:rsidRDefault="00465BCE" w:rsidP="006E7B4B">
            <w:pPr>
              <w:spacing w:line="300" w:lineRule="atLeast"/>
              <w:jc w:val="center"/>
              <w:rPr>
                <w:rFonts w:ascii="Arial" w:hAnsi="Arial" w:cs="Arial"/>
                <w:sz w:val="16"/>
                <w:szCs w:val="16"/>
              </w:rPr>
            </w:pPr>
            <w:r>
              <w:rPr>
                <w:rFonts w:ascii="Arial" w:hAnsi="Arial" w:cs="Arial"/>
                <w:sz w:val="16"/>
                <w:szCs w:val="16"/>
              </w:rPr>
              <w:t>2.267 – 7.708 (4.9</w:t>
            </w:r>
            <w:r w:rsidR="00F91445">
              <w:rPr>
                <w:rFonts w:ascii="Arial" w:hAnsi="Arial" w:cs="Arial"/>
                <w:sz w:val="16"/>
                <w:szCs w:val="16"/>
              </w:rPr>
              <w:t>9</w:t>
            </w:r>
            <w:r>
              <w:rPr>
                <w:rFonts w:ascii="Arial" w:hAnsi="Arial" w:cs="Arial"/>
                <w:sz w:val="16"/>
                <w:szCs w:val="16"/>
              </w:rPr>
              <w:t>)</w:t>
            </w:r>
          </w:p>
        </w:tc>
      </w:tr>
      <w:tr w:rsidR="00147313" w:rsidRPr="005D18AD" w14:paraId="01E35187" w14:textId="77777777" w:rsidTr="00DA1E2B">
        <w:tc>
          <w:tcPr>
            <w:tcW w:w="1577" w:type="dxa"/>
            <w:vAlign w:val="center"/>
          </w:tcPr>
          <w:p w14:paraId="4BBEFE7B" w14:textId="4443802F" w:rsidR="00147313" w:rsidRPr="002A2A59" w:rsidRDefault="00147313" w:rsidP="002A2A59">
            <w:pPr>
              <w:spacing w:line="300" w:lineRule="atLeast"/>
              <w:rPr>
                <w:rFonts w:ascii="Arial" w:hAnsi="Arial" w:cs="Arial"/>
                <w:sz w:val="16"/>
                <w:szCs w:val="16"/>
              </w:rPr>
            </w:pPr>
            <w:r w:rsidRPr="002A2A59">
              <w:rPr>
                <w:rFonts w:ascii="Arial" w:hAnsi="Arial" w:cs="Arial"/>
                <w:sz w:val="16"/>
                <w:szCs w:val="16"/>
              </w:rPr>
              <w:t xml:space="preserve">Batteries </w:t>
            </w:r>
          </w:p>
        </w:tc>
        <w:tc>
          <w:tcPr>
            <w:tcW w:w="1458" w:type="dxa"/>
            <w:vAlign w:val="center"/>
          </w:tcPr>
          <w:p w14:paraId="7935824E" w14:textId="7FF94552" w:rsidR="00147313" w:rsidRPr="002A2A59" w:rsidRDefault="001A640B" w:rsidP="003A7261">
            <w:pPr>
              <w:spacing w:line="300" w:lineRule="atLeast"/>
              <w:jc w:val="center"/>
              <w:rPr>
                <w:rFonts w:ascii="Arial" w:hAnsi="Arial" w:cs="Arial"/>
                <w:sz w:val="16"/>
                <w:szCs w:val="16"/>
              </w:rPr>
            </w:pPr>
            <w:r>
              <w:rPr>
                <w:rFonts w:ascii="Arial" w:hAnsi="Arial" w:cs="Arial"/>
                <w:sz w:val="16"/>
                <w:szCs w:val="16"/>
              </w:rPr>
              <w:t>33.4</w:t>
            </w:r>
          </w:p>
        </w:tc>
        <w:tc>
          <w:tcPr>
            <w:tcW w:w="1194" w:type="dxa"/>
            <w:vAlign w:val="center"/>
          </w:tcPr>
          <w:p w14:paraId="14D4F16F" w14:textId="77777777" w:rsidR="00147313" w:rsidRPr="002A2A59" w:rsidRDefault="00147313" w:rsidP="003A7261">
            <w:pPr>
              <w:spacing w:line="300" w:lineRule="atLeast"/>
              <w:jc w:val="center"/>
              <w:rPr>
                <w:rFonts w:ascii="Arial" w:hAnsi="Arial" w:cs="Arial"/>
                <w:sz w:val="16"/>
                <w:szCs w:val="16"/>
              </w:rPr>
            </w:pPr>
            <w:r w:rsidRPr="002A2A59">
              <w:rPr>
                <w:rFonts w:ascii="Arial" w:hAnsi="Arial" w:cs="Arial"/>
                <w:sz w:val="16"/>
                <w:szCs w:val="16"/>
              </w:rPr>
              <w:t>-</w:t>
            </w:r>
          </w:p>
        </w:tc>
        <w:tc>
          <w:tcPr>
            <w:tcW w:w="1470" w:type="dxa"/>
            <w:vAlign w:val="center"/>
          </w:tcPr>
          <w:p w14:paraId="483EF5FB" w14:textId="77777777" w:rsidR="00147313" w:rsidRPr="002A2A59" w:rsidRDefault="00147313" w:rsidP="003A7261">
            <w:pPr>
              <w:spacing w:line="300" w:lineRule="atLeast"/>
              <w:jc w:val="center"/>
              <w:rPr>
                <w:rFonts w:ascii="Arial" w:hAnsi="Arial" w:cs="Arial"/>
                <w:sz w:val="16"/>
                <w:szCs w:val="16"/>
              </w:rPr>
            </w:pPr>
            <w:r w:rsidRPr="002A2A59">
              <w:rPr>
                <w:rFonts w:ascii="Arial" w:hAnsi="Arial" w:cs="Arial"/>
                <w:sz w:val="16"/>
                <w:szCs w:val="16"/>
              </w:rPr>
              <w:t>-</w:t>
            </w:r>
          </w:p>
        </w:tc>
        <w:tc>
          <w:tcPr>
            <w:tcW w:w="918" w:type="dxa"/>
            <w:vAlign w:val="center"/>
          </w:tcPr>
          <w:p w14:paraId="326F830A" w14:textId="77777777" w:rsidR="00147313" w:rsidRPr="002A2A59" w:rsidRDefault="00147313" w:rsidP="003A7261">
            <w:pPr>
              <w:spacing w:line="300" w:lineRule="atLeast"/>
              <w:jc w:val="center"/>
              <w:rPr>
                <w:rFonts w:ascii="Arial" w:hAnsi="Arial" w:cs="Arial"/>
                <w:sz w:val="16"/>
                <w:szCs w:val="16"/>
              </w:rPr>
            </w:pPr>
            <w:r w:rsidRPr="002A2A59">
              <w:rPr>
                <w:rFonts w:ascii="Arial" w:hAnsi="Arial" w:cs="Arial"/>
                <w:sz w:val="16"/>
                <w:szCs w:val="16"/>
              </w:rPr>
              <w:t>-</w:t>
            </w:r>
          </w:p>
        </w:tc>
        <w:tc>
          <w:tcPr>
            <w:tcW w:w="1079" w:type="dxa"/>
            <w:vAlign w:val="center"/>
          </w:tcPr>
          <w:p w14:paraId="7B02DCD6" w14:textId="77777777" w:rsidR="00147313" w:rsidRPr="002A2A59" w:rsidRDefault="00147313" w:rsidP="003A7261">
            <w:pPr>
              <w:spacing w:line="300" w:lineRule="atLeast"/>
              <w:jc w:val="center"/>
              <w:rPr>
                <w:rFonts w:ascii="Arial" w:hAnsi="Arial" w:cs="Arial"/>
                <w:sz w:val="16"/>
                <w:szCs w:val="16"/>
              </w:rPr>
            </w:pPr>
            <w:r w:rsidRPr="002A2A59">
              <w:rPr>
                <w:rFonts w:ascii="Arial" w:hAnsi="Arial" w:cs="Arial"/>
                <w:sz w:val="16"/>
                <w:szCs w:val="16"/>
              </w:rPr>
              <w:t>-</w:t>
            </w:r>
          </w:p>
        </w:tc>
        <w:tc>
          <w:tcPr>
            <w:tcW w:w="1310" w:type="dxa"/>
            <w:vAlign w:val="center"/>
          </w:tcPr>
          <w:p w14:paraId="37DF0583" w14:textId="00CC4DF0" w:rsidR="00147313" w:rsidRPr="002A2A59" w:rsidRDefault="001A640B" w:rsidP="003A7261">
            <w:pPr>
              <w:spacing w:line="300" w:lineRule="atLeast"/>
              <w:jc w:val="center"/>
              <w:rPr>
                <w:rFonts w:ascii="Arial" w:hAnsi="Arial" w:cs="Arial"/>
                <w:sz w:val="16"/>
                <w:szCs w:val="16"/>
              </w:rPr>
            </w:pPr>
            <w:r>
              <w:rPr>
                <w:rFonts w:ascii="Arial" w:hAnsi="Arial" w:cs="Arial"/>
                <w:sz w:val="16"/>
                <w:szCs w:val="16"/>
              </w:rPr>
              <w:t>33.4</w:t>
            </w:r>
          </w:p>
        </w:tc>
      </w:tr>
      <w:tr w:rsidR="00147313" w:rsidRPr="00FF38F4" w14:paraId="5A466793" w14:textId="77777777" w:rsidTr="00DA1E2B">
        <w:tc>
          <w:tcPr>
            <w:tcW w:w="1577" w:type="dxa"/>
            <w:vAlign w:val="center"/>
          </w:tcPr>
          <w:p w14:paraId="2FE279CF" w14:textId="1F5858FA" w:rsidR="00147313" w:rsidRPr="004901F2" w:rsidRDefault="00147313" w:rsidP="002A2A59">
            <w:pPr>
              <w:spacing w:before="40" w:after="40" w:line="300" w:lineRule="atLeast"/>
              <w:rPr>
                <w:rFonts w:ascii="Arial" w:hAnsi="Arial" w:cs="Arial"/>
                <w:sz w:val="16"/>
                <w:szCs w:val="16"/>
              </w:rPr>
            </w:pPr>
            <w:r>
              <w:rPr>
                <w:rFonts w:ascii="Arial" w:hAnsi="Arial" w:cs="Arial"/>
                <w:sz w:val="16"/>
                <w:szCs w:val="16"/>
              </w:rPr>
              <w:t>Biocides</w:t>
            </w:r>
            <w:r w:rsidR="002A2A59">
              <w:rPr>
                <w:rFonts w:ascii="Arial" w:hAnsi="Arial" w:cs="Arial"/>
                <w:sz w:val="16"/>
                <w:szCs w:val="16"/>
              </w:rPr>
              <w:t>/</w:t>
            </w:r>
            <w:r>
              <w:rPr>
                <w:rFonts w:ascii="Arial" w:hAnsi="Arial" w:cs="Arial"/>
                <w:sz w:val="16"/>
                <w:szCs w:val="16"/>
              </w:rPr>
              <w:t>pesticides</w:t>
            </w:r>
          </w:p>
        </w:tc>
        <w:tc>
          <w:tcPr>
            <w:tcW w:w="1458" w:type="dxa"/>
            <w:vAlign w:val="center"/>
          </w:tcPr>
          <w:p w14:paraId="1E67CFC5" w14:textId="77777777" w:rsidR="00147313" w:rsidRPr="00A44BC4" w:rsidRDefault="00147313" w:rsidP="003A7261">
            <w:pPr>
              <w:spacing w:line="300" w:lineRule="atLeast"/>
              <w:jc w:val="center"/>
              <w:rPr>
                <w:rFonts w:ascii="Arial" w:hAnsi="Arial" w:cs="Arial"/>
                <w:sz w:val="16"/>
                <w:szCs w:val="16"/>
              </w:rPr>
            </w:pPr>
            <w:r w:rsidRPr="00A44BC4">
              <w:rPr>
                <w:rFonts w:ascii="Arial" w:hAnsi="Arial" w:cs="Arial"/>
                <w:sz w:val="16"/>
                <w:szCs w:val="16"/>
              </w:rPr>
              <w:t>-</w:t>
            </w:r>
          </w:p>
        </w:tc>
        <w:tc>
          <w:tcPr>
            <w:tcW w:w="1194" w:type="dxa"/>
            <w:vAlign w:val="center"/>
          </w:tcPr>
          <w:p w14:paraId="0F9A882E" w14:textId="77777777" w:rsidR="00147313" w:rsidRPr="00A44BC4" w:rsidRDefault="00147313" w:rsidP="003A7261">
            <w:pPr>
              <w:spacing w:line="300" w:lineRule="atLeast"/>
              <w:jc w:val="center"/>
              <w:rPr>
                <w:rFonts w:ascii="Arial" w:hAnsi="Arial" w:cs="Arial"/>
                <w:sz w:val="16"/>
                <w:szCs w:val="16"/>
              </w:rPr>
            </w:pPr>
            <w:r w:rsidRPr="00A44BC4">
              <w:rPr>
                <w:rFonts w:ascii="Arial" w:hAnsi="Arial" w:cs="Arial"/>
                <w:sz w:val="16"/>
                <w:szCs w:val="16"/>
              </w:rPr>
              <w:t>-</w:t>
            </w:r>
          </w:p>
        </w:tc>
        <w:tc>
          <w:tcPr>
            <w:tcW w:w="1470" w:type="dxa"/>
            <w:vAlign w:val="center"/>
          </w:tcPr>
          <w:p w14:paraId="3667131B" w14:textId="77777777" w:rsidR="00147313" w:rsidRPr="00A44BC4" w:rsidRDefault="00147313" w:rsidP="003A7261">
            <w:pPr>
              <w:spacing w:line="300" w:lineRule="atLeast"/>
              <w:jc w:val="center"/>
              <w:rPr>
                <w:rFonts w:ascii="Arial" w:hAnsi="Arial" w:cs="Arial"/>
                <w:sz w:val="16"/>
                <w:szCs w:val="16"/>
              </w:rPr>
            </w:pPr>
            <w:r w:rsidRPr="00A44BC4">
              <w:rPr>
                <w:rFonts w:ascii="Arial" w:hAnsi="Arial" w:cs="Arial"/>
                <w:sz w:val="16"/>
                <w:szCs w:val="16"/>
              </w:rPr>
              <w:t>-</w:t>
            </w:r>
          </w:p>
        </w:tc>
        <w:tc>
          <w:tcPr>
            <w:tcW w:w="918" w:type="dxa"/>
            <w:vAlign w:val="center"/>
          </w:tcPr>
          <w:p w14:paraId="2B54D275" w14:textId="77777777" w:rsidR="00147313" w:rsidRPr="00A44BC4" w:rsidRDefault="00147313" w:rsidP="003A7261">
            <w:pPr>
              <w:spacing w:line="300" w:lineRule="atLeast"/>
              <w:jc w:val="center"/>
              <w:rPr>
                <w:rFonts w:ascii="Arial" w:hAnsi="Arial" w:cs="Arial"/>
                <w:sz w:val="16"/>
                <w:szCs w:val="16"/>
              </w:rPr>
            </w:pPr>
            <w:r w:rsidRPr="00A44BC4">
              <w:rPr>
                <w:rFonts w:ascii="Arial" w:hAnsi="Arial" w:cs="Arial"/>
                <w:sz w:val="16"/>
                <w:szCs w:val="16"/>
              </w:rPr>
              <w:t>-</w:t>
            </w:r>
          </w:p>
        </w:tc>
        <w:tc>
          <w:tcPr>
            <w:tcW w:w="1079" w:type="dxa"/>
            <w:vAlign w:val="center"/>
          </w:tcPr>
          <w:p w14:paraId="701A93FD" w14:textId="77777777" w:rsidR="00147313" w:rsidRPr="00A44BC4" w:rsidRDefault="00147313" w:rsidP="003A7261">
            <w:pPr>
              <w:spacing w:line="300" w:lineRule="atLeast"/>
              <w:jc w:val="center"/>
              <w:rPr>
                <w:rFonts w:ascii="Arial" w:hAnsi="Arial" w:cs="Arial"/>
                <w:sz w:val="16"/>
                <w:szCs w:val="16"/>
              </w:rPr>
            </w:pPr>
            <w:r w:rsidRPr="00A44BC4">
              <w:rPr>
                <w:rFonts w:ascii="Arial" w:hAnsi="Arial" w:cs="Arial"/>
                <w:sz w:val="16"/>
                <w:szCs w:val="16"/>
              </w:rPr>
              <w:t>-</w:t>
            </w:r>
          </w:p>
        </w:tc>
        <w:tc>
          <w:tcPr>
            <w:tcW w:w="1310" w:type="dxa"/>
            <w:vAlign w:val="center"/>
          </w:tcPr>
          <w:p w14:paraId="46AC47AC" w14:textId="77777777" w:rsidR="00147313" w:rsidRPr="00A44BC4" w:rsidRDefault="00147313" w:rsidP="003A7261">
            <w:pPr>
              <w:spacing w:line="300" w:lineRule="atLeast"/>
              <w:jc w:val="center"/>
              <w:rPr>
                <w:rFonts w:ascii="Arial" w:hAnsi="Arial" w:cs="Arial"/>
                <w:sz w:val="16"/>
                <w:szCs w:val="16"/>
              </w:rPr>
            </w:pPr>
            <w:r w:rsidRPr="00A44BC4">
              <w:rPr>
                <w:rFonts w:ascii="Arial" w:hAnsi="Arial" w:cs="Arial"/>
                <w:sz w:val="16"/>
                <w:szCs w:val="16"/>
              </w:rPr>
              <w:t>-</w:t>
            </w:r>
          </w:p>
        </w:tc>
      </w:tr>
      <w:tr w:rsidR="00147313" w:rsidRPr="00FF38F4" w14:paraId="399869BC" w14:textId="77777777" w:rsidTr="00DA1E2B">
        <w:tc>
          <w:tcPr>
            <w:tcW w:w="1577" w:type="dxa"/>
            <w:vAlign w:val="center"/>
          </w:tcPr>
          <w:p w14:paraId="5A00674A" w14:textId="77777777" w:rsidR="00147313" w:rsidRPr="004901F2" w:rsidRDefault="00147313" w:rsidP="003A7261">
            <w:pPr>
              <w:spacing w:before="40" w:after="40" w:line="300" w:lineRule="atLeast"/>
              <w:rPr>
                <w:rFonts w:ascii="Arial" w:hAnsi="Arial" w:cs="Arial"/>
                <w:sz w:val="16"/>
                <w:szCs w:val="16"/>
              </w:rPr>
            </w:pPr>
            <w:r>
              <w:rPr>
                <w:rFonts w:ascii="Arial" w:hAnsi="Arial" w:cs="Arial"/>
                <w:sz w:val="16"/>
                <w:szCs w:val="16"/>
              </w:rPr>
              <w:t>Paints</w:t>
            </w:r>
          </w:p>
        </w:tc>
        <w:tc>
          <w:tcPr>
            <w:tcW w:w="1458" w:type="dxa"/>
            <w:vAlign w:val="center"/>
          </w:tcPr>
          <w:p w14:paraId="5C876982" w14:textId="77777777" w:rsidR="00147313" w:rsidRPr="00A44BC4" w:rsidRDefault="00147313" w:rsidP="003A7261">
            <w:pPr>
              <w:spacing w:line="300" w:lineRule="atLeast"/>
              <w:jc w:val="center"/>
              <w:rPr>
                <w:rFonts w:ascii="Arial" w:hAnsi="Arial" w:cs="Arial"/>
                <w:sz w:val="16"/>
                <w:szCs w:val="16"/>
              </w:rPr>
            </w:pPr>
            <w:r w:rsidRPr="00A44BC4">
              <w:rPr>
                <w:rFonts w:ascii="Arial" w:hAnsi="Arial" w:cs="Arial"/>
                <w:sz w:val="16"/>
                <w:szCs w:val="16"/>
              </w:rPr>
              <w:t>-</w:t>
            </w:r>
          </w:p>
        </w:tc>
        <w:tc>
          <w:tcPr>
            <w:tcW w:w="1194" w:type="dxa"/>
            <w:vAlign w:val="center"/>
          </w:tcPr>
          <w:p w14:paraId="51E78215" w14:textId="77777777" w:rsidR="00147313" w:rsidRPr="00A44BC4" w:rsidRDefault="00147313" w:rsidP="003A7261">
            <w:pPr>
              <w:spacing w:line="300" w:lineRule="atLeast"/>
              <w:jc w:val="center"/>
              <w:rPr>
                <w:rFonts w:ascii="Arial" w:hAnsi="Arial" w:cs="Arial"/>
                <w:sz w:val="16"/>
                <w:szCs w:val="16"/>
              </w:rPr>
            </w:pPr>
            <w:r w:rsidRPr="00A44BC4">
              <w:rPr>
                <w:rFonts w:ascii="Arial" w:hAnsi="Arial" w:cs="Arial"/>
                <w:sz w:val="16"/>
                <w:szCs w:val="16"/>
              </w:rPr>
              <w:t>-</w:t>
            </w:r>
          </w:p>
        </w:tc>
        <w:tc>
          <w:tcPr>
            <w:tcW w:w="1470" w:type="dxa"/>
            <w:vAlign w:val="center"/>
          </w:tcPr>
          <w:p w14:paraId="39764203" w14:textId="77777777" w:rsidR="00147313" w:rsidRPr="00A44BC4" w:rsidRDefault="00147313" w:rsidP="003A7261">
            <w:pPr>
              <w:spacing w:line="300" w:lineRule="atLeast"/>
              <w:jc w:val="center"/>
              <w:rPr>
                <w:rFonts w:ascii="Arial" w:hAnsi="Arial" w:cs="Arial"/>
                <w:sz w:val="16"/>
                <w:szCs w:val="16"/>
              </w:rPr>
            </w:pPr>
            <w:r w:rsidRPr="00A44BC4">
              <w:rPr>
                <w:rFonts w:ascii="Arial" w:hAnsi="Arial" w:cs="Arial"/>
                <w:sz w:val="16"/>
                <w:szCs w:val="16"/>
              </w:rPr>
              <w:t>-</w:t>
            </w:r>
          </w:p>
        </w:tc>
        <w:tc>
          <w:tcPr>
            <w:tcW w:w="918" w:type="dxa"/>
            <w:vAlign w:val="center"/>
          </w:tcPr>
          <w:p w14:paraId="08CF3387" w14:textId="77777777" w:rsidR="00147313" w:rsidRPr="00A44BC4" w:rsidRDefault="00147313" w:rsidP="003A7261">
            <w:pPr>
              <w:spacing w:line="300" w:lineRule="atLeast"/>
              <w:jc w:val="center"/>
              <w:rPr>
                <w:rFonts w:ascii="Arial" w:hAnsi="Arial" w:cs="Arial"/>
                <w:sz w:val="16"/>
                <w:szCs w:val="16"/>
              </w:rPr>
            </w:pPr>
            <w:r w:rsidRPr="00A44BC4">
              <w:rPr>
                <w:rFonts w:ascii="Arial" w:hAnsi="Arial" w:cs="Arial"/>
                <w:sz w:val="16"/>
                <w:szCs w:val="16"/>
              </w:rPr>
              <w:t>-</w:t>
            </w:r>
          </w:p>
        </w:tc>
        <w:tc>
          <w:tcPr>
            <w:tcW w:w="1079" w:type="dxa"/>
            <w:vAlign w:val="center"/>
          </w:tcPr>
          <w:p w14:paraId="0FF86BA2" w14:textId="77777777" w:rsidR="00147313" w:rsidRPr="00A44BC4" w:rsidRDefault="00147313" w:rsidP="003A7261">
            <w:pPr>
              <w:spacing w:line="300" w:lineRule="atLeast"/>
              <w:jc w:val="center"/>
              <w:rPr>
                <w:rFonts w:ascii="Arial" w:hAnsi="Arial" w:cs="Arial"/>
                <w:sz w:val="16"/>
                <w:szCs w:val="16"/>
              </w:rPr>
            </w:pPr>
            <w:r w:rsidRPr="00A44BC4">
              <w:rPr>
                <w:rFonts w:ascii="Arial" w:hAnsi="Arial" w:cs="Arial"/>
                <w:sz w:val="16"/>
                <w:szCs w:val="16"/>
              </w:rPr>
              <w:t>-</w:t>
            </w:r>
          </w:p>
        </w:tc>
        <w:tc>
          <w:tcPr>
            <w:tcW w:w="1310" w:type="dxa"/>
            <w:vAlign w:val="center"/>
          </w:tcPr>
          <w:p w14:paraId="4845D20F" w14:textId="77777777" w:rsidR="00147313" w:rsidRPr="00A44BC4" w:rsidRDefault="00147313" w:rsidP="003A7261">
            <w:pPr>
              <w:spacing w:line="300" w:lineRule="atLeast"/>
              <w:jc w:val="center"/>
              <w:rPr>
                <w:rFonts w:ascii="Arial" w:hAnsi="Arial" w:cs="Arial"/>
                <w:sz w:val="16"/>
                <w:szCs w:val="16"/>
              </w:rPr>
            </w:pPr>
            <w:r w:rsidRPr="00A44BC4">
              <w:rPr>
                <w:rFonts w:ascii="Arial" w:hAnsi="Arial" w:cs="Arial"/>
                <w:sz w:val="16"/>
                <w:szCs w:val="16"/>
              </w:rPr>
              <w:t>-</w:t>
            </w:r>
          </w:p>
        </w:tc>
      </w:tr>
      <w:tr w:rsidR="00147313" w:rsidRPr="00FF38F4" w14:paraId="67E328C8" w14:textId="77777777" w:rsidTr="00DA1E2B">
        <w:tc>
          <w:tcPr>
            <w:tcW w:w="1577" w:type="dxa"/>
            <w:vAlign w:val="center"/>
          </w:tcPr>
          <w:p w14:paraId="271D146F" w14:textId="1B5A3A93" w:rsidR="00147313" w:rsidRPr="00196341" w:rsidRDefault="00147313" w:rsidP="002A2A59">
            <w:pPr>
              <w:spacing w:before="40" w:after="40" w:line="300" w:lineRule="atLeast"/>
              <w:rPr>
                <w:rFonts w:ascii="Arial" w:hAnsi="Arial" w:cs="Arial"/>
                <w:sz w:val="16"/>
                <w:szCs w:val="16"/>
              </w:rPr>
            </w:pPr>
            <w:r w:rsidRPr="00196341">
              <w:rPr>
                <w:rFonts w:ascii="Arial" w:hAnsi="Arial" w:cs="Arial"/>
                <w:sz w:val="16"/>
                <w:szCs w:val="16"/>
              </w:rPr>
              <w:t xml:space="preserve">Pharmaceuticals </w:t>
            </w:r>
          </w:p>
        </w:tc>
        <w:tc>
          <w:tcPr>
            <w:tcW w:w="1458" w:type="dxa"/>
            <w:vAlign w:val="center"/>
          </w:tcPr>
          <w:p w14:paraId="21A5B693" w14:textId="70492D5F" w:rsidR="00147313" w:rsidRPr="004C4210" w:rsidRDefault="00D874DD" w:rsidP="003A7261">
            <w:pPr>
              <w:spacing w:line="300" w:lineRule="atLeast"/>
              <w:jc w:val="center"/>
              <w:rPr>
                <w:rFonts w:ascii="Arial" w:hAnsi="Arial" w:cs="Arial"/>
                <w:sz w:val="16"/>
                <w:szCs w:val="16"/>
                <w:highlight w:val="yellow"/>
              </w:rPr>
            </w:pPr>
            <w:r w:rsidRPr="004C4210">
              <w:rPr>
                <w:rFonts w:ascii="Arial" w:hAnsi="Arial" w:cs="Arial"/>
                <w:sz w:val="16"/>
                <w:szCs w:val="16"/>
              </w:rPr>
              <w:t>28.</w:t>
            </w:r>
            <w:r w:rsidR="00F91445">
              <w:rPr>
                <w:rFonts w:ascii="Arial" w:hAnsi="Arial" w:cs="Arial"/>
                <w:sz w:val="16"/>
                <w:szCs w:val="16"/>
              </w:rPr>
              <w:t>9</w:t>
            </w:r>
          </w:p>
        </w:tc>
        <w:tc>
          <w:tcPr>
            <w:tcW w:w="1194" w:type="dxa"/>
            <w:vAlign w:val="center"/>
          </w:tcPr>
          <w:p w14:paraId="6D59ED7B" w14:textId="77777777" w:rsidR="00147313" w:rsidRPr="005057E4" w:rsidRDefault="00147313" w:rsidP="003A7261">
            <w:pPr>
              <w:spacing w:line="300" w:lineRule="atLeast"/>
              <w:jc w:val="center"/>
              <w:rPr>
                <w:rFonts w:ascii="Arial" w:hAnsi="Arial" w:cs="Arial"/>
                <w:sz w:val="16"/>
                <w:szCs w:val="16"/>
              </w:rPr>
            </w:pPr>
            <w:r w:rsidRPr="005057E4">
              <w:rPr>
                <w:rFonts w:ascii="Arial" w:hAnsi="Arial" w:cs="Arial"/>
                <w:sz w:val="16"/>
                <w:szCs w:val="16"/>
              </w:rPr>
              <w:t>-</w:t>
            </w:r>
          </w:p>
        </w:tc>
        <w:tc>
          <w:tcPr>
            <w:tcW w:w="1470" w:type="dxa"/>
            <w:vAlign w:val="center"/>
          </w:tcPr>
          <w:p w14:paraId="2DF87DD9" w14:textId="77777777" w:rsidR="00147313" w:rsidRPr="005057E4" w:rsidRDefault="00147313" w:rsidP="003A7261">
            <w:pPr>
              <w:spacing w:line="300" w:lineRule="atLeast"/>
              <w:jc w:val="center"/>
              <w:rPr>
                <w:rFonts w:ascii="Arial" w:hAnsi="Arial" w:cs="Arial"/>
                <w:sz w:val="16"/>
                <w:szCs w:val="16"/>
              </w:rPr>
            </w:pPr>
            <w:r w:rsidRPr="005057E4">
              <w:rPr>
                <w:rFonts w:ascii="Arial" w:hAnsi="Arial" w:cs="Arial"/>
                <w:sz w:val="16"/>
                <w:szCs w:val="16"/>
              </w:rPr>
              <w:t>-</w:t>
            </w:r>
          </w:p>
        </w:tc>
        <w:tc>
          <w:tcPr>
            <w:tcW w:w="918" w:type="dxa"/>
            <w:vAlign w:val="center"/>
          </w:tcPr>
          <w:p w14:paraId="3100B28B" w14:textId="77777777" w:rsidR="00147313" w:rsidRPr="005057E4" w:rsidRDefault="00147313" w:rsidP="003A7261">
            <w:pPr>
              <w:spacing w:line="300" w:lineRule="atLeast"/>
              <w:jc w:val="center"/>
              <w:rPr>
                <w:rFonts w:ascii="Arial" w:hAnsi="Arial" w:cs="Arial"/>
                <w:sz w:val="16"/>
                <w:szCs w:val="16"/>
              </w:rPr>
            </w:pPr>
            <w:r w:rsidRPr="005057E4">
              <w:rPr>
                <w:rFonts w:ascii="Arial" w:hAnsi="Arial" w:cs="Arial"/>
                <w:sz w:val="16"/>
                <w:szCs w:val="16"/>
              </w:rPr>
              <w:t>-</w:t>
            </w:r>
          </w:p>
        </w:tc>
        <w:tc>
          <w:tcPr>
            <w:tcW w:w="1079" w:type="dxa"/>
            <w:vAlign w:val="center"/>
          </w:tcPr>
          <w:p w14:paraId="02CE47A1" w14:textId="09BC4425" w:rsidR="00147313" w:rsidRPr="004C4210" w:rsidRDefault="00D874DD" w:rsidP="003A7261">
            <w:pPr>
              <w:spacing w:line="300" w:lineRule="atLeast"/>
              <w:jc w:val="center"/>
              <w:rPr>
                <w:rFonts w:ascii="Arial" w:hAnsi="Arial" w:cs="Arial"/>
                <w:sz w:val="16"/>
                <w:szCs w:val="16"/>
                <w:highlight w:val="yellow"/>
              </w:rPr>
            </w:pPr>
            <w:r w:rsidRPr="004C4210">
              <w:rPr>
                <w:rFonts w:ascii="Arial" w:hAnsi="Arial" w:cs="Arial"/>
                <w:sz w:val="16"/>
                <w:szCs w:val="16"/>
              </w:rPr>
              <w:t>28.</w:t>
            </w:r>
            <w:r w:rsidR="00F91445">
              <w:rPr>
                <w:rFonts w:ascii="Arial" w:hAnsi="Arial" w:cs="Arial"/>
                <w:sz w:val="16"/>
                <w:szCs w:val="16"/>
              </w:rPr>
              <w:t>9</w:t>
            </w:r>
          </w:p>
        </w:tc>
        <w:tc>
          <w:tcPr>
            <w:tcW w:w="1310" w:type="dxa"/>
            <w:vAlign w:val="center"/>
          </w:tcPr>
          <w:p w14:paraId="3E9EA9C1" w14:textId="77777777" w:rsidR="00147313" w:rsidRPr="006F0EAC" w:rsidRDefault="00147313" w:rsidP="003A7261">
            <w:pPr>
              <w:spacing w:line="300" w:lineRule="atLeast"/>
              <w:jc w:val="center"/>
              <w:rPr>
                <w:rFonts w:ascii="Arial" w:hAnsi="Arial" w:cs="Arial"/>
                <w:sz w:val="16"/>
                <w:szCs w:val="16"/>
              </w:rPr>
            </w:pPr>
            <w:r w:rsidRPr="006F0EAC">
              <w:rPr>
                <w:rFonts w:ascii="Arial" w:hAnsi="Arial" w:cs="Arial"/>
                <w:sz w:val="16"/>
                <w:szCs w:val="16"/>
              </w:rPr>
              <w:t>-</w:t>
            </w:r>
          </w:p>
        </w:tc>
      </w:tr>
      <w:tr w:rsidR="00147313" w:rsidRPr="00FF38F4" w14:paraId="3982ADDF" w14:textId="77777777" w:rsidTr="00DA1E2B">
        <w:tc>
          <w:tcPr>
            <w:tcW w:w="1577" w:type="dxa"/>
            <w:vAlign w:val="center"/>
          </w:tcPr>
          <w:p w14:paraId="10A05F12" w14:textId="6F85E561" w:rsidR="00147313" w:rsidRPr="004901F2" w:rsidRDefault="00147313" w:rsidP="002A2A59">
            <w:pPr>
              <w:spacing w:before="40" w:after="40" w:line="300" w:lineRule="atLeast"/>
              <w:rPr>
                <w:rFonts w:ascii="Arial" w:hAnsi="Arial" w:cs="Arial"/>
                <w:sz w:val="16"/>
                <w:szCs w:val="16"/>
              </w:rPr>
            </w:pPr>
            <w:r>
              <w:rPr>
                <w:rFonts w:ascii="Arial" w:hAnsi="Arial" w:cs="Arial"/>
                <w:sz w:val="16"/>
                <w:szCs w:val="16"/>
              </w:rPr>
              <w:t xml:space="preserve">Cosmetics </w:t>
            </w:r>
          </w:p>
        </w:tc>
        <w:tc>
          <w:tcPr>
            <w:tcW w:w="1458" w:type="dxa"/>
            <w:vAlign w:val="center"/>
          </w:tcPr>
          <w:p w14:paraId="736BE3EB" w14:textId="77777777" w:rsidR="00147313" w:rsidRPr="0048300C" w:rsidRDefault="00147313" w:rsidP="003A7261">
            <w:pPr>
              <w:spacing w:line="300" w:lineRule="atLeast"/>
              <w:jc w:val="center"/>
              <w:rPr>
                <w:rFonts w:ascii="Arial" w:hAnsi="Arial" w:cs="Arial"/>
                <w:sz w:val="16"/>
                <w:szCs w:val="16"/>
              </w:rPr>
            </w:pPr>
            <w:r w:rsidRPr="0048300C">
              <w:rPr>
                <w:rFonts w:ascii="Arial" w:hAnsi="Arial" w:cs="Arial"/>
                <w:sz w:val="16"/>
                <w:szCs w:val="16"/>
              </w:rPr>
              <w:t>-</w:t>
            </w:r>
          </w:p>
        </w:tc>
        <w:tc>
          <w:tcPr>
            <w:tcW w:w="1194" w:type="dxa"/>
            <w:vAlign w:val="center"/>
          </w:tcPr>
          <w:p w14:paraId="0D1398EC" w14:textId="77777777" w:rsidR="00147313" w:rsidRPr="0048300C" w:rsidRDefault="00147313" w:rsidP="003A7261">
            <w:pPr>
              <w:spacing w:line="300" w:lineRule="atLeast"/>
              <w:jc w:val="center"/>
              <w:rPr>
                <w:rFonts w:ascii="Arial" w:hAnsi="Arial" w:cs="Arial"/>
                <w:sz w:val="16"/>
                <w:szCs w:val="16"/>
              </w:rPr>
            </w:pPr>
            <w:r w:rsidRPr="0048300C">
              <w:rPr>
                <w:rFonts w:ascii="Arial" w:hAnsi="Arial" w:cs="Arial"/>
                <w:sz w:val="16"/>
                <w:szCs w:val="16"/>
              </w:rPr>
              <w:t>-</w:t>
            </w:r>
          </w:p>
        </w:tc>
        <w:tc>
          <w:tcPr>
            <w:tcW w:w="1470" w:type="dxa"/>
            <w:vAlign w:val="center"/>
          </w:tcPr>
          <w:p w14:paraId="43DE5499" w14:textId="77777777" w:rsidR="00147313" w:rsidRPr="0048300C" w:rsidRDefault="00147313" w:rsidP="003A7261">
            <w:pPr>
              <w:spacing w:line="300" w:lineRule="atLeast"/>
              <w:jc w:val="center"/>
              <w:rPr>
                <w:rFonts w:ascii="Arial" w:hAnsi="Arial" w:cs="Arial"/>
                <w:sz w:val="16"/>
                <w:szCs w:val="16"/>
              </w:rPr>
            </w:pPr>
            <w:r w:rsidRPr="0048300C">
              <w:rPr>
                <w:rFonts w:ascii="Arial" w:hAnsi="Arial" w:cs="Arial"/>
                <w:sz w:val="16"/>
                <w:szCs w:val="16"/>
              </w:rPr>
              <w:t>-</w:t>
            </w:r>
          </w:p>
        </w:tc>
        <w:tc>
          <w:tcPr>
            <w:tcW w:w="918" w:type="dxa"/>
            <w:vAlign w:val="center"/>
          </w:tcPr>
          <w:p w14:paraId="43605AA2" w14:textId="77777777" w:rsidR="00147313" w:rsidRPr="0048300C" w:rsidRDefault="00147313" w:rsidP="003A7261">
            <w:pPr>
              <w:spacing w:line="300" w:lineRule="atLeast"/>
              <w:jc w:val="center"/>
              <w:rPr>
                <w:rFonts w:ascii="Arial" w:hAnsi="Arial" w:cs="Arial"/>
                <w:sz w:val="16"/>
                <w:szCs w:val="16"/>
              </w:rPr>
            </w:pPr>
            <w:r w:rsidRPr="0048300C">
              <w:rPr>
                <w:rFonts w:ascii="Arial" w:hAnsi="Arial" w:cs="Arial"/>
                <w:sz w:val="16"/>
                <w:szCs w:val="16"/>
              </w:rPr>
              <w:t>-</w:t>
            </w:r>
          </w:p>
        </w:tc>
        <w:tc>
          <w:tcPr>
            <w:tcW w:w="1079" w:type="dxa"/>
            <w:vAlign w:val="center"/>
          </w:tcPr>
          <w:p w14:paraId="6281C5A7" w14:textId="77777777" w:rsidR="00147313" w:rsidRPr="0048300C" w:rsidRDefault="00147313" w:rsidP="003A7261">
            <w:pPr>
              <w:spacing w:line="300" w:lineRule="atLeast"/>
              <w:jc w:val="center"/>
              <w:rPr>
                <w:rFonts w:ascii="Arial" w:hAnsi="Arial" w:cs="Arial"/>
                <w:sz w:val="16"/>
                <w:szCs w:val="16"/>
              </w:rPr>
            </w:pPr>
            <w:r w:rsidRPr="0048300C">
              <w:rPr>
                <w:rFonts w:ascii="Arial" w:hAnsi="Arial" w:cs="Arial"/>
                <w:sz w:val="16"/>
                <w:szCs w:val="16"/>
              </w:rPr>
              <w:t>-</w:t>
            </w:r>
          </w:p>
        </w:tc>
        <w:tc>
          <w:tcPr>
            <w:tcW w:w="1310" w:type="dxa"/>
            <w:vAlign w:val="center"/>
          </w:tcPr>
          <w:p w14:paraId="2788787A" w14:textId="77777777" w:rsidR="00147313" w:rsidRPr="0048300C" w:rsidRDefault="00147313" w:rsidP="003A7261">
            <w:pPr>
              <w:spacing w:line="300" w:lineRule="atLeast"/>
              <w:jc w:val="center"/>
              <w:rPr>
                <w:rFonts w:ascii="Arial" w:hAnsi="Arial" w:cs="Arial"/>
                <w:sz w:val="16"/>
                <w:szCs w:val="16"/>
              </w:rPr>
            </w:pPr>
            <w:r w:rsidRPr="0048300C">
              <w:rPr>
                <w:rFonts w:ascii="Arial" w:hAnsi="Arial" w:cs="Arial"/>
                <w:sz w:val="16"/>
                <w:szCs w:val="16"/>
              </w:rPr>
              <w:t>-</w:t>
            </w:r>
          </w:p>
        </w:tc>
      </w:tr>
      <w:tr w:rsidR="00147313" w:rsidRPr="00FF38F4" w14:paraId="7A12395D" w14:textId="77777777" w:rsidTr="00DA1E2B">
        <w:tc>
          <w:tcPr>
            <w:tcW w:w="1577" w:type="dxa"/>
            <w:vAlign w:val="center"/>
          </w:tcPr>
          <w:p w14:paraId="65551DC6" w14:textId="77777777" w:rsidR="00147313" w:rsidRPr="00427FB4" w:rsidRDefault="00147313" w:rsidP="00C87339">
            <w:pPr>
              <w:spacing w:line="300" w:lineRule="atLeast"/>
              <w:rPr>
                <w:rFonts w:ascii="Arial" w:hAnsi="Arial" w:cs="Arial"/>
                <w:b/>
                <w:sz w:val="16"/>
                <w:szCs w:val="16"/>
              </w:rPr>
            </w:pPr>
            <w:r w:rsidRPr="00427FB4">
              <w:rPr>
                <w:rFonts w:ascii="Arial" w:hAnsi="Arial" w:cs="Arial"/>
                <w:b/>
                <w:sz w:val="16"/>
                <w:szCs w:val="16"/>
              </w:rPr>
              <w:t>Totals</w:t>
            </w:r>
          </w:p>
        </w:tc>
        <w:tc>
          <w:tcPr>
            <w:tcW w:w="1458" w:type="dxa"/>
            <w:vAlign w:val="center"/>
          </w:tcPr>
          <w:p w14:paraId="0D642600" w14:textId="04924CA6" w:rsidR="00147313" w:rsidRPr="005057E4" w:rsidRDefault="00D874DD" w:rsidP="00FD1E8B">
            <w:pPr>
              <w:spacing w:line="300" w:lineRule="atLeast"/>
              <w:jc w:val="center"/>
              <w:rPr>
                <w:rFonts w:ascii="Arial" w:hAnsi="Arial" w:cs="Arial"/>
                <w:b/>
                <w:sz w:val="16"/>
                <w:szCs w:val="16"/>
              </w:rPr>
            </w:pPr>
            <w:r w:rsidRPr="000B1B79">
              <w:rPr>
                <w:rFonts w:ascii="Arial" w:hAnsi="Arial" w:cs="Arial"/>
                <w:b/>
                <w:sz w:val="16"/>
                <w:szCs w:val="16"/>
              </w:rPr>
              <w:t>7</w:t>
            </w:r>
            <w:r w:rsidR="000F160B">
              <w:rPr>
                <w:rFonts w:ascii="Arial" w:hAnsi="Arial" w:cs="Arial"/>
                <w:b/>
                <w:sz w:val="16"/>
                <w:szCs w:val="16"/>
              </w:rPr>
              <w:t>1.</w:t>
            </w:r>
            <w:r w:rsidR="00F91445">
              <w:rPr>
                <w:rFonts w:ascii="Arial" w:hAnsi="Arial" w:cs="Arial"/>
                <w:b/>
                <w:sz w:val="16"/>
                <w:szCs w:val="16"/>
              </w:rPr>
              <w:t>1</w:t>
            </w:r>
            <w:r w:rsidR="00292561">
              <w:rPr>
                <w:rFonts w:ascii="Arial" w:hAnsi="Arial" w:cs="Arial"/>
                <w:b/>
                <w:sz w:val="16"/>
                <w:szCs w:val="16"/>
              </w:rPr>
              <w:t xml:space="preserve"> </w:t>
            </w:r>
            <w:r w:rsidR="006F6DFB" w:rsidRPr="005057E4">
              <w:rPr>
                <w:rFonts w:ascii="Arial" w:hAnsi="Arial" w:cs="Arial"/>
                <w:b/>
                <w:sz w:val="16"/>
                <w:szCs w:val="16"/>
              </w:rPr>
              <w:t>–</w:t>
            </w:r>
            <w:r w:rsidR="00AB5326" w:rsidRPr="005057E4">
              <w:rPr>
                <w:rFonts w:ascii="Arial" w:hAnsi="Arial" w:cs="Arial"/>
                <w:b/>
                <w:sz w:val="16"/>
                <w:szCs w:val="16"/>
              </w:rPr>
              <w:t xml:space="preserve"> </w:t>
            </w:r>
            <w:r w:rsidR="00292561">
              <w:rPr>
                <w:rFonts w:ascii="Arial" w:hAnsi="Arial" w:cs="Arial"/>
                <w:b/>
                <w:sz w:val="16"/>
                <w:szCs w:val="16"/>
              </w:rPr>
              <w:t>76.8</w:t>
            </w:r>
            <w:r w:rsidR="00AB5326" w:rsidRPr="005057E4">
              <w:rPr>
                <w:rFonts w:ascii="Arial" w:hAnsi="Arial" w:cs="Arial"/>
                <w:b/>
                <w:sz w:val="16"/>
                <w:szCs w:val="16"/>
              </w:rPr>
              <w:t xml:space="preserve"> (</w:t>
            </w:r>
            <w:r w:rsidR="00292561">
              <w:rPr>
                <w:rFonts w:ascii="Arial" w:hAnsi="Arial" w:cs="Arial"/>
                <w:b/>
                <w:sz w:val="16"/>
                <w:szCs w:val="16"/>
              </w:rPr>
              <w:t>73.9</w:t>
            </w:r>
            <w:r w:rsidR="00AB5326" w:rsidRPr="005057E4">
              <w:rPr>
                <w:rFonts w:ascii="Arial" w:hAnsi="Arial" w:cs="Arial"/>
                <w:b/>
                <w:sz w:val="16"/>
                <w:szCs w:val="16"/>
              </w:rPr>
              <w:t>)</w:t>
            </w:r>
          </w:p>
        </w:tc>
        <w:tc>
          <w:tcPr>
            <w:tcW w:w="1194" w:type="dxa"/>
            <w:vAlign w:val="center"/>
          </w:tcPr>
          <w:p w14:paraId="56128525" w14:textId="57E58560" w:rsidR="00147313" w:rsidRPr="005057E4" w:rsidRDefault="00292561" w:rsidP="001541EF">
            <w:pPr>
              <w:spacing w:line="300" w:lineRule="atLeast"/>
              <w:jc w:val="center"/>
              <w:rPr>
                <w:rFonts w:ascii="Arial" w:hAnsi="Arial" w:cs="Arial"/>
                <w:b/>
                <w:sz w:val="16"/>
                <w:szCs w:val="16"/>
              </w:rPr>
            </w:pPr>
            <w:r>
              <w:rPr>
                <w:rFonts w:ascii="Arial" w:hAnsi="Arial" w:cs="Arial"/>
                <w:b/>
                <w:sz w:val="16"/>
                <w:szCs w:val="16"/>
              </w:rPr>
              <w:t>0.759</w:t>
            </w:r>
            <w:r w:rsidR="00AB5326" w:rsidRPr="005057E4">
              <w:rPr>
                <w:rFonts w:ascii="Arial" w:hAnsi="Arial" w:cs="Arial"/>
                <w:b/>
                <w:sz w:val="16"/>
                <w:szCs w:val="16"/>
              </w:rPr>
              <w:t xml:space="preserve"> – </w:t>
            </w:r>
            <w:r>
              <w:rPr>
                <w:rFonts w:ascii="Arial" w:hAnsi="Arial" w:cs="Arial"/>
                <w:b/>
                <w:sz w:val="16"/>
                <w:szCs w:val="16"/>
              </w:rPr>
              <w:t>1.0</w:t>
            </w:r>
            <w:r w:rsidR="00F91445">
              <w:rPr>
                <w:rFonts w:ascii="Arial" w:hAnsi="Arial" w:cs="Arial"/>
                <w:b/>
                <w:sz w:val="16"/>
                <w:szCs w:val="16"/>
              </w:rPr>
              <w:t>5</w:t>
            </w:r>
            <w:r w:rsidR="006E7B4B" w:rsidRPr="005057E4">
              <w:rPr>
                <w:rFonts w:ascii="Arial" w:hAnsi="Arial" w:cs="Arial"/>
                <w:b/>
                <w:sz w:val="16"/>
                <w:szCs w:val="16"/>
              </w:rPr>
              <w:t xml:space="preserve"> </w:t>
            </w:r>
            <w:r w:rsidR="00AB5326" w:rsidRPr="005057E4">
              <w:rPr>
                <w:rFonts w:ascii="Arial" w:hAnsi="Arial" w:cs="Arial"/>
                <w:b/>
                <w:sz w:val="16"/>
                <w:szCs w:val="16"/>
              </w:rPr>
              <w:t>(</w:t>
            </w:r>
            <w:r>
              <w:rPr>
                <w:rFonts w:ascii="Arial" w:hAnsi="Arial" w:cs="Arial"/>
                <w:b/>
                <w:sz w:val="16"/>
                <w:szCs w:val="16"/>
              </w:rPr>
              <w:t>0.903</w:t>
            </w:r>
            <w:r w:rsidR="00AB5326" w:rsidRPr="005057E4">
              <w:rPr>
                <w:rFonts w:ascii="Arial" w:hAnsi="Arial" w:cs="Arial"/>
                <w:b/>
                <w:sz w:val="16"/>
                <w:szCs w:val="16"/>
              </w:rPr>
              <w:t>)</w:t>
            </w:r>
          </w:p>
        </w:tc>
        <w:tc>
          <w:tcPr>
            <w:tcW w:w="1470" w:type="dxa"/>
            <w:vAlign w:val="center"/>
          </w:tcPr>
          <w:p w14:paraId="1F8AD0A8" w14:textId="06E54A1A" w:rsidR="00147313" w:rsidRPr="005057E4" w:rsidRDefault="009540CA" w:rsidP="00EC6635">
            <w:pPr>
              <w:spacing w:line="300" w:lineRule="atLeast"/>
              <w:jc w:val="center"/>
              <w:rPr>
                <w:rFonts w:ascii="Arial" w:hAnsi="Arial" w:cs="Arial"/>
                <w:b/>
                <w:sz w:val="16"/>
                <w:szCs w:val="16"/>
              </w:rPr>
            </w:pPr>
            <w:r w:rsidRPr="000B1B79">
              <w:rPr>
                <w:rFonts w:ascii="Arial" w:hAnsi="Arial" w:cs="Arial"/>
                <w:b/>
                <w:sz w:val="16"/>
                <w:szCs w:val="16"/>
              </w:rPr>
              <w:t>0.00015</w:t>
            </w:r>
            <w:r w:rsidR="00EA0E1A" w:rsidRPr="005057E4">
              <w:rPr>
                <w:rFonts w:ascii="Arial" w:hAnsi="Arial" w:cs="Arial"/>
                <w:b/>
                <w:sz w:val="16"/>
                <w:szCs w:val="16"/>
              </w:rPr>
              <w:t xml:space="preserve">- </w:t>
            </w:r>
            <w:r w:rsidRPr="000B1B79">
              <w:rPr>
                <w:rFonts w:ascii="Arial" w:hAnsi="Arial" w:cs="Arial"/>
                <w:b/>
                <w:sz w:val="16"/>
                <w:szCs w:val="16"/>
              </w:rPr>
              <w:t xml:space="preserve">0.0015 </w:t>
            </w:r>
            <w:r w:rsidR="00EA0E1A" w:rsidRPr="005057E4">
              <w:rPr>
                <w:rFonts w:ascii="Arial" w:hAnsi="Arial" w:cs="Arial"/>
                <w:b/>
                <w:sz w:val="16"/>
                <w:szCs w:val="16"/>
              </w:rPr>
              <w:t>(</w:t>
            </w:r>
            <w:r w:rsidRPr="000B1B79">
              <w:rPr>
                <w:rFonts w:ascii="Arial" w:hAnsi="Arial" w:cs="Arial"/>
                <w:b/>
                <w:sz w:val="16"/>
                <w:szCs w:val="16"/>
              </w:rPr>
              <w:t>0.00083</w:t>
            </w:r>
            <w:r w:rsidR="00EA0E1A" w:rsidRPr="005057E4">
              <w:rPr>
                <w:rFonts w:ascii="Arial" w:hAnsi="Arial" w:cs="Arial"/>
                <w:b/>
                <w:sz w:val="16"/>
                <w:szCs w:val="16"/>
              </w:rPr>
              <w:t>)</w:t>
            </w:r>
          </w:p>
        </w:tc>
        <w:tc>
          <w:tcPr>
            <w:tcW w:w="918" w:type="dxa"/>
            <w:vAlign w:val="center"/>
          </w:tcPr>
          <w:p w14:paraId="2B738C4F" w14:textId="1487558F" w:rsidR="00147313" w:rsidRPr="005057E4" w:rsidRDefault="00292561" w:rsidP="009C00C2">
            <w:pPr>
              <w:spacing w:line="300" w:lineRule="atLeast"/>
              <w:jc w:val="center"/>
              <w:rPr>
                <w:rFonts w:ascii="Arial" w:hAnsi="Arial" w:cs="Arial"/>
                <w:b/>
                <w:sz w:val="16"/>
                <w:szCs w:val="16"/>
              </w:rPr>
            </w:pPr>
            <w:r>
              <w:rPr>
                <w:rFonts w:ascii="Arial" w:hAnsi="Arial" w:cs="Arial"/>
                <w:b/>
                <w:sz w:val="16"/>
                <w:szCs w:val="16"/>
              </w:rPr>
              <w:t>0.64</w:t>
            </w:r>
          </w:p>
        </w:tc>
        <w:tc>
          <w:tcPr>
            <w:tcW w:w="1079" w:type="dxa"/>
            <w:vAlign w:val="center"/>
          </w:tcPr>
          <w:p w14:paraId="0ADA6CEC" w14:textId="7F1256D7" w:rsidR="00147313" w:rsidRPr="005057E4" w:rsidRDefault="00360853" w:rsidP="003A7261">
            <w:pPr>
              <w:spacing w:line="300" w:lineRule="atLeast"/>
              <w:jc w:val="center"/>
              <w:rPr>
                <w:rFonts w:ascii="Arial" w:hAnsi="Arial" w:cs="Arial"/>
                <w:b/>
                <w:sz w:val="16"/>
                <w:szCs w:val="16"/>
              </w:rPr>
            </w:pPr>
            <w:r w:rsidRPr="000B1B79">
              <w:rPr>
                <w:rFonts w:ascii="Arial" w:hAnsi="Arial" w:cs="Arial"/>
                <w:b/>
                <w:sz w:val="16"/>
                <w:szCs w:val="16"/>
              </w:rPr>
              <w:t>28.</w:t>
            </w:r>
            <w:r w:rsidR="00F91445">
              <w:rPr>
                <w:rFonts w:ascii="Arial" w:hAnsi="Arial" w:cs="Arial"/>
                <w:b/>
                <w:sz w:val="16"/>
                <w:szCs w:val="16"/>
              </w:rPr>
              <w:t>9</w:t>
            </w:r>
          </w:p>
        </w:tc>
        <w:tc>
          <w:tcPr>
            <w:tcW w:w="1310" w:type="dxa"/>
            <w:vAlign w:val="center"/>
          </w:tcPr>
          <w:p w14:paraId="78915261" w14:textId="2F806462" w:rsidR="00147313" w:rsidRPr="005057E4" w:rsidRDefault="00292561" w:rsidP="0019596E">
            <w:pPr>
              <w:spacing w:line="300" w:lineRule="atLeast"/>
              <w:jc w:val="center"/>
              <w:rPr>
                <w:rFonts w:ascii="Arial" w:hAnsi="Arial" w:cs="Arial"/>
                <w:b/>
                <w:sz w:val="16"/>
                <w:szCs w:val="16"/>
              </w:rPr>
            </w:pPr>
            <w:r>
              <w:rPr>
                <w:rFonts w:ascii="Arial" w:hAnsi="Arial" w:cs="Arial"/>
                <w:b/>
                <w:sz w:val="16"/>
                <w:szCs w:val="16"/>
              </w:rPr>
              <w:t>40.8 – 46.</w:t>
            </w:r>
            <w:r w:rsidR="00F91445">
              <w:rPr>
                <w:rFonts w:ascii="Arial" w:hAnsi="Arial" w:cs="Arial"/>
                <w:b/>
                <w:sz w:val="16"/>
                <w:szCs w:val="16"/>
              </w:rPr>
              <w:t>3</w:t>
            </w:r>
            <w:r w:rsidR="006E7B4B" w:rsidRPr="005057E4">
              <w:rPr>
                <w:rFonts w:ascii="Arial" w:hAnsi="Arial" w:cs="Arial"/>
                <w:b/>
                <w:sz w:val="16"/>
                <w:szCs w:val="16"/>
              </w:rPr>
              <w:t xml:space="preserve"> </w:t>
            </w:r>
            <w:r w:rsidR="00AB5326" w:rsidRPr="005057E4">
              <w:rPr>
                <w:rFonts w:ascii="Arial" w:hAnsi="Arial" w:cs="Arial"/>
                <w:b/>
                <w:sz w:val="16"/>
                <w:szCs w:val="16"/>
              </w:rPr>
              <w:t>(</w:t>
            </w:r>
            <w:r>
              <w:rPr>
                <w:rFonts w:ascii="Arial" w:hAnsi="Arial" w:cs="Arial"/>
                <w:b/>
                <w:sz w:val="16"/>
                <w:szCs w:val="16"/>
              </w:rPr>
              <w:t>43.</w:t>
            </w:r>
            <w:r w:rsidR="00F91445">
              <w:rPr>
                <w:rFonts w:ascii="Arial" w:hAnsi="Arial" w:cs="Arial"/>
                <w:b/>
                <w:sz w:val="16"/>
                <w:szCs w:val="16"/>
              </w:rPr>
              <w:t>6</w:t>
            </w:r>
            <w:r w:rsidR="00AB5326" w:rsidRPr="005057E4">
              <w:rPr>
                <w:rFonts w:ascii="Arial" w:hAnsi="Arial" w:cs="Arial"/>
                <w:b/>
                <w:sz w:val="16"/>
                <w:szCs w:val="16"/>
              </w:rPr>
              <w:t>)</w:t>
            </w:r>
          </w:p>
        </w:tc>
      </w:tr>
    </w:tbl>
    <w:p w14:paraId="282F94CE" w14:textId="4C33E0E2" w:rsidR="00FA5964" w:rsidRDefault="00FA5964" w:rsidP="003833D6">
      <w:pPr>
        <w:spacing w:line="300" w:lineRule="atLeast"/>
        <w:jc w:val="both"/>
        <w:rPr>
          <w:szCs w:val="18"/>
        </w:rPr>
      </w:pPr>
    </w:p>
    <w:p w14:paraId="7D47189D" w14:textId="77777777" w:rsidR="00FA5964" w:rsidRDefault="00FA5964">
      <w:pPr>
        <w:spacing w:after="0"/>
        <w:rPr>
          <w:szCs w:val="18"/>
        </w:rPr>
      </w:pPr>
      <w:r>
        <w:rPr>
          <w:szCs w:val="18"/>
        </w:rPr>
        <w:br w:type="page"/>
      </w:r>
    </w:p>
    <w:p w14:paraId="0E686802" w14:textId="77777777" w:rsidR="00D16E72" w:rsidRPr="00622310" w:rsidRDefault="003F6605" w:rsidP="00D16E72">
      <w:pPr>
        <w:pStyle w:val="Heading1"/>
      </w:pPr>
      <w:bookmarkStart w:id="115" w:name="_Toc110355547"/>
      <w:r w:rsidRPr="00622310">
        <w:t>Other intentional product/process uses</w:t>
      </w:r>
      <w:bookmarkEnd w:id="115"/>
    </w:p>
    <w:p w14:paraId="5C5264BF" w14:textId="06110E75" w:rsidR="00D16E72" w:rsidRDefault="000E14C5" w:rsidP="003833D6">
      <w:pPr>
        <w:spacing w:line="300" w:lineRule="atLeast"/>
        <w:jc w:val="both"/>
        <w:rPr>
          <w:szCs w:val="18"/>
        </w:rPr>
      </w:pPr>
      <w:r w:rsidRPr="000E14C5">
        <w:rPr>
          <w:szCs w:val="18"/>
        </w:rPr>
        <w:t xml:space="preserve">This category covers mercury uses in a range of </w:t>
      </w:r>
      <w:r>
        <w:rPr>
          <w:szCs w:val="18"/>
        </w:rPr>
        <w:t xml:space="preserve">other intentional </w:t>
      </w:r>
      <w:r w:rsidR="00EE59AC" w:rsidRPr="000E14C5">
        <w:rPr>
          <w:szCs w:val="18"/>
        </w:rPr>
        <w:t xml:space="preserve">products </w:t>
      </w:r>
      <w:r>
        <w:rPr>
          <w:szCs w:val="18"/>
        </w:rPr>
        <w:t>and</w:t>
      </w:r>
      <w:r w:rsidRPr="000E14C5">
        <w:rPr>
          <w:szCs w:val="18"/>
        </w:rPr>
        <w:t xml:space="preserve"> </w:t>
      </w:r>
      <w:r w:rsidR="00EE59AC">
        <w:rPr>
          <w:szCs w:val="18"/>
        </w:rPr>
        <w:t xml:space="preserve">uses </w:t>
      </w:r>
      <w:r w:rsidRPr="000E14C5">
        <w:rPr>
          <w:szCs w:val="18"/>
        </w:rPr>
        <w:t>(</w:t>
      </w:r>
      <w:r w:rsidR="00C738EC">
        <w:rPr>
          <w:szCs w:val="18"/>
        </w:rPr>
        <w:t>UNEP, 20</w:t>
      </w:r>
      <w:r w:rsidR="00FA5964">
        <w:rPr>
          <w:szCs w:val="18"/>
        </w:rPr>
        <w:t>23</w:t>
      </w:r>
      <w:r w:rsidRPr="000E14C5">
        <w:rPr>
          <w:szCs w:val="18"/>
        </w:rPr>
        <w:t>). The various sub-categories and the primary release pathways are summarised in</w:t>
      </w:r>
      <w:r>
        <w:rPr>
          <w:szCs w:val="18"/>
        </w:rPr>
        <w:t xml:space="preserve"> </w:t>
      </w:r>
      <w:r w:rsidRPr="0094605E">
        <w:rPr>
          <w:szCs w:val="18"/>
        </w:rPr>
        <w:fldChar w:fldCharType="begin"/>
      </w:r>
      <w:r w:rsidRPr="0094605E">
        <w:rPr>
          <w:szCs w:val="18"/>
        </w:rPr>
        <w:instrText xml:space="preserve"> REF _Ref358549022 \h </w:instrText>
      </w:r>
      <w:r w:rsidR="0094605E">
        <w:rPr>
          <w:szCs w:val="18"/>
        </w:rPr>
        <w:instrText xml:space="preserve"> \* MERGEFORMAT </w:instrText>
      </w:r>
      <w:r w:rsidRPr="0094605E">
        <w:rPr>
          <w:szCs w:val="18"/>
        </w:rPr>
      </w:r>
      <w:r w:rsidRPr="0094605E">
        <w:rPr>
          <w:szCs w:val="18"/>
        </w:rPr>
        <w:fldChar w:fldCharType="separate"/>
      </w:r>
      <w:r w:rsidR="00892B2D" w:rsidRPr="00892B2D">
        <w:t xml:space="preserve">Table </w:t>
      </w:r>
      <w:r w:rsidR="00892B2D" w:rsidRPr="00892B2D">
        <w:rPr>
          <w:noProof/>
        </w:rPr>
        <w:t>8</w:t>
      </w:r>
      <w:r w:rsidR="00892B2D" w:rsidRPr="00892B2D">
        <w:rPr>
          <w:noProof/>
        </w:rPr>
        <w:noBreakHyphen/>
        <w:t>1</w:t>
      </w:r>
      <w:r w:rsidRPr="0094605E">
        <w:rPr>
          <w:szCs w:val="18"/>
        </w:rPr>
        <w:fldChar w:fldCharType="end"/>
      </w:r>
      <w:r w:rsidR="00DB09D1" w:rsidRPr="00DB09D1">
        <w:rPr>
          <w:szCs w:val="18"/>
        </w:rPr>
        <w:t>, which has been copied directly from the UNEP Toolkit</w:t>
      </w:r>
      <w:r w:rsidRPr="000E14C5">
        <w:rPr>
          <w:szCs w:val="18"/>
        </w:rPr>
        <w:t>.</w:t>
      </w:r>
    </w:p>
    <w:p w14:paraId="5FEFE2CE" w14:textId="6B1C556B" w:rsidR="00D16E72" w:rsidRDefault="003F6605" w:rsidP="000E14C5">
      <w:pPr>
        <w:pStyle w:val="Caption"/>
        <w:spacing w:before="240"/>
        <w:rPr>
          <w:szCs w:val="18"/>
        </w:rPr>
      </w:pPr>
      <w:bookmarkStart w:id="116" w:name="_Ref358549022"/>
      <w:bookmarkStart w:id="117" w:name="_Toc110355486"/>
      <w:r w:rsidRPr="000E14C5">
        <w:rPr>
          <w:rFonts w:ascii="Arial" w:hAnsi="Arial" w:cs="Arial"/>
        </w:rPr>
        <w:t xml:space="preserve">Table </w:t>
      </w:r>
      <w:r w:rsidR="00390C9F">
        <w:rPr>
          <w:rFonts w:ascii="Arial" w:hAnsi="Arial" w:cs="Arial"/>
        </w:rPr>
        <w:fldChar w:fldCharType="begin"/>
      </w:r>
      <w:r w:rsidR="00390C9F">
        <w:rPr>
          <w:rFonts w:ascii="Arial" w:hAnsi="Arial" w:cs="Arial"/>
        </w:rPr>
        <w:instrText xml:space="preserve"> STYLEREF 1 \s </w:instrText>
      </w:r>
      <w:r w:rsidR="00390C9F">
        <w:rPr>
          <w:rFonts w:ascii="Arial" w:hAnsi="Arial" w:cs="Arial"/>
        </w:rPr>
        <w:fldChar w:fldCharType="separate"/>
      </w:r>
      <w:r w:rsidR="00892B2D">
        <w:rPr>
          <w:rFonts w:ascii="Arial" w:hAnsi="Arial" w:cs="Arial"/>
          <w:noProof/>
        </w:rPr>
        <w:t>8</w:t>
      </w:r>
      <w:r w:rsidR="00390C9F">
        <w:rPr>
          <w:rFonts w:ascii="Arial" w:hAnsi="Arial" w:cs="Arial"/>
        </w:rPr>
        <w:fldChar w:fldCharType="end"/>
      </w:r>
      <w:r w:rsidR="00390C9F">
        <w:rPr>
          <w:rFonts w:ascii="Arial" w:hAnsi="Arial" w:cs="Arial"/>
        </w:rPr>
        <w:noBreakHyphen/>
      </w:r>
      <w:r w:rsidR="00390C9F">
        <w:rPr>
          <w:rFonts w:ascii="Arial" w:hAnsi="Arial" w:cs="Arial"/>
        </w:rPr>
        <w:fldChar w:fldCharType="begin"/>
      </w:r>
      <w:r w:rsidR="00390C9F">
        <w:rPr>
          <w:rFonts w:ascii="Arial" w:hAnsi="Arial" w:cs="Arial"/>
        </w:rPr>
        <w:instrText xml:space="preserve"> SEQ Table \* ARABIC \s 1 </w:instrText>
      </w:r>
      <w:r w:rsidR="00390C9F">
        <w:rPr>
          <w:rFonts w:ascii="Arial" w:hAnsi="Arial" w:cs="Arial"/>
        </w:rPr>
        <w:fldChar w:fldCharType="separate"/>
      </w:r>
      <w:r w:rsidR="00892B2D">
        <w:rPr>
          <w:rFonts w:ascii="Arial" w:hAnsi="Arial" w:cs="Arial"/>
          <w:noProof/>
        </w:rPr>
        <w:t>1</w:t>
      </w:r>
      <w:r w:rsidR="00390C9F">
        <w:rPr>
          <w:rFonts w:ascii="Arial" w:hAnsi="Arial" w:cs="Arial"/>
        </w:rPr>
        <w:fldChar w:fldCharType="end"/>
      </w:r>
      <w:bookmarkEnd w:id="116"/>
      <w:r w:rsidR="00B81235" w:rsidRPr="000E14C5">
        <w:rPr>
          <w:rFonts w:ascii="Arial" w:hAnsi="Arial" w:cs="Arial"/>
        </w:rPr>
        <w:t>:</w:t>
      </w:r>
      <w:r w:rsidR="00B81235">
        <w:t xml:space="preserve"> </w:t>
      </w:r>
      <w:r w:rsidR="00403501">
        <w:t xml:space="preserve"> </w:t>
      </w:r>
      <w:r w:rsidR="00D16E72" w:rsidRPr="003D7CC9">
        <w:rPr>
          <w:rFonts w:ascii="Arial" w:hAnsi="Arial" w:cs="Arial"/>
        </w:rPr>
        <w:t>T</w:t>
      </w:r>
      <w:r w:rsidR="00D16E72">
        <w:rPr>
          <w:rFonts w:ascii="Arial" w:hAnsi="Arial" w:cs="Arial"/>
        </w:rPr>
        <w:t xml:space="preserve">oolkit framework for category </w:t>
      </w:r>
      <w:r>
        <w:rPr>
          <w:rFonts w:ascii="Arial" w:hAnsi="Arial" w:cs="Arial"/>
        </w:rPr>
        <w:t>6</w:t>
      </w:r>
      <w:r w:rsidR="00D16E72">
        <w:rPr>
          <w:rFonts w:ascii="Arial" w:hAnsi="Arial" w:cs="Arial"/>
        </w:rPr>
        <w:t xml:space="preserve"> – </w:t>
      </w:r>
      <w:r>
        <w:rPr>
          <w:rFonts w:ascii="Arial" w:hAnsi="Arial" w:cs="Arial"/>
        </w:rPr>
        <w:t>other intentional product/process uses</w:t>
      </w:r>
      <w:bookmarkEnd w:id="1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93"/>
        <w:gridCol w:w="850"/>
        <w:gridCol w:w="851"/>
        <w:gridCol w:w="851"/>
        <w:gridCol w:w="992"/>
        <w:gridCol w:w="992"/>
        <w:gridCol w:w="1099"/>
      </w:tblGrid>
      <w:tr w:rsidR="00D16E72" w:rsidRPr="004901F2" w14:paraId="59364932" w14:textId="77777777" w:rsidTr="00284F82">
        <w:tc>
          <w:tcPr>
            <w:tcW w:w="851" w:type="dxa"/>
            <w:vAlign w:val="center"/>
          </w:tcPr>
          <w:p w14:paraId="10DCD680"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Toolkit Chapter</w:t>
            </w:r>
          </w:p>
        </w:tc>
        <w:tc>
          <w:tcPr>
            <w:tcW w:w="2693" w:type="dxa"/>
            <w:vAlign w:val="center"/>
          </w:tcPr>
          <w:p w14:paraId="031DA1EE"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Sub-category</w:t>
            </w:r>
          </w:p>
        </w:tc>
        <w:tc>
          <w:tcPr>
            <w:tcW w:w="850" w:type="dxa"/>
            <w:vAlign w:val="center"/>
          </w:tcPr>
          <w:p w14:paraId="22D9C822"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Air</w:t>
            </w:r>
          </w:p>
        </w:tc>
        <w:tc>
          <w:tcPr>
            <w:tcW w:w="851" w:type="dxa"/>
            <w:vAlign w:val="center"/>
          </w:tcPr>
          <w:p w14:paraId="17DF7B53"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Water</w:t>
            </w:r>
          </w:p>
        </w:tc>
        <w:tc>
          <w:tcPr>
            <w:tcW w:w="851" w:type="dxa"/>
            <w:vAlign w:val="center"/>
          </w:tcPr>
          <w:p w14:paraId="738AE7C1"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Land</w:t>
            </w:r>
          </w:p>
        </w:tc>
        <w:tc>
          <w:tcPr>
            <w:tcW w:w="992" w:type="dxa"/>
            <w:vAlign w:val="center"/>
          </w:tcPr>
          <w:p w14:paraId="32E9D7B1"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Product</w:t>
            </w:r>
          </w:p>
        </w:tc>
        <w:tc>
          <w:tcPr>
            <w:tcW w:w="992" w:type="dxa"/>
            <w:vAlign w:val="center"/>
          </w:tcPr>
          <w:p w14:paraId="50046F73"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Waste/ residue</w:t>
            </w:r>
          </w:p>
        </w:tc>
        <w:tc>
          <w:tcPr>
            <w:tcW w:w="1099" w:type="dxa"/>
            <w:vAlign w:val="center"/>
          </w:tcPr>
          <w:p w14:paraId="553479ED"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Main approach</w:t>
            </w:r>
          </w:p>
        </w:tc>
      </w:tr>
      <w:tr w:rsidR="00D16E72" w:rsidRPr="004901F2" w14:paraId="0436556F" w14:textId="77777777" w:rsidTr="00284F82">
        <w:tc>
          <w:tcPr>
            <w:tcW w:w="851" w:type="dxa"/>
            <w:vAlign w:val="center"/>
          </w:tcPr>
          <w:p w14:paraId="12A2E3AD" w14:textId="77777777" w:rsidR="00D16E72" w:rsidRPr="004901F2" w:rsidRDefault="00D16E72" w:rsidP="003F6605">
            <w:pPr>
              <w:spacing w:before="40" w:after="40" w:line="300" w:lineRule="atLeast"/>
              <w:rPr>
                <w:rFonts w:ascii="Arial" w:hAnsi="Arial" w:cs="Arial"/>
                <w:sz w:val="16"/>
                <w:szCs w:val="16"/>
              </w:rPr>
            </w:pPr>
            <w:r>
              <w:rPr>
                <w:rFonts w:ascii="Arial" w:hAnsi="Arial" w:cs="Arial"/>
                <w:sz w:val="16"/>
                <w:szCs w:val="16"/>
              </w:rPr>
              <w:t>5.</w:t>
            </w:r>
            <w:r w:rsidR="003F6605">
              <w:rPr>
                <w:rFonts w:ascii="Arial" w:hAnsi="Arial" w:cs="Arial"/>
                <w:sz w:val="16"/>
                <w:szCs w:val="16"/>
              </w:rPr>
              <w:t>6</w:t>
            </w:r>
            <w:r w:rsidRPr="004901F2">
              <w:rPr>
                <w:rFonts w:ascii="Arial" w:hAnsi="Arial" w:cs="Arial"/>
                <w:sz w:val="16"/>
                <w:szCs w:val="16"/>
              </w:rPr>
              <w:t>.1</w:t>
            </w:r>
          </w:p>
        </w:tc>
        <w:tc>
          <w:tcPr>
            <w:tcW w:w="2693" w:type="dxa"/>
            <w:vAlign w:val="center"/>
          </w:tcPr>
          <w:p w14:paraId="0E051587" w14:textId="77777777" w:rsidR="00D16E72" w:rsidRPr="004901F2" w:rsidRDefault="003F6605" w:rsidP="003F6605">
            <w:pPr>
              <w:spacing w:line="300" w:lineRule="atLeast"/>
              <w:rPr>
                <w:rFonts w:ascii="Arial" w:hAnsi="Arial" w:cs="Arial"/>
                <w:sz w:val="16"/>
                <w:szCs w:val="16"/>
              </w:rPr>
            </w:pPr>
            <w:r>
              <w:rPr>
                <w:rFonts w:ascii="Arial" w:hAnsi="Arial" w:cs="Arial"/>
                <w:sz w:val="16"/>
                <w:szCs w:val="16"/>
              </w:rPr>
              <w:t>Dental m</w:t>
            </w:r>
            <w:r w:rsidR="00D16E72">
              <w:rPr>
                <w:rFonts w:ascii="Arial" w:hAnsi="Arial" w:cs="Arial"/>
                <w:sz w:val="16"/>
                <w:szCs w:val="16"/>
              </w:rPr>
              <w:t>ercury</w:t>
            </w:r>
            <w:r>
              <w:rPr>
                <w:rFonts w:ascii="Arial" w:hAnsi="Arial" w:cs="Arial"/>
                <w:sz w:val="16"/>
                <w:szCs w:val="16"/>
              </w:rPr>
              <w:t xml:space="preserve"> amalgam fillings</w:t>
            </w:r>
          </w:p>
        </w:tc>
        <w:tc>
          <w:tcPr>
            <w:tcW w:w="850" w:type="dxa"/>
            <w:vAlign w:val="center"/>
          </w:tcPr>
          <w:p w14:paraId="74179FED" w14:textId="77777777" w:rsidR="00D16E72" w:rsidRPr="003F6605" w:rsidRDefault="003F6605" w:rsidP="00284F82">
            <w:pPr>
              <w:spacing w:before="40" w:after="40" w:line="300" w:lineRule="atLeast"/>
              <w:jc w:val="center"/>
              <w:rPr>
                <w:rFonts w:ascii="Arial" w:hAnsi="Arial" w:cs="Arial"/>
                <w:sz w:val="16"/>
                <w:szCs w:val="16"/>
              </w:rPr>
            </w:pPr>
            <w:r>
              <w:rPr>
                <w:rFonts w:ascii="Arial" w:hAnsi="Arial" w:cs="Arial"/>
                <w:sz w:val="16"/>
                <w:szCs w:val="16"/>
              </w:rPr>
              <w:t>x</w:t>
            </w:r>
          </w:p>
        </w:tc>
        <w:tc>
          <w:tcPr>
            <w:tcW w:w="851" w:type="dxa"/>
            <w:vAlign w:val="center"/>
          </w:tcPr>
          <w:p w14:paraId="495F36AA" w14:textId="77777777" w:rsidR="00D16E72" w:rsidRPr="004901F2" w:rsidRDefault="00D16E72" w:rsidP="00284F82">
            <w:pPr>
              <w:spacing w:before="40" w:after="40" w:line="300" w:lineRule="atLeast"/>
              <w:jc w:val="center"/>
              <w:rPr>
                <w:rFonts w:ascii="Arial" w:hAnsi="Arial" w:cs="Arial"/>
                <w:sz w:val="16"/>
                <w:szCs w:val="16"/>
              </w:rPr>
            </w:pPr>
            <w:r w:rsidRPr="00177AB0">
              <w:rPr>
                <w:rFonts w:ascii="Arial" w:hAnsi="Arial" w:cs="Arial"/>
                <w:b/>
                <w:sz w:val="16"/>
                <w:szCs w:val="16"/>
              </w:rPr>
              <w:t>X</w:t>
            </w:r>
          </w:p>
        </w:tc>
        <w:tc>
          <w:tcPr>
            <w:tcW w:w="851" w:type="dxa"/>
            <w:vAlign w:val="center"/>
          </w:tcPr>
          <w:p w14:paraId="64C1036E" w14:textId="77777777" w:rsidR="00D16E72" w:rsidRPr="004901F2" w:rsidRDefault="00D16E72" w:rsidP="00284F82">
            <w:pPr>
              <w:spacing w:before="40" w:after="40" w:line="300" w:lineRule="atLeast"/>
              <w:jc w:val="center"/>
              <w:rPr>
                <w:rFonts w:ascii="Arial" w:hAnsi="Arial" w:cs="Arial"/>
                <w:sz w:val="16"/>
                <w:szCs w:val="16"/>
              </w:rPr>
            </w:pPr>
          </w:p>
        </w:tc>
        <w:tc>
          <w:tcPr>
            <w:tcW w:w="992" w:type="dxa"/>
            <w:vAlign w:val="center"/>
          </w:tcPr>
          <w:p w14:paraId="5BAD6D79"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b/>
                <w:sz w:val="16"/>
                <w:szCs w:val="16"/>
              </w:rPr>
              <w:t>X</w:t>
            </w:r>
          </w:p>
        </w:tc>
        <w:tc>
          <w:tcPr>
            <w:tcW w:w="992" w:type="dxa"/>
            <w:vAlign w:val="center"/>
          </w:tcPr>
          <w:p w14:paraId="274DA4FB"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1099" w:type="dxa"/>
            <w:vAlign w:val="center"/>
          </w:tcPr>
          <w:p w14:paraId="68BF0BD8" w14:textId="77777777" w:rsidR="00D16E72" w:rsidRPr="004901F2" w:rsidRDefault="003F6605" w:rsidP="00284F82">
            <w:pPr>
              <w:spacing w:before="40" w:after="40" w:line="300" w:lineRule="atLeast"/>
              <w:jc w:val="center"/>
              <w:rPr>
                <w:rFonts w:ascii="Arial" w:hAnsi="Arial" w:cs="Arial"/>
                <w:sz w:val="16"/>
                <w:szCs w:val="16"/>
              </w:rPr>
            </w:pPr>
            <w:r w:rsidRPr="003F6605">
              <w:rPr>
                <w:rFonts w:ascii="Arial" w:hAnsi="Arial" w:cs="Arial"/>
                <w:sz w:val="16"/>
                <w:szCs w:val="16"/>
              </w:rPr>
              <w:t>OW</w:t>
            </w:r>
          </w:p>
        </w:tc>
      </w:tr>
      <w:tr w:rsidR="00D16E72" w:rsidRPr="004901F2" w14:paraId="1D80BF42" w14:textId="77777777" w:rsidTr="00284F82">
        <w:tc>
          <w:tcPr>
            <w:tcW w:w="851" w:type="dxa"/>
            <w:vAlign w:val="center"/>
          </w:tcPr>
          <w:p w14:paraId="33782F62" w14:textId="77777777" w:rsidR="00D16E72" w:rsidRPr="004901F2" w:rsidRDefault="003F6605" w:rsidP="00284F82">
            <w:pPr>
              <w:spacing w:before="40" w:after="40" w:line="300" w:lineRule="atLeast"/>
              <w:rPr>
                <w:rFonts w:ascii="Arial" w:hAnsi="Arial" w:cs="Arial"/>
                <w:sz w:val="16"/>
                <w:szCs w:val="16"/>
              </w:rPr>
            </w:pPr>
            <w:r>
              <w:rPr>
                <w:rFonts w:ascii="Arial" w:hAnsi="Arial" w:cs="Arial"/>
                <w:sz w:val="16"/>
                <w:szCs w:val="16"/>
              </w:rPr>
              <w:t>5.6</w:t>
            </w:r>
            <w:r w:rsidR="00D16E72" w:rsidRPr="004901F2">
              <w:rPr>
                <w:rFonts w:ascii="Arial" w:hAnsi="Arial" w:cs="Arial"/>
                <w:sz w:val="16"/>
                <w:szCs w:val="16"/>
              </w:rPr>
              <w:t>.2</w:t>
            </w:r>
          </w:p>
        </w:tc>
        <w:tc>
          <w:tcPr>
            <w:tcW w:w="2693" w:type="dxa"/>
            <w:vAlign w:val="center"/>
          </w:tcPr>
          <w:p w14:paraId="24BE94F3" w14:textId="77777777" w:rsidR="00D16E72" w:rsidRPr="004901F2" w:rsidRDefault="003F6605" w:rsidP="00284F82">
            <w:pPr>
              <w:spacing w:before="40" w:after="40" w:line="300" w:lineRule="atLeast"/>
              <w:rPr>
                <w:rFonts w:ascii="Arial" w:hAnsi="Arial" w:cs="Arial"/>
                <w:sz w:val="16"/>
                <w:szCs w:val="16"/>
              </w:rPr>
            </w:pPr>
            <w:r>
              <w:rPr>
                <w:rFonts w:ascii="Arial" w:hAnsi="Arial" w:cs="Arial"/>
                <w:sz w:val="16"/>
                <w:szCs w:val="16"/>
              </w:rPr>
              <w:t>Manometers and gauges</w:t>
            </w:r>
          </w:p>
        </w:tc>
        <w:tc>
          <w:tcPr>
            <w:tcW w:w="850" w:type="dxa"/>
            <w:vAlign w:val="center"/>
          </w:tcPr>
          <w:p w14:paraId="3E64F9A8" w14:textId="77777777" w:rsidR="00D16E72" w:rsidRPr="003F6605" w:rsidRDefault="003F6605" w:rsidP="00284F82">
            <w:pPr>
              <w:spacing w:before="40" w:after="40" w:line="300" w:lineRule="atLeast"/>
              <w:jc w:val="center"/>
              <w:rPr>
                <w:rFonts w:ascii="Arial" w:hAnsi="Arial" w:cs="Arial"/>
                <w:sz w:val="16"/>
                <w:szCs w:val="16"/>
              </w:rPr>
            </w:pPr>
            <w:r>
              <w:rPr>
                <w:rFonts w:ascii="Arial" w:hAnsi="Arial" w:cs="Arial"/>
                <w:sz w:val="16"/>
                <w:szCs w:val="16"/>
              </w:rPr>
              <w:t>x</w:t>
            </w:r>
          </w:p>
        </w:tc>
        <w:tc>
          <w:tcPr>
            <w:tcW w:w="851" w:type="dxa"/>
            <w:vAlign w:val="center"/>
          </w:tcPr>
          <w:p w14:paraId="42CA7188" w14:textId="77777777" w:rsidR="00D16E72" w:rsidRPr="004901F2" w:rsidRDefault="00D16E72" w:rsidP="00284F82">
            <w:pPr>
              <w:spacing w:before="40" w:after="40" w:line="300" w:lineRule="atLeast"/>
              <w:jc w:val="center"/>
              <w:rPr>
                <w:rFonts w:ascii="Arial" w:hAnsi="Arial" w:cs="Arial"/>
                <w:sz w:val="16"/>
                <w:szCs w:val="16"/>
              </w:rPr>
            </w:pPr>
            <w:r w:rsidRPr="00177AB0">
              <w:rPr>
                <w:rFonts w:ascii="Arial" w:hAnsi="Arial" w:cs="Arial"/>
                <w:b/>
                <w:sz w:val="16"/>
                <w:szCs w:val="16"/>
              </w:rPr>
              <w:t>X</w:t>
            </w:r>
          </w:p>
        </w:tc>
        <w:tc>
          <w:tcPr>
            <w:tcW w:w="851" w:type="dxa"/>
            <w:vAlign w:val="center"/>
          </w:tcPr>
          <w:p w14:paraId="6B723D87" w14:textId="77777777" w:rsidR="00D16E72" w:rsidRPr="003F6605" w:rsidRDefault="003F6605" w:rsidP="00284F82">
            <w:pPr>
              <w:spacing w:before="40" w:after="40" w:line="300" w:lineRule="atLeast"/>
              <w:jc w:val="center"/>
              <w:rPr>
                <w:rFonts w:ascii="Arial" w:hAnsi="Arial" w:cs="Arial"/>
                <w:sz w:val="16"/>
                <w:szCs w:val="16"/>
              </w:rPr>
            </w:pPr>
            <w:r>
              <w:rPr>
                <w:rFonts w:ascii="Arial" w:hAnsi="Arial" w:cs="Arial"/>
                <w:sz w:val="16"/>
                <w:szCs w:val="16"/>
              </w:rPr>
              <w:t>x</w:t>
            </w:r>
          </w:p>
        </w:tc>
        <w:tc>
          <w:tcPr>
            <w:tcW w:w="992" w:type="dxa"/>
            <w:vAlign w:val="center"/>
          </w:tcPr>
          <w:p w14:paraId="18AF5D0E" w14:textId="77777777" w:rsidR="00D16E72" w:rsidRPr="004901F2" w:rsidRDefault="003F6605" w:rsidP="00284F82">
            <w:pPr>
              <w:spacing w:before="40" w:after="40" w:line="300" w:lineRule="atLeast"/>
              <w:jc w:val="center"/>
              <w:rPr>
                <w:rFonts w:ascii="Arial" w:hAnsi="Arial" w:cs="Arial"/>
                <w:sz w:val="16"/>
                <w:szCs w:val="16"/>
              </w:rPr>
            </w:pPr>
            <w:r w:rsidRPr="003F6605">
              <w:rPr>
                <w:rFonts w:ascii="Arial" w:hAnsi="Arial" w:cs="Arial"/>
                <w:b/>
                <w:sz w:val="16"/>
                <w:szCs w:val="16"/>
              </w:rPr>
              <w:t>X</w:t>
            </w:r>
          </w:p>
        </w:tc>
        <w:tc>
          <w:tcPr>
            <w:tcW w:w="992" w:type="dxa"/>
            <w:vAlign w:val="center"/>
          </w:tcPr>
          <w:p w14:paraId="1A91A30D" w14:textId="77777777" w:rsidR="00D16E72" w:rsidRPr="004901F2" w:rsidRDefault="003F6605" w:rsidP="00284F82">
            <w:pPr>
              <w:spacing w:before="40" w:after="40" w:line="300" w:lineRule="atLeast"/>
              <w:jc w:val="center"/>
              <w:rPr>
                <w:rFonts w:ascii="Arial" w:hAnsi="Arial" w:cs="Arial"/>
                <w:sz w:val="16"/>
                <w:szCs w:val="16"/>
              </w:rPr>
            </w:pPr>
            <w:r w:rsidRPr="003F6605">
              <w:rPr>
                <w:rFonts w:ascii="Arial" w:hAnsi="Arial" w:cs="Arial"/>
                <w:b/>
                <w:sz w:val="16"/>
                <w:szCs w:val="16"/>
              </w:rPr>
              <w:t>X</w:t>
            </w:r>
          </w:p>
        </w:tc>
        <w:tc>
          <w:tcPr>
            <w:tcW w:w="1099" w:type="dxa"/>
            <w:vAlign w:val="center"/>
          </w:tcPr>
          <w:p w14:paraId="6028EFB4"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sz w:val="16"/>
                <w:szCs w:val="16"/>
              </w:rPr>
              <w:t>OW</w:t>
            </w:r>
          </w:p>
        </w:tc>
      </w:tr>
      <w:tr w:rsidR="00D16E72" w:rsidRPr="004901F2" w14:paraId="40F93576" w14:textId="77777777" w:rsidTr="00284F82">
        <w:tc>
          <w:tcPr>
            <w:tcW w:w="851" w:type="dxa"/>
            <w:vAlign w:val="center"/>
          </w:tcPr>
          <w:p w14:paraId="6F360BE8" w14:textId="77777777" w:rsidR="00D16E72" w:rsidRPr="004901F2" w:rsidRDefault="003F6605" w:rsidP="00284F82">
            <w:pPr>
              <w:spacing w:before="40" w:after="40" w:line="300" w:lineRule="atLeast"/>
              <w:rPr>
                <w:rFonts w:ascii="Arial" w:hAnsi="Arial" w:cs="Arial"/>
                <w:sz w:val="16"/>
                <w:szCs w:val="16"/>
              </w:rPr>
            </w:pPr>
            <w:r>
              <w:rPr>
                <w:rFonts w:ascii="Arial" w:hAnsi="Arial" w:cs="Arial"/>
                <w:sz w:val="16"/>
                <w:szCs w:val="16"/>
              </w:rPr>
              <w:t>5.6</w:t>
            </w:r>
            <w:r w:rsidR="00D16E72" w:rsidRPr="004901F2">
              <w:rPr>
                <w:rFonts w:ascii="Arial" w:hAnsi="Arial" w:cs="Arial"/>
                <w:sz w:val="16"/>
                <w:szCs w:val="16"/>
              </w:rPr>
              <w:t>.3</w:t>
            </w:r>
          </w:p>
        </w:tc>
        <w:tc>
          <w:tcPr>
            <w:tcW w:w="2693" w:type="dxa"/>
            <w:vAlign w:val="center"/>
          </w:tcPr>
          <w:p w14:paraId="0773C7AF" w14:textId="77777777" w:rsidR="00D16E72" w:rsidRPr="004901F2" w:rsidRDefault="003F6605" w:rsidP="00284F82">
            <w:pPr>
              <w:spacing w:line="300" w:lineRule="atLeast"/>
              <w:rPr>
                <w:rFonts w:ascii="Arial" w:hAnsi="Arial" w:cs="Arial"/>
                <w:sz w:val="16"/>
                <w:szCs w:val="16"/>
              </w:rPr>
            </w:pPr>
            <w:r>
              <w:rPr>
                <w:rFonts w:ascii="Arial" w:hAnsi="Arial" w:cs="Arial"/>
                <w:sz w:val="16"/>
                <w:szCs w:val="16"/>
              </w:rPr>
              <w:t>Laboratory chemicals and equipment</w:t>
            </w:r>
          </w:p>
        </w:tc>
        <w:tc>
          <w:tcPr>
            <w:tcW w:w="850" w:type="dxa"/>
            <w:vAlign w:val="center"/>
          </w:tcPr>
          <w:p w14:paraId="7FC0368C" w14:textId="77777777" w:rsidR="00D16E72" w:rsidRPr="003F6605" w:rsidRDefault="003F6605" w:rsidP="00284F82">
            <w:pPr>
              <w:spacing w:before="40" w:after="40" w:line="300" w:lineRule="atLeast"/>
              <w:jc w:val="center"/>
              <w:rPr>
                <w:rFonts w:ascii="Arial" w:hAnsi="Arial" w:cs="Arial"/>
                <w:sz w:val="16"/>
                <w:szCs w:val="16"/>
              </w:rPr>
            </w:pPr>
            <w:r>
              <w:rPr>
                <w:rFonts w:ascii="Arial" w:hAnsi="Arial" w:cs="Arial"/>
                <w:sz w:val="16"/>
                <w:szCs w:val="16"/>
              </w:rPr>
              <w:t>x</w:t>
            </w:r>
          </w:p>
        </w:tc>
        <w:tc>
          <w:tcPr>
            <w:tcW w:w="851" w:type="dxa"/>
            <w:vAlign w:val="center"/>
          </w:tcPr>
          <w:p w14:paraId="0BF99EFC"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0254E26C" w14:textId="77777777" w:rsidR="00D16E72" w:rsidRPr="004901F2" w:rsidRDefault="00D16E72" w:rsidP="00284F82">
            <w:pPr>
              <w:spacing w:before="40" w:after="40" w:line="300" w:lineRule="atLeast"/>
              <w:jc w:val="center"/>
              <w:rPr>
                <w:rFonts w:ascii="Arial" w:hAnsi="Arial" w:cs="Arial"/>
                <w:sz w:val="16"/>
                <w:szCs w:val="16"/>
              </w:rPr>
            </w:pPr>
          </w:p>
        </w:tc>
        <w:tc>
          <w:tcPr>
            <w:tcW w:w="992" w:type="dxa"/>
            <w:vAlign w:val="center"/>
          </w:tcPr>
          <w:p w14:paraId="0D7EF78B"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b/>
                <w:sz w:val="16"/>
                <w:szCs w:val="16"/>
              </w:rPr>
              <w:t>X</w:t>
            </w:r>
          </w:p>
        </w:tc>
        <w:tc>
          <w:tcPr>
            <w:tcW w:w="992" w:type="dxa"/>
            <w:vAlign w:val="center"/>
          </w:tcPr>
          <w:p w14:paraId="5AEB4CB7" w14:textId="77777777" w:rsidR="00D16E72" w:rsidRPr="004901F2" w:rsidRDefault="00D16E72" w:rsidP="00284F82">
            <w:pPr>
              <w:spacing w:before="40" w:after="40" w:line="300" w:lineRule="atLeast"/>
              <w:jc w:val="center"/>
              <w:rPr>
                <w:rFonts w:ascii="Arial" w:hAnsi="Arial" w:cs="Arial"/>
                <w:sz w:val="16"/>
                <w:szCs w:val="16"/>
              </w:rPr>
            </w:pPr>
            <w:r w:rsidRPr="00177AB0">
              <w:rPr>
                <w:rFonts w:ascii="Arial" w:hAnsi="Arial" w:cs="Arial"/>
                <w:b/>
                <w:sz w:val="16"/>
                <w:szCs w:val="16"/>
              </w:rPr>
              <w:t>X</w:t>
            </w:r>
          </w:p>
        </w:tc>
        <w:tc>
          <w:tcPr>
            <w:tcW w:w="1099" w:type="dxa"/>
            <w:vAlign w:val="center"/>
          </w:tcPr>
          <w:p w14:paraId="0FEAE253" w14:textId="77777777" w:rsidR="00D16E72" w:rsidRPr="004901F2" w:rsidRDefault="003F6605" w:rsidP="00284F82">
            <w:pPr>
              <w:spacing w:before="40" w:after="40" w:line="300" w:lineRule="atLeast"/>
              <w:jc w:val="center"/>
              <w:rPr>
                <w:rFonts w:ascii="Arial" w:hAnsi="Arial" w:cs="Arial"/>
                <w:sz w:val="16"/>
                <w:szCs w:val="16"/>
              </w:rPr>
            </w:pPr>
            <w:r w:rsidRPr="004901F2">
              <w:rPr>
                <w:rFonts w:ascii="Arial" w:hAnsi="Arial" w:cs="Arial"/>
                <w:sz w:val="16"/>
                <w:szCs w:val="16"/>
              </w:rPr>
              <w:t>OW</w:t>
            </w:r>
          </w:p>
        </w:tc>
      </w:tr>
      <w:tr w:rsidR="00D16E72" w:rsidRPr="004901F2" w14:paraId="5780D457" w14:textId="77777777" w:rsidTr="00284F82">
        <w:tc>
          <w:tcPr>
            <w:tcW w:w="851" w:type="dxa"/>
            <w:vAlign w:val="center"/>
          </w:tcPr>
          <w:p w14:paraId="3384C942" w14:textId="77777777" w:rsidR="00D16E72" w:rsidRPr="004901F2" w:rsidRDefault="003F6605" w:rsidP="00284F82">
            <w:pPr>
              <w:spacing w:before="40" w:after="40" w:line="300" w:lineRule="atLeast"/>
              <w:rPr>
                <w:rFonts w:ascii="Arial" w:hAnsi="Arial" w:cs="Arial"/>
                <w:sz w:val="16"/>
                <w:szCs w:val="16"/>
              </w:rPr>
            </w:pPr>
            <w:r>
              <w:rPr>
                <w:rFonts w:ascii="Arial" w:hAnsi="Arial" w:cs="Arial"/>
                <w:sz w:val="16"/>
                <w:szCs w:val="16"/>
              </w:rPr>
              <w:t>5.6</w:t>
            </w:r>
            <w:r w:rsidR="00D16E72" w:rsidRPr="004901F2">
              <w:rPr>
                <w:rFonts w:ascii="Arial" w:hAnsi="Arial" w:cs="Arial"/>
                <w:sz w:val="16"/>
                <w:szCs w:val="16"/>
              </w:rPr>
              <w:t>.4</w:t>
            </w:r>
          </w:p>
        </w:tc>
        <w:tc>
          <w:tcPr>
            <w:tcW w:w="2693" w:type="dxa"/>
            <w:vAlign w:val="center"/>
          </w:tcPr>
          <w:p w14:paraId="0829B735" w14:textId="77777777" w:rsidR="00D16E72" w:rsidRPr="004901F2" w:rsidRDefault="003F6605" w:rsidP="003F6605">
            <w:pPr>
              <w:spacing w:line="300" w:lineRule="atLeast"/>
              <w:rPr>
                <w:rFonts w:ascii="Arial" w:hAnsi="Arial" w:cs="Arial"/>
                <w:sz w:val="16"/>
                <w:szCs w:val="16"/>
              </w:rPr>
            </w:pPr>
            <w:r>
              <w:rPr>
                <w:rFonts w:ascii="Arial" w:hAnsi="Arial" w:cs="Arial"/>
                <w:sz w:val="16"/>
                <w:szCs w:val="16"/>
              </w:rPr>
              <w:t xml:space="preserve">Mercury use in religious rituals and folklore </w:t>
            </w:r>
          </w:p>
        </w:tc>
        <w:tc>
          <w:tcPr>
            <w:tcW w:w="850" w:type="dxa"/>
            <w:vAlign w:val="center"/>
          </w:tcPr>
          <w:p w14:paraId="436611A5"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3DBFB2EB"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7E3FC240"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992" w:type="dxa"/>
            <w:vAlign w:val="center"/>
          </w:tcPr>
          <w:p w14:paraId="6F0C0C21"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b/>
                <w:sz w:val="16"/>
                <w:szCs w:val="16"/>
              </w:rPr>
              <w:t>X</w:t>
            </w:r>
          </w:p>
        </w:tc>
        <w:tc>
          <w:tcPr>
            <w:tcW w:w="992" w:type="dxa"/>
            <w:vAlign w:val="center"/>
          </w:tcPr>
          <w:p w14:paraId="3C3A49FF"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1099" w:type="dxa"/>
            <w:vAlign w:val="center"/>
          </w:tcPr>
          <w:p w14:paraId="233586CB" w14:textId="77777777" w:rsidR="00D16E72" w:rsidRPr="004901F2" w:rsidRDefault="003F6605" w:rsidP="00284F82">
            <w:pPr>
              <w:spacing w:before="40" w:after="40" w:line="300" w:lineRule="atLeast"/>
              <w:jc w:val="center"/>
              <w:rPr>
                <w:rFonts w:ascii="Arial" w:hAnsi="Arial" w:cs="Arial"/>
                <w:sz w:val="16"/>
                <w:szCs w:val="16"/>
              </w:rPr>
            </w:pPr>
            <w:r w:rsidRPr="004901F2">
              <w:rPr>
                <w:rFonts w:ascii="Arial" w:hAnsi="Arial" w:cs="Arial"/>
                <w:sz w:val="16"/>
                <w:szCs w:val="16"/>
              </w:rPr>
              <w:t>OW</w:t>
            </w:r>
          </w:p>
        </w:tc>
      </w:tr>
      <w:tr w:rsidR="00D16E72" w:rsidRPr="004901F2" w14:paraId="20EC92E0" w14:textId="77777777" w:rsidTr="00284F82">
        <w:tc>
          <w:tcPr>
            <w:tcW w:w="851" w:type="dxa"/>
            <w:vAlign w:val="center"/>
          </w:tcPr>
          <w:p w14:paraId="045EE919" w14:textId="77777777" w:rsidR="00D16E72" w:rsidRPr="004901F2" w:rsidRDefault="003F6605" w:rsidP="00284F82">
            <w:pPr>
              <w:spacing w:before="40" w:after="40" w:line="300" w:lineRule="atLeast"/>
              <w:rPr>
                <w:rFonts w:ascii="Arial" w:hAnsi="Arial" w:cs="Arial"/>
                <w:sz w:val="16"/>
                <w:szCs w:val="16"/>
              </w:rPr>
            </w:pPr>
            <w:r>
              <w:rPr>
                <w:rFonts w:ascii="Arial" w:hAnsi="Arial" w:cs="Arial"/>
                <w:sz w:val="16"/>
                <w:szCs w:val="16"/>
              </w:rPr>
              <w:t>5.6</w:t>
            </w:r>
            <w:r w:rsidR="00D16E72" w:rsidRPr="004901F2">
              <w:rPr>
                <w:rFonts w:ascii="Arial" w:hAnsi="Arial" w:cs="Arial"/>
                <w:sz w:val="16"/>
                <w:szCs w:val="16"/>
              </w:rPr>
              <w:t>.5</w:t>
            </w:r>
          </w:p>
        </w:tc>
        <w:tc>
          <w:tcPr>
            <w:tcW w:w="2693" w:type="dxa"/>
            <w:vAlign w:val="center"/>
          </w:tcPr>
          <w:p w14:paraId="48210F3E" w14:textId="77777777" w:rsidR="00D16E72" w:rsidRPr="004901F2" w:rsidRDefault="003F6605" w:rsidP="00284F82">
            <w:pPr>
              <w:spacing w:line="300" w:lineRule="atLeast"/>
              <w:rPr>
                <w:rFonts w:ascii="Arial" w:hAnsi="Arial" w:cs="Arial"/>
                <w:sz w:val="16"/>
                <w:szCs w:val="16"/>
              </w:rPr>
            </w:pPr>
            <w:r>
              <w:rPr>
                <w:rFonts w:ascii="Arial" w:hAnsi="Arial" w:cs="Arial"/>
                <w:sz w:val="16"/>
                <w:szCs w:val="16"/>
              </w:rPr>
              <w:t>Miscellaneous product uses, mercury metal and other sources</w:t>
            </w:r>
          </w:p>
        </w:tc>
        <w:tc>
          <w:tcPr>
            <w:tcW w:w="850" w:type="dxa"/>
            <w:vAlign w:val="center"/>
          </w:tcPr>
          <w:p w14:paraId="375288FA"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745DB549" w14:textId="77777777" w:rsidR="00D16E72" w:rsidRPr="004901F2" w:rsidRDefault="00D16E72" w:rsidP="00284F82">
            <w:pPr>
              <w:spacing w:before="40" w:after="40" w:line="300" w:lineRule="atLeast"/>
              <w:jc w:val="center"/>
              <w:rPr>
                <w:rFonts w:ascii="Arial" w:hAnsi="Arial" w:cs="Arial"/>
                <w:sz w:val="16"/>
                <w:szCs w:val="16"/>
              </w:rPr>
            </w:pPr>
            <w:r w:rsidRPr="00177AB0">
              <w:rPr>
                <w:rFonts w:ascii="Arial" w:hAnsi="Arial" w:cs="Arial"/>
                <w:b/>
                <w:sz w:val="16"/>
                <w:szCs w:val="16"/>
              </w:rPr>
              <w:t>X</w:t>
            </w:r>
          </w:p>
        </w:tc>
        <w:tc>
          <w:tcPr>
            <w:tcW w:w="851" w:type="dxa"/>
            <w:vAlign w:val="center"/>
          </w:tcPr>
          <w:p w14:paraId="4A00A2E3"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b/>
                <w:sz w:val="16"/>
                <w:szCs w:val="16"/>
              </w:rPr>
              <w:t>X</w:t>
            </w:r>
          </w:p>
        </w:tc>
        <w:tc>
          <w:tcPr>
            <w:tcW w:w="992" w:type="dxa"/>
            <w:vAlign w:val="center"/>
          </w:tcPr>
          <w:p w14:paraId="1575B190"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b/>
                <w:sz w:val="16"/>
                <w:szCs w:val="16"/>
              </w:rPr>
              <w:t>X</w:t>
            </w:r>
          </w:p>
        </w:tc>
        <w:tc>
          <w:tcPr>
            <w:tcW w:w="992" w:type="dxa"/>
            <w:vAlign w:val="center"/>
          </w:tcPr>
          <w:p w14:paraId="5F29A5A5"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b/>
                <w:sz w:val="16"/>
                <w:szCs w:val="16"/>
              </w:rPr>
              <w:t>X</w:t>
            </w:r>
          </w:p>
        </w:tc>
        <w:tc>
          <w:tcPr>
            <w:tcW w:w="1099" w:type="dxa"/>
            <w:vAlign w:val="center"/>
          </w:tcPr>
          <w:p w14:paraId="5BC49DF4" w14:textId="77777777" w:rsidR="00D16E72" w:rsidRPr="004901F2" w:rsidRDefault="003F6605" w:rsidP="00284F82">
            <w:pPr>
              <w:spacing w:before="40" w:after="40" w:line="300" w:lineRule="atLeast"/>
              <w:jc w:val="center"/>
              <w:rPr>
                <w:rFonts w:ascii="Arial" w:hAnsi="Arial" w:cs="Arial"/>
                <w:sz w:val="16"/>
                <w:szCs w:val="16"/>
              </w:rPr>
            </w:pPr>
            <w:r w:rsidRPr="004901F2">
              <w:rPr>
                <w:rFonts w:ascii="Arial" w:hAnsi="Arial" w:cs="Arial"/>
                <w:sz w:val="16"/>
                <w:szCs w:val="16"/>
              </w:rPr>
              <w:t>OW</w:t>
            </w:r>
          </w:p>
        </w:tc>
      </w:tr>
    </w:tbl>
    <w:p w14:paraId="2ECB712B" w14:textId="77777777" w:rsidR="00D16E72" w:rsidRPr="00582EF2" w:rsidRDefault="00D16E72" w:rsidP="00D16E72">
      <w:pPr>
        <w:spacing w:before="60" w:after="60" w:line="260" w:lineRule="exact"/>
        <w:jc w:val="both"/>
        <w:rPr>
          <w:rFonts w:ascii="Arial" w:hAnsi="Arial" w:cs="Arial"/>
          <w:sz w:val="16"/>
          <w:szCs w:val="18"/>
        </w:rPr>
      </w:pPr>
      <w:r w:rsidRPr="00582EF2">
        <w:rPr>
          <w:rFonts w:ascii="Arial" w:hAnsi="Arial" w:cs="Arial"/>
          <w:sz w:val="16"/>
          <w:szCs w:val="18"/>
        </w:rPr>
        <w:t xml:space="preserve">Notes: </w:t>
      </w:r>
      <w:r w:rsidRPr="00582EF2">
        <w:rPr>
          <w:rFonts w:ascii="Arial" w:hAnsi="Arial" w:cs="Arial"/>
          <w:sz w:val="16"/>
          <w:szCs w:val="18"/>
        </w:rPr>
        <w:tab/>
        <w:t>OW = National/overview approach;</w:t>
      </w:r>
    </w:p>
    <w:p w14:paraId="4DC157A3" w14:textId="77777777" w:rsidR="00D16E72" w:rsidRPr="00582EF2" w:rsidRDefault="00D16E72" w:rsidP="00D16E72">
      <w:pPr>
        <w:spacing w:after="60" w:line="260" w:lineRule="exact"/>
        <w:ind w:firstLine="720"/>
        <w:jc w:val="both"/>
        <w:rPr>
          <w:rFonts w:ascii="Arial" w:hAnsi="Arial" w:cs="Arial"/>
          <w:sz w:val="16"/>
          <w:szCs w:val="18"/>
        </w:rPr>
      </w:pPr>
      <w:r w:rsidRPr="00582EF2">
        <w:rPr>
          <w:rFonts w:ascii="Arial" w:hAnsi="Arial" w:cs="Arial"/>
          <w:b/>
          <w:sz w:val="16"/>
          <w:szCs w:val="18"/>
        </w:rPr>
        <w:t>X</w:t>
      </w:r>
      <w:r w:rsidRPr="00582EF2">
        <w:rPr>
          <w:rFonts w:ascii="Arial" w:hAnsi="Arial" w:cs="Arial"/>
          <w:sz w:val="16"/>
          <w:szCs w:val="18"/>
        </w:rPr>
        <w:t xml:space="preserve"> - Release pathway expected to be predominant for the sub-category;</w:t>
      </w:r>
    </w:p>
    <w:p w14:paraId="0D4BD9F7" w14:textId="77777777" w:rsidR="00D16E72" w:rsidRPr="00582EF2" w:rsidRDefault="00D16E72" w:rsidP="00D16E72">
      <w:pPr>
        <w:spacing w:after="60" w:line="260" w:lineRule="exact"/>
        <w:ind w:firstLine="720"/>
        <w:jc w:val="both"/>
        <w:rPr>
          <w:rFonts w:ascii="Arial" w:hAnsi="Arial" w:cs="Arial"/>
          <w:sz w:val="16"/>
          <w:szCs w:val="18"/>
        </w:rPr>
      </w:pPr>
      <w:r w:rsidRPr="00582EF2">
        <w:rPr>
          <w:rFonts w:ascii="Arial" w:hAnsi="Arial" w:cs="Arial"/>
          <w:sz w:val="16"/>
          <w:szCs w:val="18"/>
        </w:rPr>
        <w:t>x - Additional release pathways to be considered, depending on specific source and national situation.</w:t>
      </w:r>
    </w:p>
    <w:p w14:paraId="31F592BA" w14:textId="77777777" w:rsidR="00D16E72" w:rsidRPr="00B634A9" w:rsidRDefault="00DC5D8A" w:rsidP="00DC5D8A">
      <w:pPr>
        <w:pStyle w:val="Heading2"/>
      </w:pPr>
      <w:bookmarkStart w:id="118" w:name="_Toc110355548"/>
      <w:r w:rsidRPr="00B634A9">
        <w:t>Dental mercury amalgam fillings</w:t>
      </w:r>
      <w:bookmarkEnd w:id="118"/>
    </w:p>
    <w:p w14:paraId="350AB3AD" w14:textId="7D8515E9" w:rsidR="00746C34" w:rsidRPr="00E04781" w:rsidRDefault="009A0339" w:rsidP="003833D6">
      <w:pPr>
        <w:spacing w:line="300" w:lineRule="atLeast"/>
        <w:jc w:val="both"/>
        <w:rPr>
          <w:szCs w:val="18"/>
        </w:rPr>
      </w:pPr>
      <w:r w:rsidRPr="00E04781">
        <w:rPr>
          <w:szCs w:val="18"/>
        </w:rPr>
        <w:t>Mercury is used in a range of dental amalgams</w:t>
      </w:r>
      <w:r w:rsidR="00E04781">
        <w:rPr>
          <w:szCs w:val="18"/>
        </w:rPr>
        <w:t xml:space="preserve"> which are used in restorative dentistry. M</w:t>
      </w:r>
      <w:r w:rsidRPr="00E04781">
        <w:rPr>
          <w:szCs w:val="18"/>
        </w:rPr>
        <w:t>ercury typically</w:t>
      </w:r>
      <w:r w:rsidR="00E04781">
        <w:rPr>
          <w:szCs w:val="18"/>
        </w:rPr>
        <w:t xml:space="preserve"> comprises about</w:t>
      </w:r>
      <w:r w:rsidRPr="00E04781">
        <w:rPr>
          <w:szCs w:val="18"/>
        </w:rPr>
        <w:t xml:space="preserve"> 4</w:t>
      </w:r>
      <w:r w:rsidR="00144B93" w:rsidRPr="00E04781">
        <w:rPr>
          <w:szCs w:val="18"/>
        </w:rPr>
        <w:t>5</w:t>
      </w:r>
      <w:r w:rsidRPr="00E04781">
        <w:rPr>
          <w:szCs w:val="18"/>
        </w:rPr>
        <w:t xml:space="preserve"> to 50%</w:t>
      </w:r>
      <w:r w:rsidR="00E04781">
        <w:rPr>
          <w:szCs w:val="18"/>
        </w:rPr>
        <w:t xml:space="preserve"> of these amalgams</w:t>
      </w:r>
      <w:r w:rsidRPr="00E04781">
        <w:rPr>
          <w:szCs w:val="18"/>
        </w:rPr>
        <w:t xml:space="preserve">. </w:t>
      </w:r>
      <w:r w:rsidR="00E04781">
        <w:rPr>
          <w:szCs w:val="18"/>
        </w:rPr>
        <w:t xml:space="preserve">The amount of amalgam used to fill a cavity depends on its size. Amalgam capsules are sold in different </w:t>
      </w:r>
      <w:r w:rsidR="005E78DF">
        <w:rPr>
          <w:szCs w:val="18"/>
        </w:rPr>
        <w:t>weights</w:t>
      </w:r>
      <w:r w:rsidR="00E04781">
        <w:rPr>
          <w:szCs w:val="18"/>
        </w:rPr>
        <w:t xml:space="preserve"> with the amount of mercury present corresponding to 400 mg, 600 mg, 80</w:t>
      </w:r>
      <w:r w:rsidR="005E78DF">
        <w:rPr>
          <w:szCs w:val="18"/>
        </w:rPr>
        <w:t>0</w:t>
      </w:r>
      <w:r w:rsidR="00E04781">
        <w:rPr>
          <w:szCs w:val="18"/>
        </w:rPr>
        <w:t xml:space="preserve"> mg and 1200mg. </w:t>
      </w:r>
      <w:r w:rsidRPr="00E04781">
        <w:rPr>
          <w:szCs w:val="18"/>
        </w:rPr>
        <w:t>These amalgams are still used in New Zealand, although non-mercury alternative</w:t>
      </w:r>
      <w:r w:rsidR="006A5610" w:rsidRPr="00E04781">
        <w:rPr>
          <w:szCs w:val="18"/>
        </w:rPr>
        <w:t>s are readily available</w:t>
      </w:r>
      <w:r w:rsidR="00DA1E2B">
        <w:rPr>
          <w:szCs w:val="18"/>
        </w:rPr>
        <w:t xml:space="preserve"> and have largely replaced amalgam.</w:t>
      </w:r>
      <w:r w:rsidR="006A5610" w:rsidRPr="00E04781">
        <w:rPr>
          <w:szCs w:val="18"/>
        </w:rPr>
        <w:t xml:space="preserve"> </w:t>
      </w:r>
    </w:p>
    <w:p w14:paraId="5020A246" w14:textId="151F6999" w:rsidR="00D16E72" w:rsidRPr="00C0334F" w:rsidRDefault="00E26A92" w:rsidP="003833D6">
      <w:pPr>
        <w:spacing w:line="300" w:lineRule="atLeast"/>
        <w:jc w:val="both"/>
        <w:rPr>
          <w:szCs w:val="18"/>
        </w:rPr>
      </w:pPr>
      <w:r>
        <w:rPr>
          <w:szCs w:val="18"/>
        </w:rPr>
        <w:t>O</w:t>
      </w:r>
      <w:r w:rsidR="00C0334F">
        <w:rPr>
          <w:szCs w:val="18"/>
        </w:rPr>
        <w:t xml:space="preserve">nly </w:t>
      </w:r>
      <w:r>
        <w:rPr>
          <w:szCs w:val="18"/>
        </w:rPr>
        <w:t>one company was identified as selling</w:t>
      </w:r>
      <w:r w:rsidR="00C0334F">
        <w:rPr>
          <w:szCs w:val="18"/>
        </w:rPr>
        <w:t xml:space="preserve"> mercury amalgam restorative products in 202</w:t>
      </w:r>
      <w:r>
        <w:rPr>
          <w:szCs w:val="18"/>
        </w:rPr>
        <w:t>4</w:t>
      </w:r>
      <w:r w:rsidR="00C0334F">
        <w:rPr>
          <w:szCs w:val="18"/>
        </w:rPr>
        <w:t xml:space="preserve">. </w:t>
      </w:r>
      <w:r w:rsidR="00B64BA0">
        <w:rPr>
          <w:szCs w:val="18"/>
        </w:rPr>
        <w:t xml:space="preserve">Product sales numbers combined with the amount of mercury in each sale item allowed the calculation of a total </w:t>
      </w:r>
      <w:r w:rsidR="0092618A">
        <w:rPr>
          <w:szCs w:val="18"/>
        </w:rPr>
        <w:t xml:space="preserve">mercury input of </w:t>
      </w:r>
      <w:r>
        <w:rPr>
          <w:szCs w:val="18"/>
        </w:rPr>
        <w:t>1.71</w:t>
      </w:r>
      <w:r w:rsidR="0092618A">
        <w:rPr>
          <w:szCs w:val="18"/>
        </w:rPr>
        <w:t xml:space="preserve"> kg</w:t>
      </w:r>
      <w:r w:rsidR="00B64BA0">
        <w:rPr>
          <w:szCs w:val="18"/>
        </w:rPr>
        <w:t xml:space="preserve"> for 202</w:t>
      </w:r>
      <w:r>
        <w:rPr>
          <w:szCs w:val="18"/>
        </w:rPr>
        <w:t>4</w:t>
      </w:r>
      <w:r w:rsidR="00B64BA0">
        <w:rPr>
          <w:szCs w:val="18"/>
        </w:rPr>
        <w:t>.</w:t>
      </w:r>
    </w:p>
    <w:p w14:paraId="0EFE4A26" w14:textId="77777777" w:rsidR="009D3B23" w:rsidRPr="00B64BA0" w:rsidRDefault="009D3B23" w:rsidP="009D3B23">
      <w:pPr>
        <w:spacing w:line="300" w:lineRule="atLeast"/>
        <w:jc w:val="both"/>
        <w:rPr>
          <w:rFonts w:ascii="Arial" w:hAnsi="Arial" w:cs="Arial"/>
          <w:b/>
          <w:szCs w:val="18"/>
        </w:rPr>
      </w:pPr>
      <w:r w:rsidRPr="00B64BA0">
        <w:rPr>
          <w:rFonts w:ascii="Arial" w:hAnsi="Arial" w:cs="Arial"/>
          <w:b/>
          <w:szCs w:val="18"/>
        </w:rPr>
        <w:t>Input and output estimates</w:t>
      </w:r>
    </w:p>
    <w:p w14:paraId="649580BF" w14:textId="0D85AABB" w:rsidR="009D3B23" w:rsidRPr="005E78DF" w:rsidRDefault="00FE6C76" w:rsidP="009D3B23">
      <w:pPr>
        <w:spacing w:line="300" w:lineRule="atLeast"/>
        <w:jc w:val="both"/>
        <w:rPr>
          <w:szCs w:val="18"/>
        </w:rPr>
      </w:pPr>
      <w:r w:rsidRPr="00754C65">
        <w:rPr>
          <w:szCs w:val="18"/>
        </w:rPr>
        <w:t>The</w:t>
      </w:r>
      <w:r w:rsidR="009D3B23" w:rsidRPr="00754C65">
        <w:rPr>
          <w:szCs w:val="18"/>
        </w:rPr>
        <w:t xml:space="preserve"> output factors </w:t>
      </w:r>
      <w:r w:rsidR="00C67CA8" w:rsidRPr="008F1D97">
        <w:rPr>
          <w:szCs w:val="18"/>
        </w:rPr>
        <w:t>given in the Toolkit are</w:t>
      </w:r>
      <w:r w:rsidR="009D3B23" w:rsidRPr="008F1D97">
        <w:rPr>
          <w:szCs w:val="18"/>
        </w:rPr>
        <w:t xml:space="preserve"> 0.02 (2%)</w:t>
      </w:r>
      <w:r w:rsidR="009D3B23" w:rsidRPr="005E78DF">
        <w:rPr>
          <w:szCs w:val="18"/>
        </w:rPr>
        <w:t xml:space="preserve"> to air, 0.14 (14%) to water, 0.6 (60%) in products (ie</w:t>
      </w:r>
      <w:r w:rsidR="00184FFC">
        <w:rPr>
          <w:szCs w:val="18"/>
        </w:rPr>
        <w:t>,</w:t>
      </w:r>
      <w:r w:rsidR="009D3B23" w:rsidRPr="005E78DF">
        <w:rPr>
          <w:szCs w:val="18"/>
        </w:rPr>
        <w:t xml:space="preserve"> teeth), and 0.24 (24 %) to waste.</w:t>
      </w:r>
      <w:r w:rsidR="00091716" w:rsidRPr="005E78DF">
        <w:rPr>
          <w:szCs w:val="18"/>
        </w:rPr>
        <w:t xml:space="preserve"> The outputs to water and wastes may be modified if the dental surgeries are fitted with </w:t>
      </w:r>
      <w:r w:rsidR="0067724A" w:rsidRPr="005E78DF">
        <w:rPr>
          <w:szCs w:val="18"/>
        </w:rPr>
        <w:t xml:space="preserve">high </w:t>
      </w:r>
      <w:r w:rsidR="00F04A74" w:rsidRPr="005E78DF">
        <w:rPr>
          <w:szCs w:val="18"/>
        </w:rPr>
        <w:t>efficiency</w:t>
      </w:r>
      <w:r w:rsidR="0067724A" w:rsidRPr="005E78DF">
        <w:rPr>
          <w:szCs w:val="18"/>
        </w:rPr>
        <w:t xml:space="preserve"> </w:t>
      </w:r>
      <w:r w:rsidR="00091716" w:rsidRPr="005E78DF">
        <w:rPr>
          <w:szCs w:val="18"/>
        </w:rPr>
        <w:t xml:space="preserve">amalgam filters, which can remove up to 95% of the mercury from the water outputs. </w:t>
      </w:r>
      <w:r w:rsidR="0067724A" w:rsidRPr="005E78DF">
        <w:rPr>
          <w:szCs w:val="18"/>
        </w:rPr>
        <w:t xml:space="preserve">However, it </w:t>
      </w:r>
      <w:r w:rsidR="00AF7B30" w:rsidRPr="005E78DF">
        <w:rPr>
          <w:szCs w:val="18"/>
        </w:rPr>
        <w:t xml:space="preserve">was noted in the 2012 Inventory Report </w:t>
      </w:r>
      <w:r w:rsidR="0067724A" w:rsidRPr="005E78DF">
        <w:rPr>
          <w:szCs w:val="18"/>
        </w:rPr>
        <w:t xml:space="preserve">that these are not widely </w:t>
      </w:r>
      <w:r w:rsidR="00091716" w:rsidRPr="005E78DF">
        <w:rPr>
          <w:szCs w:val="18"/>
        </w:rPr>
        <w:t xml:space="preserve">used </w:t>
      </w:r>
      <w:r w:rsidR="003E68D6" w:rsidRPr="005E78DF">
        <w:rPr>
          <w:szCs w:val="18"/>
        </w:rPr>
        <w:t>in New Zealand,</w:t>
      </w:r>
      <w:r w:rsidR="0067724A" w:rsidRPr="005E78DF">
        <w:rPr>
          <w:szCs w:val="18"/>
        </w:rPr>
        <w:t xml:space="preserve"> with </w:t>
      </w:r>
      <w:r w:rsidR="00091716" w:rsidRPr="005E78DF">
        <w:rPr>
          <w:szCs w:val="18"/>
        </w:rPr>
        <w:t xml:space="preserve">about 50% of dentists </w:t>
      </w:r>
      <w:r w:rsidR="0067724A" w:rsidRPr="005E78DF">
        <w:rPr>
          <w:szCs w:val="18"/>
        </w:rPr>
        <w:t>us</w:t>
      </w:r>
      <w:r w:rsidR="003E68D6" w:rsidRPr="005E78DF">
        <w:rPr>
          <w:szCs w:val="18"/>
        </w:rPr>
        <w:t>ing</w:t>
      </w:r>
      <w:r w:rsidR="0067724A" w:rsidRPr="005E78DF">
        <w:rPr>
          <w:szCs w:val="18"/>
        </w:rPr>
        <w:t xml:space="preserve"> basic filter systems</w:t>
      </w:r>
      <w:r w:rsidR="00091716" w:rsidRPr="005E78DF">
        <w:rPr>
          <w:szCs w:val="18"/>
        </w:rPr>
        <w:t xml:space="preserve"> </w:t>
      </w:r>
      <w:r w:rsidR="003E68D6" w:rsidRPr="005E78DF">
        <w:rPr>
          <w:szCs w:val="18"/>
        </w:rPr>
        <w:t>and the remainder having</w:t>
      </w:r>
      <w:r w:rsidR="0067724A" w:rsidRPr="005E78DF">
        <w:rPr>
          <w:szCs w:val="18"/>
        </w:rPr>
        <w:t xml:space="preserve"> no filtration at all.</w:t>
      </w:r>
      <w:r w:rsidR="00091716" w:rsidRPr="005E78DF">
        <w:rPr>
          <w:szCs w:val="18"/>
        </w:rPr>
        <w:t xml:space="preserve"> </w:t>
      </w:r>
      <w:r w:rsidR="0067724A" w:rsidRPr="005E78DF">
        <w:rPr>
          <w:szCs w:val="18"/>
        </w:rPr>
        <w:t>T</w:t>
      </w:r>
      <w:r w:rsidR="00091716" w:rsidRPr="005E78DF">
        <w:rPr>
          <w:szCs w:val="18"/>
        </w:rPr>
        <w:t xml:space="preserve">he </w:t>
      </w:r>
      <w:r w:rsidR="0067724A" w:rsidRPr="005E78DF">
        <w:rPr>
          <w:szCs w:val="18"/>
        </w:rPr>
        <w:t xml:space="preserve">limited quantities of wastes </w:t>
      </w:r>
      <w:r w:rsidR="00091716" w:rsidRPr="005E78DF">
        <w:rPr>
          <w:szCs w:val="18"/>
        </w:rPr>
        <w:t xml:space="preserve">collected </w:t>
      </w:r>
      <w:r w:rsidR="0067724A" w:rsidRPr="005E78DF">
        <w:rPr>
          <w:szCs w:val="18"/>
        </w:rPr>
        <w:t xml:space="preserve">by the filters </w:t>
      </w:r>
      <w:r w:rsidR="00091716" w:rsidRPr="005E78DF">
        <w:rPr>
          <w:szCs w:val="18"/>
        </w:rPr>
        <w:t xml:space="preserve">are </w:t>
      </w:r>
      <w:r w:rsidR="00F3101D" w:rsidRPr="005E78DF">
        <w:rPr>
          <w:szCs w:val="18"/>
        </w:rPr>
        <w:t xml:space="preserve">either </w:t>
      </w:r>
      <w:r w:rsidR="00091716" w:rsidRPr="005E78DF">
        <w:rPr>
          <w:szCs w:val="18"/>
        </w:rPr>
        <w:t>disposed to landfill</w:t>
      </w:r>
      <w:r w:rsidR="0067724A" w:rsidRPr="005E78DF">
        <w:rPr>
          <w:szCs w:val="18"/>
        </w:rPr>
        <w:t>,</w:t>
      </w:r>
      <w:r w:rsidR="00F3101D" w:rsidRPr="005E78DF">
        <w:rPr>
          <w:szCs w:val="18"/>
        </w:rPr>
        <w:t xml:space="preserve"> recycled </w:t>
      </w:r>
      <w:r w:rsidR="0067724A" w:rsidRPr="005E78DF">
        <w:rPr>
          <w:szCs w:val="18"/>
        </w:rPr>
        <w:t xml:space="preserve">or exported </w:t>
      </w:r>
      <w:r w:rsidR="00AF7B30" w:rsidRPr="005E78DF">
        <w:rPr>
          <w:szCs w:val="18"/>
        </w:rPr>
        <w:t>but n</w:t>
      </w:r>
      <w:r w:rsidR="003E68D6" w:rsidRPr="005E78DF">
        <w:rPr>
          <w:szCs w:val="18"/>
        </w:rPr>
        <w:t>o</w:t>
      </w:r>
      <w:r w:rsidR="00B53170" w:rsidRPr="005E78DF">
        <w:rPr>
          <w:szCs w:val="18"/>
        </w:rPr>
        <w:t xml:space="preserve"> specific data is available on the quantities of dental wastes that are recycled or exported.</w:t>
      </w:r>
    </w:p>
    <w:p w14:paraId="56791D44" w14:textId="60E58211" w:rsidR="009D3B23" w:rsidRPr="005E78DF" w:rsidRDefault="009D3B23" w:rsidP="009D3B23">
      <w:pPr>
        <w:spacing w:line="300" w:lineRule="atLeast"/>
        <w:jc w:val="both"/>
        <w:rPr>
          <w:szCs w:val="18"/>
        </w:rPr>
      </w:pPr>
      <w:r w:rsidRPr="005E78DF">
        <w:rPr>
          <w:szCs w:val="18"/>
        </w:rPr>
        <w:t xml:space="preserve">The mercury input and output estimates for mercury </w:t>
      </w:r>
      <w:r w:rsidR="00091716" w:rsidRPr="005E78DF">
        <w:rPr>
          <w:szCs w:val="18"/>
        </w:rPr>
        <w:t>dental amalgam</w:t>
      </w:r>
      <w:r w:rsidRPr="005E78DF">
        <w:rPr>
          <w:szCs w:val="18"/>
        </w:rPr>
        <w:t xml:space="preserve"> are shown in</w:t>
      </w:r>
      <w:r w:rsidR="00091716" w:rsidRPr="005E78DF">
        <w:rPr>
          <w:szCs w:val="18"/>
        </w:rPr>
        <w:t xml:space="preserve"> </w:t>
      </w:r>
      <w:r w:rsidR="00091716" w:rsidRPr="005E78DF">
        <w:rPr>
          <w:szCs w:val="18"/>
        </w:rPr>
        <w:fldChar w:fldCharType="begin"/>
      </w:r>
      <w:r w:rsidR="00091716" w:rsidRPr="005E78DF">
        <w:rPr>
          <w:szCs w:val="18"/>
        </w:rPr>
        <w:instrText xml:space="preserve"> REF _Ref358777280 \h </w:instrText>
      </w:r>
      <w:r w:rsidR="0094605E" w:rsidRPr="005E78DF">
        <w:rPr>
          <w:szCs w:val="18"/>
        </w:rPr>
        <w:instrText xml:space="preserve"> \* MERGEFORMAT </w:instrText>
      </w:r>
      <w:r w:rsidR="00091716" w:rsidRPr="005E78DF">
        <w:rPr>
          <w:szCs w:val="18"/>
        </w:rPr>
      </w:r>
      <w:r w:rsidR="00091716" w:rsidRPr="005E78DF">
        <w:rPr>
          <w:szCs w:val="18"/>
        </w:rPr>
        <w:fldChar w:fldCharType="separate"/>
      </w:r>
      <w:r w:rsidR="00892B2D" w:rsidRPr="00892B2D">
        <w:t xml:space="preserve">Table </w:t>
      </w:r>
      <w:r w:rsidR="00892B2D" w:rsidRPr="00892B2D">
        <w:rPr>
          <w:noProof/>
        </w:rPr>
        <w:t>8</w:t>
      </w:r>
      <w:r w:rsidR="00892B2D" w:rsidRPr="00892B2D">
        <w:rPr>
          <w:noProof/>
        </w:rPr>
        <w:noBreakHyphen/>
        <w:t>2</w:t>
      </w:r>
      <w:r w:rsidR="00091716" w:rsidRPr="005E78DF">
        <w:rPr>
          <w:szCs w:val="18"/>
        </w:rPr>
        <w:fldChar w:fldCharType="end"/>
      </w:r>
      <w:r w:rsidRPr="005E78DF">
        <w:rPr>
          <w:szCs w:val="18"/>
        </w:rPr>
        <w:t>.</w:t>
      </w:r>
      <w:r w:rsidR="009D242E" w:rsidRPr="005E78DF">
        <w:rPr>
          <w:szCs w:val="18"/>
        </w:rPr>
        <w:t xml:space="preserve"> The figure shown for </w:t>
      </w:r>
      <w:r w:rsidR="007E74A5" w:rsidRPr="00754C65">
        <w:rPr>
          <w:szCs w:val="18"/>
        </w:rPr>
        <w:t>product</w:t>
      </w:r>
      <w:r w:rsidR="009D242E" w:rsidRPr="00754C65">
        <w:rPr>
          <w:szCs w:val="18"/>
        </w:rPr>
        <w:t xml:space="preserve"> represents an annual addition to the existing stocks of mercury in the teeth of most New Zealanders</w:t>
      </w:r>
      <w:r w:rsidR="00FE1A1B" w:rsidRPr="008F1D97">
        <w:rPr>
          <w:szCs w:val="18"/>
        </w:rPr>
        <w:t>, which have not been assessed</w:t>
      </w:r>
      <w:r w:rsidR="009D242E" w:rsidRPr="005E78DF">
        <w:rPr>
          <w:szCs w:val="18"/>
        </w:rPr>
        <w:t>.</w:t>
      </w:r>
      <w:r w:rsidR="00FE1A1B" w:rsidRPr="005E78DF">
        <w:rPr>
          <w:szCs w:val="18"/>
        </w:rPr>
        <w:t xml:space="preserve"> Similarly, the figure shown for wastes does not include any amounts removed during filling replacement or tooth extraction, which would be very difficult to determine.</w:t>
      </w:r>
      <w:r w:rsidR="00435C60" w:rsidRPr="005E78DF">
        <w:rPr>
          <w:szCs w:val="18"/>
        </w:rPr>
        <w:t xml:space="preserve"> </w:t>
      </w:r>
    </w:p>
    <w:p w14:paraId="7F649988" w14:textId="052B74D5" w:rsidR="009D3B23" w:rsidRPr="00B64BA0" w:rsidRDefault="00091716" w:rsidP="00091716">
      <w:pPr>
        <w:pStyle w:val="Caption"/>
        <w:spacing w:before="240"/>
        <w:rPr>
          <w:szCs w:val="18"/>
        </w:rPr>
      </w:pPr>
      <w:bookmarkStart w:id="119" w:name="_Ref358777280"/>
      <w:bookmarkStart w:id="120" w:name="_Toc110355487"/>
      <w:r w:rsidRPr="005E78DF">
        <w:rPr>
          <w:rFonts w:ascii="Arial" w:hAnsi="Arial" w:cs="Arial"/>
        </w:rPr>
        <w:t xml:space="preserve">Table </w:t>
      </w:r>
      <w:r w:rsidR="00390C9F" w:rsidRPr="005E78DF">
        <w:rPr>
          <w:rFonts w:ascii="Arial" w:hAnsi="Arial" w:cs="Arial"/>
        </w:rPr>
        <w:fldChar w:fldCharType="begin"/>
      </w:r>
      <w:r w:rsidR="00390C9F" w:rsidRPr="005E78DF">
        <w:rPr>
          <w:rFonts w:ascii="Arial" w:hAnsi="Arial" w:cs="Arial"/>
        </w:rPr>
        <w:instrText xml:space="preserve"> STYLEREF 1 \s </w:instrText>
      </w:r>
      <w:r w:rsidR="00390C9F" w:rsidRPr="005E78DF">
        <w:rPr>
          <w:rFonts w:ascii="Arial" w:hAnsi="Arial" w:cs="Arial"/>
        </w:rPr>
        <w:fldChar w:fldCharType="separate"/>
      </w:r>
      <w:r w:rsidR="00892B2D">
        <w:rPr>
          <w:rFonts w:ascii="Arial" w:hAnsi="Arial" w:cs="Arial"/>
          <w:noProof/>
        </w:rPr>
        <w:t>8</w:t>
      </w:r>
      <w:r w:rsidR="00390C9F" w:rsidRPr="005E78DF">
        <w:rPr>
          <w:rFonts w:ascii="Arial" w:hAnsi="Arial" w:cs="Arial"/>
        </w:rPr>
        <w:fldChar w:fldCharType="end"/>
      </w:r>
      <w:r w:rsidR="00390C9F" w:rsidRPr="005E78DF">
        <w:rPr>
          <w:rFonts w:ascii="Arial" w:hAnsi="Arial" w:cs="Arial"/>
        </w:rPr>
        <w:noBreakHyphen/>
      </w:r>
      <w:r w:rsidR="00390C9F" w:rsidRPr="005E78DF">
        <w:rPr>
          <w:rFonts w:ascii="Arial" w:hAnsi="Arial" w:cs="Arial"/>
        </w:rPr>
        <w:fldChar w:fldCharType="begin"/>
      </w:r>
      <w:r w:rsidR="00390C9F" w:rsidRPr="005E78DF">
        <w:rPr>
          <w:rFonts w:ascii="Arial" w:hAnsi="Arial" w:cs="Arial"/>
        </w:rPr>
        <w:instrText xml:space="preserve"> SEQ Table \* ARABIC \s 1 </w:instrText>
      </w:r>
      <w:r w:rsidR="00390C9F" w:rsidRPr="005E78DF">
        <w:rPr>
          <w:rFonts w:ascii="Arial" w:hAnsi="Arial" w:cs="Arial"/>
        </w:rPr>
        <w:fldChar w:fldCharType="separate"/>
      </w:r>
      <w:r w:rsidR="00892B2D">
        <w:rPr>
          <w:rFonts w:ascii="Arial" w:hAnsi="Arial" w:cs="Arial"/>
          <w:noProof/>
        </w:rPr>
        <w:t>2</w:t>
      </w:r>
      <w:r w:rsidR="00390C9F" w:rsidRPr="005E78DF">
        <w:rPr>
          <w:rFonts w:ascii="Arial" w:hAnsi="Arial" w:cs="Arial"/>
        </w:rPr>
        <w:fldChar w:fldCharType="end"/>
      </w:r>
      <w:bookmarkEnd w:id="119"/>
      <w:r w:rsidR="009D3B23" w:rsidRPr="005E78DF">
        <w:rPr>
          <w:rFonts w:ascii="Arial" w:hAnsi="Arial" w:cs="Arial"/>
        </w:rPr>
        <w:t>:</w:t>
      </w:r>
      <w:r w:rsidR="009D3B23" w:rsidRPr="005E78DF">
        <w:t xml:space="preserve"> </w:t>
      </w:r>
      <w:r w:rsidR="00403501">
        <w:t xml:space="preserve"> </w:t>
      </w:r>
      <w:r w:rsidR="009D3B23" w:rsidRPr="00C0334F">
        <w:rPr>
          <w:rFonts w:ascii="Arial" w:hAnsi="Arial" w:cs="Arial"/>
        </w:rPr>
        <w:t xml:space="preserve">Input and output estimates for mercury </w:t>
      </w:r>
      <w:r w:rsidRPr="0092618A">
        <w:rPr>
          <w:rFonts w:ascii="Arial" w:hAnsi="Arial" w:cs="Arial"/>
        </w:rPr>
        <w:t>dental amalgam</w:t>
      </w:r>
      <w:bookmarkEnd w:id="120"/>
    </w:p>
    <w:tbl>
      <w:tblPr>
        <w:tblStyle w:val="TableGrid"/>
        <w:tblW w:w="9322" w:type="dxa"/>
        <w:tblLook w:val="04A0" w:firstRow="1" w:lastRow="0" w:firstColumn="1" w:lastColumn="0" w:noHBand="0" w:noVBand="1"/>
      </w:tblPr>
      <w:tblGrid>
        <w:gridCol w:w="2104"/>
        <w:gridCol w:w="855"/>
        <w:gridCol w:w="1083"/>
        <w:gridCol w:w="1425"/>
        <w:gridCol w:w="1026"/>
        <w:gridCol w:w="912"/>
        <w:gridCol w:w="969"/>
        <w:gridCol w:w="948"/>
      </w:tblGrid>
      <w:tr w:rsidR="0067724A" w:rsidRPr="005E78DF" w14:paraId="437B1BEA" w14:textId="77777777" w:rsidTr="00AF7B30">
        <w:trPr>
          <w:trHeight w:val="776"/>
        </w:trPr>
        <w:tc>
          <w:tcPr>
            <w:tcW w:w="2104" w:type="dxa"/>
            <w:vMerge w:val="restart"/>
            <w:vAlign w:val="center"/>
          </w:tcPr>
          <w:p w14:paraId="516302D2" w14:textId="77777777" w:rsidR="009D3B23" w:rsidRPr="00754C65" w:rsidRDefault="009D3B23" w:rsidP="00296CF3">
            <w:pPr>
              <w:spacing w:line="300" w:lineRule="atLeast"/>
              <w:jc w:val="center"/>
              <w:rPr>
                <w:rFonts w:ascii="Arial" w:hAnsi="Arial" w:cs="Arial"/>
                <w:b/>
                <w:sz w:val="16"/>
                <w:szCs w:val="16"/>
              </w:rPr>
            </w:pPr>
            <w:r w:rsidRPr="00754C65">
              <w:rPr>
                <w:rFonts w:ascii="Arial" w:hAnsi="Arial" w:cs="Arial"/>
                <w:b/>
                <w:sz w:val="16"/>
                <w:szCs w:val="16"/>
              </w:rPr>
              <w:t>Source</w:t>
            </w:r>
          </w:p>
        </w:tc>
        <w:tc>
          <w:tcPr>
            <w:tcW w:w="855" w:type="dxa"/>
            <w:vMerge w:val="restart"/>
            <w:vAlign w:val="center"/>
          </w:tcPr>
          <w:p w14:paraId="5E701B69" w14:textId="3FFAD5DE" w:rsidR="009D3B23" w:rsidRPr="005E78DF" w:rsidRDefault="009D3B23" w:rsidP="00AF7B30">
            <w:pPr>
              <w:spacing w:line="300" w:lineRule="atLeast"/>
              <w:jc w:val="center"/>
              <w:rPr>
                <w:rFonts w:ascii="Arial" w:hAnsi="Arial" w:cs="Arial"/>
                <w:b/>
                <w:sz w:val="16"/>
                <w:szCs w:val="16"/>
              </w:rPr>
            </w:pPr>
            <w:r w:rsidRPr="005E78DF">
              <w:rPr>
                <w:rFonts w:ascii="Arial" w:hAnsi="Arial" w:cs="Arial"/>
                <w:b/>
                <w:sz w:val="16"/>
                <w:szCs w:val="16"/>
              </w:rPr>
              <w:t>Activity</w:t>
            </w:r>
            <w:r w:rsidR="00C67CA8" w:rsidRPr="005E78DF">
              <w:rPr>
                <w:rFonts w:ascii="Arial" w:hAnsi="Arial" w:cs="Arial"/>
                <w:b/>
                <w:sz w:val="16"/>
                <w:szCs w:val="16"/>
              </w:rPr>
              <w:t xml:space="preserve">, </w:t>
            </w:r>
            <w:r w:rsidR="00AF7B30" w:rsidRPr="005E78DF">
              <w:rPr>
                <w:rFonts w:ascii="Arial" w:hAnsi="Arial" w:cs="Arial"/>
                <w:b/>
                <w:sz w:val="16"/>
                <w:szCs w:val="16"/>
              </w:rPr>
              <w:t xml:space="preserve">  </w:t>
            </w:r>
            <w:r w:rsidR="00C67CA8" w:rsidRPr="005E78DF">
              <w:rPr>
                <w:rFonts w:ascii="Arial" w:hAnsi="Arial" w:cs="Arial"/>
                <w:b/>
                <w:sz w:val="16"/>
                <w:szCs w:val="16"/>
              </w:rPr>
              <w:t>kg/yr</w:t>
            </w:r>
          </w:p>
        </w:tc>
        <w:tc>
          <w:tcPr>
            <w:tcW w:w="1083" w:type="dxa"/>
            <w:vMerge w:val="restart"/>
            <w:vAlign w:val="center"/>
          </w:tcPr>
          <w:p w14:paraId="0DD88548" w14:textId="77777777" w:rsidR="009D3B23" w:rsidRPr="005E78DF" w:rsidRDefault="009D3B23" w:rsidP="00C67CA8">
            <w:pPr>
              <w:spacing w:line="300" w:lineRule="atLeast"/>
              <w:jc w:val="center"/>
              <w:rPr>
                <w:rFonts w:ascii="Arial" w:hAnsi="Arial" w:cs="Arial"/>
                <w:b/>
                <w:sz w:val="16"/>
                <w:szCs w:val="16"/>
              </w:rPr>
            </w:pPr>
            <w:r w:rsidRPr="005E78DF">
              <w:rPr>
                <w:rFonts w:ascii="Arial" w:hAnsi="Arial" w:cs="Arial"/>
                <w:b/>
                <w:sz w:val="16"/>
                <w:szCs w:val="16"/>
              </w:rPr>
              <w:t xml:space="preserve">Mercury </w:t>
            </w:r>
            <w:r w:rsidR="00C67CA8" w:rsidRPr="005E78DF">
              <w:rPr>
                <w:rFonts w:ascii="Arial" w:hAnsi="Arial" w:cs="Arial"/>
                <w:b/>
                <w:sz w:val="16"/>
                <w:szCs w:val="16"/>
              </w:rPr>
              <w:t>content, %</w:t>
            </w:r>
          </w:p>
        </w:tc>
        <w:tc>
          <w:tcPr>
            <w:tcW w:w="1425" w:type="dxa"/>
            <w:vMerge w:val="restart"/>
            <w:vAlign w:val="center"/>
          </w:tcPr>
          <w:p w14:paraId="467DD17B" w14:textId="77777777" w:rsidR="009D3B23" w:rsidRPr="005E78DF" w:rsidRDefault="009D3B23" w:rsidP="00296CF3">
            <w:pPr>
              <w:spacing w:line="300" w:lineRule="atLeast"/>
              <w:jc w:val="center"/>
              <w:rPr>
                <w:rFonts w:ascii="Arial" w:hAnsi="Arial" w:cs="Arial"/>
                <w:b/>
                <w:sz w:val="16"/>
                <w:szCs w:val="16"/>
              </w:rPr>
            </w:pPr>
            <w:r w:rsidRPr="005E78DF">
              <w:rPr>
                <w:rFonts w:ascii="Arial" w:hAnsi="Arial" w:cs="Arial"/>
                <w:b/>
                <w:sz w:val="16"/>
                <w:szCs w:val="16"/>
              </w:rPr>
              <w:t>Annual Mercury Inputs, kg/yr</w:t>
            </w:r>
          </w:p>
        </w:tc>
        <w:tc>
          <w:tcPr>
            <w:tcW w:w="3855" w:type="dxa"/>
            <w:gridSpan w:val="4"/>
            <w:vAlign w:val="center"/>
          </w:tcPr>
          <w:p w14:paraId="63DA299B" w14:textId="77777777" w:rsidR="009D3B23" w:rsidRPr="005E78DF" w:rsidRDefault="009D3B23" w:rsidP="00296CF3">
            <w:pPr>
              <w:spacing w:line="300" w:lineRule="atLeast"/>
              <w:jc w:val="center"/>
              <w:rPr>
                <w:rFonts w:ascii="Arial" w:hAnsi="Arial" w:cs="Arial"/>
                <w:b/>
                <w:sz w:val="16"/>
                <w:szCs w:val="16"/>
              </w:rPr>
            </w:pPr>
            <w:r w:rsidRPr="005E78DF">
              <w:rPr>
                <w:rFonts w:ascii="Arial" w:hAnsi="Arial" w:cs="Arial"/>
                <w:b/>
                <w:sz w:val="16"/>
                <w:szCs w:val="16"/>
              </w:rPr>
              <w:t>Annual Mercury Outputs, kg/yr</w:t>
            </w:r>
          </w:p>
        </w:tc>
      </w:tr>
      <w:tr w:rsidR="00C67CA8" w:rsidRPr="005E78DF" w14:paraId="313B88F8" w14:textId="77777777" w:rsidTr="00AF7B30">
        <w:tc>
          <w:tcPr>
            <w:tcW w:w="2104" w:type="dxa"/>
            <w:vMerge/>
            <w:vAlign w:val="center"/>
          </w:tcPr>
          <w:p w14:paraId="64EABC78" w14:textId="77777777" w:rsidR="009D3B23" w:rsidRPr="005E78DF" w:rsidRDefault="009D3B23" w:rsidP="00296CF3">
            <w:pPr>
              <w:spacing w:line="300" w:lineRule="atLeast"/>
              <w:jc w:val="center"/>
              <w:rPr>
                <w:rFonts w:ascii="Arial" w:hAnsi="Arial" w:cs="Arial"/>
                <w:b/>
                <w:sz w:val="16"/>
                <w:szCs w:val="16"/>
              </w:rPr>
            </w:pPr>
          </w:p>
        </w:tc>
        <w:tc>
          <w:tcPr>
            <w:tcW w:w="855" w:type="dxa"/>
            <w:vMerge/>
            <w:vAlign w:val="center"/>
          </w:tcPr>
          <w:p w14:paraId="1C4D26FB" w14:textId="77777777" w:rsidR="009D3B23" w:rsidRPr="005E78DF" w:rsidRDefault="009D3B23" w:rsidP="00296CF3">
            <w:pPr>
              <w:spacing w:line="300" w:lineRule="atLeast"/>
              <w:jc w:val="center"/>
              <w:rPr>
                <w:rFonts w:ascii="Arial" w:hAnsi="Arial" w:cs="Arial"/>
                <w:b/>
                <w:sz w:val="16"/>
                <w:szCs w:val="16"/>
              </w:rPr>
            </w:pPr>
          </w:p>
        </w:tc>
        <w:tc>
          <w:tcPr>
            <w:tcW w:w="1083" w:type="dxa"/>
            <w:vMerge/>
            <w:vAlign w:val="center"/>
          </w:tcPr>
          <w:p w14:paraId="56DD276D" w14:textId="77777777" w:rsidR="009D3B23" w:rsidRPr="005E78DF" w:rsidRDefault="009D3B23" w:rsidP="00296CF3">
            <w:pPr>
              <w:spacing w:line="300" w:lineRule="atLeast"/>
              <w:jc w:val="center"/>
              <w:rPr>
                <w:rFonts w:ascii="Arial" w:hAnsi="Arial" w:cs="Arial"/>
                <w:b/>
                <w:sz w:val="16"/>
                <w:szCs w:val="16"/>
              </w:rPr>
            </w:pPr>
          </w:p>
        </w:tc>
        <w:tc>
          <w:tcPr>
            <w:tcW w:w="1425" w:type="dxa"/>
            <w:vMerge/>
            <w:vAlign w:val="center"/>
          </w:tcPr>
          <w:p w14:paraId="7D3E5BEF" w14:textId="77777777" w:rsidR="009D3B23" w:rsidRPr="005E78DF" w:rsidRDefault="009D3B23" w:rsidP="00296CF3">
            <w:pPr>
              <w:spacing w:line="300" w:lineRule="atLeast"/>
              <w:jc w:val="center"/>
              <w:rPr>
                <w:rFonts w:ascii="Arial" w:hAnsi="Arial" w:cs="Arial"/>
                <w:b/>
                <w:sz w:val="16"/>
                <w:szCs w:val="16"/>
              </w:rPr>
            </w:pPr>
          </w:p>
        </w:tc>
        <w:tc>
          <w:tcPr>
            <w:tcW w:w="1026" w:type="dxa"/>
            <w:vAlign w:val="center"/>
          </w:tcPr>
          <w:p w14:paraId="5C59C9C5" w14:textId="77777777" w:rsidR="009D3B23" w:rsidRPr="005E78DF" w:rsidRDefault="009D3B23" w:rsidP="00296CF3">
            <w:pPr>
              <w:spacing w:line="300" w:lineRule="atLeast"/>
              <w:jc w:val="center"/>
              <w:rPr>
                <w:rFonts w:ascii="Arial" w:hAnsi="Arial" w:cs="Arial"/>
                <w:b/>
                <w:sz w:val="16"/>
                <w:szCs w:val="16"/>
              </w:rPr>
            </w:pPr>
            <w:r w:rsidRPr="005E78DF">
              <w:rPr>
                <w:rFonts w:ascii="Arial" w:hAnsi="Arial" w:cs="Arial"/>
                <w:b/>
                <w:sz w:val="16"/>
                <w:szCs w:val="16"/>
              </w:rPr>
              <w:t>Air</w:t>
            </w:r>
          </w:p>
        </w:tc>
        <w:tc>
          <w:tcPr>
            <w:tcW w:w="912" w:type="dxa"/>
            <w:vAlign w:val="center"/>
          </w:tcPr>
          <w:p w14:paraId="7B9E84C5" w14:textId="77777777" w:rsidR="009D3B23" w:rsidRPr="005E78DF" w:rsidRDefault="00EF3FAE" w:rsidP="00296CF3">
            <w:pPr>
              <w:spacing w:line="300" w:lineRule="atLeast"/>
              <w:jc w:val="center"/>
              <w:rPr>
                <w:rFonts w:ascii="Arial" w:hAnsi="Arial" w:cs="Arial"/>
                <w:b/>
                <w:sz w:val="16"/>
                <w:szCs w:val="16"/>
              </w:rPr>
            </w:pPr>
            <w:r w:rsidRPr="005E78DF">
              <w:rPr>
                <w:rFonts w:ascii="Arial" w:hAnsi="Arial" w:cs="Arial"/>
                <w:b/>
                <w:sz w:val="16"/>
                <w:szCs w:val="16"/>
              </w:rPr>
              <w:t>Water</w:t>
            </w:r>
          </w:p>
        </w:tc>
        <w:tc>
          <w:tcPr>
            <w:tcW w:w="969" w:type="dxa"/>
          </w:tcPr>
          <w:p w14:paraId="0B588396" w14:textId="77777777" w:rsidR="009D3B23" w:rsidRPr="005E78DF" w:rsidRDefault="009D3B23" w:rsidP="00296CF3">
            <w:pPr>
              <w:spacing w:line="300" w:lineRule="atLeast"/>
              <w:jc w:val="center"/>
              <w:rPr>
                <w:rFonts w:ascii="Arial" w:hAnsi="Arial" w:cs="Arial"/>
                <w:b/>
                <w:sz w:val="16"/>
                <w:szCs w:val="16"/>
              </w:rPr>
            </w:pPr>
            <w:r w:rsidRPr="005E78DF">
              <w:rPr>
                <w:rFonts w:ascii="Arial" w:hAnsi="Arial" w:cs="Arial"/>
                <w:b/>
                <w:sz w:val="16"/>
                <w:szCs w:val="16"/>
              </w:rPr>
              <w:t>Product</w:t>
            </w:r>
          </w:p>
        </w:tc>
        <w:tc>
          <w:tcPr>
            <w:tcW w:w="948" w:type="dxa"/>
            <w:vAlign w:val="center"/>
          </w:tcPr>
          <w:p w14:paraId="5DBCDB72" w14:textId="77777777" w:rsidR="009D3B23" w:rsidRPr="005E78DF" w:rsidRDefault="009D3B23" w:rsidP="00296CF3">
            <w:pPr>
              <w:spacing w:line="300" w:lineRule="atLeast"/>
              <w:jc w:val="center"/>
              <w:rPr>
                <w:rFonts w:ascii="Arial" w:hAnsi="Arial" w:cs="Arial"/>
                <w:b/>
                <w:sz w:val="16"/>
                <w:szCs w:val="16"/>
              </w:rPr>
            </w:pPr>
            <w:r w:rsidRPr="005E78DF">
              <w:rPr>
                <w:rFonts w:ascii="Arial" w:hAnsi="Arial" w:cs="Arial"/>
                <w:b/>
                <w:sz w:val="16"/>
                <w:szCs w:val="16"/>
              </w:rPr>
              <w:t>Waste</w:t>
            </w:r>
          </w:p>
        </w:tc>
      </w:tr>
      <w:tr w:rsidR="00C67CA8" w:rsidRPr="005E78DF" w14:paraId="7872ADB5" w14:textId="77777777" w:rsidTr="00AF7B30">
        <w:tc>
          <w:tcPr>
            <w:tcW w:w="2104" w:type="dxa"/>
          </w:tcPr>
          <w:p w14:paraId="540262CA" w14:textId="64963D6C" w:rsidR="009D3B23" w:rsidRPr="005E78DF" w:rsidRDefault="00091716" w:rsidP="00296CF3">
            <w:pPr>
              <w:spacing w:line="300" w:lineRule="atLeast"/>
              <w:jc w:val="both"/>
              <w:rPr>
                <w:rFonts w:ascii="Arial" w:hAnsi="Arial" w:cs="Arial"/>
                <w:sz w:val="16"/>
                <w:szCs w:val="16"/>
              </w:rPr>
            </w:pPr>
            <w:r w:rsidRPr="005E78DF">
              <w:rPr>
                <w:rFonts w:ascii="Arial" w:hAnsi="Arial" w:cs="Arial"/>
                <w:sz w:val="16"/>
                <w:szCs w:val="16"/>
              </w:rPr>
              <w:t>Dental amalgam</w:t>
            </w:r>
            <w:r w:rsidR="00AF7B30" w:rsidRPr="005E78DF">
              <w:rPr>
                <w:rFonts w:ascii="Arial" w:hAnsi="Arial" w:cs="Arial"/>
                <w:sz w:val="16"/>
                <w:szCs w:val="16"/>
              </w:rPr>
              <w:t>, 2012</w:t>
            </w:r>
            <w:r w:rsidR="009D3B23" w:rsidRPr="005E78DF">
              <w:rPr>
                <w:rFonts w:ascii="Arial" w:hAnsi="Arial" w:cs="Arial"/>
                <w:sz w:val="16"/>
                <w:szCs w:val="16"/>
              </w:rPr>
              <w:t xml:space="preserve"> </w:t>
            </w:r>
          </w:p>
        </w:tc>
        <w:tc>
          <w:tcPr>
            <w:tcW w:w="855" w:type="dxa"/>
            <w:vAlign w:val="center"/>
          </w:tcPr>
          <w:p w14:paraId="7A94D145" w14:textId="77777777" w:rsidR="009D3B23" w:rsidRPr="005E78DF" w:rsidRDefault="00C67CA8" w:rsidP="00296CF3">
            <w:pPr>
              <w:spacing w:line="300" w:lineRule="atLeast"/>
              <w:jc w:val="center"/>
              <w:rPr>
                <w:rFonts w:ascii="Arial" w:hAnsi="Arial" w:cs="Arial"/>
                <w:sz w:val="16"/>
                <w:szCs w:val="16"/>
              </w:rPr>
            </w:pPr>
            <w:r w:rsidRPr="005E78DF">
              <w:rPr>
                <w:rFonts w:ascii="Arial" w:hAnsi="Arial" w:cs="Arial"/>
                <w:sz w:val="16"/>
                <w:szCs w:val="16"/>
              </w:rPr>
              <w:t>320</w:t>
            </w:r>
          </w:p>
        </w:tc>
        <w:tc>
          <w:tcPr>
            <w:tcW w:w="1083" w:type="dxa"/>
            <w:vAlign w:val="center"/>
          </w:tcPr>
          <w:p w14:paraId="3A2D47DE" w14:textId="77777777" w:rsidR="009D3B23" w:rsidRPr="005E78DF" w:rsidRDefault="00C67CA8" w:rsidP="00091716">
            <w:pPr>
              <w:spacing w:line="300" w:lineRule="atLeast"/>
              <w:jc w:val="center"/>
              <w:rPr>
                <w:rFonts w:ascii="Arial" w:hAnsi="Arial" w:cs="Arial"/>
                <w:sz w:val="16"/>
                <w:szCs w:val="16"/>
              </w:rPr>
            </w:pPr>
            <w:r w:rsidRPr="005E78DF">
              <w:rPr>
                <w:rFonts w:ascii="Arial" w:hAnsi="Arial" w:cs="Arial"/>
                <w:sz w:val="16"/>
                <w:szCs w:val="16"/>
              </w:rPr>
              <w:t>47%</w:t>
            </w:r>
          </w:p>
        </w:tc>
        <w:tc>
          <w:tcPr>
            <w:tcW w:w="1425" w:type="dxa"/>
            <w:vAlign w:val="center"/>
          </w:tcPr>
          <w:p w14:paraId="762AD69A" w14:textId="77777777" w:rsidR="009D3B23" w:rsidRPr="005E78DF" w:rsidRDefault="00C67CA8" w:rsidP="00296CF3">
            <w:pPr>
              <w:spacing w:line="300" w:lineRule="atLeast"/>
              <w:jc w:val="center"/>
              <w:rPr>
                <w:rFonts w:ascii="Arial" w:hAnsi="Arial" w:cs="Arial"/>
                <w:sz w:val="16"/>
                <w:szCs w:val="16"/>
              </w:rPr>
            </w:pPr>
            <w:r w:rsidRPr="005E78DF">
              <w:rPr>
                <w:rFonts w:ascii="Arial" w:hAnsi="Arial" w:cs="Arial"/>
                <w:sz w:val="16"/>
                <w:szCs w:val="16"/>
              </w:rPr>
              <w:t>150</w:t>
            </w:r>
          </w:p>
        </w:tc>
        <w:tc>
          <w:tcPr>
            <w:tcW w:w="1026" w:type="dxa"/>
            <w:vAlign w:val="center"/>
          </w:tcPr>
          <w:p w14:paraId="6477D2AC" w14:textId="77777777" w:rsidR="009D3B23" w:rsidRPr="005E78DF" w:rsidRDefault="0067724A" w:rsidP="00296CF3">
            <w:pPr>
              <w:spacing w:line="300" w:lineRule="atLeast"/>
              <w:jc w:val="center"/>
              <w:rPr>
                <w:rFonts w:ascii="Arial" w:hAnsi="Arial" w:cs="Arial"/>
                <w:sz w:val="16"/>
                <w:szCs w:val="16"/>
              </w:rPr>
            </w:pPr>
            <w:r w:rsidRPr="005E78DF">
              <w:rPr>
                <w:rFonts w:ascii="Arial" w:hAnsi="Arial" w:cs="Arial"/>
                <w:sz w:val="16"/>
                <w:szCs w:val="16"/>
              </w:rPr>
              <w:t>3</w:t>
            </w:r>
          </w:p>
        </w:tc>
        <w:tc>
          <w:tcPr>
            <w:tcW w:w="912" w:type="dxa"/>
            <w:vAlign w:val="center"/>
          </w:tcPr>
          <w:p w14:paraId="63D9ECB8" w14:textId="77777777" w:rsidR="009D3B23" w:rsidRPr="005E78DF" w:rsidRDefault="0067724A" w:rsidP="00EF3FAE">
            <w:pPr>
              <w:spacing w:line="300" w:lineRule="atLeast"/>
              <w:jc w:val="center"/>
              <w:rPr>
                <w:rFonts w:ascii="Arial" w:hAnsi="Arial" w:cs="Arial"/>
                <w:sz w:val="16"/>
                <w:szCs w:val="16"/>
              </w:rPr>
            </w:pPr>
            <w:r w:rsidRPr="005E78DF">
              <w:rPr>
                <w:rFonts w:ascii="Arial" w:hAnsi="Arial" w:cs="Arial"/>
                <w:sz w:val="16"/>
                <w:szCs w:val="16"/>
              </w:rPr>
              <w:t>21</w:t>
            </w:r>
          </w:p>
        </w:tc>
        <w:tc>
          <w:tcPr>
            <w:tcW w:w="969" w:type="dxa"/>
            <w:vAlign w:val="center"/>
          </w:tcPr>
          <w:p w14:paraId="3A5B3FB0" w14:textId="77777777" w:rsidR="009D3B23" w:rsidRPr="005E78DF" w:rsidRDefault="0067724A" w:rsidP="00EF3FAE">
            <w:pPr>
              <w:spacing w:line="300" w:lineRule="atLeast"/>
              <w:jc w:val="center"/>
              <w:rPr>
                <w:rFonts w:ascii="Arial" w:hAnsi="Arial" w:cs="Arial"/>
                <w:sz w:val="16"/>
                <w:szCs w:val="16"/>
              </w:rPr>
            </w:pPr>
            <w:r w:rsidRPr="005E78DF">
              <w:rPr>
                <w:rFonts w:ascii="Arial" w:hAnsi="Arial" w:cs="Arial"/>
                <w:sz w:val="16"/>
                <w:szCs w:val="16"/>
              </w:rPr>
              <w:t>90</w:t>
            </w:r>
          </w:p>
        </w:tc>
        <w:tc>
          <w:tcPr>
            <w:tcW w:w="948" w:type="dxa"/>
            <w:vAlign w:val="center"/>
          </w:tcPr>
          <w:p w14:paraId="59A70B8B" w14:textId="4D22BAB1" w:rsidR="009D3B23" w:rsidRPr="005E78DF" w:rsidRDefault="0067724A" w:rsidP="00EF3FAE">
            <w:pPr>
              <w:spacing w:line="300" w:lineRule="atLeast"/>
              <w:jc w:val="center"/>
              <w:rPr>
                <w:rFonts w:ascii="Arial" w:hAnsi="Arial" w:cs="Arial"/>
                <w:sz w:val="16"/>
                <w:szCs w:val="16"/>
              </w:rPr>
            </w:pPr>
            <w:r w:rsidRPr="005E78DF">
              <w:rPr>
                <w:rFonts w:ascii="Arial" w:hAnsi="Arial" w:cs="Arial"/>
                <w:sz w:val="16"/>
                <w:szCs w:val="16"/>
              </w:rPr>
              <w:t>36</w:t>
            </w:r>
          </w:p>
        </w:tc>
      </w:tr>
      <w:tr w:rsidR="00AF7B30" w:rsidRPr="005E78DF" w14:paraId="082DEAD2" w14:textId="77777777" w:rsidTr="00AF7B30">
        <w:tc>
          <w:tcPr>
            <w:tcW w:w="2104" w:type="dxa"/>
          </w:tcPr>
          <w:p w14:paraId="733C42E9" w14:textId="3040A2EA" w:rsidR="00AF7B30" w:rsidRPr="00B64BA0" w:rsidRDefault="00AF7B30" w:rsidP="00296CF3">
            <w:pPr>
              <w:spacing w:line="300" w:lineRule="atLeast"/>
              <w:jc w:val="both"/>
              <w:rPr>
                <w:rFonts w:ascii="Arial" w:hAnsi="Arial" w:cs="Arial"/>
                <w:sz w:val="16"/>
                <w:szCs w:val="16"/>
              </w:rPr>
            </w:pPr>
            <w:r w:rsidRPr="005E78DF">
              <w:rPr>
                <w:rFonts w:ascii="Arial" w:hAnsi="Arial" w:cs="Arial"/>
                <w:sz w:val="16"/>
                <w:szCs w:val="16"/>
              </w:rPr>
              <w:t>Dental amalgam, 2016</w:t>
            </w:r>
          </w:p>
        </w:tc>
        <w:tc>
          <w:tcPr>
            <w:tcW w:w="855" w:type="dxa"/>
            <w:vAlign w:val="center"/>
          </w:tcPr>
          <w:p w14:paraId="69DFD988" w14:textId="17D40BF6" w:rsidR="00AF7B30" w:rsidRPr="00754C65" w:rsidRDefault="00AF7B30" w:rsidP="00296CF3">
            <w:pPr>
              <w:spacing w:line="300" w:lineRule="atLeast"/>
              <w:jc w:val="center"/>
              <w:rPr>
                <w:rFonts w:ascii="Arial" w:hAnsi="Arial" w:cs="Arial"/>
                <w:sz w:val="16"/>
                <w:szCs w:val="16"/>
              </w:rPr>
            </w:pPr>
            <w:r w:rsidRPr="00754C65">
              <w:rPr>
                <w:rFonts w:ascii="Arial" w:hAnsi="Arial" w:cs="Arial"/>
                <w:sz w:val="16"/>
                <w:szCs w:val="16"/>
              </w:rPr>
              <w:t>79.4</w:t>
            </w:r>
          </w:p>
        </w:tc>
        <w:tc>
          <w:tcPr>
            <w:tcW w:w="1083" w:type="dxa"/>
            <w:vAlign w:val="center"/>
          </w:tcPr>
          <w:p w14:paraId="4BA91E08" w14:textId="3CDB9071" w:rsidR="00AF7B30" w:rsidRPr="005E78DF" w:rsidRDefault="00AF7B30" w:rsidP="00091716">
            <w:pPr>
              <w:spacing w:line="300" w:lineRule="atLeast"/>
              <w:jc w:val="center"/>
              <w:rPr>
                <w:rFonts w:ascii="Arial" w:hAnsi="Arial" w:cs="Arial"/>
                <w:sz w:val="16"/>
                <w:szCs w:val="16"/>
              </w:rPr>
            </w:pPr>
            <w:r w:rsidRPr="005E78DF">
              <w:rPr>
                <w:rFonts w:ascii="Arial" w:hAnsi="Arial" w:cs="Arial"/>
                <w:sz w:val="16"/>
                <w:szCs w:val="16"/>
              </w:rPr>
              <w:t>47%</w:t>
            </w:r>
          </w:p>
        </w:tc>
        <w:tc>
          <w:tcPr>
            <w:tcW w:w="1425" w:type="dxa"/>
            <w:vAlign w:val="center"/>
          </w:tcPr>
          <w:p w14:paraId="31F1FAC4" w14:textId="33C64498" w:rsidR="00AF7B30" w:rsidRPr="005E78DF" w:rsidRDefault="00AF7B30" w:rsidP="00296CF3">
            <w:pPr>
              <w:spacing w:line="300" w:lineRule="atLeast"/>
              <w:jc w:val="center"/>
              <w:rPr>
                <w:rFonts w:ascii="Arial" w:hAnsi="Arial" w:cs="Arial"/>
                <w:sz w:val="16"/>
                <w:szCs w:val="16"/>
              </w:rPr>
            </w:pPr>
            <w:r w:rsidRPr="005E78DF">
              <w:rPr>
                <w:rFonts w:ascii="Arial" w:hAnsi="Arial" w:cs="Arial"/>
                <w:sz w:val="16"/>
                <w:szCs w:val="16"/>
              </w:rPr>
              <w:t>37.3</w:t>
            </w:r>
          </w:p>
        </w:tc>
        <w:tc>
          <w:tcPr>
            <w:tcW w:w="1026" w:type="dxa"/>
            <w:vAlign w:val="center"/>
          </w:tcPr>
          <w:p w14:paraId="2B2DED39" w14:textId="58424C71" w:rsidR="00AF7B30" w:rsidRPr="005E78DF" w:rsidRDefault="00AF7B30" w:rsidP="00296CF3">
            <w:pPr>
              <w:spacing w:line="300" w:lineRule="atLeast"/>
              <w:jc w:val="center"/>
              <w:rPr>
                <w:rFonts w:ascii="Arial" w:hAnsi="Arial" w:cs="Arial"/>
                <w:sz w:val="16"/>
                <w:szCs w:val="16"/>
              </w:rPr>
            </w:pPr>
            <w:r w:rsidRPr="005E78DF">
              <w:rPr>
                <w:rFonts w:ascii="Arial" w:hAnsi="Arial" w:cs="Arial"/>
                <w:sz w:val="16"/>
                <w:szCs w:val="16"/>
              </w:rPr>
              <w:t>0.75</w:t>
            </w:r>
          </w:p>
        </w:tc>
        <w:tc>
          <w:tcPr>
            <w:tcW w:w="912" w:type="dxa"/>
            <w:vAlign w:val="center"/>
          </w:tcPr>
          <w:p w14:paraId="1BF26A24" w14:textId="241FD120" w:rsidR="00AF7B30" w:rsidRPr="005E78DF" w:rsidRDefault="00AF7B30" w:rsidP="00EF3FAE">
            <w:pPr>
              <w:spacing w:line="300" w:lineRule="atLeast"/>
              <w:jc w:val="center"/>
              <w:rPr>
                <w:rFonts w:ascii="Arial" w:hAnsi="Arial" w:cs="Arial"/>
                <w:sz w:val="16"/>
                <w:szCs w:val="16"/>
              </w:rPr>
            </w:pPr>
            <w:r w:rsidRPr="005E78DF">
              <w:rPr>
                <w:rFonts w:ascii="Arial" w:hAnsi="Arial" w:cs="Arial"/>
                <w:sz w:val="16"/>
                <w:szCs w:val="16"/>
              </w:rPr>
              <w:t>5.2</w:t>
            </w:r>
            <w:r w:rsidR="002D7721" w:rsidRPr="005E78DF">
              <w:rPr>
                <w:rFonts w:ascii="Arial" w:hAnsi="Arial" w:cs="Arial"/>
                <w:sz w:val="16"/>
                <w:szCs w:val="16"/>
              </w:rPr>
              <w:t>2</w:t>
            </w:r>
          </w:p>
        </w:tc>
        <w:tc>
          <w:tcPr>
            <w:tcW w:w="969" w:type="dxa"/>
            <w:vAlign w:val="center"/>
          </w:tcPr>
          <w:p w14:paraId="3DDEB707" w14:textId="56006B6A" w:rsidR="00AF7B30" w:rsidRPr="005E78DF" w:rsidRDefault="00AF7B30" w:rsidP="00EF3FAE">
            <w:pPr>
              <w:spacing w:line="300" w:lineRule="atLeast"/>
              <w:jc w:val="center"/>
              <w:rPr>
                <w:rFonts w:ascii="Arial" w:hAnsi="Arial" w:cs="Arial"/>
                <w:sz w:val="16"/>
                <w:szCs w:val="16"/>
              </w:rPr>
            </w:pPr>
            <w:r w:rsidRPr="005E78DF">
              <w:rPr>
                <w:rFonts w:ascii="Arial" w:hAnsi="Arial" w:cs="Arial"/>
                <w:sz w:val="16"/>
                <w:szCs w:val="16"/>
              </w:rPr>
              <w:t>22.</w:t>
            </w:r>
            <w:r w:rsidR="002D7721" w:rsidRPr="005E78DF">
              <w:rPr>
                <w:rFonts w:ascii="Arial" w:hAnsi="Arial" w:cs="Arial"/>
                <w:sz w:val="16"/>
                <w:szCs w:val="16"/>
              </w:rPr>
              <w:t>38</w:t>
            </w:r>
          </w:p>
        </w:tc>
        <w:tc>
          <w:tcPr>
            <w:tcW w:w="948" w:type="dxa"/>
            <w:vAlign w:val="center"/>
          </w:tcPr>
          <w:p w14:paraId="24205A1E" w14:textId="1EB63C5F" w:rsidR="00AF7B30" w:rsidRPr="005E78DF" w:rsidRDefault="00AF7B30" w:rsidP="00EF3FAE">
            <w:pPr>
              <w:spacing w:line="300" w:lineRule="atLeast"/>
              <w:jc w:val="center"/>
              <w:rPr>
                <w:rFonts w:ascii="Arial" w:hAnsi="Arial" w:cs="Arial"/>
                <w:sz w:val="16"/>
                <w:szCs w:val="16"/>
              </w:rPr>
            </w:pPr>
            <w:r w:rsidRPr="005E78DF">
              <w:rPr>
                <w:rFonts w:ascii="Arial" w:hAnsi="Arial" w:cs="Arial"/>
                <w:sz w:val="16"/>
                <w:szCs w:val="16"/>
              </w:rPr>
              <w:t>8.9</w:t>
            </w:r>
            <w:r w:rsidR="0010545A" w:rsidRPr="005E78DF">
              <w:rPr>
                <w:rFonts w:ascii="Arial" w:hAnsi="Arial" w:cs="Arial"/>
                <w:sz w:val="16"/>
                <w:szCs w:val="16"/>
              </w:rPr>
              <w:t>5</w:t>
            </w:r>
          </w:p>
        </w:tc>
      </w:tr>
      <w:tr w:rsidR="00B64BA0" w:rsidRPr="005E78DF" w14:paraId="522566D7" w14:textId="77777777" w:rsidTr="00AF7B30">
        <w:tc>
          <w:tcPr>
            <w:tcW w:w="2104" w:type="dxa"/>
          </w:tcPr>
          <w:p w14:paraId="10A9BC16" w14:textId="0E534D40" w:rsidR="00B64BA0" w:rsidRPr="00B64BA0" w:rsidRDefault="00B64BA0" w:rsidP="00296CF3">
            <w:pPr>
              <w:spacing w:line="300" w:lineRule="atLeast"/>
              <w:jc w:val="both"/>
              <w:rPr>
                <w:rFonts w:ascii="Arial" w:hAnsi="Arial" w:cs="Arial"/>
                <w:sz w:val="16"/>
                <w:szCs w:val="16"/>
              </w:rPr>
            </w:pPr>
            <w:r>
              <w:rPr>
                <w:rFonts w:ascii="Arial" w:hAnsi="Arial" w:cs="Arial"/>
                <w:sz w:val="16"/>
                <w:szCs w:val="16"/>
              </w:rPr>
              <w:t>Dental amalgam, 2020</w:t>
            </w:r>
          </w:p>
        </w:tc>
        <w:tc>
          <w:tcPr>
            <w:tcW w:w="855" w:type="dxa"/>
            <w:vAlign w:val="center"/>
          </w:tcPr>
          <w:p w14:paraId="5AA16205" w14:textId="7ECE4C5E" w:rsidR="00B64BA0" w:rsidRPr="008F78D9" w:rsidRDefault="008F78D9" w:rsidP="00296CF3">
            <w:pPr>
              <w:spacing w:line="300" w:lineRule="atLeast"/>
              <w:jc w:val="center"/>
              <w:rPr>
                <w:rFonts w:ascii="Arial" w:hAnsi="Arial" w:cs="Arial"/>
                <w:sz w:val="16"/>
                <w:szCs w:val="16"/>
              </w:rPr>
            </w:pPr>
            <w:r>
              <w:rPr>
                <w:rFonts w:ascii="Arial" w:hAnsi="Arial" w:cs="Arial"/>
                <w:sz w:val="16"/>
                <w:szCs w:val="16"/>
              </w:rPr>
              <w:t>47.5</w:t>
            </w:r>
          </w:p>
        </w:tc>
        <w:tc>
          <w:tcPr>
            <w:tcW w:w="1083" w:type="dxa"/>
            <w:vAlign w:val="center"/>
          </w:tcPr>
          <w:p w14:paraId="7C3A4556" w14:textId="1DF358F5" w:rsidR="00B64BA0" w:rsidRPr="008F78D9" w:rsidRDefault="008F78D9" w:rsidP="00091716">
            <w:pPr>
              <w:spacing w:line="300" w:lineRule="atLeast"/>
              <w:jc w:val="center"/>
              <w:rPr>
                <w:rFonts w:ascii="Arial" w:hAnsi="Arial" w:cs="Arial"/>
                <w:sz w:val="16"/>
                <w:szCs w:val="16"/>
              </w:rPr>
            </w:pPr>
            <w:r>
              <w:rPr>
                <w:rFonts w:ascii="Arial" w:hAnsi="Arial" w:cs="Arial"/>
                <w:sz w:val="16"/>
                <w:szCs w:val="16"/>
              </w:rPr>
              <w:t>100%</w:t>
            </w:r>
          </w:p>
        </w:tc>
        <w:tc>
          <w:tcPr>
            <w:tcW w:w="1425" w:type="dxa"/>
            <w:vAlign w:val="center"/>
          </w:tcPr>
          <w:p w14:paraId="6282E72E" w14:textId="61550005" w:rsidR="00B64BA0" w:rsidRPr="008F78D9" w:rsidRDefault="008F78D9" w:rsidP="00296CF3">
            <w:pPr>
              <w:spacing w:line="300" w:lineRule="atLeast"/>
              <w:jc w:val="center"/>
              <w:rPr>
                <w:rFonts w:ascii="Arial" w:hAnsi="Arial" w:cs="Arial"/>
                <w:sz w:val="16"/>
                <w:szCs w:val="16"/>
              </w:rPr>
            </w:pPr>
            <w:r>
              <w:rPr>
                <w:rFonts w:ascii="Arial" w:hAnsi="Arial" w:cs="Arial"/>
                <w:sz w:val="16"/>
                <w:szCs w:val="16"/>
              </w:rPr>
              <w:t>47.5</w:t>
            </w:r>
          </w:p>
        </w:tc>
        <w:tc>
          <w:tcPr>
            <w:tcW w:w="1026" w:type="dxa"/>
            <w:vAlign w:val="center"/>
          </w:tcPr>
          <w:p w14:paraId="52EBC220" w14:textId="2F7A936C" w:rsidR="00B64BA0" w:rsidRPr="008F78D9" w:rsidRDefault="008F78D9" w:rsidP="00296CF3">
            <w:pPr>
              <w:spacing w:line="300" w:lineRule="atLeast"/>
              <w:jc w:val="center"/>
              <w:rPr>
                <w:rFonts w:ascii="Arial" w:hAnsi="Arial" w:cs="Arial"/>
                <w:sz w:val="16"/>
                <w:szCs w:val="16"/>
              </w:rPr>
            </w:pPr>
            <w:r>
              <w:rPr>
                <w:rFonts w:ascii="Arial" w:hAnsi="Arial" w:cs="Arial"/>
                <w:sz w:val="16"/>
                <w:szCs w:val="16"/>
              </w:rPr>
              <w:t>0.95</w:t>
            </w:r>
          </w:p>
        </w:tc>
        <w:tc>
          <w:tcPr>
            <w:tcW w:w="912" w:type="dxa"/>
            <w:vAlign w:val="center"/>
          </w:tcPr>
          <w:p w14:paraId="39832D7A" w14:textId="1BDE5832" w:rsidR="00B64BA0" w:rsidRPr="008F78D9" w:rsidRDefault="008F78D9" w:rsidP="00EF3FAE">
            <w:pPr>
              <w:spacing w:line="300" w:lineRule="atLeast"/>
              <w:jc w:val="center"/>
              <w:rPr>
                <w:rFonts w:ascii="Arial" w:hAnsi="Arial" w:cs="Arial"/>
                <w:sz w:val="16"/>
                <w:szCs w:val="16"/>
              </w:rPr>
            </w:pPr>
            <w:r>
              <w:rPr>
                <w:rFonts w:ascii="Arial" w:hAnsi="Arial" w:cs="Arial"/>
                <w:sz w:val="16"/>
                <w:szCs w:val="16"/>
              </w:rPr>
              <w:t>6.65</w:t>
            </w:r>
          </w:p>
        </w:tc>
        <w:tc>
          <w:tcPr>
            <w:tcW w:w="969" w:type="dxa"/>
            <w:vAlign w:val="center"/>
          </w:tcPr>
          <w:p w14:paraId="787471B7" w14:textId="4BD27F29" w:rsidR="00B64BA0" w:rsidRPr="008F78D9" w:rsidRDefault="008F78D9" w:rsidP="00EF3FAE">
            <w:pPr>
              <w:spacing w:line="300" w:lineRule="atLeast"/>
              <w:jc w:val="center"/>
              <w:rPr>
                <w:rFonts w:ascii="Arial" w:hAnsi="Arial" w:cs="Arial"/>
                <w:sz w:val="16"/>
                <w:szCs w:val="16"/>
              </w:rPr>
            </w:pPr>
            <w:r>
              <w:rPr>
                <w:rFonts w:ascii="Arial" w:hAnsi="Arial" w:cs="Arial"/>
                <w:sz w:val="16"/>
                <w:szCs w:val="16"/>
              </w:rPr>
              <w:t>28.50</w:t>
            </w:r>
          </w:p>
        </w:tc>
        <w:tc>
          <w:tcPr>
            <w:tcW w:w="948" w:type="dxa"/>
            <w:vAlign w:val="center"/>
          </w:tcPr>
          <w:p w14:paraId="263B75DD" w14:textId="6FAB3AB7" w:rsidR="00B64BA0" w:rsidRPr="008F78D9" w:rsidRDefault="008F78D9" w:rsidP="00EF3FAE">
            <w:pPr>
              <w:spacing w:line="300" w:lineRule="atLeast"/>
              <w:jc w:val="center"/>
              <w:rPr>
                <w:rFonts w:ascii="Arial" w:hAnsi="Arial" w:cs="Arial"/>
                <w:sz w:val="16"/>
                <w:szCs w:val="16"/>
              </w:rPr>
            </w:pPr>
            <w:r>
              <w:rPr>
                <w:rFonts w:ascii="Arial" w:hAnsi="Arial" w:cs="Arial"/>
                <w:sz w:val="16"/>
                <w:szCs w:val="16"/>
              </w:rPr>
              <w:t>11.40</w:t>
            </w:r>
          </w:p>
        </w:tc>
      </w:tr>
      <w:tr w:rsidR="00E26A92" w:rsidRPr="005E78DF" w14:paraId="2A7513E5" w14:textId="77777777" w:rsidTr="00AF7B30">
        <w:tc>
          <w:tcPr>
            <w:tcW w:w="2104" w:type="dxa"/>
          </w:tcPr>
          <w:p w14:paraId="0D8AAD3F" w14:textId="02E0D769" w:rsidR="00E26A92" w:rsidRDefault="00E26A92" w:rsidP="00296CF3">
            <w:pPr>
              <w:spacing w:line="300" w:lineRule="atLeast"/>
              <w:jc w:val="both"/>
              <w:rPr>
                <w:rFonts w:ascii="Arial" w:hAnsi="Arial" w:cs="Arial"/>
                <w:sz w:val="16"/>
                <w:szCs w:val="16"/>
              </w:rPr>
            </w:pPr>
            <w:r>
              <w:rPr>
                <w:rFonts w:ascii="Arial" w:hAnsi="Arial" w:cs="Arial"/>
                <w:sz w:val="16"/>
                <w:szCs w:val="16"/>
              </w:rPr>
              <w:t>Dental amalgam, 2024</w:t>
            </w:r>
          </w:p>
        </w:tc>
        <w:tc>
          <w:tcPr>
            <w:tcW w:w="855" w:type="dxa"/>
            <w:vAlign w:val="center"/>
          </w:tcPr>
          <w:p w14:paraId="1C25145E" w14:textId="4BBB92DB" w:rsidR="00E26A92" w:rsidRDefault="00E26A92" w:rsidP="00296CF3">
            <w:pPr>
              <w:spacing w:line="300" w:lineRule="atLeast"/>
              <w:jc w:val="center"/>
              <w:rPr>
                <w:rFonts w:ascii="Arial" w:hAnsi="Arial" w:cs="Arial"/>
                <w:sz w:val="16"/>
                <w:szCs w:val="16"/>
              </w:rPr>
            </w:pPr>
            <w:r>
              <w:rPr>
                <w:rFonts w:ascii="Arial" w:hAnsi="Arial" w:cs="Arial"/>
                <w:sz w:val="16"/>
                <w:szCs w:val="16"/>
              </w:rPr>
              <w:t>1.71</w:t>
            </w:r>
          </w:p>
        </w:tc>
        <w:tc>
          <w:tcPr>
            <w:tcW w:w="1083" w:type="dxa"/>
            <w:vAlign w:val="center"/>
          </w:tcPr>
          <w:p w14:paraId="558B22C1" w14:textId="11B6C6CD" w:rsidR="00E26A92" w:rsidRDefault="00E26A92" w:rsidP="00091716">
            <w:pPr>
              <w:spacing w:line="300" w:lineRule="atLeast"/>
              <w:jc w:val="center"/>
              <w:rPr>
                <w:rFonts w:ascii="Arial" w:hAnsi="Arial" w:cs="Arial"/>
                <w:sz w:val="16"/>
                <w:szCs w:val="16"/>
              </w:rPr>
            </w:pPr>
            <w:r>
              <w:rPr>
                <w:rFonts w:ascii="Arial" w:hAnsi="Arial" w:cs="Arial"/>
                <w:sz w:val="16"/>
                <w:szCs w:val="16"/>
              </w:rPr>
              <w:t>100%</w:t>
            </w:r>
          </w:p>
        </w:tc>
        <w:tc>
          <w:tcPr>
            <w:tcW w:w="1425" w:type="dxa"/>
            <w:vAlign w:val="center"/>
          </w:tcPr>
          <w:p w14:paraId="55C12053" w14:textId="2E6D7AC0" w:rsidR="00E26A92" w:rsidRDefault="00E26A92" w:rsidP="00296CF3">
            <w:pPr>
              <w:spacing w:line="300" w:lineRule="atLeast"/>
              <w:jc w:val="center"/>
              <w:rPr>
                <w:rFonts w:ascii="Arial" w:hAnsi="Arial" w:cs="Arial"/>
                <w:sz w:val="16"/>
                <w:szCs w:val="16"/>
              </w:rPr>
            </w:pPr>
            <w:r>
              <w:rPr>
                <w:rFonts w:ascii="Arial" w:hAnsi="Arial" w:cs="Arial"/>
                <w:sz w:val="16"/>
                <w:szCs w:val="16"/>
              </w:rPr>
              <w:t>1.71</w:t>
            </w:r>
          </w:p>
        </w:tc>
        <w:tc>
          <w:tcPr>
            <w:tcW w:w="1026" w:type="dxa"/>
            <w:vAlign w:val="center"/>
          </w:tcPr>
          <w:p w14:paraId="6D0204AA" w14:textId="75A6900A" w:rsidR="00E26A92" w:rsidRDefault="00E26A92" w:rsidP="00296CF3">
            <w:pPr>
              <w:spacing w:line="300" w:lineRule="atLeast"/>
              <w:jc w:val="center"/>
              <w:rPr>
                <w:rFonts w:ascii="Arial" w:hAnsi="Arial" w:cs="Arial"/>
                <w:sz w:val="16"/>
                <w:szCs w:val="16"/>
              </w:rPr>
            </w:pPr>
            <w:r>
              <w:rPr>
                <w:rFonts w:ascii="Arial" w:hAnsi="Arial" w:cs="Arial"/>
                <w:sz w:val="16"/>
                <w:szCs w:val="16"/>
              </w:rPr>
              <w:t>0.034</w:t>
            </w:r>
          </w:p>
        </w:tc>
        <w:tc>
          <w:tcPr>
            <w:tcW w:w="912" w:type="dxa"/>
            <w:vAlign w:val="center"/>
          </w:tcPr>
          <w:p w14:paraId="0179D8E9" w14:textId="2C17962C" w:rsidR="00E26A92" w:rsidRDefault="00E26A92" w:rsidP="00EF3FAE">
            <w:pPr>
              <w:spacing w:line="300" w:lineRule="atLeast"/>
              <w:jc w:val="center"/>
              <w:rPr>
                <w:rFonts w:ascii="Arial" w:hAnsi="Arial" w:cs="Arial"/>
                <w:sz w:val="16"/>
                <w:szCs w:val="16"/>
              </w:rPr>
            </w:pPr>
            <w:r>
              <w:rPr>
                <w:rFonts w:ascii="Arial" w:hAnsi="Arial" w:cs="Arial"/>
                <w:sz w:val="16"/>
                <w:szCs w:val="16"/>
              </w:rPr>
              <w:t>0.239</w:t>
            </w:r>
          </w:p>
        </w:tc>
        <w:tc>
          <w:tcPr>
            <w:tcW w:w="969" w:type="dxa"/>
            <w:vAlign w:val="center"/>
          </w:tcPr>
          <w:p w14:paraId="3A830C61" w14:textId="08B1672E" w:rsidR="00E26A92" w:rsidRDefault="00E26A92" w:rsidP="00EF3FAE">
            <w:pPr>
              <w:spacing w:line="300" w:lineRule="atLeast"/>
              <w:jc w:val="center"/>
              <w:rPr>
                <w:rFonts w:ascii="Arial" w:hAnsi="Arial" w:cs="Arial"/>
                <w:sz w:val="16"/>
                <w:szCs w:val="16"/>
              </w:rPr>
            </w:pPr>
            <w:r>
              <w:rPr>
                <w:rFonts w:ascii="Arial" w:hAnsi="Arial" w:cs="Arial"/>
                <w:sz w:val="16"/>
                <w:szCs w:val="16"/>
              </w:rPr>
              <w:t>1.026</w:t>
            </w:r>
          </w:p>
        </w:tc>
        <w:tc>
          <w:tcPr>
            <w:tcW w:w="948" w:type="dxa"/>
            <w:vAlign w:val="center"/>
          </w:tcPr>
          <w:p w14:paraId="507EC5BF" w14:textId="01E5FE64" w:rsidR="00E26A92" w:rsidRDefault="005D0FDA" w:rsidP="00EF3FAE">
            <w:pPr>
              <w:spacing w:line="300" w:lineRule="atLeast"/>
              <w:jc w:val="center"/>
              <w:rPr>
                <w:rFonts w:ascii="Arial" w:hAnsi="Arial" w:cs="Arial"/>
                <w:sz w:val="16"/>
                <w:szCs w:val="16"/>
              </w:rPr>
            </w:pPr>
            <w:r>
              <w:rPr>
                <w:rFonts w:ascii="Arial" w:hAnsi="Arial" w:cs="Arial"/>
                <w:sz w:val="16"/>
                <w:szCs w:val="16"/>
              </w:rPr>
              <w:t>0.410</w:t>
            </w:r>
          </w:p>
        </w:tc>
      </w:tr>
    </w:tbl>
    <w:p w14:paraId="6697CEE4" w14:textId="0E2CF446" w:rsidR="00FF24EC" w:rsidRPr="00F91445" w:rsidRDefault="00FF24EC" w:rsidP="009D3B23">
      <w:pPr>
        <w:tabs>
          <w:tab w:val="left" w:pos="2760"/>
        </w:tabs>
        <w:spacing w:before="120" w:line="300" w:lineRule="atLeast"/>
        <w:jc w:val="both"/>
        <w:rPr>
          <w:bCs/>
          <w:sz w:val="16"/>
          <w:szCs w:val="16"/>
        </w:rPr>
      </w:pPr>
      <w:r w:rsidRPr="00F91445">
        <w:rPr>
          <w:bCs/>
          <w:sz w:val="16"/>
          <w:szCs w:val="16"/>
        </w:rPr>
        <w:t>Note. For the 2012 and 2016 Inventory Reports</w:t>
      </w:r>
      <w:r w:rsidR="004E78C1" w:rsidRPr="00F91445">
        <w:rPr>
          <w:bCs/>
          <w:sz w:val="16"/>
          <w:szCs w:val="16"/>
        </w:rPr>
        <w:t xml:space="preserve"> the total weight of amalgam sold was combined</w:t>
      </w:r>
      <w:r w:rsidR="00283A53" w:rsidRPr="00F91445">
        <w:rPr>
          <w:bCs/>
          <w:sz w:val="16"/>
          <w:szCs w:val="16"/>
        </w:rPr>
        <w:t xml:space="preserve"> with the average concentration of mercury to give an annual mercury input. For the 2020 </w:t>
      </w:r>
      <w:r w:rsidR="00E26A92" w:rsidRPr="00F91445">
        <w:rPr>
          <w:bCs/>
          <w:sz w:val="16"/>
          <w:szCs w:val="16"/>
        </w:rPr>
        <w:t xml:space="preserve">and 2024 </w:t>
      </w:r>
      <w:r w:rsidR="00283A53" w:rsidRPr="00F91445">
        <w:rPr>
          <w:bCs/>
          <w:sz w:val="16"/>
          <w:szCs w:val="16"/>
        </w:rPr>
        <w:t xml:space="preserve">estimates the concentration of mercury in individual products </w:t>
      </w:r>
      <w:r w:rsidR="004858F7" w:rsidRPr="00F91445">
        <w:rPr>
          <w:bCs/>
          <w:sz w:val="16"/>
          <w:szCs w:val="16"/>
        </w:rPr>
        <w:t>was assigned to specific product numbers</w:t>
      </w:r>
      <w:r w:rsidR="00B634A9" w:rsidRPr="00F91445">
        <w:rPr>
          <w:bCs/>
          <w:sz w:val="16"/>
          <w:szCs w:val="16"/>
        </w:rPr>
        <w:t xml:space="preserve"> and summed, hence the use of 100% for mercury content.</w:t>
      </w:r>
      <w:r w:rsidR="00283A53" w:rsidRPr="00F91445">
        <w:rPr>
          <w:bCs/>
          <w:sz w:val="16"/>
          <w:szCs w:val="16"/>
        </w:rPr>
        <w:t xml:space="preserve"> </w:t>
      </w:r>
    </w:p>
    <w:p w14:paraId="3A6134ED" w14:textId="21D0E96D" w:rsidR="009D3B23" w:rsidRPr="005E78DF" w:rsidRDefault="009D3B23" w:rsidP="009D3B23">
      <w:pPr>
        <w:tabs>
          <w:tab w:val="left" w:pos="2760"/>
        </w:tabs>
        <w:spacing w:before="120" w:line="300" w:lineRule="atLeast"/>
        <w:jc w:val="both"/>
        <w:rPr>
          <w:rFonts w:ascii="Arial" w:hAnsi="Arial" w:cs="Arial"/>
          <w:b/>
          <w:szCs w:val="18"/>
        </w:rPr>
      </w:pPr>
      <w:r w:rsidRPr="005E78DF">
        <w:rPr>
          <w:rFonts w:ascii="Arial" w:hAnsi="Arial" w:cs="Arial"/>
          <w:b/>
          <w:szCs w:val="18"/>
        </w:rPr>
        <w:t>Certainty assessment</w:t>
      </w:r>
    </w:p>
    <w:p w14:paraId="3E383F2A" w14:textId="77777777" w:rsidR="009D3B23" w:rsidRPr="005E78DF" w:rsidRDefault="009D3B23" w:rsidP="009D3B23">
      <w:pPr>
        <w:tabs>
          <w:tab w:val="left" w:pos="1701"/>
        </w:tabs>
        <w:spacing w:line="300" w:lineRule="atLeast"/>
        <w:jc w:val="both"/>
        <w:rPr>
          <w:szCs w:val="18"/>
        </w:rPr>
      </w:pPr>
      <w:r w:rsidRPr="005E78DF">
        <w:rPr>
          <w:szCs w:val="18"/>
        </w:rPr>
        <w:t xml:space="preserve">Activity data: </w:t>
      </w:r>
      <w:r w:rsidRPr="005E78DF">
        <w:rPr>
          <w:szCs w:val="18"/>
        </w:rPr>
        <w:tab/>
        <w:t xml:space="preserve">HIGH (because it is based on </w:t>
      </w:r>
      <w:r w:rsidR="00972D52" w:rsidRPr="005E78DF">
        <w:rPr>
          <w:szCs w:val="18"/>
        </w:rPr>
        <w:t>supplier estimates</w:t>
      </w:r>
      <w:r w:rsidRPr="005E78DF">
        <w:rPr>
          <w:szCs w:val="18"/>
        </w:rPr>
        <w:t>)</w:t>
      </w:r>
    </w:p>
    <w:p w14:paraId="0EDC0AA6" w14:textId="33407A22" w:rsidR="009D3B23" w:rsidRPr="005E78DF" w:rsidRDefault="009D3B23" w:rsidP="009D3B23">
      <w:pPr>
        <w:tabs>
          <w:tab w:val="left" w:pos="1701"/>
        </w:tabs>
        <w:spacing w:line="300" w:lineRule="atLeast"/>
        <w:jc w:val="both"/>
        <w:rPr>
          <w:szCs w:val="18"/>
        </w:rPr>
      </w:pPr>
      <w:r w:rsidRPr="005E78DF">
        <w:rPr>
          <w:szCs w:val="18"/>
        </w:rPr>
        <w:t xml:space="preserve">Input estimates: </w:t>
      </w:r>
      <w:r w:rsidRPr="005E78DF">
        <w:rPr>
          <w:szCs w:val="18"/>
        </w:rPr>
        <w:tab/>
      </w:r>
      <w:r w:rsidR="00DA1E2B">
        <w:rPr>
          <w:szCs w:val="18"/>
        </w:rPr>
        <w:t>HIGH</w:t>
      </w:r>
      <w:r w:rsidRPr="005E78DF">
        <w:rPr>
          <w:szCs w:val="18"/>
        </w:rPr>
        <w:t xml:space="preserve"> (because the</w:t>
      </w:r>
      <w:r w:rsidR="00DA1E2B">
        <w:rPr>
          <w:szCs w:val="18"/>
        </w:rPr>
        <w:t xml:space="preserve"> mercury content of the products is known)</w:t>
      </w:r>
    </w:p>
    <w:p w14:paraId="2A91345C" w14:textId="77777777" w:rsidR="009D3B23" w:rsidRPr="005E78DF" w:rsidRDefault="009D3B23" w:rsidP="009D3B23">
      <w:pPr>
        <w:tabs>
          <w:tab w:val="left" w:pos="1701"/>
        </w:tabs>
        <w:spacing w:line="300" w:lineRule="atLeast"/>
        <w:jc w:val="both"/>
        <w:rPr>
          <w:szCs w:val="18"/>
        </w:rPr>
      </w:pPr>
      <w:r w:rsidRPr="005E78DF">
        <w:rPr>
          <w:szCs w:val="18"/>
        </w:rPr>
        <w:t xml:space="preserve">Output estimates: </w:t>
      </w:r>
      <w:r w:rsidRPr="005E78DF">
        <w:rPr>
          <w:szCs w:val="18"/>
        </w:rPr>
        <w:tab/>
        <w:t>LOW (because they are based on the Toolkit default factors).</w:t>
      </w:r>
    </w:p>
    <w:p w14:paraId="1F926DCA" w14:textId="77777777" w:rsidR="00DC5D8A" w:rsidRPr="00144F08" w:rsidRDefault="00DC5D8A" w:rsidP="00DC5D8A">
      <w:pPr>
        <w:pStyle w:val="Heading2"/>
      </w:pPr>
      <w:bookmarkStart w:id="121" w:name="_Toc110355549"/>
      <w:r w:rsidRPr="00144F08">
        <w:t>Manometers and gauges</w:t>
      </w:r>
      <w:bookmarkEnd w:id="121"/>
    </w:p>
    <w:p w14:paraId="4F8A92FB" w14:textId="10C27CF7" w:rsidR="00DC5D8A" w:rsidRPr="00144F08" w:rsidRDefault="00296CF3" w:rsidP="003833D6">
      <w:pPr>
        <w:spacing w:line="300" w:lineRule="atLeast"/>
        <w:jc w:val="both"/>
        <w:rPr>
          <w:szCs w:val="18"/>
        </w:rPr>
      </w:pPr>
      <w:r w:rsidRPr="00144F08">
        <w:rPr>
          <w:szCs w:val="18"/>
        </w:rPr>
        <w:t xml:space="preserve">The most common uses of mercury in this sub-category are in blood pressure devices (sphygmomanometers) and in barometers. However, mercury may also be used </w:t>
      </w:r>
      <w:r w:rsidR="00552028" w:rsidRPr="00144F08">
        <w:rPr>
          <w:szCs w:val="18"/>
        </w:rPr>
        <w:t>for pressure (or vacuum) measurement</w:t>
      </w:r>
      <w:r w:rsidR="00BD0488" w:rsidRPr="00144F08">
        <w:rPr>
          <w:szCs w:val="18"/>
        </w:rPr>
        <w:t xml:space="preserve"> in a range of industrial and laboratory applications (</w:t>
      </w:r>
      <w:r w:rsidR="00C738EC" w:rsidRPr="00144F08">
        <w:rPr>
          <w:szCs w:val="18"/>
        </w:rPr>
        <w:t>UNEP, 20</w:t>
      </w:r>
      <w:r w:rsidR="00DA1E2B">
        <w:rPr>
          <w:szCs w:val="18"/>
        </w:rPr>
        <w:t>23</w:t>
      </w:r>
      <w:r w:rsidR="00BD0488" w:rsidRPr="00144F08">
        <w:rPr>
          <w:szCs w:val="18"/>
        </w:rPr>
        <w:t>)</w:t>
      </w:r>
      <w:r w:rsidR="0019744D">
        <w:rPr>
          <w:szCs w:val="18"/>
        </w:rPr>
        <w:t>.</w:t>
      </w:r>
      <w:r w:rsidR="007F1F89" w:rsidRPr="00351B54">
        <w:rPr>
          <w:szCs w:val="18"/>
        </w:rPr>
        <w:t xml:space="preserve"> Electronic models have by and large superceded mercury sphygmomanometers.</w:t>
      </w:r>
    </w:p>
    <w:p w14:paraId="1999D38E" w14:textId="06D76CB5" w:rsidR="00ED5CC2" w:rsidRDefault="005D0FDA" w:rsidP="007F1F89">
      <w:pPr>
        <w:spacing w:line="300" w:lineRule="atLeast"/>
        <w:jc w:val="both"/>
        <w:rPr>
          <w:szCs w:val="18"/>
        </w:rPr>
      </w:pPr>
      <w:r>
        <w:rPr>
          <w:szCs w:val="18"/>
        </w:rPr>
        <w:t xml:space="preserve">The sole medical equipment supplier of </w:t>
      </w:r>
      <w:r w:rsidR="007F1F89" w:rsidRPr="0048300C">
        <w:rPr>
          <w:szCs w:val="18"/>
        </w:rPr>
        <w:t>sphygmomanometers in 20</w:t>
      </w:r>
      <w:r>
        <w:rPr>
          <w:szCs w:val="18"/>
        </w:rPr>
        <w:t>24 sold one unit in 2024.</w:t>
      </w:r>
    </w:p>
    <w:p w14:paraId="1152FB2F" w14:textId="77777777" w:rsidR="00ED5CC2" w:rsidRPr="00B64BA0" w:rsidRDefault="00ED5CC2" w:rsidP="00ED5CC2">
      <w:pPr>
        <w:spacing w:line="300" w:lineRule="atLeast"/>
        <w:jc w:val="both"/>
        <w:rPr>
          <w:rFonts w:ascii="Arial" w:hAnsi="Arial" w:cs="Arial"/>
          <w:b/>
          <w:szCs w:val="18"/>
        </w:rPr>
      </w:pPr>
      <w:r w:rsidRPr="00B64BA0">
        <w:rPr>
          <w:rFonts w:ascii="Arial" w:hAnsi="Arial" w:cs="Arial"/>
          <w:b/>
          <w:szCs w:val="18"/>
        </w:rPr>
        <w:t>Input and output estimates</w:t>
      </w:r>
    </w:p>
    <w:p w14:paraId="2C94B2F8" w14:textId="216D836A" w:rsidR="00DC5D8A" w:rsidRPr="00144F08" w:rsidRDefault="00ED5CC2" w:rsidP="007F1F89">
      <w:pPr>
        <w:spacing w:line="300" w:lineRule="atLeast"/>
        <w:jc w:val="both"/>
        <w:rPr>
          <w:szCs w:val="18"/>
        </w:rPr>
      </w:pPr>
      <w:r>
        <w:rPr>
          <w:szCs w:val="18"/>
        </w:rPr>
        <w:t xml:space="preserve">The Toolkit indicates that each sphygmomanometer contains </w:t>
      </w:r>
      <w:r w:rsidR="00254ACE">
        <w:rPr>
          <w:szCs w:val="18"/>
        </w:rPr>
        <w:t xml:space="preserve">80 </w:t>
      </w:r>
      <w:r>
        <w:rPr>
          <w:szCs w:val="18"/>
        </w:rPr>
        <w:t xml:space="preserve">g of mercury on average. Consequently the annual mercury inputs </w:t>
      </w:r>
      <w:r w:rsidR="00EB6383">
        <w:rPr>
          <w:szCs w:val="18"/>
        </w:rPr>
        <w:t>will be 0.</w:t>
      </w:r>
      <w:r w:rsidR="005D0FDA">
        <w:rPr>
          <w:szCs w:val="18"/>
        </w:rPr>
        <w:t>0</w:t>
      </w:r>
      <w:r w:rsidR="00254ACE">
        <w:rPr>
          <w:szCs w:val="18"/>
        </w:rPr>
        <w:t>80</w:t>
      </w:r>
      <w:r w:rsidR="00EB6383">
        <w:rPr>
          <w:szCs w:val="18"/>
        </w:rPr>
        <w:t xml:space="preserve"> kg mercury allocated to the product output category.</w:t>
      </w:r>
    </w:p>
    <w:p w14:paraId="01487947" w14:textId="77777777" w:rsidR="00DC5D8A" w:rsidRPr="00FF0264" w:rsidRDefault="00DC5D8A" w:rsidP="00144F08">
      <w:pPr>
        <w:pStyle w:val="Heading2"/>
      </w:pPr>
      <w:bookmarkStart w:id="122" w:name="_Toc110355550"/>
      <w:r w:rsidRPr="00FF0264">
        <w:t>Laboratory chemicals and equipment</w:t>
      </w:r>
      <w:bookmarkEnd w:id="122"/>
    </w:p>
    <w:p w14:paraId="5461491F" w14:textId="1B9111CE" w:rsidR="006F4A36" w:rsidRPr="00B60EA8" w:rsidRDefault="001E4F9D" w:rsidP="003833D6">
      <w:pPr>
        <w:spacing w:line="300" w:lineRule="atLeast"/>
        <w:jc w:val="both"/>
        <w:rPr>
          <w:szCs w:val="18"/>
        </w:rPr>
      </w:pPr>
      <w:r w:rsidRPr="00B60EA8">
        <w:rPr>
          <w:szCs w:val="18"/>
        </w:rPr>
        <w:t xml:space="preserve">Mercury is used in laboratories in instruments, reagents, preservatives, and catalysts. Some of this mercury is released to air, primarily through lab vents. However, most of the mercury may be released in wastewater or disposed of as hazardous or municipal wastes (UNEP </w:t>
      </w:r>
      <w:r w:rsidR="00CC4105" w:rsidRPr="000B1B79">
        <w:rPr>
          <w:szCs w:val="18"/>
        </w:rPr>
        <w:t>2023</w:t>
      </w:r>
      <w:r w:rsidRPr="00B60EA8">
        <w:rPr>
          <w:szCs w:val="18"/>
        </w:rPr>
        <w:t xml:space="preserve">). </w:t>
      </w:r>
    </w:p>
    <w:p w14:paraId="14760C1C" w14:textId="1EF804E0" w:rsidR="00DC5D8A" w:rsidRPr="00B60EA8" w:rsidRDefault="00CC4105" w:rsidP="003833D6">
      <w:pPr>
        <w:spacing w:line="300" w:lineRule="atLeast"/>
        <w:jc w:val="both"/>
        <w:rPr>
          <w:szCs w:val="18"/>
        </w:rPr>
      </w:pPr>
      <w:r w:rsidRPr="000B1B79">
        <w:rPr>
          <w:szCs w:val="18"/>
        </w:rPr>
        <w:t>The f</w:t>
      </w:r>
      <w:r w:rsidR="00151A93" w:rsidRPr="00B60EA8">
        <w:rPr>
          <w:szCs w:val="18"/>
        </w:rPr>
        <w:t>ive</w:t>
      </w:r>
      <w:r w:rsidRPr="000B1B79">
        <w:rPr>
          <w:szCs w:val="18"/>
        </w:rPr>
        <w:t xml:space="preserve"> major</w:t>
      </w:r>
      <w:r w:rsidR="00151A93" w:rsidRPr="00B60EA8">
        <w:rPr>
          <w:szCs w:val="18"/>
        </w:rPr>
        <w:t xml:space="preserve"> </w:t>
      </w:r>
      <w:r w:rsidR="00EA5196" w:rsidRPr="00B60EA8">
        <w:rPr>
          <w:szCs w:val="18"/>
        </w:rPr>
        <w:t xml:space="preserve">laboratory supply companies were contacted for details of </w:t>
      </w:r>
      <w:r w:rsidRPr="004C4210">
        <w:rPr>
          <w:szCs w:val="18"/>
        </w:rPr>
        <w:t>2024</w:t>
      </w:r>
      <w:r w:rsidRPr="00B60EA8">
        <w:rPr>
          <w:szCs w:val="18"/>
        </w:rPr>
        <w:t xml:space="preserve"> </w:t>
      </w:r>
      <w:r w:rsidR="00EA5196" w:rsidRPr="00B60EA8">
        <w:rPr>
          <w:szCs w:val="18"/>
        </w:rPr>
        <w:t xml:space="preserve">sales of mercury and mercury containing products. </w:t>
      </w:r>
      <w:r w:rsidRPr="000B1B79">
        <w:rPr>
          <w:szCs w:val="18"/>
        </w:rPr>
        <w:t xml:space="preserve">There were no sales </w:t>
      </w:r>
      <w:r w:rsidR="00EA5196" w:rsidRPr="00B60EA8">
        <w:rPr>
          <w:szCs w:val="18"/>
        </w:rPr>
        <w:t xml:space="preserve">of elemental mercury </w:t>
      </w:r>
      <w:r w:rsidRPr="004C4210">
        <w:rPr>
          <w:szCs w:val="18"/>
        </w:rPr>
        <w:t>but</w:t>
      </w:r>
      <w:r w:rsidRPr="00B60EA8">
        <w:rPr>
          <w:szCs w:val="18"/>
        </w:rPr>
        <w:t xml:space="preserve"> </w:t>
      </w:r>
      <w:r w:rsidR="00B60EA8" w:rsidRPr="004C4210">
        <w:rPr>
          <w:szCs w:val="18"/>
        </w:rPr>
        <w:t xml:space="preserve">there were sales of </w:t>
      </w:r>
      <w:r w:rsidR="00EA5196" w:rsidRPr="00B60EA8">
        <w:rPr>
          <w:szCs w:val="18"/>
        </w:rPr>
        <w:t xml:space="preserve">mercury containing compounds </w:t>
      </w:r>
      <w:r w:rsidR="00B60EA8" w:rsidRPr="000B1B79">
        <w:rPr>
          <w:szCs w:val="18"/>
        </w:rPr>
        <w:t xml:space="preserve">totalling 1.641 kg </w:t>
      </w:r>
      <w:r w:rsidR="00F272B3" w:rsidRPr="00B60EA8">
        <w:rPr>
          <w:szCs w:val="18"/>
        </w:rPr>
        <w:t>expressed as mercury</w:t>
      </w:r>
      <w:r w:rsidR="00B60EA8" w:rsidRPr="000B1B79">
        <w:rPr>
          <w:szCs w:val="18"/>
        </w:rPr>
        <w:t>.</w:t>
      </w:r>
    </w:p>
    <w:p w14:paraId="0FBB44A6" w14:textId="77777777" w:rsidR="00663F4E" w:rsidRPr="00B60EA8" w:rsidRDefault="00663F4E" w:rsidP="00663F4E">
      <w:pPr>
        <w:spacing w:line="300" w:lineRule="atLeast"/>
        <w:jc w:val="both"/>
        <w:rPr>
          <w:rFonts w:ascii="Arial" w:hAnsi="Arial" w:cs="Arial"/>
          <w:b/>
          <w:szCs w:val="18"/>
        </w:rPr>
      </w:pPr>
      <w:r w:rsidRPr="00B60EA8">
        <w:rPr>
          <w:rFonts w:ascii="Arial" w:hAnsi="Arial" w:cs="Arial"/>
          <w:b/>
          <w:szCs w:val="18"/>
        </w:rPr>
        <w:t>Input and output estimates</w:t>
      </w:r>
    </w:p>
    <w:p w14:paraId="1E4549CE" w14:textId="3242132A" w:rsidR="00663F4E" w:rsidRPr="00B60EA8" w:rsidRDefault="00663F4E" w:rsidP="00663F4E">
      <w:pPr>
        <w:spacing w:line="300" w:lineRule="atLeast"/>
        <w:jc w:val="both"/>
        <w:rPr>
          <w:szCs w:val="18"/>
        </w:rPr>
      </w:pPr>
      <w:r w:rsidRPr="00B60EA8">
        <w:rPr>
          <w:szCs w:val="18"/>
        </w:rPr>
        <w:t>The Toolkit does</w:t>
      </w:r>
      <w:r w:rsidR="0019744D" w:rsidRPr="00B60EA8">
        <w:rPr>
          <w:szCs w:val="18"/>
        </w:rPr>
        <w:t xml:space="preserve"> no</w:t>
      </w:r>
      <w:r w:rsidRPr="00B60EA8">
        <w:rPr>
          <w:szCs w:val="18"/>
        </w:rPr>
        <w:t xml:space="preserve">t provide any specific output factors </w:t>
      </w:r>
      <w:r w:rsidR="0019744D" w:rsidRPr="00B60EA8">
        <w:rPr>
          <w:szCs w:val="18"/>
        </w:rPr>
        <w:t xml:space="preserve">for this category </w:t>
      </w:r>
      <w:r w:rsidRPr="00B60EA8">
        <w:rPr>
          <w:szCs w:val="18"/>
        </w:rPr>
        <w:t>and notes that this is highly dependent on the waste management practices of individual laboratories. The feedback received from some of the New Zealand labor</w:t>
      </w:r>
      <w:r w:rsidR="008A13B1" w:rsidRPr="00B60EA8">
        <w:rPr>
          <w:szCs w:val="18"/>
        </w:rPr>
        <w:t>atories and u</w:t>
      </w:r>
      <w:r w:rsidRPr="00B60EA8">
        <w:rPr>
          <w:szCs w:val="18"/>
        </w:rPr>
        <w:t xml:space="preserve">niversities </w:t>
      </w:r>
      <w:r w:rsidR="00EA5196" w:rsidRPr="00B60EA8">
        <w:rPr>
          <w:szCs w:val="18"/>
        </w:rPr>
        <w:t>in 2012 indicated</w:t>
      </w:r>
      <w:r w:rsidRPr="00B60EA8">
        <w:rPr>
          <w:szCs w:val="18"/>
        </w:rPr>
        <w:t xml:space="preserve"> that </w:t>
      </w:r>
      <w:r w:rsidR="008A13B1" w:rsidRPr="00B60EA8">
        <w:rPr>
          <w:szCs w:val="18"/>
        </w:rPr>
        <w:t>the bulk of the</w:t>
      </w:r>
      <w:r w:rsidRPr="00B60EA8">
        <w:rPr>
          <w:szCs w:val="18"/>
        </w:rPr>
        <w:t xml:space="preserve"> wastes </w:t>
      </w:r>
      <w:r w:rsidR="008A13B1" w:rsidRPr="00B60EA8">
        <w:rPr>
          <w:szCs w:val="18"/>
        </w:rPr>
        <w:t xml:space="preserve">are </w:t>
      </w:r>
      <w:r w:rsidRPr="00B60EA8">
        <w:rPr>
          <w:szCs w:val="18"/>
        </w:rPr>
        <w:t>taken aw</w:t>
      </w:r>
      <w:r w:rsidR="00EA5196" w:rsidRPr="00B60EA8">
        <w:rPr>
          <w:szCs w:val="18"/>
        </w:rPr>
        <w:t>ay by waste contractors. On that</w:t>
      </w:r>
      <w:r w:rsidRPr="00B60EA8">
        <w:rPr>
          <w:szCs w:val="18"/>
        </w:rPr>
        <w:t xml:space="preserve"> basis it </w:t>
      </w:r>
      <w:r w:rsidR="0011340D" w:rsidRPr="00B60EA8">
        <w:rPr>
          <w:szCs w:val="18"/>
        </w:rPr>
        <w:t>has been</w:t>
      </w:r>
      <w:r w:rsidRPr="00B60EA8">
        <w:rPr>
          <w:szCs w:val="18"/>
        </w:rPr>
        <w:t xml:space="preserve"> assumed</w:t>
      </w:r>
      <w:r w:rsidR="001103B6" w:rsidRPr="00B60EA8">
        <w:rPr>
          <w:szCs w:val="18"/>
        </w:rPr>
        <w:t xml:space="preserve"> (through familiarity with laboratory practices)</w:t>
      </w:r>
      <w:r w:rsidRPr="00B60EA8">
        <w:rPr>
          <w:szCs w:val="18"/>
        </w:rPr>
        <w:t xml:space="preserve"> that only 5% of the inputs are discharged to air and 10% to wastewater, with the remainder going to wastes. </w:t>
      </w:r>
    </w:p>
    <w:p w14:paraId="632D31D6" w14:textId="35A1D37E" w:rsidR="00C60985" w:rsidRPr="00B60EA8" w:rsidRDefault="008A13B1" w:rsidP="00D13C89">
      <w:pPr>
        <w:spacing w:line="300" w:lineRule="atLeast"/>
        <w:jc w:val="both"/>
        <w:rPr>
          <w:szCs w:val="18"/>
        </w:rPr>
      </w:pPr>
      <w:r w:rsidRPr="00B60EA8">
        <w:rPr>
          <w:szCs w:val="18"/>
        </w:rPr>
        <w:t>The mercury input and output estimates for laboratory chemicals are shown in</w:t>
      </w:r>
      <w:r w:rsidR="00C61050" w:rsidRPr="00B60EA8">
        <w:rPr>
          <w:szCs w:val="18"/>
        </w:rPr>
        <w:t xml:space="preserve"> </w:t>
      </w:r>
      <w:r w:rsidR="00006686" w:rsidRPr="00B60EA8">
        <w:rPr>
          <w:szCs w:val="18"/>
        </w:rPr>
        <w:fldChar w:fldCharType="begin"/>
      </w:r>
      <w:r w:rsidR="00006686" w:rsidRPr="00B60EA8">
        <w:rPr>
          <w:szCs w:val="18"/>
        </w:rPr>
        <w:instrText xml:space="preserve"> REF _Ref358782562 \h </w:instrText>
      </w:r>
      <w:r w:rsidR="0094605E" w:rsidRPr="00B60EA8">
        <w:rPr>
          <w:szCs w:val="18"/>
        </w:rPr>
        <w:instrText xml:space="preserve"> \* MERGEFORMAT </w:instrText>
      </w:r>
      <w:r w:rsidR="00006686" w:rsidRPr="00B60EA8">
        <w:rPr>
          <w:szCs w:val="18"/>
        </w:rPr>
      </w:r>
      <w:r w:rsidR="00006686" w:rsidRPr="00B60EA8">
        <w:rPr>
          <w:szCs w:val="18"/>
        </w:rPr>
        <w:fldChar w:fldCharType="separate"/>
      </w:r>
      <w:r w:rsidR="00892B2D" w:rsidRPr="00892B2D">
        <w:t xml:space="preserve">Table </w:t>
      </w:r>
      <w:r w:rsidR="00892B2D" w:rsidRPr="00892B2D">
        <w:rPr>
          <w:noProof/>
        </w:rPr>
        <w:t>8</w:t>
      </w:r>
      <w:r w:rsidR="00892B2D" w:rsidRPr="00892B2D">
        <w:rPr>
          <w:noProof/>
        </w:rPr>
        <w:noBreakHyphen/>
        <w:t>3</w:t>
      </w:r>
      <w:r w:rsidR="00006686" w:rsidRPr="00B60EA8">
        <w:rPr>
          <w:szCs w:val="18"/>
        </w:rPr>
        <w:fldChar w:fldCharType="end"/>
      </w:r>
      <w:bookmarkStart w:id="123" w:name="_Ref358734345"/>
      <w:r w:rsidR="00435C60" w:rsidRPr="00B60EA8">
        <w:rPr>
          <w:szCs w:val="18"/>
        </w:rPr>
        <w:t>.</w:t>
      </w:r>
    </w:p>
    <w:p w14:paraId="57DDBBF4" w14:textId="53AFC7B7" w:rsidR="008A13B1" w:rsidRPr="00B60EA8" w:rsidRDefault="008A13B1" w:rsidP="00C61050">
      <w:pPr>
        <w:pStyle w:val="Caption"/>
        <w:spacing w:before="240"/>
        <w:rPr>
          <w:szCs w:val="18"/>
        </w:rPr>
      </w:pPr>
      <w:bookmarkStart w:id="124" w:name="_Ref358782562"/>
      <w:bookmarkStart w:id="125" w:name="_Toc110355488"/>
      <w:r w:rsidRPr="00B60EA8">
        <w:rPr>
          <w:rFonts w:ascii="Arial" w:hAnsi="Arial" w:cs="Arial"/>
        </w:rPr>
        <w:t xml:space="preserve">Table </w:t>
      </w:r>
      <w:r w:rsidR="00390C9F" w:rsidRPr="00B60EA8">
        <w:rPr>
          <w:rFonts w:ascii="Arial" w:hAnsi="Arial" w:cs="Arial"/>
        </w:rPr>
        <w:fldChar w:fldCharType="begin"/>
      </w:r>
      <w:r w:rsidR="00390C9F" w:rsidRPr="00B60EA8">
        <w:rPr>
          <w:rFonts w:ascii="Arial" w:hAnsi="Arial" w:cs="Arial"/>
        </w:rPr>
        <w:instrText xml:space="preserve"> STYLEREF 1 \s </w:instrText>
      </w:r>
      <w:r w:rsidR="00390C9F" w:rsidRPr="00B60EA8">
        <w:rPr>
          <w:rFonts w:ascii="Arial" w:hAnsi="Arial" w:cs="Arial"/>
        </w:rPr>
        <w:fldChar w:fldCharType="separate"/>
      </w:r>
      <w:r w:rsidR="00892B2D">
        <w:rPr>
          <w:rFonts w:ascii="Arial" w:hAnsi="Arial" w:cs="Arial"/>
          <w:noProof/>
        </w:rPr>
        <w:t>8</w:t>
      </w:r>
      <w:r w:rsidR="00390C9F" w:rsidRPr="00B60EA8">
        <w:rPr>
          <w:rFonts w:ascii="Arial" w:hAnsi="Arial" w:cs="Arial"/>
        </w:rPr>
        <w:fldChar w:fldCharType="end"/>
      </w:r>
      <w:r w:rsidR="00390C9F" w:rsidRPr="00B60EA8">
        <w:rPr>
          <w:rFonts w:ascii="Arial" w:hAnsi="Arial" w:cs="Arial"/>
        </w:rPr>
        <w:noBreakHyphen/>
      </w:r>
      <w:r w:rsidR="00390C9F" w:rsidRPr="00B60EA8">
        <w:rPr>
          <w:rFonts w:ascii="Arial" w:hAnsi="Arial" w:cs="Arial"/>
        </w:rPr>
        <w:fldChar w:fldCharType="begin"/>
      </w:r>
      <w:r w:rsidR="00390C9F" w:rsidRPr="00B60EA8">
        <w:rPr>
          <w:rFonts w:ascii="Arial" w:hAnsi="Arial" w:cs="Arial"/>
        </w:rPr>
        <w:instrText xml:space="preserve"> SEQ Table \* ARABIC \s 1 </w:instrText>
      </w:r>
      <w:r w:rsidR="00390C9F" w:rsidRPr="00B60EA8">
        <w:rPr>
          <w:rFonts w:ascii="Arial" w:hAnsi="Arial" w:cs="Arial"/>
        </w:rPr>
        <w:fldChar w:fldCharType="separate"/>
      </w:r>
      <w:r w:rsidR="00892B2D">
        <w:rPr>
          <w:rFonts w:ascii="Arial" w:hAnsi="Arial" w:cs="Arial"/>
          <w:noProof/>
        </w:rPr>
        <w:t>3</w:t>
      </w:r>
      <w:r w:rsidR="00390C9F" w:rsidRPr="00B60EA8">
        <w:rPr>
          <w:rFonts w:ascii="Arial" w:hAnsi="Arial" w:cs="Arial"/>
        </w:rPr>
        <w:fldChar w:fldCharType="end"/>
      </w:r>
      <w:bookmarkEnd w:id="123"/>
      <w:bookmarkEnd w:id="124"/>
      <w:r w:rsidRPr="00B60EA8">
        <w:rPr>
          <w:rFonts w:ascii="Arial" w:hAnsi="Arial" w:cs="Arial"/>
        </w:rPr>
        <w:t>:</w:t>
      </w:r>
      <w:r w:rsidR="00403501" w:rsidRPr="00B60EA8">
        <w:rPr>
          <w:rFonts w:ascii="Arial" w:hAnsi="Arial" w:cs="Arial"/>
        </w:rPr>
        <w:t xml:space="preserve"> </w:t>
      </w:r>
      <w:r w:rsidRPr="00B60EA8">
        <w:t xml:space="preserve"> </w:t>
      </w:r>
      <w:r w:rsidRPr="00B60EA8">
        <w:rPr>
          <w:rFonts w:ascii="Arial" w:hAnsi="Arial" w:cs="Arial"/>
        </w:rPr>
        <w:t>Input and output estimates for laboratory chemicals</w:t>
      </w:r>
      <w:bookmarkEnd w:id="125"/>
    </w:p>
    <w:tbl>
      <w:tblPr>
        <w:tblStyle w:val="TableGrid"/>
        <w:tblW w:w="9171" w:type="dxa"/>
        <w:tblLook w:val="04A0" w:firstRow="1" w:lastRow="0" w:firstColumn="1" w:lastColumn="0" w:noHBand="0" w:noVBand="1"/>
      </w:tblPr>
      <w:tblGrid>
        <w:gridCol w:w="1989"/>
        <w:gridCol w:w="2052"/>
        <w:gridCol w:w="1710"/>
        <w:gridCol w:w="1710"/>
        <w:gridCol w:w="1710"/>
      </w:tblGrid>
      <w:tr w:rsidR="009D30FE" w:rsidRPr="00B60EA8" w14:paraId="11078EB1" w14:textId="77777777" w:rsidTr="009D30FE">
        <w:trPr>
          <w:trHeight w:val="776"/>
        </w:trPr>
        <w:tc>
          <w:tcPr>
            <w:tcW w:w="1989" w:type="dxa"/>
            <w:vMerge w:val="restart"/>
            <w:vAlign w:val="center"/>
          </w:tcPr>
          <w:p w14:paraId="708057FA" w14:textId="77777777" w:rsidR="009D30FE" w:rsidRPr="00B60EA8" w:rsidRDefault="009D30FE" w:rsidP="008F7FA4">
            <w:pPr>
              <w:spacing w:line="300" w:lineRule="atLeast"/>
              <w:jc w:val="center"/>
              <w:rPr>
                <w:rFonts w:ascii="Arial" w:hAnsi="Arial" w:cs="Arial"/>
                <w:b/>
                <w:sz w:val="16"/>
                <w:szCs w:val="16"/>
              </w:rPr>
            </w:pPr>
            <w:r w:rsidRPr="00B60EA8">
              <w:rPr>
                <w:rFonts w:ascii="Arial" w:hAnsi="Arial" w:cs="Arial"/>
                <w:b/>
                <w:sz w:val="16"/>
                <w:szCs w:val="16"/>
              </w:rPr>
              <w:t>Source</w:t>
            </w:r>
          </w:p>
        </w:tc>
        <w:tc>
          <w:tcPr>
            <w:tcW w:w="2052" w:type="dxa"/>
            <w:vMerge w:val="restart"/>
            <w:vAlign w:val="center"/>
          </w:tcPr>
          <w:p w14:paraId="06BC17F2" w14:textId="77777777" w:rsidR="009D30FE" w:rsidRPr="00B60EA8" w:rsidRDefault="009D30FE" w:rsidP="008F7FA4">
            <w:pPr>
              <w:spacing w:line="300" w:lineRule="atLeast"/>
              <w:jc w:val="center"/>
              <w:rPr>
                <w:rFonts w:ascii="Arial" w:hAnsi="Arial" w:cs="Arial"/>
                <w:b/>
                <w:sz w:val="16"/>
                <w:szCs w:val="16"/>
              </w:rPr>
            </w:pPr>
            <w:r w:rsidRPr="00B60EA8">
              <w:rPr>
                <w:rFonts w:ascii="Arial" w:hAnsi="Arial" w:cs="Arial"/>
                <w:b/>
                <w:sz w:val="16"/>
                <w:szCs w:val="16"/>
              </w:rPr>
              <w:t>Annual Mercury Inputs, kg/yr</w:t>
            </w:r>
          </w:p>
        </w:tc>
        <w:tc>
          <w:tcPr>
            <w:tcW w:w="5130" w:type="dxa"/>
            <w:gridSpan w:val="3"/>
            <w:vAlign w:val="center"/>
          </w:tcPr>
          <w:p w14:paraId="78EF57C8" w14:textId="77777777" w:rsidR="009D30FE" w:rsidRPr="00B60EA8" w:rsidRDefault="009D30FE" w:rsidP="00BC3100">
            <w:pPr>
              <w:spacing w:line="300" w:lineRule="atLeast"/>
              <w:jc w:val="center"/>
              <w:rPr>
                <w:rFonts w:ascii="Arial" w:hAnsi="Arial" w:cs="Arial"/>
                <w:b/>
                <w:sz w:val="16"/>
                <w:szCs w:val="16"/>
              </w:rPr>
            </w:pPr>
            <w:r w:rsidRPr="00B60EA8">
              <w:rPr>
                <w:rFonts w:ascii="Arial" w:hAnsi="Arial" w:cs="Arial"/>
                <w:b/>
                <w:sz w:val="16"/>
                <w:szCs w:val="16"/>
              </w:rPr>
              <w:t>Annual Mercury Outputs, kg/yr</w:t>
            </w:r>
          </w:p>
        </w:tc>
      </w:tr>
      <w:tr w:rsidR="009D30FE" w:rsidRPr="00B60EA8" w14:paraId="0333F3E4" w14:textId="77777777" w:rsidTr="009D30FE">
        <w:tc>
          <w:tcPr>
            <w:tcW w:w="1989" w:type="dxa"/>
            <w:vMerge/>
            <w:vAlign w:val="center"/>
          </w:tcPr>
          <w:p w14:paraId="69F9D9AA" w14:textId="77777777" w:rsidR="009D30FE" w:rsidRPr="00B60EA8" w:rsidRDefault="009D30FE" w:rsidP="008F7FA4">
            <w:pPr>
              <w:spacing w:line="300" w:lineRule="atLeast"/>
              <w:jc w:val="center"/>
              <w:rPr>
                <w:rFonts w:ascii="Arial" w:hAnsi="Arial" w:cs="Arial"/>
                <w:b/>
                <w:sz w:val="16"/>
                <w:szCs w:val="16"/>
              </w:rPr>
            </w:pPr>
          </w:p>
        </w:tc>
        <w:tc>
          <w:tcPr>
            <w:tcW w:w="2052" w:type="dxa"/>
            <w:vMerge/>
            <w:vAlign w:val="center"/>
          </w:tcPr>
          <w:p w14:paraId="312045E5" w14:textId="77777777" w:rsidR="009D30FE" w:rsidRPr="00B60EA8" w:rsidRDefault="009D30FE" w:rsidP="008F7FA4">
            <w:pPr>
              <w:spacing w:line="300" w:lineRule="atLeast"/>
              <w:jc w:val="center"/>
              <w:rPr>
                <w:rFonts w:ascii="Arial" w:hAnsi="Arial" w:cs="Arial"/>
                <w:b/>
                <w:sz w:val="16"/>
                <w:szCs w:val="16"/>
              </w:rPr>
            </w:pPr>
          </w:p>
        </w:tc>
        <w:tc>
          <w:tcPr>
            <w:tcW w:w="1710" w:type="dxa"/>
            <w:vAlign w:val="center"/>
          </w:tcPr>
          <w:p w14:paraId="3E2634B0" w14:textId="77777777" w:rsidR="009D30FE" w:rsidRPr="00B60EA8" w:rsidRDefault="009D30FE" w:rsidP="008F7FA4">
            <w:pPr>
              <w:spacing w:line="300" w:lineRule="atLeast"/>
              <w:jc w:val="center"/>
              <w:rPr>
                <w:rFonts w:ascii="Arial" w:hAnsi="Arial" w:cs="Arial"/>
                <w:b/>
                <w:sz w:val="16"/>
                <w:szCs w:val="16"/>
              </w:rPr>
            </w:pPr>
            <w:r w:rsidRPr="00B60EA8">
              <w:rPr>
                <w:rFonts w:ascii="Arial" w:hAnsi="Arial" w:cs="Arial"/>
                <w:b/>
                <w:sz w:val="16"/>
                <w:szCs w:val="16"/>
              </w:rPr>
              <w:t>Air</w:t>
            </w:r>
          </w:p>
        </w:tc>
        <w:tc>
          <w:tcPr>
            <w:tcW w:w="1710" w:type="dxa"/>
            <w:vAlign w:val="center"/>
          </w:tcPr>
          <w:p w14:paraId="5AC01D40" w14:textId="77777777" w:rsidR="009D30FE" w:rsidRPr="00B60EA8" w:rsidRDefault="009D30FE" w:rsidP="008F7FA4">
            <w:pPr>
              <w:spacing w:line="300" w:lineRule="atLeast"/>
              <w:jc w:val="center"/>
              <w:rPr>
                <w:rFonts w:ascii="Arial" w:hAnsi="Arial" w:cs="Arial"/>
                <w:b/>
                <w:sz w:val="16"/>
                <w:szCs w:val="16"/>
              </w:rPr>
            </w:pPr>
            <w:r w:rsidRPr="00B60EA8">
              <w:rPr>
                <w:rFonts w:ascii="Arial" w:hAnsi="Arial" w:cs="Arial"/>
                <w:b/>
                <w:sz w:val="16"/>
                <w:szCs w:val="16"/>
              </w:rPr>
              <w:t>Water</w:t>
            </w:r>
          </w:p>
        </w:tc>
        <w:tc>
          <w:tcPr>
            <w:tcW w:w="1710" w:type="dxa"/>
            <w:vAlign w:val="center"/>
          </w:tcPr>
          <w:p w14:paraId="172F0DDF" w14:textId="77777777" w:rsidR="009D30FE" w:rsidRPr="00B60EA8" w:rsidRDefault="009D30FE" w:rsidP="008F7FA4">
            <w:pPr>
              <w:spacing w:line="300" w:lineRule="atLeast"/>
              <w:jc w:val="center"/>
              <w:rPr>
                <w:rFonts w:ascii="Arial" w:hAnsi="Arial" w:cs="Arial"/>
                <w:b/>
                <w:sz w:val="16"/>
                <w:szCs w:val="16"/>
              </w:rPr>
            </w:pPr>
            <w:r w:rsidRPr="00B60EA8">
              <w:rPr>
                <w:rFonts w:ascii="Arial" w:hAnsi="Arial" w:cs="Arial"/>
                <w:b/>
                <w:sz w:val="16"/>
                <w:szCs w:val="16"/>
              </w:rPr>
              <w:t>Waste</w:t>
            </w:r>
          </w:p>
        </w:tc>
      </w:tr>
      <w:tr w:rsidR="009D30FE" w:rsidRPr="00B60EA8" w14:paraId="5A729C71" w14:textId="77777777" w:rsidTr="009D30FE">
        <w:tc>
          <w:tcPr>
            <w:tcW w:w="1989" w:type="dxa"/>
          </w:tcPr>
          <w:p w14:paraId="7B201710" w14:textId="77777777" w:rsidR="009D30FE" w:rsidRPr="00B60EA8" w:rsidRDefault="009D30FE" w:rsidP="007A14E3">
            <w:pPr>
              <w:spacing w:line="300" w:lineRule="atLeast"/>
              <w:jc w:val="both"/>
              <w:rPr>
                <w:rFonts w:ascii="Arial" w:hAnsi="Arial" w:cs="Arial"/>
                <w:sz w:val="16"/>
                <w:szCs w:val="16"/>
              </w:rPr>
            </w:pPr>
            <w:r w:rsidRPr="00B60EA8">
              <w:rPr>
                <w:rFonts w:ascii="Arial" w:hAnsi="Arial" w:cs="Arial"/>
                <w:sz w:val="16"/>
                <w:szCs w:val="16"/>
              </w:rPr>
              <w:t>Annual sales, 2012</w:t>
            </w:r>
          </w:p>
        </w:tc>
        <w:tc>
          <w:tcPr>
            <w:tcW w:w="2052" w:type="dxa"/>
            <w:vAlign w:val="center"/>
          </w:tcPr>
          <w:p w14:paraId="1921CB96" w14:textId="77777777" w:rsidR="009D30FE" w:rsidRPr="00B60EA8" w:rsidRDefault="009D30FE" w:rsidP="008F7FA4">
            <w:pPr>
              <w:spacing w:line="300" w:lineRule="atLeast"/>
              <w:jc w:val="center"/>
              <w:rPr>
                <w:rFonts w:ascii="Arial" w:hAnsi="Arial" w:cs="Arial"/>
                <w:sz w:val="16"/>
                <w:szCs w:val="16"/>
              </w:rPr>
            </w:pPr>
            <w:r w:rsidRPr="00B60EA8">
              <w:rPr>
                <w:rFonts w:ascii="Arial" w:hAnsi="Arial" w:cs="Arial"/>
                <w:sz w:val="16"/>
                <w:szCs w:val="16"/>
              </w:rPr>
              <w:t>55</w:t>
            </w:r>
          </w:p>
        </w:tc>
        <w:tc>
          <w:tcPr>
            <w:tcW w:w="1710" w:type="dxa"/>
            <w:vAlign w:val="center"/>
          </w:tcPr>
          <w:p w14:paraId="408BECF8" w14:textId="77777777" w:rsidR="009D30FE" w:rsidRPr="00B60EA8" w:rsidRDefault="009D30FE" w:rsidP="008F7FA4">
            <w:pPr>
              <w:spacing w:line="300" w:lineRule="atLeast"/>
              <w:jc w:val="center"/>
              <w:rPr>
                <w:rFonts w:ascii="Arial" w:hAnsi="Arial" w:cs="Arial"/>
                <w:sz w:val="16"/>
                <w:szCs w:val="16"/>
              </w:rPr>
            </w:pPr>
            <w:r w:rsidRPr="00B60EA8">
              <w:rPr>
                <w:rFonts w:ascii="Arial" w:hAnsi="Arial" w:cs="Arial"/>
                <w:sz w:val="16"/>
                <w:szCs w:val="16"/>
              </w:rPr>
              <w:t>2.75</w:t>
            </w:r>
          </w:p>
        </w:tc>
        <w:tc>
          <w:tcPr>
            <w:tcW w:w="1710" w:type="dxa"/>
          </w:tcPr>
          <w:p w14:paraId="530EB7C4" w14:textId="77777777" w:rsidR="009D30FE" w:rsidRPr="00B60EA8" w:rsidRDefault="009D30FE" w:rsidP="008F7FA4">
            <w:pPr>
              <w:spacing w:line="300" w:lineRule="atLeast"/>
              <w:jc w:val="center"/>
              <w:rPr>
                <w:rFonts w:ascii="Arial" w:hAnsi="Arial" w:cs="Arial"/>
                <w:sz w:val="16"/>
                <w:szCs w:val="16"/>
              </w:rPr>
            </w:pPr>
            <w:r w:rsidRPr="00B60EA8">
              <w:rPr>
                <w:rFonts w:ascii="Arial" w:hAnsi="Arial" w:cs="Arial"/>
                <w:sz w:val="16"/>
                <w:szCs w:val="16"/>
              </w:rPr>
              <w:t>5.5</w:t>
            </w:r>
          </w:p>
        </w:tc>
        <w:tc>
          <w:tcPr>
            <w:tcW w:w="1710" w:type="dxa"/>
            <w:vAlign w:val="center"/>
          </w:tcPr>
          <w:p w14:paraId="76ACB397" w14:textId="006B04F2" w:rsidR="009D30FE" w:rsidRPr="00B60EA8" w:rsidRDefault="009D30FE" w:rsidP="008F7FA4">
            <w:pPr>
              <w:spacing w:line="300" w:lineRule="atLeast"/>
              <w:jc w:val="center"/>
              <w:rPr>
                <w:rFonts w:ascii="Arial" w:hAnsi="Arial" w:cs="Arial"/>
                <w:sz w:val="16"/>
                <w:szCs w:val="16"/>
              </w:rPr>
            </w:pPr>
            <w:r w:rsidRPr="00B60EA8">
              <w:rPr>
                <w:rFonts w:ascii="Arial" w:hAnsi="Arial" w:cs="Arial"/>
                <w:sz w:val="16"/>
                <w:szCs w:val="16"/>
              </w:rPr>
              <w:t>46.</w:t>
            </w:r>
            <w:r w:rsidR="00F91445">
              <w:rPr>
                <w:rFonts w:ascii="Arial" w:hAnsi="Arial" w:cs="Arial"/>
                <w:sz w:val="16"/>
                <w:szCs w:val="16"/>
              </w:rPr>
              <w:t>8</w:t>
            </w:r>
          </w:p>
        </w:tc>
      </w:tr>
      <w:tr w:rsidR="009D30FE" w:rsidRPr="00B60EA8" w14:paraId="6E64EA2C" w14:textId="77777777" w:rsidTr="009D30FE">
        <w:tc>
          <w:tcPr>
            <w:tcW w:w="1989" w:type="dxa"/>
          </w:tcPr>
          <w:p w14:paraId="79E88D2A" w14:textId="62C53513" w:rsidR="009D30FE" w:rsidRPr="00B60EA8" w:rsidRDefault="009D30FE" w:rsidP="007A14E3">
            <w:pPr>
              <w:spacing w:line="300" w:lineRule="atLeast"/>
              <w:jc w:val="both"/>
              <w:rPr>
                <w:rFonts w:ascii="Arial" w:hAnsi="Arial" w:cs="Arial"/>
                <w:sz w:val="16"/>
                <w:szCs w:val="16"/>
              </w:rPr>
            </w:pPr>
            <w:r w:rsidRPr="00B60EA8">
              <w:rPr>
                <w:rFonts w:ascii="Arial" w:hAnsi="Arial" w:cs="Arial"/>
                <w:sz w:val="16"/>
                <w:szCs w:val="16"/>
              </w:rPr>
              <w:t>Annual sales, 20</w:t>
            </w:r>
            <w:r w:rsidR="00F272B3" w:rsidRPr="00B60EA8">
              <w:rPr>
                <w:rFonts w:ascii="Arial" w:hAnsi="Arial" w:cs="Arial"/>
                <w:sz w:val="16"/>
                <w:szCs w:val="16"/>
              </w:rPr>
              <w:t>16</w:t>
            </w:r>
          </w:p>
        </w:tc>
        <w:tc>
          <w:tcPr>
            <w:tcW w:w="2052" w:type="dxa"/>
            <w:vAlign w:val="center"/>
          </w:tcPr>
          <w:p w14:paraId="697C7699" w14:textId="67951BDC" w:rsidR="009D30FE" w:rsidRPr="00B60EA8" w:rsidRDefault="00EA5196" w:rsidP="008F7FA4">
            <w:pPr>
              <w:spacing w:line="300" w:lineRule="atLeast"/>
              <w:jc w:val="center"/>
              <w:rPr>
                <w:rFonts w:ascii="Arial" w:hAnsi="Arial" w:cs="Arial"/>
                <w:sz w:val="16"/>
                <w:szCs w:val="16"/>
              </w:rPr>
            </w:pPr>
            <w:r w:rsidRPr="00B60EA8">
              <w:rPr>
                <w:rFonts w:ascii="Arial" w:hAnsi="Arial" w:cs="Arial"/>
                <w:sz w:val="16"/>
                <w:szCs w:val="16"/>
              </w:rPr>
              <w:t>4.77</w:t>
            </w:r>
          </w:p>
        </w:tc>
        <w:tc>
          <w:tcPr>
            <w:tcW w:w="1710" w:type="dxa"/>
            <w:vAlign w:val="center"/>
          </w:tcPr>
          <w:p w14:paraId="66DEAC9D" w14:textId="252BE0BB" w:rsidR="009D30FE" w:rsidRPr="00B60EA8" w:rsidRDefault="00EA5196" w:rsidP="008F7FA4">
            <w:pPr>
              <w:spacing w:line="300" w:lineRule="atLeast"/>
              <w:jc w:val="center"/>
              <w:rPr>
                <w:rFonts w:ascii="Arial" w:hAnsi="Arial" w:cs="Arial"/>
                <w:sz w:val="16"/>
                <w:szCs w:val="16"/>
              </w:rPr>
            </w:pPr>
            <w:r w:rsidRPr="00B60EA8">
              <w:rPr>
                <w:rFonts w:ascii="Arial" w:hAnsi="Arial" w:cs="Arial"/>
                <w:sz w:val="16"/>
                <w:szCs w:val="16"/>
              </w:rPr>
              <w:t>0.24</w:t>
            </w:r>
          </w:p>
        </w:tc>
        <w:tc>
          <w:tcPr>
            <w:tcW w:w="1710" w:type="dxa"/>
          </w:tcPr>
          <w:p w14:paraId="0790E57F" w14:textId="6629FAD5" w:rsidR="009D30FE" w:rsidRPr="00B60EA8" w:rsidRDefault="00EA5196" w:rsidP="008F7FA4">
            <w:pPr>
              <w:spacing w:line="300" w:lineRule="atLeast"/>
              <w:jc w:val="center"/>
              <w:rPr>
                <w:rFonts w:ascii="Arial" w:hAnsi="Arial" w:cs="Arial"/>
                <w:sz w:val="16"/>
                <w:szCs w:val="16"/>
              </w:rPr>
            </w:pPr>
            <w:r w:rsidRPr="00B60EA8">
              <w:rPr>
                <w:rFonts w:ascii="Arial" w:hAnsi="Arial" w:cs="Arial"/>
                <w:sz w:val="16"/>
                <w:szCs w:val="16"/>
              </w:rPr>
              <w:t>0.48</w:t>
            </w:r>
          </w:p>
        </w:tc>
        <w:tc>
          <w:tcPr>
            <w:tcW w:w="1710" w:type="dxa"/>
            <w:vAlign w:val="center"/>
          </w:tcPr>
          <w:p w14:paraId="5CC0E02C" w14:textId="73889AF6" w:rsidR="009D30FE" w:rsidRPr="00B60EA8" w:rsidRDefault="00EA5196" w:rsidP="008F7FA4">
            <w:pPr>
              <w:spacing w:line="300" w:lineRule="atLeast"/>
              <w:jc w:val="center"/>
              <w:rPr>
                <w:rFonts w:ascii="Arial" w:hAnsi="Arial" w:cs="Arial"/>
                <w:sz w:val="16"/>
                <w:szCs w:val="16"/>
              </w:rPr>
            </w:pPr>
            <w:r w:rsidRPr="00B60EA8">
              <w:rPr>
                <w:rFonts w:ascii="Arial" w:hAnsi="Arial" w:cs="Arial"/>
                <w:sz w:val="16"/>
                <w:szCs w:val="16"/>
              </w:rPr>
              <w:t>4.05</w:t>
            </w:r>
          </w:p>
        </w:tc>
      </w:tr>
      <w:tr w:rsidR="00F272B3" w:rsidRPr="00B60EA8" w14:paraId="162B1A90" w14:textId="77777777" w:rsidTr="009D30FE">
        <w:tc>
          <w:tcPr>
            <w:tcW w:w="1989" w:type="dxa"/>
          </w:tcPr>
          <w:p w14:paraId="194A5A99" w14:textId="0CF2680A" w:rsidR="00F272B3" w:rsidRPr="004C4210" w:rsidRDefault="00F272B3" w:rsidP="007A14E3">
            <w:pPr>
              <w:spacing w:line="300" w:lineRule="atLeast"/>
              <w:jc w:val="both"/>
              <w:rPr>
                <w:rFonts w:ascii="Arial" w:hAnsi="Arial" w:cs="Arial"/>
                <w:sz w:val="16"/>
                <w:szCs w:val="16"/>
              </w:rPr>
            </w:pPr>
            <w:r w:rsidRPr="004C4210">
              <w:rPr>
                <w:rFonts w:ascii="Arial" w:hAnsi="Arial" w:cs="Arial"/>
                <w:sz w:val="16"/>
                <w:szCs w:val="16"/>
              </w:rPr>
              <w:t>Annual sales, 2020</w:t>
            </w:r>
          </w:p>
        </w:tc>
        <w:tc>
          <w:tcPr>
            <w:tcW w:w="2052" w:type="dxa"/>
            <w:vAlign w:val="center"/>
          </w:tcPr>
          <w:p w14:paraId="54824DE3" w14:textId="37873ED3" w:rsidR="00F272B3" w:rsidRPr="004C4210" w:rsidRDefault="00F272B3" w:rsidP="008F7FA4">
            <w:pPr>
              <w:spacing w:line="300" w:lineRule="atLeast"/>
              <w:jc w:val="center"/>
              <w:rPr>
                <w:rFonts w:ascii="Arial" w:hAnsi="Arial" w:cs="Arial"/>
                <w:sz w:val="16"/>
                <w:szCs w:val="16"/>
              </w:rPr>
            </w:pPr>
            <w:r w:rsidRPr="004C4210">
              <w:rPr>
                <w:rFonts w:ascii="Arial" w:hAnsi="Arial" w:cs="Arial"/>
                <w:sz w:val="16"/>
                <w:szCs w:val="16"/>
              </w:rPr>
              <w:t>2.84</w:t>
            </w:r>
          </w:p>
        </w:tc>
        <w:tc>
          <w:tcPr>
            <w:tcW w:w="1710" w:type="dxa"/>
            <w:vAlign w:val="center"/>
          </w:tcPr>
          <w:p w14:paraId="25F2E10C" w14:textId="635001C4" w:rsidR="00F272B3" w:rsidRPr="004C4210" w:rsidRDefault="00F272B3" w:rsidP="008F7FA4">
            <w:pPr>
              <w:spacing w:line="300" w:lineRule="atLeast"/>
              <w:jc w:val="center"/>
              <w:rPr>
                <w:rFonts w:ascii="Arial" w:hAnsi="Arial" w:cs="Arial"/>
                <w:sz w:val="16"/>
                <w:szCs w:val="16"/>
              </w:rPr>
            </w:pPr>
            <w:r w:rsidRPr="004C4210">
              <w:rPr>
                <w:rFonts w:ascii="Arial" w:hAnsi="Arial" w:cs="Arial"/>
                <w:sz w:val="16"/>
                <w:szCs w:val="16"/>
              </w:rPr>
              <w:t>0.14</w:t>
            </w:r>
          </w:p>
        </w:tc>
        <w:tc>
          <w:tcPr>
            <w:tcW w:w="1710" w:type="dxa"/>
          </w:tcPr>
          <w:p w14:paraId="71B04C31" w14:textId="459BB564" w:rsidR="00F272B3" w:rsidRPr="004C4210" w:rsidRDefault="00F272B3" w:rsidP="008F7FA4">
            <w:pPr>
              <w:spacing w:line="300" w:lineRule="atLeast"/>
              <w:jc w:val="center"/>
              <w:rPr>
                <w:rFonts w:ascii="Arial" w:hAnsi="Arial" w:cs="Arial"/>
                <w:sz w:val="16"/>
                <w:szCs w:val="16"/>
              </w:rPr>
            </w:pPr>
            <w:r w:rsidRPr="004C4210">
              <w:rPr>
                <w:rFonts w:ascii="Arial" w:hAnsi="Arial" w:cs="Arial"/>
                <w:sz w:val="16"/>
                <w:szCs w:val="16"/>
              </w:rPr>
              <w:t>0.28</w:t>
            </w:r>
          </w:p>
        </w:tc>
        <w:tc>
          <w:tcPr>
            <w:tcW w:w="1710" w:type="dxa"/>
            <w:vAlign w:val="center"/>
          </w:tcPr>
          <w:p w14:paraId="1367F4E8" w14:textId="3A09C9AD" w:rsidR="00F272B3" w:rsidRPr="004C4210" w:rsidRDefault="00FF0264" w:rsidP="008F7FA4">
            <w:pPr>
              <w:spacing w:line="300" w:lineRule="atLeast"/>
              <w:jc w:val="center"/>
              <w:rPr>
                <w:rFonts w:ascii="Arial" w:hAnsi="Arial" w:cs="Arial"/>
                <w:sz w:val="16"/>
                <w:szCs w:val="16"/>
              </w:rPr>
            </w:pPr>
            <w:r w:rsidRPr="004C4210">
              <w:rPr>
                <w:rFonts w:ascii="Arial" w:hAnsi="Arial" w:cs="Arial"/>
                <w:sz w:val="16"/>
                <w:szCs w:val="16"/>
              </w:rPr>
              <w:t>2.42</w:t>
            </w:r>
          </w:p>
        </w:tc>
      </w:tr>
      <w:tr w:rsidR="00B60EA8" w:rsidRPr="00622310" w14:paraId="0772EFD7" w14:textId="77777777" w:rsidTr="009D30FE">
        <w:tc>
          <w:tcPr>
            <w:tcW w:w="1989" w:type="dxa"/>
          </w:tcPr>
          <w:p w14:paraId="000E3649" w14:textId="477CB268" w:rsidR="00B60EA8" w:rsidRPr="004C4210" w:rsidRDefault="00B60EA8" w:rsidP="007A14E3">
            <w:pPr>
              <w:spacing w:line="300" w:lineRule="atLeast"/>
              <w:jc w:val="both"/>
              <w:rPr>
                <w:rFonts w:ascii="Arial" w:hAnsi="Arial" w:cs="Arial"/>
                <w:sz w:val="16"/>
                <w:szCs w:val="16"/>
              </w:rPr>
            </w:pPr>
            <w:r w:rsidRPr="004C4210">
              <w:rPr>
                <w:rFonts w:ascii="Arial" w:hAnsi="Arial" w:cs="Arial"/>
                <w:sz w:val="16"/>
                <w:szCs w:val="16"/>
              </w:rPr>
              <w:t>Annual sales 2024</w:t>
            </w:r>
          </w:p>
        </w:tc>
        <w:tc>
          <w:tcPr>
            <w:tcW w:w="2052" w:type="dxa"/>
            <w:vAlign w:val="center"/>
          </w:tcPr>
          <w:p w14:paraId="3C4535C8" w14:textId="59C9A521" w:rsidR="00B60EA8" w:rsidRPr="004C4210" w:rsidRDefault="00B60EA8" w:rsidP="008F7FA4">
            <w:pPr>
              <w:spacing w:line="300" w:lineRule="atLeast"/>
              <w:jc w:val="center"/>
              <w:rPr>
                <w:rFonts w:ascii="Arial" w:hAnsi="Arial" w:cs="Arial"/>
                <w:sz w:val="16"/>
                <w:szCs w:val="16"/>
              </w:rPr>
            </w:pPr>
            <w:r w:rsidRPr="004C4210">
              <w:rPr>
                <w:rFonts w:ascii="Arial" w:hAnsi="Arial" w:cs="Arial"/>
                <w:sz w:val="16"/>
                <w:szCs w:val="16"/>
              </w:rPr>
              <w:t>1.64</w:t>
            </w:r>
          </w:p>
        </w:tc>
        <w:tc>
          <w:tcPr>
            <w:tcW w:w="1710" w:type="dxa"/>
            <w:vAlign w:val="center"/>
          </w:tcPr>
          <w:p w14:paraId="462D1A64" w14:textId="0B5BD00C" w:rsidR="00B60EA8" w:rsidRPr="004C4210" w:rsidRDefault="00B60EA8" w:rsidP="008F7FA4">
            <w:pPr>
              <w:spacing w:line="300" w:lineRule="atLeast"/>
              <w:jc w:val="center"/>
              <w:rPr>
                <w:rFonts w:ascii="Arial" w:hAnsi="Arial" w:cs="Arial"/>
                <w:sz w:val="16"/>
                <w:szCs w:val="16"/>
              </w:rPr>
            </w:pPr>
            <w:r w:rsidRPr="004C4210">
              <w:rPr>
                <w:rFonts w:ascii="Arial" w:hAnsi="Arial" w:cs="Arial"/>
                <w:sz w:val="16"/>
                <w:szCs w:val="16"/>
              </w:rPr>
              <w:t>0.082</w:t>
            </w:r>
          </w:p>
        </w:tc>
        <w:tc>
          <w:tcPr>
            <w:tcW w:w="1710" w:type="dxa"/>
          </w:tcPr>
          <w:p w14:paraId="4B5A428C" w14:textId="25085436" w:rsidR="00B60EA8" w:rsidRPr="004C4210" w:rsidRDefault="00B60EA8" w:rsidP="008F7FA4">
            <w:pPr>
              <w:spacing w:line="300" w:lineRule="atLeast"/>
              <w:jc w:val="center"/>
              <w:rPr>
                <w:rFonts w:ascii="Arial" w:hAnsi="Arial" w:cs="Arial"/>
                <w:sz w:val="16"/>
                <w:szCs w:val="16"/>
              </w:rPr>
            </w:pPr>
            <w:r w:rsidRPr="004C4210">
              <w:rPr>
                <w:rFonts w:ascii="Arial" w:hAnsi="Arial" w:cs="Arial"/>
                <w:sz w:val="16"/>
                <w:szCs w:val="16"/>
              </w:rPr>
              <w:t>0.164</w:t>
            </w:r>
          </w:p>
        </w:tc>
        <w:tc>
          <w:tcPr>
            <w:tcW w:w="1710" w:type="dxa"/>
            <w:vAlign w:val="center"/>
          </w:tcPr>
          <w:p w14:paraId="60B7D4FE" w14:textId="02EC94A7" w:rsidR="00B60EA8" w:rsidRPr="004C4210" w:rsidRDefault="00B60EA8" w:rsidP="008F7FA4">
            <w:pPr>
              <w:spacing w:line="300" w:lineRule="atLeast"/>
              <w:jc w:val="center"/>
              <w:rPr>
                <w:rFonts w:ascii="Arial" w:hAnsi="Arial" w:cs="Arial"/>
                <w:sz w:val="16"/>
                <w:szCs w:val="16"/>
              </w:rPr>
            </w:pPr>
            <w:r w:rsidRPr="004C4210">
              <w:rPr>
                <w:rFonts w:ascii="Arial" w:hAnsi="Arial" w:cs="Arial"/>
                <w:sz w:val="16"/>
                <w:szCs w:val="16"/>
              </w:rPr>
              <w:t>1.</w:t>
            </w:r>
            <w:r w:rsidR="00F91445">
              <w:rPr>
                <w:rFonts w:ascii="Arial" w:hAnsi="Arial" w:cs="Arial"/>
                <w:sz w:val="16"/>
                <w:szCs w:val="16"/>
              </w:rPr>
              <w:t>40</w:t>
            </w:r>
          </w:p>
        </w:tc>
      </w:tr>
    </w:tbl>
    <w:p w14:paraId="3078934B" w14:textId="77777777" w:rsidR="008A13B1" w:rsidRPr="00B60EA8" w:rsidRDefault="008A13B1" w:rsidP="008A13B1">
      <w:pPr>
        <w:tabs>
          <w:tab w:val="left" w:pos="2760"/>
        </w:tabs>
        <w:spacing w:before="120" w:line="300" w:lineRule="atLeast"/>
        <w:jc w:val="both"/>
        <w:rPr>
          <w:rFonts w:ascii="Arial" w:hAnsi="Arial" w:cs="Arial"/>
          <w:b/>
          <w:szCs w:val="18"/>
        </w:rPr>
      </w:pPr>
      <w:r w:rsidRPr="00B60EA8">
        <w:rPr>
          <w:rFonts w:ascii="Arial" w:hAnsi="Arial" w:cs="Arial"/>
          <w:b/>
          <w:szCs w:val="18"/>
        </w:rPr>
        <w:t>Certainty assessment</w:t>
      </w:r>
    </w:p>
    <w:p w14:paraId="1CB78116" w14:textId="77777777" w:rsidR="008A13B1" w:rsidRPr="00B60EA8" w:rsidRDefault="008A13B1" w:rsidP="008A13B1">
      <w:pPr>
        <w:tabs>
          <w:tab w:val="left" w:pos="1701"/>
        </w:tabs>
        <w:spacing w:line="300" w:lineRule="atLeast"/>
        <w:jc w:val="both"/>
        <w:rPr>
          <w:szCs w:val="18"/>
        </w:rPr>
      </w:pPr>
      <w:r w:rsidRPr="00B60EA8">
        <w:rPr>
          <w:szCs w:val="18"/>
        </w:rPr>
        <w:t xml:space="preserve">Activity data: </w:t>
      </w:r>
      <w:r w:rsidRPr="00B60EA8">
        <w:rPr>
          <w:szCs w:val="18"/>
        </w:rPr>
        <w:tab/>
        <w:t>not relevant</w:t>
      </w:r>
    </w:p>
    <w:p w14:paraId="46DFDE7E" w14:textId="252BEE11" w:rsidR="008A13B1" w:rsidRPr="00B60EA8" w:rsidRDefault="008A13B1" w:rsidP="008A13B1">
      <w:pPr>
        <w:tabs>
          <w:tab w:val="left" w:pos="1701"/>
        </w:tabs>
        <w:spacing w:line="300" w:lineRule="atLeast"/>
        <w:jc w:val="both"/>
        <w:rPr>
          <w:szCs w:val="18"/>
        </w:rPr>
      </w:pPr>
      <w:r w:rsidRPr="00B60EA8">
        <w:rPr>
          <w:szCs w:val="18"/>
        </w:rPr>
        <w:t xml:space="preserve">Input estimates: </w:t>
      </w:r>
      <w:r w:rsidRPr="00B60EA8">
        <w:rPr>
          <w:szCs w:val="18"/>
        </w:rPr>
        <w:tab/>
        <w:t>MEDIUM (because they are based on partial survey responses)</w:t>
      </w:r>
    </w:p>
    <w:p w14:paraId="156755C7" w14:textId="77777777" w:rsidR="008A13B1" w:rsidRPr="00FF0264" w:rsidRDefault="008A13B1" w:rsidP="008A13B1">
      <w:pPr>
        <w:tabs>
          <w:tab w:val="left" w:pos="1701"/>
        </w:tabs>
        <w:spacing w:line="300" w:lineRule="atLeast"/>
        <w:jc w:val="both"/>
        <w:rPr>
          <w:szCs w:val="18"/>
        </w:rPr>
      </w:pPr>
      <w:r w:rsidRPr="00B60EA8">
        <w:rPr>
          <w:szCs w:val="18"/>
        </w:rPr>
        <w:t xml:space="preserve">Output estimates: </w:t>
      </w:r>
      <w:r w:rsidRPr="00B60EA8">
        <w:rPr>
          <w:szCs w:val="18"/>
        </w:rPr>
        <w:tab/>
        <w:t>LOW (because they are based on the assumed output factors).</w:t>
      </w:r>
    </w:p>
    <w:p w14:paraId="38526A24" w14:textId="77777777" w:rsidR="00DC5D8A" w:rsidRPr="00144F08" w:rsidRDefault="00DC5D8A" w:rsidP="00DC5D8A">
      <w:pPr>
        <w:pStyle w:val="Heading2"/>
      </w:pPr>
      <w:bookmarkStart w:id="126" w:name="_Toc110355551"/>
      <w:r w:rsidRPr="00144F08">
        <w:t>Mercury use in religious rituals and folklore medicine</w:t>
      </w:r>
      <w:bookmarkEnd w:id="126"/>
    </w:p>
    <w:p w14:paraId="4CBEBF6B" w14:textId="0F624F89" w:rsidR="00DC5D8A" w:rsidRPr="00144F08" w:rsidRDefault="00064FAB" w:rsidP="003833D6">
      <w:pPr>
        <w:spacing w:line="300" w:lineRule="atLeast"/>
        <w:jc w:val="both"/>
        <w:rPr>
          <w:szCs w:val="18"/>
        </w:rPr>
      </w:pPr>
      <w:r w:rsidRPr="00144F08">
        <w:rPr>
          <w:szCs w:val="18"/>
        </w:rPr>
        <w:t xml:space="preserve">According to the Toolkit, </w:t>
      </w:r>
      <w:r w:rsidR="00251C60" w:rsidRPr="00144F08">
        <w:rPr>
          <w:szCs w:val="18"/>
        </w:rPr>
        <w:t>m</w:t>
      </w:r>
      <w:r w:rsidRPr="00144F08">
        <w:rPr>
          <w:szCs w:val="18"/>
        </w:rPr>
        <w:t>ercury is used in certain cultural and religious practices, such as some Latin American and Afro-Caribbean communities, in the USA, Mexico, and probably elsewhere. Uses include carrying it in a sealed pouch or in a pocket as an amulet, sprinkling mercury on floors of homes or automobiles, burning it in candles, and mixing it with perfumes (</w:t>
      </w:r>
      <w:r w:rsidR="00C738EC" w:rsidRPr="00144F08">
        <w:rPr>
          <w:szCs w:val="18"/>
        </w:rPr>
        <w:t>UNEP, 20</w:t>
      </w:r>
      <w:r w:rsidR="00FA5964">
        <w:rPr>
          <w:szCs w:val="18"/>
        </w:rPr>
        <w:t>23</w:t>
      </w:r>
      <w:r w:rsidRPr="00144F08">
        <w:rPr>
          <w:szCs w:val="18"/>
        </w:rPr>
        <w:t>).</w:t>
      </w:r>
      <w:r w:rsidR="00FF0264">
        <w:rPr>
          <w:szCs w:val="18"/>
        </w:rPr>
        <w:t xml:space="preserve"> These products are prohibited by legislation in New</w:t>
      </w:r>
      <w:r w:rsidRPr="00144F08">
        <w:rPr>
          <w:szCs w:val="18"/>
        </w:rPr>
        <w:t xml:space="preserve"> </w:t>
      </w:r>
      <w:r w:rsidR="00FF0264">
        <w:rPr>
          <w:szCs w:val="18"/>
        </w:rPr>
        <w:t>Zealand.</w:t>
      </w:r>
      <w:r w:rsidR="00023AB2">
        <w:rPr>
          <w:szCs w:val="18"/>
        </w:rPr>
        <w:t xml:space="preserve"> (Office of the Minister for the Environment, 2020)</w:t>
      </w:r>
      <w:r w:rsidR="00FF0264">
        <w:rPr>
          <w:szCs w:val="18"/>
        </w:rPr>
        <w:t xml:space="preserve"> </w:t>
      </w:r>
    </w:p>
    <w:p w14:paraId="4CC24BA1" w14:textId="081DE79F" w:rsidR="00DC5D8A" w:rsidRPr="00144F08" w:rsidRDefault="00DC5D8A" w:rsidP="00DC5D8A">
      <w:pPr>
        <w:pStyle w:val="Heading2"/>
      </w:pPr>
      <w:bookmarkStart w:id="127" w:name="_Toc110355552"/>
      <w:r w:rsidRPr="00144F08">
        <w:t>Miscellaneous product uses and other sources</w:t>
      </w:r>
      <w:bookmarkEnd w:id="127"/>
    </w:p>
    <w:p w14:paraId="54DC3E92" w14:textId="01572E30" w:rsidR="00F91445" w:rsidRDefault="0048508E" w:rsidP="003833D6">
      <w:pPr>
        <w:spacing w:line="300" w:lineRule="atLeast"/>
        <w:jc w:val="both"/>
        <w:rPr>
          <w:szCs w:val="18"/>
        </w:rPr>
      </w:pPr>
      <w:r w:rsidRPr="00144F08">
        <w:rPr>
          <w:szCs w:val="18"/>
        </w:rPr>
        <w:t xml:space="preserve">The only other possible use considered for this category was explosives. Mercury fulminate has been used </w:t>
      </w:r>
      <w:r w:rsidR="006A515C" w:rsidRPr="00144F08">
        <w:rPr>
          <w:szCs w:val="18"/>
        </w:rPr>
        <w:t xml:space="preserve">as </w:t>
      </w:r>
      <w:r w:rsidRPr="00144F08">
        <w:rPr>
          <w:szCs w:val="18"/>
        </w:rPr>
        <w:t xml:space="preserve">an explosive in the past, but </w:t>
      </w:r>
      <w:r w:rsidR="006A515C" w:rsidRPr="00144F08">
        <w:rPr>
          <w:szCs w:val="18"/>
        </w:rPr>
        <w:t xml:space="preserve">it is believed that </w:t>
      </w:r>
      <w:r w:rsidRPr="00144F08">
        <w:rPr>
          <w:szCs w:val="18"/>
        </w:rPr>
        <w:t xml:space="preserve">this use was phased out </w:t>
      </w:r>
      <w:r w:rsidR="006A515C" w:rsidRPr="00144F08">
        <w:rPr>
          <w:szCs w:val="18"/>
        </w:rPr>
        <w:t>about</w:t>
      </w:r>
      <w:r w:rsidRPr="00144F08">
        <w:rPr>
          <w:szCs w:val="18"/>
        </w:rPr>
        <w:t xml:space="preserve"> 50 </w:t>
      </w:r>
      <w:r w:rsidR="006A515C" w:rsidRPr="00144F08">
        <w:rPr>
          <w:szCs w:val="18"/>
        </w:rPr>
        <w:t xml:space="preserve">or more </w:t>
      </w:r>
      <w:r w:rsidRPr="00144F08">
        <w:rPr>
          <w:szCs w:val="18"/>
        </w:rPr>
        <w:t>years ago.</w:t>
      </w:r>
      <w:r w:rsidR="006A515C" w:rsidRPr="00144F08">
        <w:rPr>
          <w:szCs w:val="18"/>
        </w:rPr>
        <w:t xml:space="preserve"> Three explosives distributors were contacted </w:t>
      </w:r>
      <w:r w:rsidR="009D30FE" w:rsidRPr="00144F08">
        <w:rPr>
          <w:szCs w:val="18"/>
        </w:rPr>
        <w:t xml:space="preserve">for the 2012 Inventory Report </w:t>
      </w:r>
      <w:r w:rsidR="006A515C" w:rsidRPr="00144F08">
        <w:rPr>
          <w:szCs w:val="18"/>
        </w:rPr>
        <w:t xml:space="preserve">and </w:t>
      </w:r>
      <w:r w:rsidR="009D30FE" w:rsidRPr="00144F08">
        <w:rPr>
          <w:szCs w:val="18"/>
        </w:rPr>
        <w:t xml:space="preserve">they </w:t>
      </w:r>
      <w:r w:rsidR="006A515C" w:rsidRPr="00144F08">
        <w:rPr>
          <w:szCs w:val="18"/>
        </w:rPr>
        <w:t>all confirmed that there was no longer any mercury in any of their products.</w:t>
      </w:r>
      <w:r w:rsidR="00663058" w:rsidRPr="00144F08">
        <w:rPr>
          <w:szCs w:val="18"/>
        </w:rPr>
        <w:t xml:space="preserve"> </w:t>
      </w:r>
      <w:r w:rsidR="009D30FE" w:rsidRPr="00144F08">
        <w:rPr>
          <w:szCs w:val="18"/>
        </w:rPr>
        <w:t xml:space="preserve">There is no reason to believe that this situation will be any different for </w:t>
      </w:r>
      <w:r w:rsidR="00F91445">
        <w:rPr>
          <w:szCs w:val="18"/>
        </w:rPr>
        <w:t>2024</w:t>
      </w:r>
    </w:p>
    <w:p w14:paraId="1FC95B5F" w14:textId="77777777" w:rsidR="00F91445" w:rsidRDefault="00F91445">
      <w:pPr>
        <w:spacing w:after="0"/>
        <w:rPr>
          <w:szCs w:val="18"/>
        </w:rPr>
      </w:pPr>
      <w:r>
        <w:rPr>
          <w:szCs w:val="18"/>
        </w:rPr>
        <w:br w:type="page"/>
      </w:r>
    </w:p>
    <w:p w14:paraId="20595423" w14:textId="77777777" w:rsidR="00DC5D8A" w:rsidRPr="00A647D4" w:rsidRDefault="00DC5D8A" w:rsidP="00DC5D8A">
      <w:pPr>
        <w:pStyle w:val="Heading2"/>
        <w:rPr>
          <w:rFonts w:eastAsia="Calibri"/>
        </w:rPr>
      </w:pPr>
      <w:bookmarkStart w:id="128" w:name="_Toc110355553"/>
      <w:r w:rsidRPr="00A647D4">
        <w:rPr>
          <w:rFonts w:eastAsia="Calibri"/>
        </w:rPr>
        <w:t>Summary for this category</w:t>
      </w:r>
      <w:bookmarkEnd w:id="128"/>
      <w:r w:rsidRPr="00A647D4">
        <w:rPr>
          <w:rFonts w:eastAsia="Calibri"/>
        </w:rPr>
        <w:t xml:space="preserve"> </w:t>
      </w:r>
    </w:p>
    <w:p w14:paraId="1DFD882D" w14:textId="20B365AC" w:rsidR="0057746B" w:rsidRPr="00A647D4" w:rsidRDefault="00DC5D8A">
      <w:pPr>
        <w:spacing w:after="0"/>
        <w:rPr>
          <w:rFonts w:ascii="Arial" w:hAnsi="Arial" w:cs="Arial"/>
          <w:b/>
          <w:bCs/>
        </w:rPr>
      </w:pPr>
      <w:r w:rsidRPr="00A647D4">
        <w:rPr>
          <w:rFonts w:eastAsia="Calibri"/>
          <w:szCs w:val="22"/>
        </w:rPr>
        <w:t>The estimated inputs and outputs for the other intentional product/process uses are summarised in</w:t>
      </w:r>
      <w:r w:rsidR="0029352B" w:rsidRPr="00A647D4">
        <w:rPr>
          <w:rFonts w:eastAsia="Calibri"/>
          <w:szCs w:val="22"/>
        </w:rPr>
        <w:t xml:space="preserve"> </w:t>
      </w:r>
      <w:r w:rsidR="0029352B" w:rsidRPr="00A647D4">
        <w:rPr>
          <w:rFonts w:eastAsia="Calibri"/>
          <w:szCs w:val="22"/>
        </w:rPr>
        <w:fldChar w:fldCharType="begin"/>
      </w:r>
      <w:r w:rsidR="0029352B" w:rsidRPr="00A647D4">
        <w:rPr>
          <w:rFonts w:eastAsia="Calibri"/>
          <w:szCs w:val="22"/>
        </w:rPr>
        <w:instrText xml:space="preserve"> REF _Ref358782191 \h </w:instrText>
      </w:r>
      <w:r w:rsidR="00305BC7" w:rsidRPr="00A647D4">
        <w:rPr>
          <w:rFonts w:eastAsia="Calibri"/>
          <w:szCs w:val="22"/>
        </w:rPr>
        <w:instrText xml:space="preserve"> \* MERGEFORMAT </w:instrText>
      </w:r>
      <w:r w:rsidR="0029352B" w:rsidRPr="00A647D4">
        <w:rPr>
          <w:rFonts w:eastAsia="Calibri"/>
          <w:szCs w:val="22"/>
        </w:rPr>
      </w:r>
      <w:r w:rsidR="0029352B" w:rsidRPr="00A647D4">
        <w:rPr>
          <w:rFonts w:eastAsia="Calibri"/>
          <w:szCs w:val="22"/>
        </w:rPr>
        <w:fldChar w:fldCharType="separate"/>
      </w:r>
      <w:r w:rsidR="00892B2D" w:rsidRPr="00892B2D">
        <w:t xml:space="preserve">Table </w:t>
      </w:r>
      <w:r w:rsidR="00892B2D" w:rsidRPr="00892B2D">
        <w:rPr>
          <w:noProof/>
        </w:rPr>
        <w:t>8</w:t>
      </w:r>
      <w:r w:rsidR="00892B2D" w:rsidRPr="00892B2D">
        <w:rPr>
          <w:noProof/>
        </w:rPr>
        <w:noBreakHyphen/>
        <w:t>4</w:t>
      </w:r>
      <w:r w:rsidR="0029352B" w:rsidRPr="00A647D4">
        <w:rPr>
          <w:rFonts w:eastAsia="Calibri"/>
          <w:szCs w:val="22"/>
        </w:rPr>
        <w:fldChar w:fldCharType="end"/>
      </w:r>
      <w:r w:rsidR="0057746B" w:rsidRPr="00A647D4">
        <w:rPr>
          <w:rFonts w:eastAsia="Calibri"/>
          <w:szCs w:val="22"/>
        </w:rPr>
        <w:t>.</w:t>
      </w:r>
      <w:bookmarkStart w:id="129" w:name="_Ref358549369"/>
    </w:p>
    <w:p w14:paraId="225DE870" w14:textId="75C772B7" w:rsidR="00DC5D8A" w:rsidRPr="00A647D4" w:rsidRDefault="00DC5D8A" w:rsidP="00DC5D8A">
      <w:pPr>
        <w:pStyle w:val="Caption"/>
        <w:spacing w:before="240"/>
        <w:rPr>
          <w:rFonts w:ascii="Arial" w:hAnsi="Arial" w:cs="Arial"/>
          <w:szCs w:val="18"/>
        </w:rPr>
      </w:pPr>
      <w:bookmarkStart w:id="130" w:name="_Ref358782191"/>
      <w:bookmarkStart w:id="131" w:name="_Toc110355489"/>
      <w:r w:rsidRPr="00A647D4">
        <w:rPr>
          <w:rFonts w:ascii="Arial" w:hAnsi="Arial" w:cs="Arial"/>
        </w:rPr>
        <w:t xml:space="preserve">Table </w:t>
      </w:r>
      <w:r w:rsidR="00390C9F" w:rsidRPr="00A647D4">
        <w:rPr>
          <w:rFonts w:ascii="Arial" w:hAnsi="Arial" w:cs="Arial"/>
        </w:rPr>
        <w:fldChar w:fldCharType="begin"/>
      </w:r>
      <w:r w:rsidR="00390C9F" w:rsidRPr="00A647D4">
        <w:rPr>
          <w:rFonts w:ascii="Arial" w:hAnsi="Arial" w:cs="Arial"/>
        </w:rPr>
        <w:instrText xml:space="preserve"> STYLEREF 1 \s </w:instrText>
      </w:r>
      <w:r w:rsidR="00390C9F" w:rsidRPr="00A647D4">
        <w:rPr>
          <w:rFonts w:ascii="Arial" w:hAnsi="Arial" w:cs="Arial"/>
        </w:rPr>
        <w:fldChar w:fldCharType="separate"/>
      </w:r>
      <w:r w:rsidR="00892B2D">
        <w:rPr>
          <w:rFonts w:ascii="Arial" w:hAnsi="Arial" w:cs="Arial"/>
          <w:noProof/>
        </w:rPr>
        <w:t>8</w:t>
      </w:r>
      <w:r w:rsidR="00390C9F" w:rsidRPr="00A647D4">
        <w:rPr>
          <w:rFonts w:ascii="Arial" w:hAnsi="Arial" w:cs="Arial"/>
        </w:rPr>
        <w:fldChar w:fldCharType="end"/>
      </w:r>
      <w:r w:rsidR="00390C9F" w:rsidRPr="00A647D4">
        <w:rPr>
          <w:rFonts w:ascii="Arial" w:hAnsi="Arial" w:cs="Arial"/>
        </w:rPr>
        <w:noBreakHyphen/>
      </w:r>
      <w:r w:rsidR="00390C9F" w:rsidRPr="00A647D4">
        <w:rPr>
          <w:rFonts w:ascii="Arial" w:hAnsi="Arial" w:cs="Arial"/>
        </w:rPr>
        <w:fldChar w:fldCharType="begin"/>
      </w:r>
      <w:r w:rsidR="00390C9F" w:rsidRPr="00A647D4">
        <w:rPr>
          <w:rFonts w:ascii="Arial" w:hAnsi="Arial" w:cs="Arial"/>
        </w:rPr>
        <w:instrText xml:space="preserve"> SEQ Table \* ARABIC \s 1 </w:instrText>
      </w:r>
      <w:r w:rsidR="00390C9F" w:rsidRPr="00A647D4">
        <w:rPr>
          <w:rFonts w:ascii="Arial" w:hAnsi="Arial" w:cs="Arial"/>
        </w:rPr>
        <w:fldChar w:fldCharType="separate"/>
      </w:r>
      <w:r w:rsidR="00892B2D">
        <w:rPr>
          <w:rFonts w:ascii="Arial" w:hAnsi="Arial" w:cs="Arial"/>
          <w:noProof/>
        </w:rPr>
        <w:t>4</w:t>
      </w:r>
      <w:r w:rsidR="00390C9F" w:rsidRPr="00A647D4">
        <w:rPr>
          <w:rFonts w:ascii="Arial" w:hAnsi="Arial" w:cs="Arial"/>
        </w:rPr>
        <w:fldChar w:fldCharType="end"/>
      </w:r>
      <w:bookmarkEnd w:id="129"/>
      <w:bookmarkEnd w:id="130"/>
      <w:r w:rsidRPr="00A647D4">
        <w:rPr>
          <w:rFonts w:ascii="Arial" w:hAnsi="Arial" w:cs="Arial"/>
        </w:rPr>
        <w:t xml:space="preserve">: </w:t>
      </w:r>
      <w:r w:rsidR="00403501">
        <w:rPr>
          <w:rFonts w:ascii="Arial" w:hAnsi="Arial" w:cs="Arial"/>
        </w:rPr>
        <w:t xml:space="preserve"> </w:t>
      </w:r>
      <w:r w:rsidRPr="00A647D4">
        <w:rPr>
          <w:rFonts w:ascii="Arial" w:hAnsi="Arial" w:cs="Arial"/>
        </w:rPr>
        <w:t>Summary of inputs and outputs for other intentional product/process uses</w:t>
      </w:r>
      <w:r w:rsidR="009D30FE" w:rsidRPr="00A647D4">
        <w:rPr>
          <w:rFonts w:ascii="Arial" w:hAnsi="Arial" w:cs="Arial"/>
        </w:rPr>
        <w:t xml:space="preserve"> for 20</w:t>
      </w:r>
      <w:r w:rsidR="00303BED">
        <w:rPr>
          <w:rFonts w:ascii="Arial" w:hAnsi="Arial" w:cs="Arial"/>
        </w:rPr>
        <w:t>2</w:t>
      </w:r>
      <w:bookmarkEnd w:id="131"/>
      <w:r w:rsidR="00FA5964">
        <w:rPr>
          <w:rFonts w:ascii="Arial" w:hAnsi="Arial" w:cs="Arial"/>
        </w:rPr>
        <w:t>4</w:t>
      </w:r>
    </w:p>
    <w:tbl>
      <w:tblPr>
        <w:tblStyle w:val="TableGrid"/>
        <w:tblW w:w="9120" w:type="dxa"/>
        <w:tblInd w:w="108" w:type="dxa"/>
        <w:tblLayout w:type="fixed"/>
        <w:tblLook w:val="04A0" w:firstRow="1" w:lastRow="0" w:firstColumn="1" w:lastColumn="0" w:noHBand="0" w:noVBand="1"/>
      </w:tblPr>
      <w:tblGrid>
        <w:gridCol w:w="2394"/>
        <w:gridCol w:w="1425"/>
        <w:gridCol w:w="1060"/>
        <w:gridCol w:w="1060"/>
        <w:gridCol w:w="1060"/>
        <w:gridCol w:w="1060"/>
        <w:gridCol w:w="1061"/>
      </w:tblGrid>
      <w:tr w:rsidR="00EA7C2C" w:rsidRPr="00A647D4" w14:paraId="69FB15E9" w14:textId="77777777" w:rsidTr="0035039D">
        <w:tc>
          <w:tcPr>
            <w:tcW w:w="2394" w:type="dxa"/>
            <w:vMerge w:val="restart"/>
            <w:vAlign w:val="center"/>
          </w:tcPr>
          <w:p w14:paraId="07AACC1C" w14:textId="77777777" w:rsidR="00EA7C2C" w:rsidRPr="00A647D4" w:rsidRDefault="00EA7C2C" w:rsidP="003A7261">
            <w:pPr>
              <w:spacing w:line="300" w:lineRule="atLeast"/>
              <w:rPr>
                <w:rFonts w:ascii="Arial" w:hAnsi="Arial" w:cs="Arial"/>
                <w:b/>
                <w:sz w:val="16"/>
                <w:szCs w:val="16"/>
              </w:rPr>
            </w:pPr>
            <w:r w:rsidRPr="00A647D4">
              <w:rPr>
                <w:rFonts w:ascii="Arial" w:hAnsi="Arial" w:cs="Arial"/>
                <w:b/>
                <w:sz w:val="16"/>
                <w:szCs w:val="16"/>
              </w:rPr>
              <w:t>Category</w:t>
            </w:r>
          </w:p>
        </w:tc>
        <w:tc>
          <w:tcPr>
            <w:tcW w:w="1425" w:type="dxa"/>
            <w:vMerge w:val="restart"/>
            <w:vAlign w:val="center"/>
          </w:tcPr>
          <w:p w14:paraId="3E650339" w14:textId="77777777" w:rsidR="00EA7C2C" w:rsidRPr="00A647D4" w:rsidRDefault="00EA7C2C" w:rsidP="003A7261">
            <w:pPr>
              <w:spacing w:line="300" w:lineRule="atLeast"/>
              <w:jc w:val="center"/>
              <w:rPr>
                <w:rFonts w:ascii="Arial" w:hAnsi="Arial" w:cs="Arial"/>
                <w:b/>
                <w:sz w:val="16"/>
                <w:szCs w:val="16"/>
              </w:rPr>
            </w:pPr>
            <w:r w:rsidRPr="00A647D4">
              <w:rPr>
                <w:rFonts w:ascii="Arial" w:hAnsi="Arial" w:cs="Arial"/>
                <w:b/>
                <w:sz w:val="16"/>
                <w:szCs w:val="16"/>
              </w:rPr>
              <w:t>Mercury Inputs, kg/year</w:t>
            </w:r>
          </w:p>
        </w:tc>
        <w:tc>
          <w:tcPr>
            <w:tcW w:w="5301" w:type="dxa"/>
            <w:gridSpan w:val="5"/>
            <w:vAlign w:val="center"/>
          </w:tcPr>
          <w:p w14:paraId="44396C43" w14:textId="77777777" w:rsidR="00EA7C2C" w:rsidRPr="00A647D4" w:rsidRDefault="00EA7C2C" w:rsidP="003A7261">
            <w:pPr>
              <w:spacing w:line="300" w:lineRule="atLeast"/>
              <w:jc w:val="center"/>
              <w:rPr>
                <w:rFonts w:ascii="Arial" w:hAnsi="Arial" w:cs="Arial"/>
                <w:b/>
                <w:sz w:val="16"/>
                <w:szCs w:val="16"/>
              </w:rPr>
            </w:pPr>
            <w:r w:rsidRPr="00A647D4">
              <w:rPr>
                <w:rFonts w:ascii="Arial" w:hAnsi="Arial" w:cs="Arial"/>
                <w:b/>
                <w:sz w:val="16"/>
                <w:szCs w:val="16"/>
              </w:rPr>
              <w:t>Mercury Outputs, kg/yr</w:t>
            </w:r>
          </w:p>
        </w:tc>
      </w:tr>
      <w:tr w:rsidR="0035039D" w:rsidRPr="00A647D4" w14:paraId="6ED8D37C" w14:textId="77777777" w:rsidTr="0035039D">
        <w:tc>
          <w:tcPr>
            <w:tcW w:w="2394" w:type="dxa"/>
            <w:vMerge/>
            <w:vAlign w:val="center"/>
          </w:tcPr>
          <w:p w14:paraId="60848819" w14:textId="77777777" w:rsidR="0035039D" w:rsidRPr="00A647D4" w:rsidRDefault="0035039D" w:rsidP="003A7261">
            <w:pPr>
              <w:spacing w:line="300" w:lineRule="atLeast"/>
              <w:rPr>
                <w:rFonts w:ascii="Arial" w:hAnsi="Arial" w:cs="Arial"/>
                <w:b/>
                <w:sz w:val="16"/>
                <w:szCs w:val="16"/>
              </w:rPr>
            </w:pPr>
          </w:p>
        </w:tc>
        <w:tc>
          <w:tcPr>
            <w:tcW w:w="1425" w:type="dxa"/>
            <w:vMerge/>
          </w:tcPr>
          <w:p w14:paraId="57661BF8" w14:textId="77777777" w:rsidR="0035039D" w:rsidRPr="00A647D4" w:rsidRDefault="0035039D" w:rsidP="003A7261">
            <w:pPr>
              <w:spacing w:line="300" w:lineRule="atLeast"/>
              <w:jc w:val="both"/>
              <w:rPr>
                <w:rFonts w:ascii="Arial" w:hAnsi="Arial" w:cs="Arial"/>
                <w:b/>
                <w:sz w:val="16"/>
                <w:szCs w:val="16"/>
              </w:rPr>
            </w:pPr>
          </w:p>
        </w:tc>
        <w:tc>
          <w:tcPr>
            <w:tcW w:w="1060" w:type="dxa"/>
            <w:vAlign w:val="center"/>
          </w:tcPr>
          <w:p w14:paraId="034BE0B9" w14:textId="77777777" w:rsidR="0035039D" w:rsidRPr="00A647D4" w:rsidRDefault="0035039D" w:rsidP="003A7261">
            <w:pPr>
              <w:spacing w:line="300" w:lineRule="atLeast"/>
              <w:jc w:val="center"/>
              <w:rPr>
                <w:rFonts w:ascii="Arial" w:hAnsi="Arial" w:cs="Arial"/>
                <w:b/>
                <w:sz w:val="16"/>
                <w:szCs w:val="16"/>
              </w:rPr>
            </w:pPr>
            <w:r w:rsidRPr="00A647D4">
              <w:rPr>
                <w:rFonts w:ascii="Arial" w:hAnsi="Arial" w:cs="Arial"/>
                <w:b/>
                <w:sz w:val="16"/>
                <w:szCs w:val="16"/>
              </w:rPr>
              <w:t>Air</w:t>
            </w:r>
          </w:p>
        </w:tc>
        <w:tc>
          <w:tcPr>
            <w:tcW w:w="1060" w:type="dxa"/>
            <w:vAlign w:val="center"/>
          </w:tcPr>
          <w:p w14:paraId="10F8D4B4" w14:textId="77777777" w:rsidR="0035039D" w:rsidRPr="00A647D4" w:rsidRDefault="0035039D" w:rsidP="003A7261">
            <w:pPr>
              <w:spacing w:line="300" w:lineRule="atLeast"/>
              <w:jc w:val="center"/>
              <w:rPr>
                <w:rFonts w:ascii="Arial" w:hAnsi="Arial" w:cs="Arial"/>
                <w:b/>
                <w:sz w:val="16"/>
                <w:szCs w:val="16"/>
              </w:rPr>
            </w:pPr>
            <w:r w:rsidRPr="00A647D4">
              <w:rPr>
                <w:rFonts w:ascii="Arial" w:hAnsi="Arial" w:cs="Arial"/>
                <w:b/>
                <w:sz w:val="16"/>
                <w:szCs w:val="16"/>
              </w:rPr>
              <w:t>Water</w:t>
            </w:r>
          </w:p>
        </w:tc>
        <w:tc>
          <w:tcPr>
            <w:tcW w:w="1060" w:type="dxa"/>
            <w:vAlign w:val="center"/>
          </w:tcPr>
          <w:p w14:paraId="3504B969" w14:textId="77777777" w:rsidR="0035039D" w:rsidRPr="00A647D4" w:rsidRDefault="0035039D" w:rsidP="003A7261">
            <w:pPr>
              <w:spacing w:line="300" w:lineRule="atLeast"/>
              <w:jc w:val="center"/>
              <w:rPr>
                <w:rFonts w:ascii="Arial" w:hAnsi="Arial" w:cs="Arial"/>
                <w:b/>
                <w:sz w:val="16"/>
                <w:szCs w:val="16"/>
              </w:rPr>
            </w:pPr>
            <w:r w:rsidRPr="00A647D4">
              <w:rPr>
                <w:rFonts w:ascii="Arial" w:hAnsi="Arial" w:cs="Arial"/>
                <w:b/>
                <w:sz w:val="16"/>
                <w:szCs w:val="16"/>
              </w:rPr>
              <w:t>Land</w:t>
            </w:r>
          </w:p>
        </w:tc>
        <w:tc>
          <w:tcPr>
            <w:tcW w:w="1060" w:type="dxa"/>
            <w:vAlign w:val="center"/>
          </w:tcPr>
          <w:p w14:paraId="1149CE95" w14:textId="77777777" w:rsidR="0035039D" w:rsidRPr="00A647D4" w:rsidRDefault="0035039D" w:rsidP="00EA7C2C">
            <w:pPr>
              <w:spacing w:line="300" w:lineRule="atLeast"/>
              <w:jc w:val="center"/>
              <w:rPr>
                <w:rFonts w:ascii="Arial" w:hAnsi="Arial" w:cs="Arial"/>
                <w:b/>
                <w:sz w:val="16"/>
                <w:szCs w:val="16"/>
              </w:rPr>
            </w:pPr>
            <w:r w:rsidRPr="00A647D4">
              <w:rPr>
                <w:rFonts w:ascii="Arial" w:hAnsi="Arial" w:cs="Arial"/>
                <w:b/>
                <w:sz w:val="16"/>
                <w:szCs w:val="16"/>
              </w:rPr>
              <w:t>Product</w:t>
            </w:r>
          </w:p>
        </w:tc>
        <w:tc>
          <w:tcPr>
            <w:tcW w:w="1061" w:type="dxa"/>
            <w:vAlign w:val="center"/>
          </w:tcPr>
          <w:p w14:paraId="5786F103" w14:textId="77777777" w:rsidR="0035039D" w:rsidRPr="00A647D4" w:rsidRDefault="0035039D" w:rsidP="003A7261">
            <w:pPr>
              <w:spacing w:line="300" w:lineRule="atLeast"/>
              <w:jc w:val="center"/>
              <w:rPr>
                <w:rFonts w:ascii="Arial" w:hAnsi="Arial" w:cs="Arial"/>
                <w:b/>
                <w:sz w:val="16"/>
                <w:szCs w:val="16"/>
              </w:rPr>
            </w:pPr>
            <w:r w:rsidRPr="00A647D4">
              <w:rPr>
                <w:rFonts w:ascii="Arial" w:hAnsi="Arial" w:cs="Arial"/>
                <w:b/>
                <w:sz w:val="16"/>
                <w:szCs w:val="16"/>
              </w:rPr>
              <w:t>Waste</w:t>
            </w:r>
          </w:p>
        </w:tc>
      </w:tr>
      <w:tr w:rsidR="002D7721" w:rsidRPr="00A647D4" w14:paraId="02D8505E" w14:textId="77777777" w:rsidTr="0035039D">
        <w:tc>
          <w:tcPr>
            <w:tcW w:w="2394" w:type="dxa"/>
            <w:vAlign w:val="center"/>
          </w:tcPr>
          <w:p w14:paraId="0F361C42" w14:textId="77777777" w:rsidR="002D7721" w:rsidRPr="00A647D4" w:rsidRDefault="002D7721" w:rsidP="002D7721">
            <w:pPr>
              <w:spacing w:line="300" w:lineRule="atLeast"/>
              <w:rPr>
                <w:rFonts w:ascii="Arial" w:hAnsi="Arial" w:cs="Arial"/>
                <w:sz w:val="16"/>
                <w:szCs w:val="16"/>
              </w:rPr>
            </w:pPr>
            <w:r w:rsidRPr="00A647D4">
              <w:rPr>
                <w:rFonts w:ascii="Arial" w:hAnsi="Arial" w:cs="Arial"/>
                <w:sz w:val="16"/>
                <w:szCs w:val="16"/>
              </w:rPr>
              <w:t>Dental mercury amalgam fillings</w:t>
            </w:r>
          </w:p>
        </w:tc>
        <w:tc>
          <w:tcPr>
            <w:tcW w:w="1425" w:type="dxa"/>
            <w:vAlign w:val="center"/>
          </w:tcPr>
          <w:p w14:paraId="29E6CC25" w14:textId="2158C610" w:rsidR="002D7721" w:rsidRPr="004C4210" w:rsidRDefault="00B11993" w:rsidP="002D7721">
            <w:pPr>
              <w:spacing w:line="300" w:lineRule="atLeast"/>
              <w:jc w:val="center"/>
              <w:rPr>
                <w:rFonts w:ascii="Arial" w:hAnsi="Arial" w:cs="Arial"/>
                <w:sz w:val="16"/>
                <w:szCs w:val="16"/>
                <w:highlight w:val="yellow"/>
              </w:rPr>
            </w:pPr>
            <w:r w:rsidRPr="004C4210">
              <w:rPr>
                <w:rFonts w:ascii="Arial" w:hAnsi="Arial" w:cs="Arial"/>
                <w:sz w:val="16"/>
                <w:szCs w:val="16"/>
              </w:rPr>
              <w:t>1.71</w:t>
            </w:r>
          </w:p>
        </w:tc>
        <w:tc>
          <w:tcPr>
            <w:tcW w:w="1060" w:type="dxa"/>
            <w:vAlign w:val="center"/>
          </w:tcPr>
          <w:p w14:paraId="16327BD0" w14:textId="1FE788FD" w:rsidR="002D7721" w:rsidRPr="004C4210" w:rsidRDefault="00B11993" w:rsidP="002D7721">
            <w:pPr>
              <w:spacing w:line="300" w:lineRule="atLeast"/>
              <w:jc w:val="center"/>
              <w:rPr>
                <w:rFonts w:ascii="Arial" w:hAnsi="Arial" w:cs="Arial"/>
                <w:sz w:val="16"/>
                <w:szCs w:val="16"/>
                <w:highlight w:val="yellow"/>
              </w:rPr>
            </w:pPr>
            <w:r w:rsidRPr="004C4210">
              <w:rPr>
                <w:rFonts w:ascii="Arial" w:hAnsi="Arial" w:cs="Arial"/>
                <w:sz w:val="16"/>
                <w:szCs w:val="16"/>
              </w:rPr>
              <w:t>0.034</w:t>
            </w:r>
          </w:p>
        </w:tc>
        <w:tc>
          <w:tcPr>
            <w:tcW w:w="1060" w:type="dxa"/>
            <w:vAlign w:val="center"/>
          </w:tcPr>
          <w:p w14:paraId="29C4A245" w14:textId="605D67D4" w:rsidR="002D7721" w:rsidRPr="004C4210" w:rsidRDefault="00B11993" w:rsidP="002D7721">
            <w:pPr>
              <w:spacing w:line="300" w:lineRule="atLeast"/>
              <w:jc w:val="center"/>
              <w:rPr>
                <w:rFonts w:ascii="Arial" w:hAnsi="Arial" w:cs="Arial"/>
                <w:sz w:val="16"/>
                <w:szCs w:val="16"/>
                <w:highlight w:val="yellow"/>
              </w:rPr>
            </w:pPr>
            <w:r w:rsidRPr="004C4210">
              <w:rPr>
                <w:rFonts w:ascii="Arial" w:hAnsi="Arial" w:cs="Arial"/>
                <w:sz w:val="16"/>
                <w:szCs w:val="16"/>
              </w:rPr>
              <w:t>0.2</w:t>
            </w:r>
            <w:r w:rsidR="00FC17B1">
              <w:rPr>
                <w:rFonts w:ascii="Arial" w:hAnsi="Arial" w:cs="Arial"/>
                <w:sz w:val="16"/>
                <w:szCs w:val="16"/>
              </w:rPr>
              <w:t>4</w:t>
            </w:r>
          </w:p>
        </w:tc>
        <w:tc>
          <w:tcPr>
            <w:tcW w:w="1060" w:type="dxa"/>
            <w:vAlign w:val="center"/>
          </w:tcPr>
          <w:p w14:paraId="77920462" w14:textId="11F8D479" w:rsidR="002D7721" w:rsidRPr="004C4210" w:rsidRDefault="002D7721" w:rsidP="002D7721">
            <w:pPr>
              <w:spacing w:line="300" w:lineRule="atLeast"/>
              <w:jc w:val="center"/>
              <w:rPr>
                <w:rFonts w:ascii="Arial" w:hAnsi="Arial" w:cs="Arial"/>
                <w:sz w:val="16"/>
                <w:szCs w:val="16"/>
                <w:highlight w:val="yellow"/>
              </w:rPr>
            </w:pPr>
            <w:r w:rsidRPr="00B11993">
              <w:rPr>
                <w:rFonts w:ascii="Arial" w:hAnsi="Arial" w:cs="Arial"/>
                <w:sz w:val="16"/>
                <w:szCs w:val="16"/>
              </w:rPr>
              <w:t>-</w:t>
            </w:r>
          </w:p>
        </w:tc>
        <w:tc>
          <w:tcPr>
            <w:tcW w:w="1060" w:type="dxa"/>
            <w:vAlign w:val="center"/>
          </w:tcPr>
          <w:p w14:paraId="37BF2335" w14:textId="3D4BA8CA" w:rsidR="002D7721" w:rsidRPr="004C4210" w:rsidRDefault="00B11993" w:rsidP="002D7721">
            <w:pPr>
              <w:spacing w:line="300" w:lineRule="atLeast"/>
              <w:jc w:val="center"/>
              <w:rPr>
                <w:rFonts w:ascii="Arial" w:hAnsi="Arial" w:cs="Arial"/>
                <w:sz w:val="16"/>
                <w:szCs w:val="16"/>
                <w:highlight w:val="yellow"/>
              </w:rPr>
            </w:pPr>
            <w:r w:rsidRPr="004C4210">
              <w:rPr>
                <w:rFonts w:ascii="Arial" w:hAnsi="Arial" w:cs="Arial"/>
                <w:sz w:val="16"/>
                <w:szCs w:val="16"/>
              </w:rPr>
              <w:t>1.0</w:t>
            </w:r>
            <w:r w:rsidR="00FC17B1">
              <w:rPr>
                <w:rFonts w:ascii="Arial" w:hAnsi="Arial" w:cs="Arial"/>
                <w:sz w:val="16"/>
                <w:szCs w:val="16"/>
              </w:rPr>
              <w:t>3</w:t>
            </w:r>
          </w:p>
        </w:tc>
        <w:tc>
          <w:tcPr>
            <w:tcW w:w="1061" w:type="dxa"/>
            <w:vAlign w:val="center"/>
          </w:tcPr>
          <w:p w14:paraId="3AB6689E" w14:textId="55DF25E9" w:rsidR="002D7721" w:rsidRPr="004C4210" w:rsidRDefault="00B11993" w:rsidP="002D7721">
            <w:pPr>
              <w:spacing w:line="300" w:lineRule="atLeast"/>
              <w:jc w:val="center"/>
              <w:rPr>
                <w:rFonts w:ascii="Arial" w:hAnsi="Arial" w:cs="Arial"/>
                <w:sz w:val="16"/>
                <w:szCs w:val="16"/>
                <w:highlight w:val="yellow"/>
              </w:rPr>
            </w:pPr>
            <w:r w:rsidRPr="004C4210">
              <w:rPr>
                <w:rFonts w:ascii="Arial" w:hAnsi="Arial" w:cs="Arial"/>
                <w:sz w:val="16"/>
                <w:szCs w:val="16"/>
              </w:rPr>
              <w:t>0.41</w:t>
            </w:r>
          </w:p>
        </w:tc>
      </w:tr>
      <w:tr w:rsidR="0035039D" w:rsidRPr="00A647D4" w14:paraId="6A38C508" w14:textId="77777777" w:rsidTr="0035039D">
        <w:tc>
          <w:tcPr>
            <w:tcW w:w="2394" w:type="dxa"/>
            <w:vAlign w:val="center"/>
          </w:tcPr>
          <w:p w14:paraId="3F8FC6E4" w14:textId="77777777" w:rsidR="0035039D" w:rsidRPr="00A647D4" w:rsidRDefault="0035039D" w:rsidP="003A7261">
            <w:pPr>
              <w:spacing w:before="40" w:after="40" w:line="300" w:lineRule="atLeast"/>
              <w:rPr>
                <w:rFonts w:ascii="Arial" w:hAnsi="Arial" w:cs="Arial"/>
                <w:sz w:val="16"/>
                <w:szCs w:val="16"/>
              </w:rPr>
            </w:pPr>
            <w:r w:rsidRPr="00A647D4">
              <w:rPr>
                <w:rFonts w:ascii="Arial" w:hAnsi="Arial" w:cs="Arial"/>
                <w:sz w:val="16"/>
                <w:szCs w:val="16"/>
              </w:rPr>
              <w:t>Manometers and gauges</w:t>
            </w:r>
          </w:p>
        </w:tc>
        <w:tc>
          <w:tcPr>
            <w:tcW w:w="1425" w:type="dxa"/>
            <w:vAlign w:val="center"/>
          </w:tcPr>
          <w:p w14:paraId="09CE0122" w14:textId="4C4B309D" w:rsidR="0035039D" w:rsidRPr="004C4210" w:rsidRDefault="00B11993" w:rsidP="003A7261">
            <w:pPr>
              <w:spacing w:line="300" w:lineRule="atLeast"/>
              <w:jc w:val="center"/>
              <w:rPr>
                <w:rFonts w:ascii="Arial" w:hAnsi="Arial" w:cs="Arial"/>
                <w:sz w:val="16"/>
                <w:szCs w:val="16"/>
                <w:highlight w:val="yellow"/>
              </w:rPr>
            </w:pPr>
            <w:r w:rsidRPr="004C4210">
              <w:rPr>
                <w:rFonts w:ascii="Arial" w:hAnsi="Arial" w:cs="Arial"/>
                <w:sz w:val="16"/>
                <w:szCs w:val="16"/>
              </w:rPr>
              <w:t>0.0</w:t>
            </w:r>
            <w:r w:rsidR="00C4105E">
              <w:rPr>
                <w:rFonts w:ascii="Arial" w:hAnsi="Arial" w:cs="Arial"/>
                <w:sz w:val="16"/>
                <w:szCs w:val="16"/>
              </w:rPr>
              <w:t>75</w:t>
            </w:r>
          </w:p>
        </w:tc>
        <w:tc>
          <w:tcPr>
            <w:tcW w:w="1060" w:type="dxa"/>
            <w:vAlign w:val="center"/>
          </w:tcPr>
          <w:p w14:paraId="3F0E39D6" w14:textId="77777777" w:rsidR="0035039D" w:rsidRPr="00B11993" w:rsidRDefault="0035039D" w:rsidP="003A7261">
            <w:pPr>
              <w:spacing w:line="300" w:lineRule="atLeast"/>
              <w:jc w:val="center"/>
              <w:rPr>
                <w:rFonts w:ascii="Arial" w:hAnsi="Arial" w:cs="Arial"/>
                <w:sz w:val="16"/>
                <w:szCs w:val="16"/>
              </w:rPr>
            </w:pPr>
            <w:r w:rsidRPr="00B11993">
              <w:rPr>
                <w:rFonts w:ascii="Arial" w:hAnsi="Arial" w:cs="Arial"/>
                <w:sz w:val="16"/>
                <w:szCs w:val="16"/>
              </w:rPr>
              <w:t>-</w:t>
            </w:r>
          </w:p>
        </w:tc>
        <w:tc>
          <w:tcPr>
            <w:tcW w:w="1060" w:type="dxa"/>
            <w:vAlign w:val="center"/>
          </w:tcPr>
          <w:p w14:paraId="1FCDA155" w14:textId="77777777" w:rsidR="0035039D" w:rsidRPr="00B11993" w:rsidRDefault="0035039D" w:rsidP="003A7261">
            <w:pPr>
              <w:spacing w:line="300" w:lineRule="atLeast"/>
              <w:jc w:val="center"/>
              <w:rPr>
                <w:rFonts w:ascii="Arial" w:hAnsi="Arial" w:cs="Arial"/>
                <w:sz w:val="16"/>
                <w:szCs w:val="16"/>
              </w:rPr>
            </w:pPr>
            <w:r w:rsidRPr="00B11993">
              <w:rPr>
                <w:rFonts w:ascii="Arial" w:hAnsi="Arial" w:cs="Arial"/>
                <w:sz w:val="16"/>
                <w:szCs w:val="16"/>
              </w:rPr>
              <w:t>-</w:t>
            </w:r>
          </w:p>
        </w:tc>
        <w:tc>
          <w:tcPr>
            <w:tcW w:w="1060" w:type="dxa"/>
            <w:vAlign w:val="center"/>
          </w:tcPr>
          <w:p w14:paraId="2EB30482" w14:textId="77777777" w:rsidR="0035039D" w:rsidRPr="00B11993" w:rsidRDefault="0035039D" w:rsidP="003A7261">
            <w:pPr>
              <w:spacing w:line="300" w:lineRule="atLeast"/>
              <w:jc w:val="center"/>
              <w:rPr>
                <w:rFonts w:ascii="Arial" w:hAnsi="Arial" w:cs="Arial"/>
                <w:sz w:val="16"/>
                <w:szCs w:val="16"/>
              </w:rPr>
            </w:pPr>
            <w:r w:rsidRPr="00B11993">
              <w:rPr>
                <w:rFonts w:ascii="Arial" w:hAnsi="Arial" w:cs="Arial"/>
                <w:sz w:val="16"/>
                <w:szCs w:val="16"/>
              </w:rPr>
              <w:t>-</w:t>
            </w:r>
          </w:p>
        </w:tc>
        <w:tc>
          <w:tcPr>
            <w:tcW w:w="1060" w:type="dxa"/>
            <w:vAlign w:val="center"/>
          </w:tcPr>
          <w:p w14:paraId="24C0C5C5" w14:textId="15F8A48B" w:rsidR="0035039D" w:rsidRPr="004C4210" w:rsidRDefault="00B11993" w:rsidP="003A7261">
            <w:pPr>
              <w:spacing w:line="300" w:lineRule="atLeast"/>
              <w:jc w:val="center"/>
              <w:rPr>
                <w:rFonts w:ascii="Arial" w:hAnsi="Arial" w:cs="Arial"/>
                <w:sz w:val="16"/>
                <w:szCs w:val="16"/>
                <w:highlight w:val="yellow"/>
              </w:rPr>
            </w:pPr>
            <w:r w:rsidRPr="004C4210">
              <w:rPr>
                <w:rFonts w:ascii="Arial" w:hAnsi="Arial" w:cs="Arial"/>
                <w:sz w:val="16"/>
                <w:szCs w:val="16"/>
              </w:rPr>
              <w:t>0.0</w:t>
            </w:r>
            <w:r w:rsidR="00C4105E">
              <w:rPr>
                <w:rFonts w:ascii="Arial" w:hAnsi="Arial" w:cs="Arial"/>
                <w:sz w:val="16"/>
                <w:szCs w:val="16"/>
              </w:rPr>
              <w:t>75</w:t>
            </w:r>
          </w:p>
        </w:tc>
        <w:tc>
          <w:tcPr>
            <w:tcW w:w="1061" w:type="dxa"/>
            <w:vAlign w:val="center"/>
          </w:tcPr>
          <w:p w14:paraId="126FE88B" w14:textId="77777777" w:rsidR="0035039D" w:rsidRPr="004C4210" w:rsidRDefault="0035039D" w:rsidP="003A7261">
            <w:pPr>
              <w:spacing w:line="300" w:lineRule="atLeast"/>
              <w:jc w:val="center"/>
              <w:rPr>
                <w:rFonts w:ascii="Arial" w:hAnsi="Arial" w:cs="Arial"/>
                <w:sz w:val="16"/>
                <w:szCs w:val="16"/>
                <w:highlight w:val="yellow"/>
              </w:rPr>
            </w:pPr>
            <w:r w:rsidRPr="004C4210">
              <w:rPr>
                <w:rFonts w:ascii="Arial" w:hAnsi="Arial" w:cs="Arial"/>
                <w:sz w:val="16"/>
                <w:szCs w:val="16"/>
              </w:rPr>
              <w:t>-</w:t>
            </w:r>
          </w:p>
        </w:tc>
      </w:tr>
      <w:tr w:rsidR="002D7721" w:rsidRPr="00A647D4" w14:paraId="22EAE2E3" w14:textId="77777777" w:rsidTr="002D7721">
        <w:tc>
          <w:tcPr>
            <w:tcW w:w="2394" w:type="dxa"/>
            <w:vAlign w:val="center"/>
          </w:tcPr>
          <w:p w14:paraId="1EEBA803" w14:textId="77777777" w:rsidR="002D7721" w:rsidRPr="00A647D4" w:rsidRDefault="002D7721" w:rsidP="002D7721">
            <w:pPr>
              <w:spacing w:line="300" w:lineRule="atLeast"/>
              <w:rPr>
                <w:rFonts w:ascii="Arial" w:hAnsi="Arial" w:cs="Arial"/>
                <w:sz w:val="16"/>
                <w:szCs w:val="16"/>
              </w:rPr>
            </w:pPr>
            <w:r w:rsidRPr="00A647D4">
              <w:rPr>
                <w:rFonts w:ascii="Arial" w:hAnsi="Arial" w:cs="Arial"/>
                <w:sz w:val="16"/>
                <w:szCs w:val="16"/>
              </w:rPr>
              <w:t>Laboratory chemicals and equipment</w:t>
            </w:r>
          </w:p>
        </w:tc>
        <w:tc>
          <w:tcPr>
            <w:tcW w:w="1425" w:type="dxa"/>
            <w:vAlign w:val="center"/>
          </w:tcPr>
          <w:p w14:paraId="51994857" w14:textId="08938F27" w:rsidR="002D7721" w:rsidRPr="00B60EA8" w:rsidRDefault="00B60EA8" w:rsidP="002D7721">
            <w:pPr>
              <w:spacing w:line="300" w:lineRule="atLeast"/>
              <w:jc w:val="center"/>
              <w:rPr>
                <w:rFonts w:ascii="Arial" w:hAnsi="Arial" w:cs="Arial"/>
                <w:sz w:val="16"/>
                <w:szCs w:val="16"/>
              </w:rPr>
            </w:pPr>
            <w:r w:rsidRPr="000B1B79">
              <w:rPr>
                <w:rFonts w:ascii="Arial" w:hAnsi="Arial" w:cs="Arial"/>
                <w:sz w:val="16"/>
                <w:szCs w:val="16"/>
              </w:rPr>
              <w:t>1.64</w:t>
            </w:r>
          </w:p>
        </w:tc>
        <w:tc>
          <w:tcPr>
            <w:tcW w:w="1060" w:type="dxa"/>
            <w:vAlign w:val="center"/>
          </w:tcPr>
          <w:p w14:paraId="007915DD" w14:textId="0BF8A288" w:rsidR="002D7721" w:rsidRPr="00B60EA8" w:rsidRDefault="00B60EA8" w:rsidP="002D7721">
            <w:pPr>
              <w:spacing w:line="300" w:lineRule="atLeast"/>
              <w:jc w:val="center"/>
              <w:rPr>
                <w:rFonts w:ascii="Arial" w:hAnsi="Arial" w:cs="Arial"/>
                <w:sz w:val="16"/>
                <w:szCs w:val="16"/>
              </w:rPr>
            </w:pPr>
            <w:r w:rsidRPr="000B1B79">
              <w:rPr>
                <w:rFonts w:ascii="Arial" w:hAnsi="Arial" w:cs="Arial"/>
                <w:sz w:val="16"/>
                <w:szCs w:val="16"/>
              </w:rPr>
              <w:t>0.082</w:t>
            </w:r>
          </w:p>
        </w:tc>
        <w:tc>
          <w:tcPr>
            <w:tcW w:w="1060" w:type="dxa"/>
            <w:vAlign w:val="center"/>
          </w:tcPr>
          <w:p w14:paraId="4048741C" w14:textId="7A650881" w:rsidR="002D7721" w:rsidRPr="00B60EA8" w:rsidRDefault="00B60EA8" w:rsidP="002D7721">
            <w:pPr>
              <w:spacing w:line="300" w:lineRule="atLeast"/>
              <w:jc w:val="center"/>
              <w:rPr>
                <w:rFonts w:ascii="Arial" w:hAnsi="Arial" w:cs="Arial"/>
                <w:sz w:val="16"/>
                <w:szCs w:val="16"/>
              </w:rPr>
            </w:pPr>
            <w:r w:rsidRPr="000B1B79">
              <w:rPr>
                <w:rFonts w:ascii="Arial" w:hAnsi="Arial" w:cs="Arial"/>
                <w:sz w:val="16"/>
                <w:szCs w:val="16"/>
              </w:rPr>
              <w:t>0.16</w:t>
            </w:r>
          </w:p>
        </w:tc>
        <w:tc>
          <w:tcPr>
            <w:tcW w:w="1060" w:type="dxa"/>
            <w:vAlign w:val="center"/>
          </w:tcPr>
          <w:p w14:paraId="369B3230" w14:textId="64C03B53" w:rsidR="002D7721" w:rsidRPr="00B60EA8" w:rsidRDefault="002D7721" w:rsidP="002D7721">
            <w:pPr>
              <w:spacing w:line="300" w:lineRule="atLeast"/>
              <w:jc w:val="center"/>
              <w:rPr>
                <w:rFonts w:ascii="Arial" w:hAnsi="Arial" w:cs="Arial"/>
                <w:sz w:val="16"/>
                <w:szCs w:val="16"/>
              </w:rPr>
            </w:pPr>
            <w:r w:rsidRPr="00B60EA8">
              <w:rPr>
                <w:rFonts w:ascii="Arial" w:hAnsi="Arial" w:cs="Arial"/>
                <w:sz w:val="16"/>
                <w:szCs w:val="16"/>
              </w:rPr>
              <w:t>-</w:t>
            </w:r>
          </w:p>
        </w:tc>
        <w:tc>
          <w:tcPr>
            <w:tcW w:w="1060" w:type="dxa"/>
            <w:vAlign w:val="center"/>
          </w:tcPr>
          <w:p w14:paraId="7AE11C79" w14:textId="77777777" w:rsidR="002D7721" w:rsidRPr="00B60EA8" w:rsidRDefault="002D7721" w:rsidP="002D7721">
            <w:pPr>
              <w:spacing w:line="300" w:lineRule="atLeast"/>
              <w:jc w:val="center"/>
              <w:rPr>
                <w:rFonts w:ascii="Arial" w:hAnsi="Arial" w:cs="Arial"/>
                <w:sz w:val="16"/>
                <w:szCs w:val="16"/>
              </w:rPr>
            </w:pPr>
            <w:r w:rsidRPr="00B60EA8">
              <w:rPr>
                <w:rFonts w:ascii="Arial" w:hAnsi="Arial" w:cs="Arial"/>
                <w:sz w:val="16"/>
                <w:szCs w:val="16"/>
              </w:rPr>
              <w:t>-</w:t>
            </w:r>
          </w:p>
        </w:tc>
        <w:tc>
          <w:tcPr>
            <w:tcW w:w="1061" w:type="dxa"/>
            <w:vAlign w:val="center"/>
          </w:tcPr>
          <w:p w14:paraId="290E4146" w14:textId="15681AF7" w:rsidR="002D7721" w:rsidRPr="00B60EA8" w:rsidRDefault="00B60EA8" w:rsidP="002D7721">
            <w:pPr>
              <w:spacing w:line="300" w:lineRule="atLeast"/>
              <w:jc w:val="center"/>
              <w:rPr>
                <w:rFonts w:ascii="Arial" w:hAnsi="Arial" w:cs="Arial"/>
                <w:sz w:val="16"/>
                <w:szCs w:val="16"/>
              </w:rPr>
            </w:pPr>
            <w:r w:rsidRPr="000B1B79">
              <w:rPr>
                <w:rFonts w:ascii="Arial" w:hAnsi="Arial" w:cs="Arial"/>
                <w:sz w:val="16"/>
                <w:szCs w:val="16"/>
              </w:rPr>
              <w:t>1.</w:t>
            </w:r>
            <w:r w:rsidR="00FC17B1">
              <w:rPr>
                <w:rFonts w:ascii="Arial" w:hAnsi="Arial" w:cs="Arial"/>
                <w:sz w:val="16"/>
                <w:szCs w:val="16"/>
              </w:rPr>
              <w:t>40</w:t>
            </w:r>
          </w:p>
        </w:tc>
      </w:tr>
      <w:tr w:rsidR="0035039D" w:rsidRPr="00A647D4" w14:paraId="54B55AB9" w14:textId="77777777" w:rsidTr="0035039D">
        <w:tc>
          <w:tcPr>
            <w:tcW w:w="2394" w:type="dxa"/>
            <w:vAlign w:val="center"/>
          </w:tcPr>
          <w:p w14:paraId="280EEABE" w14:textId="77777777" w:rsidR="0035039D" w:rsidRPr="00A647D4" w:rsidRDefault="0035039D" w:rsidP="003A7261">
            <w:pPr>
              <w:spacing w:line="300" w:lineRule="atLeast"/>
              <w:rPr>
                <w:rFonts w:ascii="Arial" w:hAnsi="Arial" w:cs="Arial"/>
                <w:sz w:val="16"/>
                <w:szCs w:val="16"/>
              </w:rPr>
            </w:pPr>
            <w:r w:rsidRPr="00A647D4">
              <w:rPr>
                <w:rFonts w:ascii="Arial" w:hAnsi="Arial" w:cs="Arial"/>
                <w:sz w:val="16"/>
                <w:szCs w:val="16"/>
              </w:rPr>
              <w:t xml:space="preserve">Mercury use in religious rituals and folklore </w:t>
            </w:r>
          </w:p>
        </w:tc>
        <w:tc>
          <w:tcPr>
            <w:tcW w:w="1425" w:type="dxa"/>
            <w:vAlign w:val="center"/>
          </w:tcPr>
          <w:p w14:paraId="5F50516A" w14:textId="77777777" w:rsidR="0035039D" w:rsidRPr="00B60EA8" w:rsidRDefault="0035039D" w:rsidP="003A7261">
            <w:pPr>
              <w:spacing w:line="300" w:lineRule="atLeast"/>
              <w:jc w:val="center"/>
              <w:rPr>
                <w:rFonts w:ascii="Arial" w:hAnsi="Arial" w:cs="Arial"/>
                <w:sz w:val="16"/>
                <w:szCs w:val="16"/>
              </w:rPr>
            </w:pPr>
            <w:r w:rsidRPr="00B60EA8">
              <w:rPr>
                <w:rFonts w:ascii="Arial" w:hAnsi="Arial" w:cs="Arial"/>
                <w:sz w:val="16"/>
                <w:szCs w:val="16"/>
              </w:rPr>
              <w:t>-</w:t>
            </w:r>
          </w:p>
        </w:tc>
        <w:tc>
          <w:tcPr>
            <w:tcW w:w="1060" w:type="dxa"/>
            <w:vAlign w:val="center"/>
          </w:tcPr>
          <w:p w14:paraId="275039E8" w14:textId="77777777" w:rsidR="0035039D" w:rsidRPr="00B60EA8" w:rsidRDefault="0035039D" w:rsidP="003A7261">
            <w:pPr>
              <w:spacing w:line="300" w:lineRule="atLeast"/>
              <w:jc w:val="center"/>
              <w:rPr>
                <w:rFonts w:ascii="Arial" w:hAnsi="Arial" w:cs="Arial"/>
                <w:sz w:val="16"/>
                <w:szCs w:val="16"/>
              </w:rPr>
            </w:pPr>
            <w:r w:rsidRPr="00B60EA8">
              <w:rPr>
                <w:rFonts w:ascii="Arial" w:hAnsi="Arial" w:cs="Arial"/>
                <w:sz w:val="16"/>
                <w:szCs w:val="16"/>
              </w:rPr>
              <w:t>-</w:t>
            </w:r>
          </w:p>
        </w:tc>
        <w:tc>
          <w:tcPr>
            <w:tcW w:w="1060" w:type="dxa"/>
            <w:vAlign w:val="center"/>
          </w:tcPr>
          <w:p w14:paraId="4BCA506C" w14:textId="77777777" w:rsidR="0035039D" w:rsidRPr="00B60EA8" w:rsidRDefault="0035039D" w:rsidP="003A7261">
            <w:pPr>
              <w:spacing w:line="300" w:lineRule="atLeast"/>
              <w:jc w:val="center"/>
              <w:rPr>
                <w:rFonts w:ascii="Arial" w:hAnsi="Arial" w:cs="Arial"/>
                <w:sz w:val="16"/>
                <w:szCs w:val="16"/>
              </w:rPr>
            </w:pPr>
            <w:r w:rsidRPr="00B60EA8">
              <w:rPr>
                <w:rFonts w:ascii="Arial" w:hAnsi="Arial" w:cs="Arial"/>
                <w:sz w:val="16"/>
                <w:szCs w:val="16"/>
              </w:rPr>
              <w:t>-</w:t>
            </w:r>
          </w:p>
        </w:tc>
        <w:tc>
          <w:tcPr>
            <w:tcW w:w="1060" w:type="dxa"/>
            <w:vAlign w:val="center"/>
          </w:tcPr>
          <w:p w14:paraId="2B7C2297" w14:textId="77777777" w:rsidR="0035039D" w:rsidRPr="00B60EA8" w:rsidRDefault="0035039D" w:rsidP="003A7261">
            <w:pPr>
              <w:spacing w:line="300" w:lineRule="atLeast"/>
              <w:jc w:val="center"/>
              <w:rPr>
                <w:rFonts w:ascii="Arial" w:hAnsi="Arial" w:cs="Arial"/>
                <w:sz w:val="16"/>
                <w:szCs w:val="16"/>
              </w:rPr>
            </w:pPr>
            <w:r w:rsidRPr="00B60EA8">
              <w:rPr>
                <w:rFonts w:ascii="Arial" w:hAnsi="Arial" w:cs="Arial"/>
                <w:sz w:val="16"/>
                <w:szCs w:val="16"/>
              </w:rPr>
              <w:t>-</w:t>
            </w:r>
          </w:p>
        </w:tc>
        <w:tc>
          <w:tcPr>
            <w:tcW w:w="1060" w:type="dxa"/>
            <w:vAlign w:val="center"/>
          </w:tcPr>
          <w:p w14:paraId="5447CF26" w14:textId="77777777" w:rsidR="0035039D" w:rsidRPr="00B60EA8" w:rsidRDefault="0035039D" w:rsidP="003A7261">
            <w:pPr>
              <w:spacing w:line="300" w:lineRule="atLeast"/>
              <w:jc w:val="center"/>
              <w:rPr>
                <w:rFonts w:ascii="Arial" w:hAnsi="Arial" w:cs="Arial"/>
                <w:sz w:val="16"/>
                <w:szCs w:val="16"/>
              </w:rPr>
            </w:pPr>
            <w:r w:rsidRPr="00B60EA8">
              <w:rPr>
                <w:rFonts w:ascii="Arial" w:hAnsi="Arial" w:cs="Arial"/>
                <w:sz w:val="16"/>
                <w:szCs w:val="16"/>
              </w:rPr>
              <w:t>-</w:t>
            </w:r>
          </w:p>
        </w:tc>
        <w:tc>
          <w:tcPr>
            <w:tcW w:w="1061" w:type="dxa"/>
            <w:vAlign w:val="center"/>
          </w:tcPr>
          <w:p w14:paraId="61E2CBE7" w14:textId="77777777" w:rsidR="0035039D" w:rsidRPr="00B60EA8" w:rsidRDefault="0035039D" w:rsidP="003A7261">
            <w:pPr>
              <w:spacing w:line="300" w:lineRule="atLeast"/>
              <w:jc w:val="center"/>
              <w:rPr>
                <w:rFonts w:ascii="Arial" w:hAnsi="Arial" w:cs="Arial"/>
                <w:sz w:val="16"/>
                <w:szCs w:val="16"/>
              </w:rPr>
            </w:pPr>
            <w:r w:rsidRPr="00B60EA8">
              <w:rPr>
                <w:rFonts w:ascii="Arial" w:hAnsi="Arial" w:cs="Arial"/>
                <w:sz w:val="16"/>
                <w:szCs w:val="16"/>
              </w:rPr>
              <w:t>-</w:t>
            </w:r>
          </w:p>
        </w:tc>
      </w:tr>
      <w:tr w:rsidR="0035039D" w:rsidRPr="00A647D4" w14:paraId="532313AB" w14:textId="77777777" w:rsidTr="0035039D">
        <w:tc>
          <w:tcPr>
            <w:tcW w:w="2394" w:type="dxa"/>
            <w:vAlign w:val="center"/>
          </w:tcPr>
          <w:p w14:paraId="4C664412" w14:textId="77777777" w:rsidR="0035039D" w:rsidRPr="00A647D4" w:rsidRDefault="0035039D" w:rsidP="00B76496">
            <w:pPr>
              <w:spacing w:line="300" w:lineRule="atLeast"/>
              <w:rPr>
                <w:rFonts w:ascii="Arial" w:hAnsi="Arial" w:cs="Arial"/>
                <w:sz w:val="16"/>
                <w:szCs w:val="16"/>
              </w:rPr>
            </w:pPr>
            <w:r w:rsidRPr="00A647D4">
              <w:rPr>
                <w:rFonts w:ascii="Arial" w:hAnsi="Arial" w:cs="Arial"/>
                <w:sz w:val="16"/>
                <w:szCs w:val="16"/>
              </w:rPr>
              <w:t>Miscellaneous product uses, mercury metal, other sources</w:t>
            </w:r>
          </w:p>
        </w:tc>
        <w:tc>
          <w:tcPr>
            <w:tcW w:w="1425" w:type="dxa"/>
            <w:vAlign w:val="center"/>
          </w:tcPr>
          <w:p w14:paraId="0A4E50B7" w14:textId="77777777" w:rsidR="0035039D" w:rsidRPr="00B60EA8" w:rsidRDefault="0035039D" w:rsidP="003A7261">
            <w:pPr>
              <w:spacing w:line="300" w:lineRule="atLeast"/>
              <w:jc w:val="center"/>
              <w:rPr>
                <w:rFonts w:ascii="Arial" w:hAnsi="Arial" w:cs="Arial"/>
                <w:sz w:val="16"/>
                <w:szCs w:val="16"/>
              </w:rPr>
            </w:pPr>
            <w:r w:rsidRPr="00B60EA8">
              <w:rPr>
                <w:rFonts w:ascii="Arial" w:hAnsi="Arial" w:cs="Arial"/>
                <w:sz w:val="16"/>
                <w:szCs w:val="16"/>
              </w:rPr>
              <w:t>-</w:t>
            </w:r>
          </w:p>
        </w:tc>
        <w:tc>
          <w:tcPr>
            <w:tcW w:w="1060" w:type="dxa"/>
            <w:vAlign w:val="center"/>
          </w:tcPr>
          <w:p w14:paraId="797B3EB7" w14:textId="77777777" w:rsidR="0035039D" w:rsidRPr="00B60EA8" w:rsidRDefault="0035039D" w:rsidP="003A7261">
            <w:pPr>
              <w:spacing w:line="300" w:lineRule="atLeast"/>
              <w:jc w:val="center"/>
              <w:rPr>
                <w:rFonts w:ascii="Arial" w:hAnsi="Arial" w:cs="Arial"/>
                <w:sz w:val="16"/>
                <w:szCs w:val="16"/>
              </w:rPr>
            </w:pPr>
            <w:r w:rsidRPr="00B60EA8">
              <w:rPr>
                <w:rFonts w:ascii="Arial" w:hAnsi="Arial" w:cs="Arial"/>
                <w:sz w:val="16"/>
                <w:szCs w:val="16"/>
              </w:rPr>
              <w:t>-</w:t>
            </w:r>
          </w:p>
        </w:tc>
        <w:tc>
          <w:tcPr>
            <w:tcW w:w="1060" w:type="dxa"/>
            <w:vAlign w:val="center"/>
          </w:tcPr>
          <w:p w14:paraId="0821E234" w14:textId="77777777" w:rsidR="0035039D" w:rsidRPr="00B60EA8" w:rsidRDefault="0035039D" w:rsidP="003A7261">
            <w:pPr>
              <w:spacing w:line="300" w:lineRule="atLeast"/>
              <w:jc w:val="center"/>
              <w:rPr>
                <w:rFonts w:ascii="Arial" w:hAnsi="Arial" w:cs="Arial"/>
                <w:sz w:val="16"/>
                <w:szCs w:val="16"/>
              </w:rPr>
            </w:pPr>
            <w:r w:rsidRPr="00B60EA8">
              <w:rPr>
                <w:rFonts w:ascii="Arial" w:hAnsi="Arial" w:cs="Arial"/>
                <w:sz w:val="16"/>
                <w:szCs w:val="16"/>
              </w:rPr>
              <w:t>-</w:t>
            </w:r>
          </w:p>
        </w:tc>
        <w:tc>
          <w:tcPr>
            <w:tcW w:w="1060" w:type="dxa"/>
            <w:vAlign w:val="center"/>
          </w:tcPr>
          <w:p w14:paraId="16EF91C7" w14:textId="77777777" w:rsidR="0035039D" w:rsidRPr="00B60EA8" w:rsidRDefault="0035039D" w:rsidP="003A7261">
            <w:pPr>
              <w:spacing w:line="300" w:lineRule="atLeast"/>
              <w:jc w:val="center"/>
              <w:rPr>
                <w:rFonts w:ascii="Arial" w:hAnsi="Arial" w:cs="Arial"/>
                <w:sz w:val="16"/>
                <w:szCs w:val="16"/>
              </w:rPr>
            </w:pPr>
            <w:r w:rsidRPr="00B60EA8">
              <w:rPr>
                <w:rFonts w:ascii="Arial" w:hAnsi="Arial" w:cs="Arial"/>
                <w:sz w:val="16"/>
                <w:szCs w:val="16"/>
              </w:rPr>
              <w:t>-</w:t>
            </w:r>
          </w:p>
        </w:tc>
        <w:tc>
          <w:tcPr>
            <w:tcW w:w="1060" w:type="dxa"/>
            <w:vAlign w:val="center"/>
          </w:tcPr>
          <w:p w14:paraId="7FB82B33" w14:textId="77777777" w:rsidR="0035039D" w:rsidRPr="00B60EA8" w:rsidRDefault="0035039D" w:rsidP="003A7261">
            <w:pPr>
              <w:spacing w:line="300" w:lineRule="atLeast"/>
              <w:jc w:val="center"/>
              <w:rPr>
                <w:rFonts w:ascii="Arial" w:hAnsi="Arial" w:cs="Arial"/>
                <w:sz w:val="16"/>
                <w:szCs w:val="16"/>
              </w:rPr>
            </w:pPr>
            <w:r w:rsidRPr="00B60EA8">
              <w:rPr>
                <w:rFonts w:ascii="Arial" w:hAnsi="Arial" w:cs="Arial"/>
                <w:sz w:val="16"/>
                <w:szCs w:val="16"/>
              </w:rPr>
              <w:t>-</w:t>
            </w:r>
          </w:p>
        </w:tc>
        <w:tc>
          <w:tcPr>
            <w:tcW w:w="1061" w:type="dxa"/>
            <w:vAlign w:val="center"/>
          </w:tcPr>
          <w:p w14:paraId="575E2E4D" w14:textId="77777777" w:rsidR="0035039D" w:rsidRPr="00B60EA8" w:rsidRDefault="0035039D" w:rsidP="003A7261">
            <w:pPr>
              <w:spacing w:line="300" w:lineRule="atLeast"/>
              <w:jc w:val="center"/>
              <w:rPr>
                <w:rFonts w:ascii="Arial" w:hAnsi="Arial" w:cs="Arial"/>
                <w:sz w:val="16"/>
                <w:szCs w:val="16"/>
              </w:rPr>
            </w:pPr>
            <w:r w:rsidRPr="00B60EA8">
              <w:rPr>
                <w:rFonts w:ascii="Arial" w:hAnsi="Arial" w:cs="Arial"/>
                <w:sz w:val="16"/>
                <w:szCs w:val="16"/>
              </w:rPr>
              <w:t>-</w:t>
            </w:r>
          </w:p>
        </w:tc>
      </w:tr>
      <w:tr w:rsidR="0035039D" w:rsidRPr="007901FE" w14:paraId="3073E4D1" w14:textId="77777777" w:rsidTr="0035039D">
        <w:tc>
          <w:tcPr>
            <w:tcW w:w="2394" w:type="dxa"/>
            <w:vAlign w:val="center"/>
          </w:tcPr>
          <w:p w14:paraId="03B65CD8" w14:textId="77777777" w:rsidR="0035039D" w:rsidRPr="00A647D4" w:rsidRDefault="0035039D" w:rsidP="0094046F">
            <w:pPr>
              <w:spacing w:line="300" w:lineRule="atLeast"/>
              <w:rPr>
                <w:rFonts w:ascii="Arial" w:hAnsi="Arial" w:cs="Arial"/>
                <w:b/>
                <w:sz w:val="16"/>
                <w:szCs w:val="16"/>
              </w:rPr>
            </w:pPr>
            <w:r w:rsidRPr="00A647D4">
              <w:rPr>
                <w:rFonts w:ascii="Arial" w:hAnsi="Arial" w:cs="Arial"/>
                <w:b/>
                <w:sz w:val="16"/>
                <w:szCs w:val="16"/>
              </w:rPr>
              <w:t>Totals</w:t>
            </w:r>
          </w:p>
        </w:tc>
        <w:tc>
          <w:tcPr>
            <w:tcW w:w="1425" w:type="dxa"/>
            <w:vAlign w:val="center"/>
          </w:tcPr>
          <w:p w14:paraId="06147628" w14:textId="411941D3" w:rsidR="0035039D" w:rsidRPr="00B60EA8" w:rsidRDefault="00FB0F6B" w:rsidP="003A7261">
            <w:pPr>
              <w:spacing w:line="300" w:lineRule="atLeast"/>
              <w:jc w:val="center"/>
              <w:rPr>
                <w:rFonts w:ascii="Arial" w:hAnsi="Arial" w:cs="Arial"/>
                <w:b/>
                <w:sz w:val="16"/>
                <w:szCs w:val="16"/>
              </w:rPr>
            </w:pPr>
            <w:r>
              <w:rPr>
                <w:rFonts w:ascii="Arial" w:hAnsi="Arial" w:cs="Arial"/>
                <w:b/>
                <w:sz w:val="16"/>
                <w:szCs w:val="16"/>
              </w:rPr>
              <w:t>3.4</w:t>
            </w:r>
            <w:r w:rsidR="00254ACE">
              <w:rPr>
                <w:rFonts w:ascii="Arial" w:hAnsi="Arial" w:cs="Arial"/>
                <w:b/>
                <w:sz w:val="16"/>
                <w:szCs w:val="16"/>
              </w:rPr>
              <w:t>3</w:t>
            </w:r>
          </w:p>
        </w:tc>
        <w:tc>
          <w:tcPr>
            <w:tcW w:w="1060" w:type="dxa"/>
            <w:vAlign w:val="center"/>
          </w:tcPr>
          <w:p w14:paraId="5A058C09" w14:textId="3C5FA04A" w:rsidR="0035039D" w:rsidRPr="00B60EA8" w:rsidRDefault="00B60EA8" w:rsidP="003A7261">
            <w:pPr>
              <w:spacing w:line="300" w:lineRule="atLeast"/>
              <w:jc w:val="center"/>
              <w:rPr>
                <w:rFonts w:ascii="Arial" w:hAnsi="Arial" w:cs="Arial"/>
                <w:b/>
                <w:sz w:val="16"/>
                <w:szCs w:val="16"/>
              </w:rPr>
            </w:pPr>
            <w:r w:rsidRPr="000B1B79">
              <w:rPr>
                <w:rFonts w:ascii="Arial" w:hAnsi="Arial" w:cs="Arial"/>
                <w:b/>
                <w:sz w:val="16"/>
                <w:szCs w:val="16"/>
              </w:rPr>
              <w:t>0.116</w:t>
            </w:r>
          </w:p>
        </w:tc>
        <w:tc>
          <w:tcPr>
            <w:tcW w:w="1060" w:type="dxa"/>
            <w:vAlign w:val="center"/>
          </w:tcPr>
          <w:p w14:paraId="21DA1541" w14:textId="11042A90" w:rsidR="0035039D" w:rsidRPr="00B60EA8" w:rsidRDefault="00B60EA8" w:rsidP="003A7261">
            <w:pPr>
              <w:spacing w:line="300" w:lineRule="atLeast"/>
              <w:jc w:val="center"/>
              <w:rPr>
                <w:rFonts w:ascii="Arial" w:hAnsi="Arial" w:cs="Arial"/>
                <w:b/>
                <w:sz w:val="16"/>
                <w:szCs w:val="16"/>
              </w:rPr>
            </w:pPr>
            <w:r w:rsidRPr="000B1B79">
              <w:rPr>
                <w:rFonts w:ascii="Arial" w:hAnsi="Arial" w:cs="Arial"/>
                <w:b/>
                <w:sz w:val="16"/>
                <w:szCs w:val="16"/>
              </w:rPr>
              <w:t>0.40</w:t>
            </w:r>
          </w:p>
        </w:tc>
        <w:tc>
          <w:tcPr>
            <w:tcW w:w="1060" w:type="dxa"/>
            <w:vAlign w:val="center"/>
          </w:tcPr>
          <w:p w14:paraId="466E2C3D" w14:textId="77777777" w:rsidR="0035039D" w:rsidRPr="00B60EA8" w:rsidRDefault="0035039D" w:rsidP="003A7261">
            <w:pPr>
              <w:spacing w:line="300" w:lineRule="atLeast"/>
              <w:jc w:val="center"/>
              <w:rPr>
                <w:rFonts w:ascii="Arial" w:hAnsi="Arial" w:cs="Arial"/>
                <w:b/>
                <w:sz w:val="16"/>
                <w:szCs w:val="16"/>
              </w:rPr>
            </w:pPr>
            <w:r w:rsidRPr="00B60EA8">
              <w:rPr>
                <w:rFonts w:ascii="Arial" w:hAnsi="Arial" w:cs="Arial"/>
                <w:b/>
                <w:sz w:val="16"/>
                <w:szCs w:val="16"/>
              </w:rPr>
              <w:t>-</w:t>
            </w:r>
          </w:p>
        </w:tc>
        <w:tc>
          <w:tcPr>
            <w:tcW w:w="1060" w:type="dxa"/>
            <w:vAlign w:val="center"/>
          </w:tcPr>
          <w:p w14:paraId="0BA400E5" w14:textId="21B15EC3" w:rsidR="0035039D" w:rsidRPr="00B60EA8" w:rsidRDefault="00FB0F6B" w:rsidP="003A7261">
            <w:pPr>
              <w:spacing w:line="300" w:lineRule="atLeast"/>
              <w:jc w:val="center"/>
              <w:rPr>
                <w:rFonts w:ascii="Arial" w:hAnsi="Arial" w:cs="Arial"/>
                <w:b/>
                <w:sz w:val="16"/>
                <w:szCs w:val="16"/>
              </w:rPr>
            </w:pPr>
            <w:r>
              <w:rPr>
                <w:rFonts w:ascii="Arial" w:hAnsi="Arial" w:cs="Arial"/>
                <w:b/>
                <w:sz w:val="16"/>
                <w:szCs w:val="16"/>
              </w:rPr>
              <w:t>1.1</w:t>
            </w:r>
            <w:r w:rsidR="00FC17B1">
              <w:rPr>
                <w:rFonts w:ascii="Arial" w:hAnsi="Arial" w:cs="Arial"/>
                <w:b/>
                <w:sz w:val="16"/>
                <w:szCs w:val="16"/>
              </w:rPr>
              <w:t>1</w:t>
            </w:r>
          </w:p>
        </w:tc>
        <w:tc>
          <w:tcPr>
            <w:tcW w:w="1061" w:type="dxa"/>
            <w:vAlign w:val="center"/>
          </w:tcPr>
          <w:p w14:paraId="2DC317C6" w14:textId="54FE5705" w:rsidR="0035039D" w:rsidRPr="00B60EA8" w:rsidRDefault="00B60EA8" w:rsidP="003A7261">
            <w:pPr>
              <w:spacing w:line="300" w:lineRule="atLeast"/>
              <w:jc w:val="center"/>
              <w:rPr>
                <w:rFonts w:ascii="Arial" w:hAnsi="Arial" w:cs="Arial"/>
                <w:b/>
                <w:sz w:val="16"/>
                <w:szCs w:val="16"/>
              </w:rPr>
            </w:pPr>
            <w:r w:rsidRPr="000B1B79">
              <w:rPr>
                <w:rFonts w:ascii="Arial" w:hAnsi="Arial" w:cs="Arial"/>
                <w:b/>
                <w:sz w:val="16"/>
                <w:szCs w:val="16"/>
              </w:rPr>
              <w:t>1.8</w:t>
            </w:r>
            <w:r w:rsidR="00FC17B1">
              <w:rPr>
                <w:rFonts w:ascii="Arial" w:hAnsi="Arial" w:cs="Arial"/>
                <w:b/>
                <w:sz w:val="16"/>
                <w:szCs w:val="16"/>
              </w:rPr>
              <w:t>1</w:t>
            </w:r>
          </w:p>
        </w:tc>
      </w:tr>
    </w:tbl>
    <w:p w14:paraId="691DF041" w14:textId="77777777" w:rsidR="00D16E72" w:rsidRDefault="00D16E72" w:rsidP="003833D6">
      <w:pPr>
        <w:spacing w:line="300" w:lineRule="atLeast"/>
        <w:jc w:val="both"/>
        <w:rPr>
          <w:szCs w:val="18"/>
        </w:rPr>
      </w:pPr>
    </w:p>
    <w:p w14:paraId="3C96CEA5" w14:textId="77777777" w:rsidR="00D16E72" w:rsidRDefault="00D16E72">
      <w:pPr>
        <w:spacing w:after="0"/>
        <w:rPr>
          <w:szCs w:val="18"/>
        </w:rPr>
      </w:pPr>
      <w:r>
        <w:rPr>
          <w:szCs w:val="18"/>
        </w:rPr>
        <w:br w:type="page"/>
      </w:r>
    </w:p>
    <w:p w14:paraId="00827267" w14:textId="77777777" w:rsidR="00D16E72" w:rsidRDefault="003E5726" w:rsidP="00D16E72">
      <w:pPr>
        <w:pStyle w:val="Heading1"/>
      </w:pPr>
      <w:bookmarkStart w:id="132" w:name="_Toc110355554"/>
      <w:r w:rsidRPr="00967B8A">
        <w:t>Production of recycled metals (secondary metal production</w:t>
      </w:r>
      <w:r>
        <w:t>)</w:t>
      </w:r>
      <w:bookmarkEnd w:id="132"/>
    </w:p>
    <w:p w14:paraId="622BD455" w14:textId="16CC3470" w:rsidR="00D16E72" w:rsidRDefault="00591D0E" w:rsidP="003833D6">
      <w:pPr>
        <w:spacing w:line="300" w:lineRule="atLeast"/>
        <w:jc w:val="both"/>
        <w:rPr>
          <w:szCs w:val="18"/>
        </w:rPr>
      </w:pPr>
      <w:r w:rsidRPr="00591D0E">
        <w:rPr>
          <w:szCs w:val="18"/>
        </w:rPr>
        <w:t xml:space="preserve">This category covers mercury </w:t>
      </w:r>
      <w:r>
        <w:rPr>
          <w:szCs w:val="18"/>
        </w:rPr>
        <w:t>releases from the</w:t>
      </w:r>
      <w:r w:rsidRPr="00591D0E">
        <w:rPr>
          <w:szCs w:val="18"/>
        </w:rPr>
        <w:t xml:space="preserve"> product</w:t>
      </w:r>
      <w:r>
        <w:rPr>
          <w:szCs w:val="18"/>
        </w:rPr>
        <w:t xml:space="preserve">ion of recycled metals, which is also referred to as </w:t>
      </w:r>
      <w:r w:rsidRPr="00591D0E">
        <w:rPr>
          <w:szCs w:val="18"/>
        </w:rPr>
        <w:t>s</w:t>
      </w:r>
      <w:r>
        <w:rPr>
          <w:szCs w:val="18"/>
        </w:rPr>
        <w:t>econdary metal production</w:t>
      </w:r>
      <w:r w:rsidRPr="00591D0E">
        <w:rPr>
          <w:szCs w:val="18"/>
        </w:rPr>
        <w:t xml:space="preserve"> (</w:t>
      </w:r>
      <w:r w:rsidR="00C738EC">
        <w:rPr>
          <w:szCs w:val="18"/>
        </w:rPr>
        <w:t>UNEP, 20</w:t>
      </w:r>
      <w:r w:rsidR="00FC17B1">
        <w:rPr>
          <w:szCs w:val="18"/>
        </w:rPr>
        <w:t>23</w:t>
      </w:r>
      <w:r w:rsidRPr="00591D0E">
        <w:rPr>
          <w:szCs w:val="18"/>
        </w:rPr>
        <w:t>). The various sub-categories and the primary release pathways are summarised</w:t>
      </w:r>
      <w:r w:rsidR="00E70785">
        <w:rPr>
          <w:szCs w:val="18"/>
        </w:rPr>
        <w:t xml:space="preserve"> in Table 9-1</w:t>
      </w:r>
      <w:r w:rsidR="00DB09D1" w:rsidRPr="00DB09D1">
        <w:rPr>
          <w:szCs w:val="18"/>
        </w:rPr>
        <w:t>, which has been copied directly from the UNEP Toolkit</w:t>
      </w:r>
      <w:r w:rsidRPr="00591D0E">
        <w:rPr>
          <w:szCs w:val="18"/>
        </w:rPr>
        <w:t>.</w:t>
      </w:r>
    </w:p>
    <w:p w14:paraId="467D9F53" w14:textId="72DF9104" w:rsidR="00D16E72" w:rsidRDefault="003E5726" w:rsidP="003E5726">
      <w:pPr>
        <w:pStyle w:val="Caption"/>
        <w:spacing w:before="240"/>
        <w:ind w:left="1440" w:hanging="1440"/>
        <w:rPr>
          <w:szCs w:val="18"/>
        </w:rPr>
      </w:pPr>
      <w:bookmarkStart w:id="133" w:name="_Ref358551298"/>
      <w:bookmarkStart w:id="134" w:name="_Toc110355490"/>
      <w:r w:rsidRPr="0001617E">
        <w:rPr>
          <w:rFonts w:ascii="Arial" w:hAnsi="Arial" w:cs="Arial"/>
        </w:rPr>
        <w:t xml:space="preserve">Table </w:t>
      </w:r>
      <w:r w:rsidR="002B0D65" w:rsidRPr="0001617E">
        <w:rPr>
          <w:rFonts w:ascii="Arial" w:hAnsi="Arial" w:cs="Arial"/>
        </w:rPr>
        <w:fldChar w:fldCharType="begin"/>
      </w:r>
      <w:r w:rsidR="002B0D65" w:rsidRPr="0001617E">
        <w:rPr>
          <w:rFonts w:ascii="Arial" w:hAnsi="Arial" w:cs="Arial"/>
        </w:rPr>
        <w:instrText xml:space="preserve"> STYLEREF 1 \s </w:instrText>
      </w:r>
      <w:r w:rsidR="002B0D65" w:rsidRPr="0001617E">
        <w:rPr>
          <w:rFonts w:ascii="Arial" w:hAnsi="Arial" w:cs="Arial"/>
        </w:rPr>
        <w:fldChar w:fldCharType="separate"/>
      </w:r>
      <w:r w:rsidR="00892B2D">
        <w:rPr>
          <w:rFonts w:ascii="Arial" w:hAnsi="Arial" w:cs="Arial"/>
          <w:noProof/>
        </w:rPr>
        <w:t>9</w:t>
      </w:r>
      <w:r w:rsidR="002B0D65" w:rsidRPr="0001617E">
        <w:rPr>
          <w:rFonts w:ascii="Arial" w:hAnsi="Arial" w:cs="Arial"/>
          <w:noProof/>
        </w:rPr>
        <w:fldChar w:fldCharType="end"/>
      </w:r>
      <w:r w:rsidR="00390C9F" w:rsidRPr="0001617E">
        <w:rPr>
          <w:rFonts w:ascii="Arial" w:hAnsi="Arial" w:cs="Arial"/>
        </w:rPr>
        <w:noBreakHyphen/>
      </w:r>
      <w:r w:rsidR="002B0D65" w:rsidRPr="0001617E">
        <w:rPr>
          <w:rFonts w:ascii="Arial" w:hAnsi="Arial" w:cs="Arial"/>
        </w:rPr>
        <w:fldChar w:fldCharType="begin"/>
      </w:r>
      <w:r w:rsidR="002B0D65" w:rsidRPr="0001617E">
        <w:rPr>
          <w:rFonts w:ascii="Arial" w:hAnsi="Arial" w:cs="Arial"/>
        </w:rPr>
        <w:instrText xml:space="preserve"> SEQ Table \* ARABIC \s 1 </w:instrText>
      </w:r>
      <w:r w:rsidR="002B0D65" w:rsidRPr="0001617E">
        <w:rPr>
          <w:rFonts w:ascii="Arial" w:hAnsi="Arial" w:cs="Arial"/>
        </w:rPr>
        <w:fldChar w:fldCharType="separate"/>
      </w:r>
      <w:r w:rsidR="00892B2D">
        <w:rPr>
          <w:rFonts w:ascii="Arial" w:hAnsi="Arial" w:cs="Arial"/>
          <w:noProof/>
        </w:rPr>
        <w:t>1</w:t>
      </w:r>
      <w:r w:rsidR="002B0D65" w:rsidRPr="0001617E">
        <w:rPr>
          <w:rFonts w:ascii="Arial" w:hAnsi="Arial" w:cs="Arial"/>
          <w:noProof/>
        </w:rPr>
        <w:fldChar w:fldCharType="end"/>
      </w:r>
      <w:bookmarkEnd w:id="133"/>
      <w:r w:rsidRPr="0001617E">
        <w:rPr>
          <w:rFonts w:ascii="Arial" w:hAnsi="Arial" w:cs="Arial"/>
        </w:rPr>
        <w:t>:</w:t>
      </w:r>
      <w:r>
        <w:t xml:space="preserve"> </w:t>
      </w:r>
      <w:r w:rsidR="00403501">
        <w:t xml:space="preserve"> </w:t>
      </w:r>
      <w:r w:rsidR="00D16E72" w:rsidRPr="003D7CC9">
        <w:rPr>
          <w:rFonts w:ascii="Arial" w:hAnsi="Arial" w:cs="Arial"/>
        </w:rPr>
        <w:t>T</w:t>
      </w:r>
      <w:r w:rsidR="00D16E72">
        <w:rPr>
          <w:rFonts w:ascii="Arial" w:hAnsi="Arial" w:cs="Arial"/>
        </w:rPr>
        <w:t xml:space="preserve">oolkit framework for category </w:t>
      </w:r>
      <w:r>
        <w:rPr>
          <w:rFonts w:ascii="Arial" w:hAnsi="Arial" w:cs="Arial"/>
        </w:rPr>
        <w:t>7</w:t>
      </w:r>
      <w:r w:rsidR="00D16E72">
        <w:rPr>
          <w:rFonts w:ascii="Arial" w:hAnsi="Arial" w:cs="Arial"/>
        </w:rPr>
        <w:t xml:space="preserve"> –production</w:t>
      </w:r>
      <w:r>
        <w:rPr>
          <w:rFonts w:ascii="Arial" w:hAnsi="Arial" w:cs="Arial"/>
        </w:rPr>
        <w:t xml:space="preserve"> of recycled metals (secondary metal production)</w:t>
      </w:r>
      <w:bookmarkEnd w:id="13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93"/>
        <w:gridCol w:w="850"/>
        <w:gridCol w:w="851"/>
        <w:gridCol w:w="851"/>
        <w:gridCol w:w="992"/>
        <w:gridCol w:w="992"/>
        <w:gridCol w:w="1099"/>
      </w:tblGrid>
      <w:tr w:rsidR="00D16E72" w:rsidRPr="004901F2" w14:paraId="7D252F16" w14:textId="77777777" w:rsidTr="00284F82">
        <w:tc>
          <w:tcPr>
            <w:tcW w:w="851" w:type="dxa"/>
            <w:vAlign w:val="center"/>
          </w:tcPr>
          <w:p w14:paraId="5C561E99"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Toolkit Chapter</w:t>
            </w:r>
          </w:p>
        </w:tc>
        <w:tc>
          <w:tcPr>
            <w:tcW w:w="2693" w:type="dxa"/>
            <w:vAlign w:val="center"/>
          </w:tcPr>
          <w:p w14:paraId="6EE0BF8D"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Sub-category</w:t>
            </w:r>
          </w:p>
        </w:tc>
        <w:tc>
          <w:tcPr>
            <w:tcW w:w="850" w:type="dxa"/>
            <w:vAlign w:val="center"/>
          </w:tcPr>
          <w:p w14:paraId="3F217A9C"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Air</w:t>
            </w:r>
          </w:p>
        </w:tc>
        <w:tc>
          <w:tcPr>
            <w:tcW w:w="851" w:type="dxa"/>
            <w:vAlign w:val="center"/>
          </w:tcPr>
          <w:p w14:paraId="02698C37"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Water</w:t>
            </w:r>
          </w:p>
        </w:tc>
        <w:tc>
          <w:tcPr>
            <w:tcW w:w="851" w:type="dxa"/>
            <w:vAlign w:val="center"/>
          </w:tcPr>
          <w:p w14:paraId="2634CFC8"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Land</w:t>
            </w:r>
          </w:p>
        </w:tc>
        <w:tc>
          <w:tcPr>
            <w:tcW w:w="992" w:type="dxa"/>
            <w:vAlign w:val="center"/>
          </w:tcPr>
          <w:p w14:paraId="5313EF2B"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Product</w:t>
            </w:r>
          </w:p>
        </w:tc>
        <w:tc>
          <w:tcPr>
            <w:tcW w:w="992" w:type="dxa"/>
            <w:vAlign w:val="center"/>
          </w:tcPr>
          <w:p w14:paraId="3ECB285A"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Waste/ residue</w:t>
            </w:r>
          </w:p>
        </w:tc>
        <w:tc>
          <w:tcPr>
            <w:tcW w:w="1099" w:type="dxa"/>
            <w:vAlign w:val="center"/>
          </w:tcPr>
          <w:p w14:paraId="12D7D579"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Main approach</w:t>
            </w:r>
          </w:p>
        </w:tc>
      </w:tr>
      <w:tr w:rsidR="00D16E72" w:rsidRPr="004901F2" w14:paraId="087C8A4A" w14:textId="77777777" w:rsidTr="00284F82">
        <w:tc>
          <w:tcPr>
            <w:tcW w:w="851" w:type="dxa"/>
            <w:vAlign w:val="center"/>
          </w:tcPr>
          <w:p w14:paraId="168C5EAC" w14:textId="77777777" w:rsidR="00D16E72" w:rsidRPr="004901F2" w:rsidRDefault="00D16E72" w:rsidP="00284F82">
            <w:pPr>
              <w:spacing w:before="40" w:after="40" w:line="300" w:lineRule="atLeast"/>
              <w:rPr>
                <w:rFonts w:ascii="Arial" w:hAnsi="Arial" w:cs="Arial"/>
                <w:sz w:val="16"/>
                <w:szCs w:val="16"/>
              </w:rPr>
            </w:pPr>
            <w:r>
              <w:rPr>
                <w:rFonts w:ascii="Arial" w:hAnsi="Arial" w:cs="Arial"/>
                <w:sz w:val="16"/>
                <w:szCs w:val="16"/>
              </w:rPr>
              <w:t>5.2</w:t>
            </w:r>
            <w:r w:rsidRPr="004901F2">
              <w:rPr>
                <w:rFonts w:ascii="Arial" w:hAnsi="Arial" w:cs="Arial"/>
                <w:sz w:val="16"/>
                <w:szCs w:val="16"/>
              </w:rPr>
              <w:t>.1</w:t>
            </w:r>
          </w:p>
        </w:tc>
        <w:tc>
          <w:tcPr>
            <w:tcW w:w="2693" w:type="dxa"/>
            <w:vAlign w:val="center"/>
          </w:tcPr>
          <w:p w14:paraId="2218B3BE" w14:textId="77777777" w:rsidR="00D16E72" w:rsidRPr="004901F2" w:rsidRDefault="003E5726" w:rsidP="003E5726">
            <w:pPr>
              <w:spacing w:line="300" w:lineRule="atLeast"/>
              <w:rPr>
                <w:rFonts w:ascii="Arial" w:hAnsi="Arial" w:cs="Arial"/>
                <w:sz w:val="16"/>
                <w:szCs w:val="16"/>
              </w:rPr>
            </w:pPr>
            <w:r>
              <w:rPr>
                <w:rFonts w:ascii="Arial" w:hAnsi="Arial" w:cs="Arial"/>
                <w:sz w:val="16"/>
                <w:szCs w:val="16"/>
              </w:rPr>
              <w:t>Recycled m</w:t>
            </w:r>
            <w:r w:rsidR="00D16E72">
              <w:rPr>
                <w:rFonts w:ascii="Arial" w:hAnsi="Arial" w:cs="Arial"/>
                <w:sz w:val="16"/>
                <w:szCs w:val="16"/>
              </w:rPr>
              <w:t>ercury</w:t>
            </w:r>
          </w:p>
        </w:tc>
        <w:tc>
          <w:tcPr>
            <w:tcW w:w="850" w:type="dxa"/>
            <w:vAlign w:val="center"/>
          </w:tcPr>
          <w:p w14:paraId="28B44FE6"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2869F629" w14:textId="77777777" w:rsidR="00D16E72" w:rsidRPr="004901F2" w:rsidRDefault="00D16E72" w:rsidP="00284F82">
            <w:pPr>
              <w:spacing w:before="40" w:after="40" w:line="300" w:lineRule="atLeast"/>
              <w:jc w:val="center"/>
              <w:rPr>
                <w:rFonts w:ascii="Arial" w:hAnsi="Arial" w:cs="Arial"/>
                <w:sz w:val="16"/>
                <w:szCs w:val="16"/>
              </w:rPr>
            </w:pPr>
            <w:r w:rsidRPr="00177AB0">
              <w:rPr>
                <w:rFonts w:ascii="Arial" w:hAnsi="Arial" w:cs="Arial"/>
                <w:b/>
                <w:sz w:val="16"/>
                <w:szCs w:val="16"/>
              </w:rPr>
              <w:t>X</w:t>
            </w:r>
          </w:p>
        </w:tc>
        <w:tc>
          <w:tcPr>
            <w:tcW w:w="851" w:type="dxa"/>
            <w:vAlign w:val="center"/>
          </w:tcPr>
          <w:p w14:paraId="041540F0"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b/>
                <w:sz w:val="16"/>
                <w:szCs w:val="16"/>
              </w:rPr>
              <w:t>X</w:t>
            </w:r>
          </w:p>
        </w:tc>
        <w:tc>
          <w:tcPr>
            <w:tcW w:w="992" w:type="dxa"/>
            <w:vAlign w:val="center"/>
          </w:tcPr>
          <w:p w14:paraId="3E68F9F3"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b/>
                <w:sz w:val="16"/>
                <w:szCs w:val="16"/>
              </w:rPr>
              <w:t>X</w:t>
            </w:r>
          </w:p>
        </w:tc>
        <w:tc>
          <w:tcPr>
            <w:tcW w:w="992" w:type="dxa"/>
            <w:vAlign w:val="center"/>
          </w:tcPr>
          <w:p w14:paraId="5C49B30C"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1099" w:type="dxa"/>
            <w:vAlign w:val="center"/>
          </w:tcPr>
          <w:p w14:paraId="1266B00C"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sz w:val="16"/>
                <w:szCs w:val="16"/>
              </w:rPr>
              <w:t>PS</w:t>
            </w:r>
          </w:p>
        </w:tc>
      </w:tr>
      <w:tr w:rsidR="00D16E72" w:rsidRPr="004901F2" w14:paraId="7C11D3DB" w14:textId="77777777" w:rsidTr="00284F82">
        <w:tc>
          <w:tcPr>
            <w:tcW w:w="851" w:type="dxa"/>
            <w:vAlign w:val="center"/>
          </w:tcPr>
          <w:p w14:paraId="2CD1E8C3" w14:textId="77777777" w:rsidR="00D16E72" w:rsidRPr="004901F2" w:rsidRDefault="00D16E72" w:rsidP="00284F82">
            <w:pPr>
              <w:spacing w:before="40" w:after="40" w:line="300" w:lineRule="atLeast"/>
              <w:rPr>
                <w:rFonts w:ascii="Arial" w:hAnsi="Arial" w:cs="Arial"/>
                <w:sz w:val="16"/>
                <w:szCs w:val="16"/>
              </w:rPr>
            </w:pPr>
            <w:r>
              <w:rPr>
                <w:rFonts w:ascii="Arial" w:hAnsi="Arial" w:cs="Arial"/>
                <w:sz w:val="16"/>
                <w:szCs w:val="16"/>
              </w:rPr>
              <w:t>5.2</w:t>
            </w:r>
            <w:r w:rsidRPr="004901F2">
              <w:rPr>
                <w:rFonts w:ascii="Arial" w:hAnsi="Arial" w:cs="Arial"/>
                <w:sz w:val="16"/>
                <w:szCs w:val="16"/>
              </w:rPr>
              <w:t>.2</w:t>
            </w:r>
          </w:p>
        </w:tc>
        <w:tc>
          <w:tcPr>
            <w:tcW w:w="2693" w:type="dxa"/>
            <w:vAlign w:val="center"/>
          </w:tcPr>
          <w:p w14:paraId="0BDB5D4E" w14:textId="77777777" w:rsidR="00D16E72" w:rsidRPr="004901F2" w:rsidRDefault="003E5726" w:rsidP="00284F82">
            <w:pPr>
              <w:spacing w:before="40" w:after="40" w:line="300" w:lineRule="atLeast"/>
              <w:rPr>
                <w:rFonts w:ascii="Arial" w:hAnsi="Arial" w:cs="Arial"/>
                <w:sz w:val="16"/>
                <w:szCs w:val="16"/>
              </w:rPr>
            </w:pPr>
            <w:r>
              <w:rPr>
                <w:rFonts w:ascii="Arial" w:hAnsi="Arial" w:cs="Arial"/>
                <w:sz w:val="16"/>
                <w:szCs w:val="16"/>
              </w:rPr>
              <w:t>Ferrous metals (iron and steel)</w:t>
            </w:r>
          </w:p>
        </w:tc>
        <w:tc>
          <w:tcPr>
            <w:tcW w:w="850" w:type="dxa"/>
            <w:vAlign w:val="center"/>
          </w:tcPr>
          <w:p w14:paraId="7997325A"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3873AFAA" w14:textId="77777777" w:rsidR="00D16E72" w:rsidRPr="003E5726" w:rsidRDefault="003E5726" w:rsidP="00284F82">
            <w:pPr>
              <w:spacing w:before="40" w:after="40" w:line="300" w:lineRule="atLeast"/>
              <w:jc w:val="center"/>
              <w:rPr>
                <w:rFonts w:ascii="Arial" w:hAnsi="Arial" w:cs="Arial"/>
                <w:sz w:val="16"/>
                <w:szCs w:val="16"/>
              </w:rPr>
            </w:pPr>
            <w:r>
              <w:rPr>
                <w:rFonts w:ascii="Arial" w:hAnsi="Arial" w:cs="Arial"/>
                <w:sz w:val="16"/>
                <w:szCs w:val="16"/>
              </w:rPr>
              <w:t>x</w:t>
            </w:r>
          </w:p>
        </w:tc>
        <w:tc>
          <w:tcPr>
            <w:tcW w:w="851" w:type="dxa"/>
            <w:vAlign w:val="center"/>
          </w:tcPr>
          <w:p w14:paraId="4926E818" w14:textId="77777777" w:rsidR="00D16E72" w:rsidRPr="003E5726" w:rsidRDefault="003E5726" w:rsidP="00284F82">
            <w:pPr>
              <w:spacing w:before="40" w:after="40" w:line="300" w:lineRule="atLeast"/>
              <w:jc w:val="center"/>
              <w:rPr>
                <w:rFonts w:ascii="Arial" w:hAnsi="Arial" w:cs="Arial"/>
                <w:sz w:val="16"/>
                <w:szCs w:val="16"/>
              </w:rPr>
            </w:pPr>
            <w:r>
              <w:rPr>
                <w:rFonts w:ascii="Arial" w:hAnsi="Arial" w:cs="Arial"/>
                <w:sz w:val="16"/>
                <w:szCs w:val="16"/>
              </w:rPr>
              <w:t>x</w:t>
            </w:r>
          </w:p>
        </w:tc>
        <w:tc>
          <w:tcPr>
            <w:tcW w:w="992" w:type="dxa"/>
            <w:vAlign w:val="center"/>
          </w:tcPr>
          <w:p w14:paraId="74A2CAAA" w14:textId="77777777" w:rsidR="00D16E72" w:rsidRPr="003E5726" w:rsidRDefault="00D16E72" w:rsidP="00284F82">
            <w:pPr>
              <w:spacing w:before="40" w:after="40" w:line="300" w:lineRule="atLeast"/>
              <w:jc w:val="center"/>
              <w:rPr>
                <w:rFonts w:ascii="Arial" w:hAnsi="Arial" w:cs="Arial"/>
                <w:sz w:val="16"/>
                <w:szCs w:val="16"/>
              </w:rPr>
            </w:pPr>
          </w:p>
        </w:tc>
        <w:tc>
          <w:tcPr>
            <w:tcW w:w="992" w:type="dxa"/>
            <w:vAlign w:val="center"/>
          </w:tcPr>
          <w:p w14:paraId="2445D5D1" w14:textId="77777777" w:rsidR="00D16E72" w:rsidRPr="003E5726" w:rsidRDefault="003E5726" w:rsidP="00284F82">
            <w:pPr>
              <w:spacing w:before="40" w:after="40" w:line="300" w:lineRule="atLeast"/>
              <w:jc w:val="center"/>
              <w:rPr>
                <w:rFonts w:ascii="Arial" w:hAnsi="Arial" w:cs="Arial"/>
                <w:sz w:val="16"/>
                <w:szCs w:val="16"/>
              </w:rPr>
            </w:pPr>
            <w:r>
              <w:rPr>
                <w:rFonts w:ascii="Arial" w:hAnsi="Arial" w:cs="Arial"/>
                <w:sz w:val="16"/>
                <w:szCs w:val="16"/>
              </w:rPr>
              <w:t>x</w:t>
            </w:r>
          </w:p>
        </w:tc>
        <w:tc>
          <w:tcPr>
            <w:tcW w:w="1099" w:type="dxa"/>
            <w:vAlign w:val="center"/>
          </w:tcPr>
          <w:p w14:paraId="262888B8" w14:textId="77777777" w:rsidR="00D16E72" w:rsidRPr="004901F2" w:rsidRDefault="003E5726" w:rsidP="00284F82">
            <w:pPr>
              <w:spacing w:before="40" w:after="40" w:line="300" w:lineRule="atLeast"/>
              <w:jc w:val="center"/>
              <w:rPr>
                <w:rFonts w:ascii="Arial" w:hAnsi="Arial" w:cs="Arial"/>
                <w:sz w:val="16"/>
                <w:szCs w:val="16"/>
              </w:rPr>
            </w:pPr>
            <w:r>
              <w:rPr>
                <w:rFonts w:ascii="Arial" w:hAnsi="Arial" w:cs="Arial"/>
                <w:sz w:val="16"/>
                <w:szCs w:val="16"/>
              </w:rPr>
              <w:t>PS</w:t>
            </w:r>
          </w:p>
        </w:tc>
      </w:tr>
      <w:tr w:rsidR="00D16E72" w:rsidRPr="004901F2" w14:paraId="3783B9A3" w14:textId="77777777" w:rsidTr="00284F82">
        <w:tc>
          <w:tcPr>
            <w:tcW w:w="851" w:type="dxa"/>
            <w:vAlign w:val="center"/>
          </w:tcPr>
          <w:p w14:paraId="52F970AB" w14:textId="77777777" w:rsidR="00D16E72" w:rsidRPr="004901F2" w:rsidRDefault="00D16E72" w:rsidP="00284F82">
            <w:pPr>
              <w:spacing w:before="40" w:after="40" w:line="300" w:lineRule="atLeast"/>
              <w:rPr>
                <w:rFonts w:ascii="Arial" w:hAnsi="Arial" w:cs="Arial"/>
                <w:sz w:val="16"/>
                <w:szCs w:val="16"/>
              </w:rPr>
            </w:pPr>
            <w:r>
              <w:rPr>
                <w:rFonts w:ascii="Arial" w:hAnsi="Arial" w:cs="Arial"/>
                <w:sz w:val="16"/>
                <w:szCs w:val="16"/>
              </w:rPr>
              <w:t>5.2</w:t>
            </w:r>
            <w:r w:rsidRPr="004901F2">
              <w:rPr>
                <w:rFonts w:ascii="Arial" w:hAnsi="Arial" w:cs="Arial"/>
                <w:sz w:val="16"/>
                <w:szCs w:val="16"/>
              </w:rPr>
              <w:t>.3</w:t>
            </w:r>
          </w:p>
        </w:tc>
        <w:tc>
          <w:tcPr>
            <w:tcW w:w="2693" w:type="dxa"/>
            <w:vAlign w:val="center"/>
          </w:tcPr>
          <w:p w14:paraId="4664308E" w14:textId="77777777" w:rsidR="00D16E72" w:rsidRPr="004901F2" w:rsidRDefault="003E5726" w:rsidP="00284F82">
            <w:pPr>
              <w:spacing w:line="300" w:lineRule="atLeast"/>
              <w:rPr>
                <w:rFonts w:ascii="Arial" w:hAnsi="Arial" w:cs="Arial"/>
                <w:sz w:val="16"/>
                <w:szCs w:val="16"/>
              </w:rPr>
            </w:pPr>
            <w:r>
              <w:rPr>
                <w:rFonts w:ascii="Arial" w:hAnsi="Arial" w:cs="Arial"/>
                <w:sz w:val="16"/>
                <w:szCs w:val="16"/>
              </w:rPr>
              <w:t>Other recycled metals</w:t>
            </w:r>
          </w:p>
        </w:tc>
        <w:tc>
          <w:tcPr>
            <w:tcW w:w="850" w:type="dxa"/>
            <w:vAlign w:val="center"/>
          </w:tcPr>
          <w:p w14:paraId="0CA788A9"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12328367" w14:textId="77777777" w:rsidR="00D16E72" w:rsidRPr="003E5726" w:rsidRDefault="003E5726" w:rsidP="00284F82">
            <w:pPr>
              <w:spacing w:before="40" w:after="40" w:line="300" w:lineRule="atLeast"/>
              <w:jc w:val="center"/>
              <w:rPr>
                <w:rFonts w:ascii="Arial" w:hAnsi="Arial" w:cs="Arial"/>
                <w:sz w:val="16"/>
                <w:szCs w:val="16"/>
              </w:rPr>
            </w:pPr>
            <w:r>
              <w:rPr>
                <w:rFonts w:ascii="Arial" w:hAnsi="Arial" w:cs="Arial"/>
                <w:sz w:val="16"/>
                <w:szCs w:val="16"/>
              </w:rPr>
              <w:t>x</w:t>
            </w:r>
          </w:p>
        </w:tc>
        <w:tc>
          <w:tcPr>
            <w:tcW w:w="851" w:type="dxa"/>
            <w:vAlign w:val="center"/>
          </w:tcPr>
          <w:p w14:paraId="36E7CF40" w14:textId="77777777" w:rsidR="00D16E72" w:rsidRPr="003E5726" w:rsidRDefault="003E5726" w:rsidP="00284F82">
            <w:pPr>
              <w:spacing w:before="40" w:after="40" w:line="300" w:lineRule="atLeast"/>
              <w:jc w:val="center"/>
              <w:rPr>
                <w:rFonts w:ascii="Arial" w:hAnsi="Arial" w:cs="Arial"/>
                <w:sz w:val="16"/>
                <w:szCs w:val="16"/>
              </w:rPr>
            </w:pPr>
            <w:r>
              <w:rPr>
                <w:rFonts w:ascii="Arial" w:hAnsi="Arial" w:cs="Arial"/>
                <w:sz w:val="16"/>
                <w:szCs w:val="16"/>
              </w:rPr>
              <w:t>x</w:t>
            </w:r>
          </w:p>
        </w:tc>
        <w:tc>
          <w:tcPr>
            <w:tcW w:w="992" w:type="dxa"/>
            <w:vAlign w:val="center"/>
          </w:tcPr>
          <w:p w14:paraId="76069301" w14:textId="77777777" w:rsidR="00D16E72" w:rsidRPr="003E5726" w:rsidRDefault="00D16E72" w:rsidP="00284F82">
            <w:pPr>
              <w:spacing w:before="40" w:after="40" w:line="300" w:lineRule="atLeast"/>
              <w:jc w:val="center"/>
              <w:rPr>
                <w:rFonts w:ascii="Arial" w:hAnsi="Arial" w:cs="Arial"/>
                <w:sz w:val="16"/>
                <w:szCs w:val="16"/>
              </w:rPr>
            </w:pPr>
          </w:p>
        </w:tc>
        <w:tc>
          <w:tcPr>
            <w:tcW w:w="992" w:type="dxa"/>
            <w:vAlign w:val="center"/>
          </w:tcPr>
          <w:p w14:paraId="75427583" w14:textId="77777777" w:rsidR="00D16E72" w:rsidRPr="003E5726" w:rsidRDefault="003E5726" w:rsidP="00284F82">
            <w:pPr>
              <w:spacing w:before="40" w:after="40" w:line="300" w:lineRule="atLeast"/>
              <w:jc w:val="center"/>
              <w:rPr>
                <w:rFonts w:ascii="Arial" w:hAnsi="Arial" w:cs="Arial"/>
                <w:sz w:val="16"/>
                <w:szCs w:val="16"/>
              </w:rPr>
            </w:pPr>
            <w:r>
              <w:rPr>
                <w:rFonts w:ascii="Arial" w:hAnsi="Arial" w:cs="Arial"/>
                <w:sz w:val="16"/>
                <w:szCs w:val="16"/>
              </w:rPr>
              <w:t>x</w:t>
            </w:r>
          </w:p>
        </w:tc>
        <w:tc>
          <w:tcPr>
            <w:tcW w:w="1099" w:type="dxa"/>
            <w:vAlign w:val="center"/>
          </w:tcPr>
          <w:p w14:paraId="11A30F04"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sz w:val="16"/>
                <w:szCs w:val="16"/>
              </w:rPr>
              <w:t>PS</w:t>
            </w:r>
          </w:p>
        </w:tc>
      </w:tr>
    </w:tbl>
    <w:p w14:paraId="537569FF" w14:textId="77777777" w:rsidR="00D16E72" w:rsidRPr="00582EF2" w:rsidRDefault="00D16E72" w:rsidP="00D16E72">
      <w:pPr>
        <w:spacing w:before="60" w:after="60" w:line="260" w:lineRule="exact"/>
        <w:jc w:val="both"/>
        <w:rPr>
          <w:rFonts w:ascii="Arial" w:hAnsi="Arial" w:cs="Arial"/>
          <w:sz w:val="16"/>
          <w:szCs w:val="18"/>
        </w:rPr>
      </w:pPr>
      <w:r w:rsidRPr="00582EF2">
        <w:rPr>
          <w:rFonts w:ascii="Arial" w:hAnsi="Arial" w:cs="Arial"/>
          <w:sz w:val="16"/>
          <w:szCs w:val="18"/>
        </w:rPr>
        <w:t xml:space="preserve">Notes: </w:t>
      </w:r>
      <w:r w:rsidRPr="00582EF2">
        <w:rPr>
          <w:rFonts w:ascii="Arial" w:hAnsi="Arial" w:cs="Arial"/>
          <w:sz w:val="16"/>
          <w:szCs w:val="18"/>
        </w:rPr>
        <w:tab/>
        <w:t>PS = Point source by point source approach;</w:t>
      </w:r>
    </w:p>
    <w:p w14:paraId="5A7035ED" w14:textId="77777777" w:rsidR="00D16E72" w:rsidRPr="00582EF2" w:rsidRDefault="00D16E72" w:rsidP="00D16E72">
      <w:pPr>
        <w:spacing w:after="60" w:line="260" w:lineRule="exact"/>
        <w:ind w:firstLine="720"/>
        <w:jc w:val="both"/>
        <w:rPr>
          <w:rFonts w:ascii="Arial" w:hAnsi="Arial" w:cs="Arial"/>
          <w:sz w:val="16"/>
          <w:szCs w:val="18"/>
        </w:rPr>
      </w:pPr>
      <w:r w:rsidRPr="00582EF2">
        <w:rPr>
          <w:rFonts w:ascii="Arial" w:hAnsi="Arial" w:cs="Arial"/>
          <w:b/>
          <w:sz w:val="16"/>
          <w:szCs w:val="18"/>
        </w:rPr>
        <w:t>X</w:t>
      </w:r>
      <w:r w:rsidRPr="00582EF2">
        <w:rPr>
          <w:rFonts w:ascii="Arial" w:hAnsi="Arial" w:cs="Arial"/>
          <w:sz w:val="16"/>
          <w:szCs w:val="18"/>
        </w:rPr>
        <w:t xml:space="preserve"> - Release pathway expected to be predominant for the sub-category;</w:t>
      </w:r>
    </w:p>
    <w:p w14:paraId="1DD19A38" w14:textId="77777777" w:rsidR="00D16E72" w:rsidRPr="00582EF2" w:rsidRDefault="00D16E72" w:rsidP="00D16E72">
      <w:pPr>
        <w:spacing w:after="60" w:line="260" w:lineRule="exact"/>
        <w:ind w:firstLine="720"/>
        <w:jc w:val="both"/>
        <w:rPr>
          <w:rFonts w:ascii="Arial" w:hAnsi="Arial" w:cs="Arial"/>
          <w:sz w:val="16"/>
          <w:szCs w:val="18"/>
        </w:rPr>
      </w:pPr>
      <w:r w:rsidRPr="00582EF2">
        <w:rPr>
          <w:rFonts w:ascii="Arial" w:hAnsi="Arial" w:cs="Arial"/>
          <w:sz w:val="16"/>
          <w:szCs w:val="18"/>
        </w:rPr>
        <w:t>x - Additional release pathways to be considered, depending on specific source and national situation.</w:t>
      </w:r>
    </w:p>
    <w:p w14:paraId="0D161703" w14:textId="77777777" w:rsidR="00D16E72" w:rsidRPr="00967B8A" w:rsidRDefault="00194426" w:rsidP="00194426">
      <w:pPr>
        <w:pStyle w:val="Heading2"/>
      </w:pPr>
      <w:bookmarkStart w:id="135" w:name="_Toc110355555"/>
      <w:r w:rsidRPr="00967B8A">
        <w:t>Recycled mercury</w:t>
      </w:r>
      <w:bookmarkEnd w:id="135"/>
    </w:p>
    <w:p w14:paraId="237D7834" w14:textId="5EF35267" w:rsidR="00D16E72" w:rsidRPr="00967B8A" w:rsidRDefault="00E41028" w:rsidP="003833D6">
      <w:pPr>
        <w:spacing w:line="300" w:lineRule="atLeast"/>
        <w:jc w:val="both"/>
        <w:rPr>
          <w:szCs w:val="18"/>
        </w:rPr>
      </w:pPr>
      <w:r w:rsidRPr="00967B8A">
        <w:rPr>
          <w:szCs w:val="18"/>
        </w:rPr>
        <w:t>Metallic mercury can be recovered from a variety of waste materials</w:t>
      </w:r>
      <w:r w:rsidR="00ED67CA" w:rsidRPr="00967B8A">
        <w:rPr>
          <w:szCs w:val="18"/>
        </w:rPr>
        <w:t xml:space="preserve"> by distillation, or retorting</w:t>
      </w:r>
      <w:r w:rsidRPr="00967B8A">
        <w:rPr>
          <w:szCs w:val="18"/>
        </w:rPr>
        <w:t xml:space="preserve">. </w:t>
      </w:r>
      <w:r w:rsidR="00ED67CA" w:rsidRPr="00967B8A">
        <w:rPr>
          <w:szCs w:val="18"/>
        </w:rPr>
        <w:t xml:space="preserve">For the 2012 Inventory Report a single </w:t>
      </w:r>
      <w:r w:rsidR="00C3348F" w:rsidRPr="00967B8A">
        <w:rPr>
          <w:szCs w:val="18"/>
        </w:rPr>
        <w:t xml:space="preserve">commercial </w:t>
      </w:r>
      <w:r w:rsidRPr="00967B8A">
        <w:rPr>
          <w:szCs w:val="18"/>
        </w:rPr>
        <w:t>mercury</w:t>
      </w:r>
      <w:r w:rsidR="00ED67CA" w:rsidRPr="00967B8A">
        <w:rPr>
          <w:szCs w:val="18"/>
        </w:rPr>
        <w:t xml:space="preserve"> </w:t>
      </w:r>
      <w:r w:rsidRPr="00967B8A">
        <w:rPr>
          <w:szCs w:val="18"/>
        </w:rPr>
        <w:t>recycl</w:t>
      </w:r>
      <w:r w:rsidR="00ED67CA" w:rsidRPr="00967B8A">
        <w:rPr>
          <w:szCs w:val="18"/>
        </w:rPr>
        <w:t xml:space="preserve">ing operation was </w:t>
      </w:r>
      <w:r w:rsidRPr="00967B8A">
        <w:rPr>
          <w:szCs w:val="18"/>
        </w:rPr>
        <w:t xml:space="preserve">identified in </w:t>
      </w:r>
      <w:r w:rsidR="00ED67CA" w:rsidRPr="00967B8A">
        <w:rPr>
          <w:szCs w:val="18"/>
        </w:rPr>
        <w:t>Waihi, which wa</w:t>
      </w:r>
      <w:r w:rsidRPr="00967B8A">
        <w:rPr>
          <w:szCs w:val="18"/>
        </w:rPr>
        <w:t xml:space="preserve">s mainly concerned with </w:t>
      </w:r>
      <w:r w:rsidR="003861DA" w:rsidRPr="00967B8A">
        <w:rPr>
          <w:szCs w:val="18"/>
        </w:rPr>
        <w:t>metal</w:t>
      </w:r>
      <w:r w:rsidRPr="00967B8A">
        <w:rPr>
          <w:szCs w:val="18"/>
        </w:rPr>
        <w:t xml:space="preserve"> recovery from dental</w:t>
      </w:r>
      <w:r w:rsidR="004F7C37" w:rsidRPr="00967B8A">
        <w:rPr>
          <w:szCs w:val="18"/>
        </w:rPr>
        <w:t>, photographic and printing</w:t>
      </w:r>
      <w:r w:rsidRPr="00967B8A">
        <w:rPr>
          <w:szCs w:val="18"/>
        </w:rPr>
        <w:t xml:space="preserve"> wastes</w:t>
      </w:r>
      <w:r w:rsidR="00144F08" w:rsidRPr="00967B8A">
        <w:rPr>
          <w:szCs w:val="18"/>
        </w:rPr>
        <w:t xml:space="preserve"> however this company closed down in 2016</w:t>
      </w:r>
      <w:r w:rsidRPr="00967B8A">
        <w:rPr>
          <w:szCs w:val="18"/>
        </w:rPr>
        <w:t xml:space="preserve">. </w:t>
      </w:r>
    </w:p>
    <w:p w14:paraId="053F4F16" w14:textId="6CA3E24B" w:rsidR="008113E4" w:rsidRPr="00F91445" w:rsidRDefault="00E00FFD" w:rsidP="00F91445">
      <w:pPr>
        <w:spacing w:line="300" w:lineRule="atLeast"/>
        <w:jc w:val="both"/>
        <w:rPr>
          <w:szCs w:val="18"/>
        </w:rPr>
      </w:pPr>
      <w:r w:rsidRPr="00967B8A">
        <w:rPr>
          <w:szCs w:val="18"/>
        </w:rPr>
        <w:t>T</w:t>
      </w:r>
      <w:r w:rsidR="00C3348F" w:rsidRPr="00967B8A">
        <w:rPr>
          <w:szCs w:val="18"/>
        </w:rPr>
        <w:t>he 2012 Inventory Report indicated that small quantities of mercury are occasionally picked up in local authority hazardous waste collection campaigns and some scrap metal dealers are also known to collect small quantities of mercury from old car bodies and home appliances. However, there is no cohesive data available on the overall mercury quantities</w:t>
      </w:r>
      <w:r w:rsidR="00A57EF9" w:rsidRPr="00967B8A">
        <w:rPr>
          <w:szCs w:val="18"/>
        </w:rPr>
        <w:t xml:space="preserve">. </w:t>
      </w:r>
      <w:r w:rsidR="004C4210" w:rsidRPr="00967B8A">
        <w:rPr>
          <w:szCs w:val="18"/>
        </w:rPr>
        <w:t xml:space="preserve">It is probable that most of the </w:t>
      </w:r>
      <w:r w:rsidR="00A57EF9" w:rsidRPr="00967B8A">
        <w:rPr>
          <w:szCs w:val="18"/>
        </w:rPr>
        <w:t>collected material is passed on to small-scale gold miners</w:t>
      </w:r>
      <w:r w:rsidR="004C4210" w:rsidRPr="00967B8A">
        <w:rPr>
          <w:szCs w:val="18"/>
        </w:rPr>
        <w:t xml:space="preserve">. Their release has </w:t>
      </w:r>
      <w:r w:rsidR="00967B8A" w:rsidRPr="00967B8A">
        <w:rPr>
          <w:szCs w:val="18"/>
        </w:rPr>
        <w:t xml:space="preserve">already </w:t>
      </w:r>
      <w:r w:rsidR="004C4210" w:rsidRPr="00967B8A">
        <w:rPr>
          <w:szCs w:val="18"/>
        </w:rPr>
        <w:t xml:space="preserve">been accounted for in Section 3.4 </w:t>
      </w:r>
      <w:r w:rsidR="00C3348F" w:rsidRPr="00967B8A">
        <w:rPr>
          <w:szCs w:val="18"/>
        </w:rPr>
        <w:t xml:space="preserve"> </w:t>
      </w:r>
    </w:p>
    <w:p w14:paraId="5912FDDB" w14:textId="5DDD136E" w:rsidR="005D1872" w:rsidRDefault="00F139A6" w:rsidP="00F139A6">
      <w:pPr>
        <w:pStyle w:val="Heading2"/>
      </w:pPr>
      <w:bookmarkStart w:id="136" w:name="_Toc110355556"/>
      <w:r>
        <w:t>Ferrous metals (secondary steel)</w:t>
      </w:r>
      <w:bookmarkEnd w:id="136"/>
    </w:p>
    <w:p w14:paraId="2CB981BB" w14:textId="510D8E47" w:rsidR="00E70518" w:rsidRPr="00AC09F2" w:rsidRDefault="008F78D9" w:rsidP="00AC09F2">
      <w:pPr>
        <w:spacing w:line="300" w:lineRule="atLeast"/>
        <w:jc w:val="both"/>
        <w:rPr>
          <w:szCs w:val="18"/>
        </w:rPr>
      </w:pPr>
      <w:r w:rsidRPr="00E70518">
        <w:t>The closure</w:t>
      </w:r>
      <w:r>
        <w:t xml:space="preserve"> of New Zealand’s only secondary steel mill, Pacific Steel Ltd in South Auckland</w:t>
      </w:r>
      <w:r w:rsidR="00DC1F1B">
        <w:t>,</w:t>
      </w:r>
      <w:r w:rsidR="00840C77">
        <w:t xml:space="preserve"> in 2015</w:t>
      </w:r>
      <w:r>
        <w:t xml:space="preserve"> mean</w:t>
      </w:r>
      <w:r w:rsidR="00967B8A">
        <w:t xml:space="preserve">t </w:t>
      </w:r>
      <w:r>
        <w:t xml:space="preserve">that there </w:t>
      </w:r>
      <w:r w:rsidR="00967B8A">
        <w:t>were</w:t>
      </w:r>
      <w:r>
        <w:t xml:space="preserve"> no mercury inputs to New Zealand from this source category</w:t>
      </w:r>
      <w:r w:rsidR="00967B8A">
        <w:t xml:space="preserve"> in 2024</w:t>
      </w:r>
      <w:r>
        <w:t>.</w:t>
      </w:r>
      <w:r w:rsidR="00967B8A">
        <w:t xml:space="preserve"> Secondary steel processing will recommence in 2027 when the new arc furnace is commissioned at the New Zealand Steel Glenbrook plant.</w:t>
      </w:r>
      <w:r>
        <w:t xml:space="preserve"> </w:t>
      </w:r>
    </w:p>
    <w:p w14:paraId="080CC41E" w14:textId="0371AFA5" w:rsidR="00461B0B" w:rsidRDefault="008F78D9" w:rsidP="00E70518">
      <w:pPr>
        <w:pStyle w:val="Heading2"/>
      </w:pPr>
      <w:r>
        <w:t xml:space="preserve"> </w:t>
      </w:r>
      <w:bookmarkStart w:id="137" w:name="_Toc110355557"/>
      <w:r w:rsidR="007B7AEB">
        <w:t>Production of other recycled metals</w:t>
      </w:r>
      <w:bookmarkEnd w:id="137"/>
    </w:p>
    <w:p w14:paraId="6CCC6612" w14:textId="77777777" w:rsidR="00006C8F" w:rsidRDefault="00025790" w:rsidP="003833D6">
      <w:pPr>
        <w:spacing w:line="300" w:lineRule="atLeast"/>
        <w:jc w:val="both"/>
        <w:rPr>
          <w:szCs w:val="18"/>
        </w:rPr>
      </w:pPr>
      <w:r>
        <w:rPr>
          <w:szCs w:val="18"/>
        </w:rPr>
        <w:t>This Toolkit sub-category covers the recycling of aluminium, zinc and other metals, but it is noted that very little is known about the mercury inputs and outputs for these activities. A similar situation applies in New Zealand</w:t>
      </w:r>
      <w:r w:rsidR="003512E8">
        <w:rPr>
          <w:szCs w:val="18"/>
        </w:rPr>
        <w:t>.</w:t>
      </w:r>
      <w:r>
        <w:rPr>
          <w:szCs w:val="18"/>
        </w:rPr>
        <w:t xml:space="preserve"> </w:t>
      </w:r>
    </w:p>
    <w:p w14:paraId="7874C310" w14:textId="0876DE72" w:rsidR="003A7261" w:rsidRDefault="003512E8" w:rsidP="003833D6">
      <w:pPr>
        <w:spacing w:line="300" w:lineRule="atLeast"/>
        <w:jc w:val="both"/>
        <w:rPr>
          <w:szCs w:val="18"/>
        </w:rPr>
      </w:pPr>
      <w:r>
        <w:rPr>
          <w:szCs w:val="18"/>
        </w:rPr>
        <w:t>For the 2012 Inventory Report, some survey data from t</w:t>
      </w:r>
      <w:r w:rsidR="004A26C5">
        <w:rPr>
          <w:szCs w:val="18"/>
        </w:rPr>
        <w:t>he 2011 Dioxin Inventory for New Zealand (</w:t>
      </w:r>
      <w:r w:rsidR="002E47F5">
        <w:rPr>
          <w:szCs w:val="18"/>
        </w:rPr>
        <w:t>MfE,</w:t>
      </w:r>
      <w:r w:rsidR="00653E3B">
        <w:rPr>
          <w:szCs w:val="18"/>
        </w:rPr>
        <w:t xml:space="preserve"> 2011</w:t>
      </w:r>
      <w:r w:rsidR="004A26C5">
        <w:rPr>
          <w:szCs w:val="18"/>
        </w:rPr>
        <w:t xml:space="preserve">) </w:t>
      </w:r>
      <w:r>
        <w:rPr>
          <w:szCs w:val="18"/>
        </w:rPr>
        <w:t xml:space="preserve">was used to estimate </w:t>
      </w:r>
      <w:r w:rsidR="006157DB">
        <w:rPr>
          <w:szCs w:val="18"/>
        </w:rPr>
        <w:t xml:space="preserve">total mercury inputs </w:t>
      </w:r>
      <w:r>
        <w:rPr>
          <w:szCs w:val="18"/>
        </w:rPr>
        <w:t xml:space="preserve">of less than </w:t>
      </w:r>
      <w:r w:rsidR="006157DB">
        <w:rPr>
          <w:szCs w:val="18"/>
        </w:rPr>
        <w:t>0.6 kg/year</w:t>
      </w:r>
      <w:r>
        <w:rPr>
          <w:szCs w:val="18"/>
        </w:rPr>
        <w:t xml:space="preserve"> for this source category</w:t>
      </w:r>
      <w:r w:rsidR="006157DB">
        <w:rPr>
          <w:szCs w:val="18"/>
        </w:rPr>
        <w:t xml:space="preserve">. </w:t>
      </w:r>
      <w:r>
        <w:rPr>
          <w:szCs w:val="18"/>
        </w:rPr>
        <w:t>This estimate was not included in the 2012 inventory estimates because it was too low to be of any possible concern, and the same approach has been adopted here.</w:t>
      </w:r>
    </w:p>
    <w:p w14:paraId="326C26D6" w14:textId="77777777" w:rsidR="00B136BC" w:rsidRPr="00840C77" w:rsidRDefault="00B136BC" w:rsidP="00B136BC">
      <w:pPr>
        <w:pStyle w:val="Heading2"/>
        <w:rPr>
          <w:rFonts w:eastAsia="Calibri"/>
        </w:rPr>
      </w:pPr>
      <w:bookmarkStart w:id="138" w:name="_Toc110355558"/>
      <w:r w:rsidRPr="00840C77">
        <w:rPr>
          <w:rFonts w:eastAsia="Calibri"/>
        </w:rPr>
        <w:t>Summary for this category</w:t>
      </w:r>
      <w:bookmarkEnd w:id="138"/>
      <w:r w:rsidRPr="00840C77">
        <w:rPr>
          <w:rFonts w:eastAsia="Calibri"/>
        </w:rPr>
        <w:t xml:space="preserve"> </w:t>
      </w:r>
    </w:p>
    <w:p w14:paraId="7A1ABA7A" w14:textId="0E887054" w:rsidR="00B136BC" w:rsidRPr="00840C77" w:rsidRDefault="00B136BC" w:rsidP="003512E8">
      <w:pPr>
        <w:spacing w:after="240" w:line="300" w:lineRule="atLeast"/>
        <w:jc w:val="both"/>
        <w:rPr>
          <w:rFonts w:eastAsia="Calibri"/>
          <w:szCs w:val="22"/>
        </w:rPr>
      </w:pPr>
      <w:r w:rsidRPr="00840C77">
        <w:rPr>
          <w:rFonts w:eastAsia="Calibri"/>
          <w:szCs w:val="22"/>
        </w:rPr>
        <w:t>The</w:t>
      </w:r>
      <w:r w:rsidR="00967B8A">
        <w:rPr>
          <w:rFonts w:eastAsia="Calibri"/>
          <w:szCs w:val="22"/>
        </w:rPr>
        <w:t xml:space="preserve">re were no </w:t>
      </w:r>
      <w:r w:rsidRPr="00840C77">
        <w:rPr>
          <w:rFonts w:eastAsia="Calibri"/>
          <w:szCs w:val="22"/>
        </w:rPr>
        <w:t xml:space="preserve">inputs </w:t>
      </w:r>
      <w:r w:rsidR="00967B8A">
        <w:rPr>
          <w:rFonts w:eastAsia="Calibri"/>
          <w:szCs w:val="22"/>
        </w:rPr>
        <w:t>or</w:t>
      </w:r>
      <w:r w:rsidRPr="00840C77">
        <w:rPr>
          <w:rFonts w:eastAsia="Calibri"/>
          <w:szCs w:val="22"/>
        </w:rPr>
        <w:t xml:space="preserve"> outputs for the metal recycling category </w:t>
      </w:r>
      <w:r w:rsidR="00967B8A">
        <w:rPr>
          <w:rFonts w:eastAsia="Calibri"/>
          <w:szCs w:val="22"/>
        </w:rPr>
        <w:t>in 2024.</w:t>
      </w:r>
    </w:p>
    <w:p w14:paraId="28E5F1AC" w14:textId="77777777" w:rsidR="00D16E72" w:rsidRDefault="00A658B0" w:rsidP="00D16E72">
      <w:pPr>
        <w:pStyle w:val="Heading1"/>
      </w:pPr>
      <w:bookmarkStart w:id="139" w:name="_Toc110355559"/>
      <w:r>
        <w:t>Waste incineration</w:t>
      </w:r>
      <w:bookmarkEnd w:id="139"/>
    </w:p>
    <w:p w14:paraId="619243BF" w14:textId="578AD8D9" w:rsidR="00D16E72" w:rsidRDefault="00194426" w:rsidP="003833D6">
      <w:pPr>
        <w:spacing w:line="300" w:lineRule="atLeast"/>
        <w:jc w:val="both"/>
        <w:rPr>
          <w:szCs w:val="18"/>
        </w:rPr>
      </w:pPr>
      <w:r w:rsidRPr="00194426">
        <w:rPr>
          <w:szCs w:val="18"/>
        </w:rPr>
        <w:t xml:space="preserve">This category covers mercury </w:t>
      </w:r>
      <w:r>
        <w:rPr>
          <w:szCs w:val="18"/>
        </w:rPr>
        <w:t>releases from the incineration of different types of wastes</w:t>
      </w:r>
      <w:r w:rsidRPr="00194426">
        <w:rPr>
          <w:szCs w:val="18"/>
        </w:rPr>
        <w:t xml:space="preserve"> (</w:t>
      </w:r>
      <w:r w:rsidR="00C738EC">
        <w:rPr>
          <w:szCs w:val="18"/>
        </w:rPr>
        <w:t>UNEP, 20</w:t>
      </w:r>
      <w:r w:rsidR="00FC17B1">
        <w:rPr>
          <w:szCs w:val="18"/>
        </w:rPr>
        <w:t>23</w:t>
      </w:r>
      <w:r w:rsidRPr="00194426">
        <w:rPr>
          <w:szCs w:val="18"/>
        </w:rPr>
        <w:t>). The various sub-categories and the primary release pathways are summarised in</w:t>
      </w:r>
      <w:r>
        <w:rPr>
          <w:szCs w:val="18"/>
        </w:rPr>
        <w:t xml:space="preserve"> </w:t>
      </w:r>
      <w:r w:rsidRPr="00145498">
        <w:rPr>
          <w:szCs w:val="18"/>
        </w:rPr>
        <w:fldChar w:fldCharType="begin"/>
      </w:r>
      <w:r w:rsidRPr="00486D5C">
        <w:rPr>
          <w:szCs w:val="18"/>
        </w:rPr>
        <w:instrText xml:space="preserve"> REF _Ref358551372 \h </w:instrText>
      </w:r>
      <w:r w:rsidR="00486D5C">
        <w:rPr>
          <w:szCs w:val="18"/>
        </w:rPr>
        <w:instrText xml:space="preserve"> \* MERGEFORMAT </w:instrText>
      </w:r>
      <w:r w:rsidRPr="00145498">
        <w:rPr>
          <w:szCs w:val="18"/>
        </w:rPr>
      </w:r>
      <w:r w:rsidRPr="00145498">
        <w:rPr>
          <w:szCs w:val="18"/>
        </w:rPr>
        <w:fldChar w:fldCharType="separate"/>
      </w:r>
      <w:r w:rsidR="00892B2D" w:rsidRPr="00892B2D">
        <w:t xml:space="preserve">Table </w:t>
      </w:r>
      <w:r w:rsidR="00892B2D" w:rsidRPr="00892B2D">
        <w:rPr>
          <w:noProof/>
        </w:rPr>
        <w:t>10</w:t>
      </w:r>
      <w:r w:rsidR="00892B2D" w:rsidRPr="00892B2D">
        <w:rPr>
          <w:noProof/>
        </w:rPr>
        <w:noBreakHyphen/>
        <w:t>1</w:t>
      </w:r>
      <w:r w:rsidRPr="00145498">
        <w:rPr>
          <w:szCs w:val="18"/>
        </w:rPr>
        <w:fldChar w:fldCharType="end"/>
      </w:r>
      <w:r w:rsidR="00DB09D1" w:rsidRPr="00DB09D1">
        <w:rPr>
          <w:szCs w:val="18"/>
        </w:rPr>
        <w:t>, which has been copied directly from the UNEP Toolkit</w:t>
      </w:r>
      <w:r w:rsidRPr="00194426">
        <w:rPr>
          <w:szCs w:val="18"/>
        </w:rPr>
        <w:t>.</w:t>
      </w:r>
    </w:p>
    <w:p w14:paraId="433DDF96" w14:textId="5041CB45" w:rsidR="00D16E72" w:rsidRDefault="00706355" w:rsidP="00706355">
      <w:pPr>
        <w:pStyle w:val="Caption"/>
        <w:spacing w:before="240"/>
        <w:rPr>
          <w:szCs w:val="18"/>
        </w:rPr>
      </w:pPr>
      <w:bookmarkStart w:id="140" w:name="_Ref358551372"/>
      <w:bookmarkStart w:id="141" w:name="_Toc110355492"/>
      <w:r w:rsidRPr="00FE6C76">
        <w:rPr>
          <w:rFonts w:ascii="Arial" w:hAnsi="Arial" w:cs="Arial"/>
        </w:rPr>
        <w:t xml:space="preserve">Table </w:t>
      </w:r>
      <w:r w:rsidR="00390C9F">
        <w:rPr>
          <w:rFonts w:ascii="Arial" w:hAnsi="Arial" w:cs="Arial"/>
        </w:rPr>
        <w:fldChar w:fldCharType="begin"/>
      </w:r>
      <w:r w:rsidR="00390C9F">
        <w:rPr>
          <w:rFonts w:ascii="Arial" w:hAnsi="Arial" w:cs="Arial"/>
        </w:rPr>
        <w:instrText xml:space="preserve"> STYLEREF 1 \s </w:instrText>
      </w:r>
      <w:r w:rsidR="00390C9F">
        <w:rPr>
          <w:rFonts w:ascii="Arial" w:hAnsi="Arial" w:cs="Arial"/>
        </w:rPr>
        <w:fldChar w:fldCharType="separate"/>
      </w:r>
      <w:r w:rsidR="00892B2D">
        <w:rPr>
          <w:rFonts w:ascii="Arial" w:hAnsi="Arial" w:cs="Arial"/>
          <w:noProof/>
        </w:rPr>
        <w:t>10</w:t>
      </w:r>
      <w:r w:rsidR="00390C9F">
        <w:rPr>
          <w:rFonts w:ascii="Arial" w:hAnsi="Arial" w:cs="Arial"/>
        </w:rPr>
        <w:fldChar w:fldCharType="end"/>
      </w:r>
      <w:r w:rsidR="00390C9F">
        <w:rPr>
          <w:rFonts w:ascii="Arial" w:hAnsi="Arial" w:cs="Arial"/>
        </w:rPr>
        <w:noBreakHyphen/>
      </w:r>
      <w:r w:rsidR="00390C9F">
        <w:rPr>
          <w:rFonts w:ascii="Arial" w:hAnsi="Arial" w:cs="Arial"/>
        </w:rPr>
        <w:fldChar w:fldCharType="begin"/>
      </w:r>
      <w:r w:rsidR="00390C9F">
        <w:rPr>
          <w:rFonts w:ascii="Arial" w:hAnsi="Arial" w:cs="Arial"/>
        </w:rPr>
        <w:instrText xml:space="preserve"> SEQ Table \* ARABIC \s 1 </w:instrText>
      </w:r>
      <w:r w:rsidR="00390C9F">
        <w:rPr>
          <w:rFonts w:ascii="Arial" w:hAnsi="Arial" w:cs="Arial"/>
        </w:rPr>
        <w:fldChar w:fldCharType="separate"/>
      </w:r>
      <w:r w:rsidR="00892B2D">
        <w:rPr>
          <w:rFonts w:ascii="Arial" w:hAnsi="Arial" w:cs="Arial"/>
          <w:noProof/>
        </w:rPr>
        <w:t>1</w:t>
      </w:r>
      <w:r w:rsidR="00390C9F">
        <w:rPr>
          <w:rFonts w:ascii="Arial" w:hAnsi="Arial" w:cs="Arial"/>
        </w:rPr>
        <w:fldChar w:fldCharType="end"/>
      </w:r>
      <w:bookmarkEnd w:id="140"/>
      <w:r w:rsidRPr="00FE6C76">
        <w:rPr>
          <w:rFonts w:ascii="Arial" w:hAnsi="Arial" w:cs="Arial"/>
        </w:rPr>
        <w:t>:</w:t>
      </w:r>
      <w:r>
        <w:t xml:space="preserve"> </w:t>
      </w:r>
      <w:r w:rsidR="00D16E72" w:rsidRPr="003D7CC9">
        <w:rPr>
          <w:rFonts w:ascii="Arial" w:hAnsi="Arial" w:cs="Arial"/>
        </w:rPr>
        <w:t>T</w:t>
      </w:r>
      <w:r w:rsidR="00D16E72">
        <w:rPr>
          <w:rFonts w:ascii="Arial" w:hAnsi="Arial" w:cs="Arial"/>
        </w:rPr>
        <w:t xml:space="preserve">oolkit framework for category </w:t>
      </w:r>
      <w:r w:rsidR="00A658B0">
        <w:rPr>
          <w:rFonts w:ascii="Arial" w:hAnsi="Arial" w:cs="Arial"/>
        </w:rPr>
        <w:t>8</w:t>
      </w:r>
      <w:r w:rsidR="00D16E72">
        <w:rPr>
          <w:rFonts w:ascii="Arial" w:hAnsi="Arial" w:cs="Arial"/>
        </w:rPr>
        <w:t xml:space="preserve"> – </w:t>
      </w:r>
      <w:r>
        <w:rPr>
          <w:rFonts w:ascii="Arial" w:hAnsi="Arial" w:cs="Arial"/>
        </w:rPr>
        <w:t>waste incineration</w:t>
      </w:r>
      <w:bookmarkEnd w:id="1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93"/>
        <w:gridCol w:w="850"/>
        <w:gridCol w:w="851"/>
        <w:gridCol w:w="851"/>
        <w:gridCol w:w="992"/>
        <w:gridCol w:w="992"/>
        <w:gridCol w:w="1099"/>
      </w:tblGrid>
      <w:tr w:rsidR="00D16E72" w:rsidRPr="004901F2" w14:paraId="75F30E66" w14:textId="77777777" w:rsidTr="00284F82">
        <w:tc>
          <w:tcPr>
            <w:tcW w:w="851" w:type="dxa"/>
            <w:vAlign w:val="center"/>
          </w:tcPr>
          <w:p w14:paraId="37B7583B"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Toolkit Chapter</w:t>
            </w:r>
          </w:p>
        </w:tc>
        <w:tc>
          <w:tcPr>
            <w:tcW w:w="2693" w:type="dxa"/>
            <w:vAlign w:val="center"/>
          </w:tcPr>
          <w:p w14:paraId="0FC0A801"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Sub-category</w:t>
            </w:r>
          </w:p>
        </w:tc>
        <w:tc>
          <w:tcPr>
            <w:tcW w:w="850" w:type="dxa"/>
            <w:vAlign w:val="center"/>
          </w:tcPr>
          <w:p w14:paraId="6CF9D64C"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Air</w:t>
            </w:r>
          </w:p>
        </w:tc>
        <w:tc>
          <w:tcPr>
            <w:tcW w:w="851" w:type="dxa"/>
            <w:vAlign w:val="center"/>
          </w:tcPr>
          <w:p w14:paraId="479F1AB1"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Water</w:t>
            </w:r>
          </w:p>
        </w:tc>
        <w:tc>
          <w:tcPr>
            <w:tcW w:w="851" w:type="dxa"/>
            <w:vAlign w:val="center"/>
          </w:tcPr>
          <w:p w14:paraId="3DCFE685"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Land</w:t>
            </w:r>
          </w:p>
        </w:tc>
        <w:tc>
          <w:tcPr>
            <w:tcW w:w="992" w:type="dxa"/>
            <w:vAlign w:val="center"/>
          </w:tcPr>
          <w:p w14:paraId="6BCB5D92"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Product</w:t>
            </w:r>
          </w:p>
        </w:tc>
        <w:tc>
          <w:tcPr>
            <w:tcW w:w="992" w:type="dxa"/>
            <w:vAlign w:val="center"/>
          </w:tcPr>
          <w:p w14:paraId="73D1A166"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Waste/ residue</w:t>
            </w:r>
          </w:p>
        </w:tc>
        <w:tc>
          <w:tcPr>
            <w:tcW w:w="1099" w:type="dxa"/>
            <w:vAlign w:val="center"/>
          </w:tcPr>
          <w:p w14:paraId="4C29AD88"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Main approach</w:t>
            </w:r>
          </w:p>
        </w:tc>
      </w:tr>
      <w:tr w:rsidR="00D16E72" w:rsidRPr="004901F2" w14:paraId="41D1525B" w14:textId="77777777" w:rsidTr="00284F82">
        <w:tc>
          <w:tcPr>
            <w:tcW w:w="851" w:type="dxa"/>
            <w:vAlign w:val="center"/>
          </w:tcPr>
          <w:p w14:paraId="087C50A6" w14:textId="77777777" w:rsidR="00D16E72" w:rsidRPr="004901F2" w:rsidRDefault="00D16E72" w:rsidP="00706355">
            <w:pPr>
              <w:spacing w:before="40" w:after="40" w:line="300" w:lineRule="atLeast"/>
              <w:rPr>
                <w:rFonts w:ascii="Arial" w:hAnsi="Arial" w:cs="Arial"/>
                <w:sz w:val="16"/>
                <w:szCs w:val="16"/>
              </w:rPr>
            </w:pPr>
            <w:r>
              <w:rPr>
                <w:rFonts w:ascii="Arial" w:hAnsi="Arial" w:cs="Arial"/>
                <w:sz w:val="16"/>
                <w:szCs w:val="16"/>
              </w:rPr>
              <w:t>5.</w:t>
            </w:r>
            <w:r w:rsidR="00300092">
              <w:rPr>
                <w:rFonts w:ascii="Arial" w:hAnsi="Arial" w:cs="Arial"/>
                <w:sz w:val="16"/>
                <w:szCs w:val="16"/>
              </w:rPr>
              <w:t>8</w:t>
            </w:r>
            <w:r w:rsidRPr="004901F2">
              <w:rPr>
                <w:rFonts w:ascii="Arial" w:hAnsi="Arial" w:cs="Arial"/>
                <w:sz w:val="16"/>
                <w:szCs w:val="16"/>
              </w:rPr>
              <w:t>.1</w:t>
            </w:r>
          </w:p>
        </w:tc>
        <w:tc>
          <w:tcPr>
            <w:tcW w:w="2693" w:type="dxa"/>
            <w:vAlign w:val="center"/>
          </w:tcPr>
          <w:p w14:paraId="242EB1DE" w14:textId="77777777" w:rsidR="00D16E72" w:rsidRPr="004901F2" w:rsidRDefault="00706355" w:rsidP="00284F82">
            <w:pPr>
              <w:spacing w:line="300" w:lineRule="atLeast"/>
              <w:rPr>
                <w:rFonts w:ascii="Arial" w:hAnsi="Arial" w:cs="Arial"/>
                <w:sz w:val="16"/>
                <w:szCs w:val="16"/>
              </w:rPr>
            </w:pPr>
            <w:r>
              <w:rPr>
                <w:rFonts w:ascii="Arial" w:hAnsi="Arial" w:cs="Arial"/>
                <w:sz w:val="16"/>
                <w:szCs w:val="16"/>
              </w:rPr>
              <w:t>Municipal waste incineration</w:t>
            </w:r>
          </w:p>
        </w:tc>
        <w:tc>
          <w:tcPr>
            <w:tcW w:w="850" w:type="dxa"/>
            <w:vAlign w:val="center"/>
          </w:tcPr>
          <w:p w14:paraId="2E6A6904"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434B905A" w14:textId="77777777" w:rsidR="00D16E72" w:rsidRPr="00706355" w:rsidRDefault="00706355" w:rsidP="00284F82">
            <w:pPr>
              <w:spacing w:before="40" w:after="40" w:line="300" w:lineRule="atLeast"/>
              <w:jc w:val="center"/>
              <w:rPr>
                <w:rFonts w:ascii="Arial" w:hAnsi="Arial" w:cs="Arial"/>
                <w:sz w:val="16"/>
                <w:szCs w:val="16"/>
              </w:rPr>
            </w:pPr>
            <w:r>
              <w:rPr>
                <w:rFonts w:ascii="Arial" w:hAnsi="Arial" w:cs="Arial"/>
                <w:sz w:val="16"/>
                <w:szCs w:val="16"/>
              </w:rPr>
              <w:t>x</w:t>
            </w:r>
          </w:p>
        </w:tc>
        <w:tc>
          <w:tcPr>
            <w:tcW w:w="851" w:type="dxa"/>
            <w:vAlign w:val="center"/>
          </w:tcPr>
          <w:p w14:paraId="44ED94A0" w14:textId="77777777" w:rsidR="00D16E72" w:rsidRPr="004901F2" w:rsidRDefault="00706355" w:rsidP="00284F82">
            <w:pPr>
              <w:spacing w:before="40" w:after="40" w:line="300" w:lineRule="atLeast"/>
              <w:jc w:val="center"/>
              <w:rPr>
                <w:rFonts w:ascii="Arial" w:hAnsi="Arial" w:cs="Arial"/>
                <w:sz w:val="16"/>
                <w:szCs w:val="16"/>
              </w:rPr>
            </w:pPr>
            <w:r>
              <w:rPr>
                <w:rFonts w:ascii="Arial" w:hAnsi="Arial" w:cs="Arial"/>
                <w:sz w:val="16"/>
                <w:szCs w:val="16"/>
              </w:rPr>
              <w:t>x</w:t>
            </w:r>
          </w:p>
        </w:tc>
        <w:tc>
          <w:tcPr>
            <w:tcW w:w="992" w:type="dxa"/>
            <w:vAlign w:val="center"/>
          </w:tcPr>
          <w:p w14:paraId="696BA659" w14:textId="77777777" w:rsidR="00D16E72" w:rsidRPr="004901F2" w:rsidRDefault="00706355" w:rsidP="00284F82">
            <w:pPr>
              <w:spacing w:before="40" w:after="40" w:line="300" w:lineRule="atLeast"/>
              <w:jc w:val="center"/>
              <w:rPr>
                <w:rFonts w:ascii="Arial" w:hAnsi="Arial" w:cs="Arial"/>
                <w:sz w:val="16"/>
                <w:szCs w:val="16"/>
              </w:rPr>
            </w:pPr>
            <w:r>
              <w:rPr>
                <w:rFonts w:ascii="Arial" w:hAnsi="Arial" w:cs="Arial"/>
                <w:sz w:val="16"/>
                <w:szCs w:val="16"/>
              </w:rPr>
              <w:t>x</w:t>
            </w:r>
          </w:p>
        </w:tc>
        <w:tc>
          <w:tcPr>
            <w:tcW w:w="992" w:type="dxa"/>
            <w:vAlign w:val="center"/>
          </w:tcPr>
          <w:p w14:paraId="61D99792"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1099" w:type="dxa"/>
            <w:vAlign w:val="center"/>
          </w:tcPr>
          <w:p w14:paraId="7398A3D0"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sz w:val="16"/>
                <w:szCs w:val="16"/>
              </w:rPr>
              <w:t>PS</w:t>
            </w:r>
          </w:p>
        </w:tc>
      </w:tr>
      <w:tr w:rsidR="00D16E72" w:rsidRPr="004901F2" w14:paraId="6C66E235" w14:textId="77777777" w:rsidTr="00284F82">
        <w:tc>
          <w:tcPr>
            <w:tcW w:w="851" w:type="dxa"/>
            <w:vAlign w:val="center"/>
          </w:tcPr>
          <w:p w14:paraId="16514733" w14:textId="77777777" w:rsidR="00D16E72" w:rsidRPr="004901F2" w:rsidRDefault="00706355" w:rsidP="00284F82">
            <w:pPr>
              <w:spacing w:before="40" w:after="40" w:line="300" w:lineRule="atLeast"/>
              <w:rPr>
                <w:rFonts w:ascii="Arial" w:hAnsi="Arial" w:cs="Arial"/>
                <w:sz w:val="16"/>
                <w:szCs w:val="16"/>
              </w:rPr>
            </w:pPr>
            <w:r>
              <w:rPr>
                <w:rFonts w:ascii="Arial" w:hAnsi="Arial" w:cs="Arial"/>
                <w:sz w:val="16"/>
                <w:szCs w:val="16"/>
              </w:rPr>
              <w:t>5.</w:t>
            </w:r>
            <w:r w:rsidR="00300092">
              <w:rPr>
                <w:rFonts w:ascii="Arial" w:hAnsi="Arial" w:cs="Arial"/>
                <w:sz w:val="16"/>
                <w:szCs w:val="16"/>
              </w:rPr>
              <w:t>8</w:t>
            </w:r>
            <w:r w:rsidR="00D16E72" w:rsidRPr="004901F2">
              <w:rPr>
                <w:rFonts w:ascii="Arial" w:hAnsi="Arial" w:cs="Arial"/>
                <w:sz w:val="16"/>
                <w:szCs w:val="16"/>
              </w:rPr>
              <w:t>.2</w:t>
            </w:r>
          </w:p>
        </w:tc>
        <w:tc>
          <w:tcPr>
            <w:tcW w:w="2693" w:type="dxa"/>
            <w:vAlign w:val="center"/>
          </w:tcPr>
          <w:p w14:paraId="472536B6" w14:textId="77777777" w:rsidR="00D16E72" w:rsidRPr="004901F2" w:rsidRDefault="00706355" w:rsidP="00284F82">
            <w:pPr>
              <w:spacing w:before="40" w:after="40" w:line="300" w:lineRule="atLeast"/>
              <w:rPr>
                <w:rFonts w:ascii="Arial" w:hAnsi="Arial" w:cs="Arial"/>
                <w:sz w:val="16"/>
                <w:szCs w:val="16"/>
              </w:rPr>
            </w:pPr>
            <w:r>
              <w:rPr>
                <w:rFonts w:ascii="Arial" w:hAnsi="Arial" w:cs="Arial"/>
                <w:sz w:val="16"/>
                <w:szCs w:val="16"/>
              </w:rPr>
              <w:t>Hazardous waste incineration</w:t>
            </w:r>
          </w:p>
        </w:tc>
        <w:tc>
          <w:tcPr>
            <w:tcW w:w="850" w:type="dxa"/>
            <w:vAlign w:val="center"/>
          </w:tcPr>
          <w:p w14:paraId="79B0AD05"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09EA8EE8" w14:textId="77777777" w:rsidR="00D16E72" w:rsidRPr="004901F2" w:rsidRDefault="00706355" w:rsidP="00284F82">
            <w:pPr>
              <w:spacing w:before="40" w:after="40" w:line="300" w:lineRule="atLeast"/>
              <w:jc w:val="center"/>
              <w:rPr>
                <w:rFonts w:ascii="Arial" w:hAnsi="Arial" w:cs="Arial"/>
                <w:sz w:val="16"/>
                <w:szCs w:val="16"/>
              </w:rPr>
            </w:pPr>
            <w:r>
              <w:rPr>
                <w:rFonts w:ascii="Arial" w:hAnsi="Arial" w:cs="Arial"/>
                <w:sz w:val="16"/>
                <w:szCs w:val="16"/>
              </w:rPr>
              <w:t>x</w:t>
            </w:r>
          </w:p>
        </w:tc>
        <w:tc>
          <w:tcPr>
            <w:tcW w:w="851" w:type="dxa"/>
            <w:vAlign w:val="center"/>
          </w:tcPr>
          <w:p w14:paraId="067917F3" w14:textId="77777777" w:rsidR="00D16E72" w:rsidRPr="004901F2" w:rsidRDefault="00D16E72" w:rsidP="00284F82">
            <w:pPr>
              <w:spacing w:before="40" w:after="40" w:line="300" w:lineRule="atLeast"/>
              <w:jc w:val="center"/>
              <w:rPr>
                <w:rFonts w:ascii="Arial" w:hAnsi="Arial" w:cs="Arial"/>
                <w:sz w:val="16"/>
                <w:szCs w:val="16"/>
              </w:rPr>
            </w:pPr>
          </w:p>
        </w:tc>
        <w:tc>
          <w:tcPr>
            <w:tcW w:w="992" w:type="dxa"/>
            <w:vAlign w:val="center"/>
          </w:tcPr>
          <w:p w14:paraId="6E988B8F" w14:textId="77777777" w:rsidR="00D16E72" w:rsidRPr="004901F2" w:rsidRDefault="00D16E72" w:rsidP="00284F82">
            <w:pPr>
              <w:spacing w:before="40" w:after="40" w:line="300" w:lineRule="atLeast"/>
              <w:jc w:val="center"/>
              <w:rPr>
                <w:rFonts w:ascii="Arial" w:hAnsi="Arial" w:cs="Arial"/>
                <w:sz w:val="16"/>
                <w:szCs w:val="16"/>
              </w:rPr>
            </w:pPr>
          </w:p>
        </w:tc>
        <w:tc>
          <w:tcPr>
            <w:tcW w:w="992" w:type="dxa"/>
            <w:vAlign w:val="center"/>
          </w:tcPr>
          <w:p w14:paraId="6D2ED552" w14:textId="77777777" w:rsidR="00D16E72" w:rsidRPr="004901F2" w:rsidRDefault="00706355" w:rsidP="00284F82">
            <w:pPr>
              <w:spacing w:before="40" w:after="40" w:line="300" w:lineRule="atLeast"/>
              <w:jc w:val="center"/>
              <w:rPr>
                <w:rFonts w:ascii="Arial" w:hAnsi="Arial" w:cs="Arial"/>
                <w:sz w:val="16"/>
                <w:szCs w:val="16"/>
              </w:rPr>
            </w:pPr>
            <w:r w:rsidRPr="004901F2">
              <w:rPr>
                <w:rFonts w:ascii="Arial" w:hAnsi="Arial" w:cs="Arial"/>
                <w:b/>
                <w:sz w:val="16"/>
                <w:szCs w:val="16"/>
              </w:rPr>
              <w:t>X</w:t>
            </w:r>
          </w:p>
        </w:tc>
        <w:tc>
          <w:tcPr>
            <w:tcW w:w="1099" w:type="dxa"/>
            <w:vAlign w:val="center"/>
          </w:tcPr>
          <w:p w14:paraId="38BAAC0B" w14:textId="77777777" w:rsidR="00D16E72" w:rsidRPr="004901F2" w:rsidRDefault="00706355" w:rsidP="00284F82">
            <w:pPr>
              <w:spacing w:before="40" w:after="40" w:line="300" w:lineRule="atLeast"/>
              <w:jc w:val="center"/>
              <w:rPr>
                <w:rFonts w:ascii="Arial" w:hAnsi="Arial" w:cs="Arial"/>
                <w:sz w:val="16"/>
                <w:szCs w:val="16"/>
              </w:rPr>
            </w:pPr>
            <w:r>
              <w:rPr>
                <w:rFonts w:ascii="Arial" w:hAnsi="Arial" w:cs="Arial"/>
                <w:sz w:val="16"/>
                <w:szCs w:val="16"/>
              </w:rPr>
              <w:t>PS</w:t>
            </w:r>
          </w:p>
        </w:tc>
      </w:tr>
      <w:tr w:rsidR="00D16E72" w:rsidRPr="004901F2" w14:paraId="32FD31A7" w14:textId="77777777" w:rsidTr="00284F82">
        <w:tc>
          <w:tcPr>
            <w:tcW w:w="851" w:type="dxa"/>
            <w:vAlign w:val="center"/>
          </w:tcPr>
          <w:p w14:paraId="4200FEA5" w14:textId="77777777" w:rsidR="00D16E72" w:rsidRPr="004901F2" w:rsidRDefault="00706355" w:rsidP="00284F82">
            <w:pPr>
              <w:spacing w:before="40" w:after="40" w:line="300" w:lineRule="atLeast"/>
              <w:rPr>
                <w:rFonts w:ascii="Arial" w:hAnsi="Arial" w:cs="Arial"/>
                <w:sz w:val="16"/>
                <w:szCs w:val="16"/>
              </w:rPr>
            </w:pPr>
            <w:r>
              <w:rPr>
                <w:rFonts w:ascii="Arial" w:hAnsi="Arial" w:cs="Arial"/>
                <w:sz w:val="16"/>
                <w:szCs w:val="16"/>
              </w:rPr>
              <w:t>5.</w:t>
            </w:r>
            <w:r w:rsidR="00300092">
              <w:rPr>
                <w:rFonts w:ascii="Arial" w:hAnsi="Arial" w:cs="Arial"/>
                <w:sz w:val="16"/>
                <w:szCs w:val="16"/>
              </w:rPr>
              <w:t>8</w:t>
            </w:r>
            <w:r w:rsidR="00D16E72" w:rsidRPr="004901F2">
              <w:rPr>
                <w:rFonts w:ascii="Arial" w:hAnsi="Arial" w:cs="Arial"/>
                <w:sz w:val="16"/>
                <w:szCs w:val="16"/>
              </w:rPr>
              <w:t>.3</w:t>
            </w:r>
          </w:p>
        </w:tc>
        <w:tc>
          <w:tcPr>
            <w:tcW w:w="2693" w:type="dxa"/>
            <w:vAlign w:val="center"/>
          </w:tcPr>
          <w:p w14:paraId="3B35CF4B" w14:textId="77777777" w:rsidR="00D16E72" w:rsidRPr="004901F2" w:rsidRDefault="00706355" w:rsidP="00284F82">
            <w:pPr>
              <w:spacing w:line="300" w:lineRule="atLeast"/>
              <w:rPr>
                <w:rFonts w:ascii="Arial" w:hAnsi="Arial" w:cs="Arial"/>
                <w:sz w:val="16"/>
                <w:szCs w:val="16"/>
              </w:rPr>
            </w:pPr>
            <w:r>
              <w:rPr>
                <w:rFonts w:ascii="Arial" w:hAnsi="Arial" w:cs="Arial"/>
                <w:sz w:val="16"/>
                <w:szCs w:val="16"/>
              </w:rPr>
              <w:t>Medical waste incineration</w:t>
            </w:r>
          </w:p>
        </w:tc>
        <w:tc>
          <w:tcPr>
            <w:tcW w:w="850" w:type="dxa"/>
            <w:vAlign w:val="center"/>
          </w:tcPr>
          <w:p w14:paraId="1A5E3170"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2A9B4A37" w14:textId="77777777" w:rsidR="00D16E72" w:rsidRPr="004901F2" w:rsidRDefault="00706355" w:rsidP="00284F82">
            <w:pPr>
              <w:spacing w:before="40" w:after="40" w:line="300" w:lineRule="atLeast"/>
              <w:jc w:val="center"/>
              <w:rPr>
                <w:rFonts w:ascii="Arial" w:hAnsi="Arial" w:cs="Arial"/>
                <w:b/>
                <w:sz w:val="16"/>
                <w:szCs w:val="16"/>
              </w:rPr>
            </w:pPr>
            <w:r>
              <w:rPr>
                <w:rFonts w:ascii="Arial" w:hAnsi="Arial" w:cs="Arial"/>
                <w:b/>
                <w:sz w:val="16"/>
                <w:szCs w:val="16"/>
              </w:rPr>
              <w:t>x</w:t>
            </w:r>
          </w:p>
        </w:tc>
        <w:tc>
          <w:tcPr>
            <w:tcW w:w="851" w:type="dxa"/>
            <w:vAlign w:val="center"/>
          </w:tcPr>
          <w:p w14:paraId="227AE01F" w14:textId="77777777" w:rsidR="00D16E72" w:rsidRPr="004901F2" w:rsidRDefault="00D16E72" w:rsidP="00284F82">
            <w:pPr>
              <w:spacing w:before="40" w:after="40" w:line="300" w:lineRule="atLeast"/>
              <w:jc w:val="center"/>
              <w:rPr>
                <w:rFonts w:ascii="Arial" w:hAnsi="Arial" w:cs="Arial"/>
                <w:sz w:val="16"/>
                <w:szCs w:val="16"/>
              </w:rPr>
            </w:pPr>
          </w:p>
        </w:tc>
        <w:tc>
          <w:tcPr>
            <w:tcW w:w="992" w:type="dxa"/>
            <w:vAlign w:val="center"/>
          </w:tcPr>
          <w:p w14:paraId="5EF4CB51" w14:textId="77777777" w:rsidR="00D16E72" w:rsidRPr="004901F2" w:rsidRDefault="00D16E72" w:rsidP="00284F82">
            <w:pPr>
              <w:spacing w:before="40" w:after="40" w:line="300" w:lineRule="atLeast"/>
              <w:jc w:val="center"/>
              <w:rPr>
                <w:rFonts w:ascii="Arial" w:hAnsi="Arial" w:cs="Arial"/>
                <w:sz w:val="16"/>
                <w:szCs w:val="16"/>
              </w:rPr>
            </w:pPr>
          </w:p>
        </w:tc>
        <w:tc>
          <w:tcPr>
            <w:tcW w:w="992" w:type="dxa"/>
            <w:vAlign w:val="center"/>
          </w:tcPr>
          <w:p w14:paraId="7028DC42" w14:textId="77777777" w:rsidR="00D16E72" w:rsidRPr="004901F2" w:rsidRDefault="00D16E72" w:rsidP="00284F82">
            <w:pPr>
              <w:spacing w:before="40" w:after="40" w:line="300" w:lineRule="atLeast"/>
              <w:jc w:val="center"/>
              <w:rPr>
                <w:rFonts w:ascii="Arial" w:hAnsi="Arial" w:cs="Arial"/>
                <w:sz w:val="16"/>
                <w:szCs w:val="16"/>
              </w:rPr>
            </w:pPr>
            <w:r w:rsidRPr="00177AB0">
              <w:rPr>
                <w:rFonts w:ascii="Arial" w:hAnsi="Arial" w:cs="Arial"/>
                <w:b/>
                <w:sz w:val="16"/>
                <w:szCs w:val="16"/>
              </w:rPr>
              <w:t>X</w:t>
            </w:r>
          </w:p>
        </w:tc>
        <w:tc>
          <w:tcPr>
            <w:tcW w:w="1099" w:type="dxa"/>
            <w:vAlign w:val="center"/>
          </w:tcPr>
          <w:p w14:paraId="6A96B727"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sz w:val="16"/>
                <w:szCs w:val="16"/>
              </w:rPr>
              <w:t>PS</w:t>
            </w:r>
          </w:p>
        </w:tc>
      </w:tr>
      <w:tr w:rsidR="00D16E72" w:rsidRPr="004901F2" w14:paraId="38480421" w14:textId="77777777" w:rsidTr="00284F82">
        <w:tc>
          <w:tcPr>
            <w:tcW w:w="851" w:type="dxa"/>
            <w:vAlign w:val="center"/>
          </w:tcPr>
          <w:p w14:paraId="3666AF62" w14:textId="77777777" w:rsidR="00D16E72" w:rsidRPr="004901F2" w:rsidRDefault="00706355" w:rsidP="00284F82">
            <w:pPr>
              <w:spacing w:before="40" w:after="40" w:line="300" w:lineRule="atLeast"/>
              <w:rPr>
                <w:rFonts w:ascii="Arial" w:hAnsi="Arial" w:cs="Arial"/>
                <w:sz w:val="16"/>
                <w:szCs w:val="16"/>
              </w:rPr>
            </w:pPr>
            <w:r>
              <w:rPr>
                <w:rFonts w:ascii="Arial" w:hAnsi="Arial" w:cs="Arial"/>
                <w:sz w:val="16"/>
                <w:szCs w:val="16"/>
              </w:rPr>
              <w:t>5.</w:t>
            </w:r>
            <w:r w:rsidR="00300092">
              <w:rPr>
                <w:rFonts w:ascii="Arial" w:hAnsi="Arial" w:cs="Arial"/>
                <w:sz w:val="16"/>
                <w:szCs w:val="16"/>
              </w:rPr>
              <w:t>8</w:t>
            </w:r>
            <w:r w:rsidR="00D16E72" w:rsidRPr="004901F2">
              <w:rPr>
                <w:rFonts w:ascii="Arial" w:hAnsi="Arial" w:cs="Arial"/>
                <w:sz w:val="16"/>
                <w:szCs w:val="16"/>
              </w:rPr>
              <w:t>.4</w:t>
            </w:r>
          </w:p>
        </w:tc>
        <w:tc>
          <w:tcPr>
            <w:tcW w:w="2693" w:type="dxa"/>
            <w:vAlign w:val="center"/>
          </w:tcPr>
          <w:p w14:paraId="1C6302AB" w14:textId="77777777" w:rsidR="00D16E72" w:rsidRPr="004901F2" w:rsidRDefault="00706355" w:rsidP="00284F82">
            <w:pPr>
              <w:spacing w:line="300" w:lineRule="atLeast"/>
              <w:rPr>
                <w:rFonts w:ascii="Arial" w:hAnsi="Arial" w:cs="Arial"/>
                <w:sz w:val="16"/>
                <w:szCs w:val="16"/>
              </w:rPr>
            </w:pPr>
            <w:r>
              <w:rPr>
                <w:rFonts w:ascii="Arial" w:hAnsi="Arial" w:cs="Arial"/>
                <w:sz w:val="16"/>
                <w:szCs w:val="16"/>
              </w:rPr>
              <w:t>Sewage sludge incineration</w:t>
            </w:r>
          </w:p>
        </w:tc>
        <w:tc>
          <w:tcPr>
            <w:tcW w:w="850" w:type="dxa"/>
            <w:vAlign w:val="center"/>
          </w:tcPr>
          <w:p w14:paraId="1D6A1937"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0A560436"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20EC4C0F" w14:textId="77777777" w:rsidR="00D16E72" w:rsidRPr="004901F2" w:rsidRDefault="00D16E72" w:rsidP="00284F82">
            <w:pPr>
              <w:spacing w:before="40" w:after="40" w:line="300" w:lineRule="atLeast"/>
              <w:jc w:val="center"/>
              <w:rPr>
                <w:rFonts w:ascii="Arial" w:hAnsi="Arial" w:cs="Arial"/>
                <w:b/>
                <w:sz w:val="16"/>
                <w:szCs w:val="16"/>
              </w:rPr>
            </w:pPr>
          </w:p>
        </w:tc>
        <w:tc>
          <w:tcPr>
            <w:tcW w:w="992" w:type="dxa"/>
            <w:vAlign w:val="center"/>
          </w:tcPr>
          <w:p w14:paraId="242E9705" w14:textId="77777777" w:rsidR="00D16E72" w:rsidRPr="004901F2" w:rsidRDefault="00D16E72" w:rsidP="00284F82">
            <w:pPr>
              <w:spacing w:before="40" w:after="40" w:line="300" w:lineRule="atLeast"/>
              <w:jc w:val="center"/>
              <w:rPr>
                <w:rFonts w:ascii="Arial" w:hAnsi="Arial" w:cs="Arial"/>
                <w:sz w:val="16"/>
                <w:szCs w:val="16"/>
              </w:rPr>
            </w:pPr>
          </w:p>
        </w:tc>
        <w:tc>
          <w:tcPr>
            <w:tcW w:w="992" w:type="dxa"/>
            <w:vAlign w:val="center"/>
          </w:tcPr>
          <w:p w14:paraId="2A645DCE"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1099" w:type="dxa"/>
            <w:vAlign w:val="center"/>
          </w:tcPr>
          <w:p w14:paraId="676F6A25"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sz w:val="16"/>
                <w:szCs w:val="16"/>
              </w:rPr>
              <w:t>PS</w:t>
            </w:r>
          </w:p>
        </w:tc>
      </w:tr>
      <w:tr w:rsidR="00D16E72" w:rsidRPr="004901F2" w14:paraId="363385DE" w14:textId="77777777" w:rsidTr="00284F82">
        <w:tc>
          <w:tcPr>
            <w:tcW w:w="851" w:type="dxa"/>
            <w:vAlign w:val="center"/>
          </w:tcPr>
          <w:p w14:paraId="3DD3350A" w14:textId="77777777" w:rsidR="00D16E72" w:rsidRPr="004901F2" w:rsidRDefault="00706355" w:rsidP="00284F82">
            <w:pPr>
              <w:spacing w:before="40" w:after="40" w:line="300" w:lineRule="atLeast"/>
              <w:rPr>
                <w:rFonts w:ascii="Arial" w:hAnsi="Arial" w:cs="Arial"/>
                <w:sz w:val="16"/>
                <w:szCs w:val="16"/>
              </w:rPr>
            </w:pPr>
            <w:r>
              <w:rPr>
                <w:rFonts w:ascii="Arial" w:hAnsi="Arial" w:cs="Arial"/>
                <w:sz w:val="16"/>
                <w:szCs w:val="16"/>
              </w:rPr>
              <w:t>5.</w:t>
            </w:r>
            <w:r w:rsidR="00300092">
              <w:rPr>
                <w:rFonts w:ascii="Arial" w:hAnsi="Arial" w:cs="Arial"/>
                <w:sz w:val="16"/>
                <w:szCs w:val="16"/>
              </w:rPr>
              <w:t>8</w:t>
            </w:r>
            <w:r w:rsidR="00D16E72" w:rsidRPr="004901F2">
              <w:rPr>
                <w:rFonts w:ascii="Arial" w:hAnsi="Arial" w:cs="Arial"/>
                <w:sz w:val="16"/>
                <w:szCs w:val="16"/>
              </w:rPr>
              <w:t>.5</w:t>
            </w:r>
          </w:p>
        </w:tc>
        <w:tc>
          <w:tcPr>
            <w:tcW w:w="2693" w:type="dxa"/>
            <w:vAlign w:val="center"/>
          </w:tcPr>
          <w:p w14:paraId="6AA68C4F" w14:textId="77777777" w:rsidR="00D16E72" w:rsidRPr="004901F2" w:rsidRDefault="00706355" w:rsidP="00284F82">
            <w:pPr>
              <w:spacing w:line="300" w:lineRule="atLeast"/>
              <w:rPr>
                <w:rFonts w:ascii="Arial" w:hAnsi="Arial" w:cs="Arial"/>
                <w:sz w:val="16"/>
                <w:szCs w:val="16"/>
              </w:rPr>
            </w:pPr>
            <w:r>
              <w:rPr>
                <w:rFonts w:ascii="Arial" w:hAnsi="Arial" w:cs="Arial"/>
                <w:sz w:val="16"/>
                <w:szCs w:val="16"/>
              </w:rPr>
              <w:t>Informal waste incineration</w:t>
            </w:r>
          </w:p>
        </w:tc>
        <w:tc>
          <w:tcPr>
            <w:tcW w:w="850" w:type="dxa"/>
            <w:vAlign w:val="center"/>
          </w:tcPr>
          <w:p w14:paraId="12619E13"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45F9FD8B" w14:textId="77777777" w:rsidR="00D16E72" w:rsidRPr="004901F2" w:rsidRDefault="00D16E72" w:rsidP="00284F82">
            <w:pPr>
              <w:spacing w:before="40" w:after="40" w:line="300" w:lineRule="atLeast"/>
              <w:jc w:val="center"/>
              <w:rPr>
                <w:rFonts w:ascii="Arial" w:hAnsi="Arial" w:cs="Arial"/>
                <w:sz w:val="16"/>
                <w:szCs w:val="16"/>
              </w:rPr>
            </w:pPr>
            <w:r w:rsidRPr="00177AB0">
              <w:rPr>
                <w:rFonts w:ascii="Arial" w:hAnsi="Arial" w:cs="Arial"/>
                <w:b/>
                <w:sz w:val="16"/>
                <w:szCs w:val="16"/>
              </w:rPr>
              <w:t>X</w:t>
            </w:r>
          </w:p>
        </w:tc>
        <w:tc>
          <w:tcPr>
            <w:tcW w:w="851" w:type="dxa"/>
            <w:vAlign w:val="center"/>
          </w:tcPr>
          <w:p w14:paraId="228091A5"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b/>
                <w:sz w:val="16"/>
                <w:szCs w:val="16"/>
              </w:rPr>
              <w:t>X</w:t>
            </w:r>
          </w:p>
        </w:tc>
        <w:tc>
          <w:tcPr>
            <w:tcW w:w="992" w:type="dxa"/>
            <w:vAlign w:val="center"/>
          </w:tcPr>
          <w:p w14:paraId="396019BE"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b/>
                <w:sz w:val="16"/>
                <w:szCs w:val="16"/>
              </w:rPr>
              <w:t>X</w:t>
            </w:r>
          </w:p>
        </w:tc>
        <w:tc>
          <w:tcPr>
            <w:tcW w:w="992" w:type="dxa"/>
            <w:vAlign w:val="center"/>
          </w:tcPr>
          <w:p w14:paraId="36C86DB5" w14:textId="77777777" w:rsidR="00D16E72" w:rsidRPr="004901F2" w:rsidRDefault="00D16E72" w:rsidP="00284F82">
            <w:pPr>
              <w:spacing w:before="40" w:after="40" w:line="300" w:lineRule="atLeast"/>
              <w:jc w:val="center"/>
              <w:rPr>
                <w:rFonts w:ascii="Arial" w:hAnsi="Arial" w:cs="Arial"/>
                <w:sz w:val="16"/>
                <w:szCs w:val="16"/>
              </w:rPr>
            </w:pPr>
          </w:p>
        </w:tc>
        <w:tc>
          <w:tcPr>
            <w:tcW w:w="1099" w:type="dxa"/>
            <w:vAlign w:val="center"/>
          </w:tcPr>
          <w:p w14:paraId="422590DF" w14:textId="77777777" w:rsidR="00D16E72" w:rsidRPr="004901F2" w:rsidRDefault="00D16E72" w:rsidP="00284F82">
            <w:pPr>
              <w:spacing w:before="40" w:after="40" w:line="300" w:lineRule="atLeast"/>
              <w:jc w:val="center"/>
              <w:rPr>
                <w:rFonts w:ascii="Arial" w:hAnsi="Arial" w:cs="Arial"/>
                <w:sz w:val="16"/>
                <w:szCs w:val="16"/>
              </w:rPr>
            </w:pPr>
            <w:r>
              <w:rPr>
                <w:rFonts w:ascii="Arial" w:hAnsi="Arial" w:cs="Arial"/>
                <w:sz w:val="16"/>
                <w:szCs w:val="16"/>
              </w:rPr>
              <w:t>PS</w:t>
            </w:r>
          </w:p>
        </w:tc>
      </w:tr>
    </w:tbl>
    <w:p w14:paraId="71A35ABB" w14:textId="77777777" w:rsidR="00D16E72" w:rsidRPr="00582EF2" w:rsidRDefault="00D16E72" w:rsidP="00D16E72">
      <w:pPr>
        <w:spacing w:before="60" w:after="60" w:line="260" w:lineRule="exact"/>
        <w:jc w:val="both"/>
        <w:rPr>
          <w:rFonts w:ascii="Arial" w:hAnsi="Arial" w:cs="Arial"/>
          <w:sz w:val="16"/>
          <w:szCs w:val="18"/>
        </w:rPr>
      </w:pPr>
      <w:r w:rsidRPr="00582EF2">
        <w:rPr>
          <w:rFonts w:ascii="Arial" w:hAnsi="Arial" w:cs="Arial"/>
          <w:sz w:val="16"/>
          <w:szCs w:val="18"/>
        </w:rPr>
        <w:t xml:space="preserve">Notes: </w:t>
      </w:r>
      <w:r w:rsidRPr="00582EF2">
        <w:rPr>
          <w:rFonts w:ascii="Arial" w:hAnsi="Arial" w:cs="Arial"/>
          <w:sz w:val="16"/>
          <w:szCs w:val="18"/>
        </w:rPr>
        <w:tab/>
        <w:t>PS = Point source by point source approach;</w:t>
      </w:r>
    </w:p>
    <w:p w14:paraId="22DCA3E8" w14:textId="77777777" w:rsidR="00D16E72" w:rsidRPr="00582EF2" w:rsidRDefault="00D16E72" w:rsidP="00D16E72">
      <w:pPr>
        <w:spacing w:after="60" w:line="260" w:lineRule="exact"/>
        <w:ind w:firstLine="720"/>
        <w:jc w:val="both"/>
        <w:rPr>
          <w:rFonts w:ascii="Arial" w:hAnsi="Arial" w:cs="Arial"/>
          <w:sz w:val="16"/>
          <w:szCs w:val="18"/>
        </w:rPr>
      </w:pPr>
      <w:r w:rsidRPr="00582EF2">
        <w:rPr>
          <w:rFonts w:ascii="Arial" w:hAnsi="Arial" w:cs="Arial"/>
          <w:b/>
          <w:sz w:val="16"/>
          <w:szCs w:val="18"/>
        </w:rPr>
        <w:t>X</w:t>
      </w:r>
      <w:r w:rsidRPr="00582EF2">
        <w:rPr>
          <w:rFonts w:ascii="Arial" w:hAnsi="Arial" w:cs="Arial"/>
          <w:sz w:val="16"/>
          <w:szCs w:val="18"/>
        </w:rPr>
        <w:t xml:space="preserve"> - Release pathway expected to be predominant for the sub-category;</w:t>
      </w:r>
    </w:p>
    <w:p w14:paraId="0588CB62" w14:textId="77777777" w:rsidR="00D16E72" w:rsidRPr="00582EF2" w:rsidRDefault="00D16E72" w:rsidP="00D16E72">
      <w:pPr>
        <w:spacing w:after="60" w:line="260" w:lineRule="exact"/>
        <w:ind w:firstLine="720"/>
        <w:jc w:val="both"/>
        <w:rPr>
          <w:rFonts w:ascii="Arial" w:hAnsi="Arial" w:cs="Arial"/>
          <w:sz w:val="16"/>
          <w:szCs w:val="18"/>
        </w:rPr>
      </w:pPr>
      <w:r w:rsidRPr="00582EF2">
        <w:rPr>
          <w:rFonts w:ascii="Arial" w:hAnsi="Arial" w:cs="Arial"/>
          <w:sz w:val="16"/>
          <w:szCs w:val="18"/>
        </w:rPr>
        <w:t>x - Additional release pathways to be considered, depending on specific source and national situation.</w:t>
      </w:r>
    </w:p>
    <w:p w14:paraId="6BEF28BE" w14:textId="77777777" w:rsidR="00D16E72" w:rsidRDefault="006E7B73" w:rsidP="006E7B73">
      <w:pPr>
        <w:pStyle w:val="Heading2"/>
      </w:pPr>
      <w:bookmarkStart w:id="142" w:name="_Toc110355560"/>
      <w:r>
        <w:t>Municipal waste incineration</w:t>
      </w:r>
      <w:bookmarkEnd w:id="142"/>
    </w:p>
    <w:p w14:paraId="50FAFF6D" w14:textId="2B212045" w:rsidR="00D16E72" w:rsidRDefault="005A4668" w:rsidP="003833D6">
      <w:pPr>
        <w:spacing w:line="300" w:lineRule="atLeast"/>
        <w:jc w:val="both"/>
        <w:rPr>
          <w:szCs w:val="18"/>
        </w:rPr>
      </w:pPr>
      <w:r>
        <w:rPr>
          <w:szCs w:val="18"/>
        </w:rPr>
        <w:t xml:space="preserve">There are no municipal waste incinerators </w:t>
      </w:r>
      <w:r w:rsidR="00FC17B1">
        <w:rPr>
          <w:szCs w:val="18"/>
        </w:rPr>
        <w:t xml:space="preserve">operating </w:t>
      </w:r>
      <w:r>
        <w:rPr>
          <w:szCs w:val="18"/>
        </w:rPr>
        <w:t>in New Zealand</w:t>
      </w:r>
      <w:r w:rsidR="00FC17B1">
        <w:rPr>
          <w:szCs w:val="18"/>
        </w:rPr>
        <w:t>.</w:t>
      </w:r>
    </w:p>
    <w:p w14:paraId="4825E2EC" w14:textId="77777777" w:rsidR="00D16E72" w:rsidRDefault="00AB6D27" w:rsidP="00AB6D27">
      <w:pPr>
        <w:pStyle w:val="Heading2"/>
      </w:pPr>
      <w:bookmarkStart w:id="143" w:name="_Toc110355561"/>
      <w:r>
        <w:t>Hazardous waste incineration</w:t>
      </w:r>
      <w:bookmarkEnd w:id="143"/>
    </w:p>
    <w:p w14:paraId="24D8504F" w14:textId="15752380" w:rsidR="00C26FC6" w:rsidRDefault="003B104D" w:rsidP="001C2BBD">
      <w:pPr>
        <w:spacing w:line="300" w:lineRule="atLeast"/>
        <w:jc w:val="both"/>
        <w:rPr>
          <w:szCs w:val="18"/>
        </w:rPr>
      </w:pPr>
      <w:r>
        <w:rPr>
          <w:szCs w:val="18"/>
        </w:rPr>
        <w:t xml:space="preserve">With the closure of the Corteva Agriscience agrichemical production and packaging site at Paritutu in New Plmouth, currently there are no </w:t>
      </w:r>
      <w:r w:rsidR="001C2BBD">
        <w:rPr>
          <w:szCs w:val="18"/>
        </w:rPr>
        <w:t>high-temperature hazardous</w:t>
      </w:r>
      <w:r w:rsidR="001C2BBD" w:rsidRPr="001C2BBD">
        <w:rPr>
          <w:szCs w:val="18"/>
        </w:rPr>
        <w:t xml:space="preserve"> waste incinerator</w:t>
      </w:r>
      <w:r>
        <w:rPr>
          <w:szCs w:val="18"/>
        </w:rPr>
        <w:t>s operating</w:t>
      </w:r>
      <w:r w:rsidR="001C2BBD">
        <w:rPr>
          <w:szCs w:val="18"/>
        </w:rPr>
        <w:t xml:space="preserve"> </w:t>
      </w:r>
      <w:r w:rsidR="00D61534">
        <w:rPr>
          <w:szCs w:val="18"/>
        </w:rPr>
        <w:t>in New Zealand</w:t>
      </w:r>
      <w:r w:rsidR="00C26FC6">
        <w:rPr>
          <w:szCs w:val="18"/>
        </w:rPr>
        <w:t xml:space="preserve">.  </w:t>
      </w:r>
    </w:p>
    <w:p w14:paraId="74DB3A3D" w14:textId="65AA328A" w:rsidR="003B104D" w:rsidRDefault="003B104D" w:rsidP="001C2BBD">
      <w:pPr>
        <w:spacing w:line="300" w:lineRule="atLeast"/>
        <w:jc w:val="both"/>
        <w:rPr>
          <w:szCs w:val="18"/>
        </w:rPr>
      </w:pPr>
      <w:r>
        <w:rPr>
          <w:szCs w:val="18"/>
        </w:rPr>
        <w:t>Corteva had ceased manufacturing operations from May 2021</w:t>
      </w:r>
      <w:r w:rsidR="00742569">
        <w:rPr>
          <w:szCs w:val="18"/>
        </w:rPr>
        <w:t xml:space="preserve"> </w:t>
      </w:r>
      <w:r>
        <w:rPr>
          <w:szCs w:val="18"/>
        </w:rPr>
        <w:t xml:space="preserve">and had removed all equipment and demolished most of the buildings by the close of 2022. In February 2023 Dow Chemical (NZ) Ltd </w:t>
      </w:r>
      <w:r w:rsidR="00742569">
        <w:rPr>
          <w:szCs w:val="18"/>
        </w:rPr>
        <w:t>took control of the site. (Taranaki Regional Council, 2025 and Tonkin and Taylor 2024)</w:t>
      </w:r>
      <w:r>
        <w:rPr>
          <w:szCs w:val="18"/>
        </w:rPr>
        <w:t xml:space="preserve"> </w:t>
      </w:r>
    </w:p>
    <w:p w14:paraId="08533D16" w14:textId="6F5F64C7" w:rsidR="00742569" w:rsidRDefault="00742569" w:rsidP="001C2BBD">
      <w:pPr>
        <w:spacing w:line="300" w:lineRule="atLeast"/>
        <w:jc w:val="both"/>
        <w:rPr>
          <w:szCs w:val="18"/>
        </w:rPr>
      </w:pPr>
      <w:r>
        <w:rPr>
          <w:szCs w:val="18"/>
        </w:rPr>
        <w:t xml:space="preserve">Consequently there will have been no discharges </w:t>
      </w:r>
      <w:r w:rsidR="00A423A6">
        <w:rPr>
          <w:szCs w:val="18"/>
        </w:rPr>
        <w:t>of mercury from incinerator operations at the site in 2024.</w:t>
      </w:r>
    </w:p>
    <w:p w14:paraId="211752EB" w14:textId="77777777" w:rsidR="001C2BBD" w:rsidRDefault="001C2BBD" w:rsidP="001C2BBD">
      <w:pPr>
        <w:pStyle w:val="Heading2"/>
      </w:pPr>
      <w:bookmarkStart w:id="144" w:name="_Toc110355562"/>
      <w:r>
        <w:t>Medical waste incineration</w:t>
      </w:r>
      <w:bookmarkEnd w:id="144"/>
    </w:p>
    <w:p w14:paraId="16D4C52F" w14:textId="39214610" w:rsidR="001C2BBD" w:rsidRDefault="001C2BBD" w:rsidP="001C2BBD">
      <w:pPr>
        <w:spacing w:line="300" w:lineRule="atLeast"/>
        <w:jc w:val="both"/>
        <w:rPr>
          <w:szCs w:val="18"/>
        </w:rPr>
      </w:pPr>
      <w:r>
        <w:rPr>
          <w:szCs w:val="18"/>
        </w:rPr>
        <w:t xml:space="preserve">There is only </w:t>
      </w:r>
      <w:r w:rsidR="00C26FC6">
        <w:rPr>
          <w:szCs w:val="18"/>
        </w:rPr>
        <w:t>one</w:t>
      </w:r>
      <w:r>
        <w:rPr>
          <w:szCs w:val="18"/>
        </w:rPr>
        <w:t xml:space="preserve"> medical waste incinerator in New Zealand, </w:t>
      </w:r>
      <w:r w:rsidR="00F5793D">
        <w:rPr>
          <w:szCs w:val="18"/>
        </w:rPr>
        <w:t xml:space="preserve">at the </w:t>
      </w:r>
      <w:r w:rsidR="009444E0">
        <w:rPr>
          <w:szCs w:val="18"/>
        </w:rPr>
        <w:t xml:space="preserve">Te Nikau </w:t>
      </w:r>
      <w:r w:rsidR="00F5793D">
        <w:rPr>
          <w:szCs w:val="18"/>
        </w:rPr>
        <w:t xml:space="preserve">Grey Hospital in </w:t>
      </w:r>
      <w:r w:rsidR="00343B8E">
        <w:rPr>
          <w:szCs w:val="18"/>
        </w:rPr>
        <w:t>Greymouth</w:t>
      </w:r>
      <w:r>
        <w:rPr>
          <w:szCs w:val="18"/>
        </w:rPr>
        <w:t>. Medical waste incineration was widely practised in the past, but has been phased out in favour of alternative methods, such as steam sterilisation (</w:t>
      </w:r>
      <w:r w:rsidR="002E47F5">
        <w:rPr>
          <w:szCs w:val="18"/>
        </w:rPr>
        <w:t>MfE, 2011</w:t>
      </w:r>
      <w:r>
        <w:rPr>
          <w:szCs w:val="18"/>
        </w:rPr>
        <w:t>).</w:t>
      </w:r>
    </w:p>
    <w:p w14:paraId="7B9D5E4F" w14:textId="76AFBE05" w:rsidR="00325ECD" w:rsidRDefault="00F5793D" w:rsidP="003833D6">
      <w:pPr>
        <w:spacing w:line="300" w:lineRule="atLeast"/>
        <w:jc w:val="both"/>
        <w:rPr>
          <w:szCs w:val="18"/>
        </w:rPr>
      </w:pPr>
      <w:r>
        <w:rPr>
          <w:szCs w:val="18"/>
        </w:rPr>
        <w:t>The Grey Hospital incinerator</w:t>
      </w:r>
      <w:r w:rsidR="00676490">
        <w:rPr>
          <w:szCs w:val="18"/>
        </w:rPr>
        <w:t xml:space="preserve"> i</w:t>
      </w:r>
      <w:r>
        <w:rPr>
          <w:szCs w:val="18"/>
        </w:rPr>
        <w:t xml:space="preserve">s </w:t>
      </w:r>
      <w:r w:rsidR="00676490">
        <w:rPr>
          <w:szCs w:val="18"/>
        </w:rPr>
        <w:t>a diesel-fired</w:t>
      </w:r>
      <w:r w:rsidR="00661AAE">
        <w:rPr>
          <w:szCs w:val="18"/>
        </w:rPr>
        <w:t>,</w:t>
      </w:r>
      <w:r w:rsidR="00676490">
        <w:rPr>
          <w:szCs w:val="18"/>
        </w:rPr>
        <w:t xml:space="preserve"> dual-chamber unit, with no add-on emission controls</w:t>
      </w:r>
      <w:r w:rsidR="00325ECD">
        <w:rPr>
          <w:szCs w:val="18"/>
        </w:rPr>
        <w:t>.</w:t>
      </w:r>
      <w:r w:rsidR="00176752">
        <w:rPr>
          <w:szCs w:val="18"/>
        </w:rPr>
        <w:t xml:space="preserve"> </w:t>
      </w:r>
      <w:r w:rsidR="009444E0">
        <w:rPr>
          <w:szCs w:val="18"/>
        </w:rPr>
        <w:t>In 2024 t</w:t>
      </w:r>
      <w:r w:rsidR="00176752">
        <w:rPr>
          <w:szCs w:val="18"/>
        </w:rPr>
        <w:t>here</w:t>
      </w:r>
      <w:r w:rsidR="009444E0">
        <w:rPr>
          <w:szCs w:val="18"/>
        </w:rPr>
        <w:t xml:space="preserve"> was an estimated 162 tonnes of medical waste incinerated.</w:t>
      </w:r>
      <w:r w:rsidR="00176752">
        <w:rPr>
          <w:szCs w:val="18"/>
        </w:rPr>
        <w:t xml:space="preserve"> </w:t>
      </w:r>
      <w:r w:rsidR="00325ECD">
        <w:rPr>
          <w:szCs w:val="18"/>
        </w:rPr>
        <w:t>(</w:t>
      </w:r>
      <w:r w:rsidR="00176752">
        <w:rPr>
          <w:szCs w:val="18"/>
        </w:rPr>
        <w:t>B. Woolhouse</w:t>
      </w:r>
      <w:r w:rsidR="00325ECD">
        <w:rPr>
          <w:szCs w:val="18"/>
        </w:rPr>
        <w:t xml:space="preserve">, Grey Hospital, pers comm, </w:t>
      </w:r>
      <w:r w:rsidR="009444E0">
        <w:rPr>
          <w:szCs w:val="18"/>
        </w:rPr>
        <w:t>2025</w:t>
      </w:r>
      <w:r w:rsidR="00325ECD">
        <w:rPr>
          <w:szCs w:val="18"/>
        </w:rPr>
        <w:t>)</w:t>
      </w:r>
      <w:r w:rsidR="00B71336">
        <w:rPr>
          <w:szCs w:val="18"/>
        </w:rPr>
        <w:t>.</w:t>
      </w:r>
      <w:r w:rsidR="00676490">
        <w:rPr>
          <w:szCs w:val="18"/>
        </w:rPr>
        <w:t xml:space="preserve"> The</w:t>
      </w:r>
      <w:r w:rsidR="00DE56D7">
        <w:rPr>
          <w:szCs w:val="18"/>
        </w:rPr>
        <w:t xml:space="preserve"> incinerator</w:t>
      </w:r>
      <w:r w:rsidR="00676490">
        <w:rPr>
          <w:szCs w:val="18"/>
        </w:rPr>
        <w:t xml:space="preserve"> emissions have never been tested for mercury. </w:t>
      </w:r>
    </w:p>
    <w:p w14:paraId="5F37EC6A" w14:textId="6B660E81" w:rsidR="001C2BBD" w:rsidRDefault="00676490" w:rsidP="003833D6">
      <w:pPr>
        <w:spacing w:line="300" w:lineRule="atLeast"/>
        <w:jc w:val="both"/>
        <w:rPr>
          <w:szCs w:val="18"/>
        </w:rPr>
      </w:pPr>
      <w:r>
        <w:rPr>
          <w:szCs w:val="18"/>
        </w:rPr>
        <w:t xml:space="preserve">The Toolkit recommends default input factors for medical waste of 8 – 40 g/tonne, and indicates that all of the mercury will be emitted to air on units with no emission control equipment. Applying these factors to the </w:t>
      </w:r>
      <w:r w:rsidR="009444E0">
        <w:rPr>
          <w:szCs w:val="18"/>
        </w:rPr>
        <w:t xml:space="preserve">Te Nikau </w:t>
      </w:r>
      <w:r>
        <w:rPr>
          <w:szCs w:val="18"/>
        </w:rPr>
        <w:t xml:space="preserve">Grey Hospital incinerator indicates an annual input rate of </w:t>
      </w:r>
      <w:r w:rsidR="009444E0">
        <w:rPr>
          <w:szCs w:val="18"/>
        </w:rPr>
        <w:t>1.</w:t>
      </w:r>
      <w:r w:rsidR="00FC17B1">
        <w:rPr>
          <w:szCs w:val="18"/>
        </w:rPr>
        <w:t>30</w:t>
      </w:r>
      <w:r w:rsidR="00325ECD">
        <w:rPr>
          <w:szCs w:val="18"/>
        </w:rPr>
        <w:t xml:space="preserve"> to </w:t>
      </w:r>
      <w:r w:rsidR="003215AB">
        <w:rPr>
          <w:szCs w:val="18"/>
        </w:rPr>
        <w:t>6.48</w:t>
      </w:r>
      <w:r w:rsidR="00325ECD">
        <w:rPr>
          <w:szCs w:val="18"/>
        </w:rPr>
        <w:t xml:space="preserve"> kg/year for </w:t>
      </w:r>
      <w:r w:rsidR="003215AB">
        <w:rPr>
          <w:szCs w:val="18"/>
        </w:rPr>
        <w:t xml:space="preserve">2024 </w:t>
      </w:r>
      <w:r w:rsidR="00325ECD">
        <w:rPr>
          <w:szCs w:val="18"/>
        </w:rPr>
        <w:t xml:space="preserve">(mean </w:t>
      </w:r>
      <w:r w:rsidR="003215AB">
        <w:rPr>
          <w:szCs w:val="18"/>
        </w:rPr>
        <w:t>3.8</w:t>
      </w:r>
      <w:r w:rsidR="00FC17B1">
        <w:rPr>
          <w:szCs w:val="18"/>
        </w:rPr>
        <w:t>9</w:t>
      </w:r>
      <w:r w:rsidR="00325ECD">
        <w:rPr>
          <w:szCs w:val="18"/>
        </w:rPr>
        <w:t xml:space="preserve"> kg/year)</w:t>
      </w:r>
      <w:r w:rsidR="00AC09F2">
        <w:rPr>
          <w:szCs w:val="18"/>
        </w:rPr>
        <w:t xml:space="preserve">. </w:t>
      </w:r>
      <w:r w:rsidR="005F6117">
        <w:rPr>
          <w:szCs w:val="18"/>
        </w:rPr>
        <w:t>The outputs to air will be the same as the inputs.</w:t>
      </w:r>
    </w:p>
    <w:p w14:paraId="43D73D5E" w14:textId="77777777" w:rsidR="00F91445" w:rsidRDefault="00F91445" w:rsidP="003833D6">
      <w:pPr>
        <w:spacing w:line="300" w:lineRule="atLeast"/>
        <w:jc w:val="both"/>
        <w:rPr>
          <w:szCs w:val="18"/>
        </w:rPr>
      </w:pPr>
    </w:p>
    <w:p w14:paraId="7F75981D" w14:textId="77777777" w:rsidR="005F6117" w:rsidRPr="00BE17CF" w:rsidRDefault="005F6117" w:rsidP="005F6117">
      <w:pPr>
        <w:tabs>
          <w:tab w:val="left" w:pos="2760"/>
        </w:tabs>
        <w:spacing w:before="120" w:line="300" w:lineRule="atLeast"/>
        <w:jc w:val="both"/>
        <w:rPr>
          <w:rFonts w:ascii="Arial" w:hAnsi="Arial" w:cs="Arial"/>
          <w:b/>
          <w:szCs w:val="18"/>
        </w:rPr>
      </w:pPr>
      <w:r w:rsidRPr="00BE17CF">
        <w:rPr>
          <w:rFonts w:ascii="Arial" w:hAnsi="Arial" w:cs="Arial"/>
          <w:b/>
          <w:szCs w:val="18"/>
        </w:rPr>
        <w:t>Certainty assessment</w:t>
      </w:r>
    </w:p>
    <w:p w14:paraId="5D59892B" w14:textId="77777777" w:rsidR="005F6117" w:rsidRDefault="005F6117" w:rsidP="005F6117">
      <w:pPr>
        <w:tabs>
          <w:tab w:val="left" w:pos="1701"/>
        </w:tabs>
        <w:spacing w:line="300" w:lineRule="atLeast"/>
        <w:jc w:val="both"/>
        <w:rPr>
          <w:szCs w:val="18"/>
        </w:rPr>
      </w:pPr>
      <w:r>
        <w:rPr>
          <w:szCs w:val="18"/>
        </w:rPr>
        <w:t xml:space="preserve">Activity data: </w:t>
      </w:r>
      <w:r>
        <w:rPr>
          <w:szCs w:val="18"/>
        </w:rPr>
        <w:tab/>
        <w:t>MEDIUM (because it was an operator estimate)</w:t>
      </w:r>
    </w:p>
    <w:p w14:paraId="4EF0218B" w14:textId="77777777" w:rsidR="005F6117" w:rsidRDefault="005F6117" w:rsidP="005F6117">
      <w:pPr>
        <w:tabs>
          <w:tab w:val="left" w:pos="1701"/>
        </w:tabs>
        <w:spacing w:line="300" w:lineRule="atLeast"/>
        <w:jc w:val="both"/>
        <w:rPr>
          <w:szCs w:val="18"/>
        </w:rPr>
      </w:pPr>
      <w:r>
        <w:rPr>
          <w:szCs w:val="18"/>
        </w:rPr>
        <w:t xml:space="preserve">Input estimates: </w:t>
      </w:r>
      <w:r>
        <w:rPr>
          <w:szCs w:val="18"/>
        </w:rPr>
        <w:tab/>
        <w:t>LOW (</w:t>
      </w:r>
      <w:r w:rsidRPr="00944DCC">
        <w:rPr>
          <w:szCs w:val="18"/>
        </w:rPr>
        <w:t xml:space="preserve">because </w:t>
      </w:r>
      <w:r>
        <w:rPr>
          <w:szCs w:val="18"/>
        </w:rPr>
        <w:t>it was based on the Toolkit default factor)</w:t>
      </w:r>
    </w:p>
    <w:p w14:paraId="6D43B30D" w14:textId="77777777" w:rsidR="005F6117" w:rsidRPr="0028681C" w:rsidRDefault="005F6117" w:rsidP="005F6117">
      <w:pPr>
        <w:tabs>
          <w:tab w:val="left" w:pos="1701"/>
        </w:tabs>
        <w:spacing w:line="300" w:lineRule="atLeast"/>
        <w:jc w:val="both"/>
        <w:rPr>
          <w:szCs w:val="18"/>
        </w:rPr>
      </w:pPr>
      <w:r>
        <w:rPr>
          <w:szCs w:val="18"/>
        </w:rPr>
        <w:t xml:space="preserve">Output estimates: </w:t>
      </w:r>
      <w:r>
        <w:rPr>
          <w:szCs w:val="18"/>
        </w:rPr>
        <w:tab/>
        <w:t>LOW (</w:t>
      </w:r>
      <w:r w:rsidRPr="00944DCC">
        <w:rPr>
          <w:szCs w:val="18"/>
        </w:rPr>
        <w:t xml:space="preserve">because the </w:t>
      </w:r>
      <w:r>
        <w:rPr>
          <w:szCs w:val="18"/>
        </w:rPr>
        <w:t xml:space="preserve">output distribution was based on </w:t>
      </w:r>
      <w:r w:rsidRPr="005F6117">
        <w:rPr>
          <w:szCs w:val="18"/>
        </w:rPr>
        <w:t>the Toolkit default factor</w:t>
      </w:r>
      <w:r>
        <w:rPr>
          <w:szCs w:val="18"/>
        </w:rPr>
        <w:t>s).</w:t>
      </w:r>
    </w:p>
    <w:p w14:paraId="5938E698" w14:textId="77777777" w:rsidR="00AB6D27" w:rsidRDefault="00AB6D27" w:rsidP="00AB6D27">
      <w:pPr>
        <w:pStyle w:val="Heading2"/>
      </w:pPr>
      <w:bookmarkStart w:id="145" w:name="_Toc110355563"/>
      <w:r>
        <w:t>Sewage sludge incineration</w:t>
      </w:r>
      <w:bookmarkEnd w:id="145"/>
    </w:p>
    <w:p w14:paraId="753A853D" w14:textId="59718A6E" w:rsidR="003334DF" w:rsidRDefault="00661AAE" w:rsidP="003833D6">
      <w:pPr>
        <w:spacing w:line="300" w:lineRule="atLeast"/>
        <w:jc w:val="both"/>
        <w:rPr>
          <w:szCs w:val="18"/>
        </w:rPr>
      </w:pPr>
      <w:r>
        <w:rPr>
          <w:szCs w:val="18"/>
        </w:rPr>
        <w:t>There is one sewage sludge incinerator in New Zealand, operated by the Dunedin City Council at its wastewater treatment plant</w:t>
      </w:r>
      <w:r w:rsidR="00DC1C08">
        <w:rPr>
          <w:szCs w:val="18"/>
        </w:rPr>
        <w:t xml:space="preserve"> at Tahuna</w:t>
      </w:r>
      <w:r>
        <w:rPr>
          <w:szCs w:val="18"/>
        </w:rPr>
        <w:t xml:space="preserve"> in Dunedin. The incinerator is a fluidised bed unit</w:t>
      </w:r>
      <w:r w:rsidR="00E56864">
        <w:rPr>
          <w:szCs w:val="18"/>
        </w:rPr>
        <w:t xml:space="preserve"> and is the only one in operation in Australasia. It uses 3.5 m</w:t>
      </w:r>
      <w:r w:rsidR="00E56864" w:rsidRPr="00967B8A">
        <w:rPr>
          <w:szCs w:val="18"/>
          <w:vertAlign w:val="superscript"/>
        </w:rPr>
        <w:t>3</w:t>
      </w:r>
      <w:r w:rsidR="00E56864">
        <w:rPr>
          <w:szCs w:val="18"/>
        </w:rPr>
        <w:t xml:space="preserve"> of sand as the fluidising medium and operates at a nominal combustion temperature of 830 °C. The residence time within the combustion zone is several seconds (</w:t>
      </w:r>
      <w:r w:rsidR="007A024D">
        <w:rPr>
          <w:szCs w:val="18"/>
        </w:rPr>
        <w:t>Drew, S and Henderson, C</w:t>
      </w:r>
      <w:r w:rsidR="00E56864">
        <w:rPr>
          <w:szCs w:val="18"/>
        </w:rPr>
        <w:t>, 2014).  T</w:t>
      </w:r>
      <w:r>
        <w:rPr>
          <w:szCs w:val="18"/>
        </w:rPr>
        <w:t>he exhaust gases are trea</w:t>
      </w:r>
      <w:r w:rsidR="00806345">
        <w:rPr>
          <w:szCs w:val="18"/>
        </w:rPr>
        <w:t>ted in a high-efficiency venturi</w:t>
      </w:r>
      <w:r>
        <w:rPr>
          <w:szCs w:val="18"/>
        </w:rPr>
        <w:t xml:space="preserve"> scrubber, followed by a packed tower caustic scrubber. The gases are then passed through a bark biofilter which acts as a final scrubber, primarily for odour control (</w:t>
      </w:r>
      <w:r w:rsidR="007A024D">
        <w:rPr>
          <w:szCs w:val="18"/>
        </w:rPr>
        <w:t>Dunedin City Council, 2012</w:t>
      </w:r>
      <w:r>
        <w:rPr>
          <w:szCs w:val="18"/>
        </w:rPr>
        <w:t>).</w:t>
      </w:r>
    </w:p>
    <w:p w14:paraId="69F3E909" w14:textId="2C9E8C4F" w:rsidR="00BA7ABE" w:rsidRDefault="003215AB" w:rsidP="003833D6">
      <w:pPr>
        <w:spacing w:line="300" w:lineRule="atLeast"/>
        <w:jc w:val="both"/>
        <w:rPr>
          <w:szCs w:val="18"/>
        </w:rPr>
      </w:pPr>
      <w:r>
        <w:rPr>
          <w:szCs w:val="18"/>
        </w:rPr>
        <w:t xml:space="preserve">About 60% of daily sludge production at the treatment plant is incinerated. For the 2024 calendar year 5425 tonnes of solids were incinerated. This material was comprised of an average of 32.1% dry solids (A Paulino, Dunedin City Council, pers comm 2025). </w:t>
      </w:r>
      <w:r w:rsidR="005379DB">
        <w:rPr>
          <w:szCs w:val="18"/>
        </w:rPr>
        <w:t>Consequently</w:t>
      </w:r>
      <w:r w:rsidR="00AC09F2">
        <w:rPr>
          <w:szCs w:val="18"/>
        </w:rPr>
        <w:t xml:space="preserve"> </w:t>
      </w:r>
      <w:r w:rsidR="00D26105">
        <w:rPr>
          <w:szCs w:val="18"/>
        </w:rPr>
        <w:t>on a dry basis</w:t>
      </w:r>
      <w:r w:rsidR="00C26FC6">
        <w:rPr>
          <w:szCs w:val="18"/>
        </w:rPr>
        <w:t>,</w:t>
      </w:r>
      <w:r w:rsidR="005379DB">
        <w:rPr>
          <w:szCs w:val="18"/>
        </w:rPr>
        <w:t xml:space="preserve"> </w:t>
      </w:r>
      <w:r>
        <w:rPr>
          <w:szCs w:val="18"/>
        </w:rPr>
        <w:t>1,741 tonnes</w:t>
      </w:r>
      <w:r w:rsidR="005379DB">
        <w:rPr>
          <w:szCs w:val="18"/>
        </w:rPr>
        <w:t xml:space="preserve"> of waste water solids were incinerated</w:t>
      </w:r>
      <w:r w:rsidR="00D26105">
        <w:rPr>
          <w:szCs w:val="18"/>
        </w:rPr>
        <w:t xml:space="preserve">. </w:t>
      </w:r>
    </w:p>
    <w:p w14:paraId="25B9F731" w14:textId="745251F3" w:rsidR="001C2BBD" w:rsidRDefault="005379DB" w:rsidP="003833D6">
      <w:pPr>
        <w:spacing w:line="300" w:lineRule="atLeast"/>
        <w:jc w:val="both"/>
        <w:rPr>
          <w:szCs w:val="18"/>
        </w:rPr>
      </w:pPr>
      <w:r>
        <w:rPr>
          <w:szCs w:val="18"/>
        </w:rPr>
        <w:t xml:space="preserve">The previous inventory used </w:t>
      </w:r>
      <w:r w:rsidR="00266D6B">
        <w:rPr>
          <w:szCs w:val="18"/>
        </w:rPr>
        <w:t xml:space="preserve">a mercury composition of 0.56 mg/kg for Dunedin </w:t>
      </w:r>
      <w:r w:rsidR="00806345">
        <w:rPr>
          <w:szCs w:val="18"/>
        </w:rPr>
        <w:t xml:space="preserve">(Green Island) </w:t>
      </w:r>
      <w:r w:rsidR="00266D6B">
        <w:rPr>
          <w:szCs w:val="18"/>
        </w:rPr>
        <w:t>biosolids</w:t>
      </w:r>
      <w:r>
        <w:rPr>
          <w:szCs w:val="18"/>
        </w:rPr>
        <w:t xml:space="preserve">. </w:t>
      </w:r>
      <w:r w:rsidR="003215AB">
        <w:rPr>
          <w:szCs w:val="18"/>
        </w:rPr>
        <w:t xml:space="preserve">No more recent studies of the mercury content of biosolids have been done so this concentration will be used for the current study. </w:t>
      </w:r>
      <w:r>
        <w:rPr>
          <w:szCs w:val="18"/>
        </w:rPr>
        <w:t>On this basis multiplying dry sludge processed by mercury concentration gives</w:t>
      </w:r>
      <w:r w:rsidR="00AC09F2">
        <w:rPr>
          <w:szCs w:val="18"/>
        </w:rPr>
        <w:t xml:space="preserve"> </w:t>
      </w:r>
      <w:r w:rsidR="00266D6B">
        <w:rPr>
          <w:szCs w:val="18"/>
        </w:rPr>
        <w:t>an annual</w:t>
      </w:r>
      <w:r>
        <w:rPr>
          <w:szCs w:val="18"/>
        </w:rPr>
        <w:t xml:space="preserve"> mercury</w:t>
      </w:r>
      <w:r w:rsidR="00266D6B">
        <w:rPr>
          <w:szCs w:val="18"/>
        </w:rPr>
        <w:t xml:space="preserve"> input to the incinerator of 0.</w:t>
      </w:r>
      <w:r w:rsidR="003215AB">
        <w:rPr>
          <w:szCs w:val="18"/>
        </w:rPr>
        <w:t xml:space="preserve">975 </w:t>
      </w:r>
      <w:r w:rsidR="00266D6B">
        <w:rPr>
          <w:szCs w:val="18"/>
        </w:rPr>
        <w:t>kg/year</w:t>
      </w:r>
      <w:r>
        <w:rPr>
          <w:szCs w:val="18"/>
        </w:rPr>
        <w:t>.</w:t>
      </w:r>
      <w:r w:rsidR="00BA7ABE">
        <w:rPr>
          <w:szCs w:val="18"/>
        </w:rPr>
        <w:t xml:space="preserve"> </w:t>
      </w:r>
      <w:r w:rsidR="004D699D">
        <w:rPr>
          <w:szCs w:val="18"/>
        </w:rPr>
        <w:t xml:space="preserve">The </w:t>
      </w:r>
      <w:r w:rsidR="00486D5C">
        <w:rPr>
          <w:szCs w:val="18"/>
        </w:rPr>
        <w:t>incinerator off-gases are</w:t>
      </w:r>
      <w:r w:rsidR="004D699D">
        <w:rPr>
          <w:szCs w:val="18"/>
        </w:rPr>
        <w:t xml:space="preserve"> tested annually for mercury, and the </w:t>
      </w:r>
      <w:r w:rsidR="00BA7ABE">
        <w:rPr>
          <w:szCs w:val="18"/>
        </w:rPr>
        <w:t>average mercury emission result for testing conducted in</w:t>
      </w:r>
      <w:r>
        <w:rPr>
          <w:szCs w:val="18"/>
        </w:rPr>
        <w:t xml:space="preserve"> November</w:t>
      </w:r>
      <w:r w:rsidR="00BA7ABE">
        <w:rPr>
          <w:szCs w:val="18"/>
        </w:rPr>
        <w:t xml:space="preserve"> </w:t>
      </w:r>
      <w:r w:rsidR="003215AB">
        <w:rPr>
          <w:szCs w:val="18"/>
        </w:rPr>
        <w:t xml:space="preserve">2024 </w:t>
      </w:r>
      <w:r w:rsidR="004E4306">
        <w:rPr>
          <w:szCs w:val="18"/>
        </w:rPr>
        <w:t>indicates emissions of</w:t>
      </w:r>
      <w:r w:rsidR="00BA7ABE">
        <w:rPr>
          <w:szCs w:val="18"/>
        </w:rPr>
        <w:t xml:space="preserve"> </w:t>
      </w:r>
      <w:r w:rsidR="003215AB">
        <w:rPr>
          <w:szCs w:val="18"/>
        </w:rPr>
        <w:t>0.377</w:t>
      </w:r>
      <w:r w:rsidR="00BA7ABE">
        <w:rPr>
          <w:szCs w:val="18"/>
        </w:rPr>
        <w:t xml:space="preserve"> kg/year</w:t>
      </w:r>
      <w:r w:rsidR="00755C19">
        <w:rPr>
          <w:szCs w:val="18"/>
        </w:rPr>
        <w:t xml:space="preserve"> </w:t>
      </w:r>
      <w:r w:rsidR="00E80729">
        <w:rPr>
          <w:szCs w:val="18"/>
        </w:rPr>
        <w:t xml:space="preserve">(K2 Environmental, </w:t>
      </w:r>
      <w:r w:rsidR="003215AB">
        <w:rPr>
          <w:szCs w:val="18"/>
        </w:rPr>
        <w:t>2025</w:t>
      </w:r>
      <w:r w:rsidR="00E80729">
        <w:rPr>
          <w:szCs w:val="18"/>
        </w:rPr>
        <w:t>).</w:t>
      </w:r>
      <w:r w:rsidR="004E4306">
        <w:rPr>
          <w:szCs w:val="18"/>
        </w:rPr>
        <w:t xml:space="preserve"> </w:t>
      </w:r>
      <w:r w:rsidR="003215AB">
        <w:rPr>
          <w:szCs w:val="18"/>
        </w:rPr>
        <w:t xml:space="preserve">Given that some mercury will be removed in the venturi scrubber and packed tower caustic scrubber the result is consistent with the estimate </w:t>
      </w:r>
      <w:r w:rsidR="004D699D">
        <w:rPr>
          <w:szCs w:val="18"/>
        </w:rPr>
        <w:t xml:space="preserve">based on biosolids composition. </w:t>
      </w:r>
      <w:r w:rsidR="00343B8E">
        <w:rPr>
          <w:szCs w:val="18"/>
        </w:rPr>
        <w:t xml:space="preserve">The incinerator off-gases </w:t>
      </w:r>
      <w:r w:rsidR="00575993">
        <w:rPr>
          <w:szCs w:val="18"/>
        </w:rPr>
        <w:t>are</w:t>
      </w:r>
      <w:r w:rsidR="00343B8E">
        <w:rPr>
          <w:szCs w:val="18"/>
        </w:rPr>
        <w:t xml:space="preserve"> </w:t>
      </w:r>
      <w:r w:rsidR="003215AB">
        <w:rPr>
          <w:szCs w:val="18"/>
        </w:rPr>
        <w:t xml:space="preserve">further </w:t>
      </w:r>
      <w:r w:rsidR="00343B8E">
        <w:rPr>
          <w:szCs w:val="18"/>
        </w:rPr>
        <w:t>treat</w:t>
      </w:r>
      <w:r w:rsidR="00575993">
        <w:rPr>
          <w:szCs w:val="18"/>
        </w:rPr>
        <w:t>ed by passing</w:t>
      </w:r>
      <w:r w:rsidR="00343B8E">
        <w:rPr>
          <w:szCs w:val="18"/>
        </w:rPr>
        <w:t xml:space="preserve"> through the biofilter, and the tests on the latter shows that it captures more than 99% of the total mercury</w:t>
      </w:r>
      <w:r w:rsidR="003215AB">
        <w:rPr>
          <w:szCs w:val="18"/>
        </w:rPr>
        <w:t xml:space="preserve"> passing through it.</w:t>
      </w:r>
      <w:r w:rsidR="00B41B45">
        <w:rPr>
          <w:szCs w:val="18"/>
        </w:rPr>
        <w:t xml:space="preserve"> I</w:t>
      </w:r>
      <w:r w:rsidR="00266D6B">
        <w:rPr>
          <w:szCs w:val="18"/>
        </w:rPr>
        <w:t xml:space="preserve">t has been assumed that all of the mercury </w:t>
      </w:r>
      <w:r w:rsidR="00343B8E">
        <w:rPr>
          <w:szCs w:val="18"/>
        </w:rPr>
        <w:t xml:space="preserve">will be </w:t>
      </w:r>
      <w:r w:rsidR="00266D6B">
        <w:rPr>
          <w:szCs w:val="18"/>
        </w:rPr>
        <w:t>discharged via solid wastes, either in scrubber residues or in waste bark removed from the biofilter.</w:t>
      </w:r>
    </w:p>
    <w:p w14:paraId="6A4CCAEB" w14:textId="77777777" w:rsidR="00661AAE" w:rsidRPr="00BE17CF" w:rsidRDefault="00661AAE" w:rsidP="00661AAE">
      <w:pPr>
        <w:tabs>
          <w:tab w:val="left" w:pos="2760"/>
        </w:tabs>
        <w:spacing w:before="120" w:line="300" w:lineRule="atLeast"/>
        <w:jc w:val="both"/>
        <w:rPr>
          <w:rFonts w:ascii="Arial" w:hAnsi="Arial" w:cs="Arial"/>
          <w:b/>
          <w:szCs w:val="18"/>
        </w:rPr>
      </w:pPr>
      <w:r w:rsidRPr="00BE17CF">
        <w:rPr>
          <w:rFonts w:ascii="Arial" w:hAnsi="Arial" w:cs="Arial"/>
          <w:b/>
          <w:szCs w:val="18"/>
        </w:rPr>
        <w:t>Certainty assessment</w:t>
      </w:r>
    </w:p>
    <w:p w14:paraId="1F119B73" w14:textId="7F2415EF" w:rsidR="00661AAE" w:rsidRDefault="00661AAE" w:rsidP="00661AAE">
      <w:pPr>
        <w:tabs>
          <w:tab w:val="left" w:pos="1701"/>
        </w:tabs>
        <w:spacing w:line="300" w:lineRule="atLeast"/>
        <w:jc w:val="both"/>
        <w:rPr>
          <w:szCs w:val="18"/>
        </w:rPr>
      </w:pPr>
      <w:r>
        <w:rPr>
          <w:szCs w:val="18"/>
        </w:rPr>
        <w:t xml:space="preserve">Activity data: </w:t>
      </w:r>
      <w:r>
        <w:rPr>
          <w:szCs w:val="18"/>
        </w:rPr>
        <w:tab/>
      </w:r>
      <w:r w:rsidR="00FA5964">
        <w:rPr>
          <w:szCs w:val="18"/>
        </w:rPr>
        <w:t>HIGH</w:t>
      </w:r>
      <w:r>
        <w:rPr>
          <w:szCs w:val="18"/>
        </w:rPr>
        <w:t xml:space="preserve"> (because it </w:t>
      </w:r>
      <w:r w:rsidR="00FA5964">
        <w:rPr>
          <w:szCs w:val="18"/>
        </w:rPr>
        <w:t xml:space="preserve">is based on monitored </w:t>
      </w:r>
      <w:r w:rsidR="000C0B58">
        <w:rPr>
          <w:szCs w:val="18"/>
        </w:rPr>
        <w:t>sludge quantities</w:t>
      </w:r>
      <w:r>
        <w:rPr>
          <w:szCs w:val="18"/>
        </w:rPr>
        <w:t>)</w:t>
      </w:r>
    </w:p>
    <w:p w14:paraId="01854AD8" w14:textId="77777777" w:rsidR="00661AAE" w:rsidRDefault="00661AAE" w:rsidP="00661AAE">
      <w:pPr>
        <w:tabs>
          <w:tab w:val="left" w:pos="1701"/>
        </w:tabs>
        <w:spacing w:line="300" w:lineRule="atLeast"/>
        <w:jc w:val="both"/>
        <w:rPr>
          <w:szCs w:val="18"/>
        </w:rPr>
      </w:pPr>
      <w:r>
        <w:rPr>
          <w:szCs w:val="18"/>
        </w:rPr>
        <w:t xml:space="preserve">Input estimates: </w:t>
      </w:r>
      <w:r>
        <w:rPr>
          <w:szCs w:val="18"/>
        </w:rPr>
        <w:tab/>
      </w:r>
      <w:r w:rsidR="00F211F7">
        <w:rPr>
          <w:szCs w:val="18"/>
        </w:rPr>
        <w:t>MEDIUM</w:t>
      </w:r>
      <w:r>
        <w:rPr>
          <w:szCs w:val="18"/>
        </w:rPr>
        <w:t xml:space="preserve"> (</w:t>
      </w:r>
      <w:r w:rsidRPr="00944DCC">
        <w:rPr>
          <w:szCs w:val="18"/>
        </w:rPr>
        <w:t xml:space="preserve">because </w:t>
      </w:r>
      <w:r>
        <w:rPr>
          <w:szCs w:val="18"/>
        </w:rPr>
        <w:t xml:space="preserve">it was based on </w:t>
      </w:r>
      <w:r w:rsidR="00F211F7">
        <w:rPr>
          <w:szCs w:val="18"/>
        </w:rPr>
        <w:t>previous data for biosolids composition</w:t>
      </w:r>
      <w:r>
        <w:rPr>
          <w:szCs w:val="18"/>
        </w:rPr>
        <w:t>)</w:t>
      </w:r>
    </w:p>
    <w:p w14:paraId="7194FF8E" w14:textId="77777777" w:rsidR="00661AAE" w:rsidRPr="0028681C" w:rsidRDefault="00661AAE" w:rsidP="00661AAE">
      <w:pPr>
        <w:tabs>
          <w:tab w:val="left" w:pos="1701"/>
        </w:tabs>
        <w:spacing w:line="300" w:lineRule="atLeast"/>
        <w:jc w:val="both"/>
        <w:rPr>
          <w:szCs w:val="18"/>
        </w:rPr>
      </w:pPr>
      <w:r>
        <w:rPr>
          <w:szCs w:val="18"/>
        </w:rPr>
        <w:t xml:space="preserve">Output estimates: </w:t>
      </w:r>
      <w:r>
        <w:rPr>
          <w:szCs w:val="18"/>
        </w:rPr>
        <w:tab/>
        <w:t>LOW (</w:t>
      </w:r>
      <w:r w:rsidRPr="00944DCC">
        <w:rPr>
          <w:szCs w:val="18"/>
        </w:rPr>
        <w:t xml:space="preserve">because the </w:t>
      </w:r>
      <w:r>
        <w:rPr>
          <w:szCs w:val="18"/>
        </w:rPr>
        <w:t xml:space="preserve">output distribution was based on </w:t>
      </w:r>
      <w:r w:rsidR="00F211F7">
        <w:rPr>
          <w:szCs w:val="18"/>
        </w:rPr>
        <w:t>indicative US information</w:t>
      </w:r>
      <w:r>
        <w:rPr>
          <w:szCs w:val="18"/>
        </w:rPr>
        <w:t>).</w:t>
      </w:r>
    </w:p>
    <w:p w14:paraId="7C1CE88A" w14:textId="77777777" w:rsidR="00AB6D27" w:rsidRDefault="00AB6D27" w:rsidP="00AB6D27">
      <w:pPr>
        <w:pStyle w:val="Heading2"/>
      </w:pPr>
      <w:bookmarkStart w:id="146" w:name="_Toc110355564"/>
      <w:r>
        <w:t>Informal incineration</w:t>
      </w:r>
      <w:bookmarkEnd w:id="146"/>
    </w:p>
    <w:p w14:paraId="60179EF6" w14:textId="7EA44862" w:rsidR="00950CC3" w:rsidRDefault="00A85FB4" w:rsidP="003833D6">
      <w:pPr>
        <w:spacing w:line="300" w:lineRule="atLeast"/>
        <w:jc w:val="both"/>
        <w:rPr>
          <w:szCs w:val="18"/>
        </w:rPr>
      </w:pPr>
      <w:r>
        <w:rPr>
          <w:szCs w:val="18"/>
        </w:rPr>
        <w:t>This Toolkit category covers unregulated waste disposal practices such as b</w:t>
      </w:r>
      <w:r w:rsidR="00AB6D27">
        <w:rPr>
          <w:szCs w:val="18"/>
        </w:rPr>
        <w:t xml:space="preserve">ackyard </w:t>
      </w:r>
      <w:r>
        <w:rPr>
          <w:szCs w:val="18"/>
        </w:rPr>
        <w:t xml:space="preserve">rubbish </w:t>
      </w:r>
      <w:r w:rsidR="00AB6D27">
        <w:rPr>
          <w:szCs w:val="18"/>
        </w:rPr>
        <w:t>burning</w:t>
      </w:r>
      <w:r>
        <w:rPr>
          <w:szCs w:val="18"/>
        </w:rPr>
        <w:t xml:space="preserve">. </w:t>
      </w:r>
      <w:r w:rsidR="00C26FC6">
        <w:rPr>
          <w:szCs w:val="18"/>
        </w:rPr>
        <w:t xml:space="preserve">The latest New Zealand dioxin inventory for </w:t>
      </w:r>
      <w:r w:rsidR="00913FFF">
        <w:rPr>
          <w:szCs w:val="18"/>
        </w:rPr>
        <w:t xml:space="preserve">2024 </w:t>
      </w:r>
      <w:r w:rsidR="007747A3">
        <w:rPr>
          <w:szCs w:val="18"/>
        </w:rPr>
        <w:t xml:space="preserve">(MfE, </w:t>
      </w:r>
      <w:r w:rsidR="00913FFF">
        <w:rPr>
          <w:szCs w:val="18"/>
        </w:rPr>
        <w:t>2026)</w:t>
      </w:r>
      <w:r w:rsidR="007747A3">
        <w:rPr>
          <w:szCs w:val="18"/>
        </w:rPr>
        <w:t xml:space="preserve"> </w:t>
      </w:r>
      <w:r>
        <w:rPr>
          <w:szCs w:val="18"/>
        </w:rPr>
        <w:t xml:space="preserve">estimated that the quantity of domestic wastes burned annually in New Zealand was about </w:t>
      </w:r>
      <w:r w:rsidR="00913FFF">
        <w:rPr>
          <w:szCs w:val="18"/>
        </w:rPr>
        <w:t>12,578</w:t>
      </w:r>
      <w:r>
        <w:rPr>
          <w:szCs w:val="18"/>
        </w:rPr>
        <w:t xml:space="preserve"> tonnes/year. </w:t>
      </w:r>
    </w:p>
    <w:p w14:paraId="528C6A9A" w14:textId="60E6E461" w:rsidR="00950CC3" w:rsidRDefault="00F133D4" w:rsidP="003833D6">
      <w:pPr>
        <w:spacing w:line="300" w:lineRule="atLeast"/>
        <w:jc w:val="both"/>
        <w:rPr>
          <w:szCs w:val="18"/>
        </w:rPr>
      </w:pPr>
      <w:r>
        <w:rPr>
          <w:szCs w:val="18"/>
        </w:rPr>
        <w:t xml:space="preserve">There </w:t>
      </w:r>
      <w:r w:rsidR="007747A3">
        <w:rPr>
          <w:szCs w:val="18"/>
        </w:rPr>
        <w:t xml:space="preserve">is </w:t>
      </w:r>
      <w:r w:rsidR="002965FF">
        <w:rPr>
          <w:szCs w:val="18"/>
        </w:rPr>
        <w:t>no data available on the mercury content of New Zealand municipal solid wastes</w:t>
      </w:r>
      <w:r w:rsidR="00950CC3">
        <w:rPr>
          <w:szCs w:val="18"/>
        </w:rPr>
        <w:t>.</w:t>
      </w:r>
      <w:r w:rsidR="00AC09F2">
        <w:rPr>
          <w:szCs w:val="18"/>
        </w:rPr>
        <w:t xml:space="preserve"> </w:t>
      </w:r>
      <w:r w:rsidR="009E118C">
        <w:rPr>
          <w:szCs w:val="18"/>
        </w:rPr>
        <w:t>For the 2012 and 2016 inventories</w:t>
      </w:r>
      <w:r w:rsidR="002965FF">
        <w:rPr>
          <w:szCs w:val="18"/>
        </w:rPr>
        <w:t xml:space="preserve"> Toolkit default factors of 1 – 10 g/tonne</w:t>
      </w:r>
      <w:r w:rsidR="00D838BA">
        <w:rPr>
          <w:szCs w:val="18"/>
        </w:rPr>
        <w:t xml:space="preserve"> were </w:t>
      </w:r>
      <w:r w:rsidR="009E118C">
        <w:rPr>
          <w:szCs w:val="18"/>
        </w:rPr>
        <w:t>applied. For t</w:t>
      </w:r>
      <w:r w:rsidR="00950CC3">
        <w:rPr>
          <w:szCs w:val="18"/>
        </w:rPr>
        <w:t xml:space="preserve">he most recent Toolkit revision </w:t>
      </w:r>
      <w:r w:rsidR="009E118C">
        <w:rPr>
          <w:szCs w:val="18"/>
        </w:rPr>
        <w:t>a</w:t>
      </w:r>
      <w:r w:rsidR="00950CC3">
        <w:rPr>
          <w:szCs w:val="18"/>
        </w:rPr>
        <w:t xml:space="preserve"> range of 0.2 – 4 g/tonne of waste with an intermediate value specified as 1g/ tonne of waste</w:t>
      </w:r>
      <w:r w:rsidR="009E118C">
        <w:rPr>
          <w:szCs w:val="18"/>
        </w:rPr>
        <w:t xml:space="preserve"> </w:t>
      </w:r>
      <w:r w:rsidR="00B41B45">
        <w:rPr>
          <w:szCs w:val="18"/>
        </w:rPr>
        <w:t>was</w:t>
      </w:r>
      <w:r w:rsidR="009E118C">
        <w:rPr>
          <w:szCs w:val="18"/>
        </w:rPr>
        <w:t xml:space="preserve"> recommended. As is discussed more fully in Section 11.1, the intermediate factor is seen as most appropriate for New Zealand. </w:t>
      </w:r>
    </w:p>
    <w:p w14:paraId="7C11E88C" w14:textId="467C56B9" w:rsidR="00AB6D27" w:rsidRDefault="002965FF" w:rsidP="003833D6">
      <w:pPr>
        <w:spacing w:line="300" w:lineRule="atLeast"/>
        <w:jc w:val="both"/>
        <w:rPr>
          <w:szCs w:val="18"/>
        </w:rPr>
      </w:pPr>
      <w:r>
        <w:rPr>
          <w:szCs w:val="18"/>
        </w:rPr>
        <w:t>Applying this to the a</w:t>
      </w:r>
      <w:r w:rsidR="00F133D4">
        <w:rPr>
          <w:szCs w:val="18"/>
        </w:rPr>
        <w:t xml:space="preserve">nnual waste quantities </w:t>
      </w:r>
      <w:r w:rsidR="007747A3">
        <w:rPr>
          <w:szCs w:val="18"/>
        </w:rPr>
        <w:t xml:space="preserve">indicates </w:t>
      </w:r>
      <w:r>
        <w:rPr>
          <w:szCs w:val="18"/>
        </w:rPr>
        <w:t xml:space="preserve">an annual </w:t>
      </w:r>
      <w:r w:rsidR="007748A4">
        <w:rPr>
          <w:szCs w:val="18"/>
        </w:rPr>
        <w:t xml:space="preserve">mercury </w:t>
      </w:r>
      <w:r>
        <w:rPr>
          <w:szCs w:val="18"/>
        </w:rPr>
        <w:t xml:space="preserve">input of </w:t>
      </w:r>
      <w:r w:rsidR="00D838BA">
        <w:rPr>
          <w:szCs w:val="18"/>
        </w:rPr>
        <w:t>12.</w:t>
      </w:r>
      <w:r w:rsidR="00E748D7">
        <w:rPr>
          <w:szCs w:val="18"/>
        </w:rPr>
        <w:t>6</w:t>
      </w:r>
      <w:r>
        <w:rPr>
          <w:szCs w:val="18"/>
        </w:rPr>
        <w:t xml:space="preserve"> kg/yr.</w:t>
      </w:r>
      <w:r w:rsidR="00755C19">
        <w:rPr>
          <w:szCs w:val="18"/>
        </w:rPr>
        <w:t xml:space="preserve"> </w:t>
      </w:r>
      <w:r w:rsidR="007748A4">
        <w:rPr>
          <w:szCs w:val="18"/>
        </w:rPr>
        <w:t xml:space="preserve">For the output calculations, it </w:t>
      </w:r>
      <w:r w:rsidR="007747A3">
        <w:rPr>
          <w:szCs w:val="18"/>
        </w:rPr>
        <w:t xml:space="preserve">is </w:t>
      </w:r>
      <w:r w:rsidR="007748A4">
        <w:rPr>
          <w:szCs w:val="18"/>
        </w:rPr>
        <w:t>assu</w:t>
      </w:r>
      <w:r w:rsidR="005905F5">
        <w:rPr>
          <w:szCs w:val="18"/>
        </w:rPr>
        <w:t xml:space="preserve">med that all of the mercury </w:t>
      </w:r>
      <w:r w:rsidR="007747A3">
        <w:rPr>
          <w:szCs w:val="18"/>
        </w:rPr>
        <w:t xml:space="preserve">is </w:t>
      </w:r>
      <w:r w:rsidR="007748A4">
        <w:rPr>
          <w:szCs w:val="18"/>
        </w:rPr>
        <w:t>discharged to air.</w:t>
      </w:r>
    </w:p>
    <w:p w14:paraId="385D3876" w14:textId="77777777" w:rsidR="007748A4" w:rsidRPr="00BE17CF" w:rsidRDefault="007748A4" w:rsidP="007748A4">
      <w:pPr>
        <w:tabs>
          <w:tab w:val="left" w:pos="2760"/>
        </w:tabs>
        <w:spacing w:before="120" w:line="300" w:lineRule="atLeast"/>
        <w:jc w:val="both"/>
        <w:rPr>
          <w:rFonts w:ascii="Arial" w:hAnsi="Arial" w:cs="Arial"/>
          <w:b/>
          <w:szCs w:val="18"/>
        </w:rPr>
      </w:pPr>
      <w:r w:rsidRPr="00BE17CF">
        <w:rPr>
          <w:rFonts w:ascii="Arial" w:hAnsi="Arial" w:cs="Arial"/>
          <w:b/>
          <w:szCs w:val="18"/>
        </w:rPr>
        <w:t>Certainty assessment</w:t>
      </w:r>
    </w:p>
    <w:p w14:paraId="6B4BDFBB" w14:textId="44249D54" w:rsidR="007748A4" w:rsidRDefault="007748A4" w:rsidP="007748A4">
      <w:pPr>
        <w:tabs>
          <w:tab w:val="left" w:pos="1701"/>
        </w:tabs>
        <w:spacing w:line="300" w:lineRule="atLeast"/>
        <w:jc w:val="both"/>
        <w:rPr>
          <w:szCs w:val="18"/>
        </w:rPr>
      </w:pPr>
      <w:r>
        <w:rPr>
          <w:szCs w:val="18"/>
        </w:rPr>
        <w:t xml:space="preserve">Activity data: </w:t>
      </w:r>
      <w:r>
        <w:rPr>
          <w:szCs w:val="18"/>
        </w:rPr>
        <w:tab/>
        <w:t xml:space="preserve">LOW (because it was based on a limited amount of </w:t>
      </w:r>
      <w:r w:rsidR="000C0B58">
        <w:rPr>
          <w:szCs w:val="18"/>
        </w:rPr>
        <w:t xml:space="preserve">historical </w:t>
      </w:r>
      <w:r>
        <w:rPr>
          <w:szCs w:val="18"/>
        </w:rPr>
        <w:t>survey data)</w:t>
      </w:r>
    </w:p>
    <w:p w14:paraId="58D2F31B" w14:textId="77777777" w:rsidR="007748A4" w:rsidRDefault="007748A4" w:rsidP="007748A4">
      <w:pPr>
        <w:tabs>
          <w:tab w:val="left" w:pos="1701"/>
        </w:tabs>
        <w:spacing w:line="300" w:lineRule="atLeast"/>
        <w:jc w:val="both"/>
        <w:rPr>
          <w:szCs w:val="18"/>
        </w:rPr>
      </w:pPr>
      <w:r>
        <w:rPr>
          <w:szCs w:val="18"/>
        </w:rPr>
        <w:t xml:space="preserve">Input estimates: </w:t>
      </w:r>
      <w:r>
        <w:rPr>
          <w:szCs w:val="18"/>
        </w:rPr>
        <w:tab/>
        <w:t>LOW (</w:t>
      </w:r>
      <w:r w:rsidRPr="00944DCC">
        <w:rPr>
          <w:szCs w:val="18"/>
        </w:rPr>
        <w:t xml:space="preserve">because </w:t>
      </w:r>
      <w:r>
        <w:rPr>
          <w:szCs w:val="18"/>
        </w:rPr>
        <w:t>it was based on the default Toolkit factors)</w:t>
      </w:r>
    </w:p>
    <w:p w14:paraId="2FC53B7C" w14:textId="77777777" w:rsidR="007748A4" w:rsidRPr="0028681C" w:rsidRDefault="007748A4" w:rsidP="007748A4">
      <w:pPr>
        <w:tabs>
          <w:tab w:val="left" w:pos="1701"/>
        </w:tabs>
        <w:spacing w:line="300" w:lineRule="atLeast"/>
        <w:jc w:val="both"/>
        <w:rPr>
          <w:szCs w:val="18"/>
        </w:rPr>
      </w:pPr>
      <w:r>
        <w:rPr>
          <w:szCs w:val="18"/>
        </w:rPr>
        <w:t xml:space="preserve">Output estimates: </w:t>
      </w:r>
      <w:r>
        <w:rPr>
          <w:szCs w:val="18"/>
        </w:rPr>
        <w:tab/>
        <w:t>LOW (</w:t>
      </w:r>
      <w:r w:rsidRPr="00944DCC">
        <w:rPr>
          <w:szCs w:val="18"/>
        </w:rPr>
        <w:t xml:space="preserve">because the </w:t>
      </w:r>
      <w:r>
        <w:rPr>
          <w:szCs w:val="18"/>
        </w:rPr>
        <w:t>output distribution was assumed).</w:t>
      </w:r>
    </w:p>
    <w:p w14:paraId="3C87D45F" w14:textId="77777777" w:rsidR="00AB6D27" w:rsidRPr="003970B7" w:rsidRDefault="00AB6D27" w:rsidP="00AB6D27">
      <w:pPr>
        <w:pStyle w:val="Heading2"/>
      </w:pPr>
      <w:bookmarkStart w:id="147" w:name="_Toc110355565"/>
      <w:r w:rsidRPr="003970B7">
        <w:t>Other incineration</w:t>
      </w:r>
      <w:bookmarkEnd w:id="147"/>
    </w:p>
    <w:p w14:paraId="41EB0F90" w14:textId="77777777" w:rsidR="00343B8E" w:rsidRPr="003970B7" w:rsidRDefault="00343B8E" w:rsidP="003833D6">
      <w:pPr>
        <w:spacing w:line="300" w:lineRule="atLeast"/>
        <w:jc w:val="both"/>
        <w:rPr>
          <w:szCs w:val="18"/>
        </w:rPr>
      </w:pPr>
      <w:r w:rsidRPr="003970B7">
        <w:rPr>
          <w:szCs w:val="18"/>
        </w:rPr>
        <w:t>(Note: this is not a Toolkit category, but has been added to accommodate several other New Zealand incinerators).</w:t>
      </w:r>
    </w:p>
    <w:p w14:paraId="016F2E71" w14:textId="34917542" w:rsidR="00C056B9" w:rsidRDefault="00B06DB8" w:rsidP="003833D6">
      <w:pPr>
        <w:spacing w:line="300" w:lineRule="atLeast"/>
        <w:jc w:val="both"/>
        <w:rPr>
          <w:szCs w:val="18"/>
        </w:rPr>
      </w:pPr>
      <w:r w:rsidRPr="003970B7">
        <w:rPr>
          <w:szCs w:val="18"/>
        </w:rPr>
        <w:t xml:space="preserve">The </w:t>
      </w:r>
      <w:r w:rsidR="001E58C3">
        <w:rPr>
          <w:szCs w:val="18"/>
        </w:rPr>
        <w:t xml:space="preserve">2024 </w:t>
      </w:r>
      <w:r w:rsidRPr="003970B7">
        <w:rPr>
          <w:szCs w:val="18"/>
        </w:rPr>
        <w:t>Dioxin Inventory (</w:t>
      </w:r>
      <w:r w:rsidR="00C55B14">
        <w:rPr>
          <w:szCs w:val="18"/>
        </w:rPr>
        <w:t xml:space="preserve">MfE, </w:t>
      </w:r>
      <w:r w:rsidR="00913FFF">
        <w:rPr>
          <w:szCs w:val="18"/>
        </w:rPr>
        <w:t>2026</w:t>
      </w:r>
      <w:r w:rsidRPr="003970B7">
        <w:rPr>
          <w:szCs w:val="18"/>
        </w:rPr>
        <w:t xml:space="preserve">) lists </w:t>
      </w:r>
      <w:r w:rsidR="007B1CD0">
        <w:rPr>
          <w:szCs w:val="18"/>
        </w:rPr>
        <w:t xml:space="preserve">some </w:t>
      </w:r>
      <w:r w:rsidRPr="003970B7">
        <w:rPr>
          <w:szCs w:val="18"/>
        </w:rPr>
        <w:t xml:space="preserve">other incineration sources in New Zealand, including </w:t>
      </w:r>
      <w:r w:rsidR="00C45E55">
        <w:rPr>
          <w:szCs w:val="18"/>
        </w:rPr>
        <w:t>6</w:t>
      </w:r>
      <w:r w:rsidRPr="003970B7">
        <w:rPr>
          <w:szCs w:val="18"/>
        </w:rPr>
        <w:t xml:space="preserve"> school incinerators, and </w:t>
      </w:r>
      <w:r w:rsidR="00C056B9">
        <w:rPr>
          <w:szCs w:val="18"/>
        </w:rPr>
        <w:t>28</w:t>
      </w:r>
      <w:r w:rsidRPr="003970B7">
        <w:rPr>
          <w:szCs w:val="18"/>
        </w:rPr>
        <w:t xml:space="preserve"> </w:t>
      </w:r>
      <w:r w:rsidR="00E67AC7">
        <w:rPr>
          <w:szCs w:val="18"/>
        </w:rPr>
        <w:t>pet</w:t>
      </w:r>
      <w:r w:rsidRPr="003970B7">
        <w:rPr>
          <w:szCs w:val="18"/>
        </w:rPr>
        <w:t xml:space="preserve"> incinerators. </w:t>
      </w:r>
    </w:p>
    <w:p w14:paraId="71C0D2FD" w14:textId="7D31C0F6" w:rsidR="00AB6D27" w:rsidRPr="003970B7" w:rsidRDefault="00B06DB8" w:rsidP="003833D6">
      <w:pPr>
        <w:spacing w:line="300" w:lineRule="atLeast"/>
        <w:jc w:val="both"/>
        <w:rPr>
          <w:szCs w:val="18"/>
        </w:rPr>
      </w:pPr>
      <w:r w:rsidRPr="003970B7">
        <w:rPr>
          <w:szCs w:val="18"/>
        </w:rPr>
        <w:t xml:space="preserve">The estimated waste throughput for the school incinerators was only </w:t>
      </w:r>
      <w:r w:rsidR="00C45E55">
        <w:rPr>
          <w:szCs w:val="18"/>
        </w:rPr>
        <w:t>6</w:t>
      </w:r>
      <w:r w:rsidRPr="003970B7">
        <w:rPr>
          <w:szCs w:val="18"/>
        </w:rPr>
        <w:t xml:space="preserve"> tonnes/year, in total</w:t>
      </w:r>
      <w:r w:rsidR="00E67AC7">
        <w:rPr>
          <w:szCs w:val="18"/>
        </w:rPr>
        <w:t xml:space="preserve">. </w:t>
      </w:r>
      <w:r w:rsidRPr="003970B7">
        <w:rPr>
          <w:szCs w:val="18"/>
        </w:rPr>
        <w:t>The wastes burned in these units would have a similar composition to that burned in backyard rubbish fires, and would only add a further 0.</w:t>
      </w:r>
      <w:r w:rsidR="006572B6">
        <w:rPr>
          <w:szCs w:val="18"/>
        </w:rPr>
        <w:t>1</w:t>
      </w:r>
      <w:r w:rsidRPr="003970B7">
        <w:rPr>
          <w:szCs w:val="18"/>
        </w:rPr>
        <w:t xml:space="preserve">% to the estimated mercury inputs. Therefore, these sources </w:t>
      </w:r>
      <w:r w:rsidR="003970B7">
        <w:rPr>
          <w:szCs w:val="18"/>
        </w:rPr>
        <w:t>have</w:t>
      </w:r>
      <w:r w:rsidRPr="003970B7">
        <w:rPr>
          <w:szCs w:val="18"/>
        </w:rPr>
        <w:t xml:space="preserve"> simply be</w:t>
      </w:r>
      <w:r w:rsidR="003970B7">
        <w:rPr>
          <w:szCs w:val="18"/>
        </w:rPr>
        <w:t>en</w:t>
      </w:r>
      <w:r w:rsidRPr="003970B7">
        <w:rPr>
          <w:szCs w:val="18"/>
        </w:rPr>
        <w:t xml:space="preserve"> added to the total informal waste incineration category.</w:t>
      </w:r>
    </w:p>
    <w:p w14:paraId="0D6B1F49" w14:textId="49B3403B" w:rsidR="00AB6D27" w:rsidRPr="003970B7" w:rsidRDefault="002B4B43" w:rsidP="003833D6">
      <w:pPr>
        <w:spacing w:line="300" w:lineRule="atLeast"/>
        <w:jc w:val="both"/>
        <w:rPr>
          <w:szCs w:val="18"/>
        </w:rPr>
      </w:pPr>
      <w:r w:rsidRPr="003970B7">
        <w:rPr>
          <w:szCs w:val="18"/>
        </w:rPr>
        <w:t>The total estimated throughput for the</w:t>
      </w:r>
      <w:r w:rsidR="00E67AC7">
        <w:rPr>
          <w:szCs w:val="18"/>
        </w:rPr>
        <w:t xml:space="preserve"> pet</w:t>
      </w:r>
      <w:r w:rsidRPr="003970B7">
        <w:rPr>
          <w:szCs w:val="18"/>
        </w:rPr>
        <w:t xml:space="preserve"> cremators </w:t>
      </w:r>
      <w:r w:rsidR="001E58C3">
        <w:rPr>
          <w:szCs w:val="18"/>
        </w:rPr>
        <w:t xml:space="preserve">by the 2024 Dioxin Inventory (MfE, 2026) </w:t>
      </w:r>
      <w:r w:rsidRPr="003970B7">
        <w:rPr>
          <w:szCs w:val="18"/>
        </w:rPr>
        <w:t xml:space="preserve">was about </w:t>
      </w:r>
      <w:r w:rsidR="004D6642">
        <w:rPr>
          <w:szCs w:val="18"/>
        </w:rPr>
        <w:t>510</w:t>
      </w:r>
      <w:r w:rsidR="007B1CD0" w:rsidRPr="003970B7">
        <w:rPr>
          <w:szCs w:val="18"/>
        </w:rPr>
        <w:t xml:space="preserve"> </w:t>
      </w:r>
      <w:r w:rsidRPr="003970B7">
        <w:rPr>
          <w:szCs w:val="18"/>
        </w:rPr>
        <w:t xml:space="preserve">tonnes/year, in </w:t>
      </w:r>
      <w:r w:rsidR="008C4ECC">
        <w:rPr>
          <w:szCs w:val="18"/>
        </w:rPr>
        <w:t>2024.</w:t>
      </w:r>
      <w:r w:rsidR="003077C1">
        <w:rPr>
          <w:szCs w:val="18"/>
        </w:rPr>
        <w:t xml:space="preserve"> </w:t>
      </w:r>
      <w:r w:rsidR="00BA1534">
        <w:rPr>
          <w:szCs w:val="18"/>
        </w:rPr>
        <w:t>The pet cremators</w:t>
      </w:r>
      <w:r w:rsidRPr="003970B7">
        <w:rPr>
          <w:szCs w:val="18"/>
        </w:rPr>
        <w:t xml:space="preserve"> are similar in design to crematoria and can be assessed using the same approach as described in section 12.1</w:t>
      </w:r>
      <w:r w:rsidR="00866EEE" w:rsidRPr="003970B7">
        <w:rPr>
          <w:szCs w:val="18"/>
        </w:rPr>
        <w:t xml:space="preserve">, but with adjustment for a lower mercury content. </w:t>
      </w:r>
      <w:r w:rsidR="002F0CD0" w:rsidRPr="003970B7">
        <w:rPr>
          <w:szCs w:val="18"/>
        </w:rPr>
        <w:t>Some indication of the likely mercury level in pets and other animals is given by the following 2 publications. A</w:t>
      </w:r>
      <w:r w:rsidR="007257F3" w:rsidRPr="003970B7">
        <w:rPr>
          <w:szCs w:val="18"/>
        </w:rPr>
        <w:t xml:space="preserve"> study on </w:t>
      </w:r>
      <w:r w:rsidR="002F0CD0" w:rsidRPr="003970B7">
        <w:rPr>
          <w:szCs w:val="18"/>
        </w:rPr>
        <w:t xml:space="preserve">a range of healthy </w:t>
      </w:r>
      <w:r w:rsidR="007257F3" w:rsidRPr="003970B7">
        <w:rPr>
          <w:szCs w:val="18"/>
        </w:rPr>
        <w:t>US animals found no mercury in dog tissues at a detection limit of 0.0002 g/kilogram</w:t>
      </w:r>
      <w:r w:rsidR="009B353C" w:rsidRPr="003970B7">
        <w:rPr>
          <w:szCs w:val="18"/>
        </w:rPr>
        <w:t xml:space="preserve"> (Penumarthy </w:t>
      </w:r>
      <w:r w:rsidR="009B353C" w:rsidRPr="003970B7">
        <w:rPr>
          <w:i/>
          <w:szCs w:val="18"/>
        </w:rPr>
        <w:t>et al</w:t>
      </w:r>
      <w:r w:rsidR="009B353C" w:rsidRPr="003970B7">
        <w:rPr>
          <w:szCs w:val="18"/>
        </w:rPr>
        <w:t>, 1980)</w:t>
      </w:r>
      <w:r w:rsidR="002F0CD0" w:rsidRPr="003970B7">
        <w:rPr>
          <w:szCs w:val="18"/>
        </w:rPr>
        <w:t>. However</w:t>
      </w:r>
      <w:r w:rsidR="007257F3" w:rsidRPr="003970B7">
        <w:rPr>
          <w:szCs w:val="18"/>
        </w:rPr>
        <w:t>, a report on a small dog suspected of suffering from mercury poisoning found concentrations of 0.003 mg/kg</w:t>
      </w:r>
      <w:r w:rsidR="009B353C" w:rsidRPr="003970B7">
        <w:rPr>
          <w:szCs w:val="18"/>
        </w:rPr>
        <w:t xml:space="preserve"> </w:t>
      </w:r>
      <w:r w:rsidR="00824912" w:rsidRPr="003970B7">
        <w:rPr>
          <w:szCs w:val="18"/>
        </w:rPr>
        <w:t>(Far</w:t>
      </w:r>
      <w:r w:rsidR="009109B3" w:rsidRPr="003970B7">
        <w:rPr>
          <w:szCs w:val="18"/>
        </w:rPr>
        <w:t xml:space="preserve">rar </w:t>
      </w:r>
      <w:r w:rsidR="009109B3" w:rsidRPr="003970B7">
        <w:rPr>
          <w:i/>
          <w:szCs w:val="18"/>
        </w:rPr>
        <w:t>et al</w:t>
      </w:r>
      <w:r w:rsidR="009109B3" w:rsidRPr="003970B7">
        <w:rPr>
          <w:szCs w:val="18"/>
        </w:rPr>
        <w:t>, 1994)</w:t>
      </w:r>
      <w:r w:rsidR="007257F3" w:rsidRPr="003970B7">
        <w:rPr>
          <w:szCs w:val="18"/>
        </w:rPr>
        <w:t xml:space="preserve">. On the basis of these studies, a mercury concentration of 0.001 g/kg has been used for the input estimates, to give an annual </w:t>
      </w:r>
      <w:r w:rsidR="00866EEE" w:rsidRPr="003970B7">
        <w:rPr>
          <w:szCs w:val="18"/>
        </w:rPr>
        <w:t xml:space="preserve">mercury input of </w:t>
      </w:r>
      <w:r w:rsidR="004D6642">
        <w:rPr>
          <w:szCs w:val="18"/>
        </w:rPr>
        <w:t>0.51</w:t>
      </w:r>
      <w:r w:rsidR="003077C1">
        <w:rPr>
          <w:szCs w:val="18"/>
        </w:rPr>
        <w:t xml:space="preserve"> </w:t>
      </w:r>
      <w:r w:rsidR="00320CD2" w:rsidRPr="003970B7">
        <w:rPr>
          <w:szCs w:val="18"/>
        </w:rPr>
        <w:t>kg/year.</w:t>
      </w:r>
      <w:r w:rsidR="00866EEE" w:rsidRPr="003970B7">
        <w:rPr>
          <w:szCs w:val="18"/>
        </w:rPr>
        <w:t xml:space="preserve"> </w:t>
      </w:r>
      <w:r w:rsidR="00320CD2" w:rsidRPr="003970B7">
        <w:rPr>
          <w:szCs w:val="18"/>
        </w:rPr>
        <w:t>It has been assumed that all of the mercury outputs will be released to air.</w:t>
      </w:r>
    </w:p>
    <w:p w14:paraId="619BF23C" w14:textId="77777777" w:rsidR="00320CD2" w:rsidRPr="003970B7" w:rsidRDefault="00320CD2" w:rsidP="00320CD2">
      <w:pPr>
        <w:tabs>
          <w:tab w:val="left" w:pos="2760"/>
        </w:tabs>
        <w:spacing w:before="120" w:line="300" w:lineRule="atLeast"/>
        <w:jc w:val="both"/>
        <w:rPr>
          <w:rFonts w:ascii="Arial" w:hAnsi="Arial" w:cs="Arial"/>
          <w:b/>
          <w:szCs w:val="18"/>
        </w:rPr>
      </w:pPr>
      <w:r w:rsidRPr="003970B7">
        <w:rPr>
          <w:rFonts w:ascii="Arial" w:hAnsi="Arial" w:cs="Arial"/>
          <w:b/>
          <w:szCs w:val="18"/>
        </w:rPr>
        <w:t>Certainty assessment</w:t>
      </w:r>
    </w:p>
    <w:p w14:paraId="36A8C2E9" w14:textId="01B6A28A" w:rsidR="00320CD2" w:rsidRPr="003970B7" w:rsidRDefault="00320CD2" w:rsidP="00320CD2">
      <w:pPr>
        <w:tabs>
          <w:tab w:val="left" w:pos="1701"/>
        </w:tabs>
        <w:spacing w:line="300" w:lineRule="atLeast"/>
        <w:jc w:val="both"/>
        <w:rPr>
          <w:szCs w:val="18"/>
        </w:rPr>
      </w:pPr>
      <w:r w:rsidRPr="003970B7">
        <w:rPr>
          <w:szCs w:val="18"/>
        </w:rPr>
        <w:t xml:space="preserve">Activity data: </w:t>
      </w:r>
      <w:r w:rsidRPr="003970B7">
        <w:rPr>
          <w:szCs w:val="18"/>
        </w:rPr>
        <w:tab/>
        <w:t xml:space="preserve">LOW (because it was based on a limited </w:t>
      </w:r>
      <w:r w:rsidR="000C0B58">
        <w:rPr>
          <w:szCs w:val="18"/>
        </w:rPr>
        <w:t xml:space="preserve">historical </w:t>
      </w:r>
      <w:r w:rsidR="00E748D7">
        <w:rPr>
          <w:szCs w:val="18"/>
        </w:rPr>
        <w:t>survey</w:t>
      </w:r>
      <w:r w:rsidRPr="003970B7">
        <w:rPr>
          <w:szCs w:val="18"/>
        </w:rPr>
        <w:t>)</w:t>
      </w:r>
    </w:p>
    <w:p w14:paraId="034A39B1" w14:textId="73D99C4B" w:rsidR="00320CD2" w:rsidRPr="003970B7" w:rsidRDefault="00320CD2" w:rsidP="00320CD2">
      <w:pPr>
        <w:tabs>
          <w:tab w:val="left" w:pos="1701"/>
        </w:tabs>
        <w:spacing w:line="300" w:lineRule="atLeast"/>
        <w:jc w:val="both"/>
        <w:rPr>
          <w:szCs w:val="18"/>
        </w:rPr>
      </w:pPr>
      <w:r w:rsidRPr="003970B7">
        <w:rPr>
          <w:szCs w:val="18"/>
        </w:rPr>
        <w:t xml:space="preserve">Input estimates: </w:t>
      </w:r>
      <w:r w:rsidRPr="003970B7">
        <w:rPr>
          <w:szCs w:val="18"/>
        </w:rPr>
        <w:tab/>
        <w:t xml:space="preserve">LOW (because it </w:t>
      </w:r>
      <w:r w:rsidR="00E748D7">
        <w:rPr>
          <w:szCs w:val="18"/>
        </w:rPr>
        <w:t>is an estimate based on limited scientific evidence</w:t>
      </w:r>
      <w:r w:rsidRPr="003970B7">
        <w:rPr>
          <w:szCs w:val="18"/>
        </w:rPr>
        <w:t>)</w:t>
      </w:r>
    </w:p>
    <w:p w14:paraId="5193F4FF" w14:textId="5E1F4673" w:rsidR="00755C19" w:rsidRDefault="00320CD2" w:rsidP="00320CD2">
      <w:pPr>
        <w:tabs>
          <w:tab w:val="left" w:pos="1701"/>
        </w:tabs>
        <w:spacing w:line="300" w:lineRule="atLeast"/>
        <w:jc w:val="both"/>
        <w:rPr>
          <w:szCs w:val="18"/>
        </w:rPr>
      </w:pPr>
      <w:r w:rsidRPr="003970B7">
        <w:rPr>
          <w:szCs w:val="18"/>
        </w:rPr>
        <w:t xml:space="preserve">Output estimates: </w:t>
      </w:r>
      <w:r w:rsidRPr="003970B7">
        <w:rPr>
          <w:szCs w:val="18"/>
        </w:rPr>
        <w:tab/>
      </w:r>
      <w:r w:rsidR="00E748D7">
        <w:rPr>
          <w:szCs w:val="18"/>
        </w:rPr>
        <w:t>MEDIUM</w:t>
      </w:r>
      <w:r w:rsidRPr="003970B7">
        <w:rPr>
          <w:szCs w:val="18"/>
        </w:rPr>
        <w:t xml:space="preserve"> (because the output distribution was assumed).</w:t>
      </w:r>
    </w:p>
    <w:p w14:paraId="11024B60" w14:textId="77777777" w:rsidR="00755C19" w:rsidRDefault="00755C19">
      <w:pPr>
        <w:spacing w:after="0"/>
        <w:rPr>
          <w:szCs w:val="18"/>
        </w:rPr>
      </w:pPr>
      <w:r>
        <w:rPr>
          <w:szCs w:val="18"/>
        </w:rPr>
        <w:br w:type="page"/>
      </w:r>
    </w:p>
    <w:p w14:paraId="342AAF3C" w14:textId="420F353C" w:rsidR="00D14458" w:rsidRPr="00B136BC" w:rsidRDefault="00D14458" w:rsidP="00D14458">
      <w:pPr>
        <w:pStyle w:val="Heading2"/>
        <w:rPr>
          <w:rFonts w:eastAsia="Calibri"/>
        </w:rPr>
      </w:pPr>
      <w:bookmarkStart w:id="148" w:name="_Toc110355566"/>
      <w:r w:rsidRPr="00B136BC">
        <w:rPr>
          <w:rFonts w:eastAsia="Calibri"/>
        </w:rPr>
        <w:t>Summary for this category</w:t>
      </w:r>
      <w:bookmarkEnd w:id="148"/>
    </w:p>
    <w:p w14:paraId="64915E0C" w14:textId="01AB1FE5" w:rsidR="00D14458" w:rsidRDefault="00D14458" w:rsidP="00D14458">
      <w:pPr>
        <w:spacing w:line="300" w:lineRule="atLeast"/>
        <w:jc w:val="both"/>
        <w:rPr>
          <w:rFonts w:eastAsia="Calibri"/>
          <w:szCs w:val="22"/>
        </w:rPr>
      </w:pPr>
      <w:r>
        <w:rPr>
          <w:rFonts w:eastAsia="Calibri"/>
          <w:szCs w:val="22"/>
        </w:rPr>
        <w:t xml:space="preserve">The estimated inputs and outputs for waste incineration are summarised in </w:t>
      </w:r>
      <w:r w:rsidRPr="00254793">
        <w:rPr>
          <w:rFonts w:eastAsia="Calibri"/>
          <w:szCs w:val="22"/>
        </w:rPr>
        <w:fldChar w:fldCharType="begin"/>
      </w:r>
      <w:r w:rsidRPr="00254793">
        <w:rPr>
          <w:rFonts w:eastAsia="Calibri"/>
          <w:szCs w:val="22"/>
        </w:rPr>
        <w:instrText xml:space="preserve"> REF _Ref358559883 \h </w:instrText>
      </w:r>
      <w:r w:rsidR="00254793">
        <w:rPr>
          <w:rFonts w:eastAsia="Calibri"/>
          <w:szCs w:val="22"/>
        </w:rPr>
        <w:instrText xml:space="preserve"> \* MERGEFORMAT </w:instrText>
      </w:r>
      <w:r w:rsidRPr="00254793">
        <w:rPr>
          <w:rFonts w:eastAsia="Calibri"/>
          <w:szCs w:val="22"/>
        </w:rPr>
      </w:r>
      <w:r w:rsidRPr="00254793">
        <w:rPr>
          <w:rFonts w:eastAsia="Calibri"/>
          <w:szCs w:val="22"/>
        </w:rPr>
        <w:fldChar w:fldCharType="separate"/>
      </w:r>
      <w:r w:rsidR="00892B2D" w:rsidRPr="00892B2D">
        <w:t xml:space="preserve">Table </w:t>
      </w:r>
      <w:r w:rsidR="00892B2D" w:rsidRPr="00892B2D">
        <w:rPr>
          <w:noProof/>
        </w:rPr>
        <w:t>10</w:t>
      </w:r>
      <w:r w:rsidR="00892B2D" w:rsidRPr="00892B2D">
        <w:rPr>
          <w:noProof/>
        </w:rPr>
        <w:noBreakHyphen/>
        <w:t>2</w:t>
      </w:r>
      <w:r w:rsidRPr="00254793">
        <w:rPr>
          <w:rFonts w:eastAsia="Calibri"/>
          <w:szCs w:val="22"/>
        </w:rPr>
        <w:fldChar w:fldCharType="end"/>
      </w:r>
      <w:r>
        <w:rPr>
          <w:rFonts w:eastAsia="Calibri"/>
          <w:szCs w:val="22"/>
        </w:rPr>
        <w:t>.</w:t>
      </w:r>
    </w:p>
    <w:p w14:paraId="37D1D69D" w14:textId="70CE7348" w:rsidR="00D14458" w:rsidRPr="007901FE" w:rsidRDefault="00D14458" w:rsidP="00D14458">
      <w:pPr>
        <w:pStyle w:val="Caption"/>
        <w:spacing w:before="240"/>
        <w:rPr>
          <w:rFonts w:ascii="Arial" w:hAnsi="Arial" w:cs="Arial"/>
          <w:szCs w:val="18"/>
        </w:rPr>
      </w:pPr>
      <w:bookmarkStart w:id="149" w:name="_Ref358559883"/>
      <w:bookmarkStart w:id="150" w:name="_Toc110355493"/>
      <w:r w:rsidRPr="00FE6C76">
        <w:rPr>
          <w:rFonts w:ascii="Arial" w:hAnsi="Arial" w:cs="Arial"/>
        </w:rPr>
        <w:t xml:space="preserve">Table </w:t>
      </w:r>
      <w:r w:rsidR="00390C9F">
        <w:rPr>
          <w:rFonts w:ascii="Arial" w:hAnsi="Arial" w:cs="Arial"/>
        </w:rPr>
        <w:fldChar w:fldCharType="begin"/>
      </w:r>
      <w:r w:rsidR="00390C9F">
        <w:rPr>
          <w:rFonts w:ascii="Arial" w:hAnsi="Arial" w:cs="Arial"/>
        </w:rPr>
        <w:instrText xml:space="preserve"> STYLEREF 1 \s </w:instrText>
      </w:r>
      <w:r w:rsidR="00390C9F">
        <w:rPr>
          <w:rFonts w:ascii="Arial" w:hAnsi="Arial" w:cs="Arial"/>
        </w:rPr>
        <w:fldChar w:fldCharType="separate"/>
      </w:r>
      <w:r w:rsidR="00892B2D">
        <w:rPr>
          <w:rFonts w:ascii="Arial" w:hAnsi="Arial" w:cs="Arial"/>
          <w:noProof/>
        </w:rPr>
        <w:t>10</w:t>
      </w:r>
      <w:r w:rsidR="00390C9F">
        <w:rPr>
          <w:rFonts w:ascii="Arial" w:hAnsi="Arial" w:cs="Arial"/>
        </w:rPr>
        <w:fldChar w:fldCharType="end"/>
      </w:r>
      <w:r w:rsidR="00390C9F">
        <w:rPr>
          <w:rFonts w:ascii="Arial" w:hAnsi="Arial" w:cs="Arial"/>
        </w:rPr>
        <w:noBreakHyphen/>
      </w:r>
      <w:r w:rsidR="00390C9F">
        <w:rPr>
          <w:rFonts w:ascii="Arial" w:hAnsi="Arial" w:cs="Arial"/>
        </w:rPr>
        <w:fldChar w:fldCharType="begin"/>
      </w:r>
      <w:r w:rsidR="00390C9F">
        <w:rPr>
          <w:rFonts w:ascii="Arial" w:hAnsi="Arial" w:cs="Arial"/>
        </w:rPr>
        <w:instrText xml:space="preserve"> SEQ Table \* ARABIC \s 1 </w:instrText>
      </w:r>
      <w:r w:rsidR="00390C9F">
        <w:rPr>
          <w:rFonts w:ascii="Arial" w:hAnsi="Arial" w:cs="Arial"/>
        </w:rPr>
        <w:fldChar w:fldCharType="separate"/>
      </w:r>
      <w:r w:rsidR="00892B2D">
        <w:rPr>
          <w:rFonts w:ascii="Arial" w:hAnsi="Arial" w:cs="Arial"/>
          <w:noProof/>
        </w:rPr>
        <w:t>2</w:t>
      </w:r>
      <w:r w:rsidR="00390C9F">
        <w:rPr>
          <w:rFonts w:ascii="Arial" w:hAnsi="Arial" w:cs="Arial"/>
        </w:rPr>
        <w:fldChar w:fldCharType="end"/>
      </w:r>
      <w:bookmarkEnd w:id="149"/>
      <w:r w:rsidRPr="00FE6C76">
        <w:rPr>
          <w:rFonts w:ascii="Arial" w:hAnsi="Arial" w:cs="Arial"/>
        </w:rPr>
        <w:t>:</w:t>
      </w:r>
      <w:r w:rsidRPr="007901FE">
        <w:rPr>
          <w:rFonts w:ascii="Arial" w:hAnsi="Arial" w:cs="Arial"/>
        </w:rPr>
        <w:t xml:space="preserve"> Summary of inputs and o</w:t>
      </w:r>
      <w:r>
        <w:rPr>
          <w:rFonts w:ascii="Arial" w:hAnsi="Arial" w:cs="Arial"/>
        </w:rPr>
        <w:t>utputs for waste incineration</w:t>
      </w:r>
      <w:r w:rsidR="00F133D4">
        <w:rPr>
          <w:rFonts w:ascii="Arial" w:hAnsi="Arial" w:cs="Arial"/>
        </w:rPr>
        <w:t xml:space="preserve"> for 20</w:t>
      </w:r>
      <w:r w:rsidR="00006CCC">
        <w:rPr>
          <w:rFonts w:ascii="Arial" w:hAnsi="Arial" w:cs="Arial"/>
        </w:rPr>
        <w:t>2</w:t>
      </w:r>
      <w:bookmarkEnd w:id="150"/>
      <w:r w:rsidR="0030255B">
        <w:rPr>
          <w:rFonts w:ascii="Arial" w:hAnsi="Arial" w:cs="Arial"/>
        </w:rPr>
        <w:t>4</w:t>
      </w:r>
    </w:p>
    <w:tbl>
      <w:tblPr>
        <w:tblStyle w:val="TableGrid"/>
        <w:tblW w:w="9214" w:type="dxa"/>
        <w:tblInd w:w="108" w:type="dxa"/>
        <w:tblLayout w:type="fixed"/>
        <w:tblLook w:val="04A0" w:firstRow="1" w:lastRow="0" w:firstColumn="1" w:lastColumn="0" w:noHBand="0" w:noVBand="1"/>
      </w:tblPr>
      <w:tblGrid>
        <w:gridCol w:w="2410"/>
        <w:gridCol w:w="1701"/>
        <w:gridCol w:w="1701"/>
        <w:gridCol w:w="803"/>
        <w:gridCol w:w="803"/>
        <w:gridCol w:w="946"/>
        <w:gridCol w:w="850"/>
      </w:tblGrid>
      <w:tr w:rsidR="00D14458" w:rsidRPr="007901FE" w14:paraId="1CF979A1" w14:textId="77777777" w:rsidTr="009855EE">
        <w:tc>
          <w:tcPr>
            <w:tcW w:w="2410" w:type="dxa"/>
            <w:vMerge w:val="restart"/>
            <w:vAlign w:val="center"/>
          </w:tcPr>
          <w:p w14:paraId="0823203A" w14:textId="77777777" w:rsidR="00D14458" w:rsidRPr="004E3E02" w:rsidRDefault="00D14458" w:rsidP="00676490">
            <w:pPr>
              <w:spacing w:line="300" w:lineRule="atLeast"/>
              <w:rPr>
                <w:rFonts w:ascii="Arial" w:hAnsi="Arial" w:cs="Arial"/>
                <w:b/>
                <w:sz w:val="16"/>
                <w:szCs w:val="16"/>
              </w:rPr>
            </w:pPr>
            <w:r w:rsidRPr="004E3E02">
              <w:rPr>
                <w:rFonts w:ascii="Arial" w:hAnsi="Arial" w:cs="Arial"/>
                <w:b/>
                <w:sz w:val="16"/>
                <w:szCs w:val="16"/>
              </w:rPr>
              <w:t>Category</w:t>
            </w:r>
          </w:p>
        </w:tc>
        <w:tc>
          <w:tcPr>
            <w:tcW w:w="1701" w:type="dxa"/>
            <w:vMerge w:val="restart"/>
            <w:vAlign w:val="center"/>
          </w:tcPr>
          <w:p w14:paraId="469806B8" w14:textId="77777777" w:rsidR="00D14458" w:rsidRPr="004E3E02" w:rsidRDefault="00D14458" w:rsidP="00676490">
            <w:pPr>
              <w:spacing w:line="300" w:lineRule="atLeast"/>
              <w:jc w:val="center"/>
              <w:rPr>
                <w:rFonts w:ascii="Arial" w:hAnsi="Arial" w:cs="Arial"/>
                <w:b/>
                <w:sz w:val="16"/>
                <w:szCs w:val="16"/>
              </w:rPr>
            </w:pPr>
            <w:r w:rsidRPr="004E3E02">
              <w:rPr>
                <w:rFonts w:ascii="Arial" w:hAnsi="Arial" w:cs="Arial"/>
                <w:b/>
                <w:sz w:val="16"/>
                <w:szCs w:val="16"/>
              </w:rPr>
              <w:t>Mercury Inputs, kg/year</w:t>
            </w:r>
          </w:p>
        </w:tc>
        <w:tc>
          <w:tcPr>
            <w:tcW w:w="5103" w:type="dxa"/>
            <w:gridSpan w:val="5"/>
            <w:vAlign w:val="center"/>
          </w:tcPr>
          <w:p w14:paraId="51469CC8" w14:textId="77777777" w:rsidR="00D14458" w:rsidRPr="004E3E02" w:rsidRDefault="00D14458" w:rsidP="00676490">
            <w:pPr>
              <w:spacing w:line="300" w:lineRule="atLeast"/>
              <w:jc w:val="center"/>
              <w:rPr>
                <w:rFonts w:ascii="Arial" w:hAnsi="Arial" w:cs="Arial"/>
                <w:b/>
                <w:sz w:val="16"/>
                <w:szCs w:val="16"/>
              </w:rPr>
            </w:pPr>
            <w:r w:rsidRPr="004E3E02">
              <w:rPr>
                <w:rFonts w:ascii="Arial" w:hAnsi="Arial" w:cs="Arial"/>
                <w:b/>
                <w:sz w:val="16"/>
                <w:szCs w:val="16"/>
              </w:rPr>
              <w:t>Mercury Outputs, kg/yr</w:t>
            </w:r>
          </w:p>
        </w:tc>
      </w:tr>
      <w:tr w:rsidR="00D14458" w:rsidRPr="007901FE" w14:paraId="43858B54" w14:textId="77777777" w:rsidTr="00114338">
        <w:tc>
          <w:tcPr>
            <w:tcW w:w="2410" w:type="dxa"/>
            <w:vMerge/>
            <w:vAlign w:val="center"/>
          </w:tcPr>
          <w:p w14:paraId="29BBC837" w14:textId="77777777" w:rsidR="00D14458" w:rsidRPr="004E3E02" w:rsidRDefault="00D14458" w:rsidP="00676490">
            <w:pPr>
              <w:spacing w:line="300" w:lineRule="atLeast"/>
              <w:rPr>
                <w:rFonts w:ascii="Arial" w:hAnsi="Arial" w:cs="Arial"/>
                <w:b/>
                <w:sz w:val="16"/>
                <w:szCs w:val="16"/>
              </w:rPr>
            </w:pPr>
          </w:p>
        </w:tc>
        <w:tc>
          <w:tcPr>
            <w:tcW w:w="1701" w:type="dxa"/>
            <w:vMerge/>
          </w:tcPr>
          <w:p w14:paraId="23FCBEB3" w14:textId="77777777" w:rsidR="00D14458" w:rsidRPr="004E3E02" w:rsidRDefault="00D14458" w:rsidP="00676490">
            <w:pPr>
              <w:spacing w:line="300" w:lineRule="atLeast"/>
              <w:jc w:val="both"/>
              <w:rPr>
                <w:rFonts w:ascii="Arial" w:hAnsi="Arial" w:cs="Arial"/>
                <w:b/>
                <w:sz w:val="16"/>
                <w:szCs w:val="16"/>
              </w:rPr>
            </w:pPr>
          </w:p>
        </w:tc>
        <w:tc>
          <w:tcPr>
            <w:tcW w:w="1701" w:type="dxa"/>
            <w:vAlign w:val="center"/>
          </w:tcPr>
          <w:p w14:paraId="322C8EE7" w14:textId="77777777" w:rsidR="00D14458" w:rsidRPr="004E3E02" w:rsidRDefault="00D14458" w:rsidP="00676490">
            <w:pPr>
              <w:spacing w:line="300" w:lineRule="atLeast"/>
              <w:jc w:val="center"/>
              <w:rPr>
                <w:rFonts w:ascii="Arial" w:hAnsi="Arial" w:cs="Arial"/>
                <w:b/>
                <w:sz w:val="16"/>
                <w:szCs w:val="16"/>
              </w:rPr>
            </w:pPr>
            <w:r w:rsidRPr="004E3E02">
              <w:rPr>
                <w:rFonts w:ascii="Arial" w:hAnsi="Arial" w:cs="Arial"/>
                <w:b/>
                <w:sz w:val="16"/>
                <w:szCs w:val="16"/>
              </w:rPr>
              <w:t>Air</w:t>
            </w:r>
          </w:p>
        </w:tc>
        <w:tc>
          <w:tcPr>
            <w:tcW w:w="803" w:type="dxa"/>
            <w:vAlign w:val="center"/>
          </w:tcPr>
          <w:p w14:paraId="7272FE65" w14:textId="77777777" w:rsidR="00D14458" w:rsidRPr="004E3E02" w:rsidRDefault="00D14458" w:rsidP="00676490">
            <w:pPr>
              <w:spacing w:line="300" w:lineRule="atLeast"/>
              <w:jc w:val="center"/>
              <w:rPr>
                <w:rFonts w:ascii="Arial" w:hAnsi="Arial" w:cs="Arial"/>
                <w:b/>
                <w:sz w:val="16"/>
                <w:szCs w:val="16"/>
              </w:rPr>
            </w:pPr>
            <w:r w:rsidRPr="004E3E02">
              <w:rPr>
                <w:rFonts w:ascii="Arial" w:hAnsi="Arial" w:cs="Arial"/>
                <w:b/>
                <w:sz w:val="16"/>
                <w:szCs w:val="16"/>
              </w:rPr>
              <w:t>Water</w:t>
            </w:r>
          </w:p>
        </w:tc>
        <w:tc>
          <w:tcPr>
            <w:tcW w:w="803" w:type="dxa"/>
            <w:vAlign w:val="center"/>
          </w:tcPr>
          <w:p w14:paraId="409657A9" w14:textId="77777777" w:rsidR="00D14458" w:rsidRPr="004E3E02" w:rsidRDefault="00D14458" w:rsidP="00676490">
            <w:pPr>
              <w:spacing w:line="300" w:lineRule="atLeast"/>
              <w:jc w:val="center"/>
              <w:rPr>
                <w:rFonts w:ascii="Arial" w:hAnsi="Arial" w:cs="Arial"/>
                <w:b/>
                <w:sz w:val="16"/>
                <w:szCs w:val="16"/>
              </w:rPr>
            </w:pPr>
            <w:r w:rsidRPr="004E3E02">
              <w:rPr>
                <w:rFonts w:ascii="Arial" w:hAnsi="Arial" w:cs="Arial"/>
                <w:b/>
                <w:sz w:val="16"/>
                <w:szCs w:val="16"/>
              </w:rPr>
              <w:t>Land</w:t>
            </w:r>
          </w:p>
        </w:tc>
        <w:tc>
          <w:tcPr>
            <w:tcW w:w="946" w:type="dxa"/>
            <w:vAlign w:val="center"/>
          </w:tcPr>
          <w:p w14:paraId="62ADC8AE" w14:textId="77777777" w:rsidR="00D14458" w:rsidRPr="004E3E02" w:rsidRDefault="00D14458" w:rsidP="00676490">
            <w:pPr>
              <w:spacing w:line="300" w:lineRule="atLeast"/>
              <w:jc w:val="center"/>
              <w:rPr>
                <w:rFonts w:ascii="Arial" w:hAnsi="Arial" w:cs="Arial"/>
                <w:b/>
                <w:sz w:val="16"/>
                <w:szCs w:val="16"/>
              </w:rPr>
            </w:pPr>
            <w:r w:rsidRPr="004E3E02">
              <w:rPr>
                <w:rFonts w:ascii="Arial" w:hAnsi="Arial" w:cs="Arial"/>
                <w:b/>
                <w:sz w:val="16"/>
                <w:szCs w:val="16"/>
              </w:rPr>
              <w:t>Product</w:t>
            </w:r>
          </w:p>
        </w:tc>
        <w:tc>
          <w:tcPr>
            <w:tcW w:w="850" w:type="dxa"/>
            <w:vAlign w:val="center"/>
          </w:tcPr>
          <w:p w14:paraId="3FF8B6B1" w14:textId="77777777" w:rsidR="00D14458" w:rsidRPr="004E3E02" w:rsidRDefault="00D14458" w:rsidP="00676490">
            <w:pPr>
              <w:spacing w:line="300" w:lineRule="atLeast"/>
              <w:jc w:val="center"/>
              <w:rPr>
                <w:rFonts w:ascii="Arial" w:hAnsi="Arial" w:cs="Arial"/>
                <w:b/>
                <w:sz w:val="16"/>
                <w:szCs w:val="16"/>
              </w:rPr>
            </w:pPr>
            <w:r w:rsidRPr="004E3E02">
              <w:rPr>
                <w:rFonts w:ascii="Arial" w:hAnsi="Arial" w:cs="Arial"/>
                <w:b/>
                <w:sz w:val="16"/>
                <w:szCs w:val="16"/>
              </w:rPr>
              <w:t>Waste</w:t>
            </w:r>
          </w:p>
        </w:tc>
      </w:tr>
      <w:tr w:rsidR="00D14458" w:rsidRPr="007901FE" w14:paraId="463B7821" w14:textId="77777777" w:rsidTr="00114338">
        <w:tc>
          <w:tcPr>
            <w:tcW w:w="2410" w:type="dxa"/>
            <w:vAlign w:val="center"/>
          </w:tcPr>
          <w:p w14:paraId="753EE5FC" w14:textId="77777777" w:rsidR="00D14458" w:rsidRPr="004901F2" w:rsidRDefault="00D14458" w:rsidP="00676490">
            <w:pPr>
              <w:spacing w:line="300" w:lineRule="atLeast"/>
              <w:rPr>
                <w:rFonts w:ascii="Arial" w:hAnsi="Arial" w:cs="Arial"/>
                <w:sz w:val="16"/>
                <w:szCs w:val="16"/>
              </w:rPr>
            </w:pPr>
            <w:r>
              <w:rPr>
                <w:rFonts w:ascii="Arial" w:hAnsi="Arial" w:cs="Arial"/>
                <w:sz w:val="16"/>
                <w:szCs w:val="16"/>
              </w:rPr>
              <w:t>Municipal waste incineration</w:t>
            </w:r>
          </w:p>
        </w:tc>
        <w:tc>
          <w:tcPr>
            <w:tcW w:w="1701" w:type="dxa"/>
            <w:vAlign w:val="center"/>
          </w:tcPr>
          <w:p w14:paraId="0909F7E6" w14:textId="77777777" w:rsidR="00D14458" w:rsidRPr="004E3E02" w:rsidRDefault="00D14458" w:rsidP="00676490">
            <w:pPr>
              <w:spacing w:line="300" w:lineRule="atLeast"/>
              <w:jc w:val="center"/>
              <w:rPr>
                <w:rFonts w:ascii="Arial" w:hAnsi="Arial" w:cs="Arial"/>
                <w:sz w:val="16"/>
                <w:szCs w:val="16"/>
              </w:rPr>
            </w:pPr>
            <w:r>
              <w:rPr>
                <w:rFonts w:ascii="Arial" w:hAnsi="Arial" w:cs="Arial"/>
                <w:sz w:val="16"/>
                <w:szCs w:val="16"/>
              </w:rPr>
              <w:t>-</w:t>
            </w:r>
          </w:p>
        </w:tc>
        <w:tc>
          <w:tcPr>
            <w:tcW w:w="1701" w:type="dxa"/>
            <w:vAlign w:val="center"/>
          </w:tcPr>
          <w:p w14:paraId="5E77F610" w14:textId="77777777" w:rsidR="00D14458" w:rsidRPr="004E3E02" w:rsidRDefault="00D14458" w:rsidP="00676490">
            <w:pPr>
              <w:spacing w:line="300" w:lineRule="atLeast"/>
              <w:jc w:val="center"/>
              <w:rPr>
                <w:rFonts w:ascii="Arial" w:hAnsi="Arial" w:cs="Arial"/>
                <w:sz w:val="16"/>
                <w:szCs w:val="16"/>
              </w:rPr>
            </w:pPr>
            <w:r>
              <w:rPr>
                <w:rFonts w:ascii="Arial" w:hAnsi="Arial" w:cs="Arial"/>
                <w:sz w:val="16"/>
                <w:szCs w:val="16"/>
              </w:rPr>
              <w:t>-</w:t>
            </w:r>
          </w:p>
        </w:tc>
        <w:tc>
          <w:tcPr>
            <w:tcW w:w="803" w:type="dxa"/>
            <w:vAlign w:val="center"/>
          </w:tcPr>
          <w:p w14:paraId="3B27B6E7" w14:textId="77777777" w:rsidR="00D14458" w:rsidRPr="004E3E02" w:rsidRDefault="00D14458" w:rsidP="00676490">
            <w:pPr>
              <w:spacing w:line="300" w:lineRule="atLeast"/>
              <w:jc w:val="center"/>
              <w:rPr>
                <w:rFonts w:ascii="Arial" w:hAnsi="Arial" w:cs="Arial"/>
                <w:sz w:val="16"/>
                <w:szCs w:val="16"/>
              </w:rPr>
            </w:pPr>
            <w:r>
              <w:rPr>
                <w:rFonts w:ascii="Arial" w:hAnsi="Arial" w:cs="Arial"/>
                <w:sz w:val="16"/>
                <w:szCs w:val="16"/>
              </w:rPr>
              <w:t>-</w:t>
            </w:r>
          </w:p>
        </w:tc>
        <w:tc>
          <w:tcPr>
            <w:tcW w:w="803" w:type="dxa"/>
            <w:vAlign w:val="center"/>
          </w:tcPr>
          <w:p w14:paraId="7DA095C1" w14:textId="77777777" w:rsidR="00D14458" w:rsidRPr="004E3E02" w:rsidRDefault="00D14458" w:rsidP="00676490">
            <w:pPr>
              <w:spacing w:line="300" w:lineRule="atLeast"/>
              <w:jc w:val="center"/>
              <w:rPr>
                <w:rFonts w:ascii="Arial" w:hAnsi="Arial" w:cs="Arial"/>
                <w:sz w:val="16"/>
                <w:szCs w:val="16"/>
              </w:rPr>
            </w:pPr>
            <w:r>
              <w:rPr>
                <w:rFonts w:ascii="Arial" w:hAnsi="Arial" w:cs="Arial"/>
                <w:sz w:val="16"/>
                <w:szCs w:val="16"/>
              </w:rPr>
              <w:t>-</w:t>
            </w:r>
          </w:p>
        </w:tc>
        <w:tc>
          <w:tcPr>
            <w:tcW w:w="946" w:type="dxa"/>
            <w:vAlign w:val="center"/>
          </w:tcPr>
          <w:p w14:paraId="149E0527" w14:textId="77777777" w:rsidR="00D14458" w:rsidRPr="004E3E02" w:rsidRDefault="00D14458" w:rsidP="00676490">
            <w:pPr>
              <w:spacing w:line="300" w:lineRule="atLeast"/>
              <w:jc w:val="center"/>
              <w:rPr>
                <w:rFonts w:ascii="Arial" w:hAnsi="Arial" w:cs="Arial"/>
                <w:sz w:val="16"/>
                <w:szCs w:val="16"/>
              </w:rPr>
            </w:pPr>
            <w:r>
              <w:rPr>
                <w:rFonts w:ascii="Arial" w:hAnsi="Arial" w:cs="Arial"/>
                <w:sz w:val="16"/>
                <w:szCs w:val="16"/>
              </w:rPr>
              <w:t>-</w:t>
            </w:r>
          </w:p>
        </w:tc>
        <w:tc>
          <w:tcPr>
            <w:tcW w:w="850" w:type="dxa"/>
            <w:vAlign w:val="center"/>
          </w:tcPr>
          <w:p w14:paraId="0D385C59" w14:textId="77777777" w:rsidR="00D14458" w:rsidRPr="004E3E02" w:rsidRDefault="00D14458" w:rsidP="00676490">
            <w:pPr>
              <w:spacing w:line="300" w:lineRule="atLeast"/>
              <w:jc w:val="center"/>
              <w:rPr>
                <w:rFonts w:ascii="Arial" w:hAnsi="Arial" w:cs="Arial"/>
                <w:sz w:val="16"/>
                <w:szCs w:val="16"/>
              </w:rPr>
            </w:pPr>
            <w:r>
              <w:rPr>
                <w:rFonts w:ascii="Arial" w:hAnsi="Arial" w:cs="Arial"/>
                <w:sz w:val="16"/>
                <w:szCs w:val="16"/>
              </w:rPr>
              <w:t>-</w:t>
            </w:r>
          </w:p>
        </w:tc>
      </w:tr>
      <w:tr w:rsidR="00D14458" w:rsidRPr="007901FE" w14:paraId="3E0D5757" w14:textId="77777777" w:rsidTr="00114338">
        <w:tc>
          <w:tcPr>
            <w:tcW w:w="2410" w:type="dxa"/>
            <w:vAlign w:val="center"/>
          </w:tcPr>
          <w:p w14:paraId="727C73DC" w14:textId="77777777" w:rsidR="00D14458" w:rsidRPr="004901F2" w:rsidRDefault="00D14458" w:rsidP="00676490">
            <w:pPr>
              <w:spacing w:before="40" w:after="40" w:line="300" w:lineRule="atLeast"/>
              <w:rPr>
                <w:rFonts w:ascii="Arial" w:hAnsi="Arial" w:cs="Arial"/>
                <w:sz w:val="16"/>
                <w:szCs w:val="16"/>
              </w:rPr>
            </w:pPr>
            <w:r>
              <w:rPr>
                <w:rFonts w:ascii="Arial" w:hAnsi="Arial" w:cs="Arial"/>
                <w:sz w:val="16"/>
                <w:szCs w:val="16"/>
              </w:rPr>
              <w:t>Hazardous waste incineration</w:t>
            </w:r>
          </w:p>
        </w:tc>
        <w:tc>
          <w:tcPr>
            <w:tcW w:w="1701" w:type="dxa"/>
            <w:vAlign w:val="center"/>
          </w:tcPr>
          <w:p w14:paraId="2B75B203" w14:textId="7607CEDC" w:rsidR="00D14458" w:rsidRPr="004E3E02" w:rsidRDefault="006C339C" w:rsidP="00676490">
            <w:pPr>
              <w:spacing w:line="300" w:lineRule="atLeast"/>
              <w:jc w:val="center"/>
              <w:rPr>
                <w:rFonts w:ascii="Arial" w:hAnsi="Arial" w:cs="Arial"/>
                <w:sz w:val="16"/>
                <w:szCs w:val="16"/>
              </w:rPr>
            </w:pPr>
            <w:r>
              <w:rPr>
                <w:rFonts w:ascii="Arial" w:hAnsi="Arial" w:cs="Arial"/>
                <w:sz w:val="16"/>
                <w:szCs w:val="16"/>
              </w:rPr>
              <w:t>-</w:t>
            </w:r>
          </w:p>
        </w:tc>
        <w:tc>
          <w:tcPr>
            <w:tcW w:w="1701" w:type="dxa"/>
            <w:vAlign w:val="center"/>
          </w:tcPr>
          <w:p w14:paraId="5D3AF6ED" w14:textId="7E9E0D1D" w:rsidR="00D14458" w:rsidRPr="004E3E02" w:rsidRDefault="006C339C" w:rsidP="00676490">
            <w:pPr>
              <w:spacing w:line="300" w:lineRule="atLeast"/>
              <w:jc w:val="center"/>
              <w:rPr>
                <w:rFonts w:ascii="Arial" w:hAnsi="Arial" w:cs="Arial"/>
                <w:sz w:val="16"/>
                <w:szCs w:val="16"/>
              </w:rPr>
            </w:pPr>
            <w:r>
              <w:rPr>
                <w:rFonts w:ascii="Arial" w:hAnsi="Arial" w:cs="Arial"/>
                <w:sz w:val="16"/>
                <w:szCs w:val="16"/>
              </w:rPr>
              <w:t>-</w:t>
            </w:r>
          </w:p>
        </w:tc>
        <w:tc>
          <w:tcPr>
            <w:tcW w:w="803" w:type="dxa"/>
            <w:vAlign w:val="center"/>
          </w:tcPr>
          <w:p w14:paraId="3A1FDA22" w14:textId="77777777" w:rsidR="00D14458" w:rsidRPr="004E3E02" w:rsidRDefault="00D14458" w:rsidP="00676490">
            <w:pPr>
              <w:spacing w:line="300" w:lineRule="atLeast"/>
              <w:jc w:val="center"/>
              <w:rPr>
                <w:rFonts w:ascii="Arial" w:hAnsi="Arial" w:cs="Arial"/>
                <w:sz w:val="16"/>
                <w:szCs w:val="16"/>
              </w:rPr>
            </w:pPr>
            <w:r>
              <w:rPr>
                <w:rFonts w:ascii="Arial" w:hAnsi="Arial" w:cs="Arial"/>
                <w:sz w:val="16"/>
                <w:szCs w:val="16"/>
              </w:rPr>
              <w:t>-</w:t>
            </w:r>
          </w:p>
        </w:tc>
        <w:tc>
          <w:tcPr>
            <w:tcW w:w="803" w:type="dxa"/>
            <w:vAlign w:val="center"/>
          </w:tcPr>
          <w:p w14:paraId="730023BD" w14:textId="77777777" w:rsidR="00D14458" w:rsidRPr="004E3E02" w:rsidRDefault="00D14458" w:rsidP="00676490">
            <w:pPr>
              <w:spacing w:line="300" w:lineRule="atLeast"/>
              <w:jc w:val="center"/>
              <w:rPr>
                <w:rFonts w:ascii="Arial" w:hAnsi="Arial" w:cs="Arial"/>
                <w:sz w:val="16"/>
                <w:szCs w:val="16"/>
              </w:rPr>
            </w:pPr>
            <w:r>
              <w:rPr>
                <w:rFonts w:ascii="Arial" w:hAnsi="Arial" w:cs="Arial"/>
                <w:sz w:val="16"/>
                <w:szCs w:val="16"/>
              </w:rPr>
              <w:t>-</w:t>
            </w:r>
          </w:p>
        </w:tc>
        <w:tc>
          <w:tcPr>
            <w:tcW w:w="946" w:type="dxa"/>
            <w:vAlign w:val="center"/>
          </w:tcPr>
          <w:p w14:paraId="6767FE3F" w14:textId="77777777" w:rsidR="00D14458" w:rsidRPr="004E3E02" w:rsidRDefault="00D14458" w:rsidP="00676490">
            <w:pPr>
              <w:spacing w:line="300" w:lineRule="atLeast"/>
              <w:jc w:val="center"/>
              <w:rPr>
                <w:rFonts w:ascii="Arial" w:hAnsi="Arial" w:cs="Arial"/>
                <w:sz w:val="16"/>
                <w:szCs w:val="16"/>
              </w:rPr>
            </w:pPr>
            <w:r>
              <w:rPr>
                <w:rFonts w:ascii="Arial" w:hAnsi="Arial" w:cs="Arial"/>
                <w:sz w:val="16"/>
                <w:szCs w:val="16"/>
              </w:rPr>
              <w:t>-</w:t>
            </w:r>
          </w:p>
        </w:tc>
        <w:tc>
          <w:tcPr>
            <w:tcW w:w="850" w:type="dxa"/>
            <w:vAlign w:val="center"/>
          </w:tcPr>
          <w:p w14:paraId="1B91A901" w14:textId="77777777" w:rsidR="00D14458" w:rsidRPr="004E3E02" w:rsidRDefault="00A67DF0" w:rsidP="00676490">
            <w:pPr>
              <w:spacing w:line="300" w:lineRule="atLeast"/>
              <w:jc w:val="center"/>
              <w:rPr>
                <w:rFonts w:ascii="Arial" w:hAnsi="Arial" w:cs="Arial"/>
                <w:sz w:val="16"/>
                <w:szCs w:val="16"/>
              </w:rPr>
            </w:pPr>
            <w:r>
              <w:rPr>
                <w:rFonts w:ascii="Arial" w:hAnsi="Arial" w:cs="Arial"/>
                <w:sz w:val="16"/>
                <w:szCs w:val="16"/>
              </w:rPr>
              <w:t>-</w:t>
            </w:r>
          </w:p>
        </w:tc>
      </w:tr>
      <w:tr w:rsidR="00D14458" w:rsidRPr="007901FE" w14:paraId="2BD8523C" w14:textId="77777777" w:rsidTr="00114338">
        <w:tc>
          <w:tcPr>
            <w:tcW w:w="2410" w:type="dxa"/>
            <w:vAlign w:val="center"/>
          </w:tcPr>
          <w:p w14:paraId="20DC857D" w14:textId="77777777" w:rsidR="00D14458" w:rsidRPr="004901F2" w:rsidRDefault="00D14458" w:rsidP="00676490">
            <w:pPr>
              <w:spacing w:line="300" w:lineRule="atLeast"/>
              <w:rPr>
                <w:rFonts w:ascii="Arial" w:hAnsi="Arial" w:cs="Arial"/>
                <w:sz w:val="16"/>
                <w:szCs w:val="16"/>
              </w:rPr>
            </w:pPr>
            <w:r>
              <w:rPr>
                <w:rFonts w:ascii="Arial" w:hAnsi="Arial" w:cs="Arial"/>
                <w:sz w:val="16"/>
                <w:szCs w:val="16"/>
              </w:rPr>
              <w:t>Medical waste incineration</w:t>
            </w:r>
          </w:p>
        </w:tc>
        <w:tc>
          <w:tcPr>
            <w:tcW w:w="1701" w:type="dxa"/>
            <w:vAlign w:val="center"/>
          </w:tcPr>
          <w:p w14:paraId="46F9E0EE" w14:textId="23756F47" w:rsidR="00D14458" w:rsidRPr="00913FFF" w:rsidRDefault="003215AB" w:rsidP="00676490">
            <w:pPr>
              <w:spacing w:line="300" w:lineRule="atLeast"/>
              <w:jc w:val="center"/>
              <w:rPr>
                <w:rFonts w:ascii="Arial" w:hAnsi="Arial" w:cs="Arial"/>
                <w:sz w:val="16"/>
                <w:szCs w:val="16"/>
              </w:rPr>
            </w:pPr>
            <w:r w:rsidRPr="000B1B79">
              <w:rPr>
                <w:rFonts w:ascii="Arial" w:hAnsi="Arial" w:cs="Arial"/>
                <w:sz w:val="16"/>
                <w:szCs w:val="16"/>
              </w:rPr>
              <w:t>1.</w:t>
            </w:r>
            <w:r w:rsidR="00E748D7">
              <w:rPr>
                <w:rFonts w:ascii="Arial" w:hAnsi="Arial" w:cs="Arial"/>
                <w:sz w:val="16"/>
                <w:szCs w:val="16"/>
              </w:rPr>
              <w:t>30</w:t>
            </w:r>
            <w:r w:rsidRPr="000B1B79">
              <w:rPr>
                <w:rFonts w:ascii="Arial" w:hAnsi="Arial" w:cs="Arial"/>
                <w:sz w:val="16"/>
                <w:szCs w:val="16"/>
              </w:rPr>
              <w:t xml:space="preserve"> – 6.48 (3.8</w:t>
            </w:r>
            <w:r w:rsidR="00E748D7">
              <w:rPr>
                <w:rFonts w:ascii="Arial" w:hAnsi="Arial" w:cs="Arial"/>
                <w:sz w:val="16"/>
                <w:szCs w:val="16"/>
              </w:rPr>
              <w:t>9</w:t>
            </w:r>
            <w:r w:rsidRPr="000B1B79">
              <w:rPr>
                <w:rFonts w:ascii="Arial" w:hAnsi="Arial" w:cs="Arial"/>
                <w:sz w:val="16"/>
                <w:szCs w:val="16"/>
              </w:rPr>
              <w:t>)</w:t>
            </w:r>
          </w:p>
        </w:tc>
        <w:tc>
          <w:tcPr>
            <w:tcW w:w="1701" w:type="dxa"/>
            <w:vAlign w:val="center"/>
          </w:tcPr>
          <w:p w14:paraId="7B36E01A" w14:textId="6C424AF7" w:rsidR="00D14458" w:rsidRPr="00913FFF" w:rsidRDefault="003215AB" w:rsidP="00676490">
            <w:pPr>
              <w:spacing w:line="300" w:lineRule="atLeast"/>
              <w:jc w:val="center"/>
              <w:rPr>
                <w:rFonts w:ascii="Arial" w:hAnsi="Arial" w:cs="Arial"/>
                <w:sz w:val="16"/>
                <w:szCs w:val="16"/>
              </w:rPr>
            </w:pPr>
            <w:r w:rsidRPr="000B1B79">
              <w:rPr>
                <w:rFonts w:ascii="Arial" w:hAnsi="Arial" w:cs="Arial"/>
                <w:sz w:val="16"/>
                <w:szCs w:val="16"/>
              </w:rPr>
              <w:t>1.</w:t>
            </w:r>
            <w:r w:rsidR="00E748D7">
              <w:rPr>
                <w:rFonts w:ascii="Arial" w:hAnsi="Arial" w:cs="Arial"/>
                <w:sz w:val="16"/>
                <w:szCs w:val="16"/>
              </w:rPr>
              <w:t>30</w:t>
            </w:r>
            <w:r w:rsidRPr="000B1B79">
              <w:rPr>
                <w:rFonts w:ascii="Arial" w:hAnsi="Arial" w:cs="Arial"/>
                <w:sz w:val="16"/>
                <w:szCs w:val="16"/>
              </w:rPr>
              <w:t xml:space="preserve"> – 6.48 (3.8</w:t>
            </w:r>
            <w:r w:rsidR="00E748D7">
              <w:rPr>
                <w:rFonts w:ascii="Arial" w:hAnsi="Arial" w:cs="Arial"/>
                <w:sz w:val="16"/>
                <w:szCs w:val="16"/>
              </w:rPr>
              <w:t>9</w:t>
            </w:r>
            <w:r w:rsidRPr="000B1B79">
              <w:rPr>
                <w:rFonts w:ascii="Arial" w:hAnsi="Arial" w:cs="Arial"/>
                <w:sz w:val="16"/>
                <w:szCs w:val="16"/>
              </w:rPr>
              <w:t>)</w:t>
            </w:r>
          </w:p>
        </w:tc>
        <w:tc>
          <w:tcPr>
            <w:tcW w:w="803" w:type="dxa"/>
            <w:vAlign w:val="center"/>
          </w:tcPr>
          <w:p w14:paraId="034036E4" w14:textId="77777777" w:rsidR="00D14458" w:rsidRPr="006676B6" w:rsidRDefault="00D14458" w:rsidP="00676490">
            <w:pPr>
              <w:spacing w:line="300" w:lineRule="atLeast"/>
              <w:jc w:val="center"/>
              <w:rPr>
                <w:rFonts w:ascii="Arial" w:hAnsi="Arial" w:cs="Arial"/>
                <w:sz w:val="16"/>
                <w:szCs w:val="16"/>
              </w:rPr>
            </w:pPr>
            <w:r w:rsidRPr="006676B6">
              <w:rPr>
                <w:rFonts w:ascii="Arial" w:hAnsi="Arial" w:cs="Arial"/>
                <w:sz w:val="16"/>
                <w:szCs w:val="16"/>
              </w:rPr>
              <w:t>-</w:t>
            </w:r>
          </w:p>
        </w:tc>
        <w:tc>
          <w:tcPr>
            <w:tcW w:w="803" w:type="dxa"/>
            <w:vAlign w:val="center"/>
          </w:tcPr>
          <w:p w14:paraId="51867C9A" w14:textId="77777777" w:rsidR="00D14458" w:rsidRPr="006676B6" w:rsidRDefault="00D14458" w:rsidP="00676490">
            <w:pPr>
              <w:spacing w:line="300" w:lineRule="atLeast"/>
              <w:jc w:val="center"/>
              <w:rPr>
                <w:rFonts w:ascii="Arial" w:hAnsi="Arial" w:cs="Arial"/>
                <w:sz w:val="16"/>
                <w:szCs w:val="16"/>
              </w:rPr>
            </w:pPr>
            <w:r w:rsidRPr="006676B6">
              <w:rPr>
                <w:rFonts w:ascii="Arial" w:hAnsi="Arial" w:cs="Arial"/>
                <w:sz w:val="16"/>
                <w:szCs w:val="16"/>
              </w:rPr>
              <w:t>-</w:t>
            </w:r>
          </w:p>
        </w:tc>
        <w:tc>
          <w:tcPr>
            <w:tcW w:w="946" w:type="dxa"/>
            <w:vAlign w:val="center"/>
          </w:tcPr>
          <w:p w14:paraId="2F670D7F" w14:textId="77777777" w:rsidR="00D14458" w:rsidRPr="006676B6" w:rsidRDefault="00D14458" w:rsidP="00676490">
            <w:pPr>
              <w:spacing w:line="300" w:lineRule="atLeast"/>
              <w:jc w:val="center"/>
              <w:rPr>
                <w:rFonts w:ascii="Arial" w:hAnsi="Arial" w:cs="Arial"/>
                <w:sz w:val="16"/>
                <w:szCs w:val="16"/>
              </w:rPr>
            </w:pPr>
            <w:r w:rsidRPr="006676B6">
              <w:rPr>
                <w:rFonts w:ascii="Arial" w:hAnsi="Arial" w:cs="Arial"/>
                <w:sz w:val="16"/>
                <w:szCs w:val="16"/>
              </w:rPr>
              <w:t>-</w:t>
            </w:r>
          </w:p>
        </w:tc>
        <w:tc>
          <w:tcPr>
            <w:tcW w:w="850" w:type="dxa"/>
            <w:vAlign w:val="center"/>
          </w:tcPr>
          <w:p w14:paraId="1F7D7AAF" w14:textId="77777777" w:rsidR="00D14458" w:rsidRPr="006676B6" w:rsidRDefault="00D14458" w:rsidP="00676490">
            <w:pPr>
              <w:spacing w:line="300" w:lineRule="atLeast"/>
              <w:jc w:val="center"/>
              <w:rPr>
                <w:rFonts w:ascii="Arial" w:hAnsi="Arial" w:cs="Arial"/>
                <w:sz w:val="16"/>
                <w:szCs w:val="16"/>
              </w:rPr>
            </w:pPr>
            <w:r w:rsidRPr="006676B6">
              <w:rPr>
                <w:rFonts w:ascii="Arial" w:hAnsi="Arial" w:cs="Arial"/>
                <w:sz w:val="16"/>
                <w:szCs w:val="16"/>
              </w:rPr>
              <w:t>-</w:t>
            </w:r>
          </w:p>
        </w:tc>
      </w:tr>
      <w:tr w:rsidR="00D14458" w:rsidRPr="007901FE" w14:paraId="10192C48" w14:textId="77777777" w:rsidTr="00114338">
        <w:tc>
          <w:tcPr>
            <w:tcW w:w="2410" w:type="dxa"/>
            <w:vAlign w:val="center"/>
          </w:tcPr>
          <w:p w14:paraId="24D7864A" w14:textId="77777777" w:rsidR="00D14458" w:rsidRPr="004901F2" w:rsidRDefault="00D14458" w:rsidP="00676490">
            <w:pPr>
              <w:spacing w:line="300" w:lineRule="atLeast"/>
              <w:rPr>
                <w:rFonts w:ascii="Arial" w:hAnsi="Arial" w:cs="Arial"/>
                <w:sz w:val="16"/>
                <w:szCs w:val="16"/>
              </w:rPr>
            </w:pPr>
            <w:r>
              <w:rPr>
                <w:rFonts w:ascii="Arial" w:hAnsi="Arial" w:cs="Arial"/>
                <w:sz w:val="16"/>
                <w:szCs w:val="16"/>
              </w:rPr>
              <w:t>Sewage sludge incineration</w:t>
            </w:r>
          </w:p>
        </w:tc>
        <w:tc>
          <w:tcPr>
            <w:tcW w:w="1701" w:type="dxa"/>
            <w:vAlign w:val="center"/>
          </w:tcPr>
          <w:p w14:paraId="7B478B16" w14:textId="5691D36D" w:rsidR="00D14458" w:rsidRPr="00913FFF" w:rsidRDefault="003215AB" w:rsidP="00676490">
            <w:pPr>
              <w:spacing w:line="300" w:lineRule="atLeast"/>
              <w:jc w:val="center"/>
              <w:rPr>
                <w:rFonts w:ascii="Arial" w:hAnsi="Arial" w:cs="Arial"/>
                <w:sz w:val="16"/>
                <w:szCs w:val="16"/>
              </w:rPr>
            </w:pPr>
            <w:r w:rsidRPr="000B1B79">
              <w:rPr>
                <w:rFonts w:ascii="Arial" w:hAnsi="Arial" w:cs="Arial"/>
                <w:sz w:val="16"/>
                <w:szCs w:val="16"/>
              </w:rPr>
              <w:t>0.975</w:t>
            </w:r>
          </w:p>
        </w:tc>
        <w:tc>
          <w:tcPr>
            <w:tcW w:w="1701" w:type="dxa"/>
            <w:vAlign w:val="center"/>
          </w:tcPr>
          <w:p w14:paraId="02AFD2C4" w14:textId="77777777" w:rsidR="00D14458" w:rsidRPr="00913FFF" w:rsidRDefault="00A67DF0" w:rsidP="00676490">
            <w:pPr>
              <w:spacing w:line="300" w:lineRule="atLeast"/>
              <w:jc w:val="center"/>
              <w:rPr>
                <w:rFonts w:ascii="Arial" w:hAnsi="Arial" w:cs="Arial"/>
                <w:sz w:val="16"/>
                <w:szCs w:val="16"/>
              </w:rPr>
            </w:pPr>
            <w:r w:rsidRPr="00913FFF">
              <w:rPr>
                <w:rFonts w:ascii="Arial" w:hAnsi="Arial" w:cs="Arial"/>
                <w:sz w:val="16"/>
                <w:szCs w:val="16"/>
              </w:rPr>
              <w:t>-</w:t>
            </w:r>
          </w:p>
        </w:tc>
        <w:tc>
          <w:tcPr>
            <w:tcW w:w="803" w:type="dxa"/>
            <w:vAlign w:val="center"/>
          </w:tcPr>
          <w:p w14:paraId="2E3561C7" w14:textId="77777777" w:rsidR="00D14458" w:rsidRPr="00913FFF" w:rsidRDefault="00A67DF0" w:rsidP="00676490">
            <w:pPr>
              <w:spacing w:line="300" w:lineRule="atLeast"/>
              <w:jc w:val="center"/>
              <w:rPr>
                <w:rFonts w:ascii="Arial" w:hAnsi="Arial" w:cs="Arial"/>
                <w:sz w:val="16"/>
                <w:szCs w:val="16"/>
              </w:rPr>
            </w:pPr>
            <w:r w:rsidRPr="00913FFF">
              <w:rPr>
                <w:rFonts w:ascii="Arial" w:hAnsi="Arial" w:cs="Arial"/>
                <w:sz w:val="16"/>
                <w:szCs w:val="16"/>
              </w:rPr>
              <w:t>-</w:t>
            </w:r>
          </w:p>
        </w:tc>
        <w:tc>
          <w:tcPr>
            <w:tcW w:w="803" w:type="dxa"/>
            <w:vAlign w:val="center"/>
          </w:tcPr>
          <w:p w14:paraId="50F4C817" w14:textId="77777777" w:rsidR="00D14458" w:rsidRPr="00913FFF" w:rsidRDefault="00A67DF0" w:rsidP="00676490">
            <w:pPr>
              <w:spacing w:line="300" w:lineRule="atLeast"/>
              <w:jc w:val="center"/>
              <w:rPr>
                <w:rFonts w:ascii="Arial" w:hAnsi="Arial" w:cs="Arial"/>
                <w:sz w:val="16"/>
                <w:szCs w:val="16"/>
              </w:rPr>
            </w:pPr>
            <w:r w:rsidRPr="00913FFF">
              <w:rPr>
                <w:rFonts w:ascii="Arial" w:hAnsi="Arial" w:cs="Arial"/>
                <w:sz w:val="16"/>
                <w:szCs w:val="16"/>
              </w:rPr>
              <w:t>-</w:t>
            </w:r>
          </w:p>
        </w:tc>
        <w:tc>
          <w:tcPr>
            <w:tcW w:w="946" w:type="dxa"/>
            <w:vAlign w:val="center"/>
          </w:tcPr>
          <w:p w14:paraId="59ACFF0F" w14:textId="77777777" w:rsidR="00D14458" w:rsidRPr="00913FFF" w:rsidRDefault="00A67DF0" w:rsidP="00676490">
            <w:pPr>
              <w:spacing w:line="300" w:lineRule="atLeast"/>
              <w:jc w:val="center"/>
              <w:rPr>
                <w:rFonts w:ascii="Arial" w:hAnsi="Arial" w:cs="Arial"/>
                <w:sz w:val="16"/>
                <w:szCs w:val="16"/>
              </w:rPr>
            </w:pPr>
            <w:r w:rsidRPr="00913FFF">
              <w:rPr>
                <w:rFonts w:ascii="Arial" w:hAnsi="Arial" w:cs="Arial"/>
                <w:sz w:val="16"/>
                <w:szCs w:val="16"/>
              </w:rPr>
              <w:t>-</w:t>
            </w:r>
          </w:p>
        </w:tc>
        <w:tc>
          <w:tcPr>
            <w:tcW w:w="850" w:type="dxa"/>
            <w:vAlign w:val="center"/>
          </w:tcPr>
          <w:p w14:paraId="5CC1C115" w14:textId="57703E70" w:rsidR="00D14458" w:rsidRPr="00913FFF" w:rsidRDefault="003215AB" w:rsidP="00676490">
            <w:pPr>
              <w:spacing w:line="300" w:lineRule="atLeast"/>
              <w:jc w:val="center"/>
              <w:rPr>
                <w:rFonts w:ascii="Arial" w:hAnsi="Arial" w:cs="Arial"/>
                <w:sz w:val="16"/>
                <w:szCs w:val="16"/>
              </w:rPr>
            </w:pPr>
            <w:r w:rsidRPr="000B1B79">
              <w:rPr>
                <w:rFonts w:ascii="Arial" w:hAnsi="Arial" w:cs="Arial"/>
                <w:sz w:val="16"/>
                <w:szCs w:val="16"/>
              </w:rPr>
              <w:t>0.975</w:t>
            </w:r>
          </w:p>
        </w:tc>
      </w:tr>
      <w:tr w:rsidR="00D14458" w:rsidRPr="007901FE" w14:paraId="46C52A9B" w14:textId="77777777" w:rsidTr="00114338">
        <w:tc>
          <w:tcPr>
            <w:tcW w:w="2410" w:type="dxa"/>
            <w:vAlign w:val="center"/>
          </w:tcPr>
          <w:p w14:paraId="30C47DFB" w14:textId="77777777" w:rsidR="00D14458" w:rsidRPr="004901F2" w:rsidRDefault="00D14458" w:rsidP="00676490">
            <w:pPr>
              <w:spacing w:line="300" w:lineRule="atLeast"/>
              <w:rPr>
                <w:rFonts w:ascii="Arial" w:hAnsi="Arial" w:cs="Arial"/>
                <w:sz w:val="16"/>
                <w:szCs w:val="16"/>
              </w:rPr>
            </w:pPr>
            <w:r>
              <w:rPr>
                <w:rFonts w:ascii="Arial" w:hAnsi="Arial" w:cs="Arial"/>
                <w:sz w:val="16"/>
                <w:szCs w:val="16"/>
              </w:rPr>
              <w:t>Informal waste incineration</w:t>
            </w:r>
          </w:p>
        </w:tc>
        <w:tc>
          <w:tcPr>
            <w:tcW w:w="1701" w:type="dxa"/>
            <w:vAlign w:val="center"/>
          </w:tcPr>
          <w:p w14:paraId="7D21C605" w14:textId="639139C1" w:rsidR="00D14458" w:rsidRPr="00EF72E4" w:rsidRDefault="00D838BA" w:rsidP="009766C1">
            <w:pPr>
              <w:spacing w:line="300" w:lineRule="atLeast"/>
              <w:jc w:val="center"/>
              <w:rPr>
                <w:rFonts w:ascii="Arial" w:hAnsi="Arial" w:cs="Arial"/>
                <w:sz w:val="16"/>
                <w:szCs w:val="16"/>
                <w:highlight w:val="yellow"/>
              </w:rPr>
            </w:pPr>
            <w:r w:rsidRPr="00EF72E4">
              <w:rPr>
                <w:rFonts w:ascii="Arial" w:hAnsi="Arial" w:cs="Arial"/>
                <w:sz w:val="16"/>
                <w:szCs w:val="16"/>
              </w:rPr>
              <w:t>12.</w:t>
            </w:r>
            <w:r w:rsidR="00E748D7">
              <w:rPr>
                <w:rFonts w:ascii="Arial" w:hAnsi="Arial" w:cs="Arial"/>
                <w:sz w:val="16"/>
                <w:szCs w:val="16"/>
              </w:rPr>
              <w:t>6</w:t>
            </w:r>
          </w:p>
        </w:tc>
        <w:tc>
          <w:tcPr>
            <w:tcW w:w="1701" w:type="dxa"/>
            <w:vAlign w:val="center"/>
          </w:tcPr>
          <w:p w14:paraId="13B6A4BB" w14:textId="4B1ACB99" w:rsidR="00D14458" w:rsidRPr="00EF72E4" w:rsidRDefault="00EF72E4" w:rsidP="009766C1">
            <w:pPr>
              <w:spacing w:line="300" w:lineRule="atLeast"/>
              <w:jc w:val="center"/>
              <w:rPr>
                <w:rFonts w:ascii="Arial" w:hAnsi="Arial" w:cs="Arial"/>
                <w:sz w:val="16"/>
                <w:szCs w:val="16"/>
                <w:highlight w:val="yellow"/>
              </w:rPr>
            </w:pPr>
            <w:r w:rsidRPr="00EF72E4">
              <w:rPr>
                <w:rFonts w:ascii="Arial" w:hAnsi="Arial" w:cs="Arial"/>
                <w:color w:val="000000" w:themeColor="text1"/>
                <w:sz w:val="16"/>
                <w:szCs w:val="16"/>
              </w:rPr>
              <w:t>12.</w:t>
            </w:r>
            <w:r w:rsidR="00E748D7">
              <w:rPr>
                <w:rFonts w:ascii="Arial" w:hAnsi="Arial" w:cs="Arial"/>
                <w:color w:val="000000" w:themeColor="text1"/>
                <w:sz w:val="16"/>
                <w:szCs w:val="16"/>
              </w:rPr>
              <w:t>6</w:t>
            </w:r>
          </w:p>
        </w:tc>
        <w:tc>
          <w:tcPr>
            <w:tcW w:w="803" w:type="dxa"/>
            <w:vAlign w:val="center"/>
          </w:tcPr>
          <w:p w14:paraId="60DA5799" w14:textId="77777777" w:rsidR="00D14458" w:rsidRPr="006676B6" w:rsidRDefault="00A67DF0" w:rsidP="00676490">
            <w:pPr>
              <w:spacing w:line="300" w:lineRule="atLeast"/>
              <w:jc w:val="center"/>
              <w:rPr>
                <w:rFonts w:ascii="Arial" w:hAnsi="Arial" w:cs="Arial"/>
                <w:sz w:val="16"/>
                <w:szCs w:val="16"/>
              </w:rPr>
            </w:pPr>
            <w:r w:rsidRPr="006676B6">
              <w:rPr>
                <w:rFonts w:ascii="Arial" w:hAnsi="Arial" w:cs="Arial"/>
                <w:sz w:val="16"/>
                <w:szCs w:val="16"/>
              </w:rPr>
              <w:t>-</w:t>
            </w:r>
          </w:p>
        </w:tc>
        <w:tc>
          <w:tcPr>
            <w:tcW w:w="803" w:type="dxa"/>
            <w:vAlign w:val="center"/>
          </w:tcPr>
          <w:p w14:paraId="335F753B" w14:textId="77777777" w:rsidR="00D14458" w:rsidRPr="006676B6" w:rsidRDefault="00A67DF0" w:rsidP="00676490">
            <w:pPr>
              <w:spacing w:line="300" w:lineRule="atLeast"/>
              <w:jc w:val="center"/>
              <w:rPr>
                <w:rFonts w:ascii="Arial" w:hAnsi="Arial" w:cs="Arial"/>
                <w:sz w:val="16"/>
                <w:szCs w:val="16"/>
              </w:rPr>
            </w:pPr>
            <w:r w:rsidRPr="006676B6">
              <w:rPr>
                <w:rFonts w:ascii="Arial" w:hAnsi="Arial" w:cs="Arial"/>
                <w:sz w:val="16"/>
                <w:szCs w:val="16"/>
              </w:rPr>
              <w:t>-</w:t>
            </w:r>
          </w:p>
        </w:tc>
        <w:tc>
          <w:tcPr>
            <w:tcW w:w="946" w:type="dxa"/>
            <w:vAlign w:val="center"/>
          </w:tcPr>
          <w:p w14:paraId="70211A71" w14:textId="77777777" w:rsidR="00D14458" w:rsidRPr="006676B6" w:rsidRDefault="00A67DF0" w:rsidP="00676490">
            <w:pPr>
              <w:spacing w:line="300" w:lineRule="atLeast"/>
              <w:jc w:val="center"/>
              <w:rPr>
                <w:rFonts w:ascii="Arial" w:hAnsi="Arial" w:cs="Arial"/>
                <w:sz w:val="16"/>
                <w:szCs w:val="16"/>
              </w:rPr>
            </w:pPr>
            <w:r w:rsidRPr="006676B6">
              <w:rPr>
                <w:rFonts w:ascii="Arial" w:hAnsi="Arial" w:cs="Arial"/>
                <w:sz w:val="16"/>
                <w:szCs w:val="16"/>
              </w:rPr>
              <w:t>-</w:t>
            </w:r>
          </w:p>
        </w:tc>
        <w:tc>
          <w:tcPr>
            <w:tcW w:w="850" w:type="dxa"/>
            <w:vAlign w:val="center"/>
          </w:tcPr>
          <w:p w14:paraId="4100623A" w14:textId="77777777" w:rsidR="00D14458" w:rsidRPr="006676B6" w:rsidRDefault="00A67DF0" w:rsidP="00676490">
            <w:pPr>
              <w:spacing w:line="300" w:lineRule="atLeast"/>
              <w:jc w:val="center"/>
              <w:rPr>
                <w:rFonts w:ascii="Arial" w:hAnsi="Arial" w:cs="Arial"/>
                <w:sz w:val="16"/>
                <w:szCs w:val="16"/>
              </w:rPr>
            </w:pPr>
            <w:r w:rsidRPr="006676B6">
              <w:rPr>
                <w:rFonts w:ascii="Arial" w:hAnsi="Arial" w:cs="Arial"/>
                <w:sz w:val="16"/>
                <w:szCs w:val="16"/>
              </w:rPr>
              <w:t>-</w:t>
            </w:r>
          </w:p>
        </w:tc>
      </w:tr>
      <w:tr w:rsidR="00D14458" w:rsidRPr="007901FE" w14:paraId="0EC0CB99" w14:textId="77777777" w:rsidTr="00114338">
        <w:tc>
          <w:tcPr>
            <w:tcW w:w="2410" w:type="dxa"/>
            <w:vAlign w:val="center"/>
          </w:tcPr>
          <w:p w14:paraId="1500467E" w14:textId="77777777" w:rsidR="00D14458" w:rsidRDefault="00D14458" w:rsidP="00A67DF0">
            <w:pPr>
              <w:spacing w:line="300" w:lineRule="atLeast"/>
              <w:rPr>
                <w:rFonts w:ascii="Arial" w:hAnsi="Arial" w:cs="Arial"/>
                <w:sz w:val="16"/>
                <w:szCs w:val="16"/>
              </w:rPr>
            </w:pPr>
            <w:r>
              <w:rPr>
                <w:rFonts w:ascii="Arial" w:hAnsi="Arial" w:cs="Arial"/>
                <w:sz w:val="16"/>
                <w:szCs w:val="16"/>
              </w:rPr>
              <w:t xml:space="preserve">Other </w:t>
            </w:r>
            <w:r w:rsidR="00A67DF0">
              <w:rPr>
                <w:rFonts w:ascii="Arial" w:hAnsi="Arial" w:cs="Arial"/>
                <w:sz w:val="16"/>
                <w:szCs w:val="16"/>
              </w:rPr>
              <w:t>(pet incinerators)</w:t>
            </w:r>
          </w:p>
        </w:tc>
        <w:tc>
          <w:tcPr>
            <w:tcW w:w="1701" w:type="dxa"/>
            <w:vAlign w:val="center"/>
          </w:tcPr>
          <w:p w14:paraId="469CFC81" w14:textId="2DAD8B5F" w:rsidR="00D14458" w:rsidRPr="00EF72E4" w:rsidRDefault="003077C1" w:rsidP="007257F3">
            <w:pPr>
              <w:spacing w:line="300" w:lineRule="atLeast"/>
              <w:jc w:val="center"/>
              <w:rPr>
                <w:rFonts w:ascii="Arial" w:hAnsi="Arial" w:cs="Arial"/>
                <w:sz w:val="16"/>
                <w:szCs w:val="16"/>
                <w:highlight w:val="yellow"/>
              </w:rPr>
            </w:pPr>
            <w:r w:rsidRPr="008C4ECC">
              <w:rPr>
                <w:rFonts w:ascii="Arial" w:hAnsi="Arial" w:cs="Arial"/>
                <w:sz w:val="16"/>
                <w:szCs w:val="16"/>
              </w:rPr>
              <w:t>0.</w:t>
            </w:r>
            <w:r w:rsidR="004D6642" w:rsidRPr="008C4ECC">
              <w:rPr>
                <w:rFonts w:ascii="Arial" w:hAnsi="Arial" w:cs="Arial"/>
                <w:sz w:val="16"/>
                <w:szCs w:val="16"/>
              </w:rPr>
              <w:t>51</w:t>
            </w:r>
          </w:p>
        </w:tc>
        <w:tc>
          <w:tcPr>
            <w:tcW w:w="1701" w:type="dxa"/>
            <w:vAlign w:val="center"/>
          </w:tcPr>
          <w:p w14:paraId="0F8FCB90" w14:textId="44DF4290" w:rsidR="00D14458" w:rsidRPr="00EF72E4" w:rsidRDefault="003077C1" w:rsidP="007257F3">
            <w:pPr>
              <w:spacing w:line="300" w:lineRule="atLeast"/>
              <w:jc w:val="center"/>
              <w:rPr>
                <w:rFonts w:ascii="Arial" w:hAnsi="Arial" w:cs="Arial"/>
                <w:sz w:val="16"/>
                <w:szCs w:val="16"/>
                <w:highlight w:val="yellow"/>
              </w:rPr>
            </w:pPr>
            <w:r w:rsidRPr="008C4ECC">
              <w:rPr>
                <w:rFonts w:ascii="Arial" w:hAnsi="Arial" w:cs="Arial"/>
                <w:sz w:val="16"/>
                <w:szCs w:val="16"/>
              </w:rPr>
              <w:t>0.</w:t>
            </w:r>
            <w:r w:rsidR="004D6642" w:rsidRPr="008C4ECC">
              <w:rPr>
                <w:rFonts w:ascii="Arial" w:hAnsi="Arial" w:cs="Arial"/>
                <w:sz w:val="16"/>
                <w:szCs w:val="16"/>
              </w:rPr>
              <w:t>51</w:t>
            </w:r>
          </w:p>
        </w:tc>
        <w:tc>
          <w:tcPr>
            <w:tcW w:w="803" w:type="dxa"/>
            <w:vAlign w:val="center"/>
          </w:tcPr>
          <w:p w14:paraId="1A811FF7" w14:textId="77777777" w:rsidR="00D14458" w:rsidRPr="006676B6" w:rsidRDefault="00A67DF0" w:rsidP="00676490">
            <w:pPr>
              <w:spacing w:line="300" w:lineRule="atLeast"/>
              <w:jc w:val="center"/>
              <w:rPr>
                <w:rFonts w:ascii="Arial" w:hAnsi="Arial" w:cs="Arial"/>
                <w:sz w:val="16"/>
                <w:szCs w:val="16"/>
              </w:rPr>
            </w:pPr>
            <w:r w:rsidRPr="006676B6">
              <w:rPr>
                <w:rFonts w:ascii="Arial" w:hAnsi="Arial" w:cs="Arial"/>
                <w:sz w:val="16"/>
                <w:szCs w:val="16"/>
              </w:rPr>
              <w:t>-</w:t>
            </w:r>
          </w:p>
        </w:tc>
        <w:tc>
          <w:tcPr>
            <w:tcW w:w="803" w:type="dxa"/>
            <w:vAlign w:val="center"/>
          </w:tcPr>
          <w:p w14:paraId="66B41999" w14:textId="77777777" w:rsidR="00D14458" w:rsidRPr="006676B6" w:rsidRDefault="00A67DF0" w:rsidP="00676490">
            <w:pPr>
              <w:spacing w:line="300" w:lineRule="atLeast"/>
              <w:jc w:val="center"/>
              <w:rPr>
                <w:rFonts w:ascii="Arial" w:hAnsi="Arial" w:cs="Arial"/>
                <w:sz w:val="16"/>
                <w:szCs w:val="16"/>
              </w:rPr>
            </w:pPr>
            <w:r w:rsidRPr="006676B6">
              <w:rPr>
                <w:rFonts w:ascii="Arial" w:hAnsi="Arial" w:cs="Arial"/>
                <w:sz w:val="16"/>
                <w:szCs w:val="16"/>
              </w:rPr>
              <w:t>-</w:t>
            </w:r>
          </w:p>
        </w:tc>
        <w:tc>
          <w:tcPr>
            <w:tcW w:w="946" w:type="dxa"/>
            <w:vAlign w:val="center"/>
          </w:tcPr>
          <w:p w14:paraId="2646FEBD" w14:textId="77777777" w:rsidR="00D14458" w:rsidRPr="006676B6" w:rsidRDefault="00A67DF0" w:rsidP="00676490">
            <w:pPr>
              <w:spacing w:line="300" w:lineRule="atLeast"/>
              <w:jc w:val="center"/>
              <w:rPr>
                <w:rFonts w:ascii="Arial" w:hAnsi="Arial" w:cs="Arial"/>
                <w:sz w:val="16"/>
                <w:szCs w:val="16"/>
              </w:rPr>
            </w:pPr>
            <w:r w:rsidRPr="006676B6">
              <w:rPr>
                <w:rFonts w:ascii="Arial" w:hAnsi="Arial" w:cs="Arial"/>
                <w:sz w:val="16"/>
                <w:szCs w:val="16"/>
              </w:rPr>
              <w:t>-</w:t>
            </w:r>
          </w:p>
        </w:tc>
        <w:tc>
          <w:tcPr>
            <w:tcW w:w="850" w:type="dxa"/>
            <w:vAlign w:val="center"/>
          </w:tcPr>
          <w:p w14:paraId="0CA771AE" w14:textId="77777777" w:rsidR="00D14458" w:rsidRPr="006676B6" w:rsidRDefault="00A67DF0" w:rsidP="00676490">
            <w:pPr>
              <w:spacing w:line="300" w:lineRule="atLeast"/>
              <w:jc w:val="center"/>
              <w:rPr>
                <w:rFonts w:ascii="Arial" w:hAnsi="Arial" w:cs="Arial"/>
                <w:sz w:val="16"/>
                <w:szCs w:val="16"/>
              </w:rPr>
            </w:pPr>
            <w:r w:rsidRPr="006676B6">
              <w:rPr>
                <w:rFonts w:ascii="Arial" w:hAnsi="Arial" w:cs="Arial"/>
                <w:sz w:val="16"/>
                <w:szCs w:val="16"/>
              </w:rPr>
              <w:t>-</w:t>
            </w:r>
          </w:p>
        </w:tc>
      </w:tr>
      <w:tr w:rsidR="00D14458" w:rsidRPr="007901FE" w14:paraId="08EB73F3" w14:textId="77777777" w:rsidTr="00114338">
        <w:tc>
          <w:tcPr>
            <w:tcW w:w="2410" w:type="dxa"/>
            <w:vAlign w:val="center"/>
          </w:tcPr>
          <w:p w14:paraId="154F6694" w14:textId="77777777" w:rsidR="00D14458" w:rsidRPr="005905F5" w:rsidRDefault="00D14458" w:rsidP="009855EE">
            <w:pPr>
              <w:spacing w:line="300" w:lineRule="atLeast"/>
              <w:rPr>
                <w:rFonts w:ascii="Arial" w:hAnsi="Arial" w:cs="Arial"/>
                <w:b/>
                <w:sz w:val="16"/>
                <w:szCs w:val="16"/>
              </w:rPr>
            </w:pPr>
            <w:r w:rsidRPr="005905F5">
              <w:rPr>
                <w:rFonts w:ascii="Arial" w:hAnsi="Arial" w:cs="Arial"/>
                <w:b/>
                <w:sz w:val="16"/>
                <w:szCs w:val="16"/>
              </w:rPr>
              <w:t>Totals</w:t>
            </w:r>
          </w:p>
        </w:tc>
        <w:tc>
          <w:tcPr>
            <w:tcW w:w="1701" w:type="dxa"/>
            <w:vAlign w:val="center"/>
          </w:tcPr>
          <w:p w14:paraId="221F05DF" w14:textId="5E347A6D" w:rsidR="00D14458" w:rsidRPr="00D47383" w:rsidRDefault="008C4ECC" w:rsidP="00683AD9">
            <w:pPr>
              <w:spacing w:line="300" w:lineRule="atLeast"/>
              <w:jc w:val="center"/>
              <w:rPr>
                <w:rFonts w:ascii="Arial" w:hAnsi="Arial" w:cs="Arial"/>
                <w:b/>
                <w:sz w:val="16"/>
                <w:szCs w:val="16"/>
              </w:rPr>
            </w:pPr>
            <w:r w:rsidRPr="000B1B79">
              <w:rPr>
                <w:rFonts w:ascii="Arial" w:hAnsi="Arial" w:cs="Arial"/>
                <w:b/>
                <w:sz w:val="16"/>
                <w:szCs w:val="16"/>
              </w:rPr>
              <w:t>15.</w:t>
            </w:r>
            <w:r w:rsidR="00E748D7">
              <w:rPr>
                <w:rFonts w:ascii="Arial" w:hAnsi="Arial" w:cs="Arial"/>
                <w:b/>
                <w:sz w:val="16"/>
                <w:szCs w:val="16"/>
              </w:rPr>
              <w:t>4</w:t>
            </w:r>
            <w:r w:rsidR="00CE548D" w:rsidRPr="00D47383">
              <w:rPr>
                <w:rFonts w:ascii="Arial" w:hAnsi="Arial" w:cs="Arial"/>
                <w:b/>
                <w:sz w:val="16"/>
                <w:szCs w:val="16"/>
              </w:rPr>
              <w:t xml:space="preserve"> </w:t>
            </w:r>
            <w:r w:rsidR="00BA0C74" w:rsidRPr="00D47383">
              <w:rPr>
                <w:rFonts w:ascii="Arial" w:hAnsi="Arial" w:cs="Arial"/>
                <w:b/>
                <w:sz w:val="16"/>
                <w:szCs w:val="16"/>
              </w:rPr>
              <w:t>–</w:t>
            </w:r>
            <w:r w:rsidR="00CE548D" w:rsidRPr="00D47383">
              <w:rPr>
                <w:rFonts w:ascii="Arial" w:hAnsi="Arial" w:cs="Arial"/>
                <w:b/>
                <w:sz w:val="16"/>
                <w:szCs w:val="16"/>
              </w:rPr>
              <w:t xml:space="preserve"> </w:t>
            </w:r>
            <w:r w:rsidR="00D47383" w:rsidRPr="000B1B79">
              <w:rPr>
                <w:rFonts w:ascii="Arial" w:hAnsi="Arial" w:cs="Arial"/>
                <w:b/>
                <w:sz w:val="16"/>
                <w:szCs w:val="16"/>
              </w:rPr>
              <w:t>20.5</w:t>
            </w:r>
            <w:r w:rsidR="00E748D7" w:rsidRPr="00D47383">
              <w:rPr>
                <w:rFonts w:ascii="Arial" w:hAnsi="Arial" w:cs="Arial"/>
                <w:b/>
                <w:sz w:val="16"/>
                <w:szCs w:val="16"/>
              </w:rPr>
              <w:t xml:space="preserve"> </w:t>
            </w:r>
            <w:r w:rsidR="005905F5" w:rsidRPr="00D47383">
              <w:rPr>
                <w:rFonts w:ascii="Arial" w:hAnsi="Arial" w:cs="Arial"/>
                <w:b/>
                <w:sz w:val="16"/>
                <w:szCs w:val="16"/>
              </w:rPr>
              <w:t>(</w:t>
            </w:r>
            <w:r w:rsidR="00D47383" w:rsidRPr="000B1B79">
              <w:rPr>
                <w:rFonts w:ascii="Arial" w:hAnsi="Arial" w:cs="Arial"/>
                <w:b/>
                <w:sz w:val="16"/>
                <w:szCs w:val="16"/>
              </w:rPr>
              <w:t>1</w:t>
            </w:r>
            <w:r w:rsidR="00E748D7">
              <w:rPr>
                <w:rFonts w:ascii="Arial" w:hAnsi="Arial" w:cs="Arial"/>
                <w:b/>
                <w:sz w:val="16"/>
                <w:szCs w:val="16"/>
              </w:rPr>
              <w:t>8.0</w:t>
            </w:r>
            <w:r w:rsidR="005905F5" w:rsidRPr="00D47383">
              <w:rPr>
                <w:rFonts w:ascii="Arial" w:hAnsi="Arial" w:cs="Arial"/>
                <w:b/>
                <w:sz w:val="16"/>
                <w:szCs w:val="16"/>
              </w:rPr>
              <w:t>)</w:t>
            </w:r>
          </w:p>
        </w:tc>
        <w:tc>
          <w:tcPr>
            <w:tcW w:w="1701" w:type="dxa"/>
            <w:vAlign w:val="center"/>
          </w:tcPr>
          <w:p w14:paraId="1B310824" w14:textId="00A8E815" w:rsidR="00D14458" w:rsidRPr="00D47383" w:rsidRDefault="00D47383" w:rsidP="009766C1">
            <w:pPr>
              <w:spacing w:line="300" w:lineRule="atLeast"/>
              <w:jc w:val="center"/>
              <w:rPr>
                <w:rFonts w:ascii="Arial" w:hAnsi="Arial" w:cs="Arial"/>
                <w:b/>
                <w:sz w:val="16"/>
                <w:szCs w:val="16"/>
              </w:rPr>
            </w:pPr>
            <w:r w:rsidRPr="000B1B79">
              <w:rPr>
                <w:rFonts w:ascii="Arial" w:hAnsi="Arial" w:cs="Arial"/>
                <w:b/>
                <w:sz w:val="16"/>
                <w:szCs w:val="16"/>
              </w:rPr>
              <w:t>14.</w:t>
            </w:r>
            <w:r w:rsidR="00E748D7">
              <w:rPr>
                <w:rFonts w:ascii="Arial" w:hAnsi="Arial" w:cs="Arial"/>
                <w:b/>
                <w:sz w:val="16"/>
                <w:szCs w:val="16"/>
              </w:rPr>
              <w:t>4</w:t>
            </w:r>
            <w:r w:rsidR="00BA0C74" w:rsidRPr="00D47383">
              <w:rPr>
                <w:rFonts w:ascii="Arial" w:hAnsi="Arial" w:cs="Arial"/>
                <w:b/>
                <w:sz w:val="16"/>
                <w:szCs w:val="16"/>
              </w:rPr>
              <w:t xml:space="preserve"> – </w:t>
            </w:r>
            <w:r w:rsidRPr="000B1B79">
              <w:rPr>
                <w:rFonts w:ascii="Arial" w:hAnsi="Arial" w:cs="Arial"/>
                <w:b/>
                <w:sz w:val="16"/>
                <w:szCs w:val="16"/>
              </w:rPr>
              <w:t>19.</w:t>
            </w:r>
            <w:r w:rsidR="00E748D7">
              <w:rPr>
                <w:rFonts w:ascii="Arial" w:hAnsi="Arial" w:cs="Arial"/>
                <w:b/>
                <w:sz w:val="16"/>
                <w:szCs w:val="16"/>
              </w:rPr>
              <w:t>6</w:t>
            </w:r>
            <w:r w:rsidR="00E748D7" w:rsidRPr="00D47383">
              <w:rPr>
                <w:rFonts w:ascii="Arial" w:hAnsi="Arial" w:cs="Arial"/>
                <w:b/>
                <w:sz w:val="16"/>
                <w:szCs w:val="16"/>
              </w:rPr>
              <w:t xml:space="preserve"> </w:t>
            </w:r>
            <w:r w:rsidR="005905F5" w:rsidRPr="00D47383">
              <w:rPr>
                <w:rFonts w:ascii="Arial" w:hAnsi="Arial" w:cs="Arial"/>
                <w:b/>
                <w:sz w:val="16"/>
                <w:szCs w:val="16"/>
              </w:rPr>
              <w:t>(</w:t>
            </w:r>
            <w:r w:rsidRPr="000B1B79">
              <w:rPr>
                <w:rFonts w:ascii="Arial" w:hAnsi="Arial" w:cs="Arial"/>
                <w:b/>
                <w:sz w:val="16"/>
                <w:szCs w:val="16"/>
              </w:rPr>
              <w:t>1</w:t>
            </w:r>
            <w:r w:rsidR="00E748D7">
              <w:rPr>
                <w:rFonts w:ascii="Arial" w:hAnsi="Arial" w:cs="Arial"/>
                <w:b/>
                <w:sz w:val="16"/>
                <w:szCs w:val="16"/>
              </w:rPr>
              <w:t>7</w:t>
            </w:r>
            <w:r w:rsidRPr="000B1B79">
              <w:rPr>
                <w:rFonts w:ascii="Arial" w:hAnsi="Arial" w:cs="Arial"/>
                <w:b/>
                <w:sz w:val="16"/>
                <w:szCs w:val="16"/>
              </w:rPr>
              <w:t>.</w:t>
            </w:r>
            <w:r w:rsidR="00E748D7">
              <w:rPr>
                <w:rFonts w:ascii="Arial" w:hAnsi="Arial" w:cs="Arial"/>
                <w:b/>
                <w:sz w:val="16"/>
                <w:szCs w:val="16"/>
              </w:rPr>
              <w:t>0</w:t>
            </w:r>
            <w:r w:rsidR="005905F5" w:rsidRPr="00D47383">
              <w:rPr>
                <w:rFonts w:ascii="Arial" w:hAnsi="Arial" w:cs="Arial"/>
                <w:b/>
                <w:sz w:val="16"/>
                <w:szCs w:val="16"/>
              </w:rPr>
              <w:t>)</w:t>
            </w:r>
          </w:p>
        </w:tc>
        <w:tc>
          <w:tcPr>
            <w:tcW w:w="803" w:type="dxa"/>
            <w:vAlign w:val="center"/>
          </w:tcPr>
          <w:p w14:paraId="43121589" w14:textId="77777777" w:rsidR="00D14458" w:rsidRPr="00D47383" w:rsidRDefault="009855EE" w:rsidP="00676490">
            <w:pPr>
              <w:spacing w:line="300" w:lineRule="atLeast"/>
              <w:jc w:val="center"/>
              <w:rPr>
                <w:rFonts w:ascii="Arial" w:hAnsi="Arial" w:cs="Arial"/>
                <w:b/>
                <w:sz w:val="16"/>
                <w:szCs w:val="16"/>
              </w:rPr>
            </w:pPr>
            <w:r w:rsidRPr="00D47383">
              <w:rPr>
                <w:rFonts w:ascii="Arial" w:hAnsi="Arial" w:cs="Arial"/>
                <w:b/>
                <w:sz w:val="16"/>
                <w:szCs w:val="16"/>
              </w:rPr>
              <w:t>-</w:t>
            </w:r>
          </w:p>
        </w:tc>
        <w:tc>
          <w:tcPr>
            <w:tcW w:w="803" w:type="dxa"/>
            <w:vAlign w:val="center"/>
          </w:tcPr>
          <w:p w14:paraId="27D0F50C" w14:textId="77777777" w:rsidR="00D14458" w:rsidRPr="00D47383" w:rsidRDefault="009855EE" w:rsidP="00676490">
            <w:pPr>
              <w:spacing w:line="300" w:lineRule="atLeast"/>
              <w:jc w:val="center"/>
              <w:rPr>
                <w:rFonts w:ascii="Arial" w:hAnsi="Arial" w:cs="Arial"/>
                <w:b/>
                <w:sz w:val="16"/>
                <w:szCs w:val="16"/>
              </w:rPr>
            </w:pPr>
            <w:r w:rsidRPr="00D47383">
              <w:rPr>
                <w:rFonts w:ascii="Arial" w:hAnsi="Arial" w:cs="Arial"/>
                <w:b/>
                <w:sz w:val="16"/>
                <w:szCs w:val="16"/>
              </w:rPr>
              <w:t>-</w:t>
            </w:r>
          </w:p>
        </w:tc>
        <w:tc>
          <w:tcPr>
            <w:tcW w:w="946" w:type="dxa"/>
            <w:vAlign w:val="center"/>
          </w:tcPr>
          <w:p w14:paraId="1655A3C1" w14:textId="77777777" w:rsidR="00D14458" w:rsidRPr="00D47383" w:rsidRDefault="009855EE" w:rsidP="00676490">
            <w:pPr>
              <w:spacing w:line="300" w:lineRule="atLeast"/>
              <w:jc w:val="center"/>
              <w:rPr>
                <w:rFonts w:ascii="Arial" w:hAnsi="Arial" w:cs="Arial"/>
                <w:b/>
                <w:sz w:val="16"/>
                <w:szCs w:val="16"/>
              </w:rPr>
            </w:pPr>
            <w:r w:rsidRPr="00D47383">
              <w:rPr>
                <w:rFonts w:ascii="Arial" w:hAnsi="Arial" w:cs="Arial"/>
                <w:b/>
                <w:sz w:val="16"/>
                <w:szCs w:val="16"/>
              </w:rPr>
              <w:t>-</w:t>
            </w:r>
          </w:p>
        </w:tc>
        <w:tc>
          <w:tcPr>
            <w:tcW w:w="850" w:type="dxa"/>
            <w:vAlign w:val="center"/>
          </w:tcPr>
          <w:p w14:paraId="6E77E725" w14:textId="0213A99D" w:rsidR="00D14458" w:rsidRPr="00D47383" w:rsidRDefault="00D47383" w:rsidP="00676490">
            <w:pPr>
              <w:spacing w:line="300" w:lineRule="atLeast"/>
              <w:jc w:val="center"/>
              <w:rPr>
                <w:rFonts w:ascii="Arial" w:hAnsi="Arial" w:cs="Arial"/>
                <w:b/>
                <w:sz w:val="16"/>
                <w:szCs w:val="16"/>
              </w:rPr>
            </w:pPr>
            <w:r w:rsidRPr="000B1B79">
              <w:rPr>
                <w:rFonts w:ascii="Arial" w:hAnsi="Arial" w:cs="Arial"/>
                <w:b/>
                <w:sz w:val="16"/>
                <w:szCs w:val="16"/>
              </w:rPr>
              <w:t>0.975</w:t>
            </w:r>
          </w:p>
        </w:tc>
      </w:tr>
    </w:tbl>
    <w:p w14:paraId="4BCBEE58" w14:textId="0131ADF5" w:rsidR="00AB6D27" w:rsidRDefault="00AB6D27" w:rsidP="003833D6">
      <w:pPr>
        <w:spacing w:line="300" w:lineRule="atLeast"/>
        <w:jc w:val="both"/>
        <w:rPr>
          <w:szCs w:val="18"/>
        </w:rPr>
      </w:pPr>
    </w:p>
    <w:p w14:paraId="6983813B" w14:textId="77777777" w:rsidR="00D16E72" w:rsidRDefault="00D16E72">
      <w:pPr>
        <w:spacing w:after="0"/>
        <w:rPr>
          <w:szCs w:val="18"/>
        </w:rPr>
      </w:pPr>
      <w:r>
        <w:rPr>
          <w:szCs w:val="18"/>
        </w:rPr>
        <w:br w:type="page"/>
      </w:r>
    </w:p>
    <w:p w14:paraId="75019769" w14:textId="77777777" w:rsidR="00D16E72" w:rsidRDefault="00300092" w:rsidP="00D16E72">
      <w:pPr>
        <w:pStyle w:val="Heading1"/>
      </w:pPr>
      <w:bookmarkStart w:id="151" w:name="_Toc110355567"/>
      <w:r>
        <w:t>Waste deposition/landfilling and wastewater treatment</w:t>
      </w:r>
      <w:bookmarkEnd w:id="151"/>
    </w:p>
    <w:p w14:paraId="6BDF667E" w14:textId="1F7BCC6C" w:rsidR="00D86641" w:rsidRDefault="00D86641" w:rsidP="003833D6">
      <w:pPr>
        <w:spacing w:line="300" w:lineRule="atLeast"/>
        <w:jc w:val="both"/>
        <w:rPr>
          <w:szCs w:val="18"/>
        </w:rPr>
      </w:pPr>
      <w:r w:rsidRPr="00D86641">
        <w:rPr>
          <w:szCs w:val="18"/>
        </w:rPr>
        <w:t xml:space="preserve">This category covers mercury releases from the </w:t>
      </w:r>
      <w:r>
        <w:rPr>
          <w:szCs w:val="18"/>
        </w:rPr>
        <w:t>disposal of solid and liquid</w:t>
      </w:r>
      <w:r w:rsidRPr="00D86641">
        <w:rPr>
          <w:szCs w:val="18"/>
        </w:rPr>
        <w:t xml:space="preserve"> wastes</w:t>
      </w:r>
      <w:r>
        <w:rPr>
          <w:szCs w:val="18"/>
        </w:rPr>
        <w:t xml:space="preserve"> by landfilling, dumping, or discharge to wastewater treatment systems</w:t>
      </w:r>
      <w:r w:rsidRPr="00D86641">
        <w:rPr>
          <w:szCs w:val="18"/>
        </w:rPr>
        <w:t xml:space="preserve"> (</w:t>
      </w:r>
      <w:r w:rsidR="00C738EC">
        <w:rPr>
          <w:szCs w:val="18"/>
        </w:rPr>
        <w:t>UNEP, 20</w:t>
      </w:r>
      <w:r w:rsidR="001E58C3">
        <w:rPr>
          <w:szCs w:val="18"/>
        </w:rPr>
        <w:t>23</w:t>
      </w:r>
      <w:r w:rsidRPr="00D86641">
        <w:rPr>
          <w:szCs w:val="18"/>
        </w:rPr>
        <w:t>). The various sub-categories and the primary release pathways are summarised in</w:t>
      </w:r>
      <w:r>
        <w:rPr>
          <w:szCs w:val="18"/>
        </w:rPr>
        <w:t xml:space="preserve"> </w:t>
      </w:r>
      <w:r w:rsidRPr="00A445F9">
        <w:rPr>
          <w:szCs w:val="18"/>
        </w:rPr>
        <w:fldChar w:fldCharType="begin"/>
      </w:r>
      <w:r w:rsidRPr="004A6C5C">
        <w:rPr>
          <w:szCs w:val="18"/>
        </w:rPr>
        <w:instrText xml:space="preserve"> REF _Ref358552390 \h </w:instrText>
      </w:r>
      <w:r w:rsidR="004A6C5C">
        <w:rPr>
          <w:szCs w:val="18"/>
        </w:rPr>
        <w:instrText xml:space="preserve"> \* MERGEFORMAT </w:instrText>
      </w:r>
      <w:r w:rsidRPr="00A445F9">
        <w:rPr>
          <w:szCs w:val="18"/>
        </w:rPr>
      </w:r>
      <w:r w:rsidRPr="00A445F9">
        <w:rPr>
          <w:szCs w:val="18"/>
        </w:rPr>
        <w:fldChar w:fldCharType="separate"/>
      </w:r>
      <w:r w:rsidR="00892B2D" w:rsidRPr="00892B2D">
        <w:t xml:space="preserve">Table </w:t>
      </w:r>
      <w:r w:rsidR="00892B2D" w:rsidRPr="00892B2D">
        <w:rPr>
          <w:noProof/>
        </w:rPr>
        <w:t>11</w:t>
      </w:r>
      <w:r w:rsidR="00892B2D" w:rsidRPr="00892B2D">
        <w:rPr>
          <w:noProof/>
        </w:rPr>
        <w:noBreakHyphen/>
        <w:t>1</w:t>
      </w:r>
      <w:r w:rsidRPr="00A445F9">
        <w:rPr>
          <w:szCs w:val="18"/>
        </w:rPr>
        <w:fldChar w:fldCharType="end"/>
      </w:r>
      <w:r w:rsidR="00DB09D1" w:rsidRPr="004A6C5C">
        <w:rPr>
          <w:szCs w:val="18"/>
        </w:rPr>
        <w:t>,</w:t>
      </w:r>
      <w:r w:rsidR="00DB09D1" w:rsidRPr="00DB09D1">
        <w:rPr>
          <w:szCs w:val="18"/>
        </w:rPr>
        <w:t xml:space="preserve"> which has been copied directly from the UNEP Toolkit</w:t>
      </w:r>
      <w:r w:rsidRPr="00D86641">
        <w:rPr>
          <w:szCs w:val="18"/>
        </w:rPr>
        <w:t>.</w:t>
      </w:r>
      <w:r>
        <w:rPr>
          <w:szCs w:val="18"/>
        </w:rPr>
        <w:t xml:space="preserve"> </w:t>
      </w:r>
    </w:p>
    <w:p w14:paraId="746BEBB4" w14:textId="77777777" w:rsidR="00D16E72" w:rsidRDefault="00D86641" w:rsidP="003833D6">
      <w:pPr>
        <w:spacing w:line="300" w:lineRule="atLeast"/>
        <w:jc w:val="both"/>
        <w:rPr>
          <w:szCs w:val="18"/>
        </w:rPr>
      </w:pPr>
      <w:r>
        <w:rPr>
          <w:szCs w:val="18"/>
        </w:rPr>
        <w:t>Information on the handling and disposal of mercury-containing wastes by specialist waste management companies will also be covered at the end of this section. This includes exporting for treatment and disposal in other countries.</w:t>
      </w:r>
      <w:r w:rsidR="000C2BDC">
        <w:rPr>
          <w:szCs w:val="18"/>
        </w:rPr>
        <w:t xml:space="preserve"> </w:t>
      </w:r>
    </w:p>
    <w:p w14:paraId="6B3E4303" w14:textId="1FA68D22" w:rsidR="00D16E72" w:rsidRDefault="00300092" w:rsidP="00300092">
      <w:pPr>
        <w:pStyle w:val="Caption"/>
        <w:spacing w:before="240"/>
        <w:ind w:left="1440" w:hanging="1440"/>
        <w:rPr>
          <w:szCs w:val="18"/>
        </w:rPr>
      </w:pPr>
      <w:bookmarkStart w:id="152" w:name="_Ref358552390"/>
      <w:bookmarkStart w:id="153" w:name="_Toc110355494"/>
      <w:r w:rsidRPr="00FE6C76">
        <w:rPr>
          <w:rFonts w:ascii="Arial" w:hAnsi="Arial" w:cs="Arial"/>
        </w:rPr>
        <w:t xml:space="preserve">Table </w:t>
      </w:r>
      <w:r w:rsidR="00390C9F">
        <w:rPr>
          <w:rFonts w:ascii="Arial" w:hAnsi="Arial" w:cs="Arial"/>
        </w:rPr>
        <w:fldChar w:fldCharType="begin"/>
      </w:r>
      <w:r w:rsidR="00390C9F">
        <w:rPr>
          <w:rFonts w:ascii="Arial" w:hAnsi="Arial" w:cs="Arial"/>
        </w:rPr>
        <w:instrText xml:space="preserve"> STYLEREF 1 \s </w:instrText>
      </w:r>
      <w:r w:rsidR="00390C9F">
        <w:rPr>
          <w:rFonts w:ascii="Arial" w:hAnsi="Arial" w:cs="Arial"/>
        </w:rPr>
        <w:fldChar w:fldCharType="separate"/>
      </w:r>
      <w:r w:rsidR="00892B2D">
        <w:rPr>
          <w:rFonts w:ascii="Arial" w:hAnsi="Arial" w:cs="Arial"/>
          <w:noProof/>
        </w:rPr>
        <w:t>11</w:t>
      </w:r>
      <w:r w:rsidR="00390C9F">
        <w:rPr>
          <w:rFonts w:ascii="Arial" w:hAnsi="Arial" w:cs="Arial"/>
        </w:rPr>
        <w:fldChar w:fldCharType="end"/>
      </w:r>
      <w:r w:rsidR="00390C9F">
        <w:rPr>
          <w:rFonts w:ascii="Arial" w:hAnsi="Arial" w:cs="Arial"/>
        </w:rPr>
        <w:noBreakHyphen/>
      </w:r>
      <w:r w:rsidR="00390C9F">
        <w:rPr>
          <w:rFonts w:ascii="Arial" w:hAnsi="Arial" w:cs="Arial"/>
        </w:rPr>
        <w:fldChar w:fldCharType="begin"/>
      </w:r>
      <w:r w:rsidR="00390C9F">
        <w:rPr>
          <w:rFonts w:ascii="Arial" w:hAnsi="Arial" w:cs="Arial"/>
        </w:rPr>
        <w:instrText xml:space="preserve"> SEQ Table \* ARABIC \s 1 </w:instrText>
      </w:r>
      <w:r w:rsidR="00390C9F">
        <w:rPr>
          <w:rFonts w:ascii="Arial" w:hAnsi="Arial" w:cs="Arial"/>
        </w:rPr>
        <w:fldChar w:fldCharType="separate"/>
      </w:r>
      <w:r w:rsidR="00892B2D">
        <w:rPr>
          <w:rFonts w:ascii="Arial" w:hAnsi="Arial" w:cs="Arial"/>
          <w:noProof/>
        </w:rPr>
        <w:t>1</w:t>
      </w:r>
      <w:r w:rsidR="00390C9F">
        <w:rPr>
          <w:rFonts w:ascii="Arial" w:hAnsi="Arial" w:cs="Arial"/>
        </w:rPr>
        <w:fldChar w:fldCharType="end"/>
      </w:r>
      <w:bookmarkEnd w:id="152"/>
      <w:r w:rsidRPr="00FE6C76">
        <w:rPr>
          <w:rFonts w:ascii="Arial" w:hAnsi="Arial" w:cs="Arial"/>
        </w:rPr>
        <w:t>:</w:t>
      </w:r>
      <w:r>
        <w:t xml:space="preserve"> </w:t>
      </w:r>
      <w:r w:rsidR="00D16E72" w:rsidRPr="003D7CC9">
        <w:rPr>
          <w:rFonts w:ascii="Arial" w:hAnsi="Arial" w:cs="Arial"/>
        </w:rPr>
        <w:t>T</w:t>
      </w:r>
      <w:r w:rsidR="00D16E72">
        <w:rPr>
          <w:rFonts w:ascii="Arial" w:hAnsi="Arial" w:cs="Arial"/>
        </w:rPr>
        <w:t xml:space="preserve">oolkit framework for category </w:t>
      </w:r>
      <w:r>
        <w:rPr>
          <w:rFonts w:ascii="Arial" w:hAnsi="Arial" w:cs="Arial"/>
        </w:rPr>
        <w:t>9</w:t>
      </w:r>
      <w:r w:rsidR="00D16E72">
        <w:rPr>
          <w:rFonts w:ascii="Arial" w:hAnsi="Arial" w:cs="Arial"/>
        </w:rPr>
        <w:t xml:space="preserve"> – </w:t>
      </w:r>
      <w:r>
        <w:rPr>
          <w:rFonts w:ascii="Arial" w:hAnsi="Arial" w:cs="Arial"/>
        </w:rPr>
        <w:t>waste deposition/landfilling and wastewater treatment</w:t>
      </w:r>
      <w:bookmarkEnd w:id="15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93"/>
        <w:gridCol w:w="850"/>
        <w:gridCol w:w="851"/>
        <w:gridCol w:w="851"/>
        <w:gridCol w:w="992"/>
        <w:gridCol w:w="992"/>
        <w:gridCol w:w="1099"/>
      </w:tblGrid>
      <w:tr w:rsidR="00D16E72" w:rsidRPr="004901F2" w14:paraId="2D744FB9" w14:textId="77777777" w:rsidTr="00284F82">
        <w:tc>
          <w:tcPr>
            <w:tcW w:w="851" w:type="dxa"/>
            <w:vAlign w:val="center"/>
          </w:tcPr>
          <w:p w14:paraId="4E9DB636"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Toolkit Chapter</w:t>
            </w:r>
          </w:p>
        </w:tc>
        <w:tc>
          <w:tcPr>
            <w:tcW w:w="2693" w:type="dxa"/>
            <w:vAlign w:val="center"/>
          </w:tcPr>
          <w:p w14:paraId="136413A8"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Sub-category</w:t>
            </w:r>
          </w:p>
        </w:tc>
        <w:tc>
          <w:tcPr>
            <w:tcW w:w="850" w:type="dxa"/>
            <w:vAlign w:val="center"/>
          </w:tcPr>
          <w:p w14:paraId="0152C5F0"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Air</w:t>
            </w:r>
          </w:p>
        </w:tc>
        <w:tc>
          <w:tcPr>
            <w:tcW w:w="851" w:type="dxa"/>
            <w:vAlign w:val="center"/>
          </w:tcPr>
          <w:p w14:paraId="5F803A9D"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Water</w:t>
            </w:r>
          </w:p>
        </w:tc>
        <w:tc>
          <w:tcPr>
            <w:tcW w:w="851" w:type="dxa"/>
            <w:vAlign w:val="center"/>
          </w:tcPr>
          <w:p w14:paraId="55557C3E"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Land</w:t>
            </w:r>
          </w:p>
        </w:tc>
        <w:tc>
          <w:tcPr>
            <w:tcW w:w="992" w:type="dxa"/>
            <w:vAlign w:val="center"/>
          </w:tcPr>
          <w:p w14:paraId="4B8C2858"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Product</w:t>
            </w:r>
          </w:p>
        </w:tc>
        <w:tc>
          <w:tcPr>
            <w:tcW w:w="992" w:type="dxa"/>
            <w:vAlign w:val="center"/>
          </w:tcPr>
          <w:p w14:paraId="5AF49F4B"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Waste/ residue</w:t>
            </w:r>
          </w:p>
        </w:tc>
        <w:tc>
          <w:tcPr>
            <w:tcW w:w="1099" w:type="dxa"/>
            <w:vAlign w:val="center"/>
          </w:tcPr>
          <w:p w14:paraId="758FEC97"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Main approach</w:t>
            </w:r>
          </w:p>
        </w:tc>
      </w:tr>
      <w:tr w:rsidR="00D16E72" w:rsidRPr="004901F2" w14:paraId="0B04A916" w14:textId="77777777" w:rsidTr="00284F82">
        <w:tc>
          <w:tcPr>
            <w:tcW w:w="851" w:type="dxa"/>
            <w:vAlign w:val="center"/>
          </w:tcPr>
          <w:p w14:paraId="62233137" w14:textId="77777777" w:rsidR="00D16E72" w:rsidRPr="004901F2" w:rsidRDefault="00300092" w:rsidP="00284F82">
            <w:pPr>
              <w:spacing w:before="40" w:after="40" w:line="300" w:lineRule="atLeast"/>
              <w:rPr>
                <w:rFonts w:ascii="Arial" w:hAnsi="Arial" w:cs="Arial"/>
                <w:sz w:val="16"/>
                <w:szCs w:val="16"/>
              </w:rPr>
            </w:pPr>
            <w:r>
              <w:rPr>
                <w:rFonts w:ascii="Arial" w:hAnsi="Arial" w:cs="Arial"/>
                <w:sz w:val="16"/>
                <w:szCs w:val="16"/>
              </w:rPr>
              <w:t>5.9</w:t>
            </w:r>
            <w:r w:rsidR="00D16E72" w:rsidRPr="004901F2">
              <w:rPr>
                <w:rFonts w:ascii="Arial" w:hAnsi="Arial" w:cs="Arial"/>
                <w:sz w:val="16"/>
                <w:szCs w:val="16"/>
              </w:rPr>
              <w:t>.1</w:t>
            </w:r>
          </w:p>
        </w:tc>
        <w:tc>
          <w:tcPr>
            <w:tcW w:w="2693" w:type="dxa"/>
            <w:vAlign w:val="center"/>
          </w:tcPr>
          <w:p w14:paraId="7B23EFFB" w14:textId="77777777" w:rsidR="00D16E72" w:rsidRPr="004901F2" w:rsidRDefault="00E00C82" w:rsidP="00284F82">
            <w:pPr>
              <w:spacing w:line="300" w:lineRule="atLeast"/>
              <w:rPr>
                <w:rFonts w:ascii="Arial" w:hAnsi="Arial" w:cs="Arial"/>
                <w:sz w:val="16"/>
                <w:szCs w:val="16"/>
              </w:rPr>
            </w:pPr>
            <w:r>
              <w:rPr>
                <w:rFonts w:ascii="Arial" w:hAnsi="Arial" w:cs="Arial"/>
                <w:sz w:val="16"/>
                <w:szCs w:val="16"/>
              </w:rPr>
              <w:t>Controlled landfills/deposits</w:t>
            </w:r>
          </w:p>
        </w:tc>
        <w:tc>
          <w:tcPr>
            <w:tcW w:w="850" w:type="dxa"/>
            <w:vAlign w:val="center"/>
          </w:tcPr>
          <w:p w14:paraId="2CBA6AB1" w14:textId="77777777" w:rsidR="00D16E72" w:rsidRPr="008A451E" w:rsidRDefault="008A451E" w:rsidP="00284F82">
            <w:pPr>
              <w:spacing w:before="40" w:after="40" w:line="300" w:lineRule="atLeast"/>
              <w:jc w:val="center"/>
              <w:rPr>
                <w:rFonts w:ascii="Arial" w:hAnsi="Arial" w:cs="Arial"/>
                <w:sz w:val="16"/>
                <w:szCs w:val="16"/>
              </w:rPr>
            </w:pPr>
            <w:r w:rsidRPr="008A451E">
              <w:rPr>
                <w:rFonts w:ascii="Arial" w:hAnsi="Arial" w:cs="Arial"/>
                <w:sz w:val="16"/>
                <w:szCs w:val="16"/>
              </w:rPr>
              <w:t>x</w:t>
            </w:r>
          </w:p>
        </w:tc>
        <w:tc>
          <w:tcPr>
            <w:tcW w:w="851" w:type="dxa"/>
            <w:vAlign w:val="center"/>
          </w:tcPr>
          <w:p w14:paraId="069BE18B" w14:textId="77777777" w:rsidR="00D16E72" w:rsidRPr="004901F2" w:rsidRDefault="008A451E" w:rsidP="00284F82">
            <w:pPr>
              <w:spacing w:before="40" w:after="40" w:line="300" w:lineRule="atLeast"/>
              <w:jc w:val="center"/>
              <w:rPr>
                <w:rFonts w:ascii="Arial" w:hAnsi="Arial" w:cs="Arial"/>
                <w:sz w:val="16"/>
                <w:szCs w:val="16"/>
              </w:rPr>
            </w:pPr>
            <w:r>
              <w:rPr>
                <w:rFonts w:ascii="Arial" w:hAnsi="Arial" w:cs="Arial"/>
                <w:sz w:val="16"/>
                <w:szCs w:val="16"/>
              </w:rPr>
              <w:t>x</w:t>
            </w:r>
          </w:p>
        </w:tc>
        <w:tc>
          <w:tcPr>
            <w:tcW w:w="851" w:type="dxa"/>
            <w:vAlign w:val="center"/>
          </w:tcPr>
          <w:p w14:paraId="252851C9"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b/>
                <w:sz w:val="16"/>
                <w:szCs w:val="16"/>
              </w:rPr>
              <w:t>X</w:t>
            </w:r>
          </w:p>
        </w:tc>
        <w:tc>
          <w:tcPr>
            <w:tcW w:w="992" w:type="dxa"/>
            <w:vAlign w:val="center"/>
          </w:tcPr>
          <w:p w14:paraId="16D66004" w14:textId="77777777" w:rsidR="00D16E72" w:rsidRPr="004901F2" w:rsidRDefault="00D16E72" w:rsidP="00284F82">
            <w:pPr>
              <w:spacing w:before="40" w:after="40" w:line="300" w:lineRule="atLeast"/>
              <w:jc w:val="center"/>
              <w:rPr>
                <w:rFonts w:ascii="Arial" w:hAnsi="Arial" w:cs="Arial"/>
                <w:sz w:val="16"/>
                <w:szCs w:val="16"/>
              </w:rPr>
            </w:pPr>
          </w:p>
        </w:tc>
        <w:tc>
          <w:tcPr>
            <w:tcW w:w="992" w:type="dxa"/>
            <w:vAlign w:val="center"/>
          </w:tcPr>
          <w:p w14:paraId="392E44AF"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1099" w:type="dxa"/>
            <w:vAlign w:val="center"/>
          </w:tcPr>
          <w:p w14:paraId="3F0DAF23" w14:textId="77777777" w:rsidR="00D16E72" w:rsidRPr="004901F2" w:rsidRDefault="008C7CEF" w:rsidP="00284F82">
            <w:pPr>
              <w:spacing w:before="40" w:after="40" w:line="300" w:lineRule="atLeast"/>
              <w:jc w:val="center"/>
              <w:rPr>
                <w:rFonts w:ascii="Arial" w:hAnsi="Arial" w:cs="Arial"/>
                <w:sz w:val="16"/>
                <w:szCs w:val="16"/>
              </w:rPr>
            </w:pPr>
            <w:r w:rsidRPr="008C7CEF">
              <w:rPr>
                <w:rFonts w:ascii="Arial" w:hAnsi="Arial" w:cs="Arial"/>
                <w:sz w:val="16"/>
                <w:szCs w:val="16"/>
              </w:rPr>
              <w:t>OW</w:t>
            </w:r>
          </w:p>
        </w:tc>
      </w:tr>
      <w:tr w:rsidR="00D16E72" w:rsidRPr="004901F2" w14:paraId="25ED503B" w14:textId="77777777" w:rsidTr="00284F82">
        <w:tc>
          <w:tcPr>
            <w:tcW w:w="851" w:type="dxa"/>
            <w:vAlign w:val="center"/>
          </w:tcPr>
          <w:p w14:paraId="4CD75C86" w14:textId="77777777" w:rsidR="00D16E72" w:rsidRPr="004901F2" w:rsidRDefault="00300092" w:rsidP="00284F82">
            <w:pPr>
              <w:spacing w:before="40" w:after="40" w:line="300" w:lineRule="atLeast"/>
              <w:rPr>
                <w:rFonts w:ascii="Arial" w:hAnsi="Arial" w:cs="Arial"/>
                <w:sz w:val="16"/>
                <w:szCs w:val="16"/>
              </w:rPr>
            </w:pPr>
            <w:r>
              <w:rPr>
                <w:rFonts w:ascii="Arial" w:hAnsi="Arial" w:cs="Arial"/>
                <w:sz w:val="16"/>
                <w:szCs w:val="16"/>
              </w:rPr>
              <w:t>5.9</w:t>
            </w:r>
            <w:r w:rsidR="00D16E72" w:rsidRPr="004901F2">
              <w:rPr>
                <w:rFonts w:ascii="Arial" w:hAnsi="Arial" w:cs="Arial"/>
                <w:sz w:val="16"/>
                <w:szCs w:val="16"/>
              </w:rPr>
              <w:t>.2</w:t>
            </w:r>
          </w:p>
        </w:tc>
        <w:tc>
          <w:tcPr>
            <w:tcW w:w="2693" w:type="dxa"/>
            <w:vAlign w:val="center"/>
          </w:tcPr>
          <w:p w14:paraId="7D056EF9" w14:textId="77777777" w:rsidR="00D16E72" w:rsidRPr="004901F2" w:rsidRDefault="00E00C82" w:rsidP="00284F82">
            <w:pPr>
              <w:spacing w:before="40" w:after="40" w:line="300" w:lineRule="atLeast"/>
              <w:rPr>
                <w:rFonts w:ascii="Arial" w:hAnsi="Arial" w:cs="Arial"/>
                <w:sz w:val="16"/>
                <w:szCs w:val="16"/>
              </w:rPr>
            </w:pPr>
            <w:r>
              <w:rPr>
                <w:rFonts w:ascii="Arial" w:hAnsi="Arial" w:cs="Arial"/>
                <w:sz w:val="16"/>
                <w:szCs w:val="16"/>
              </w:rPr>
              <w:t>Diffuse deposition with some control</w:t>
            </w:r>
          </w:p>
        </w:tc>
        <w:tc>
          <w:tcPr>
            <w:tcW w:w="850" w:type="dxa"/>
            <w:vAlign w:val="center"/>
          </w:tcPr>
          <w:p w14:paraId="547F2EAE" w14:textId="77777777" w:rsidR="00D16E72" w:rsidRPr="008A451E" w:rsidRDefault="008A451E" w:rsidP="00284F82">
            <w:pPr>
              <w:spacing w:before="40" w:after="40" w:line="300" w:lineRule="atLeast"/>
              <w:jc w:val="center"/>
              <w:rPr>
                <w:rFonts w:ascii="Arial" w:hAnsi="Arial" w:cs="Arial"/>
                <w:sz w:val="16"/>
                <w:szCs w:val="16"/>
              </w:rPr>
            </w:pPr>
            <w:r w:rsidRPr="008A451E">
              <w:rPr>
                <w:rFonts w:ascii="Arial" w:hAnsi="Arial" w:cs="Arial"/>
                <w:sz w:val="16"/>
                <w:szCs w:val="16"/>
              </w:rPr>
              <w:t>x</w:t>
            </w:r>
          </w:p>
        </w:tc>
        <w:tc>
          <w:tcPr>
            <w:tcW w:w="851" w:type="dxa"/>
            <w:vAlign w:val="center"/>
          </w:tcPr>
          <w:p w14:paraId="2E2EBC87" w14:textId="77777777" w:rsidR="00D16E72" w:rsidRPr="004901F2" w:rsidRDefault="00D16E72" w:rsidP="00284F82">
            <w:pPr>
              <w:spacing w:before="40" w:after="40" w:line="300" w:lineRule="atLeast"/>
              <w:jc w:val="center"/>
              <w:rPr>
                <w:rFonts w:ascii="Arial" w:hAnsi="Arial" w:cs="Arial"/>
                <w:sz w:val="16"/>
                <w:szCs w:val="16"/>
              </w:rPr>
            </w:pPr>
            <w:r w:rsidRPr="00177AB0">
              <w:rPr>
                <w:rFonts w:ascii="Arial" w:hAnsi="Arial" w:cs="Arial"/>
                <w:b/>
                <w:sz w:val="16"/>
                <w:szCs w:val="16"/>
              </w:rPr>
              <w:t>X</w:t>
            </w:r>
          </w:p>
        </w:tc>
        <w:tc>
          <w:tcPr>
            <w:tcW w:w="851" w:type="dxa"/>
            <w:vAlign w:val="center"/>
          </w:tcPr>
          <w:p w14:paraId="52034F6C"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b/>
                <w:sz w:val="16"/>
                <w:szCs w:val="16"/>
              </w:rPr>
              <w:t>X</w:t>
            </w:r>
          </w:p>
        </w:tc>
        <w:tc>
          <w:tcPr>
            <w:tcW w:w="992" w:type="dxa"/>
            <w:vAlign w:val="center"/>
          </w:tcPr>
          <w:p w14:paraId="640ACDE8" w14:textId="77777777" w:rsidR="00D16E72" w:rsidRPr="004901F2" w:rsidRDefault="00D16E72" w:rsidP="00284F82">
            <w:pPr>
              <w:spacing w:before="40" w:after="40" w:line="300" w:lineRule="atLeast"/>
              <w:jc w:val="center"/>
              <w:rPr>
                <w:rFonts w:ascii="Arial" w:hAnsi="Arial" w:cs="Arial"/>
                <w:sz w:val="16"/>
                <w:szCs w:val="16"/>
              </w:rPr>
            </w:pPr>
          </w:p>
        </w:tc>
        <w:tc>
          <w:tcPr>
            <w:tcW w:w="992" w:type="dxa"/>
            <w:vAlign w:val="center"/>
          </w:tcPr>
          <w:p w14:paraId="0D8A17CC" w14:textId="77777777" w:rsidR="00D16E72" w:rsidRPr="004901F2" w:rsidRDefault="008A451E" w:rsidP="00284F82">
            <w:pPr>
              <w:spacing w:before="40" w:after="40" w:line="300" w:lineRule="atLeast"/>
              <w:jc w:val="center"/>
              <w:rPr>
                <w:rFonts w:ascii="Arial" w:hAnsi="Arial" w:cs="Arial"/>
                <w:sz w:val="16"/>
                <w:szCs w:val="16"/>
              </w:rPr>
            </w:pPr>
            <w:r w:rsidRPr="00177AB0">
              <w:rPr>
                <w:rFonts w:ascii="Arial" w:hAnsi="Arial" w:cs="Arial"/>
                <w:b/>
                <w:sz w:val="16"/>
                <w:szCs w:val="16"/>
              </w:rPr>
              <w:t>X</w:t>
            </w:r>
          </w:p>
        </w:tc>
        <w:tc>
          <w:tcPr>
            <w:tcW w:w="1099" w:type="dxa"/>
            <w:vAlign w:val="center"/>
          </w:tcPr>
          <w:p w14:paraId="05BFB0C6"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sz w:val="16"/>
                <w:szCs w:val="16"/>
              </w:rPr>
              <w:t>OW</w:t>
            </w:r>
          </w:p>
        </w:tc>
      </w:tr>
      <w:tr w:rsidR="00D16E72" w:rsidRPr="004901F2" w14:paraId="514F526D" w14:textId="77777777" w:rsidTr="00284F82">
        <w:tc>
          <w:tcPr>
            <w:tcW w:w="851" w:type="dxa"/>
            <w:vAlign w:val="center"/>
          </w:tcPr>
          <w:p w14:paraId="1C2BB908" w14:textId="77777777" w:rsidR="00D16E72" w:rsidRPr="004901F2" w:rsidRDefault="00300092" w:rsidP="00284F82">
            <w:pPr>
              <w:spacing w:before="40" w:after="40" w:line="300" w:lineRule="atLeast"/>
              <w:rPr>
                <w:rFonts w:ascii="Arial" w:hAnsi="Arial" w:cs="Arial"/>
                <w:sz w:val="16"/>
                <w:szCs w:val="16"/>
              </w:rPr>
            </w:pPr>
            <w:r>
              <w:rPr>
                <w:rFonts w:ascii="Arial" w:hAnsi="Arial" w:cs="Arial"/>
                <w:sz w:val="16"/>
                <w:szCs w:val="16"/>
              </w:rPr>
              <w:t>5.9</w:t>
            </w:r>
            <w:r w:rsidR="00D16E72" w:rsidRPr="004901F2">
              <w:rPr>
                <w:rFonts w:ascii="Arial" w:hAnsi="Arial" w:cs="Arial"/>
                <w:sz w:val="16"/>
                <w:szCs w:val="16"/>
              </w:rPr>
              <w:t>.3</w:t>
            </w:r>
          </w:p>
        </w:tc>
        <w:tc>
          <w:tcPr>
            <w:tcW w:w="2693" w:type="dxa"/>
            <w:vAlign w:val="center"/>
          </w:tcPr>
          <w:p w14:paraId="54663A54" w14:textId="77777777" w:rsidR="00D16E72" w:rsidRPr="004901F2" w:rsidRDefault="00E00C82" w:rsidP="00284F82">
            <w:pPr>
              <w:spacing w:line="300" w:lineRule="atLeast"/>
              <w:rPr>
                <w:rFonts w:ascii="Arial" w:hAnsi="Arial" w:cs="Arial"/>
                <w:sz w:val="16"/>
                <w:szCs w:val="16"/>
              </w:rPr>
            </w:pPr>
            <w:r>
              <w:rPr>
                <w:rFonts w:ascii="Arial" w:hAnsi="Arial" w:cs="Arial"/>
                <w:sz w:val="16"/>
                <w:szCs w:val="16"/>
              </w:rPr>
              <w:t>Informal local disposal of industrial wastes</w:t>
            </w:r>
          </w:p>
        </w:tc>
        <w:tc>
          <w:tcPr>
            <w:tcW w:w="850" w:type="dxa"/>
            <w:vAlign w:val="center"/>
          </w:tcPr>
          <w:p w14:paraId="70D87ADC"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3BEE3BAA"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3D73B868"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b/>
                <w:sz w:val="16"/>
                <w:szCs w:val="16"/>
              </w:rPr>
              <w:t>X</w:t>
            </w:r>
          </w:p>
        </w:tc>
        <w:tc>
          <w:tcPr>
            <w:tcW w:w="992" w:type="dxa"/>
            <w:vAlign w:val="center"/>
          </w:tcPr>
          <w:p w14:paraId="1B764AD8" w14:textId="77777777" w:rsidR="00D16E72" w:rsidRPr="004901F2" w:rsidRDefault="00D16E72" w:rsidP="00284F82">
            <w:pPr>
              <w:spacing w:before="40" w:after="40" w:line="300" w:lineRule="atLeast"/>
              <w:jc w:val="center"/>
              <w:rPr>
                <w:rFonts w:ascii="Arial" w:hAnsi="Arial" w:cs="Arial"/>
                <w:sz w:val="16"/>
                <w:szCs w:val="16"/>
              </w:rPr>
            </w:pPr>
          </w:p>
        </w:tc>
        <w:tc>
          <w:tcPr>
            <w:tcW w:w="992" w:type="dxa"/>
            <w:vAlign w:val="center"/>
          </w:tcPr>
          <w:p w14:paraId="24220AE0" w14:textId="77777777" w:rsidR="00D16E72" w:rsidRPr="004901F2" w:rsidRDefault="00D16E72" w:rsidP="00284F82">
            <w:pPr>
              <w:spacing w:before="40" w:after="40" w:line="300" w:lineRule="atLeast"/>
              <w:jc w:val="center"/>
              <w:rPr>
                <w:rFonts w:ascii="Arial" w:hAnsi="Arial" w:cs="Arial"/>
                <w:sz w:val="16"/>
                <w:szCs w:val="16"/>
              </w:rPr>
            </w:pPr>
          </w:p>
        </w:tc>
        <w:tc>
          <w:tcPr>
            <w:tcW w:w="1099" w:type="dxa"/>
            <w:vAlign w:val="center"/>
          </w:tcPr>
          <w:p w14:paraId="4907F503"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sz w:val="16"/>
                <w:szCs w:val="16"/>
              </w:rPr>
              <w:t>PS</w:t>
            </w:r>
          </w:p>
        </w:tc>
      </w:tr>
      <w:tr w:rsidR="00D16E72" w:rsidRPr="004901F2" w14:paraId="27BBAEC5" w14:textId="77777777" w:rsidTr="00284F82">
        <w:tc>
          <w:tcPr>
            <w:tcW w:w="851" w:type="dxa"/>
            <w:vAlign w:val="center"/>
          </w:tcPr>
          <w:p w14:paraId="6B19ED5F" w14:textId="77777777" w:rsidR="00D16E72" w:rsidRPr="004901F2" w:rsidRDefault="00300092" w:rsidP="00284F82">
            <w:pPr>
              <w:spacing w:before="40" w:after="40" w:line="300" w:lineRule="atLeast"/>
              <w:rPr>
                <w:rFonts w:ascii="Arial" w:hAnsi="Arial" w:cs="Arial"/>
                <w:sz w:val="16"/>
                <w:szCs w:val="16"/>
              </w:rPr>
            </w:pPr>
            <w:r>
              <w:rPr>
                <w:rFonts w:ascii="Arial" w:hAnsi="Arial" w:cs="Arial"/>
                <w:sz w:val="16"/>
                <w:szCs w:val="16"/>
              </w:rPr>
              <w:t>5.9</w:t>
            </w:r>
            <w:r w:rsidR="00D16E72" w:rsidRPr="004901F2">
              <w:rPr>
                <w:rFonts w:ascii="Arial" w:hAnsi="Arial" w:cs="Arial"/>
                <w:sz w:val="16"/>
                <w:szCs w:val="16"/>
              </w:rPr>
              <w:t>.4</w:t>
            </w:r>
          </w:p>
        </w:tc>
        <w:tc>
          <w:tcPr>
            <w:tcW w:w="2693" w:type="dxa"/>
            <w:vAlign w:val="center"/>
          </w:tcPr>
          <w:p w14:paraId="5CB4442E" w14:textId="77777777" w:rsidR="00D16E72" w:rsidRPr="004901F2" w:rsidRDefault="00E00C82" w:rsidP="00284F82">
            <w:pPr>
              <w:spacing w:line="300" w:lineRule="atLeast"/>
              <w:rPr>
                <w:rFonts w:ascii="Arial" w:hAnsi="Arial" w:cs="Arial"/>
                <w:sz w:val="16"/>
                <w:szCs w:val="16"/>
              </w:rPr>
            </w:pPr>
            <w:r>
              <w:rPr>
                <w:rFonts w:ascii="Arial" w:hAnsi="Arial" w:cs="Arial"/>
                <w:sz w:val="16"/>
                <w:szCs w:val="16"/>
              </w:rPr>
              <w:t>Informal dumping of general waste</w:t>
            </w:r>
          </w:p>
        </w:tc>
        <w:tc>
          <w:tcPr>
            <w:tcW w:w="850" w:type="dxa"/>
            <w:vAlign w:val="center"/>
          </w:tcPr>
          <w:p w14:paraId="0AA87D7E"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7CE30A02"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2D03FA9F"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992" w:type="dxa"/>
            <w:vAlign w:val="center"/>
          </w:tcPr>
          <w:p w14:paraId="0CB25E09" w14:textId="77777777" w:rsidR="00D16E72" w:rsidRPr="004901F2" w:rsidRDefault="00D16E72" w:rsidP="00284F82">
            <w:pPr>
              <w:spacing w:before="40" w:after="40" w:line="300" w:lineRule="atLeast"/>
              <w:jc w:val="center"/>
              <w:rPr>
                <w:rFonts w:ascii="Arial" w:hAnsi="Arial" w:cs="Arial"/>
                <w:sz w:val="16"/>
                <w:szCs w:val="16"/>
              </w:rPr>
            </w:pPr>
          </w:p>
        </w:tc>
        <w:tc>
          <w:tcPr>
            <w:tcW w:w="992" w:type="dxa"/>
            <w:vAlign w:val="center"/>
          </w:tcPr>
          <w:p w14:paraId="31CE428E" w14:textId="77777777" w:rsidR="00D16E72" w:rsidRPr="004901F2" w:rsidRDefault="00D16E72" w:rsidP="00284F82">
            <w:pPr>
              <w:spacing w:before="40" w:after="40" w:line="300" w:lineRule="atLeast"/>
              <w:jc w:val="center"/>
              <w:rPr>
                <w:rFonts w:ascii="Arial" w:hAnsi="Arial" w:cs="Arial"/>
                <w:b/>
                <w:sz w:val="16"/>
                <w:szCs w:val="16"/>
              </w:rPr>
            </w:pPr>
          </w:p>
        </w:tc>
        <w:tc>
          <w:tcPr>
            <w:tcW w:w="1099" w:type="dxa"/>
            <w:vAlign w:val="center"/>
          </w:tcPr>
          <w:p w14:paraId="50DC1FC5" w14:textId="77777777" w:rsidR="00D16E72" w:rsidRPr="004901F2" w:rsidRDefault="008C7CEF" w:rsidP="00284F82">
            <w:pPr>
              <w:spacing w:before="40" w:after="40" w:line="300" w:lineRule="atLeast"/>
              <w:jc w:val="center"/>
              <w:rPr>
                <w:rFonts w:ascii="Arial" w:hAnsi="Arial" w:cs="Arial"/>
                <w:sz w:val="16"/>
                <w:szCs w:val="16"/>
              </w:rPr>
            </w:pPr>
            <w:r w:rsidRPr="008C7CEF">
              <w:rPr>
                <w:rFonts w:ascii="Arial" w:hAnsi="Arial" w:cs="Arial"/>
                <w:sz w:val="16"/>
                <w:szCs w:val="16"/>
              </w:rPr>
              <w:t>OW</w:t>
            </w:r>
          </w:p>
        </w:tc>
      </w:tr>
      <w:tr w:rsidR="00D16E72" w:rsidRPr="004901F2" w14:paraId="0A4D2BE7" w14:textId="77777777" w:rsidTr="00284F82">
        <w:tc>
          <w:tcPr>
            <w:tcW w:w="851" w:type="dxa"/>
            <w:vAlign w:val="center"/>
          </w:tcPr>
          <w:p w14:paraId="662C8C1D" w14:textId="77777777" w:rsidR="00D16E72" w:rsidRPr="004901F2" w:rsidRDefault="00300092" w:rsidP="00284F82">
            <w:pPr>
              <w:spacing w:before="40" w:after="40" w:line="300" w:lineRule="atLeast"/>
              <w:rPr>
                <w:rFonts w:ascii="Arial" w:hAnsi="Arial" w:cs="Arial"/>
                <w:sz w:val="16"/>
                <w:szCs w:val="16"/>
              </w:rPr>
            </w:pPr>
            <w:r>
              <w:rPr>
                <w:rFonts w:ascii="Arial" w:hAnsi="Arial" w:cs="Arial"/>
                <w:sz w:val="16"/>
                <w:szCs w:val="16"/>
              </w:rPr>
              <w:t>5.9</w:t>
            </w:r>
            <w:r w:rsidR="00D16E72" w:rsidRPr="004901F2">
              <w:rPr>
                <w:rFonts w:ascii="Arial" w:hAnsi="Arial" w:cs="Arial"/>
                <w:sz w:val="16"/>
                <w:szCs w:val="16"/>
              </w:rPr>
              <w:t>.5</w:t>
            </w:r>
          </w:p>
        </w:tc>
        <w:tc>
          <w:tcPr>
            <w:tcW w:w="2693" w:type="dxa"/>
            <w:vAlign w:val="center"/>
          </w:tcPr>
          <w:p w14:paraId="5608187D" w14:textId="77777777" w:rsidR="00D16E72" w:rsidRPr="004901F2" w:rsidRDefault="00E00C82" w:rsidP="00284F82">
            <w:pPr>
              <w:spacing w:line="300" w:lineRule="atLeast"/>
              <w:rPr>
                <w:rFonts w:ascii="Arial" w:hAnsi="Arial" w:cs="Arial"/>
                <w:sz w:val="16"/>
                <w:szCs w:val="16"/>
              </w:rPr>
            </w:pPr>
            <w:r>
              <w:rPr>
                <w:rFonts w:ascii="Arial" w:hAnsi="Arial" w:cs="Arial"/>
                <w:sz w:val="16"/>
                <w:szCs w:val="16"/>
              </w:rPr>
              <w:t>Wastewater treatment systems</w:t>
            </w:r>
          </w:p>
        </w:tc>
        <w:tc>
          <w:tcPr>
            <w:tcW w:w="850" w:type="dxa"/>
            <w:vAlign w:val="center"/>
          </w:tcPr>
          <w:p w14:paraId="0FA05917" w14:textId="77777777" w:rsidR="00D16E72" w:rsidRPr="008A451E" w:rsidRDefault="008A451E" w:rsidP="00284F82">
            <w:pPr>
              <w:spacing w:before="40" w:after="40" w:line="300" w:lineRule="atLeast"/>
              <w:jc w:val="center"/>
              <w:rPr>
                <w:rFonts w:ascii="Arial" w:hAnsi="Arial" w:cs="Arial"/>
                <w:sz w:val="16"/>
                <w:szCs w:val="16"/>
              </w:rPr>
            </w:pPr>
            <w:r w:rsidRPr="008A451E">
              <w:rPr>
                <w:rFonts w:ascii="Arial" w:hAnsi="Arial" w:cs="Arial"/>
                <w:sz w:val="16"/>
                <w:szCs w:val="16"/>
              </w:rPr>
              <w:t>x</w:t>
            </w:r>
          </w:p>
        </w:tc>
        <w:tc>
          <w:tcPr>
            <w:tcW w:w="851" w:type="dxa"/>
            <w:vAlign w:val="center"/>
          </w:tcPr>
          <w:p w14:paraId="15868D7E" w14:textId="77777777" w:rsidR="00D16E72" w:rsidRPr="004901F2" w:rsidRDefault="00D16E72" w:rsidP="00284F82">
            <w:pPr>
              <w:spacing w:before="40" w:after="40" w:line="300" w:lineRule="atLeast"/>
              <w:jc w:val="center"/>
              <w:rPr>
                <w:rFonts w:ascii="Arial" w:hAnsi="Arial" w:cs="Arial"/>
                <w:sz w:val="16"/>
                <w:szCs w:val="16"/>
              </w:rPr>
            </w:pPr>
            <w:r w:rsidRPr="00177AB0">
              <w:rPr>
                <w:rFonts w:ascii="Arial" w:hAnsi="Arial" w:cs="Arial"/>
                <w:b/>
                <w:sz w:val="16"/>
                <w:szCs w:val="16"/>
              </w:rPr>
              <w:t>X</w:t>
            </w:r>
          </w:p>
        </w:tc>
        <w:tc>
          <w:tcPr>
            <w:tcW w:w="851" w:type="dxa"/>
            <w:vAlign w:val="center"/>
          </w:tcPr>
          <w:p w14:paraId="65EECED9"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b/>
                <w:sz w:val="16"/>
                <w:szCs w:val="16"/>
              </w:rPr>
              <w:t>X</w:t>
            </w:r>
          </w:p>
        </w:tc>
        <w:tc>
          <w:tcPr>
            <w:tcW w:w="992" w:type="dxa"/>
            <w:vAlign w:val="center"/>
          </w:tcPr>
          <w:p w14:paraId="15823DE4" w14:textId="77777777" w:rsidR="00D16E72" w:rsidRPr="004901F2" w:rsidRDefault="00D16E72" w:rsidP="00284F82">
            <w:pPr>
              <w:spacing w:before="40" w:after="40" w:line="300" w:lineRule="atLeast"/>
              <w:jc w:val="center"/>
              <w:rPr>
                <w:rFonts w:ascii="Arial" w:hAnsi="Arial" w:cs="Arial"/>
                <w:sz w:val="16"/>
                <w:szCs w:val="16"/>
              </w:rPr>
            </w:pPr>
          </w:p>
        </w:tc>
        <w:tc>
          <w:tcPr>
            <w:tcW w:w="992" w:type="dxa"/>
            <w:vAlign w:val="center"/>
          </w:tcPr>
          <w:p w14:paraId="408D0C40" w14:textId="77777777" w:rsidR="00D16E72" w:rsidRPr="004901F2" w:rsidRDefault="008A451E" w:rsidP="00284F82">
            <w:pPr>
              <w:spacing w:before="40" w:after="40" w:line="300" w:lineRule="atLeast"/>
              <w:jc w:val="center"/>
              <w:rPr>
                <w:rFonts w:ascii="Arial" w:hAnsi="Arial" w:cs="Arial"/>
                <w:sz w:val="16"/>
                <w:szCs w:val="16"/>
              </w:rPr>
            </w:pPr>
            <w:r>
              <w:rPr>
                <w:rFonts w:ascii="Arial" w:hAnsi="Arial" w:cs="Arial"/>
                <w:sz w:val="16"/>
                <w:szCs w:val="16"/>
              </w:rPr>
              <w:t>x</w:t>
            </w:r>
          </w:p>
        </w:tc>
        <w:tc>
          <w:tcPr>
            <w:tcW w:w="1099" w:type="dxa"/>
            <w:vAlign w:val="center"/>
          </w:tcPr>
          <w:p w14:paraId="7E1BC478" w14:textId="77777777" w:rsidR="00D16E72" w:rsidRPr="004901F2" w:rsidRDefault="008C7CEF" w:rsidP="00284F82">
            <w:pPr>
              <w:spacing w:before="40" w:after="40" w:line="300" w:lineRule="atLeast"/>
              <w:jc w:val="center"/>
              <w:rPr>
                <w:rFonts w:ascii="Arial" w:hAnsi="Arial" w:cs="Arial"/>
                <w:sz w:val="16"/>
                <w:szCs w:val="16"/>
              </w:rPr>
            </w:pPr>
            <w:r w:rsidRPr="008C7CEF">
              <w:rPr>
                <w:rFonts w:ascii="Arial" w:hAnsi="Arial" w:cs="Arial"/>
                <w:sz w:val="16"/>
                <w:szCs w:val="16"/>
              </w:rPr>
              <w:t>OW</w:t>
            </w:r>
            <w:r>
              <w:rPr>
                <w:rFonts w:ascii="Arial" w:hAnsi="Arial" w:cs="Arial"/>
                <w:sz w:val="16"/>
                <w:szCs w:val="16"/>
              </w:rPr>
              <w:t>/</w:t>
            </w:r>
            <w:r w:rsidR="00D16E72">
              <w:rPr>
                <w:rFonts w:ascii="Arial" w:hAnsi="Arial" w:cs="Arial"/>
                <w:sz w:val="16"/>
                <w:szCs w:val="16"/>
              </w:rPr>
              <w:t>PS</w:t>
            </w:r>
          </w:p>
        </w:tc>
      </w:tr>
    </w:tbl>
    <w:p w14:paraId="4D99FD95" w14:textId="77777777" w:rsidR="00D16E72" w:rsidRPr="00582EF2" w:rsidRDefault="00D16E72" w:rsidP="00D16E72">
      <w:pPr>
        <w:spacing w:before="60" w:after="60" w:line="260" w:lineRule="exact"/>
        <w:jc w:val="both"/>
        <w:rPr>
          <w:rFonts w:ascii="Arial" w:hAnsi="Arial" w:cs="Arial"/>
          <w:sz w:val="16"/>
          <w:szCs w:val="18"/>
        </w:rPr>
      </w:pPr>
      <w:r w:rsidRPr="00582EF2">
        <w:rPr>
          <w:rFonts w:ascii="Arial" w:hAnsi="Arial" w:cs="Arial"/>
          <w:sz w:val="16"/>
          <w:szCs w:val="18"/>
        </w:rPr>
        <w:t xml:space="preserve">Notes: </w:t>
      </w:r>
      <w:r w:rsidRPr="00582EF2">
        <w:rPr>
          <w:rFonts w:ascii="Arial" w:hAnsi="Arial" w:cs="Arial"/>
          <w:sz w:val="16"/>
          <w:szCs w:val="18"/>
        </w:rPr>
        <w:tab/>
        <w:t>PS = Point source by point source approach; OW = National/overview approach;</w:t>
      </w:r>
    </w:p>
    <w:p w14:paraId="27A20D9B" w14:textId="4C8D5D37" w:rsidR="00D16E72" w:rsidRPr="00582EF2" w:rsidRDefault="00D16E72" w:rsidP="00D16E72">
      <w:pPr>
        <w:spacing w:after="60" w:line="260" w:lineRule="exact"/>
        <w:ind w:firstLine="720"/>
        <w:jc w:val="both"/>
        <w:rPr>
          <w:rFonts w:ascii="Arial" w:hAnsi="Arial" w:cs="Arial"/>
          <w:sz w:val="16"/>
          <w:szCs w:val="18"/>
        </w:rPr>
      </w:pPr>
      <w:r w:rsidRPr="00582EF2">
        <w:rPr>
          <w:rFonts w:ascii="Arial" w:hAnsi="Arial" w:cs="Arial"/>
          <w:b/>
          <w:sz w:val="16"/>
          <w:szCs w:val="18"/>
        </w:rPr>
        <w:t>X</w:t>
      </w:r>
      <w:r w:rsidRPr="00582EF2">
        <w:rPr>
          <w:rFonts w:ascii="Arial" w:hAnsi="Arial" w:cs="Arial"/>
          <w:sz w:val="16"/>
          <w:szCs w:val="18"/>
        </w:rPr>
        <w:t xml:space="preserve"> </w:t>
      </w:r>
      <w:r w:rsidR="00B53F85">
        <w:rPr>
          <w:rFonts w:ascii="Arial" w:hAnsi="Arial" w:cs="Arial"/>
          <w:sz w:val="16"/>
          <w:szCs w:val="18"/>
        </w:rPr>
        <w:t>–</w:t>
      </w:r>
      <w:r w:rsidRPr="00582EF2">
        <w:rPr>
          <w:rFonts w:ascii="Arial" w:hAnsi="Arial" w:cs="Arial"/>
          <w:sz w:val="16"/>
          <w:szCs w:val="18"/>
        </w:rPr>
        <w:t xml:space="preserve"> Release pathway expected to be predominant for the sub-category;</w:t>
      </w:r>
    </w:p>
    <w:p w14:paraId="0EF0A9EF" w14:textId="1B4093B7" w:rsidR="00D16E72" w:rsidRPr="00582EF2" w:rsidRDefault="00D16E72" w:rsidP="00D16E72">
      <w:pPr>
        <w:spacing w:after="60" w:line="260" w:lineRule="exact"/>
        <w:ind w:firstLine="720"/>
        <w:jc w:val="both"/>
        <w:rPr>
          <w:rFonts w:ascii="Arial" w:hAnsi="Arial" w:cs="Arial"/>
          <w:sz w:val="16"/>
          <w:szCs w:val="18"/>
        </w:rPr>
      </w:pPr>
      <w:r w:rsidRPr="00582EF2">
        <w:rPr>
          <w:rFonts w:ascii="Arial" w:hAnsi="Arial" w:cs="Arial"/>
          <w:sz w:val="16"/>
          <w:szCs w:val="18"/>
        </w:rPr>
        <w:t xml:space="preserve">x </w:t>
      </w:r>
      <w:r w:rsidR="00B53F85">
        <w:rPr>
          <w:rFonts w:ascii="Arial" w:hAnsi="Arial" w:cs="Arial"/>
          <w:sz w:val="16"/>
          <w:szCs w:val="18"/>
        </w:rPr>
        <w:t>–</w:t>
      </w:r>
      <w:r w:rsidRPr="00582EF2">
        <w:rPr>
          <w:rFonts w:ascii="Arial" w:hAnsi="Arial" w:cs="Arial"/>
          <w:sz w:val="16"/>
          <w:szCs w:val="18"/>
        </w:rPr>
        <w:t xml:space="preserve"> Additional release pathways to be considered, depending on specific source and national situation.</w:t>
      </w:r>
    </w:p>
    <w:p w14:paraId="41B3F943" w14:textId="2BC57762" w:rsidR="00A97215" w:rsidRDefault="00A97215" w:rsidP="00D16E72">
      <w:pPr>
        <w:spacing w:line="300" w:lineRule="atLeast"/>
        <w:jc w:val="both"/>
        <w:rPr>
          <w:szCs w:val="18"/>
        </w:rPr>
      </w:pPr>
      <w:r>
        <w:rPr>
          <w:szCs w:val="18"/>
        </w:rPr>
        <w:t>One of the key points to recogni</w:t>
      </w:r>
      <w:r w:rsidR="001057AE">
        <w:rPr>
          <w:szCs w:val="18"/>
        </w:rPr>
        <w:t xml:space="preserve">se for this category is that the estimated inputs </w:t>
      </w:r>
      <w:r>
        <w:rPr>
          <w:szCs w:val="18"/>
        </w:rPr>
        <w:t>include the wastes that are generated by many of the sources discussed under previous categories. This means that there is in</w:t>
      </w:r>
      <w:r w:rsidR="001057AE">
        <w:rPr>
          <w:szCs w:val="18"/>
        </w:rPr>
        <w:t>evitably some double accounting. However, the extent of this is not readily determined because the inputs are simply estimated using the default Toolkit factors</w:t>
      </w:r>
    </w:p>
    <w:p w14:paraId="306E4519" w14:textId="77777777" w:rsidR="00352440" w:rsidRDefault="00352440" w:rsidP="00352440">
      <w:pPr>
        <w:pStyle w:val="Heading2"/>
      </w:pPr>
      <w:bookmarkStart w:id="154" w:name="_Toc110355568"/>
      <w:r>
        <w:t>Controlled landfill/deposition</w:t>
      </w:r>
      <w:bookmarkEnd w:id="154"/>
    </w:p>
    <w:p w14:paraId="115DAE0C" w14:textId="77BD94ED" w:rsidR="00352440" w:rsidRDefault="00AE7BF2" w:rsidP="001202B6">
      <w:pPr>
        <w:spacing w:line="300" w:lineRule="atLeast"/>
        <w:jc w:val="both"/>
        <w:rPr>
          <w:szCs w:val="18"/>
        </w:rPr>
      </w:pPr>
      <w:r>
        <w:rPr>
          <w:szCs w:val="18"/>
        </w:rPr>
        <w:t>The m</w:t>
      </w:r>
      <w:r w:rsidR="001202B6" w:rsidRPr="001202B6">
        <w:rPr>
          <w:szCs w:val="18"/>
        </w:rPr>
        <w:t xml:space="preserve">ercury content in the general </w:t>
      </w:r>
      <w:r>
        <w:rPr>
          <w:szCs w:val="18"/>
        </w:rPr>
        <w:t xml:space="preserve">municipal </w:t>
      </w:r>
      <w:r w:rsidR="001202B6" w:rsidRPr="001202B6">
        <w:rPr>
          <w:szCs w:val="18"/>
        </w:rPr>
        <w:t xml:space="preserve">waste stream </w:t>
      </w:r>
      <w:r>
        <w:rPr>
          <w:szCs w:val="18"/>
        </w:rPr>
        <w:t xml:space="preserve">can come </w:t>
      </w:r>
      <w:r w:rsidR="001202B6" w:rsidRPr="001202B6">
        <w:rPr>
          <w:szCs w:val="18"/>
        </w:rPr>
        <w:t xml:space="preserve">from </w:t>
      </w:r>
      <w:r>
        <w:rPr>
          <w:szCs w:val="18"/>
        </w:rPr>
        <w:t>four</w:t>
      </w:r>
      <w:r w:rsidR="001202B6" w:rsidRPr="001202B6">
        <w:rPr>
          <w:szCs w:val="18"/>
        </w:rPr>
        <w:t xml:space="preserve"> main </w:t>
      </w:r>
      <w:r>
        <w:rPr>
          <w:szCs w:val="18"/>
        </w:rPr>
        <w:t>sources</w:t>
      </w:r>
      <w:r w:rsidR="001202B6" w:rsidRPr="001202B6">
        <w:rPr>
          <w:szCs w:val="18"/>
        </w:rPr>
        <w:t>: 1) intentionally</w:t>
      </w:r>
      <w:r w:rsidR="001202B6">
        <w:rPr>
          <w:szCs w:val="18"/>
        </w:rPr>
        <w:t xml:space="preserve"> </w:t>
      </w:r>
      <w:r w:rsidR="001202B6" w:rsidRPr="001202B6">
        <w:rPr>
          <w:szCs w:val="18"/>
        </w:rPr>
        <w:t>used mercury in spent products and process waste</w:t>
      </w:r>
      <w:r>
        <w:rPr>
          <w:szCs w:val="18"/>
        </w:rPr>
        <w:t>s</w:t>
      </w:r>
      <w:r w:rsidR="001202B6" w:rsidRPr="001202B6">
        <w:rPr>
          <w:szCs w:val="18"/>
        </w:rPr>
        <w:t>; 2) mercury impurities in bulk materials</w:t>
      </w:r>
      <w:r w:rsidR="001202B6">
        <w:rPr>
          <w:szCs w:val="18"/>
        </w:rPr>
        <w:t xml:space="preserve"> </w:t>
      </w:r>
      <w:r w:rsidR="001202B6" w:rsidRPr="001202B6">
        <w:rPr>
          <w:szCs w:val="18"/>
        </w:rPr>
        <w:t>(</w:t>
      </w:r>
      <w:r>
        <w:rPr>
          <w:szCs w:val="18"/>
        </w:rPr>
        <w:t>eg</w:t>
      </w:r>
      <w:r w:rsidR="004C790C">
        <w:rPr>
          <w:szCs w:val="18"/>
        </w:rPr>
        <w:t>,</w:t>
      </w:r>
      <w:r>
        <w:rPr>
          <w:szCs w:val="18"/>
        </w:rPr>
        <w:t xml:space="preserve"> </w:t>
      </w:r>
      <w:r w:rsidR="000C0B58">
        <w:rPr>
          <w:szCs w:val="18"/>
        </w:rPr>
        <w:t>p</w:t>
      </w:r>
      <w:r>
        <w:rPr>
          <w:szCs w:val="18"/>
        </w:rPr>
        <w:t xml:space="preserve">aper, </w:t>
      </w:r>
      <w:r w:rsidR="001202B6" w:rsidRPr="001202B6">
        <w:rPr>
          <w:szCs w:val="18"/>
        </w:rPr>
        <w:t xml:space="preserve">plastics, </w:t>
      </w:r>
      <w:r>
        <w:rPr>
          <w:szCs w:val="18"/>
        </w:rPr>
        <w:t>and metals)</w:t>
      </w:r>
      <w:r w:rsidR="001202B6" w:rsidRPr="001202B6">
        <w:rPr>
          <w:szCs w:val="18"/>
        </w:rPr>
        <w:t>; 3) mercury as an anthropogenic trace pollutant in bulk materials</w:t>
      </w:r>
      <w:r w:rsidR="00DC1F1B">
        <w:rPr>
          <w:szCs w:val="18"/>
        </w:rPr>
        <w:t>;</w:t>
      </w:r>
      <w:r>
        <w:rPr>
          <w:szCs w:val="18"/>
        </w:rPr>
        <w:t xml:space="preserve"> and 4) trace levels of mercury contamination of food wastes. In New Zealand, most </w:t>
      </w:r>
      <w:r w:rsidR="003C1735">
        <w:rPr>
          <w:szCs w:val="18"/>
        </w:rPr>
        <w:t>municipal solid</w:t>
      </w:r>
      <w:r>
        <w:rPr>
          <w:szCs w:val="18"/>
        </w:rPr>
        <w:t xml:space="preserve"> wastes are disposed to </w:t>
      </w:r>
      <w:r w:rsidR="0082021A">
        <w:rPr>
          <w:szCs w:val="18"/>
        </w:rPr>
        <w:t xml:space="preserve">controlled </w:t>
      </w:r>
      <w:r>
        <w:rPr>
          <w:szCs w:val="18"/>
        </w:rPr>
        <w:t>landfill</w:t>
      </w:r>
      <w:r w:rsidR="0082021A">
        <w:rPr>
          <w:szCs w:val="18"/>
        </w:rPr>
        <w:t>s</w:t>
      </w:r>
      <w:r>
        <w:rPr>
          <w:szCs w:val="18"/>
        </w:rPr>
        <w:t>.</w:t>
      </w:r>
    </w:p>
    <w:p w14:paraId="51EAAD4B" w14:textId="44E06BDD" w:rsidR="00D16E72" w:rsidRDefault="00AE7BF2" w:rsidP="003833D6">
      <w:pPr>
        <w:spacing w:line="300" w:lineRule="atLeast"/>
        <w:jc w:val="both"/>
        <w:rPr>
          <w:szCs w:val="18"/>
        </w:rPr>
      </w:pPr>
      <w:r>
        <w:rPr>
          <w:szCs w:val="18"/>
        </w:rPr>
        <w:t xml:space="preserve">The key requirements for quantifying the inputs and outputs for this source are the total quantities of waste disposed to landfill in each year, and the average mercury content of that waste. </w:t>
      </w:r>
      <w:r w:rsidR="00B1505E">
        <w:rPr>
          <w:szCs w:val="18"/>
        </w:rPr>
        <w:t xml:space="preserve">Information on tonnages of waste deposited in </w:t>
      </w:r>
      <w:r w:rsidR="00F75E3A">
        <w:rPr>
          <w:szCs w:val="18"/>
        </w:rPr>
        <w:t xml:space="preserve">Class 1 </w:t>
      </w:r>
      <w:r w:rsidR="00B1505E">
        <w:rPr>
          <w:szCs w:val="18"/>
        </w:rPr>
        <w:t>landfills is available from</w:t>
      </w:r>
      <w:r w:rsidR="0014249A">
        <w:rPr>
          <w:szCs w:val="18"/>
        </w:rPr>
        <w:t xml:space="preserve"> waste statistics published by the Ministry for the Environment (MfE, 2025)</w:t>
      </w:r>
      <w:r w:rsidR="00F75E3A">
        <w:rPr>
          <w:szCs w:val="18"/>
        </w:rPr>
        <w:t>.</w:t>
      </w:r>
      <w:r w:rsidR="004162E9">
        <w:rPr>
          <w:szCs w:val="18"/>
        </w:rPr>
        <w:t xml:space="preserve"> </w:t>
      </w:r>
      <w:r w:rsidR="00430120">
        <w:rPr>
          <w:szCs w:val="18"/>
        </w:rPr>
        <w:t>From</w:t>
      </w:r>
      <w:r w:rsidR="00F75E3A">
        <w:rPr>
          <w:szCs w:val="18"/>
        </w:rPr>
        <w:t xml:space="preserve"> July 20</w:t>
      </w:r>
      <w:r w:rsidR="00BE1C1C">
        <w:rPr>
          <w:szCs w:val="18"/>
        </w:rPr>
        <w:t>23</w:t>
      </w:r>
      <w:r w:rsidR="00430120">
        <w:rPr>
          <w:szCs w:val="18"/>
        </w:rPr>
        <w:t xml:space="preserve"> </w:t>
      </w:r>
      <w:r w:rsidR="00F75E3A">
        <w:rPr>
          <w:szCs w:val="18"/>
        </w:rPr>
        <w:t>to June 202</w:t>
      </w:r>
      <w:r w:rsidR="00BE1C1C">
        <w:rPr>
          <w:szCs w:val="18"/>
        </w:rPr>
        <w:t>4</w:t>
      </w:r>
      <w:r w:rsidR="00F75E3A">
        <w:rPr>
          <w:szCs w:val="18"/>
        </w:rPr>
        <w:t xml:space="preserve"> </w:t>
      </w:r>
      <w:r w:rsidR="00BE1C1C">
        <w:rPr>
          <w:szCs w:val="18"/>
        </w:rPr>
        <w:t xml:space="preserve">3,228,248 </w:t>
      </w:r>
      <w:r w:rsidR="00F75E3A">
        <w:rPr>
          <w:szCs w:val="18"/>
        </w:rPr>
        <w:t xml:space="preserve">tonnes were </w:t>
      </w:r>
      <w:r w:rsidR="00BE1C1C">
        <w:rPr>
          <w:szCs w:val="18"/>
        </w:rPr>
        <w:t>deposited</w:t>
      </w:r>
      <w:r w:rsidR="004162E9">
        <w:rPr>
          <w:szCs w:val="18"/>
        </w:rPr>
        <w:t>,</w:t>
      </w:r>
      <w:r w:rsidR="00F75E3A">
        <w:rPr>
          <w:szCs w:val="18"/>
        </w:rPr>
        <w:t xml:space="preserve"> with </w:t>
      </w:r>
      <w:r w:rsidR="00BE1C1C">
        <w:rPr>
          <w:szCs w:val="18"/>
        </w:rPr>
        <w:t xml:space="preserve">2,829,929 </w:t>
      </w:r>
      <w:r w:rsidR="00F75E3A">
        <w:rPr>
          <w:szCs w:val="18"/>
        </w:rPr>
        <w:t>tonnes listed for July 202</w:t>
      </w:r>
      <w:r w:rsidR="00BE1C1C">
        <w:rPr>
          <w:szCs w:val="18"/>
        </w:rPr>
        <w:t>4</w:t>
      </w:r>
      <w:r w:rsidR="00F75E3A">
        <w:rPr>
          <w:szCs w:val="18"/>
        </w:rPr>
        <w:t xml:space="preserve"> to June 202</w:t>
      </w:r>
      <w:r w:rsidR="00BE1C1C">
        <w:rPr>
          <w:szCs w:val="18"/>
        </w:rPr>
        <w:t>5</w:t>
      </w:r>
      <w:r w:rsidR="00F75E3A">
        <w:rPr>
          <w:szCs w:val="18"/>
        </w:rPr>
        <w:t xml:space="preserve">. Averaging these quantities gives an estimated total quantity of </w:t>
      </w:r>
      <w:r w:rsidR="00BE1C1C">
        <w:rPr>
          <w:szCs w:val="18"/>
        </w:rPr>
        <w:t xml:space="preserve">3,029,089 </w:t>
      </w:r>
      <w:r w:rsidR="00F75E3A">
        <w:rPr>
          <w:szCs w:val="18"/>
        </w:rPr>
        <w:t xml:space="preserve">tonnes of waste for </w:t>
      </w:r>
      <w:r w:rsidR="00011BEE">
        <w:rPr>
          <w:szCs w:val="18"/>
        </w:rPr>
        <w:t>2024</w:t>
      </w:r>
      <w:r w:rsidR="00F75E3A">
        <w:rPr>
          <w:szCs w:val="18"/>
        </w:rPr>
        <w:t>.</w:t>
      </w:r>
      <w:r w:rsidR="002F51B8">
        <w:rPr>
          <w:szCs w:val="18"/>
        </w:rPr>
        <w:t xml:space="preserve"> Whereas the previous Inventory noted an increasing trend in the rate of municipal waste disposal to landfill, the current prevailing trend is one of a decreasing rate. That this is occurring while population growth steadily increases suggests that newly introduced waste minimisation and elimination policies </w:t>
      </w:r>
      <w:r w:rsidR="001E58C3">
        <w:rPr>
          <w:szCs w:val="18"/>
        </w:rPr>
        <w:t>may be</w:t>
      </w:r>
      <w:r w:rsidR="002F51B8">
        <w:rPr>
          <w:szCs w:val="18"/>
        </w:rPr>
        <w:t xml:space="preserve"> having an effect.  For example</w:t>
      </w:r>
      <w:r w:rsidR="00FB2CEF">
        <w:rPr>
          <w:szCs w:val="18"/>
        </w:rPr>
        <w:t>,</w:t>
      </w:r>
      <w:r w:rsidR="002F51B8">
        <w:rPr>
          <w:szCs w:val="18"/>
        </w:rPr>
        <w:t xml:space="preserve"> since Auckland Council introduced its </w:t>
      </w:r>
      <w:r w:rsidR="00FB2CEF">
        <w:rPr>
          <w:szCs w:val="18"/>
        </w:rPr>
        <w:t>kerbside food scraps collection service in April 2023</w:t>
      </w:r>
      <w:r w:rsidR="004D0652">
        <w:rPr>
          <w:szCs w:val="18"/>
        </w:rPr>
        <w:t>,</w:t>
      </w:r>
      <w:r w:rsidR="00FB2CEF">
        <w:rPr>
          <w:szCs w:val="18"/>
        </w:rPr>
        <w:t xml:space="preserve"> more than 30,0000 tonnes of food waste have been diverted from landfill.</w:t>
      </w:r>
      <w:r w:rsidR="004D0652">
        <w:rPr>
          <w:szCs w:val="18"/>
        </w:rPr>
        <w:t xml:space="preserve"> (Auckland Council, 2024)</w:t>
      </w:r>
      <w:r w:rsidR="00FB2CEF">
        <w:rPr>
          <w:szCs w:val="18"/>
        </w:rPr>
        <w:t xml:space="preserve"> </w:t>
      </w:r>
    </w:p>
    <w:p w14:paraId="3306F329" w14:textId="380D38B2" w:rsidR="00D53F79" w:rsidRDefault="00D53F79" w:rsidP="003833D6">
      <w:pPr>
        <w:spacing w:line="300" w:lineRule="atLeast"/>
        <w:jc w:val="both"/>
        <w:rPr>
          <w:szCs w:val="18"/>
        </w:rPr>
      </w:pPr>
      <w:r>
        <w:rPr>
          <w:szCs w:val="18"/>
        </w:rPr>
        <w:t xml:space="preserve">The </w:t>
      </w:r>
      <w:r w:rsidR="004D0652">
        <w:rPr>
          <w:szCs w:val="18"/>
        </w:rPr>
        <w:t>Class 1 landfill</w:t>
      </w:r>
      <w:r w:rsidR="002F51B8">
        <w:rPr>
          <w:szCs w:val="18"/>
        </w:rPr>
        <w:t xml:space="preserve"> </w:t>
      </w:r>
      <w:r>
        <w:rPr>
          <w:szCs w:val="18"/>
        </w:rPr>
        <w:t>data only applies to commercial landfills accepting household waste, and does not include the waste disposed to cleanfill sites. However, there is no reason to expect significant levels of mercury conta</w:t>
      </w:r>
      <w:r w:rsidR="00CE473F">
        <w:rPr>
          <w:szCs w:val="18"/>
        </w:rPr>
        <w:t>mination in cleanfill wastes, because mercury-containing wastes are usually excluded from these sites (eg</w:t>
      </w:r>
      <w:r w:rsidR="004C790C">
        <w:rPr>
          <w:szCs w:val="18"/>
        </w:rPr>
        <w:t>,</w:t>
      </w:r>
      <w:r w:rsidR="00CE473F">
        <w:rPr>
          <w:szCs w:val="18"/>
        </w:rPr>
        <w:t xml:space="preserve"> MfE</w:t>
      </w:r>
      <w:r w:rsidR="005C6BC2">
        <w:rPr>
          <w:szCs w:val="18"/>
        </w:rPr>
        <w:t>,</w:t>
      </w:r>
      <w:r w:rsidR="00CE473F">
        <w:rPr>
          <w:szCs w:val="18"/>
        </w:rPr>
        <w:t xml:space="preserve"> 2002). </w:t>
      </w:r>
      <w:r w:rsidR="00A21BF4">
        <w:rPr>
          <w:szCs w:val="18"/>
        </w:rPr>
        <w:t>The wastes disposed at privately-owned waste facilities, such as those operated by the pulp and paper mills, Huntly Power Station, and the gold mine tailings dams, have already been addressed in other sections</w:t>
      </w:r>
      <w:r w:rsidR="005C6BC2">
        <w:rPr>
          <w:szCs w:val="18"/>
        </w:rPr>
        <w:t xml:space="preserve"> (when relevant)</w:t>
      </w:r>
      <w:r w:rsidR="00A21BF4">
        <w:rPr>
          <w:szCs w:val="18"/>
        </w:rPr>
        <w:t>.</w:t>
      </w:r>
    </w:p>
    <w:p w14:paraId="2412D009" w14:textId="2BB51B42" w:rsidR="003203D5" w:rsidRDefault="00E27748" w:rsidP="003833D6">
      <w:pPr>
        <w:spacing w:line="300" w:lineRule="atLeast"/>
        <w:jc w:val="both"/>
        <w:rPr>
          <w:szCs w:val="18"/>
        </w:rPr>
      </w:pPr>
      <w:r>
        <w:rPr>
          <w:szCs w:val="18"/>
        </w:rPr>
        <w:t xml:space="preserve">The general composition of the New Zealand </w:t>
      </w:r>
      <w:r w:rsidR="00626EE1">
        <w:rPr>
          <w:szCs w:val="18"/>
        </w:rPr>
        <w:t xml:space="preserve">municipal </w:t>
      </w:r>
      <w:r>
        <w:rPr>
          <w:szCs w:val="18"/>
        </w:rPr>
        <w:t>waste stream is reasonably well characterised</w:t>
      </w:r>
      <w:r w:rsidR="00626EE1">
        <w:rPr>
          <w:szCs w:val="18"/>
        </w:rPr>
        <w:t xml:space="preserve">, but </w:t>
      </w:r>
      <w:r>
        <w:rPr>
          <w:szCs w:val="18"/>
        </w:rPr>
        <w:t xml:space="preserve">there is no information available on the mercury content of the wastes. In the absence of this data, the Toolkit factors have been used. </w:t>
      </w:r>
      <w:r w:rsidR="004A4BAD">
        <w:rPr>
          <w:szCs w:val="18"/>
        </w:rPr>
        <w:t xml:space="preserve">For previous inventories </w:t>
      </w:r>
      <w:r>
        <w:rPr>
          <w:szCs w:val="18"/>
        </w:rPr>
        <w:t>default factors of 1 – 10 g/tonne of waste</w:t>
      </w:r>
      <w:r w:rsidR="004A4BAD">
        <w:rPr>
          <w:szCs w:val="18"/>
        </w:rPr>
        <w:t xml:space="preserve"> were recommended </w:t>
      </w:r>
      <w:r>
        <w:rPr>
          <w:szCs w:val="18"/>
        </w:rPr>
        <w:t>for estimating inputs</w:t>
      </w:r>
      <w:r w:rsidR="004A4BAD">
        <w:rPr>
          <w:szCs w:val="18"/>
        </w:rPr>
        <w:t>.</w:t>
      </w:r>
      <w:r w:rsidR="00727361">
        <w:rPr>
          <w:szCs w:val="18"/>
        </w:rPr>
        <w:t xml:space="preserve"> </w:t>
      </w:r>
      <w:r w:rsidR="004A4BAD">
        <w:rPr>
          <w:szCs w:val="18"/>
        </w:rPr>
        <w:t xml:space="preserve">The most recent Toolkit revision issued in </w:t>
      </w:r>
      <w:r w:rsidR="00E748D7">
        <w:rPr>
          <w:szCs w:val="18"/>
        </w:rPr>
        <w:t>2023</w:t>
      </w:r>
      <w:r w:rsidR="004A4BAD">
        <w:rPr>
          <w:szCs w:val="18"/>
        </w:rPr>
        <w:t xml:space="preserve"> provides a range of 0.2 – 4 g/tonne of waste with an intermediate value specified as 1g/ tonne of waste. </w:t>
      </w:r>
      <w:r w:rsidR="004A4BAD" w:rsidRPr="004A4BAD">
        <w:rPr>
          <w:szCs w:val="18"/>
        </w:rPr>
        <w:t>The low end input factor is expected to be relevant for a situation where substantial parts of</w:t>
      </w:r>
      <w:r w:rsidR="003203D5">
        <w:rPr>
          <w:szCs w:val="18"/>
        </w:rPr>
        <w:t xml:space="preserve"> </w:t>
      </w:r>
      <w:r w:rsidR="004A4BAD" w:rsidRPr="004A4BAD">
        <w:rPr>
          <w:szCs w:val="18"/>
        </w:rPr>
        <w:t>waste products with high mercury concentration</w:t>
      </w:r>
      <w:r w:rsidR="004A4BAD">
        <w:rPr>
          <w:szCs w:val="18"/>
        </w:rPr>
        <w:t>s</w:t>
      </w:r>
      <w:r w:rsidR="004A4BAD" w:rsidRPr="004A4BAD">
        <w:rPr>
          <w:szCs w:val="18"/>
        </w:rPr>
        <w:t xml:space="preserve"> (thermometers, batteries, dental amalgam wastes, switches etc.) have been sorted out of the waste for separate treatment</w:t>
      </w:r>
      <w:r w:rsidR="003203D5">
        <w:rPr>
          <w:szCs w:val="18"/>
        </w:rPr>
        <w:t xml:space="preserve">. </w:t>
      </w:r>
      <w:r w:rsidR="004A4BAD" w:rsidRPr="004A4BAD">
        <w:rPr>
          <w:szCs w:val="18"/>
        </w:rPr>
        <w:t>The high end input factor is expected to be relevant for situations where no such sorting takes place</w:t>
      </w:r>
      <w:r w:rsidR="00A15810">
        <w:rPr>
          <w:szCs w:val="18"/>
        </w:rPr>
        <w:t xml:space="preserve"> </w:t>
      </w:r>
      <w:r w:rsidR="003203D5">
        <w:rPr>
          <w:szCs w:val="18"/>
        </w:rPr>
        <w:t xml:space="preserve">(UNEP, </w:t>
      </w:r>
      <w:r w:rsidR="00E748D7">
        <w:rPr>
          <w:szCs w:val="18"/>
        </w:rPr>
        <w:t>2023</w:t>
      </w:r>
      <w:r w:rsidR="003203D5">
        <w:rPr>
          <w:szCs w:val="18"/>
        </w:rPr>
        <w:t>).</w:t>
      </w:r>
      <w:r w:rsidR="004A4BAD">
        <w:rPr>
          <w:szCs w:val="18"/>
        </w:rPr>
        <w:t xml:space="preserve"> </w:t>
      </w:r>
      <w:r w:rsidR="003203D5">
        <w:rPr>
          <w:szCs w:val="18"/>
        </w:rPr>
        <w:t>Some sorting of high mercury concentration products is likely to occur in New Zealand but there are still significant quantities of materials such as button batteries and LFL and CFL lights which are sent to landfill.</w:t>
      </w:r>
      <w:r w:rsidR="007C3FA4">
        <w:rPr>
          <w:szCs w:val="18"/>
        </w:rPr>
        <w:t xml:space="preserve"> </w:t>
      </w:r>
      <w:r w:rsidR="005A5A62">
        <w:rPr>
          <w:szCs w:val="18"/>
        </w:rPr>
        <w:t>Consequently,</w:t>
      </w:r>
      <w:r w:rsidR="003203D5">
        <w:rPr>
          <w:szCs w:val="18"/>
        </w:rPr>
        <w:t xml:space="preserve"> the intermediate input factor is seen as most appropriate for New Zealand.</w:t>
      </w:r>
    </w:p>
    <w:p w14:paraId="2CAB285D" w14:textId="7490AD0A" w:rsidR="00E27748" w:rsidRDefault="003203D5" w:rsidP="003833D6">
      <w:pPr>
        <w:spacing w:line="300" w:lineRule="atLeast"/>
        <w:jc w:val="both"/>
        <w:rPr>
          <w:szCs w:val="18"/>
        </w:rPr>
      </w:pPr>
      <w:r>
        <w:rPr>
          <w:szCs w:val="18"/>
        </w:rPr>
        <w:t>O</w:t>
      </w:r>
      <w:r w:rsidR="00E27748">
        <w:rPr>
          <w:szCs w:val="18"/>
        </w:rPr>
        <w:t xml:space="preserve">utput distribution factors of 0.01 (1%) to air and 0.0001 (0.01%) to water, with the remainder of the inputs being regarded as </w:t>
      </w:r>
      <w:r w:rsidR="00C21DD8">
        <w:rPr>
          <w:szCs w:val="18"/>
        </w:rPr>
        <w:t xml:space="preserve">disposal to a </w:t>
      </w:r>
      <w:r w:rsidR="00E27748">
        <w:rPr>
          <w:szCs w:val="18"/>
        </w:rPr>
        <w:t>reservoir</w:t>
      </w:r>
      <w:r>
        <w:rPr>
          <w:szCs w:val="18"/>
        </w:rPr>
        <w:t xml:space="preserve"> remain unch</w:t>
      </w:r>
      <w:r w:rsidR="005A5A62">
        <w:rPr>
          <w:szCs w:val="18"/>
        </w:rPr>
        <w:t>a</w:t>
      </w:r>
      <w:r>
        <w:rPr>
          <w:szCs w:val="18"/>
        </w:rPr>
        <w:t>nged and have been applied here.</w:t>
      </w:r>
    </w:p>
    <w:p w14:paraId="3D3841AA" w14:textId="6087ABDD" w:rsidR="007D4239" w:rsidRDefault="007D4239" w:rsidP="007D4239">
      <w:pPr>
        <w:spacing w:line="300" w:lineRule="atLeast"/>
        <w:jc w:val="both"/>
        <w:rPr>
          <w:szCs w:val="18"/>
        </w:rPr>
      </w:pPr>
      <w:r w:rsidRPr="00675730">
        <w:rPr>
          <w:szCs w:val="18"/>
        </w:rPr>
        <w:t xml:space="preserve">The mercury input and output calculations for </w:t>
      </w:r>
      <w:r>
        <w:rPr>
          <w:szCs w:val="18"/>
        </w:rPr>
        <w:t xml:space="preserve">controlled landfill </w:t>
      </w:r>
      <w:r w:rsidRPr="00675730">
        <w:rPr>
          <w:szCs w:val="18"/>
        </w:rPr>
        <w:t>are shown in</w:t>
      </w:r>
      <w:r>
        <w:rPr>
          <w:szCs w:val="18"/>
        </w:rPr>
        <w:t xml:space="preserve"> </w:t>
      </w:r>
      <w:r w:rsidRPr="00BF5893">
        <w:rPr>
          <w:szCs w:val="18"/>
        </w:rPr>
        <w:fldChar w:fldCharType="begin"/>
      </w:r>
      <w:r w:rsidRPr="0078520B">
        <w:rPr>
          <w:szCs w:val="18"/>
        </w:rPr>
        <w:instrText xml:space="preserve"> REF _Ref358784394 \h </w:instrText>
      </w:r>
      <w:r w:rsidR="0078520B">
        <w:rPr>
          <w:szCs w:val="18"/>
        </w:rPr>
        <w:instrText xml:space="preserve"> \* MERGEFORMAT </w:instrText>
      </w:r>
      <w:r w:rsidRPr="00BF5893">
        <w:rPr>
          <w:szCs w:val="18"/>
        </w:rPr>
      </w:r>
      <w:r w:rsidRPr="00BF5893">
        <w:rPr>
          <w:szCs w:val="18"/>
        </w:rPr>
        <w:fldChar w:fldCharType="separate"/>
      </w:r>
      <w:r w:rsidR="00892B2D" w:rsidRPr="00892B2D">
        <w:t xml:space="preserve">Table </w:t>
      </w:r>
      <w:r w:rsidR="00892B2D" w:rsidRPr="00892B2D">
        <w:rPr>
          <w:noProof/>
        </w:rPr>
        <w:t>11</w:t>
      </w:r>
      <w:r w:rsidR="00892B2D" w:rsidRPr="00892B2D">
        <w:rPr>
          <w:noProof/>
        </w:rPr>
        <w:noBreakHyphen/>
        <w:t>2</w:t>
      </w:r>
      <w:r w:rsidRPr="00BF5893">
        <w:rPr>
          <w:szCs w:val="18"/>
        </w:rPr>
        <w:fldChar w:fldCharType="end"/>
      </w:r>
      <w:r w:rsidR="00430120">
        <w:rPr>
          <w:szCs w:val="18"/>
        </w:rPr>
        <w:t xml:space="preserve"> for </w:t>
      </w:r>
      <w:r w:rsidR="004D0652">
        <w:rPr>
          <w:szCs w:val="18"/>
        </w:rPr>
        <w:t>the current study and previous inventories.</w:t>
      </w:r>
      <w:r w:rsidR="00356A90">
        <w:rPr>
          <w:szCs w:val="18"/>
        </w:rPr>
        <w:t xml:space="preserve"> </w:t>
      </w:r>
    </w:p>
    <w:p w14:paraId="323BF458" w14:textId="4E83D421" w:rsidR="007D4239" w:rsidRDefault="007D4239" w:rsidP="007D4239">
      <w:pPr>
        <w:pStyle w:val="Caption"/>
        <w:spacing w:before="240"/>
        <w:rPr>
          <w:szCs w:val="18"/>
        </w:rPr>
      </w:pPr>
      <w:bookmarkStart w:id="155" w:name="_Ref358784394"/>
      <w:bookmarkStart w:id="156" w:name="_Toc110355495"/>
      <w:r w:rsidRPr="00FE6C76">
        <w:rPr>
          <w:rFonts w:ascii="Arial" w:hAnsi="Arial" w:cs="Arial"/>
        </w:rPr>
        <w:t xml:space="preserve">Table </w:t>
      </w:r>
      <w:r w:rsidR="00390C9F">
        <w:rPr>
          <w:rFonts w:ascii="Arial" w:hAnsi="Arial" w:cs="Arial"/>
        </w:rPr>
        <w:fldChar w:fldCharType="begin"/>
      </w:r>
      <w:r w:rsidR="00390C9F">
        <w:rPr>
          <w:rFonts w:ascii="Arial" w:hAnsi="Arial" w:cs="Arial"/>
        </w:rPr>
        <w:instrText xml:space="preserve"> STYLEREF 1 \s </w:instrText>
      </w:r>
      <w:r w:rsidR="00390C9F">
        <w:rPr>
          <w:rFonts w:ascii="Arial" w:hAnsi="Arial" w:cs="Arial"/>
        </w:rPr>
        <w:fldChar w:fldCharType="separate"/>
      </w:r>
      <w:r w:rsidR="00892B2D">
        <w:rPr>
          <w:rFonts w:ascii="Arial" w:hAnsi="Arial" w:cs="Arial"/>
          <w:noProof/>
        </w:rPr>
        <w:t>11</w:t>
      </w:r>
      <w:r w:rsidR="00390C9F">
        <w:rPr>
          <w:rFonts w:ascii="Arial" w:hAnsi="Arial" w:cs="Arial"/>
        </w:rPr>
        <w:fldChar w:fldCharType="end"/>
      </w:r>
      <w:r w:rsidR="00390C9F">
        <w:rPr>
          <w:rFonts w:ascii="Arial" w:hAnsi="Arial" w:cs="Arial"/>
        </w:rPr>
        <w:noBreakHyphen/>
      </w:r>
      <w:r w:rsidR="00390C9F">
        <w:rPr>
          <w:rFonts w:ascii="Arial" w:hAnsi="Arial" w:cs="Arial"/>
        </w:rPr>
        <w:fldChar w:fldCharType="begin"/>
      </w:r>
      <w:r w:rsidR="00390C9F">
        <w:rPr>
          <w:rFonts w:ascii="Arial" w:hAnsi="Arial" w:cs="Arial"/>
        </w:rPr>
        <w:instrText xml:space="preserve"> SEQ Table \* ARABIC \s 1 </w:instrText>
      </w:r>
      <w:r w:rsidR="00390C9F">
        <w:rPr>
          <w:rFonts w:ascii="Arial" w:hAnsi="Arial" w:cs="Arial"/>
        </w:rPr>
        <w:fldChar w:fldCharType="separate"/>
      </w:r>
      <w:r w:rsidR="00892B2D">
        <w:rPr>
          <w:rFonts w:ascii="Arial" w:hAnsi="Arial" w:cs="Arial"/>
          <w:noProof/>
        </w:rPr>
        <w:t>2</w:t>
      </w:r>
      <w:r w:rsidR="00390C9F">
        <w:rPr>
          <w:rFonts w:ascii="Arial" w:hAnsi="Arial" w:cs="Arial"/>
        </w:rPr>
        <w:fldChar w:fldCharType="end"/>
      </w:r>
      <w:bookmarkEnd w:id="155"/>
      <w:r w:rsidRPr="00FE6C76">
        <w:rPr>
          <w:rFonts w:ascii="Arial" w:hAnsi="Arial" w:cs="Arial"/>
        </w:rPr>
        <w:t>:</w:t>
      </w:r>
      <w:r>
        <w:t xml:space="preserve"> </w:t>
      </w:r>
      <w:r w:rsidRPr="00284760">
        <w:rPr>
          <w:rFonts w:ascii="Arial" w:hAnsi="Arial" w:cs="Arial"/>
        </w:rPr>
        <w:t>Input and output estimates for</w:t>
      </w:r>
      <w:r>
        <w:rPr>
          <w:rFonts w:ascii="Arial" w:hAnsi="Arial" w:cs="Arial"/>
        </w:rPr>
        <w:t xml:space="preserve"> controlled landfill</w:t>
      </w:r>
      <w:bookmarkEnd w:id="156"/>
    </w:p>
    <w:tbl>
      <w:tblPr>
        <w:tblStyle w:val="TableGrid"/>
        <w:tblW w:w="9067" w:type="dxa"/>
        <w:tblLook w:val="04A0" w:firstRow="1" w:lastRow="0" w:firstColumn="1" w:lastColumn="0" w:noHBand="0" w:noVBand="1"/>
      </w:tblPr>
      <w:tblGrid>
        <w:gridCol w:w="1340"/>
        <w:gridCol w:w="1238"/>
        <w:gridCol w:w="1126"/>
        <w:gridCol w:w="1394"/>
        <w:gridCol w:w="1173"/>
        <w:gridCol w:w="1226"/>
        <w:gridCol w:w="1570"/>
      </w:tblGrid>
      <w:tr w:rsidR="007D4239" w14:paraId="3CB45EE9" w14:textId="77777777" w:rsidTr="002F2C6D">
        <w:tc>
          <w:tcPr>
            <w:tcW w:w="1340" w:type="dxa"/>
            <w:vMerge w:val="restart"/>
            <w:vAlign w:val="center"/>
          </w:tcPr>
          <w:p w14:paraId="4119A8CA" w14:textId="77777777" w:rsidR="007D4239" w:rsidRPr="00F31685" w:rsidRDefault="007D4239" w:rsidP="00356A90">
            <w:pPr>
              <w:spacing w:line="300" w:lineRule="atLeast"/>
              <w:jc w:val="center"/>
              <w:rPr>
                <w:rFonts w:ascii="Arial" w:hAnsi="Arial" w:cs="Arial"/>
                <w:b/>
                <w:sz w:val="16"/>
                <w:szCs w:val="16"/>
              </w:rPr>
            </w:pPr>
            <w:r w:rsidRPr="00F31685">
              <w:rPr>
                <w:rFonts w:ascii="Arial" w:hAnsi="Arial" w:cs="Arial"/>
                <w:b/>
                <w:sz w:val="16"/>
                <w:szCs w:val="16"/>
              </w:rPr>
              <w:t>Source</w:t>
            </w:r>
          </w:p>
        </w:tc>
        <w:tc>
          <w:tcPr>
            <w:tcW w:w="1238" w:type="dxa"/>
            <w:vMerge w:val="restart"/>
            <w:vAlign w:val="center"/>
          </w:tcPr>
          <w:p w14:paraId="106D188A" w14:textId="77777777" w:rsidR="007D4239" w:rsidRPr="00F31685" w:rsidRDefault="007D4239" w:rsidP="00356A90">
            <w:pPr>
              <w:spacing w:line="300" w:lineRule="atLeast"/>
              <w:jc w:val="center"/>
              <w:rPr>
                <w:rFonts w:ascii="Arial" w:hAnsi="Arial" w:cs="Arial"/>
                <w:b/>
                <w:sz w:val="16"/>
                <w:szCs w:val="16"/>
              </w:rPr>
            </w:pPr>
            <w:r>
              <w:rPr>
                <w:rFonts w:ascii="Arial" w:hAnsi="Arial" w:cs="Arial"/>
                <w:b/>
                <w:sz w:val="16"/>
                <w:szCs w:val="16"/>
              </w:rPr>
              <w:t>Activity Rate, tonnes</w:t>
            </w:r>
            <w:r w:rsidRPr="00F31685">
              <w:rPr>
                <w:rFonts w:ascii="Arial" w:hAnsi="Arial" w:cs="Arial"/>
                <w:b/>
                <w:sz w:val="16"/>
                <w:szCs w:val="16"/>
              </w:rPr>
              <w:t>/yr</w:t>
            </w:r>
          </w:p>
        </w:tc>
        <w:tc>
          <w:tcPr>
            <w:tcW w:w="1126" w:type="dxa"/>
            <w:vMerge w:val="restart"/>
            <w:vAlign w:val="center"/>
          </w:tcPr>
          <w:p w14:paraId="445320BA" w14:textId="77777777" w:rsidR="007D4239" w:rsidRPr="00F31685" w:rsidRDefault="007D4239" w:rsidP="007D4239">
            <w:pPr>
              <w:spacing w:line="300" w:lineRule="atLeast"/>
              <w:jc w:val="center"/>
              <w:rPr>
                <w:rFonts w:ascii="Arial" w:hAnsi="Arial" w:cs="Arial"/>
                <w:b/>
                <w:sz w:val="16"/>
                <w:szCs w:val="16"/>
              </w:rPr>
            </w:pPr>
            <w:r>
              <w:rPr>
                <w:rFonts w:ascii="Arial" w:hAnsi="Arial" w:cs="Arial"/>
                <w:b/>
                <w:sz w:val="16"/>
                <w:szCs w:val="16"/>
              </w:rPr>
              <w:t>Mercury Content, g/tonne</w:t>
            </w:r>
          </w:p>
        </w:tc>
        <w:tc>
          <w:tcPr>
            <w:tcW w:w="1394" w:type="dxa"/>
            <w:vMerge w:val="restart"/>
            <w:vAlign w:val="center"/>
          </w:tcPr>
          <w:p w14:paraId="441B5B0F" w14:textId="77777777" w:rsidR="007D4239" w:rsidRPr="00F31685" w:rsidRDefault="007D4239" w:rsidP="007D4239">
            <w:pPr>
              <w:spacing w:line="300" w:lineRule="atLeast"/>
              <w:jc w:val="center"/>
              <w:rPr>
                <w:rFonts w:ascii="Arial" w:hAnsi="Arial" w:cs="Arial"/>
                <w:b/>
                <w:sz w:val="16"/>
                <w:szCs w:val="16"/>
              </w:rPr>
            </w:pPr>
            <w:r>
              <w:rPr>
                <w:rFonts w:ascii="Arial" w:hAnsi="Arial" w:cs="Arial"/>
                <w:b/>
                <w:sz w:val="16"/>
                <w:szCs w:val="16"/>
              </w:rPr>
              <w:t>Annual Inputs, kg/yr</w:t>
            </w:r>
          </w:p>
        </w:tc>
        <w:tc>
          <w:tcPr>
            <w:tcW w:w="3969" w:type="dxa"/>
            <w:gridSpan w:val="3"/>
            <w:vAlign w:val="center"/>
          </w:tcPr>
          <w:p w14:paraId="68811FF8" w14:textId="77777777" w:rsidR="007D4239" w:rsidRPr="00F31685" w:rsidRDefault="007D4239" w:rsidP="00356A90">
            <w:pPr>
              <w:spacing w:line="300" w:lineRule="atLeast"/>
              <w:jc w:val="center"/>
              <w:rPr>
                <w:rFonts w:ascii="Arial" w:hAnsi="Arial" w:cs="Arial"/>
                <w:b/>
                <w:sz w:val="16"/>
                <w:szCs w:val="16"/>
              </w:rPr>
            </w:pPr>
            <w:r w:rsidRPr="00F31685">
              <w:rPr>
                <w:rFonts w:ascii="Arial" w:hAnsi="Arial" w:cs="Arial"/>
                <w:b/>
                <w:sz w:val="16"/>
                <w:szCs w:val="16"/>
              </w:rPr>
              <w:t>Annual Mercury Outputs, kg/yr</w:t>
            </w:r>
          </w:p>
        </w:tc>
      </w:tr>
      <w:tr w:rsidR="007D4239" w14:paraId="0DE18AF3" w14:textId="77777777" w:rsidTr="002F2C6D">
        <w:tc>
          <w:tcPr>
            <w:tcW w:w="1340" w:type="dxa"/>
            <w:vMerge/>
            <w:vAlign w:val="center"/>
          </w:tcPr>
          <w:p w14:paraId="6EA9E71C" w14:textId="77777777" w:rsidR="007D4239" w:rsidRPr="00F31685" w:rsidRDefault="007D4239" w:rsidP="00356A90">
            <w:pPr>
              <w:spacing w:line="300" w:lineRule="atLeast"/>
              <w:jc w:val="center"/>
              <w:rPr>
                <w:rFonts w:ascii="Arial" w:hAnsi="Arial" w:cs="Arial"/>
                <w:b/>
                <w:sz w:val="16"/>
                <w:szCs w:val="16"/>
              </w:rPr>
            </w:pPr>
          </w:p>
        </w:tc>
        <w:tc>
          <w:tcPr>
            <w:tcW w:w="1238" w:type="dxa"/>
            <w:vMerge/>
            <w:vAlign w:val="center"/>
          </w:tcPr>
          <w:p w14:paraId="07140E8B" w14:textId="77777777" w:rsidR="007D4239" w:rsidRPr="00F31685" w:rsidRDefault="007D4239" w:rsidP="00356A90">
            <w:pPr>
              <w:spacing w:line="300" w:lineRule="atLeast"/>
              <w:jc w:val="center"/>
              <w:rPr>
                <w:rFonts w:ascii="Arial" w:hAnsi="Arial" w:cs="Arial"/>
                <w:b/>
                <w:sz w:val="16"/>
                <w:szCs w:val="16"/>
              </w:rPr>
            </w:pPr>
          </w:p>
        </w:tc>
        <w:tc>
          <w:tcPr>
            <w:tcW w:w="1126" w:type="dxa"/>
            <w:vMerge/>
          </w:tcPr>
          <w:p w14:paraId="277E973B" w14:textId="77777777" w:rsidR="007D4239" w:rsidRPr="00F31685" w:rsidRDefault="007D4239" w:rsidP="00356A90">
            <w:pPr>
              <w:spacing w:line="300" w:lineRule="atLeast"/>
              <w:jc w:val="center"/>
              <w:rPr>
                <w:rFonts w:ascii="Arial" w:hAnsi="Arial" w:cs="Arial"/>
                <w:b/>
                <w:sz w:val="16"/>
                <w:szCs w:val="16"/>
              </w:rPr>
            </w:pPr>
          </w:p>
        </w:tc>
        <w:tc>
          <w:tcPr>
            <w:tcW w:w="1394" w:type="dxa"/>
            <w:vMerge/>
          </w:tcPr>
          <w:p w14:paraId="3E7C76C5" w14:textId="77777777" w:rsidR="007D4239" w:rsidRPr="00F31685" w:rsidRDefault="007D4239" w:rsidP="00356A90">
            <w:pPr>
              <w:spacing w:line="300" w:lineRule="atLeast"/>
              <w:jc w:val="center"/>
              <w:rPr>
                <w:rFonts w:ascii="Arial" w:hAnsi="Arial" w:cs="Arial"/>
                <w:b/>
                <w:sz w:val="16"/>
                <w:szCs w:val="16"/>
              </w:rPr>
            </w:pPr>
          </w:p>
        </w:tc>
        <w:tc>
          <w:tcPr>
            <w:tcW w:w="1173" w:type="dxa"/>
            <w:vAlign w:val="center"/>
          </w:tcPr>
          <w:p w14:paraId="47E53038" w14:textId="77777777" w:rsidR="007D4239" w:rsidRPr="00F31685" w:rsidRDefault="007D4239" w:rsidP="00356A90">
            <w:pPr>
              <w:spacing w:line="300" w:lineRule="atLeast"/>
              <w:jc w:val="center"/>
              <w:rPr>
                <w:rFonts w:ascii="Arial" w:hAnsi="Arial" w:cs="Arial"/>
                <w:b/>
                <w:sz w:val="16"/>
                <w:szCs w:val="16"/>
              </w:rPr>
            </w:pPr>
            <w:r w:rsidRPr="00F31685">
              <w:rPr>
                <w:rFonts w:ascii="Arial" w:hAnsi="Arial" w:cs="Arial"/>
                <w:b/>
                <w:sz w:val="16"/>
                <w:szCs w:val="16"/>
              </w:rPr>
              <w:t>Air</w:t>
            </w:r>
          </w:p>
        </w:tc>
        <w:tc>
          <w:tcPr>
            <w:tcW w:w="1226" w:type="dxa"/>
            <w:vAlign w:val="center"/>
          </w:tcPr>
          <w:p w14:paraId="3E77A737" w14:textId="77777777" w:rsidR="007D4239" w:rsidRPr="00F31685" w:rsidRDefault="007D4239" w:rsidP="00356A90">
            <w:pPr>
              <w:spacing w:line="300" w:lineRule="atLeast"/>
              <w:jc w:val="center"/>
              <w:rPr>
                <w:rFonts w:ascii="Arial" w:hAnsi="Arial" w:cs="Arial"/>
                <w:b/>
                <w:sz w:val="16"/>
                <w:szCs w:val="16"/>
              </w:rPr>
            </w:pPr>
            <w:r>
              <w:rPr>
                <w:rFonts w:ascii="Arial" w:hAnsi="Arial" w:cs="Arial"/>
                <w:b/>
                <w:sz w:val="16"/>
                <w:szCs w:val="16"/>
              </w:rPr>
              <w:t>Water</w:t>
            </w:r>
          </w:p>
        </w:tc>
        <w:tc>
          <w:tcPr>
            <w:tcW w:w="1570" w:type="dxa"/>
            <w:vAlign w:val="center"/>
          </w:tcPr>
          <w:p w14:paraId="0F56BEC7" w14:textId="77777777" w:rsidR="007D4239" w:rsidRPr="00F31685" w:rsidRDefault="007D4239" w:rsidP="00356A90">
            <w:pPr>
              <w:spacing w:line="300" w:lineRule="atLeast"/>
              <w:jc w:val="center"/>
              <w:rPr>
                <w:rFonts w:ascii="Arial" w:hAnsi="Arial" w:cs="Arial"/>
                <w:b/>
                <w:sz w:val="16"/>
                <w:szCs w:val="16"/>
              </w:rPr>
            </w:pPr>
            <w:r>
              <w:rPr>
                <w:rFonts w:ascii="Arial" w:hAnsi="Arial" w:cs="Arial"/>
                <w:b/>
                <w:sz w:val="16"/>
                <w:szCs w:val="16"/>
              </w:rPr>
              <w:t>Reservoir</w:t>
            </w:r>
          </w:p>
        </w:tc>
      </w:tr>
      <w:tr w:rsidR="007D4239" w14:paraId="5D51038B" w14:textId="77777777" w:rsidTr="002F2C6D">
        <w:tc>
          <w:tcPr>
            <w:tcW w:w="1340" w:type="dxa"/>
            <w:vAlign w:val="center"/>
          </w:tcPr>
          <w:p w14:paraId="209C37AA" w14:textId="77777777" w:rsidR="007D4239" w:rsidRPr="00F31685" w:rsidRDefault="007D4239" w:rsidP="00DC1F1B">
            <w:pPr>
              <w:spacing w:line="300" w:lineRule="atLeast"/>
              <w:rPr>
                <w:rFonts w:ascii="Arial" w:hAnsi="Arial" w:cs="Arial"/>
                <w:sz w:val="16"/>
                <w:szCs w:val="16"/>
              </w:rPr>
            </w:pPr>
            <w:r>
              <w:rPr>
                <w:rFonts w:ascii="Arial" w:hAnsi="Arial" w:cs="Arial"/>
                <w:sz w:val="16"/>
                <w:szCs w:val="16"/>
              </w:rPr>
              <w:t>Landfilling of wastes</w:t>
            </w:r>
            <w:r w:rsidR="00430120">
              <w:rPr>
                <w:rFonts w:ascii="Arial" w:hAnsi="Arial" w:cs="Arial"/>
                <w:sz w:val="16"/>
                <w:szCs w:val="16"/>
              </w:rPr>
              <w:t>, 2012</w:t>
            </w:r>
          </w:p>
        </w:tc>
        <w:tc>
          <w:tcPr>
            <w:tcW w:w="1238" w:type="dxa"/>
            <w:vAlign w:val="center"/>
          </w:tcPr>
          <w:p w14:paraId="24102EC1" w14:textId="77777777" w:rsidR="007D4239" w:rsidRPr="00F31685" w:rsidRDefault="007D4239" w:rsidP="00356A90">
            <w:pPr>
              <w:spacing w:line="300" w:lineRule="atLeast"/>
              <w:jc w:val="center"/>
              <w:rPr>
                <w:rFonts w:ascii="Arial" w:hAnsi="Arial" w:cs="Arial"/>
                <w:sz w:val="16"/>
                <w:szCs w:val="16"/>
              </w:rPr>
            </w:pPr>
            <w:r>
              <w:rPr>
                <w:rFonts w:ascii="Arial" w:hAnsi="Arial" w:cs="Arial"/>
                <w:sz w:val="16"/>
                <w:szCs w:val="16"/>
              </w:rPr>
              <w:t>2.5 x 10</w:t>
            </w:r>
            <w:r w:rsidRPr="007D4239">
              <w:rPr>
                <w:rFonts w:ascii="Arial" w:hAnsi="Arial" w:cs="Arial"/>
                <w:sz w:val="16"/>
                <w:szCs w:val="16"/>
                <w:vertAlign w:val="superscript"/>
              </w:rPr>
              <w:t>6</w:t>
            </w:r>
          </w:p>
        </w:tc>
        <w:tc>
          <w:tcPr>
            <w:tcW w:w="1126" w:type="dxa"/>
            <w:vAlign w:val="center"/>
          </w:tcPr>
          <w:p w14:paraId="1BDE6C38" w14:textId="60918921" w:rsidR="007D4239" w:rsidRDefault="007D4239" w:rsidP="007D4239">
            <w:pPr>
              <w:spacing w:line="300" w:lineRule="atLeast"/>
              <w:jc w:val="center"/>
              <w:rPr>
                <w:rFonts w:ascii="Arial" w:hAnsi="Arial" w:cs="Arial"/>
                <w:sz w:val="16"/>
                <w:szCs w:val="16"/>
              </w:rPr>
            </w:pPr>
            <w:r>
              <w:rPr>
                <w:rFonts w:ascii="Arial" w:hAnsi="Arial" w:cs="Arial"/>
                <w:sz w:val="16"/>
                <w:szCs w:val="16"/>
              </w:rPr>
              <w:t xml:space="preserve">1 </w:t>
            </w:r>
            <w:r w:rsidR="00B53F85">
              <w:rPr>
                <w:rFonts w:ascii="Arial" w:hAnsi="Arial" w:cs="Arial"/>
                <w:sz w:val="16"/>
                <w:szCs w:val="16"/>
              </w:rPr>
              <w:t>–</w:t>
            </w:r>
            <w:r>
              <w:rPr>
                <w:rFonts w:ascii="Arial" w:hAnsi="Arial" w:cs="Arial"/>
                <w:sz w:val="16"/>
                <w:szCs w:val="16"/>
              </w:rPr>
              <w:t xml:space="preserve"> 10</w:t>
            </w:r>
          </w:p>
        </w:tc>
        <w:tc>
          <w:tcPr>
            <w:tcW w:w="1394" w:type="dxa"/>
            <w:vAlign w:val="center"/>
          </w:tcPr>
          <w:p w14:paraId="3EEA6C79" w14:textId="77777777" w:rsidR="007D4239" w:rsidRDefault="007D4239" w:rsidP="007D4239">
            <w:pPr>
              <w:spacing w:line="300" w:lineRule="atLeast"/>
              <w:jc w:val="center"/>
              <w:rPr>
                <w:rFonts w:ascii="Arial" w:hAnsi="Arial" w:cs="Arial"/>
                <w:sz w:val="16"/>
                <w:szCs w:val="16"/>
              </w:rPr>
            </w:pPr>
            <w:r>
              <w:rPr>
                <w:rFonts w:ascii="Arial" w:hAnsi="Arial" w:cs="Arial"/>
                <w:sz w:val="16"/>
                <w:szCs w:val="16"/>
              </w:rPr>
              <w:t>2,500 – 25,000</w:t>
            </w:r>
            <w:r w:rsidR="0093099D">
              <w:rPr>
                <w:rFonts w:ascii="Arial" w:hAnsi="Arial" w:cs="Arial"/>
                <w:sz w:val="16"/>
                <w:szCs w:val="16"/>
              </w:rPr>
              <w:t xml:space="preserve"> (13,750)</w:t>
            </w:r>
          </w:p>
        </w:tc>
        <w:tc>
          <w:tcPr>
            <w:tcW w:w="1173" w:type="dxa"/>
            <w:vAlign w:val="center"/>
          </w:tcPr>
          <w:p w14:paraId="4250266A" w14:textId="297D47FF" w:rsidR="007D4239" w:rsidRPr="00F31685" w:rsidRDefault="007D4239" w:rsidP="00356A90">
            <w:pPr>
              <w:spacing w:line="300" w:lineRule="atLeast"/>
              <w:jc w:val="center"/>
              <w:rPr>
                <w:rFonts w:ascii="Arial" w:hAnsi="Arial" w:cs="Arial"/>
                <w:sz w:val="16"/>
                <w:szCs w:val="16"/>
              </w:rPr>
            </w:pPr>
            <w:r>
              <w:rPr>
                <w:rFonts w:ascii="Arial" w:hAnsi="Arial" w:cs="Arial"/>
                <w:sz w:val="16"/>
                <w:szCs w:val="16"/>
              </w:rPr>
              <w:t xml:space="preserve">25 </w:t>
            </w:r>
            <w:r w:rsidR="0093099D">
              <w:rPr>
                <w:rFonts w:ascii="Arial" w:hAnsi="Arial" w:cs="Arial"/>
                <w:sz w:val="16"/>
                <w:szCs w:val="16"/>
              </w:rPr>
              <w:t>–</w:t>
            </w:r>
            <w:r>
              <w:rPr>
                <w:rFonts w:ascii="Arial" w:hAnsi="Arial" w:cs="Arial"/>
                <w:sz w:val="16"/>
                <w:szCs w:val="16"/>
              </w:rPr>
              <w:t xml:space="preserve"> 250</w:t>
            </w:r>
            <w:r w:rsidR="0093099D">
              <w:rPr>
                <w:rFonts w:ascii="Arial" w:hAnsi="Arial" w:cs="Arial"/>
                <w:sz w:val="16"/>
                <w:szCs w:val="16"/>
              </w:rPr>
              <w:t xml:space="preserve"> (13</w:t>
            </w:r>
            <w:r w:rsidR="000F3295">
              <w:rPr>
                <w:rFonts w:ascii="Arial" w:hAnsi="Arial" w:cs="Arial"/>
                <w:sz w:val="16"/>
                <w:szCs w:val="16"/>
              </w:rPr>
              <w:t>8</w:t>
            </w:r>
            <w:r w:rsidR="0093099D">
              <w:rPr>
                <w:rFonts w:ascii="Arial" w:hAnsi="Arial" w:cs="Arial"/>
                <w:sz w:val="16"/>
                <w:szCs w:val="16"/>
              </w:rPr>
              <w:t>)</w:t>
            </w:r>
          </w:p>
        </w:tc>
        <w:tc>
          <w:tcPr>
            <w:tcW w:w="1226" w:type="dxa"/>
            <w:vAlign w:val="center"/>
          </w:tcPr>
          <w:p w14:paraId="17DE7CCA" w14:textId="3CD05D2B" w:rsidR="007D4239" w:rsidRPr="00F31685" w:rsidRDefault="007D4239" w:rsidP="00356A90">
            <w:pPr>
              <w:spacing w:line="300" w:lineRule="atLeast"/>
              <w:jc w:val="center"/>
              <w:rPr>
                <w:rFonts w:ascii="Arial" w:hAnsi="Arial" w:cs="Arial"/>
                <w:sz w:val="16"/>
                <w:szCs w:val="16"/>
              </w:rPr>
            </w:pPr>
            <w:r>
              <w:rPr>
                <w:rFonts w:ascii="Arial" w:hAnsi="Arial" w:cs="Arial"/>
                <w:sz w:val="16"/>
                <w:szCs w:val="16"/>
              </w:rPr>
              <w:t>0.25 – 2.5</w:t>
            </w:r>
            <w:r w:rsidR="0093099D">
              <w:rPr>
                <w:rFonts w:ascii="Arial" w:hAnsi="Arial" w:cs="Arial"/>
                <w:sz w:val="16"/>
                <w:szCs w:val="16"/>
              </w:rPr>
              <w:t xml:space="preserve"> (1.3</w:t>
            </w:r>
            <w:r w:rsidR="000F3295">
              <w:rPr>
                <w:rFonts w:ascii="Arial" w:hAnsi="Arial" w:cs="Arial"/>
                <w:sz w:val="16"/>
                <w:szCs w:val="16"/>
              </w:rPr>
              <w:t>8</w:t>
            </w:r>
            <w:r w:rsidR="0093099D">
              <w:rPr>
                <w:rFonts w:ascii="Arial" w:hAnsi="Arial" w:cs="Arial"/>
                <w:sz w:val="16"/>
                <w:szCs w:val="16"/>
              </w:rPr>
              <w:t>)</w:t>
            </w:r>
          </w:p>
        </w:tc>
        <w:tc>
          <w:tcPr>
            <w:tcW w:w="1570" w:type="dxa"/>
            <w:vAlign w:val="center"/>
          </w:tcPr>
          <w:p w14:paraId="4D660169" w14:textId="388B5CCD" w:rsidR="007D4239" w:rsidRPr="00F31685" w:rsidRDefault="007D4239" w:rsidP="007D4239">
            <w:pPr>
              <w:spacing w:line="300" w:lineRule="atLeast"/>
              <w:jc w:val="center"/>
              <w:rPr>
                <w:rFonts w:ascii="Arial" w:hAnsi="Arial" w:cs="Arial"/>
                <w:sz w:val="16"/>
                <w:szCs w:val="16"/>
              </w:rPr>
            </w:pPr>
            <w:r>
              <w:rPr>
                <w:rFonts w:ascii="Arial" w:hAnsi="Arial" w:cs="Arial"/>
                <w:sz w:val="16"/>
                <w:szCs w:val="16"/>
              </w:rPr>
              <w:t>2,475 – 24,748</w:t>
            </w:r>
            <w:r w:rsidR="0093099D">
              <w:rPr>
                <w:rFonts w:ascii="Arial" w:hAnsi="Arial" w:cs="Arial"/>
                <w:sz w:val="16"/>
                <w:szCs w:val="16"/>
              </w:rPr>
              <w:t xml:space="preserve"> (13,611)</w:t>
            </w:r>
          </w:p>
        </w:tc>
      </w:tr>
      <w:tr w:rsidR="00430120" w14:paraId="70C6963A" w14:textId="77777777" w:rsidTr="002F2C6D">
        <w:tc>
          <w:tcPr>
            <w:tcW w:w="1340" w:type="dxa"/>
            <w:vAlign w:val="center"/>
          </w:tcPr>
          <w:p w14:paraId="0801C2A4" w14:textId="77777777" w:rsidR="00430120" w:rsidRDefault="00430120" w:rsidP="00DC1F1B">
            <w:pPr>
              <w:spacing w:line="300" w:lineRule="atLeast"/>
              <w:rPr>
                <w:rFonts w:ascii="Arial" w:hAnsi="Arial" w:cs="Arial"/>
                <w:sz w:val="16"/>
                <w:szCs w:val="16"/>
              </w:rPr>
            </w:pPr>
            <w:r>
              <w:rPr>
                <w:rFonts w:ascii="Arial" w:hAnsi="Arial" w:cs="Arial"/>
                <w:sz w:val="16"/>
                <w:szCs w:val="16"/>
              </w:rPr>
              <w:t>Landfilling of wastes, 2016</w:t>
            </w:r>
          </w:p>
        </w:tc>
        <w:tc>
          <w:tcPr>
            <w:tcW w:w="1238" w:type="dxa"/>
            <w:vAlign w:val="center"/>
          </w:tcPr>
          <w:p w14:paraId="4694CA92" w14:textId="77777777" w:rsidR="00430120" w:rsidRPr="00800EF1" w:rsidRDefault="00430120" w:rsidP="00430120">
            <w:pPr>
              <w:spacing w:line="300" w:lineRule="atLeast"/>
              <w:jc w:val="center"/>
              <w:rPr>
                <w:rFonts w:ascii="Arial" w:hAnsi="Arial" w:cs="Arial"/>
                <w:sz w:val="16"/>
                <w:szCs w:val="16"/>
                <w:vertAlign w:val="superscript"/>
              </w:rPr>
            </w:pPr>
            <w:r>
              <w:rPr>
                <w:rFonts w:ascii="Arial" w:hAnsi="Arial" w:cs="Arial"/>
                <w:sz w:val="16"/>
                <w:szCs w:val="16"/>
              </w:rPr>
              <w:t>3.41 x 10</w:t>
            </w:r>
            <w:r>
              <w:rPr>
                <w:rFonts w:ascii="Arial" w:hAnsi="Arial" w:cs="Arial"/>
                <w:sz w:val="16"/>
                <w:szCs w:val="16"/>
                <w:vertAlign w:val="superscript"/>
              </w:rPr>
              <w:t>6</w:t>
            </w:r>
          </w:p>
        </w:tc>
        <w:tc>
          <w:tcPr>
            <w:tcW w:w="1126" w:type="dxa"/>
            <w:vAlign w:val="center"/>
          </w:tcPr>
          <w:p w14:paraId="552C1755" w14:textId="5FDB88C7" w:rsidR="00430120" w:rsidRDefault="00430120" w:rsidP="00430120">
            <w:pPr>
              <w:spacing w:line="300" w:lineRule="atLeast"/>
              <w:jc w:val="center"/>
              <w:rPr>
                <w:rFonts w:ascii="Arial" w:hAnsi="Arial" w:cs="Arial"/>
                <w:sz w:val="16"/>
                <w:szCs w:val="16"/>
              </w:rPr>
            </w:pPr>
            <w:r>
              <w:rPr>
                <w:rFonts w:ascii="Arial" w:hAnsi="Arial" w:cs="Arial"/>
                <w:sz w:val="16"/>
                <w:szCs w:val="16"/>
              </w:rPr>
              <w:t xml:space="preserve">1 </w:t>
            </w:r>
            <w:r w:rsidR="00B53F85">
              <w:rPr>
                <w:rFonts w:ascii="Arial" w:hAnsi="Arial" w:cs="Arial"/>
                <w:sz w:val="16"/>
                <w:szCs w:val="16"/>
              </w:rPr>
              <w:t>–</w:t>
            </w:r>
            <w:r>
              <w:rPr>
                <w:rFonts w:ascii="Arial" w:hAnsi="Arial" w:cs="Arial"/>
                <w:sz w:val="16"/>
                <w:szCs w:val="16"/>
              </w:rPr>
              <w:t xml:space="preserve"> 10</w:t>
            </w:r>
          </w:p>
        </w:tc>
        <w:tc>
          <w:tcPr>
            <w:tcW w:w="1394" w:type="dxa"/>
            <w:vAlign w:val="center"/>
          </w:tcPr>
          <w:p w14:paraId="1787FEFC" w14:textId="77777777" w:rsidR="00430120" w:rsidRDefault="00430120" w:rsidP="00430120">
            <w:pPr>
              <w:spacing w:line="300" w:lineRule="atLeast"/>
              <w:jc w:val="center"/>
              <w:rPr>
                <w:rFonts w:ascii="Arial" w:hAnsi="Arial" w:cs="Arial"/>
                <w:sz w:val="16"/>
                <w:szCs w:val="16"/>
              </w:rPr>
            </w:pPr>
            <w:r>
              <w:rPr>
                <w:rFonts w:ascii="Arial" w:hAnsi="Arial" w:cs="Arial"/>
                <w:sz w:val="16"/>
                <w:szCs w:val="16"/>
              </w:rPr>
              <w:t>3,410 – 34,100 (18,755)</w:t>
            </w:r>
          </w:p>
        </w:tc>
        <w:tc>
          <w:tcPr>
            <w:tcW w:w="1173" w:type="dxa"/>
            <w:vAlign w:val="center"/>
          </w:tcPr>
          <w:p w14:paraId="574DBAA0" w14:textId="72A75232" w:rsidR="00430120" w:rsidRDefault="00475228" w:rsidP="00430120">
            <w:pPr>
              <w:spacing w:line="300" w:lineRule="atLeast"/>
              <w:jc w:val="center"/>
              <w:rPr>
                <w:rFonts w:ascii="Arial" w:hAnsi="Arial" w:cs="Arial"/>
                <w:sz w:val="16"/>
                <w:szCs w:val="16"/>
              </w:rPr>
            </w:pPr>
            <w:r>
              <w:rPr>
                <w:rFonts w:ascii="Arial" w:hAnsi="Arial" w:cs="Arial"/>
                <w:sz w:val="16"/>
                <w:szCs w:val="16"/>
              </w:rPr>
              <w:t>34 – 341 (187.6</w:t>
            </w:r>
            <w:r w:rsidR="00430120">
              <w:rPr>
                <w:rFonts w:ascii="Arial" w:hAnsi="Arial" w:cs="Arial"/>
                <w:sz w:val="16"/>
                <w:szCs w:val="16"/>
              </w:rPr>
              <w:t>)</w:t>
            </w:r>
          </w:p>
        </w:tc>
        <w:tc>
          <w:tcPr>
            <w:tcW w:w="1226" w:type="dxa"/>
            <w:vAlign w:val="center"/>
          </w:tcPr>
          <w:p w14:paraId="5BFD64FD" w14:textId="1504204C" w:rsidR="00430120" w:rsidRDefault="00430120" w:rsidP="00430120">
            <w:pPr>
              <w:spacing w:line="300" w:lineRule="atLeast"/>
              <w:jc w:val="center"/>
              <w:rPr>
                <w:rFonts w:ascii="Arial" w:hAnsi="Arial" w:cs="Arial"/>
                <w:sz w:val="16"/>
                <w:szCs w:val="16"/>
              </w:rPr>
            </w:pPr>
            <w:r>
              <w:rPr>
                <w:rFonts w:ascii="Arial" w:hAnsi="Arial" w:cs="Arial"/>
                <w:sz w:val="16"/>
                <w:szCs w:val="16"/>
              </w:rPr>
              <w:t>0.34 –</w:t>
            </w:r>
            <w:r w:rsidR="00477E79">
              <w:rPr>
                <w:rFonts w:ascii="Arial" w:hAnsi="Arial" w:cs="Arial"/>
                <w:sz w:val="16"/>
                <w:szCs w:val="16"/>
              </w:rPr>
              <w:t xml:space="preserve"> 3.4</w:t>
            </w:r>
            <w:r w:rsidR="006F0863">
              <w:rPr>
                <w:rFonts w:ascii="Arial" w:hAnsi="Arial" w:cs="Arial"/>
                <w:sz w:val="16"/>
                <w:szCs w:val="16"/>
              </w:rPr>
              <w:t>1</w:t>
            </w:r>
            <w:r w:rsidR="00475228">
              <w:rPr>
                <w:rFonts w:ascii="Arial" w:hAnsi="Arial" w:cs="Arial"/>
                <w:sz w:val="16"/>
                <w:szCs w:val="16"/>
              </w:rPr>
              <w:t xml:space="preserve"> (1.9</w:t>
            </w:r>
            <w:r>
              <w:rPr>
                <w:rFonts w:ascii="Arial" w:hAnsi="Arial" w:cs="Arial"/>
                <w:sz w:val="16"/>
                <w:szCs w:val="16"/>
              </w:rPr>
              <w:t>)</w:t>
            </w:r>
          </w:p>
        </w:tc>
        <w:tc>
          <w:tcPr>
            <w:tcW w:w="1570" w:type="dxa"/>
            <w:vAlign w:val="center"/>
          </w:tcPr>
          <w:p w14:paraId="23182816" w14:textId="44D36956" w:rsidR="00430120" w:rsidRDefault="00430120" w:rsidP="00430120">
            <w:pPr>
              <w:spacing w:line="300" w:lineRule="atLeast"/>
              <w:jc w:val="center"/>
              <w:rPr>
                <w:rFonts w:ascii="Arial" w:hAnsi="Arial" w:cs="Arial"/>
                <w:sz w:val="16"/>
                <w:szCs w:val="16"/>
              </w:rPr>
            </w:pPr>
            <w:r>
              <w:rPr>
                <w:rFonts w:ascii="Arial" w:hAnsi="Arial" w:cs="Arial"/>
                <w:sz w:val="16"/>
                <w:szCs w:val="16"/>
              </w:rPr>
              <w:t>3,375.6 – 33,756</w:t>
            </w:r>
            <w:r w:rsidR="00C3085E">
              <w:rPr>
                <w:rFonts w:ascii="Arial" w:hAnsi="Arial" w:cs="Arial"/>
                <w:sz w:val="16"/>
                <w:szCs w:val="16"/>
              </w:rPr>
              <w:t xml:space="preserve"> (18,56</w:t>
            </w:r>
            <w:r w:rsidR="000F3295">
              <w:rPr>
                <w:rFonts w:ascii="Arial" w:hAnsi="Arial" w:cs="Arial"/>
                <w:sz w:val="16"/>
                <w:szCs w:val="16"/>
              </w:rPr>
              <w:t>6</w:t>
            </w:r>
            <w:r w:rsidR="00C3085E">
              <w:rPr>
                <w:rFonts w:ascii="Arial" w:hAnsi="Arial" w:cs="Arial"/>
                <w:sz w:val="16"/>
                <w:szCs w:val="16"/>
              </w:rPr>
              <w:t>)</w:t>
            </w:r>
          </w:p>
        </w:tc>
      </w:tr>
      <w:tr w:rsidR="00580C3F" w14:paraId="4E777AFC" w14:textId="77777777" w:rsidTr="002F2C6D">
        <w:tc>
          <w:tcPr>
            <w:tcW w:w="1340" w:type="dxa"/>
            <w:vAlign w:val="center"/>
          </w:tcPr>
          <w:p w14:paraId="0ABB9ED6" w14:textId="5AF17961" w:rsidR="00580C3F" w:rsidRDefault="00580C3F" w:rsidP="00DC1F1B">
            <w:pPr>
              <w:spacing w:line="300" w:lineRule="atLeast"/>
              <w:rPr>
                <w:rFonts w:ascii="Arial" w:hAnsi="Arial" w:cs="Arial"/>
                <w:sz w:val="16"/>
                <w:szCs w:val="16"/>
              </w:rPr>
            </w:pPr>
            <w:r>
              <w:rPr>
                <w:rFonts w:ascii="Arial" w:hAnsi="Arial" w:cs="Arial"/>
                <w:sz w:val="16"/>
                <w:szCs w:val="16"/>
              </w:rPr>
              <w:t>Landfilling of wastes, 2020</w:t>
            </w:r>
          </w:p>
        </w:tc>
        <w:tc>
          <w:tcPr>
            <w:tcW w:w="1238" w:type="dxa"/>
            <w:vAlign w:val="center"/>
          </w:tcPr>
          <w:p w14:paraId="5AC92094" w14:textId="160856E5" w:rsidR="00580C3F" w:rsidRDefault="00580C3F" w:rsidP="00430120">
            <w:pPr>
              <w:spacing w:line="300" w:lineRule="atLeast"/>
              <w:jc w:val="center"/>
              <w:rPr>
                <w:rFonts w:ascii="Arial" w:hAnsi="Arial" w:cs="Arial"/>
                <w:sz w:val="16"/>
                <w:szCs w:val="16"/>
              </w:rPr>
            </w:pPr>
            <w:r>
              <w:rPr>
                <w:rFonts w:ascii="Arial" w:hAnsi="Arial" w:cs="Arial"/>
                <w:sz w:val="16"/>
                <w:szCs w:val="16"/>
              </w:rPr>
              <w:t>3.45 x 10</w:t>
            </w:r>
            <w:r>
              <w:rPr>
                <w:rFonts w:ascii="Arial" w:hAnsi="Arial" w:cs="Arial"/>
                <w:sz w:val="16"/>
                <w:szCs w:val="16"/>
                <w:vertAlign w:val="superscript"/>
              </w:rPr>
              <w:t>6</w:t>
            </w:r>
            <w:r>
              <w:rPr>
                <w:rFonts w:ascii="Arial" w:hAnsi="Arial" w:cs="Arial"/>
                <w:sz w:val="16"/>
                <w:szCs w:val="16"/>
              </w:rPr>
              <w:t xml:space="preserve"> </w:t>
            </w:r>
          </w:p>
        </w:tc>
        <w:tc>
          <w:tcPr>
            <w:tcW w:w="1126" w:type="dxa"/>
            <w:vAlign w:val="center"/>
          </w:tcPr>
          <w:p w14:paraId="70F3A761" w14:textId="1B7CFF70" w:rsidR="00580C3F" w:rsidRDefault="00580C3F" w:rsidP="00430120">
            <w:pPr>
              <w:spacing w:line="300" w:lineRule="atLeast"/>
              <w:jc w:val="center"/>
              <w:rPr>
                <w:rFonts w:ascii="Arial" w:hAnsi="Arial" w:cs="Arial"/>
                <w:sz w:val="16"/>
                <w:szCs w:val="16"/>
              </w:rPr>
            </w:pPr>
            <w:r>
              <w:rPr>
                <w:rFonts w:ascii="Arial" w:hAnsi="Arial" w:cs="Arial"/>
                <w:sz w:val="16"/>
                <w:szCs w:val="16"/>
              </w:rPr>
              <w:t xml:space="preserve">1 </w:t>
            </w:r>
          </w:p>
        </w:tc>
        <w:tc>
          <w:tcPr>
            <w:tcW w:w="1394" w:type="dxa"/>
            <w:vAlign w:val="center"/>
          </w:tcPr>
          <w:p w14:paraId="4E69175E" w14:textId="69FEC5BE" w:rsidR="00580C3F" w:rsidRPr="00B53F85" w:rsidRDefault="0026001D" w:rsidP="00430120">
            <w:pPr>
              <w:spacing w:line="300" w:lineRule="atLeast"/>
              <w:jc w:val="center"/>
              <w:rPr>
                <w:rFonts w:ascii="Arial" w:hAnsi="Arial" w:cs="Arial"/>
                <w:sz w:val="16"/>
                <w:szCs w:val="16"/>
              </w:rPr>
            </w:pPr>
            <w:r w:rsidRPr="00B53F85">
              <w:rPr>
                <w:rFonts w:ascii="Arial" w:hAnsi="Arial" w:cs="Arial"/>
                <w:sz w:val="16"/>
                <w:szCs w:val="16"/>
              </w:rPr>
              <w:t>3,450</w:t>
            </w:r>
          </w:p>
        </w:tc>
        <w:tc>
          <w:tcPr>
            <w:tcW w:w="1173" w:type="dxa"/>
            <w:vAlign w:val="center"/>
          </w:tcPr>
          <w:p w14:paraId="30B256FA" w14:textId="6B6C0371" w:rsidR="00580C3F" w:rsidRPr="00E34110" w:rsidRDefault="0026001D" w:rsidP="00430120">
            <w:pPr>
              <w:spacing w:line="300" w:lineRule="atLeast"/>
              <w:jc w:val="center"/>
              <w:rPr>
                <w:rFonts w:ascii="Arial" w:hAnsi="Arial" w:cs="Arial"/>
                <w:sz w:val="16"/>
                <w:szCs w:val="16"/>
                <w:highlight w:val="yellow"/>
              </w:rPr>
            </w:pPr>
            <w:r w:rsidRPr="00B53F85">
              <w:rPr>
                <w:rFonts w:ascii="Arial" w:hAnsi="Arial" w:cs="Arial"/>
                <w:sz w:val="16"/>
                <w:szCs w:val="16"/>
              </w:rPr>
              <w:t>3</w:t>
            </w:r>
            <w:r w:rsidR="00697310" w:rsidRPr="00B53F85">
              <w:rPr>
                <w:rFonts w:ascii="Arial" w:hAnsi="Arial" w:cs="Arial"/>
                <w:sz w:val="16"/>
                <w:szCs w:val="16"/>
              </w:rPr>
              <w:t>4.5</w:t>
            </w:r>
          </w:p>
        </w:tc>
        <w:tc>
          <w:tcPr>
            <w:tcW w:w="1226" w:type="dxa"/>
            <w:vAlign w:val="center"/>
          </w:tcPr>
          <w:p w14:paraId="44BF88E4" w14:textId="589FEF6A" w:rsidR="00580C3F" w:rsidRPr="00B53F85" w:rsidRDefault="0026001D" w:rsidP="00430120">
            <w:pPr>
              <w:spacing w:line="300" w:lineRule="atLeast"/>
              <w:jc w:val="center"/>
              <w:rPr>
                <w:rFonts w:ascii="Arial" w:hAnsi="Arial" w:cs="Arial"/>
                <w:sz w:val="16"/>
                <w:szCs w:val="16"/>
              </w:rPr>
            </w:pPr>
            <w:r w:rsidRPr="00B53F85">
              <w:rPr>
                <w:rFonts w:ascii="Arial" w:hAnsi="Arial" w:cs="Arial"/>
                <w:sz w:val="16"/>
                <w:szCs w:val="16"/>
              </w:rPr>
              <w:t>0.3</w:t>
            </w:r>
            <w:r w:rsidR="008A52F2">
              <w:rPr>
                <w:rFonts w:ascii="Arial" w:hAnsi="Arial" w:cs="Arial"/>
                <w:sz w:val="16"/>
                <w:szCs w:val="16"/>
              </w:rPr>
              <w:t>45</w:t>
            </w:r>
          </w:p>
        </w:tc>
        <w:tc>
          <w:tcPr>
            <w:tcW w:w="1570" w:type="dxa"/>
            <w:vAlign w:val="center"/>
          </w:tcPr>
          <w:p w14:paraId="02F36507" w14:textId="745B8D21" w:rsidR="00580C3F" w:rsidRPr="00B53F85" w:rsidRDefault="004C790C" w:rsidP="00430120">
            <w:pPr>
              <w:spacing w:line="300" w:lineRule="atLeast"/>
              <w:jc w:val="center"/>
              <w:rPr>
                <w:rFonts w:ascii="Arial" w:hAnsi="Arial" w:cs="Arial"/>
                <w:sz w:val="16"/>
                <w:szCs w:val="16"/>
              </w:rPr>
            </w:pPr>
            <w:r>
              <w:rPr>
                <w:rFonts w:ascii="Arial" w:hAnsi="Arial" w:cs="Arial"/>
                <w:sz w:val="16"/>
                <w:szCs w:val="16"/>
              </w:rPr>
              <w:t>3,415</w:t>
            </w:r>
          </w:p>
        </w:tc>
      </w:tr>
      <w:tr w:rsidR="004D0652" w14:paraId="059D9736" w14:textId="77777777" w:rsidTr="002F2C6D">
        <w:tc>
          <w:tcPr>
            <w:tcW w:w="1340" w:type="dxa"/>
            <w:vAlign w:val="center"/>
          </w:tcPr>
          <w:p w14:paraId="7071FB17" w14:textId="5C2EF771" w:rsidR="004D0652" w:rsidRDefault="004D0652" w:rsidP="00DC1F1B">
            <w:pPr>
              <w:spacing w:line="300" w:lineRule="atLeast"/>
              <w:rPr>
                <w:rFonts w:ascii="Arial" w:hAnsi="Arial" w:cs="Arial"/>
                <w:sz w:val="16"/>
                <w:szCs w:val="16"/>
              </w:rPr>
            </w:pPr>
            <w:r>
              <w:rPr>
                <w:rFonts w:ascii="Arial" w:hAnsi="Arial" w:cs="Arial"/>
                <w:sz w:val="16"/>
                <w:szCs w:val="16"/>
              </w:rPr>
              <w:t>Landfilling of wastes, 2024</w:t>
            </w:r>
          </w:p>
        </w:tc>
        <w:tc>
          <w:tcPr>
            <w:tcW w:w="1238" w:type="dxa"/>
            <w:vAlign w:val="center"/>
          </w:tcPr>
          <w:p w14:paraId="5FBA8E26" w14:textId="7BC21394" w:rsidR="004D0652" w:rsidRDefault="004D0652" w:rsidP="00430120">
            <w:pPr>
              <w:spacing w:line="300" w:lineRule="atLeast"/>
              <w:jc w:val="center"/>
              <w:rPr>
                <w:rFonts w:ascii="Arial" w:hAnsi="Arial" w:cs="Arial"/>
                <w:sz w:val="16"/>
                <w:szCs w:val="16"/>
              </w:rPr>
            </w:pPr>
            <w:r>
              <w:rPr>
                <w:rFonts w:ascii="Arial" w:hAnsi="Arial" w:cs="Arial"/>
                <w:sz w:val="16"/>
                <w:szCs w:val="16"/>
              </w:rPr>
              <w:t>3.03 x 10</w:t>
            </w:r>
            <w:r>
              <w:rPr>
                <w:rFonts w:ascii="Arial" w:hAnsi="Arial" w:cs="Arial"/>
                <w:sz w:val="16"/>
                <w:szCs w:val="16"/>
                <w:vertAlign w:val="superscript"/>
              </w:rPr>
              <w:t>6</w:t>
            </w:r>
          </w:p>
        </w:tc>
        <w:tc>
          <w:tcPr>
            <w:tcW w:w="1126" w:type="dxa"/>
            <w:vAlign w:val="center"/>
          </w:tcPr>
          <w:p w14:paraId="12EC3E1F" w14:textId="79D33C6A" w:rsidR="004D0652" w:rsidRDefault="004D0652" w:rsidP="00430120">
            <w:pPr>
              <w:spacing w:line="300" w:lineRule="atLeast"/>
              <w:jc w:val="center"/>
              <w:rPr>
                <w:rFonts w:ascii="Arial" w:hAnsi="Arial" w:cs="Arial"/>
                <w:sz w:val="16"/>
                <w:szCs w:val="16"/>
              </w:rPr>
            </w:pPr>
            <w:r>
              <w:rPr>
                <w:rFonts w:ascii="Arial" w:hAnsi="Arial" w:cs="Arial"/>
                <w:sz w:val="16"/>
                <w:szCs w:val="16"/>
              </w:rPr>
              <w:t>1</w:t>
            </w:r>
          </w:p>
        </w:tc>
        <w:tc>
          <w:tcPr>
            <w:tcW w:w="1394" w:type="dxa"/>
            <w:vAlign w:val="center"/>
          </w:tcPr>
          <w:p w14:paraId="0C17D779" w14:textId="55F8F9D4" w:rsidR="004D0652" w:rsidRPr="00B53F85" w:rsidRDefault="004D0652" w:rsidP="00430120">
            <w:pPr>
              <w:spacing w:line="300" w:lineRule="atLeast"/>
              <w:jc w:val="center"/>
              <w:rPr>
                <w:rFonts w:ascii="Arial" w:hAnsi="Arial" w:cs="Arial"/>
                <w:sz w:val="16"/>
                <w:szCs w:val="16"/>
              </w:rPr>
            </w:pPr>
            <w:r>
              <w:rPr>
                <w:rFonts w:ascii="Arial" w:hAnsi="Arial" w:cs="Arial"/>
                <w:sz w:val="16"/>
                <w:szCs w:val="16"/>
              </w:rPr>
              <w:t>3,029</w:t>
            </w:r>
          </w:p>
        </w:tc>
        <w:tc>
          <w:tcPr>
            <w:tcW w:w="1173" w:type="dxa"/>
            <w:vAlign w:val="center"/>
          </w:tcPr>
          <w:p w14:paraId="09B1F6E1" w14:textId="1A7FC44B" w:rsidR="004D0652" w:rsidRPr="00B53F85" w:rsidRDefault="004D0652" w:rsidP="00430120">
            <w:pPr>
              <w:spacing w:line="300" w:lineRule="atLeast"/>
              <w:jc w:val="center"/>
              <w:rPr>
                <w:rFonts w:ascii="Arial" w:hAnsi="Arial" w:cs="Arial"/>
                <w:sz w:val="16"/>
                <w:szCs w:val="16"/>
              </w:rPr>
            </w:pPr>
            <w:r>
              <w:rPr>
                <w:rFonts w:ascii="Arial" w:hAnsi="Arial" w:cs="Arial"/>
                <w:sz w:val="16"/>
                <w:szCs w:val="16"/>
              </w:rPr>
              <w:t>30.29</w:t>
            </w:r>
          </w:p>
        </w:tc>
        <w:tc>
          <w:tcPr>
            <w:tcW w:w="1226" w:type="dxa"/>
            <w:vAlign w:val="center"/>
          </w:tcPr>
          <w:p w14:paraId="0B58D8E1" w14:textId="391366B2" w:rsidR="004D0652" w:rsidRPr="00B53F85" w:rsidRDefault="004D0652" w:rsidP="00430120">
            <w:pPr>
              <w:spacing w:line="300" w:lineRule="atLeast"/>
              <w:jc w:val="center"/>
              <w:rPr>
                <w:rFonts w:ascii="Arial" w:hAnsi="Arial" w:cs="Arial"/>
                <w:sz w:val="16"/>
                <w:szCs w:val="16"/>
              </w:rPr>
            </w:pPr>
            <w:r>
              <w:rPr>
                <w:rFonts w:ascii="Arial" w:hAnsi="Arial" w:cs="Arial"/>
                <w:sz w:val="16"/>
                <w:szCs w:val="16"/>
              </w:rPr>
              <w:t>0.303</w:t>
            </w:r>
          </w:p>
        </w:tc>
        <w:tc>
          <w:tcPr>
            <w:tcW w:w="1570" w:type="dxa"/>
            <w:vAlign w:val="center"/>
          </w:tcPr>
          <w:p w14:paraId="6A84D99F" w14:textId="510EDE82" w:rsidR="004D0652" w:rsidRDefault="00F14246" w:rsidP="00430120">
            <w:pPr>
              <w:spacing w:line="300" w:lineRule="atLeast"/>
              <w:jc w:val="center"/>
              <w:rPr>
                <w:rFonts w:ascii="Arial" w:hAnsi="Arial" w:cs="Arial"/>
                <w:sz w:val="16"/>
                <w:szCs w:val="16"/>
              </w:rPr>
            </w:pPr>
            <w:r>
              <w:rPr>
                <w:rFonts w:ascii="Arial" w:hAnsi="Arial" w:cs="Arial"/>
                <w:sz w:val="16"/>
                <w:szCs w:val="16"/>
              </w:rPr>
              <w:t>2998</w:t>
            </w:r>
          </w:p>
        </w:tc>
      </w:tr>
    </w:tbl>
    <w:p w14:paraId="0D7E1ECB" w14:textId="4C0DD443" w:rsidR="007D4239" w:rsidRPr="00BE17CF" w:rsidRDefault="007D4239" w:rsidP="007D4239">
      <w:pPr>
        <w:spacing w:before="240" w:line="300" w:lineRule="atLeast"/>
        <w:jc w:val="both"/>
        <w:rPr>
          <w:rFonts w:ascii="Arial" w:hAnsi="Arial" w:cs="Arial"/>
          <w:b/>
          <w:szCs w:val="18"/>
        </w:rPr>
      </w:pPr>
      <w:r w:rsidRPr="00BE17CF">
        <w:rPr>
          <w:rFonts w:ascii="Arial" w:hAnsi="Arial" w:cs="Arial"/>
          <w:b/>
          <w:szCs w:val="18"/>
        </w:rPr>
        <w:t>Certainty assessment</w:t>
      </w:r>
    </w:p>
    <w:p w14:paraId="3A6FFEA1" w14:textId="77777777" w:rsidR="007D4239" w:rsidRDefault="007D4239" w:rsidP="007D4239">
      <w:pPr>
        <w:tabs>
          <w:tab w:val="left" w:pos="1985"/>
        </w:tabs>
        <w:spacing w:line="300" w:lineRule="atLeast"/>
        <w:jc w:val="both"/>
        <w:rPr>
          <w:szCs w:val="18"/>
        </w:rPr>
      </w:pPr>
      <w:r>
        <w:rPr>
          <w:szCs w:val="18"/>
        </w:rPr>
        <w:t xml:space="preserve">Activity data: </w:t>
      </w:r>
      <w:r>
        <w:rPr>
          <w:szCs w:val="18"/>
        </w:rPr>
        <w:tab/>
        <w:t>HIGH (because it is based on national levy data)</w:t>
      </w:r>
    </w:p>
    <w:p w14:paraId="758838C2" w14:textId="77777777" w:rsidR="007D4239" w:rsidRDefault="007D4239" w:rsidP="007D4239">
      <w:pPr>
        <w:tabs>
          <w:tab w:val="left" w:pos="1985"/>
        </w:tabs>
        <w:spacing w:line="300" w:lineRule="atLeast"/>
        <w:jc w:val="both"/>
        <w:rPr>
          <w:szCs w:val="18"/>
        </w:rPr>
      </w:pPr>
      <w:r>
        <w:rPr>
          <w:szCs w:val="18"/>
        </w:rPr>
        <w:t xml:space="preserve">Input estimates: </w:t>
      </w:r>
      <w:r>
        <w:rPr>
          <w:szCs w:val="18"/>
        </w:rPr>
        <w:tab/>
        <w:t>LOW</w:t>
      </w:r>
      <w:r w:rsidRPr="00CE3E59">
        <w:rPr>
          <w:szCs w:val="18"/>
        </w:rPr>
        <w:t xml:space="preserve"> </w:t>
      </w:r>
      <w:r>
        <w:rPr>
          <w:szCs w:val="18"/>
        </w:rPr>
        <w:t xml:space="preserve">(because </w:t>
      </w:r>
      <w:r w:rsidRPr="007D4239">
        <w:rPr>
          <w:szCs w:val="18"/>
        </w:rPr>
        <w:t xml:space="preserve">they are based on the default Toolkit </w:t>
      </w:r>
      <w:r w:rsidR="0044700D">
        <w:rPr>
          <w:szCs w:val="18"/>
        </w:rPr>
        <w:t>in</w:t>
      </w:r>
      <w:r w:rsidRPr="007D4239">
        <w:rPr>
          <w:szCs w:val="18"/>
        </w:rPr>
        <w:t>put factors</w:t>
      </w:r>
      <w:r>
        <w:rPr>
          <w:szCs w:val="18"/>
        </w:rPr>
        <w:t>)</w:t>
      </w:r>
    </w:p>
    <w:p w14:paraId="05F65541" w14:textId="77777777" w:rsidR="007D4239" w:rsidRPr="0028681C" w:rsidRDefault="007D4239" w:rsidP="007D4239">
      <w:pPr>
        <w:tabs>
          <w:tab w:val="left" w:pos="1985"/>
        </w:tabs>
        <w:spacing w:line="300" w:lineRule="atLeast"/>
        <w:jc w:val="both"/>
        <w:rPr>
          <w:szCs w:val="18"/>
        </w:rPr>
      </w:pPr>
      <w:r>
        <w:rPr>
          <w:szCs w:val="18"/>
        </w:rPr>
        <w:t xml:space="preserve">Output estimates: </w:t>
      </w:r>
      <w:r>
        <w:rPr>
          <w:szCs w:val="18"/>
        </w:rPr>
        <w:tab/>
        <w:t>LOW (because they are based on the default Toolkit output factors).</w:t>
      </w:r>
    </w:p>
    <w:p w14:paraId="56314BF2" w14:textId="77777777" w:rsidR="00E27748" w:rsidRDefault="00A37DEF" w:rsidP="00A37DEF">
      <w:pPr>
        <w:pStyle w:val="Heading2"/>
      </w:pPr>
      <w:bookmarkStart w:id="157" w:name="_Toc110355569"/>
      <w:r>
        <w:t>Diffuse deposition, informal disposal and dumping</w:t>
      </w:r>
      <w:bookmarkEnd w:id="157"/>
    </w:p>
    <w:p w14:paraId="3C3B58A2" w14:textId="77777777" w:rsidR="00626EE1" w:rsidRDefault="00A37DEF" w:rsidP="003833D6">
      <w:pPr>
        <w:spacing w:line="300" w:lineRule="atLeast"/>
        <w:jc w:val="both"/>
        <w:rPr>
          <w:szCs w:val="18"/>
        </w:rPr>
      </w:pPr>
      <w:r>
        <w:rPr>
          <w:szCs w:val="18"/>
        </w:rPr>
        <w:t xml:space="preserve">These 3 Toolkit sub-categories have not been assessed. </w:t>
      </w:r>
      <w:r w:rsidR="00626EE1">
        <w:rPr>
          <w:szCs w:val="18"/>
        </w:rPr>
        <w:t>The first, controlled diffuse deposition, relates to the use of industrial wastes in road and building foundations</w:t>
      </w:r>
      <w:r w:rsidR="00192A06">
        <w:rPr>
          <w:szCs w:val="18"/>
        </w:rPr>
        <w:t xml:space="preserve">. It is not known whether this occurs </w:t>
      </w:r>
      <w:r w:rsidR="00626EE1">
        <w:rPr>
          <w:szCs w:val="18"/>
        </w:rPr>
        <w:t xml:space="preserve">to any extent within New Zealand, although waste quantities of greater than about 0.5 </w:t>
      </w:r>
      <w:r w:rsidR="00192A06">
        <w:rPr>
          <w:szCs w:val="18"/>
        </w:rPr>
        <w:t xml:space="preserve">tonnes would generally require </w:t>
      </w:r>
      <w:r w:rsidR="00626EE1">
        <w:rPr>
          <w:szCs w:val="18"/>
        </w:rPr>
        <w:t>a resource consent</w:t>
      </w:r>
      <w:r w:rsidR="008F6E88">
        <w:rPr>
          <w:szCs w:val="18"/>
        </w:rPr>
        <w:t xml:space="preserve"> under the RMA</w:t>
      </w:r>
      <w:r w:rsidR="00626EE1">
        <w:rPr>
          <w:szCs w:val="18"/>
        </w:rPr>
        <w:t>.</w:t>
      </w:r>
    </w:p>
    <w:p w14:paraId="4BC410E6" w14:textId="77777777" w:rsidR="00B432F9" w:rsidRDefault="00626EE1" w:rsidP="003833D6">
      <w:pPr>
        <w:spacing w:line="300" w:lineRule="atLeast"/>
        <w:jc w:val="both"/>
        <w:rPr>
          <w:szCs w:val="18"/>
        </w:rPr>
      </w:pPr>
      <w:r>
        <w:rPr>
          <w:szCs w:val="18"/>
        </w:rPr>
        <w:t xml:space="preserve">Informal disposal also relates to industrial wastes, and especially those that may have been dumped in the past without any regulatory control. </w:t>
      </w:r>
      <w:r w:rsidR="00B432F9">
        <w:rPr>
          <w:szCs w:val="18"/>
        </w:rPr>
        <w:t>If this has occurred in New Zealand, the sites should show up in the list of hot-spots (ie</w:t>
      </w:r>
      <w:r w:rsidR="00943293">
        <w:rPr>
          <w:szCs w:val="18"/>
        </w:rPr>
        <w:t>.</w:t>
      </w:r>
      <w:r w:rsidR="00B432F9">
        <w:rPr>
          <w:szCs w:val="18"/>
        </w:rPr>
        <w:t xml:space="preserve"> contaminated sites) discussed in section 13.</w:t>
      </w:r>
    </w:p>
    <w:p w14:paraId="3BC91D6C" w14:textId="77777777" w:rsidR="00E27748" w:rsidRDefault="00B432F9" w:rsidP="003833D6">
      <w:pPr>
        <w:spacing w:line="300" w:lineRule="atLeast"/>
        <w:jc w:val="both"/>
        <w:rPr>
          <w:szCs w:val="18"/>
        </w:rPr>
      </w:pPr>
      <w:r>
        <w:rPr>
          <w:szCs w:val="18"/>
        </w:rPr>
        <w:t>Finally,</w:t>
      </w:r>
      <w:r w:rsidR="00626EE1">
        <w:rPr>
          <w:szCs w:val="18"/>
        </w:rPr>
        <w:t xml:space="preserve"> </w:t>
      </w:r>
      <w:r>
        <w:rPr>
          <w:szCs w:val="18"/>
        </w:rPr>
        <w:t xml:space="preserve">the informal dumping category relates to uncontrolled dumping of general wastes. </w:t>
      </w:r>
      <w:r w:rsidR="00A37DEF">
        <w:rPr>
          <w:szCs w:val="18"/>
        </w:rPr>
        <w:t>There is</w:t>
      </w:r>
      <w:r w:rsidR="00FD1C77">
        <w:rPr>
          <w:szCs w:val="18"/>
        </w:rPr>
        <w:t xml:space="preserve"> almost certainly</w:t>
      </w:r>
      <w:r w:rsidR="00A37DEF">
        <w:rPr>
          <w:szCs w:val="18"/>
        </w:rPr>
        <w:t xml:space="preserve"> some uncontrolled dumping of solid wastes in New Zealand. However, no data is available on the likely extent of any of this.</w:t>
      </w:r>
    </w:p>
    <w:p w14:paraId="2D7A9838" w14:textId="77777777" w:rsidR="00E27748" w:rsidRDefault="00A37DEF" w:rsidP="00A37DEF">
      <w:pPr>
        <w:pStyle w:val="Heading2"/>
      </w:pPr>
      <w:bookmarkStart w:id="158" w:name="_Toc110355570"/>
      <w:r>
        <w:t>Wastewater treatment systems</w:t>
      </w:r>
      <w:bookmarkEnd w:id="158"/>
    </w:p>
    <w:p w14:paraId="532E69F8" w14:textId="1A5D0BCA" w:rsidR="00A37DEF" w:rsidRDefault="0062643C" w:rsidP="0062643C">
      <w:pPr>
        <w:spacing w:line="300" w:lineRule="atLeast"/>
        <w:jc w:val="both"/>
        <w:rPr>
          <w:szCs w:val="18"/>
        </w:rPr>
      </w:pPr>
      <w:r w:rsidRPr="0062643C">
        <w:rPr>
          <w:szCs w:val="18"/>
        </w:rPr>
        <w:t>The most important factors determining</w:t>
      </w:r>
      <w:r w:rsidR="00FD1C77">
        <w:rPr>
          <w:szCs w:val="18"/>
        </w:rPr>
        <w:t xml:space="preserve"> releases of mercury from waste</w:t>
      </w:r>
      <w:r w:rsidRPr="0062643C">
        <w:rPr>
          <w:szCs w:val="18"/>
        </w:rPr>
        <w:t xml:space="preserve">water are the </w:t>
      </w:r>
      <w:r w:rsidR="00437464">
        <w:rPr>
          <w:szCs w:val="18"/>
        </w:rPr>
        <w:t xml:space="preserve">volumes </w:t>
      </w:r>
      <w:r w:rsidRPr="0062643C">
        <w:rPr>
          <w:szCs w:val="18"/>
        </w:rPr>
        <w:t>of mercury-containing wastes that are discharged to the system and the concentration of mercury in</w:t>
      </w:r>
      <w:r>
        <w:rPr>
          <w:szCs w:val="18"/>
        </w:rPr>
        <w:t xml:space="preserve"> </w:t>
      </w:r>
      <w:r w:rsidRPr="0062643C">
        <w:rPr>
          <w:szCs w:val="18"/>
        </w:rPr>
        <w:t>those w</w:t>
      </w:r>
      <w:r w:rsidR="00FD1C77">
        <w:rPr>
          <w:szCs w:val="18"/>
        </w:rPr>
        <w:t>astes. Mercury content in waste</w:t>
      </w:r>
      <w:r w:rsidRPr="0062643C">
        <w:rPr>
          <w:szCs w:val="18"/>
        </w:rPr>
        <w:t>water mainly originates from two source groups: 1) intentionally</w:t>
      </w:r>
      <w:r>
        <w:rPr>
          <w:szCs w:val="18"/>
        </w:rPr>
        <w:t xml:space="preserve"> </w:t>
      </w:r>
      <w:r w:rsidRPr="0062643C">
        <w:rPr>
          <w:szCs w:val="18"/>
        </w:rPr>
        <w:t>used mercury in products and processes (such as from dental amalgams, spillage from thermometers</w:t>
      </w:r>
      <w:r>
        <w:rPr>
          <w:szCs w:val="18"/>
        </w:rPr>
        <w:t xml:space="preserve"> </w:t>
      </w:r>
      <w:r w:rsidRPr="0062643C">
        <w:rPr>
          <w:szCs w:val="18"/>
        </w:rPr>
        <w:t>and other devices, and industrial discharges); and 2) atmospheric mercury washed out by</w:t>
      </w:r>
      <w:r>
        <w:rPr>
          <w:szCs w:val="18"/>
        </w:rPr>
        <w:t xml:space="preserve"> </w:t>
      </w:r>
      <w:r w:rsidRPr="0062643C">
        <w:rPr>
          <w:szCs w:val="18"/>
        </w:rPr>
        <w:t xml:space="preserve">precipitation </w:t>
      </w:r>
      <w:r w:rsidR="00FD1C77">
        <w:rPr>
          <w:szCs w:val="18"/>
        </w:rPr>
        <w:t>and carried in stormwater</w:t>
      </w:r>
      <w:r w:rsidR="000F3295">
        <w:rPr>
          <w:szCs w:val="18"/>
        </w:rPr>
        <w:t xml:space="preserve"> entering sewers</w:t>
      </w:r>
      <w:r w:rsidRPr="0062643C">
        <w:rPr>
          <w:szCs w:val="18"/>
        </w:rPr>
        <w:t>. As such, waste water treatment is an intermediate mercury release source where mercury</w:t>
      </w:r>
      <w:r>
        <w:rPr>
          <w:szCs w:val="18"/>
        </w:rPr>
        <w:t xml:space="preserve"> </w:t>
      </w:r>
      <w:r w:rsidRPr="0062643C">
        <w:rPr>
          <w:szCs w:val="18"/>
        </w:rPr>
        <w:t>inputs from o</w:t>
      </w:r>
      <w:r w:rsidR="00FD1C77">
        <w:rPr>
          <w:szCs w:val="18"/>
        </w:rPr>
        <w:t>riginal mercury contamination are treated and the</w:t>
      </w:r>
      <w:r w:rsidR="00A402E7">
        <w:rPr>
          <w:szCs w:val="18"/>
        </w:rPr>
        <w:t>n</w:t>
      </w:r>
      <w:r w:rsidR="00FD1C77">
        <w:rPr>
          <w:szCs w:val="18"/>
        </w:rPr>
        <w:t xml:space="preserve"> re-</w:t>
      </w:r>
      <w:r w:rsidRPr="0062643C">
        <w:rPr>
          <w:szCs w:val="18"/>
        </w:rPr>
        <w:t xml:space="preserve">distributed </w:t>
      </w:r>
      <w:r w:rsidR="00FD1C77">
        <w:rPr>
          <w:szCs w:val="18"/>
        </w:rPr>
        <w:t>t</w:t>
      </w:r>
      <w:r w:rsidRPr="0062643C">
        <w:rPr>
          <w:szCs w:val="18"/>
        </w:rPr>
        <w:t>o water, land (through the application</w:t>
      </w:r>
      <w:r w:rsidR="00FD1C77">
        <w:rPr>
          <w:szCs w:val="18"/>
        </w:rPr>
        <w:t xml:space="preserve"> </w:t>
      </w:r>
      <w:r w:rsidRPr="0062643C">
        <w:rPr>
          <w:szCs w:val="18"/>
        </w:rPr>
        <w:t xml:space="preserve">of sludge) and air (through sludge incineration). In addition some sludge is disposed </w:t>
      </w:r>
      <w:r w:rsidR="00FD1C77">
        <w:rPr>
          <w:szCs w:val="18"/>
        </w:rPr>
        <w:t>to</w:t>
      </w:r>
      <w:r w:rsidRPr="0062643C">
        <w:rPr>
          <w:szCs w:val="18"/>
        </w:rPr>
        <w:t xml:space="preserve"> landfill</w:t>
      </w:r>
      <w:r>
        <w:rPr>
          <w:szCs w:val="18"/>
        </w:rPr>
        <w:t xml:space="preserve"> (</w:t>
      </w:r>
      <w:r w:rsidR="00C738EC">
        <w:rPr>
          <w:szCs w:val="18"/>
        </w:rPr>
        <w:t xml:space="preserve">UNEP, </w:t>
      </w:r>
      <w:r w:rsidR="00437464">
        <w:rPr>
          <w:szCs w:val="18"/>
        </w:rPr>
        <w:t>2023</w:t>
      </w:r>
      <w:r>
        <w:rPr>
          <w:szCs w:val="18"/>
        </w:rPr>
        <w:t>).</w:t>
      </w:r>
    </w:p>
    <w:p w14:paraId="6CEE6AAD" w14:textId="40B12734" w:rsidR="00A771D2" w:rsidRDefault="00437464" w:rsidP="0062643C">
      <w:pPr>
        <w:spacing w:line="300" w:lineRule="atLeast"/>
        <w:jc w:val="both"/>
        <w:rPr>
          <w:szCs w:val="18"/>
        </w:rPr>
      </w:pPr>
      <w:r>
        <w:rPr>
          <w:szCs w:val="18"/>
        </w:rPr>
        <w:t xml:space="preserve">Currently there are 320 </w:t>
      </w:r>
      <w:r w:rsidR="00436B84">
        <w:rPr>
          <w:szCs w:val="18"/>
        </w:rPr>
        <w:t xml:space="preserve">active municipal wastewater treatment plants in New Zealand </w:t>
      </w:r>
      <w:r>
        <w:rPr>
          <w:szCs w:val="18"/>
        </w:rPr>
        <w:t xml:space="preserve">(Taumata Arowai, 2025).  There are 1,510,000 residential connections to these treatment plants which </w:t>
      </w:r>
      <w:r w:rsidR="00436B84">
        <w:rPr>
          <w:szCs w:val="18"/>
        </w:rPr>
        <w:t>servic</w:t>
      </w:r>
      <w:r>
        <w:rPr>
          <w:szCs w:val="18"/>
        </w:rPr>
        <w:t>e about</w:t>
      </w:r>
      <w:r w:rsidR="00436B84">
        <w:rPr>
          <w:szCs w:val="18"/>
        </w:rPr>
        <w:t xml:space="preserve"> 79% of the population</w:t>
      </w:r>
      <w:r>
        <w:rPr>
          <w:szCs w:val="18"/>
        </w:rPr>
        <w:t xml:space="preserve"> (Beca, GHD and Boffa Miskell, 2020)</w:t>
      </w:r>
      <w:r w:rsidR="00436B84">
        <w:rPr>
          <w:szCs w:val="18"/>
        </w:rPr>
        <w:t>. The remaining 21%</w:t>
      </w:r>
      <w:r w:rsidR="00A771D2">
        <w:rPr>
          <w:szCs w:val="18"/>
        </w:rPr>
        <w:t xml:space="preserve">, who live largely in rural areas, </w:t>
      </w:r>
      <w:r w:rsidR="00436B84">
        <w:rPr>
          <w:szCs w:val="18"/>
        </w:rPr>
        <w:t xml:space="preserve"> must treat their own </w:t>
      </w:r>
      <w:r w:rsidR="00A771D2">
        <w:rPr>
          <w:szCs w:val="18"/>
        </w:rPr>
        <w:t xml:space="preserve">household </w:t>
      </w:r>
      <w:r w:rsidR="00436B84">
        <w:rPr>
          <w:szCs w:val="18"/>
        </w:rPr>
        <w:t>wastewater</w:t>
      </w:r>
      <w:r w:rsidR="00A771D2">
        <w:rPr>
          <w:szCs w:val="18"/>
        </w:rPr>
        <w:t xml:space="preserve"> flows</w:t>
      </w:r>
      <w:r w:rsidR="00436B84">
        <w:rPr>
          <w:szCs w:val="18"/>
        </w:rPr>
        <w:t xml:space="preserve"> using an on-site wastewater management system (OWMS) such as a septic tank</w:t>
      </w:r>
      <w:r w:rsidR="00A771D2">
        <w:rPr>
          <w:szCs w:val="18"/>
        </w:rPr>
        <w:t>. An OWMS discharges treated wastewater effluent to a land application on the property such as a drainage field. Water NZ estimate there are about 270,000 OWMS in New Zealand</w:t>
      </w:r>
      <w:r w:rsidR="007C3FA4">
        <w:rPr>
          <w:szCs w:val="18"/>
        </w:rPr>
        <w:t xml:space="preserve"> </w:t>
      </w:r>
      <w:r w:rsidR="00A771D2">
        <w:rPr>
          <w:szCs w:val="18"/>
        </w:rPr>
        <w:t>(Water NZ, 2020).</w:t>
      </w:r>
    </w:p>
    <w:p w14:paraId="5B2562C0" w14:textId="38AC64EB" w:rsidR="00436B84" w:rsidRDefault="00A771D2" w:rsidP="0062643C">
      <w:pPr>
        <w:spacing w:line="300" w:lineRule="atLeast"/>
        <w:jc w:val="both"/>
        <w:rPr>
          <w:szCs w:val="18"/>
        </w:rPr>
      </w:pPr>
      <w:r>
        <w:rPr>
          <w:szCs w:val="18"/>
        </w:rPr>
        <w:t xml:space="preserve">The total volume of wastewater produced annually in New Zealand will be the sum of wastewater treated in wastewater treatment plants </w:t>
      </w:r>
      <w:r w:rsidR="00DE3651">
        <w:rPr>
          <w:szCs w:val="18"/>
        </w:rPr>
        <w:t xml:space="preserve">per annum </w:t>
      </w:r>
      <w:r>
        <w:rPr>
          <w:szCs w:val="18"/>
        </w:rPr>
        <w:t>and the volume of water discharged from</w:t>
      </w:r>
      <w:r w:rsidR="00DE3651">
        <w:rPr>
          <w:szCs w:val="18"/>
        </w:rPr>
        <w:t xml:space="preserve"> OWMS annually.</w:t>
      </w:r>
    </w:p>
    <w:p w14:paraId="25EB2954" w14:textId="7096CE0E" w:rsidR="00437464" w:rsidRDefault="001A640B" w:rsidP="00943293">
      <w:pPr>
        <w:spacing w:line="300" w:lineRule="atLeast"/>
        <w:jc w:val="both"/>
        <w:rPr>
          <w:szCs w:val="18"/>
        </w:rPr>
      </w:pPr>
      <w:r>
        <w:rPr>
          <w:szCs w:val="18"/>
        </w:rPr>
        <w:t>Until 202</w:t>
      </w:r>
      <w:r w:rsidR="00885E1A">
        <w:rPr>
          <w:szCs w:val="18"/>
        </w:rPr>
        <w:t>2</w:t>
      </w:r>
      <w:r>
        <w:rPr>
          <w:szCs w:val="18"/>
        </w:rPr>
        <w:t xml:space="preserve"> </w:t>
      </w:r>
      <w:r w:rsidR="00943293">
        <w:rPr>
          <w:szCs w:val="18"/>
        </w:rPr>
        <w:t>Water New Zealand collate</w:t>
      </w:r>
      <w:r>
        <w:rPr>
          <w:szCs w:val="18"/>
        </w:rPr>
        <w:t>d</w:t>
      </w:r>
      <w:r w:rsidR="00943293">
        <w:rPr>
          <w:szCs w:val="18"/>
        </w:rPr>
        <w:t xml:space="preserve"> information on the volumes of liquid waste treated through New Zealand wastewater plants and this data </w:t>
      </w:r>
      <w:r>
        <w:rPr>
          <w:szCs w:val="18"/>
        </w:rPr>
        <w:t>was</w:t>
      </w:r>
      <w:r w:rsidR="00943293">
        <w:rPr>
          <w:szCs w:val="18"/>
        </w:rPr>
        <w:t xml:space="preserve"> presented in a publicly available spreadsheet</w:t>
      </w:r>
      <w:r w:rsidR="0021038E">
        <w:rPr>
          <w:szCs w:val="18"/>
        </w:rPr>
        <w:t xml:space="preserve"> (Water NZ, 2022)</w:t>
      </w:r>
      <w:r>
        <w:rPr>
          <w:szCs w:val="18"/>
        </w:rPr>
        <w:t>.</w:t>
      </w:r>
      <w:r w:rsidR="00885E1A">
        <w:rPr>
          <w:szCs w:val="18"/>
        </w:rPr>
        <w:t xml:space="preserve"> </w:t>
      </w:r>
      <w:r w:rsidR="00EA45FD">
        <w:rPr>
          <w:szCs w:val="18"/>
        </w:rPr>
        <w:t>Water NZ no longer maintains records of wastewater treatment plants</w:t>
      </w:r>
      <w:r w:rsidR="00885E1A">
        <w:rPr>
          <w:szCs w:val="18"/>
        </w:rPr>
        <w:t>. This role has fallen to the new Crown Entity the Water Services Authority – Taumatai Arowai who took on responsibility for the environmental performance of public wastewater networks in October 2023. Taumatai Arowai publish details such as the location of treatment plants, population serviced and administrative matters in its public register of wastewater networks – Hine korako</w:t>
      </w:r>
      <w:r w:rsidR="0021038E">
        <w:rPr>
          <w:szCs w:val="18"/>
        </w:rPr>
        <w:t xml:space="preserve"> – </w:t>
      </w:r>
      <w:hyperlink r:id="rId19" w:history="1">
        <w:r w:rsidR="0021038E" w:rsidRPr="00D9507E">
          <w:rPr>
            <w:rStyle w:val="Hyperlink"/>
            <w:szCs w:val="18"/>
          </w:rPr>
          <w:t>https://hinekorako.taumataaroiwai.govt.nz/publicregister/wastewater/</w:t>
        </w:r>
      </w:hyperlink>
      <w:r w:rsidR="0021038E">
        <w:rPr>
          <w:szCs w:val="18"/>
        </w:rPr>
        <w:t xml:space="preserve">. However it does not yet provide details of annual wastewater treatment volumes either there or in its annual performance reports (Taumata Arowai, 2025). </w:t>
      </w:r>
    </w:p>
    <w:p w14:paraId="5A4AF915" w14:textId="7C4ED716" w:rsidR="00DE3651" w:rsidRDefault="00437464" w:rsidP="00943293">
      <w:pPr>
        <w:spacing w:line="300" w:lineRule="atLeast"/>
        <w:jc w:val="both"/>
        <w:rPr>
          <w:szCs w:val="18"/>
        </w:rPr>
      </w:pPr>
      <w:r>
        <w:rPr>
          <w:szCs w:val="18"/>
        </w:rPr>
        <w:t xml:space="preserve">In the absence of specific data </w:t>
      </w:r>
      <w:r w:rsidR="0060639F">
        <w:rPr>
          <w:szCs w:val="18"/>
        </w:rPr>
        <w:t xml:space="preserve">on </w:t>
      </w:r>
      <w:r>
        <w:rPr>
          <w:szCs w:val="18"/>
        </w:rPr>
        <w:t xml:space="preserve">the volume </w:t>
      </w:r>
      <w:r w:rsidR="0060639F">
        <w:rPr>
          <w:szCs w:val="18"/>
        </w:rPr>
        <w:t xml:space="preserve">of wastewater </w:t>
      </w:r>
      <w:r w:rsidR="00DE3651">
        <w:rPr>
          <w:szCs w:val="18"/>
        </w:rPr>
        <w:t>handled by New Zealand wastewater treatment plants</w:t>
      </w:r>
      <w:r w:rsidR="0060639F">
        <w:rPr>
          <w:szCs w:val="18"/>
        </w:rPr>
        <w:t xml:space="preserve">, </w:t>
      </w:r>
      <w:r w:rsidR="00DE3651">
        <w:rPr>
          <w:szCs w:val="18"/>
        </w:rPr>
        <w:t xml:space="preserve"> </w:t>
      </w:r>
      <w:r w:rsidR="0060639F">
        <w:rPr>
          <w:szCs w:val="18"/>
        </w:rPr>
        <w:t xml:space="preserve">the </w:t>
      </w:r>
      <w:r w:rsidR="00DE3651">
        <w:rPr>
          <w:szCs w:val="18"/>
        </w:rPr>
        <w:t>20</w:t>
      </w:r>
      <w:r w:rsidR="0060639F">
        <w:rPr>
          <w:szCs w:val="18"/>
        </w:rPr>
        <w:t>24 v</w:t>
      </w:r>
      <w:r w:rsidR="00CD41DF">
        <w:rPr>
          <w:szCs w:val="18"/>
        </w:rPr>
        <w:t>olume</w:t>
      </w:r>
      <w:r w:rsidR="0060639F">
        <w:rPr>
          <w:szCs w:val="18"/>
        </w:rPr>
        <w:t xml:space="preserve"> has been estimated</w:t>
      </w:r>
      <w:r w:rsidR="00CD41DF">
        <w:rPr>
          <w:szCs w:val="18"/>
        </w:rPr>
        <w:t xml:space="preserve"> by applying a population growth factor of </w:t>
      </w:r>
      <w:r w:rsidR="000348A3">
        <w:rPr>
          <w:szCs w:val="18"/>
        </w:rPr>
        <w:t xml:space="preserve">1.07 to the volume of </w:t>
      </w:r>
      <w:r w:rsidR="0060639F">
        <w:rPr>
          <w:szCs w:val="18"/>
        </w:rPr>
        <w:t>497,162,000</w:t>
      </w:r>
      <w:r w:rsidR="0060639F" w:rsidRPr="00DE3651">
        <w:rPr>
          <w:szCs w:val="18"/>
        </w:rPr>
        <w:t xml:space="preserve"> </w:t>
      </w:r>
      <w:r w:rsidR="0060639F">
        <w:rPr>
          <w:szCs w:val="18"/>
        </w:rPr>
        <w:t>m</w:t>
      </w:r>
      <w:r w:rsidR="0060639F" w:rsidRPr="00800EF1">
        <w:rPr>
          <w:szCs w:val="18"/>
          <w:vertAlign w:val="superscript"/>
        </w:rPr>
        <w:t>3</w:t>
      </w:r>
      <w:r w:rsidR="0060639F">
        <w:rPr>
          <w:szCs w:val="18"/>
        </w:rPr>
        <w:t>/year</w:t>
      </w:r>
      <w:r w:rsidR="000348A3">
        <w:rPr>
          <w:szCs w:val="18"/>
        </w:rPr>
        <w:t xml:space="preserve"> recorded for the 2020 Inventory to give 531,963,340 m</w:t>
      </w:r>
      <w:r w:rsidR="000348A3" w:rsidRPr="00800EF1">
        <w:rPr>
          <w:szCs w:val="18"/>
          <w:vertAlign w:val="superscript"/>
        </w:rPr>
        <w:t>3</w:t>
      </w:r>
      <w:r w:rsidR="000348A3">
        <w:rPr>
          <w:szCs w:val="18"/>
        </w:rPr>
        <w:t>/year.</w:t>
      </w:r>
    </w:p>
    <w:p w14:paraId="7CA581D0" w14:textId="0078DF81" w:rsidR="00EC25DD" w:rsidRDefault="00DE3651" w:rsidP="00EC25DD">
      <w:pPr>
        <w:spacing w:line="300" w:lineRule="atLeast"/>
        <w:jc w:val="both"/>
        <w:rPr>
          <w:szCs w:val="18"/>
        </w:rPr>
      </w:pPr>
      <w:r>
        <w:rPr>
          <w:szCs w:val="18"/>
        </w:rPr>
        <w:t xml:space="preserve">For the purposes of this inventory </w:t>
      </w:r>
      <w:r w:rsidR="00EC25DD">
        <w:rPr>
          <w:szCs w:val="18"/>
        </w:rPr>
        <w:t xml:space="preserve">people using OWMS are assumed to discharge wastewater at the same rate as individuals who are connected to a wastewater treatment plant. </w:t>
      </w:r>
      <w:r w:rsidR="006B3E4B">
        <w:rPr>
          <w:szCs w:val="18"/>
        </w:rPr>
        <w:t>At June 202</w:t>
      </w:r>
      <w:r w:rsidR="000348A3">
        <w:rPr>
          <w:szCs w:val="18"/>
        </w:rPr>
        <w:t>4</w:t>
      </w:r>
      <w:r w:rsidR="006B3E4B">
        <w:rPr>
          <w:szCs w:val="18"/>
        </w:rPr>
        <w:t xml:space="preserve"> New Zealand’s estimated population was </w:t>
      </w:r>
      <w:r w:rsidR="000348A3">
        <w:rPr>
          <w:szCs w:val="18"/>
        </w:rPr>
        <w:t>5,338,500</w:t>
      </w:r>
      <w:r w:rsidR="006B3E4B">
        <w:rPr>
          <w:szCs w:val="18"/>
        </w:rPr>
        <w:t xml:space="preserve"> (Stats NZ, </w:t>
      </w:r>
      <w:r w:rsidR="000348A3">
        <w:rPr>
          <w:szCs w:val="18"/>
        </w:rPr>
        <w:t>2024</w:t>
      </w:r>
      <w:r w:rsidR="006B3E4B">
        <w:rPr>
          <w:szCs w:val="18"/>
        </w:rPr>
        <w:t>)</w:t>
      </w:r>
      <w:r w:rsidR="00074B3F">
        <w:rPr>
          <w:szCs w:val="18"/>
        </w:rPr>
        <w:t xml:space="preserve"> so the 21% of individuals not connected to a treatment plant number</w:t>
      </w:r>
      <w:r w:rsidR="005346D4">
        <w:rPr>
          <w:szCs w:val="18"/>
        </w:rPr>
        <w:t xml:space="preserve"> </w:t>
      </w:r>
      <w:r w:rsidR="000348A3">
        <w:rPr>
          <w:szCs w:val="18"/>
        </w:rPr>
        <w:t>1,121,085.</w:t>
      </w:r>
      <w:r w:rsidR="00074B3F">
        <w:rPr>
          <w:szCs w:val="18"/>
        </w:rPr>
        <w:t xml:space="preserve"> </w:t>
      </w:r>
      <w:r w:rsidR="006B3E4B">
        <w:rPr>
          <w:szCs w:val="18"/>
        </w:rPr>
        <w:t xml:space="preserve">Consequently </w:t>
      </w:r>
      <w:r w:rsidR="00074B3F">
        <w:rPr>
          <w:szCs w:val="18"/>
        </w:rPr>
        <w:t>OWMS are estimated to have discharged</w:t>
      </w:r>
      <w:r w:rsidR="005F3B40">
        <w:rPr>
          <w:szCs w:val="18"/>
        </w:rPr>
        <w:t xml:space="preserve"> </w:t>
      </w:r>
      <w:r w:rsidR="005346D4">
        <w:rPr>
          <w:szCs w:val="18"/>
        </w:rPr>
        <w:t>141,402,450</w:t>
      </w:r>
      <w:r w:rsidR="005F3B40">
        <w:rPr>
          <w:szCs w:val="18"/>
        </w:rPr>
        <w:t xml:space="preserve"> m</w:t>
      </w:r>
      <w:r w:rsidR="005F3B40" w:rsidRPr="00800EF1">
        <w:rPr>
          <w:szCs w:val="18"/>
          <w:vertAlign w:val="superscript"/>
        </w:rPr>
        <w:t>3</w:t>
      </w:r>
      <w:r w:rsidR="005F3B40">
        <w:rPr>
          <w:szCs w:val="18"/>
        </w:rPr>
        <w:t xml:space="preserve">/year and therefore New Zealand’s total wastewater production for </w:t>
      </w:r>
      <w:r w:rsidR="005346D4">
        <w:rPr>
          <w:szCs w:val="18"/>
        </w:rPr>
        <w:t xml:space="preserve">2024 </w:t>
      </w:r>
      <w:r w:rsidR="005F3B40">
        <w:rPr>
          <w:szCs w:val="18"/>
        </w:rPr>
        <w:t xml:space="preserve">was </w:t>
      </w:r>
      <w:r w:rsidR="005346D4">
        <w:rPr>
          <w:szCs w:val="18"/>
        </w:rPr>
        <w:t>673,365,790</w:t>
      </w:r>
      <w:r w:rsidR="005F3B40">
        <w:rPr>
          <w:szCs w:val="18"/>
        </w:rPr>
        <w:t xml:space="preserve"> m</w:t>
      </w:r>
      <w:r w:rsidR="005F3B40" w:rsidRPr="00800EF1">
        <w:rPr>
          <w:szCs w:val="18"/>
          <w:vertAlign w:val="superscript"/>
        </w:rPr>
        <w:t>3</w:t>
      </w:r>
      <w:r w:rsidR="005F3B40">
        <w:rPr>
          <w:szCs w:val="18"/>
        </w:rPr>
        <w:t>.</w:t>
      </w:r>
    </w:p>
    <w:p w14:paraId="45903178" w14:textId="2863B403" w:rsidR="00FD6F7D" w:rsidRDefault="006A3AA1" w:rsidP="003833D6">
      <w:pPr>
        <w:spacing w:line="300" w:lineRule="atLeast"/>
        <w:jc w:val="both"/>
        <w:rPr>
          <w:szCs w:val="18"/>
        </w:rPr>
      </w:pPr>
      <w:r>
        <w:rPr>
          <w:szCs w:val="18"/>
        </w:rPr>
        <w:t xml:space="preserve">There is no information available on the average mercury content of the wastes entering New Zealand wastewater plants. The Toolkit recommends default factors of </w:t>
      </w:r>
      <w:r w:rsidR="001813AB">
        <w:rPr>
          <w:szCs w:val="18"/>
        </w:rPr>
        <w:t>0.5 – 10 µg/litre, and output factors of 0.5 (50%) to water, 0.2 (20%) to land</w:t>
      </w:r>
      <w:r w:rsidR="00914B36">
        <w:rPr>
          <w:rStyle w:val="FootnoteReference"/>
          <w:szCs w:val="18"/>
        </w:rPr>
        <w:footnoteReference w:id="17"/>
      </w:r>
      <w:r w:rsidR="001813AB">
        <w:rPr>
          <w:szCs w:val="18"/>
        </w:rPr>
        <w:t>, and 0.3 (30%) to waste.</w:t>
      </w:r>
      <w:r w:rsidR="00C21DD8">
        <w:rPr>
          <w:szCs w:val="18"/>
        </w:rPr>
        <w:t xml:space="preserve"> The latter two factors reflect the fact that some biosolids are disposed to land (including use in compost) and some are disposed to landfills, although the exact distribution for New Zealand is unknown.</w:t>
      </w:r>
    </w:p>
    <w:p w14:paraId="47C692EC" w14:textId="7B3688E3" w:rsidR="00DE42A4" w:rsidRDefault="00DE42A4" w:rsidP="00DE42A4">
      <w:pPr>
        <w:spacing w:line="300" w:lineRule="atLeast"/>
        <w:jc w:val="both"/>
        <w:rPr>
          <w:szCs w:val="18"/>
        </w:rPr>
      </w:pPr>
      <w:r w:rsidRPr="00675730">
        <w:rPr>
          <w:szCs w:val="18"/>
        </w:rPr>
        <w:t xml:space="preserve">The mercury input and output calculations for </w:t>
      </w:r>
      <w:r>
        <w:rPr>
          <w:szCs w:val="18"/>
        </w:rPr>
        <w:t xml:space="preserve">wastewater treatment plants </w:t>
      </w:r>
      <w:r w:rsidRPr="00675730">
        <w:rPr>
          <w:szCs w:val="18"/>
        </w:rPr>
        <w:t>are shown in</w:t>
      </w:r>
      <w:r>
        <w:rPr>
          <w:szCs w:val="18"/>
        </w:rPr>
        <w:t xml:space="preserve"> </w:t>
      </w:r>
      <w:r w:rsidRPr="00305BC7">
        <w:rPr>
          <w:szCs w:val="18"/>
        </w:rPr>
        <w:fldChar w:fldCharType="begin"/>
      </w:r>
      <w:r w:rsidRPr="00305BC7">
        <w:rPr>
          <w:szCs w:val="18"/>
        </w:rPr>
        <w:instrText xml:space="preserve"> REF _Ref358791244 \h </w:instrText>
      </w:r>
      <w:r w:rsidR="00305BC7">
        <w:rPr>
          <w:szCs w:val="18"/>
        </w:rPr>
        <w:instrText xml:space="preserve"> \* MERGEFORMAT </w:instrText>
      </w:r>
      <w:r w:rsidRPr="00305BC7">
        <w:rPr>
          <w:szCs w:val="18"/>
        </w:rPr>
      </w:r>
      <w:r w:rsidRPr="00305BC7">
        <w:rPr>
          <w:szCs w:val="18"/>
        </w:rPr>
        <w:fldChar w:fldCharType="separate"/>
      </w:r>
      <w:r w:rsidR="00892B2D" w:rsidRPr="00892B2D">
        <w:t xml:space="preserve">Table </w:t>
      </w:r>
      <w:r w:rsidR="00892B2D" w:rsidRPr="00892B2D">
        <w:rPr>
          <w:noProof/>
        </w:rPr>
        <w:t>11</w:t>
      </w:r>
      <w:r w:rsidR="00892B2D" w:rsidRPr="00892B2D">
        <w:rPr>
          <w:noProof/>
        </w:rPr>
        <w:noBreakHyphen/>
        <w:t>3</w:t>
      </w:r>
      <w:r w:rsidRPr="00305BC7">
        <w:rPr>
          <w:szCs w:val="18"/>
        </w:rPr>
        <w:fldChar w:fldCharType="end"/>
      </w:r>
      <w:r>
        <w:rPr>
          <w:szCs w:val="18"/>
        </w:rPr>
        <w:t>.</w:t>
      </w:r>
    </w:p>
    <w:p w14:paraId="27FF48C5" w14:textId="1791F47E" w:rsidR="00DE42A4" w:rsidRDefault="00DE42A4" w:rsidP="00A402E7">
      <w:pPr>
        <w:pStyle w:val="Caption"/>
        <w:spacing w:before="240"/>
        <w:rPr>
          <w:szCs w:val="18"/>
        </w:rPr>
      </w:pPr>
      <w:bookmarkStart w:id="159" w:name="_Ref358791244"/>
      <w:bookmarkStart w:id="160" w:name="_Toc110355496"/>
      <w:r w:rsidRPr="00753BB9">
        <w:rPr>
          <w:rFonts w:ascii="Arial" w:hAnsi="Arial" w:cs="Arial"/>
        </w:rPr>
        <w:t xml:space="preserve">Table </w:t>
      </w:r>
      <w:r w:rsidR="00390C9F">
        <w:rPr>
          <w:rFonts w:ascii="Arial" w:hAnsi="Arial" w:cs="Arial"/>
        </w:rPr>
        <w:fldChar w:fldCharType="begin"/>
      </w:r>
      <w:r w:rsidR="00390C9F">
        <w:rPr>
          <w:rFonts w:ascii="Arial" w:hAnsi="Arial" w:cs="Arial"/>
        </w:rPr>
        <w:instrText xml:space="preserve"> STYLEREF 1 \s </w:instrText>
      </w:r>
      <w:r w:rsidR="00390C9F">
        <w:rPr>
          <w:rFonts w:ascii="Arial" w:hAnsi="Arial" w:cs="Arial"/>
        </w:rPr>
        <w:fldChar w:fldCharType="separate"/>
      </w:r>
      <w:r w:rsidR="00892B2D">
        <w:rPr>
          <w:rFonts w:ascii="Arial" w:hAnsi="Arial" w:cs="Arial"/>
          <w:noProof/>
        </w:rPr>
        <w:t>11</w:t>
      </w:r>
      <w:r w:rsidR="00390C9F">
        <w:rPr>
          <w:rFonts w:ascii="Arial" w:hAnsi="Arial" w:cs="Arial"/>
        </w:rPr>
        <w:fldChar w:fldCharType="end"/>
      </w:r>
      <w:r w:rsidR="00390C9F">
        <w:rPr>
          <w:rFonts w:ascii="Arial" w:hAnsi="Arial" w:cs="Arial"/>
        </w:rPr>
        <w:noBreakHyphen/>
      </w:r>
      <w:r w:rsidR="00390C9F">
        <w:rPr>
          <w:rFonts w:ascii="Arial" w:hAnsi="Arial" w:cs="Arial"/>
        </w:rPr>
        <w:fldChar w:fldCharType="begin"/>
      </w:r>
      <w:r w:rsidR="00390C9F">
        <w:rPr>
          <w:rFonts w:ascii="Arial" w:hAnsi="Arial" w:cs="Arial"/>
        </w:rPr>
        <w:instrText xml:space="preserve"> SEQ Table \* ARABIC \s 1 </w:instrText>
      </w:r>
      <w:r w:rsidR="00390C9F">
        <w:rPr>
          <w:rFonts w:ascii="Arial" w:hAnsi="Arial" w:cs="Arial"/>
        </w:rPr>
        <w:fldChar w:fldCharType="separate"/>
      </w:r>
      <w:r w:rsidR="00892B2D">
        <w:rPr>
          <w:rFonts w:ascii="Arial" w:hAnsi="Arial" w:cs="Arial"/>
          <w:noProof/>
        </w:rPr>
        <w:t>3</w:t>
      </w:r>
      <w:r w:rsidR="00390C9F">
        <w:rPr>
          <w:rFonts w:ascii="Arial" w:hAnsi="Arial" w:cs="Arial"/>
        </w:rPr>
        <w:fldChar w:fldCharType="end"/>
      </w:r>
      <w:bookmarkEnd w:id="159"/>
      <w:r w:rsidRPr="00753BB9">
        <w:rPr>
          <w:rFonts w:ascii="Arial" w:hAnsi="Arial" w:cs="Arial"/>
        </w:rPr>
        <w:t>:</w:t>
      </w:r>
      <w:r>
        <w:t xml:space="preserve"> </w:t>
      </w:r>
      <w:r w:rsidRPr="00284760">
        <w:rPr>
          <w:rFonts w:ascii="Arial" w:hAnsi="Arial" w:cs="Arial"/>
        </w:rPr>
        <w:t>Input and output estimates for</w:t>
      </w:r>
      <w:r>
        <w:rPr>
          <w:rFonts w:ascii="Arial" w:hAnsi="Arial" w:cs="Arial"/>
        </w:rPr>
        <w:t xml:space="preserve"> wastewater treatment plants</w:t>
      </w:r>
      <w:bookmarkEnd w:id="160"/>
    </w:p>
    <w:tbl>
      <w:tblPr>
        <w:tblStyle w:val="TableGrid"/>
        <w:tblW w:w="0" w:type="auto"/>
        <w:tblLook w:val="04A0" w:firstRow="1" w:lastRow="0" w:firstColumn="1" w:lastColumn="0" w:noHBand="0" w:noVBand="1"/>
      </w:tblPr>
      <w:tblGrid>
        <w:gridCol w:w="1496"/>
        <w:gridCol w:w="1255"/>
        <w:gridCol w:w="1390"/>
        <w:gridCol w:w="1212"/>
        <w:gridCol w:w="1296"/>
        <w:gridCol w:w="1113"/>
        <w:gridCol w:w="1254"/>
        <w:gridCol w:w="45"/>
      </w:tblGrid>
      <w:tr w:rsidR="00DE42A4" w14:paraId="562EEE6E" w14:textId="77777777" w:rsidTr="00E34110">
        <w:tc>
          <w:tcPr>
            <w:tcW w:w="1503" w:type="dxa"/>
            <w:vMerge w:val="restart"/>
            <w:vAlign w:val="center"/>
          </w:tcPr>
          <w:p w14:paraId="079769AA" w14:textId="77777777" w:rsidR="00DE42A4" w:rsidRPr="00F31685" w:rsidRDefault="00DE42A4" w:rsidP="00DE42A4">
            <w:pPr>
              <w:spacing w:line="300" w:lineRule="atLeast"/>
              <w:jc w:val="center"/>
              <w:rPr>
                <w:rFonts w:ascii="Arial" w:hAnsi="Arial" w:cs="Arial"/>
                <w:b/>
                <w:sz w:val="16"/>
                <w:szCs w:val="16"/>
              </w:rPr>
            </w:pPr>
            <w:r w:rsidRPr="00F31685">
              <w:rPr>
                <w:rFonts w:ascii="Arial" w:hAnsi="Arial" w:cs="Arial"/>
                <w:b/>
                <w:sz w:val="16"/>
                <w:szCs w:val="16"/>
              </w:rPr>
              <w:t>Source</w:t>
            </w:r>
          </w:p>
        </w:tc>
        <w:tc>
          <w:tcPr>
            <w:tcW w:w="1260" w:type="dxa"/>
            <w:vMerge w:val="restart"/>
            <w:vAlign w:val="center"/>
          </w:tcPr>
          <w:p w14:paraId="56BD45CB" w14:textId="77777777" w:rsidR="00DE42A4" w:rsidRPr="00F31685" w:rsidRDefault="00DE42A4" w:rsidP="00780B15">
            <w:pPr>
              <w:spacing w:line="300" w:lineRule="atLeast"/>
              <w:jc w:val="center"/>
              <w:rPr>
                <w:rFonts w:ascii="Arial" w:hAnsi="Arial" w:cs="Arial"/>
                <w:b/>
                <w:sz w:val="16"/>
                <w:szCs w:val="16"/>
              </w:rPr>
            </w:pPr>
            <w:r>
              <w:rPr>
                <w:rFonts w:ascii="Arial" w:hAnsi="Arial" w:cs="Arial"/>
                <w:b/>
                <w:sz w:val="16"/>
                <w:szCs w:val="16"/>
              </w:rPr>
              <w:t xml:space="preserve">Activity Rate, </w:t>
            </w:r>
            <w:r w:rsidR="00780B15">
              <w:rPr>
                <w:rFonts w:ascii="Arial" w:hAnsi="Arial" w:cs="Arial"/>
                <w:b/>
                <w:sz w:val="16"/>
                <w:szCs w:val="16"/>
              </w:rPr>
              <w:t>L</w:t>
            </w:r>
            <w:r w:rsidR="0078520B">
              <w:rPr>
                <w:rFonts w:ascii="Arial" w:hAnsi="Arial" w:cs="Arial"/>
                <w:b/>
                <w:sz w:val="16"/>
                <w:szCs w:val="16"/>
              </w:rPr>
              <w:t>itres</w:t>
            </w:r>
            <w:r w:rsidRPr="00F31685">
              <w:rPr>
                <w:rFonts w:ascii="Arial" w:hAnsi="Arial" w:cs="Arial"/>
                <w:b/>
                <w:sz w:val="16"/>
                <w:szCs w:val="16"/>
              </w:rPr>
              <w:t>/yr</w:t>
            </w:r>
          </w:p>
        </w:tc>
        <w:tc>
          <w:tcPr>
            <w:tcW w:w="1397" w:type="dxa"/>
            <w:vMerge w:val="restart"/>
            <w:vAlign w:val="center"/>
          </w:tcPr>
          <w:p w14:paraId="362B6EF0" w14:textId="77777777" w:rsidR="00DE42A4" w:rsidRPr="00F31685" w:rsidRDefault="00DE42A4" w:rsidP="00DE42A4">
            <w:pPr>
              <w:spacing w:line="300" w:lineRule="atLeast"/>
              <w:jc w:val="center"/>
              <w:rPr>
                <w:rFonts w:ascii="Arial" w:hAnsi="Arial" w:cs="Arial"/>
                <w:b/>
                <w:sz w:val="16"/>
                <w:szCs w:val="16"/>
              </w:rPr>
            </w:pPr>
            <w:r>
              <w:rPr>
                <w:rFonts w:ascii="Arial" w:hAnsi="Arial" w:cs="Arial"/>
                <w:b/>
                <w:sz w:val="16"/>
                <w:szCs w:val="16"/>
              </w:rPr>
              <w:t>Mercury Content, µg/L</w:t>
            </w:r>
          </w:p>
        </w:tc>
        <w:tc>
          <w:tcPr>
            <w:tcW w:w="1218" w:type="dxa"/>
            <w:vMerge w:val="restart"/>
            <w:vAlign w:val="center"/>
          </w:tcPr>
          <w:p w14:paraId="3B4BC022" w14:textId="77777777" w:rsidR="00DE42A4" w:rsidRPr="00F31685" w:rsidRDefault="00DE42A4" w:rsidP="00DE42A4">
            <w:pPr>
              <w:spacing w:line="300" w:lineRule="atLeast"/>
              <w:jc w:val="center"/>
              <w:rPr>
                <w:rFonts w:ascii="Arial" w:hAnsi="Arial" w:cs="Arial"/>
                <w:b/>
                <w:sz w:val="16"/>
                <w:szCs w:val="16"/>
              </w:rPr>
            </w:pPr>
            <w:r>
              <w:rPr>
                <w:rFonts w:ascii="Arial" w:hAnsi="Arial" w:cs="Arial"/>
                <w:b/>
                <w:sz w:val="16"/>
                <w:szCs w:val="16"/>
              </w:rPr>
              <w:t>Annual Inputs, kg/yr</w:t>
            </w:r>
          </w:p>
        </w:tc>
        <w:tc>
          <w:tcPr>
            <w:tcW w:w="3683" w:type="dxa"/>
            <w:gridSpan w:val="4"/>
            <w:vAlign w:val="center"/>
          </w:tcPr>
          <w:p w14:paraId="6416B51C" w14:textId="77777777" w:rsidR="00DE42A4" w:rsidRPr="00F31685" w:rsidRDefault="00DE42A4" w:rsidP="00DE42A4">
            <w:pPr>
              <w:spacing w:line="300" w:lineRule="atLeast"/>
              <w:jc w:val="center"/>
              <w:rPr>
                <w:rFonts w:ascii="Arial" w:hAnsi="Arial" w:cs="Arial"/>
                <w:b/>
                <w:sz w:val="16"/>
                <w:szCs w:val="16"/>
              </w:rPr>
            </w:pPr>
            <w:r w:rsidRPr="00F31685">
              <w:rPr>
                <w:rFonts w:ascii="Arial" w:hAnsi="Arial" w:cs="Arial"/>
                <w:b/>
                <w:sz w:val="16"/>
                <w:szCs w:val="16"/>
              </w:rPr>
              <w:t>Annual Mercury Outputs, kg/yr</w:t>
            </w:r>
          </w:p>
        </w:tc>
      </w:tr>
      <w:tr w:rsidR="00DE42A4" w14:paraId="36A3E56C" w14:textId="77777777" w:rsidTr="00E34110">
        <w:tc>
          <w:tcPr>
            <w:tcW w:w="1503" w:type="dxa"/>
            <w:vMerge/>
            <w:vAlign w:val="center"/>
          </w:tcPr>
          <w:p w14:paraId="617DC415" w14:textId="77777777" w:rsidR="00DE42A4" w:rsidRPr="00F31685" w:rsidRDefault="00DE42A4" w:rsidP="00DE42A4">
            <w:pPr>
              <w:spacing w:line="300" w:lineRule="atLeast"/>
              <w:jc w:val="center"/>
              <w:rPr>
                <w:rFonts w:ascii="Arial" w:hAnsi="Arial" w:cs="Arial"/>
                <w:b/>
                <w:sz w:val="16"/>
                <w:szCs w:val="16"/>
              </w:rPr>
            </w:pPr>
          </w:p>
        </w:tc>
        <w:tc>
          <w:tcPr>
            <w:tcW w:w="1260" w:type="dxa"/>
            <w:vMerge/>
            <w:vAlign w:val="center"/>
          </w:tcPr>
          <w:p w14:paraId="30D83677" w14:textId="77777777" w:rsidR="00DE42A4" w:rsidRPr="00F31685" w:rsidRDefault="00DE42A4" w:rsidP="00DE42A4">
            <w:pPr>
              <w:spacing w:line="300" w:lineRule="atLeast"/>
              <w:jc w:val="center"/>
              <w:rPr>
                <w:rFonts w:ascii="Arial" w:hAnsi="Arial" w:cs="Arial"/>
                <w:b/>
                <w:sz w:val="16"/>
                <w:szCs w:val="16"/>
              </w:rPr>
            </w:pPr>
          </w:p>
        </w:tc>
        <w:tc>
          <w:tcPr>
            <w:tcW w:w="1397" w:type="dxa"/>
            <w:vMerge/>
          </w:tcPr>
          <w:p w14:paraId="71AE4F17" w14:textId="77777777" w:rsidR="00DE42A4" w:rsidRPr="00F31685" w:rsidRDefault="00DE42A4" w:rsidP="00DE42A4">
            <w:pPr>
              <w:spacing w:line="300" w:lineRule="atLeast"/>
              <w:jc w:val="center"/>
              <w:rPr>
                <w:rFonts w:ascii="Arial" w:hAnsi="Arial" w:cs="Arial"/>
                <w:b/>
                <w:sz w:val="16"/>
                <w:szCs w:val="16"/>
              </w:rPr>
            </w:pPr>
          </w:p>
        </w:tc>
        <w:tc>
          <w:tcPr>
            <w:tcW w:w="1218" w:type="dxa"/>
            <w:vMerge/>
          </w:tcPr>
          <w:p w14:paraId="471D19B8" w14:textId="77777777" w:rsidR="00DE42A4" w:rsidRPr="00F31685" w:rsidRDefault="00DE42A4" w:rsidP="00DE42A4">
            <w:pPr>
              <w:spacing w:line="300" w:lineRule="atLeast"/>
              <w:jc w:val="center"/>
              <w:rPr>
                <w:rFonts w:ascii="Arial" w:hAnsi="Arial" w:cs="Arial"/>
                <w:b/>
                <w:sz w:val="16"/>
                <w:szCs w:val="16"/>
              </w:rPr>
            </w:pPr>
          </w:p>
        </w:tc>
        <w:tc>
          <w:tcPr>
            <w:tcW w:w="1303" w:type="dxa"/>
            <w:vAlign w:val="center"/>
          </w:tcPr>
          <w:p w14:paraId="42708521" w14:textId="77777777" w:rsidR="00DE42A4" w:rsidRPr="00F31685" w:rsidRDefault="00DE42A4" w:rsidP="00DE42A4">
            <w:pPr>
              <w:spacing w:line="300" w:lineRule="atLeast"/>
              <w:jc w:val="center"/>
              <w:rPr>
                <w:rFonts w:ascii="Arial" w:hAnsi="Arial" w:cs="Arial"/>
                <w:b/>
                <w:sz w:val="16"/>
                <w:szCs w:val="16"/>
              </w:rPr>
            </w:pPr>
            <w:r>
              <w:rPr>
                <w:rFonts w:ascii="Arial" w:hAnsi="Arial" w:cs="Arial"/>
                <w:b/>
                <w:sz w:val="16"/>
                <w:szCs w:val="16"/>
              </w:rPr>
              <w:t>Water</w:t>
            </w:r>
          </w:p>
        </w:tc>
        <w:tc>
          <w:tcPr>
            <w:tcW w:w="1119" w:type="dxa"/>
            <w:vAlign w:val="center"/>
          </w:tcPr>
          <w:p w14:paraId="71B0224B" w14:textId="77777777" w:rsidR="00DE42A4" w:rsidRPr="00F31685" w:rsidRDefault="00DE42A4" w:rsidP="00DE42A4">
            <w:pPr>
              <w:spacing w:line="300" w:lineRule="atLeast"/>
              <w:jc w:val="center"/>
              <w:rPr>
                <w:rFonts w:ascii="Arial" w:hAnsi="Arial" w:cs="Arial"/>
                <w:b/>
                <w:sz w:val="16"/>
                <w:szCs w:val="16"/>
              </w:rPr>
            </w:pPr>
            <w:r>
              <w:rPr>
                <w:rFonts w:ascii="Arial" w:hAnsi="Arial" w:cs="Arial"/>
                <w:b/>
                <w:sz w:val="16"/>
                <w:szCs w:val="16"/>
              </w:rPr>
              <w:t>Land</w:t>
            </w:r>
          </w:p>
        </w:tc>
        <w:tc>
          <w:tcPr>
            <w:tcW w:w="1261" w:type="dxa"/>
            <w:gridSpan w:val="2"/>
            <w:vAlign w:val="center"/>
          </w:tcPr>
          <w:p w14:paraId="0D209940" w14:textId="77777777" w:rsidR="00DE42A4" w:rsidRPr="00F31685" w:rsidRDefault="00DE42A4" w:rsidP="00DE42A4">
            <w:pPr>
              <w:spacing w:line="300" w:lineRule="atLeast"/>
              <w:jc w:val="center"/>
              <w:rPr>
                <w:rFonts w:ascii="Arial" w:hAnsi="Arial" w:cs="Arial"/>
                <w:b/>
                <w:sz w:val="16"/>
                <w:szCs w:val="16"/>
              </w:rPr>
            </w:pPr>
            <w:r>
              <w:rPr>
                <w:rFonts w:ascii="Arial" w:hAnsi="Arial" w:cs="Arial"/>
                <w:b/>
                <w:sz w:val="16"/>
                <w:szCs w:val="16"/>
              </w:rPr>
              <w:t>Waste</w:t>
            </w:r>
          </w:p>
        </w:tc>
      </w:tr>
      <w:tr w:rsidR="00DE42A4" w14:paraId="191DA10A" w14:textId="77777777" w:rsidTr="00E34110">
        <w:tc>
          <w:tcPr>
            <w:tcW w:w="1503" w:type="dxa"/>
            <w:vAlign w:val="center"/>
          </w:tcPr>
          <w:p w14:paraId="48A52A6A" w14:textId="77777777" w:rsidR="00DE42A4" w:rsidRPr="00F31685" w:rsidRDefault="00DE42A4" w:rsidP="00DE42A4">
            <w:pPr>
              <w:spacing w:line="300" w:lineRule="atLeast"/>
              <w:rPr>
                <w:rFonts w:ascii="Arial" w:hAnsi="Arial" w:cs="Arial"/>
                <w:sz w:val="16"/>
                <w:szCs w:val="16"/>
              </w:rPr>
            </w:pPr>
            <w:r>
              <w:rPr>
                <w:rFonts w:ascii="Arial" w:hAnsi="Arial" w:cs="Arial"/>
                <w:sz w:val="16"/>
                <w:szCs w:val="16"/>
              </w:rPr>
              <w:t>Municipal WWTP</w:t>
            </w:r>
            <w:r w:rsidR="00914B36">
              <w:rPr>
                <w:rFonts w:ascii="Arial" w:hAnsi="Arial" w:cs="Arial"/>
                <w:sz w:val="16"/>
                <w:szCs w:val="16"/>
              </w:rPr>
              <w:t>, 2012</w:t>
            </w:r>
          </w:p>
        </w:tc>
        <w:tc>
          <w:tcPr>
            <w:tcW w:w="1260" w:type="dxa"/>
            <w:vAlign w:val="center"/>
          </w:tcPr>
          <w:p w14:paraId="0358F79B" w14:textId="77777777" w:rsidR="00DE42A4" w:rsidRPr="00F31685" w:rsidRDefault="00DE42A4" w:rsidP="00DE42A4">
            <w:pPr>
              <w:spacing w:line="300" w:lineRule="atLeast"/>
              <w:jc w:val="center"/>
              <w:rPr>
                <w:rFonts w:ascii="Arial" w:hAnsi="Arial" w:cs="Arial"/>
                <w:sz w:val="16"/>
                <w:szCs w:val="16"/>
              </w:rPr>
            </w:pPr>
            <w:r>
              <w:rPr>
                <w:rFonts w:ascii="Arial" w:hAnsi="Arial" w:cs="Arial"/>
                <w:sz w:val="16"/>
                <w:szCs w:val="16"/>
              </w:rPr>
              <w:t>657</w:t>
            </w:r>
            <w:r w:rsidR="0078520B">
              <w:rPr>
                <w:rFonts w:ascii="Arial" w:hAnsi="Arial" w:cs="Arial"/>
                <w:sz w:val="16"/>
                <w:szCs w:val="16"/>
              </w:rPr>
              <w:t xml:space="preserve"> x 10</w:t>
            </w:r>
            <w:r w:rsidR="0078520B" w:rsidRPr="002D6CD9">
              <w:rPr>
                <w:rFonts w:ascii="Arial" w:hAnsi="Arial" w:cs="Arial"/>
                <w:sz w:val="16"/>
                <w:szCs w:val="16"/>
                <w:vertAlign w:val="superscript"/>
              </w:rPr>
              <w:t>9</w:t>
            </w:r>
          </w:p>
        </w:tc>
        <w:tc>
          <w:tcPr>
            <w:tcW w:w="1397" w:type="dxa"/>
            <w:vAlign w:val="center"/>
          </w:tcPr>
          <w:p w14:paraId="071FB9A6" w14:textId="77777777" w:rsidR="00DE42A4" w:rsidRDefault="00DE42A4" w:rsidP="00DE42A4">
            <w:pPr>
              <w:spacing w:line="300" w:lineRule="atLeast"/>
              <w:jc w:val="center"/>
              <w:rPr>
                <w:rFonts w:ascii="Arial" w:hAnsi="Arial" w:cs="Arial"/>
                <w:sz w:val="16"/>
                <w:szCs w:val="16"/>
              </w:rPr>
            </w:pPr>
            <w:r>
              <w:rPr>
                <w:rFonts w:ascii="Arial" w:hAnsi="Arial" w:cs="Arial"/>
                <w:sz w:val="16"/>
                <w:szCs w:val="16"/>
              </w:rPr>
              <w:t>0.5 - 10</w:t>
            </w:r>
          </w:p>
        </w:tc>
        <w:tc>
          <w:tcPr>
            <w:tcW w:w="1218" w:type="dxa"/>
            <w:vAlign w:val="center"/>
          </w:tcPr>
          <w:p w14:paraId="6721BB97" w14:textId="116B2F19" w:rsidR="00BF32E9" w:rsidRDefault="00DE42A4" w:rsidP="00BF32E9">
            <w:pPr>
              <w:spacing w:line="300" w:lineRule="atLeast"/>
              <w:jc w:val="center"/>
              <w:rPr>
                <w:rFonts w:ascii="Arial" w:hAnsi="Arial" w:cs="Arial"/>
                <w:sz w:val="16"/>
                <w:szCs w:val="16"/>
              </w:rPr>
            </w:pPr>
            <w:r>
              <w:rPr>
                <w:rFonts w:ascii="Arial" w:hAnsi="Arial" w:cs="Arial"/>
                <w:sz w:val="16"/>
                <w:szCs w:val="16"/>
              </w:rPr>
              <w:t>32</w:t>
            </w:r>
            <w:r w:rsidR="000F3295">
              <w:rPr>
                <w:rFonts w:ascii="Arial" w:hAnsi="Arial" w:cs="Arial"/>
                <w:sz w:val="16"/>
                <w:szCs w:val="16"/>
              </w:rPr>
              <w:t>9</w:t>
            </w:r>
            <w:r>
              <w:rPr>
                <w:rFonts w:ascii="Arial" w:hAnsi="Arial" w:cs="Arial"/>
                <w:sz w:val="16"/>
                <w:szCs w:val="16"/>
              </w:rPr>
              <w:t xml:space="preserve"> – 6,570</w:t>
            </w:r>
            <w:r w:rsidR="00BF32E9">
              <w:rPr>
                <w:rFonts w:ascii="Arial" w:hAnsi="Arial" w:cs="Arial"/>
                <w:sz w:val="16"/>
                <w:szCs w:val="16"/>
              </w:rPr>
              <w:t xml:space="preserve"> </w:t>
            </w:r>
            <w:r w:rsidR="00B92E5E">
              <w:rPr>
                <w:rFonts w:ascii="Arial" w:hAnsi="Arial" w:cs="Arial"/>
                <w:sz w:val="16"/>
                <w:szCs w:val="16"/>
              </w:rPr>
              <w:t>(3,449</w:t>
            </w:r>
            <w:r w:rsidR="00BF32E9">
              <w:rPr>
                <w:rFonts w:ascii="Arial" w:hAnsi="Arial" w:cs="Arial"/>
                <w:sz w:val="16"/>
                <w:szCs w:val="16"/>
              </w:rPr>
              <w:t>)</w:t>
            </w:r>
          </w:p>
        </w:tc>
        <w:tc>
          <w:tcPr>
            <w:tcW w:w="1303" w:type="dxa"/>
            <w:vAlign w:val="center"/>
          </w:tcPr>
          <w:p w14:paraId="14268918" w14:textId="52CB39EC" w:rsidR="00DE42A4" w:rsidRPr="00F31685" w:rsidRDefault="00DE42A4" w:rsidP="00DE42A4">
            <w:pPr>
              <w:spacing w:line="300" w:lineRule="atLeast"/>
              <w:jc w:val="center"/>
              <w:rPr>
                <w:rFonts w:ascii="Arial" w:hAnsi="Arial" w:cs="Arial"/>
                <w:sz w:val="16"/>
                <w:szCs w:val="16"/>
              </w:rPr>
            </w:pPr>
            <w:r>
              <w:rPr>
                <w:rFonts w:ascii="Arial" w:hAnsi="Arial" w:cs="Arial"/>
                <w:sz w:val="16"/>
                <w:szCs w:val="16"/>
              </w:rPr>
              <w:t>164 – 3,285</w:t>
            </w:r>
            <w:r w:rsidR="00B92E5E">
              <w:rPr>
                <w:rFonts w:ascii="Arial" w:hAnsi="Arial" w:cs="Arial"/>
                <w:sz w:val="16"/>
                <w:szCs w:val="16"/>
              </w:rPr>
              <w:t xml:space="preserve"> (1,72</w:t>
            </w:r>
            <w:r w:rsidR="000F3295">
              <w:rPr>
                <w:rFonts w:ascii="Arial" w:hAnsi="Arial" w:cs="Arial"/>
                <w:sz w:val="16"/>
                <w:szCs w:val="16"/>
              </w:rPr>
              <w:t>5)</w:t>
            </w:r>
          </w:p>
        </w:tc>
        <w:tc>
          <w:tcPr>
            <w:tcW w:w="1119" w:type="dxa"/>
            <w:vAlign w:val="center"/>
          </w:tcPr>
          <w:p w14:paraId="25660D26" w14:textId="35E16F19" w:rsidR="00DE42A4" w:rsidRPr="00F31685" w:rsidRDefault="00DE42A4" w:rsidP="00DE42A4">
            <w:pPr>
              <w:spacing w:line="300" w:lineRule="atLeast"/>
              <w:jc w:val="center"/>
              <w:rPr>
                <w:rFonts w:ascii="Arial" w:hAnsi="Arial" w:cs="Arial"/>
                <w:sz w:val="16"/>
                <w:szCs w:val="16"/>
              </w:rPr>
            </w:pPr>
            <w:r>
              <w:rPr>
                <w:rFonts w:ascii="Arial" w:hAnsi="Arial" w:cs="Arial"/>
                <w:sz w:val="16"/>
                <w:szCs w:val="16"/>
              </w:rPr>
              <w:t xml:space="preserve">65.7 </w:t>
            </w:r>
            <w:r w:rsidR="00BF32E9">
              <w:rPr>
                <w:rFonts w:ascii="Arial" w:hAnsi="Arial" w:cs="Arial"/>
                <w:sz w:val="16"/>
                <w:szCs w:val="16"/>
              </w:rPr>
              <w:t>–</w:t>
            </w:r>
            <w:r>
              <w:rPr>
                <w:rFonts w:ascii="Arial" w:hAnsi="Arial" w:cs="Arial"/>
                <w:sz w:val="16"/>
                <w:szCs w:val="16"/>
              </w:rPr>
              <w:t xml:space="preserve"> 1</w:t>
            </w:r>
            <w:r w:rsidR="00962F74">
              <w:rPr>
                <w:rFonts w:ascii="Arial" w:hAnsi="Arial" w:cs="Arial"/>
                <w:sz w:val="16"/>
                <w:szCs w:val="16"/>
              </w:rPr>
              <w:t>,</w:t>
            </w:r>
            <w:r>
              <w:rPr>
                <w:rFonts w:ascii="Arial" w:hAnsi="Arial" w:cs="Arial"/>
                <w:sz w:val="16"/>
                <w:szCs w:val="16"/>
              </w:rPr>
              <w:t>314</w:t>
            </w:r>
            <w:r w:rsidR="00BF32E9">
              <w:rPr>
                <w:rFonts w:ascii="Arial" w:hAnsi="Arial" w:cs="Arial"/>
                <w:sz w:val="16"/>
                <w:szCs w:val="16"/>
              </w:rPr>
              <w:t xml:space="preserve"> (</w:t>
            </w:r>
            <w:r w:rsidR="00B92E5E">
              <w:rPr>
                <w:rFonts w:ascii="Arial" w:hAnsi="Arial" w:cs="Arial"/>
                <w:sz w:val="16"/>
                <w:szCs w:val="16"/>
              </w:rPr>
              <w:t>6</w:t>
            </w:r>
            <w:r w:rsidR="000F3295">
              <w:rPr>
                <w:rFonts w:ascii="Arial" w:hAnsi="Arial" w:cs="Arial"/>
                <w:sz w:val="16"/>
                <w:szCs w:val="16"/>
              </w:rPr>
              <w:t>90</w:t>
            </w:r>
            <w:r w:rsidR="00BF32E9">
              <w:rPr>
                <w:rFonts w:ascii="Arial" w:hAnsi="Arial" w:cs="Arial"/>
                <w:sz w:val="16"/>
                <w:szCs w:val="16"/>
              </w:rPr>
              <w:t>)</w:t>
            </w:r>
          </w:p>
        </w:tc>
        <w:tc>
          <w:tcPr>
            <w:tcW w:w="1261" w:type="dxa"/>
            <w:gridSpan w:val="2"/>
            <w:vAlign w:val="center"/>
          </w:tcPr>
          <w:p w14:paraId="571343D2" w14:textId="72E4546D" w:rsidR="00DE42A4" w:rsidRPr="00F31685" w:rsidRDefault="00DE42A4" w:rsidP="00B92E5E">
            <w:pPr>
              <w:spacing w:line="300" w:lineRule="atLeast"/>
              <w:jc w:val="center"/>
              <w:rPr>
                <w:rFonts w:ascii="Arial" w:hAnsi="Arial" w:cs="Arial"/>
                <w:sz w:val="16"/>
                <w:szCs w:val="16"/>
              </w:rPr>
            </w:pPr>
            <w:r>
              <w:rPr>
                <w:rFonts w:ascii="Arial" w:hAnsi="Arial" w:cs="Arial"/>
                <w:sz w:val="16"/>
                <w:szCs w:val="16"/>
              </w:rPr>
              <w:t xml:space="preserve">98.5 </w:t>
            </w:r>
            <w:r w:rsidR="00BF32E9">
              <w:rPr>
                <w:rFonts w:ascii="Arial" w:hAnsi="Arial" w:cs="Arial"/>
                <w:sz w:val="16"/>
                <w:szCs w:val="16"/>
              </w:rPr>
              <w:t>–</w:t>
            </w:r>
            <w:r>
              <w:rPr>
                <w:rFonts w:ascii="Arial" w:hAnsi="Arial" w:cs="Arial"/>
                <w:sz w:val="16"/>
                <w:szCs w:val="16"/>
              </w:rPr>
              <w:t xml:space="preserve"> 1</w:t>
            </w:r>
            <w:r w:rsidR="00962F74">
              <w:rPr>
                <w:rFonts w:ascii="Arial" w:hAnsi="Arial" w:cs="Arial"/>
                <w:sz w:val="16"/>
                <w:szCs w:val="16"/>
              </w:rPr>
              <w:t>,</w:t>
            </w:r>
            <w:r>
              <w:rPr>
                <w:rFonts w:ascii="Arial" w:hAnsi="Arial" w:cs="Arial"/>
                <w:sz w:val="16"/>
                <w:szCs w:val="16"/>
              </w:rPr>
              <w:t>971</w:t>
            </w:r>
            <w:r w:rsidR="00BF32E9">
              <w:rPr>
                <w:rFonts w:ascii="Arial" w:hAnsi="Arial" w:cs="Arial"/>
                <w:sz w:val="16"/>
                <w:szCs w:val="16"/>
              </w:rPr>
              <w:t xml:space="preserve"> (1</w:t>
            </w:r>
            <w:r w:rsidR="00B92E5E">
              <w:rPr>
                <w:rFonts w:ascii="Arial" w:hAnsi="Arial" w:cs="Arial"/>
                <w:sz w:val="16"/>
                <w:szCs w:val="16"/>
              </w:rPr>
              <w:t>,03</w:t>
            </w:r>
            <w:r w:rsidR="000F3295">
              <w:rPr>
                <w:rFonts w:ascii="Arial" w:hAnsi="Arial" w:cs="Arial"/>
                <w:sz w:val="16"/>
                <w:szCs w:val="16"/>
              </w:rPr>
              <w:t>5</w:t>
            </w:r>
            <w:r w:rsidR="00BF32E9">
              <w:rPr>
                <w:rFonts w:ascii="Arial" w:hAnsi="Arial" w:cs="Arial"/>
                <w:sz w:val="16"/>
                <w:szCs w:val="16"/>
              </w:rPr>
              <w:t>)</w:t>
            </w:r>
          </w:p>
        </w:tc>
      </w:tr>
      <w:tr w:rsidR="00914B36" w14:paraId="44AE0803" w14:textId="77777777" w:rsidTr="00E34110">
        <w:tc>
          <w:tcPr>
            <w:tcW w:w="1503" w:type="dxa"/>
            <w:vAlign w:val="center"/>
          </w:tcPr>
          <w:p w14:paraId="20B7B6A1" w14:textId="77777777" w:rsidR="00914B36" w:rsidRPr="00F31685" w:rsidRDefault="00914B36" w:rsidP="00914B36">
            <w:pPr>
              <w:spacing w:line="300" w:lineRule="atLeast"/>
              <w:rPr>
                <w:rFonts w:ascii="Arial" w:hAnsi="Arial" w:cs="Arial"/>
                <w:sz w:val="16"/>
                <w:szCs w:val="16"/>
              </w:rPr>
            </w:pPr>
            <w:r>
              <w:rPr>
                <w:rFonts w:ascii="Arial" w:hAnsi="Arial" w:cs="Arial"/>
                <w:sz w:val="16"/>
                <w:szCs w:val="16"/>
              </w:rPr>
              <w:t>Municipal WWTP, 2016</w:t>
            </w:r>
          </w:p>
        </w:tc>
        <w:tc>
          <w:tcPr>
            <w:tcW w:w="1260" w:type="dxa"/>
            <w:vAlign w:val="center"/>
          </w:tcPr>
          <w:p w14:paraId="42E60898" w14:textId="77777777" w:rsidR="00914B36" w:rsidRPr="00800EF1" w:rsidRDefault="00914B36" w:rsidP="00914B36">
            <w:pPr>
              <w:spacing w:line="300" w:lineRule="atLeast"/>
              <w:jc w:val="center"/>
              <w:rPr>
                <w:rFonts w:ascii="Arial" w:hAnsi="Arial" w:cs="Arial"/>
                <w:sz w:val="16"/>
                <w:szCs w:val="16"/>
                <w:vertAlign w:val="superscript"/>
              </w:rPr>
            </w:pPr>
            <w:r>
              <w:rPr>
                <w:rFonts w:ascii="Arial" w:hAnsi="Arial" w:cs="Arial"/>
                <w:sz w:val="16"/>
                <w:szCs w:val="16"/>
              </w:rPr>
              <w:t>555 x 10</w:t>
            </w:r>
            <w:r>
              <w:rPr>
                <w:rFonts w:ascii="Arial" w:hAnsi="Arial" w:cs="Arial"/>
                <w:sz w:val="16"/>
                <w:szCs w:val="16"/>
                <w:vertAlign w:val="superscript"/>
              </w:rPr>
              <w:t>9</w:t>
            </w:r>
          </w:p>
        </w:tc>
        <w:tc>
          <w:tcPr>
            <w:tcW w:w="1397" w:type="dxa"/>
            <w:vAlign w:val="center"/>
          </w:tcPr>
          <w:p w14:paraId="0DE47B59" w14:textId="77777777" w:rsidR="00914B36" w:rsidRDefault="00914B36" w:rsidP="00914B36">
            <w:pPr>
              <w:spacing w:line="300" w:lineRule="atLeast"/>
              <w:jc w:val="center"/>
              <w:rPr>
                <w:rFonts w:ascii="Arial" w:hAnsi="Arial" w:cs="Arial"/>
                <w:sz w:val="16"/>
                <w:szCs w:val="16"/>
              </w:rPr>
            </w:pPr>
            <w:r>
              <w:rPr>
                <w:rFonts w:ascii="Arial" w:hAnsi="Arial" w:cs="Arial"/>
                <w:sz w:val="16"/>
                <w:szCs w:val="16"/>
              </w:rPr>
              <w:t>0.5 - 10</w:t>
            </w:r>
          </w:p>
        </w:tc>
        <w:tc>
          <w:tcPr>
            <w:tcW w:w="1218" w:type="dxa"/>
            <w:vAlign w:val="center"/>
          </w:tcPr>
          <w:p w14:paraId="115CCDCA" w14:textId="34071019" w:rsidR="00914B36" w:rsidRDefault="001724C3" w:rsidP="00914B36">
            <w:pPr>
              <w:spacing w:line="300" w:lineRule="atLeast"/>
              <w:jc w:val="center"/>
              <w:rPr>
                <w:rFonts w:ascii="Arial" w:hAnsi="Arial" w:cs="Arial"/>
                <w:sz w:val="16"/>
                <w:szCs w:val="16"/>
              </w:rPr>
            </w:pPr>
            <w:r>
              <w:rPr>
                <w:rFonts w:ascii="Arial" w:hAnsi="Arial" w:cs="Arial"/>
                <w:sz w:val="16"/>
                <w:szCs w:val="16"/>
              </w:rPr>
              <w:t>277.5 – 5</w:t>
            </w:r>
            <w:r w:rsidR="00B32A96">
              <w:rPr>
                <w:rFonts w:ascii="Arial" w:hAnsi="Arial" w:cs="Arial"/>
                <w:sz w:val="16"/>
                <w:szCs w:val="16"/>
              </w:rPr>
              <w:t>,</w:t>
            </w:r>
            <w:r>
              <w:rPr>
                <w:rFonts w:ascii="Arial" w:hAnsi="Arial" w:cs="Arial"/>
                <w:sz w:val="16"/>
                <w:szCs w:val="16"/>
              </w:rPr>
              <w:t>550 (2,91</w:t>
            </w:r>
            <w:r w:rsidR="000F3295">
              <w:rPr>
                <w:rFonts w:ascii="Arial" w:hAnsi="Arial" w:cs="Arial"/>
                <w:sz w:val="16"/>
                <w:szCs w:val="16"/>
              </w:rPr>
              <w:t>4</w:t>
            </w:r>
            <w:r w:rsidR="00914B36">
              <w:rPr>
                <w:rFonts w:ascii="Arial" w:hAnsi="Arial" w:cs="Arial"/>
                <w:sz w:val="16"/>
                <w:szCs w:val="16"/>
              </w:rPr>
              <w:t>)</w:t>
            </w:r>
          </w:p>
        </w:tc>
        <w:tc>
          <w:tcPr>
            <w:tcW w:w="1303" w:type="dxa"/>
            <w:vAlign w:val="center"/>
          </w:tcPr>
          <w:p w14:paraId="304F8AA9" w14:textId="7CE6B8BD" w:rsidR="00914B36" w:rsidRDefault="001724C3" w:rsidP="001724C3">
            <w:pPr>
              <w:spacing w:line="300" w:lineRule="atLeast"/>
              <w:jc w:val="center"/>
              <w:rPr>
                <w:rFonts w:ascii="Arial" w:hAnsi="Arial" w:cs="Arial"/>
                <w:sz w:val="16"/>
                <w:szCs w:val="16"/>
              </w:rPr>
            </w:pPr>
            <w:r>
              <w:rPr>
                <w:rFonts w:ascii="Arial" w:hAnsi="Arial" w:cs="Arial"/>
                <w:sz w:val="16"/>
                <w:szCs w:val="16"/>
              </w:rPr>
              <w:t>138</w:t>
            </w:r>
            <w:r w:rsidR="00914B36">
              <w:rPr>
                <w:rFonts w:ascii="Arial" w:hAnsi="Arial" w:cs="Arial"/>
                <w:sz w:val="16"/>
                <w:szCs w:val="16"/>
              </w:rPr>
              <w:t>.</w:t>
            </w:r>
            <w:r>
              <w:rPr>
                <w:rFonts w:ascii="Arial" w:hAnsi="Arial" w:cs="Arial"/>
                <w:sz w:val="16"/>
                <w:szCs w:val="16"/>
              </w:rPr>
              <w:t>7 – 2,775</w:t>
            </w:r>
            <w:r w:rsidR="00914B36">
              <w:rPr>
                <w:rFonts w:ascii="Arial" w:hAnsi="Arial" w:cs="Arial"/>
                <w:sz w:val="16"/>
                <w:szCs w:val="16"/>
              </w:rPr>
              <w:t xml:space="preserve"> </w:t>
            </w:r>
            <w:r>
              <w:rPr>
                <w:rFonts w:ascii="Arial" w:hAnsi="Arial" w:cs="Arial"/>
                <w:sz w:val="16"/>
                <w:szCs w:val="16"/>
              </w:rPr>
              <w:t>(1,45</w:t>
            </w:r>
            <w:r w:rsidR="000F3295">
              <w:rPr>
                <w:rFonts w:ascii="Arial" w:hAnsi="Arial" w:cs="Arial"/>
                <w:sz w:val="16"/>
                <w:szCs w:val="16"/>
              </w:rPr>
              <w:t>7</w:t>
            </w:r>
            <w:r w:rsidR="00914B36">
              <w:rPr>
                <w:rFonts w:ascii="Arial" w:hAnsi="Arial" w:cs="Arial"/>
                <w:sz w:val="16"/>
                <w:szCs w:val="16"/>
              </w:rPr>
              <w:t>)</w:t>
            </w:r>
          </w:p>
        </w:tc>
        <w:tc>
          <w:tcPr>
            <w:tcW w:w="1119" w:type="dxa"/>
            <w:vAlign w:val="center"/>
          </w:tcPr>
          <w:p w14:paraId="76874BC9" w14:textId="6682AAC4" w:rsidR="00914B36" w:rsidRDefault="00914B36" w:rsidP="00914B36">
            <w:pPr>
              <w:spacing w:line="300" w:lineRule="atLeast"/>
              <w:jc w:val="center"/>
              <w:rPr>
                <w:rFonts w:ascii="Arial" w:hAnsi="Arial" w:cs="Arial"/>
                <w:sz w:val="16"/>
                <w:szCs w:val="16"/>
              </w:rPr>
            </w:pPr>
            <w:r>
              <w:rPr>
                <w:rFonts w:ascii="Arial" w:hAnsi="Arial" w:cs="Arial"/>
                <w:sz w:val="16"/>
                <w:szCs w:val="16"/>
              </w:rPr>
              <w:t>5</w:t>
            </w:r>
            <w:r w:rsidR="001724C3">
              <w:rPr>
                <w:rFonts w:ascii="Arial" w:hAnsi="Arial" w:cs="Arial"/>
                <w:sz w:val="16"/>
                <w:szCs w:val="16"/>
              </w:rPr>
              <w:t>5.5 – 1110 (5</w:t>
            </w:r>
            <w:r>
              <w:rPr>
                <w:rFonts w:ascii="Arial" w:hAnsi="Arial" w:cs="Arial"/>
                <w:sz w:val="16"/>
                <w:szCs w:val="16"/>
              </w:rPr>
              <w:t>8</w:t>
            </w:r>
            <w:r w:rsidR="000F3295">
              <w:rPr>
                <w:rFonts w:ascii="Arial" w:hAnsi="Arial" w:cs="Arial"/>
                <w:sz w:val="16"/>
                <w:szCs w:val="16"/>
              </w:rPr>
              <w:t>3</w:t>
            </w:r>
            <w:r>
              <w:rPr>
                <w:rFonts w:ascii="Arial" w:hAnsi="Arial" w:cs="Arial"/>
                <w:sz w:val="16"/>
                <w:szCs w:val="16"/>
              </w:rPr>
              <w:t>)</w:t>
            </w:r>
          </w:p>
        </w:tc>
        <w:tc>
          <w:tcPr>
            <w:tcW w:w="1261" w:type="dxa"/>
            <w:gridSpan w:val="2"/>
            <w:vAlign w:val="center"/>
          </w:tcPr>
          <w:p w14:paraId="3F73486B" w14:textId="3F7C1B06" w:rsidR="00914B36" w:rsidRDefault="00FE0EB9" w:rsidP="00914B36">
            <w:pPr>
              <w:spacing w:line="300" w:lineRule="atLeast"/>
              <w:jc w:val="center"/>
              <w:rPr>
                <w:rFonts w:ascii="Arial" w:hAnsi="Arial" w:cs="Arial"/>
                <w:sz w:val="16"/>
                <w:szCs w:val="16"/>
              </w:rPr>
            </w:pPr>
            <w:r>
              <w:rPr>
                <w:rFonts w:ascii="Arial" w:hAnsi="Arial" w:cs="Arial"/>
                <w:sz w:val="16"/>
                <w:szCs w:val="16"/>
              </w:rPr>
              <w:t>83.25 – 1,665 (874)</w:t>
            </w:r>
          </w:p>
        </w:tc>
      </w:tr>
      <w:tr w:rsidR="005A7AF8" w14:paraId="57B4F7BC" w14:textId="77777777" w:rsidTr="00E34110">
        <w:tc>
          <w:tcPr>
            <w:tcW w:w="1503" w:type="dxa"/>
            <w:vAlign w:val="center"/>
          </w:tcPr>
          <w:p w14:paraId="5E1144A3" w14:textId="44E93390" w:rsidR="005A7AF8" w:rsidRDefault="005A7AF8" w:rsidP="00914B36">
            <w:pPr>
              <w:spacing w:line="300" w:lineRule="atLeast"/>
              <w:rPr>
                <w:rFonts w:ascii="Arial" w:hAnsi="Arial" w:cs="Arial"/>
                <w:sz w:val="16"/>
                <w:szCs w:val="16"/>
              </w:rPr>
            </w:pPr>
            <w:r>
              <w:rPr>
                <w:rFonts w:ascii="Arial" w:hAnsi="Arial" w:cs="Arial"/>
                <w:sz w:val="16"/>
                <w:szCs w:val="16"/>
              </w:rPr>
              <w:t>Municipal WWTP</w:t>
            </w:r>
            <w:r w:rsidR="00637BF5">
              <w:rPr>
                <w:rFonts w:ascii="Arial" w:hAnsi="Arial" w:cs="Arial"/>
                <w:sz w:val="16"/>
                <w:szCs w:val="16"/>
              </w:rPr>
              <w:t>, 2020</w:t>
            </w:r>
          </w:p>
        </w:tc>
        <w:tc>
          <w:tcPr>
            <w:tcW w:w="1260" w:type="dxa"/>
            <w:vAlign w:val="center"/>
          </w:tcPr>
          <w:p w14:paraId="57830073" w14:textId="17968932" w:rsidR="005A7AF8" w:rsidRDefault="00490608" w:rsidP="00914B36">
            <w:pPr>
              <w:spacing w:line="300" w:lineRule="atLeast"/>
              <w:jc w:val="center"/>
              <w:rPr>
                <w:rFonts w:ascii="Arial" w:hAnsi="Arial" w:cs="Arial"/>
                <w:sz w:val="16"/>
                <w:szCs w:val="16"/>
              </w:rPr>
            </w:pPr>
            <w:r>
              <w:rPr>
                <w:rFonts w:ascii="Arial" w:hAnsi="Arial" w:cs="Arial"/>
                <w:sz w:val="16"/>
                <w:szCs w:val="16"/>
              </w:rPr>
              <w:t>6</w:t>
            </w:r>
            <w:r w:rsidR="005F3B40">
              <w:rPr>
                <w:rFonts w:ascii="Arial" w:hAnsi="Arial" w:cs="Arial"/>
                <w:sz w:val="16"/>
                <w:szCs w:val="16"/>
              </w:rPr>
              <w:t>29</w:t>
            </w:r>
            <w:r>
              <w:rPr>
                <w:rFonts w:ascii="Arial" w:hAnsi="Arial" w:cs="Arial"/>
                <w:sz w:val="16"/>
                <w:szCs w:val="16"/>
              </w:rPr>
              <w:t xml:space="preserve"> x 10</w:t>
            </w:r>
            <w:r>
              <w:rPr>
                <w:rFonts w:ascii="Arial" w:hAnsi="Arial" w:cs="Arial"/>
                <w:sz w:val="16"/>
                <w:szCs w:val="16"/>
                <w:vertAlign w:val="superscript"/>
              </w:rPr>
              <w:t>9</w:t>
            </w:r>
          </w:p>
        </w:tc>
        <w:tc>
          <w:tcPr>
            <w:tcW w:w="1397" w:type="dxa"/>
            <w:vAlign w:val="center"/>
          </w:tcPr>
          <w:p w14:paraId="57B51072" w14:textId="13011308" w:rsidR="005A7AF8" w:rsidRDefault="00490608" w:rsidP="00914B36">
            <w:pPr>
              <w:spacing w:line="300" w:lineRule="atLeast"/>
              <w:jc w:val="center"/>
              <w:rPr>
                <w:rFonts w:ascii="Arial" w:hAnsi="Arial" w:cs="Arial"/>
                <w:sz w:val="16"/>
                <w:szCs w:val="16"/>
              </w:rPr>
            </w:pPr>
            <w:r>
              <w:rPr>
                <w:rFonts w:ascii="Arial" w:hAnsi="Arial" w:cs="Arial"/>
                <w:sz w:val="16"/>
                <w:szCs w:val="16"/>
              </w:rPr>
              <w:t>0.5 - 10</w:t>
            </w:r>
          </w:p>
        </w:tc>
        <w:tc>
          <w:tcPr>
            <w:tcW w:w="1218" w:type="dxa"/>
            <w:vAlign w:val="center"/>
          </w:tcPr>
          <w:p w14:paraId="5844C8FE" w14:textId="7D43969A" w:rsidR="005A7AF8" w:rsidRDefault="00490608" w:rsidP="00914B36">
            <w:pPr>
              <w:spacing w:line="300" w:lineRule="atLeast"/>
              <w:jc w:val="center"/>
              <w:rPr>
                <w:rFonts w:ascii="Arial" w:hAnsi="Arial" w:cs="Arial"/>
                <w:sz w:val="16"/>
                <w:szCs w:val="16"/>
              </w:rPr>
            </w:pPr>
            <w:r>
              <w:rPr>
                <w:rFonts w:ascii="Arial" w:hAnsi="Arial" w:cs="Arial"/>
                <w:sz w:val="16"/>
                <w:szCs w:val="16"/>
              </w:rPr>
              <w:t>3</w:t>
            </w:r>
            <w:r w:rsidR="005F3B40">
              <w:rPr>
                <w:rFonts w:ascii="Arial" w:hAnsi="Arial" w:cs="Arial"/>
                <w:sz w:val="16"/>
                <w:szCs w:val="16"/>
              </w:rPr>
              <w:t>1</w:t>
            </w:r>
            <w:r w:rsidR="000F3295">
              <w:rPr>
                <w:rFonts w:ascii="Arial" w:hAnsi="Arial" w:cs="Arial"/>
                <w:sz w:val="16"/>
                <w:szCs w:val="16"/>
              </w:rPr>
              <w:t>5</w:t>
            </w:r>
            <w:r>
              <w:rPr>
                <w:rFonts w:ascii="Arial" w:hAnsi="Arial" w:cs="Arial"/>
                <w:sz w:val="16"/>
                <w:szCs w:val="16"/>
              </w:rPr>
              <w:t xml:space="preserve"> – 6,</w:t>
            </w:r>
            <w:r w:rsidR="005F3B40">
              <w:rPr>
                <w:rFonts w:ascii="Arial" w:hAnsi="Arial" w:cs="Arial"/>
                <w:sz w:val="16"/>
                <w:szCs w:val="16"/>
              </w:rPr>
              <w:t>29</w:t>
            </w:r>
            <w:r>
              <w:rPr>
                <w:rFonts w:ascii="Arial" w:hAnsi="Arial" w:cs="Arial"/>
                <w:sz w:val="16"/>
                <w:szCs w:val="16"/>
              </w:rPr>
              <w:t>0</w:t>
            </w:r>
            <w:r w:rsidR="00051753">
              <w:rPr>
                <w:rFonts w:ascii="Arial" w:hAnsi="Arial" w:cs="Arial"/>
                <w:sz w:val="16"/>
                <w:szCs w:val="16"/>
              </w:rPr>
              <w:t xml:space="preserve"> (330</w:t>
            </w:r>
            <w:r w:rsidR="00A46622">
              <w:rPr>
                <w:rFonts w:ascii="Arial" w:hAnsi="Arial" w:cs="Arial"/>
                <w:sz w:val="16"/>
                <w:szCs w:val="16"/>
              </w:rPr>
              <w:t>4</w:t>
            </w:r>
            <w:r w:rsidR="00051753">
              <w:rPr>
                <w:rFonts w:ascii="Arial" w:hAnsi="Arial" w:cs="Arial"/>
                <w:sz w:val="16"/>
                <w:szCs w:val="16"/>
              </w:rPr>
              <w:t>)</w:t>
            </w:r>
          </w:p>
        </w:tc>
        <w:tc>
          <w:tcPr>
            <w:tcW w:w="1303" w:type="dxa"/>
            <w:vAlign w:val="center"/>
          </w:tcPr>
          <w:p w14:paraId="61DFA179" w14:textId="20A27EE0" w:rsidR="005A7AF8" w:rsidRDefault="00490608" w:rsidP="001724C3">
            <w:pPr>
              <w:spacing w:line="300" w:lineRule="atLeast"/>
              <w:jc w:val="center"/>
              <w:rPr>
                <w:rFonts w:ascii="Arial" w:hAnsi="Arial" w:cs="Arial"/>
                <w:sz w:val="16"/>
                <w:szCs w:val="16"/>
              </w:rPr>
            </w:pPr>
            <w:r>
              <w:rPr>
                <w:rFonts w:ascii="Arial" w:hAnsi="Arial" w:cs="Arial"/>
                <w:sz w:val="16"/>
                <w:szCs w:val="16"/>
              </w:rPr>
              <w:t>1</w:t>
            </w:r>
            <w:r w:rsidR="005F3B40">
              <w:rPr>
                <w:rFonts w:ascii="Arial" w:hAnsi="Arial" w:cs="Arial"/>
                <w:sz w:val="16"/>
                <w:szCs w:val="16"/>
              </w:rPr>
              <w:t>57</w:t>
            </w:r>
            <w:r>
              <w:rPr>
                <w:rFonts w:ascii="Arial" w:hAnsi="Arial" w:cs="Arial"/>
                <w:sz w:val="16"/>
                <w:szCs w:val="16"/>
              </w:rPr>
              <w:t xml:space="preserve"> – 3,</w:t>
            </w:r>
            <w:r w:rsidR="005F3B40">
              <w:rPr>
                <w:rFonts w:ascii="Arial" w:hAnsi="Arial" w:cs="Arial"/>
                <w:sz w:val="16"/>
                <w:szCs w:val="16"/>
              </w:rPr>
              <w:t>145</w:t>
            </w:r>
            <w:r w:rsidR="00051753">
              <w:rPr>
                <w:rFonts w:ascii="Arial" w:hAnsi="Arial" w:cs="Arial"/>
                <w:sz w:val="16"/>
                <w:szCs w:val="16"/>
              </w:rPr>
              <w:t xml:space="preserve"> (165</w:t>
            </w:r>
            <w:r w:rsidR="00A46622">
              <w:rPr>
                <w:rFonts w:ascii="Arial" w:hAnsi="Arial" w:cs="Arial"/>
                <w:sz w:val="16"/>
                <w:szCs w:val="16"/>
              </w:rPr>
              <w:t>2</w:t>
            </w:r>
            <w:r w:rsidR="00051753">
              <w:rPr>
                <w:rFonts w:ascii="Arial" w:hAnsi="Arial" w:cs="Arial"/>
                <w:sz w:val="16"/>
                <w:szCs w:val="16"/>
              </w:rPr>
              <w:t>)</w:t>
            </w:r>
          </w:p>
        </w:tc>
        <w:tc>
          <w:tcPr>
            <w:tcW w:w="1119" w:type="dxa"/>
            <w:vAlign w:val="center"/>
          </w:tcPr>
          <w:p w14:paraId="5B4279B2" w14:textId="73E98C4A" w:rsidR="005A7AF8" w:rsidRDefault="00490608" w:rsidP="00914B36">
            <w:pPr>
              <w:spacing w:line="300" w:lineRule="atLeast"/>
              <w:jc w:val="center"/>
              <w:rPr>
                <w:rFonts w:ascii="Arial" w:hAnsi="Arial" w:cs="Arial"/>
                <w:sz w:val="16"/>
                <w:szCs w:val="16"/>
              </w:rPr>
            </w:pPr>
            <w:r>
              <w:rPr>
                <w:rFonts w:ascii="Arial" w:hAnsi="Arial" w:cs="Arial"/>
                <w:sz w:val="16"/>
                <w:szCs w:val="16"/>
              </w:rPr>
              <w:t>6</w:t>
            </w:r>
            <w:r w:rsidR="005F3B40">
              <w:rPr>
                <w:rFonts w:ascii="Arial" w:hAnsi="Arial" w:cs="Arial"/>
                <w:sz w:val="16"/>
                <w:szCs w:val="16"/>
              </w:rPr>
              <w:t>2.9</w:t>
            </w:r>
            <w:r>
              <w:rPr>
                <w:rFonts w:ascii="Arial" w:hAnsi="Arial" w:cs="Arial"/>
                <w:sz w:val="16"/>
                <w:szCs w:val="16"/>
              </w:rPr>
              <w:t xml:space="preserve"> – 1,2</w:t>
            </w:r>
            <w:r w:rsidR="005F3B40">
              <w:rPr>
                <w:rFonts w:ascii="Arial" w:hAnsi="Arial" w:cs="Arial"/>
                <w:sz w:val="16"/>
                <w:szCs w:val="16"/>
              </w:rPr>
              <w:t>58</w:t>
            </w:r>
            <w:r w:rsidR="00051753">
              <w:rPr>
                <w:rFonts w:ascii="Arial" w:hAnsi="Arial" w:cs="Arial"/>
                <w:sz w:val="16"/>
                <w:szCs w:val="16"/>
              </w:rPr>
              <w:t xml:space="preserve"> (66</w:t>
            </w:r>
            <w:r w:rsidR="00A46622">
              <w:rPr>
                <w:rFonts w:ascii="Arial" w:hAnsi="Arial" w:cs="Arial"/>
                <w:sz w:val="16"/>
                <w:szCs w:val="16"/>
              </w:rPr>
              <w:t>1</w:t>
            </w:r>
            <w:r w:rsidR="00051753">
              <w:rPr>
                <w:rFonts w:ascii="Arial" w:hAnsi="Arial" w:cs="Arial"/>
                <w:sz w:val="16"/>
                <w:szCs w:val="16"/>
              </w:rPr>
              <w:t>)</w:t>
            </w:r>
          </w:p>
        </w:tc>
        <w:tc>
          <w:tcPr>
            <w:tcW w:w="1261" w:type="dxa"/>
            <w:gridSpan w:val="2"/>
            <w:vAlign w:val="center"/>
          </w:tcPr>
          <w:p w14:paraId="20437A3B" w14:textId="4E36FB7E" w:rsidR="005A7AF8" w:rsidRDefault="00490608" w:rsidP="00914B36">
            <w:pPr>
              <w:spacing w:line="300" w:lineRule="atLeast"/>
              <w:jc w:val="center"/>
              <w:rPr>
                <w:rFonts w:ascii="Arial" w:hAnsi="Arial" w:cs="Arial"/>
                <w:sz w:val="16"/>
                <w:szCs w:val="16"/>
              </w:rPr>
            </w:pPr>
            <w:r>
              <w:rPr>
                <w:rFonts w:ascii="Arial" w:hAnsi="Arial" w:cs="Arial"/>
                <w:sz w:val="16"/>
                <w:szCs w:val="16"/>
              </w:rPr>
              <w:t>9</w:t>
            </w:r>
            <w:r w:rsidR="005F3B40">
              <w:rPr>
                <w:rFonts w:ascii="Arial" w:hAnsi="Arial" w:cs="Arial"/>
                <w:sz w:val="16"/>
                <w:szCs w:val="16"/>
              </w:rPr>
              <w:t>4.4</w:t>
            </w:r>
            <w:r>
              <w:rPr>
                <w:rFonts w:ascii="Arial" w:hAnsi="Arial" w:cs="Arial"/>
                <w:sz w:val="16"/>
                <w:szCs w:val="16"/>
              </w:rPr>
              <w:t xml:space="preserve"> – 1,</w:t>
            </w:r>
            <w:r w:rsidR="005F3B40">
              <w:rPr>
                <w:rFonts w:ascii="Arial" w:hAnsi="Arial" w:cs="Arial"/>
                <w:sz w:val="16"/>
                <w:szCs w:val="16"/>
              </w:rPr>
              <w:t>887</w:t>
            </w:r>
            <w:r w:rsidR="00051753">
              <w:rPr>
                <w:rFonts w:ascii="Arial" w:hAnsi="Arial" w:cs="Arial"/>
                <w:sz w:val="16"/>
                <w:szCs w:val="16"/>
              </w:rPr>
              <w:t xml:space="preserve"> (991)</w:t>
            </w:r>
          </w:p>
        </w:tc>
      </w:tr>
      <w:tr w:rsidR="006D5F31" w14:paraId="13717644" w14:textId="77777777" w:rsidTr="00E34110">
        <w:trPr>
          <w:gridAfter w:val="1"/>
          <w:wAfter w:w="45" w:type="dxa"/>
        </w:trPr>
        <w:tc>
          <w:tcPr>
            <w:tcW w:w="1503" w:type="dxa"/>
            <w:vAlign w:val="center"/>
          </w:tcPr>
          <w:p w14:paraId="1AAEE3DA" w14:textId="1BC5529B" w:rsidR="006D5F31" w:rsidRDefault="006D5F31" w:rsidP="00914B36">
            <w:pPr>
              <w:spacing w:line="300" w:lineRule="atLeast"/>
              <w:rPr>
                <w:rFonts w:ascii="Arial" w:hAnsi="Arial" w:cs="Arial"/>
                <w:sz w:val="16"/>
                <w:szCs w:val="16"/>
              </w:rPr>
            </w:pPr>
            <w:r>
              <w:rPr>
                <w:rFonts w:ascii="Arial" w:hAnsi="Arial" w:cs="Arial"/>
                <w:sz w:val="16"/>
                <w:szCs w:val="16"/>
              </w:rPr>
              <w:t>Municipal WWTP, 2024</w:t>
            </w:r>
          </w:p>
        </w:tc>
        <w:tc>
          <w:tcPr>
            <w:tcW w:w="1260" w:type="dxa"/>
            <w:vAlign w:val="center"/>
          </w:tcPr>
          <w:p w14:paraId="4267DD8A" w14:textId="0C679441" w:rsidR="006D5F31" w:rsidRDefault="006D5F31" w:rsidP="00914B36">
            <w:pPr>
              <w:spacing w:line="300" w:lineRule="atLeast"/>
              <w:jc w:val="center"/>
              <w:rPr>
                <w:rFonts w:ascii="Arial" w:hAnsi="Arial" w:cs="Arial"/>
                <w:sz w:val="16"/>
                <w:szCs w:val="16"/>
              </w:rPr>
            </w:pPr>
            <w:r>
              <w:rPr>
                <w:rFonts w:ascii="Arial" w:hAnsi="Arial" w:cs="Arial"/>
                <w:sz w:val="16"/>
                <w:szCs w:val="16"/>
              </w:rPr>
              <w:t>673</w:t>
            </w:r>
            <w:r w:rsidR="002F2C6D">
              <w:rPr>
                <w:rFonts w:ascii="Arial" w:hAnsi="Arial" w:cs="Arial"/>
                <w:sz w:val="16"/>
                <w:szCs w:val="16"/>
              </w:rPr>
              <w:t xml:space="preserve"> </w:t>
            </w:r>
            <w:r>
              <w:rPr>
                <w:rFonts w:ascii="Arial" w:hAnsi="Arial" w:cs="Arial"/>
                <w:sz w:val="16"/>
                <w:szCs w:val="16"/>
              </w:rPr>
              <w:t>x 10</w:t>
            </w:r>
            <w:r w:rsidRPr="00EF72E4">
              <w:rPr>
                <w:rFonts w:ascii="Arial" w:hAnsi="Arial" w:cs="Arial"/>
                <w:sz w:val="16"/>
                <w:szCs w:val="16"/>
                <w:vertAlign w:val="superscript"/>
              </w:rPr>
              <w:t>9</w:t>
            </w:r>
          </w:p>
        </w:tc>
        <w:tc>
          <w:tcPr>
            <w:tcW w:w="1397" w:type="dxa"/>
            <w:vAlign w:val="center"/>
          </w:tcPr>
          <w:p w14:paraId="25AACB94" w14:textId="6EF2F403" w:rsidR="006D5F31" w:rsidRDefault="006D5F31" w:rsidP="00914B36">
            <w:pPr>
              <w:spacing w:line="300" w:lineRule="atLeast"/>
              <w:jc w:val="center"/>
              <w:rPr>
                <w:rFonts w:ascii="Arial" w:hAnsi="Arial" w:cs="Arial"/>
                <w:sz w:val="16"/>
                <w:szCs w:val="16"/>
              </w:rPr>
            </w:pPr>
            <w:r>
              <w:rPr>
                <w:rFonts w:ascii="Arial" w:hAnsi="Arial" w:cs="Arial"/>
                <w:sz w:val="16"/>
                <w:szCs w:val="16"/>
              </w:rPr>
              <w:t>0.5 - 10</w:t>
            </w:r>
          </w:p>
        </w:tc>
        <w:tc>
          <w:tcPr>
            <w:tcW w:w="1218" w:type="dxa"/>
            <w:vAlign w:val="center"/>
          </w:tcPr>
          <w:p w14:paraId="2450BB71" w14:textId="4269B015" w:rsidR="006D5F31" w:rsidRDefault="006D5F31" w:rsidP="00914B36">
            <w:pPr>
              <w:spacing w:line="300" w:lineRule="atLeast"/>
              <w:jc w:val="center"/>
              <w:rPr>
                <w:rFonts w:ascii="Arial" w:hAnsi="Arial" w:cs="Arial"/>
                <w:sz w:val="16"/>
                <w:szCs w:val="16"/>
              </w:rPr>
            </w:pPr>
            <w:r>
              <w:rPr>
                <w:rFonts w:ascii="Arial" w:hAnsi="Arial" w:cs="Arial"/>
                <w:sz w:val="16"/>
                <w:szCs w:val="16"/>
              </w:rPr>
              <w:t>33</w:t>
            </w:r>
            <w:r w:rsidR="00056F10">
              <w:rPr>
                <w:rFonts w:ascii="Arial" w:hAnsi="Arial" w:cs="Arial"/>
                <w:sz w:val="16"/>
                <w:szCs w:val="16"/>
              </w:rPr>
              <w:t>7</w:t>
            </w:r>
            <w:r>
              <w:rPr>
                <w:rFonts w:ascii="Arial" w:hAnsi="Arial" w:cs="Arial"/>
                <w:sz w:val="16"/>
                <w:szCs w:val="16"/>
              </w:rPr>
              <w:t xml:space="preserve"> – 673</w:t>
            </w:r>
            <w:r w:rsidR="00056F10">
              <w:rPr>
                <w:rFonts w:ascii="Arial" w:hAnsi="Arial" w:cs="Arial"/>
                <w:sz w:val="16"/>
                <w:szCs w:val="16"/>
              </w:rPr>
              <w:t xml:space="preserve">4 </w:t>
            </w:r>
            <w:r>
              <w:rPr>
                <w:rFonts w:ascii="Arial" w:hAnsi="Arial" w:cs="Arial"/>
                <w:sz w:val="16"/>
                <w:szCs w:val="16"/>
              </w:rPr>
              <w:t>(3535)</w:t>
            </w:r>
          </w:p>
        </w:tc>
        <w:tc>
          <w:tcPr>
            <w:tcW w:w="1303" w:type="dxa"/>
            <w:vAlign w:val="center"/>
          </w:tcPr>
          <w:p w14:paraId="4833AD40" w14:textId="38E50AB9" w:rsidR="006D5F31" w:rsidRDefault="006D5F31" w:rsidP="001724C3">
            <w:pPr>
              <w:spacing w:line="300" w:lineRule="atLeast"/>
              <w:jc w:val="center"/>
              <w:rPr>
                <w:rFonts w:ascii="Arial" w:hAnsi="Arial" w:cs="Arial"/>
                <w:sz w:val="16"/>
                <w:szCs w:val="16"/>
              </w:rPr>
            </w:pPr>
            <w:r>
              <w:rPr>
                <w:rFonts w:ascii="Arial" w:hAnsi="Arial" w:cs="Arial"/>
                <w:sz w:val="16"/>
                <w:szCs w:val="16"/>
              </w:rPr>
              <w:t>168 – 336</w:t>
            </w:r>
            <w:r w:rsidR="00056F10">
              <w:rPr>
                <w:rFonts w:ascii="Arial" w:hAnsi="Arial" w:cs="Arial"/>
                <w:sz w:val="16"/>
                <w:szCs w:val="16"/>
              </w:rPr>
              <w:t>7</w:t>
            </w:r>
            <w:r>
              <w:rPr>
                <w:rFonts w:ascii="Arial" w:hAnsi="Arial" w:cs="Arial"/>
                <w:sz w:val="16"/>
                <w:szCs w:val="16"/>
              </w:rPr>
              <w:t xml:space="preserve"> (176</w:t>
            </w:r>
            <w:r w:rsidR="00056F10">
              <w:rPr>
                <w:rFonts w:ascii="Arial" w:hAnsi="Arial" w:cs="Arial"/>
                <w:sz w:val="16"/>
                <w:szCs w:val="16"/>
              </w:rPr>
              <w:t>8</w:t>
            </w:r>
            <w:r>
              <w:rPr>
                <w:rFonts w:ascii="Arial" w:hAnsi="Arial" w:cs="Arial"/>
                <w:sz w:val="16"/>
                <w:szCs w:val="16"/>
              </w:rPr>
              <w:t>)</w:t>
            </w:r>
          </w:p>
        </w:tc>
        <w:tc>
          <w:tcPr>
            <w:tcW w:w="1119" w:type="dxa"/>
            <w:vAlign w:val="center"/>
          </w:tcPr>
          <w:p w14:paraId="018A49DE" w14:textId="1C1DEDB4" w:rsidR="006D5F31" w:rsidRDefault="006D5F31" w:rsidP="00914B36">
            <w:pPr>
              <w:spacing w:line="300" w:lineRule="atLeast"/>
              <w:jc w:val="center"/>
              <w:rPr>
                <w:rFonts w:ascii="Arial" w:hAnsi="Arial" w:cs="Arial"/>
                <w:sz w:val="16"/>
                <w:szCs w:val="16"/>
              </w:rPr>
            </w:pPr>
            <w:r>
              <w:rPr>
                <w:rFonts w:ascii="Arial" w:hAnsi="Arial" w:cs="Arial"/>
                <w:sz w:val="16"/>
                <w:szCs w:val="16"/>
              </w:rPr>
              <w:t>67.3– 134</w:t>
            </w:r>
            <w:r w:rsidR="00056F10">
              <w:rPr>
                <w:rFonts w:ascii="Arial" w:hAnsi="Arial" w:cs="Arial"/>
                <w:sz w:val="16"/>
                <w:szCs w:val="16"/>
              </w:rPr>
              <w:t xml:space="preserve">7 </w:t>
            </w:r>
            <w:r>
              <w:rPr>
                <w:rFonts w:ascii="Arial" w:hAnsi="Arial" w:cs="Arial"/>
                <w:sz w:val="16"/>
                <w:szCs w:val="16"/>
              </w:rPr>
              <w:t>(707)</w:t>
            </w:r>
          </w:p>
        </w:tc>
        <w:tc>
          <w:tcPr>
            <w:tcW w:w="1261" w:type="dxa"/>
            <w:vAlign w:val="center"/>
          </w:tcPr>
          <w:p w14:paraId="3140866B" w14:textId="7A1DC59A" w:rsidR="006D5F31" w:rsidRDefault="006D5F31" w:rsidP="00914B36">
            <w:pPr>
              <w:spacing w:line="300" w:lineRule="atLeast"/>
              <w:jc w:val="center"/>
              <w:rPr>
                <w:rFonts w:ascii="Arial" w:hAnsi="Arial" w:cs="Arial"/>
                <w:sz w:val="16"/>
                <w:szCs w:val="16"/>
              </w:rPr>
            </w:pPr>
            <w:r>
              <w:rPr>
                <w:rFonts w:ascii="Arial" w:hAnsi="Arial" w:cs="Arial"/>
                <w:sz w:val="16"/>
                <w:szCs w:val="16"/>
              </w:rPr>
              <w:t>101 – 2020 (106</w:t>
            </w:r>
            <w:r w:rsidR="00056F10">
              <w:rPr>
                <w:rFonts w:ascii="Arial" w:hAnsi="Arial" w:cs="Arial"/>
                <w:sz w:val="16"/>
                <w:szCs w:val="16"/>
              </w:rPr>
              <w:t>1</w:t>
            </w:r>
            <w:r>
              <w:rPr>
                <w:rFonts w:ascii="Arial" w:hAnsi="Arial" w:cs="Arial"/>
                <w:sz w:val="16"/>
                <w:szCs w:val="16"/>
              </w:rPr>
              <w:t>)</w:t>
            </w:r>
          </w:p>
        </w:tc>
      </w:tr>
    </w:tbl>
    <w:p w14:paraId="63763E71" w14:textId="77777777" w:rsidR="00DE42A4" w:rsidRPr="00BE17CF" w:rsidRDefault="00DE42A4" w:rsidP="00DE42A4">
      <w:pPr>
        <w:spacing w:before="240" w:line="300" w:lineRule="atLeast"/>
        <w:jc w:val="both"/>
        <w:rPr>
          <w:rFonts w:ascii="Arial" w:hAnsi="Arial" w:cs="Arial"/>
          <w:b/>
          <w:szCs w:val="18"/>
        </w:rPr>
      </w:pPr>
      <w:r w:rsidRPr="00BE17CF">
        <w:rPr>
          <w:rFonts w:ascii="Arial" w:hAnsi="Arial" w:cs="Arial"/>
          <w:b/>
          <w:szCs w:val="18"/>
        </w:rPr>
        <w:t>Certainty assessment</w:t>
      </w:r>
    </w:p>
    <w:p w14:paraId="4A466FB5" w14:textId="77777777" w:rsidR="00DE42A4" w:rsidRDefault="00DE42A4" w:rsidP="00DE42A4">
      <w:pPr>
        <w:tabs>
          <w:tab w:val="left" w:pos="1985"/>
        </w:tabs>
        <w:spacing w:line="300" w:lineRule="atLeast"/>
        <w:jc w:val="both"/>
        <w:rPr>
          <w:szCs w:val="18"/>
        </w:rPr>
      </w:pPr>
      <w:r>
        <w:rPr>
          <w:szCs w:val="18"/>
        </w:rPr>
        <w:t xml:space="preserve">Activity data: </w:t>
      </w:r>
      <w:r>
        <w:rPr>
          <w:szCs w:val="18"/>
        </w:rPr>
        <w:tab/>
        <w:t>MEDIUM (because it is based on past national data)</w:t>
      </w:r>
    </w:p>
    <w:p w14:paraId="0B3859DC" w14:textId="77777777" w:rsidR="00DE42A4" w:rsidRDefault="00DE42A4" w:rsidP="00DE42A4">
      <w:pPr>
        <w:tabs>
          <w:tab w:val="left" w:pos="1985"/>
        </w:tabs>
        <w:spacing w:line="300" w:lineRule="atLeast"/>
        <w:jc w:val="both"/>
        <w:rPr>
          <w:szCs w:val="18"/>
        </w:rPr>
      </w:pPr>
      <w:r>
        <w:rPr>
          <w:szCs w:val="18"/>
        </w:rPr>
        <w:t xml:space="preserve">Input estimates: </w:t>
      </w:r>
      <w:r>
        <w:rPr>
          <w:szCs w:val="18"/>
        </w:rPr>
        <w:tab/>
        <w:t>LOW</w:t>
      </w:r>
      <w:r w:rsidRPr="00CE3E59">
        <w:rPr>
          <w:szCs w:val="18"/>
        </w:rPr>
        <w:t xml:space="preserve"> </w:t>
      </w:r>
      <w:r>
        <w:rPr>
          <w:szCs w:val="18"/>
        </w:rPr>
        <w:t xml:space="preserve">(because </w:t>
      </w:r>
      <w:r w:rsidRPr="007D4239">
        <w:rPr>
          <w:szCs w:val="18"/>
        </w:rPr>
        <w:t>they are based on the default Toolkit output factors</w:t>
      </w:r>
      <w:r>
        <w:rPr>
          <w:szCs w:val="18"/>
        </w:rPr>
        <w:t>)</w:t>
      </w:r>
    </w:p>
    <w:p w14:paraId="0BDBFE01" w14:textId="77777777" w:rsidR="00DE42A4" w:rsidRPr="0028681C" w:rsidRDefault="00DE42A4" w:rsidP="00DE42A4">
      <w:pPr>
        <w:tabs>
          <w:tab w:val="left" w:pos="1985"/>
        </w:tabs>
        <w:spacing w:line="300" w:lineRule="atLeast"/>
        <w:jc w:val="both"/>
        <w:rPr>
          <w:szCs w:val="18"/>
        </w:rPr>
      </w:pPr>
      <w:r>
        <w:rPr>
          <w:szCs w:val="18"/>
        </w:rPr>
        <w:t xml:space="preserve">Output estimates: </w:t>
      </w:r>
      <w:r>
        <w:rPr>
          <w:szCs w:val="18"/>
        </w:rPr>
        <w:tab/>
        <w:t>LOW (because they are based on the default Toolkit output factors).</w:t>
      </w:r>
    </w:p>
    <w:p w14:paraId="11AC1EDE" w14:textId="77777777" w:rsidR="001813AB" w:rsidRPr="006456DC" w:rsidRDefault="006776F9" w:rsidP="006776F9">
      <w:pPr>
        <w:pStyle w:val="Heading2"/>
      </w:pPr>
      <w:bookmarkStart w:id="161" w:name="_Toc110355571"/>
      <w:r w:rsidRPr="006456DC">
        <w:t>Specialist waste disposal services</w:t>
      </w:r>
      <w:bookmarkEnd w:id="161"/>
    </w:p>
    <w:p w14:paraId="1328EE76" w14:textId="77777777" w:rsidR="001813AB" w:rsidRPr="006456DC" w:rsidRDefault="00123DA3" w:rsidP="003833D6">
      <w:pPr>
        <w:spacing w:line="300" w:lineRule="atLeast"/>
        <w:jc w:val="both"/>
        <w:rPr>
          <w:szCs w:val="18"/>
        </w:rPr>
      </w:pPr>
      <w:r w:rsidRPr="006456DC">
        <w:rPr>
          <w:szCs w:val="18"/>
        </w:rPr>
        <w:t xml:space="preserve">This category is not specifically listed in the Toolkit, but has been included here for the purposes of providing additional information on some of the New Zealand management practices for mercury-containing wastes. </w:t>
      </w:r>
    </w:p>
    <w:p w14:paraId="2450E71B" w14:textId="77777777" w:rsidR="003A52F3" w:rsidRPr="006456DC" w:rsidRDefault="003A52F3" w:rsidP="00133004">
      <w:pPr>
        <w:spacing w:line="300" w:lineRule="atLeast"/>
        <w:jc w:val="both"/>
        <w:rPr>
          <w:rFonts w:ascii="Arial" w:hAnsi="Arial" w:cs="Arial"/>
          <w:b/>
          <w:szCs w:val="18"/>
        </w:rPr>
      </w:pPr>
      <w:r w:rsidRPr="006456DC">
        <w:rPr>
          <w:rFonts w:ascii="Arial" w:hAnsi="Arial" w:cs="Arial"/>
          <w:b/>
          <w:szCs w:val="18"/>
        </w:rPr>
        <w:t>Waste exports</w:t>
      </w:r>
      <w:r w:rsidR="00C55D09" w:rsidRPr="006456DC">
        <w:rPr>
          <w:rFonts w:ascii="Arial" w:hAnsi="Arial" w:cs="Arial"/>
          <w:b/>
          <w:szCs w:val="18"/>
        </w:rPr>
        <w:t xml:space="preserve"> and imports</w:t>
      </w:r>
    </w:p>
    <w:p w14:paraId="4EBEC02A" w14:textId="7CAF3F33" w:rsidR="00A873BD" w:rsidRPr="006456DC" w:rsidRDefault="00A41B9A" w:rsidP="00E47F02">
      <w:pPr>
        <w:spacing w:line="300" w:lineRule="atLeast"/>
        <w:jc w:val="both"/>
        <w:rPr>
          <w:szCs w:val="18"/>
        </w:rPr>
      </w:pPr>
      <w:r w:rsidRPr="000B1B79">
        <w:rPr>
          <w:szCs w:val="18"/>
        </w:rPr>
        <w:t>Imports and e</w:t>
      </w:r>
      <w:r w:rsidR="003A52F3" w:rsidRPr="006456DC">
        <w:rPr>
          <w:szCs w:val="18"/>
        </w:rPr>
        <w:t xml:space="preserve">xports of mercury-containing wastes require a permit under the </w:t>
      </w:r>
      <w:r w:rsidR="00A873BD" w:rsidRPr="006456DC">
        <w:rPr>
          <w:i/>
          <w:szCs w:val="18"/>
        </w:rPr>
        <w:t xml:space="preserve">Imports and Exports </w:t>
      </w:r>
      <w:r w:rsidR="008B046D" w:rsidRPr="006456DC">
        <w:rPr>
          <w:i/>
          <w:szCs w:val="18"/>
        </w:rPr>
        <w:t>(</w:t>
      </w:r>
      <w:r w:rsidR="00A873BD" w:rsidRPr="006456DC">
        <w:rPr>
          <w:i/>
          <w:szCs w:val="18"/>
        </w:rPr>
        <w:t>Restrictions</w:t>
      </w:r>
      <w:r w:rsidR="008B046D" w:rsidRPr="006456DC">
        <w:rPr>
          <w:i/>
          <w:szCs w:val="18"/>
        </w:rPr>
        <w:t>)</w:t>
      </w:r>
      <w:r w:rsidR="00A873BD" w:rsidRPr="006456DC">
        <w:rPr>
          <w:i/>
          <w:szCs w:val="18"/>
        </w:rPr>
        <w:t xml:space="preserve"> Act 1988</w:t>
      </w:r>
      <w:r w:rsidR="00A873BD" w:rsidRPr="006456DC">
        <w:rPr>
          <w:szCs w:val="18"/>
        </w:rPr>
        <w:t>. These permits are issued by the E</w:t>
      </w:r>
      <w:r w:rsidR="008113E4" w:rsidRPr="006456DC">
        <w:rPr>
          <w:szCs w:val="18"/>
        </w:rPr>
        <w:t xml:space="preserve">nvironmental </w:t>
      </w:r>
      <w:r w:rsidR="00A873BD" w:rsidRPr="006456DC">
        <w:rPr>
          <w:szCs w:val="18"/>
        </w:rPr>
        <w:t>P</w:t>
      </w:r>
      <w:r w:rsidR="008113E4" w:rsidRPr="006456DC">
        <w:rPr>
          <w:szCs w:val="18"/>
        </w:rPr>
        <w:t xml:space="preserve">rotection </w:t>
      </w:r>
      <w:r w:rsidR="00A873BD" w:rsidRPr="006456DC">
        <w:rPr>
          <w:szCs w:val="18"/>
        </w:rPr>
        <w:t>A</w:t>
      </w:r>
      <w:r w:rsidR="008113E4" w:rsidRPr="006456DC">
        <w:rPr>
          <w:szCs w:val="18"/>
        </w:rPr>
        <w:t>uthority</w:t>
      </w:r>
      <w:r w:rsidR="006456DC" w:rsidRPr="000B1B79">
        <w:rPr>
          <w:szCs w:val="18"/>
        </w:rPr>
        <w:t xml:space="preserve"> and reported to the Basel Convention on Hazardous Wastes (Basel Convention, 2024)</w:t>
      </w:r>
      <w:r w:rsidR="00485181" w:rsidRPr="006456DC">
        <w:rPr>
          <w:szCs w:val="18"/>
        </w:rPr>
        <w:t>.</w:t>
      </w:r>
      <w:r w:rsidR="00A873BD" w:rsidRPr="006456DC">
        <w:rPr>
          <w:szCs w:val="18"/>
        </w:rPr>
        <w:t xml:space="preserve"> </w:t>
      </w:r>
      <w:r w:rsidRPr="000B1B79">
        <w:rPr>
          <w:szCs w:val="18"/>
        </w:rPr>
        <w:t xml:space="preserve">In 2024 there were records for two imports of mercury related waste materials classified under the Basel </w:t>
      </w:r>
      <w:r w:rsidR="006456DC" w:rsidRPr="000B1B79">
        <w:rPr>
          <w:szCs w:val="18"/>
        </w:rPr>
        <w:t>Convention</w:t>
      </w:r>
      <w:r w:rsidRPr="000B1B79">
        <w:rPr>
          <w:szCs w:val="18"/>
        </w:rPr>
        <w:t xml:space="preserve"> as “fluorescent tubes containing mercury”.</w:t>
      </w:r>
      <w:r w:rsidR="002F2C6D">
        <w:rPr>
          <w:szCs w:val="18"/>
        </w:rPr>
        <w:t xml:space="preserve"> </w:t>
      </w:r>
      <w:r w:rsidRPr="000B1B79">
        <w:rPr>
          <w:szCs w:val="18"/>
        </w:rPr>
        <w:t xml:space="preserve">These involved quantities of 3.67 and 2.05 tonnes </w:t>
      </w:r>
      <w:r w:rsidR="006456DC" w:rsidRPr="000B1B79">
        <w:rPr>
          <w:szCs w:val="18"/>
        </w:rPr>
        <w:t>respectively.</w:t>
      </w:r>
    </w:p>
    <w:p w14:paraId="06DEDE6F" w14:textId="77777777" w:rsidR="00465944" w:rsidRPr="00EF72E4" w:rsidRDefault="00133004" w:rsidP="00133004">
      <w:pPr>
        <w:spacing w:line="300" w:lineRule="atLeast"/>
        <w:jc w:val="both"/>
        <w:rPr>
          <w:rFonts w:ascii="Arial" w:hAnsi="Arial" w:cs="Arial"/>
          <w:b/>
          <w:szCs w:val="18"/>
        </w:rPr>
      </w:pPr>
      <w:r w:rsidRPr="00EF72E4">
        <w:rPr>
          <w:rFonts w:ascii="Arial" w:hAnsi="Arial" w:cs="Arial"/>
          <w:b/>
          <w:szCs w:val="18"/>
        </w:rPr>
        <w:t xml:space="preserve">Waste </w:t>
      </w:r>
      <w:r w:rsidR="00465944" w:rsidRPr="00EF72E4">
        <w:rPr>
          <w:rFonts w:ascii="Arial" w:hAnsi="Arial" w:cs="Arial"/>
          <w:b/>
          <w:szCs w:val="18"/>
        </w:rPr>
        <w:t>disposal services</w:t>
      </w:r>
    </w:p>
    <w:p w14:paraId="29F55B49" w14:textId="77777777" w:rsidR="002F2C6D" w:rsidRDefault="00E47F02" w:rsidP="000F3295">
      <w:pPr>
        <w:spacing w:line="300" w:lineRule="atLeast"/>
        <w:jc w:val="both"/>
        <w:rPr>
          <w:szCs w:val="18"/>
        </w:rPr>
      </w:pPr>
      <w:r w:rsidRPr="00EF72E4">
        <w:rPr>
          <w:szCs w:val="18"/>
        </w:rPr>
        <w:t>In the 2012 Inventory Report it was noted that there we</w:t>
      </w:r>
      <w:r w:rsidR="00465944" w:rsidRPr="00EF72E4">
        <w:rPr>
          <w:szCs w:val="18"/>
        </w:rPr>
        <w:t xml:space="preserve">re </w:t>
      </w:r>
      <w:r w:rsidR="009A6853" w:rsidRPr="00EF72E4">
        <w:rPr>
          <w:szCs w:val="18"/>
        </w:rPr>
        <w:t xml:space="preserve">four </w:t>
      </w:r>
      <w:r w:rsidR="00465944" w:rsidRPr="00EF72E4">
        <w:rPr>
          <w:szCs w:val="18"/>
        </w:rPr>
        <w:t xml:space="preserve">companies providing hazardous waste treatment and disposal services in New Zealand. </w:t>
      </w:r>
      <w:r w:rsidRPr="00EF72E4">
        <w:rPr>
          <w:szCs w:val="18"/>
        </w:rPr>
        <w:t>The i</w:t>
      </w:r>
      <w:r w:rsidR="00465944" w:rsidRPr="00EF72E4">
        <w:rPr>
          <w:szCs w:val="18"/>
        </w:rPr>
        <w:t xml:space="preserve">nformation </w:t>
      </w:r>
      <w:r w:rsidRPr="00EF72E4">
        <w:rPr>
          <w:szCs w:val="18"/>
        </w:rPr>
        <w:t xml:space="preserve">obtained from </w:t>
      </w:r>
      <w:r w:rsidR="00D05C51" w:rsidRPr="00EF72E4">
        <w:rPr>
          <w:szCs w:val="18"/>
        </w:rPr>
        <w:t xml:space="preserve">some of </w:t>
      </w:r>
      <w:r w:rsidRPr="00EF72E4">
        <w:rPr>
          <w:szCs w:val="18"/>
        </w:rPr>
        <w:t xml:space="preserve">these companies </w:t>
      </w:r>
      <w:r w:rsidR="00465944" w:rsidRPr="00EF72E4">
        <w:rPr>
          <w:szCs w:val="18"/>
        </w:rPr>
        <w:t>indicate</w:t>
      </w:r>
      <w:r w:rsidRPr="00EF72E4">
        <w:rPr>
          <w:szCs w:val="18"/>
        </w:rPr>
        <w:t>d</w:t>
      </w:r>
      <w:r w:rsidR="00465944" w:rsidRPr="00EF72E4">
        <w:rPr>
          <w:szCs w:val="18"/>
        </w:rPr>
        <w:t xml:space="preserve"> that they </w:t>
      </w:r>
      <w:r w:rsidR="00D05C51" w:rsidRPr="00EF72E4">
        <w:rPr>
          <w:szCs w:val="18"/>
        </w:rPr>
        <w:t>occasionally</w:t>
      </w:r>
      <w:r w:rsidR="00465944" w:rsidRPr="00EF72E4">
        <w:rPr>
          <w:szCs w:val="18"/>
        </w:rPr>
        <w:t xml:space="preserve"> accept small quantities of mercury and mercury-containing wastes</w:t>
      </w:r>
      <w:r w:rsidR="008A04DB" w:rsidRPr="00EF72E4">
        <w:rPr>
          <w:szCs w:val="18"/>
        </w:rPr>
        <w:t>, especially from</w:t>
      </w:r>
      <w:r w:rsidR="009A6853" w:rsidRPr="00EF72E4">
        <w:rPr>
          <w:szCs w:val="18"/>
        </w:rPr>
        <w:t xml:space="preserve"> dentists,</w:t>
      </w:r>
      <w:r w:rsidR="008A04DB" w:rsidRPr="00EF72E4">
        <w:rPr>
          <w:szCs w:val="18"/>
        </w:rPr>
        <w:t xml:space="preserve"> </w:t>
      </w:r>
      <w:r w:rsidR="009F3D41" w:rsidRPr="00EF72E4">
        <w:rPr>
          <w:szCs w:val="18"/>
        </w:rPr>
        <w:t xml:space="preserve">hospitals, </w:t>
      </w:r>
      <w:r w:rsidR="009A6853" w:rsidRPr="00EF72E4">
        <w:rPr>
          <w:szCs w:val="18"/>
        </w:rPr>
        <w:t xml:space="preserve">schools, </w:t>
      </w:r>
      <w:r w:rsidR="008A04DB" w:rsidRPr="00EF72E4">
        <w:rPr>
          <w:szCs w:val="18"/>
        </w:rPr>
        <w:t>universities and laboratories</w:t>
      </w:r>
      <w:r w:rsidR="00465944" w:rsidRPr="00EF72E4">
        <w:rPr>
          <w:szCs w:val="18"/>
        </w:rPr>
        <w:t>. These are either passed on to other use</w:t>
      </w:r>
      <w:r w:rsidR="008A04DB" w:rsidRPr="00EF72E4">
        <w:rPr>
          <w:szCs w:val="18"/>
        </w:rPr>
        <w:t>r</w:t>
      </w:r>
      <w:r w:rsidR="00465944" w:rsidRPr="00EF72E4">
        <w:rPr>
          <w:szCs w:val="18"/>
        </w:rPr>
        <w:t xml:space="preserve">s or diluted and disposed to landfill or wastewater treatment plants. </w:t>
      </w:r>
      <w:r w:rsidRPr="00EF72E4">
        <w:rPr>
          <w:szCs w:val="18"/>
        </w:rPr>
        <w:t>The situation is expected to be much the same for</w:t>
      </w:r>
      <w:r w:rsidR="00647434" w:rsidRPr="00EF72E4">
        <w:rPr>
          <w:szCs w:val="18"/>
        </w:rPr>
        <w:t xml:space="preserve"> </w:t>
      </w:r>
      <w:r w:rsidR="00EF72E4" w:rsidRPr="00EF72E4">
        <w:rPr>
          <w:szCs w:val="18"/>
        </w:rPr>
        <w:t>2024</w:t>
      </w:r>
      <w:r w:rsidR="00FD6F7D" w:rsidRPr="00EF72E4">
        <w:rPr>
          <w:szCs w:val="18"/>
        </w:rPr>
        <w:t>.</w:t>
      </w:r>
      <w:bookmarkStart w:id="162" w:name="_Toc110355572"/>
    </w:p>
    <w:p w14:paraId="55E010D7" w14:textId="1E5BE3F0" w:rsidR="002F2C6D" w:rsidRPr="006456DC" w:rsidRDefault="00352440" w:rsidP="002F2C6D">
      <w:pPr>
        <w:pStyle w:val="Heading2"/>
      </w:pPr>
      <w:r w:rsidRPr="002F2C6D">
        <w:rPr>
          <w:rFonts w:eastAsia="Calibri"/>
        </w:rPr>
        <w:t>Summary for this category</w:t>
      </w:r>
      <w:bookmarkEnd w:id="162"/>
      <w:r w:rsidRPr="002F2C6D">
        <w:rPr>
          <w:rFonts w:eastAsia="Calibri"/>
        </w:rPr>
        <w:t xml:space="preserve"> </w:t>
      </w:r>
    </w:p>
    <w:p w14:paraId="75965B0A" w14:textId="0E531813" w:rsidR="0084141B" w:rsidRDefault="00352440" w:rsidP="00453A57">
      <w:pPr>
        <w:spacing w:line="300" w:lineRule="atLeast"/>
        <w:rPr>
          <w:rFonts w:eastAsia="Calibri"/>
          <w:szCs w:val="22"/>
        </w:rPr>
      </w:pPr>
      <w:r>
        <w:rPr>
          <w:rFonts w:eastAsia="Calibri"/>
          <w:szCs w:val="22"/>
        </w:rPr>
        <w:t xml:space="preserve">The estimated inputs and outputs for </w:t>
      </w:r>
      <w:r w:rsidRPr="00352440">
        <w:rPr>
          <w:rFonts w:eastAsia="Calibri"/>
          <w:szCs w:val="22"/>
        </w:rPr>
        <w:t xml:space="preserve">waste deposition/landfilling and wastewater treatment </w:t>
      </w:r>
      <w:r>
        <w:rPr>
          <w:rFonts w:eastAsia="Calibri"/>
          <w:szCs w:val="22"/>
        </w:rPr>
        <w:t>are summarised in</w:t>
      </w:r>
      <w:r w:rsidR="006B3BC8">
        <w:rPr>
          <w:rFonts w:eastAsia="Calibri"/>
          <w:szCs w:val="22"/>
        </w:rPr>
        <w:t xml:space="preserve"> Table 11-4.</w:t>
      </w:r>
    </w:p>
    <w:p w14:paraId="242F8745" w14:textId="534AA5E4" w:rsidR="00352440" w:rsidRPr="007901FE" w:rsidRDefault="003F2323" w:rsidP="00FE6C76">
      <w:pPr>
        <w:pStyle w:val="Caption"/>
        <w:spacing w:before="240"/>
        <w:ind w:left="1440" w:hanging="1440"/>
        <w:rPr>
          <w:rFonts w:ascii="Arial" w:hAnsi="Arial" w:cs="Arial"/>
          <w:szCs w:val="18"/>
        </w:rPr>
      </w:pPr>
      <w:bookmarkStart w:id="163" w:name="_Ref358560641"/>
      <w:bookmarkStart w:id="164" w:name="_Toc110355497"/>
      <w:r w:rsidRPr="00FE6C76">
        <w:rPr>
          <w:rFonts w:ascii="Arial" w:hAnsi="Arial" w:cs="Arial"/>
        </w:rPr>
        <w:t xml:space="preserve">Table </w:t>
      </w:r>
      <w:r w:rsidR="00390C9F">
        <w:rPr>
          <w:rFonts w:ascii="Arial" w:hAnsi="Arial" w:cs="Arial"/>
        </w:rPr>
        <w:fldChar w:fldCharType="begin"/>
      </w:r>
      <w:r w:rsidR="00390C9F">
        <w:rPr>
          <w:rFonts w:ascii="Arial" w:hAnsi="Arial" w:cs="Arial"/>
        </w:rPr>
        <w:instrText xml:space="preserve"> STYLEREF 1 \s </w:instrText>
      </w:r>
      <w:r w:rsidR="00390C9F">
        <w:rPr>
          <w:rFonts w:ascii="Arial" w:hAnsi="Arial" w:cs="Arial"/>
        </w:rPr>
        <w:fldChar w:fldCharType="separate"/>
      </w:r>
      <w:r w:rsidR="00892B2D">
        <w:rPr>
          <w:rFonts w:ascii="Arial" w:hAnsi="Arial" w:cs="Arial"/>
          <w:noProof/>
        </w:rPr>
        <w:t>11</w:t>
      </w:r>
      <w:r w:rsidR="00390C9F">
        <w:rPr>
          <w:rFonts w:ascii="Arial" w:hAnsi="Arial" w:cs="Arial"/>
        </w:rPr>
        <w:fldChar w:fldCharType="end"/>
      </w:r>
      <w:r w:rsidR="00390C9F">
        <w:rPr>
          <w:rFonts w:ascii="Arial" w:hAnsi="Arial" w:cs="Arial"/>
        </w:rPr>
        <w:noBreakHyphen/>
      </w:r>
      <w:r w:rsidR="00390C9F">
        <w:rPr>
          <w:rFonts w:ascii="Arial" w:hAnsi="Arial" w:cs="Arial"/>
        </w:rPr>
        <w:fldChar w:fldCharType="begin"/>
      </w:r>
      <w:r w:rsidR="00390C9F">
        <w:rPr>
          <w:rFonts w:ascii="Arial" w:hAnsi="Arial" w:cs="Arial"/>
        </w:rPr>
        <w:instrText xml:space="preserve"> SEQ Table \* ARABIC \s 1 </w:instrText>
      </w:r>
      <w:r w:rsidR="00390C9F">
        <w:rPr>
          <w:rFonts w:ascii="Arial" w:hAnsi="Arial" w:cs="Arial"/>
        </w:rPr>
        <w:fldChar w:fldCharType="separate"/>
      </w:r>
      <w:r w:rsidR="00892B2D">
        <w:rPr>
          <w:rFonts w:ascii="Arial" w:hAnsi="Arial" w:cs="Arial"/>
          <w:noProof/>
        </w:rPr>
        <w:t>4</w:t>
      </w:r>
      <w:r w:rsidR="00390C9F">
        <w:rPr>
          <w:rFonts w:ascii="Arial" w:hAnsi="Arial" w:cs="Arial"/>
        </w:rPr>
        <w:fldChar w:fldCharType="end"/>
      </w:r>
      <w:bookmarkEnd w:id="163"/>
      <w:r w:rsidR="00352440" w:rsidRPr="00FE6C76">
        <w:rPr>
          <w:rFonts w:ascii="Arial" w:hAnsi="Arial" w:cs="Arial"/>
        </w:rPr>
        <w:t>:</w:t>
      </w:r>
      <w:r w:rsidR="00352440" w:rsidRPr="007901FE">
        <w:rPr>
          <w:rFonts w:ascii="Arial" w:hAnsi="Arial" w:cs="Arial"/>
        </w:rPr>
        <w:t xml:space="preserve"> Summary of inputs and o</w:t>
      </w:r>
      <w:r w:rsidR="00352440">
        <w:rPr>
          <w:rFonts w:ascii="Arial" w:hAnsi="Arial" w:cs="Arial"/>
        </w:rPr>
        <w:t xml:space="preserve">utputs for waste </w:t>
      </w:r>
      <w:r w:rsidRPr="003F2323">
        <w:rPr>
          <w:rFonts w:ascii="Arial" w:hAnsi="Arial" w:cs="Arial"/>
        </w:rPr>
        <w:t>deposition/landfilling and wastewater treatment</w:t>
      </w:r>
      <w:r w:rsidR="00FE0EB9">
        <w:rPr>
          <w:rFonts w:ascii="Arial" w:hAnsi="Arial" w:cs="Arial"/>
        </w:rPr>
        <w:t xml:space="preserve"> for </w:t>
      </w:r>
      <w:bookmarkEnd w:id="164"/>
      <w:r w:rsidR="00011BEE">
        <w:rPr>
          <w:rFonts w:ascii="Arial" w:hAnsi="Arial" w:cs="Arial"/>
        </w:rPr>
        <w:t>2024</w:t>
      </w:r>
    </w:p>
    <w:tbl>
      <w:tblPr>
        <w:tblStyle w:val="TableGrid"/>
        <w:tblW w:w="9214" w:type="dxa"/>
        <w:tblInd w:w="108" w:type="dxa"/>
        <w:tblLook w:val="04A0" w:firstRow="1" w:lastRow="0" w:firstColumn="1" w:lastColumn="0" w:noHBand="0" w:noVBand="1"/>
      </w:tblPr>
      <w:tblGrid>
        <w:gridCol w:w="1483"/>
        <w:gridCol w:w="1425"/>
        <w:gridCol w:w="912"/>
        <w:gridCol w:w="1539"/>
        <w:gridCol w:w="1139"/>
        <w:gridCol w:w="1254"/>
        <w:gridCol w:w="1462"/>
      </w:tblGrid>
      <w:tr w:rsidR="0084141B" w:rsidRPr="007901FE" w14:paraId="0C83AD8D" w14:textId="77777777" w:rsidTr="00D237D4">
        <w:tc>
          <w:tcPr>
            <w:tcW w:w="1483" w:type="dxa"/>
            <w:vMerge w:val="restart"/>
            <w:vAlign w:val="center"/>
          </w:tcPr>
          <w:p w14:paraId="4E6526A0" w14:textId="77777777" w:rsidR="0084141B" w:rsidRPr="004E3E02" w:rsidRDefault="0084141B" w:rsidP="00676490">
            <w:pPr>
              <w:spacing w:line="300" w:lineRule="atLeast"/>
              <w:rPr>
                <w:rFonts w:ascii="Arial" w:hAnsi="Arial" w:cs="Arial"/>
                <w:b/>
                <w:sz w:val="16"/>
                <w:szCs w:val="16"/>
              </w:rPr>
            </w:pPr>
            <w:r w:rsidRPr="004E3E02">
              <w:rPr>
                <w:rFonts w:ascii="Arial" w:hAnsi="Arial" w:cs="Arial"/>
                <w:b/>
                <w:sz w:val="16"/>
                <w:szCs w:val="16"/>
              </w:rPr>
              <w:t>Category</w:t>
            </w:r>
          </w:p>
        </w:tc>
        <w:tc>
          <w:tcPr>
            <w:tcW w:w="1425" w:type="dxa"/>
            <w:vMerge w:val="restart"/>
            <w:vAlign w:val="center"/>
          </w:tcPr>
          <w:p w14:paraId="1987A9AF" w14:textId="77777777" w:rsidR="0084141B" w:rsidRPr="004E3E02" w:rsidRDefault="0084141B" w:rsidP="00676490">
            <w:pPr>
              <w:spacing w:line="300" w:lineRule="atLeast"/>
              <w:jc w:val="center"/>
              <w:rPr>
                <w:rFonts w:ascii="Arial" w:hAnsi="Arial" w:cs="Arial"/>
                <w:b/>
                <w:sz w:val="16"/>
                <w:szCs w:val="16"/>
              </w:rPr>
            </w:pPr>
            <w:r w:rsidRPr="004E3E02">
              <w:rPr>
                <w:rFonts w:ascii="Arial" w:hAnsi="Arial" w:cs="Arial"/>
                <w:b/>
                <w:sz w:val="16"/>
                <w:szCs w:val="16"/>
              </w:rPr>
              <w:t>Mercury Inputs, kg/year</w:t>
            </w:r>
          </w:p>
        </w:tc>
        <w:tc>
          <w:tcPr>
            <w:tcW w:w="6306" w:type="dxa"/>
            <w:gridSpan w:val="5"/>
            <w:vAlign w:val="center"/>
          </w:tcPr>
          <w:p w14:paraId="04856516" w14:textId="77777777" w:rsidR="0084141B" w:rsidRPr="004E3E02" w:rsidRDefault="0084141B" w:rsidP="00676490">
            <w:pPr>
              <w:spacing w:line="300" w:lineRule="atLeast"/>
              <w:jc w:val="center"/>
              <w:rPr>
                <w:rFonts w:ascii="Arial" w:hAnsi="Arial" w:cs="Arial"/>
                <w:b/>
                <w:sz w:val="16"/>
                <w:szCs w:val="16"/>
              </w:rPr>
            </w:pPr>
            <w:r w:rsidRPr="004E3E02">
              <w:rPr>
                <w:rFonts w:ascii="Arial" w:hAnsi="Arial" w:cs="Arial"/>
                <w:b/>
                <w:sz w:val="16"/>
                <w:szCs w:val="16"/>
              </w:rPr>
              <w:t>Mercury Outputs, kg/yr</w:t>
            </w:r>
          </w:p>
        </w:tc>
      </w:tr>
      <w:tr w:rsidR="00A91532" w:rsidRPr="007901FE" w14:paraId="1552FDDB" w14:textId="77777777" w:rsidTr="00D237D4">
        <w:tc>
          <w:tcPr>
            <w:tcW w:w="1483" w:type="dxa"/>
            <w:vMerge/>
            <w:vAlign w:val="center"/>
          </w:tcPr>
          <w:p w14:paraId="32A5A24F" w14:textId="77777777" w:rsidR="0084141B" w:rsidRPr="004E3E02" w:rsidRDefault="0084141B" w:rsidP="00676490">
            <w:pPr>
              <w:spacing w:line="300" w:lineRule="atLeast"/>
              <w:rPr>
                <w:rFonts w:ascii="Arial" w:hAnsi="Arial" w:cs="Arial"/>
                <w:b/>
                <w:sz w:val="16"/>
                <w:szCs w:val="16"/>
              </w:rPr>
            </w:pPr>
          </w:p>
        </w:tc>
        <w:tc>
          <w:tcPr>
            <w:tcW w:w="1425" w:type="dxa"/>
            <w:vMerge/>
          </w:tcPr>
          <w:p w14:paraId="1750915C" w14:textId="77777777" w:rsidR="0084141B" w:rsidRPr="004E3E02" w:rsidRDefault="0084141B" w:rsidP="00676490">
            <w:pPr>
              <w:spacing w:line="300" w:lineRule="atLeast"/>
              <w:jc w:val="both"/>
              <w:rPr>
                <w:rFonts w:ascii="Arial" w:hAnsi="Arial" w:cs="Arial"/>
                <w:b/>
                <w:sz w:val="16"/>
                <w:szCs w:val="16"/>
              </w:rPr>
            </w:pPr>
          </w:p>
        </w:tc>
        <w:tc>
          <w:tcPr>
            <w:tcW w:w="912" w:type="dxa"/>
            <w:vAlign w:val="center"/>
          </w:tcPr>
          <w:p w14:paraId="08E5360A" w14:textId="77777777" w:rsidR="0084141B" w:rsidRPr="004E3E02" w:rsidRDefault="0084141B" w:rsidP="00676490">
            <w:pPr>
              <w:spacing w:line="300" w:lineRule="atLeast"/>
              <w:jc w:val="center"/>
              <w:rPr>
                <w:rFonts w:ascii="Arial" w:hAnsi="Arial" w:cs="Arial"/>
                <w:b/>
                <w:sz w:val="16"/>
                <w:szCs w:val="16"/>
              </w:rPr>
            </w:pPr>
            <w:r w:rsidRPr="004E3E02">
              <w:rPr>
                <w:rFonts w:ascii="Arial" w:hAnsi="Arial" w:cs="Arial"/>
                <w:b/>
                <w:sz w:val="16"/>
                <w:szCs w:val="16"/>
              </w:rPr>
              <w:t>Air</w:t>
            </w:r>
          </w:p>
        </w:tc>
        <w:tc>
          <w:tcPr>
            <w:tcW w:w="1539" w:type="dxa"/>
            <w:vAlign w:val="center"/>
          </w:tcPr>
          <w:p w14:paraId="5C56D946" w14:textId="77777777" w:rsidR="0084141B" w:rsidRPr="004E3E02" w:rsidRDefault="0084141B" w:rsidP="00676490">
            <w:pPr>
              <w:spacing w:line="300" w:lineRule="atLeast"/>
              <w:jc w:val="center"/>
              <w:rPr>
                <w:rFonts w:ascii="Arial" w:hAnsi="Arial" w:cs="Arial"/>
                <w:b/>
                <w:sz w:val="16"/>
                <w:szCs w:val="16"/>
              </w:rPr>
            </w:pPr>
            <w:r w:rsidRPr="004E3E02">
              <w:rPr>
                <w:rFonts w:ascii="Arial" w:hAnsi="Arial" w:cs="Arial"/>
                <w:b/>
                <w:sz w:val="16"/>
                <w:szCs w:val="16"/>
              </w:rPr>
              <w:t>Water</w:t>
            </w:r>
          </w:p>
        </w:tc>
        <w:tc>
          <w:tcPr>
            <w:tcW w:w="1139" w:type="dxa"/>
            <w:vAlign w:val="center"/>
          </w:tcPr>
          <w:p w14:paraId="0ADA42C0" w14:textId="77777777" w:rsidR="0084141B" w:rsidRPr="004E3E02" w:rsidRDefault="0084141B" w:rsidP="00676490">
            <w:pPr>
              <w:spacing w:line="300" w:lineRule="atLeast"/>
              <w:jc w:val="center"/>
              <w:rPr>
                <w:rFonts w:ascii="Arial" w:hAnsi="Arial" w:cs="Arial"/>
                <w:b/>
                <w:sz w:val="16"/>
                <w:szCs w:val="16"/>
              </w:rPr>
            </w:pPr>
            <w:r w:rsidRPr="004E3E02">
              <w:rPr>
                <w:rFonts w:ascii="Arial" w:hAnsi="Arial" w:cs="Arial"/>
                <w:b/>
                <w:sz w:val="16"/>
                <w:szCs w:val="16"/>
              </w:rPr>
              <w:t>Land</w:t>
            </w:r>
          </w:p>
        </w:tc>
        <w:tc>
          <w:tcPr>
            <w:tcW w:w="1254" w:type="dxa"/>
            <w:vAlign w:val="center"/>
          </w:tcPr>
          <w:p w14:paraId="723F7DF0" w14:textId="77777777" w:rsidR="0084141B" w:rsidRPr="004E3E02" w:rsidRDefault="0084141B" w:rsidP="00676490">
            <w:pPr>
              <w:spacing w:line="300" w:lineRule="atLeast"/>
              <w:jc w:val="center"/>
              <w:rPr>
                <w:rFonts w:ascii="Arial" w:hAnsi="Arial" w:cs="Arial"/>
                <w:b/>
                <w:sz w:val="16"/>
                <w:szCs w:val="16"/>
              </w:rPr>
            </w:pPr>
            <w:r w:rsidRPr="004E3E02">
              <w:rPr>
                <w:rFonts w:ascii="Arial" w:hAnsi="Arial" w:cs="Arial"/>
                <w:b/>
                <w:sz w:val="16"/>
                <w:szCs w:val="16"/>
              </w:rPr>
              <w:t>Waste</w:t>
            </w:r>
          </w:p>
        </w:tc>
        <w:tc>
          <w:tcPr>
            <w:tcW w:w="1462" w:type="dxa"/>
            <w:vAlign w:val="center"/>
          </w:tcPr>
          <w:p w14:paraId="08CF5741" w14:textId="77777777" w:rsidR="0084141B" w:rsidRPr="004E3E02" w:rsidRDefault="0084141B" w:rsidP="00676490">
            <w:pPr>
              <w:spacing w:line="300" w:lineRule="atLeast"/>
              <w:jc w:val="center"/>
              <w:rPr>
                <w:rFonts w:ascii="Arial" w:hAnsi="Arial" w:cs="Arial"/>
                <w:b/>
                <w:sz w:val="16"/>
                <w:szCs w:val="16"/>
              </w:rPr>
            </w:pPr>
            <w:r>
              <w:rPr>
                <w:rFonts w:ascii="Arial" w:hAnsi="Arial" w:cs="Arial"/>
                <w:b/>
                <w:sz w:val="16"/>
                <w:szCs w:val="16"/>
              </w:rPr>
              <w:t>Reservoir</w:t>
            </w:r>
          </w:p>
        </w:tc>
      </w:tr>
      <w:tr w:rsidR="00A91532" w:rsidRPr="007901FE" w14:paraId="5188193F" w14:textId="77777777" w:rsidTr="00D237D4">
        <w:tc>
          <w:tcPr>
            <w:tcW w:w="1483" w:type="dxa"/>
            <w:vAlign w:val="center"/>
          </w:tcPr>
          <w:p w14:paraId="2BE1789A" w14:textId="34F71C00" w:rsidR="001724C3" w:rsidRPr="004901F2" w:rsidRDefault="001724C3" w:rsidP="001724C3">
            <w:pPr>
              <w:spacing w:line="300" w:lineRule="atLeast"/>
              <w:rPr>
                <w:rFonts w:ascii="Arial" w:hAnsi="Arial" w:cs="Arial"/>
                <w:sz w:val="16"/>
                <w:szCs w:val="16"/>
              </w:rPr>
            </w:pPr>
            <w:r>
              <w:rPr>
                <w:rFonts w:ascii="Arial" w:hAnsi="Arial" w:cs="Arial"/>
                <w:sz w:val="16"/>
                <w:szCs w:val="16"/>
              </w:rPr>
              <w:t>Cont</w:t>
            </w:r>
            <w:r w:rsidR="00D237D4">
              <w:rPr>
                <w:rFonts w:ascii="Arial" w:hAnsi="Arial" w:cs="Arial"/>
                <w:sz w:val="16"/>
                <w:szCs w:val="16"/>
              </w:rPr>
              <w:t>rolled landfills</w:t>
            </w:r>
          </w:p>
        </w:tc>
        <w:tc>
          <w:tcPr>
            <w:tcW w:w="1425" w:type="dxa"/>
            <w:vAlign w:val="center"/>
          </w:tcPr>
          <w:p w14:paraId="03DC6EB6" w14:textId="070038EF" w:rsidR="001724C3" w:rsidRDefault="00011BEE" w:rsidP="001724C3">
            <w:pPr>
              <w:spacing w:line="300" w:lineRule="atLeast"/>
              <w:jc w:val="center"/>
              <w:rPr>
                <w:rFonts w:ascii="Arial" w:hAnsi="Arial" w:cs="Arial"/>
                <w:sz w:val="16"/>
                <w:szCs w:val="16"/>
              </w:rPr>
            </w:pPr>
            <w:r>
              <w:rPr>
                <w:rFonts w:ascii="Arial" w:hAnsi="Arial" w:cs="Arial"/>
                <w:sz w:val="16"/>
                <w:szCs w:val="16"/>
              </w:rPr>
              <w:t>3,029</w:t>
            </w:r>
          </w:p>
        </w:tc>
        <w:tc>
          <w:tcPr>
            <w:tcW w:w="912" w:type="dxa"/>
            <w:vAlign w:val="center"/>
          </w:tcPr>
          <w:p w14:paraId="3A8FE986" w14:textId="7C293950" w:rsidR="001724C3" w:rsidRDefault="00011BEE" w:rsidP="001724C3">
            <w:pPr>
              <w:spacing w:line="300" w:lineRule="atLeast"/>
              <w:jc w:val="center"/>
              <w:rPr>
                <w:rFonts w:ascii="Arial" w:hAnsi="Arial" w:cs="Arial"/>
                <w:sz w:val="16"/>
                <w:szCs w:val="16"/>
              </w:rPr>
            </w:pPr>
            <w:r>
              <w:rPr>
                <w:rFonts w:ascii="Arial" w:hAnsi="Arial" w:cs="Arial"/>
                <w:sz w:val="16"/>
                <w:szCs w:val="16"/>
              </w:rPr>
              <w:t>30.29</w:t>
            </w:r>
          </w:p>
        </w:tc>
        <w:tc>
          <w:tcPr>
            <w:tcW w:w="1539" w:type="dxa"/>
            <w:vAlign w:val="center"/>
          </w:tcPr>
          <w:p w14:paraId="3DFE965E" w14:textId="53FE4279" w:rsidR="001724C3" w:rsidRDefault="00011BEE" w:rsidP="001724C3">
            <w:pPr>
              <w:spacing w:line="300" w:lineRule="atLeast"/>
              <w:jc w:val="center"/>
              <w:rPr>
                <w:rFonts w:ascii="Arial" w:hAnsi="Arial" w:cs="Arial"/>
                <w:sz w:val="16"/>
                <w:szCs w:val="16"/>
              </w:rPr>
            </w:pPr>
            <w:r>
              <w:rPr>
                <w:rFonts w:ascii="Arial" w:hAnsi="Arial" w:cs="Arial"/>
                <w:sz w:val="16"/>
                <w:szCs w:val="16"/>
              </w:rPr>
              <w:t>0.303</w:t>
            </w:r>
          </w:p>
        </w:tc>
        <w:tc>
          <w:tcPr>
            <w:tcW w:w="1139" w:type="dxa"/>
            <w:vAlign w:val="center"/>
          </w:tcPr>
          <w:p w14:paraId="6ADB6212" w14:textId="66B45045" w:rsidR="001724C3" w:rsidRDefault="001724C3" w:rsidP="001724C3">
            <w:pPr>
              <w:spacing w:line="300" w:lineRule="atLeast"/>
              <w:jc w:val="center"/>
              <w:rPr>
                <w:rFonts w:ascii="Arial" w:hAnsi="Arial" w:cs="Arial"/>
                <w:sz w:val="16"/>
                <w:szCs w:val="16"/>
              </w:rPr>
            </w:pPr>
            <w:r>
              <w:rPr>
                <w:rFonts w:ascii="Arial" w:hAnsi="Arial" w:cs="Arial"/>
                <w:sz w:val="16"/>
                <w:szCs w:val="16"/>
              </w:rPr>
              <w:t>-</w:t>
            </w:r>
          </w:p>
        </w:tc>
        <w:tc>
          <w:tcPr>
            <w:tcW w:w="1254" w:type="dxa"/>
            <w:vAlign w:val="center"/>
          </w:tcPr>
          <w:p w14:paraId="7D4E4924" w14:textId="77777777" w:rsidR="001724C3" w:rsidRPr="004E3E02" w:rsidRDefault="001724C3" w:rsidP="001724C3">
            <w:pPr>
              <w:spacing w:line="300" w:lineRule="atLeast"/>
              <w:jc w:val="center"/>
              <w:rPr>
                <w:rFonts w:ascii="Arial" w:hAnsi="Arial" w:cs="Arial"/>
                <w:sz w:val="16"/>
                <w:szCs w:val="16"/>
              </w:rPr>
            </w:pPr>
            <w:r>
              <w:rPr>
                <w:rFonts w:ascii="Arial" w:hAnsi="Arial" w:cs="Arial"/>
                <w:sz w:val="16"/>
                <w:szCs w:val="16"/>
              </w:rPr>
              <w:t>-</w:t>
            </w:r>
          </w:p>
        </w:tc>
        <w:tc>
          <w:tcPr>
            <w:tcW w:w="1462" w:type="dxa"/>
            <w:vAlign w:val="center"/>
          </w:tcPr>
          <w:p w14:paraId="3F58ECFA" w14:textId="1D4E66E6" w:rsidR="001724C3" w:rsidRDefault="00011BEE" w:rsidP="001724C3">
            <w:pPr>
              <w:spacing w:line="300" w:lineRule="atLeast"/>
              <w:jc w:val="center"/>
              <w:rPr>
                <w:rFonts w:ascii="Arial" w:hAnsi="Arial" w:cs="Arial"/>
                <w:sz w:val="16"/>
                <w:szCs w:val="16"/>
              </w:rPr>
            </w:pPr>
            <w:r>
              <w:rPr>
                <w:rFonts w:ascii="Arial" w:hAnsi="Arial" w:cs="Arial"/>
                <w:sz w:val="16"/>
                <w:szCs w:val="16"/>
              </w:rPr>
              <w:t>2998</w:t>
            </w:r>
          </w:p>
        </w:tc>
      </w:tr>
      <w:tr w:rsidR="00A91532" w:rsidRPr="007901FE" w14:paraId="226763A7" w14:textId="77777777" w:rsidTr="00D237D4">
        <w:tc>
          <w:tcPr>
            <w:tcW w:w="1483" w:type="dxa"/>
            <w:vAlign w:val="center"/>
          </w:tcPr>
          <w:p w14:paraId="6D3D6B56" w14:textId="08215785" w:rsidR="0084141B" w:rsidRPr="004901F2" w:rsidRDefault="0084141B" w:rsidP="00D237D4">
            <w:pPr>
              <w:spacing w:before="40" w:after="40" w:line="300" w:lineRule="atLeast"/>
              <w:rPr>
                <w:rFonts w:ascii="Arial" w:hAnsi="Arial" w:cs="Arial"/>
                <w:sz w:val="16"/>
                <w:szCs w:val="16"/>
              </w:rPr>
            </w:pPr>
            <w:r>
              <w:rPr>
                <w:rFonts w:ascii="Arial" w:hAnsi="Arial" w:cs="Arial"/>
                <w:sz w:val="16"/>
                <w:szCs w:val="16"/>
              </w:rPr>
              <w:t xml:space="preserve">Diffuse </w:t>
            </w:r>
            <w:r w:rsidR="00D237D4">
              <w:rPr>
                <w:rFonts w:ascii="Arial" w:hAnsi="Arial" w:cs="Arial"/>
                <w:sz w:val="16"/>
                <w:szCs w:val="16"/>
              </w:rPr>
              <w:t>dumping</w:t>
            </w:r>
          </w:p>
        </w:tc>
        <w:tc>
          <w:tcPr>
            <w:tcW w:w="1425" w:type="dxa"/>
            <w:vAlign w:val="center"/>
          </w:tcPr>
          <w:p w14:paraId="684BC032" w14:textId="77777777" w:rsidR="0084141B" w:rsidRPr="004E3E02" w:rsidRDefault="0084141B" w:rsidP="00676490">
            <w:pPr>
              <w:spacing w:line="300" w:lineRule="atLeast"/>
              <w:jc w:val="center"/>
              <w:rPr>
                <w:rFonts w:ascii="Arial" w:hAnsi="Arial" w:cs="Arial"/>
                <w:sz w:val="16"/>
                <w:szCs w:val="16"/>
              </w:rPr>
            </w:pPr>
            <w:r>
              <w:rPr>
                <w:rFonts w:ascii="Arial" w:hAnsi="Arial" w:cs="Arial"/>
                <w:sz w:val="16"/>
                <w:szCs w:val="16"/>
              </w:rPr>
              <w:t>-</w:t>
            </w:r>
          </w:p>
        </w:tc>
        <w:tc>
          <w:tcPr>
            <w:tcW w:w="912" w:type="dxa"/>
            <w:vAlign w:val="center"/>
          </w:tcPr>
          <w:p w14:paraId="3D19250B" w14:textId="77777777" w:rsidR="0084141B" w:rsidRPr="004E3E02" w:rsidRDefault="0084141B" w:rsidP="00676490">
            <w:pPr>
              <w:spacing w:line="300" w:lineRule="atLeast"/>
              <w:jc w:val="center"/>
              <w:rPr>
                <w:rFonts w:ascii="Arial" w:hAnsi="Arial" w:cs="Arial"/>
                <w:sz w:val="16"/>
                <w:szCs w:val="16"/>
              </w:rPr>
            </w:pPr>
            <w:r>
              <w:rPr>
                <w:rFonts w:ascii="Arial" w:hAnsi="Arial" w:cs="Arial"/>
                <w:sz w:val="16"/>
                <w:szCs w:val="16"/>
              </w:rPr>
              <w:t>-</w:t>
            </w:r>
          </w:p>
        </w:tc>
        <w:tc>
          <w:tcPr>
            <w:tcW w:w="1539" w:type="dxa"/>
            <w:vAlign w:val="center"/>
          </w:tcPr>
          <w:p w14:paraId="08AED989" w14:textId="77777777" w:rsidR="0084141B" w:rsidRPr="004E3E02" w:rsidRDefault="0084141B" w:rsidP="00676490">
            <w:pPr>
              <w:spacing w:line="300" w:lineRule="atLeast"/>
              <w:jc w:val="center"/>
              <w:rPr>
                <w:rFonts w:ascii="Arial" w:hAnsi="Arial" w:cs="Arial"/>
                <w:sz w:val="16"/>
                <w:szCs w:val="16"/>
              </w:rPr>
            </w:pPr>
            <w:r>
              <w:rPr>
                <w:rFonts w:ascii="Arial" w:hAnsi="Arial" w:cs="Arial"/>
                <w:sz w:val="16"/>
                <w:szCs w:val="16"/>
              </w:rPr>
              <w:t>-</w:t>
            </w:r>
          </w:p>
        </w:tc>
        <w:tc>
          <w:tcPr>
            <w:tcW w:w="1139" w:type="dxa"/>
            <w:vAlign w:val="center"/>
          </w:tcPr>
          <w:p w14:paraId="36DC1BA3" w14:textId="77777777" w:rsidR="0084141B" w:rsidRPr="004E3E02" w:rsidRDefault="0084141B" w:rsidP="00676490">
            <w:pPr>
              <w:spacing w:line="300" w:lineRule="atLeast"/>
              <w:jc w:val="center"/>
              <w:rPr>
                <w:rFonts w:ascii="Arial" w:hAnsi="Arial" w:cs="Arial"/>
                <w:sz w:val="16"/>
                <w:szCs w:val="16"/>
              </w:rPr>
            </w:pPr>
            <w:r>
              <w:rPr>
                <w:rFonts w:ascii="Arial" w:hAnsi="Arial" w:cs="Arial"/>
                <w:sz w:val="16"/>
                <w:szCs w:val="16"/>
              </w:rPr>
              <w:t>-</w:t>
            </w:r>
          </w:p>
        </w:tc>
        <w:tc>
          <w:tcPr>
            <w:tcW w:w="1254" w:type="dxa"/>
            <w:vAlign w:val="center"/>
          </w:tcPr>
          <w:p w14:paraId="351CFEE7" w14:textId="77777777" w:rsidR="0084141B" w:rsidRPr="004E3E02" w:rsidRDefault="0084141B" w:rsidP="00676490">
            <w:pPr>
              <w:spacing w:line="300" w:lineRule="atLeast"/>
              <w:jc w:val="center"/>
              <w:rPr>
                <w:rFonts w:ascii="Arial" w:hAnsi="Arial" w:cs="Arial"/>
                <w:sz w:val="16"/>
                <w:szCs w:val="16"/>
              </w:rPr>
            </w:pPr>
            <w:r>
              <w:rPr>
                <w:rFonts w:ascii="Arial" w:hAnsi="Arial" w:cs="Arial"/>
                <w:sz w:val="16"/>
                <w:szCs w:val="16"/>
              </w:rPr>
              <w:t>-</w:t>
            </w:r>
          </w:p>
        </w:tc>
        <w:tc>
          <w:tcPr>
            <w:tcW w:w="1462" w:type="dxa"/>
            <w:vAlign w:val="center"/>
          </w:tcPr>
          <w:p w14:paraId="346BB0B8" w14:textId="77777777" w:rsidR="0084141B" w:rsidRDefault="0084141B" w:rsidP="00676490">
            <w:pPr>
              <w:spacing w:line="300" w:lineRule="atLeast"/>
              <w:jc w:val="center"/>
              <w:rPr>
                <w:rFonts w:ascii="Arial" w:hAnsi="Arial" w:cs="Arial"/>
                <w:sz w:val="16"/>
                <w:szCs w:val="16"/>
              </w:rPr>
            </w:pPr>
            <w:r>
              <w:rPr>
                <w:rFonts w:ascii="Arial" w:hAnsi="Arial" w:cs="Arial"/>
                <w:sz w:val="16"/>
                <w:szCs w:val="16"/>
              </w:rPr>
              <w:t>-</w:t>
            </w:r>
          </w:p>
        </w:tc>
      </w:tr>
      <w:tr w:rsidR="00A91532" w:rsidRPr="007901FE" w14:paraId="1BA2B77F" w14:textId="77777777" w:rsidTr="00D237D4">
        <w:tc>
          <w:tcPr>
            <w:tcW w:w="1483" w:type="dxa"/>
            <w:vAlign w:val="center"/>
          </w:tcPr>
          <w:p w14:paraId="7366CB37" w14:textId="02272E09" w:rsidR="0084141B" w:rsidRPr="004901F2" w:rsidRDefault="0084141B" w:rsidP="00D237D4">
            <w:pPr>
              <w:spacing w:line="300" w:lineRule="atLeast"/>
              <w:rPr>
                <w:rFonts w:ascii="Arial" w:hAnsi="Arial" w:cs="Arial"/>
                <w:sz w:val="16"/>
                <w:szCs w:val="16"/>
              </w:rPr>
            </w:pPr>
            <w:r>
              <w:rPr>
                <w:rFonts w:ascii="Arial" w:hAnsi="Arial" w:cs="Arial"/>
                <w:sz w:val="16"/>
                <w:szCs w:val="16"/>
              </w:rPr>
              <w:t xml:space="preserve">Informal </w:t>
            </w:r>
            <w:r w:rsidR="00D237D4">
              <w:rPr>
                <w:rFonts w:ascii="Arial" w:hAnsi="Arial" w:cs="Arial"/>
                <w:sz w:val="16"/>
                <w:szCs w:val="16"/>
              </w:rPr>
              <w:t xml:space="preserve">- </w:t>
            </w:r>
            <w:r>
              <w:rPr>
                <w:rFonts w:ascii="Arial" w:hAnsi="Arial" w:cs="Arial"/>
                <w:sz w:val="16"/>
                <w:szCs w:val="16"/>
              </w:rPr>
              <w:t xml:space="preserve">industrial </w:t>
            </w:r>
            <w:r w:rsidR="00D237D4">
              <w:rPr>
                <w:rFonts w:ascii="Arial" w:hAnsi="Arial" w:cs="Arial"/>
                <w:sz w:val="16"/>
                <w:szCs w:val="16"/>
              </w:rPr>
              <w:t>wastes</w:t>
            </w:r>
          </w:p>
        </w:tc>
        <w:tc>
          <w:tcPr>
            <w:tcW w:w="1425" w:type="dxa"/>
            <w:vAlign w:val="center"/>
          </w:tcPr>
          <w:p w14:paraId="498EFD1C" w14:textId="77777777" w:rsidR="0084141B" w:rsidRPr="004E3E02" w:rsidRDefault="0084141B" w:rsidP="00676490">
            <w:pPr>
              <w:spacing w:line="300" w:lineRule="atLeast"/>
              <w:jc w:val="center"/>
              <w:rPr>
                <w:rFonts w:ascii="Arial" w:hAnsi="Arial" w:cs="Arial"/>
                <w:sz w:val="16"/>
                <w:szCs w:val="16"/>
              </w:rPr>
            </w:pPr>
            <w:r>
              <w:rPr>
                <w:rFonts w:ascii="Arial" w:hAnsi="Arial" w:cs="Arial"/>
                <w:sz w:val="16"/>
                <w:szCs w:val="16"/>
              </w:rPr>
              <w:t>-</w:t>
            </w:r>
          </w:p>
        </w:tc>
        <w:tc>
          <w:tcPr>
            <w:tcW w:w="912" w:type="dxa"/>
            <w:vAlign w:val="center"/>
          </w:tcPr>
          <w:p w14:paraId="0D90E607" w14:textId="77777777" w:rsidR="0084141B" w:rsidRPr="004E3E02" w:rsidRDefault="0084141B" w:rsidP="00676490">
            <w:pPr>
              <w:spacing w:line="300" w:lineRule="atLeast"/>
              <w:jc w:val="center"/>
              <w:rPr>
                <w:rFonts w:ascii="Arial" w:hAnsi="Arial" w:cs="Arial"/>
                <w:sz w:val="16"/>
                <w:szCs w:val="16"/>
              </w:rPr>
            </w:pPr>
            <w:r>
              <w:rPr>
                <w:rFonts w:ascii="Arial" w:hAnsi="Arial" w:cs="Arial"/>
                <w:sz w:val="16"/>
                <w:szCs w:val="16"/>
              </w:rPr>
              <w:t>-</w:t>
            </w:r>
          </w:p>
        </w:tc>
        <w:tc>
          <w:tcPr>
            <w:tcW w:w="1539" w:type="dxa"/>
            <w:vAlign w:val="center"/>
          </w:tcPr>
          <w:p w14:paraId="0AD55FA1" w14:textId="77777777" w:rsidR="0084141B" w:rsidRPr="004E3E02" w:rsidRDefault="0084141B" w:rsidP="00676490">
            <w:pPr>
              <w:spacing w:line="300" w:lineRule="atLeast"/>
              <w:jc w:val="center"/>
              <w:rPr>
                <w:rFonts w:ascii="Arial" w:hAnsi="Arial" w:cs="Arial"/>
                <w:sz w:val="16"/>
                <w:szCs w:val="16"/>
              </w:rPr>
            </w:pPr>
            <w:r>
              <w:rPr>
                <w:rFonts w:ascii="Arial" w:hAnsi="Arial" w:cs="Arial"/>
                <w:sz w:val="16"/>
                <w:szCs w:val="16"/>
              </w:rPr>
              <w:t>-</w:t>
            </w:r>
          </w:p>
        </w:tc>
        <w:tc>
          <w:tcPr>
            <w:tcW w:w="1139" w:type="dxa"/>
            <w:vAlign w:val="center"/>
          </w:tcPr>
          <w:p w14:paraId="36C26919" w14:textId="77777777" w:rsidR="0084141B" w:rsidRPr="004E3E02" w:rsidRDefault="0084141B" w:rsidP="00676490">
            <w:pPr>
              <w:spacing w:line="300" w:lineRule="atLeast"/>
              <w:jc w:val="center"/>
              <w:rPr>
                <w:rFonts w:ascii="Arial" w:hAnsi="Arial" w:cs="Arial"/>
                <w:sz w:val="16"/>
                <w:szCs w:val="16"/>
              </w:rPr>
            </w:pPr>
            <w:r>
              <w:rPr>
                <w:rFonts w:ascii="Arial" w:hAnsi="Arial" w:cs="Arial"/>
                <w:sz w:val="16"/>
                <w:szCs w:val="16"/>
              </w:rPr>
              <w:t>-</w:t>
            </w:r>
          </w:p>
        </w:tc>
        <w:tc>
          <w:tcPr>
            <w:tcW w:w="1254" w:type="dxa"/>
            <w:vAlign w:val="center"/>
          </w:tcPr>
          <w:p w14:paraId="5B46B41B" w14:textId="77777777" w:rsidR="0084141B" w:rsidRPr="004E3E02" w:rsidRDefault="0084141B" w:rsidP="00676490">
            <w:pPr>
              <w:spacing w:line="300" w:lineRule="atLeast"/>
              <w:jc w:val="center"/>
              <w:rPr>
                <w:rFonts w:ascii="Arial" w:hAnsi="Arial" w:cs="Arial"/>
                <w:sz w:val="16"/>
                <w:szCs w:val="16"/>
              </w:rPr>
            </w:pPr>
            <w:r>
              <w:rPr>
                <w:rFonts w:ascii="Arial" w:hAnsi="Arial" w:cs="Arial"/>
                <w:sz w:val="16"/>
                <w:szCs w:val="16"/>
              </w:rPr>
              <w:t>-</w:t>
            </w:r>
          </w:p>
        </w:tc>
        <w:tc>
          <w:tcPr>
            <w:tcW w:w="1462" w:type="dxa"/>
            <w:vAlign w:val="center"/>
          </w:tcPr>
          <w:p w14:paraId="42784959" w14:textId="77777777" w:rsidR="0084141B" w:rsidRDefault="0084141B" w:rsidP="00676490">
            <w:pPr>
              <w:spacing w:line="300" w:lineRule="atLeast"/>
              <w:jc w:val="center"/>
              <w:rPr>
                <w:rFonts w:ascii="Arial" w:hAnsi="Arial" w:cs="Arial"/>
                <w:sz w:val="16"/>
                <w:szCs w:val="16"/>
              </w:rPr>
            </w:pPr>
            <w:r>
              <w:rPr>
                <w:rFonts w:ascii="Arial" w:hAnsi="Arial" w:cs="Arial"/>
                <w:sz w:val="16"/>
                <w:szCs w:val="16"/>
              </w:rPr>
              <w:t>-</w:t>
            </w:r>
          </w:p>
        </w:tc>
      </w:tr>
      <w:tr w:rsidR="00A91532" w:rsidRPr="007901FE" w14:paraId="5BC7A8D4" w14:textId="77777777" w:rsidTr="00D237D4">
        <w:tc>
          <w:tcPr>
            <w:tcW w:w="1483" w:type="dxa"/>
            <w:vAlign w:val="center"/>
          </w:tcPr>
          <w:p w14:paraId="4C6646A6" w14:textId="026A4C98" w:rsidR="0084141B" w:rsidRPr="004901F2" w:rsidRDefault="00D237D4" w:rsidP="00D237D4">
            <w:pPr>
              <w:spacing w:line="300" w:lineRule="atLeast"/>
              <w:rPr>
                <w:rFonts w:ascii="Arial" w:hAnsi="Arial" w:cs="Arial"/>
                <w:sz w:val="16"/>
                <w:szCs w:val="16"/>
              </w:rPr>
            </w:pPr>
            <w:r>
              <w:rPr>
                <w:rFonts w:ascii="Arial" w:hAnsi="Arial" w:cs="Arial"/>
                <w:sz w:val="16"/>
                <w:szCs w:val="16"/>
              </w:rPr>
              <w:t>Informal -</w:t>
            </w:r>
            <w:r w:rsidR="0084141B">
              <w:rPr>
                <w:rFonts w:ascii="Arial" w:hAnsi="Arial" w:cs="Arial"/>
                <w:sz w:val="16"/>
                <w:szCs w:val="16"/>
              </w:rPr>
              <w:t xml:space="preserve"> general waste</w:t>
            </w:r>
          </w:p>
        </w:tc>
        <w:tc>
          <w:tcPr>
            <w:tcW w:w="1425" w:type="dxa"/>
            <w:vAlign w:val="center"/>
          </w:tcPr>
          <w:p w14:paraId="0AB11B09" w14:textId="77777777" w:rsidR="0084141B" w:rsidRDefault="0084141B" w:rsidP="00676490">
            <w:pPr>
              <w:spacing w:line="300" w:lineRule="atLeast"/>
              <w:jc w:val="center"/>
              <w:rPr>
                <w:rFonts w:ascii="Arial" w:hAnsi="Arial" w:cs="Arial"/>
                <w:sz w:val="16"/>
                <w:szCs w:val="16"/>
              </w:rPr>
            </w:pPr>
            <w:r>
              <w:rPr>
                <w:rFonts w:ascii="Arial" w:hAnsi="Arial" w:cs="Arial"/>
                <w:sz w:val="16"/>
                <w:szCs w:val="16"/>
              </w:rPr>
              <w:t>-</w:t>
            </w:r>
          </w:p>
        </w:tc>
        <w:tc>
          <w:tcPr>
            <w:tcW w:w="912" w:type="dxa"/>
            <w:vAlign w:val="center"/>
          </w:tcPr>
          <w:p w14:paraId="4766DBBF" w14:textId="77777777" w:rsidR="0084141B" w:rsidRDefault="0084141B" w:rsidP="00676490">
            <w:pPr>
              <w:spacing w:line="300" w:lineRule="atLeast"/>
              <w:jc w:val="center"/>
              <w:rPr>
                <w:rFonts w:ascii="Arial" w:hAnsi="Arial" w:cs="Arial"/>
                <w:sz w:val="16"/>
                <w:szCs w:val="16"/>
              </w:rPr>
            </w:pPr>
            <w:r>
              <w:rPr>
                <w:rFonts w:ascii="Arial" w:hAnsi="Arial" w:cs="Arial"/>
                <w:sz w:val="16"/>
                <w:szCs w:val="16"/>
              </w:rPr>
              <w:t>-</w:t>
            </w:r>
          </w:p>
        </w:tc>
        <w:tc>
          <w:tcPr>
            <w:tcW w:w="1539" w:type="dxa"/>
            <w:vAlign w:val="center"/>
          </w:tcPr>
          <w:p w14:paraId="5009000F" w14:textId="77777777" w:rsidR="0084141B" w:rsidRDefault="0084141B" w:rsidP="00676490">
            <w:pPr>
              <w:spacing w:line="300" w:lineRule="atLeast"/>
              <w:jc w:val="center"/>
              <w:rPr>
                <w:rFonts w:ascii="Arial" w:hAnsi="Arial" w:cs="Arial"/>
                <w:sz w:val="16"/>
                <w:szCs w:val="16"/>
              </w:rPr>
            </w:pPr>
            <w:r>
              <w:rPr>
                <w:rFonts w:ascii="Arial" w:hAnsi="Arial" w:cs="Arial"/>
                <w:sz w:val="16"/>
                <w:szCs w:val="16"/>
              </w:rPr>
              <w:t>-</w:t>
            </w:r>
          </w:p>
        </w:tc>
        <w:tc>
          <w:tcPr>
            <w:tcW w:w="1139" w:type="dxa"/>
            <w:vAlign w:val="center"/>
          </w:tcPr>
          <w:p w14:paraId="045418D8" w14:textId="77777777" w:rsidR="0084141B" w:rsidRDefault="0084141B" w:rsidP="00676490">
            <w:pPr>
              <w:spacing w:line="300" w:lineRule="atLeast"/>
              <w:jc w:val="center"/>
              <w:rPr>
                <w:rFonts w:ascii="Arial" w:hAnsi="Arial" w:cs="Arial"/>
                <w:sz w:val="16"/>
                <w:szCs w:val="16"/>
              </w:rPr>
            </w:pPr>
            <w:r>
              <w:rPr>
                <w:rFonts w:ascii="Arial" w:hAnsi="Arial" w:cs="Arial"/>
                <w:sz w:val="16"/>
                <w:szCs w:val="16"/>
              </w:rPr>
              <w:t>-</w:t>
            </w:r>
          </w:p>
        </w:tc>
        <w:tc>
          <w:tcPr>
            <w:tcW w:w="1254" w:type="dxa"/>
            <w:vAlign w:val="center"/>
          </w:tcPr>
          <w:p w14:paraId="2949BE55" w14:textId="77777777" w:rsidR="0084141B" w:rsidRDefault="0084141B" w:rsidP="00676490">
            <w:pPr>
              <w:spacing w:line="300" w:lineRule="atLeast"/>
              <w:jc w:val="center"/>
              <w:rPr>
                <w:rFonts w:ascii="Arial" w:hAnsi="Arial" w:cs="Arial"/>
                <w:sz w:val="16"/>
                <w:szCs w:val="16"/>
              </w:rPr>
            </w:pPr>
            <w:r>
              <w:rPr>
                <w:rFonts w:ascii="Arial" w:hAnsi="Arial" w:cs="Arial"/>
                <w:sz w:val="16"/>
                <w:szCs w:val="16"/>
              </w:rPr>
              <w:t>-</w:t>
            </w:r>
          </w:p>
        </w:tc>
        <w:tc>
          <w:tcPr>
            <w:tcW w:w="1462" w:type="dxa"/>
            <w:vAlign w:val="center"/>
          </w:tcPr>
          <w:p w14:paraId="0D178EA3" w14:textId="77777777" w:rsidR="0084141B" w:rsidRDefault="0084141B" w:rsidP="00676490">
            <w:pPr>
              <w:spacing w:line="300" w:lineRule="atLeast"/>
              <w:jc w:val="center"/>
              <w:rPr>
                <w:rFonts w:ascii="Arial" w:hAnsi="Arial" w:cs="Arial"/>
                <w:sz w:val="16"/>
                <w:szCs w:val="16"/>
              </w:rPr>
            </w:pPr>
            <w:r>
              <w:rPr>
                <w:rFonts w:ascii="Arial" w:hAnsi="Arial" w:cs="Arial"/>
                <w:sz w:val="16"/>
                <w:szCs w:val="16"/>
              </w:rPr>
              <w:t>-</w:t>
            </w:r>
          </w:p>
        </w:tc>
      </w:tr>
      <w:tr w:rsidR="00A91532" w:rsidRPr="007901FE" w14:paraId="0030F126" w14:textId="77777777" w:rsidTr="00D237D4">
        <w:tc>
          <w:tcPr>
            <w:tcW w:w="1483" w:type="dxa"/>
            <w:vAlign w:val="center"/>
          </w:tcPr>
          <w:p w14:paraId="15A4ADE7" w14:textId="77777777" w:rsidR="001724C3" w:rsidRPr="004901F2" w:rsidRDefault="001724C3" w:rsidP="001724C3">
            <w:pPr>
              <w:spacing w:line="300" w:lineRule="atLeast"/>
              <w:rPr>
                <w:rFonts w:ascii="Arial" w:hAnsi="Arial" w:cs="Arial"/>
                <w:sz w:val="16"/>
                <w:szCs w:val="16"/>
              </w:rPr>
            </w:pPr>
            <w:r>
              <w:rPr>
                <w:rFonts w:ascii="Arial" w:hAnsi="Arial" w:cs="Arial"/>
                <w:sz w:val="16"/>
                <w:szCs w:val="16"/>
              </w:rPr>
              <w:t xml:space="preserve">Wastewater treatment </w:t>
            </w:r>
          </w:p>
        </w:tc>
        <w:tc>
          <w:tcPr>
            <w:tcW w:w="1425" w:type="dxa"/>
            <w:vAlign w:val="center"/>
          </w:tcPr>
          <w:p w14:paraId="69B02512" w14:textId="11BDC85C" w:rsidR="001724C3" w:rsidRDefault="00011BEE" w:rsidP="001724C3">
            <w:pPr>
              <w:spacing w:line="300" w:lineRule="atLeast"/>
              <w:jc w:val="center"/>
              <w:rPr>
                <w:rFonts w:ascii="Arial" w:hAnsi="Arial" w:cs="Arial"/>
                <w:sz w:val="16"/>
                <w:szCs w:val="16"/>
              </w:rPr>
            </w:pPr>
            <w:r>
              <w:rPr>
                <w:rFonts w:ascii="Arial" w:hAnsi="Arial" w:cs="Arial"/>
                <w:sz w:val="16"/>
                <w:szCs w:val="16"/>
              </w:rPr>
              <w:t>33</w:t>
            </w:r>
            <w:r w:rsidR="00056F10">
              <w:rPr>
                <w:rFonts w:ascii="Arial" w:hAnsi="Arial" w:cs="Arial"/>
                <w:sz w:val="16"/>
                <w:szCs w:val="16"/>
              </w:rPr>
              <w:t>7</w:t>
            </w:r>
            <w:r>
              <w:rPr>
                <w:rFonts w:ascii="Arial" w:hAnsi="Arial" w:cs="Arial"/>
                <w:sz w:val="16"/>
                <w:szCs w:val="16"/>
              </w:rPr>
              <w:t xml:space="preserve"> – 673</w:t>
            </w:r>
            <w:r w:rsidR="00056F10">
              <w:rPr>
                <w:rFonts w:ascii="Arial" w:hAnsi="Arial" w:cs="Arial"/>
                <w:sz w:val="16"/>
                <w:szCs w:val="16"/>
              </w:rPr>
              <w:t>4</w:t>
            </w:r>
            <w:r>
              <w:rPr>
                <w:rFonts w:ascii="Arial" w:hAnsi="Arial" w:cs="Arial"/>
                <w:sz w:val="16"/>
                <w:szCs w:val="16"/>
              </w:rPr>
              <w:t xml:space="preserve"> (3535)</w:t>
            </w:r>
          </w:p>
        </w:tc>
        <w:tc>
          <w:tcPr>
            <w:tcW w:w="912" w:type="dxa"/>
            <w:vAlign w:val="center"/>
          </w:tcPr>
          <w:p w14:paraId="258B1F8C" w14:textId="71A7CC34" w:rsidR="001724C3" w:rsidRDefault="001724C3" w:rsidP="001724C3">
            <w:pPr>
              <w:spacing w:line="300" w:lineRule="atLeast"/>
              <w:jc w:val="center"/>
              <w:rPr>
                <w:rFonts w:ascii="Arial" w:hAnsi="Arial" w:cs="Arial"/>
                <w:sz w:val="16"/>
                <w:szCs w:val="16"/>
              </w:rPr>
            </w:pPr>
            <w:r>
              <w:rPr>
                <w:rFonts w:ascii="Arial" w:hAnsi="Arial" w:cs="Arial"/>
                <w:sz w:val="16"/>
                <w:szCs w:val="16"/>
              </w:rPr>
              <w:t>-</w:t>
            </w:r>
          </w:p>
        </w:tc>
        <w:tc>
          <w:tcPr>
            <w:tcW w:w="1539" w:type="dxa"/>
            <w:vAlign w:val="center"/>
          </w:tcPr>
          <w:p w14:paraId="654608F0" w14:textId="47D18783" w:rsidR="001724C3" w:rsidRDefault="00011BEE" w:rsidP="001724C3">
            <w:pPr>
              <w:spacing w:line="300" w:lineRule="atLeast"/>
              <w:jc w:val="center"/>
              <w:rPr>
                <w:rFonts w:ascii="Arial" w:hAnsi="Arial" w:cs="Arial"/>
                <w:sz w:val="16"/>
                <w:szCs w:val="16"/>
              </w:rPr>
            </w:pPr>
            <w:r>
              <w:rPr>
                <w:rFonts w:ascii="Arial" w:hAnsi="Arial" w:cs="Arial"/>
                <w:sz w:val="16"/>
                <w:szCs w:val="16"/>
              </w:rPr>
              <w:t>168 – 336</w:t>
            </w:r>
            <w:r w:rsidR="000F3295">
              <w:rPr>
                <w:rFonts w:ascii="Arial" w:hAnsi="Arial" w:cs="Arial"/>
                <w:sz w:val="16"/>
                <w:szCs w:val="16"/>
              </w:rPr>
              <w:t xml:space="preserve">7 </w:t>
            </w:r>
            <w:r>
              <w:rPr>
                <w:rFonts w:ascii="Arial" w:hAnsi="Arial" w:cs="Arial"/>
                <w:sz w:val="16"/>
                <w:szCs w:val="16"/>
              </w:rPr>
              <w:t>(176</w:t>
            </w:r>
            <w:r w:rsidR="000F3295">
              <w:rPr>
                <w:rFonts w:ascii="Arial" w:hAnsi="Arial" w:cs="Arial"/>
                <w:sz w:val="16"/>
                <w:szCs w:val="16"/>
              </w:rPr>
              <w:t>8</w:t>
            </w:r>
            <w:r>
              <w:rPr>
                <w:rFonts w:ascii="Arial" w:hAnsi="Arial" w:cs="Arial"/>
                <w:sz w:val="16"/>
                <w:szCs w:val="16"/>
              </w:rPr>
              <w:t>)</w:t>
            </w:r>
          </w:p>
        </w:tc>
        <w:tc>
          <w:tcPr>
            <w:tcW w:w="1139" w:type="dxa"/>
            <w:vAlign w:val="center"/>
          </w:tcPr>
          <w:p w14:paraId="4AD1B92D" w14:textId="06CEB8B8" w:rsidR="001724C3" w:rsidRDefault="00011BEE" w:rsidP="001724C3">
            <w:pPr>
              <w:spacing w:line="300" w:lineRule="atLeast"/>
              <w:jc w:val="center"/>
              <w:rPr>
                <w:rFonts w:ascii="Arial" w:hAnsi="Arial" w:cs="Arial"/>
                <w:sz w:val="16"/>
                <w:szCs w:val="16"/>
              </w:rPr>
            </w:pPr>
            <w:r>
              <w:rPr>
                <w:rFonts w:ascii="Arial" w:hAnsi="Arial" w:cs="Arial"/>
                <w:sz w:val="16"/>
                <w:szCs w:val="16"/>
              </w:rPr>
              <w:t>67.3 – 134</w:t>
            </w:r>
            <w:r w:rsidR="000F3295">
              <w:rPr>
                <w:rFonts w:ascii="Arial" w:hAnsi="Arial" w:cs="Arial"/>
                <w:sz w:val="16"/>
                <w:szCs w:val="16"/>
              </w:rPr>
              <w:t>7</w:t>
            </w:r>
            <w:r>
              <w:rPr>
                <w:rFonts w:ascii="Arial" w:hAnsi="Arial" w:cs="Arial"/>
                <w:sz w:val="16"/>
                <w:szCs w:val="16"/>
              </w:rPr>
              <w:t xml:space="preserve"> (707</w:t>
            </w:r>
            <w:r w:rsidR="000F3295">
              <w:rPr>
                <w:rFonts w:ascii="Arial" w:hAnsi="Arial" w:cs="Arial"/>
                <w:sz w:val="16"/>
                <w:szCs w:val="16"/>
              </w:rPr>
              <w:t>)</w:t>
            </w:r>
          </w:p>
        </w:tc>
        <w:tc>
          <w:tcPr>
            <w:tcW w:w="1254" w:type="dxa"/>
            <w:vAlign w:val="center"/>
          </w:tcPr>
          <w:p w14:paraId="6AB9D2F4" w14:textId="41789717" w:rsidR="001724C3" w:rsidRDefault="00011BEE" w:rsidP="001724C3">
            <w:pPr>
              <w:spacing w:line="300" w:lineRule="atLeast"/>
              <w:jc w:val="center"/>
              <w:rPr>
                <w:rFonts w:ascii="Arial" w:hAnsi="Arial" w:cs="Arial"/>
                <w:sz w:val="16"/>
                <w:szCs w:val="16"/>
              </w:rPr>
            </w:pPr>
            <w:r>
              <w:rPr>
                <w:rFonts w:ascii="Arial" w:hAnsi="Arial" w:cs="Arial"/>
                <w:sz w:val="16"/>
                <w:szCs w:val="16"/>
              </w:rPr>
              <w:t>101</w:t>
            </w:r>
            <w:r w:rsidR="000F3295">
              <w:rPr>
                <w:rFonts w:ascii="Arial" w:hAnsi="Arial" w:cs="Arial"/>
                <w:sz w:val="16"/>
                <w:szCs w:val="16"/>
              </w:rPr>
              <w:t xml:space="preserve"> </w:t>
            </w:r>
            <w:r>
              <w:rPr>
                <w:rFonts w:ascii="Arial" w:hAnsi="Arial" w:cs="Arial"/>
                <w:sz w:val="16"/>
                <w:szCs w:val="16"/>
              </w:rPr>
              <w:t>– 2020 (106</w:t>
            </w:r>
            <w:r w:rsidR="000F3295">
              <w:rPr>
                <w:rFonts w:ascii="Arial" w:hAnsi="Arial" w:cs="Arial"/>
                <w:sz w:val="16"/>
                <w:szCs w:val="16"/>
              </w:rPr>
              <w:t>1</w:t>
            </w:r>
            <w:r>
              <w:rPr>
                <w:rFonts w:ascii="Arial" w:hAnsi="Arial" w:cs="Arial"/>
                <w:sz w:val="16"/>
                <w:szCs w:val="16"/>
              </w:rPr>
              <w:t>)</w:t>
            </w:r>
          </w:p>
        </w:tc>
        <w:tc>
          <w:tcPr>
            <w:tcW w:w="1462" w:type="dxa"/>
            <w:vAlign w:val="center"/>
          </w:tcPr>
          <w:p w14:paraId="75DED226" w14:textId="77777777" w:rsidR="001724C3" w:rsidRDefault="001724C3" w:rsidP="001724C3">
            <w:pPr>
              <w:spacing w:line="300" w:lineRule="atLeast"/>
              <w:jc w:val="center"/>
              <w:rPr>
                <w:rFonts w:ascii="Arial" w:hAnsi="Arial" w:cs="Arial"/>
                <w:sz w:val="16"/>
                <w:szCs w:val="16"/>
              </w:rPr>
            </w:pPr>
            <w:r>
              <w:rPr>
                <w:rFonts w:ascii="Arial" w:hAnsi="Arial" w:cs="Arial"/>
                <w:sz w:val="16"/>
                <w:szCs w:val="16"/>
              </w:rPr>
              <w:t>-</w:t>
            </w:r>
          </w:p>
        </w:tc>
      </w:tr>
      <w:tr w:rsidR="00A91532" w:rsidRPr="007901FE" w14:paraId="40A6BAC5" w14:textId="77777777" w:rsidTr="00D237D4">
        <w:tc>
          <w:tcPr>
            <w:tcW w:w="1483" w:type="dxa"/>
            <w:vAlign w:val="center"/>
          </w:tcPr>
          <w:p w14:paraId="709FDD4C" w14:textId="77777777" w:rsidR="0084141B" w:rsidRPr="004E3E02" w:rsidRDefault="0084141B" w:rsidP="00C87339">
            <w:pPr>
              <w:spacing w:line="300" w:lineRule="atLeast"/>
              <w:rPr>
                <w:rFonts w:ascii="Arial" w:hAnsi="Arial" w:cs="Arial"/>
                <w:b/>
                <w:sz w:val="16"/>
                <w:szCs w:val="16"/>
              </w:rPr>
            </w:pPr>
            <w:r w:rsidRPr="004E3E02">
              <w:rPr>
                <w:rFonts w:ascii="Arial" w:hAnsi="Arial" w:cs="Arial"/>
                <w:b/>
                <w:sz w:val="16"/>
                <w:szCs w:val="16"/>
              </w:rPr>
              <w:t>Totals</w:t>
            </w:r>
          </w:p>
        </w:tc>
        <w:tc>
          <w:tcPr>
            <w:tcW w:w="1425" w:type="dxa"/>
            <w:vAlign w:val="center"/>
          </w:tcPr>
          <w:p w14:paraId="3FF9AA0B" w14:textId="32FC845A" w:rsidR="0084141B" w:rsidRPr="00175210" w:rsidRDefault="00C9141F" w:rsidP="00775066">
            <w:pPr>
              <w:spacing w:line="300" w:lineRule="atLeast"/>
              <w:jc w:val="center"/>
              <w:rPr>
                <w:rFonts w:ascii="Arial" w:hAnsi="Arial" w:cs="Arial"/>
                <w:b/>
                <w:sz w:val="16"/>
                <w:szCs w:val="16"/>
              </w:rPr>
            </w:pPr>
            <w:r>
              <w:rPr>
                <w:rFonts w:ascii="Arial" w:hAnsi="Arial" w:cs="Arial"/>
                <w:b/>
                <w:sz w:val="16"/>
                <w:szCs w:val="16"/>
              </w:rPr>
              <w:t>336</w:t>
            </w:r>
            <w:r w:rsidR="000F3295">
              <w:rPr>
                <w:rFonts w:ascii="Arial" w:hAnsi="Arial" w:cs="Arial"/>
                <w:b/>
                <w:sz w:val="16"/>
                <w:szCs w:val="16"/>
              </w:rPr>
              <w:t>6</w:t>
            </w:r>
            <w:r w:rsidR="00B61E57" w:rsidRPr="00A15810">
              <w:rPr>
                <w:rFonts w:ascii="Arial" w:hAnsi="Arial" w:cs="Arial"/>
                <w:b/>
                <w:sz w:val="16"/>
                <w:szCs w:val="16"/>
              </w:rPr>
              <w:t xml:space="preserve"> – </w:t>
            </w:r>
            <w:r>
              <w:rPr>
                <w:rFonts w:ascii="Arial" w:hAnsi="Arial" w:cs="Arial"/>
                <w:b/>
                <w:sz w:val="16"/>
                <w:szCs w:val="16"/>
              </w:rPr>
              <w:t>976</w:t>
            </w:r>
            <w:r w:rsidR="000F3295">
              <w:rPr>
                <w:rFonts w:ascii="Arial" w:hAnsi="Arial" w:cs="Arial"/>
                <w:b/>
                <w:sz w:val="16"/>
                <w:szCs w:val="16"/>
              </w:rPr>
              <w:t xml:space="preserve">3 </w:t>
            </w:r>
            <w:r w:rsidR="009C00C2" w:rsidRPr="00175210">
              <w:rPr>
                <w:rFonts w:ascii="Arial" w:hAnsi="Arial" w:cs="Arial"/>
                <w:b/>
                <w:sz w:val="16"/>
                <w:szCs w:val="16"/>
              </w:rPr>
              <w:t>(</w:t>
            </w:r>
            <w:r>
              <w:rPr>
                <w:rFonts w:ascii="Arial" w:hAnsi="Arial" w:cs="Arial"/>
                <w:b/>
                <w:sz w:val="16"/>
                <w:szCs w:val="16"/>
              </w:rPr>
              <w:t>6564</w:t>
            </w:r>
            <w:r w:rsidR="00453A57" w:rsidRPr="00175210">
              <w:rPr>
                <w:rFonts w:ascii="Arial" w:hAnsi="Arial" w:cs="Arial"/>
                <w:b/>
                <w:sz w:val="16"/>
                <w:szCs w:val="16"/>
              </w:rPr>
              <w:t>)</w:t>
            </w:r>
          </w:p>
        </w:tc>
        <w:tc>
          <w:tcPr>
            <w:tcW w:w="912" w:type="dxa"/>
            <w:vAlign w:val="center"/>
          </w:tcPr>
          <w:p w14:paraId="67FD2C67" w14:textId="0B80256D" w:rsidR="0084141B" w:rsidRPr="00175210" w:rsidRDefault="00C9141F" w:rsidP="00676490">
            <w:pPr>
              <w:spacing w:line="300" w:lineRule="atLeast"/>
              <w:jc w:val="center"/>
              <w:rPr>
                <w:rFonts w:ascii="Arial" w:hAnsi="Arial" w:cs="Arial"/>
                <w:b/>
                <w:sz w:val="16"/>
                <w:szCs w:val="16"/>
              </w:rPr>
            </w:pPr>
            <w:r>
              <w:rPr>
                <w:rFonts w:ascii="Arial" w:hAnsi="Arial" w:cs="Arial"/>
                <w:b/>
                <w:sz w:val="16"/>
                <w:szCs w:val="16"/>
              </w:rPr>
              <w:t>30.</w:t>
            </w:r>
            <w:r w:rsidR="000F3295">
              <w:rPr>
                <w:rFonts w:ascii="Arial" w:hAnsi="Arial" w:cs="Arial"/>
                <w:b/>
                <w:sz w:val="16"/>
                <w:szCs w:val="16"/>
              </w:rPr>
              <w:t>3</w:t>
            </w:r>
          </w:p>
        </w:tc>
        <w:tc>
          <w:tcPr>
            <w:tcW w:w="1539" w:type="dxa"/>
            <w:vAlign w:val="center"/>
          </w:tcPr>
          <w:p w14:paraId="769D6566" w14:textId="0AE85EF7" w:rsidR="0084141B" w:rsidRPr="00175210" w:rsidRDefault="00C9141F" w:rsidP="001724C3">
            <w:pPr>
              <w:spacing w:line="300" w:lineRule="atLeast"/>
              <w:jc w:val="center"/>
              <w:rPr>
                <w:rFonts w:ascii="Arial" w:hAnsi="Arial" w:cs="Arial"/>
                <w:b/>
                <w:sz w:val="16"/>
                <w:szCs w:val="16"/>
              </w:rPr>
            </w:pPr>
            <w:r>
              <w:rPr>
                <w:rFonts w:ascii="Arial" w:hAnsi="Arial" w:cs="Arial"/>
                <w:b/>
                <w:sz w:val="16"/>
                <w:szCs w:val="16"/>
              </w:rPr>
              <w:t>168</w:t>
            </w:r>
            <w:r w:rsidR="00B61E57" w:rsidRPr="00A15810">
              <w:rPr>
                <w:rFonts w:ascii="Arial" w:hAnsi="Arial" w:cs="Arial"/>
                <w:b/>
                <w:sz w:val="16"/>
                <w:szCs w:val="16"/>
              </w:rPr>
              <w:t xml:space="preserve"> – </w:t>
            </w:r>
            <w:r>
              <w:rPr>
                <w:rFonts w:ascii="Arial" w:hAnsi="Arial" w:cs="Arial"/>
                <w:b/>
                <w:sz w:val="16"/>
                <w:szCs w:val="16"/>
              </w:rPr>
              <w:t>3367</w:t>
            </w:r>
            <w:r w:rsidR="000F3295">
              <w:rPr>
                <w:rFonts w:ascii="Arial" w:hAnsi="Arial" w:cs="Arial"/>
                <w:b/>
                <w:sz w:val="16"/>
                <w:szCs w:val="16"/>
              </w:rPr>
              <w:t xml:space="preserve"> </w:t>
            </w:r>
            <w:r w:rsidR="0084141B" w:rsidRPr="00175210">
              <w:rPr>
                <w:rFonts w:ascii="Arial" w:hAnsi="Arial" w:cs="Arial"/>
                <w:b/>
                <w:sz w:val="16"/>
                <w:szCs w:val="16"/>
              </w:rPr>
              <w:t>(</w:t>
            </w:r>
            <w:r>
              <w:rPr>
                <w:rFonts w:ascii="Arial" w:hAnsi="Arial" w:cs="Arial"/>
                <w:b/>
                <w:sz w:val="16"/>
                <w:szCs w:val="16"/>
              </w:rPr>
              <w:t>176</w:t>
            </w:r>
            <w:r w:rsidR="000F3295">
              <w:rPr>
                <w:rFonts w:ascii="Arial" w:hAnsi="Arial" w:cs="Arial"/>
                <w:b/>
                <w:sz w:val="16"/>
                <w:szCs w:val="16"/>
              </w:rPr>
              <w:t>8</w:t>
            </w:r>
            <w:r w:rsidR="0084141B" w:rsidRPr="00175210">
              <w:rPr>
                <w:rFonts w:ascii="Arial" w:hAnsi="Arial" w:cs="Arial"/>
                <w:b/>
                <w:sz w:val="16"/>
                <w:szCs w:val="16"/>
              </w:rPr>
              <w:t>)</w:t>
            </w:r>
          </w:p>
        </w:tc>
        <w:tc>
          <w:tcPr>
            <w:tcW w:w="1139" w:type="dxa"/>
            <w:vAlign w:val="center"/>
          </w:tcPr>
          <w:p w14:paraId="0F47EF2C" w14:textId="7A0CB43E" w:rsidR="0084141B" w:rsidRPr="00A15810" w:rsidRDefault="00C9141F" w:rsidP="00453A57">
            <w:pPr>
              <w:spacing w:line="300" w:lineRule="atLeast"/>
              <w:jc w:val="center"/>
              <w:rPr>
                <w:rFonts w:ascii="Arial" w:hAnsi="Arial" w:cs="Arial"/>
                <w:b/>
                <w:sz w:val="16"/>
                <w:szCs w:val="16"/>
                <w:highlight w:val="yellow"/>
              </w:rPr>
            </w:pPr>
            <w:r>
              <w:rPr>
                <w:rFonts w:ascii="Arial" w:hAnsi="Arial" w:cs="Arial"/>
                <w:sz w:val="16"/>
                <w:szCs w:val="16"/>
              </w:rPr>
              <w:t>67.3 – 134</w:t>
            </w:r>
            <w:r w:rsidR="000F3295">
              <w:rPr>
                <w:rFonts w:ascii="Arial" w:hAnsi="Arial" w:cs="Arial"/>
                <w:sz w:val="16"/>
                <w:szCs w:val="16"/>
              </w:rPr>
              <w:t>7</w:t>
            </w:r>
            <w:r>
              <w:rPr>
                <w:rFonts w:ascii="Arial" w:hAnsi="Arial" w:cs="Arial"/>
                <w:sz w:val="16"/>
                <w:szCs w:val="16"/>
              </w:rPr>
              <w:t xml:space="preserve"> (707</w:t>
            </w:r>
            <w:r w:rsidR="000F3295">
              <w:rPr>
                <w:rFonts w:ascii="Arial" w:hAnsi="Arial" w:cs="Arial"/>
                <w:sz w:val="16"/>
                <w:szCs w:val="16"/>
              </w:rPr>
              <w:t>)</w:t>
            </w:r>
          </w:p>
        </w:tc>
        <w:tc>
          <w:tcPr>
            <w:tcW w:w="1254" w:type="dxa"/>
            <w:vAlign w:val="center"/>
          </w:tcPr>
          <w:p w14:paraId="55AF1ADD" w14:textId="4CAD8BA2" w:rsidR="0084141B" w:rsidRPr="00A15810" w:rsidRDefault="00C9141F" w:rsidP="00676490">
            <w:pPr>
              <w:spacing w:line="300" w:lineRule="atLeast"/>
              <w:jc w:val="center"/>
              <w:rPr>
                <w:rFonts w:ascii="Arial" w:hAnsi="Arial" w:cs="Arial"/>
                <w:b/>
                <w:sz w:val="16"/>
                <w:szCs w:val="16"/>
                <w:highlight w:val="yellow"/>
              </w:rPr>
            </w:pPr>
            <w:r>
              <w:rPr>
                <w:rFonts w:ascii="Arial" w:hAnsi="Arial" w:cs="Arial"/>
                <w:sz w:val="16"/>
                <w:szCs w:val="16"/>
              </w:rPr>
              <w:t>101 – 2020 (106</w:t>
            </w:r>
            <w:r w:rsidR="000F3295">
              <w:rPr>
                <w:rFonts w:ascii="Arial" w:hAnsi="Arial" w:cs="Arial"/>
                <w:sz w:val="16"/>
                <w:szCs w:val="16"/>
              </w:rPr>
              <w:t>1</w:t>
            </w:r>
            <w:r>
              <w:rPr>
                <w:rFonts w:ascii="Arial" w:hAnsi="Arial" w:cs="Arial"/>
                <w:sz w:val="16"/>
                <w:szCs w:val="16"/>
              </w:rPr>
              <w:t>)</w:t>
            </w:r>
          </w:p>
        </w:tc>
        <w:tc>
          <w:tcPr>
            <w:tcW w:w="1462" w:type="dxa"/>
            <w:vAlign w:val="center"/>
          </w:tcPr>
          <w:p w14:paraId="39A66CBF" w14:textId="25E8EE0E" w:rsidR="0084141B" w:rsidRPr="00A15810" w:rsidRDefault="00011BEE" w:rsidP="00676490">
            <w:pPr>
              <w:spacing w:line="300" w:lineRule="atLeast"/>
              <w:jc w:val="center"/>
              <w:rPr>
                <w:rFonts w:ascii="Arial" w:hAnsi="Arial" w:cs="Arial"/>
                <w:b/>
                <w:sz w:val="16"/>
                <w:szCs w:val="16"/>
                <w:highlight w:val="yellow"/>
              </w:rPr>
            </w:pPr>
            <w:r>
              <w:rPr>
                <w:rFonts w:ascii="Arial" w:hAnsi="Arial" w:cs="Arial"/>
                <w:b/>
                <w:sz w:val="16"/>
                <w:szCs w:val="16"/>
              </w:rPr>
              <w:t>2998</w:t>
            </w:r>
          </w:p>
        </w:tc>
      </w:tr>
    </w:tbl>
    <w:p w14:paraId="5757FA2C" w14:textId="77777777" w:rsidR="00D16E72" w:rsidRDefault="00D16E72">
      <w:pPr>
        <w:spacing w:after="0"/>
        <w:rPr>
          <w:szCs w:val="18"/>
        </w:rPr>
      </w:pPr>
      <w:r>
        <w:rPr>
          <w:szCs w:val="18"/>
        </w:rPr>
        <w:br w:type="page"/>
      </w:r>
    </w:p>
    <w:p w14:paraId="65254552" w14:textId="77777777" w:rsidR="00D16E72" w:rsidRDefault="00D045C4" w:rsidP="00D16E72">
      <w:pPr>
        <w:pStyle w:val="Heading1"/>
      </w:pPr>
      <w:bookmarkStart w:id="165" w:name="_Toc110355573"/>
      <w:r>
        <w:t>Crematoria and cemeteries</w:t>
      </w:r>
      <w:bookmarkEnd w:id="165"/>
    </w:p>
    <w:p w14:paraId="1A16DA5C" w14:textId="10FFC816" w:rsidR="00D16E72" w:rsidRDefault="0010789E" w:rsidP="003833D6">
      <w:pPr>
        <w:spacing w:line="300" w:lineRule="atLeast"/>
        <w:jc w:val="both"/>
        <w:rPr>
          <w:szCs w:val="18"/>
        </w:rPr>
      </w:pPr>
      <w:r w:rsidRPr="0010789E">
        <w:rPr>
          <w:szCs w:val="18"/>
        </w:rPr>
        <w:t xml:space="preserve">This category covers mercury releases from </w:t>
      </w:r>
      <w:r>
        <w:rPr>
          <w:szCs w:val="18"/>
        </w:rPr>
        <w:t xml:space="preserve">cremation and </w:t>
      </w:r>
      <w:r w:rsidR="001F24E3">
        <w:rPr>
          <w:szCs w:val="18"/>
        </w:rPr>
        <w:t>burial of human bodies</w:t>
      </w:r>
      <w:r w:rsidRPr="0010789E">
        <w:rPr>
          <w:szCs w:val="18"/>
        </w:rPr>
        <w:t xml:space="preserve"> (</w:t>
      </w:r>
      <w:r w:rsidR="00C738EC">
        <w:rPr>
          <w:szCs w:val="18"/>
        </w:rPr>
        <w:t xml:space="preserve">UNEP, </w:t>
      </w:r>
      <w:r w:rsidR="002F2C6D">
        <w:rPr>
          <w:szCs w:val="18"/>
        </w:rPr>
        <w:t>2023</w:t>
      </w:r>
      <w:r w:rsidRPr="0010789E">
        <w:rPr>
          <w:szCs w:val="18"/>
        </w:rPr>
        <w:t>). The various sub-categories and the primary release pathways are summarised in</w:t>
      </w:r>
      <w:r>
        <w:rPr>
          <w:szCs w:val="18"/>
        </w:rPr>
        <w:t xml:space="preserve"> </w:t>
      </w:r>
      <w:r w:rsidRPr="0001617E">
        <w:rPr>
          <w:szCs w:val="18"/>
        </w:rPr>
        <w:fldChar w:fldCharType="begin"/>
      </w:r>
      <w:r w:rsidRPr="0001617E">
        <w:rPr>
          <w:szCs w:val="18"/>
        </w:rPr>
        <w:instrText xml:space="preserve"> REF _Ref358560210 \h </w:instrText>
      </w:r>
      <w:r w:rsidR="0001617E">
        <w:rPr>
          <w:szCs w:val="18"/>
        </w:rPr>
        <w:instrText xml:space="preserve"> \* MERGEFORMAT </w:instrText>
      </w:r>
      <w:r w:rsidRPr="0001617E">
        <w:rPr>
          <w:szCs w:val="18"/>
        </w:rPr>
      </w:r>
      <w:r w:rsidRPr="0001617E">
        <w:rPr>
          <w:szCs w:val="18"/>
        </w:rPr>
        <w:fldChar w:fldCharType="separate"/>
      </w:r>
      <w:r w:rsidR="00892B2D" w:rsidRPr="00892B2D">
        <w:t xml:space="preserve">Table </w:t>
      </w:r>
      <w:r w:rsidR="00892B2D" w:rsidRPr="00892B2D">
        <w:rPr>
          <w:noProof/>
        </w:rPr>
        <w:t>12</w:t>
      </w:r>
      <w:r w:rsidR="00892B2D" w:rsidRPr="00892B2D">
        <w:rPr>
          <w:noProof/>
        </w:rPr>
        <w:noBreakHyphen/>
        <w:t>1</w:t>
      </w:r>
      <w:r w:rsidRPr="0001617E">
        <w:rPr>
          <w:szCs w:val="18"/>
        </w:rPr>
        <w:fldChar w:fldCharType="end"/>
      </w:r>
      <w:r w:rsidR="007553FF">
        <w:rPr>
          <w:szCs w:val="18"/>
        </w:rPr>
        <w:t>.</w:t>
      </w:r>
    </w:p>
    <w:p w14:paraId="79C3AAC6" w14:textId="12A4336B" w:rsidR="00D16E72" w:rsidRDefault="00D045C4" w:rsidP="00D045C4">
      <w:pPr>
        <w:pStyle w:val="Caption"/>
        <w:spacing w:before="240"/>
        <w:rPr>
          <w:szCs w:val="18"/>
        </w:rPr>
      </w:pPr>
      <w:bookmarkStart w:id="166" w:name="_Ref358560210"/>
      <w:bookmarkStart w:id="167" w:name="_Toc110355498"/>
      <w:r w:rsidRPr="00FE6C76">
        <w:rPr>
          <w:rFonts w:ascii="Arial" w:hAnsi="Arial" w:cs="Arial"/>
        </w:rPr>
        <w:t xml:space="preserve">Table </w:t>
      </w:r>
      <w:r w:rsidR="00390C9F">
        <w:rPr>
          <w:rFonts w:ascii="Arial" w:hAnsi="Arial" w:cs="Arial"/>
        </w:rPr>
        <w:fldChar w:fldCharType="begin"/>
      </w:r>
      <w:r w:rsidR="00390C9F">
        <w:rPr>
          <w:rFonts w:ascii="Arial" w:hAnsi="Arial" w:cs="Arial"/>
        </w:rPr>
        <w:instrText xml:space="preserve"> STYLEREF 1 \s </w:instrText>
      </w:r>
      <w:r w:rsidR="00390C9F">
        <w:rPr>
          <w:rFonts w:ascii="Arial" w:hAnsi="Arial" w:cs="Arial"/>
        </w:rPr>
        <w:fldChar w:fldCharType="separate"/>
      </w:r>
      <w:r w:rsidR="00892B2D">
        <w:rPr>
          <w:rFonts w:ascii="Arial" w:hAnsi="Arial" w:cs="Arial"/>
          <w:noProof/>
        </w:rPr>
        <w:t>12</w:t>
      </w:r>
      <w:r w:rsidR="00390C9F">
        <w:rPr>
          <w:rFonts w:ascii="Arial" w:hAnsi="Arial" w:cs="Arial"/>
        </w:rPr>
        <w:fldChar w:fldCharType="end"/>
      </w:r>
      <w:r w:rsidR="00390C9F">
        <w:rPr>
          <w:rFonts w:ascii="Arial" w:hAnsi="Arial" w:cs="Arial"/>
        </w:rPr>
        <w:noBreakHyphen/>
      </w:r>
      <w:r w:rsidR="00390C9F">
        <w:rPr>
          <w:rFonts w:ascii="Arial" w:hAnsi="Arial" w:cs="Arial"/>
        </w:rPr>
        <w:fldChar w:fldCharType="begin"/>
      </w:r>
      <w:r w:rsidR="00390C9F">
        <w:rPr>
          <w:rFonts w:ascii="Arial" w:hAnsi="Arial" w:cs="Arial"/>
        </w:rPr>
        <w:instrText xml:space="preserve"> SEQ Table \* ARABIC \s 1 </w:instrText>
      </w:r>
      <w:r w:rsidR="00390C9F">
        <w:rPr>
          <w:rFonts w:ascii="Arial" w:hAnsi="Arial" w:cs="Arial"/>
        </w:rPr>
        <w:fldChar w:fldCharType="separate"/>
      </w:r>
      <w:r w:rsidR="00892B2D">
        <w:rPr>
          <w:rFonts w:ascii="Arial" w:hAnsi="Arial" w:cs="Arial"/>
          <w:noProof/>
        </w:rPr>
        <w:t>1</w:t>
      </w:r>
      <w:r w:rsidR="00390C9F">
        <w:rPr>
          <w:rFonts w:ascii="Arial" w:hAnsi="Arial" w:cs="Arial"/>
        </w:rPr>
        <w:fldChar w:fldCharType="end"/>
      </w:r>
      <w:bookmarkEnd w:id="166"/>
      <w:r w:rsidRPr="00FE6C76">
        <w:rPr>
          <w:rFonts w:ascii="Arial" w:hAnsi="Arial" w:cs="Arial"/>
        </w:rPr>
        <w:t>:</w:t>
      </w:r>
      <w:r>
        <w:t xml:space="preserve"> </w:t>
      </w:r>
      <w:r w:rsidR="00D16E72" w:rsidRPr="003D7CC9">
        <w:rPr>
          <w:rFonts w:ascii="Arial" w:hAnsi="Arial" w:cs="Arial"/>
        </w:rPr>
        <w:t>T</w:t>
      </w:r>
      <w:r w:rsidR="00D16E72">
        <w:rPr>
          <w:rFonts w:ascii="Arial" w:hAnsi="Arial" w:cs="Arial"/>
        </w:rPr>
        <w:t xml:space="preserve">oolkit framework for category </w:t>
      </w:r>
      <w:r>
        <w:rPr>
          <w:rFonts w:ascii="Arial" w:hAnsi="Arial" w:cs="Arial"/>
        </w:rPr>
        <w:t>10</w:t>
      </w:r>
      <w:r w:rsidR="00D16E72">
        <w:rPr>
          <w:rFonts w:ascii="Arial" w:hAnsi="Arial" w:cs="Arial"/>
        </w:rPr>
        <w:t xml:space="preserve"> – </w:t>
      </w:r>
      <w:r>
        <w:rPr>
          <w:rFonts w:ascii="Arial" w:hAnsi="Arial" w:cs="Arial"/>
        </w:rPr>
        <w:t xml:space="preserve">crematoria and </w:t>
      </w:r>
      <w:r w:rsidR="0010789E">
        <w:rPr>
          <w:rFonts w:ascii="Arial" w:hAnsi="Arial" w:cs="Arial"/>
        </w:rPr>
        <w:t>cemeteries</w:t>
      </w:r>
      <w:bookmarkEnd w:id="16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93"/>
        <w:gridCol w:w="850"/>
        <w:gridCol w:w="851"/>
        <w:gridCol w:w="851"/>
        <w:gridCol w:w="992"/>
        <w:gridCol w:w="992"/>
        <w:gridCol w:w="1099"/>
      </w:tblGrid>
      <w:tr w:rsidR="00D16E72" w:rsidRPr="004901F2" w14:paraId="4FBC09C1" w14:textId="77777777" w:rsidTr="00284F82">
        <w:tc>
          <w:tcPr>
            <w:tcW w:w="851" w:type="dxa"/>
            <w:vAlign w:val="center"/>
          </w:tcPr>
          <w:p w14:paraId="627B6656"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Toolkit Chapter</w:t>
            </w:r>
          </w:p>
        </w:tc>
        <w:tc>
          <w:tcPr>
            <w:tcW w:w="2693" w:type="dxa"/>
            <w:vAlign w:val="center"/>
          </w:tcPr>
          <w:p w14:paraId="3311ED8D"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Sub-category</w:t>
            </w:r>
          </w:p>
        </w:tc>
        <w:tc>
          <w:tcPr>
            <w:tcW w:w="850" w:type="dxa"/>
            <w:vAlign w:val="center"/>
          </w:tcPr>
          <w:p w14:paraId="51D2FACF"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Air</w:t>
            </w:r>
          </w:p>
        </w:tc>
        <w:tc>
          <w:tcPr>
            <w:tcW w:w="851" w:type="dxa"/>
            <w:vAlign w:val="center"/>
          </w:tcPr>
          <w:p w14:paraId="25ECC712"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Water</w:t>
            </w:r>
          </w:p>
        </w:tc>
        <w:tc>
          <w:tcPr>
            <w:tcW w:w="851" w:type="dxa"/>
            <w:vAlign w:val="center"/>
          </w:tcPr>
          <w:p w14:paraId="079DB849"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Land</w:t>
            </w:r>
          </w:p>
        </w:tc>
        <w:tc>
          <w:tcPr>
            <w:tcW w:w="992" w:type="dxa"/>
            <w:vAlign w:val="center"/>
          </w:tcPr>
          <w:p w14:paraId="48B38B95"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Product</w:t>
            </w:r>
          </w:p>
        </w:tc>
        <w:tc>
          <w:tcPr>
            <w:tcW w:w="992" w:type="dxa"/>
            <w:vAlign w:val="center"/>
          </w:tcPr>
          <w:p w14:paraId="2AFE9C69"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Waste/ residue</w:t>
            </w:r>
          </w:p>
        </w:tc>
        <w:tc>
          <w:tcPr>
            <w:tcW w:w="1099" w:type="dxa"/>
            <w:vAlign w:val="center"/>
          </w:tcPr>
          <w:p w14:paraId="04C3345A"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Main approach</w:t>
            </w:r>
          </w:p>
        </w:tc>
      </w:tr>
      <w:tr w:rsidR="00D16E72" w:rsidRPr="004901F2" w14:paraId="11A3DF65" w14:textId="77777777" w:rsidTr="00284F82">
        <w:tc>
          <w:tcPr>
            <w:tcW w:w="851" w:type="dxa"/>
            <w:vAlign w:val="center"/>
          </w:tcPr>
          <w:p w14:paraId="7BCF1FA1" w14:textId="77777777" w:rsidR="00D16E72" w:rsidRPr="004901F2" w:rsidRDefault="00D16E72" w:rsidP="00284F82">
            <w:pPr>
              <w:spacing w:before="40" w:after="40" w:line="300" w:lineRule="atLeast"/>
              <w:rPr>
                <w:rFonts w:ascii="Arial" w:hAnsi="Arial" w:cs="Arial"/>
                <w:sz w:val="16"/>
                <w:szCs w:val="16"/>
              </w:rPr>
            </w:pPr>
            <w:r>
              <w:rPr>
                <w:rFonts w:ascii="Arial" w:hAnsi="Arial" w:cs="Arial"/>
                <w:sz w:val="16"/>
                <w:szCs w:val="16"/>
              </w:rPr>
              <w:t>5.2</w:t>
            </w:r>
            <w:r w:rsidRPr="004901F2">
              <w:rPr>
                <w:rFonts w:ascii="Arial" w:hAnsi="Arial" w:cs="Arial"/>
                <w:sz w:val="16"/>
                <w:szCs w:val="16"/>
              </w:rPr>
              <w:t>.1</w:t>
            </w:r>
          </w:p>
        </w:tc>
        <w:tc>
          <w:tcPr>
            <w:tcW w:w="2693" w:type="dxa"/>
            <w:vAlign w:val="center"/>
          </w:tcPr>
          <w:p w14:paraId="53FD609E" w14:textId="77777777" w:rsidR="00D16E72" w:rsidRPr="004901F2" w:rsidRDefault="00D045C4" w:rsidP="00284F82">
            <w:pPr>
              <w:spacing w:line="300" w:lineRule="atLeast"/>
              <w:rPr>
                <w:rFonts w:ascii="Arial" w:hAnsi="Arial" w:cs="Arial"/>
                <w:sz w:val="16"/>
                <w:szCs w:val="16"/>
              </w:rPr>
            </w:pPr>
            <w:r>
              <w:rPr>
                <w:rFonts w:ascii="Arial" w:hAnsi="Arial" w:cs="Arial"/>
                <w:sz w:val="16"/>
                <w:szCs w:val="16"/>
              </w:rPr>
              <w:t>Crematoria</w:t>
            </w:r>
          </w:p>
        </w:tc>
        <w:tc>
          <w:tcPr>
            <w:tcW w:w="850" w:type="dxa"/>
            <w:vAlign w:val="center"/>
          </w:tcPr>
          <w:p w14:paraId="3A70746D"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851" w:type="dxa"/>
            <w:vAlign w:val="center"/>
          </w:tcPr>
          <w:p w14:paraId="072F4A13" w14:textId="77777777" w:rsidR="00D16E72" w:rsidRPr="004901F2" w:rsidRDefault="00D16E72" w:rsidP="00284F82">
            <w:pPr>
              <w:spacing w:before="40" w:after="40" w:line="300" w:lineRule="atLeast"/>
              <w:jc w:val="center"/>
              <w:rPr>
                <w:rFonts w:ascii="Arial" w:hAnsi="Arial" w:cs="Arial"/>
                <w:sz w:val="16"/>
                <w:szCs w:val="16"/>
              </w:rPr>
            </w:pPr>
          </w:p>
        </w:tc>
        <w:tc>
          <w:tcPr>
            <w:tcW w:w="851" w:type="dxa"/>
            <w:vAlign w:val="center"/>
          </w:tcPr>
          <w:p w14:paraId="3C397187" w14:textId="77777777" w:rsidR="00D16E72" w:rsidRPr="004901F2" w:rsidRDefault="00D16E72" w:rsidP="00284F82">
            <w:pPr>
              <w:spacing w:before="40" w:after="40" w:line="300" w:lineRule="atLeast"/>
              <w:jc w:val="center"/>
              <w:rPr>
                <w:rFonts w:ascii="Arial" w:hAnsi="Arial" w:cs="Arial"/>
                <w:sz w:val="16"/>
                <w:szCs w:val="16"/>
              </w:rPr>
            </w:pPr>
          </w:p>
        </w:tc>
        <w:tc>
          <w:tcPr>
            <w:tcW w:w="992" w:type="dxa"/>
            <w:vAlign w:val="center"/>
          </w:tcPr>
          <w:p w14:paraId="02C50B7C" w14:textId="77777777" w:rsidR="00D16E72" w:rsidRPr="004901F2" w:rsidRDefault="00D16E72" w:rsidP="00284F82">
            <w:pPr>
              <w:spacing w:before="40" w:after="40" w:line="300" w:lineRule="atLeast"/>
              <w:jc w:val="center"/>
              <w:rPr>
                <w:rFonts w:ascii="Arial" w:hAnsi="Arial" w:cs="Arial"/>
                <w:sz w:val="16"/>
                <w:szCs w:val="16"/>
              </w:rPr>
            </w:pPr>
          </w:p>
        </w:tc>
        <w:tc>
          <w:tcPr>
            <w:tcW w:w="992" w:type="dxa"/>
            <w:vAlign w:val="center"/>
          </w:tcPr>
          <w:p w14:paraId="5C563371" w14:textId="77777777" w:rsidR="00D16E72" w:rsidRPr="004901F2" w:rsidRDefault="00D16E72" w:rsidP="00284F82">
            <w:pPr>
              <w:spacing w:before="40" w:after="40" w:line="300" w:lineRule="atLeast"/>
              <w:jc w:val="center"/>
              <w:rPr>
                <w:rFonts w:ascii="Arial" w:hAnsi="Arial" w:cs="Arial"/>
                <w:b/>
                <w:sz w:val="16"/>
                <w:szCs w:val="16"/>
              </w:rPr>
            </w:pPr>
            <w:r w:rsidRPr="004901F2">
              <w:rPr>
                <w:rFonts w:ascii="Arial" w:hAnsi="Arial" w:cs="Arial"/>
                <w:b/>
                <w:sz w:val="16"/>
                <w:szCs w:val="16"/>
              </w:rPr>
              <w:t>X</w:t>
            </w:r>
          </w:p>
        </w:tc>
        <w:tc>
          <w:tcPr>
            <w:tcW w:w="1099" w:type="dxa"/>
            <w:vAlign w:val="center"/>
          </w:tcPr>
          <w:p w14:paraId="72005403" w14:textId="77777777" w:rsidR="00D16E72" w:rsidRPr="004901F2" w:rsidRDefault="00D045C4" w:rsidP="00284F82">
            <w:pPr>
              <w:spacing w:before="40" w:after="40" w:line="300" w:lineRule="atLeast"/>
              <w:jc w:val="center"/>
              <w:rPr>
                <w:rFonts w:ascii="Arial" w:hAnsi="Arial" w:cs="Arial"/>
                <w:sz w:val="16"/>
                <w:szCs w:val="16"/>
              </w:rPr>
            </w:pPr>
            <w:r>
              <w:rPr>
                <w:rFonts w:ascii="Arial" w:hAnsi="Arial" w:cs="Arial"/>
                <w:sz w:val="16"/>
                <w:szCs w:val="16"/>
              </w:rPr>
              <w:t>OW</w:t>
            </w:r>
          </w:p>
        </w:tc>
      </w:tr>
      <w:tr w:rsidR="00D16E72" w:rsidRPr="004901F2" w14:paraId="371BFEE4" w14:textId="77777777" w:rsidTr="00284F82">
        <w:tc>
          <w:tcPr>
            <w:tcW w:w="851" w:type="dxa"/>
            <w:vAlign w:val="center"/>
          </w:tcPr>
          <w:p w14:paraId="56BDD32C" w14:textId="77777777" w:rsidR="00D16E72" w:rsidRPr="004901F2" w:rsidRDefault="00D16E72" w:rsidP="00284F82">
            <w:pPr>
              <w:spacing w:before="40" w:after="40" w:line="300" w:lineRule="atLeast"/>
              <w:rPr>
                <w:rFonts w:ascii="Arial" w:hAnsi="Arial" w:cs="Arial"/>
                <w:sz w:val="16"/>
                <w:szCs w:val="16"/>
              </w:rPr>
            </w:pPr>
            <w:r>
              <w:rPr>
                <w:rFonts w:ascii="Arial" w:hAnsi="Arial" w:cs="Arial"/>
                <w:sz w:val="16"/>
                <w:szCs w:val="16"/>
              </w:rPr>
              <w:t>5.2</w:t>
            </w:r>
            <w:r w:rsidRPr="004901F2">
              <w:rPr>
                <w:rFonts w:ascii="Arial" w:hAnsi="Arial" w:cs="Arial"/>
                <w:sz w:val="16"/>
                <w:szCs w:val="16"/>
              </w:rPr>
              <w:t>.2</w:t>
            </w:r>
          </w:p>
        </w:tc>
        <w:tc>
          <w:tcPr>
            <w:tcW w:w="2693" w:type="dxa"/>
            <w:vAlign w:val="center"/>
          </w:tcPr>
          <w:p w14:paraId="4B5B22A3" w14:textId="77777777" w:rsidR="00D16E72" w:rsidRPr="004901F2" w:rsidRDefault="00D045C4" w:rsidP="00284F82">
            <w:pPr>
              <w:spacing w:before="40" w:after="40" w:line="300" w:lineRule="atLeast"/>
              <w:rPr>
                <w:rFonts w:ascii="Arial" w:hAnsi="Arial" w:cs="Arial"/>
                <w:sz w:val="16"/>
                <w:szCs w:val="16"/>
              </w:rPr>
            </w:pPr>
            <w:r>
              <w:rPr>
                <w:rFonts w:ascii="Arial" w:hAnsi="Arial" w:cs="Arial"/>
                <w:sz w:val="16"/>
                <w:szCs w:val="16"/>
              </w:rPr>
              <w:t>Cemeteries</w:t>
            </w:r>
          </w:p>
        </w:tc>
        <w:tc>
          <w:tcPr>
            <w:tcW w:w="850" w:type="dxa"/>
            <w:vAlign w:val="center"/>
          </w:tcPr>
          <w:p w14:paraId="024CB763" w14:textId="77777777" w:rsidR="00D16E72" w:rsidRPr="004901F2" w:rsidRDefault="00D16E72" w:rsidP="00284F82">
            <w:pPr>
              <w:spacing w:before="40" w:after="40" w:line="300" w:lineRule="atLeast"/>
              <w:jc w:val="center"/>
              <w:rPr>
                <w:rFonts w:ascii="Arial" w:hAnsi="Arial" w:cs="Arial"/>
                <w:b/>
                <w:sz w:val="16"/>
                <w:szCs w:val="16"/>
              </w:rPr>
            </w:pPr>
          </w:p>
        </w:tc>
        <w:tc>
          <w:tcPr>
            <w:tcW w:w="851" w:type="dxa"/>
            <w:vAlign w:val="center"/>
          </w:tcPr>
          <w:p w14:paraId="54240138" w14:textId="77777777" w:rsidR="00D16E72" w:rsidRPr="004901F2" w:rsidRDefault="00D16E72" w:rsidP="00284F82">
            <w:pPr>
              <w:spacing w:before="40" w:after="40" w:line="300" w:lineRule="atLeast"/>
              <w:jc w:val="center"/>
              <w:rPr>
                <w:rFonts w:ascii="Arial" w:hAnsi="Arial" w:cs="Arial"/>
                <w:sz w:val="16"/>
                <w:szCs w:val="16"/>
              </w:rPr>
            </w:pPr>
          </w:p>
        </w:tc>
        <w:tc>
          <w:tcPr>
            <w:tcW w:w="851" w:type="dxa"/>
            <w:vAlign w:val="center"/>
          </w:tcPr>
          <w:p w14:paraId="044F9A4A"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b/>
                <w:sz w:val="16"/>
                <w:szCs w:val="16"/>
              </w:rPr>
              <w:t>X</w:t>
            </w:r>
          </w:p>
        </w:tc>
        <w:tc>
          <w:tcPr>
            <w:tcW w:w="992" w:type="dxa"/>
            <w:vAlign w:val="center"/>
          </w:tcPr>
          <w:p w14:paraId="7CDEC44C" w14:textId="77777777" w:rsidR="00D16E72" w:rsidRPr="004901F2" w:rsidRDefault="00D16E72" w:rsidP="00284F82">
            <w:pPr>
              <w:spacing w:before="40" w:after="40" w:line="300" w:lineRule="atLeast"/>
              <w:jc w:val="center"/>
              <w:rPr>
                <w:rFonts w:ascii="Arial" w:hAnsi="Arial" w:cs="Arial"/>
                <w:sz w:val="16"/>
                <w:szCs w:val="16"/>
              </w:rPr>
            </w:pPr>
          </w:p>
        </w:tc>
        <w:tc>
          <w:tcPr>
            <w:tcW w:w="992" w:type="dxa"/>
            <w:vAlign w:val="center"/>
          </w:tcPr>
          <w:p w14:paraId="091D9964" w14:textId="77777777" w:rsidR="00D16E72" w:rsidRPr="004901F2" w:rsidRDefault="00D16E72" w:rsidP="00284F82">
            <w:pPr>
              <w:spacing w:before="40" w:after="40" w:line="300" w:lineRule="atLeast"/>
              <w:jc w:val="center"/>
              <w:rPr>
                <w:rFonts w:ascii="Arial" w:hAnsi="Arial" w:cs="Arial"/>
                <w:sz w:val="16"/>
                <w:szCs w:val="16"/>
              </w:rPr>
            </w:pPr>
          </w:p>
        </w:tc>
        <w:tc>
          <w:tcPr>
            <w:tcW w:w="1099" w:type="dxa"/>
            <w:vAlign w:val="center"/>
          </w:tcPr>
          <w:p w14:paraId="4F923585" w14:textId="77777777" w:rsidR="00D16E72" w:rsidRPr="004901F2" w:rsidRDefault="00D16E72" w:rsidP="00284F82">
            <w:pPr>
              <w:spacing w:before="40" w:after="40" w:line="300" w:lineRule="atLeast"/>
              <w:jc w:val="center"/>
              <w:rPr>
                <w:rFonts w:ascii="Arial" w:hAnsi="Arial" w:cs="Arial"/>
                <w:sz w:val="16"/>
                <w:szCs w:val="16"/>
              </w:rPr>
            </w:pPr>
            <w:r w:rsidRPr="004901F2">
              <w:rPr>
                <w:rFonts w:ascii="Arial" w:hAnsi="Arial" w:cs="Arial"/>
                <w:sz w:val="16"/>
                <w:szCs w:val="16"/>
              </w:rPr>
              <w:t>OW</w:t>
            </w:r>
          </w:p>
        </w:tc>
      </w:tr>
    </w:tbl>
    <w:p w14:paraId="480E46EC" w14:textId="77777777" w:rsidR="00D16E72" w:rsidRPr="00582EF2" w:rsidRDefault="00D16E72" w:rsidP="00D16E72">
      <w:pPr>
        <w:spacing w:before="60" w:after="60" w:line="260" w:lineRule="exact"/>
        <w:jc w:val="both"/>
        <w:rPr>
          <w:rFonts w:ascii="Arial" w:hAnsi="Arial" w:cs="Arial"/>
          <w:sz w:val="16"/>
          <w:szCs w:val="18"/>
        </w:rPr>
      </w:pPr>
      <w:r w:rsidRPr="00582EF2">
        <w:rPr>
          <w:rFonts w:ascii="Arial" w:hAnsi="Arial" w:cs="Arial"/>
          <w:sz w:val="16"/>
          <w:szCs w:val="18"/>
        </w:rPr>
        <w:t xml:space="preserve">Notes: </w:t>
      </w:r>
      <w:r w:rsidRPr="00582EF2">
        <w:rPr>
          <w:rFonts w:ascii="Arial" w:hAnsi="Arial" w:cs="Arial"/>
          <w:sz w:val="16"/>
          <w:szCs w:val="18"/>
        </w:rPr>
        <w:tab/>
        <w:t>OW = National/overview approach;</w:t>
      </w:r>
    </w:p>
    <w:p w14:paraId="66C39A42" w14:textId="77777777" w:rsidR="00D16E72" w:rsidRPr="00582EF2" w:rsidRDefault="00D16E72" w:rsidP="00D16E72">
      <w:pPr>
        <w:spacing w:after="60" w:line="260" w:lineRule="exact"/>
        <w:ind w:firstLine="720"/>
        <w:jc w:val="both"/>
        <w:rPr>
          <w:rFonts w:ascii="Arial" w:hAnsi="Arial" w:cs="Arial"/>
          <w:sz w:val="16"/>
          <w:szCs w:val="18"/>
        </w:rPr>
      </w:pPr>
      <w:r w:rsidRPr="00582EF2">
        <w:rPr>
          <w:rFonts w:ascii="Arial" w:hAnsi="Arial" w:cs="Arial"/>
          <w:b/>
          <w:sz w:val="16"/>
          <w:szCs w:val="18"/>
        </w:rPr>
        <w:t>X</w:t>
      </w:r>
      <w:r w:rsidRPr="00582EF2">
        <w:rPr>
          <w:rFonts w:ascii="Arial" w:hAnsi="Arial" w:cs="Arial"/>
          <w:sz w:val="16"/>
          <w:szCs w:val="18"/>
        </w:rPr>
        <w:t xml:space="preserve"> - Release pathway expected to be predominant for the sub-category;</w:t>
      </w:r>
    </w:p>
    <w:p w14:paraId="7901BD99" w14:textId="77777777" w:rsidR="00D16E72" w:rsidRPr="00582EF2" w:rsidRDefault="00D16E72" w:rsidP="00D16E72">
      <w:pPr>
        <w:spacing w:after="60" w:line="260" w:lineRule="exact"/>
        <w:ind w:firstLine="720"/>
        <w:jc w:val="both"/>
        <w:rPr>
          <w:rFonts w:ascii="Arial" w:hAnsi="Arial" w:cs="Arial"/>
          <w:sz w:val="16"/>
          <w:szCs w:val="18"/>
        </w:rPr>
      </w:pPr>
      <w:r w:rsidRPr="00582EF2">
        <w:rPr>
          <w:rFonts w:ascii="Arial" w:hAnsi="Arial" w:cs="Arial"/>
          <w:sz w:val="16"/>
          <w:szCs w:val="18"/>
        </w:rPr>
        <w:t>x - Additional release pathways to be considered, depending on specific source and national situation.</w:t>
      </w:r>
    </w:p>
    <w:p w14:paraId="52D39ECD" w14:textId="77777777" w:rsidR="00D16E72" w:rsidRDefault="00784BAE" w:rsidP="00784BAE">
      <w:pPr>
        <w:pStyle w:val="Heading2"/>
      </w:pPr>
      <w:bookmarkStart w:id="168" w:name="_Toc110355574"/>
      <w:r>
        <w:t>Crematoria</w:t>
      </w:r>
      <w:r w:rsidR="00BF3D37">
        <w:t xml:space="preserve"> and cemeteries</w:t>
      </w:r>
      <w:bookmarkEnd w:id="168"/>
    </w:p>
    <w:p w14:paraId="1B800102" w14:textId="2EB1DD59" w:rsidR="00D16E72" w:rsidRDefault="007553FF" w:rsidP="003833D6">
      <w:pPr>
        <w:spacing w:line="300" w:lineRule="atLeast"/>
        <w:jc w:val="both"/>
        <w:rPr>
          <w:szCs w:val="18"/>
        </w:rPr>
      </w:pPr>
      <w:r>
        <w:rPr>
          <w:szCs w:val="18"/>
        </w:rPr>
        <w:t>M</w:t>
      </w:r>
      <w:r w:rsidR="008B59B7">
        <w:rPr>
          <w:szCs w:val="18"/>
        </w:rPr>
        <w:t>ercury releases from</w:t>
      </w:r>
      <w:r>
        <w:rPr>
          <w:szCs w:val="18"/>
        </w:rPr>
        <w:t xml:space="preserve"> crematoria and cemet</w:t>
      </w:r>
      <w:r w:rsidR="00D931A1">
        <w:rPr>
          <w:szCs w:val="18"/>
        </w:rPr>
        <w:t>e</w:t>
      </w:r>
      <w:r>
        <w:rPr>
          <w:szCs w:val="18"/>
        </w:rPr>
        <w:t>ries</w:t>
      </w:r>
      <w:r w:rsidR="008B59B7">
        <w:rPr>
          <w:szCs w:val="18"/>
        </w:rPr>
        <w:t xml:space="preserve"> </w:t>
      </w:r>
      <w:r>
        <w:rPr>
          <w:szCs w:val="18"/>
        </w:rPr>
        <w:t>arise mainly fr</w:t>
      </w:r>
      <w:r w:rsidR="00D931A1">
        <w:rPr>
          <w:szCs w:val="18"/>
        </w:rPr>
        <w:t xml:space="preserve">om </w:t>
      </w:r>
      <w:r w:rsidR="00BF5893">
        <w:rPr>
          <w:szCs w:val="18"/>
        </w:rPr>
        <w:t>the mercury in dental amalgam fillings</w:t>
      </w:r>
      <w:r w:rsidR="008B59B7">
        <w:rPr>
          <w:szCs w:val="18"/>
        </w:rPr>
        <w:t>. In cremation, this is predominantly released to air, while in cemeteries it is released to land.</w:t>
      </w:r>
    </w:p>
    <w:p w14:paraId="18B357BC" w14:textId="74E98114" w:rsidR="00D16E72" w:rsidRDefault="008B59B7" w:rsidP="003833D6">
      <w:pPr>
        <w:spacing w:line="300" w:lineRule="atLeast"/>
        <w:jc w:val="both"/>
        <w:rPr>
          <w:szCs w:val="18"/>
        </w:rPr>
      </w:pPr>
      <w:r>
        <w:rPr>
          <w:szCs w:val="18"/>
        </w:rPr>
        <w:t xml:space="preserve">Annual </w:t>
      </w:r>
      <w:r w:rsidR="00387783">
        <w:rPr>
          <w:szCs w:val="18"/>
        </w:rPr>
        <w:t>data</w:t>
      </w:r>
      <w:r>
        <w:rPr>
          <w:szCs w:val="18"/>
        </w:rPr>
        <w:t xml:space="preserve"> obtained from </w:t>
      </w:r>
      <w:r w:rsidR="00BF3D37">
        <w:rPr>
          <w:szCs w:val="18"/>
        </w:rPr>
        <w:t xml:space="preserve">the </w:t>
      </w:r>
      <w:r>
        <w:rPr>
          <w:szCs w:val="18"/>
        </w:rPr>
        <w:t xml:space="preserve">Department of Internal Affairs </w:t>
      </w:r>
      <w:r w:rsidRPr="00FB2234">
        <w:rPr>
          <w:szCs w:val="18"/>
        </w:rPr>
        <w:t>(</w:t>
      </w:r>
      <w:r w:rsidR="00254C3A" w:rsidRPr="00FB2234">
        <w:rPr>
          <w:szCs w:val="18"/>
        </w:rPr>
        <w:t>V Millar</w:t>
      </w:r>
      <w:r w:rsidR="00BF3D37" w:rsidRPr="00FB2234">
        <w:rPr>
          <w:szCs w:val="18"/>
        </w:rPr>
        <w:t xml:space="preserve">, pers comm, </w:t>
      </w:r>
      <w:r w:rsidR="00FB2234" w:rsidRPr="00FB2234">
        <w:rPr>
          <w:szCs w:val="18"/>
        </w:rPr>
        <w:t>2025</w:t>
      </w:r>
      <w:r w:rsidR="002F2C6D">
        <w:rPr>
          <w:szCs w:val="18"/>
        </w:rPr>
        <w:t>)</w:t>
      </w:r>
      <w:r>
        <w:rPr>
          <w:szCs w:val="18"/>
        </w:rPr>
        <w:t xml:space="preserve"> show that</w:t>
      </w:r>
      <w:r w:rsidR="00C372BB">
        <w:rPr>
          <w:szCs w:val="18"/>
        </w:rPr>
        <w:t xml:space="preserve"> for </w:t>
      </w:r>
      <w:r w:rsidR="009055D4">
        <w:rPr>
          <w:szCs w:val="18"/>
        </w:rPr>
        <w:t xml:space="preserve">2024 </w:t>
      </w:r>
      <w:r w:rsidR="00254C3A">
        <w:rPr>
          <w:szCs w:val="18"/>
        </w:rPr>
        <w:t xml:space="preserve">there were </w:t>
      </w:r>
      <w:r w:rsidR="009055D4">
        <w:rPr>
          <w:szCs w:val="18"/>
        </w:rPr>
        <w:t>3</w:t>
      </w:r>
      <w:r w:rsidR="00FB2234">
        <w:rPr>
          <w:szCs w:val="18"/>
        </w:rPr>
        <w:t>6</w:t>
      </w:r>
      <w:r w:rsidR="009055D4">
        <w:rPr>
          <w:szCs w:val="18"/>
        </w:rPr>
        <w:t>,</w:t>
      </w:r>
      <w:r w:rsidR="00FB2234">
        <w:rPr>
          <w:szCs w:val="18"/>
        </w:rPr>
        <w:t xml:space="preserve">674 </w:t>
      </w:r>
      <w:r w:rsidR="00254C3A">
        <w:rPr>
          <w:szCs w:val="18"/>
        </w:rPr>
        <w:t>registered deaths</w:t>
      </w:r>
      <w:r w:rsidR="00FB2234">
        <w:rPr>
          <w:szCs w:val="18"/>
        </w:rPr>
        <w:t xml:space="preserve">. These deaths included 201 repatriations and 17 used for anatomical research.  Of the remaining 36,456 deaths, 25, 429 </w:t>
      </w:r>
      <w:r w:rsidR="00826087">
        <w:rPr>
          <w:szCs w:val="18"/>
        </w:rPr>
        <w:t xml:space="preserve">or </w:t>
      </w:r>
      <w:r w:rsidR="00FB2234">
        <w:rPr>
          <w:szCs w:val="18"/>
        </w:rPr>
        <w:t>70</w:t>
      </w:r>
      <w:r w:rsidR="00826087">
        <w:rPr>
          <w:szCs w:val="18"/>
        </w:rPr>
        <w:t>% of the total</w:t>
      </w:r>
      <w:r w:rsidR="00FB2234">
        <w:rPr>
          <w:szCs w:val="18"/>
        </w:rPr>
        <w:t xml:space="preserve"> were cremated and 11,027 were buried</w:t>
      </w:r>
      <w:r w:rsidR="00826087">
        <w:rPr>
          <w:szCs w:val="18"/>
        </w:rPr>
        <w:t>.</w:t>
      </w:r>
    </w:p>
    <w:p w14:paraId="33398F01" w14:textId="61BDAE9A" w:rsidR="000937A5" w:rsidRPr="00232361" w:rsidRDefault="000937A5" w:rsidP="000937A5">
      <w:pPr>
        <w:spacing w:line="300" w:lineRule="atLeast"/>
        <w:jc w:val="both"/>
        <w:rPr>
          <w:szCs w:val="18"/>
        </w:rPr>
      </w:pPr>
      <w:r>
        <w:rPr>
          <w:szCs w:val="18"/>
        </w:rPr>
        <w:t>No information has been found on the mercury content of New Zealanders, so the Toolkit default factors of 1 – 4 g/body ha</w:t>
      </w:r>
      <w:r w:rsidR="00387783">
        <w:rPr>
          <w:szCs w:val="18"/>
        </w:rPr>
        <w:t>ve</w:t>
      </w:r>
      <w:r>
        <w:rPr>
          <w:szCs w:val="18"/>
        </w:rPr>
        <w:t xml:space="preserve"> been used. </w:t>
      </w:r>
      <w:r w:rsidRPr="00232361">
        <w:rPr>
          <w:szCs w:val="18"/>
        </w:rPr>
        <w:t xml:space="preserve">The input and output </w:t>
      </w:r>
      <w:r>
        <w:rPr>
          <w:szCs w:val="18"/>
        </w:rPr>
        <w:t>estimates</w:t>
      </w:r>
      <w:r w:rsidRPr="00232361">
        <w:rPr>
          <w:szCs w:val="18"/>
        </w:rPr>
        <w:t xml:space="preserve"> for </w:t>
      </w:r>
      <w:r>
        <w:rPr>
          <w:szCs w:val="18"/>
        </w:rPr>
        <w:t>cremation and cemeteries</w:t>
      </w:r>
      <w:r w:rsidRPr="00232361">
        <w:rPr>
          <w:szCs w:val="18"/>
        </w:rPr>
        <w:t xml:space="preserve"> are shown in</w:t>
      </w:r>
      <w:r>
        <w:rPr>
          <w:szCs w:val="18"/>
        </w:rPr>
        <w:t xml:space="preserve"> </w:t>
      </w:r>
      <w:r w:rsidR="003B00C0" w:rsidRPr="00CA5553">
        <w:rPr>
          <w:szCs w:val="18"/>
        </w:rPr>
        <w:fldChar w:fldCharType="begin"/>
      </w:r>
      <w:r w:rsidR="003B00C0" w:rsidRPr="00AA2FC0">
        <w:rPr>
          <w:szCs w:val="18"/>
        </w:rPr>
        <w:instrText xml:space="preserve"> REF _Ref358635380 \h </w:instrText>
      </w:r>
      <w:r w:rsidR="00AA2FC0">
        <w:rPr>
          <w:szCs w:val="18"/>
        </w:rPr>
        <w:instrText xml:space="preserve"> \* MERGEFORMAT </w:instrText>
      </w:r>
      <w:r w:rsidR="003B00C0" w:rsidRPr="00CA5553">
        <w:rPr>
          <w:szCs w:val="18"/>
        </w:rPr>
      </w:r>
      <w:r w:rsidR="003B00C0" w:rsidRPr="00CA5553">
        <w:rPr>
          <w:szCs w:val="18"/>
        </w:rPr>
        <w:fldChar w:fldCharType="separate"/>
      </w:r>
      <w:r w:rsidR="00892B2D" w:rsidRPr="00892B2D">
        <w:t xml:space="preserve">Table </w:t>
      </w:r>
      <w:r w:rsidR="00892B2D" w:rsidRPr="00892B2D">
        <w:rPr>
          <w:noProof/>
        </w:rPr>
        <w:t>12</w:t>
      </w:r>
      <w:r w:rsidR="00892B2D" w:rsidRPr="00892B2D">
        <w:rPr>
          <w:noProof/>
        </w:rPr>
        <w:noBreakHyphen/>
        <w:t>2</w:t>
      </w:r>
      <w:r w:rsidR="003B00C0" w:rsidRPr="00CA5553">
        <w:rPr>
          <w:szCs w:val="18"/>
        </w:rPr>
        <w:fldChar w:fldCharType="end"/>
      </w:r>
      <w:r w:rsidRPr="00AA2FC0">
        <w:rPr>
          <w:szCs w:val="18"/>
        </w:rPr>
        <w:t>.</w:t>
      </w:r>
    </w:p>
    <w:p w14:paraId="422FECAF" w14:textId="0839137A" w:rsidR="000937A5" w:rsidRDefault="000937A5" w:rsidP="003B00C0">
      <w:pPr>
        <w:pStyle w:val="Caption"/>
        <w:spacing w:before="240"/>
        <w:rPr>
          <w:szCs w:val="18"/>
        </w:rPr>
      </w:pPr>
      <w:bookmarkStart w:id="169" w:name="_Ref358635380"/>
      <w:bookmarkStart w:id="170" w:name="_Toc110355499"/>
      <w:r w:rsidRPr="00FE6C76">
        <w:rPr>
          <w:rFonts w:ascii="Arial" w:hAnsi="Arial" w:cs="Arial"/>
        </w:rPr>
        <w:t xml:space="preserve">Table </w:t>
      </w:r>
      <w:r w:rsidR="00390C9F">
        <w:rPr>
          <w:rFonts w:ascii="Arial" w:hAnsi="Arial" w:cs="Arial"/>
        </w:rPr>
        <w:fldChar w:fldCharType="begin"/>
      </w:r>
      <w:r w:rsidR="00390C9F">
        <w:rPr>
          <w:rFonts w:ascii="Arial" w:hAnsi="Arial" w:cs="Arial"/>
        </w:rPr>
        <w:instrText xml:space="preserve"> STYLEREF 1 \s </w:instrText>
      </w:r>
      <w:r w:rsidR="00390C9F">
        <w:rPr>
          <w:rFonts w:ascii="Arial" w:hAnsi="Arial" w:cs="Arial"/>
        </w:rPr>
        <w:fldChar w:fldCharType="separate"/>
      </w:r>
      <w:r w:rsidR="00892B2D">
        <w:rPr>
          <w:rFonts w:ascii="Arial" w:hAnsi="Arial" w:cs="Arial"/>
          <w:noProof/>
        </w:rPr>
        <w:t>12</w:t>
      </w:r>
      <w:r w:rsidR="00390C9F">
        <w:rPr>
          <w:rFonts w:ascii="Arial" w:hAnsi="Arial" w:cs="Arial"/>
        </w:rPr>
        <w:fldChar w:fldCharType="end"/>
      </w:r>
      <w:r w:rsidR="00390C9F">
        <w:rPr>
          <w:rFonts w:ascii="Arial" w:hAnsi="Arial" w:cs="Arial"/>
        </w:rPr>
        <w:noBreakHyphen/>
      </w:r>
      <w:r w:rsidR="00390C9F">
        <w:rPr>
          <w:rFonts w:ascii="Arial" w:hAnsi="Arial" w:cs="Arial"/>
        </w:rPr>
        <w:fldChar w:fldCharType="begin"/>
      </w:r>
      <w:r w:rsidR="00390C9F">
        <w:rPr>
          <w:rFonts w:ascii="Arial" w:hAnsi="Arial" w:cs="Arial"/>
        </w:rPr>
        <w:instrText xml:space="preserve"> SEQ Table \* ARABIC \s 1 </w:instrText>
      </w:r>
      <w:r w:rsidR="00390C9F">
        <w:rPr>
          <w:rFonts w:ascii="Arial" w:hAnsi="Arial" w:cs="Arial"/>
        </w:rPr>
        <w:fldChar w:fldCharType="separate"/>
      </w:r>
      <w:r w:rsidR="00892B2D">
        <w:rPr>
          <w:rFonts w:ascii="Arial" w:hAnsi="Arial" w:cs="Arial"/>
          <w:noProof/>
        </w:rPr>
        <w:t>2</w:t>
      </w:r>
      <w:r w:rsidR="00390C9F">
        <w:rPr>
          <w:rFonts w:ascii="Arial" w:hAnsi="Arial" w:cs="Arial"/>
        </w:rPr>
        <w:fldChar w:fldCharType="end"/>
      </w:r>
      <w:bookmarkEnd w:id="169"/>
      <w:r w:rsidRPr="00FE6C76">
        <w:rPr>
          <w:rFonts w:ascii="Arial" w:hAnsi="Arial" w:cs="Arial"/>
        </w:rPr>
        <w:t>:</w:t>
      </w:r>
      <w:r>
        <w:t xml:space="preserve"> </w:t>
      </w:r>
      <w:r w:rsidRPr="00284760">
        <w:rPr>
          <w:rFonts w:ascii="Arial" w:hAnsi="Arial" w:cs="Arial"/>
        </w:rPr>
        <w:t>Input and output estimates for</w:t>
      </w:r>
      <w:r>
        <w:rPr>
          <w:rFonts w:ascii="Arial" w:hAnsi="Arial" w:cs="Arial"/>
        </w:rPr>
        <w:t xml:space="preserve"> cremation and cemeteries</w:t>
      </w:r>
      <w:bookmarkEnd w:id="170"/>
    </w:p>
    <w:tbl>
      <w:tblPr>
        <w:tblStyle w:val="TableGrid"/>
        <w:tblW w:w="9287" w:type="dxa"/>
        <w:tblLook w:val="04A0" w:firstRow="1" w:lastRow="0" w:firstColumn="1" w:lastColumn="0" w:noHBand="0" w:noVBand="1"/>
      </w:tblPr>
      <w:tblGrid>
        <w:gridCol w:w="1526"/>
        <w:gridCol w:w="1417"/>
        <w:gridCol w:w="1560"/>
        <w:gridCol w:w="1701"/>
        <w:gridCol w:w="1559"/>
        <w:gridCol w:w="1524"/>
      </w:tblGrid>
      <w:tr w:rsidR="003B00C0" w14:paraId="0E12BAE4" w14:textId="77777777" w:rsidTr="00FE6C76">
        <w:tc>
          <w:tcPr>
            <w:tcW w:w="1526" w:type="dxa"/>
            <w:vMerge w:val="restart"/>
            <w:vAlign w:val="center"/>
          </w:tcPr>
          <w:p w14:paraId="4397CED0" w14:textId="77777777" w:rsidR="003B00C0" w:rsidRPr="00F31685" w:rsidRDefault="003B00C0" w:rsidP="000937A5">
            <w:pPr>
              <w:spacing w:line="300" w:lineRule="atLeast"/>
              <w:jc w:val="center"/>
              <w:rPr>
                <w:rFonts w:ascii="Arial" w:hAnsi="Arial" w:cs="Arial"/>
                <w:b/>
                <w:sz w:val="16"/>
                <w:szCs w:val="16"/>
              </w:rPr>
            </w:pPr>
            <w:r w:rsidRPr="00F31685">
              <w:rPr>
                <w:rFonts w:ascii="Arial" w:hAnsi="Arial" w:cs="Arial"/>
                <w:b/>
                <w:sz w:val="16"/>
                <w:szCs w:val="16"/>
              </w:rPr>
              <w:t>Source</w:t>
            </w:r>
          </w:p>
        </w:tc>
        <w:tc>
          <w:tcPr>
            <w:tcW w:w="1417" w:type="dxa"/>
            <w:vMerge w:val="restart"/>
            <w:vAlign w:val="center"/>
          </w:tcPr>
          <w:p w14:paraId="31E5E837" w14:textId="2FB2C22B" w:rsidR="003B00C0" w:rsidRPr="00F31685" w:rsidRDefault="003B00C0" w:rsidP="000937A5">
            <w:pPr>
              <w:spacing w:line="300" w:lineRule="atLeast"/>
              <w:jc w:val="center"/>
              <w:rPr>
                <w:rFonts w:ascii="Arial" w:hAnsi="Arial" w:cs="Arial"/>
                <w:b/>
                <w:sz w:val="16"/>
                <w:szCs w:val="16"/>
              </w:rPr>
            </w:pPr>
            <w:r>
              <w:rPr>
                <w:rFonts w:ascii="Arial" w:hAnsi="Arial" w:cs="Arial"/>
                <w:b/>
                <w:sz w:val="16"/>
                <w:szCs w:val="16"/>
              </w:rPr>
              <w:t xml:space="preserve">Activity Rate, </w:t>
            </w:r>
            <w:r w:rsidR="008F1C52">
              <w:rPr>
                <w:rFonts w:ascii="Arial" w:hAnsi="Arial" w:cs="Arial"/>
                <w:b/>
                <w:sz w:val="16"/>
                <w:szCs w:val="16"/>
              </w:rPr>
              <w:t>deceased</w:t>
            </w:r>
            <w:r w:rsidRPr="00F31685">
              <w:rPr>
                <w:rFonts w:ascii="Arial" w:hAnsi="Arial" w:cs="Arial"/>
                <w:b/>
                <w:sz w:val="16"/>
                <w:szCs w:val="16"/>
              </w:rPr>
              <w:t>/yr</w:t>
            </w:r>
          </w:p>
        </w:tc>
        <w:tc>
          <w:tcPr>
            <w:tcW w:w="1560" w:type="dxa"/>
            <w:vMerge w:val="restart"/>
            <w:vAlign w:val="center"/>
          </w:tcPr>
          <w:p w14:paraId="5C0A59F9" w14:textId="19D566D1" w:rsidR="003B00C0" w:rsidRPr="00F31685" w:rsidRDefault="003B00C0" w:rsidP="003B00C0">
            <w:pPr>
              <w:spacing w:line="300" w:lineRule="atLeast"/>
              <w:jc w:val="center"/>
              <w:rPr>
                <w:rFonts w:ascii="Arial" w:hAnsi="Arial" w:cs="Arial"/>
                <w:b/>
                <w:sz w:val="16"/>
                <w:szCs w:val="16"/>
              </w:rPr>
            </w:pPr>
            <w:r>
              <w:rPr>
                <w:rFonts w:ascii="Arial" w:hAnsi="Arial" w:cs="Arial"/>
                <w:b/>
                <w:sz w:val="16"/>
                <w:szCs w:val="16"/>
              </w:rPr>
              <w:t>Mercury content, g/</w:t>
            </w:r>
            <w:r w:rsidR="008F1C52">
              <w:rPr>
                <w:rFonts w:ascii="Arial" w:hAnsi="Arial" w:cs="Arial"/>
                <w:b/>
                <w:sz w:val="16"/>
                <w:szCs w:val="16"/>
              </w:rPr>
              <w:t>body</w:t>
            </w:r>
          </w:p>
        </w:tc>
        <w:tc>
          <w:tcPr>
            <w:tcW w:w="1701" w:type="dxa"/>
            <w:vMerge w:val="restart"/>
            <w:vAlign w:val="center"/>
          </w:tcPr>
          <w:p w14:paraId="142A970D" w14:textId="77777777" w:rsidR="003B00C0" w:rsidRPr="00F31685" w:rsidRDefault="003B00C0" w:rsidP="000937A5">
            <w:pPr>
              <w:spacing w:line="300" w:lineRule="atLeast"/>
              <w:jc w:val="center"/>
              <w:rPr>
                <w:rFonts w:ascii="Arial" w:hAnsi="Arial" w:cs="Arial"/>
                <w:b/>
                <w:sz w:val="16"/>
                <w:szCs w:val="16"/>
              </w:rPr>
            </w:pPr>
            <w:r w:rsidRPr="00F31685">
              <w:rPr>
                <w:rFonts w:ascii="Arial" w:hAnsi="Arial" w:cs="Arial"/>
                <w:b/>
                <w:sz w:val="16"/>
                <w:szCs w:val="16"/>
              </w:rPr>
              <w:t>Annual Mercury Inputs, kg/yr</w:t>
            </w:r>
          </w:p>
        </w:tc>
        <w:tc>
          <w:tcPr>
            <w:tcW w:w="3083" w:type="dxa"/>
            <w:gridSpan w:val="2"/>
            <w:vAlign w:val="center"/>
          </w:tcPr>
          <w:p w14:paraId="40F18F49" w14:textId="77777777" w:rsidR="003B00C0" w:rsidRPr="00F31685" w:rsidRDefault="003B00C0" w:rsidP="000937A5">
            <w:pPr>
              <w:spacing w:line="300" w:lineRule="atLeast"/>
              <w:jc w:val="center"/>
              <w:rPr>
                <w:rFonts w:ascii="Arial" w:hAnsi="Arial" w:cs="Arial"/>
                <w:b/>
                <w:sz w:val="16"/>
                <w:szCs w:val="16"/>
              </w:rPr>
            </w:pPr>
            <w:r w:rsidRPr="00F31685">
              <w:rPr>
                <w:rFonts w:ascii="Arial" w:hAnsi="Arial" w:cs="Arial"/>
                <w:b/>
                <w:sz w:val="16"/>
                <w:szCs w:val="16"/>
              </w:rPr>
              <w:t>Annual Mercury Outputs, kg/yr</w:t>
            </w:r>
          </w:p>
        </w:tc>
      </w:tr>
      <w:tr w:rsidR="003B00C0" w14:paraId="06E3CF7E" w14:textId="77777777" w:rsidTr="00FE6C76">
        <w:tc>
          <w:tcPr>
            <w:tcW w:w="1526" w:type="dxa"/>
            <w:vMerge/>
            <w:vAlign w:val="center"/>
          </w:tcPr>
          <w:p w14:paraId="7F98685C" w14:textId="77777777" w:rsidR="003B00C0" w:rsidRPr="00F31685" w:rsidRDefault="003B00C0" w:rsidP="000937A5">
            <w:pPr>
              <w:spacing w:line="300" w:lineRule="atLeast"/>
              <w:jc w:val="center"/>
              <w:rPr>
                <w:rFonts w:ascii="Arial" w:hAnsi="Arial" w:cs="Arial"/>
                <w:b/>
                <w:sz w:val="16"/>
                <w:szCs w:val="16"/>
              </w:rPr>
            </w:pPr>
          </w:p>
        </w:tc>
        <w:tc>
          <w:tcPr>
            <w:tcW w:w="1417" w:type="dxa"/>
            <w:vMerge/>
            <w:vAlign w:val="center"/>
          </w:tcPr>
          <w:p w14:paraId="14E87FB8" w14:textId="77777777" w:rsidR="003B00C0" w:rsidRPr="00F31685" w:rsidRDefault="003B00C0" w:rsidP="000937A5">
            <w:pPr>
              <w:spacing w:line="300" w:lineRule="atLeast"/>
              <w:jc w:val="center"/>
              <w:rPr>
                <w:rFonts w:ascii="Arial" w:hAnsi="Arial" w:cs="Arial"/>
                <w:b/>
                <w:sz w:val="16"/>
                <w:szCs w:val="16"/>
              </w:rPr>
            </w:pPr>
          </w:p>
        </w:tc>
        <w:tc>
          <w:tcPr>
            <w:tcW w:w="1560" w:type="dxa"/>
            <w:vMerge/>
          </w:tcPr>
          <w:p w14:paraId="367877B5" w14:textId="77777777" w:rsidR="003B00C0" w:rsidRPr="00F31685" w:rsidRDefault="003B00C0" w:rsidP="000937A5">
            <w:pPr>
              <w:spacing w:line="300" w:lineRule="atLeast"/>
              <w:jc w:val="center"/>
              <w:rPr>
                <w:rFonts w:ascii="Arial" w:hAnsi="Arial" w:cs="Arial"/>
                <w:b/>
                <w:sz w:val="16"/>
                <w:szCs w:val="16"/>
              </w:rPr>
            </w:pPr>
          </w:p>
        </w:tc>
        <w:tc>
          <w:tcPr>
            <w:tcW w:w="1701" w:type="dxa"/>
            <w:vMerge/>
            <w:vAlign w:val="center"/>
          </w:tcPr>
          <w:p w14:paraId="469527A1" w14:textId="77777777" w:rsidR="003B00C0" w:rsidRPr="00F31685" w:rsidRDefault="003B00C0" w:rsidP="000937A5">
            <w:pPr>
              <w:spacing w:line="300" w:lineRule="atLeast"/>
              <w:jc w:val="center"/>
              <w:rPr>
                <w:rFonts w:ascii="Arial" w:hAnsi="Arial" w:cs="Arial"/>
                <w:b/>
                <w:sz w:val="16"/>
                <w:szCs w:val="16"/>
              </w:rPr>
            </w:pPr>
          </w:p>
        </w:tc>
        <w:tc>
          <w:tcPr>
            <w:tcW w:w="1559" w:type="dxa"/>
            <w:vAlign w:val="center"/>
          </w:tcPr>
          <w:p w14:paraId="631E3343" w14:textId="77777777" w:rsidR="003B00C0" w:rsidRPr="00F31685" w:rsidRDefault="003B00C0" w:rsidP="000937A5">
            <w:pPr>
              <w:spacing w:line="300" w:lineRule="atLeast"/>
              <w:jc w:val="center"/>
              <w:rPr>
                <w:rFonts w:ascii="Arial" w:hAnsi="Arial" w:cs="Arial"/>
                <w:b/>
                <w:sz w:val="16"/>
                <w:szCs w:val="16"/>
              </w:rPr>
            </w:pPr>
            <w:r w:rsidRPr="00F31685">
              <w:rPr>
                <w:rFonts w:ascii="Arial" w:hAnsi="Arial" w:cs="Arial"/>
                <w:b/>
                <w:sz w:val="16"/>
                <w:szCs w:val="16"/>
              </w:rPr>
              <w:t>Air</w:t>
            </w:r>
          </w:p>
        </w:tc>
        <w:tc>
          <w:tcPr>
            <w:tcW w:w="1524" w:type="dxa"/>
            <w:vAlign w:val="center"/>
          </w:tcPr>
          <w:p w14:paraId="18A18123" w14:textId="77777777" w:rsidR="003B00C0" w:rsidRPr="00F31685" w:rsidRDefault="003B00C0" w:rsidP="000937A5">
            <w:pPr>
              <w:spacing w:line="300" w:lineRule="atLeast"/>
              <w:jc w:val="center"/>
              <w:rPr>
                <w:rFonts w:ascii="Arial" w:hAnsi="Arial" w:cs="Arial"/>
                <w:b/>
                <w:sz w:val="16"/>
                <w:szCs w:val="16"/>
              </w:rPr>
            </w:pPr>
            <w:r>
              <w:rPr>
                <w:rFonts w:ascii="Arial" w:hAnsi="Arial" w:cs="Arial"/>
                <w:b/>
                <w:sz w:val="16"/>
                <w:szCs w:val="16"/>
              </w:rPr>
              <w:t>Land</w:t>
            </w:r>
          </w:p>
        </w:tc>
      </w:tr>
      <w:tr w:rsidR="003B00C0" w14:paraId="5BEFD67C" w14:textId="77777777" w:rsidTr="00FE6C76">
        <w:tc>
          <w:tcPr>
            <w:tcW w:w="1526" w:type="dxa"/>
            <w:vAlign w:val="center"/>
          </w:tcPr>
          <w:p w14:paraId="6C9BDBF4" w14:textId="77777777" w:rsidR="003B00C0" w:rsidRPr="00F31685" w:rsidRDefault="003B00C0" w:rsidP="000937A5">
            <w:pPr>
              <w:spacing w:line="300" w:lineRule="atLeast"/>
              <w:rPr>
                <w:rFonts w:ascii="Arial" w:hAnsi="Arial" w:cs="Arial"/>
                <w:sz w:val="16"/>
                <w:szCs w:val="16"/>
              </w:rPr>
            </w:pPr>
            <w:r>
              <w:rPr>
                <w:rFonts w:ascii="Arial" w:hAnsi="Arial" w:cs="Arial"/>
                <w:sz w:val="16"/>
                <w:szCs w:val="16"/>
              </w:rPr>
              <w:t>Cremation</w:t>
            </w:r>
            <w:r w:rsidR="00254C3A">
              <w:rPr>
                <w:rFonts w:ascii="Arial" w:hAnsi="Arial" w:cs="Arial"/>
                <w:sz w:val="16"/>
                <w:szCs w:val="16"/>
              </w:rPr>
              <w:t>, 2012</w:t>
            </w:r>
          </w:p>
        </w:tc>
        <w:tc>
          <w:tcPr>
            <w:tcW w:w="1417" w:type="dxa"/>
            <w:vAlign w:val="center"/>
          </w:tcPr>
          <w:p w14:paraId="32520EE9" w14:textId="77777777" w:rsidR="003B00C0" w:rsidRPr="00F31685" w:rsidRDefault="003B00C0" w:rsidP="000937A5">
            <w:pPr>
              <w:spacing w:line="300" w:lineRule="atLeast"/>
              <w:jc w:val="center"/>
              <w:rPr>
                <w:rFonts w:ascii="Arial" w:hAnsi="Arial" w:cs="Arial"/>
                <w:sz w:val="16"/>
                <w:szCs w:val="16"/>
              </w:rPr>
            </w:pPr>
            <w:r>
              <w:rPr>
                <w:rFonts w:ascii="Arial" w:hAnsi="Arial" w:cs="Arial"/>
                <w:sz w:val="16"/>
                <w:szCs w:val="16"/>
              </w:rPr>
              <w:t>19,053</w:t>
            </w:r>
          </w:p>
        </w:tc>
        <w:tc>
          <w:tcPr>
            <w:tcW w:w="1560" w:type="dxa"/>
          </w:tcPr>
          <w:p w14:paraId="1112D072" w14:textId="77777777" w:rsidR="003B00C0" w:rsidRDefault="003B00C0" w:rsidP="000937A5">
            <w:pPr>
              <w:spacing w:line="300" w:lineRule="atLeast"/>
              <w:jc w:val="center"/>
              <w:rPr>
                <w:rFonts w:ascii="Arial" w:hAnsi="Arial" w:cs="Arial"/>
                <w:sz w:val="16"/>
                <w:szCs w:val="16"/>
              </w:rPr>
            </w:pPr>
            <w:r>
              <w:rPr>
                <w:rFonts w:ascii="Arial" w:hAnsi="Arial" w:cs="Arial"/>
                <w:sz w:val="16"/>
                <w:szCs w:val="16"/>
              </w:rPr>
              <w:t>1 – 4</w:t>
            </w:r>
          </w:p>
        </w:tc>
        <w:tc>
          <w:tcPr>
            <w:tcW w:w="1701" w:type="dxa"/>
            <w:vAlign w:val="center"/>
          </w:tcPr>
          <w:p w14:paraId="19D36A0D" w14:textId="59F6DE64" w:rsidR="003B00C0" w:rsidRPr="00F31685" w:rsidRDefault="003B00C0" w:rsidP="000937A5">
            <w:pPr>
              <w:spacing w:line="300" w:lineRule="atLeast"/>
              <w:jc w:val="center"/>
              <w:rPr>
                <w:rFonts w:ascii="Arial" w:hAnsi="Arial" w:cs="Arial"/>
                <w:sz w:val="16"/>
                <w:szCs w:val="16"/>
              </w:rPr>
            </w:pPr>
            <w:r>
              <w:rPr>
                <w:rFonts w:ascii="Arial" w:hAnsi="Arial" w:cs="Arial"/>
                <w:sz w:val="16"/>
                <w:szCs w:val="16"/>
              </w:rPr>
              <w:t>19.1 – 76.2</w:t>
            </w:r>
            <w:r w:rsidR="008B1EB8">
              <w:rPr>
                <w:rFonts w:ascii="Arial" w:hAnsi="Arial" w:cs="Arial"/>
                <w:sz w:val="16"/>
                <w:szCs w:val="16"/>
              </w:rPr>
              <w:t xml:space="preserve"> (47.7)</w:t>
            </w:r>
          </w:p>
        </w:tc>
        <w:tc>
          <w:tcPr>
            <w:tcW w:w="1559" w:type="dxa"/>
            <w:vAlign w:val="center"/>
          </w:tcPr>
          <w:p w14:paraId="5E9836E2" w14:textId="014EC3B6" w:rsidR="003B00C0" w:rsidRPr="00F31685" w:rsidRDefault="003B00C0" w:rsidP="000937A5">
            <w:pPr>
              <w:spacing w:line="300" w:lineRule="atLeast"/>
              <w:jc w:val="center"/>
              <w:rPr>
                <w:rFonts w:ascii="Arial" w:hAnsi="Arial" w:cs="Arial"/>
                <w:sz w:val="16"/>
                <w:szCs w:val="16"/>
              </w:rPr>
            </w:pPr>
            <w:r>
              <w:rPr>
                <w:rFonts w:ascii="Arial" w:hAnsi="Arial" w:cs="Arial"/>
                <w:sz w:val="16"/>
                <w:szCs w:val="16"/>
              </w:rPr>
              <w:t>19.1 – 76.2</w:t>
            </w:r>
            <w:r w:rsidR="008B1EB8">
              <w:rPr>
                <w:rFonts w:ascii="Arial" w:hAnsi="Arial" w:cs="Arial"/>
                <w:sz w:val="16"/>
                <w:szCs w:val="16"/>
              </w:rPr>
              <w:t xml:space="preserve"> (47.7)</w:t>
            </w:r>
          </w:p>
        </w:tc>
        <w:tc>
          <w:tcPr>
            <w:tcW w:w="1524" w:type="dxa"/>
            <w:vAlign w:val="center"/>
          </w:tcPr>
          <w:p w14:paraId="107E64DB" w14:textId="77777777" w:rsidR="003B00C0" w:rsidRPr="00F31685" w:rsidRDefault="003B00C0" w:rsidP="000937A5">
            <w:pPr>
              <w:spacing w:line="300" w:lineRule="atLeast"/>
              <w:jc w:val="center"/>
              <w:rPr>
                <w:rFonts w:ascii="Arial" w:hAnsi="Arial" w:cs="Arial"/>
                <w:sz w:val="16"/>
                <w:szCs w:val="16"/>
              </w:rPr>
            </w:pPr>
            <w:r>
              <w:rPr>
                <w:rFonts w:ascii="Arial" w:hAnsi="Arial" w:cs="Arial"/>
                <w:sz w:val="16"/>
                <w:szCs w:val="16"/>
              </w:rPr>
              <w:t>-</w:t>
            </w:r>
          </w:p>
        </w:tc>
      </w:tr>
      <w:tr w:rsidR="00254C3A" w14:paraId="6601CAC2" w14:textId="77777777" w:rsidTr="00323A82">
        <w:tc>
          <w:tcPr>
            <w:tcW w:w="1526" w:type="dxa"/>
            <w:tcBorders>
              <w:bottom w:val="single" w:sz="4" w:space="0" w:color="auto"/>
            </w:tcBorders>
            <w:vAlign w:val="center"/>
          </w:tcPr>
          <w:p w14:paraId="1B044457" w14:textId="77777777" w:rsidR="00254C3A" w:rsidRDefault="00254C3A" w:rsidP="00254C3A">
            <w:pPr>
              <w:spacing w:line="300" w:lineRule="atLeast"/>
              <w:rPr>
                <w:rFonts w:ascii="Arial" w:hAnsi="Arial" w:cs="Arial"/>
                <w:sz w:val="16"/>
                <w:szCs w:val="16"/>
              </w:rPr>
            </w:pPr>
            <w:r>
              <w:rPr>
                <w:rFonts w:ascii="Arial" w:hAnsi="Arial" w:cs="Arial"/>
                <w:sz w:val="16"/>
                <w:szCs w:val="16"/>
              </w:rPr>
              <w:t>Cremation, 2016</w:t>
            </w:r>
          </w:p>
        </w:tc>
        <w:tc>
          <w:tcPr>
            <w:tcW w:w="1417" w:type="dxa"/>
            <w:tcBorders>
              <w:bottom w:val="single" w:sz="4" w:space="0" w:color="auto"/>
            </w:tcBorders>
            <w:vAlign w:val="center"/>
          </w:tcPr>
          <w:p w14:paraId="0DBE89A9" w14:textId="77777777" w:rsidR="00254C3A" w:rsidRDefault="00254C3A" w:rsidP="00254C3A">
            <w:pPr>
              <w:spacing w:line="300" w:lineRule="atLeast"/>
              <w:jc w:val="center"/>
              <w:rPr>
                <w:rFonts w:ascii="Arial" w:hAnsi="Arial" w:cs="Arial"/>
                <w:sz w:val="16"/>
                <w:szCs w:val="16"/>
              </w:rPr>
            </w:pPr>
            <w:r>
              <w:rPr>
                <w:rFonts w:ascii="Arial" w:hAnsi="Arial" w:cs="Arial"/>
                <w:sz w:val="16"/>
                <w:szCs w:val="16"/>
              </w:rPr>
              <w:t>20,129</w:t>
            </w:r>
          </w:p>
        </w:tc>
        <w:tc>
          <w:tcPr>
            <w:tcW w:w="1560" w:type="dxa"/>
            <w:tcBorders>
              <w:bottom w:val="single" w:sz="4" w:space="0" w:color="auto"/>
            </w:tcBorders>
          </w:tcPr>
          <w:p w14:paraId="61B3D9E1" w14:textId="77777777" w:rsidR="00254C3A" w:rsidRDefault="00254C3A" w:rsidP="00254C3A">
            <w:pPr>
              <w:spacing w:line="300" w:lineRule="atLeast"/>
              <w:jc w:val="center"/>
              <w:rPr>
                <w:rFonts w:ascii="Arial" w:hAnsi="Arial" w:cs="Arial"/>
                <w:sz w:val="16"/>
                <w:szCs w:val="16"/>
              </w:rPr>
            </w:pPr>
            <w:r>
              <w:rPr>
                <w:rFonts w:ascii="Arial" w:hAnsi="Arial" w:cs="Arial"/>
                <w:sz w:val="16"/>
                <w:szCs w:val="16"/>
              </w:rPr>
              <w:t>1 - 4</w:t>
            </w:r>
          </w:p>
        </w:tc>
        <w:tc>
          <w:tcPr>
            <w:tcW w:w="1701" w:type="dxa"/>
            <w:tcBorders>
              <w:bottom w:val="single" w:sz="4" w:space="0" w:color="auto"/>
            </w:tcBorders>
            <w:vAlign w:val="center"/>
          </w:tcPr>
          <w:p w14:paraId="4BBA8380" w14:textId="517720CC" w:rsidR="00254C3A" w:rsidRDefault="00254C3A" w:rsidP="00254C3A">
            <w:pPr>
              <w:spacing w:line="300" w:lineRule="atLeast"/>
              <w:jc w:val="center"/>
              <w:rPr>
                <w:rFonts w:ascii="Arial" w:hAnsi="Arial" w:cs="Arial"/>
                <w:sz w:val="16"/>
                <w:szCs w:val="16"/>
              </w:rPr>
            </w:pPr>
            <w:r>
              <w:rPr>
                <w:rFonts w:ascii="Arial" w:hAnsi="Arial" w:cs="Arial"/>
                <w:sz w:val="16"/>
                <w:szCs w:val="16"/>
              </w:rPr>
              <w:t>20.1 – 80.5 (50.3)</w:t>
            </w:r>
          </w:p>
        </w:tc>
        <w:tc>
          <w:tcPr>
            <w:tcW w:w="1559" w:type="dxa"/>
            <w:tcBorders>
              <w:bottom w:val="single" w:sz="4" w:space="0" w:color="auto"/>
            </w:tcBorders>
            <w:vAlign w:val="center"/>
          </w:tcPr>
          <w:p w14:paraId="4D539B84" w14:textId="0BC1981A" w:rsidR="00254C3A" w:rsidRDefault="00254C3A" w:rsidP="00254C3A">
            <w:pPr>
              <w:spacing w:line="300" w:lineRule="atLeast"/>
              <w:jc w:val="center"/>
              <w:rPr>
                <w:rFonts w:ascii="Arial" w:hAnsi="Arial" w:cs="Arial"/>
                <w:sz w:val="16"/>
                <w:szCs w:val="16"/>
              </w:rPr>
            </w:pPr>
            <w:r>
              <w:rPr>
                <w:rFonts w:ascii="Arial" w:hAnsi="Arial" w:cs="Arial"/>
                <w:sz w:val="16"/>
                <w:szCs w:val="16"/>
              </w:rPr>
              <w:t>20.1 – 80.5 (50.3)</w:t>
            </w:r>
          </w:p>
        </w:tc>
        <w:tc>
          <w:tcPr>
            <w:tcW w:w="1524" w:type="dxa"/>
            <w:tcBorders>
              <w:bottom w:val="single" w:sz="4" w:space="0" w:color="auto"/>
            </w:tcBorders>
            <w:vAlign w:val="center"/>
          </w:tcPr>
          <w:p w14:paraId="1B8204E0" w14:textId="77777777" w:rsidR="00254C3A" w:rsidRDefault="00254C3A" w:rsidP="00254C3A">
            <w:pPr>
              <w:spacing w:line="300" w:lineRule="atLeast"/>
              <w:jc w:val="center"/>
              <w:rPr>
                <w:rFonts w:ascii="Arial" w:hAnsi="Arial" w:cs="Arial"/>
                <w:sz w:val="16"/>
                <w:szCs w:val="16"/>
              </w:rPr>
            </w:pPr>
            <w:r>
              <w:rPr>
                <w:rFonts w:ascii="Arial" w:hAnsi="Arial" w:cs="Arial"/>
                <w:sz w:val="16"/>
                <w:szCs w:val="16"/>
              </w:rPr>
              <w:t>-</w:t>
            </w:r>
          </w:p>
        </w:tc>
      </w:tr>
      <w:tr w:rsidR="0023183E" w14:paraId="718A07A6" w14:textId="77777777" w:rsidTr="00323A82">
        <w:tc>
          <w:tcPr>
            <w:tcW w:w="1526" w:type="dxa"/>
            <w:tcBorders>
              <w:bottom w:val="double" w:sz="4" w:space="0" w:color="auto"/>
            </w:tcBorders>
            <w:vAlign w:val="center"/>
          </w:tcPr>
          <w:p w14:paraId="4F61C97D" w14:textId="3A769C35" w:rsidR="0023183E" w:rsidRDefault="0023183E" w:rsidP="00254C3A">
            <w:pPr>
              <w:spacing w:line="300" w:lineRule="atLeast"/>
              <w:rPr>
                <w:rFonts w:ascii="Arial" w:hAnsi="Arial" w:cs="Arial"/>
                <w:sz w:val="16"/>
                <w:szCs w:val="16"/>
              </w:rPr>
            </w:pPr>
            <w:r>
              <w:rPr>
                <w:rFonts w:ascii="Arial" w:hAnsi="Arial" w:cs="Arial"/>
                <w:sz w:val="16"/>
                <w:szCs w:val="16"/>
              </w:rPr>
              <w:t>Cremation, 2020</w:t>
            </w:r>
          </w:p>
        </w:tc>
        <w:tc>
          <w:tcPr>
            <w:tcW w:w="1417" w:type="dxa"/>
            <w:tcBorders>
              <w:bottom w:val="double" w:sz="4" w:space="0" w:color="auto"/>
            </w:tcBorders>
            <w:vAlign w:val="center"/>
          </w:tcPr>
          <w:p w14:paraId="757BA0FD" w14:textId="07ABEB5B" w:rsidR="0023183E" w:rsidRDefault="0023183E" w:rsidP="00254C3A">
            <w:pPr>
              <w:spacing w:line="300" w:lineRule="atLeast"/>
              <w:jc w:val="center"/>
              <w:rPr>
                <w:rFonts w:ascii="Arial" w:hAnsi="Arial" w:cs="Arial"/>
                <w:sz w:val="16"/>
                <w:szCs w:val="16"/>
              </w:rPr>
            </w:pPr>
            <w:r>
              <w:rPr>
                <w:rFonts w:ascii="Arial" w:hAnsi="Arial" w:cs="Arial"/>
                <w:sz w:val="16"/>
                <w:szCs w:val="16"/>
              </w:rPr>
              <w:t>22,073</w:t>
            </w:r>
          </w:p>
        </w:tc>
        <w:tc>
          <w:tcPr>
            <w:tcW w:w="1560" w:type="dxa"/>
            <w:tcBorders>
              <w:bottom w:val="double" w:sz="4" w:space="0" w:color="auto"/>
            </w:tcBorders>
          </w:tcPr>
          <w:p w14:paraId="22DC0F49" w14:textId="1F9D6E71" w:rsidR="0023183E" w:rsidRDefault="0023183E" w:rsidP="00254C3A">
            <w:pPr>
              <w:spacing w:line="300" w:lineRule="atLeast"/>
              <w:jc w:val="center"/>
              <w:rPr>
                <w:rFonts w:ascii="Arial" w:hAnsi="Arial" w:cs="Arial"/>
                <w:sz w:val="16"/>
                <w:szCs w:val="16"/>
              </w:rPr>
            </w:pPr>
            <w:r>
              <w:rPr>
                <w:rFonts w:ascii="Arial" w:hAnsi="Arial" w:cs="Arial"/>
                <w:sz w:val="16"/>
                <w:szCs w:val="16"/>
              </w:rPr>
              <w:t>1 - 4</w:t>
            </w:r>
          </w:p>
        </w:tc>
        <w:tc>
          <w:tcPr>
            <w:tcW w:w="1701" w:type="dxa"/>
            <w:tcBorders>
              <w:bottom w:val="double" w:sz="4" w:space="0" w:color="auto"/>
            </w:tcBorders>
            <w:vAlign w:val="center"/>
          </w:tcPr>
          <w:p w14:paraId="6F432348" w14:textId="3939F37C" w:rsidR="0023183E" w:rsidRDefault="0023183E" w:rsidP="00254C3A">
            <w:pPr>
              <w:spacing w:line="300" w:lineRule="atLeast"/>
              <w:jc w:val="center"/>
              <w:rPr>
                <w:rFonts w:ascii="Arial" w:hAnsi="Arial" w:cs="Arial"/>
                <w:sz w:val="16"/>
                <w:szCs w:val="16"/>
              </w:rPr>
            </w:pPr>
            <w:r>
              <w:rPr>
                <w:rFonts w:ascii="Arial" w:hAnsi="Arial" w:cs="Arial"/>
                <w:sz w:val="16"/>
                <w:szCs w:val="16"/>
              </w:rPr>
              <w:t>22.1 – 88.3</w:t>
            </w:r>
            <w:r w:rsidR="00E17F2F">
              <w:rPr>
                <w:rFonts w:ascii="Arial" w:hAnsi="Arial" w:cs="Arial"/>
                <w:sz w:val="16"/>
                <w:szCs w:val="16"/>
              </w:rPr>
              <w:t xml:space="preserve"> (55.2)</w:t>
            </w:r>
          </w:p>
        </w:tc>
        <w:tc>
          <w:tcPr>
            <w:tcW w:w="1559" w:type="dxa"/>
            <w:tcBorders>
              <w:bottom w:val="double" w:sz="4" w:space="0" w:color="auto"/>
            </w:tcBorders>
            <w:vAlign w:val="center"/>
          </w:tcPr>
          <w:p w14:paraId="7DAD7118" w14:textId="0355C153" w:rsidR="0023183E" w:rsidRDefault="00496F22" w:rsidP="00254C3A">
            <w:pPr>
              <w:spacing w:line="300" w:lineRule="atLeast"/>
              <w:jc w:val="center"/>
              <w:rPr>
                <w:rFonts w:ascii="Arial" w:hAnsi="Arial" w:cs="Arial"/>
                <w:sz w:val="16"/>
                <w:szCs w:val="16"/>
              </w:rPr>
            </w:pPr>
            <w:r>
              <w:rPr>
                <w:rFonts w:ascii="Arial" w:hAnsi="Arial" w:cs="Arial"/>
                <w:sz w:val="16"/>
                <w:szCs w:val="16"/>
              </w:rPr>
              <w:t>22.1 – 88.3</w:t>
            </w:r>
            <w:r w:rsidR="00E17F2F">
              <w:rPr>
                <w:rFonts w:ascii="Arial" w:hAnsi="Arial" w:cs="Arial"/>
                <w:sz w:val="16"/>
                <w:szCs w:val="16"/>
              </w:rPr>
              <w:t xml:space="preserve"> (55.2)</w:t>
            </w:r>
          </w:p>
        </w:tc>
        <w:tc>
          <w:tcPr>
            <w:tcW w:w="1524" w:type="dxa"/>
            <w:tcBorders>
              <w:bottom w:val="double" w:sz="4" w:space="0" w:color="auto"/>
            </w:tcBorders>
            <w:vAlign w:val="center"/>
          </w:tcPr>
          <w:p w14:paraId="01D8B450" w14:textId="77777777" w:rsidR="0023183E" w:rsidRDefault="0023183E" w:rsidP="00254C3A">
            <w:pPr>
              <w:spacing w:line="300" w:lineRule="atLeast"/>
              <w:jc w:val="center"/>
              <w:rPr>
                <w:rFonts w:ascii="Arial" w:hAnsi="Arial" w:cs="Arial"/>
                <w:sz w:val="16"/>
                <w:szCs w:val="16"/>
              </w:rPr>
            </w:pPr>
          </w:p>
        </w:tc>
      </w:tr>
      <w:tr w:rsidR="006E2FF8" w14:paraId="06C408F7" w14:textId="77777777" w:rsidTr="00323A82">
        <w:tc>
          <w:tcPr>
            <w:tcW w:w="1526" w:type="dxa"/>
            <w:tcBorders>
              <w:bottom w:val="double" w:sz="4" w:space="0" w:color="auto"/>
            </w:tcBorders>
            <w:vAlign w:val="center"/>
          </w:tcPr>
          <w:p w14:paraId="6727ACAD" w14:textId="4BAB7E6B" w:rsidR="006E2FF8" w:rsidRDefault="006E2FF8" w:rsidP="00254C3A">
            <w:pPr>
              <w:spacing w:line="300" w:lineRule="atLeast"/>
              <w:rPr>
                <w:rFonts w:ascii="Arial" w:hAnsi="Arial" w:cs="Arial"/>
                <w:sz w:val="16"/>
                <w:szCs w:val="16"/>
              </w:rPr>
            </w:pPr>
            <w:r>
              <w:rPr>
                <w:rFonts w:ascii="Arial" w:hAnsi="Arial" w:cs="Arial"/>
                <w:sz w:val="16"/>
                <w:szCs w:val="16"/>
              </w:rPr>
              <w:t>Cremation, 2024</w:t>
            </w:r>
          </w:p>
        </w:tc>
        <w:tc>
          <w:tcPr>
            <w:tcW w:w="1417" w:type="dxa"/>
            <w:tcBorders>
              <w:bottom w:val="double" w:sz="4" w:space="0" w:color="auto"/>
            </w:tcBorders>
            <w:vAlign w:val="center"/>
          </w:tcPr>
          <w:p w14:paraId="781849E0" w14:textId="5D0C3FCB" w:rsidR="006E2FF8" w:rsidRDefault="006E2FF8" w:rsidP="00254C3A">
            <w:pPr>
              <w:spacing w:line="300" w:lineRule="atLeast"/>
              <w:jc w:val="center"/>
              <w:rPr>
                <w:rFonts w:ascii="Arial" w:hAnsi="Arial" w:cs="Arial"/>
                <w:sz w:val="16"/>
                <w:szCs w:val="16"/>
              </w:rPr>
            </w:pPr>
            <w:r>
              <w:rPr>
                <w:rFonts w:ascii="Arial" w:hAnsi="Arial" w:cs="Arial"/>
                <w:sz w:val="16"/>
                <w:szCs w:val="16"/>
              </w:rPr>
              <w:t>25,429</w:t>
            </w:r>
          </w:p>
        </w:tc>
        <w:tc>
          <w:tcPr>
            <w:tcW w:w="1560" w:type="dxa"/>
            <w:tcBorders>
              <w:bottom w:val="double" w:sz="4" w:space="0" w:color="auto"/>
            </w:tcBorders>
          </w:tcPr>
          <w:p w14:paraId="56D71F31" w14:textId="2F8DBEEE" w:rsidR="006E2FF8" w:rsidRDefault="006E2FF8" w:rsidP="006E2FF8">
            <w:pPr>
              <w:spacing w:line="300" w:lineRule="atLeast"/>
              <w:jc w:val="center"/>
              <w:rPr>
                <w:rFonts w:ascii="Arial" w:hAnsi="Arial" w:cs="Arial"/>
                <w:sz w:val="16"/>
                <w:szCs w:val="16"/>
              </w:rPr>
            </w:pPr>
            <w:r>
              <w:rPr>
                <w:rFonts w:ascii="Arial" w:hAnsi="Arial" w:cs="Arial"/>
                <w:sz w:val="16"/>
                <w:szCs w:val="16"/>
              </w:rPr>
              <w:t>1 - 4</w:t>
            </w:r>
          </w:p>
        </w:tc>
        <w:tc>
          <w:tcPr>
            <w:tcW w:w="1701" w:type="dxa"/>
            <w:tcBorders>
              <w:bottom w:val="double" w:sz="4" w:space="0" w:color="auto"/>
            </w:tcBorders>
            <w:vAlign w:val="center"/>
          </w:tcPr>
          <w:p w14:paraId="15D48E91" w14:textId="4FD62964" w:rsidR="006E2FF8" w:rsidRDefault="006E2FF8" w:rsidP="00254C3A">
            <w:pPr>
              <w:spacing w:line="300" w:lineRule="atLeast"/>
              <w:jc w:val="center"/>
              <w:rPr>
                <w:rFonts w:ascii="Arial" w:hAnsi="Arial" w:cs="Arial"/>
                <w:sz w:val="16"/>
                <w:szCs w:val="16"/>
              </w:rPr>
            </w:pPr>
            <w:r>
              <w:rPr>
                <w:rFonts w:ascii="Arial" w:hAnsi="Arial" w:cs="Arial"/>
                <w:sz w:val="16"/>
                <w:szCs w:val="16"/>
              </w:rPr>
              <w:t>25.4 – 10</w:t>
            </w:r>
            <w:r w:rsidR="00056F10">
              <w:rPr>
                <w:rFonts w:ascii="Arial" w:hAnsi="Arial" w:cs="Arial"/>
                <w:sz w:val="16"/>
                <w:szCs w:val="16"/>
              </w:rPr>
              <w:t xml:space="preserve">2 </w:t>
            </w:r>
            <w:r>
              <w:rPr>
                <w:rFonts w:ascii="Arial" w:hAnsi="Arial" w:cs="Arial"/>
                <w:sz w:val="16"/>
                <w:szCs w:val="16"/>
              </w:rPr>
              <w:t>(63.</w:t>
            </w:r>
            <w:r w:rsidR="00056F10">
              <w:rPr>
                <w:rFonts w:ascii="Arial" w:hAnsi="Arial" w:cs="Arial"/>
                <w:sz w:val="16"/>
                <w:szCs w:val="16"/>
              </w:rPr>
              <w:t>6</w:t>
            </w:r>
            <w:r>
              <w:rPr>
                <w:rFonts w:ascii="Arial" w:hAnsi="Arial" w:cs="Arial"/>
                <w:sz w:val="16"/>
                <w:szCs w:val="16"/>
              </w:rPr>
              <w:t>)</w:t>
            </w:r>
          </w:p>
        </w:tc>
        <w:tc>
          <w:tcPr>
            <w:tcW w:w="1559" w:type="dxa"/>
            <w:tcBorders>
              <w:bottom w:val="double" w:sz="4" w:space="0" w:color="auto"/>
            </w:tcBorders>
            <w:vAlign w:val="center"/>
          </w:tcPr>
          <w:p w14:paraId="166E1C82" w14:textId="55F75439" w:rsidR="006E2FF8" w:rsidRDefault="006E2FF8" w:rsidP="00254C3A">
            <w:pPr>
              <w:spacing w:line="300" w:lineRule="atLeast"/>
              <w:jc w:val="center"/>
              <w:rPr>
                <w:rFonts w:ascii="Arial" w:hAnsi="Arial" w:cs="Arial"/>
                <w:sz w:val="16"/>
                <w:szCs w:val="16"/>
              </w:rPr>
            </w:pPr>
            <w:r>
              <w:rPr>
                <w:rFonts w:ascii="Arial" w:hAnsi="Arial" w:cs="Arial"/>
                <w:sz w:val="16"/>
                <w:szCs w:val="16"/>
              </w:rPr>
              <w:t>25.4 – 10</w:t>
            </w:r>
            <w:r w:rsidR="00056F10">
              <w:rPr>
                <w:rFonts w:ascii="Arial" w:hAnsi="Arial" w:cs="Arial"/>
                <w:sz w:val="16"/>
                <w:szCs w:val="16"/>
              </w:rPr>
              <w:t>2</w:t>
            </w:r>
            <w:r>
              <w:rPr>
                <w:rFonts w:ascii="Arial" w:hAnsi="Arial" w:cs="Arial"/>
                <w:sz w:val="16"/>
                <w:szCs w:val="16"/>
              </w:rPr>
              <w:t xml:space="preserve"> (63</w:t>
            </w:r>
            <w:r w:rsidR="00056F10">
              <w:rPr>
                <w:rFonts w:ascii="Arial" w:hAnsi="Arial" w:cs="Arial"/>
                <w:sz w:val="16"/>
                <w:szCs w:val="16"/>
              </w:rPr>
              <w:t>.6</w:t>
            </w:r>
            <w:r>
              <w:rPr>
                <w:rFonts w:ascii="Arial" w:hAnsi="Arial" w:cs="Arial"/>
                <w:sz w:val="16"/>
                <w:szCs w:val="16"/>
              </w:rPr>
              <w:t>)</w:t>
            </w:r>
          </w:p>
        </w:tc>
        <w:tc>
          <w:tcPr>
            <w:tcW w:w="1524" w:type="dxa"/>
            <w:tcBorders>
              <w:bottom w:val="double" w:sz="4" w:space="0" w:color="auto"/>
            </w:tcBorders>
            <w:vAlign w:val="center"/>
          </w:tcPr>
          <w:p w14:paraId="194853D0" w14:textId="77777777" w:rsidR="006E2FF8" w:rsidRDefault="006E2FF8" w:rsidP="00254C3A">
            <w:pPr>
              <w:spacing w:line="300" w:lineRule="atLeast"/>
              <w:jc w:val="center"/>
              <w:rPr>
                <w:rFonts w:ascii="Arial" w:hAnsi="Arial" w:cs="Arial"/>
                <w:sz w:val="16"/>
                <w:szCs w:val="16"/>
              </w:rPr>
            </w:pPr>
          </w:p>
        </w:tc>
      </w:tr>
      <w:tr w:rsidR="003B00C0" w14:paraId="2AC20DE9" w14:textId="77777777" w:rsidTr="00323A82">
        <w:tc>
          <w:tcPr>
            <w:tcW w:w="1526" w:type="dxa"/>
            <w:tcBorders>
              <w:top w:val="double" w:sz="4" w:space="0" w:color="auto"/>
            </w:tcBorders>
            <w:vAlign w:val="center"/>
          </w:tcPr>
          <w:p w14:paraId="6DCC55F5" w14:textId="77777777" w:rsidR="003B00C0" w:rsidRDefault="003B00C0" w:rsidP="000937A5">
            <w:pPr>
              <w:spacing w:line="300" w:lineRule="atLeast"/>
              <w:rPr>
                <w:rFonts w:ascii="Arial" w:hAnsi="Arial" w:cs="Arial"/>
                <w:sz w:val="16"/>
                <w:szCs w:val="16"/>
              </w:rPr>
            </w:pPr>
            <w:r>
              <w:rPr>
                <w:rFonts w:ascii="Arial" w:hAnsi="Arial" w:cs="Arial"/>
                <w:sz w:val="16"/>
                <w:szCs w:val="16"/>
              </w:rPr>
              <w:t>Cemeteries</w:t>
            </w:r>
            <w:r w:rsidR="00254C3A">
              <w:rPr>
                <w:rFonts w:ascii="Arial" w:hAnsi="Arial" w:cs="Arial"/>
                <w:sz w:val="16"/>
                <w:szCs w:val="16"/>
              </w:rPr>
              <w:t>, 2012</w:t>
            </w:r>
          </w:p>
        </w:tc>
        <w:tc>
          <w:tcPr>
            <w:tcW w:w="1417" w:type="dxa"/>
            <w:tcBorders>
              <w:top w:val="double" w:sz="4" w:space="0" w:color="auto"/>
            </w:tcBorders>
            <w:vAlign w:val="center"/>
          </w:tcPr>
          <w:p w14:paraId="530A7DE8" w14:textId="77777777" w:rsidR="003B00C0" w:rsidRDefault="003B00C0" w:rsidP="000937A5">
            <w:pPr>
              <w:spacing w:line="300" w:lineRule="atLeast"/>
              <w:jc w:val="center"/>
              <w:rPr>
                <w:rFonts w:ascii="Arial" w:hAnsi="Arial" w:cs="Arial"/>
                <w:sz w:val="16"/>
                <w:szCs w:val="16"/>
              </w:rPr>
            </w:pPr>
            <w:r>
              <w:rPr>
                <w:rFonts w:ascii="Arial" w:hAnsi="Arial" w:cs="Arial"/>
                <w:sz w:val="16"/>
                <w:szCs w:val="16"/>
              </w:rPr>
              <w:t>11,046</w:t>
            </w:r>
          </w:p>
        </w:tc>
        <w:tc>
          <w:tcPr>
            <w:tcW w:w="1560" w:type="dxa"/>
            <w:tcBorders>
              <w:top w:val="double" w:sz="4" w:space="0" w:color="auto"/>
            </w:tcBorders>
          </w:tcPr>
          <w:p w14:paraId="548D0851" w14:textId="77777777" w:rsidR="003B00C0" w:rsidRDefault="003B00C0" w:rsidP="000937A5">
            <w:pPr>
              <w:spacing w:line="300" w:lineRule="atLeast"/>
              <w:jc w:val="center"/>
              <w:rPr>
                <w:rFonts w:ascii="Arial" w:hAnsi="Arial" w:cs="Arial"/>
                <w:sz w:val="16"/>
                <w:szCs w:val="16"/>
              </w:rPr>
            </w:pPr>
            <w:r>
              <w:rPr>
                <w:rFonts w:ascii="Arial" w:hAnsi="Arial" w:cs="Arial"/>
                <w:sz w:val="16"/>
                <w:szCs w:val="16"/>
              </w:rPr>
              <w:t>1 - 4</w:t>
            </w:r>
          </w:p>
        </w:tc>
        <w:tc>
          <w:tcPr>
            <w:tcW w:w="1701" w:type="dxa"/>
            <w:tcBorders>
              <w:top w:val="double" w:sz="4" w:space="0" w:color="auto"/>
            </w:tcBorders>
            <w:vAlign w:val="center"/>
          </w:tcPr>
          <w:p w14:paraId="4184FFDD" w14:textId="005DD3F6" w:rsidR="003B00C0" w:rsidRDefault="003B00C0" w:rsidP="000937A5">
            <w:pPr>
              <w:spacing w:line="300" w:lineRule="atLeast"/>
              <w:jc w:val="center"/>
              <w:rPr>
                <w:rFonts w:ascii="Arial" w:hAnsi="Arial" w:cs="Arial"/>
                <w:sz w:val="16"/>
                <w:szCs w:val="16"/>
              </w:rPr>
            </w:pPr>
            <w:r>
              <w:rPr>
                <w:rFonts w:ascii="Arial" w:hAnsi="Arial" w:cs="Arial"/>
                <w:sz w:val="16"/>
                <w:szCs w:val="16"/>
              </w:rPr>
              <w:t>11.0 – 44.2</w:t>
            </w:r>
            <w:r w:rsidR="008B1EB8">
              <w:rPr>
                <w:rFonts w:ascii="Arial" w:hAnsi="Arial" w:cs="Arial"/>
                <w:sz w:val="16"/>
                <w:szCs w:val="16"/>
              </w:rPr>
              <w:t xml:space="preserve"> (27.6)</w:t>
            </w:r>
          </w:p>
        </w:tc>
        <w:tc>
          <w:tcPr>
            <w:tcW w:w="1559" w:type="dxa"/>
            <w:tcBorders>
              <w:top w:val="double" w:sz="4" w:space="0" w:color="auto"/>
            </w:tcBorders>
            <w:vAlign w:val="center"/>
          </w:tcPr>
          <w:p w14:paraId="2658A577" w14:textId="77777777" w:rsidR="003B00C0" w:rsidRDefault="003B00C0" w:rsidP="000937A5">
            <w:pPr>
              <w:spacing w:line="300" w:lineRule="atLeast"/>
              <w:jc w:val="center"/>
              <w:rPr>
                <w:rFonts w:ascii="Arial" w:hAnsi="Arial" w:cs="Arial"/>
                <w:sz w:val="16"/>
                <w:szCs w:val="16"/>
              </w:rPr>
            </w:pPr>
            <w:r>
              <w:rPr>
                <w:rFonts w:ascii="Arial" w:hAnsi="Arial" w:cs="Arial"/>
                <w:sz w:val="16"/>
                <w:szCs w:val="16"/>
              </w:rPr>
              <w:t>-</w:t>
            </w:r>
          </w:p>
        </w:tc>
        <w:tc>
          <w:tcPr>
            <w:tcW w:w="1524" w:type="dxa"/>
            <w:tcBorders>
              <w:top w:val="double" w:sz="4" w:space="0" w:color="auto"/>
            </w:tcBorders>
            <w:vAlign w:val="center"/>
          </w:tcPr>
          <w:p w14:paraId="31D09A73" w14:textId="45E60253" w:rsidR="003B00C0" w:rsidRDefault="003B00C0" w:rsidP="000937A5">
            <w:pPr>
              <w:spacing w:line="300" w:lineRule="atLeast"/>
              <w:jc w:val="center"/>
              <w:rPr>
                <w:rFonts w:ascii="Arial" w:hAnsi="Arial" w:cs="Arial"/>
                <w:sz w:val="16"/>
                <w:szCs w:val="16"/>
              </w:rPr>
            </w:pPr>
            <w:r>
              <w:rPr>
                <w:rFonts w:ascii="Arial" w:hAnsi="Arial" w:cs="Arial"/>
                <w:sz w:val="16"/>
                <w:szCs w:val="16"/>
              </w:rPr>
              <w:t>11.0 – 44.2</w:t>
            </w:r>
            <w:r w:rsidR="008B1EB8">
              <w:rPr>
                <w:rFonts w:ascii="Arial" w:hAnsi="Arial" w:cs="Arial"/>
                <w:sz w:val="16"/>
                <w:szCs w:val="16"/>
              </w:rPr>
              <w:t xml:space="preserve"> (27.6)</w:t>
            </w:r>
          </w:p>
        </w:tc>
      </w:tr>
      <w:tr w:rsidR="00254C3A" w14:paraId="00FA246E" w14:textId="77777777" w:rsidTr="00FE6C76">
        <w:tc>
          <w:tcPr>
            <w:tcW w:w="1526" w:type="dxa"/>
            <w:vAlign w:val="center"/>
          </w:tcPr>
          <w:p w14:paraId="719C7F34" w14:textId="77777777" w:rsidR="00254C3A" w:rsidRDefault="00254C3A" w:rsidP="00254C3A">
            <w:pPr>
              <w:spacing w:line="300" w:lineRule="atLeast"/>
              <w:rPr>
                <w:rFonts w:ascii="Arial" w:hAnsi="Arial" w:cs="Arial"/>
                <w:sz w:val="16"/>
                <w:szCs w:val="16"/>
              </w:rPr>
            </w:pPr>
            <w:r>
              <w:rPr>
                <w:rFonts w:ascii="Arial" w:hAnsi="Arial" w:cs="Arial"/>
                <w:sz w:val="16"/>
                <w:szCs w:val="16"/>
              </w:rPr>
              <w:t>Cemeteries, 2016</w:t>
            </w:r>
          </w:p>
        </w:tc>
        <w:tc>
          <w:tcPr>
            <w:tcW w:w="1417" w:type="dxa"/>
            <w:vAlign w:val="center"/>
          </w:tcPr>
          <w:p w14:paraId="1BC8ECBF" w14:textId="77777777" w:rsidR="00254C3A" w:rsidRDefault="00254C3A" w:rsidP="00254C3A">
            <w:pPr>
              <w:spacing w:line="300" w:lineRule="atLeast"/>
              <w:jc w:val="center"/>
              <w:rPr>
                <w:rFonts w:ascii="Arial" w:hAnsi="Arial" w:cs="Arial"/>
                <w:sz w:val="16"/>
                <w:szCs w:val="16"/>
              </w:rPr>
            </w:pPr>
            <w:r>
              <w:rPr>
                <w:rFonts w:ascii="Arial" w:hAnsi="Arial" w:cs="Arial"/>
                <w:sz w:val="16"/>
                <w:szCs w:val="16"/>
              </w:rPr>
              <w:t>11,204</w:t>
            </w:r>
          </w:p>
        </w:tc>
        <w:tc>
          <w:tcPr>
            <w:tcW w:w="1560" w:type="dxa"/>
          </w:tcPr>
          <w:p w14:paraId="062F22CC" w14:textId="77777777" w:rsidR="00254C3A" w:rsidRDefault="00254C3A" w:rsidP="00254C3A">
            <w:pPr>
              <w:spacing w:line="300" w:lineRule="atLeast"/>
              <w:jc w:val="center"/>
              <w:rPr>
                <w:rFonts w:ascii="Arial" w:hAnsi="Arial" w:cs="Arial"/>
                <w:sz w:val="16"/>
                <w:szCs w:val="16"/>
              </w:rPr>
            </w:pPr>
            <w:r>
              <w:rPr>
                <w:rFonts w:ascii="Arial" w:hAnsi="Arial" w:cs="Arial"/>
                <w:sz w:val="16"/>
                <w:szCs w:val="16"/>
              </w:rPr>
              <w:t>1 - 4</w:t>
            </w:r>
          </w:p>
        </w:tc>
        <w:tc>
          <w:tcPr>
            <w:tcW w:w="1701" w:type="dxa"/>
            <w:vAlign w:val="center"/>
          </w:tcPr>
          <w:p w14:paraId="5956A38E" w14:textId="1222D5DF" w:rsidR="00254C3A" w:rsidRDefault="00254C3A" w:rsidP="00254C3A">
            <w:pPr>
              <w:spacing w:line="300" w:lineRule="atLeast"/>
              <w:jc w:val="center"/>
              <w:rPr>
                <w:rFonts w:ascii="Arial" w:hAnsi="Arial" w:cs="Arial"/>
                <w:sz w:val="16"/>
                <w:szCs w:val="16"/>
              </w:rPr>
            </w:pPr>
            <w:r>
              <w:rPr>
                <w:rFonts w:ascii="Arial" w:hAnsi="Arial" w:cs="Arial"/>
                <w:sz w:val="16"/>
                <w:szCs w:val="16"/>
              </w:rPr>
              <w:t>11.2 – 44.8 (28.0)</w:t>
            </w:r>
          </w:p>
        </w:tc>
        <w:tc>
          <w:tcPr>
            <w:tcW w:w="1559" w:type="dxa"/>
            <w:vAlign w:val="center"/>
          </w:tcPr>
          <w:p w14:paraId="6BCD684F" w14:textId="77777777" w:rsidR="00254C3A" w:rsidRDefault="00254C3A" w:rsidP="00254C3A">
            <w:pPr>
              <w:spacing w:line="300" w:lineRule="atLeast"/>
              <w:jc w:val="center"/>
              <w:rPr>
                <w:rFonts w:ascii="Arial" w:hAnsi="Arial" w:cs="Arial"/>
                <w:sz w:val="16"/>
                <w:szCs w:val="16"/>
              </w:rPr>
            </w:pPr>
          </w:p>
        </w:tc>
        <w:tc>
          <w:tcPr>
            <w:tcW w:w="1524" w:type="dxa"/>
            <w:vAlign w:val="center"/>
          </w:tcPr>
          <w:p w14:paraId="422783DA" w14:textId="402ACF43" w:rsidR="00254C3A" w:rsidRDefault="00254C3A" w:rsidP="00254C3A">
            <w:pPr>
              <w:spacing w:line="300" w:lineRule="atLeast"/>
              <w:jc w:val="center"/>
              <w:rPr>
                <w:rFonts w:ascii="Arial" w:hAnsi="Arial" w:cs="Arial"/>
                <w:sz w:val="16"/>
                <w:szCs w:val="16"/>
              </w:rPr>
            </w:pPr>
            <w:r>
              <w:rPr>
                <w:rFonts w:ascii="Arial" w:hAnsi="Arial" w:cs="Arial"/>
                <w:sz w:val="16"/>
                <w:szCs w:val="16"/>
              </w:rPr>
              <w:t>11.2 – 44.8 (28.0)</w:t>
            </w:r>
          </w:p>
        </w:tc>
      </w:tr>
      <w:tr w:rsidR="00496F22" w14:paraId="23D4153A" w14:textId="77777777" w:rsidTr="00FE6C76">
        <w:tc>
          <w:tcPr>
            <w:tcW w:w="1526" w:type="dxa"/>
            <w:vAlign w:val="center"/>
          </w:tcPr>
          <w:p w14:paraId="5DA021F6" w14:textId="21C56C90" w:rsidR="00496F22" w:rsidRDefault="00496F22" w:rsidP="00254C3A">
            <w:pPr>
              <w:spacing w:line="300" w:lineRule="atLeast"/>
              <w:rPr>
                <w:rFonts w:ascii="Arial" w:hAnsi="Arial" w:cs="Arial"/>
                <w:sz w:val="16"/>
                <w:szCs w:val="16"/>
              </w:rPr>
            </w:pPr>
            <w:r>
              <w:rPr>
                <w:rFonts w:ascii="Arial" w:hAnsi="Arial" w:cs="Arial"/>
                <w:sz w:val="16"/>
                <w:szCs w:val="16"/>
              </w:rPr>
              <w:t>Cemet</w:t>
            </w:r>
            <w:r w:rsidR="00937F94">
              <w:rPr>
                <w:rFonts w:ascii="Arial" w:hAnsi="Arial" w:cs="Arial"/>
                <w:sz w:val="16"/>
                <w:szCs w:val="16"/>
              </w:rPr>
              <w:t>e</w:t>
            </w:r>
            <w:r>
              <w:rPr>
                <w:rFonts w:ascii="Arial" w:hAnsi="Arial" w:cs="Arial"/>
                <w:sz w:val="16"/>
                <w:szCs w:val="16"/>
              </w:rPr>
              <w:t>ries, 2020</w:t>
            </w:r>
          </w:p>
        </w:tc>
        <w:tc>
          <w:tcPr>
            <w:tcW w:w="1417" w:type="dxa"/>
            <w:vAlign w:val="center"/>
          </w:tcPr>
          <w:p w14:paraId="6343CC1B" w14:textId="1CDC52EF" w:rsidR="00496F22" w:rsidRDefault="00496F22" w:rsidP="00254C3A">
            <w:pPr>
              <w:spacing w:line="300" w:lineRule="atLeast"/>
              <w:jc w:val="center"/>
              <w:rPr>
                <w:rFonts w:ascii="Arial" w:hAnsi="Arial" w:cs="Arial"/>
                <w:sz w:val="16"/>
                <w:szCs w:val="16"/>
              </w:rPr>
            </w:pPr>
            <w:r>
              <w:rPr>
                <w:rFonts w:ascii="Arial" w:hAnsi="Arial" w:cs="Arial"/>
                <w:sz w:val="16"/>
                <w:szCs w:val="16"/>
              </w:rPr>
              <w:t>10,639</w:t>
            </w:r>
          </w:p>
        </w:tc>
        <w:tc>
          <w:tcPr>
            <w:tcW w:w="1560" w:type="dxa"/>
          </w:tcPr>
          <w:p w14:paraId="3AFA1DAC" w14:textId="0AEF3F88" w:rsidR="00496F22" w:rsidRDefault="00496F22" w:rsidP="00254C3A">
            <w:pPr>
              <w:spacing w:line="300" w:lineRule="atLeast"/>
              <w:jc w:val="center"/>
              <w:rPr>
                <w:rFonts w:ascii="Arial" w:hAnsi="Arial" w:cs="Arial"/>
                <w:sz w:val="16"/>
                <w:szCs w:val="16"/>
              </w:rPr>
            </w:pPr>
            <w:r>
              <w:rPr>
                <w:rFonts w:ascii="Arial" w:hAnsi="Arial" w:cs="Arial"/>
                <w:sz w:val="16"/>
                <w:szCs w:val="16"/>
              </w:rPr>
              <w:t>1 - 4</w:t>
            </w:r>
          </w:p>
        </w:tc>
        <w:tc>
          <w:tcPr>
            <w:tcW w:w="1701" w:type="dxa"/>
            <w:vAlign w:val="center"/>
          </w:tcPr>
          <w:p w14:paraId="28511E9C" w14:textId="1723C5B2" w:rsidR="00496F22" w:rsidRDefault="00496F22" w:rsidP="00D931A1">
            <w:pPr>
              <w:spacing w:line="300" w:lineRule="atLeast"/>
              <w:jc w:val="center"/>
              <w:rPr>
                <w:rFonts w:ascii="Arial" w:hAnsi="Arial" w:cs="Arial"/>
                <w:sz w:val="16"/>
                <w:szCs w:val="16"/>
              </w:rPr>
            </w:pPr>
            <w:r>
              <w:rPr>
                <w:rFonts w:ascii="Arial" w:hAnsi="Arial" w:cs="Arial"/>
                <w:sz w:val="16"/>
                <w:szCs w:val="16"/>
              </w:rPr>
              <w:t>10.6 – 42.6</w:t>
            </w:r>
            <w:r w:rsidR="007C5F70">
              <w:rPr>
                <w:rFonts w:ascii="Arial" w:hAnsi="Arial" w:cs="Arial"/>
                <w:sz w:val="16"/>
                <w:szCs w:val="16"/>
              </w:rPr>
              <w:t xml:space="preserve"> </w:t>
            </w:r>
            <w:r w:rsidR="00952DCF">
              <w:rPr>
                <w:rFonts w:ascii="Arial" w:hAnsi="Arial" w:cs="Arial"/>
                <w:sz w:val="16"/>
                <w:szCs w:val="16"/>
              </w:rPr>
              <w:t>(26.6)</w:t>
            </w:r>
          </w:p>
        </w:tc>
        <w:tc>
          <w:tcPr>
            <w:tcW w:w="1559" w:type="dxa"/>
            <w:vAlign w:val="center"/>
          </w:tcPr>
          <w:p w14:paraId="4B101951" w14:textId="77777777" w:rsidR="00496F22" w:rsidRDefault="00496F22" w:rsidP="00254C3A">
            <w:pPr>
              <w:spacing w:line="300" w:lineRule="atLeast"/>
              <w:jc w:val="center"/>
              <w:rPr>
                <w:rFonts w:ascii="Arial" w:hAnsi="Arial" w:cs="Arial"/>
                <w:sz w:val="16"/>
                <w:szCs w:val="16"/>
              </w:rPr>
            </w:pPr>
          </w:p>
        </w:tc>
        <w:tc>
          <w:tcPr>
            <w:tcW w:w="1524" w:type="dxa"/>
            <w:vAlign w:val="center"/>
          </w:tcPr>
          <w:p w14:paraId="43A81FAD" w14:textId="0F64498C" w:rsidR="00496F22" w:rsidRDefault="00496F22" w:rsidP="00D931A1">
            <w:pPr>
              <w:spacing w:line="300" w:lineRule="atLeast"/>
              <w:jc w:val="center"/>
              <w:rPr>
                <w:rFonts w:ascii="Arial" w:hAnsi="Arial" w:cs="Arial"/>
                <w:sz w:val="16"/>
                <w:szCs w:val="16"/>
              </w:rPr>
            </w:pPr>
            <w:r>
              <w:rPr>
                <w:rFonts w:ascii="Arial" w:hAnsi="Arial" w:cs="Arial"/>
                <w:sz w:val="16"/>
                <w:szCs w:val="16"/>
              </w:rPr>
              <w:t>10.6 – 42.6</w:t>
            </w:r>
            <w:r w:rsidR="00952DCF">
              <w:rPr>
                <w:rFonts w:ascii="Arial" w:hAnsi="Arial" w:cs="Arial"/>
                <w:sz w:val="16"/>
                <w:szCs w:val="16"/>
              </w:rPr>
              <w:t xml:space="preserve"> (26.6)</w:t>
            </w:r>
          </w:p>
        </w:tc>
      </w:tr>
      <w:tr w:rsidR="006E2FF8" w14:paraId="2A524CCD" w14:textId="77777777" w:rsidTr="00FE6C76">
        <w:tc>
          <w:tcPr>
            <w:tcW w:w="1526" w:type="dxa"/>
            <w:vAlign w:val="center"/>
          </w:tcPr>
          <w:p w14:paraId="371ACEC9" w14:textId="317658A0" w:rsidR="006E2FF8" w:rsidRDefault="006E2FF8" w:rsidP="00254C3A">
            <w:pPr>
              <w:spacing w:line="300" w:lineRule="atLeast"/>
              <w:rPr>
                <w:rFonts w:ascii="Arial" w:hAnsi="Arial" w:cs="Arial"/>
                <w:sz w:val="16"/>
                <w:szCs w:val="16"/>
              </w:rPr>
            </w:pPr>
            <w:r>
              <w:rPr>
                <w:rFonts w:ascii="Arial" w:hAnsi="Arial" w:cs="Arial"/>
                <w:sz w:val="16"/>
                <w:szCs w:val="16"/>
              </w:rPr>
              <w:t>Cemetries, 2024</w:t>
            </w:r>
          </w:p>
        </w:tc>
        <w:tc>
          <w:tcPr>
            <w:tcW w:w="1417" w:type="dxa"/>
            <w:vAlign w:val="center"/>
          </w:tcPr>
          <w:p w14:paraId="1A7BC2A6" w14:textId="57D31DFF" w:rsidR="006E2FF8" w:rsidRDefault="006E2FF8" w:rsidP="00254C3A">
            <w:pPr>
              <w:spacing w:line="300" w:lineRule="atLeast"/>
              <w:jc w:val="center"/>
              <w:rPr>
                <w:rFonts w:ascii="Arial" w:hAnsi="Arial" w:cs="Arial"/>
                <w:sz w:val="16"/>
                <w:szCs w:val="16"/>
              </w:rPr>
            </w:pPr>
            <w:r>
              <w:rPr>
                <w:rFonts w:ascii="Arial" w:hAnsi="Arial" w:cs="Arial"/>
                <w:sz w:val="16"/>
                <w:szCs w:val="16"/>
              </w:rPr>
              <w:t>11,027</w:t>
            </w:r>
          </w:p>
        </w:tc>
        <w:tc>
          <w:tcPr>
            <w:tcW w:w="1560" w:type="dxa"/>
          </w:tcPr>
          <w:p w14:paraId="18E714AD" w14:textId="75A051B8" w:rsidR="006E2FF8" w:rsidRDefault="006E2FF8" w:rsidP="00254C3A">
            <w:pPr>
              <w:spacing w:line="300" w:lineRule="atLeast"/>
              <w:jc w:val="center"/>
              <w:rPr>
                <w:rFonts w:ascii="Arial" w:hAnsi="Arial" w:cs="Arial"/>
                <w:sz w:val="16"/>
                <w:szCs w:val="16"/>
              </w:rPr>
            </w:pPr>
            <w:r>
              <w:rPr>
                <w:rFonts w:ascii="Arial" w:hAnsi="Arial" w:cs="Arial"/>
                <w:sz w:val="16"/>
                <w:szCs w:val="16"/>
              </w:rPr>
              <w:t>1 - 4</w:t>
            </w:r>
          </w:p>
        </w:tc>
        <w:tc>
          <w:tcPr>
            <w:tcW w:w="1701" w:type="dxa"/>
            <w:vAlign w:val="center"/>
          </w:tcPr>
          <w:p w14:paraId="7410F76D" w14:textId="5551CD5E" w:rsidR="006E2FF8" w:rsidRDefault="006E2FF8" w:rsidP="00D931A1">
            <w:pPr>
              <w:spacing w:line="300" w:lineRule="atLeast"/>
              <w:jc w:val="center"/>
              <w:rPr>
                <w:rFonts w:ascii="Arial" w:hAnsi="Arial" w:cs="Arial"/>
                <w:sz w:val="16"/>
                <w:szCs w:val="16"/>
              </w:rPr>
            </w:pPr>
            <w:r>
              <w:rPr>
                <w:rFonts w:ascii="Arial" w:hAnsi="Arial" w:cs="Arial"/>
                <w:sz w:val="16"/>
                <w:szCs w:val="16"/>
              </w:rPr>
              <w:t>11.0 – 44.1 (27.</w:t>
            </w:r>
            <w:r w:rsidR="00056F10">
              <w:rPr>
                <w:rFonts w:ascii="Arial" w:hAnsi="Arial" w:cs="Arial"/>
                <w:sz w:val="16"/>
                <w:szCs w:val="16"/>
              </w:rPr>
              <w:t>6</w:t>
            </w:r>
            <w:r>
              <w:rPr>
                <w:rFonts w:ascii="Arial" w:hAnsi="Arial" w:cs="Arial"/>
                <w:sz w:val="16"/>
                <w:szCs w:val="16"/>
              </w:rPr>
              <w:t>)</w:t>
            </w:r>
          </w:p>
        </w:tc>
        <w:tc>
          <w:tcPr>
            <w:tcW w:w="1559" w:type="dxa"/>
            <w:vAlign w:val="center"/>
          </w:tcPr>
          <w:p w14:paraId="49F114D9" w14:textId="77777777" w:rsidR="006E2FF8" w:rsidRDefault="006E2FF8" w:rsidP="00254C3A">
            <w:pPr>
              <w:spacing w:line="300" w:lineRule="atLeast"/>
              <w:jc w:val="center"/>
              <w:rPr>
                <w:rFonts w:ascii="Arial" w:hAnsi="Arial" w:cs="Arial"/>
                <w:sz w:val="16"/>
                <w:szCs w:val="16"/>
              </w:rPr>
            </w:pPr>
          </w:p>
        </w:tc>
        <w:tc>
          <w:tcPr>
            <w:tcW w:w="1524" w:type="dxa"/>
            <w:vAlign w:val="center"/>
          </w:tcPr>
          <w:p w14:paraId="40B9933C" w14:textId="53751859" w:rsidR="006E2FF8" w:rsidRDefault="006E2FF8" w:rsidP="00D931A1">
            <w:pPr>
              <w:spacing w:line="300" w:lineRule="atLeast"/>
              <w:jc w:val="center"/>
              <w:rPr>
                <w:rFonts w:ascii="Arial" w:hAnsi="Arial" w:cs="Arial"/>
                <w:sz w:val="16"/>
                <w:szCs w:val="16"/>
              </w:rPr>
            </w:pPr>
            <w:r>
              <w:rPr>
                <w:rFonts w:ascii="Arial" w:hAnsi="Arial" w:cs="Arial"/>
                <w:sz w:val="16"/>
                <w:szCs w:val="16"/>
              </w:rPr>
              <w:t>11.0 – 44.1 (27.</w:t>
            </w:r>
            <w:r w:rsidR="00056F10">
              <w:rPr>
                <w:rFonts w:ascii="Arial" w:hAnsi="Arial" w:cs="Arial"/>
                <w:sz w:val="16"/>
                <w:szCs w:val="16"/>
              </w:rPr>
              <w:t>6</w:t>
            </w:r>
            <w:r>
              <w:rPr>
                <w:rFonts w:ascii="Arial" w:hAnsi="Arial" w:cs="Arial"/>
                <w:sz w:val="16"/>
                <w:szCs w:val="16"/>
              </w:rPr>
              <w:t>)</w:t>
            </w:r>
          </w:p>
        </w:tc>
      </w:tr>
    </w:tbl>
    <w:p w14:paraId="580F8708" w14:textId="77777777" w:rsidR="00D931A1" w:rsidRDefault="00D931A1" w:rsidP="000937A5">
      <w:pPr>
        <w:tabs>
          <w:tab w:val="left" w:pos="2760"/>
        </w:tabs>
        <w:spacing w:before="120" w:line="300" w:lineRule="atLeast"/>
        <w:jc w:val="both"/>
        <w:rPr>
          <w:rFonts w:ascii="Arial" w:hAnsi="Arial" w:cs="Arial"/>
          <w:b/>
          <w:szCs w:val="18"/>
        </w:rPr>
      </w:pPr>
    </w:p>
    <w:p w14:paraId="586C319E" w14:textId="77777777" w:rsidR="00D931A1" w:rsidRDefault="00D931A1">
      <w:pPr>
        <w:spacing w:after="0"/>
        <w:rPr>
          <w:rFonts w:ascii="Arial" w:hAnsi="Arial" w:cs="Arial"/>
          <w:b/>
          <w:szCs w:val="18"/>
        </w:rPr>
      </w:pPr>
      <w:r>
        <w:rPr>
          <w:rFonts w:ascii="Arial" w:hAnsi="Arial" w:cs="Arial"/>
          <w:b/>
          <w:szCs w:val="18"/>
        </w:rPr>
        <w:br w:type="page"/>
      </w:r>
    </w:p>
    <w:p w14:paraId="17544876" w14:textId="66BC1485" w:rsidR="000937A5" w:rsidRPr="00BE17CF" w:rsidRDefault="000937A5" w:rsidP="000937A5">
      <w:pPr>
        <w:tabs>
          <w:tab w:val="left" w:pos="2760"/>
        </w:tabs>
        <w:spacing w:before="120" w:line="300" w:lineRule="atLeast"/>
        <w:jc w:val="both"/>
        <w:rPr>
          <w:rFonts w:ascii="Arial" w:hAnsi="Arial" w:cs="Arial"/>
          <w:b/>
          <w:szCs w:val="18"/>
        </w:rPr>
      </w:pPr>
      <w:r w:rsidRPr="00BE17CF">
        <w:rPr>
          <w:rFonts w:ascii="Arial" w:hAnsi="Arial" w:cs="Arial"/>
          <w:b/>
          <w:szCs w:val="18"/>
        </w:rPr>
        <w:t>Certainty assessment</w:t>
      </w:r>
    </w:p>
    <w:p w14:paraId="176C88B3" w14:textId="41033A3A" w:rsidR="000937A5" w:rsidRDefault="000937A5" w:rsidP="000937A5">
      <w:pPr>
        <w:tabs>
          <w:tab w:val="left" w:pos="1701"/>
        </w:tabs>
        <w:spacing w:line="300" w:lineRule="atLeast"/>
        <w:jc w:val="both"/>
        <w:rPr>
          <w:szCs w:val="18"/>
        </w:rPr>
      </w:pPr>
      <w:r>
        <w:rPr>
          <w:szCs w:val="18"/>
        </w:rPr>
        <w:t xml:space="preserve">Activity data: </w:t>
      </w:r>
      <w:r>
        <w:rPr>
          <w:szCs w:val="18"/>
        </w:rPr>
        <w:tab/>
      </w:r>
      <w:r w:rsidR="002F2C6D">
        <w:rPr>
          <w:szCs w:val="18"/>
        </w:rPr>
        <w:t>HIGH</w:t>
      </w:r>
      <w:r>
        <w:rPr>
          <w:szCs w:val="18"/>
        </w:rPr>
        <w:t xml:space="preserve"> (because it was based on </w:t>
      </w:r>
      <w:r w:rsidR="003B00C0">
        <w:rPr>
          <w:szCs w:val="18"/>
        </w:rPr>
        <w:t>national</w:t>
      </w:r>
      <w:r>
        <w:rPr>
          <w:szCs w:val="18"/>
        </w:rPr>
        <w:t xml:space="preserve"> data)</w:t>
      </w:r>
    </w:p>
    <w:p w14:paraId="39C4F1FD" w14:textId="77777777" w:rsidR="000937A5" w:rsidRDefault="000937A5" w:rsidP="000937A5">
      <w:pPr>
        <w:tabs>
          <w:tab w:val="left" w:pos="1701"/>
        </w:tabs>
        <w:spacing w:line="300" w:lineRule="atLeast"/>
        <w:jc w:val="both"/>
        <w:rPr>
          <w:szCs w:val="18"/>
        </w:rPr>
      </w:pPr>
      <w:r>
        <w:rPr>
          <w:szCs w:val="18"/>
        </w:rPr>
        <w:t xml:space="preserve">Input estimates: </w:t>
      </w:r>
      <w:r>
        <w:rPr>
          <w:szCs w:val="18"/>
        </w:rPr>
        <w:tab/>
        <w:t>LOW (</w:t>
      </w:r>
      <w:r w:rsidRPr="00944DCC">
        <w:rPr>
          <w:szCs w:val="18"/>
        </w:rPr>
        <w:t xml:space="preserve">because </w:t>
      </w:r>
      <w:r>
        <w:rPr>
          <w:szCs w:val="18"/>
        </w:rPr>
        <w:t xml:space="preserve">it was </w:t>
      </w:r>
      <w:r w:rsidR="003B00C0">
        <w:rPr>
          <w:szCs w:val="18"/>
        </w:rPr>
        <w:t>based on the Toolkit default factors</w:t>
      </w:r>
      <w:r>
        <w:rPr>
          <w:szCs w:val="18"/>
        </w:rPr>
        <w:t>)</w:t>
      </w:r>
    </w:p>
    <w:p w14:paraId="53844685" w14:textId="77777777" w:rsidR="000937A5" w:rsidRPr="0028681C" w:rsidRDefault="000937A5" w:rsidP="003B00C0">
      <w:pPr>
        <w:tabs>
          <w:tab w:val="left" w:pos="1701"/>
        </w:tabs>
        <w:spacing w:line="300" w:lineRule="atLeast"/>
        <w:ind w:left="1701" w:hanging="1701"/>
        <w:jc w:val="both"/>
        <w:rPr>
          <w:szCs w:val="18"/>
        </w:rPr>
      </w:pPr>
      <w:r>
        <w:rPr>
          <w:szCs w:val="18"/>
        </w:rPr>
        <w:t xml:space="preserve">Output estimates: </w:t>
      </w:r>
      <w:r>
        <w:rPr>
          <w:szCs w:val="18"/>
        </w:rPr>
        <w:tab/>
        <w:t>MEDIUM (</w:t>
      </w:r>
      <w:r w:rsidRPr="00944DCC">
        <w:rPr>
          <w:szCs w:val="18"/>
        </w:rPr>
        <w:t xml:space="preserve">because the </w:t>
      </w:r>
      <w:r>
        <w:rPr>
          <w:szCs w:val="18"/>
        </w:rPr>
        <w:t>air</w:t>
      </w:r>
      <w:r w:rsidR="003B00C0">
        <w:rPr>
          <w:szCs w:val="18"/>
        </w:rPr>
        <w:t>/land distribution is quite clear-cut. The only uncertainty is in the small amounts of mercury that may be present in crematoria ash</w:t>
      </w:r>
      <w:r>
        <w:rPr>
          <w:szCs w:val="18"/>
        </w:rPr>
        <w:t>).</w:t>
      </w:r>
    </w:p>
    <w:p w14:paraId="4B0BAD7C" w14:textId="77777777" w:rsidR="00784BAE" w:rsidRPr="00B136BC" w:rsidRDefault="00784BAE" w:rsidP="00784BAE">
      <w:pPr>
        <w:pStyle w:val="Heading2"/>
        <w:rPr>
          <w:rFonts w:eastAsia="Calibri"/>
        </w:rPr>
      </w:pPr>
      <w:bookmarkStart w:id="171" w:name="_Toc110355575"/>
      <w:r w:rsidRPr="00B136BC">
        <w:rPr>
          <w:rFonts w:eastAsia="Calibri"/>
        </w:rPr>
        <w:t>Summary for this category</w:t>
      </w:r>
      <w:bookmarkEnd w:id="171"/>
      <w:r w:rsidRPr="00B136BC">
        <w:rPr>
          <w:rFonts w:eastAsia="Calibri"/>
        </w:rPr>
        <w:t xml:space="preserve"> </w:t>
      </w:r>
    </w:p>
    <w:p w14:paraId="1A0B409F" w14:textId="1DBAE19F" w:rsidR="00784BAE" w:rsidRDefault="00784BAE" w:rsidP="00784BAE">
      <w:pPr>
        <w:spacing w:line="300" w:lineRule="atLeast"/>
        <w:jc w:val="both"/>
        <w:rPr>
          <w:rFonts w:eastAsia="Calibri"/>
          <w:szCs w:val="22"/>
        </w:rPr>
      </w:pPr>
      <w:r>
        <w:rPr>
          <w:rFonts w:eastAsia="Calibri"/>
          <w:szCs w:val="22"/>
        </w:rPr>
        <w:t xml:space="preserve">The estimated inputs and outputs for crematoria and cemeteries are summarised in </w:t>
      </w:r>
      <w:r w:rsidRPr="00CA5553">
        <w:rPr>
          <w:rFonts w:eastAsia="Calibri"/>
          <w:szCs w:val="22"/>
        </w:rPr>
        <w:fldChar w:fldCharType="begin"/>
      </w:r>
      <w:r w:rsidRPr="00AC3856">
        <w:rPr>
          <w:rFonts w:eastAsia="Calibri"/>
          <w:szCs w:val="22"/>
        </w:rPr>
        <w:instrText xml:space="preserve"> REF _Ref358560109 \h </w:instrText>
      </w:r>
      <w:r w:rsidR="00AC3856">
        <w:rPr>
          <w:rFonts w:eastAsia="Calibri"/>
          <w:szCs w:val="22"/>
        </w:rPr>
        <w:instrText xml:space="preserve"> \* MERGEFORMAT </w:instrText>
      </w:r>
      <w:r w:rsidRPr="00CA5553">
        <w:rPr>
          <w:rFonts w:eastAsia="Calibri"/>
          <w:szCs w:val="22"/>
        </w:rPr>
      </w:r>
      <w:r w:rsidRPr="00CA5553">
        <w:rPr>
          <w:rFonts w:eastAsia="Calibri"/>
          <w:szCs w:val="22"/>
        </w:rPr>
        <w:fldChar w:fldCharType="separate"/>
      </w:r>
      <w:r w:rsidR="00892B2D" w:rsidRPr="00892B2D">
        <w:t xml:space="preserve">Table </w:t>
      </w:r>
      <w:r w:rsidR="00892B2D" w:rsidRPr="00892B2D">
        <w:rPr>
          <w:noProof/>
        </w:rPr>
        <w:t>12</w:t>
      </w:r>
      <w:r w:rsidR="00892B2D" w:rsidRPr="00892B2D">
        <w:rPr>
          <w:noProof/>
        </w:rPr>
        <w:noBreakHyphen/>
        <w:t>3</w:t>
      </w:r>
      <w:r w:rsidRPr="00CA5553">
        <w:rPr>
          <w:rFonts w:eastAsia="Calibri"/>
          <w:szCs w:val="22"/>
        </w:rPr>
        <w:fldChar w:fldCharType="end"/>
      </w:r>
      <w:r>
        <w:rPr>
          <w:rFonts w:eastAsia="Calibri"/>
          <w:szCs w:val="22"/>
        </w:rPr>
        <w:t>.</w:t>
      </w:r>
    </w:p>
    <w:p w14:paraId="3CBACDAF" w14:textId="278F37E7" w:rsidR="00784BAE" w:rsidRPr="007901FE" w:rsidRDefault="00784BAE" w:rsidP="00784BAE">
      <w:pPr>
        <w:pStyle w:val="Caption"/>
        <w:rPr>
          <w:rFonts w:ascii="Arial" w:hAnsi="Arial" w:cs="Arial"/>
          <w:szCs w:val="18"/>
        </w:rPr>
      </w:pPr>
      <w:bookmarkStart w:id="172" w:name="_Ref358560109"/>
      <w:bookmarkStart w:id="173" w:name="_Toc110355500"/>
      <w:r w:rsidRPr="00FE6C76">
        <w:rPr>
          <w:rFonts w:ascii="Arial" w:hAnsi="Arial" w:cs="Arial"/>
        </w:rPr>
        <w:t xml:space="preserve">Table </w:t>
      </w:r>
      <w:r w:rsidR="00390C9F">
        <w:rPr>
          <w:rFonts w:ascii="Arial" w:hAnsi="Arial" w:cs="Arial"/>
        </w:rPr>
        <w:fldChar w:fldCharType="begin"/>
      </w:r>
      <w:r w:rsidR="00390C9F">
        <w:rPr>
          <w:rFonts w:ascii="Arial" w:hAnsi="Arial" w:cs="Arial"/>
        </w:rPr>
        <w:instrText xml:space="preserve"> STYLEREF 1 \s </w:instrText>
      </w:r>
      <w:r w:rsidR="00390C9F">
        <w:rPr>
          <w:rFonts w:ascii="Arial" w:hAnsi="Arial" w:cs="Arial"/>
        </w:rPr>
        <w:fldChar w:fldCharType="separate"/>
      </w:r>
      <w:r w:rsidR="00892B2D">
        <w:rPr>
          <w:rFonts w:ascii="Arial" w:hAnsi="Arial" w:cs="Arial"/>
          <w:noProof/>
        </w:rPr>
        <w:t>12</w:t>
      </w:r>
      <w:r w:rsidR="00390C9F">
        <w:rPr>
          <w:rFonts w:ascii="Arial" w:hAnsi="Arial" w:cs="Arial"/>
        </w:rPr>
        <w:fldChar w:fldCharType="end"/>
      </w:r>
      <w:r w:rsidR="00390C9F">
        <w:rPr>
          <w:rFonts w:ascii="Arial" w:hAnsi="Arial" w:cs="Arial"/>
        </w:rPr>
        <w:noBreakHyphen/>
      </w:r>
      <w:r w:rsidR="00390C9F">
        <w:rPr>
          <w:rFonts w:ascii="Arial" w:hAnsi="Arial" w:cs="Arial"/>
        </w:rPr>
        <w:fldChar w:fldCharType="begin"/>
      </w:r>
      <w:r w:rsidR="00390C9F">
        <w:rPr>
          <w:rFonts w:ascii="Arial" w:hAnsi="Arial" w:cs="Arial"/>
        </w:rPr>
        <w:instrText xml:space="preserve"> SEQ Table \* ARABIC \s 1 </w:instrText>
      </w:r>
      <w:r w:rsidR="00390C9F">
        <w:rPr>
          <w:rFonts w:ascii="Arial" w:hAnsi="Arial" w:cs="Arial"/>
        </w:rPr>
        <w:fldChar w:fldCharType="separate"/>
      </w:r>
      <w:r w:rsidR="00892B2D">
        <w:rPr>
          <w:rFonts w:ascii="Arial" w:hAnsi="Arial" w:cs="Arial"/>
          <w:noProof/>
        </w:rPr>
        <w:t>3</w:t>
      </w:r>
      <w:r w:rsidR="00390C9F">
        <w:rPr>
          <w:rFonts w:ascii="Arial" w:hAnsi="Arial" w:cs="Arial"/>
        </w:rPr>
        <w:fldChar w:fldCharType="end"/>
      </w:r>
      <w:bookmarkEnd w:id="172"/>
      <w:r w:rsidRPr="00FE6C76">
        <w:rPr>
          <w:rFonts w:ascii="Arial" w:hAnsi="Arial" w:cs="Arial"/>
        </w:rPr>
        <w:t>:</w:t>
      </w:r>
      <w:r w:rsidRPr="007901FE">
        <w:rPr>
          <w:rFonts w:ascii="Arial" w:hAnsi="Arial" w:cs="Arial"/>
        </w:rPr>
        <w:t xml:space="preserve"> Summary of inputs and o</w:t>
      </w:r>
      <w:r>
        <w:rPr>
          <w:rFonts w:ascii="Arial" w:hAnsi="Arial" w:cs="Arial"/>
        </w:rPr>
        <w:t>utputs for crematoria and cemeteries</w:t>
      </w:r>
      <w:r w:rsidR="00DD2A8C">
        <w:rPr>
          <w:rFonts w:ascii="Arial" w:hAnsi="Arial" w:cs="Arial"/>
        </w:rPr>
        <w:t xml:space="preserve"> for </w:t>
      </w:r>
      <w:r w:rsidR="00E17F2F">
        <w:rPr>
          <w:rFonts w:ascii="Arial" w:hAnsi="Arial" w:cs="Arial"/>
        </w:rPr>
        <w:t>202</w:t>
      </w:r>
      <w:r w:rsidR="00622310">
        <w:rPr>
          <w:rFonts w:ascii="Arial" w:hAnsi="Arial" w:cs="Arial"/>
        </w:rPr>
        <w:t>4</w:t>
      </w:r>
      <w:bookmarkEnd w:id="173"/>
    </w:p>
    <w:tbl>
      <w:tblPr>
        <w:tblStyle w:val="TableGrid"/>
        <w:tblW w:w="9214" w:type="dxa"/>
        <w:tblInd w:w="108" w:type="dxa"/>
        <w:tblLook w:val="04A0" w:firstRow="1" w:lastRow="0" w:firstColumn="1" w:lastColumn="0" w:noHBand="0" w:noVBand="1"/>
      </w:tblPr>
      <w:tblGrid>
        <w:gridCol w:w="1560"/>
        <w:gridCol w:w="1871"/>
        <w:gridCol w:w="1701"/>
        <w:gridCol w:w="851"/>
        <w:gridCol w:w="1559"/>
        <w:gridCol w:w="822"/>
        <w:gridCol w:w="850"/>
      </w:tblGrid>
      <w:tr w:rsidR="00784BAE" w:rsidRPr="007901FE" w14:paraId="5322DC3B" w14:textId="77777777" w:rsidTr="008F1C52">
        <w:tc>
          <w:tcPr>
            <w:tcW w:w="1560" w:type="dxa"/>
            <w:vMerge w:val="restart"/>
            <w:vAlign w:val="center"/>
          </w:tcPr>
          <w:p w14:paraId="657175B5" w14:textId="77777777" w:rsidR="00784BAE" w:rsidRPr="004E3E02" w:rsidRDefault="00784BAE" w:rsidP="00676490">
            <w:pPr>
              <w:spacing w:line="300" w:lineRule="atLeast"/>
              <w:rPr>
                <w:rFonts w:ascii="Arial" w:hAnsi="Arial" w:cs="Arial"/>
                <w:b/>
                <w:sz w:val="16"/>
                <w:szCs w:val="16"/>
              </w:rPr>
            </w:pPr>
            <w:r w:rsidRPr="004E3E02">
              <w:rPr>
                <w:rFonts w:ascii="Arial" w:hAnsi="Arial" w:cs="Arial"/>
                <w:b/>
                <w:sz w:val="16"/>
                <w:szCs w:val="16"/>
              </w:rPr>
              <w:t>Category</w:t>
            </w:r>
          </w:p>
        </w:tc>
        <w:tc>
          <w:tcPr>
            <w:tcW w:w="1871" w:type="dxa"/>
            <w:vMerge w:val="restart"/>
            <w:vAlign w:val="center"/>
          </w:tcPr>
          <w:p w14:paraId="4CBD975D" w14:textId="77777777" w:rsidR="00784BAE" w:rsidRPr="004E3E02" w:rsidRDefault="00784BAE" w:rsidP="00676490">
            <w:pPr>
              <w:spacing w:line="300" w:lineRule="atLeast"/>
              <w:jc w:val="center"/>
              <w:rPr>
                <w:rFonts w:ascii="Arial" w:hAnsi="Arial" w:cs="Arial"/>
                <w:b/>
                <w:sz w:val="16"/>
                <w:szCs w:val="16"/>
              </w:rPr>
            </w:pPr>
            <w:r w:rsidRPr="004E3E02">
              <w:rPr>
                <w:rFonts w:ascii="Arial" w:hAnsi="Arial" w:cs="Arial"/>
                <w:b/>
                <w:sz w:val="16"/>
                <w:szCs w:val="16"/>
              </w:rPr>
              <w:t>Mercury Inputs, kg/year</w:t>
            </w:r>
          </w:p>
        </w:tc>
        <w:tc>
          <w:tcPr>
            <w:tcW w:w="5783" w:type="dxa"/>
            <w:gridSpan w:val="5"/>
            <w:vAlign w:val="center"/>
          </w:tcPr>
          <w:p w14:paraId="2064B93B" w14:textId="77777777" w:rsidR="00784BAE" w:rsidRPr="004E3E02" w:rsidRDefault="00784BAE" w:rsidP="00676490">
            <w:pPr>
              <w:spacing w:line="300" w:lineRule="atLeast"/>
              <w:jc w:val="center"/>
              <w:rPr>
                <w:rFonts w:ascii="Arial" w:hAnsi="Arial" w:cs="Arial"/>
                <w:b/>
                <w:sz w:val="16"/>
                <w:szCs w:val="16"/>
              </w:rPr>
            </w:pPr>
            <w:r w:rsidRPr="004E3E02">
              <w:rPr>
                <w:rFonts w:ascii="Arial" w:hAnsi="Arial" w:cs="Arial"/>
                <w:b/>
                <w:sz w:val="16"/>
                <w:szCs w:val="16"/>
              </w:rPr>
              <w:t>Mercury Outputs, kg/yr</w:t>
            </w:r>
          </w:p>
        </w:tc>
      </w:tr>
      <w:tr w:rsidR="00784BAE" w:rsidRPr="007901FE" w14:paraId="3964A072" w14:textId="77777777" w:rsidTr="008F1C52">
        <w:tc>
          <w:tcPr>
            <w:tcW w:w="1560" w:type="dxa"/>
            <w:vMerge/>
            <w:vAlign w:val="center"/>
          </w:tcPr>
          <w:p w14:paraId="7B67AE6E" w14:textId="77777777" w:rsidR="00784BAE" w:rsidRPr="004E3E02" w:rsidRDefault="00784BAE" w:rsidP="00676490">
            <w:pPr>
              <w:spacing w:line="300" w:lineRule="atLeast"/>
              <w:rPr>
                <w:rFonts w:ascii="Arial" w:hAnsi="Arial" w:cs="Arial"/>
                <w:b/>
                <w:sz w:val="16"/>
                <w:szCs w:val="16"/>
              </w:rPr>
            </w:pPr>
          </w:p>
        </w:tc>
        <w:tc>
          <w:tcPr>
            <w:tcW w:w="1871" w:type="dxa"/>
            <w:vMerge/>
          </w:tcPr>
          <w:p w14:paraId="539B9A7C" w14:textId="77777777" w:rsidR="00784BAE" w:rsidRPr="004E3E02" w:rsidRDefault="00784BAE" w:rsidP="00676490">
            <w:pPr>
              <w:spacing w:line="300" w:lineRule="atLeast"/>
              <w:jc w:val="both"/>
              <w:rPr>
                <w:rFonts w:ascii="Arial" w:hAnsi="Arial" w:cs="Arial"/>
                <w:b/>
                <w:sz w:val="16"/>
                <w:szCs w:val="16"/>
              </w:rPr>
            </w:pPr>
          </w:p>
        </w:tc>
        <w:tc>
          <w:tcPr>
            <w:tcW w:w="1701" w:type="dxa"/>
            <w:vAlign w:val="center"/>
          </w:tcPr>
          <w:p w14:paraId="13826FE0" w14:textId="77777777" w:rsidR="00784BAE" w:rsidRPr="004E3E02" w:rsidRDefault="00784BAE" w:rsidP="00676490">
            <w:pPr>
              <w:spacing w:line="300" w:lineRule="atLeast"/>
              <w:jc w:val="center"/>
              <w:rPr>
                <w:rFonts w:ascii="Arial" w:hAnsi="Arial" w:cs="Arial"/>
                <w:b/>
                <w:sz w:val="16"/>
                <w:szCs w:val="16"/>
              </w:rPr>
            </w:pPr>
            <w:r w:rsidRPr="004E3E02">
              <w:rPr>
                <w:rFonts w:ascii="Arial" w:hAnsi="Arial" w:cs="Arial"/>
                <w:b/>
                <w:sz w:val="16"/>
                <w:szCs w:val="16"/>
              </w:rPr>
              <w:t>Air</w:t>
            </w:r>
          </w:p>
        </w:tc>
        <w:tc>
          <w:tcPr>
            <w:tcW w:w="851" w:type="dxa"/>
            <w:vAlign w:val="center"/>
          </w:tcPr>
          <w:p w14:paraId="0E0A9C46" w14:textId="77777777" w:rsidR="00784BAE" w:rsidRPr="004E3E02" w:rsidRDefault="00784BAE" w:rsidP="00676490">
            <w:pPr>
              <w:spacing w:line="300" w:lineRule="atLeast"/>
              <w:jc w:val="center"/>
              <w:rPr>
                <w:rFonts w:ascii="Arial" w:hAnsi="Arial" w:cs="Arial"/>
                <w:b/>
                <w:sz w:val="16"/>
                <w:szCs w:val="16"/>
              </w:rPr>
            </w:pPr>
            <w:r w:rsidRPr="004E3E02">
              <w:rPr>
                <w:rFonts w:ascii="Arial" w:hAnsi="Arial" w:cs="Arial"/>
                <w:b/>
                <w:sz w:val="16"/>
                <w:szCs w:val="16"/>
              </w:rPr>
              <w:t>Water</w:t>
            </w:r>
          </w:p>
        </w:tc>
        <w:tc>
          <w:tcPr>
            <w:tcW w:w="1559" w:type="dxa"/>
            <w:vAlign w:val="center"/>
          </w:tcPr>
          <w:p w14:paraId="4819F03D" w14:textId="77777777" w:rsidR="00784BAE" w:rsidRPr="004E3E02" w:rsidRDefault="00784BAE" w:rsidP="00676490">
            <w:pPr>
              <w:spacing w:line="300" w:lineRule="atLeast"/>
              <w:jc w:val="center"/>
              <w:rPr>
                <w:rFonts w:ascii="Arial" w:hAnsi="Arial" w:cs="Arial"/>
                <w:b/>
                <w:sz w:val="16"/>
                <w:szCs w:val="16"/>
              </w:rPr>
            </w:pPr>
            <w:r w:rsidRPr="004E3E02">
              <w:rPr>
                <w:rFonts w:ascii="Arial" w:hAnsi="Arial" w:cs="Arial"/>
                <w:b/>
                <w:sz w:val="16"/>
                <w:szCs w:val="16"/>
              </w:rPr>
              <w:t>Land</w:t>
            </w:r>
          </w:p>
        </w:tc>
        <w:tc>
          <w:tcPr>
            <w:tcW w:w="822" w:type="dxa"/>
            <w:vAlign w:val="center"/>
          </w:tcPr>
          <w:p w14:paraId="26222097" w14:textId="77777777" w:rsidR="00784BAE" w:rsidRPr="004E3E02" w:rsidRDefault="00784BAE" w:rsidP="00676490">
            <w:pPr>
              <w:spacing w:line="300" w:lineRule="atLeast"/>
              <w:jc w:val="center"/>
              <w:rPr>
                <w:rFonts w:ascii="Arial" w:hAnsi="Arial" w:cs="Arial"/>
                <w:b/>
                <w:sz w:val="16"/>
                <w:szCs w:val="16"/>
              </w:rPr>
            </w:pPr>
            <w:r w:rsidRPr="004E3E02">
              <w:rPr>
                <w:rFonts w:ascii="Arial" w:hAnsi="Arial" w:cs="Arial"/>
                <w:b/>
                <w:sz w:val="16"/>
                <w:szCs w:val="16"/>
              </w:rPr>
              <w:t>Product</w:t>
            </w:r>
          </w:p>
        </w:tc>
        <w:tc>
          <w:tcPr>
            <w:tcW w:w="850" w:type="dxa"/>
            <w:vAlign w:val="center"/>
          </w:tcPr>
          <w:p w14:paraId="0648FED3" w14:textId="77777777" w:rsidR="00784BAE" w:rsidRPr="004E3E02" w:rsidRDefault="00784BAE" w:rsidP="00676490">
            <w:pPr>
              <w:spacing w:line="300" w:lineRule="atLeast"/>
              <w:jc w:val="center"/>
              <w:rPr>
                <w:rFonts w:ascii="Arial" w:hAnsi="Arial" w:cs="Arial"/>
                <w:b/>
                <w:sz w:val="16"/>
                <w:szCs w:val="16"/>
              </w:rPr>
            </w:pPr>
            <w:r w:rsidRPr="004E3E02">
              <w:rPr>
                <w:rFonts w:ascii="Arial" w:hAnsi="Arial" w:cs="Arial"/>
                <w:b/>
                <w:sz w:val="16"/>
                <w:szCs w:val="16"/>
              </w:rPr>
              <w:t>Waste</w:t>
            </w:r>
          </w:p>
        </w:tc>
      </w:tr>
      <w:tr w:rsidR="00254C3A" w:rsidRPr="007901FE" w14:paraId="5B2428EC" w14:textId="77777777" w:rsidTr="008F1C52">
        <w:tc>
          <w:tcPr>
            <w:tcW w:w="1560" w:type="dxa"/>
            <w:vAlign w:val="center"/>
          </w:tcPr>
          <w:p w14:paraId="646C0D4E" w14:textId="77777777" w:rsidR="00254C3A" w:rsidRPr="004901F2" w:rsidRDefault="00254C3A" w:rsidP="00254C3A">
            <w:pPr>
              <w:spacing w:line="300" w:lineRule="atLeast"/>
              <w:rPr>
                <w:rFonts w:ascii="Arial" w:hAnsi="Arial" w:cs="Arial"/>
                <w:sz w:val="16"/>
                <w:szCs w:val="16"/>
              </w:rPr>
            </w:pPr>
            <w:r>
              <w:rPr>
                <w:rFonts w:ascii="Arial" w:hAnsi="Arial" w:cs="Arial"/>
                <w:sz w:val="16"/>
                <w:szCs w:val="16"/>
              </w:rPr>
              <w:t>Crematoria</w:t>
            </w:r>
          </w:p>
        </w:tc>
        <w:tc>
          <w:tcPr>
            <w:tcW w:w="1871" w:type="dxa"/>
            <w:vAlign w:val="center"/>
          </w:tcPr>
          <w:p w14:paraId="204745A6" w14:textId="3E81B3F7" w:rsidR="00254C3A" w:rsidRDefault="006E2FF8" w:rsidP="005F6C50">
            <w:pPr>
              <w:spacing w:line="300" w:lineRule="atLeast"/>
              <w:jc w:val="center"/>
            </w:pPr>
            <w:r>
              <w:rPr>
                <w:rFonts w:ascii="Arial" w:hAnsi="Arial" w:cs="Arial"/>
                <w:sz w:val="16"/>
                <w:szCs w:val="16"/>
              </w:rPr>
              <w:t>25.4 – 101.7 (63.</w:t>
            </w:r>
            <w:r w:rsidR="00056F10">
              <w:rPr>
                <w:rFonts w:ascii="Arial" w:hAnsi="Arial" w:cs="Arial"/>
                <w:sz w:val="16"/>
                <w:szCs w:val="16"/>
              </w:rPr>
              <w:t>6</w:t>
            </w:r>
            <w:r>
              <w:rPr>
                <w:rFonts w:ascii="Arial" w:hAnsi="Arial" w:cs="Arial"/>
                <w:sz w:val="16"/>
                <w:szCs w:val="16"/>
              </w:rPr>
              <w:t>)</w:t>
            </w:r>
          </w:p>
        </w:tc>
        <w:tc>
          <w:tcPr>
            <w:tcW w:w="1701" w:type="dxa"/>
            <w:vAlign w:val="center"/>
          </w:tcPr>
          <w:p w14:paraId="6947C2C0" w14:textId="08046749" w:rsidR="00254C3A" w:rsidRDefault="006E2FF8" w:rsidP="005F6C50">
            <w:pPr>
              <w:spacing w:line="300" w:lineRule="atLeast"/>
              <w:jc w:val="center"/>
            </w:pPr>
            <w:r>
              <w:rPr>
                <w:rFonts w:ascii="Arial" w:hAnsi="Arial" w:cs="Arial"/>
                <w:sz w:val="16"/>
                <w:szCs w:val="16"/>
              </w:rPr>
              <w:t>25.4 – 101.7</w:t>
            </w:r>
            <w:r w:rsidR="00056F10">
              <w:rPr>
                <w:rFonts w:ascii="Arial" w:hAnsi="Arial" w:cs="Arial"/>
                <w:sz w:val="16"/>
                <w:szCs w:val="16"/>
              </w:rPr>
              <w:t xml:space="preserve"> </w:t>
            </w:r>
            <w:r>
              <w:rPr>
                <w:rFonts w:ascii="Arial" w:hAnsi="Arial" w:cs="Arial"/>
                <w:sz w:val="16"/>
                <w:szCs w:val="16"/>
              </w:rPr>
              <w:t>(63.</w:t>
            </w:r>
            <w:r w:rsidR="00056F10">
              <w:rPr>
                <w:rFonts w:ascii="Arial" w:hAnsi="Arial" w:cs="Arial"/>
                <w:sz w:val="16"/>
                <w:szCs w:val="16"/>
              </w:rPr>
              <w:t>6</w:t>
            </w:r>
            <w:r>
              <w:rPr>
                <w:rFonts w:ascii="Arial" w:hAnsi="Arial" w:cs="Arial"/>
                <w:sz w:val="16"/>
                <w:szCs w:val="16"/>
              </w:rPr>
              <w:t>)</w:t>
            </w:r>
          </w:p>
        </w:tc>
        <w:tc>
          <w:tcPr>
            <w:tcW w:w="851" w:type="dxa"/>
            <w:vAlign w:val="center"/>
          </w:tcPr>
          <w:p w14:paraId="01072A9A" w14:textId="77777777" w:rsidR="00254C3A" w:rsidRPr="00F31685" w:rsidRDefault="00254C3A" w:rsidP="00254C3A">
            <w:pPr>
              <w:spacing w:line="300" w:lineRule="atLeast"/>
              <w:jc w:val="center"/>
              <w:rPr>
                <w:rFonts w:ascii="Arial" w:hAnsi="Arial" w:cs="Arial"/>
                <w:sz w:val="16"/>
                <w:szCs w:val="16"/>
              </w:rPr>
            </w:pPr>
            <w:r>
              <w:rPr>
                <w:rFonts w:ascii="Arial" w:hAnsi="Arial" w:cs="Arial"/>
                <w:sz w:val="16"/>
                <w:szCs w:val="16"/>
              </w:rPr>
              <w:t>-</w:t>
            </w:r>
          </w:p>
        </w:tc>
        <w:tc>
          <w:tcPr>
            <w:tcW w:w="1559" w:type="dxa"/>
            <w:vAlign w:val="center"/>
          </w:tcPr>
          <w:p w14:paraId="0AFA0A2D" w14:textId="77777777" w:rsidR="00254C3A" w:rsidRPr="004E3E02" w:rsidRDefault="00254C3A" w:rsidP="00254C3A">
            <w:pPr>
              <w:spacing w:line="300" w:lineRule="atLeast"/>
              <w:jc w:val="center"/>
              <w:rPr>
                <w:rFonts w:ascii="Arial" w:hAnsi="Arial" w:cs="Arial"/>
                <w:sz w:val="16"/>
                <w:szCs w:val="16"/>
              </w:rPr>
            </w:pPr>
            <w:r>
              <w:rPr>
                <w:rFonts w:ascii="Arial" w:hAnsi="Arial" w:cs="Arial"/>
                <w:sz w:val="16"/>
                <w:szCs w:val="16"/>
              </w:rPr>
              <w:t>-</w:t>
            </w:r>
          </w:p>
        </w:tc>
        <w:tc>
          <w:tcPr>
            <w:tcW w:w="822" w:type="dxa"/>
            <w:vAlign w:val="center"/>
          </w:tcPr>
          <w:p w14:paraId="3565049D" w14:textId="77777777" w:rsidR="00254C3A" w:rsidRPr="004E3E02" w:rsidRDefault="00254C3A" w:rsidP="00254C3A">
            <w:pPr>
              <w:spacing w:line="300" w:lineRule="atLeast"/>
              <w:jc w:val="center"/>
              <w:rPr>
                <w:rFonts w:ascii="Arial" w:hAnsi="Arial" w:cs="Arial"/>
                <w:sz w:val="16"/>
                <w:szCs w:val="16"/>
              </w:rPr>
            </w:pPr>
            <w:r>
              <w:rPr>
                <w:rFonts w:ascii="Arial" w:hAnsi="Arial" w:cs="Arial"/>
                <w:sz w:val="16"/>
                <w:szCs w:val="16"/>
              </w:rPr>
              <w:t>-</w:t>
            </w:r>
          </w:p>
        </w:tc>
        <w:tc>
          <w:tcPr>
            <w:tcW w:w="850" w:type="dxa"/>
            <w:vAlign w:val="center"/>
          </w:tcPr>
          <w:p w14:paraId="7F6EDD13" w14:textId="77777777" w:rsidR="00254C3A" w:rsidRPr="004E3E02" w:rsidRDefault="00254C3A" w:rsidP="00254C3A">
            <w:pPr>
              <w:spacing w:line="300" w:lineRule="atLeast"/>
              <w:jc w:val="center"/>
              <w:rPr>
                <w:rFonts w:ascii="Arial" w:hAnsi="Arial" w:cs="Arial"/>
                <w:sz w:val="16"/>
                <w:szCs w:val="16"/>
              </w:rPr>
            </w:pPr>
            <w:r>
              <w:rPr>
                <w:rFonts w:ascii="Arial" w:hAnsi="Arial" w:cs="Arial"/>
                <w:sz w:val="16"/>
                <w:szCs w:val="16"/>
              </w:rPr>
              <w:t>-</w:t>
            </w:r>
          </w:p>
        </w:tc>
      </w:tr>
      <w:tr w:rsidR="003B00C0" w:rsidRPr="007901FE" w14:paraId="1C1308EE" w14:textId="77777777" w:rsidTr="008F1C52">
        <w:tc>
          <w:tcPr>
            <w:tcW w:w="1560" w:type="dxa"/>
            <w:vAlign w:val="center"/>
          </w:tcPr>
          <w:p w14:paraId="1542CBDD" w14:textId="77777777" w:rsidR="003B00C0" w:rsidRPr="004901F2" w:rsidRDefault="003B00C0" w:rsidP="00676490">
            <w:pPr>
              <w:spacing w:before="40" w:after="40" w:line="300" w:lineRule="atLeast"/>
              <w:rPr>
                <w:rFonts w:ascii="Arial" w:hAnsi="Arial" w:cs="Arial"/>
                <w:sz w:val="16"/>
                <w:szCs w:val="16"/>
              </w:rPr>
            </w:pPr>
            <w:r>
              <w:rPr>
                <w:rFonts w:ascii="Arial" w:hAnsi="Arial" w:cs="Arial"/>
                <w:sz w:val="16"/>
                <w:szCs w:val="16"/>
              </w:rPr>
              <w:t>Cemeteries</w:t>
            </w:r>
          </w:p>
        </w:tc>
        <w:tc>
          <w:tcPr>
            <w:tcW w:w="1871" w:type="dxa"/>
            <w:vAlign w:val="center"/>
          </w:tcPr>
          <w:p w14:paraId="3E93A6DD" w14:textId="52762372" w:rsidR="003B00C0" w:rsidRDefault="006E2FF8" w:rsidP="009F5AB4">
            <w:pPr>
              <w:spacing w:line="300" w:lineRule="atLeast"/>
              <w:jc w:val="center"/>
              <w:rPr>
                <w:rFonts w:ascii="Arial" w:hAnsi="Arial" w:cs="Arial"/>
                <w:sz w:val="16"/>
                <w:szCs w:val="16"/>
              </w:rPr>
            </w:pPr>
            <w:r>
              <w:rPr>
                <w:rFonts w:ascii="Arial" w:hAnsi="Arial" w:cs="Arial"/>
                <w:sz w:val="16"/>
                <w:szCs w:val="16"/>
              </w:rPr>
              <w:t>11.0 – 44.1 (27.</w:t>
            </w:r>
            <w:r w:rsidR="00056F10">
              <w:rPr>
                <w:rFonts w:ascii="Arial" w:hAnsi="Arial" w:cs="Arial"/>
                <w:sz w:val="16"/>
                <w:szCs w:val="16"/>
              </w:rPr>
              <w:t>6</w:t>
            </w:r>
            <w:r>
              <w:rPr>
                <w:rFonts w:ascii="Arial" w:hAnsi="Arial" w:cs="Arial"/>
                <w:sz w:val="16"/>
                <w:szCs w:val="16"/>
              </w:rPr>
              <w:t>)</w:t>
            </w:r>
          </w:p>
        </w:tc>
        <w:tc>
          <w:tcPr>
            <w:tcW w:w="1701" w:type="dxa"/>
            <w:vAlign w:val="center"/>
          </w:tcPr>
          <w:p w14:paraId="4175545C" w14:textId="77777777" w:rsidR="003B00C0" w:rsidRDefault="003B00C0" w:rsidP="009F5AB4">
            <w:pPr>
              <w:spacing w:line="300" w:lineRule="atLeast"/>
              <w:jc w:val="center"/>
              <w:rPr>
                <w:rFonts w:ascii="Arial" w:hAnsi="Arial" w:cs="Arial"/>
                <w:sz w:val="16"/>
                <w:szCs w:val="16"/>
              </w:rPr>
            </w:pPr>
            <w:r>
              <w:rPr>
                <w:rFonts w:ascii="Arial" w:hAnsi="Arial" w:cs="Arial"/>
                <w:sz w:val="16"/>
                <w:szCs w:val="16"/>
              </w:rPr>
              <w:t>-</w:t>
            </w:r>
          </w:p>
        </w:tc>
        <w:tc>
          <w:tcPr>
            <w:tcW w:w="851" w:type="dxa"/>
            <w:vAlign w:val="center"/>
          </w:tcPr>
          <w:p w14:paraId="4D3232B9" w14:textId="77777777" w:rsidR="003B00C0" w:rsidRDefault="003B00C0" w:rsidP="009F5AB4">
            <w:pPr>
              <w:spacing w:line="300" w:lineRule="atLeast"/>
              <w:jc w:val="center"/>
              <w:rPr>
                <w:rFonts w:ascii="Arial" w:hAnsi="Arial" w:cs="Arial"/>
                <w:sz w:val="16"/>
                <w:szCs w:val="16"/>
              </w:rPr>
            </w:pPr>
            <w:r>
              <w:rPr>
                <w:rFonts w:ascii="Arial" w:hAnsi="Arial" w:cs="Arial"/>
                <w:sz w:val="16"/>
                <w:szCs w:val="16"/>
              </w:rPr>
              <w:t>-</w:t>
            </w:r>
          </w:p>
        </w:tc>
        <w:tc>
          <w:tcPr>
            <w:tcW w:w="1559" w:type="dxa"/>
            <w:vAlign w:val="center"/>
          </w:tcPr>
          <w:p w14:paraId="19D0D33A" w14:textId="4925E8A0" w:rsidR="003B00C0" w:rsidRPr="004E3E02" w:rsidRDefault="006E2FF8" w:rsidP="00826087">
            <w:pPr>
              <w:spacing w:line="300" w:lineRule="atLeast"/>
              <w:jc w:val="center"/>
              <w:rPr>
                <w:rFonts w:ascii="Arial" w:hAnsi="Arial" w:cs="Arial"/>
                <w:sz w:val="16"/>
                <w:szCs w:val="16"/>
              </w:rPr>
            </w:pPr>
            <w:r>
              <w:rPr>
                <w:rFonts w:ascii="Arial" w:hAnsi="Arial" w:cs="Arial"/>
                <w:sz w:val="16"/>
                <w:szCs w:val="16"/>
              </w:rPr>
              <w:t>11.0 – 44.1 (27.</w:t>
            </w:r>
            <w:r w:rsidR="00056F10">
              <w:rPr>
                <w:rFonts w:ascii="Arial" w:hAnsi="Arial" w:cs="Arial"/>
                <w:sz w:val="16"/>
                <w:szCs w:val="16"/>
              </w:rPr>
              <w:t>6</w:t>
            </w:r>
            <w:r>
              <w:rPr>
                <w:rFonts w:ascii="Arial" w:hAnsi="Arial" w:cs="Arial"/>
                <w:sz w:val="16"/>
                <w:szCs w:val="16"/>
              </w:rPr>
              <w:t>)</w:t>
            </w:r>
          </w:p>
        </w:tc>
        <w:tc>
          <w:tcPr>
            <w:tcW w:w="822" w:type="dxa"/>
            <w:vAlign w:val="center"/>
          </w:tcPr>
          <w:p w14:paraId="7B4420BF" w14:textId="77777777" w:rsidR="003B00C0" w:rsidRPr="004E3E02" w:rsidRDefault="003B00C0" w:rsidP="00676490">
            <w:pPr>
              <w:spacing w:line="300" w:lineRule="atLeast"/>
              <w:jc w:val="center"/>
              <w:rPr>
                <w:rFonts w:ascii="Arial" w:hAnsi="Arial" w:cs="Arial"/>
                <w:sz w:val="16"/>
                <w:szCs w:val="16"/>
              </w:rPr>
            </w:pPr>
            <w:r>
              <w:rPr>
                <w:rFonts w:ascii="Arial" w:hAnsi="Arial" w:cs="Arial"/>
                <w:sz w:val="16"/>
                <w:szCs w:val="16"/>
              </w:rPr>
              <w:t>-</w:t>
            </w:r>
          </w:p>
        </w:tc>
        <w:tc>
          <w:tcPr>
            <w:tcW w:w="850" w:type="dxa"/>
            <w:vAlign w:val="center"/>
          </w:tcPr>
          <w:p w14:paraId="7FA946EE" w14:textId="77777777" w:rsidR="003B00C0" w:rsidRPr="004E3E02" w:rsidRDefault="003B00C0" w:rsidP="00676490">
            <w:pPr>
              <w:spacing w:line="300" w:lineRule="atLeast"/>
              <w:jc w:val="center"/>
              <w:rPr>
                <w:rFonts w:ascii="Arial" w:hAnsi="Arial" w:cs="Arial"/>
                <w:sz w:val="16"/>
                <w:szCs w:val="16"/>
              </w:rPr>
            </w:pPr>
            <w:r>
              <w:rPr>
                <w:rFonts w:ascii="Arial" w:hAnsi="Arial" w:cs="Arial"/>
                <w:sz w:val="16"/>
                <w:szCs w:val="16"/>
              </w:rPr>
              <w:t>-</w:t>
            </w:r>
          </w:p>
        </w:tc>
      </w:tr>
      <w:tr w:rsidR="00784BAE" w:rsidRPr="007901FE" w14:paraId="2AD1E2B8" w14:textId="77777777" w:rsidTr="008F1C52">
        <w:tc>
          <w:tcPr>
            <w:tcW w:w="1560" w:type="dxa"/>
          </w:tcPr>
          <w:p w14:paraId="214A5EAA" w14:textId="77777777" w:rsidR="00784BAE" w:rsidRPr="004E3E02" w:rsidRDefault="00784BAE" w:rsidP="00676490">
            <w:pPr>
              <w:spacing w:line="300" w:lineRule="atLeast"/>
              <w:jc w:val="both"/>
              <w:rPr>
                <w:rFonts w:ascii="Arial" w:hAnsi="Arial" w:cs="Arial"/>
                <w:b/>
                <w:sz w:val="16"/>
                <w:szCs w:val="16"/>
              </w:rPr>
            </w:pPr>
            <w:r w:rsidRPr="004E3E02">
              <w:rPr>
                <w:rFonts w:ascii="Arial" w:hAnsi="Arial" w:cs="Arial"/>
                <w:b/>
                <w:sz w:val="16"/>
                <w:szCs w:val="16"/>
              </w:rPr>
              <w:t>Totals</w:t>
            </w:r>
          </w:p>
        </w:tc>
        <w:tc>
          <w:tcPr>
            <w:tcW w:w="1871" w:type="dxa"/>
            <w:vAlign w:val="center"/>
          </w:tcPr>
          <w:p w14:paraId="3D1E6F2F" w14:textId="60CDF6F4" w:rsidR="00784BAE" w:rsidRPr="004E3E02" w:rsidRDefault="006E2FF8" w:rsidP="00254C3A">
            <w:pPr>
              <w:spacing w:line="300" w:lineRule="atLeast"/>
              <w:jc w:val="center"/>
              <w:rPr>
                <w:rFonts w:ascii="Arial" w:hAnsi="Arial" w:cs="Arial"/>
                <w:b/>
                <w:sz w:val="16"/>
                <w:szCs w:val="16"/>
              </w:rPr>
            </w:pPr>
            <w:r>
              <w:rPr>
                <w:rFonts w:ascii="Arial" w:hAnsi="Arial" w:cs="Arial"/>
                <w:b/>
                <w:sz w:val="16"/>
                <w:szCs w:val="16"/>
              </w:rPr>
              <w:t>36.</w:t>
            </w:r>
            <w:r w:rsidR="00056F10">
              <w:rPr>
                <w:rFonts w:ascii="Arial" w:hAnsi="Arial" w:cs="Arial"/>
                <w:b/>
                <w:sz w:val="16"/>
                <w:szCs w:val="16"/>
              </w:rPr>
              <w:t>5</w:t>
            </w:r>
            <w:r w:rsidR="00836431">
              <w:rPr>
                <w:rFonts w:ascii="Arial" w:hAnsi="Arial" w:cs="Arial"/>
                <w:b/>
                <w:sz w:val="16"/>
                <w:szCs w:val="16"/>
              </w:rPr>
              <w:t xml:space="preserve"> – </w:t>
            </w:r>
            <w:r>
              <w:rPr>
                <w:rFonts w:ascii="Arial" w:hAnsi="Arial" w:cs="Arial"/>
                <w:b/>
                <w:sz w:val="16"/>
                <w:szCs w:val="16"/>
              </w:rPr>
              <w:t>14</w:t>
            </w:r>
            <w:r w:rsidR="00056F10">
              <w:rPr>
                <w:rFonts w:ascii="Arial" w:hAnsi="Arial" w:cs="Arial"/>
                <w:b/>
                <w:sz w:val="16"/>
                <w:szCs w:val="16"/>
              </w:rPr>
              <w:t>6</w:t>
            </w:r>
            <w:r w:rsidR="008F1C52">
              <w:rPr>
                <w:rFonts w:ascii="Arial" w:hAnsi="Arial" w:cs="Arial"/>
                <w:b/>
                <w:sz w:val="16"/>
                <w:szCs w:val="16"/>
              </w:rPr>
              <w:t xml:space="preserve"> </w:t>
            </w:r>
            <w:r w:rsidR="00254C3A">
              <w:rPr>
                <w:rFonts w:ascii="Arial" w:hAnsi="Arial" w:cs="Arial"/>
                <w:b/>
                <w:sz w:val="16"/>
                <w:szCs w:val="16"/>
              </w:rPr>
              <w:t>(</w:t>
            </w:r>
            <w:r>
              <w:rPr>
                <w:rFonts w:ascii="Arial" w:hAnsi="Arial" w:cs="Arial"/>
                <w:b/>
                <w:sz w:val="16"/>
                <w:szCs w:val="16"/>
              </w:rPr>
              <w:t>91.</w:t>
            </w:r>
            <w:r w:rsidR="00056F10">
              <w:rPr>
                <w:rFonts w:ascii="Arial" w:hAnsi="Arial" w:cs="Arial"/>
                <w:b/>
                <w:sz w:val="16"/>
                <w:szCs w:val="16"/>
              </w:rPr>
              <w:t>2</w:t>
            </w:r>
            <w:r w:rsidR="008B1EB8">
              <w:rPr>
                <w:rFonts w:ascii="Arial" w:hAnsi="Arial" w:cs="Arial"/>
                <w:b/>
                <w:sz w:val="16"/>
                <w:szCs w:val="16"/>
              </w:rPr>
              <w:t>)</w:t>
            </w:r>
          </w:p>
        </w:tc>
        <w:tc>
          <w:tcPr>
            <w:tcW w:w="1701" w:type="dxa"/>
            <w:vAlign w:val="center"/>
          </w:tcPr>
          <w:p w14:paraId="539C263B" w14:textId="2B68EB3C" w:rsidR="00784BAE" w:rsidRPr="00254C3A" w:rsidRDefault="006E2FF8" w:rsidP="00676490">
            <w:pPr>
              <w:spacing w:line="300" w:lineRule="atLeast"/>
              <w:jc w:val="center"/>
              <w:rPr>
                <w:rFonts w:ascii="Arial" w:hAnsi="Arial" w:cs="Arial"/>
                <w:b/>
                <w:sz w:val="16"/>
                <w:szCs w:val="16"/>
              </w:rPr>
            </w:pPr>
            <w:r>
              <w:rPr>
                <w:rFonts w:ascii="Arial" w:hAnsi="Arial" w:cs="Arial"/>
                <w:sz w:val="16"/>
                <w:szCs w:val="16"/>
              </w:rPr>
              <w:t>25.4 – 10</w:t>
            </w:r>
            <w:r w:rsidR="00056F10">
              <w:rPr>
                <w:rFonts w:ascii="Arial" w:hAnsi="Arial" w:cs="Arial"/>
                <w:sz w:val="16"/>
                <w:szCs w:val="16"/>
              </w:rPr>
              <w:t xml:space="preserve">2 </w:t>
            </w:r>
            <w:r>
              <w:rPr>
                <w:rFonts w:ascii="Arial" w:hAnsi="Arial" w:cs="Arial"/>
                <w:sz w:val="16"/>
                <w:szCs w:val="16"/>
              </w:rPr>
              <w:t>(63.</w:t>
            </w:r>
            <w:r w:rsidR="00056F10">
              <w:rPr>
                <w:rFonts w:ascii="Arial" w:hAnsi="Arial" w:cs="Arial"/>
                <w:sz w:val="16"/>
                <w:szCs w:val="16"/>
              </w:rPr>
              <w:t>6</w:t>
            </w:r>
            <w:r>
              <w:rPr>
                <w:rFonts w:ascii="Arial" w:hAnsi="Arial" w:cs="Arial"/>
                <w:sz w:val="16"/>
                <w:szCs w:val="16"/>
              </w:rPr>
              <w:t>)</w:t>
            </w:r>
          </w:p>
        </w:tc>
        <w:tc>
          <w:tcPr>
            <w:tcW w:w="851" w:type="dxa"/>
            <w:vAlign w:val="center"/>
          </w:tcPr>
          <w:p w14:paraId="28737C34" w14:textId="77777777" w:rsidR="00784BAE" w:rsidRPr="004E3E02" w:rsidRDefault="00784BAE" w:rsidP="00676490">
            <w:pPr>
              <w:spacing w:line="300" w:lineRule="atLeast"/>
              <w:jc w:val="center"/>
              <w:rPr>
                <w:rFonts w:ascii="Arial" w:hAnsi="Arial" w:cs="Arial"/>
                <w:b/>
                <w:sz w:val="16"/>
                <w:szCs w:val="16"/>
              </w:rPr>
            </w:pPr>
            <w:r>
              <w:rPr>
                <w:rFonts w:ascii="Arial" w:hAnsi="Arial" w:cs="Arial"/>
                <w:b/>
                <w:sz w:val="16"/>
                <w:szCs w:val="16"/>
              </w:rPr>
              <w:t>-</w:t>
            </w:r>
          </w:p>
        </w:tc>
        <w:tc>
          <w:tcPr>
            <w:tcW w:w="1559" w:type="dxa"/>
            <w:vAlign w:val="center"/>
          </w:tcPr>
          <w:p w14:paraId="71709767" w14:textId="3A8535DB" w:rsidR="00784BAE" w:rsidRPr="00254C3A" w:rsidRDefault="006E2FF8" w:rsidP="00676490">
            <w:pPr>
              <w:spacing w:line="300" w:lineRule="atLeast"/>
              <w:jc w:val="center"/>
              <w:rPr>
                <w:rFonts w:ascii="Arial" w:hAnsi="Arial" w:cs="Arial"/>
                <w:b/>
                <w:sz w:val="16"/>
                <w:szCs w:val="16"/>
              </w:rPr>
            </w:pPr>
            <w:r>
              <w:rPr>
                <w:rFonts w:ascii="Arial" w:hAnsi="Arial" w:cs="Arial"/>
                <w:sz w:val="16"/>
                <w:szCs w:val="16"/>
              </w:rPr>
              <w:t>11.0 – 44.1</w:t>
            </w:r>
            <w:r w:rsidR="00056F10">
              <w:rPr>
                <w:rFonts w:ascii="Arial" w:hAnsi="Arial" w:cs="Arial"/>
                <w:sz w:val="16"/>
                <w:szCs w:val="16"/>
              </w:rPr>
              <w:t xml:space="preserve"> </w:t>
            </w:r>
            <w:r>
              <w:rPr>
                <w:rFonts w:ascii="Arial" w:hAnsi="Arial" w:cs="Arial"/>
                <w:sz w:val="16"/>
                <w:szCs w:val="16"/>
              </w:rPr>
              <w:t>(27.</w:t>
            </w:r>
            <w:r w:rsidR="00056F10">
              <w:rPr>
                <w:rFonts w:ascii="Arial" w:hAnsi="Arial" w:cs="Arial"/>
                <w:sz w:val="16"/>
                <w:szCs w:val="16"/>
              </w:rPr>
              <w:t>6</w:t>
            </w:r>
            <w:r>
              <w:rPr>
                <w:rFonts w:ascii="Arial" w:hAnsi="Arial" w:cs="Arial"/>
                <w:sz w:val="16"/>
                <w:szCs w:val="16"/>
              </w:rPr>
              <w:t>)</w:t>
            </w:r>
          </w:p>
        </w:tc>
        <w:tc>
          <w:tcPr>
            <w:tcW w:w="822" w:type="dxa"/>
            <w:vAlign w:val="center"/>
          </w:tcPr>
          <w:p w14:paraId="076D3352" w14:textId="77777777" w:rsidR="00784BAE" w:rsidRPr="004E3E02" w:rsidRDefault="003B00C0" w:rsidP="00676490">
            <w:pPr>
              <w:spacing w:line="300" w:lineRule="atLeast"/>
              <w:jc w:val="center"/>
              <w:rPr>
                <w:rFonts w:ascii="Arial" w:hAnsi="Arial" w:cs="Arial"/>
                <w:b/>
                <w:sz w:val="16"/>
                <w:szCs w:val="16"/>
              </w:rPr>
            </w:pPr>
            <w:r>
              <w:rPr>
                <w:rFonts w:ascii="Arial" w:hAnsi="Arial" w:cs="Arial"/>
                <w:b/>
                <w:sz w:val="16"/>
                <w:szCs w:val="16"/>
              </w:rPr>
              <w:t>-</w:t>
            </w:r>
          </w:p>
        </w:tc>
        <w:tc>
          <w:tcPr>
            <w:tcW w:w="850" w:type="dxa"/>
            <w:vAlign w:val="center"/>
          </w:tcPr>
          <w:p w14:paraId="03568FA8" w14:textId="77777777" w:rsidR="00784BAE" w:rsidRPr="004E3E02" w:rsidRDefault="003B00C0" w:rsidP="00676490">
            <w:pPr>
              <w:spacing w:line="300" w:lineRule="atLeast"/>
              <w:jc w:val="center"/>
              <w:rPr>
                <w:rFonts w:ascii="Arial" w:hAnsi="Arial" w:cs="Arial"/>
                <w:b/>
                <w:sz w:val="16"/>
                <w:szCs w:val="16"/>
              </w:rPr>
            </w:pPr>
            <w:r>
              <w:rPr>
                <w:rFonts w:ascii="Arial" w:hAnsi="Arial" w:cs="Arial"/>
                <w:b/>
                <w:sz w:val="16"/>
                <w:szCs w:val="16"/>
              </w:rPr>
              <w:t>-</w:t>
            </w:r>
          </w:p>
        </w:tc>
      </w:tr>
    </w:tbl>
    <w:p w14:paraId="50F379A5" w14:textId="1B9E04ED" w:rsidR="00D16E72" w:rsidRDefault="00D16E72" w:rsidP="003833D6">
      <w:pPr>
        <w:spacing w:line="300" w:lineRule="atLeast"/>
        <w:jc w:val="both"/>
        <w:rPr>
          <w:szCs w:val="18"/>
        </w:rPr>
      </w:pPr>
    </w:p>
    <w:p w14:paraId="278E8FC0" w14:textId="77777777" w:rsidR="003F2323" w:rsidRDefault="003F2323">
      <w:pPr>
        <w:spacing w:after="0"/>
        <w:rPr>
          <w:szCs w:val="18"/>
        </w:rPr>
      </w:pPr>
      <w:r>
        <w:rPr>
          <w:szCs w:val="18"/>
        </w:rPr>
        <w:br w:type="page"/>
      </w:r>
    </w:p>
    <w:p w14:paraId="232D864E" w14:textId="77777777" w:rsidR="003F2323" w:rsidRDefault="003F2323" w:rsidP="003F2323">
      <w:pPr>
        <w:pStyle w:val="Heading1"/>
      </w:pPr>
      <w:bookmarkStart w:id="174" w:name="_Toc110355576"/>
      <w:r>
        <w:t xml:space="preserve">Potential </w:t>
      </w:r>
      <w:r w:rsidR="00D75D61">
        <w:t>hotspots</w:t>
      </w:r>
      <w:bookmarkEnd w:id="174"/>
    </w:p>
    <w:p w14:paraId="248611BD" w14:textId="77777777" w:rsidR="003F2323" w:rsidRDefault="00806C3A" w:rsidP="003833D6">
      <w:pPr>
        <w:spacing w:line="300" w:lineRule="atLeast"/>
        <w:jc w:val="both"/>
        <w:rPr>
          <w:szCs w:val="18"/>
        </w:rPr>
      </w:pPr>
      <w:r>
        <w:rPr>
          <w:szCs w:val="18"/>
        </w:rPr>
        <w:t xml:space="preserve">This category covers sites where previous land use activities may have caused contamination. </w:t>
      </w:r>
      <w:r w:rsidR="003E0D2B">
        <w:rPr>
          <w:szCs w:val="18"/>
        </w:rPr>
        <w:t>Some</w:t>
      </w:r>
      <w:r>
        <w:rPr>
          <w:szCs w:val="18"/>
        </w:rPr>
        <w:t xml:space="preserve"> of the types of sites </w:t>
      </w:r>
      <w:r w:rsidR="003E0D2B">
        <w:rPr>
          <w:szCs w:val="18"/>
        </w:rPr>
        <w:t>where mercury might be an issue include the following</w:t>
      </w:r>
      <w:r>
        <w:rPr>
          <w:szCs w:val="18"/>
        </w:rPr>
        <w:t>:</w:t>
      </w:r>
    </w:p>
    <w:p w14:paraId="46634A5D" w14:textId="77777777" w:rsidR="00806C3A" w:rsidRDefault="00806C3A" w:rsidP="00806C3A">
      <w:pPr>
        <w:numPr>
          <w:ilvl w:val="0"/>
          <w:numId w:val="17"/>
        </w:numPr>
        <w:spacing w:line="300" w:lineRule="atLeast"/>
        <w:jc w:val="both"/>
        <w:rPr>
          <w:szCs w:val="18"/>
        </w:rPr>
      </w:pPr>
      <w:r>
        <w:rPr>
          <w:szCs w:val="18"/>
        </w:rPr>
        <w:t>Historical gold a</w:t>
      </w:r>
      <w:r w:rsidR="00D75D61">
        <w:rPr>
          <w:szCs w:val="18"/>
        </w:rPr>
        <w:t>n</w:t>
      </w:r>
      <w:r>
        <w:rPr>
          <w:szCs w:val="18"/>
        </w:rPr>
        <w:t>d mercury mining sites</w:t>
      </w:r>
    </w:p>
    <w:p w14:paraId="6A28AF4B" w14:textId="77777777" w:rsidR="00806C3A" w:rsidRDefault="00806C3A" w:rsidP="00806C3A">
      <w:pPr>
        <w:numPr>
          <w:ilvl w:val="0"/>
          <w:numId w:val="17"/>
        </w:numPr>
        <w:spacing w:line="300" w:lineRule="atLeast"/>
        <w:jc w:val="both"/>
        <w:rPr>
          <w:szCs w:val="18"/>
        </w:rPr>
      </w:pPr>
      <w:r>
        <w:rPr>
          <w:szCs w:val="18"/>
        </w:rPr>
        <w:t>Closed landfills</w:t>
      </w:r>
    </w:p>
    <w:p w14:paraId="35D9C476" w14:textId="77777777" w:rsidR="00806C3A" w:rsidRDefault="00806C3A" w:rsidP="00806C3A">
      <w:pPr>
        <w:numPr>
          <w:ilvl w:val="0"/>
          <w:numId w:val="17"/>
        </w:numPr>
        <w:spacing w:line="300" w:lineRule="atLeast"/>
        <w:jc w:val="both"/>
        <w:rPr>
          <w:szCs w:val="18"/>
        </w:rPr>
      </w:pPr>
      <w:r>
        <w:rPr>
          <w:szCs w:val="18"/>
        </w:rPr>
        <w:t>Former agricultural sites, include pesticide manufacturing and storage, and market gardens/orchards</w:t>
      </w:r>
    </w:p>
    <w:p w14:paraId="7E52B223" w14:textId="77777777" w:rsidR="00806C3A" w:rsidRDefault="00806C3A" w:rsidP="00806C3A">
      <w:pPr>
        <w:numPr>
          <w:ilvl w:val="0"/>
          <w:numId w:val="17"/>
        </w:numPr>
        <w:spacing w:line="300" w:lineRule="atLeast"/>
        <w:jc w:val="both"/>
        <w:rPr>
          <w:szCs w:val="18"/>
        </w:rPr>
      </w:pPr>
      <w:r>
        <w:rPr>
          <w:szCs w:val="18"/>
        </w:rPr>
        <w:t>Old industrial sites, such as tanneries, chlor-alkali plants, and battery manufacturers</w:t>
      </w:r>
    </w:p>
    <w:p w14:paraId="4588EFA9" w14:textId="77777777" w:rsidR="00806C3A" w:rsidRDefault="00806C3A" w:rsidP="00806C3A">
      <w:pPr>
        <w:numPr>
          <w:ilvl w:val="0"/>
          <w:numId w:val="17"/>
        </w:numPr>
        <w:spacing w:line="300" w:lineRule="atLeast"/>
        <w:jc w:val="both"/>
        <w:rPr>
          <w:szCs w:val="18"/>
        </w:rPr>
      </w:pPr>
      <w:r>
        <w:rPr>
          <w:szCs w:val="18"/>
        </w:rPr>
        <w:t>Government properties</w:t>
      </w:r>
      <w:r w:rsidR="00D75D61">
        <w:rPr>
          <w:szCs w:val="18"/>
        </w:rPr>
        <w:t>,</w:t>
      </w:r>
      <w:r>
        <w:rPr>
          <w:szCs w:val="18"/>
        </w:rPr>
        <w:t xml:space="preserve"> including dental schools and defence bases</w:t>
      </w:r>
    </w:p>
    <w:p w14:paraId="315F057B" w14:textId="77777777" w:rsidR="00806C3A" w:rsidRDefault="00806C3A" w:rsidP="00806C3A">
      <w:pPr>
        <w:numPr>
          <w:ilvl w:val="0"/>
          <w:numId w:val="17"/>
        </w:numPr>
        <w:spacing w:line="300" w:lineRule="atLeast"/>
        <w:jc w:val="both"/>
        <w:rPr>
          <w:szCs w:val="18"/>
        </w:rPr>
      </w:pPr>
      <w:r>
        <w:rPr>
          <w:szCs w:val="18"/>
        </w:rPr>
        <w:t>Boat repair yards and slipways</w:t>
      </w:r>
    </w:p>
    <w:p w14:paraId="2562066B" w14:textId="77777777" w:rsidR="00806C3A" w:rsidRDefault="003E0D2B" w:rsidP="00691717">
      <w:pPr>
        <w:spacing w:line="300" w:lineRule="atLeast"/>
        <w:jc w:val="both"/>
        <w:rPr>
          <w:szCs w:val="18"/>
        </w:rPr>
      </w:pPr>
      <w:r>
        <w:rPr>
          <w:szCs w:val="18"/>
        </w:rPr>
        <w:t>For the 2012 Inventory contact was made with a</w:t>
      </w:r>
      <w:r w:rsidR="00806C3A">
        <w:rPr>
          <w:szCs w:val="18"/>
        </w:rPr>
        <w:t>ll</w:t>
      </w:r>
      <w:r w:rsidR="00691717" w:rsidRPr="00691717">
        <w:rPr>
          <w:szCs w:val="18"/>
        </w:rPr>
        <w:t xml:space="preserve"> Regional Councils</w:t>
      </w:r>
      <w:r w:rsidR="00806C3A">
        <w:rPr>
          <w:szCs w:val="18"/>
        </w:rPr>
        <w:t xml:space="preserve"> and </w:t>
      </w:r>
      <w:r w:rsidR="00691717" w:rsidRPr="00691717">
        <w:rPr>
          <w:szCs w:val="18"/>
        </w:rPr>
        <w:t>Unitary Authorities</w:t>
      </w:r>
      <w:r w:rsidR="00806C3A">
        <w:rPr>
          <w:szCs w:val="18"/>
        </w:rPr>
        <w:t xml:space="preserve"> regarding </w:t>
      </w:r>
      <w:r w:rsidR="00D75D61">
        <w:rPr>
          <w:szCs w:val="18"/>
        </w:rPr>
        <w:t xml:space="preserve">their </w:t>
      </w:r>
      <w:r w:rsidR="00806C3A">
        <w:rPr>
          <w:szCs w:val="18"/>
        </w:rPr>
        <w:t xml:space="preserve">current knowledge of contaminated sites. Replies were received from </w:t>
      </w:r>
      <w:r w:rsidR="00D95B91">
        <w:rPr>
          <w:szCs w:val="18"/>
        </w:rPr>
        <w:t>14</w:t>
      </w:r>
      <w:r w:rsidR="00691717" w:rsidRPr="00691717">
        <w:rPr>
          <w:szCs w:val="18"/>
        </w:rPr>
        <w:t xml:space="preserve"> </w:t>
      </w:r>
      <w:r w:rsidR="00806C3A">
        <w:rPr>
          <w:szCs w:val="18"/>
        </w:rPr>
        <w:t>of these c</w:t>
      </w:r>
      <w:r w:rsidR="00691717" w:rsidRPr="00691717">
        <w:rPr>
          <w:szCs w:val="18"/>
        </w:rPr>
        <w:t>ouncils</w:t>
      </w:r>
      <w:r w:rsidR="00806C3A">
        <w:rPr>
          <w:szCs w:val="18"/>
        </w:rPr>
        <w:t xml:space="preserve">, with </w:t>
      </w:r>
      <w:r w:rsidR="00D95B91">
        <w:rPr>
          <w:szCs w:val="18"/>
        </w:rPr>
        <w:t>10</w:t>
      </w:r>
      <w:r w:rsidR="00806C3A">
        <w:rPr>
          <w:szCs w:val="18"/>
        </w:rPr>
        <w:t xml:space="preserve"> indicating that they had no knowledge of any mercury-contaminated sites within their regions</w:t>
      </w:r>
      <w:r w:rsidR="00D95B91">
        <w:rPr>
          <w:szCs w:val="18"/>
        </w:rPr>
        <w:t xml:space="preserve"> (other than sites where the mercury is simply an incidental, low level, contaminant)</w:t>
      </w:r>
      <w:r w:rsidR="00806C3A">
        <w:rPr>
          <w:szCs w:val="18"/>
        </w:rPr>
        <w:t>. Other responses covered the following matters:</w:t>
      </w:r>
    </w:p>
    <w:p w14:paraId="3C9CFC55" w14:textId="77777777" w:rsidR="00806C3A" w:rsidRDefault="00806C3A" w:rsidP="00806C3A">
      <w:pPr>
        <w:numPr>
          <w:ilvl w:val="0"/>
          <w:numId w:val="18"/>
        </w:numPr>
        <w:spacing w:line="300" w:lineRule="atLeast"/>
        <w:jc w:val="both"/>
        <w:rPr>
          <w:szCs w:val="18"/>
        </w:rPr>
      </w:pPr>
      <w:r>
        <w:rPr>
          <w:szCs w:val="18"/>
        </w:rPr>
        <w:t>A f</w:t>
      </w:r>
      <w:r w:rsidR="00691717" w:rsidRPr="00691717">
        <w:rPr>
          <w:szCs w:val="18"/>
        </w:rPr>
        <w:t xml:space="preserve">ormer mercury mine </w:t>
      </w:r>
      <w:r>
        <w:rPr>
          <w:szCs w:val="18"/>
        </w:rPr>
        <w:t xml:space="preserve">site in Northland </w:t>
      </w:r>
      <w:r w:rsidR="00691717" w:rsidRPr="00691717">
        <w:rPr>
          <w:szCs w:val="18"/>
        </w:rPr>
        <w:t xml:space="preserve">is likely to be contaminated, though levels have not been confirmed. </w:t>
      </w:r>
    </w:p>
    <w:p w14:paraId="6D890AF7" w14:textId="77777777" w:rsidR="00D95B91" w:rsidRDefault="00D95B91" w:rsidP="00806C3A">
      <w:pPr>
        <w:numPr>
          <w:ilvl w:val="0"/>
          <w:numId w:val="18"/>
        </w:numPr>
        <w:spacing w:line="300" w:lineRule="atLeast"/>
        <w:jc w:val="both"/>
        <w:rPr>
          <w:szCs w:val="18"/>
        </w:rPr>
      </w:pPr>
      <w:r>
        <w:rPr>
          <w:szCs w:val="18"/>
        </w:rPr>
        <w:t>Both the Tasman and West Coast regions have old gold mining sites that may be contaminated with mercury.</w:t>
      </w:r>
    </w:p>
    <w:p w14:paraId="3D768783" w14:textId="77777777" w:rsidR="00D95B91" w:rsidRDefault="00D95B91" w:rsidP="00806C3A">
      <w:pPr>
        <w:numPr>
          <w:ilvl w:val="0"/>
          <w:numId w:val="18"/>
        </w:numPr>
        <w:spacing w:line="300" w:lineRule="atLeast"/>
        <w:jc w:val="both"/>
        <w:rPr>
          <w:szCs w:val="18"/>
        </w:rPr>
      </w:pPr>
      <w:r>
        <w:rPr>
          <w:szCs w:val="18"/>
        </w:rPr>
        <w:t>A power station site in Canterbury is known to be contaminated with mercury, but the extent of contamination has not been determined.</w:t>
      </w:r>
    </w:p>
    <w:p w14:paraId="07398815" w14:textId="77777777" w:rsidR="003C7CB4" w:rsidRDefault="00691717" w:rsidP="00806C3A">
      <w:pPr>
        <w:numPr>
          <w:ilvl w:val="0"/>
          <w:numId w:val="18"/>
        </w:numPr>
        <w:spacing w:line="300" w:lineRule="atLeast"/>
        <w:jc w:val="both"/>
        <w:rPr>
          <w:szCs w:val="18"/>
        </w:rPr>
      </w:pPr>
      <w:r w:rsidRPr="00691717">
        <w:rPr>
          <w:szCs w:val="18"/>
        </w:rPr>
        <w:t xml:space="preserve">Elevated mercury </w:t>
      </w:r>
      <w:r w:rsidR="00806C3A">
        <w:rPr>
          <w:szCs w:val="18"/>
        </w:rPr>
        <w:t>levels have</w:t>
      </w:r>
      <w:r w:rsidRPr="00691717">
        <w:rPr>
          <w:szCs w:val="18"/>
        </w:rPr>
        <w:t xml:space="preserve"> been detected in many orchards and </w:t>
      </w:r>
      <w:r w:rsidR="00806C3A">
        <w:rPr>
          <w:szCs w:val="18"/>
        </w:rPr>
        <w:t>ex-</w:t>
      </w:r>
      <w:r w:rsidRPr="00691717">
        <w:rPr>
          <w:szCs w:val="18"/>
        </w:rPr>
        <w:t xml:space="preserve">mine sites, however </w:t>
      </w:r>
      <w:r w:rsidR="00806C3A">
        <w:rPr>
          <w:szCs w:val="18"/>
        </w:rPr>
        <w:t xml:space="preserve">generally </w:t>
      </w:r>
      <w:r w:rsidRPr="00691717">
        <w:rPr>
          <w:szCs w:val="18"/>
        </w:rPr>
        <w:t xml:space="preserve">not above </w:t>
      </w:r>
      <w:r w:rsidR="00806C3A">
        <w:rPr>
          <w:szCs w:val="18"/>
        </w:rPr>
        <w:t xml:space="preserve">the </w:t>
      </w:r>
      <w:r w:rsidRPr="00691717">
        <w:rPr>
          <w:szCs w:val="18"/>
        </w:rPr>
        <w:t xml:space="preserve">rural residential standard of </w:t>
      </w:r>
      <w:r w:rsidR="00C217EA">
        <w:rPr>
          <w:szCs w:val="18"/>
        </w:rPr>
        <w:t>3</w:t>
      </w:r>
      <w:r w:rsidRPr="00691717">
        <w:rPr>
          <w:szCs w:val="18"/>
        </w:rPr>
        <w:t>00mg/kg</w:t>
      </w:r>
      <w:r w:rsidR="00C217EA">
        <w:rPr>
          <w:szCs w:val="18"/>
        </w:rPr>
        <w:t xml:space="preserve"> </w:t>
      </w:r>
      <w:r w:rsidR="00E042A5">
        <w:rPr>
          <w:szCs w:val="18"/>
        </w:rPr>
        <w:t>for</w:t>
      </w:r>
      <w:r w:rsidRPr="00691717">
        <w:rPr>
          <w:szCs w:val="18"/>
        </w:rPr>
        <w:t xml:space="preserve"> inorganic mercury</w:t>
      </w:r>
      <w:r w:rsidR="00E042A5">
        <w:rPr>
          <w:szCs w:val="18"/>
        </w:rPr>
        <w:t xml:space="preserve"> in soils</w:t>
      </w:r>
      <w:r w:rsidRPr="00691717">
        <w:rPr>
          <w:szCs w:val="18"/>
        </w:rPr>
        <w:t xml:space="preserve">. As an example, </w:t>
      </w:r>
      <w:r w:rsidR="00806C3A">
        <w:rPr>
          <w:szCs w:val="18"/>
        </w:rPr>
        <w:t xml:space="preserve">the Waikato Regional Council noted that </w:t>
      </w:r>
      <w:r w:rsidR="003C7CB4">
        <w:rPr>
          <w:szCs w:val="18"/>
        </w:rPr>
        <w:t xml:space="preserve">at </w:t>
      </w:r>
      <w:r w:rsidRPr="00691717">
        <w:rPr>
          <w:szCs w:val="18"/>
        </w:rPr>
        <w:t>one highly contaminated former tailings dam</w:t>
      </w:r>
      <w:r w:rsidR="00405F94">
        <w:rPr>
          <w:szCs w:val="18"/>
        </w:rPr>
        <w:t xml:space="preserve"> (the Tui mine)</w:t>
      </w:r>
      <w:r w:rsidRPr="00691717">
        <w:rPr>
          <w:szCs w:val="18"/>
        </w:rPr>
        <w:t xml:space="preserve">, the average concentration </w:t>
      </w:r>
      <w:r w:rsidR="003C7CB4">
        <w:rPr>
          <w:szCs w:val="18"/>
        </w:rPr>
        <w:t>of mercury is less than 30mg/kg</w:t>
      </w:r>
      <w:r w:rsidRPr="00691717">
        <w:rPr>
          <w:szCs w:val="18"/>
        </w:rPr>
        <w:t xml:space="preserve">. </w:t>
      </w:r>
    </w:p>
    <w:p w14:paraId="452638CA" w14:textId="77777777" w:rsidR="003F2323" w:rsidRDefault="0010506E" w:rsidP="00691717">
      <w:pPr>
        <w:spacing w:line="300" w:lineRule="atLeast"/>
        <w:jc w:val="both"/>
        <w:rPr>
          <w:szCs w:val="18"/>
        </w:rPr>
      </w:pPr>
      <w:r>
        <w:rPr>
          <w:szCs w:val="18"/>
        </w:rPr>
        <w:t xml:space="preserve">It </w:t>
      </w:r>
      <w:r w:rsidR="003E0D2B">
        <w:rPr>
          <w:szCs w:val="18"/>
        </w:rPr>
        <w:t>was</w:t>
      </w:r>
      <w:r>
        <w:rPr>
          <w:szCs w:val="18"/>
        </w:rPr>
        <w:t xml:space="preserve"> also confirmed that there are no contaminated sites specifically associated with the two chlor-alkali plants that were previously operated at the two North Island kraft pulp paper mills (see section 6.1). These plants were shut down in the 1980s and it is believed that the sludge and other residues were disposed to the companies' solid waste disposal facilities.</w:t>
      </w:r>
    </w:p>
    <w:p w14:paraId="665D68D5" w14:textId="77777777" w:rsidR="003E0D2B" w:rsidRDefault="003E0D2B" w:rsidP="00691717">
      <w:pPr>
        <w:spacing w:line="300" w:lineRule="atLeast"/>
        <w:jc w:val="both"/>
        <w:rPr>
          <w:szCs w:val="18"/>
        </w:rPr>
      </w:pPr>
      <w:r>
        <w:rPr>
          <w:szCs w:val="18"/>
        </w:rPr>
        <w:t>The above information has not been updated for the current work.</w:t>
      </w:r>
    </w:p>
    <w:p w14:paraId="288BB036" w14:textId="77777777" w:rsidR="004A1BCA" w:rsidRDefault="004A1BCA">
      <w:pPr>
        <w:spacing w:after="0"/>
        <w:rPr>
          <w:szCs w:val="18"/>
        </w:rPr>
      </w:pPr>
      <w:r>
        <w:rPr>
          <w:szCs w:val="18"/>
        </w:rPr>
        <w:br w:type="page"/>
      </w:r>
    </w:p>
    <w:p w14:paraId="7E2188A7" w14:textId="77777777" w:rsidR="00186400" w:rsidRDefault="00186400" w:rsidP="00186400">
      <w:pPr>
        <w:pStyle w:val="Heading1"/>
      </w:pPr>
      <w:bookmarkStart w:id="175" w:name="_Toc110355577"/>
      <w:r>
        <w:t>Summary and discussion</w:t>
      </w:r>
      <w:bookmarkEnd w:id="175"/>
    </w:p>
    <w:p w14:paraId="7950E4AD" w14:textId="67846CB2" w:rsidR="008859F9" w:rsidRDefault="008859F9" w:rsidP="00DF754B">
      <w:pPr>
        <w:pStyle w:val="Heading2"/>
      </w:pPr>
      <w:bookmarkStart w:id="176" w:name="_Toc110355578"/>
      <w:r>
        <w:t xml:space="preserve">High </w:t>
      </w:r>
      <w:r w:rsidR="00186400">
        <w:t>level summary of mercury inputs and outputs</w:t>
      </w:r>
      <w:bookmarkEnd w:id="176"/>
    </w:p>
    <w:p w14:paraId="0614BD6D" w14:textId="77777777" w:rsidR="008F1C52" w:rsidRDefault="008859F9" w:rsidP="008F1C52">
      <w:pPr>
        <w:spacing w:line="300" w:lineRule="atLeast"/>
        <w:jc w:val="both"/>
      </w:pPr>
      <w:r w:rsidRPr="008859F9">
        <w:t>A summary of the mercury inputs and outputs for New Zealand, at the level of the main Toolkit source categories is given in Table 14-1.</w:t>
      </w:r>
    </w:p>
    <w:p w14:paraId="7B5C62A8" w14:textId="77777777" w:rsidR="008F1C52" w:rsidRDefault="008F1C52" w:rsidP="008F1C52">
      <w:pPr>
        <w:spacing w:line="300" w:lineRule="atLeast"/>
        <w:jc w:val="both"/>
        <w:rPr>
          <w:szCs w:val="18"/>
        </w:rPr>
      </w:pPr>
    </w:p>
    <w:p w14:paraId="5B9D6907" w14:textId="64B3C15B" w:rsidR="00AF12AC" w:rsidRDefault="00AF12AC" w:rsidP="008F1C52">
      <w:pPr>
        <w:rPr>
          <w:szCs w:val="18"/>
        </w:rPr>
      </w:pPr>
      <w:r w:rsidRPr="008859F9">
        <w:rPr>
          <w:rFonts w:ascii="Arial" w:hAnsi="Arial" w:cs="Arial"/>
          <w:b/>
          <w:bCs/>
        </w:rPr>
        <w:t xml:space="preserve">Table 14-1. High level summary of mercury inputs and outputs for New Zealand, </w:t>
      </w:r>
      <w:r w:rsidR="009173F1">
        <w:rPr>
          <w:rFonts w:ascii="Arial" w:hAnsi="Arial" w:cs="Arial"/>
          <w:b/>
          <w:bCs/>
        </w:rPr>
        <w:t>202</w:t>
      </w:r>
      <w:r w:rsidR="00B11993">
        <w:rPr>
          <w:rFonts w:ascii="Arial" w:hAnsi="Arial" w:cs="Arial"/>
          <w:b/>
          <w:bCs/>
        </w:rPr>
        <w:t>4</w:t>
      </w:r>
    </w:p>
    <w:tbl>
      <w:tblPr>
        <w:tblStyle w:val="TableGrid"/>
        <w:tblW w:w="9072" w:type="dxa"/>
        <w:tblInd w:w="108" w:type="dxa"/>
        <w:tblLook w:val="04A0" w:firstRow="1" w:lastRow="0" w:firstColumn="1" w:lastColumn="0" w:noHBand="0" w:noVBand="1"/>
      </w:tblPr>
      <w:tblGrid>
        <w:gridCol w:w="1686"/>
        <w:gridCol w:w="1435"/>
        <w:gridCol w:w="1168"/>
        <w:gridCol w:w="1410"/>
        <w:gridCol w:w="1134"/>
        <w:gridCol w:w="1026"/>
        <w:gridCol w:w="1213"/>
      </w:tblGrid>
      <w:tr w:rsidR="00AF12AC" w:rsidRPr="007901FE" w14:paraId="29659682" w14:textId="77777777" w:rsidTr="00ED3B2F">
        <w:tc>
          <w:tcPr>
            <w:tcW w:w="1686" w:type="dxa"/>
            <w:vMerge w:val="restart"/>
            <w:vAlign w:val="center"/>
          </w:tcPr>
          <w:p w14:paraId="40D329A7" w14:textId="77777777" w:rsidR="00AF12AC" w:rsidRPr="004E3E02" w:rsidRDefault="00AF12AC" w:rsidP="00DF754B">
            <w:pPr>
              <w:spacing w:before="60" w:after="60"/>
              <w:rPr>
                <w:rFonts w:ascii="Arial" w:hAnsi="Arial" w:cs="Arial"/>
                <w:b/>
                <w:sz w:val="16"/>
                <w:szCs w:val="16"/>
              </w:rPr>
            </w:pPr>
            <w:r w:rsidRPr="004E3E02">
              <w:rPr>
                <w:rFonts w:ascii="Arial" w:hAnsi="Arial" w:cs="Arial"/>
                <w:b/>
                <w:sz w:val="16"/>
                <w:szCs w:val="16"/>
              </w:rPr>
              <w:t>Category</w:t>
            </w:r>
          </w:p>
        </w:tc>
        <w:tc>
          <w:tcPr>
            <w:tcW w:w="1435" w:type="dxa"/>
            <w:vMerge w:val="restart"/>
            <w:vAlign w:val="center"/>
          </w:tcPr>
          <w:p w14:paraId="7FF1CC06" w14:textId="77777777" w:rsidR="00AF12AC" w:rsidRPr="004E3E02" w:rsidRDefault="00AF12AC" w:rsidP="00DF754B">
            <w:pPr>
              <w:spacing w:before="60" w:after="60"/>
              <w:jc w:val="center"/>
              <w:rPr>
                <w:rFonts w:ascii="Arial" w:hAnsi="Arial" w:cs="Arial"/>
                <w:b/>
                <w:sz w:val="16"/>
                <w:szCs w:val="16"/>
              </w:rPr>
            </w:pPr>
            <w:r w:rsidRPr="004E3E02">
              <w:rPr>
                <w:rFonts w:ascii="Arial" w:hAnsi="Arial" w:cs="Arial"/>
                <w:b/>
                <w:sz w:val="16"/>
                <w:szCs w:val="16"/>
              </w:rPr>
              <w:t>Mercury Inputs, kg/year</w:t>
            </w:r>
          </w:p>
        </w:tc>
        <w:tc>
          <w:tcPr>
            <w:tcW w:w="5951" w:type="dxa"/>
            <w:gridSpan w:val="5"/>
            <w:vAlign w:val="center"/>
          </w:tcPr>
          <w:p w14:paraId="7A2CF2A5" w14:textId="77777777" w:rsidR="00AF12AC" w:rsidRPr="004E3E02" w:rsidRDefault="00AF12AC" w:rsidP="00DF754B">
            <w:pPr>
              <w:spacing w:before="60" w:after="60"/>
              <w:jc w:val="center"/>
              <w:rPr>
                <w:rFonts w:ascii="Arial" w:hAnsi="Arial" w:cs="Arial"/>
                <w:b/>
                <w:sz w:val="16"/>
                <w:szCs w:val="16"/>
              </w:rPr>
            </w:pPr>
            <w:r w:rsidRPr="004E3E02">
              <w:rPr>
                <w:rFonts w:ascii="Arial" w:hAnsi="Arial" w:cs="Arial"/>
                <w:b/>
                <w:sz w:val="16"/>
                <w:szCs w:val="16"/>
              </w:rPr>
              <w:t>Mercury Outputs, kg/yr</w:t>
            </w:r>
          </w:p>
        </w:tc>
      </w:tr>
      <w:tr w:rsidR="00AF12AC" w:rsidRPr="007901FE" w14:paraId="3E57856A" w14:textId="77777777" w:rsidTr="008F1C52">
        <w:tc>
          <w:tcPr>
            <w:tcW w:w="1686" w:type="dxa"/>
            <w:vMerge/>
            <w:vAlign w:val="center"/>
          </w:tcPr>
          <w:p w14:paraId="394BC8BA" w14:textId="77777777" w:rsidR="00AF12AC" w:rsidRPr="004E3E02" w:rsidRDefault="00AF12AC" w:rsidP="00DF754B">
            <w:pPr>
              <w:spacing w:before="60" w:after="60"/>
              <w:rPr>
                <w:rFonts w:ascii="Arial" w:hAnsi="Arial" w:cs="Arial"/>
                <w:b/>
                <w:sz w:val="16"/>
                <w:szCs w:val="16"/>
              </w:rPr>
            </w:pPr>
          </w:p>
        </w:tc>
        <w:tc>
          <w:tcPr>
            <w:tcW w:w="1435" w:type="dxa"/>
            <w:vMerge/>
          </w:tcPr>
          <w:p w14:paraId="2B6056B2" w14:textId="77777777" w:rsidR="00AF12AC" w:rsidRPr="004E3E02" w:rsidRDefault="00AF12AC" w:rsidP="00DF754B">
            <w:pPr>
              <w:spacing w:before="60" w:after="60"/>
              <w:jc w:val="both"/>
              <w:rPr>
                <w:rFonts w:ascii="Arial" w:hAnsi="Arial" w:cs="Arial"/>
                <w:b/>
                <w:sz w:val="16"/>
                <w:szCs w:val="16"/>
              </w:rPr>
            </w:pPr>
          </w:p>
        </w:tc>
        <w:tc>
          <w:tcPr>
            <w:tcW w:w="1168" w:type="dxa"/>
            <w:vAlign w:val="center"/>
          </w:tcPr>
          <w:p w14:paraId="29EABD50" w14:textId="77777777" w:rsidR="00AF12AC" w:rsidRPr="004E3E02" w:rsidRDefault="00AF12AC" w:rsidP="00DF754B">
            <w:pPr>
              <w:spacing w:before="60" w:after="60"/>
              <w:jc w:val="center"/>
              <w:rPr>
                <w:rFonts w:ascii="Arial" w:hAnsi="Arial" w:cs="Arial"/>
                <w:b/>
                <w:sz w:val="16"/>
                <w:szCs w:val="16"/>
              </w:rPr>
            </w:pPr>
            <w:r w:rsidRPr="004E3E02">
              <w:rPr>
                <w:rFonts w:ascii="Arial" w:hAnsi="Arial" w:cs="Arial"/>
                <w:b/>
                <w:sz w:val="16"/>
                <w:szCs w:val="16"/>
              </w:rPr>
              <w:t>Air</w:t>
            </w:r>
          </w:p>
        </w:tc>
        <w:tc>
          <w:tcPr>
            <w:tcW w:w="1410" w:type="dxa"/>
            <w:vAlign w:val="center"/>
          </w:tcPr>
          <w:p w14:paraId="2D6D66F4" w14:textId="77777777" w:rsidR="00AF12AC" w:rsidRPr="004E3E02" w:rsidRDefault="00AF12AC" w:rsidP="00DF754B">
            <w:pPr>
              <w:spacing w:before="60" w:after="60"/>
              <w:jc w:val="center"/>
              <w:rPr>
                <w:rFonts w:ascii="Arial" w:hAnsi="Arial" w:cs="Arial"/>
                <w:b/>
                <w:sz w:val="16"/>
                <w:szCs w:val="16"/>
              </w:rPr>
            </w:pPr>
            <w:r w:rsidRPr="004E3E02">
              <w:rPr>
                <w:rFonts w:ascii="Arial" w:hAnsi="Arial" w:cs="Arial"/>
                <w:b/>
                <w:sz w:val="16"/>
                <w:szCs w:val="16"/>
              </w:rPr>
              <w:t>Water</w:t>
            </w:r>
          </w:p>
        </w:tc>
        <w:tc>
          <w:tcPr>
            <w:tcW w:w="1134" w:type="dxa"/>
            <w:vAlign w:val="center"/>
          </w:tcPr>
          <w:p w14:paraId="59135DA7" w14:textId="77777777" w:rsidR="00AF12AC" w:rsidRPr="004E3E02" w:rsidRDefault="00AF12AC" w:rsidP="00DF754B">
            <w:pPr>
              <w:spacing w:before="60" w:after="60"/>
              <w:jc w:val="center"/>
              <w:rPr>
                <w:rFonts w:ascii="Arial" w:hAnsi="Arial" w:cs="Arial"/>
                <w:b/>
                <w:sz w:val="16"/>
                <w:szCs w:val="16"/>
              </w:rPr>
            </w:pPr>
            <w:r w:rsidRPr="004E3E02">
              <w:rPr>
                <w:rFonts w:ascii="Arial" w:hAnsi="Arial" w:cs="Arial"/>
                <w:b/>
                <w:sz w:val="16"/>
                <w:szCs w:val="16"/>
              </w:rPr>
              <w:t>Land</w:t>
            </w:r>
          </w:p>
        </w:tc>
        <w:tc>
          <w:tcPr>
            <w:tcW w:w="1026" w:type="dxa"/>
            <w:vAlign w:val="center"/>
          </w:tcPr>
          <w:p w14:paraId="56FCC6A7" w14:textId="77777777" w:rsidR="00AF12AC" w:rsidRPr="004E3E02" w:rsidRDefault="00AF12AC" w:rsidP="00DF754B">
            <w:pPr>
              <w:spacing w:before="60" w:after="60"/>
              <w:jc w:val="center"/>
              <w:rPr>
                <w:rFonts w:ascii="Arial" w:hAnsi="Arial" w:cs="Arial"/>
                <w:b/>
                <w:sz w:val="16"/>
                <w:szCs w:val="16"/>
              </w:rPr>
            </w:pPr>
            <w:r w:rsidRPr="004E3E02">
              <w:rPr>
                <w:rFonts w:ascii="Arial" w:hAnsi="Arial" w:cs="Arial"/>
                <w:b/>
                <w:sz w:val="16"/>
                <w:szCs w:val="16"/>
              </w:rPr>
              <w:t>Product</w:t>
            </w:r>
          </w:p>
        </w:tc>
        <w:tc>
          <w:tcPr>
            <w:tcW w:w="1213" w:type="dxa"/>
            <w:vAlign w:val="center"/>
          </w:tcPr>
          <w:p w14:paraId="3A5DDF97" w14:textId="77777777" w:rsidR="00AF12AC" w:rsidRPr="004E3E02" w:rsidRDefault="00AF12AC" w:rsidP="00DF754B">
            <w:pPr>
              <w:spacing w:before="60" w:after="60"/>
              <w:jc w:val="center"/>
              <w:rPr>
                <w:rFonts w:ascii="Arial" w:hAnsi="Arial" w:cs="Arial"/>
                <w:b/>
                <w:sz w:val="16"/>
                <w:szCs w:val="16"/>
              </w:rPr>
            </w:pPr>
            <w:r w:rsidRPr="004E3E02">
              <w:rPr>
                <w:rFonts w:ascii="Arial" w:hAnsi="Arial" w:cs="Arial"/>
                <w:b/>
                <w:sz w:val="16"/>
                <w:szCs w:val="16"/>
              </w:rPr>
              <w:t>Waste</w:t>
            </w:r>
          </w:p>
        </w:tc>
      </w:tr>
      <w:tr w:rsidR="009173F1" w:rsidRPr="007901FE" w14:paraId="3DA38DAC" w14:textId="77777777" w:rsidTr="008F1C52">
        <w:tc>
          <w:tcPr>
            <w:tcW w:w="1686" w:type="dxa"/>
            <w:vAlign w:val="center"/>
          </w:tcPr>
          <w:p w14:paraId="3EA5FA04" w14:textId="77777777" w:rsidR="009173F1" w:rsidRPr="00246738" w:rsidRDefault="009173F1" w:rsidP="009173F1">
            <w:pPr>
              <w:spacing w:before="60" w:after="60"/>
              <w:rPr>
                <w:rFonts w:ascii="Arial" w:hAnsi="Arial" w:cs="Arial"/>
                <w:sz w:val="16"/>
                <w:szCs w:val="16"/>
              </w:rPr>
            </w:pPr>
            <w:bookmarkStart w:id="177" w:name="OLE_LINK3"/>
            <w:r w:rsidRPr="00246738">
              <w:rPr>
                <w:rFonts w:ascii="Arial" w:hAnsi="Arial" w:cs="Arial"/>
                <w:sz w:val="16"/>
                <w:szCs w:val="16"/>
              </w:rPr>
              <w:t xml:space="preserve">1. Extraction and use of fuels/energy sources </w:t>
            </w:r>
          </w:p>
        </w:tc>
        <w:tc>
          <w:tcPr>
            <w:tcW w:w="1435" w:type="dxa"/>
            <w:vAlign w:val="center"/>
          </w:tcPr>
          <w:p w14:paraId="00754260" w14:textId="6799768A" w:rsidR="009173F1" w:rsidRPr="00EF72E4" w:rsidRDefault="009173F1" w:rsidP="009173F1">
            <w:pPr>
              <w:spacing w:line="300" w:lineRule="atLeast"/>
              <w:jc w:val="center"/>
              <w:rPr>
                <w:rFonts w:ascii="Arial" w:hAnsi="Arial" w:cs="Arial"/>
                <w:sz w:val="16"/>
                <w:szCs w:val="16"/>
                <w:highlight w:val="yellow"/>
              </w:rPr>
            </w:pPr>
            <w:r w:rsidRPr="00E16750">
              <w:rPr>
                <w:rFonts w:ascii="Arial" w:hAnsi="Arial" w:cs="Arial"/>
                <w:sz w:val="16"/>
                <w:szCs w:val="16"/>
              </w:rPr>
              <w:t>35</w:t>
            </w:r>
            <w:r w:rsidR="00BB6CE7">
              <w:rPr>
                <w:rFonts w:ascii="Arial" w:hAnsi="Arial" w:cs="Arial"/>
                <w:sz w:val="16"/>
                <w:szCs w:val="16"/>
              </w:rPr>
              <w:t>8</w:t>
            </w:r>
            <w:r w:rsidRPr="00E16750">
              <w:rPr>
                <w:rFonts w:ascii="Arial" w:hAnsi="Arial" w:cs="Arial"/>
                <w:sz w:val="16"/>
                <w:szCs w:val="16"/>
              </w:rPr>
              <w:t xml:space="preserve"> - 273</w:t>
            </w:r>
            <w:r w:rsidR="00BB6CE7">
              <w:rPr>
                <w:rFonts w:ascii="Arial" w:hAnsi="Arial" w:cs="Arial"/>
                <w:sz w:val="16"/>
                <w:szCs w:val="16"/>
              </w:rPr>
              <w:t>4</w:t>
            </w:r>
            <w:r w:rsidRPr="00E16750">
              <w:rPr>
                <w:rFonts w:ascii="Arial" w:hAnsi="Arial" w:cs="Arial"/>
                <w:sz w:val="16"/>
                <w:szCs w:val="16"/>
              </w:rPr>
              <w:t xml:space="preserve"> (154</w:t>
            </w:r>
            <w:r w:rsidR="00BB6CE7">
              <w:rPr>
                <w:rFonts w:ascii="Arial" w:hAnsi="Arial" w:cs="Arial"/>
                <w:sz w:val="16"/>
                <w:szCs w:val="16"/>
              </w:rPr>
              <w:t>6</w:t>
            </w:r>
            <w:r w:rsidRPr="00E16750">
              <w:rPr>
                <w:rFonts w:ascii="Arial" w:hAnsi="Arial" w:cs="Arial"/>
                <w:sz w:val="16"/>
                <w:szCs w:val="16"/>
              </w:rPr>
              <w:t>)</w:t>
            </w:r>
          </w:p>
        </w:tc>
        <w:tc>
          <w:tcPr>
            <w:tcW w:w="1168" w:type="dxa"/>
            <w:vAlign w:val="center"/>
          </w:tcPr>
          <w:p w14:paraId="2D8004F7" w14:textId="2295DDD6" w:rsidR="009173F1" w:rsidRPr="00EF72E4" w:rsidRDefault="009173F1" w:rsidP="009173F1">
            <w:pPr>
              <w:spacing w:line="300" w:lineRule="atLeast"/>
              <w:jc w:val="center"/>
              <w:rPr>
                <w:rFonts w:ascii="Arial" w:hAnsi="Arial" w:cs="Arial"/>
                <w:sz w:val="16"/>
                <w:szCs w:val="16"/>
                <w:highlight w:val="yellow"/>
              </w:rPr>
            </w:pPr>
            <w:r w:rsidRPr="00E16750">
              <w:rPr>
                <w:rFonts w:ascii="Arial" w:hAnsi="Arial" w:cs="Arial"/>
                <w:sz w:val="16"/>
                <w:szCs w:val="16"/>
              </w:rPr>
              <w:t>34</w:t>
            </w:r>
            <w:r w:rsidR="00887D0A">
              <w:rPr>
                <w:rFonts w:ascii="Arial" w:hAnsi="Arial" w:cs="Arial"/>
                <w:sz w:val="16"/>
                <w:szCs w:val="16"/>
              </w:rPr>
              <w:t>8</w:t>
            </w:r>
            <w:r w:rsidRPr="00E16750">
              <w:rPr>
                <w:rFonts w:ascii="Arial" w:hAnsi="Arial" w:cs="Arial"/>
                <w:sz w:val="16"/>
                <w:szCs w:val="16"/>
              </w:rPr>
              <w:t xml:space="preserve"> – 249</w:t>
            </w:r>
            <w:r w:rsidR="00887D0A">
              <w:rPr>
                <w:rFonts w:ascii="Arial" w:hAnsi="Arial" w:cs="Arial"/>
                <w:sz w:val="16"/>
                <w:szCs w:val="16"/>
              </w:rPr>
              <w:t>4</w:t>
            </w:r>
            <w:r w:rsidRPr="00E16750">
              <w:rPr>
                <w:rFonts w:ascii="Arial" w:hAnsi="Arial" w:cs="Arial"/>
                <w:sz w:val="16"/>
                <w:szCs w:val="16"/>
              </w:rPr>
              <w:t xml:space="preserve"> (14</w:t>
            </w:r>
            <w:r w:rsidR="00887D0A">
              <w:rPr>
                <w:rFonts w:ascii="Arial" w:hAnsi="Arial" w:cs="Arial"/>
                <w:sz w:val="16"/>
                <w:szCs w:val="16"/>
              </w:rPr>
              <w:t>21</w:t>
            </w:r>
            <w:r w:rsidRPr="00E16750">
              <w:rPr>
                <w:rFonts w:ascii="Arial" w:hAnsi="Arial" w:cs="Arial"/>
                <w:sz w:val="16"/>
                <w:szCs w:val="16"/>
              </w:rPr>
              <w:t>)</w:t>
            </w:r>
          </w:p>
        </w:tc>
        <w:tc>
          <w:tcPr>
            <w:tcW w:w="1410" w:type="dxa"/>
            <w:vAlign w:val="center"/>
          </w:tcPr>
          <w:p w14:paraId="234B3207" w14:textId="6919B524" w:rsidR="009173F1" w:rsidRPr="00EF72E4" w:rsidRDefault="009173F1" w:rsidP="009173F1">
            <w:pPr>
              <w:spacing w:line="300" w:lineRule="atLeast"/>
              <w:jc w:val="center"/>
              <w:rPr>
                <w:rFonts w:ascii="Arial" w:hAnsi="Arial" w:cs="Arial"/>
                <w:sz w:val="16"/>
                <w:szCs w:val="16"/>
                <w:highlight w:val="yellow"/>
              </w:rPr>
            </w:pPr>
            <w:r w:rsidRPr="00E16750">
              <w:rPr>
                <w:rFonts w:ascii="Arial" w:hAnsi="Arial" w:cs="Arial"/>
                <w:sz w:val="16"/>
                <w:szCs w:val="16"/>
              </w:rPr>
              <w:t>6.46 – 58.8 (32.6)</w:t>
            </w:r>
          </w:p>
        </w:tc>
        <w:tc>
          <w:tcPr>
            <w:tcW w:w="1134" w:type="dxa"/>
            <w:vAlign w:val="center"/>
          </w:tcPr>
          <w:p w14:paraId="16CB01A9" w14:textId="63327485" w:rsidR="009173F1" w:rsidRPr="00EF72E4" w:rsidRDefault="009173F1" w:rsidP="009173F1">
            <w:pPr>
              <w:spacing w:line="300" w:lineRule="atLeast"/>
              <w:jc w:val="center"/>
              <w:rPr>
                <w:rFonts w:ascii="Arial" w:hAnsi="Arial" w:cs="Arial"/>
                <w:sz w:val="16"/>
                <w:szCs w:val="16"/>
                <w:highlight w:val="yellow"/>
              </w:rPr>
            </w:pPr>
            <w:r w:rsidRPr="00E16750">
              <w:rPr>
                <w:rFonts w:ascii="Arial" w:hAnsi="Arial" w:cs="Arial"/>
                <w:sz w:val="16"/>
                <w:szCs w:val="16"/>
              </w:rPr>
              <w:t>2.3</w:t>
            </w:r>
            <w:r w:rsidR="00106061">
              <w:rPr>
                <w:rFonts w:ascii="Arial" w:hAnsi="Arial" w:cs="Arial"/>
                <w:sz w:val="16"/>
                <w:szCs w:val="16"/>
              </w:rPr>
              <w:t>1</w:t>
            </w:r>
            <w:r w:rsidRPr="00E16750">
              <w:rPr>
                <w:rFonts w:ascii="Arial" w:hAnsi="Arial" w:cs="Arial"/>
                <w:sz w:val="16"/>
                <w:szCs w:val="16"/>
              </w:rPr>
              <w:t xml:space="preserve"> – 17.1 (9.70)</w:t>
            </w:r>
          </w:p>
        </w:tc>
        <w:tc>
          <w:tcPr>
            <w:tcW w:w="1026" w:type="dxa"/>
            <w:vAlign w:val="center"/>
          </w:tcPr>
          <w:p w14:paraId="050B7AB1" w14:textId="3104B3E1" w:rsidR="009173F1" w:rsidRPr="00EF72E4" w:rsidRDefault="009173F1" w:rsidP="009173F1">
            <w:pPr>
              <w:spacing w:line="300" w:lineRule="atLeast"/>
              <w:jc w:val="center"/>
              <w:rPr>
                <w:rFonts w:ascii="Arial" w:hAnsi="Arial" w:cs="Arial"/>
                <w:sz w:val="16"/>
                <w:szCs w:val="16"/>
                <w:highlight w:val="yellow"/>
              </w:rPr>
            </w:pPr>
            <w:r w:rsidRPr="00BE7F5A">
              <w:rPr>
                <w:rFonts w:ascii="Arial" w:hAnsi="Arial" w:cs="Arial"/>
                <w:sz w:val="16"/>
                <w:szCs w:val="16"/>
              </w:rPr>
              <w:t>-</w:t>
            </w:r>
            <w:r w:rsidRPr="00BE7F5A" w:rsidDel="00AE1467">
              <w:rPr>
                <w:rFonts w:ascii="Arial" w:hAnsi="Arial" w:cs="Arial"/>
                <w:sz w:val="16"/>
                <w:szCs w:val="16"/>
              </w:rPr>
              <w:t>-</w:t>
            </w:r>
          </w:p>
        </w:tc>
        <w:tc>
          <w:tcPr>
            <w:tcW w:w="1213" w:type="dxa"/>
            <w:vAlign w:val="center"/>
          </w:tcPr>
          <w:p w14:paraId="246E7C4E" w14:textId="6D534746" w:rsidR="009173F1" w:rsidRPr="00EF72E4" w:rsidRDefault="009173F1" w:rsidP="009173F1">
            <w:pPr>
              <w:spacing w:line="300" w:lineRule="atLeast"/>
              <w:jc w:val="center"/>
              <w:rPr>
                <w:rFonts w:ascii="Arial" w:hAnsi="Arial" w:cs="Arial"/>
                <w:sz w:val="16"/>
                <w:szCs w:val="16"/>
                <w:highlight w:val="yellow"/>
              </w:rPr>
            </w:pPr>
            <w:r w:rsidRPr="00E16750">
              <w:rPr>
                <w:rFonts w:ascii="Arial" w:hAnsi="Arial" w:cs="Arial"/>
                <w:sz w:val="16"/>
                <w:szCs w:val="16"/>
              </w:rPr>
              <w:t>1.</w:t>
            </w:r>
            <w:r w:rsidR="00887D0A">
              <w:rPr>
                <w:rFonts w:ascii="Arial" w:hAnsi="Arial" w:cs="Arial"/>
                <w:sz w:val="16"/>
                <w:szCs w:val="16"/>
              </w:rPr>
              <w:t>7</w:t>
            </w:r>
            <w:r w:rsidRPr="00E16750">
              <w:rPr>
                <w:rFonts w:ascii="Arial" w:hAnsi="Arial" w:cs="Arial"/>
                <w:sz w:val="16"/>
                <w:szCs w:val="16"/>
              </w:rPr>
              <w:t xml:space="preserve"> – 16</w:t>
            </w:r>
            <w:r w:rsidR="00106061">
              <w:rPr>
                <w:rFonts w:ascii="Arial" w:hAnsi="Arial" w:cs="Arial"/>
                <w:sz w:val="16"/>
                <w:szCs w:val="16"/>
              </w:rPr>
              <w:t>3</w:t>
            </w:r>
            <w:r w:rsidRPr="00E16750">
              <w:rPr>
                <w:rFonts w:ascii="Arial" w:hAnsi="Arial" w:cs="Arial"/>
                <w:sz w:val="16"/>
                <w:szCs w:val="16"/>
              </w:rPr>
              <w:t xml:space="preserve"> (82.</w:t>
            </w:r>
            <w:r w:rsidR="00887D0A">
              <w:rPr>
                <w:rFonts w:ascii="Arial" w:hAnsi="Arial" w:cs="Arial"/>
                <w:sz w:val="16"/>
                <w:szCs w:val="16"/>
              </w:rPr>
              <w:t>4</w:t>
            </w:r>
            <w:r w:rsidRPr="00E16750">
              <w:rPr>
                <w:rFonts w:ascii="Arial" w:hAnsi="Arial" w:cs="Arial"/>
                <w:sz w:val="16"/>
                <w:szCs w:val="16"/>
              </w:rPr>
              <w:t>)</w:t>
            </w:r>
          </w:p>
        </w:tc>
      </w:tr>
      <w:tr w:rsidR="00ED3B2F" w:rsidRPr="007901FE" w14:paraId="51A1ACD3" w14:textId="77777777" w:rsidTr="008F1C52">
        <w:tc>
          <w:tcPr>
            <w:tcW w:w="1686" w:type="dxa"/>
            <w:vAlign w:val="center"/>
          </w:tcPr>
          <w:p w14:paraId="467ECCB3" w14:textId="77777777" w:rsidR="00ED3B2F" w:rsidRPr="00845746" w:rsidRDefault="00ED3B2F" w:rsidP="00ED3B2F">
            <w:pPr>
              <w:spacing w:before="60" w:after="60"/>
              <w:ind w:left="34"/>
              <w:rPr>
                <w:rFonts w:ascii="Arial" w:hAnsi="Arial" w:cs="Arial"/>
                <w:sz w:val="16"/>
                <w:szCs w:val="16"/>
              </w:rPr>
            </w:pPr>
            <w:r w:rsidRPr="00845746">
              <w:rPr>
                <w:rFonts w:ascii="Arial" w:hAnsi="Arial" w:cs="Arial"/>
                <w:sz w:val="16"/>
                <w:szCs w:val="16"/>
              </w:rPr>
              <w:t xml:space="preserve">2. Primary (virgin) metal production </w:t>
            </w:r>
          </w:p>
        </w:tc>
        <w:tc>
          <w:tcPr>
            <w:tcW w:w="1435" w:type="dxa"/>
            <w:vAlign w:val="center"/>
          </w:tcPr>
          <w:p w14:paraId="097FBCA8" w14:textId="25A9382D" w:rsidR="00ED3B2F" w:rsidRPr="00EF72E4" w:rsidRDefault="00ED3B2F" w:rsidP="00ED3B2F">
            <w:pPr>
              <w:spacing w:line="300" w:lineRule="atLeast"/>
              <w:jc w:val="center"/>
              <w:rPr>
                <w:rFonts w:ascii="Arial" w:hAnsi="Arial" w:cs="Arial"/>
                <w:sz w:val="16"/>
                <w:szCs w:val="16"/>
                <w:highlight w:val="yellow"/>
              </w:rPr>
            </w:pPr>
            <w:r w:rsidRPr="008F7061">
              <w:rPr>
                <w:rFonts w:ascii="Arial" w:hAnsi="Arial" w:cs="Arial"/>
                <w:bCs/>
                <w:sz w:val="16"/>
                <w:szCs w:val="16"/>
              </w:rPr>
              <w:t>257 – 391</w:t>
            </w:r>
            <w:r w:rsidR="00106061">
              <w:rPr>
                <w:rFonts w:ascii="Arial" w:hAnsi="Arial" w:cs="Arial"/>
                <w:bCs/>
                <w:sz w:val="16"/>
                <w:szCs w:val="16"/>
              </w:rPr>
              <w:t xml:space="preserve"> </w:t>
            </w:r>
            <w:r w:rsidRPr="008F7061">
              <w:rPr>
                <w:rFonts w:ascii="Arial" w:hAnsi="Arial" w:cs="Arial"/>
                <w:bCs/>
                <w:sz w:val="16"/>
                <w:szCs w:val="16"/>
              </w:rPr>
              <w:t>(324)</w:t>
            </w:r>
          </w:p>
        </w:tc>
        <w:tc>
          <w:tcPr>
            <w:tcW w:w="1168" w:type="dxa"/>
            <w:vAlign w:val="center"/>
          </w:tcPr>
          <w:p w14:paraId="04753368" w14:textId="793CDCED" w:rsidR="00ED3B2F" w:rsidRPr="00EF72E4" w:rsidRDefault="00ED3B2F" w:rsidP="00ED3B2F">
            <w:pPr>
              <w:spacing w:line="300" w:lineRule="atLeast"/>
              <w:jc w:val="center"/>
              <w:rPr>
                <w:rFonts w:ascii="Arial" w:hAnsi="Arial" w:cs="Arial"/>
                <w:sz w:val="16"/>
                <w:szCs w:val="16"/>
                <w:highlight w:val="yellow"/>
              </w:rPr>
            </w:pPr>
            <w:r w:rsidRPr="008F7061">
              <w:rPr>
                <w:rFonts w:ascii="Arial" w:hAnsi="Arial" w:cs="Arial"/>
                <w:bCs/>
                <w:sz w:val="16"/>
                <w:szCs w:val="16"/>
              </w:rPr>
              <w:t>28.7 – 89.</w:t>
            </w:r>
            <w:r w:rsidR="00106061">
              <w:rPr>
                <w:rFonts w:ascii="Arial" w:hAnsi="Arial" w:cs="Arial"/>
                <w:bCs/>
                <w:sz w:val="16"/>
                <w:szCs w:val="16"/>
              </w:rPr>
              <w:t>9</w:t>
            </w:r>
            <w:r w:rsidRPr="008F7061">
              <w:rPr>
                <w:rFonts w:ascii="Arial" w:hAnsi="Arial" w:cs="Arial"/>
                <w:bCs/>
                <w:sz w:val="16"/>
                <w:szCs w:val="16"/>
              </w:rPr>
              <w:t xml:space="preserve"> (59.</w:t>
            </w:r>
            <w:r w:rsidR="00106061">
              <w:rPr>
                <w:rFonts w:ascii="Arial" w:hAnsi="Arial" w:cs="Arial"/>
                <w:bCs/>
                <w:sz w:val="16"/>
                <w:szCs w:val="16"/>
              </w:rPr>
              <w:t>3</w:t>
            </w:r>
            <w:r w:rsidRPr="008F7061">
              <w:rPr>
                <w:rFonts w:ascii="Arial" w:hAnsi="Arial" w:cs="Arial"/>
                <w:bCs/>
                <w:sz w:val="16"/>
                <w:szCs w:val="16"/>
              </w:rPr>
              <w:t>)</w:t>
            </w:r>
          </w:p>
        </w:tc>
        <w:tc>
          <w:tcPr>
            <w:tcW w:w="1410" w:type="dxa"/>
            <w:vAlign w:val="center"/>
          </w:tcPr>
          <w:p w14:paraId="1F41BD01" w14:textId="18945A52" w:rsidR="00ED3B2F" w:rsidRPr="00EF72E4" w:rsidRDefault="00ED3B2F" w:rsidP="00ED3B2F">
            <w:pPr>
              <w:spacing w:line="300" w:lineRule="atLeast"/>
              <w:jc w:val="center"/>
              <w:rPr>
                <w:rFonts w:ascii="Arial" w:hAnsi="Arial" w:cs="Arial"/>
                <w:sz w:val="16"/>
                <w:szCs w:val="16"/>
                <w:highlight w:val="yellow"/>
              </w:rPr>
            </w:pPr>
            <w:r w:rsidRPr="008F7061">
              <w:rPr>
                <w:rFonts w:ascii="Arial" w:hAnsi="Arial" w:cs="Arial"/>
                <w:bCs/>
                <w:sz w:val="16"/>
                <w:szCs w:val="16"/>
              </w:rPr>
              <w:t>10.8 – 18.</w:t>
            </w:r>
            <w:r w:rsidR="00106061">
              <w:rPr>
                <w:rFonts w:ascii="Arial" w:hAnsi="Arial" w:cs="Arial"/>
                <w:bCs/>
                <w:sz w:val="16"/>
                <w:szCs w:val="16"/>
              </w:rPr>
              <w:t>9</w:t>
            </w:r>
            <w:r w:rsidRPr="008F7061">
              <w:rPr>
                <w:rFonts w:ascii="Arial" w:hAnsi="Arial" w:cs="Arial"/>
                <w:bCs/>
                <w:sz w:val="16"/>
                <w:szCs w:val="16"/>
              </w:rPr>
              <w:t xml:space="preserve"> (14.8)</w:t>
            </w:r>
          </w:p>
        </w:tc>
        <w:tc>
          <w:tcPr>
            <w:tcW w:w="1134" w:type="dxa"/>
            <w:vAlign w:val="center"/>
          </w:tcPr>
          <w:p w14:paraId="37FC86E3" w14:textId="4C28A2DD" w:rsidR="00ED3B2F" w:rsidRPr="00EF72E4" w:rsidRDefault="00ED3B2F" w:rsidP="00ED3B2F">
            <w:pPr>
              <w:spacing w:line="300" w:lineRule="atLeast"/>
              <w:jc w:val="center"/>
              <w:rPr>
                <w:rFonts w:ascii="Arial" w:hAnsi="Arial" w:cs="Arial"/>
                <w:sz w:val="16"/>
                <w:szCs w:val="16"/>
                <w:highlight w:val="yellow"/>
              </w:rPr>
            </w:pPr>
            <w:r w:rsidRPr="008F7061">
              <w:rPr>
                <w:rFonts w:ascii="Arial" w:hAnsi="Arial" w:cs="Arial"/>
                <w:bCs/>
                <w:sz w:val="16"/>
                <w:szCs w:val="16"/>
              </w:rPr>
              <w:t>155 – 220 (18</w:t>
            </w:r>
            <w:r w:rsidR="00106061">
              <w:rPr>
                <w:rFonts w:ascii="Arial" w:hAnsi="Arial" w:cs="Arial"/>
                <w:bCs/>
                <w:sz w:val="16"/>
                <w:szCs w:val="16"/>
              </w:rPr>
              <w:t>8</w:t>
            </w:r>
            <w:r w:rsidRPr="008F7061">
              <w:rPr>
                <w:rFonts w:ascii="Arial" w:hAnsi="Arial" w:cs="Arial"/>
                <w:bCs/>
                <w:sz w:val="16"/>
                <w:szCs w:val="16"/>
              </w:rPr>
              <w:t>)</w:t>
            </w:r>
          </w:p>
        </w:tc>
        <w:tc>
          <w:tcPr>
            <w:tcW w:w="1026" w:type="dxa"/>
            <w:vAlign w:val="center"/>
          </w:tcPr>
          <w:p w14:paraId="6DCF7CCB" w14:textId="5E7A7958" w:rsidR="00ED3B2F" w:rsidRPr="00EF72E4" w:rsidRDefault="00ED3B2F" w:rsidP="00ED3B2F">
            <w:pPr>
              <w:spacing w:line="300" w:lineRule="atLeast"/>
              <w:jc w:val="center"/>
              <w:rPr>
                <w:rFonts w:ascii="Arial" w:hAnsi="Arial" w:cs="Arial"/>
                <w:sz w:val="16"/>
                <w:szCs w:val="16"/>
                <w:highlight w:val="yellow"/>
              </w:rPr>
            </w:pPr>
            <w:r w:rsidRPr="008F7061">
              <w:rPr>
                <w:rFonts w:ascii="Arial" w:hAnsi="Arial" w:cs="Arial"/>
                <w:bCs/>
                <w:sz w:val="16"/>
                <w:szCs w:val="16"/>
              </w:rPr>
              <w:t>5.6</w:t>
            </w:r>
            <w:r w:rsidR="00106061">
              <w:rPr>
                <w:rFonts w:ascii="Arial" w:hAnsi="Arial" w:cs="Arial"/>
                <w:bCs/>
                <w:sz w:val="16"/>
                <w:szCs w:val="16"/>
              </w:rPr>
              <w:t>9</w:t>
            </w:r>
          </w:p>
        </w:tc>
        <w:tc>
          <w:tcPr>
            <w:tcW w:w="1213" w:type="dxa"/>
            <w:vAlign w:val="center"/>
          </w:tcPr>
          <w:p w14:paraId="4BF358C7" w14:textId="22D4FD38" w:rsidR="00ED3B2F" w:rsidRPr="00EF72E4" w:rsidRDefault="00ED3B2F" w:rsidP="00ED3B2F">
            <w:pPr>
              <w:spacing w:line="300" w:lineRule="atLeast"/>
              <w:jc w:val="center"/>
              <w:rPr>
                <w:rFonts w:ascii="Arial" w:hAnsi="Arial" w:cs="Arial"/>
                <w:sz w:val="16"/>
                <w:szCs w:val="16"/>
                <w:highlight w:val="yellow"/>
              </w:rPr>
            </w:pPr>
            <w:r w:rsidRPr="008F7061">
              <w:rPr>
                <w:rFonts w:ascii="Arial" w:hAnsi="Arial" w:cs="Arial"/>
                <w:bCs/>
                <w:sz w:val="16"/>
                <w:szCs w:val="16"/>
              </w:rPr>
              <w:t>5</w:t>
            </w:r>
            <w:r w:rsidR="00106061">
              <w:rPr>
                <w:rFonts w:ascii="Arial" w:hAnsi="Arial" w:cs="Arial"/>
                <w:bCs/>
                <w:sz w:val="16"/>
                <w:szCs w:val="16"/>
              </w:rPr>
              <w:t>7.0</w:t>
            </w:r>
          </w:p>
        </w:tc>
      </w:tr>
      <w:tr w:rsidR="00ED3B2F" w:rsidRPr="007901FE" w14:paraId="5F19CE5B" w14:textId="77777777" w:rsidTr="008F1C52">
        <w:tc>
          <w:tcPr>
            <w:tcW w:w="1686" w:type="dxa"/>
            <w:vAlign w:val="center"/>
          </w:tcPr>
          <w:p w14:paraId="426FEF06" w14:textId="0F6C0DED" w:rsidR="00ED3B2F" w:rsidRPr="00246738" w:rsidRDefault="00ED3B2F" w:rsidP="00ED3B2F">
            <w:pPr>
              <w:spacing w:before="60" w:after="60"/>
              <w:ind w:left="34"/>
              <w:rPr>
                <w:rFonts w:ascii="Arial" w:hAnsi="Arial" w:cs="Arial"/>
                <w:sz w:val="16"/>
                <w:szCs w:val="16"/>
              </w:rPr>
            </w:pPr>
            <w:r w:rsidRPr="00246738">
              <w:rPr>
                <w:rFonts w:ascii="Arial" w:hAnsi="Arial" w:cs="Arial"/>
                <w:sz w:val="16"/>
                <w:szCs w:val="16"/>
              </w:rPr>
              <w:t>3. Production of minerals and materials</w:t>
            </w:r>
            <w:r w:rsidR="00AC28BA">
              <w:rPr>
                <w:rFonts w:ascii="Arial" w:hAnsi="Arial" w:cs="Arial"/>
                <w:sz w:val="16"/>
                <w:szCs w:val="16"/>
              </w:rPr>
              <w:t xml:space="preserve"> with mercury impurities</w:t>
            </w:r>
          </w:p>
        </w:tc>
        <w:tc>
          <w:tcPr>
            <w:tcW w:w="1435" w:type="dxa"/>
            <w:vAlign w:val="center"/>
          </w:tcPr>
          <w:p w14:paraId="5B3180E2" w14:textId="45EC76EB" w:rsidR="00ED3B2F" w:rsidRPr="00EF72E4" w:rsidRDefault="00ED3B2F" w:rsidP="00ED3B2F">
            <w:pPr>
              <w:spacing w:line="300" w:lineRule="atLeast"/>
              <w:jc w:val="center"/>
              <w:rPr>
                <w:rFonts w:ascii="Arial" w:hAnsi="Arial" w:cs="Arial"/>
                <w:sz w:val="16"/>
                <w:szCs w:val="16"/>
                <w:highlight w:val="yellow"/>
              </w:rPr>
            </w:pPr>
            <w:r>
              <w:rPr>
                <w:rFonts w:ascii="Arial" w:hAnsi="Arial" w:cs="Arial"/>
                <w:sz w:val="16"/>
                <w:szCs w:val="16"/>
              </w:rPr>
              <w:t>13</w:t>
            </w:r>
            <w:r w:rsidR="00106061">
              <w:rPr>
                <w:rFonts w:ascii="Arial" w:hAnsi="Arial" w:cs="Arial"/>
                <w:sz w:val="16"/>
                <w:szCs w:val="16"/>
              </w:rPr>
              <w:t>8</w:t>
            </w:r>
            <w:r w:rsidRPr="006B7E65">
              <w:rPr>
                <w:rFonts w:ascii="Arial" w:hAnsi="Arial" w:cs="Arial"/>
                <w:sz w:val="16"/>
                <w:szCs w:val="16"/>
              </w:rPr>
              <w:t xml:space="preserve"> – </w:t>
            </w:r>
            <w:r>
              <w:rPr>
                <w:rFonts w:ascii="Arial" w:hAnsi="Arial" w:cs="Arial"/>
                <w:sz w:val="16"/>
                <w:szCs w:val="16"/>
              </w:rPr>
              <w:t>154</w:t>
            </w:r>
            <w:r w:rsidRPr="006B7E65">
              <w:rPr>
                <w:rFonts w:ascii="Arial" w:hAnsi="Arial" w:cs="Arial"/>
                <w:sz w:val="16"/>
                <w:szCs w:val="16"/>
              </w:rPr>
              <w:t>(</w:t>
            </w:r>
            <w:r>
              <w:rPr>
                <w:rFonts w:ascii="Arial" w:hAnsi="Arial" w:cs="Arial"/>
                <w:sz w:val="16"/>
                <w:szCs w:val="16"/>
              </w:rPr>
              <w:t>14</w:t>
            </w:r>
            <w:r w:rsidR="00106061">
              <w:rPr>
                <w:rFonts w:ascii="Arial" w:hAnsi="Arial" w:cs="Arial"/>
                <w:sz w:val="16"/>
                <w:szCs w:val="16"/>
              </w:rPr>
              <w:t>6</w:t>
            </w:r>
            <w:r w:rsidRPr="006B7E65">
              <w:rPr>
                <w:rFonts w:ascii="Arial" w:hAnsi="Arial" w:cs="Arial"/>
                <w:sz w:val="16"/>
                <w:szCs w:val="16"/>
              </w:rPr>
              <w:t>)</w:t>
            </w:r>
          </w:p>
        </w:tc>
        <w:tc>
          <w:tcPr>
            <w:tcW w:w="1168" w:type="dxa"/>
            <w:vAlign w:val="center"/>
          </w:tcPr>
          <w:p w14:paraId="152A57CA" w14:textId="58BC6A51" w:rsidR="00ED3B2F" w:rsidRPr="00EF72E4" w:rsidRDefault="00ED3B2F" w:rsidP="00ED3B2F">
            <w:pPr>
              <w:spacing w:line="300" w:lineRule="atLeast"/>
              <w:jc w:val="center"/>
              <w:rPr>
                <w:rFonts w:ascii="Arial" w:hAnsi="Arial" w:cs="Arial"/>
                <w:sz w:val="16"/>
                <w:szCs w:val="16"/>
                <w:highlight w:val="yellow"/>
              </w:rPr>
            </w:pPr>
            <w:r>
              <w:rPr>
                <w:rFonts w:ascii="Arial" w:hAnsi="Arial" w:cs="Arial"/>
                <w:sz w:val="16"/>
                <w:szCs w:val="16"/>
              </w:rPr>
              <w:t xml:space="preserve">0.92 -2.27 </w:t>
            </w:r>
            <w:r w:rsidRPr="006B7E65">
              <w:rPr>
                <w:rFonts w:ascii="Arial" w:hAnsi="Arial" w:cs="Arial"/>
                <w:sz w:val="16"/>
                <w:szCs w:val="16"/>
              </w:rPr>
              <w:t xml:space="preserve"> (</w:t>
            </w:r>
            <w:r>
              <w:rPr>
                <w:rFonts w:ascii="Arial" w:hAnsi="Arial" w:cs="Arial"/>
                <w:sz w:val="16"/>
                <w:szCs w:val="16"/>
              </w:rPr>
              <w:t>1.</w:t>
            </w:r>
            <w:r w:rsidR="00106061">
              <w:rPr>
                <w:rFonts w:ascii="Arial" w:hAnsi="Arial" w:cs="Arial"/>
                <w:sz w:val="16"/>
                <w:szCs w:val="16"/>
              </w:rPr>
              <w:t>60</w:t>
            </w:r>
            <w:r w:rsidRPr="006B7E65">
              <w:rPr>
                <w:rFonts w:ascii="Arial" w:hAnsi="Arial" w:cs="Arial"/>
                <w:sz w:val="16"/>
                <w:szCs w:val="16"/>
              </w:rPr>
              <w:t>)</w:t>
            </w:r>
          </w:p>
        </w:tc>
        <w:tc>
          <w:tcPr>
            <w:tcW w:w="1410" w:type="dxa"/>
            <w:vAlign w:val="center"/>
          </w:tcPr>
          <w:p w14:paraId="14769343" w14:textId="3B1104AD" w:rsidR="00ED3B2F" w:rsidRPr="00EF72E4" w:rsidRDefault="00ED3B2F" w:rsidP="00ED3B2F">
            <w:pPr>
              <w:spacing w:line="300" w:lineRule="atLeast"/>
              <w:jc w:val="center"/>
              <w:rPr>
                <w:rFonts w:ascii="Arial" w:hAnsi="Arial" w:cs="Arial"/>
                <w:sz w:val="16"/>
                <w:szCs w:val="16"/>
                <w:highlight w:val="yellow"/>
              </w:rPr>
            </w:pPr>
            <w:r w:rsidRPr="006B7E65">
              <w:rPr>
                <w:rFonts w:ascii="Arial" w:hAnsi="Arial" w:cs="Arial"/>
                <w:sz w:val="16"/>
                <w:szCs w:val="16"/>
              </w:rPr>
              <w:t>-</w:t>
            </w:r>
          </w:p>
        </w:tc>
        <w:tc>
          <w:tcPr>
            <w:tcW w:w="1134" w:type="dxa"/>
            <w:vAlign w:val="center"/>
          </w:tcPr>
          <w:p w14:paraId="23FC31A1" w14:textId="198BFCE3" w:rsidR="00ED3B2F" w:rsidRPr="00EF72E4" w:rsidRDefault="00ED3B2F" w:rsidP="00ED3B2F">
            <w:pPr>
              <w:spacing w:line="300" w:lineRule="atLeast"/>
              <w:jc w:val="center"/>
              <w:rPr>
                <w:rFonts w:ascii="Arial" w:hAnsi="Arial" w:cs="Arial"/>
                <w:sz w:val="16"/>
                <w:szCs w:val="16"/>
                <w:highlight w:val="yellow"/>
              </w:rPr>
            </w:pPr>
            <w:r>
              <w:rPr>
                <w:rFonts w:ascii="Arial" w:hAnsi="Arial" w:cs="Arial"/>
                <w:sz w:val="16"/>
                <w:szCs w:val="16"/>
              </w:rPr>
              <w:t>13</w:t>
            </w:r>
            <w:r w:rsidR="00106061">
              <w:rPr>
                <w:rFonts w:ascii="Arial" w:hAnsi="Arial" w:cs="Arial"/>
                <w:sz w:val="16"/>
                <w:szCs w:val="16"/>
              </w:rPr>
              <w:t>7</w:t>
            </w:r>
            <w:r w:rsidRPr="006B7E65">
              <w:rPr>
                <w:rFonts w:ascii="Arial" w:hAnsi="Arial" w:cs="Arial"/>
                <w:sz w:val="16"/>
                <w:szCs w:val="16"/>
              </w:rPr>
              <w:t xml:space="preserve"> – </w:t>
            </w:r>
            <w:r>
              <w:rPr>
                <w:rFonts w:ascii="Arial" w:hAnsi="Arial" w:cs="Arial"/>
                <w:sz w:val="16"/>
                <w:szCs w:val="16"/>
              </w:rPr>
              <w:t>15</w:t>
            </w:r>
            <w:r w:rsidR="00106061">
              <w:rPr>
                <w:rFonts w:ascii="Arial" w:hAnsi="Arial" w:cs="Arial"/>
                <w:sz w:val="16"/>
                <w:szCs w:val="16"/>
              </w:rPr>
              <w:t xml:space="preserve">1 </w:t>
            </w:r>
            <w:r w:rsidRPr="006B7E65">
              <w:rPr>
                <w:rFonts w:ascii="Arial" w:hAnsi="Arial" w:cs="Arial"/>
                <w:sz w:val="16"/>
                <w:szCs w:val="16"/>
              </w:rPr>
              <w:t>(</w:t>
            </w:r>
            <w:r>
              <w:rPr>
                <w:rFonts w:ascii="Arial" w:hAnsi="Arial" w:cs="Arial"/>
                <w:sz w:val="16"/>
                <w:szCs w:val="16"/>
              </w:rPr>
              <w:t>14</w:t>
            </w:r>
            <w:r w:rsidR="00106061">
              <w:rPr>
                <w:rFonts w:ascii="Arial" w:hAnsi="Arial" w:cs="Arial"/>
                <w:sz w:val="16"/>
                <w:szCs w:val="16"/>
              </w:rPr>
              <w:t>4</w:t>
            </w:r>
            <w:r w:rsidRPr="006B7E65">
              <w:rPr>
                <w:rFonts w:ascii="Arial" w:hAnsi="Arial" w:cs="Arial"/>
                <w:sz w:val="16"/>
                <w:szCs w:val="16"/>
              </w:rPr>
              <w:t>)</w:t>
            </w:r>
          </w:p>
        </w:tc>
        <w:tc>
          <w:tcPr>
            <w:tcW w:w="1026" w:type="dxa"/>
            <w:vAlign w:val="center"/>
          </w:tcPr>
          <w:p w14:paraId="1D08C17C" w14:textId="6AEA5032" w:rsidR="00ED3B2F" w:rsidRPr="00EF72E4" w:rsidRDefault="00ED3B2F" w:rsidP="00ED3B2F">
            <w:pPr>
              <w:spacing w:line="300" w:lineRule="atLeast"/>
              <w:jc w:val="center"/>
              <w:rPr>
                <w:rFonts w:ascii="Arial" w:hAnsi="Arial" w:cs="Arial"/>
                <w:sz w:val="16"/>
                <w:szCs w:val="16"/>
                <w:highlight w:val="yellow"/>
              </w:rPr>
            </w:pPr>
            <w:r>
              <w:rPr>
                <w:rFonts w:ascii="Arial" w:hAnsi="Arial" w:cs="Arial"/>
                <w:sz w:val="16"/>
                <w:szCs w:val="16"/>
              </w:rPr>
              <w:t>0.394-0.973 (0.683)</w:t>
            </w:r>
          </w:p>
        </w:tc>
        <w:tc>
          <w:tcPr>
            <w:tcW w:w="1213" w:type="dxa"/>
            <w:vAlign w:val="center"/>
          </w:tcPr>
          <w:p w14:paraId="73F37D46" w14:textId="15BE3E7F" w:rsidR="00ED3B2F" w:rsidRPr="00EF72E4" w:rsidRDefault="00ED3B2F" w:rsidP="00ED3B2F">
            <w:pPr>
              <w:spacing w:line="300" w:lineRule="atLeast"/>
              <w:jc w:val="center"/>
              <w:rPr>
                <w:rFonts w:ascii="Arial" w:hAnsi="Arial" w:cs="Arial"/>
                <w:sz w:val="16"/>
                <w:szCs w:val="16"/>
                <w:highlight w:val="yellow"/>
              </w:rPr>
            </w:pPr>
            <w:r w:rsidRPr="006B7E65">
              <w:rPr>
                <w:rFonts w:ascii="Arial" w:hAnsi="Arial" w:cs="Arial"/>
                <w:sz w:val="16"/>
                <w:szCs w:val="16"/>
              </w:rPr>
              <w:t>-</w:t>
            </w:r>
          </w:p>
        </w:tc>
      </w:tr>
      <w:tr w:rsidR="00AF12AC" w:rsidRPr="007901FE" w14:paraId="6A88DC9F" w14:textId="77777777" w:rsidTr="008F1C52">
        <w:tc>
          <w:tcPr>
            <w:tcW w:w="1686" w:type="dxa"/>
            <w:vAlign w:val="center"/>
          </w:tcPr>
          <w:p w14:paraId="7C0E507F" w14:textId="77777777" w:rsidR="00AF12AC" w:rsidRPr="00246738" w:rsidRDefault="00AF12AC" w:rsidP="00DF754B">
            <w:pPr>
              <w:spacing w:before="60" w:after="60"/>
              <w:ind w:left="34"/>
              <w:rPr>
                <w:rFonts w:ascii="Arial" w:hAnsi="Arial" w:cs="Arial"/>
                <w:sz w:val="16"/>
                <w:szCs w:val="16"/>
              </w:rPr>
            </w:pPr>
            <w:r w:rsidRPr="00246738">
              <w:rPr>
                <w:rFonts w:ascii="Arial" w:hAnsi="Arial" w:cs="Arial"/>
                <w:sz w:val="16"/>
                <w:szCs w:val="16"/>
              </w:rPr>
              <w:t xml:space="preserve">4. Intentional use in industrial processes </w:t>
            </w:r>
          </w:p>
        </w:tc>
        <w:tc>
          <w:tcPr>
            <w:tcW w:w="1435" w:type="dxa"/>
            <w:vAlign w:val="center"/>
          </w:tcPr>
          <w:p w14:paraId="4C33175D" w14:textId="77777777" w:rsidR="00AF12AC" w:rsidRPr="00ED3B2F" w:rsidRDefault="00AF12AC" w:rsidP="00DF754B">
            <w:pPr>
              <w:spacing w:before="60" w:after="60"/>
              <w:jc w:val="center"/>
              <w:rPr>
                <w:rFonts w:ascii="Arial" w:hAnsi="Arial" w:cs="Arial"/>
                <w:sz w:val="16"/>
                <w:szCs w:val="16"/>
              </w:rPr>
            </w:pPr>
            <w:r w:rsidRPr="00ED3B2F">
              <w:rPr>
                <w:rFonts w:ascii="Arial" w:hAnsi="Arial" w:cs="Arial"/>
                <w:sz w:val="16"/>
                <w:szCs w:val="16"/>
              </w:rPr>
              <w:t>-</w:t>
            </w:r>
          </w:p>
        </w:tc>
        <w:tc>
          <w:tcPr>
            <w:tcW w:w="1168" w:type="dxa"/>
            <w:vAlign w:val="center"/>
          </w:tcPr>
          <w:p w14:paraId="5F14351B" w14:textId="77777777" w:rsidR="00AF12AC" w:rsidRPr="00ED3B2F" w:rsidRDefault="00AF12AC" w:rsidP="00DF754B">
            <w:pPr>
              <w:spacing w:before="60" w:after="60"/>
              <w:jc w:val="center"/>
              <w:rPr>
                <w:rFonts w:ascii="Arial" w:hAnsi="Arial" w:cs="Arial"/>
                <w:sz w:val="16"/>
                <w:szCs w:val="16"/>
              </w:rPr>
            </w:pPr>
            <w:r w:rsidRPr="00ED3B2F">
              <w:rPr>
                <w:rFonts w:ascii="Arial" w:hAnsi="Arial" w:cs="Arial"/>
                <w:sz w:val="16"/>
                <w:szCs w:val="16"/>
              </w:rPr>
              <w:t>-</w:t>
            </w:r>
          </w:p>
        </w:tc>
        <w:tc>
          <w:tcPr>
            <w:tcW w:w="1410" w:type="dxa"/>
            <w:vAlign w:val="center"/>
          </w:tcPr>
          <w:p w14:paraId="25464359" w14:textId="77777777" w:rsidR="00AF12AC" w:rsidRPr="00ED3B2F" w:rsidRDefault="00AF12AC" w:rsidP="00DF754B">
            <w:pPr>
              <w:spacing w:before="60" w:after="60"/>
              <w:jc w:val="center"/>
              <w:rPr>
                <w:rFonts w:ascii="Arial" w:hAnsi="Arial" w:cs="Arial"/>
                <w:sz w:val="16"/>
                <w:szCs w:val="16"/>
              </w:rPr>
            </w:pPr>
            <w:r w:rsidRPr="00ED3B2F">
              <w:rPr>
                <w:rFonts w:ascii="Arial" w:hAnsi="Arial" w:cs="Arial"/>
                <w:sz w:val="16"/>
                <w:szCs w:val="16"/>
              </w:rPr>
              <w:t>-</w:t>
            </w:r>
          </w:p>
        </w:tc>
        <w:tc>
          <w:tcPr>
            <w:tcW w:w="1134" w:type="dxa"/>
            <w:vAlign w:val="center"/>
          </w:tcPr>
          <w:p w14:paraId="13926E73" w14:textId="77777777" w:rsidR="00AF12AC" w:rsidRPr="00ED3B2F" w:rsidRDefault="00AF12AC" w:rsidP="00DF754B">
            <w:pPr>
              <w:spacing w:before="60" w:after="60"/>
              <w:jc w:val="center"/>
              <w:rPr>
                <w:rFonts w:ascii="Arial" w:hAnsi="Arial" w:cs="Arial"/>
                <w:sz w:val="16"/>
                <w:szCs w:val="16"/>
              </w:rPr>
            </w:pPr>
            <w:r w:rsidRPr="00ED3B2F">
              <w:rPr>
                <w:rFonts w:ascii="Arial" w:hAnsi="Arial" w:cs="Arial"/>
                <w:sz w:val="16"/>
                <w:szCs w:val="16"/>
              </w:rPr>
              <w:t>-</w:t>
            </w:r>
          </w:p>
        </w:tc>
        <w:tc>
          <w:tcPr>
            <w:tcW w:w="1026" w:type="dxa"/>
            <w:vAlign w:val="center"/>
          </w:tcPr>
          <w:p w14:paraId="73A3DF55" w14:textId="77777777" w:rsidR="00AF12AC" w:rsidRPr="00ED3B2F" w:rsidRDefault="00AF12AC" w:rsidP="00DF754B">
            <w:pPr>
              <w:spacing w:before="60" w:after="60"/>
              <w:jc w:val="center"/>
              <w:rPr>
                <w:rFonts w:ascii="Arial" w:hAnsi="Arial" w:cs="Arial"/>
                <w:sz w:val="16"/>
                <w:szCs w:val="16"/>
              </w:rPr>
            </w:pPr>
            <w:r w:rsidRPr="00ED3B2F">
              <w:rPr>
                <w:rFonts w:ascii="Arial" w:hAnsi="Arial" w:cs="Arial"/>
                <w:sz w:val="16"/>
                <w:szCs w:val="16"/>
              </w:rPr>
              <w:t>-</w:t>
            </w:r>
          </w:p>
        </w:tc>
        <w:tc>
          <w:tcPr>
            <w:tcW w:w="1213" w:type="dxa"/>
            <w:vAlign w:val="center"/>
          </w:tcPr>
          <w:p w14:paraId="70BBAA80" w14:textId="77777777" w:rsidR="00AF12AC" w:rsidRPr="00ED3B2F" w:rsidRDefault="00AF12AC" w:rsidP="00DF754B">
            <w:pPr>
              <w:spacing w:before="60" w:after="60"/>
              <w:jc w:val="center"/>
              <w:rPr>
                <w:rFonts w:ascii="Arial" w:hAnsi="Arial" w:cs="Arial"/>
                <w:sz w:val="16"/>
                <w:szCs w:val="16"/>
              </w:rPr>
            </w:pPr>
            <w:r w:rsidRPr="00ED3B2F">
              <w:rPr>
                <w:rFonts w:ascii="Arial" w:hAnsi="Arial" w:cs="Arial"/>
                <w:sz w:val="16"/>
                <w:szCs w:val="16"/>
              </w:rPr>
              <w:t>-</w:t>
            </w:r>
          </w:p>
        </w:tc>
      </w:tr>
      <w:tr w:rsidR="00254ACE" w:rsidRPr="007901FE" w14:paraId="3DA520BC" w14:textId="77777777" w:rsidTr="008F1C52">
        <w:tc>
          <w:tcPr>
            <w:tcW w:w="1686" w:type="dxa"/>
            <w:vAlign w:val="center"/>
          </w:tcPr>
          <w:p w14:paraId="1F849DCD" w14:textId="0AB81D84" w:rsidR="00254ACE" w:rsidRPr="00F85126" w:rsidRDefault="00254ACE" w:rsidP="00254ACE">
            <w:pPr>
              <w:spacing w:before="60" w:after="60"/>
              <w:ind w:left="34"/>
              <w:rPr>
                <w:rFonts w:ascii="Arial" w:hAnsi="Arial" w:cs="Arial"/>
                <w:sz w:val="16"/>
                <w:szCs w:val="16"/>
                <w:highlight w:val="yellow"/>
              </w:rPr>
            </w:pPr>
            <w:r w:rsidRPr="00424224">
              <w:rPr>
                <w:rFonts w:ascii="Arial" w:hAnsi="Arial" w:cs="Arial"/>
                <w:sz w:val="16"/>
                <w:szCs w:val="16"/>
              </w:rPr>
              <w:t>5. Consumer products with intentional use</w:t>
            </w:r>
            <w:r w:rsidR="00AC28BA">
              <w:rPr>
                <w:rFonts w:ascii="Arial" w:hAnsi="Arial" w:cs="Arial"/>
                <w:sz w:val="16"/>
                <w:szCs w:val="16"/>
              </w:rPr>
              <w:t xml:space="preserve"> of mercury</w:t>
            </w:r>
          </w:p>
        </w:tc>
        <w:tc>
          <w:tcPr>
            <w:tcW w:w="1435" w:type="dxa"/>
            <w:vAlign w:val="center"/>
          </w:tcPr>
          <w:p w14:paraId="3DA67360" w14:textId="4F75E177" w:rsidR="00254ACE" w:rsidRPr="00EF72E4" w:rsidRDefault="00254ACE" w:rsidP="00254ACE">
            <w:pPr>
              <w:spacing w:line="300" w:lineRule="atLeast"/>
              <w:jc w:val="center"/>
              <w:rPr>
                <w:rFonts w:ascii="Arial" w:hAnsi="Arial" w:cs="Arial"/>
                <w:sz w:val="16"/>
                <w:szCs w:val="16"/>
                <w:highlight w:val="yellow"/>
              </w:rPr>
            </w:pPr>
            <w:r>
              <w:rPr>
                <w:rFonts w:ascii="Arial" w:hAnsi="Arial" w:cs="Arial"/>
                <w:bCs/>
                <w:sz w:val="16"/>
                <w:szCs w:val="16"/>
              </w:rPr>
              <w:t>71.1 – 76.8 (73.9)</w:t>
            </w:r>
          </w:p>
        </w:tc>
        <w:tc>
          <w:tcPr>
            <w:tcW w:w="1168" w:type="dxa"/>
            <w:vAlign w:val="center"/>
          </w:tcPr>
          <w:p w14:paraId="35A502AA" w14:textId="4C4A1DAE" w:rsidR="00254ACE" w:rsidRPr="00EF72E4" w:rsidRDefault="00254ACE" w:rsidP="00254ACE">
            <w:pPr>
              <w:spacing w:line="300" w:lineRule="atLeast"/>
              <w:jc w:val="center"/>
              <w:rPr>
                <w:rFonts w:ascii="Arial" w:hAnsi="Arial" w:cs="Arial"/>
                <w:sz w:val="16"/>
                <w:szCs w:val="16"/>
                <w:highlight w:val="yellow"/>
              </w:rPr>
            </w:pPr>
            <w:r>
              <w:rPr>
                <w:rFonts w:ascii="Arial" w:hAnsi="Arial" w:cs="Arial"/>
                <w:bCs/>
                <w:sz w:val="16"/>
                <w:szCs w:val="16"/>
              </w:rPr>
              <w:t>0.76 – 1.05</w:t>
            </w:r>
            <w:r w:rsidRPr="009D0D1B">
              <w:rPr>
                <w:rFonts w:ascii="Arial" w:hAnsi="Arial" w:cs="Arial"/>
                <w:bCs/>
                <w:sz w:val="16"/>
                <w:szCs w:val="16"/>
              </w:rPr>
              <w:t xml:space="preserve"> (</w:t>
            </w:r>
            <w:r>
              <w:rPr>
                <w:rFonts w:ascii="Arial" w:hAnsi="Arial" w:cs="Arial"/>
                <w:bCs/>
                <w:sz w:val="16"/>
                <w:szCs w:val="16"/>
              </w:rPr>
              <w:t>0.90</w:t>
            </w:r>
            <w:r w:rsidRPr="009D0D1B">
              <w:rPr>
                <w:rFonts w:ascii="Arial" w:hAnsi="Arial" w:cs="Arial"/>
                <w:bCs/>
                <w:sz w:val="16"/>
                <w:szCs w:val="16"/>
              </w:rPr>
              <w:t>)</w:t>
            </w:r>
          </w:p>
        </w:tc>
        <w:tc>
          <w:tcPr>
            <w:tcW w:w="1410" w:type="dxa"/>
            <w:vAlign w:val="center"/>
          </w:tcPr>
          <w:p w14:paraId="166416F7" w14:textId="00B29A1F" w:rsidR="00254ACE" w:rsidRPr="00EF72E4" w:rsidRDefault="00254ACE" w:rsidP="00254ACE">
            <w:pPr>
              <w:spacing w:line="300" w:lineRule="atLeast"/>
              <w:jc w:val="center"/>
              <w:rPr>
                <w:rFonts w:ascii="Arial" w:hAnsi="Arial" w:cs="Arial"/>
                <w:sz w:val="16"/>
                <w:szCs w:val="16"/>
                <w:highlight w:val="yellow"/>
              </w:rPr>
            </w:pPr>
            <w:r w:rsidRPr="000B1B79">
              <w:rPr>
                <w:rFonts w:ascii="Arial" w:hAnsi="Arial" w:cs="Arial"/>
                <w:bCs/>
                <w:sz w:val="16"/>
                <w:szCs w:val="16"/>
              </w:rPr>
              <w:t>0.00015- 0.0015 (0.00083)</w:t>
            </w:r>
          </w:p>
        </w:tc>
        <w:tc>
          <w:tcPr>
            <w:tcW w:w="1134" w:type="dxa"/>
            <w:vAlign w:val="center"/>
          </w:tcPr>
          <w:p w14:paraId="18D1C817" w14:textId="07D4D8AC" w:rsidR="00254ACE" w:rsidRPr="00EF72E4" w:rsidRDefault="00254ACE" w:rsidP="00254ACE">
            <w:pPr>
              <w:spacing w:line="300" w:lineRule="atLeast"/>
              <w:jc w:val="center"/>
              <w:rPr>
                <w:rFonts w:ascii="Arial" w:hAnsi="Arial" w:cs="Arial"/>
                <w:sz w:val="16"/>
                <w:szCs w:val="16"/>
                <w:highlight w:val="yellow"/>
              </w:rPr>
            </w:pPr>
            <w:r>
              <w:rPr>
                <w:rFonts w:ascii="Arial" w:hAnsi="Arial" w:cs="Arial"/>
                <w:bCs/>
                <w:sz w:val="16"/>
                <w:szCs w:val="16"/>
              </w:rPr>
              <w:t>0.64</w:t>
            </w:r>
          </w:p>
        </w:tc>
        <w:tc>
          <w:tcPr>
            <w:tcW w:w="1026" w:type="dxa"/>
            <w:vAlign w:val="center"/>
          </w:tcPr>
          <w:p w14:paraId="42F5E356" w14:textId="59665144" w:rsidR="00254ACE" w:rsidRPr="00EF72E4" w:rsidRDefault="00254ACE" w:rsidP="00254ACE">
            <w:pPr>
              <w:spacing w:line="300" w:lineRule="atLeast"/>
              <w:jc w:val="center"/>
              <w:rPr>
                <w:rFonts w:ascii="Arial" w:hAnsi="Arial" w:cs="Arial"/>
                <w:sz w:val="16"/>
                <w:szCs w:val="16"/>
                <w:highlight w:val="yellow"/>
              </w:rPr>
            </w:pPr>
            <w:r w:rsidRPr="009D0D1B">
              <w:rPr>
                <w:rFonts w:ascii="Arial" w:hAnsi="Arial" w:cs="Arial"/>
                <w:bCs/>
                <w:sz w:val="16"/>
                <w:szCs w:val="16"/>
              </w:rPr>
              <w:t>28.</w:t>
            </w:r>
            <w:r>
              <w:rPr>
                <w:rFonts w:ascii="Arial" w:hAnsi="Arial" w:cs="Arial"/>
                <w:bCs/>
                <w:sz w:val="16"/>
                <w:szCs w:val="16"/>
              </w:rPr>
              <w:t>9</w:t>
            </w:r>
          </w:p>
        </w:tc>
        <w:tc>
          <w:tcPr>
            <w:tcW w:w="1213" w:type="dxa"/>
            <w:vAlign w:val="center"/>
          </w:tcPr>
          <w:p w14:paraId="6E1F30EF" w14:textId="07640994" w:rsidR="00254ACE" w:rsidRPr="00EF72E4" w:rsidRDefault="00254ACE" w:rsidP="00254ACE">
            <w:pPr>
              <w:spacing w:line="300" w:lineRule="atLeast"/>
              <w:jc w:val="center"/>
              <w:rPr>
                <w:rFonts w:ascii="Arial" w:hAnsi="Arial" w:cs="Arial"/>
                <w:sz w:val="16"/>
                <w:szCs w:val="16"/>
                <w:highlight w:val="yellow"/>
              </w:rPr>
            </w:pPr>
            <w:r>
              <w:rPr>
                <w:rFonts w:ascii="Arial" w:hAnsi="Arial" w:cs="Arial"/>
                <w:bCs/>
                <w:sz w:val="16"/>
                <w:szCs w:val="16"/>
              </w:rPr>
              <w:t>40.8 – 46.3 (43.6)</w:t>
            </w:r>
          </w:p>
        </w:tc>
      </w:tr>
      <w:tr w:rsidR="00ED3B2F" w:rsidRPr="007901FE" w14:paraId="04C0F540" w14:textId="77777777" w:rsidTr="008F1C52">
        <w:tc>
          <w:tcPr>
            <w:tcW w:w="1686" w:type="dxa"/>
            <w:vAlign w:val="center"/>
          </w:tcPr>
          <w:p w14:paraId="02E592F5" w14:textId="77777777" w:rsidR="00ED3B2F" w:rsidRPr="00246738" w:rsidRDefault="00ED3B2F" w:rsidP="00ED3B2F">
            <w:pPr>
              <w:spacing w:before="60" w:after="60"/>
              <w:ind w:left="34"/>
              <w:rPr>
                <w:rFonts w:ascii="Arial" w:hAnsi="Arial" w:cs="Arial"/>
                <w:sz w:val="16"/>
                <w:szCs w:val="16"/>
              </w:rPr>
            </w:pPr>
            <w:r w:rsidRPr="00246738">
              <w:rPr>
                <w:rFonts w:ascii="Arial" w:hAnsi="Arial" w:cs="Arial"/>
                <w:sz w:val="16"/>
                <w:szCs w:val="16"/>
              </w:rPr>
              <w:t xml:space="preserve">6. Other </w:t>
            </w:r>
            <w:r>
              <w:rPr>
                <w:rFonts w:ascii="Arial" w:hAnsi="Arial" w:cs="Arial"/>
                <w:sz w:val="16"/>
                <w:szCs w:val="16"/>
              </w:rPr>
              <w:t>intentional products/processes</w:t>
            </w:r>
            <w:r w:rsidRPr="00246738">
              <w:rPr>
                <w:rFonts w:ascii="Arial" w:hAnsi="Arial" w:cs="Arial"/>
                <w:sz w:val="16"/>
                <w:szCs w:val="16"/>
              </w:rPr>
              <w:t xml:space="preserve"> </w:t>
            </w:r>
          </w:p>
        </w:tc>
        <w:tc>
          <w:tcPr>
            <w:tcW w:w="1435" w:type="dxa"/>
            <w:vAlign w:val="center"/>
          </w:tcPr>
          <w:p w14:paraId="3C437F7F" w14:textId="303B0FE7" w:rsidR="00ED3B2F" w:rsidRPr="00EF72E4" w:rsidRDefault="00ED3B2F" w:rsidP="00ED3B2F">
            <w:pPr>
              <w:spacing w:line="300" w:lineRule="atLeast"/>
              <w:jc w:val="center"/>
              <w:rPr>
                <w:rFonts w:ascii="Arial" w:hAnsi="Arial" w:cs="Arial"/>
                <w:sz w:val="16"/>
                <w:szCs w:val="16"/>
                <w:highlight w:val="yellow"/>
              </w:rPr>
            </w:pPr>
            <w:r w:rsidRPr="006B7E65">
              <w:rPr>
                <w:rFonts w:ascii="Arial" w:hAnsi="Arial" w:cs="Arial"/>
                <w:bCs/>
                <w:sz w:val="16"/>
                <w:szCs w:val="16"/>
              </w:rPr>
              <w:t>3.4</w:t>
            </w:r>
            <w:r w:rsidR="00246F41">
              <w:rPr>
                <w:rFonts w:ascii="Arial" w:hAnsi="Arial" w:cs="Arial"/>
                <w:bCs/>
                <w:sz w:val="16"/>
                <w:szCs w:val="16"/>
              </w:rPr>
              <w:t>3</w:t>
            </w:r>
          </w:p>
        </w:tc>
        <w:tc>
          <w:tcPr>
            <w:tcW w:w="1168" w:type="dxa"/>
            <w:vAlign w:val="center"/>
          </w:tcPr>
          <w:p w14:paraId="047EF15A" w14:textId="6050AFBB" w:rsidR="00ED3B2F" w:rsidRPr="00EF72E4" w:rsidRDefault="00ED3B2F" w:rsidP="00ED3B2F">
            <w:pPr>
              <w:spacing w:line="300" w:lineRule="atLeast"/>
              <w:jc w:val="center"/>
              <w:rPr>
                <w:rFonts w:ascii="Arial" w:hAnsi="Arial" w:cs="Arial"/>
                <w:sz w:val="16"/>
                <w:szCs w:val="16"/>
                <w:highlight w:val="yellow"/>
              </w:rPr>
            </w:pPr>
            <w:r w:rsidRPr="006B7E65">
              <w:rPr>
                <w:rFonts w:ascii="Arial" w:hAnsi="Arial" w:cs="Arial"/>
                <w:bCs/>
                <w:sz w:val="16"/>
                <w:szCs w:val="16"/>
              </w:rPr>
              <w:t>0.116</w:t>
            </w:r>
          </w:p>
        </w:tc>
        <w:tc>
          <w:tcPr>
            <w:tcW w:w="1410" w:type="dxa"/>
            <w:vAlign w:val="center"/>
          </w:tcPr>
          <w:p w14:paraId="14FDB562" w14:textId="4C05E376" w:rsidR="00ED3B2F" w:rsidRPr="00EF72E4" w:rsidRDefault="00ED3B2F" w:rsidP="00ED3B2F">
            <w:pPr>
              <w:spacing w:line="300" w:lineRule="atLeast"/>
              <w:jc w:val="center"/>
              <w:rPr>
                <w:rFonts w:ascii="Arial" w:hAnsi="Arial" w:cs="Arial"/>
                <w:sz w:val="16"/>
                <w:szCs w:val="16"/>
                <w:highlight w:val="yellow"/>
              </w:rPr>
            </w:pPr>
            <w:r w:rsidRPr="006B7E65">
              <w:rPr>
                <w:rFonts w:ascii="Arial" w:hAnsi="Arial" w:cs="Arial"/>
                <w:bCs/>
                <w:sz w:val="16"/>
                <w:szCs w:val="16"/>
              </w:rPr>
              <w:t>0.403</w:t>
            </w:r>
          </w:p>
        </w:tc>
        <w:tc>
          <w:tcPr>
            <w:tcW w:w="1134" w:type="dxa"/>
            <w:vAlign w:val="center"/>
          </w:tcPr>
          <w:p w14:paraId="6424201B" w14:textId="66D02FF4" w:rsidR="00ED3B2F" w:rsidRPr="00EF72E4" w:rsidRDefault="00ED3B2F" w:rsidP="00ED3B2F">
            <w:pPr>
              <w:spacing w:line="300" w:lineRule="atLeast"/>
              <w:jc w:val="center"/>
              <w:rPr>
                <w:rFonts w:ascii="Arial" w:hAnsi="Arial" w:cs="Arial"/>
                <w:sz w:val="16"/>
                <w:szCs w:val="16"/>
                <w:highlight w:val="yellow"/>
              </w:rPr>
            </w:pPr>
            <w:r w:rsidRPr="006B7E65">
              <w:rPr>
                <w:rFonts w:ascii="Arial" w:hAnsi="Arial" w:cs="Arial"/>
                <w:bCs/>
                <w:sz w:val="16"/>
                <w:szCs w:val="16"/>
              </w:rPr>
              <w:t>-</w:t>
            </w:r>
          </w:p>
        </w:tc>
        <w:tc>
          <w:tcPr>
            <w:tcW w:w="1026" w:type="dxa"/>
            <w:vAlign w:val="center"/>
          </w:tcPr>
          <w:p w14:paraId="58F08BCA" w14:textId="756EB73B" w:rsidR="00ED3B2F" w:rsidRPr="00EF72E4" w:rsidRDefault="00ED3B2F" w:rsidP="00ED3B2F">
            <w:pPr>
              <w:spacing w:line="300" w:lineRule="atLeast"/>
              <w:jc w:val="center"/>
              <w:rPr>
                <w:rFonts w:ascii="Arial" w:hAnsi="Arial" w:cs="Arial"/>
                <w:sz w:val="16"/>
                <w:szCs w:val="16"/>
                <w:highlight w:val="yellow"/>
              </w:rPr>
            </w:pPr>
            <w:r w:rsidRPr="006B7E65">
              <w:rPr>
                <w:rFonts w:ascii="Arial" w:hAnsi="Arial" w:cs="Arial"/>
                <w:bCs/>
                <w:sz w:val="16"/>
                <w:szCs w:val="16"/>
              </w:rPr>
              <w:t>1.10</w:t>
            </w:r>
          </w:p>
        </w:tc>
        <w:tc>
          <w:tcPr>
            <w:tcW w:w="1213" w:type="dxa"/>
            <w:vAlign w:val="center"/>
          </w:tcPr>
          <w:p w14:paraId="1F2FB860" w14:textId="54E19560" w:rsidR="00ED3B2F" w:rsidRPr="00EF72E4" w:rsidRDefault="00ED3B2F" w:rsidP="00ED3B2F">
            <w:pPr>
              <w:spacing w:line="300" w:lineRule="atLeast"/>
              <w:jc w:val="center"/>
              <w:rPr>
                <w:rFonts w:ascii="Arial" w:hAnsi="Arial" w:cs="Arial"/>
                <w:sz w:val="16"/>
                <w:szCs w:val="16"/>
                <w:highlight w:val="yellow"/>
              </w:rPr>
            </w:pPr>
            <w:r w:rsidRPr="006B7E65">
              <w:rPr>
                <w:rFonts w:ascii="Arial" w:hAnsi="Arial" w:cs="Arial"/>
                <w:bCs/>
                <w:sz w:val="16"/>
                <w:szCs w:val="16"/>
              </w:rPr>
              <w:t>1.8</w:t>
            </w:r>
            <w:r w:rsidR="00246F41">
              <w:rPr>
                <w:rFonts w:ascii="Arial" w:hAnsi="Arial" w:cs="Arial"/>
                <w:bCs/>
                <w:sz w:val="16"/>
                <w:szCs w:val="16"/>
              </w:rPr>
              <w:t>1</w:t>
            </w:r>
          </w:p>
        </w:tc>
      </w:tr>
      <w:tr w:rsidR="00AF12AC" w:rsidRPr="007901FE" w14:paraId="6FD5DD38" w14:textId="77777777" w:rsidTr="008F1C52">
        <w:tc>
          <w:tcPr>
            <w:tcW w:w="1686" w:type="dxa"/>
            <w:vAlign w:val="center"/>
          </w:tcPr>
          <w:p w14:paraId="798D3877" w14:textId="77777777" w:rsidR="00AF12AC" w:rsidRPr="00424224" w:rsidRDefault="00AF12AC" w:rsidP="00DF754B">
            <w:pPr>
              <w:spacing w:before="60" w:after="60"/>
              <w:ind w:left="34"/>
              <w:rPr>
                <w:rFonts w:ascii="Arial" w:hAnsi="Arial" w:cs="Arial"/>
                <w:sz w:val="16"/>
                <w:szCs w:val="16"/>
              </w:rPr>
            </w:pPr>
            <w:r w:rsidRPr="00424224">
              <w:rPr>
                <w:rFonts w:ascii="Arial" w:hAnsi="Arial" w:cs="Arial"/>
                <w:sz w:val="16"/>
                <w:szCs w:val="16"/>
              </w:rPr>
              <w:t xml:space="preserve">7. Production of recycled metals </w:t>
            </w:r>
          </w:p>
        </w:tc>
        <w:tc>
          <w:tcPr>
            <w:tcW w:w="1435" w:type="dxa"/>
            <w:vAlign w:val="center"/>
          </w:tcPr>
          <w:p w14:paraId="39BC317B" w14:textId="52E98906" w:rsidR="00AF12AC" w:rsidRPr="00ED3B2F" w:rsidRDefault="00ED3B2F" w:rsidP="00DF754B">
            <w:pPr>
              <w:spacing w:before="60" w:after="60"/>
              <w:jc w:val="center"/>
              <w:rPr>
                <w:rFonts w:ascii="Arial" w:hAnsi="Arial" w:cs="Arial"/>
                <w:sz w:val="16"/>
                <w:szCs w:val="16"/>
              </w:rPr>
            </w:pPr>
            <w:r w:rsidRPr="00ED3B2F">
              <w:rPr>
                <w:rFonts w:ascii="Arial" w:hAnsi="Arial" w:cs="Arial"/>
                <w:sz w:val="16"/>
                <w:szCs w:val="16"/>
              </w:rPr>
              <w:t>-</w:t>
            </w:r>
          </w:p>
        </w:tc>
        <w:tc>
          <w:tcPr>
            <w:tcW w:w="1168" w:type="dxa"/>
            <w:vAlign w:val="center"/>
          </w:tcPr>
          <w:p w14:paraId="03C30617" w14:textId="77777777" w:rsidR="00AF12AC" w:rsidRPr="00ED3B2F" w:rsidRDefault="00AF12AC" w:rsidP="00DF754B">
            <w:pPr>
              <w:spacing w:before="60" w:after="60"/>
              <w:jc w:val="center"/>
              <w:rPr>
                <w:rFonts w:ascii="Arial" w:hAnsi="Arial" w:cs="Arial"/>
                <w:sz w:val="16"/>
                <w:szCs w:val="16"/>
              </w:rPr>
            </w:pPr>
            <w:r w:rsidRPr="00ED3B2F">
              <w:rPr>
                <w:rFonts w:ascii="Arial" w:hAnsi="Arial" w:cs="Arial"/>
                <w:sz w:val="16"/>
                <w:szCs w:val="16"/>
              </w:rPr>
              <w:t>-</w:t>
            </w:r>
          </w:p>
        </w:tc>
        <w:tc>
          <w:tcPr>
            <w:tcW w:w="1410" w:type="dxa"/>
            <w:vAlign w:val="center"/>
          </w:tcPr>
          <w:p w14:paraId="6BCD61FE" w14:textId="77777777" w:rsidR="00AF12AC" w:rsidRPr="00ED3B2F" w:rsidRDefault="00AF12AC" w:rsidP="00DF754B">
            <w:pPr>
              <w:spacing w:before="60" w:after="60"/>
              <w:jc w:val="center"/>
              <w:rPr>
                <w:rFonts w:ascii="Arial" w:hAnsi="Arial" w:cs="Arial"/>
                <w:sz w:val="16"/>
                <w:szCs w:val="16"/>
              </w:rPr>
            </w:pPr>
            <w:r w:rsidRPr="00ED3B2F">
              <w:rPr>
                <w:rFonts w:ascii="Arial" w:hAnsi="Arial" w:cs="Arial"/>
                <w:sz w:val="16"/>
                <w:szCs w:val="16"/>
              </w:rPr>
              <w:t>-</w:t>
            </w:r>
          </w:p>
        </w:tc>
        <w:tc>
          <w:tcPr>
            <w:tcW w:w="1134" w:type="dxa"/>
            <w:vAlign w:val="center"/>
          </w:tcPr>
          <w:p w14:paraId="41352B9C" w14:textId="77777777" w:rsidR="00AF12AC" w:rsidRPr="00ED3B2F" w:rsidRDefault="00AF12AC" w:rsidP="00DF754B">
            <w:pPr>
              <w:spacing w:before="60" w:after="60"/>
              <w:jc w:val="center"/>
              <w:rPr>
                <w:rFonts w:ascii="Arial" w:hAnsi="Arial" w:cs="Arial"/>
                <w:sz w:val="16"/>
                <w:szCs w:val="16"/>
              </w:rPr>
            </w:pPr>
            <w:r w:rsidRPr="00ED3B2F">
              <w:rPr>
                <w:rFonts w:ascii="Arial" w:hAnsi="Arial" w:cs="Arial"/>
                <w:sz w:val="16"/>
                <w:szCs w:val="16"/>
              </w:rPr>
              <w:t>-</w:t>
            </w:r>
          </w:p>
        </w:tc>
        <w:tc>
          <w:tcPr>
            <w:tcW w:w="1026" w:type="dxa"/>
            <w:vAlign w:val="center"/>
          </w:tcPr>
          <w:p w14:paraId="2FD6CD86" w14:textId="5ACC96D6" w:rsidR="00AF12AC" w:rsidRPr="00ED3B2F" w:rsidRDefault="00ED3B2F" w:rsidP="00DF754B">
            <w:pPr>
              <w:spacing w:before="60" w:after="60"/>
              <w:jc w:val="center"/>
              <w:rPr>
                <w:rFonts w:ascii="Arial" w:hAnsi="Arial" w:cs="Arial"/>
                <w:sz w:val="16"/>
                <w:szCs w:val="16"/>
              </w:rPr>
            </w:pPr>
            <w:r w:rsidRPr="00ED3B2F">
              <w:rPr>
                <w:rFonts w:ascii="Arial" w:hAnsi="Arial" w:cs="Arial"/>
                <w:sz w:val="16"/>
                <w:szCs w:val="16"/>
              </w:rPr>
              <w:t>-</w:t>
            </w:r>
          </w:p>
        </w:tc>
        <w:tc>
          <w:tcPr>
            <w:tcW w:w="1213" w:type="dxa"/>
            <w:vAlign w:val="center"/>
          </w:tcPr>
          <w:p w14:paraId="5E975CF4" w14:textId="77777777" w:rsidR="00AF12AC" w:rsidRPr="00ED3B2F" w:rsidRDefault="00AF12AC" w:rsidP="00DF754B">
            <w:pPr>
              <w:spacing w:before="60" w:after="60"/>
              <w:jc w:val="center"/>
              <w:rPr>
                <w:rFonts w:ascii="Arial" w:hAnsi="Arial" w:cs="Arial"/>
                <w:sz w:val="16"/>
                <w:szCs w:val="16"/>
              </w:rPr>
            </w:pPr>
            <w:r w:rsidRPr="00ED3B2F">
              <w:rPr>
                <w:rFonts w:ascii="Arial" w:hAnsi="Arial" w:cs="Arial"/>
                <w:sz w:val="16"/>
                <w:szCs w:val="16"/>
              </w:rPr>
              <w:t>-</w:t>
            </w:r>
          </w:p>
        </w:tc>
      </w:tr>
      <w:tr w:rsidR="00ED3B2F" w:rsidRPr="007901FE" w14:paraId="7F507C7D" w14:textId="77777777" w:rsidTr="008F1C52">
        <w:tc>
          <w:tcPr>
            <w:tcW w:w="1686" w:type="dxa"/>
            <w:vAlign w:val="center"/>
          </w:tcPr>
          <w:p w14:paraId="7A94B2B6" w14:textId="77777777" w:rsidR="00ED3B2F" w:rsidRPr="00246738" w:rsidRDefault="00ED3B2F" w:rsidP="00ED3B2F">
            <w:pPr>
              <w:spacing w:before="60" w:after="60"/>
              <w:ind w:left="34"/>
              <w:rPr>
                <w:rFonts w:ascii="Arial" w:hAnsi="Arial" w:cs="Arial"/>
                <w:sz w:val="16"/>
                <w:szCs w:val="16"/>
              </w:rPr>
            </w:pPr>
            <w:r w:rsidRPr="00246738">
              <w:rPr>
                <w:rFonts w:ascii="Arial" w:hAnsi="Arial" w:cs="Arial"/>
                <w:sz w:val="16"/>
                <w:szCs w:val="16"/>
              </w:rPr>
              <w:t xml:space="preserve">8. Waste incineration </w:t>
            </w:r>
          </w:p>
        </w:tc>
        <w:tc>
          <w:tcPr>
            <w:tcW w:w="1435" w:type="dxa"/>
            <w:vAlign w:val="center"/>
          </w:tcPr>
          <w:p w14:paraId="3598FC9C" w14:textId="4A8E7B05" w:rsidR="00ED3B2F" w:rsidRPr="00EF72E4" w:rsidRDefault="00ED3B2F" w:rsidP="00ED3B2F">
            <w:pPr>
              <w:spacing w:line="300" w:lineRule="atLeast"/>
              <w:jc w:val="center"/>
              <w:rPr>
                <w:rFonts w:ascii="Arial" w:hAnsi="Arial" w:cs="Arial"/>
                <w:sz w:val="16"/>
                <w:szCs w:val="16"/>
                <w:highlight w:val="yellow"/>
              </w:rPr>
            </w:pPr>
            <w:r w:rsidRPr="006B7E65">
              <w:rPr>
                <w:rFonts w:ascii="Arial" w:hAnsi="Arial" w:cs="Arial"/>
                <w:bCs/>
                <w:sz w:val="16"/>
                <w:szCs w:val="16"/>
              </w:rPr>
              <w:t>15.</w:t>
            </w:r>
            <w:r w:rsidR="00246F41">
              <w:rPr>
                <w:rFonts w:ascii="Arial" w:hAnsi="Arial" w:cs="Arial"/>
                <w:bCs/>
                <w:sz w:val="16"/>
                <w:szCs w:val="16"/>
              </w:rPr>
              <w:t>4</w:t>
            </w:r>
            <w:r w:rsidRPr="006B7E65">
              <w:rPr>
                <w:rFonts w:ascii="Arial" w:hAnsi="Arial" w:cs="Arial"/>
                <w:bCs/>
                <w:sz w:val="16"/>
                <w:szCs w:val="16"/>
              </w:rPr>
              <w:t xml:space="preserve"> – 20.5</w:t>
            </w:r>
            <w:r w:rsidRPr="006B7E65">
              <w:rPr>
                <w:rFonts w:ascii="Arial" w:hAnsi="Arial" w:cs="Arial"/>
                <w:bCs/>
                <w:sz w:val="16"/>
                <w:szCs w:val="16"/>
              </w:rPr>
              <w:br/>
              <w:t>(1</w:t>
            </w:r>
            <w:r w:rsidR="00246F41">
              <w:rPr>
                <w:rFonts w:ascii="Arial" w:hAnsi="Arial" w:cs="Arial"/>
                <w:bCs/>
                <w:sz w:val="16"/>
                <w:szCs w:val="16"/>
              </w:rPr>
              <w:t>8.0</w:t>
            </w:r>
            <w:r w:rsidRPr="006B7E65">
              <w:rPr>
                <w:rFonts w:ascii="Arial" w:hAnsi="Arial" w:cs="Arial"/>
                <w:bCs/>
                <w:sz w:val="16"/>
                <w:szCs w:val="16"/>
              </w:rPr>
              <w:t>)</w:t>
            </w:r>
          </w:p>
        </w:tc>
        <w:tc>
          <w:tcPr>
            <w:tcW w:w="1168" w:type="dxa"/>
            <w:vAlign w:val="center"/>
          </w:tcPr>
          <w:p w14:paraId="491FB653" w14:textId="776CCB13" w:rsidR="00ED3B2F" w:rsidRPr="00EF72E4" w:rsidRDefault="00ED3B2F" w:rsidP="00ED3B2F">
            <w:pPr>
              <w:spacing w:line="300" w:lineRule="atLeast"/>
              <w:jc w:val="center"/>
              <w:rPr>
                <w:rFonts w:ascii="Arial" w:hAnsi="Arial" w:cs="Arial"/>
                <w:sz w:val="16"/>
                <w:szCs w:val="16"/>
                <w:highlight w:val="yellow"/>
              </w:rPr>
            </w:pPr>
            <w:r w:rsidRPr="006B7E65">
              <w:rPr>
                <w:rFonts w:ascii="Arial" w:hAnsi="Arial" w:cs="Arial"/>
                <w:bCs/>
                <w:sz w:val="16"/>
                <w:szCs w:val="16"/>
              </w:rPr>
              <w:t>14.</w:t>
            </w:r>
            <w:r w:rsidR="00246F41">
              <w:rPr>
                <w:rFonts w:ascii="Arial" w:hAnsi="Arial" w:cs="Arial"/>
                <w:bCs/>
                <w:sz w:val="16"/>
                <w:szCs w:val="16"/>
              </w:rPr>
              <w:t>4</w:t>
            </w:r>
            <w:r w:rsidRPr="006B7E65">
              <w:rPr>
                <w:rFonts w:ascii="Arial" w:hAnsi="Arial" w:cs="Arial"/>
                <w:bCs/>
                <w:sz w:val="16"/>
                <w:szCs w:val="16"/>
              </w:rPr>
              <w:t xml:space="preserve"> – 19.</w:t>
            </w:r>
            <w:r w:rsidR="00246F41">
              <w:rPr>
                <w:rFonts w:ascii="Arial" w:hAnsi="Arial" w:cs="Arial"/>
                <w:bCs/>
                <w:sz w:val="16"/>
                <w:szCs w:val="16"/>
              </w:rPr>
              <w:t>6</w:t>
            </w:r>
            <w:r w:rsidRPr="006B7E65">
              <w:rPr>
                <w:rFonts w:ascii="Arial" w:hAnsi="Arial" w:cs="Arial"/>
                <w:bCs/>
                <w:sz w:val="16"/>
                <w:szCs w:val="16"/>
              </w:rPr>
              <w:br/>
              <w:t>(1</w:t>
            </w:r>
            <w:r w:rsidR="00246F41">
              <w:rPr>
                <w:rFonts w:ascii="Arial" w:hAnsi="Arial" w:cs="Arial"/>
                <w:bCs/>
                <w:sz w:val="16"/>
                <w:szCs w:val="16"/>
              </w:rPr>
              <w:t>7.0</w:t>
            </w:r>
            <w:r w:rsidRPr="006B7E65">
              <w:rPr>
                <w:rFonts w:ascii="Arial" w:hAnsi="Arial" w:cs="Arial"/>
                <w:bCs/>
                <w:sz w:val="16"/>
                <w:szCs w:val="16"/>
              </w:rPr>
              <w:t>)</w:t>
            </w:r>
          </w:p>
        </w:tc>
        <w:tc>
          <w:tcPr>
            <w:tcW w:w="1410" w:type="dxa"/>
            <w:vAlign w:val="center"/>
          </w:tcPr>
          <w:p w14:paraId="60A27D32" w14:textId="5D4A5F94" w:rsidR="00ED3B2F" w:rsidRPr="00EF72E4" w:rsidRDefault="00ED3B2F" w:rsidP="00ED3B2F">
            <w:pPr>
              <w:spacing w:line="300" w:lineRule="atLeast"/>
              <w:jc w:val="center"/>
              <w:rPr>
                <w:rFonts w:ascii="Arial" w:hAnsi="Arial" w:cs="Arial"/>
                <w:sz w:val="16"/>
                <w:szCs w:val="16"/>
                <w:highlight w:val="yellow"/>
              </w:rPr>
            </w:pPr>
            <w:r w:rsidRPr="006B7E65">
              <w:rPr>
                <w:rFonts w:ascii="Arial" w:hAnsi="Arial" w:cs="Arial"/>
                <w:bCs/>
                <w:sz w:val="16"/>
                <w:szCs w:val="16"/>
              </w:rPr>
              <w:t>-</w:t>
            </w:r>
          </w:p>
        </w:tc>
        <w:tc>
          <w:tcPr>
            <w:tcW w:w="1134" w:type="dxa"/>
            <w:vAlign w:val="center"/>
          </w:tcPr>
          <w:p w14:paraId="54A9C858" w14:textId="3585AA6B" w:rsidR="00ED3B2F" w:rsidRPr="00EF72E4" w:rsidRDefault="00ED3B2F" w:rsidP="00ED3B2F">
            <w:pPr>
              <w:spacing w:line="300" w:lineRule="atLeast"/>
              <w:jc w:val="center"/>
              <w:rPr>
                <w:rFonts w:ascii="Arial" w:hAnsi="Arial" w:cs="Arial"/>
                <w:sz w:val="16"/>
                <w:szCs w:val="16"/>
                <w:highlight w:val="yellow"/>
              </w:rPr>
            </w:pPr>
            <w:r w:rsidRPr="006B7E65">
              <w:rPr>
                <w:rFonts w:ascii="Arial" w:hAnsi="Arial" w:cs="Arial"/>
                <w:bCs/>
                <w:sz w:val="16"/>
                <w:szCs w:val="16"/>
              </w:rPr>
              <w:t>-</w:t>
            </w:r>
          </w:p>
        </w:tc>
        <w:tc>
          <w:tcPr>
            <w:tcW w:w="1026" w:type="dxa"/>
            <w:vAlign w:val="center"/>
          </w:tcPr>
          <w:p w14:paraId="1077C85D" w14:textId="45793063" w:rsidR="00ED3B2F" w:rsidRPr="00EF72E4" w:rsidRDefault="00ED3B2F" w:rsidP="00ED3B2F">
            <w:pPr>
              <w:spacing w:line="300" w:lineRule="atLeast"/>
              <w:jc w:val="center"/>
              <w:rPr>
                <w:rFonts w:ascii="Arial" w:hAnsi="Arial" w:cs="Arial"/>
                <w:sz w:val="16"/>
                <w:szCs w:val="16"/>
                <w:highlight w:val="yellow"/>
              </w:rPr>
            </w:pPr>
            <w:r w:rsidRPr="006B7E65">
              <w:rPr>
                <w:rFonts w:ascii="Arial" w:hAnsi="Arial" w:cs="Arial"/>
                <w:bCs/>
                <w:sz w:val="16"/>
                <w:szCs w:val="16"/>
              </w:rPr>
              <w:t>-</w:t>
            </w:r>
          </w:p>
        </w:tc>
        <w:tc>
          <w:tcPr>
            <w:tcW w:w="1213" w:type="dxa"/>
            <w:vAlign w:val="center"/>
          </w:tcPr>
          <w:p w14:paraId="5E4E5CF1" w14:textId="6706F9C5" w:rsidR="00ED3B2F" w:rsidRPr="00EF72E4" w:rsidRDefault="00ED3B2F" w:rsidP="00ED3B2F">
            <w:pPr>
              <w:spacing w:line="300" w:lineRule="atLeast"/>
              <w:jc w:val="center"/>
              <w:rPr>
                <w:rFonts w:ascii="Arial" w:hAnsi="Arial" w:cs="Arial"/>
                <w:sz w:val="16"/>
                <w:szCs w:val="16"/>
                <w:highlight w:val="yellow"/>
              </w:rPr>
            </w:pPr>
            <w:r w:rsidRPr="006B7E65">
              <w:rPr>
                <w:rFonts w:ascii="Arial" w:hAnsi="Arial" w:cs="Arial"/>
                <w:bCs/>
                <w:sz w:val="16"/>
                <w:szCs w:val="16"/>
              </w:rPr>
              <w:t>0.975</w:t>
            </w:r>
          </w:p>
        </w:tc>
      </w:tr>
      <w:tr w:rsidR="00A97D78" w:rsidRPr="007901FE" w14:paraId="5D51950A" w14:textId="77777777" w:rsidTr="008F1C52">
        <w:tc>
          <w:tcPr>
            <w:tcW w:w="1686" w:type="dxa"/>
            <w:vAlign w:val="center"/>
          </w:tcPr>
          <w:p w14:paraId="4DC4B9AD" w14:textId="77777777" w:rsidR="00A97D78" w:rsidRPr="00246738" w:rsidRDefault="00A97D78" w:rsidP="00A97D78">
            <w:pPr>
              <w:spacing w:before="60" w:after="60"/>
              <w:ind w:left="34"/>
              <w:rPr>
                <w:rFonts w:ascii="Arial" w:hAnsi="Arial" w:cs="Arial"/>
                <w:sz w:val="16"/>
                <w:szCs w:val="16"/>
              </w:rPr>
            </w:pPr>
            <w:r w:rsidRPr="00246738">
              <w:rPr>
                <w:rFonts w:ascii="Arial" w:hAnsi="Arial" w:cs="Arial"/>
                <w:sz w:val="16"/>
                <w:szCs w:val="16"/>
              </w:rPr>
              <w:t xml:space="preserve">9. Waste deposit/landfill and wastewater treatment </w:t>
            </w:r>
          </w:p>
        </w:tc>
        <w:tc>
          <w:tcPr>
            <w:tcW w:w="1435" w:type="dxa"/>
            <w:vAlign w:val="center"/>
          </w:tcPr>
          <w:p w14:paraId="0F13FBD7" w14:textId="164A6033" w:rsidR="00A97D78" w:rsidRPr="00EF72E4" w:rsidRDefault="00A97D78" w:rsidP="00A97D78">
            <w:pPr>
              <w:spacing w:line="300" w:lineRule="atLeast"/>
              <w:jc w:val="center"/>
              <w:rPr>
                <w:rFonts w:ascii="Arial" w:hAnsi="Arial" w:cs="Arial"/>
                <w:bCs/>
                <w:sz w:val="16"/>
                <w:szCs w:val="16"/>
                <w:highlight w:val="yellow"/>
              </w:rPr>
            </w:pPr>
            <w:r w:rsidRPr="00EF72E4">
              <w:rPr>
                <w:rFonts w:ascii="Arial" w:hAnsi="Arial" w:cs="Arial"/>
                <w:bCs/>
                <w:sz w:val="16"/>
                <w:szCs w:val="16"/>
              </w:rPr>
              <w:t>336</w:t>
            </w:r>
            <w:r w:rsidR="00246F41">
              <w:rPr>
                <w:rFonts w:ascii="Arial" w:hAnsi="Arial" w:cs="Arial"/>
                <w:bCs/>
                <w:sz w:val="16"/>
                <w:szCs w:val="16"/>
              </w:rPr>
              <w:t>6</w:t>
            </w:r>
            <w:r w:rsidRPr="00EF72E4">
              <w:rPr>
                <w:rFonts w:ascii="Arial" w:hAnsi="Arial" w:cs="Arial"/>
                <w:bCs/>
                <w:sz w:val="16"/>
                <w:szCs w:val="16"/>
              </w:rPr>
              <w:t xml:space="preserve"> – 976</w:t>
            </w:r>
            <w:r w:rsidR="00246F41">
              <w:rPr>
                <w:rFonts w:ascii="Arial" w:hAnsi="Arial" w:cs="Arial"/>
                <w:bCs/>
                <w:sz w:val="16"/>
                <w:szCs w:val="16"/>
              </w:rPr>
              <w:t>3</w:t>
            </w:r>
            <w:r w:rsidRPr="00EF72E4">
              <w:rPr>
                <w:rFonts w:ascii="Arial" w:hAnsi="Arial" w:cs="Arial"/>
                <w:bCs/>
                <w:sz w:val="16"/>
                <w:szCs w:val="16"/>
              </w:rPr>
              <w:t xml:space="preserve"> (6564)</w:t>
            </w:r>
          </w:p>
        </w:tc>
        <w:tc>
          <w:tcPr>
            <w:tcW w:w="1168" w:type="dxa"/>
            <w:vAlign w:val="center"/>
          </w:tcPr>
          <w:p w14:paraId="0CB1205B" w14:textId="7875E84B" w:rsidR="00A97D78" w:rsidRPr="00EF72E4" w:rsidRDefault="00A97D78" w:rsidP="00A97D78">
            <w:pPr>
              <w:spacing w:line="300" w:lineRule="atLeast"/>
              <w:jc w:val="center"/>
              <w:rPr>
                <w:rFonts w:ascii="Arial" w:hAnsi="Arial" w:cs="Arial"/>
                <w:bCs/>
                <w:sz w:val="16"/>
                <w:szCs w:val="16"/>
                <w:highlight w:val="yellow"/>
              </w:rPr>
            </w:pPr>
            <w:r w:rsidRPr="00EF72E4">
              <w:rPr>
                <w:rFonts w:ascii="Arial" w:hAnsi="Arial" w:cs="Arial"/>
                <w:bCs/>
                <w:sz w:val="16"/>
                <w:szCs w:val="16"/>
              </w:rPr>
              <w:t>30.</w:t>
            </w:r>
            <w:r w:rsidR="00246F41">
              <w:rPr>
                <w:rFonts w:ascii="Arial" w:hAnsi="Arial" w:cs="Arial"/>
                <w:bCs/>
                <w:sz w:val="16"/>
                <w:szCs w:val="16"/>
              </w:rPr>
              <w:t>3</w:t>
            </w:r>
          </w:p>
        </w:tc>
        <w:tc>
          <w:tcPr>
            <w:tcW w:w="1410" w:type="dxa"/>
            <w:vAlign w:val="center"/>
          </w:tcPr>
          <w:p w14:paraId="0232EDD9" w14:textId="2F7C9060" w:rsidR="00A97D78" w:rsidRPr="00EF72E4" w:rsidRDefault="00A97D78" w:rsidP="00A97D78">
            <w:pPr>
              <w:spacing w:line="300" w:lineRule="atLeast"/>
              <w:jc w:val="center"/>
              <w:rPr>
                <w:rFonts w:ascii="Arial" w:hAnsi="Arial" w:cs="Arial"/>
                <w:bCs/>
                <w:sz w:val="16"/>
                <w:szCs w:val="16"/>
                <w:highlight w:val="yellow"/>
              </w:rPr>
            </w:pPr>
            <w:r w:rsidRPr="00EF72E4">
              <w:rPr>
                <w:rFonts w:ascii="Arial" w:hAnsi="Arial" w:cs="Arial"/>
                <w:bCs/>
                <w:sz w:val="16"/>
                <w:szCs w:val="16"/>
              </w:rPr>
              <w:t>168.6 – 3367 (176</w:t>
            </w:r>
            <w:r w:rsidR="00246F41">
              <w:rPr>
                <w:rFonts w:ascii="Arial" w:hAnsi="Arial" w:cs="Arial"/>
                <w:bCs/>
                <w:sz w:val="16"/>
                <w:szCs w:val="16"/>
              </w:rPr>
              <w:t>8</w:t>
            </w:r>
            <w:r w:rsidRPr="00EF72E4">
              <w:rPr>
                <w:rFonts w:ascii="Arial" w:hAnsi="Arial" w:cs="Arial"/>
                <w:bCs/>
                <w:sz w:val="16"/>
                <w:szCs w:val="16"/>
              </w:rPr>
              <w:t>)</w:t>
            </w:r>
          </w:p>
        </w:tc>
        <w:tc>
          <w:tcPr>
            <w:tcW w:w="1134" w:type="dxa"/>
            <w:vAlign w:val="center"/>
          </w:tcPr>
          <w:p w14:paraId="76DB4671" w14:textId="259D6BA2" w:rsidR="00A97D78" w:rsidRPr="00EF72E4" w:rsidRDefault="00A97D78" w:rsidP="00A97D78">
            <w:pPr>
              <w:spacing w:line="300" w:lineRule="atLeast"/>
              <w:jc w:val="center"/>
              <w:rPr>
                <w:rFonts w:ascii="Arial" w:hAnsi="Arial" w:cs="Arial"/>
                <w:bCs/>
                <w:sz w:val="16"/>
                <w:szCs w:val="16"/>
                <w:highlight w:val="yellow"/>
              </w:rPr>
            </w:pPr>
            <w:r w:rsidRPr="00A97D78">
              <w:rPr>
                <w:rFonts w:ascii="Arial" w:hAnsi="Arial" w:cs="Arial"/>
                <w:bCs/>
                <w:sz w:val="16"/>
                <w:szCs w:val="16"/>
              </w:rPr>
              <w:t>67.3 – 134</w:t>
            </w:r>
            <w:r w:rsidR="00246F41">
              <w:rPr>
                <w:rFonts w:ascii="Arial" w:hAnsi="Arial" w:cs="Arial"/>
                <w:bCs/>
                <w:sz w:val="16"/>
                <w:szCs w:val="16"/>
              </w:rPr>
              <w:t>7</w:t>
            </w:r>
            <w:r w:rsidRPr="00A97D78">
              <w:rPr>
                <w:rFonts w:ascii="Arial" w:hAnsi="Arial" w:cs="Arial"/>
                <w:bCs/>
                <w:sz w:val="16"/>
                <w:szCs w:val="16"/>
              </w:rPr>
              <w:t xml:space="preserve"> (707</w:t>
            </w:r>
            <w:r w:rsidR="00246F41">
              <w:rPr>
                <w:rFonts w:ascii="Arial" w:hAnsi="Arial" w:cs="Arial"/>
                <w:bCs/>
                <w:sz w:val="16"/>
                <w:szCs w:val="16"/>
              </w:rPr>
              <w:t>)</w:t>
            </w:r>
          </w:p>
        </w:tc>
        <w:tc>
          <w:tcPr>
            <w:tcW w:w="1026" w:type="dxa"/>
            <w:vAlign w:val="center"/>
          </w:tcPr>
          <w:p w14:paraId="552A4820" w14:textId="77777777" w:rsidR="00A97D78" w:rsidRPr="00EF72E4" w:rsidRDefault="00A97D78" w:rsidP="00A97D78">
            <w:pPr>
              <w:spacing w:line="300" w:lineRule="atLeast"/>
              <w:jc w:val="center"/>
              <w:rPr>
                <w:rFonts w:ascii="Arial" w:hAnsi="Arial" w:cs="Arial"/>
                <w:bCs/>
                <w:sz w:val="16"/>
                <w:szCs w:val="16"/>
                <w:highlight w:val="yellow"/>
              </w:rPr>
            </w:pPr>
            <w:r w:rsidRPr="00BE7F5A">
              <w:rPr>
                <w:rFonts w:ascii="Arial" w:hAnsi="Arial" w:cs="Arial"/>
                <w:bCs/>
                <w:sz w:val="16"/>
                <w:szCs w:val="16"/>
              </w:rPr>
              <w:t>-</w:t>
            </w:r>
          </w:p>
        </w:tc>
        <w:tc>
          <w:tcPr>
            <w:tcW w:w="1213" w:type="dxa"/>
            <w:vAlign w:val="center"/>
          </w:tcPr>
          <w:p w14:paraId="521DD3C2" w14:textId="09F19F63" w:rsidR="00A97D78" w:rsidRPr="00EF72E4" w:rsidRDefault="00A97D78" w:rsidP="00A97D78">
            <w:pPr>
              <w:spacing w:line="300" w:lineRule="atLeast"/>
              <w:jc w:val="center"/>
              <w:rPr>
                <w:rFonts w:ascii="Arial" w:hAnsi="Arial" w:cs="Arial"/>
                <w:bCs/>
                <w:sz w:val="16"/>
                <w:szCs w:val="16"/>
                <w:highlight w:val="yellow"/>
              </w:rPr>
            </w:pPr>
            <w:r w:rsidRPr="00A97D78">
              <w:rPr>
                <w:rFonts w:ascii="Arial" w:hAnsi="Arial" w:cs="Arial"/>
                <w:bCs/>
                <w:sz w:val="16"/>
                <w:szCs w:val="16"/>
              </w:rPr>
              <w:t>101 – 2020 (106</w:t>
            </w:r>
            <w:r w:rsidR="00246F41">
              <w:rPr>
                <w:rFonts w:ascii="Arial" w:hAnsi="Arial" w:cs="Arial"/>
                <w:bCs/>
                <w:sz w:val="16"/>
                <w:szCs w:val="16"/>
              </w:rPr>
              <w:t>1</w:t>
            </w:r>
            <w:r w:rsidRPr="00A97D78">
              <w:rPr>
                <w:rFonts w:ascii="Arial" w:hAnsi="Arial" w:cs="Arial"/>
                <w:bCs/>
                <w:sz w:val="16"/>
                <w:szCs w:val="16"/>
              </w:rPr>
              <w:t>)</w:t>
            </w:r>
          </w:p>
        </w:tc>
      </w:tr>
      <w:tr w:rsidR="006E2FF8" w:rsidRPr="007901FE" w14:paraId="292667B8" w14:textId="77777777" w:rsidTr="008F1C52">
        <w:tc>
          <w:tcPr>
            <w:tcW w:w="1686" w:type="dxa"/>
            <w:tcBorders>
              <w:bottom w:val="single" w:sz="12" w:space="0" w:color="auto"/>
            </w:tcBorders>
            <w:vAlign w:val="center"/>
          </w:tcPr>
          <w:p w14:paraId="1DCF7920" w14:textId="77777777" w:rsidR="006E2FF8" w:rsidRPr="00246738" w:rsidRDefault="006E2FF8" w:rsidP="006E2FF8">
            <w:pPr>
              <w:spacing w:before="60" w:after="60"/>
              <w:ind w:left="-42"/>
              <w:rPr>
                <w:rFonts w:ascii="Arial" w:hAnsi="Arial" w:cs="Arial"/>
                <w:sz w:val="16"/>
                <w:szCs w:val="16"/>
              </w:rPr>
            </w:pPr>
            <w:r w:rsidRPr="00246738">
              <w:rPr>
                <w:rFonts w:ascii="Arial" w:hAnsi="Arial" w:cs="Arial"/>
                <w:sz w:val="16"/>
                <w:szCs w:val="16"/>
              </w:rPr>
              <w:t xml:space="preserve">10. Crematoria and cemeteries </w:t>
            </w:r>
          </w:p>
        </w:tc>
        <w:tc>
          <w:tcPr>
            <w:tcW w:w="1435" w:type="dxa"/>
            <w:vAlign w:val="center"/>
          </w:tcPr>
          <w:p w14:paraId="3B6687F5" w14:textId="3FC56F9C" w:rsidR="006E2FF8" w:rsidRPr="00EF72E4" w:rsidRDefault="006E2FF8" w:rsidP="006E2FF8">
            <w:pPr>
              <w:spacing w:line="300" w:lineRule="atLeast"/>
              <w:jc w:val="center"/>
              <w:rPr>
                <w:rFonts w:ascii="Arial" w:hAnsi="Arial" w:cs="Arial"/>
                <w:bCs/>
                <w:sz w:val="16"/>
                <w:szCs w:val="16"/>
                <w:highlight w:val="yellow"/>
              </w:rPr>
            </w:pPr>
            <w:r w:rsidRPr="00EF72E4">
              <w:rPr>
                <w:rFonts w:ascii="Arial" w:hAnsi="Arial" w:cs="Arial"/>
                <w:bCs/>
                <w:sz w:val="16"/>
                <w:szCs w:val="16"/>
              </w:rPr>
              <w:t>36.</w:t>
            </w:r>
            <w:r w:rsidR="00246F41">
              <w:rPr>
                <w:rFonts w:ascii="Arial" w:hAnsi="Arial" w:cs="Arial"/>
                <w:bCs/>
                <w:sz w:val="16"/>
                <w:szCs w:val="16"/>
              </w:rPr>
              <w:t>5</w:t>
            </w:r>
            <w:r w:rsidRPr="00EF72E4">
              <w:rPr>
                <w:rFonts w:ascii="Arial" w:hAnsi="Arial" w:cs="Arial"/>
                <w:bCs/>
                <w:sz w:val="16"/>
                <w:szCs w:val="16"/>
              </w:rPr>
              <w:t xml:space="preserve"> – 14</w:t>
            </w:r>
            <w:r w:rsidR="00246F41">
              <w:rPr>
                <w:rFonts w:ascii="Arial" w:hAnsi="Arial" w:cs="Arial"/>
                <w:bCs/>
                <w:sz w:val="16"/>
                <w:szCs w:val="16"/>
              </w:rPr>
              <w:t>6</w:t>
            </w:r>
            <w:r w:rsidRPr="00EF72E4">
              <w:rPr>
                <w:rFonts w:ascii="Arial" w:hAnsi="Arial" w:cs="Arial"/>
                <w:bCs/>
                <w:sz w:val="16"/>
                <w:szCs w:val="16"/>
              </w:rPr>
              <w:br/>
              <w:t>(91.</w:t>
            </w:r>
            <w:r w:rsidR="00246F41">
              <w:rPr>
                <w:rFonts w:ascii="Arial" w:hAnsi="Arial" w:cs="Arial"/>
                <w:bCs/>
                <w:sz w:val="16"/>
                <w:szCs w:val="16"/>
              </w:rPr>
              <w:t>2</w:t>
            </w:r>
            <w:r w:rsidRPr="00EF72E4">
              <w:rPr>
                <w:rFonts w:ascii="Arial" w:hAnsi="Arial" w:cs="Arial"/>
                <w:bCs/>
                <w:sz w:val="16"/>
                <w:szCs w:val="16"/>
              </w:rPr>
              <w:t>)</w:t>
            </w:r>
          </w:p>
        </w:tc>
        <w:tc>
          <w:tcPr>
            <w:tcW w:w="1168" w:type="dxa"/>
            <w:vAlign w:val="center"/>
          </w:tcPr>
          <w:p w14:paraId="677A98D8" w14:textId="5A00F004" w:rsidR="006E2FF8" w:rsidRPr="00EF72E4" w:rsidRDefault="006E2FF8" w:rsidP="006E2FF8">
            <w:pPr>
              <w:spacing w:line="300" w:lineRule="atLeast"/>
              <w:jc w:val="center"/>
              <w:rPr>
                <w:rFonts w:ascii="Arial" w:hAnsi="Arial" w:cs="Arial"/>
                <w:bCs/>
                <w:sz w:val="16"/>
                <w:szCs w:val="16"/>
                <w:highlight w:val="yellow"/>
              </w:rPr>
            </w:pPr>
            <w:r w:rsidRPr="00A97D78">
              <w:rPr>
                <w:rFonts w:ascii="Arial" w:hAnsi="Arial" w:cs="Arial"/>
                <w:bCs/>
                <w:sz w:val="16"/>
                <w:szCs w:val="16"/>
              </w:rPr>
              <w:t>25.4 – 10</w:t>
            </w:r>
            <w:r w:rsidR="00246F41">
              <w:rPr>
                <w:rFonts w:ascii="Arial" w:hAnsi="Arial" w:cs="Arial"/>
                <w:bCs/>
                <w:sz w:val="16"/>
                <w:szCs w:val="16"/>
              </w:rPr>
              <w:t>2</w:t>
            </w:r>
            <w:r w:rsidRPr="00A97D78">
              <w:rPr>
                <w:rFonts w:ascii="Arial" w:hAnsi="Arial" w:cs="Arial"/>
                <w:bCs/>
                <w:sz w:val="16"/>
                <w:szCs w:val="16"/>
              </w:rPr>
              <w:t xml:space="preserve"> (63.</w:t>
            </w:r>
            <w:r w:rsidR="00056F10">
              <w:rPr>
                <w:rFonts w:ascii="Arial" w:hAnsi="Arial" w:cs="Arial"/>
                <w:bCs/>
                <w:sz w:val="16"/>
                <w:szCs w:val="16"/>
              </w:rPr>
              <w:t>6</w:t>
            </w:r>
            <w:r w:rsidRPr="00A97D78">
              <w:rPr>
                <w:rFonts w:ascii="Arial" w:hAnsi="Arial" w:cs="Arial"/>
                <w:bCs/>
                <w:sz w:val="16"/>
                <w:szCs w:val="16"/>
              </w:rPr>
              <w:t>)</w:t>
            </w:r>
          </w:p>
        </w:tc>
        <w:tc>
          <w:tcPr>
            <w:tcW w:w="1410" w:type="dxa"/>
            <w:vAlign w:val="center"/>
          </w:tcPr>
          <w:p w14:paraId="65468450" w14:textId="2C27D015" w:rsidR="006E2FF8" w:rsidRPr="00EF72E4" w:rsidRDefault="006E2FF8" w:rsidP="006E2FF8">
            <w:pPr>
              <w:spacing w:line="300" w:lineRule="atLeast"/>
              <w:jc w:val="center"/>
              <w:rPr>
                <w:rFonts w:ascii="Arial" w:hAnsi="Arial" w:cs="Arial"/>
                <w:bCs/>
                <w:sz w:val="16"/>
                <w:szCs w:val="16"/>
                <w:highlight w:val="yellow"/>
              </w:rPr>
            </w:pPr>
            <w:r w:rsidRPr="00EF72E4">
              <w:rPr>
                <w:rFonts w:ascii="Arial" w:hAnsi="Arial" w:cs="Arial"/>
                <w:bCs/>
                <w:sz w:val="16"/>
                <w:szCs w:val="16"/>
              </w:rPr>
              <w:t>-</w:t>
            </w:r>
          </w:p>
        </w:tc>
        <w:tc>
          <w:tcPr>
            <w:tcW w:w="1134" w:type="dxa"/>
            <w:vAlign w:val="center"/>
          </w:tcPr>
          <w:p w14:paraId="5D4ED5D7" w14:textId="3C66A98B" w:rsidR="006E2FF8" w:rsidRPr="00EF72E4" w:rsidRDefault="006E2FF8" w:rsidP="006E2FF8">
            <w:pPr>
              <w:spacing w:line="300" w:lineRule="atLeast"/>
              <w:jc w:val="center"/>
              <w:rPr>
                <w:rFonts w:ascii="Arial" w:hAnsi="Arial" w:cs="Arial"/>
                <w:bCs/>
                <w:sz w:val="16"/>
                <w:szCs w:val="16"/>
                <w:highlight w:val="yellow"/>
              </w:rPr>
            </w:pPr>
            <w:r w:rsidRPr="00A97D78">
              <w:rPr>
                <w:rFonts w:ascii="Arial" w:hAnsi="Arial" w:cs="Arial"/>
                <w:bCs/>
                <w:sz w:val="16"/>
                <w:szCs w:val="16"/>
              </w:rPr>
              <w:t>11.0 – 44.1 (27.</w:t>
            </w:r>
            <w:r w:rsidR="00246F41">
              <w:rPr>
                <w:rFonts w:ascii="Arial" w:hAnsi="Arial" w:cs="Arial"/>
                <w:bCs/>
                <w:sz w:val="16"/>
                <w:szCs w:val="16"/>
              </w:rPr>
              <w:t>6</w:t>
            </w:r>
            <w:r w:rsidRPr="00A97D78">
              <w:rPr>
                <w:rFonts w:ascii="Arial" w:hAnsi="Arial" w:cs="Arial"/>
                <w:bCs/>
                <w:sz w:val="16"/>
                <w:szCs w:val="16"/>
              </w:rPr>
              <w:t>)</w:t>
            </w:r>
          </w:p>
        </w:tc>
        <w:tc>
          <w:tcPr>
            <w:tcW w:w="1026" w:type="dxa"/>
            <w:vAlign w:val="center"/>
          </w:tcPr>
          <w:p w14:paraId="346E7EB6" w14:textId="77777777" w:rsidR="006E2FF8" w:rsidRPr="00EF72E4" w:rsidRDefault="006E2FF8" w:rsidP="006E2FF8">
            <w:pPr>
              <w:spacing w:line="300" w:lineRule="atLeast"/>
              <w:jc w:val="center"/>
              <w:rPr>
                <w:rFonts w:ascii="Arial" w:hAnsi="Arial" w:cs="Arial"/>
                <w:sz w:val="16"/>
                <w:szCs w:val="16"/>
                <w:highlight w:val="yellow"/>
              </w:rPr>
            </w:pPr>
            <w:r w:rsidRPr="00BE7F5A">
              <w:rPr>
                <w:rFonts w:ascii="Arial" w:hAnsi="Arial" w:cs="Arial"/>
                <w:sz w:val="16"/>
                <w:szCs w:val="16"/>
              </w:rPr>
              <w:t>-</w:t>
            </w:r>
          </w:p>
        </w:tc>
        <w:tc>
          <w:tcPr>
            <w:tcW w:w="1213" w:type="dxa"/>
            <w:vAlign w:val="center"/>
          </w:tcPr>
          <w:p w14:paraId="0DFFCB49" w14:textId="77777777" w:rsidR="006E2FF8" w:rsidRPr="00EF72E4" w:rsidRDefault="006E2FF8" w:rsidP="006E2FF8">
            <w:pPr>
              <w:spacing w:line="300" w:lineRule="atLeast"/>
              <w:jc w:val="center"/>
              <w:rPr>
                <w:rFonts w:ascii="Arial" w:hAnsi="Arial" w:cs="Arial"/>
                <w:sz w:val="16"/>
                <w:szCs w:val="16"/>
                <w:highlight w:val="yellow"/>
              </w:rPr>
            </w:pPr>
            <w:r w:rsidRPr="00BE7F5A">
              <w:rPr>
                <w:rFonts w:ascii="Arial" w:hAnsi="Arial" w:cs="Arial"/>
                <w:sz w:val="16"/>
                <w:szCs w:val="16"/>
              </w:rPr>
              <w:t>-</w:t>
            </w:r>
          </w:p>
        </w:tc>
      </w:tr>
      <w:tr w:rsidR="00887D0A" w:rsidRPr="007901FE" w14:paraId="0726F145" w14:textId="77777777" w:rsidTr="008F1C52">
        <w:tc>
          <w:tcPr>
            <w:tcW w:w="1686" w:type="dxa"/>
            <w:tcBorders>
              <w:top w:val="single" w:sz="12" w:space="0" w:color="auto"/>
              <w:left w:val="single" w:sz="12" w:space="0" w:color="auto"/>
              <w:bottom w:val="single" w:sz="12" w:space="0" w:color="auto"/>
              <w:right w:val="single" w:sz="12" w:space="0" w:color="auto"/>
            </w:tcBorders>
            <w:vAlign w:val="center"/>
          </w:tcPr>
          <w:p w14:paraId="4165BA29" w14:textId="77777777" w:rsidR="00887D0A" w:rsidRPr="0030522C" w:rsidRDefault="00887D0A" w:rsidP="00887D0A">
            <w:pPr>
              <w:spacing w:before="60" w:after="60"/>
              <w:ind w:left="-42"/>
              <w:rPr>
                <w:rFonts w:ascii="Arial" w:hAnsi="Arial" w:cs="Arial"/>
                <w:b/>
                <w:sz w:val="16"/>
                <w:szCs w:val="16"/>
              </w:rPr>
            </w:pPr>
            <w:r w:rsidRPr="00B64618">
              <w:rPr>
                <w:rFonts w:ascii="Arial" w:hAnsi="Arial" w:cs="Arial"/>
                <w:b/>
                <w:sz w:val="16"/>
                <w:szCs w:val="16"/>
              </w:rPr>
              <w:t>Totals</w:t>
            </w:r>
          </w:p>
        </w:tc>
        <w:tc>
          <w:tcPr>
            <w:tcW w:w="1435" w:type="dxa"/>
            <w:tcBorders>
              <w:top w:val="single" w:sz="12" w:space="0" w:color="auto"/>
              <w:left w:val="single" w:sz="12" w:space="0" w:color="auto"/>
              <w:bottom w:val="single" w:sz="12" w:space="0" w:color="auto"/>
              <w:right w:val="single" w:sz="12" w:space="0" w:color="auto"/>
            </w:tcBorders>
            <w:vAlign w:val="center"/>
          </w:tcPr>
          <w:p w14:paraId="76A39933" w14:textId="3BBA0D66" w:rsidR="00887D0A" w:rsidRPr="00EF72E4" w:rsidRDefault="00887D0A" w:rsidP="00887D0A">
            <w:pPr>
              <w:spacing w:before="60" w:after="60"/>
              <w:jc w:val="center"/>
              <w:rPr>
                <w:rFonts w:ascii="Arial" w:hAnsi="Arial" w:cs="Arial"/>
                <w:b/>
                <w:sz w:val="16"/>
                <w:szCs w:val="16"/>
                <w:highlight w:val="yellow"/>
              </w:rPr>
            </w:pPr>
            <w:r w:rsidRPr="00975470">
              <w:rPr>
                <w:rFonts w:ascii="Arial" w:hAnsi="Arial" w:cs="Arial"/>
                <w:b/>
                <w:sz w:val="16"/>
                <w:szCs w:val="16"/>
              </w:rPr>
              <w:t>4</w:t>
            </w:r>
            <w:r>
              <w:rPr>
                <w:rFonts w:ascii="Arial" w:hAnsi="Arial" w:cs="Arial"/>
                <w:b/>
                <w:sz w:val="16"/>
                <w:szCs w:val="16"/>
              </w:rPr>
              <w:t>,</w:t>
            </w:r>
            <w:r w:rsidRPr="00975470">
              <w:rPr>
                <w:rFonts w:ascii="Arial" w:hAnsi="Arial" w:cs="Arial"/>
                <w:b/>
                <w:sz w:val="16"/>
                <w:szCs w:val="16"/>
              </w:rPr>
              <w:t>24</w:t>
            </w:r>
            <w:r>
              <w:rPr>
                <w:rFonts w:ascii="Arial" w:hAnsi="Arial" w:cs="Arial"/>
                <w:b/>
                <w:sz w:val="16"/>
                <w:szCs w:val="16"/>
              </w:rPr>
              <w:t>4</w:t>
            </w:r>
            <w:r w:rsidRPr="00975470">
              <w:rPr>
                <w:rFonts w:ascii="Arial" w:hAnsi="Arial" w:cs="Arial"/>
                <w:b/>
                <w:sz w:val="16"/>
                <w:szCs w:val="16"/>
              </w:rPr>
              <w:t xml:space="preserve"> – 13</w:t>
            </w:r>
            <w:r>
              <w:rPr>
                <w:rFonts w:ascii="Arial" w:hAnsi="Arial" w:cs="Arial"/>
                <w:b/>
                <w:sz w:val="16"/>
                <w:szCs w:val="16"/>
              </w:rPr>
              <w:t>,2</w:t>
            </w:r>
            <w:r w:rsidRPr="00975470">
              <w:rPr>
                <w:rFonts w:ascii="Arial" w:hAnsi="Arial" w:cs="Arial"/>
                <w:b/>
                <w:sz w:val="16"/>
                <w:szCs w:val="16"/>
              </w:rPr>
              <w:t>85 (8</w:t>
            </w:r>
            <w:r>
              <w:rPr>
                <w:rFonts w:ascii="Arial" w:hAnsi="Arial" w:cs="Arial"/>
                <w:b/>
                <w:sz w:val="16"/>
                <w:szCs w:val="16"/>
              </w:rPr>
              <w:t>766</w:t>
            </w:r>
            <w:r w:rsidRPr="00975470">
              <w:rPr>
                <w:rFonts w:ascii="Arial" w:hAnsi="Arial" w:cs="Arial"/>
                <w:b/>
                <w:sz w:val="16"/>
                <w:szCs w:val="16"/>
              </w:rPr>
              <w:t>)</w:t>
            </w:r>
          </w:p>
        </w:tc>
        <w:tc>
          <w:tcPr>
            <w:tcW w:w="1168" w:type="dxa"/>
            <w:tcBorders>
              <w:top w:val="single" w:sz="12" w:space="0" w:color="auto"/>
              <w:left w:val="single" w:sz="12" w:space="0" w:color="auto"/>
              <w:bottom w:val="single" w:sz="12" w:space="0" w:color="auto"/>
              <w:right w:val="single" w:sz="12" w:space="0" w:color="auto"/>
            </w:tcBorders>
            <w:vAlign w:val="center"/>
          </w:tcPr>
          <w:p w14:paraId="7D391F5A" w14:textId="165FC383" w:rsidR="00887D0A" w:rsidRPr="00EF72E4" w:rsidRDefault="00887D0A" w:rsidP="00887D0A">
            <w:pPr>
              <w:spacing w:before="60" w:after="60"/>
              <w:jc w:val="center"/>
              <w:rPr>
                <w:rFonts w:ascii="Arial" w:hAnsi="Arial" w:cs="Arial"/>
                <w:b/>
                <w:sz w:val="16"/>
                <w:szCs w:val="16"/>
                <w:highlight w:val="yellow"/>
              </w:rPr>
            </w:pPr>
            <w:r w:rsidRPr="00975470">
              <w:rPr>
                <w:rFonts w:ascii="Arial" w:hAnsi="Arial" w:cs="Arial"/>
                <w:b/>
                <w:sz w:val="16"/>
                <w:szCs w:val="16"/>
              </w:rPr>
              <w:t>44</w:t>
            </w:r>
            <w:r>
              <w:rPr>
                <w:rFonts w:ascii="Arial" w:hAnsi="Arial" w:cs="Arial"/>
                <w:b/>
                <w:sz w:val="16"/>
                <w:szCs w:val="16"/>
              </w:rPr>
              <w:t>7</w:t>
            </w:r>
            <w:r w:rsidRPr="00975470">
              <w:rPr>
                <w:rFonts w:ascii="Arial" w:hAnsi="Arial" w:cs="Arial"/>
                <w:b/>
                <w:sz w:val="16"/>
                <w:szCs w:val="16"/>
              </w:rPr>
              <w:t xml:space="preserve"> – 2</w:t>
            </w:r>
            <w:r>
              <w:rPr>
                <w:rFonts w:ascii="Arial" w:hAnsi="Arial" w:cs="Arial"/>
                <w:b/>
                <w:sz w:val="16"/>
                <w:szCs w:val="16"/>
              </w:rPr>
              <w:t>,</w:t>
            </w:r>
            <w:r w:rsidRPr="00975470">
              <w:rPr>
                <w:rFonts w:ascii="Arial" w:hAnsi="Arial" w:cs="Arial"/>
                <w:b/>
                <w:sz w:val="16"/>
                <w:szCs w:val="16"/>
              </w:rPr>
              <w:t>7</w:t>
            </w:r>
            <w:r>
              <w:rPr>
                <w:rFonts w:ascii="Arial" w:hAnsi="Arial" w:cs="Arial"/>
                <w:b/>
                <w:sz w:val="16"/>
                <w:szCs w:val="16"/>
              </w:rPr>
              <w:t>3</w:t>
            </w:r>
            <w:r w:rsidRPr="00975470">
              <w:rPr>
                <w:rFonts w:ascii="Arial" w:hAnsi="Arial" w:cs="Arial"/>
                <w:b/>
                <w:sz w:val="16"/>
                <w:szCs w:val="16"/>
              </w:rPr>
              <w:t>6 (1</w:t>
            </w:r>
            <w:r>
              <w:rPr>
                <w:rFonts w:ascii="Arial" w:hAnsi="Arial" w:cs="Arial"/>
                <w:b/>
                <w:sz w:val="16"/>
                <w:szCs w:val="16"/>
              </w:rPr>
              <w:t>,</w:t>
            </w:r>
            <w:r w:rsidRPr="00975470">
              <w:rPr>
                <w:rFonts w:ascii="Arial" w:hAnsi="Arial" w:cs="Arial"/>
                <w:b/>
                <w:sz w:val="16"/>
                <w:szCs w:val="16"/>
              </w:rPr>
              <w:t>5</w:t>
            </w:r>
            <w:r>
              <w:rPr>
                <w:rFonts w:ascii="Arial" w:hAnsi="Arial" w:cs="Arial"/>
                <w:b/>
                <w:sz w:val="16"/>
                <w:szCs w:val="16"/>
              </w:rPr>
              <w:t>94</w:t>
            </w:r>
            <w:r w:rsidRPr="00975470">
              <w:rPr>
                <w:rFonts w:ascii="Arial" w:hAnsi="Arial" w:cs="Arial"/>
                <w:b/>
                <w:sz w:val="16"/>
                <w:szCs w:val="16"/>
              </w:rPr>
              <w:t>)</w:t>
            </w:r>
          </w:p>
        </w:tc>
        <w:tc>
          <w:tcPr>
            <w:tcW w:w="1410" w:type="dxa"/>
            <w:tcBorders>
              <w:top w:val="single" w:sz="12" w:space="0" w:color="auto"/>
              <w:left w:val="single" w:sz="12" w:space="0" w:color="auto"/>
              <w:bottom w:val="single" w:sz="12" w:space="0" w:color="auto"/>
              <w:right w:val="single" w:sz="12" w:space="0" w:color="auto"/>
            </w:tcBorders>
            <w:vAlign w:val="center"/>
          </w:tcPr>
          <w:p w14:paraId="1374BA35" w14:textId="03F51574" w:rsidR="00887D0A" w:rsidRPr="00EF72E4" w:rsidRDefault="00887D0A" w:rsidP="00887D0A">
            <w:pPr>
              <w:spacing w:before="60" w:after="60"/>
              <w:jc w:val="center"/>
              <w:rPr>
                <w:rFonts w:ascii="Arial" w:hAnsi="Arial" w:cs="Arial"/>
                <w:b/>
                <w:sz w:val="16"/>
                <w:szCs w:val="16"/>
                <w:highlight w:val="yellow"/>
              </w:rPr>
            </w:pPr>
            <w:r w:rsidRPr="00975470">
              <w:rPr>
                <w:rFonts w:ascii="Arial" w:hAnsi="Arial" w:cs="Arial"/>
                <w:b/>
                <w:sz w:val="16"/>
                <w:szCs w:val="16"/>
              </w:rPr>
              <w:t>186 – 3,445 (1,816)</w:t>
            </w:r>
          </w:p>
        </w:tc>
        <w:tc>
          <w:tcPr>
            <w:tcW w:w="1134" w:type="dxa"/>
            <w:tcBorders>
              <w:top w:val="single" w:sz="12" w:space="0" w:color="auto"/>
              <w:left w:val="single" w:sz="12" w:space="0" w:color="auto"/>
              <w:bottom w:val="single" w:sz="12" w:space="0" w:color="auto"/>
              <w:right w:val="single" w:sz="12" w:space="0" w:color="auto"/>
            </w:tcBorders>
            <w:vAlign w:val="center"/>
          </w:tcPr>
          <w:p w14:paraId="00183622" w14:textId="250D06D4" w:rsidR="00887D0A" w:rsidRPr="00EF72E4" w:rsidRDefault="00887D0A" w:rsidP="00887D0A">
            <w:pPr>
              <w:spacing w:before="60" w:after="60"/>
              <w:jc w:val="center"/>
              <w:rPr>
                <w:rFonts w:ascii="Arial" w:hAnsi="Arial" w:cs="Arial"/>
                <w:b/>
                <w:sz w:val="16"/>
                <w:szCs w:val="16"/>
                <w:highlight w:val="yellow"/>
              </w:rPr>
            </w:pPr>
            <w:r w:rsidRPr="00975470">
              <w:rPr>
                <w:rFonts w:ascii="Arial" w:hAnsi="Arial" w:cs="Arial"/>
                <w:b/>
                <w:sz w:val="16"/>
                <w:szCs w:val="16"/>
              </w:rPr>
              <w:t>37</w:t>
            </w:r>
            <w:r>
              <w:rPr>
                <w:rFonts w:ascii="Arial" w:hAnsi="Arial" w:cs="Arial"/>
                <w:b/>
                <w:sz w:val="16"/>
                <w:szCs w:val="16"/>
              </w:rPr>
              <w:t>3</w:t>
            </w:r>
            <w:r w:rsidRPr="00975470">
              <w:rPr>
                <w:rFonts w:ascii="Arial" w:hAnsi="Arial" w:cs="Arial"/>
                <w:b/>
                <w:sz w:val="16"/>
                <w:szCs w:val="16"/>
              </w:rPr>
              <w:t xml:space="preserve"> – 1,7</w:t>
            </w:r>
            <w:r>
              <w:rPr>
                <w:rFonts w:ascii="Arial" w:hAnsi="Arial" w:cs="Arial"/>
                <w:b/>
                <w:sz w:val="16"/>
                <w:szCs w:val="16"/>
              </w:rPr>
              <w:t>8</w:t>
            </w:r>
            <w:r w:rsidRPr="00975470">
              <w:rPr>
                <w:rFonts w:ascii="Arial" w:hAnsi="Arial" w:cs="Arial"/>
                <w:b/>
                <w:sz w:val="16"/>
                <w:szCs w:val="16"/>
              </w:rPr>
              <w:t>0- (1,0</w:t>
            </w:r>
            <w:r>
              <w:rPr>
                <w:rFonts w:ascii="Arial" w:hAnsi="Arial" w:cs="Arial"/>
                <w:b/>
                <w:sz w:val="16"/>
                <w:szCs w:val="16"/>
              </w:rPr>
              <w:t>76</w:t>
            </w:r>
            <w:r w:rsidRPr="00975470">
              <w:rPr>
                <w:rFonts w:ascii="Arial" w:hAnsi="Arial" w:cs="Arial"/>
                <w:b/>
                <w:sz w:val="16"/>
                <w:szCs w:val="16"/>
              </w:rPr>
              <w:t>)</w:t>
            </w:r>
          </w:p>
        </w:tc>
        <w:tc>
          <w:tcPr>
            <w:tcW w:w="1026" w:type="dxa"/>
            <w:tcBorders>
              <w:top w:val="single" w:sz="12" w:space="0" w:color="auto"/>
              <w:left w:val="single" w:sz="12" w:space="0" w:color="auto"/>
              <w:bottom w:val="single" w:sz="12" w:space="0" w:color="auto"/>
              <w:right w:val="single" w:sz="12" w:space="0" w:color="auto"/>
            </w:tcBorders>
            <w:vAlign w:val="center"/>
          </w:tcPr>
          <w:p w14:paraId="3BE176A4" w14:textId="45B01F90" w:rsidR="00887D0A" w:rsidRPr="00EF72E4" w:rsidRDefault="00887D0A" w:rsidP="00887D0A">
            <w:pPr>
              <w:spacing w:before="60" w:after="60"/>
              <w:jc w:val="center"/>
              <w:rPr>
                <w:rFonts w:ascii="Arial" w:hAnsi="Arial" w:cs="Arial"/>
                <w:b/>
                <w:sz w:val="16"/>
                <w:szCs w:val="16"/>
                <w:highlight w:val="yellow"/>
              </w:rPr>
            </w:pPr>
            <w:r w:rsidRPr="00261DA3">
              <w:rPr>
                <w:rFonts w:ascii="Arial" w:hAnsi="Arial" w:cs="Arial"/>
                <w:b/>
                <w:sz w:val="16"/>
                <w:szCs w:val="16"/>
              </w:rPr>
              <w:t>36.0 – 36.6 (36.3)</w:t>
            </w:r>
          </w:p>
        </w:tc>
        <w:tc>
          <w:tcPr>
            <w:tcW w:w="1213" w:type="dxa"/>
            <w:tcBorders>
              <w:top w:val="single" w:sz="12" w:space="0" w:color="auto"/>
              <w:left w:val="single" w:sz="12" w:space="0" w:color="auto"/>
              <w:bottom w:val="single" w:sz="12" w:space="0" w:color="auto"/>
              <w:right w:val="single" w:sz="12" w:space="0" w:color="auto"/>
            </w:tcBorders>
            <w:vAlign w:val="center"/>
          </w:tcPr>
          <w:p w14:paraId="53914593" w14:textId="712E012F" w:rsidR="00887D0A" w:rsidRPr="00EF72E4" w:rsidRDefault="00887D0A" w:rsidP="00887D0A">
            <w:pPr>
              <w:spacing w:before="60" w:after="60"/>
              <w:jc w:val="center"/>
              <w:rPr>
                <w:rFonts w:ascii="Arial" w:hAnsi="Arial" w:cs="Arial"/>
                <w:b/>
                <w:sz w:val="16"/>
                <w:szCs w:val="16"/>
                <w:highlight w:val="yellow"/>
              </w:rPr>
            </w:pPr>
            <w:r w:rsidRPr="00261DA3">
              <w:rPr>
                <w:rFonts w:ascii="Arial" w:hAnsi="Arial" w:cs="Arial"/>
                <w:b/>
                <w:sz w:val="16"/>
                <w:szCs w:val="16"/>
              </w:rPr>
              <w:t>20</w:t>
            </w:r>
            <w:r>
              <w:rPr>
                <w:rFonts w:ascii="Arial" w:hAnsi="Arial" w:cs="Arial"/>
                <w:b/>
                <w:sz w:val="16"/>
                <w:szCs w:val="16"/>
              </w:rPr>
              <w:t>3</w:t>
            </w:r>
            <w:r w:rsidRPr="00261DA3">
              <w:rPr>
                <w:rFonts w:ascii="Arial" w:hAnsi="Arial" w:cs="Arial"/>
                <w:b/>
                <w:sz w:val="16"/>
                <w:szCs w:val="16"/>
              </w:rPr>
              <w:t xml:space="preserve"> – 2</w:t>
            </w:r>
            <w:r>
              <w:rPr>
                <w:rFonts w:ascii="Arial" w:hAnsi="Arial" w:cs="Arial"/>
                <w:b/>
                <w:sz w:val="16"/>
                <w:szCs w:val="16"/>
              </w:rPr>
              <w:t>289</w:t>
            </w:r>
            <w:r w:rsidRPr="00261DA3">
              <w:rPr>
                <w:rFonts w:ascii="Arial" w:hAnsi="Arial" w:cs="Arial"/>
                <w:b/>
                <w:sz w:val="16"/>
                <w:szCs w:val="16"/>
              </w:rPr>
              <w:t xml:space="preserve"> (12</w:t>
            </w:r>
            <w:r>
              <w:rPr>
                <w:rFonts w:ascii="Arial" w:hAnsi="Arial" w:cs="Arial"/>
                <w:b/>
                <w:sz w:val="16"/>
                <w:szCs w:val="16"/>
              </w:rPr>
              <w:t>46</w:t>
            </w:r>
            <w:r w:rsidRPr="00261DA3">
              <w:rPr>
                <w:rFonts w:ascii="Arial" w:hAnsi="Arial" w:cs="Arial"/>
                <w:b/>
                <w:sz w:val="16"/>
                <w:szCs w:val="16"/>
              </w:rPr>
              <w:t>)</w:t>
            </w:r>
          </w:p>
        </w:tc>
      </w:tr>
      <w:bookmarkEnd w:id="177"/>
    </w:tbl>
    <w:p w14:paraId="7C19DF67" w14:textId="77777777" w:rsidR="00ED3B2F" w:rsidRDefault="00ED3B2F" w:rsidP="00E12A41">
      <w:pPr>
        <w:spacing w:line="300" w:lineRule="atLeast"/>
        <w:jc w:val="both"/>
        <w:rPr>
          <w:szCs w:val="18"/>
          <w:highlight w:val="yellow"/>
        </w:rPr>
      </w:pPr>
    </w:p>
    <w:p w14:paraId="3F6E9F54" w14:textId="6F3B8B31" w:rsidR="008F1C52" w:rsidRDefault="008F1C52" w:rsidP="00E12A41">
      <w:pPr>
        <w:spacing w:line="300" w:lineRule="atLeast"/>
        <w:jc w:val="both"/>
        <w:rPr>
          <w:szCs w:val="18"/>
          <w:highlight w:val="yellow"/>
        </w:rPr>
      </w:pPr>
      <w:r w:rsidRPr="005F4DB5">
        <w:rPr>
          <w:szCs w:val="18"/>
        </w:rPr>
        <w:t xml:space="preserve">The relative </w:t>
      </w:r>
      <w:r w:rsidR="00E424E3">
        <w:rPr>
          <w:szCs w:val="18"/>
        </w:rPr>
        <w:t>proportion of the most significant categories to the total mercury input based on mid-range values is shown in Figure 14-1.</w:t>
      </w:r>
    </w:p>
    <w:p w14:paraId="7B773ABF" w14:textId="4FEB7D0A" w:rsidR="00E124F3" w:rsidRPr="000B1B79" w:rsidRDefault="00691985" w:rsidP="00E12A41">
      <w:pPr>
        <w:spacing w:line="300" w:lineRule="atLeast"/>
        <w:jc w:val="both"/>
        <w:rPr>
          <w:szCs w:val="18"/>
        </w:rPr>
      </w:pPr>
      <w:r w:rsidRPr="005F4DB5">
        <w:rPr>
          <w:szCs w:val="18"/>
        </w:rPr>
        <w:t xml:space="preserve">By far the greatest </w:t>
      </w:r>
      <w:r w:rsidR="00E424E3">
        <w:rPr>
          <w:szCs w:val="18"/>
        </w:rPr>
        <w:t>source of mercury inputs is</w:t>
      </w:r>
      <w:r w:rsidRPr="005F4DB5">
        <w:rPr>
          <w:szCs w:val="18"/>
        </w:rPr>
        <w:t xml:space="preserve"> for category 9, waste disposal. However, describing these as inputs is not really correct – they would be better considered as secondary </w:t>
      </w:r>
      <w:r w:rsidR="00377026" w:rsidRPr="005F4DB5">
        <w:rPr>
          <w:szCs w:val="18"/>
        </w:rPr>
        <w:t xml:space="preserve">or down-stream </w:t>
      </w:r>
      <w:r w:rsidRPr="005F4DB5">
        <w:rPr>
          <w:szCs w:val="18"/>
        </w:rPr>
        <w:t>inputs, in that they are the result of many of</w:t>
      </w:r>
      <w:r w:rsidR="00377026" w:rsidRPr="005F4DB5">
        <w:rPr>
          <w:szCs w:val="18"/>
        </w:rPr>
        <w:t xml:space="preserve"> the past and current out</w:t>
      </w:r>
      <w:r w:rsidRPr="005F4DB5">
        <w:rPr>
          <w:szCs w:val="18"/>
        </w:rPr>
        <w:t xml:space="preserve">puts from all other categories, plus contributions from indirect sources, such as mercury in foods and in </w:t>
      </w:r>
      <w:r w:rsidR="00377026" w:rsidRPr="005F4DB5">
        <w:rPr>
          <w:szCs w:val="18"/>
        </w:rPr>
        <w:t xml:space="preserve">airborne </w:t>
      </w:r>
      <w:r w:rsidRPr="005F4DB5">
        <w:rPr>
          <w:szCs w:val="18"/>
        </w:rPr>
        <w:t xml:space="preserve">dust. </w:t>
      </w:r>
      <w:r w:rsidR="001316A2" w:rsidRPr="005F4DB5">
        <w:rPr>
          <w:szCs w:val="18"/>
        </w:rPr>
        <w:t xml:space="preserve">In addition, most of the mercury in the solid waste stream </w:t>
      </w:r>
      <w:r w:rsidR="00565AE6" w:rsidRPr="006D3FF1">
        <w:rPr>
          <w:szCs w:val="18"/>
        </w:rPr>
        <w:t>(</w:t>
      </w:r>
      <w:r w:rsidR="00BE7F5A" w:rsidRPr="00EF72E4">
        <w:rPr>
          <w:szCs w:val="18"/>
        </w:rPr>
        <w:t>2,998</w:t>
      </w:r>
      <w:r w:rsidR="00565AE6" w:rsidRPr="006D3FF1">
        <w:rPr>
          <w:szCs w:val="18"/>
        </w:rPr>
        <w:t xml:space="preserve"> kg)</w:t>
      </w:r>
      <w:r w:rsidR="00565AE6" w:rsidRPr="005F4DB5">
        <w:rPr>
          <w:szCs w:val="18"/>
        </w:rPr>
        <w:t xml:space="preserve"> </w:t>
      </w:r>
      <w:r w:rsidR="001316A2" w:rsidRPr="005F4DB5">
        <w:rPr>
          <w:szCs w:val="18"/>
        </w:rPr>
        <w:t>is simply placed into long-term storage (ie. controlled landfill), rather than being mobilised into the environment.</w:t>
      </w:r>
      <w:r w:rsidR="00E124F3" w:rsidRPr="005F4DB5">
        <w:rPr>
          <w:szCs w:val="18"/>
        </w:rPr>
        <w:t xml:space="preserve"> Th</w:t>
      </w:r>
      <w:r w:rsidR="00E922E9" w:rsidRPr="005F4DB5">
        <w:rPr>
          <w:szCs w:val="18"/>
        </w:rPr>
        <w:t xml:space="preserve">is </w:t>
      </w:r>
      <w:r w:rsidR="00E124F3" w:rsidRPr="005F4DB5">
        <w:rPr>
          <w:szCs w:val="18"/>
        </w:rPr>
        <w:t>was assigned to a ‘Reservoir’ output category, which has not been included in the table (refer section 11.1 for further details).</w:t>
      </w:r>
      <w:r w:rsidR="00186400" w:rsidRPr="005F4DB5">
        <w:rPr>
          <w:szCs w:val="18"/>
        </w:rPr>
        <w:t xml:space="preserve"> This explains why the </w:t>
      </w:r>
      <w:r w:rsidR="00B6753E" w:rsidRPr="005F4DB5">
        <w:rPr>
          <w:szCs w:val="18"/>
        </w:rPr>
        <w:t xml:space="preserve">sum of inputs </w:t>
      </w:r>
      <w:r w:rsidR="00B64618" w:rsidRPr="005F4DB5">
        <w:rPr>
          <w:szCs w:val="18"/>
        </w:rPr>
        <w:t>is greater than the sum of outputs.</w:t>
      </w:r>
    </w:p>
    <w:p w14:paraId="5723D493" w14:textId="66C67606" w:rsidR="001C223F" w:rsidRPr="005F4DB5" w:rsidRDefault="0014357A" w:rsidP="0024746A">
      <w:pPr>
        <w:spacing w:line="300" w:lineRule="atLeast"/>
        <w:jc w:val="both"/>
        <w:rPr>
          <w:szCs w:val="18"/>
        </w:rPr>
      </w:pPr>
      <w:r w:rsidRPr="005F4DB5">
        <w:rPr>
          <w:szCs w:val="18"/>
        </w:rPr>
        <w:t xml:space="preserve">Apart from the waste category, the next highest input </w:t>
      </w:r>
      <w:r w:rsidR="00E922E9" w:rsidRPr="005F4DB5">
        <w:rPr>
          <w:szCs w:val="18"/>
        </w:rPr>
        <w:t xml:space="preserve">is the extraction and use of fuels and other energy sources, </w:t>
      </w:r>
      <w:r w:rsidR="00BE7F5A" w:rsidRPr="000B1B79">
        <w:rPr>
          <w:szCs w:val="18"/>
        </w:rPr>
        <w:t xml:space="preserve">where the principal mercury source is </w:t>
      </w:r>
      <w:r w:rsidR="00E922E9" w:rsidRPr="005F4DB5">
        <w:rPr>
          <w:szCs w:val="18"/>
        </w:rPr>
        <w:t>geothermal energy.</w:t>
      </w:r>
    </w:p>
    <w:p w14:paraId="2B850FDB" w14:textId="52636F2F" w:rsidR="00691985" w:rsidRPr="005F4DB5" w:rsidRDefault="001C223F" w:rsidP="002567C1">
      <w:pPr>
        <w:spacing w:line="300" w:lineRule="atLeast"/>
        <w:jc w:val="both"/>
        <w:rPr>
          <w:szCs w:val="18"/>
        </w:rPr>
      </w:pPr>
      <w:r w:rsidRPr="005F4DB5">
        <w:rPr>
          <w:szCs w:val="18"/>
        </w:rPr>
        <w:t xml:space="preserve">The next highest input is </w:t>
      </w:r>
      <w:r w:rsidR="0014357A" w:rsidRPr="005F4DB5">
        <w:rPr>
          <w:szCs w:val="18"/>
        </w:rPr>
        <w:t xml:space="preserve">primary metal production and, in particular gold </w:t>
      </w:r>
      <w:r w:rsidR="00AC3856" w:rsidRPr="005F4DB5">
        <w:rPr>
          <w:szCs w:val="18"/>
        </w:rPr>
        <w:t xml:space="preserve">and silver </w:t>
      </w:r>
      <w:r w:rsidR="0014357A" w:rsidRPr="005F4DB5">
        <w:rPr>
          <w:szCs w:val="18"/>
        </w:rPr>
        <w:t xml:space="preserve">mining. In this case, the bulk of the inputs and outputs are associated with the extraction of very large volumes of ore, which </w:t>
      </w:r>
      <w:r w:rsidR="00BA5877" w:rsidRPr="005F4DB5">
        <w:rPr>
          <w:szCs w:val="18"/>
        </w:rPr>
        <w:t xml:space="preserve">contain very small amounts of mercury. </w:t>
      </w:r>
    </w:p>
    <w:p w14:paraId="2ABE1AA7" w14:textId="0425109E" w:rsidR="0014357A" w:rsidRPr="005F4DB5" w:rsidRDefault="001316A2" w:rsidP="002567C1">
      <w:pPr>
        <w:spacing w:line="300" w:lineRule="atLeast"/>
        <w:jc w:val="both"/>
        <w:rPr>
          <w:szCs w:val="18"/>
        </w:rPr>
      </w:pPr>
      <w:r w:rsidRPr="005F4DB5">
        <w:rPr>
          <w:szCs w:val="18"/>
        </w:rPr>
        <w:t xml:space="preserve">Below that, the most notable source categories are </w:t>
      </w:r>
      <w:r w:rsidR="002567C1" w:rsidRPr="005F4DB5">
        <w:rPr>
          <w:szCs w:val="18"/>
        </w:rPr>
        <w:t xml:space="preserve">production of other minerals and materials </w:t>
      </w:r>
      <w:r w:rsidR="00B3340F">
        <w:rPr>
          <w:szCs w:val="18"/>
        </w:rPr>
        <w:t xml:space="preserve">with mercury impurities dominated by phosphate based fertilisers </w:t>
      </w:r>
      <w:r w:rsidR="002567C1" w:rsidRPr="005F4DB5">
        <w:rPr>
          <w:szCs w:val="18"/>
        </w:rPr>
        <w:t xml:space="preserve">and </w:t>
      </w:r>
      <w:r w:rsidRPr="005F4DB5">
        <w:rPr>
          <w:szCs w:val="18"/>
        </w:rPr>
        <w:t>consumer products with intentional use of mercury</w:t>
      </w:r>
      <w:r w:rsidR="00B3340F">
        <w:rPr>
          <w:szCs w:val="18"/>
        </w:rPr>
        <w:t xml:space="preserve"> with significant contributions from batteries </w:t>
      </w:r>
      <w:r w:rsidR="0034537F">
        <w:rPr>
          <w:szCs w:val="18"/>
        </w:rPr>
        <w:t>and animal vaccines.</w:t>
      </w:r>
    </w:p>
    <w:p w14:paraId="600125AD" w14:textId="2354989F" w:rsidR="002567C1" w:rsidRDefault="002567C1" w:rsidP="002567C1">
      <w:pPr>
        <w:spacing w:line="300" w:lineRule="atLeast"/>
        <w:jc w:val="both"/>
        <w:rPr>
          <w:szCs w:val="18"/>
          <w:highlight w:val="yellow"/>
        </w:rPr>
      </w:pPr>
    </w:p>
    <w:p w14:paraId="4F2F1DEF" w14:textId="651E6708" w:rsidR="00427BC5" w:rsidRDefault="00427BC5" w:rsidP="002567C1">
      <w:pPr>
        <w:spacing w:line="300" w:lineRule="atLeast"/>
        <w:jc w:val="both"/>
        <w:rPr>
          <w:szCs w:val="18"/>
          <w:highlight w:val="yellow"/>
        </w:rPr>
      </w:pPr>
      <w:r>
        <w:rPr>
          <w:noProof/>
        </w:rPr>
        <w:drawing>
          <wp:inline distT="0" distB="0" distL="0" distR="0" wp14:anchorId="5A639843" wp14:editId="42604A6D">
            <wp:extent cx="5760085" cy="3526790"/>
            <wp:effectExtent l="0" t="0" r="18415" b="16510"/>
            <wp:docPr id="766974294"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A31DDC" w14:textId="402AED52" w:rsidR="001A0AA1" w:rsidRPr="00EF72E4" w:rsidRDefault="001A0AA1" w:rsidP="00A5090B">
      <w:pPr>
        <w:pStyle w:val="Caption"/>
        <w:spacing w:before="240"/>
        <w:jc w:val="center"/>
        <w:rPr>
          <w:rFonts w:ascii="Arial" w:hAnsi="Arial" w:cs="Arial"/>
          <w:szCs w:val="18"/>
        </w:rPr>
      </w:pPr>
      <w:bookmarkStart w:id="178" w:name="_Ref359159386"/>
      <w:r w:rsidRPr="00EF72E4">
        <w:rPr>
          <w:rFonts w:ascii="Arial" w:hAnsi="Arial" w:cs="Arial"/>
        </w:rPr>
        <w:t xml:space="preserve">Figure </w:t>
      </w:r>
      <w:r w:rsidRPr="00EF72E4">
        <w:rPr>
          <w:rFonts w:ascii="Arial" w:hAnsi="Arial" w:cs="Arial"/>
        </w:rPr>
        <w:fldChar w:fldCharType="begin"/>
      </w:r>
      <w:r w:rsidRPr="00EF72E4">
        <w:rPr>
          <w:rFonts w:ascii="Arial" w:hAnsi="Arial" w:cs="Arial"/>
        </w:rPr>
        <w:instrText xml:space="preserve"> STYLEREF 1 \s </w:instrText>
      </w:r>
      <w:r w:rsidRPr="00EF72E4">
        <w:rPr>
          <w:rFonts w:ascii="Arial" w:hAnsi="Arial" w:cs="Arial"/>
        </w:rPr>
        <w:fldChar w:fldCharType="separate"/>
      </w:r>
      <w:r w:rsidR="00892B2D">
        <w:rPr>
          <w:rFonts w:ascii="Arial" w:hAnsi="Arial" w:cs="Arial"/>
          <w:noProof/>
        </w:rPr>
        <w:t>14</w:t>
      </w:r>
      <w:r w:rsidRPr="00EF72E4">
        <w:rPr>
          <w:rFonts w:ascii="Arial" w:hAnsi="Arial" w:cs="Arial"/>
        </w:rPr>
        <w:fldChar w:fldCharType="end"/>
      </w:r>
      <w:r w:rsidRPr="00EF72E4">
        <w:rPr>
          <w:rFonts w:ascii="Arial" w:hAnsi="Arial" w:cs="Arial"/>
        </w:rPr>
        <w:noBreakHyphen/>
      </w:r>
      <w:r w:rsidRPr="00EF72E4">
        <w:rPr>
          <w:rFonts w:ascii="Arial" w:hAnsi="Arial" w:cs="Arial"/>
        </w:rPr>
        <w:fldChar w:fldCharType="begin"/>
      </w:r>
      <w:r w:rsidRPr="00EF72E4">
        <w:rPr>
          <w:rFonts w:ascii="Arial" w:hAnsi="Arial" w:cs="Arial"/>
        </w:rPr>
        <w:instrText xml:space="preserve"> SEQ Figure \* ARABIC \s 1 </w:instrText>
      </w:r>
      <w:r w:rsidRPr="00EF72E4">
        <w:rPr>
          <w:rFonts w:ascii="Arial" w:hAnsi="Arial" w:cs="Arial"/>
        </w:rPr>
        <w:fldChar w:fldCharType="separate"/>
      </w:r>
      <w:r w:rsidR="00892B2D">
        <w:rPr>
          <w:rFonts w:ascii="Arial" w:hAnsi="Arial" w:cs="Arial"/>
          <w:noProof/>
        </w:rPr>
        <w:t>1</w:t>
      </w:r>
      <w:r w:rsidRPr="00EF72E4">
        <w:rPr>
          <w:rFonts w:ascii="Arial" w:hAnsi="Arial" w:cs="Arial"/>
        </w:rPr>
        <w:fldChar w:fldCharType="end"/>
      </w:r>
      <w:bookmarkEnd w:id="178"/>
      <w:r w:rsidRPr="00EF72E4">
        <w:rPr>
          <w:rFonts w:ascii="Arial" w:hAnsi="Arial" w:cs="Arial"/>
        </w:rPr>
        <w:t>:</w:t>
      </w:r>
      <w:r w:rsidRPr="00EF72E4">
        <w:rPr>
          <w:rFonts w:ascii="Arial" w:hAnsi="Arial" w:cs="Arial"/>
          <w:b w:val="0"/>
          <w:bCs w:val="0"/>
        </w:rPr>
        <w:t xml:space="preserve"> </w:t>
      </w:r>
      <w:r w:rsidR="00BE7F5A" w:rsidRPr="00EF72E4">
        <w:rPr>
          <w:rFonts w:ascii="Arial" w:hAnsi="Arial" w:cs="Arial"/>
          <w:b w:val="0"/>
          <w:bCs w:val="0"/>
        </w:rPr>
        <w:t xml:space="preserve">A comparison of the relative significance of </w:t>
      </w:r>
      <w:r w:rsidR="00B53D6C">
        <w:rPr>
          <w:rFonts w:ascii="Arial" w:hAnsi="Arial" w:cs="Arial"/>
          <w:b w:val="0"/>
          <w:bCs w:val="0"/>
        </w:rPr>
        <w:t xml:space="preserve">major </w:t>
      </w:r>
      <w:r w:rsidR="00BE7F5A" w:rsidRPr="00EF72E4">
        <w:rPr>
          <w:rFonts w:ascii="Arial" w:hAnsi="Arial" w:cs="Arial"/>
          <w:b w:val="0"/>
          <w:bCs w:val="0"/>
        </w:rPr>
        <w:t>source categories of mercury for the New Zealand environment in 2024</w:t>
      </w:r>
    </w:p>
    <w:p w14:paraId="24182496" w14:textId="77777777" w:rsidR="00F958AE" w:rsidRPr="000B1B79" w:rsidRDefault="00F958AE" w:rsidP="00A5090B">
      <w:pPr>
        <w:spacing w:line="300" w:lineRule="atLeast"/>
        <w:jc w:val="both"/>
        <w:rPr>
          <w:szCs w:val="18"/>
          <w:highlight w:val="yellow"/>
        </w:rPr>
      </w:pPr>
    </w:p>
    <w:p w14:paraId="34688459" w14:textId="7D2D7062" w:rsidR="00377026" w:rsidRPr="00EF72E4" w:rsidRDefault="00377026" w:rsidP="00A5090B">
      <w:pPr>
        <w:pStyle w:val="Heading2"/>
      </w:pPr>
      <w:bookmarkStart w:id="179" w:name="_Toc110355579"/>
      <w:r w:rsidRPr="00EF72E4">
        <w:t>Source by source summary of mercury inputs</w:t>
      </w:r>
      <w:bookmarkEnd w:id="179"/>
    </w:p>
    <w:p w14:paraId="45529C63" w14:textId="1401001F" w:rsidR="00015049" w:rsidRPr="00056F10" w:rsidRDefault="00377026" w:rsidP="00015049">
      <w:pPr>
        <w:spacing w:line="300" w:lineRule="atLeast"/>
        <w:jc w:val="both"/>
        <w:rPr>
          <w:szCs w:val="18"/>
        </w:rPr>
      </w:pPr>
      <w:r w:rsidRPr="00EF72E4">
        <w:rPr>
          <w:szCs w:val="18"/>
        </w:rPr>
        <w:t xml:space="preserve">A detailed source by source listing of all of the individual </w:t>
      </w:r>
      <w:r w:rsidR="00ED71DA" w:rsidRPr="00EF72E4">
        <w:rPr>
          <w:szCs w:val="18"/>
        </w:rPr>
        <w:t xml:space="preserve">inputs and </w:t>
      </w:r>
      <w:r w:rsidRPr="00EF72E4">
        <w:rPr>
          <w:szCs w:val="18"/>
        </w:rPr>
        <w:t xml:space="preserve">outputs </w:t>
      </w:r>
      <w:r w:rsidR="00F352E8" w:rsidRPr="00EF72E4">
        <w:rPr>
          <w:szCs w:val="18"/>
        </w:rPr>
        <w:t xml:space="preserve">for New Zealand sources </w:t>
      </w:r>
      <w:r w:rsidRPr="00EF72E4">
        <w:rPr>
          <w:szCs w:val="18"/>
        </w:rPr>
        <w:t xml:space="preserve">is given in </w:t>
      </w:r>
      <w:r w:rsidR="00F352E8" w:rsidRPr="00EF72E4">
        <w:rPr>
          <w:szCs w:val="18"/>
        </w:rPr>
        <w:t>Table 14-</w:t>
      </w:r>
      <w:r w:rsidR="00565AE6" w:rsidRPr="00EF72E4">
        <w:rPr>
          <w:szCs w:val="18"/>
        </w:rPr>
        <w:t xml:space="preserve">2 </w:t>
      </w:r>
      <w:r w:rsidRPr="00EF72E4">
        <w:rPr>
          <w:szCs w:val="18"/>
        </w:rPr>
        <w:t>at the end of this section</w:t>
      </w:r>
      <w:r w:rsidR="00F352E8" w:rsidRPr="00EF72E4">
        <w:rPr>
          <w:szCs w:val="18"/>
        </w:rPr>
        <w:t>.</w:t>
      </w:r>
      <w:r w:rsidRPr="00EF72E4">
        <w:rPr>
          <w:szCs w:val="18"/>
        </w:rPr>
        <w:t xml:space="preserve"> A relative ranking of </w:t>
      </w:r>
      <w:r w:rsidR="00ED71DA" w:rsidRPr="00EF72E4">
        <w:rPr>
          <w:szCs w:val="18"/>
        </w:rPr>
        <w:t xml:space="preserve">the inputs from </w:t>
      </w:r>
      <w:r w:rsidRPr="00EF72E4">
        <w:rPr>
          <w:szCs w:val="18"/>
        </w:rPr>
        <w:t xml:space="preserve">each of the sources is also </w:t>
      </w:r>
      <w:r w:rsidR="00AE00FF" w:rsidRPr="00EF72E4">
        <w:rPr>
          <w:szCs w:val="18"/>
        </w:rPr>
        <w:t>illustrated</w:t>
      </w:r>
      <w:r w:rsidRPr="00EF72E4">
        <w:rPr>
          <w:szCs w:val="18"/>
        </w:rPr>
        <w:t xml:space="preserve"> in </w:t>
      </w:r>
      <w:r w:rsidR="005528C2" w:rsidRPr="00EF72E4">
        <w:rPr>
          <w:szCs w:val="18"/>
        </w:rPr>
        <w:t>Figure 14-2 with the size of each bar giving a simple indication of the level of uncertainty associated with each estimate.</w:t>
      </w:r>
      <w:r w:rsidR="0071409E" w:rsidRPr="00EF72E4">
        <w:rPr>
          <w:szCs w:val="18"/>
        </w:rPr>
        <w:t xml:space="preserve"> It should be noted that mercury inputs are presented as a log scale in order to allow a </w:t>
      </w:r>
      <w:r w:rsidR="00607E9B" w:rsidRPr="00EF72E4">
        <w:rPr>
          <w:szCs w:val="18"/>
        </w:rPr>
        <w:t xml:space="preserve">clear </w:t>
      </w:r>
      <w:r w:rsidR="0071409E" w:rsidRPr="00EF72E4">
        <w:rPr>
          <w:szCs w:val="18"/>
        </w:rPr>
        <w:t>visual ranking of the sources</w:t>
      </w:r>
      <w:r w:rsidR="00607E9B" w:rsidRPr="00EF72E4">
        <w:rPr>
          <w:szCs w:val="18"/>
        </w:rPr>
        <w:t xml:space="preserve"> but it </w:t>
      </w:r>
      <w:r w:rsidR="00AC28BA">
        <w:rPr>
          <w:szCs w:val="18"/>
        </w:rPr>
        <w:t>is emphasised</w:t>
      </w:r>
      <w:r w:rsidR="00607E9B" w:rsidRPr="00EF72E4">
        <w:rPr>
          <w:szCs w:val="18"/>
        </w:rPr>
        <w:t xml:space="preserve"> that the relationship is not linear.</w:t>
      </w:r>
      <w:r w:rsidR="0071409E" w:rsidRPr="00EF72E4">
        <w:rPr>
          <w:szCs w:val="18"/>
        </w:rPr>
        <w:t xml:space="preserve">  </w:t>
      </w:r>
    </w:p>
    <w:p w14:paraId="0D464BEC" w14:textId="4BA2FD4C" w:rsidR="00015049" w:rsidRDefault="00EC2D50" w:rsidP="00015049">
      <w:pPr>
        <w:spacing w:line="300" w:lineRule="atLeast"/>
        <w:jc w:val="both"/>
        <w:rPr>
          <w:rFonts w:ascii="Arial" w:hAnsi="Arial" w:cs="Arial"/>
          <w:b/>
          <w:bCs/>
          <w:highlight w:val="yellow"/>
        </w:rPr>
      </w:pPr>
      <w:r>
        <w:rPr>
          <w:noProof/>
        </w:rPr>
        <w:drawing>
          <wp:inline distT="0" distB="0" distL="0" distR="0" wp14:anchorId="46DC2879" wp14:editId="72511369">
            <wp:extent cx="5760085" cy="2976282"/>
            <wp:effectExtent l="0" t="0" r="18415" b="8255"/>
            <wp:docPr id="69387362" name="Chart 1">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DB5AEC" w14:textId="5AE026C7" w:rsidR="00015049" w:rsidRPr="00A31B02" w:rsidRDefault="00015049" w:rsidP="00015049">
      <w:pPr>
        <w:pStyle w:val="Caption"/>
        <w:spacing w:before="240"/>
        <w:jc w:val="center"/>
        <w:rPr>
          <w:rFonts w:ascii="Arial" w:hAnsi="Arial" w:cs="Arial"/>
        </w:rPr>
      </w:pPr>
      <w:r w:rsidRPr="00A31B02">
        <w:rPr>
          <w:rFonts w:ascii="Arial" w:hAnsi="Arial" w:cs="Arial"/>
        </w:rPr>
        <w:t xml:space="preserve">Figure </w:t>
      </w:r>
      <w:r w:rsidRPr="00A31B02">
        <w:rPr>
          <w:rFonts w:ascii="Arial" w:hAnsi="Arial" w:cs="Arial"/>
        </w:rPr>
        <w:fldChar w:fldCharType="begin"/>
      </w:r>
      <w:r w:rsidRPr="00A31B02">
        <w:rPr>
          <w:rFonts w:ascii="Arial" w:hAnsi="Arial" w:cs="Arial"/>
        </w:rPr>
        <w:instrText xml:space="preserve"> STYLEREF 1 \s </w:instrText>
      </w:r>
      <w:r w:rsidRPr="00A31B02">
        <w:rPr>
          <w:rFonts w:ascii="Arial" w:hAnsi="Arial" w:cs="Arial"/>
        </w:rPr>
        <w:fldChar w:fldCharType="separate"/>
      </w:r>
      <w:r w:rsidR="00892B2D">
        <w:rPr>
          <w:rFonts w:ascii="Arial" w:hAnsi="Arial" w:cs="Arial"/>
          <w:noProof/>
        </w:rPr>
        <w:t>14</w:t>
      </w:r>
      <w:r w:rsidRPr="00A31B02">
        <w:rPr>
          <w:rFonts w:ascii="Arial" w:hAnsi="Arial" w:cs="Arial"/>
        </w:rPr>
        <w:fldChar w:fldCharType="end"/>
      </w:r>
      <w:r w:rsidRPr="00A31B02">
        <w:rPr>
          <w:rFonts w:ascii="Arial" w:hAnsi="Arial" w:cs="Arial"/>
        </w:rPr>
        <w:noBreakHyphen/>
      </w:r>
      <w:r w:rsidRPr="00A31B02">
        <w:rPr>
          <w:rFonts w:ascii="Arial" w:hAnsi="Arial" w:cs="Arial"/>
        </w:rPr>
        <w:fldChar w:fldCharType="begin"/>
      </w:r>
      <w:r w:rsidRPr="00A31B02">
        <w:rPr>
          <w:rFonts w:ascii="Arial" w:hAnsi="Arial" w:cs="Arial"/>
        </w:rPr>
        <w:instrText xml:space="preserve"> SEQ Figure \* ARABIC \s 1 </w:instrText>
      </w:r>
      <w:r w:rsidRPr="00A31B02">
        <w:rPr>
          <w:rFonts w:ascii="Arial" w:hAnsi="Arial" w:cs="Arial"/>
        </w:rPr>
        <w:fldChar w:fldCharType="separate"/>
      </w:r>
      <w:r w:rsidR="00892B2D">
        <w:rPr>
          <w:rFonts w:ascii="Arial" w:hAnsi="Arial" w:cs="Arial"/>
          <w:noProof/>
        </w:rPr>
        <w:t>2</w:t>
      </w:r>
      <w:r w:rsidRPr="00A31B02">
        <w:rPr>
          <w:rFonts w:ascii="Arial" w:hAnsi="Arial" w:cs="Arial"/>
        </w:rPr>
        <w:fldChar w:fldCharType="end"/>
      </w:r>
      <w:r w:rsidRPr="00A31B02">
        <w:rPr>
          <w:rFonts w:ascii="Arial" w:hAnsi="Arial" w:cs="Arial"/>
        </w:rPr>
        <w:t>: Ranking of mercury inputs by individual sources</w:t>
      </w:r>
    </w:p>
    <w:p w14:paraId="38CADEB0" w14:textId="77777777" w:rsidR="00015049" w:rsidRDefault="00015049" w:rsidP="00015049">
      <w:pPr>
        <w:spacing w:line="300" w:lineRule="atLeast"/>
        <w:jc w:val="both"/>
        <w:rPr>
          <w:szCs w:val="18"/>
          <w:highlight w:val="yellow"/>
        </w:rPr>
      </w:pPr>
      <w:r w:rsidRPr="00B562EE">
        <w:rPr>
          <w:szCs w:val="18"/>
        </w:rPr>
        <w:t>As shown in the figure, the most significant input sources are waste water treatment and disposal, solid waste disposal (landfills), the extraction and utilisation of geothermal energy, gold and silver mining and phosphate fertiliser application. The extraction and processing of natural gas may also be a significant contributor but the uncertainties associated with the estimates for this source are very high, as indicated by the relative size of the error bar</w:t>
      </w:r>
    </w:p>
    <w:p w14:paraId="10812FFD" w14:textId="3BFD8908" w:rsidR="009731FB" w:rsidRPr="00EF72E4" w:rsidRDefault="009731FB" w:rsidP="004B7D97">
      <w:pPr>
        <w:pStyle w:val="Heading2"/>
      </w:pPr>
      <w:bookmarkStart w:id="180" w:name="_Toc110355580"/>
      <w:r w:rsidRPr="00EF72E4">
        <w:t xml:space="preserve">Changes in mercury inputs since </w:t>
      </w:r>
      <w:bookmarkEnd w:id="180"/>
      <w:r w:rsidR="004D5671" w:rsidRPr="00EF72E4">
        <w:t>202</w:t>
      </w:r>
      <w:r w:rsidR="00EB46E6" w:rsidRPr="00EF72E4">
        <w:t>0</w:t>
      </w:r>
    </w:p>
    <w:p w14:paraId="7B2BD2DF" w14:textId="7C9703E6" w:rsidR="00015049" w:rsidRDefault="00015049" w:rsidP="00015049">
      <w:pPr>
        <w:spacing w:line="300" w:lineRule="atLeast"/>
        <w:jc w:val="both"/>
        <w:rPr>
          <w:szCs w:val="18"/>
        </w:rPr>
      </w:pPr>
      <w:r w:rsidRPr="00B562EE">
        <w:rPr>
          <w:szCs w:val="18"/>
        </w:rPr>
        <w:t xml:space="preserve">The estimated total input of mercury for New Zealand for 2024 is </w:t>
      </w:r>
      <w:r w:rsidR="00EC2D50">
        <w:rPr>
          <w:szCs w:val="18"/>
        </w:rPr>
        <w:t>8,76</w:t>
      </w:r>
      <w:r w:rsidR="00DA0B93">
        <w:rPr>
          <w:szCs w:val="18"/>
        </w:rPr>
        <w:t>6</w:t>
      </w:r>
      <w:r w:rsidRPr="00EF72E4">
        <w:rPr>
          <w:szCs w:val="18"/>
        </w:rPr>
        <w:t xml:space="preserve"> kg</w:t>
      </w:r>
      <w:r w:rsidRPr="00B562EE">
        <w:rPr>
          <w:szCs w:val="18"/>
        </w:rPr>
        <w:t xml:space="preserve"> which is </w:t>
      </w:r>
      <w:r w:rsidR="00EC2D50">
        <w:rPr>
          <w:szCs w:val="18"/>
        </w:rPr>
        <w:t>52</w:t>
      </w:r>
      <w:r w:rsidR="000E5199">
        <w:rPr>
          <w:szCs w:val="18"/>
        </w:rPr>
        <w:t>5</w:t>
      </w:r>
      <w:r w:rsidRPr="00EF72E4">
        <w:rPr>
          <w:szCs w:val="18"/>
        </w:rPr>
        <w:t xml:space="preserve"> kg</w:t>
      </w:r>
      <w:r>
        <w:rPr>
          <w:szCs w:val="18"/>
        </w:rPr>
        <w:t xml:space="preserve"> </w:t>
      </w:r>
      <w:r w:rsidRPr="00B562EE">
        <w:rPr>
          <w:szCs w:val="18"/>
        </w:rPr>
        <w:t xml:space="preserve">less than the 9,291 kg estimated for 2020. </w:t>
      </w:r>
    </w:p>
    <w:p w14:paraId="7969DF95" w14:textId="77777777" w:rsidR="00E51AC9" w:rsidRDefault="00EB46E6" w:rsidP="00015049">
      <w:pPr>
        <w:spacing w:line="300" w:lineRule="atLeast"/>
        <w:jc w:val="both"/>
        <w:rPr>
          <w:szCs w:val="18"/>
        </w:rPr>
      </w:pPr>
      <w:r>
        <w:rPr>
          <w:szCs w:val="18"/>
        </w:rPr>
        <w:t xml:space="preserve">Comparing 2024 </w:t>
      </w:r>
      <w:r w:rsidR="00EE62BB">
        <w:rPr>
          <w:szCs w:val="18"/>
        </w:rPr>
        <w:t>mercury releases with those from 2020, t</w:t>
      </w:r>
      <w:r w:rsidR="00015049" w:rsidRPr="00B562EE">
        <w:rPr>
          <w:szCs w:val="18"/>
        </w:rPr>
        <w:t xml:space="preserve">he biggest mercury reduction </w:t>
      </w:r>
      <w:r w:rsidR="00C16672">
        <w:rPr>
          <w:szCs w:val="18"/>
        </w:rPr>
        <w:t xml:space="preserve">in terms of weight </w:t>
      </w:r>
      <w:r w:rsidR="00015049" w:rsidRPr="00B562EE">
        <w:rPr>
          <w:szCs w:val="18"/>
        </w:rPr>
        <w:t>for an individual source occurred for landfill</w:t>
      </w:r>
      <w:r w:rsidR="00C16672">
        <w:rPr>
          <w:szCs w:val="18"/>
        </w:rPr>
        <w:t xml:space="preserve"> deposition</w:t>
      </w:r>
      <w:r w:rsidR="00015049">
        <w:rPr>
          <w:szCs w:val="18"/>
        </w:rPr>
        <w:t>,</w:t>
      </w:r>
      <w:r w:rsidR="00015049" w:rsidRPr="00B562EE">
        <w:rPr>
          <w:szCs w:val="18"/>
        </w:rPr>
        <w:t xml:space="preserve"> which had a 2024 input 421 kg less than for 2020 based on a significant reduction of waste going to landfill. Gold mining not using mercury amalgamation also saw a significant reduction of 189 kg for 2024 which was due to </w:t>
      </w:r>
      <w:r w:rsidR="00015049">
        <w:rPr>
          <w:szCs w:val="18"/>
        </w:rPr>
        <w:t xml:space="preserve">a decrease in </w:t>
      </w:r>
      <w:r w:rsidR="00015049" w:rsidRPr="00B562EE">
        <w:rPr>
          <w:szCs w:val="18"/>
        </w:rPr>
        <w:t xml:space="preserve">the mercury concentration </w:t>
      </w:r>
      <w:r w:rsidR="00015049">
        <w:rPr>
          <w:szCs w:val="18"/>
        </w:rPr>
        <w:t>of</w:t>
      </w:r>
      <w:r w:rsidR="00015049" w:rsidRPr="00B562EE">
        <w:rPr>
          <w:szCs w:val="18"/>
        </w:rPr>
        <w:t xml:space="preserve"> </w:t>
      </w:r>
      <w:r w:rsidR="00A36BC4">
        <w:rPr>
          <w:szCs w:val="18"/>
        </w:rPr>
        <w:t>the M</w:t>
      </w:r>
      <w:r w:rsidR="00043C30">
        <w:rPr>
          <w:szCs w:val="18"/>
        </w:rPr>
        <w:t>a</w:t>
      </w:r>
      <w:r w:rsidR="00A36BC4">
        <w:rPr>
          <w:szCs w:val="18"/>
        </w:rPr>
        <w:t>c</w:t>
      </w:r>
      <w:r w:rsidR="00043C30">
        <w:rPr>
          <w:szCs w:val="18"/>
        </w:rPr>
        <w:t>r</w:t>
      </w:r>
      <w:r w:rsidR="00A36BC4">
        <w:rPr>
          <w:szCs w:val="18"/>
        </w:rPr>
        <w:t xml:space="preserve">aes mine </w:t>
      </w:r>
      <w:r w:rsidR="00015049" w:rsidRPr="00B562EE">
        <w:rPr>
          <w:szCs w:val="18"/>
        </w:rPr>
        <w:t>ore. Other large reductions were observed for natural gas (59 kg) fertilisers (55 kg), dental amalgam (46 kg), batteries</w:t>
      </w:r>
      <w:r w:rsidR="00015049">
        <w:rPr>
          <w:szCs w:val="18"/>
        </w:rPr>
        <w:t xml:space="preserve"> (30 kg) </w:t>
      </w:r>
      <w:r w:rsidR="00015049" w:rsidRPr="00B562EE">
        <w:rPr>
          <w:szCs w:val="18"/>
        </w:rPr>
        <w:t>and coal combustion in boilers</w:t>
      </w:r>
      <w:r w:rsidR="00015049">
        <w:rPr>
          <w:szCs w:val="18"/>
        </w:rPr>
        <w:t xml:space="preserve"> (</w:t>
      </w:r>
      <w:r w:rsidR="00E51AC9">
        <w:rPr>
          <w:szCs w:val="18"/>
        </w:rPr>
        <w:t>19</w:t>
      </w:r>
      <w:r w:rsidR="00015049">
        <w:rPr>
          <w:szCs w:val="18"/>
        </w:rPr>
        <w:t xml:space="preserve"> kg)</w:t>
      </w:r>
      <w:r w:rsidR="00015049" w:rsidRPr="00B562EE">
        <w:rPr>
          <w:szCs w:val="18"/>
        </w:rPr>
        <w:t xml:space="preserve">. Natural gas, fertilisers, dental amalgam and coal combustion reductions all arose from </w:t>
      </w:r>
      <w:r w:rsidR="00015049">
        <w:rPr>
          <w:szCs w:val="18"/>
        </w:rPr>
        <w:t>reduced consumption</w:t>
      </w:r>
      <w:r w:rsidR="00A36BC4">
        <w:rPr>
          <w:szCs w:val="18"/>
        </w:rPr>
        <w:t xml:space="preserve"> of materials</w:t>
      </w:r>
      <w:r w:rsidR="00015049" w:rsidRPr="00B562EE">
        <w:rPr>
          <w:szCs w:val="18"/>
        </w:rPr>
        <w:t>. The reduction for batteries was mostly due to the acceptance that cylindrical alkaline batteries are now mercury free.</w:t>
      </w:r>
      <w:r w:rsidR="00E51AC9">
        <w:rPr>
          <w:szCs w:val="18"/>
        </w:rPr>
        <w:t xml:space="preserve"> </w:t>
      </w:r>
    </w:p>
    <w:p w14:paraId="5B459E36" w14:textId="3396B31A" w:rsidR="00015049" w:rsidRPr="00B562EE" w:rsidRDefault="00E51AC9" w:rsidP="00015049">
      <w:pPr>
        <w:spacing w:line="300" w:lineRule="atLeast"/>
        <w:jc w:val="both"/>
        <w:rPr>
          <w:szCs w:val="18"/>
        </w:rPr>
      </w:pPr>
      <w:r>
        <w:rPr>
          <w:szCs w:val="18"/>
        </w:rPr>
        <w:t>Switches and relays had a reduction of 49 kg but this was due to a significant drop in the Toolkit input factor.</w:t>
      </w:r>
    </w:p>
    <w:p w14:paraId="18D3585C" w14:textId="77777777" w:rsidR="00015049" w:rsidRDefault="00015049" w:rsidP="00015049">
      <w:pPr>
        <w:spacing w:line="300" w:lineRule="atLeast"/>
        <w:jc w:val="both"/>
        <w:rPr>
          <w:szCs w:val="18"/>
        </w:rPr>
      </w:pPr>
      <w:r w:rsidRPr="00B562EE">
        <w:rPr>
          <w:szCs w:val="18"/>
        </w:rPr>
        <w:t xml:space="preserve">On the other hand some sources have seen significant increases in their mercury estimates. The estimated releases from wastewater were 231 kg higher for 2024 compared to 2020 mostly due to population increase. Geothermal power emissions were also 119 kg higher as a result of new geothermal power stations coming on-line increasing the consumption of geothermal stream. </w:t>
      </w:r>
    </w:p>
    <w:p w14:paraId="75A33906" w14:textId="2B73912E" w:rsidR="00462603" w:rsidRPr="00B562EE" w:rsidRDefault="00462603" w:rsidP="00015049">
      <w:pPr>
        <w:spacing w:line="300" w:lineRule="atLeast"/>
        <w:jc w:val="both"/>
        <w:rPr>
          <w:szCs w:val="18"/>
        </w:rPr>
      </w:pPr>
      <w:r>
        <w:rPr>
          <w:szCs w:val="18"/>
        </w:rPr>
        <w:t>It is worthwhile highlighting too where significant changes have occurred in terms of proportion.</w:t>
      </w:r>
    </w:p>
    <w:p w14:paraId="47A3B97F" w14:textId="1C24BB45" w:rsidR="0034537F" w:rsidRDefault="00EE62BB" w:rsidP="00EE62BB">
      <w:pPr>
        <w:spacing w:line="300" w:lineRule="atLeast"/>
        <w:jc w:val="both"/>
      </w:pPr>
      <w:r w:rsidRPr="00A31B02">
        <w:t>Tables 14-2 and 14</w:t>
      </w:r>
      <w:r w:rsidRPr="00EF72E4">
        <w:t>-3</w:t>
      </w:r>
      <w:r>
        <w:t xml:space="preserve"> show percentage reductions and increases for sources which have seen significant changes compared to 2020 levels.</w:t>
      </w:r>
    </w:p>
    <w:p w14:paraId="48311544" w14:textId="77777777" w:rsidR="0034537F" w:rsidRDefault="0034537F">
      <w:pPr>
        <w:spacing w:after="0"/>
      </w:pPr>
      <w:r>
        <w:br w:type="page"/>
      </w:r>
    </w:p>
    <w:p w14:paraId="7986443E" w14:textId="0339AD15" w:rsidR="00462603" w:rsidRPr="00261358" w:rsidRDefault="00462603" w:rsidP="00261358">
      <w:pPr>
        <w:pStyle w:val="Caption"/>
        <w:spacing w:after="240"/>
        <w:rPr>
          <w:rFonts w:ascii="Arial" w:hAnsi="Arial" w:cs="Arial"/>
          <w:szCs w:val="18"/>
        </w:rPr>
      </w:pPr>
      <w:r w:rsidRPr="00261DA3">
        <w:rPr>
          <w:rFonts w:ascii="Arial" w:hAnsi="Arial" w:cs="Arial"/>
        </w:rPr>
        <w:t xml:space="preserve">Table </w:t>
      </w:r>
      <w:r w:rsidRPr="00261DA3">
        <w:rPr>
          <w:rFonts w:ascii="Arial" w:hAnsi="Arial" w:cs="Arial"/>
        </w:rPr>
        <w:fldChar w:fldCharType="begin"/>
      </w:r>
      <w:r w:rsidRPr="00261DA3">
        <w:rPr>
          <w:rFonts w:ascii="Arial" w:hAnsi="Arial" w:cs="Arial"/>
        </w:rPr>
        <w:instrText xml:space="preserve"> STYLEREF 1 \s </w:instrText>
      </w:r>
      <w:r w:rsidRPr="00261DA3">
        <w:rPr>
          <w:rFonts w:ascii="Arial" w:hAnsi="Arial" w:cs="Arial"/>
        </w:rPr>
        <w:fldChar w:fldCharType="separate"/>
      </w:r>
      <w:r w:rsidR="00892B2D">
        <w:rPr>
          <w:rFonts w:ascii="Arial" w:hAnsi="Arial" w:cs="Arial"/>
          <w:noProof/>
        </w:rPr>
        <w:t>14</w:t>
      </w:r>
      <w:r w:rsidRPr="00261DA3">
        <w:rPr>
          <w:rFonts w:ascii="Arial" w:hAnsi="Arial" w:cs="Arial"/>
        </w:rPr>
        <w:fldChar w:fldCharType="end"/>
      </w:r>
      <w:r w:rsidRPr="00261DA3">
        <w:rPr>
          <w:rFonts w:ascii="Arial" w:hAnsi="Arial" w:cs="Arial"/>
        </w:rPr>
        <w:noBreakHyphen/>
      </w:r>
      <w:r>
        <w:rPr>
          <w:rFonts w:ascii="Arial" w:hAnsi="Arial" w:cs="Arial"/>
        </w:rPr>
        <w:t>2</w:t>
      </w:r>
      <w:r w:rsidRPr="00261DA3">
        <w:rPr>
          <w:rFonts w:ascii="Arial" w:hAnsi="Arial" w:cs="Arial"/>
        </w:rPr>
        <w:t xml:space="preserve">: </w:t>
      </w:r>
      <w:r>
        <w:rPr>
          <w:rFonts w:ascii="Arial" w:hAnsi="Arial" w:cs="Arial"/>
        </w:rPr>
        <w:t xml:space="preserve">Sources Showing a Significant </w:t>
      </w:r>
      <w:r w:rsidR="00607E9B">
        <w:rPr>
          <w:rFonts w:ascii="Arial" w:hAnsi="Arial" w:cs="Arial"/>
        </w:rPr>
        <w:t xml:space="preserve">Relative </w:t>
      </w:r>
      <w:r>
        <w:rPr>
          <w:rFonts w:ascii="Arial" w:hAnsi="Arial" w:cs="Arial"/>
        </w:rPr>
        <w:t xml:space="preserve">Percentage </w:t>
      </w:r>
      <w:r w:rsidR="00BF3738">
        <w:rPr>
          <w:rFonts w:ascii="Arial" w:hAnsi="Arial" w:cs="Arial"/>
        </w:rPr>
        <w:t>Reduction</w:t>
      </w:r>
      <w:r>
        <w:rPr>
          <w:rFonts w:ascii="Arial" w:hAnsi="Arial" w:cs="Arial"/>
        </w:rPr>
        <w:t xml:space="preserve"> in Mercury Releases</w:t>
      </w:r>
    </w:p>
    <w:tbl>
      <w:tblPr>
        <w:tblStyle w:val="TableGrid"/>
        <w:tblW w:w="0" w:type="auto"/>
        <w:tblLook w:val="04A0" w:firstRow="1" w:lastRow="0" w:firstColumn="1" w:lastColumn="0" w:noHBand="0" w:noVBand="1"/>
      </w:tblPr>
      <w:tblGrid>
        <w:gridCol w:w="4530"/>
        <w:gridCol w:w="4531"/>
      </w:tblGrid>
      <w:tr w:rsidR="00D3758C" w:rsidRPr="00EF72E4" w14:paraId="7AC4C872" w14:textId="77777777" w:rsidTr="00D3758C">
        <w:tc>
          <w:tcPr>
            <w:tcW w:w="4530" w:type="dxa"/>
          </w:tcPr>
          <w:p w14:paraId="75659ECA" w14:textId="2272DDFA" w:rsidR="00D3758C" w:rsidRPr="00A31B02" w:rsidRDefault="00D3758C" w:rsidP="00D3758C">
            <w:pPr>
              <w:spacing w:line="300" w:lineRule="atLeast"/>
              <w:jc w:val="center"/>
              <w:rPr>
                <w:rFonts w:ascii="Arial" w:hAnsi="Arial" w:cs="Arial"/>
                <w:sz w:val="16"/>
                <w:szCs w:val="16"/>
              </w:rPr>
            </w:pPr>
            <w:r w:rsidRPr="00A31B02">
              <w:rPr>
                <w:rFonts w:ascii="Arial" w:hAnsi="Arial" w:cs="Arial"/>
                <w:sz w:val="16"/>
                <w:szCs w:val="16"/>
              </w:rPr>
              <w:t>Source</w:t>
            </w:r>
          </w:p>
        </w:tc>
        <w:tc>
          <w:tcPr>
            <w:tcW w:w="4531" w:type="dxa"/>
          </w:tcPr>
          <w:p w14:paraId="5689AD28" w14:textId="2BBA7818" w:rsidR="00D3758C" w:rsidRPr="00A31B02" w:rsidRDefault="00D3758C" w:rsidP="00D3758C">
            <w:pPr>
              <w:spacing w:line="300" w:lineRule="atLeast"/>
              <w:jc w:val="center"/>
              <w:rPr>
                <w:rFonts w:ascii="Arial" w:hAnsi="Arial" w:cs="Arial"/>
                <w:sz w:val="16"/>
                <w:szCs w:val="16"/>
              </w:rPr>
            </w:pPr>
            <w:r w:rsidRPr="00A31B02">
              <w:rPr>
                <w:rFonts w:ascii="Arial" w:hAnsi="Arial" w:cs="Arial"/>
                <w:sz w:val="16"/>
                <w:szCs w:val="16"/>
              </w:rPr>
              <w:t>Percentage Decrease</w:t>
            </w:r>
          </w:p>
        </w:tc>
      </w:tr>
      <w:tr w:rsidR="00D3758C" w:rsidRPr="00EF72E4" w14:paraId="03B468E9" w14:textId="77777777" w:rsidTr="00D3758C">
        <w:tc>
          <w:tcPr>
            <w:tcW w:w="4530" w:type="dxa"/>
          </w:tcPr>
          <w:p w14:paraId="6A4AB359" w14:textId="2B9DF402" w:rsidR="00D3758C" w:rsidRPr="00A31B02" w:rsidRDefault="00D3758C" w:rsidP="00D3758C">
            <w:pPr>
              <w:spacing w:line="300" w:lineRule="atLeast"/>
              <w:jc w:val="both"/>
              <w:rPr>
                <w:rFonts w:ascii="Arial" w:hAnsi="Arial" w:cs="Arial"/>
                <w:sz w:val="16"/>
                <w:szCs w:val="16"/>
              </w:rPr>
            </w:pPr>
            <w:r w:rsidRPr="00A31B02">
              <w:rPr>
                <w:rFonts w:ascii="Arial" w:hAnsi="Arial" w:cs="Arial"/>
                <w:sz w:val="16"/>
                <w:szCs w:val="16"/>
              </w:rPr>
              <w:t>Dental amalgam</w:t>
            </w:r>
          </w:p>
        </w:tc>
        <w:tc>
          <w:tcPr>
            <w:tcW w:w="4531" w:type="dxa"/>
          </w:tcPr>
          <w:p w14:paraId="4ECF59CA" w14:textId="65A6A88C" w:rsidR="00D3758C" w:rsidRPr="00A31B02" w:rsidRDefault="00D3758C" w:rsidP="00D3758C">
            <w:pPr>
              <w:spacing w:line="300" w:lineRule="atLeast"/>
              <w:jc w:val="center"/>
              <w:rPr>
                <w:rFonts w:ascii="Arial" w:hAnsi="Arial" w:cs="Arial"/>
                <w:sz w:val="16"/>
                <w:szCs w:val="16"/>
              </w:rPr>
            </w:pPr>
            <w:r w:rsidRPr="00A31B02">
              <w:rPr>
                <w:rFonts w:ascii="Arial" w:hAnsi="Arial" w:cs="Arial"/>
                <w:sz w:val="16"/>
                <w:szCs w:val="16"/>
              </w:rPr>
              <w:t>96</w:t>
            </w:r>
          </w:p>
        </w:tc>
      </w:tr>
      <w:tr w:rsidR="00D3758C" w:rsidRPr="00EF72E4" w14:paraId="6877BA18" w14:textId="77777777" w:rsidTr="00D3758C">
        <w:tc>
          <w:tcPr>
            <w:tcW w:w="4530" w:type="dxa"/>
          </w:tcPr>
          <w:p w14:paraId="3B2973E8" w14:textId="459CE910" w:rsidR="00D3758C" w:rsidRPr="00A31B02" w:rsidRDefault="00D3758C" w:rsidP="00D3758C">
            <w:pPr>
              <w:spacing w:line="300" w:lineRule="atLeast"/>
              <w:jc w:val="both"/>
              <w:rPr>
                <w:rFonts w:ascii="Arial" w:hAnsi="Arial" w:cs="Arial"/>
                <w:sz w:val="16"/>
                <w:szCs w:val="16"/>
              </w:rPr>
            </w:pPr>
            <w:r w:rsidRPr="00A31B02">
              <w:rPr>
                <w:rFonts w:ascii="Arial" w:hAnsi="Arial" w:cs="Arial"/>
                <w:sz w:val="16"/>
                <w:szCs w:val="16"/>
              </w:rPr>
              <w:t>Cement</w:t>
            </w:r>
          </w:p>
        </w:tc>
        <w:tc>
          <w:tcPr>
            <w:tcW w:w="4531" w:type="dxa"/>
          </w:tcPr>
          <w:p w14:paraId="40506D23" w14:textId="2FA5DB5D" w:rsidR="00D3758C" w:rsidRPr="00A31B02" w:rsidRDefault="00D3758C" w:rsidP="00D3758C">
            <w:pPr>
              <w:spacing w:line="300" w:lineRule="atLeast"/>
              <w:jc w:val="center"/>
              <w:rPr>
                <w:rFonts w:ascii="Arial" w:hAnsi="Arial" w:cs="Arial"/>
                <w:sz w:val="16"/>
                <w:szCs w:val="16"/>
              </w:rPr>
            </w:pPr>
            <w:r w:rsidRPr="00A31B02">
              <w:rPr>
                <w:rFonts w:ascii="Arial" w:hAnsi="Arial" w:cs="Arial"/>
                <w:sz w:val="16"/>
                <w:szCs w:val="16"/>
              </w:rPr>
              <w:t>49</w:t>
            </w:r>
          </w:p>
        </w:tc>
      </w:tr>
      <w:tr w:rsidR="00D3758C" w:rsidRPr="00EF72E4" w14:paraId="5B405A7D" w14:textId="77777777" w:rsidTr="00D3758C">
        <w:tc>
          <w:tcPr>
            <w:tcW w:w="4530" w:type="dxa"/>
          </w:tcPr>
          <w:p w14:paraId="542B1784" w14:textId="08DD3C61" w:rsidR="00D3758C" w:rsidRPr="00A31B02" w:rsidRDefault="00D3758C" w:rsidP="00D3758C">
            <w:pPr>
              <w:spacing w:line="300" w:lineRule="atLeast"/>
              <w:jc w:val="both"/>
              <w:rPr>
                <w:rFonts w:ascii="Arial" w:hAnsi="Arial" w:cs="Arial"/>
                <w:sz w:val="16"/>
                <w:szCs w:val="16"/>
              </w:rPr>
            </w:pPr>
            <w:r w:rsidRPr="00A31B02">
              <w:rPr>
                <w:rFonts w:ascii="Arial" w:hAnsi="Arial" w:cs="Arial"/>
                <w:sz w:val="16"/>
                <w:szCs w:val="16"/>
              </w:rPr>
              <w:t>Batteries and Lamps</w:t>
            </w:r>
          </w:p>
        </w:tc>
        <w:tc>
          <w:tcPr>
            <w:tcW w:w="4531" w:type="dxa"/>
          </w:tcPr>
          <w:p w14:paraId="1431F2E8" w14:textId="2A62148E" w:rsidR="00D3758C" w:rsidRPr="00A31B02" w:rsidRDefault="00D3758C" w:rsidP="00D3758C">
            <w:pPr>
              <w:spacing w:line="300" w:lineRule="atLeast"/>
              <w:jc w:val="center"/>
              <w:rPr>
                <w:rFonts w:ascii="Arial" w:hAnsi="Arial" w:cs="Arial"/>
                <w:sz w:val="16"/>
                <w:szCs w:val="16"/>
              </w:rPr>
            </w:pPr>
            <w:r w:rsidRPr="00A31B02">
              <w:rPr>
                <w:rFonts w:ascii="Arial" w:hAnsi="Arial" w:cs="Arial"/>
                <w:sz w:val="16"/>
                <w:szCs w:val="16"/>
              </w:rPr>
              <w:t>47</w:t>
            </w:r>
          </w:p>
        </w:tc>
      </w:tr>
      <w:tr w:rsidR="00D3758C" w:rsidRPr="00EF72E4" w14:paraId="55CA50B8" w14:textId="77777777" w:rsidTr="00D3758C">
        <w:tc>
          <w:tcPr>
            <w:tcW w:w="4530" w:type="dxa"/>
          </w:tcPr>
          <w:p w14:paraId="4EDC4DB1" w14:textId="0FBB51B9" w:rsidR="00D3758C" w:rsidRPr="00A31B02" w:rsidRDefault="00D3758C" w:rsidP="00D3758C">
            <w:pPr>
              <w:spacing w:line="300" w:lineRule="atLeast"/>
              <w:jc w:val="both"/>
              <w:rPr>
                <w:rFonts w:ascii="Arial" w:hAnsi="Arial" w:cs="Arial"/>
                <w:sz w:val="16"/>
                <w:szCs w:val="16"/>
              </w:rPr>
            </w:pPr>
            <w:r w:rsidRPr="00A31B02">
              <w:rPr>
                <w:rFonts w:ascii="Arial" w:hAnsi="Arial" w:cs="Arial"/>
                <w:sz w:val="16"/>
                <w:szCs w:val="16"/>
              </w:rPr>
              <w:t>Gold mining without mercury amalgamation</w:t>
            </w:r>
          </w:p>
        </w:tc>
        <w:tc>
          <w:tcPr>
            <w:tcW w:w="4531" w:type="dxa"/>
          </w:tcPr>
          <w:p w14:paraId="749D68CC" w14:textId="203ADA49" w:rsidR="00D3758C" w:rsidRPr="00A31B02" w:rsidRDefault="00D3758C" w:rsidP="00D3758C">
            <w:pPr>
              <w:spacing w:line="300" w:lineRule="atLeast"/>
              <w:jc w:val="center"/>
              <w:rPr>
                <w:rFonts w:ascii="Arial" w:hAnsi="Arial" w:cs="Arial"/>
                <w:sz w:val="16"/>
                <w:szCs w:val="16"/>
              </w:rPr>
            </w:pPr>
            <w:r w:rsidRPr="00A31B02">
              <w:rPr>
                <w:rFonts w:ascii="Arial" w:hAnsi="Arial" w:cs="Arial"/>
                <w:sz w:val="16"/>
                <w:szCs w:val="16"/>
              </w:rPr>
              <w:t>46</w:t>
            </w:r>
          </w:p>
        </w:tc>
      </w:tr>
      <w:tr w:rsidR="00D3758C" w:rsidRPr="00EF72E4" w14:paraId="11BDCF1A" w14:textId="77777777" w:rsidTr="00D3758C">
        <w:tc>
          <w:tcPr>
            <w:tcW w:w="4530" w:type="dxa"/>
          </w:tcPr>
          <w:p w14:paraId="4D87915D" w14:textId="0CD4DF37" w:rsidR="00D3758C" w:rsidRPr="00A31B02" w:rsidRDefault="00D3758C" w:rsidP="00D3758C">
            <w:pPr>
              <w:spacing w:line="300" w:lineRule="atLeast"/>
              <w:jc w:val="both"/>
              <w:rPr>
                <w:rFonts w:ascii="Arial" w:hAnsi="Arial" w:cs="Arial"/>
                <w:sz w:val="16"/>
                <w:szCs w:val="16"/>
              </w:rPr>
            </w:pPr>
            <w:r w:rsidRPr="00A31B02">
              <w:rPr>
                <w:rFonts w:ascii="Arial" w:hAnsi="Arial" w:cs="Arial"/>
                <w:sz w:val="16"/>
                <w:szCs w:val="16"/>
              </w:rPr>
              <w:t>Natural Gas</w:t>
            </w:r>
          </w:p>
        </w:tc>
        <w:tc>
          <w:tcPr>
            <w:tcW w:w="4531" w:type="dxa"/>
          </w:tcPr>
          <w:p w14:paraId="64E0738D" w14:textId="5D83F966" w:rsidR="00D3758C" w:rsidRPr="00A31B02" w:rsidRDefault="00D3758C" w:rsidP="00D3758C">
            <w:pPr>
              <w:spacing w:line="300" w:lineRule="atLeast"/>
              <w:jc w:val="center"/>
              <w:rPr>
                <w:rFonts w:ascii="Arial" w:hAnsi="Arial" w:cs="Arial"/>
                <w:sz w:val="16"/>
                <w:szCs w:val="16"/>
              </w:rPr>
            </w:pPr>
            <w:r w:rsidRPr="00A31B02">
              <w:rPr>
                <w:rFonts w:ascii="Arial" w:hAnsi="Arial" w:cs="Arial"/>
                <w:sz w:val="16"/>
                <w:szCs w:val="16"/>
              </w:rPr>
              <w:t>31</w:t>
            </w:r>
          </w:p>
        </w:tc>
      </w:tr>
      <w:tr w:rsidR="00D3758C" w:rsidRPr="00EF72E4" w14:paraId="5F8D0931" w14:textId="77777777" w:rsidTr="00D3758C">
        <w:tc>
          <w:tcPr>
            <w:tcW w:w="4530" w:type="dxa"/>
          </w:tcPr>
          <w:p w14:paraId="39BEDAFB" w14:textId="2B03B5A4" w:rsidR="00D3758C" w:rsidRPr="00A31B02" w:rsidRDefault="00D3758C" w:rsidP="00D3758C">
            <w:pPr>
              <w:spacing w:line="300" w:lineRule="atLeast"/>
              <w:jc w:val="both"/>
              <w:rPr>
                <w:rFonts w:ascii="Arial" w:hAnsi="Arial" w:cs="Arial"/>
                <w:sz w:val="16"/>
                <w:szCs w:val="16"/>
              </w:rPr>
            </w:pPr>
            <w:r w:rsidRPr="00A31B02">
              <w:rPr>
                <w:rFonts w:ascii="Arial" w:hAnsi="Arial" w:cs="Arial"/>
                <w:sz w:val="16"/>
                <w:szCs w:val="16"/>
              </w:rPr>
              <w:t>Phosphate Fertiliser</w:t>
            </w:r>
          </w:p>
        </w:tc>
        <w:tc>
          <w:tcPr>
            <w:tcW w:w="4531" w:type="dxa"/>
          </w:tcPr>
          <w:p w14:paraId="69E3B469" w14:textId="485C2A85" w:rsidR="00D3758C" w:rsidRPr="00A31B02" w:rsidRDefault="00D3758C" w:rsidP="00D3758C">
            <w:pPr>
              <w:spacing w:line="300" w:lineRule="atLeast"/>
              <w:jc w:val="center"/>
              <w:rPr>
                <w:rFonts w:ascii="Arial" w:hAnsi="Arial" w:cs="Arial"/>
                <w:sz w:val="16"/>
                <w:szCs w:val="16"/>
              </w:rPr>
            </w:pPr>
            <w:r w:rsidRPr="00A31B02">
              <w:rPr>
                <w:rFonts w:ascii="Arial" w:hAnsi="Arial" w:cs="Arial"/>
                <w:sz w:val="16"/>
                <w:szCs w:val="16"/>
              </w:rPr>
              <w:t>29</w:t>
            </w:r>
          </w:p>
        </w:tc>
      </w:tr>
      <w:tr w:rsidR="00D3758C" w:rsidRPr="00EF72E4" w14:paraId="4F7296AF" w14:textId="77777777" w:rsidTr="00D3758C">
        <w:tc>
          <w:tcPr>
            <w:tcW w:w="4530" w:type="dxa"/>
          </w:tcPr>
          <w:p w14:paraId="40A68FF7" w14:textId="4F0F02B8" w:rsidR="00D3758C" w:rsidRPr="00A31B02" w:rsidRDefault="00D3758C" w:rsidP="00015049">
            <w:pPr>
              <w:spacing w:line="300" w:lineRule="atLeast"/>
              <w:jc w:val="both"/>
              <w:rPr>
                <w:rFonts w:ascii="Arial" w:hAnsi="Arial" w:cs="Arial"/>
                <w:sz w:val="16"/>
                <w:szCs w:val="16"/>
              </w:rPr>
            </w:pPr>
            <w:r w:rsidRPr="00A31B02">
              <w:rPr>
                <w:rFonts w:ascii="Arial" w:hAnsi="Arial" w:cs="Arial"/>
                <w:sz w:val="16"/>
                <w:szCs w:val="16"/>
              </w:rPr>
              <w:t>Coal Fired Boilers</w:t>
            </w:r>
          </w:p>
        </w:tc>
        <w:tc>
          <w:tcPr>
            <w:tcW w:w="4531" w:type="dxa"/>
          </w:tcPr>
          <w:p w14:paraId="50EDD78A" w14:textId="3C5437F4" w:rsidR="00D3758C" w:rsidRPr="00A31B02" w:rsidRDefault="00261358" w:rsidP="00D3758C">
            <w:pPr>
              <w:spacing w:line="300" w:lineRule="atLeast"/>
              <w:jc w:val="center"/>
              <w:rPr>
                <w:rFonts w:ascii="Arial" w:hAnsi="Arial" w:cs="Arial"/>
                <w:sz w:val="16"/>
                <w:szCs w:val="16"/>
              </w:rPr>
            </w:pPr>
            <w:r w:rsidRPr="00A31B02">
              <w:rPr>
                <w:rFonts w:ascii="Arial" w:hAnsi="Arial" w:cs="Arial"/>
                <w:sz w:val="16"/>
                <w:szCs w:val="16"/>
              </w:rPr>
              <w:t>2</w:t>
            </w:r>
            <w:r w:rsidR="00E51AC9">
              <w:rPr>
                <w:rFonts w:ascii="Arial" w:hAnsi="Arial" w:cs="Arial"/>
                <w:sz w:val="16"/>
                <w:szCs w:val="16"/>
              </w:rPr>
              <w:t>1</w:t>
            </w:r>
          </w:p>
        </w:tc>
      </w:tr>
    </w:tbl>
    <w:p w14:paraId="318FE1F3" w14:textId="77777777" w:rsidR="00647256" w:rsidRPr="00EF72E4" w:rsidRDefault="00647256" w:rsidP="00015049">
      <w:pPr>
        <w:spacing w:line="300" w:lineRule="atLeast"/>
        <w:jc w:val="both"/>
        <w:rPr>
          <w:rFonts w:ascii="Arial" w:hAnsi="Arial" w:cs="Arial"/>
        </w:rPr>
      </w:pPr>
    </w:p>
    <w:p w14:paraId="10D0C0C7" w14:textId="34DDB80D" w:rsidR="00647256" w:rsidRPr="00EF72E4" w:rsidRDefault="00647256" w:rsidP="00647256">
      <w:pPr>
        <w:spacing w:line="300" w:lineRule="atLeast"/>
        <w:jc w:val="both"/>
      </w:pPr>
      <w:r w:rsidRPr="00EF72E4">
        <w:t>The significant reductions in dental amalgam are due to continuing widespread adoption of alternative restorative dentistry compounds. Decreases associated with non-amalgamation gold mining and cement are not associated with reduction in production, rather they have arisen because of reductions in the estimated concentration of mercury in gold ore or emissions to air in the cement kiln process. These parameters will vary from year to year.</w:t>
      </w:r>
    </w:p>
    <w:p w14:paraId="3BD7312A" w14:textId="42555F23" w:rsidR="00D3758C" w:rsidRDefault="00647256" w:rsidP="00015049">
      <w:pPr>
        <w:spacing w:line="300" w:lineRule="atLeast"/>
        <w:jc w:val="both"/>
      </w:pPr>
      <w:r w:rsidRPr="00EF72E4">
        <w:t>Natural gas, phosphate fertiliser and coal reductions result from decreases in consumption</w:t>
      </w:r>
      <w:r w:rsidR="00FA725C" w:rsidRPr="00EF72E4">
        <w:t xml:space="preserve"> driven by reduced supply, farm economic factors and greenhouse gas emissions reduction strategies respectively.</w:t>
      </w:r>
    </w:p>
    <w:p w14:paraId="4C4B0603" w14:textId="2DABEED5" w:rsidR="00056F10" w:rsidRDefault="00040C9D" w:rsidP="00015049">
      <w:pPr>
        <w:spacing w:line="300" w:lineRule="atLeast"/>
        <w:jc w:val="both"/>
      </w:pPr>
      <w:r>
        <w:t>The reduction for batteries and lamps results partly from a re-assignment of all alkaline cylinder batteries as mercury free coupled with a significant reduction in fluorescent lamp sales.</w:t>
      </w:r>
    </w:p>
    <w:p w14:paraId="56D04454" w14:textId="77777777" w:rsidR="00040C9D" w:rsidRPr="00EF72E4" w:rsidRDefault="00040C9D" w:rsidP="00015049">
      <w:pPr>
        <w:spacing w:line="300" w:lineRule="atLeast"/>
        <w:jc w:val="both"/>
        <w:rPr>
          <w:rFonts w:ascii="Arial" w:hAnsi="Arial" w:cs="Arial"/>
        </w:rPr>
      </w:pPr>
    </w:p>
    <w:p w14:paraId="2215C3ED" w14:textId="7A01E7DE" w:rsidR="00BF3738" w:rsidRPr="00EF72E4" w:rsidRDefault="00BF3738" w:rsidP="00BF3738">
      <w:pPr>
        <w:pStyle w:val="Caption"/>
        <w:spacing w:after="240"/>
        <w:rPr>
          <w:rFonts w:ascii="Arial" w:hAnsi="Arial" w:cs="Arial"/>
          <w:szCs w:val="18"/>
        </w:rPr>
      </w:pPr>
      <w:r w:rsidRPr="00EF72E4">
        <w:rPr>
          <w:rFonts w:ascii="Arial" w:hAnsi="Arial" w:cs="Arial"/>
        </w:rPr>
        <w:t xml:space="preserve">Table </w:t>
      </w:r>
      <w:r w:rsidRPr="00EF72E4">
        <w:rPr>
          <w:rFonts w:ascii="Arial" w:hAnsi="Arial" w:cs="Arial"/>
        </w:rPr>
        <w:fldChar w:fldCharType="begin"/>
      </w:r>
      <w:r w:rsidRPr="00EF72E4">
        <w:rPr>
          <w:rFonts w:ascii="Arial" w:hAnsi="Arial" w:cs="Arial"/>
        </w:rPr>
        <w:instrText xml:space="preserve"> STYLEREF 1 \s </w:instrText>
      </w:r>
      <w:r w:rsidRPr="00EF72E4">
        <w:rPr>
          <w:rFonts w:ascii="Arial" w:hAnsi="Arial" w:cs="Arial"/>
        </w:rPr>
        <w:fldChar w:fldCharType="separate"/>
      </w:r>
      <w:r w:rsidR="00892B2D">
        <w:rPr>
          <w:rFonts w:ascii="Arial" w:hAnsi="Arial" w:cs="Arial"/>
          <w:noProof/>
        </w:rPr>
        <w:t>14</w:t>
      </w:r>
      <w:r w:rsidRPr="00EF72E4">
        <w:rPr>
          <w:rFonts w:ascii="Arial" w:hAnsi="Arial" w:cs="Arial"/>
        </w:rPr>
        <w:fldChar w:fldCharType="end"/>
      </w:r>
      <w:r w:rsidRPr="00EF72E4">
        <w:rPr>
          <w:rFonts w:ascii="Arial" w:hAnsi="Arial" w:cs="Arial"/>
        </w:rPr>
        <w:noBreakHyphen/>
      </w:r>
      <w:r w:rsidR="006676B6" w:rsidRPr="00EF72E4">
        <w:rPr>
          <w:rFonts w:ascii="Arial" w:hAnsi="Arial" w:cs="Arial"/>
        </w:rPr>
        <w:t>3</w:t>
      </w:r>
      <w:r w:rsidRPr="00EF72E4">
        <w:rPr>
          <w:rFonts w:ascii="Arial" w:hAnsi="Arial" w:cs="Arial"/>
        </w:rPr>
        <w:t>: Sources Showing a Significant Percentage Increase in Mercury Releases</w:t>
      </w:r>
    </w:p>
    <w:tbl>
      <w:tblPr>
        <w:tblStyle w:val="TableGrid"/>
        <w:tblW w:w="0" w:type="auto"/>
        <w:tblLook w:val="04A0" w:firstRow="1" w:lastRow="0" w:firstColumn="1" w:lastColumn="0" w:noHBand="0" w:noVBand="1"/>
      </w:tblPr>
      <w:tblGrid>
        <w:gridCol w:w="4530"/>
        <w:gridCol w:w="4531"/>
      </w:tblGrid>
      <w:tr w:rsidR="00BF3738" w:rsidRPr="00EF72E4" w14:paraId="1BE91B4C" w14:textId="77777777" w:rsidTr="00B562EE">
        <w:tc>
          <w:tcPr>
            <w:tcW w:w="4530" w:type="dxa"/>
          </w:tcPr>
          <w:p w14:paraId="380A2F78" w14:textId="77777777" w:rsidR="00BF3738" w:rsidRPr="00A31B02" w:rsidRDefault="00BF3738" w:rsidP="00B562EE">
            <w:pPr>
              <w:spacing w:line="300" w:lineRule="atLeast"/>
              <w:jc w:val="center"/>
              <w:rPr>
                <w:rFonts w:ascii="Arial" w:hAnsi="Arial" w:cs="Arial"/>
                <w:sz w:val="16"/>
                <w:szCs w:val="16"/>
              </w:rPr>
            </w:pPr>
            <w:r w:rsidRPr="00A31B02">
              <w:rPr>
                <w:rFonts w:ascii="Arial" w:hAnsi="Arial" w:cs="Arial"/>
                <w:sz w:val="16"/>
                <w:szCs w:val="16"/>
              </w:rPr>
              <w:t>Source</w:t>
            </w:r>
          </w:p>
        </w:tc>
        <w:tc>
          <w:tcPr>
            <w:tcW w:w="4531" w:type="dxa"/>
          </w:tcPr>
          <w:p w14:paraId="79CBD64C" w14:textId="0020C86E" w:rsidR="00BF3738" w:rsidRPr="00A31B02" w:rsidRDefault="00BF3738" w:rsidP="00B562EE">
            <w:pPr>
              <w:spacing w:line="300" w:lineRule="atLeast"/>
              <w:jc w:val="center"/>
              <w:rPr>
                <w:rFonts w:ascii="Arial" w:hAnsi="Arial" w:cs="Arial"/>
                <w:sz w:val="16"/>
                <w:szCs w:val="16"/>
              </w:rPr>
            </w:pPr>
            <w:r w:rsidRPr="00A31B02">
              <w:rPr>
                <w:rFonts w:ascii="Arial" w:hAnsi="Arial" w:cs="Arial"/>
                <w:sz w:val="16"/>
                <w:szCs w:val="16"/>
              </w:rPr>
              <w:t>Percentage Increase</w:t>
            </w:r>
          </w:p>
        </w:tc>
      </w:tr>
      <w:tr w:rsidR="00BF3738" w:rsidRPr="00EF72E4" w14:paraId="03A62307" w14:textId="77777777" w:rsidTr="00B562EE">
        <w:tc>
          <w:tcPr>
            <w:tcW w:w="4530" w:type="dxa"/>
          </w:tcPr>
          <w:p w14:paraId="58C8E57C" w14:textId="77777777" w:rsidR="00BF3738" w:rsidRPr="00A31B02" w:rsidRDefault="00BF3738" w:rsidP="00BF3738">
            <w:pPr>
              <w:spacing w:line="300" w:lineRule="atLeast"/>
              <w:jc w:val="center"/>
              <w:rPr>
                <w:rFonts w:ascii="Arial" w:hAnsi="Arial" w:cs="Arial"/>
                <w:sz w:val="16"/>
                <w:szCs w:val="16"/>
              </w:rPr>
            </w:pPr>
            <w:r w:rsidRPr="00A31B02">
              <w:rPr>
                <w:rFonts w:ascii="Arial" w:hAnsi="Arial" w:cs="Arial"/>
                <w:sz w:val="16"/>
                <w:szCs w:val="16"/>
              </w:rPr>
              <w:t>Medical waste incineration</w:t>
            </w:r>
          </w:p>
        </w:tc>
        <w:tc>
          <w:tcPr>
            <w:tcW w:w="4531" w:type="dxa"/>
          </w:tcPr>
          <w:p w14:paraId="2E18ACB3" w14:textId="10AC79BE" w:rsidR="00BF3738" w:rsidRPr="00A31B02" w:rsidRDefault="00BF3738" w:rsidP="00BF3738">
            <w:pPr>
              <w:spacing w:line="300" w:lineRule="atLeast"/>
              <w:jc w:val="center"/>
              <w:rPr>
                <w:rFonts w:ascii="Arial" w:hAnsi="Arial" w:cs="Arial"/>
                <w:sz w:val="16"/>
                <w:szCs w:val="16"/>
              </w:rPr>
            </w:pPr>
            <w:r w:rsidRPr="00A31B02">
              <w:rPr>
                <w:rFonts w:ascii="Arial" w:hAnsi="Arial" w:cs="Arial"/>
                <w:sz w:val="16"/>
                <w:szCs w:val="16"/>
              </w:rPr>
              <w:t>108</w:t>
            </w:r>
          </w:p>
        </w:tc>
      </w:tr>
      <w:tr w:rsidR="00BF3738" w:rsidRPr="00EF72E4" w14:paraId="4E13081F" w14:textId="77777777" w:rsidTr="00B562EE">
        <w:tc>
          <w:tcPr>
            <w:tcW w:w="4530" w:type="dxa"/>
          </w:tcPr>
          <w:p w14:paraId="179A6869" w14:textId="77777777" w:rsidR="00BF3738" w:rsidRPr="00A31B02" w:rsidRDefault="00BF3738" w:rsidP="00BF3738">
            <w:pPr>
              <w:spacing w:line="300" w:lineRule="atLeast"/>
              <w:jc w:val="center"/>
              <w:rPr>
                <w:rFonts w:ascii="Arial" w:hAnsi="Arial" w:cs="Arial"/>
                <w:sz w:val="16"/>
                <w:szCs w:val="16"/>
              </w:rPr>
            </w:pPr>
            <w:r w:rsidRPr="00A31B02">
              <w:rPr>
                <w:rFonts w:ascii="Arial" w:hAnsi="Arial" w:cs="Arial"/>
                <w:sz w:val="16"/>
                <w:szCs w:val="16"/>
              </w:rPr>
              <w:t>Oil (fossil fuels)</w:t>
            </w:r>
          </w:p>
        </w:tc>
        <w:tc>
          <w:tcPr>
            <w:tcW w:w="4531" w:type="dxa"/>
          </w:tcPr>
          <w:p w14:paraId="19A445B6" w14:textId="4C9E97AB" w:rsidR="00BF3738" w:rsidRPr="00A31B02" w:rsidRDefault="00BF3738" w:rsidP="00BF3738">
            <w:pPr>
              <w:spacing w:line="300" w:lineRule="atLeast"/>
              <w:jc w:val="center"/>
              <w:rPr>
                <w:rFonts w:ascii="Arial" w:hAnsi="Arial" w:cs="Arial"/>
                <w:sz w:val="16"/>
                <w:szCs w:val="16"/>
              </w:rPr>
            </w:pPr>
            <w:r w:rsidRPr="00A31B02">
              <w:rPr>
                <w:rFonts w:ascii="Arial" w:hAnsi="Arial" w:cs="Arial"/>
                <w:sz w:val="16"/>
                <w:szCs w:val="16"/>
              </w:rPr>
              <w:t>18</w:t>
            </w:r>
          </w:p>
        </w:tc>
      </w:tr>
      <w:tr w:rsidR="00BF3738" w:rsidRPr="00EF72E4" w14:paraId="2B44D9E1" w14:textId="77777777" w:rsidTr="00B562EE">
        <w:tc>
          <w:tcPr>
            <w:tcW w:w="4530" w:type="dxa"/>
          </w:tcPr>
          <w:p w14:paraId="4B2B5F28" w14:textId="77777777" w:rsidR="00BF3738" w:rsidRPr="00A31B02" w:rsidRDefault="00BF3738" w:rsidP="00BF3738">
            <w:pPr>
              <w:spacing w:line="300" w:lineRule="atLeast"/>
              <w:jc w:val="center"/>
              <w:rPr>
                <w:rFonts w:ascii="Arial" w:hAnsi="Arial" w:cs="Arial"/>
                <w:sz w:val="16"/>
                <w:szCs w:val="16"/>
              </w:rPr>
            </w:pPr>
            <w:r w:rsidRPr="00A31B02">
              <w:rPr>
                <w:rFonts w:ascii="Arial" w:hAnsi="Arial" w:cs="Arial"/>
                <w:sz w:val="16"/>
                <w:szCs w:val="16"/>
              </w:rPr>
              <w:t>Cremation</w:t>
            </w:r>
          </w:p>
        </w:tc>
        <w:tc>
          <w:tcPr>
            <w:tcW w:w="4531" w:type="dxa"/>
          </w:tcPr>
          <w:p w14:paraId="59EE6FD3" w14:textId="142FBDE8" w:rsidR="00BF3738" w:rsidRPr="00A31B02" w:rsidRDefault="00BF3738" w:rsidP="00BF3738">
            <w:pPr>
              <w:spacing w:line="300" w:lineRule="atLeast"/>
              <w:jc w:val="center"/>
              <w:rPr>
                <w:rFonts w:ascii="Arial" w:hAnsi="Arial" w:cs="Arial"/>
                <w:sz w:val="16"/>
                <w:szCs w:val="16"/>
              </w:rPr>
            </w:pPr>
            <w:r w:rsidRPr="00A31B02">
              <w:rPr>
                <w:rFonts w:ascii="Arial" w:hAnsi="Arial" w:cs="Arial"/>
                <w:sz w:val="16"/>
                <w:szCs w:val="16"/>
              </w:rPr>
              <w:t>15</w:t>
            </w:r>
          </w:p>
        </w:tc>
      </w:tr>
      <w:tr w:rsidR="00BF3738" w:rsidRPr="00EF72E4" w14:paraId="0795CBFF" w14:textId="77777777" w:rsidTr="00B562EE">
        <w:tc>
          <w:tcPr>
            <w:tcW w:w="4530" w:type="dxa"/>
          </w:tcPr>
          <w:p w14:paraId="0B67599E" w14:textId="77777777" w:rsidR="00BF3738" w:rsidRPr="00A31B02" w:rsidRDefault="00BF3738" w:rsidP="00BF3738">
            <w:pPr>
              <w:spacing w:line="300" w:lineRule="atLeast"/>
              <w:jc w:val="center"/>
              <w:rPr>
                <w:rFonts w:ascii="Arial" w:hAnsi="Arial" w:cs="Arial"/>
                <w:sz w:val="16"/>
                <w:szCs w:val="16"/>
              </w:rPr>
            </w:pPr>
            <w:r w:rsidRPr="00A31B02">
              <w:rPr>
                <w:rFonts w:ascii="Arial" w:hAnsi="Arial" w:cs="Arial"/>
                <w:sz w:val="16"/>
                <w:szCs w:val="16"/>
              </w:rPr>
              <w:t>Geothermal</w:t>
            </w:r>
          </w:p>
        </w:tc>
        <w:tc>
          <w:tcPr>
            <w:tcW w:w="4531" w:type="dxa"/>
          </w:tcPr>
          <w:p w14:paraId="16E5C3D0" w14:textId="2227C360" w:rsidR="00BF3738" w:rsidRPr="00A31B02" w:rsidRDefault="00BF3738" w:rsidP="00BF3738">
            <w:pPr>
              <w:spacing w:line="300" w:lineRule="atLeast"/>
              <w:jc w:val="center"/>
              <w:rPr>
                <w:rFonts w:ascii="Arial" w:hAnsi="Arial" w:cs="Arial"/>
                <w:sz w:val="16"/>
                <w:szCs w:val="16"/>
              </w:rPr>
            </w:pPr>
            <w:r w:rsidRPr="00A31B02">
              <w:rPr>
                <w:rFonts w:ascii="Arial" w:hAnsi="Arial" w:cs="Arial"/>
                <w:sz w:val="16"/>
                <w:szCs w:val="16"/>
              </w:rPr>
              <w:t>12</w:t>
            </w:r>
          </w:p>
        </w:tc>
      </w:tr>
    </w:tbl>
    <w:p w14:paraId="0969A579" w14:textId="114EB41E" w:rsidR="00462603" w:rsidRPr="00EF72E4" w:rsidRDefault="00462603" w:rsidP="00015049">
      <w:pPr>
        <w:spacing w:line="300" w:lineRule="atLeast"/>
        <w:jc w:val="both"/>
      </w:pPr>
    </w:p>
    <w:p w14:paraId="4AA0F5A1" w14:textId="580E3CB5" w:rsidR="0034537F" w:rsidRDefault="00647256" w:rsidP="00015049">
      <w:pPr>
        <w:spacing w:line="300" w:lineRule="atLeast"/>
        <w:jc w:val="both"/>
      </w:pPr>
      <w:r w:rsidRPr="00EF72E4">
        <w:t>Compared to 2020</w:t>
      </w:r>
      <w:r w:rsidR="00FA725C" w:rsidRPr="00EF72E4">
        <w:t>,</w:t>
      </w:r>
      <w:r w:rsidRPr="00EF72E4">
        <w:t xml:space="preserve"> </w:t>
      </w:r>
      <w:r w:rsidR="00FA725C" w:rsidRPr="00EF72E4">
        <w:t>medical waste incineration mercury releases have increased because of an increase in the estimates of waste burnt. Cremation increases result partly from population increase but also an on-going trend favouring cremation over burial. Fossil fuel mercury releases</w:t>
      </w:r>
      <w:r w:rsidR="004574EC" w:rsidRPr="00EF72E4">
        <w:t xml:space="preserve"> </w:t>
      </w:r>
      <w:r w:rsidR="004D1AE8" w:rsidRPr="00EF72E4">
        <w:t>have</w:t>
      </w:r>
      <w:r w:rsidR="004574EC" w:rsidRPr="00EF72E4">
        <w:t xml:space="preserve"> risen because there are more vehicles on the road and fuel consumption per vehicle has</w:t>
      </w:r>
      <w:r w:rsidR="004D1AE8" w:rsidRPr="00EF72E4">
        <w:t xml:space="preserve"> increased</w:t>
      </w:r>
      <w:r w:rsidR="004574EC" w:rsidRPr="00EF72E4">
        <w:t>. Geothermal increases are due to more geothermal energy being used to generate electricity.</w:t>
      </w:r>
      <w:r w:rsidR="004D1AE8" w:rsidRPr="00EF72E4">
        <w:t xml:space="preserve"> </w:t>
      </w:r>
    </w:p>
    <w:p w14:paraId="353BC226" w14:textId="77777777" w:rsidR="0034537F" w:rsidRDefault="0034537F">
      <w:pPr>
        <w:spacing w:after="0"/>
      </w:pPr>
      <w:r>
        <w:br w:type="page"/>
      </w:r>
    </w:p>
    <w:p w14:paraId="085ADC60" w14:textId="003174E5" w:rsidR="00462603" w:rsidRPr="00EF72E4" w:rsidRDefault="00DA0E41" w:rsidP="004574EC">
      <w:pPr>
        <w:pStyle w:val="Heading2"/>
      </w:pPr>
      <w:r>
        <w:t>The Role of the Minamata Convention in Promoting</w:t>
      </w:r>
      <w:r w:rsidR="004574EC" w:rsidRPr="00EF72E4">
        <w:t xml:space="preserve"> </w:t>
      </w:r>
      <w:r w:rsidR="00321DE1" w:rsidRPr="00EF72E4">
        <w:t xml:space="preserve">New Zealand </w:t>
      </w:r>
      <w:r w:rsidR="004574EC" w:rsidRPr="00EF72E4">
        <w:t>Initiatives</w:t>
      </w:r>
      <w:r w:rsidR="00321DE1" w:rsidRPr="00EF72E4">
        <w:t xml:space="preserve"> for Controlling Release of Mercury</w:t>
      </w:r>
    </w:p>
    <w:p w14:paraId="30C9D29C" w14:textId="6ADBD258" w:rsidR="00321DE1" w:rsidRPr="00EF72E4" w:rsidRDefault="0085243A" w:rsidP="00321DE1">
      <w:pPr>
        <w:spacing w:line="300" w:lineRule="atLeast"/>
        <w:jc w:val="both"/>
      </w:pPr>
      <w:r w:rsidRPr="00EF72E4">
        <w:t>The objective of the Min</w:t>
      </w:r>
      <w:r w:rsidR="00485FAB">
        <w:t>a</w:t>
      </w:r>
      <w:r w:rsidRPr="00EF72E4">
        <w:t xml:space="preserve">mata Convention is to protect human health and the environment from anthropogenic emissions and releases of mercury and mercury compounds. It aims to achieve this by controlling the supply and trade of mercury including </w:t>
      </w:r>
      <w:r w:rsidR="00321DE1" w:rsidRPr="00EF72E4">
        <w:t xml:space="preserve">controlling and </w:t>
      </w:r>
      <w:r w:rsidRPr="00EF72E4">
        <w:t xml:space="preserve">setting limits on </w:t>
      </w:r>
      <w:r w:rsidR="00321DE1" w:rsidRPr="00EF72E4">
        <w:t>mercury added products and manufacturing processes in which mercury or mercury compounds are used including artisanal and small scale gold mining.</w:t>
      </w:r>
    </w:p>
    <w:p w14:paraId="1B2EA2F1" w14:textId="606D6B7F" w:rsidR="0085243A" w:rsidRPr="00EF72E4" w:rsidRDefault="00321DE1" w:rsidP="00321DE1">
      <w:pPr>
        <w:spacing w:line="300" w:lineRule="atLeast"/>
        <w:jc w:val="both"/>
      </w:pPr>
      <w:r w:rsidRPr="00EF72E4">
        <w:t xml:space="preserve">However </w:t>
      </w:r>
      <w:r w:rsidR="0085243A" w:rsidRPr="00EF72E4">
        <w:t>Article 3 of t</w:t>
      </w:r>
      <w:r w:rsidR="004574EC" w:rsidRPr="00EF72E4">
        <w:t>he Minamata Convention</w:t>
      </w:r>
      <w:r w:rsidR="0085243A" w:rsidRPr="00EF72E4">
        <w:t xml:space="preserve"> specifically excludes the following from its control</w:t>
      </w:r>
      <w:r w:rsidR="00DA0E41">
        <w:t xml:space="preserve"> (UNEP, 2024)</w:t>
      </w:r>
      <w:r w:rsidR="0085243A" w:rsidRPr="00EF72E4">
        <w:t>:</w:t>
      </w:r>
    </w:p>
    <w:p w14:paraId="7ED8A3C4" w14:textId="5664E23F" w:rsidR="0085243A" w:rsidRPr="0034537F" w:rsidRDefault="0085243A" w:rsidP="0085243A">
      <w:pPr>
        <w:spacing w:line="300" w:lineRule="atLeast"/>
        <w:jc w:val="both"/>
        <w:rPr>
          <w:i/>
          <w:iCs/>
        </w:rPr>
      </w:pPr>
      <w:r w:rsidRPr="0034537F">
        <w:rPr>
          <w:i/>
          <w:iCs/>
        </w:rPr>
        <w:t>Naturally occurring trace quantities of mercury or mercury compounds present in such products as non-mercury metals, ores or mineral products, including coal, or products derived from these materials, and unintentional trace quantities in chemical products.</w:t>
      </w:r>
    </w:p>
    <w:p w14:paraId="4877FD84" w14:textId="0489D18A" w:rsidR="00B30342" w:rsidRPr="00EF72E4" w:rsidRDefault="00321DE1" w:rsidP="00B30342">
      <w:pPr>
        <w:spacing w:line="300" w:lineRule="atLeast"/>
        <w:jc w:val="both"/>
      </w:pPr>
      <w:r w:rsidRPr="00EF72E4">
        <w:t>Consequently it would seem that New Zealand’s greatest opportunities for reducing it</w:t>
      </w:r>
      <w:r w:rsidR="00155B6B" w:rsidRPr="00EF72E4">
        <w:t>s</w:t>
      </w:r>
      <w:r w:rsidRPr="00EF72E4">
        <w:t xml:space="preserve"> mercury releases under the Min</w:t>
      </w:r>
      <w:r w:rsidR="00485FAB">
        <w:t>a</w:t>
      </w:r>
      <w:r w:rsidRPr="00EF72E4">
        <w:t xml:space="preserve">mata umbrella are through controlling </w:t>
      </w:r>
      <w:r w:rsidR="00B30342" w:rsidRPr="00EF72E4">
        <w:t>products to which mercury is deliberately added.</w:t>
      </w:r>
    </w:p>
    <w:p w14:paraId="1E130AC1" w14:textId="5DD36B06" w:rsidR="00B30342" w:rsidRPr="00EF72E4" w:rsidRDefault="00B30342" w:rsidP="00B30342">
      <w:pPr>
        <w:spacing w:line="300" w:lineRule="atLeast"/>
        <w:jc w:val="both"/>
      </w:pPr>
      <w:r w:rsidRPr="00EF72E4">
        <w:t>Article 4 of the Convention requires parties to take appropriate measures to stop the manufacture, import or export of mercury added products listed in part 1 of Annex A after the phase out date specified for these products</w:t>
      </w:r>
      <w:r w:rsidR="00DA0E41">
        <w:t xml:space="preserve"> (UNEP, 2024)</w:t>
      </w:r>
      <w:r w:rsidR="00155B6B" w:rsidRPr="00EF72E4">
        <w:t>.</w:t>
      </w:r>
    </w:p>
    <w:p w14:paraId="7C27EC52" w14:textId="7A7AEF9C" w:rsidR="00B30342" w:rsidRPr="00EF72E4" w:rsidRDefault="00B30342" w:rsidP="00B30342">
      <w:pPr>
        <w:spacing w:line="300" w:lineRule="atLeast"/>
        <w:jc w:val="both"/>
      </w:pPr>
      <w:r w:rsidRPr="00EF72E4">
        <w:t>Mercury containing barometers, hygrometers, manometers, and sphygmomanometers have been prohibited since 2020</w:t>
      </w:r>
      <w:r w:rsidR="00372726" w:rsidRPr="00EF72E4">
        <w:t xml:space="preserve"> as have high pressure mercury vapour lamps for general lighting purposes.</w:t>
      </w:r>
    </w:p>
    <w:p w14:paraId="31C8A30D" w14:textId="4C60755A" w:rsidR="00B30342" w:rsidRPr="00EF72E4" w:rsidRDefault="00B30342" w:rsidP="00B30342">
      <w:pPr>
        <w:spacing w:line="300" w:lineRule="atLeast"/>
        <w:jc w:val="both"/>
      </w:pPr>
      <w:r w:rsidRPr="00EF72E4">
        <w:t xml:space="preserve">All mercury containing battery types have been prohibited </w:t>
      </w:r>
      <w:r w:rsidR="00FC0CF3" w:rsidRPr="00EF72E4">
        <w:t>since 2025.</w:t>
      </w:r>
    </w:p>
    <w:p w14:paraId="005F9B1F" w14:textId="1115E0A0" w:rsidR="00372726" w:rsidRPr="00EF72E4" w:rsidRDefault="00372726" w:rsidP="00B30342">
      <w:pPr>
        <w:spacing w:line="300" w:lineRule="atLeast"/>
        <w:jc w:val="both"/>
      </w:pPr>
      <w:r w:rsidRPr="00EF72E4">
        <w:t>From 2027 all linear and non-linear fluorescent lamps will be prohibited</w:t>
      </w:r>
      <w:r w:rsidR="00155B6B" w:rsidRPr="00EF72E4">
        <w:t xml:space="preserve"> following a staged removal programme since 2023 based on lamp coating material and mercury content.</w:t>
      </w:r>
    </w:p>
    <w:p w14:paraId="54B293E1" w14:textId="5B950B75" w:rsidR="00B30342" w:rsidRPr="00EF72E4" w:rsidRDefault="00155B6B" w:rsidP="00B30342">
      <w:pPr>
        <w:spacing w:line="300" w:lineRule="atLeast"/>
        <w:jc w:val="both"/>
      </w:pPr>
      <w:r w:rsidRPr="00EF72E4">
        <w:t xml:space="preserve">Were New Zealand to ratify the Convention </w:t>
      </w:r>
      <w:r w:rsidR="00A15CDB" w:rsidRPr="00EF72E4">
        <w:t xml:space="preserve">and decide that mercury emissions from small-scale gold mining amalgamation practices were not trivial, it would be obligated under Annex C requirements </w:t>
      </w:r>
      <w:r w:rsidR="00DA0E41">
        <w:t xml:space="preserve">(UNEP, 2024) </w:t>
      </w:r>
      <w:r w:rsidR="00A15CDB" w:rsidRPr="00EF72E4">
        <w:t xml:space="preserve">to adopt </w:t>
      </w:r>
      <w:r w:rsidR="00A15CDB" w:rsidRPr="0034537F">
        <w:rPr>
          <w:i/>
          <w:iCs/>
        </w:rPr>
        <w:t>strategies for managing trade and preventing the diversion of mercury and mercury compounds from both foreign and domestic sources to use in artisanal and small scale gold mining and processing</w:t>
      </w:r>
      <w:r w:rsidR="00A15CDB" w:rsidRPr="00DA0E41">
        <w:t>.</w:t>
      </w:r>
      <w:r w:rsidR="0034537F" w:rsidRPr="00DA0E41">
        <w:t xml:space="preserve"> </w:t>
      </w:r>
      <w:r w:rsidR="00DA0E41" w:rsidRPr="00DA0E41">
        <w:t>This</w:t>
      </w:r>
      <w:r w:rsidR="00DA0E41">
        <w:rPr>
          <w:i/>
          <w:iCs/>
        </w:rPr>
        <w:t xml:space="preserve"> </w:t>
      </w:r>
      <w:r w:rsidR="00DA0E41">
        <w:t xml:space="preserve">might mean assisting </w:t>
      </w:r>
      <w:r w:rsidR="0034537F" w:rsidRPr="00EF72E4">
        <w:t>small scale gold miners to replace mercury amalgamation with alternatives that are less harmful for human health and the environment</w:t>
      </w:r>
      <w:r w:rsidR="004D73CD">
        <w:t>.</w:t>
      </w:r>
    </w:p>
    <w:p w14:paraId="7260BCBF" w14:textId="524EAAAF" w:rsidR="00B30342" w:rsidRPr="00EF72E4" w:rsidRDefault="00A15CDB" w:rsidP="00B30342">
      <w:pPr>
        <w:spacing w:line="300" w:lineRule="atLeast"/>
        <w:jc w:val="both"/>
      </w:pPr>
      <w:r w:rsidRPr="00EF72E4">
        <w:t xml:space="preserve">At the present time New Zealand has not ratified the Minamata Convention. Nonetheless as a signatory it </w:t>
      </w:r>
      <w:r w:rsidR="001D6F22" w:rsidRPr="00EF72E4">
        <w:t>has an obligation to</w:t>
      </w:r>
      <w:r w:rsidRPr="00EF72E4">
        <w:t xml:space="preserve"> </w:t>
      </w:r>
      <w:r w:rsidR="001D6F22" w:rsidRPr="00EF72E4">
        <w:t>refrain from acting in a way that would defeat the object and purpose of the Convention.</w:t>
      </w:r>
    </w:p>
    <w:p w14:paraId="18BC5E09" w14:textId="79BAF712" w:rsidR="00615177" w:rsidRPr="00EF72E4" w:rsidRDefault="00615177" w:rsidP="00615177">
      <w:pPr>
        <w:spacing w:line="300" w:lineRule="atLeast"/>
        <w:jc w:val="both"/>
      </w:pPr>
      <w:r w:rsidRPr="00EF72E4">
        <w:t>This means that t</w:t>
      </w:r>
      <w:r w:rsidR="001D6F22" w:rsidRPr="00EF72E4">
        <w:t>he country needs to ensure that it has the correct regulations</w:t>
      </w:r>
      <w:r w:rsidRPr="00EF72E4">
        <w:t xml:space="preserve">, </w:t>
      </w:r>
      <w:r w:rsidR="001D6F22" w:rsidRPr="00EF72E4">
        <w:t>and if necessary legislation</w:t>
      </w:r>
      <w:r w:rsidRPr="00EF72E4">
        <w:t>,</w:t>
      </w:r>
      <w:r w:rsidR="001D6F22" w:rsidRPr="00EF72E4">
        <w:t xml:space="preserve"> in place to enable </w:t>
      </w:r>
      <w:r w:rsidRPr="00EF72E4">
        <w:t>proper control on items no longer allowed for manufacture, import or export under the Convention. Public education strategies are a necessary adjunct.</w:t>
      </w:r>
    </w:p>
    <w:p w14:paraId="6463F32E" w14:textId="1FF5B110" w:rsidR="009731FB" w:rsidRPr="00EF72E4" w:rsidRDefault="009731FB" w:rsidP="00E85AA0">
      <w:pPr>
        <w:pStyle w:val="Heading2"/>
      </w:pPr>
      <w:bookmarkStart w:id="181" w:name="_Toc110355581"/>
      <w:r w:rsidRPr="00EF72E4">
        <w:t>Summary of mercury outputs</w:t>
      </w:r>
      <w:bookmarkEnd w:id="181"/>
    </w:p>
    <w:p w14:paraId="3D38AFC6" w14:textId="5080E225" w:rsidR="00395896" w:rsidRPr="00EF72E4" w:rsidRDefault="009731FB" w:rsidP="00BC703A">
      <w:pPr>
        <w:spacing w:line="300" w:lineRule="atLeast"/>
        <w:rPr>
          <w:szCs w:val="18"/>
        </w:rPr>
      </w:pPr>
      <w:r w:rsidRPr="00EF72E4">
        <w:rPr>
          <w:szCs w:val="18"/>
        </w:rPr>
        <w:t>The five</w:t>
      </w:r>
      <w:r w:rsidR="00531876" w:rsidRPr="00EF72E4">
        <w:rPr>
          <w:szCs w:val="18"/>
        </w:rPr>
        <w:t xml:space="preserve"> </w:t>
      </w:r>
      <w:r w:rsidRPr="00EF72E4">
        <w:rPr>
          <w:szCs w:val="18"/>
        </w:rPr>
        <w:t xml:space="preserve">charts given below provide summaries of the relative contributions </w:t>
      </w:r>
      <w:r w:rsidR="006A5AB5" w:rsidRPr="00EF72E4">
        <w:rPr>
          <w:szCs w:val="18"/>
        </w:rPr>
        <w:t xml:space="preserve">(above 1%) </w:t>
      </w:r>
      <w:r w:rsidRPr="00EF72E4">
        <w:rPr>
          <w:szCs w:val="18"/>
        </w:rPr>
        <w:t xml:space="preserve">from each source category to the various </w:t>
      </w:r>
      <w:r w:rsidR="001C67A9" w:rsidRPr="00EF72E4">
        <w:rPr>
          <w:szCs w:val="18"/>
        </w:rPr>
        <w:t>outputs to air, water</w:t>
      </w:r>
      <w:r w:rsidR="0065672C" w:rsidRPr="00EF72E4">
        <w:rPr>
          <w:szCs w:val="18"/>
        </w:rPr>
        <w:t xml:space="preserve">, </w:t>
      </w:r>
      <w:r w:rsidR="00531876" w:rsidRPr="00EF72E4">
        <w:rPr>
          <w:szCs w:val="18"/>
        </w:rPr>
        <w:t>land</w:t>
      </w:r>
      <w:r w:rsidRPr="00EF72E4">
        <w:rPr>
          <w:szCs w:val="18"/>
        </w:rPr>
        <w:t>,</w:t>
      </w:r>
      <w:r w:rsidR="00531876" w:rsidRPr="00EF72E4">
        <w:rPr>
          <w:szCs w:val="18"/>
        </w:rPr>
        <w:t xml:space="preserve"> </w:t>
      </w:r>
      <w:r w:rsidR="0065672C" w:rsidRPr="00EF72E4">
        <w:rPr>
          <w:szCs w:val="18"/>
        </w:rPr>
        <w:t>waste</w:t>
      </w:r>
      <w:r w:rsidR="001C67A9" w:rsidRPr="00EF72E4">
        <w:rPr>
          <w:szCs w:val="18"/>
        </w:rPr>
        <w:t xml:space="preserve"> and in products.</w:t>
      </w:r>
      <w:r w:rsidRPr="00EF72E4">
        <w:rPr>
          <w:szCs w:val="18"/>
        </w:rPr>
        <w:t xml:space="preserve"> </w:t>
      </w:r>
      <w:r w:rsidR="001C67A9" w:rsidRPr="00EF72E4">
        <w:rPr>
          <w:szCs w:val="18"/>
        </w:rPr>
        <w:t>The key points to note from these charts are as follows:</w:t>
      </w:r>
      <w:r w:rsidR="004B7D97" w:rsidRPr="00EF72E4">
        <w:rPr>
          <w:szCs w:val="18"/>
        </w:rPr>
        <w:t xml:space="preserve"> </w:t>
      </w:r>
    </w:p>
    <w:p w14:paraId="134B6C02" w14:textId="35B8725B" w:rsidR="004B7D97" w:rsidRPr="00EF72E4" w:rsidRDefault="004B7D97" w:rsidP="007C5F70">
      <w:pPr>
        <w:numPr>
          <w:ilvl w:val="0"/>
          <w:numId w:val="21"/>
        </w:numPr>
        <w:spacing w:line="300" w:lineRule="atLeast"/>
        <w:rPr>
          <w:szCs w:val="18"/>
        </w:rPr>
      </w:pPr>
      <w:bookmarkStart w:id="182" w:name="OLE_LINK4"/>
      <w:r w:rsidRPr="00EF72E4">
        <w:rPr>
          <w:szCs w:val="18"/>
        </w:rPr>
        <w:t xml:space="preserve">The outputs to air are dominated by fuel/energy use, especially geothermal. Other notable contributors, in decreasing order of significance are </w:t>
      </w:r>
      <w:r w:rsidR="00D47415">
        <w:rPr>
          <w:szCs w:val="18"/>
        </w:rPr>
        <w:t xml:space="preserve">crematoria, </w:t>
      </w:r>
      <w:r w:rsidRPr="00EF72E4">
        <w:rPr>
          <w:szCs w:val="18"/>
        </w:rPr>
        <w:t>primary metal production, waste disposal and waste incineration.</w:t>
      </w:r>
    </w:p>
    <w:p w14:paraId="4F7B468B" w14:textId="77777777" w:rsidR="004B7D97" w:rsidRPr="00EF72E4" w:rsidRDefault="004B7D97" w:rsidP="007C5F70">
      <w:pPr>
        <w:numPr>
          <w:ilvl w:val="0"/>
          <w:numId w:val="21"/>
        </w:numPr>
        <w:spacing w:line="300" w:lineRule="atLeast"/>
        <w:rPr>
          <w:szCs w:val="18"/>
        </w:rPr>
      </w:pPr>
      <w:r w:rsidRPr="00EF72E4">
        <w:rPr>
          <w:szCs w:val="18"/>
        </w:rPr>
        <w:t>The outputs to water are totally dominated by waste disposal, especially wastewater discharges. Extraction and use of fuels and primary metal production are the next most significant contributors.</w:t>
      </w:r>
    </w:p>
    <w:p w14:paraId="474E16B7" w14:textId="77C076AB" w:rsidR="004B7D97" w:rsidRPr="00EF72E4" w:rsidRDefault="005C75D1" w:rsidP="007C5F70">
      <w:pPr>
        <w:numPr>
          <w:ilvl w:val="0"/>
          <w:numId w:val="21"/>
        </w:numPr>
        <w:spacing w:line="300" w:lineRule="atLeast"/>
        <w:rPr>
          <w:szCs w:val="18"/>
        </w:rPr>
      </w:pPr>
      <w:r w:rsidRPr="009D0D1B">
        <w:rPr>
          <w:szCs w:val="18"/>
        </w:rPr>
        <w:t xml:space="preserve">The outputs to land are dominated by waste disposal </w:t>
      </w:r>
      <w:r>
        <w:rPr>
          <w:szCs w:val="18"/>
        </w:rPr>
        <w:t>with primary metal production</w:t>
      </w:r>
      <w:r w:rsidR="00D11463">
        <w:rPr>
          <w:szCs w:val="18"/>
        </w:rPr>
        <w:t xml:space="preserve"> (largely gold mining)</w:t>
      </w:r>
      <w:r>
        <w:rPr>
          <w:szCs w:val="18"/>
        </w:rPr>
        <w:t xml:space="preserve">, </w:t>
      </w:r>
      <w:r w:rsidRPr="009D0D1B">
        <w:rPr>
          <w:szCs w:val="18"/>
        </w:rPr>
        <w:t>production of minerals with mercury impurities</w:t>
      </w:r>
      <w:r>
        <w:rPr>
          <w:szCs w:val="18"/>
        </w:rPr>
        <w:t xml:space="preserve"> </w:t>
      </w:r>
      <w:r w:rsidR="00D11463">
        <w:rPr>
          <w:szCs w:val="18"/>
        </w:rPr>
        <w:t xml:space="preserve">(largely phosphate fertilisers) </w:t>
      </w:r>
      <w:r>
        <w:rPr>
          <w:szCs w:val="18"/>
        </w:rPr>
        <w:t>and cemeteries also making significant contributions</w:t>
      </w:r>
      <w:r w:rsidRPr="009D0D1B">
        <w:rPr>
          <w:szCs w:val="18"/>
        </w:rPr>
        <w:t>.</w:t>
      </w:r>
      <w:r w:rsidR="004B7D97" w:rsidRPr="00EF72E4" w:rsidDel="00CB2FBA">
        <w:rPr>
          <w:szCs w:val="18"/>
        </w:rPr>
        <w:t xml:space="preserve"> </w:t>
      </w:r>
    </w:p>
    <w:p w14:paraId="19CA4A9E" w14:textId="13D31849" w:rsidR="004B7D97" w:rsidRPr="00EF72E4" w:rsidRDefault="005C75D1" w:rsidP="007C5F70">
      <w:pPr>
        <w:numPr>
          <w:ilvl w:val="0"/>
          <w:numId w:val="21"/>
        </w:numPr>
        <w:spacing w:line="300" w:lineRule="atLeast"/>
        <w:rPr>
          <w:szCs w:val="18"/>
        </w:rPr>
      </w:pPr>
      <w:r w:rsidRPr="009D0D1B">
        <w:rPr>
          <w:szCs w:val="18"/>
        </w:rPr>
        <w:t xml:space="preserve">The outputs to products are comprised </w:t>
      </w:r>
      <w:r w:rsidR="00D11463">
        <w:rPr>
          <w:szCs w:val="18"/>
        </w:rPr>
        <w:t>mostly</w:t>
      </w:r>
      <w:r w:rsidRPr="009D0D1B">
        <w:rPr>
          <w:szCs w:val="18"/>
        </w:rPr>
        <w:t xml:space="preserve"> of consumer products with intentional use of mercury</w:t>
      </w:r>
      <w:r w:rsidR="00D11463">
        <w:rPr>
          <w:szCs w:val="18"/>
        </w:rPr>
        <w:t xml:space="preserve"> (largely pharmaceuticals)</w:t>
      </w:r>
      <w:r w:rsidR="00D47415">
        <w:rPr>
          <w:szCs w:val="18"/>
        </w:rPr>
        <w:t xml:space="preserve"> and production of primary metals</w:t>
      </w:r>
      <w:r>
        <w:rPr>
          <w:szCs w:val="18"/>
        </w:rPr>
        <w:t>.</w:t>
      </w:r>
    </w:p>
    <w:p w14:paraId="009D449A" w14:textId="487D97F9" w:rsidR="004B7D97" w:rsidRPr="00EF72E4" w:rsidRDefault="005C75D1" w:rsidP="007C5F70">
      <w:pPr>
        <w:numPr>
          <w:ilvl w:val="0"/>
          <w:numId w:val="21"/>
        </w:numPr>
        <w:spacing w:line="300" w:lineRule="atLeast"/>
        <w:rPr>
          <w:szCs w:val="18"/>
        </w:rPr>
      </w:pPr>
      <w:r w:rsidRPr="009D0D1B">
        <w:rPr>
          <w:szCs w:val="18"/>
        </w:rPr>
        <w:t xml:space="preserve">The outputs to waste feature waste disposal as the largest source with other notable contributions from </w:t>
      </w:r>
      <w:r>
        <w:rPr>
          <w:szCs w:val="18"/>
        </w:rPr>
        <w:t>extraction and use of fuels</w:t>
      </w:r>
      <w:r w:rsidR="00B02295">
        <w:rPr>
          <w:szCs w:val="18"/>
        </w:rPr>
        <w:t xml:space="preserve"> (dominated by gas extraction)</w:t>
      </w:r>
      <w:r>
        <w:rPr>
          <w:szCs w:val="18"/>
        </w:rPr>
        <w:t>,</w:t>
      </w:r>
      <w:r w:rsidR="00D47415">
        <w:rPr>
          <w:szCs w:val="18"/>
        </w:rPr>
        <w:t xml:space="preserve"> primary metal production and consumer products with intentional use of mercury.</w:t>
      </w:r>
    </w:p>
    <w:bookmarkEnd w:id="182"/>
    <w:p w14:paraId="697590DA" w14:textId="78B7028C" w:rsidR="001C67A9" w:rsidRPr="00EF72E4" w:rsidRDefault="001C67A9" w:rsidP="00451195">
      <w:pPr>
        <w:spacing w:line="300" w:lineRule="atLeast"/>
        <w:rPr>
          <w:szCs w:val="18"/>
        </w:rPr>
      </w:pPr>
    </w:p>
    <w:p w14:paraId="41F8BA58" w14:textId="1E397523" w:rsidR="00427BC5" w:rsidRPr="00EF72E4" w:rsidRDefault="00427BC5" w:rsidP="00451195">
      <w:pPr>
        <w:spacing w:line="300" w:lineRule="atLeast"/>
        <w:rPr>
          <w:szCs w:val="18"/>
        </w:rPr>
      </w:pPr>
      <w:r w:rsidRPr="00EF72E4">
        <w:rPr>
          <w:noProof/>
        </w:rPr>
        <w:drawing>
          <wp:inline distT="0" distB="0" distL="0" distR="0" wp14:anchorId="1D4F82EE" wp14:editId="230AC0C0">
            <wp:extent cx="5760085" cy="3603625"/>
            <wp:effectExtent l="0" t="0" r="18415" b="15875"/>
            <wp:docPr id="47291679"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19CDB99" w14:textId="250E2B80" w:rsidR="00F22738" w:rsidRPr="00EF72E4" w:rsidRDefault="00CA1E1B" w:rsidP="003C3173">
      <w:pPr>
        <w:pStyle w:val="Caption"/>
        <w:spacing w:before="240"/>
        <w:jc w:val="center"/>
        <w:rPr>
          <w:rFonts w:ascii="Arial" w:hAnsi="Arial" w:cs="Arial"/>
        </w:rPr>
      </w:pPr>
      <w:r w:rsidRPr="00EF72E4">
        <w:rPr>
          <w:rFonts w:ascii="Arial" w:hAnsi="Arial" w:cs="Arial"/>
        </w:rPr>
        <w:t xml:space="preserve">Figure </w:t>
      </w:r>
      <w:r w:rsidR="00F22738" w:rsidRPr="00EF72E4">
        <w:rPr>
          <w:rFonts w:ascii="Arial" w:hAnsi="Arial" w:cs="Arial"/>
        </w:rPr>
        <w:fldChar w:fldCharType="begin"/>
      </w:r>
      <w:r w:rsidR="00F22738" w:rsidRPr="00EF72E4">
        <w:rPr>
          <w:rFonts w:ascii="Arial" w:hAnsi="Arial" w:cs="Arial"/>
        </w:rPr>
        <w:instrText xml:space="preserve"> STYLEREF 1 \s </w:instrText>
      </w:r>
      <w:r w:rsidR="00F22738" w:rsidRPr="00EF72E4">
        <w:rPr>
          <w:rFonts w:ascii="Arial" w:hAnsi="Arial" w:cs="Arial"/>
        </w:rPr>
        <w:fldChar w:fldCharType="separate"/>
      </w:r>
      <w:r w:rsidR="00892B2D">
        <w:rPr>
          <w:rFonts w:ascii="Arial" w:hAnsi="Arial" w:cs="Arial"/>
          <w:noProof/>
        </w:rPr>
        <w:t>14</w:t>
      </w:r>
      <w:r w:rsidR="00F22738" w:rsidRPr="00EF72E4">
        <w:rPr>
          <w:rFonts w:ascii="Arial" w:hAnsi="Arial" w:cs="Arial"/>
        </w:rPr>
        <w:fldChar w:fldCharType="end"/>
      </w:r>
      <w:r w:rsidR="00F22738" w:rsidRPr="00EF72E4">
        <w:rPr>
          <w:rFonts w:ascii="Arial" w:hAnsi="Arial" w:cs="Arial"/>
        </w:rPr>
        <w:noBreakHyphen/>
      </w:r>
      <w:r w:rsidR="00F22738" w:rsidRPr="00EF72E4">
        <w:rPr>
          <w:rFonts w:ascii="Arial" w:hAnsi="Arial" w:cs="Arial"/>
        </w:rPr>
        <w:fldChar w:fldCharType="begin"/>
      </w:r>
      <w:r w:rsidR="00F22738" w:rsidRPr="00EF72E4">
        <w:rPr>
          <w:rFonts w:ascii="Arial" w:hAnsi="Arial" w:cs="Arial"/>
        </w:rPr>
        <w:instrText xml:space="preserve"> SEQ Figure \* ARABIC \s 1 </w:instrText>
      </w:r>
      <w:r w:rsidR="00F22738" w:rsidRPr="00EF72E4">
        <w:rPr>
          <w:rFonts w:ascii="Arial" w:hAnsi="Arial" w:cs="Arial"/>
        </w:rPr>
        <w:fldChar w:fldCharType="separate"/>
      </w:r>
      <w:r w:rsidR="00892B2D">
        <w:rPr>
          <w:rFonts w:ascii="Arial" w:hAnsi="Arial" w:cs="Arial"/>
          <w:noProof/>
        </w:rPr>
        <w:t>3</w:t>
      </w:r>
      <w:r w:rsidR="00F22738" w:rsidRPr="00EF72E4">
        <w:rPr>
          <w:rFonts w:ascii="Arial" w:hAnsi="Arial" w:cs="Arial"/>
        </w:rPr>
        <w:fldChar w:fldCharType="end"/>
      </w:r>
      <w:r w:rsidR="00D56F5E" w:rsidRPr="00EF72E4">
        <w:rPr>
          <w:rFonts w:ascii="Arial" w:hAnsi="Arial" w:cs="Arial"/>
        </w:rPr>
        <w:t>:  Relative mercury outputs to air, by source category</w:t>
      </w:r>
    </w:p>
    <w:p w14:paraId="71E41436" w14:textId="55E848DD" w:rsidR="003C3173" w:rsidRPr="00EF72E4" w:rsidRDefault="003C3173" w:rsidP="003C3173"/>
    <w:p w14:paraId="738DB8D3" w14:textId="04C59A31" w:rsidR="00427BC5" w:rsidRPr="00EF72E4" w:rsidRDefault="00427BC5" w:rsidP="003C3173">
      <w:r w:rsidRPr="00EF72E4">
        <w:rPr>
          <w:noProof/>
        </w:rPr>
        <w:drawing>
          <wp:inline distT="0" distB="0" distL="0" distR="0" wp14:anchorId="2BB8F5B6" wp14:editId="508B697B">
            <wp:extent cx="5760085" cy="3573145"/>
            <wp:effectExtent l="0" t="0" r="18415" b="8255"/>
            <wp:docPr id="2005935159"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916A0A9" w14:textId="56590DFB" w:rsidR="003C3173" w:rsidRPr="00EF72E4" w:rsidRDefault="003C3173" w:rsidP="003C3173">
      <w:pPr>
        <w:pStyle w:val="Caption"/>
        <w:spacing w:before="240"/>
        <w:jc w:val="center"/>
        <w:rPr>
          <w:rFonts w:ascii="Arial" w:hAnsi="Arial" w:cs="Arial"/>
        </w:rPr>
      </w:pPr>
      <w:r w:rsidRPr="00EF72E4">
        <w:rPr>
          <w:rFonts w:ascii="Arial" w:hAnsi="Arial" w:cs="Arial"/>
        </w:rPr>
        <w:t xml:space="preserve">Figure </w:t>
      </w:r>
      <w:r w:rsidRPr="00EF72E4">
        <w:rPr>
          <w:rFonts w:ascii="Arial" w:hAnsi="Arial" w:cs="Arial"/>
        </w:rPr>
        <w:fldChar w:fldCharType="begin"/>
      </w:r>
      <w:r w:rsidRPr="00EF72E4">
        <w:rPr>
          <w:rFonts w:ascii="Arial" w:hAnsi="Arial" w:cs="Arial"/>
        </w:rPr>
        <w:instrText xml:space="preserve"> STYLEREF 1 \s </w:instrText>
      </w:r>
      <w:r w:rsidRPr="00EF72E4">
        <w:rPr>
          <w:rFonts w:ascii="Arial" w:hAnsi="Arial" w:cs="Arial"/>
        </w:rPr>
        <w:fldChar w:fldCharType="separate"/>
      </w:r>
      <w:r w:rsidR="00892B2D">
        <w:rPr>
          <w:rFonts w:ascii="Arial" w:hAnsi="Arial" w:cs="Arial"/>
          <w:noProof/>
        </w:rPr>
        <w:t>14</w:t>
      </w:r>
      <w:r w:rsidRPr="00EF72E4">
        <w:rPr>
          <w:rFonts w:ascii="Arial" w:hAnsi="Arial" w:cs="Arial"/>
        </w:rPr>
        <w:fldChar w:fldCharType="end"/>
      </w:r>
      <w:r w:rsidRPr="00EF72E4">
        <w:rPr>
          <w:rFonts w:ascii="Arial" w:hAnsi="Arial" w:cs="Arial"/>
        </w:rPr>
        <w:noBreakHyphen/>
        <w:t>4:  Relative mercury outputs to water, by source category</w:t>
      </w:r>
    </w:p>
    <w:p w14:paraId="2BAAA72F" w14:textId="4EB02541" w:rsidR="003C3173" w:rsidRDefault="003C3173" w:rsidP="003C3173"/>
    <w:p w14:paraId="0D77BEF8" w14:textId="1E8B22A8" w:rsidR="00DE3C59" w:rsidRDefault="00DE3C59" w:rsidP="003C3173">
      <w:r>
        <w:rPr>
          <w:noProof/>
        </w:rPr>
        <w:drawing>
          <wp:inline distT="0" distB="0" distL="0" distR="0" wp14:anchorId="5ABD38C8" wp14:editId="6FDD8728">
            <wp:extent cx="5760085" cy="3539490"/>
            <wp:effectExtent l="0" t="0" r="18415" b="16510"/>
            <wp:docPr id="2129761640" name="Chart 1">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53A9EF" w14:textId="6F8718C5" w:rsidR="003C3173" w:rsidRPr="00EF72E4" w:rsidRDefault="003C3173" w:rsidP="003C3173">
      <w:pPr>
        <w:pStyle w:val="Caption"/>
        <w:jc w:val="center"/>
        <w:rPr>
          <w:rFonts w:ascii="Arial" w:hAnsi="Arial" w:cs="Arial"/>
        </w:rPr>
      </w:pPr>
      <w:r w:rsidRPr="00EF72E4">
        <w:rPr>
          <w:rFonts w:ascii="Arial" w:hAnsi="Arial" w:cs="Arial"/>
        </w:rPr>
        <w:t xml:space="preserve">Figure </w:t>
      </w:r>
      <w:r w:rsidRPr="00EF72E4">
        <w:rPr>
          <w:rFonts w:ascii="Arial" w:hAnsi="Arial" w:cs="Arial"/>
        </w:rPr>
        <w:fldChar w:fldCharType="begin"/>
      </w:r>
      <w:r w:rsidRPr="00EF72E4">
        <w:rPr>
          <w:rFonts w:ascii="Arial" w:hAnsi="Arial" w:cs="Arial"/>
        </w:rPr>
        <w:instrText xml:space="preserve"> STYLEREF 1 \s </w:instrText>
      </w:r>
      <w:r w:rsidRPr="00EF72E4">
        <w:rPr>
          <w:rFonts w:ascii="Arial" w:hAnsi="Arial" w:cs="Arial"/>
        </w:rPr>
        <w:fldChar w:fldCharType="separate"/>
      </w:r>
      <w:r w:rsidR="00892B2D">
        <w:rPr>
          <w:rFonts w:ascii="Arial" w:hAnsi="Arial" w:cs="Arial"/>
          <w:noProof/>
        </w:rPr>
        <w:t>14</w:t>
      </w:r>
      <w:r w:rsidRPr="00EF72E4">
        <w:rPr>
          <w:rFonts w:ascii="Arial" w:hAnsi="Arial" w:cs="Arial"/>
        </w:rPr>
        <w:fldChar w:fldCharType="end"/>
      </w:r>
      <w:r w:rsidRPr="00EF72E4">
        <w:rPr>
          <w:rFonts w:ascii="Arial" w:hAnsi="Arial" w:cs="Arial"/>
        </w:rPr>
        <w:noBreakHyphen/>
      </w:r>
      <w:r w:rsidR="0030255B">
        <w:rPr>
          <w:rFonts w:ascii="Arial" w:hAnsi="Arial" w:cs="Arial"/>
        </w:rPr>
        <w:t>5</w:t>
      </w:r>
      <w:r w:rsidRPr="00EF72E4">
        <w:rPr>
          <w:rFonts w:ascii="Arial" w:hAnsi="Arial" w:cs="Arial"/>
        </w:rPr>
        <w:t xml:space="preserve">:  Relative mercury outputs to land, by source category </w:t>
      </w:r>
    </w:p>
    <w:p w14:paraId="6DD41004" w14:textId="77777777" w:rsidR="00DE3C59" w:rsidRDefault="00DE3C59" w:rsidP="009B5CCA">
      <w:pPr>
        <w:rPr>
          <w:rFonts w:ascii="Arial" w:hAnsi="Arial" w:cs="Arial"/>
          <w:b/>
          <w:bCs/>
        </w:rPr>
      </w:pPr>
    </w:p>
    <w:p w14:paraId="2EA18944" w14:textId="77777777" w:rsidR="00DE3C59" w:rsidRDefault="00DE3C59" w:rsidP="009B5CCA">
      <w:pPr>
        <w:rPr>
          <w:rFonts w:ascii="Arial" w:hAnsi="Arial" w:cs="Arial"/>
          <w:b/>
          <w:bCs/>
        </w:rPr>
      </w:pPr>
    </w:p>
    <w:p w14:paraId="71B6F308" w14:textId="6069EAED" w:rsidR="00DE3C59" w:rsidRDefault="00DE3C59" w:rsidP="009B5CCA">
      <w:pPr>
        <w:rPr>
          <w:rFonts w:ascii="Arial" w:hAnsi="Arial" w:cs="Arial"/>
          <w:b/>
          <w:bCs/>
        </w:rPr>
      </w:pPr>
      <w:r>
        <w:rPr>
          <w:noProof/>
        </w:rPr>
        <w:drawing>
          <wp:inline distT="0" distB="0" distL="0" distR="0" wp14:anchorId="5A666C73" wp14:editId="42C00E5A">
            <wp:extent cx="5760085" cy="3590290"/>
            <wp:effectExtent l="0" t="0" r="18415" b="16510"/>
            <wp:docPr id="2127923535" name="Chart 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4897909" w14:textId="7BFFA485" w:rsidR="00A61623" w:rsidRPr="00EF72E4" w:rsidRDefault="00A61623" w:rsidP="00A61623">
      <w:pPr>
        <w:pStyle w:val="Caption"/>
        <w:spacing w:before="240"/>
        <w:jc w:val="center"/>
        <w:rPr>
          <w:rFonts w:ascii="Arial" w:hAnsi="Arial" w:cs="Arial"/>
        </w:rPr>
      </w:pPr>
      <w:r w:rsidRPr="00EF72E4">
        <w:rPr>
          <w:rFonts w:ascii="Arial" w:hAnsi="Arial" w:cs="Arial"/>
        </w:rPr>
        <w:t xml:space="preserve">Figure </w:t>
      </w:r>
      <w:r w:rsidRPr="00EF72E4">
        <w:rPr>
          <w:rFonts w:ascii="Arial" w:hAnsi="Arial" w:cs="Arial"/>
        </w:rPr>
        <w:fldChar w:fldCharType="begin"/>
      </w:r>
      <w:r w:rsidRPr="00EF72E4">
        <w:rPr>
          <w:rFonts w:ascii="Arial" w:hAnsi="Arial" w:cs="Arial"/>
        </w:rPr>
        <w:instrText xml:space="preserve"> STYLEREF 1 \s </w:instrText>
      </w:r>
      <w:r w:rsidRPr="00EF72E4">
        <w:rPr>
          <w:rFonts w:ascii="Arial" w:hAnsi="Arial" w:cs="Arial"/>
        </w:rPr>
        <w:fldChar w:fldCharType="separate"/>
      </w:r>
      <w:r w:rsidR="00892B2D">
        <w:rPr>
          <w:rFonts w:ascii="Arial" w:hAnsi="Arial" w:cs="Arial"/>
          <w:noProof/>
        </w:rPr>
        <w:t>14</w:t>
      </w:r>
      <w:r w:rsidRPr="00EF72E4">
        <w:rPr>
          <w:rFonts w:ascii="Arial" w:hAnsi="Arial" w:cs="Arial"/>
        </w:rPr>
        <w:fldChar w:fldCharType="end"/>
      </w:r>
      <w:r w:rsidRPr="00EF72E4">
        <w:rPr>
          <w:rFonts w:ascii="Arial" w:hAnsi="Arial" w:cs="Arial"/>
        </w:rPr>
        <w:noBreakHyphen/>
      </w:r>
      <w:r w:rsidR="0030255B">
        <w:rPr>
          <w:rFonts w:ascii="Arial" w:hAnsi="Arial" w:cs="Arial"/>
        </w:rPr>
        <w:t>6</w:t>
      </w:r>
      <w:r w:rsidRPr="00EF72E4">
        <w:rPr>
          <w:rFonts w:ascii="Arial" w:hAnsi="Arial" w:cs="Arial"/>
        </w:rPr>
        <w:t xml:space="preserve">:  Relative mercury outputs to products, by source </w:t>
      </w:r>
      <w:r w:rsidR="00F95156" w:rsidRPr="00EF72E4">
        <w:rPr>
          <w:rFonts w:ascii="Arial" w:hAnsi="Arial" w:cs="Arial"/>
        </w:rPr>
        <w:t>category</w:t>
      </w:r>
    </w:p>
    <w:p w14:paraId="082E00C7" w14:textId="67E07B94" w:rsidR="00A61623" w:rsidRPr="00EF72E4" w:rsidRDefault="00A61623" w:rsidP="00A61623"/>
    <w:p w14:paraId="0E5EA239" w14:textId="2228095B" w:rsidR="000E44D5" w:rsidRPr="00EF72E4" w:rsidRDefault="00922130" w:rsidP="00A61623">
      <w:r>
        <w:rPr>
          <w:noProof/>
        </w:rPr>
        <w:drawing>
          <wp:inline distT="0" distB="0" distL="0" distR="0" wp14:anchorId="74FBBF6C" wp14:editId="757785E0">
            <wp:extent cx="5760085" cy="3523615"/>
            <wp:effectExtent l="0" t="0" r="18415" b="6985"/>
            <wp:docPr id="1342057157" name="Chart 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434E87" w14:textId="4EA40990" w:rsidR="00171A10" w:rsidRPr="00EF72E4" w:rsidRDefault="00171A10" w:rsidP="00171A10">
      <w:pPr>
        <w:pStyle w:val="Caption"/>
        <w:spacing w:before="240"/>
        <w:jc w:val="center"/>
        <w:rPr>
          <w:rFonts w:ascii="Arial" w:hAnsi="Arial" w:cs="Arial"/>
          <w:szCs w:val="18"/>
        </w:rPr>
      </w:pPr>
      <w:r w:rsidRPr="00EF72E4">
        <w:rPr>
          <w:rFonts w:ascii="Arial" w:hAnsi="Arial" w:cs="Arial"/>
        </w:rPr>
        <w:t xml:space="preserve">Figure </w:t>
      </w:r>
      <w:r w:rsidRPr="00EF72E4">
        <w:rPr>
          <w:rFonts w:ascii="Arial" w:hAnsi="Arial" w:cs="Arial"/>
        </w:rPr>
        <w:fldChar w:fldCharType="begin"/>
      </w:r>
      <w:r w:rsidRPr="00EF72E4">
        <w:rPr>
          <w:rFonts w:ascii="Arial" w:hAnsi="Arial" w:cs="Arial"/>
        </w:rPr>
        <w:instrText xml:space="preserve"> STYLEREF 1 \s </w:instrText>
      </w:r>
      <w:r w:rsidRPr="00EF72E4">
        <w:rPr>
          <w:rFonts w:ascii="Arial" w:hAnsi="Arial" w:cs="Arial"/>
        </w:rPr>
        <w:fldChar w:fldCharType="separate"/>
      </w:r>
      <w:r w:rsidR="00892B2D">
        <w:rPr>
          <w:rFonts w:ascii="Arial" w:hAnsi="Arial" w:cs="Arial"/>
          <w:noProof/>
        </w:rPr>
        <w:t>14</w:t>
      </w:r>
      <w:r w:rsidRPr="00EF72E4">
        <w:rPr>
          <w:rFonts w:ascii="Arial" w:hAnsi="Arial" w:cs="Arial"/>
        </w:rPr>
        <w:fldChar w:fldCharType="end"/>
      </w:r>
      <w:r w:rsidRPr="00EF72E4">
        <w:rPr>
          <w:rFonts w:ascii="Arial" w:hAnsi="Arial" w:cs="Arial"/>
        </w:rPr>
        <w:noBreakHyphen/>
      </w:r>
      <w:r w:rsidR="0030255B">
        <w:rPr>
          <w:rFonts w:ascii="Arial" w:hAnsi="Arial" w:cs="Arial"/>
        </w:rPr>
        <w:t>7</w:t>
      </w:r>
      <w:r w:rsidRPr="00EF72E4">
        <w:rPr>
          <w:rFonts w:ascii="Arial" w:hAnsi="Arial" w:cs="Arial"/>
        </w:rPr>
        <w:t>:  Relative mercury outputs to waste, by source category</w:t>
      </w:r>
    </w:p>
    <w:p w14:paraId="206B3587" w14:textId="77777777" w:rsidR="002A5CAB" w:rsidRPr="00EF72E4" w:rsidRDefault="002A5CAB" w:rsidP="00256B6F">
      <w:pPr>
        <w:spacing w:line="300" w:lineRule="atLeast"/>
        <w:jc w:val="both"/>
        <w:rPr>
          <w:szCs w:val="18"/>
        </w:rPr>
      </w:pPr>
    </w:p>
    <w:p w14:paraId="5E676E98" w14:textId="77777777" w:rsidR="002709CD" w:rsidRPr="00EF72E4" w:rsidRDefault="002709CD" w:rsidP="00E66BB8">
      <w:pPr>
        <w:shd w:val="clear" w:color="auto" w:fill="FFFF00"/>
        <w:spacing w:line="300" w:lineRule="atLeast"/>
        <w:jc w:val="both"/>
        <w:rPr>
          <w:szCs w:val="18"/>
        </w:rPr>
        <w:sectPr w:rsidR="002709CD" w:rsidRPr="00EF72E4" w:rsidSect="004723B2">
          <w:headerReference w:type="default" r:id="rId27"/>
          <w:footerReference w:type="default" r:id="rId28"/>
          <w:headerReference w:type="first" r:id="rId29"/>
          <w:footerReference w:type="first" r:id="rId30"/>
          <w:endnotePr>
            <w:numFmt w:val="decimal"/>
          </w:endnotePr>
          <w:pgSz w:w="11907" w:h="16840" w:code="9"/>
          <w:pgMar w:top="1418" w:right="1418" w:bottom="1440" w:left="1418" w:header="720" w:footer="720" w:gutter="0"/>
          <w:pgNumType w:start="1"/>
          <w:cols w:space="720"/>
          <w:titlePg/>
          <w:docGrid w:linePitch="272"/>
        </w:sectPr>
      </w:pPr>
    </w:p>
    <w:p w14:paraId="410AACB6" w14:textId="533B810A" w:rsidR="004A1BCA" w:rsidRPr="00EF72E4" w:rsidRDefault="002C4328" w:rsidP="004C4FDF">
      <w:pPr>
        <w:pStyle w:val="Caption"/>
        <w:spacing w:after="240"/>
        <w:rPr>
          <w:rFonts w:ascii="Arial" w:hAnsi="Arial" w:cs="Arial"/>
          <w:szCs w:val="18"/>
        </w:rPr>
      </w:pPr>
      <w:bookmarkStart w:id="183" w:name="_Ref358654936"/>
      <w:r w:rsidRPr="00EF72E4">
        <w:rPr>
          <w:rFonts w:ascii="Arial" w:hAnsi="Arial" w:cs="Arial"/>
        </w:rPr>
        <w:t xml:space="preserve">Table </w:t>
      </w:r>
      <w:r w:rsidR="00390C9F" w:rsidRPr="00EF72E4">
        <w:rPr>
          <w:rFonts w:ascii="Arial" w:hAnsi="Arial" w:cs="Arial"/>
        </w:rPr>
        <w:fldChar w:fldCharType="begin"/>
      </w:r>
      <w:r w:rsidR="00390C9F" w:rsidRPr="00EF72E4">
        <w:rPr>
          <w:rFonts w:ascii="Arial" w:hAnsi="Arial" w:cs="Arial"/>
        </w:rPr>
        <w:instrText xml:space="preserve"> STYLEREF 1 \s </w:instrText>
      </w:r>
      <w:r w:rsidR="00390C9F" w:rsidRPr="00EF72E4">
        <w:rPr>
          <w:rFonts w:ascii="Arial" w:hAnsi="Arial" w:cs="Arial"/>
        </w:rPr>
        <w:fldChar w:fldCharType="separate"/>
      </w:r>
      <w:r w:rsidR="00892B2D">
        <w:rPr>
          <w:rFonts w:ascii="Arial" w:hAnsi="Arial" w:cs="Arial"/>
          <w:noProof/>
        </w:rPr>
        <w:t>14</w:t>
      </w:r>
      <w:r w:rsidR="00390C9F" w:rsidRPr="00EF72E4">
        <w:rPr>
          <w:rFonts w:ascii="Arial" w:hAnsi="Arial" w:cs="Arial"/>
        </w:rPr>
        <w:fldChar w:fldCharType="end"/>
      </w:r>
      <w:r w:rsidR="00390C9F" w:rsidRPr="00EF72E4">
        <w:rPr>
          <w:rFonts w:ascii="Arial" w:hAnsi="Arial" w:cs="Arial"/>
        </w:rPr>
        <w:noBreakHyphen/>
      </w:r>
      <w:bookmarkEnd w:id="183"/>
      <w:r w:rsidR="009731FB" w:rsidRPr="00EF72E4">
        <w:rPr>
          <w:rFonts w:ascii="Arial" w:hAnsi="Arial" w:cs="Arial"/>
        </w:rPr>
        <w:t>2</w:t>
      </w:r>
      <w:r w:rsidRPr="00EF72E4">
        <w:rPr>
          <w:rFonts w:ascii="Arial" w:hAnsi="Arial" w:cs="Arial"/>
        </w:rPr>
        <w:t>: Detailed listing of mercury inputs and outputs</w:t>
      </w:r>
      <w:r w:rsidR="00501BB6" w:rsidRPr="00EF72E4">
        <w:rPr>
          <w:rFonts w:ascii="Arial" w:hAnsi="Arial" w:cs="Arial"/>
        </w:rPr>
        <w:t>*</w:t>
      </w:r>
    </w:p>
    <w:tbl>
      <w:tblPr>
        <w:tblStyle w:val="TableGrid"/>
        <w:tblW w:w="14175" w:type="dxa"/>
        <w:tblInd w:w="108" w:type="dxa"/>
        <w:tblLook w:val="04A0" w:firstRow="1" w:lastRow="0" w:firstColumn="1" w:lastColumn="0" w:noHBand="0" w:noVBand="1"/>
      </w:tblPr>
      <w:tblGrid>
        <w:gridCol w:w="3261"/>
        <w:gridCol w:w="2126"/>
        <w:gridCol w:w="1871"/>
        <w:gridCol w:w="1701"/>
        <w:gridCol w:w="1701"/>
        <w:gridCol w:w="1843"/>
        <w:gridCol w:w="1672"/>
      </w:tblGrid>
      <w:tr w:rsidR="003C227D" w:rsidRPr="00EF72E4" w14:paraId="390F69E5" w14:textId="77777777" w:rsidTr="004C4FDF">
        <w:trPr>
          <w:tblHeader/>
        </w:trPr>
        <w:tc>
          <w:tcPr>
            <w:tcW w:w="3261" w:type="dxa"/>
            <w:vMerge w:val="restart"/>
            <w:vAlign w:val="center"/>
          </w:tcPr>
          <w:p w14:paraId="4E5BB5DD" w14:textId="77777777" w:rsidR="003C227D" w:rsidRPr="00EF72E4" w:rsidRDefault="003C227D" w:rsidP="004C4FDF">
            <w:pPr>
              <w:spacing w:before="50" w:after="60" w:line="240" w:lineRule="atLeast"/>
              <w:jc w:val="center"/>
              <w:rPr>
                <w:rFonts w:ascii="Arial" w:hAnsi="Arial" w:cs="Arial"/>
                <w:b/>
                <w:sz w:val="16"/>
                <w:szCs w:val="16"/>
              </w:rPr>
            </w:pPr>
            <w:r w:rsidRPr="00EF72E4">
              <w:rPr>
                <w:rFonts w:ascii="Arial" w:hAnsi="Arial" w:cs="Arial"/>
                <w:b/>
                <w:sz w:val="16"/>
                <w:szCs w:val="16"/>
              </w:rPr>
              <w:t>Category</w:t>
            </w:r>
          </w:p>
        </w:tc>
        <w:tc>
          <w:tcPr>
            <w:tcW w:w="2126" w:type="dxa"/>
            <w:vMerge w:val="restart"/>
            <w:vAlign w:val="center"/>
          </w:tcPr>
          <w:p w14:paraId="2F5CBDFF" w14:textId="77777777" w:rsidR="003C227D" w:rsidRPr="00EF72E4" w:rsidRDefault="003C227D" w:rsidP="004C4FDF">
            <w:pPr>
              <w:spacing w:before="50" w:after="60" w:line="240" w:lineRule="atLeast"/>
              <w:jc w:val="center"/>
              <w:rPr>
                <w:rFonts w:ascii="Arial" w:hAnsi="Arial" w:cs="Arial"/>
                <w:b/>
                <w:sz w:val="16"/>
                <w:szCs w:val="16"/>
              </w:rPr>
            </w:pPr>
            <w:r w:rsidRPr="00EF72E4">
              <w:rPr>
                <w:rFonts w:ascii="Arial" w:hAnsi="Arial" w:cs="Arial"/>
                <w:b/>
                <w:sz w:val="16"/>
                <w:szCs w:val="16"/>
              </w:rPr>
              <w:t>Mercury Inputs, kg/year</w:t>
            </w:r>
          </w:p>
        </w:tc>
        <w:tc>
          <w:tcPr>
            <w:tcW w:w="8788" w:type="dxa"/>
            <w:gridSpan w:val="5"/>
            <w:vAlign w:val="center"/>
          </w:tcPr>
          <w:p w14:paraId="13F1A9E5" w14:textId="77777777" w:rsidR="003C227D" w:rsidRPr="00EF72E4" w:rsidRDefault="003C227D" w:rsidP="004C4FDF">
            <w:pPr>
              <w:spacing w:before="50" w:after="60" w:line="240" w:lineRule="atLeast"/>
              <w:jc w:val="center"/>
              <w:rPr>
                <w:rFonts w:ascii="Arial" w:hAnsi="Arial" w:cs="Arial"/>
                <w:b/>
                <w:sz w:val="16"/>
                <w:szCs w:val="16"/>
              </w:rPr>
            </w:pPr>
            <w:r w:rsidRPr="00EF72E4">
              <w:rPr>
                <w:rFonts w:ascii="Arial" w:hAnsi="Arial" w:cs="Arial"/>
                <w:b/>
                <w:sz w:val="16"/>
                <w:szCs w:val="16"/>
              </w:rPr>
              <w:t>Mercury Outputs, kg/yr</w:t>
            </w:r>
          </w:p>
        </w:tc>
      </w:tr>
      <w:tr w:rsidR="003C227D" w:rsidRPr="00EF72E4" w14:paraId="130F09BC" w14:textId="77777777" w:rsidTr="00975470">
        <w:trPr>
          <w:tblHeader/>
        </w:trPr>
        <w:tc>
          <w:tcPr>
            <w:tcW w:w="3261" w:type="dxa"/>
            <w:vMerge/>
            <w:vAlign w:val="center"/>
          </w:tcPr>
          <w:p w14:paraId="1F5E3668" w14:textId="77777777" w:rsidR="003C227D" w:rsidRPr="00EF72E4" w:rsidRDefault="003C227D" w:rsidP="004C4FDF">
            <w:pPr>
              <w:spacing w:before="50" w:after="60" w:line="240" w:lineRule="atLeast"/>
              <w:jc w:val="center"/>
              <w:rPr>
                <w:rFonts w:ascii="Arial" w:hAnsi="Arial" w:cs="Arial"/>
                <w:b/>
                <w:sz w:val="16"/>
                <w:szCs w:val="16"/>
              </w:rPr>
            </w:pPr>
          </w:p>
        </w:tc>
        <w:tc>
          <w:tcPr>
            <w:tcW w:w="2126" w:type="dxa"/>
            <w:vMerge/>
            <w:vAlign w:val="center"/>
          </w:tcPr>
          <w:p w14:paraId="7C5A00CE" w14:textId="77777777" w:rsidR="003C227D" w:rsidRPr="00EF72E4" w:rsidRDefault="003C227D" w:rsidP="004C4FDF">
            <w:pPr>
              <w:spacing w:before="50" w:after="60" w:line="240" w:lineRule="atLeast"/>
              <w:jc w:val="center"/>
              <w:rPr>
                <w:rFonts w:ascii="Arial" w:hAnsi="Arial" w:cs="Arial"/>
                <w:b/>
                <w:sz w:val="16"/>
                <w:szCs w:val="16"/>
              </w:rPr>
            </w:pPr>
          </w:p>
        </w:tc>
        <w:tc>
          <w:tcPr>
            <w:tcW w:w="1871" w:type="dxa"/>
            <w:vAlign w:val="center"/>
          </w:tcPr>
          <w:p w14:paraId="23DDD48D" w14:textId="77777777" w:rsidR="003C227D" w:rsidRPr="00EF72E4" w:rsidRDefault="003C227D" w:rsidP="004C4FDF">
            <w:pPr>
              <w:spacing w:before="50" w:after="60" w:line="240" w:lineRule="atLeast"/>
              <w:jc w:val="center"/>
              <w:rPr>
                <w:rFonts w:ascii="Arial" w:hAnsi="Arial" w:cs="Arial"/>
                <w:b/>
                <w:sz w:val="16"/>
                <w:szCs w:val="16"/>
              </w:rPr>
            </w:pPr>
            <w:r w:rsidRPr="00EF72E4">
              <w:rPr>
                <w:rFonts w:ascii="Arial" w:hAnsi="Arial" w:cs="Arial"/>
                <w:b/>
                <w:sz w:val="16"/>
                <w:szCs w:val="16"/>
              </w:rPr>
              <w:t>Air</w:t>
            </w:r>
          </w:p>
        </w:tc>
        <w:tc>
          <w:tcPr>
            <w:tcW w:w="1701" w:type="dxa"/>
            <w:vAlign w:val="center"/>
          </w:tcPr>
          <w:p w14:paraId="102FE67D" w14:textId="77777777" w:rsidR="003C227D" w:rsidRPr="00EF72E4" w:rsidRDefault="003C227D" w:rsidP="004C4FDF">
            <w:pPr>
              <w:spacing w:before="50" w:after="60" w:line="240" w:lineRule="atLeast"/>
              <w:jc w:val="center"/>
              <w:rPr>
                <w:rFonts w:ascii="Arial" w:hAnsi="Arial" w:cs="Arial"/>
                <w:b/>
                <w:sz w:val="16"/>
                <w:szCs w:val="16"/>
              </w:rPr>
            </w:pPr>
            <w:r w:rsidRPr="00EF72E4">
              <w:rPr>
                <w:rFonts w:ascii="Arial" w:hAnsi="Arial" w:cs="Arial"/>
                <w:b/>
                <w:sz w:val="16"/>
                <w:szCs w:val="16"/>
              </w:rPr>
              <w:t>Water</w:t>
            </w:r>
          </w:p>
        </w:tc>
        <w:tc>
          <w:tcPr>
            <w:tcW w:w="1701" w:type="dxa"/>
            <w:vAlign w:val="center"/>
          </w:tcPr>
          <w:p w14:paraId="18AA04E8" w14:textId="77777777" w:rsidR="003C227D" w:rsidRPr="00EF72E4" w:rsidRDefault="003C227D" w:rsidP="004C4FDF">
            <w:pPr>
              <w:spacing w:before="50" w:after="60" w:line="240" w:lineRule="atLeast"/>
              <w:jc w:val="center"/>
              <w:rPr>
                <w:rFonts w:ascii="Arial" w:hAnsi="Arial" w:cs="Arial"/>
                <w:b/>
                <w:sz w:val="16"/>
                <w:szCs w:val="16"/>
              </w:rPr>
            </w:pPr>
            <w:r w:rsidRPr="00EF72E4">
              <w:rPr>
                <w:rFonts w:ascii="Arial" w:hAnsi="Arial" w:cs="Arial"/>
                <w:b/>
                <w:sz w:val="16"/>
                <w:szCs w:val="16"/>
              </w:rPr>
              <w:t>Land</w:t>
            </w:r>
          </w:p>
        </w:tc>
        <w:tc>
          <w:tcPr>
            <w:tcW w:w="1843" w:type="dxa"/>
            <w:vAlign w:val="center"/>
          </w:tcPr>
          <w:p w14:paraId="4D8AF44C" w14:textId="77777777" w:rsidR="003C227D" w:rsidRPr="00EF72E4" w:rsidRDefault="003C227D" w:rsidP="004C4FDF">
            <w:pPr>
              <w:spacing w:before="50" w:after="60" w:line="240" w:lineRule="atLeast"/>
              <w:jc w:val="center"/>
              <w:rPr>
                <w:rFonts w:ascii="Arial" w:hAnsi="Arial" w:cs="Arial"/>
                <w:b/>
                <w:sz w:val="16"/>
                <w:szCs w:val="16"/>
              </w:rPr>
            </w:pPr>
            <w:r w:rsidRPr="00EF72E4">
              <w:rPr>
                <w:rFonts w:ascii="Arial" w:hAnsi="Arial" w:cs="Arial"/>
                <w:b/>
                <w:sz w:val="16"/>
                <w:szCs w:val="16"/>
              </w:rPr>
              <w:t>Product</w:t>
            </w:r>
          </w:p>
        </w:tc>
        <w:tc>
          <w:tcPr>
            <w:tcW w:w="1672" w:type="dxa"/>
            <w:vAlign w:val="center"/>
          </w:tcPr>
          <w:p w14:paraId="66CAF467" w14:textId="77777777" w:rsidR="003C227D" w:rsidRPr="00EF72E4" w:rsidRDefault="003C227D" w:rsidP="004C4FDF">
            <w:pPr>
              <w:spacing w:before="50" w:after="60" w:line="240" w:lineRule="atLeast"/>
              <w:jc w:val="center"/>
              <w:rPr>
                <w:rFonts w:ascii="Arial" w:hAnsi="Arial" w:cs="Arial"/>
                <w:b/>
                <w:sz w:val="16"/>
                <w:szCs w:val="16"/>
              </w:rPr>
            </w:pPr>
            <w:r w:rsidRPr="00EF72E4">
              <w:rPr>
                <w:rFonts w:ascii="Arial" w:hAnsi="Arial" w:cs="Arial"/>
                <w:b/>
                <w:sz w:val="16"/>
                <w:szCs w:val="16"/>
              </w:rPr>
              <w:t>Waste</w:t>
            </w:r>
          </w:p>
        </w:tc>
      </w:tr>
      <w:tr w:rsidR="006C5BDB" w:rsidRPr="00EF72E4" w14:paraId="28325210" w14:textId="77777777" w:rsidTr="00975470">
        <w:tc>
          <w:tcPr>
            <w:tcW w:w="3261" w:type="dxa"/>
            <w:vAlign w:val="center"/>
          </w:tcPr>
          <w:p w14:paraId="42F51D81" w14:textId="77777777" w:rsidR="006C5BDB" w:rsidRPr="00EF72E4" w:rsidRDefault="006C5BDB" w:rsidP="006C5BDB">
            <w:pPr>
              <w:spacing w:before="50" w:after="60" w:line="240" w:lineRule="atLeast"/>
              <w:rPr>
                <w:rFonts w:ascii="Arial" w:hAnsi="Arial" w:cs="Arial"/>
                <w:sz w:val="16"/>
                <w:szCs w:val="16"/>
              </w:rPr>
            </w:pPr>
            <w:r w:rsidRPr="00EF72E4">
              <w:rPr>
                <w:rFonts w:ascii="Arial" w:hAnsi="Arial" w:cs="Arial"/>
                <w:sz w:val="16"/>
                <w:szCs w:val="16"/>
              </w:rPr>
              <w:t>Coal – large power plants</w:t>
            </w:r>
          </w:p>
        </w:tc>
        <w:tc>
          <w:tcPr>
            <w:tcW w:w="2126" w:type="dxa"/>
            <w:vAlign w:val="center"/>
          </w:tcPr>
          <w:p w14:paraId="5079BE25" w14:textId="1B95EBE7" w:rsidR="006C5BDB" w:rsidRPr="00EF72E4" w:rsidRDefault="006C5BDB" w:rsidP="006C5BDB">
            <w:pPr>
              <w:spacing w:line="300" w:lineRule="atLeast"/>
              <w:jc w:val="center"/>
              <w:rPr>
                <w:rFonts w:ascii="Arial" w:hAnsi="Arial" w:cs="Arial"/>
                <w:sz w:val="16"/>
                <w:szCs w:val="16"/>
              </w:rPr>
            </w:pPr>
            <w:r w:rsidRPr="00EF72E4">
              <w:rPr>
                <w:rFonts w:ascii="Arial" w:hAnsi="Arial" w:cs="Arial"/>
                <w:sz w:val="16"/>
                <w:szCs w:val="16"/>
              </w:rPr>
              <w:t>17.4 – 165 (91.</w:t>
            </w:r>
            <w:r w:rsidR="009662DE">
              <w:rPr>
                <w:rFonts w:ascii="Arial" w:hAnsi="Arial" w:cs="Arial"/>
                <w:sz w:val="16"/>
                <w:szCs w:val="16"/>
              </w:rPr>
              <w:t>4</w:t>
            </w:r>
            <w:r w:rsidRPr="00EF72E4">
              <w:rPr>
                <w:rFonts w:ascii="Arial" w:hAnsi="Arial" w:cs="Arial"/>
                <w:sz w:val="16"/>
                <w:szCs w:val="16"/>
              </w:rPr>
              <w:t>)</w:t>
            </w:r>
          </w:p>
        </w:tc>
        <w:tc>
          <w:tcPr>
            <w:tcW w:w="1871" w:type="dxa"/>
            <w:vAlign w:val="center"/>
          </w:tcPr>
          <w:p w14:paraId="69807AF0" w14:textId="59F56A79" w:rsidR="006C5BDB" w:rsidRPr="00EF72E4" w:rsidRDefault="006C5BDB" w:rsidP="006C5BDB">
            <w:pPr>
              <w:spacing w:line="300" w:lineRule="atLeast"/>
              <w:jc w:val="center"/>
              <w:rPr>
                <w:rFonts w:ascii="Arial" w:hAnsi="Arial" w:cs="Arial"/>
                <w:sz w:val="16"/>
                <w:szCs w:val="16"/>
              </w:rPr>
            </w:pPr>
            <w:r w:rsidRPr="00EF72E4">
              <w:rPr>
                <w:rFonts w:ascii="Arial" w:hAnsi="Arial" w:cs="Arial"/>
                <w:sz w:val="16"/>
                <w:szCs w:val="16"/>
              </w:rPr>
              <w:t>15.668 – 148.847 (82.</w:t>
            </w:r>
            <w:r w:rsidR="009662DE">
              <w:rPr>
                <w:rFonts w:ascii="Arial" w:hAnsi="Arial" w:cs="Arial"/>
                <w:sz w:val="16"/>
                <w:szCs w:val="16"/>
              </w:rPr>
              <w:t>3</w:t>
            </w:r>
            <w:r w:rsidRPr="00EF72E4">
              <w:rPr>
                <w:rFonts w:ascii="Arial" w:hAnsi="Arial" w:cs="Arial"/>
                <w:sz w:val="16"/>
                <w:szCs w:val="16"/>
              </w:rPr>
              <w:t>)</w:t>
            </w:r>
          </w:p>
        </w:tc>
        <w:tc>
          <w:tcPr>
            <w:tcW w:w="1701" w:type="dxa"/>
            <w:vAlign w:val="center"/>
          </w:tcPr>
          <w:p w14:paraId="00F93FCE" w14:textId="514B8C31" w:rsidR="006C5BDB" w:rsidRPr="00EF72E4" w:rsidRDefault="006C5BDB" w:rsidP="006C5BDB">
            <w:pPr>
              <w:spacing w:line="300" w:lineRule="atLeast"/>
              <w:jc w:val="center"/>
              <w:rPr>
                <w:rFonts w:ascii="Arial" w:hAnsi="Arial" w:cs="Arial"/>
                <w:sz w:val="16"/>
                <w:szCs w:val="16"/>
              </w:rPr>
            </w:pPr>
            <w:r w:rsidRPr="00EF72E4">
              <w:rPr>
                <w:rFonts w:ascii="Arial" w:hAnsi="Arial" w:cs="Arial"/>
                <w:sz w:val="16"/>
                <w:szCs w:val="16"/>
              </w:rPr>
              <w:t>-</w:t>
            </w:r>
          </w:p>
        </w:tc>
        <w:tc>
          <w:tcPr>
            <w:tcW w:w="1701" w:type="dxa"/>
          </w:tcPr>
          <w:p w14:paraId="7511638D" w14:textId="1807A303" w:rsidR="006C5BDB" w:rsidRPr="00EF72E4" w:rsidRDefault="006C5BDB" w:rsidP="006C5BDB">
            <w:pPr>
              <w:spacing w:line="300" w:lineRule="atLeast"/>
              <w:jc w:val="center"/>
              <w:rPr>
                <w:rFonts w:ascii="Arial" w:hAnsi="Arial" w:cs="Arial"/>
                <w:sz w:val="16"/>
                <w:szCs w:val="16"/>
              </w:rPr>
            </w:pPr>
            <w:r w:rsidRPr="00EF72E4">
              <w:rPr>
                <w:rFonts w:ascii="Arial" w:hAnsi="Arial" w:cs="Arial"/>
                <w:sz w:val="16"/>
                <w:szCs w:val="16"/>
              </w:rPr>
              <w:t>1.7 – 16.5 (9.1)</w:t>
            </w:r>
          </w:p>
        </w:tc>
        <w:tc>
          <w:tcPr>
            <w:tcW w:w="1843" w:type="dxa"/>
            <w:vAlign w:val="center"/>
          </w:tcPr>
          <w:p w14:paraId="37250E63" w14:textId="538FCC65" w:rsidR="006C5BDB" w:rsidRPr="00EF72E4" w:rsidRDefault="006C5BDB" w:rsidP="006C5BDB">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23A5BC37" w14:textId="1525ABDB" w:rsidR="006C5BDB" w:rsidRPr="00EF72E4" w:rsidRDefault="006C5BDB" w:rsidP="006C5BDB">
            <w:pPr>
              <w:spacing w:before="50" w:after="60" w:line="240" w:lineRule="atLeast"/>
              <w:jc w:val="center"/>
              <w:rPr>
                <w:rFonts w:ascii="Arial" w:hAnsi="Arial" w:cs="Arial"/>
                <w:sz w:val="16"/>
                <w:szCs w:val="16"/>
              </w:rPr>
            </w:pPr>
            <w:r w:rsidRPr="00EF72E4">
              <w:rPr>
                <w:rFonts w:ascii="Arial" w:hAnsi="Arial" w:cs="Arial"/>
                <w:sz w:val="16"/>
                <w:szCs w:val="16"/>
              </w:rPr>
              <w:t>-</w:t>
            </w:r>
          </w:p>
        </w:tc>
      </w:tr>
      <w:tr w:rsidR="006C5BDB" w:rsidRPr="00EF72E4" w14:paraId="4DF5FD69" w14:textId="77777777" w:rsidTr="00975470">
        <w:tc>
          <w:tcPr>
            <w:tcW w:w="3261" w:type="dxa"/>
            <w:vAlign w:val="center"/>
          </w:tcPr>
          <w:p w14:paraId="2D82FF9D" w14:textId="77777777" w:rsidR="006C5BDB" w:rsidRPr="00EF72E4" w:rsidRDefault="006C5BDB" w:rsidP="006C5BDB">
            <w:pPr>
              <w:spacing w:before="50" w:after="60" w:line="240" w:lineRule="atLeast"/>
              <w:rPr>
                <w:rFonts w:ascii="Arial" w:hAnsi="Arial" w:cs="Arial"/>
                <w:sz w:val="16"/>
                <w:szCs w:val="16"/>
              </w:rPr>
            </w:pPr>
            <w:r w:rsidRPr="00EF72E4">
              <w:rPr>
                <w:rFonts w:ascii="Arial" w:hAnsi="Arial" w:cs="Arial"/>
                <w:sz w:val="16"/>
                <w:szCs w:val="16"/>
              </w:rPr>
              <w:t>Other coal combustion</w:t>
            </w:r>
          </w:p>
        </w:tc>
        <w:tc>
          <w:tcPr>
            <w:tcW w:w="2126" w:type="dxa"/>
            <w:vAlign w:val="center"/>
          </w:tcPr>
          <w:p w14:paraId="1594EEAC" w14:textId="3668B663" w:rsidR="006C5BDB" w:rsidRPr="00EF72E4" w:rsidRDefault="006C5BDB" w:rsidP="006C5BDB">
            <w:pPr>
              <w:spacing w:line="300" w:lineRule="atLeast"/>
              <w:jc w:val="center"/>
              <w:rPr>
                <w:rFonts w:ascii="Arial" w:hAnsi="Arial" w:cs="Arial"/>
                <w:bCs/>
                <w:sz w:val="16"/>
                <w:szCs w:val="16"/>
              </w:rPr>
            </w:pPr>
            <w:r w:rsidRPr="00EF72E4">
              <w:rPr>
                <w:rFonts w:ascii="Arial" w:hAnsi="Arial" w:cs="Arial"/>
                <w:bCs/>
                <w:sz w:val="16"/>
                <w:szCs w:val="16"/>
              </w:rPr>
              <w:t>2</w:t>
            </w:r>
            <w:r w:rsidR="00887D0A">
              <w:rPr>
                <w:rFonts w:ascii="Arial" w:hAnsi="Arial" w:cs="Arial"/>
                <w:bCs/>
                <w:sz w:val="16"/>
                <w:szCs w:val="16"/>
              </w:rPr>
              <w:t>9.9</w:t>
            </w:r>
            <w:r w:rsidRPr="00EF72E4">
              <w:rPr>
                <w:rFonts w:ascii="Arial" w:hAnsi="Arial" w:cs="Arial"/>
                <w:bCs/>
                <w:sz w:val="16"/>
                <w:szCs w:val="16"/>
              </w:rPr>
              <w:t xml:space="preserve"> – 1</w:t>
            </w:r>
            <w:r w:rsidR="00887D0A">
              <w:rPr>
                <w:rFonts w:ascii="Arial" w:hAnsi="Arial" w:cs="Arial"/>
                <w:bCs/>
                <w:sz w:val="16"/>
                <w:szCs w:val="16"/>
              </w:rPr>
              <w:t>11.6</w:t>
            </w:r>
            <w:r w:rsidRPr="00EF72E4">
              <w:rPr>
                <w:rFonts w:ascii="Arial" w:hAnsi="Arial" w:cs="Arial"/>
                <w:bCs/>
                <w:sz w:val="16"/>
                <w:szCs w:val="16"/>
              </w:rPr>
              <w:t xml:space="preserve"> (</w:t>
            </w:r>
            <w:r w:rsidR="00887D0A">
              <w:rPr>
                <w:rFonts w:ascii="Arial" w:hAnsi="Arial" w:cs="Arial"/>
                <w:bCs/>
                <w:sz w:val="16"/>
                <w:szCs w:val="16"/>
              </w:rPr>
              <w:t>70.</w:t>
            </w:r>
            <w:r w:rsidR="0071660B">
              <w:rPr>
                <w:rFonts w:ascii="Arial" w:hAnsi="Arial" w:cs="Arial"/>
                <w:bCs/>
                <w:sz w:val="16"/>
                <w:szCs w:val="16"/>
              </w:rPr>
              <w:t>7</w:t>
            </w:r>
            <w:r w:rsidRPr="00EF72E4">
              <w:rPr>
                <w:rFonts w:ascii="Arial" w:hAnsi="Arial" w:cs="Arial"/>
                <w:bCs/>
                <w:sz w:val="16"/>
                <w:szCs w:val="16"/>
              </w:rPr>
              <w:t>)</w:t>
            </w:r>
          </w:p>
        </w:tc>
        <w:tc>
          <w:tcPr>
            <w:tcW w:w="1871" w:type="dxa"/>
            <w:vAlign w:val="center"/>
          </w:tcPr>
          <w:p w14:paraId="0D94FEA6" w14:textId="572D2E99" w:rsidR="006C5BDB" w:rsidRPr="00EF72E4" w:rsidRDefault="006C5BDB" w:rsidP="006C5BDB">
            <w:pPr>
              <w:spacing w:line="300" w:lineRule="atLeast"/>
              <w:jc w:val="center"/>
              <w:rPr>
                <w:rFonts w:ascii="Arial" w:hAnsi="Arial" w:cs="Arial"/>
                <w:bCs/>
                <w:sz w:val="16"/>
                <w:szCs w:val="16"/>
              </w:rPr>
            </w:pPr>
            <w:r w:rsidRPr="00EF72E4">
              <w:rPr>
                <w:rFonts w:ascii="Arial" w:hAnsi="Arial" w:cs="Arial"/>
                <w:bCs/>
                <w:sz w:val="16"/>
                <w:szCs w:val="16"/>
              </w:rPr>
              <w:t>2</w:t>
            </w:r>
            <w:r w:rsidR="0071660B">
              <w:rPr>
                <w:rFonts w:ascii="Arial" w:hAnsi="Arial" w:cs="Arial"/>
                <w:bCs/>
                <w:sz w:val="16"/>
                <w:szCs w:val="16"/>
              </w:rPr>
              <w:t>8</w:t>
            </w:r>
            <w:r w:rsidRPr="00EF72E4">
              <w:rPr>
                <w:rFonts w:ascii="Arial" w:hAnsi="Arial" w:cs="Arial"/>
                <w:bCs/>
                <w:sz w:val="16"/>
                <w:szCs w:val="16"/>
              </w:rPr>
              <w:t>.4 – 10</w:t>
            </w:r>
            <w:r w:rsidR="009662DE">
              <w:rPr>
                <w:rFonts w:ascii="Arial" w:hAnsi="Arial" w:cs="Arial"/>
                <w:bCs/>
                <w:sz w:val="16"/>
                <w:szCs w:val="16"/>
              </w:rPr>
              <w:t>3</w:t>
            </w:r>
            <w:r w:rsidR="0071660B">
              <w:rPr>
                <w:rFonts w:ascii="Arial" w:hAnsi="Arial" w:cs="Arial"/>
                <w:bCs/>
                <w:sz w:val="16"/>
                <w:szCs w:val="16"/>
              </w:rPr>
              <w:t>6</w:t>
            </w:r>
            <w:r w:rsidRPr="00EF72E4">
              <w:rPr>
                <w:rFonts w:ascii="Arial" w:hAnsi="Arial" w:cs="Arial"/>
                <w:bCs/>
                <w:sz w:val="16"/>
                <w:szCs w:val="16"/>
              </w:rPr>
              <w:t xml:space="preserve"> (6</w:t>
            </w:r>
            <w:r w:rsidR="0071660B">
              <w:rPr>
                <w:rFonts w:ascii="Arial" w:hAnsi="Arial" w:cs="Arial"/>
                <w:bCs/>
                <w:sz w:val="16"/>
                <w:szCs w:val="16"/>
              </w:rPr>
              <w:t>7.2</w:t>
            </w:r>
            <w:r w:rsidRPr="00EF72E4">
              <w:rPr>
                <w:rFonts w:ascii="Arial" w:hAnsi="Arial" w:cs="Arial"/>
                <w:bCs/>
                <w:sz w:val="16"/>
                <w:szCs w:val="16"/>
              </w:rPr>
              <w:t>)</w:t>
            </w:r>
          </w:p>
        </w:tc>
        <w:tc>
          <w:tcPr>
            <w:tcW w:w="1701" w:type="dxa"/>
            <w:vAlign w:val="center"/>
          </w:tcPr>
          <w:p w14:paraId="27F9E8B1" w14:textId="79A86C99" w:rsidR="006C5BDB" w:rsidRPr="00EF72E4" w:rsidRDefault="006C5BDB" w:rsidP="006C5BDB">
            <w:pPr>
              <w:spacing w:before="50" w:after="60" w:line="240" w:lineRule="atLeast"/>
              <w:jc w:val="center"/>
              <w:rPr>
                <w:rFonts w:ascii="Arial" w:hAnsi="Arial" w:cs="Arial"/>
                <w:bCs/>
                <w:sz w:val="16"/>
                <w:szCs w:val="16"/>
              </w:rPr>
            </w:pPr>
          </w:p>
        </w:tc>
        <w:tc>
          <w:tcPr>
            <w:tcW w:w="1701" w:type="dxa"/>
            <w:vAlign w:val="center"/>
          </w:tcPr>
          <w:p w14:paraId="3960A598" w14:textId="3B2B6F1D" w:rsidR="006C5BDB" w:rsidRPr="00EF72E4" w:rsidRDefault="006C5BDB" w:rsidP="006C5BDB">
            <w:pPr>
              <w:spacing w:before="50" w:after="60" w:line="240" w:lineRule="atLeast"/>
              <w:jc w:val="center"/>
              <w:rPr>
                <w:rFonts w:ascii="Arial" w:hAnsi="Arial" w:cs="Arial"/>
                <w:bCs/>
                <w:sz w:val="16"/>
                <w:szCs w:val="16"/>
              </w:rPr>
            </w:pPr>
            <w:r w:rsidRPr="00EF72E4">
              <w:rPr>
                <w:rFonts w:ascii="Arial" w:hAnsi="Arial" w:cs="Arial"/>
                <w:bCs/>
                <w:sz w:val="16"/>
                <w:szCs w:val="16"/>
              </w:rPr>
              <w:t>-</w:t>
            </w:r>
          </w:p>
        </w:tc>
        <w:tc>
          <w:tcPr>
            <w:tcW w:w="1843" w:type="dxa"/>
            <w:vAlign w:val="center"/>
          </w:tcPr>
          <w:p w14:paraId="4BBD8326" w14:textId="561E16AC" w:rsidR="006C5BDB" w:rsidRPr="00EF72E4" w:rsidRDefault="006C5BDB" w:rsidP="006C5BDB">
            <w:pPr>
              <w:spacing w:before="50" w:after="60" w:line="240" w:lineRule="atLeast"/>
              <w:jc w:val="center"/>
              <w:rPr>
                <w:rFonts w:ascii="Arial" w:hAnsi="Arial" w:cs="Arial"/>
                <w:bCs/>
                <w:sz w:val="16"/>
                <w:szCs w:val="16"/>
              </w:rPr>
            </w:pPr>
            <w:r w:rsidRPr="00EF72E4">
              <w:rPr>
                <w:rFonts w:ascii="Arial" w:hAnsi="Arial" w:cs="Arial"/>
                <w:bCs/>
                <w:sz w:val="16"/>
                <w:szCs w:val="16"/>
              </w:rPr>
              <w:t>-</w:t>
            </w:r>
          </w:p>
        </w:tc>
        <w:tc>
          <w:tcPr>
            <w:tcW w:w="1672" w:type="dxa"/>
            <w:vAlign w:val="center"/>
          </w:tcPr>
          <w:p w14:paraId="405D14DB" w14:textId="7151164D" w:rsidR="006C5BDB" w:rsidRPr="00EF72E4" w:rsidRDefault="006C5BDB" w:rsidP="006C5BDB">
            <w:pPr>
              <w:spacing w:before="50" w:after="60" w:line="240" w:lineRule="atLeast"/>
              <w:jc w:val="center"/>
              <w:rPr>
                <w:rFonts w:ascii="Arial" w:hAnsi="Arial" w:cs="Arial"/>
                <w:bCs/>
                <w:sz w:val="16"/>
                <w:szCs w:val="16"/>
              </w:rPr>
            </w:pPr>
            <w:r w:rsidRPr="00EF72E4">
              <w:rPr>
                <w:rFonts w:ascii="Arial" w:hAnsi="Arial" w:cs="Arial"/>
                <w:bCs/>
                <w:sz w:val="16"/>
                <w:szCs w:val="16"/>
              </w:rPr>
              <w:t>1.</w:t>
            </w:r>
            <w:r w:rsidR="0071660B">
              <w:rPr>
                <w:rFonts w:ascii="Arial" w:hAnsi="Arial" w:cs="Arial"/>
                <w:bCs/>
                <w:sz w:val="16"/>
                <w:szCs w:val="16"/>
              </w:rPr>
              <w:t>5</w:t>
            </w:r>
            <w:r w:rsidRPr="00EF72E4">
              <w:rPr>
                <w:rFonts w:ascii="Arial" w:hAnsi="Arial" w:cs="Arial"/>
                <w:bCs/>
                <w:sz w:val="16"/>
                <w:szCs w:val="16"/>
              </w:rPr>
              <w:t xml:space="preserve"> – 5.</w:t>
            </w:r>
            <w:r w:rsidR="0071660B">
              <w:rPr>
                <w:rFonts w:ascii="Arial" w:hAnsi="Arial" w:cs="Arial"/>
                <w:bCs/>
                <w:sz w:val="16"/>
                <w:szCs w:val="16"/>
              </w:rPr>
              <w:t>6</w:t>
            </w:r>
            <w:r w:rsidRPr="00EF72E4">
              <w:rPr>
                <w:rFonts w:ascii="Arial" w:hAnsi="Arial" w:cs="Arial"/>
                <w:bCs/>
                <w:sz w:val="16"/>
                <w:szCs w:val="16"/>
              </w:rPr>
              <w:t xml:space="preserve"> (3.</w:t>
            </w:r>
            <w:r w:rsidR="0071660B">
              <w:rPr>
                <w:rFonts w:ascii="Arial" w:hAnsi="Arial" w:cs="Arial"/>
                <w:bCs/>
                <w:sz w:val="16"/>
                <w:szCs w:val="16"/>
              </w:rPr>
              <w:t>5</w:t>
            </w:r>
            <w:r w:rsidRPr="00EF72E4">
              <w:rPr>
                <w:rFonts w:ascii="Arial" w:hAnsi="Arial" w:cs="Arial"/>
                <w:bCs/>
                <w:sz w:val="16"/>
                <w:szCs w:val="16"/>
              </w:rPr>
              <w:t>)</w:t>
            </w:r>
          </w:p>
        </w:tc>
      </w:tr>
      <w:tr w:rsidR="006C5BDB" w:rsidRPr="00EF72E4" w14:paraId="401B890A" w14:textId="77777777" w:rsidTr="00975470">
        <w:tc>
          <w:tcPr>
            <w:tcW w:w="3261" w:type="dxa"/>
            <w:vAlign w:val="center"/>
          </w:tcPr>
          <w:p w14:paraId="7107758A" w14:textId="77777777" w:rsidR="006C5BDB" w:rsidRPr="00EF72E4" w:rsidRDefault="006C5BDB" w:rsidP="006C5BDB">
            <w:pPr>
              <w:spacing w:before="50" w:after="60" w:line="240" w:lineRule="atLeast"/>
              <w:rPr>
                <w:rFonts w:ascii="Arial" w:hAnsi="Arial" w:cs="Arial"/>
                <w:sz w:val="16"/>
                <w:szCs w:val="16"/>
              </w:rPr>
            </w:pPr>
            <w:r w:rsidRPr="00EF72E4">
              <w:rPr>
                <w:rFonts w:ascii="Arial" w:hAnsi="Arial" w:cs="Arial"/>
                <w:sz w:val="16"/>
                <w:szCs w:val="16"/>
              </w:rPr>
              <w:t>Oil extraction, refining and use</w:t>
            </w:r>
          </w:p>
        </w:tc>
        <w:tc>
          <w:tcPr>
            <w:tcW w:w="2126" w:type="dxa"/>
            <w:vAlign w:val="center"/>
          </w:tcPr>
          <w:p w14:paraId="46352B84" w14:textId="218B1A27" w:rsidR="006C5BDB" w:rsidRPr="00EF72E4" w:rsidRDefault="006C5BDB" w:rsidP="006C5BDB">
            <w:pPr>
              <w:spacing w:before="50" w:after="60" w:line="240" w:lineRule="atLeast"/>
              <w:jc w:val="center"/>
              <w:rPr>
                <w:rFonts w:ascii="Arial" w:hAnsi="Arial" w:cs="Arial"/>
                <w:bCs/>
                <w:sz w:val="16"/>
                <w:szCs w:val="16"/>
              </w:rPr>
            </w:pPr>
            <w:r w:rsidRPr="00EF72E4">
              <w:rPr>
                <w:rFonts w:ascii="Arial" w:hAnsi="Arial" w:cs="Arial"/>
                <w:bCs/>
                <w:sz w:val="16"/>
                <w:szCs w:val="16"/>
              </w:rPr>
              <w:t>20.4</w:t>
            </w:r>
          </w:p>
        </w:tc>
        <w:tc>
          <w:tcPr>
            <w:tcW w:w="1871" w:type="dxa"/>
            <w:vAlign w:val="center"/>
          </w:tcPr>
          <w:p w14:paraId="00D32E84" w14:textId="7076FEEA" w:rsidR="006C5BDB" w:rsidRPr="00EF72E4" w:rsidRDefault="006C5BDB" w:rsidP="006C5BDB">
            <w:pPr>
              <w:spacing w:before="50" w:after="60" w:line="240" w:lineRule="atLeast"/>
              <w:jc w:val="center"/>
              <w:rPr>
                <w:rFonts w:ascii="Arial" w:hAnsi="Arial" w:cs="Arial"/>
                <w:bCs/>
                <w:sz w:val="16"/>
                <w:szCs w:val="16"/>
              </w:rPr>
            </w:pPr>
            <w:r w:rsidRPr="00EF72E4">
              <w:rPr>
                <w:rFonts w:ascii="Arial" w:hAnsi="Arial" w:cs="Arial"/>
                <w:bCs/>
                <w:sz w:val="16"/>
                <w:szCs w:val="16"/>
              </w:rPr>
              <w:t>19.8</w:t>
            </w:r>
          </w:p>
        </w:tc>
        <w:tc>
          <w:tcPr>
            <w:tcW w:w="1701" w:type="dxa"/>
          </w:tcPr>
          <w:p w14:paraId="40AC1CF9" w14:textId="3E94E08D" w:rsidR="006C5BDB" w:rsidRPr="00EF72E4" w:rsidRDefault="006C5BDB" w:rsidP="006C5BDB">
            <w:pPr>
              <w:spacing w:before="50" w:after="60" w:line="240" w:lineRule="atLeast"/>
              <w:jc w:val="center"/>
              <w:rPr>
                <w:rFonts w:ascii="Arial" w:hAnsi="Arial" w:cs="Arial"/>
                <w:bCs/>
                <w:sz w:val="16"/>
                <w:szCs w:val="16"/>
              </w:rPr>
            </w:pPr>
          </w:p>
        </w:tc>
        <w:tc>
          <w:tcPr>
            <w:tcW w:w="1701" w:type="dxa"/>
          </w:tcPr>
          <w:p w14:paraId="25E05DF1" w14:textId="01BC4B25" w:rsidR="006C5BDB" w:rsidRPr="00EF72E4" w:rsidRDefault="006C5BDB" w:rsidP="006C5BDB">
            <w:pPr>
              <w:spacing w:before="50" w:after="60" w:line="240" w:lineRule="atLeast"/>
              <w:jc w:val="center"/>
              <w:rPr>
                <w:rFonts w:ascii="Arial" w:hAnsi="Arial" w:cs="Arial"/>
                <w:bCs/>
                <w:sz w:val="16"/>
                <w:szCs w:val="16"/>
              </w:rPr>
            </w:pPr>
            <w:r w:rsidRPr="00EF72E4">
              <w:rPr>
                <w:rFonts w:ascii="Arial" w:hAnsi="Arial" w:cs="Arial"/>
                <w:bCs/>
                <w:sz w:val="16"/>
                <w:szCs w:val="16"/>
              </w:rPr>
              <w:t>0.5</w:t>
            </w:r>
            <w:r w:rsidR="009662DE">
              <w:rPr>
                <w:rFonts w:ascii="Arial" w:hAnsi="Arial" w:cs="Arial"/>
                <w:bCs/>
                <w:sz w:val="16"/>
                <w:szCs w:val="16"/>
              </w:rPr>
              <w:t>7</w:t>
            </w:r>
          </w:p>
        </w:tc>
        <w:tc>
          <w:tcPr>
            <w:tcW w:w="1843" w:type="dxa"/>
            <w:vAlign w:val="center"/>
          </w:tcPr>
          <w:p w14:paraId="2B80B18E" w14:textId="7E224EF1" w:rsidR="006C5BDB" w:rsidRPr="00EF72E4" w:rsidRDefault="006C5BDB" w:rsidP="006C5BDB">
            <w:pPr>
              <w:spacing w:before="50" w:after="60" w:line="240" w:lineRule="atLeast"/>
              <w:jc w:val="center"/>
              <w:rPr>
                <w:rFonts w:ascii="Arial" w:hAnsi="Arial" w:cs="Arial"/>
                <w:bCs/>
                <w:sz w:val="16"/>
                <w:szCs w:val="16"/>
              </w:rPr>
            </w:pPr>
            <w:r w:rsidRPr="00EF72E4">
              <w:rPr>
                <w:rFonts w:ascii="Arial" w:hAnsi="Arial" w:cs="Arial"/>
                <w:bCs/>
                <w:sz w:val="16"/>
                <w:szCs w:val="16"/>
              </w:rPr>
              <w:t>-</w:t>
            </w:r>
          </w:p>
        </w:tc>
        <w:tc>
          <w:tcPr>
            <w:tcW w:w="1672" w:type="dxa"/>
            <w:vAlign w:val="center"/>
          </w:tcPr>
          <w:p w14:paraId="0328679C" w14:textId="255579F3" w:rsidR="006C5BDB" w:rsidRPr="00EF72E4" w:rsidRDefault="0030255B" w:rsidP="006C5BDB">
            <w:pPr>
              <w:spacing w:before="50" w:after="60" w:line="240" w:lineRule="atLeast"/>
              <w:jc w:val="center"/>
              <w:rPr>
                <w:rFonts w:ascii="Arial" w:hAnsi="Arial" w:cs="Arial"/>
                <w:bCs/>
                <w:sz w:val="16"/>
                <w:szCs w:val="16"/>
              </w:rPr>
            </w:pPr>
            <w:r>
              <w:rPr>
                <w:rFonts w:ascii="Arial" w:hAnsi="Arial" w:cs="Arial"/>
                <w:bCs/>
                <w:sz w:val="16"/>
                <w:szCs w:val="16"/>
              </w:rPr>
              <w:t>-</w:t>
            </w:r>
          </w:p>
        </w:tc>
      </w:tr>
      <w:tr w:rsidR="006C5BDB" w:rsidRPr="00EF72E4" w14:paraId="713D8F6C" w14:textId="77777777" w:rsidTr="00975470">
        <w:tc>
          <w:tcPr>
            <w:tcW w:w="3261" w:type="dxa"/>
            <w:vAlign w:val="center"/>
          </w:tcPr>
          <w:p w14:paraId="7B651568" w14:textId="77777777" w:rsidR="006C5BDB" w:rsidRPr="00EF72E4" w:rsidRDefault="006C5BDB" w:rsidP="006C5BDB">
            <w:pPr>
              <w:spacing w:before="50" w:after="60" w:line="240" w:lineRule="atLeast"/>
              <w:rPr>
                <w:rFonts w:ascii="Arial" w:hAnsi="Arial" w:cs="Arial"/>
                <w:sz w:val="16"/>
                <w:szCs w:val="16"/>
              </w:rPr>
            </w:pPr>
            <w:r w:rsidRPr="00EF72E4">
              <w:rPr>
                <w:rFonts w:ascii="Arial" w:hAnsi="Arial" w:cs="Arial"/>
                <w:sz w:val="16"/>
                <w:szCs w:val="16"/>
              </w:rPr>
              <w:t>Gas extraction, refining and use</w:t>
            </w:r>
          </w:p>
        </w:tc>
        <w:tc>
          <w:tcPr>
            <w:tcW w:w="2126" w:type="dxa"/>
            <w:vAlign w:val="center"/>
          </w:tcPr>
          <w:p w14:paraId="6FF32047" w14:textId="7B06B45F" w:rsidR="006C5BDB" w:rsidRPr="00EF72E4" w:rsidRDefault="006C5BDB" w:rsidP="006C5BDB">
            <w:pPr>
              <w:spacing w:line="300" w:lineRule="atLeast"/>
              <w:jc w:val="center"/>
              <w:rPr>
                <w:rFonts w:ascii="Arial" w:hAnsi="Arial" w:cs="Arial"/>
                <w:sz w:val="16"/>
                <w:szCs w:val="16"/>
              </w:rPr>
            </w:pPr>
            <w:r w:rsidRPr="00EF72E4">
              <w:rPr>
                <w:rFonts w:ascii="Arial" w:hAnsi="Arial" w:cs="Arial"/>
                <w:sz w:val="16"/>
                <w:szCs w:val="16"/>
              </w:rPr>
              <w:t>0.33 – 262 (131)</w:t>
            </w:r>
          </w:p>
        </w:tc>
        <w:tc>
          <w:tcPr>
            <w:tcW w:w="1871" w:type="dxa"/>
            <w:vAlign w:val="center"/>
          </w:tcPr>
          <w:p w14:paraId="5D2A3A67" w14:textId="6D997D9D" w:rsidR="006C5BDB" w:rsidRPr="00EF72E4" w:rsidRDefault="006C5BDB" w:rsidP="006C5BDB">
            <w:pPr>
              <w:spacing w:line="300" w:lineRule="atLeast"/>
              <w:jc w:val="center"/>
              <w:rPr>
                <w:rFonts w:ascii="Arial" w:hAnsi="Arial" w:cs="Arial"/>
                <w:sz w:val="16"/>
                <w:szCs w:val="16"/>
              </w:rPr>
            </w:pPr>
            <w:r w:rsidRPr="00EF72E4">
              <w:rPr>
                <w:rFonts w:ascii="Arial" w:hAnsi="Arial" w:cs="Arial"/>
                <w:sz w:val="16"/>
                <w:szCs w:val="16"/>
              </w:rPr>
              <w:t>0.065 – 52.4 (26.2)</w:t>
            </w:r>
          </w:p>
        </w:tc>
        <w:tc>
          <w:tcPr>
            <w:tcW w:w="1701" w:type="dxa"/>
            <w:vAlign w:val="center"/>
          </w:tcPr>
          <w:p w14:paraId="380F6FF0" w14:textId="04B86B58" w:rsidR="006C5BDB" w:rsidRPr="00EF72E4" w:rsidRDefault="006C5BDB" w:rsidP="006C5BDB">
            <w:pPr>
              <w:spacing w:line="300" w:lineRule="atLeast"/>
              <w:jc w:val="center"/>
              <w:rPr>
                <w:rFonts w:ascii="Arial" w:hAnsi="Arial" w:cs="Arial"/>
                <w:sz w:val="16"/>
                <w:szCs w:val="16"/>
              </w:rPr>
            </w:pPr>
            <w:r w:rsidRPr="00EF72E4">
              <w:rPr>
                <w:rFonts w:ascii="Arial" w:hAnsi="Arial" w:cs="Arial"/>
                <w:sz w:val="16"/>
                <w:szCs w:val="16"/>
              </w:rPr>
              <w:t>0.065 – 52.4 (26.2)</w:t>
            </w:r>
          </w:p>
        </w:tc>
        <w:tc>
          <w:tcPr>
            <w:tcW w:w="1701" w:type="dxa"/>
            <w:vAlign w:val="center"/>
          </w:tcPr>
          <w:p w14:paraId="434620F4" w14:textId="31FAB63B" w:rsidR="006C5BDB" w:rsidRPr="00EF72E4" w:rsidRDefault="006C5BDB" w:rsidP="006C5BDB">
            <w:pPr>
              <w:spacing w:line="300" w:lineRule="atLeast"/>
              <w:jc w:val="center"/>
              <w:rPr>
                <w:rFonts w:ascii="Arial" w:hAnsi="Arial" w:cs="Arial"/>
                <w:sz w:val="16"/>
                <w:szCs w:val="16"/>
              </w:rPr>
            </w:pPr>
          </w:p>
        </w:tc>
        <w:tc>
          <w:tcPr>
            <w:tcW w:w="1843" w:type="dxa"/>
            <w:vAlign w:val="center"/>
          </w:tcPr>
          <w:p w14:paraId="746B1784" w14:textId="4B7DF634" w:rsidR="006C5BDB" w:rsidRPr="00EF72E4" w:rsidRDefault="006C5BDB" w:rsidP="006C5BDB">
            <w:pPr>
              <w:spacing w:line="30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4B720BDA" w14:textId="535C1DD6" w:rsidR="006C5BDB" w:rsidRPr="00EF72E4" w:rsidRDefault="006C5BDB" w:rsidP="006C5BDB">
            <w:pPr>
              <w:spacing w:line="300" w:lineRule="atLeast"/>
              <w:jc w:val="center"/>
              <w:rPr>
                <w:rFonts w:ascii="Arial" w:hAnsi="Arial" w:cs="Arial"/>
                <w:sz w:val="16"/>
                <w:szCs w:val="16"/>
              </w:rPr>
            </w:pPr>
            <w:r w:rsidRPr="00EF72E4">
              <w:rPr>
                <w:rFonts w:ascii="Arial" w:hAnsi="Arial" w:cs="Arial"/>
                <w:sz w:val="16"/>
                <w:szCs w:val="16"/>
              </w:rPr>
              <w:t>0.198 – 157 (78.7)</w:t>
            </w:r>
          </w:p>
        </w:tc>
      </w:tr>
      <w:tr w:rsidR="006C5BDB" w:rsidRPr="00EF72E4" w14:paraId="789557A9" w14:textId="77777777" w:rsidTr="00975470">
        <w:tc>
          <w:tcPr>
            <w:tcW w:w="3261" w:type="dxa"/>
            <w:vAlign w:val="center"/>
          </w:tcPr>
          <w:p w14:paraId="61B40B48" w14:textId="77777777" w:rsidR="006C5BDB" w:rsidRPr="00EF72E4" w:rsidRDefault="006C5BDB" w:rsidP="006C5BDB">
            <w:pPr>
              <w:spacing w:before="50" w:after="60" w:line="240" w:lineRule="atLeast"/>
              <w:rPr>
                <w:rFonts w:ascii="Arial" w:hAnsi="Arial" w:cs="Arial"/>
                <w:sz w:val="16"/>
                <w:szCs w:val="16"/>
              </w:rPr>
            </w:pPr>
            <w:r w:rsidRPr="00EF72E4">
              <w:rPr>
                <w:rFonts w:ascii="Arial" w:hAnsi="Arial" w:cs="Arial"/>
                <w:sz w:val="16"/>
                <w:szCs w:val="16"/>
              </w:rPr>
              <w:t>Biomass fuel</w:t>
            </w:r>
          </w:p>
        </w:tc>
        <w:tc>
          <w:tcPr>
            <w:tcW w:w="2126" w:type="dxa"/>
            <w:vAlign w:val="center"/>
          </w:tcPr>
          <w:p w14:paraId="5321BC78" w14:textId="6A7F5741" w:rsidR="006C5BDB" w:rsidRPr="00EF72E4" w:rsidRDefault="006C5BDB" w:rsidP="006C5BDB">
            <w:pPr>
              <w:spacing w:before="50" w:after="60" w:line="240" w:lineRule="atLeast"/>
              <w:jc w:val="center"/>
              <w:rPr>
                <w:rFonts w:ascii="Arial" w:hAnsi="Arial" w:cs="Arial"/>
                <w:sz w:val="16"/>
                <w:szCs w:val="16"/>
              </w:rPr>
            </w:pPr>
            <w:r w:rsidRPr="00EF72E4">
              <w:rPr>
                <w:rFonts w:ascii="Arial" w:hAnsi="Arial" w:cs="Arial"/>
                <w:sz w:val="16"/>
                <w:szCs w:val="16"/>
              </w:rPr>
              <w:t>17.0 – 170 (93.</w:t>
            </w:r>
            <w:r w:rsidR="009662DE">
              <w:rPr>
                <w:rFonts w:ascii="Arial" w:hAnsi="Arial" w:cs="Arial"/>
                <w:sz w:val="16"/>
                <w:szCs w:val="16"/>
              </w:rPr>
              <w:t>7</w:t>
            </w:r>
            <w:r w:rsidRPr="00EF72E4">
              <w:rPr>
                <w:rFonts w:ascii="Arial" w:hAnsi="Arial" w:cs="Arial"/>
                <w:sz w:val="16"/>
                <w:szCs w:val="16"/>
              </w:rPr>
              <w:t>)</w:t>
            </w:r>
          </w:p>
        </w:tc>
        <w:tc>
          <w:tcPr>
            <w:tcW w:w="1871" w:type="dxa"/>
            <w:vAlign w:val="center"/>
          </w:tcPr>
          <w:p w14:paraId="50483656" w14:textId="033A8AB3" w:rsidR="006C5BDB" w:rsidRPr="00EF72E4" w:rsidRDefault="006C5BDB" w:rsidP="006C5BDB">
            <w:pPr>
              <w:spacing w:before="50" w:after="60" w:line="240" w:lineRule="atLeast"/>
              <w:jc w:val="center"/>
              <w:rPr>
                <w:rFonts w:ascii="Arial" w:hAnsi="Arial" w:cs="Arial"/>
                <w:sz w:val="16"/>
                <w:szCs w:val="16"/>
              </w:rPr>
            </w:pPr>
            <w:r w:rsidRPr="00EF72E4">
              <w:rPr>
                <w:rFonts w:ascii="Arial" w:hAnsi="Arial" w:cs="Arial"/>
                <w:sz w:val="16"/>
                <w:szCs w:val="16"/>
              </w:rPr>
              <w:t>17.0 – 170 (93.</w:t>
            </w:r>
            <w:r w:rsidR="009662DE">
              <w:rPr>
                <w:rFonts w:ascii="Arial" w:hAnsi="Arial" w:cs="Arial"/>
                <w:sz w:val="16"/>
                <w:szCs w:val="16"/>
              </w:rPr>
              <w:t>7</w:t>
            </w:r>
            <w:r w:rsidRPr="00EF72E4">
              <w:rPr>
                <w:rFonts w:ascii="Arial" w:hAnsi="Arial" w:cs="Arial"/>
                <w:sz w:val="16"/>
                <w:szCs w:val="16"/>
              </w:rPr>
              <w:t>)</w:t>
            </w:r>
          </w:p>
        </w:tc>
        <w:tc>
          <w:tcPr>
            <w:tcW w:w="1701" w:type="dxa"/>
            <w:vAlign w:val="center"/>
          </w:tcPr>
          <w:p w14:paraId="7D596CE9" w14:textId="2ADC4A02" w:rsidR="006C5BDB" w:rsidRPr="00EF72E4" w:rsidRDefault="006C5BDB" w:rsidP="006C5BDB">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6AB42785" w14:textId="61DAB7B5" w:rsidR="006C5BDB" w:rsidRPr="00EF72E4" w:rsidRDefault="006C5BDB" w:rsidP="006C5BDB">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843" w:type="dxa"/>
            <w:vAlign w:val="center"/>
          </w:tcPr>
          <w:p w14:paraId="1C5D0358" w14:textId="42F18929" w:rsidR="006C5BDB" w:rsidRPr="00EF72E4" w:rsidRDefault="006C5BDB" w:rsidP="006C5BDB">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3755FB45" w14:textId="5BA993AD" w:rsidR="006C5BDB" w:rsidRPr="00EF72E4" w:rsidRDefault="006C5BDB" w:rsidP="006C5BDB">
            <w:pPr>
              <w:spacing w:before="50" w:after="60" w:line="240" w:lineRule="atLeast"/>
              <w:jc w:val="center"/>
              <w:rPr>
                <w:rFonts w:ascii="Arial" w:hAnsi="Arial" w:cs="Arial"/>
                <w:sz w:val="16"/>
                <w:szCs w:val="16"/>
              </w:rPr>
            </w:pPr>
            <w:r w:rsidRPr="00EF72E4">
              <w:rPr>
                <w:rFonts w:ascii="Arial" w:hAnsi="Arial" w:cs="Arial"/>
                <w:sz w:val="16"/>
                <w:szCs w:val="16"/>
              </w:rPr>
              <w:t>-</w:t>
            </w:r>
          </w:p>
        </w:tc>
      </w:tr>
      <w:tr w:rsidR="006C5BDB" w:rsidRPr="00EF72E4" w14:paraId="51E6C64E" w14:textId="77777777" w:rsidTr="00975470">
        <w:tc>
          <w:tcPr>
            <w:tcW w:w="3261" w:type="dxa"/>
            <w:vAlign w:val="center"/>
          </w:tcPr>
          <w:p w14:paraId="1450E72F" w14:textId="77777777" w:rsidR="006C5BDB" w:rsidRPr="00EF72E4" w:rsidRDefault="006C5BDB" w:rsidP="006C5BDB">
            <w:pPr>
              <w:spacing w:before="50" w:after="60" w:line="240" w:lineRule="atLeast"/>
              <w:rPr>
                <w:rFonts w:ascii="Arial" w:hAnsi="Arial" w:cs="Arial"/>
                <w:sz w:val="16"/>
                <w:szCs w:val="16"/>
              </w:rPr>
            </w:pPr>
            <w:r w:rsidRPr="00EF72E4">
              <w:rPr>
                <w:rFonts w:ascii="Arial" w:hAnsi="Arial" w:cs="Arial"/>
                <w:sz w:val="16"/>
                <w:szCs w:val="16"/>
              </w:rPr>
              <w:t>Geothermal power</w:t>
            </w:r>
          </w:p>
        </w:tc>
        <w:tc>
          <w:tcPr>
            <w:tcW w:w="2126" w:type="dxa"/>
            <w:tcBorders>
              <w:top w:val="single" w:sz="4" w:space="0" w:color="auto"/>
            </w:tcBorders>
            <w:vAlign w:val="center"/>
          </w:tcPr>
          <w:p w14:paraId="7EC1A20E" w14:textId="1A729561" w:rsidR="006C5BDB" w:rsidRPr="00EF72E4" w:rsidRDefault="006C5BDB" w:rsidP="006C5BDB">
            <w:pPr>
              <w:spacing w:line="300" w:lineRule="atLeast"/>
              <w:jc w:val="center"/>
              <w:rPr>
                <w:rFonts w:ascii="Arial" w:hAnsi="Arial" w:cs="Arial"/>
                <w:bCs/>
                <w:sz w:val="16"/>
                <w:szCs w:val="16"/>
              </w:rPr>
            </w:pPr>
            <w:r w:rsidRPr="00EF72E4">
              <w:rPr>
                <w:rFonts w:ascii="Arial" w:hAnsi="Arial" w:cs="Arial"/>
                <w:bCs/>
                <w:sz w:val="16"/>
                <w:szCs w:val="16"/>
              </w:rPr>
              <w:t>273 – 200</w:t>
            </w:r>
            <w:r w:rsidR="009662DE">
              <w:rPr>
                <w:rFonts w:ascii="Arial" w:hAnsi="Arial" w:cs="Arial"/>
                <w:bCs/>
                <w:sz w:val="16"/>
                <w:szCs w:val="16"/>
              </w:rPr>
              <w:t>4</w:t>
            </w:r>
            <w:r w:rsidRPr="00EF72E4">
              <w:rPr>
                <w:rFonts w:ascii="Arial" w:hAnsi="Arial" w:cs="Arial"/>
                <w:bCs/>
                <w:sz w:val="16"/>
                <w:szCs w:val="16"/>
              </w:rPr>
              <w:t xml:space="preserve"> (1138)</w:t>
            </w:r>
          </w:p>
        </w:tc>
        <w:tc>
          <w:tcPr>
            <w:tcW w:w="1871" w:type="dxa"/>
            <w:tcBorders>
              <w:top w:val="single" w:sz="4" w:space="0" w:color="auto"/>
            </w:tcBorders>
            <w:vAlign w:val="center"/>
          </w:tcPr>
          <w:p w14:paraId="6572E4D3" w14:textId="530814CB" w:rsidR="006C5BDB" w:rsidRPr="00EF72E4" w:rsidRDefault="006C5BDB" w:rsidP="006C5BDB">
            <w:pPr>
              <w:spacing w:line="300" w:lineRule="atLeast"/>
              <w:jc w:val="center"/>
              <w:rPr>
                <w:rFonts w:ascii="Arial" w:hAnsi="Arial" w:cs="Arial"/>
                <w:bCs/>
                <w:sz w:val="16"/>
                <w:szCs w:val="16"/>
              </w:rPr>
            </w:pPr>
            <w:r w:rsidRPr="00EF72E4">
              <w:rPr>
                <w:rFonts w:ascii="Arial" w:hAnsi="Arial" w:cs="Arial"/>
                <w:bCs/>
                <w:sz w:val="16"/>
                <w:szCs w:val="16"/>
              </w:rPr>
              <w:t>26</w:t>
            </w:r>
            <w:r w:rsidR="009662DE">
              <w:rPr>
                <w:rFonts w:ascii="Arial" w:hAnsi="Arial" w:cs="Arial"/>
                <w:bCs/>
                <w:sz w:val="16"/>
                <w:szCs w:val="16"/>
              </w:rPr>
              <w:t>7</w:t>
            </w:r>
            <w:r w:rsidRPr="00EF72E4">
              <w:rPr>
                <w:rFonts w:ascii="Arial" w:hAnsi="Arial" w:cs="Arial"/>
                <w:bCs/>
                <w:sz w:val="16"/>
                <w:szCs w:val="16"/>
              </w:rPr>
              <w:t xml:space="preserve"> – 1997 (1132)</w:t>
            </w:r>
          </w:p>
        </w:tc>
        <w:tc>
          <w:tcPr>
            <w:tcW w:w="1701" w:type="dxa"/>
            <w:tcBorders>
              <w:top w:val="single" w:sz="4" w:space="0" w:color="auto"/>
            </w:tcBorders>
            <w:vAlign w:val="center"/>
          </w:tcPr>
          <w:p w14:paraId="03C168AB" w14:textId="5E37010F" w:rsidR="006C5BDB" w:rsidRPr="00EF72E4" w:rsidRDefault="006C5BDB" w:rsidP="006C5BDB">
            <w:pPr>
              <w:spacing w:line="300" w:lineRule="atLeast"/>
              <w:jc w:val="center"/>
              <w:rPr>
                <w:rFonts w:ascii="Arial" w:hAnsi="Arial" w:cs="Arial"/>
                <w:bCs/>
                <w:sz w:val="16"/>
                <w:szCs w:val="16"/>
              </w:rPr>
            </w:pPr>
            <w:r w:rsidRPr="00EF72E4">
              <w:rPr>
                <w:rFonts w:ascii="Arial" w:hAnsi="Arial" w:cs="Arial"/>
                <w:bCs/>
                <w:sz w:val="16"/>
                <w:szCs w:val="16"/>
              </w:rPr>
              <w:t>6.4</w:t>
            </w:r>
          </w:p>
        </w:tc>
        <w:tc>
          <w:tcPr>
            <w:tcW w:w="1701" w:type="dxa"/>
            <w:vAlign w:val="center"/>
          </w:tcPr>
          <w:p w14:paraId="2DD91ED2" w14:textId="016A843B" w:rsidR="006C5BDB" w:rsidRPr="00EF72E4" w:rsidRDefault="006C5BDB" w:rsidP="006C5BDB">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843" w:type="dxa"/>
            <w:vAlign w:val="center"/>
          </w:tcPr>
          <w:p w14:paraId="7D8028B0" w14:textId="60E4FEB2" w:rsidR="006C5BDB" w:rsidRPr="00EF72E4" w:rsidRDefault="006C5BDB" w:rsidP="006C5BDB">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38A5F64D" w14:textId="7D4F2FE9" w:rsidR="006C5BDB" w:rsidRPr="00EF72E4" w:rsidRDefault="006C5BDB" w:rsidP="006C5BDB">
            <w:pPr>
              <w:spacing w:before="50" w:after="60" w:line="240" w:lineRule="atLeast"/>
              <w:jc w:val="center"/>
              <w:rPr>
                <w:rFonts w:ascii="Arial" w:hAnsi="Arial" w:cs="Arial"/>
                <w:sz w:val="16"/>
                <w:szCs w:val="16"/>
              </w:rPr>
            </w:pPr>
            <w:r w:rsidRPr="00EF72E4">
              <w:rPr>
                <w:rFonts w:ascii="Arial" w:hAnsi="Arial" w:cs="Arial"/>
                <w:sz w:val="16"/>
                <w:szCs w:val="16"/>
              </w:rPr>
              <w:t>-</w:t>
            </w:r>
          </w:p>
        </w:tc>
      </w:tr>
      <w:tr w:rsidR="006C5BDB" w:rsidRPr="00EF72E4" w14:paraId="6E145462" w14:textId="77777777" w:rsidTr="00975470">
        <w:tc>
          <w:tcPr>
            <w:tcW w:w="3261" w:type="dxa"/>
            <w:vAlign w:val="center"/>
          </w:tcPr>
          <w:p w14:paraId="1D52927A" w14:textId="77777777" w:rsidR="006C5BDB" w:rsidRPr="00EF72E4" w:rsidRDefault="006C5BDB" w:rsidP="006C5BDB">
            <w:pPr>
              <w:spacing w:before="50" w:after="60" w:line="240" w:lineRule="atLeast"/>
              <w:rPr>
                <w:rFonts w:ascii="Arial" w:hAnsi="Arial" w:cs="Arial"/>
                <w:sz w:val="16"/>
                <w:szCs w:val="16"/>
              </w:rPr>
            </w:pPr>
            <w:r w:rsidRPr="00EF72E4">
              <w:rPr>
                <w:rFonts w:ascii="Arial" w:hAnsi="Arial" w:cs="Arial"/>
                <w:sz w:val="16"/>
                <w:szCs w:val="16"/>
              </w:rPr>
              <w:t xml:space="preserve">Gold &amp; silver production, with mercury </w:t>
            </w:r>
          </w:p>
        </w:tc>
        <w:tc>
          <w:tcPr>
            <w:tcW w:w="2126" w:type="dxa"/>
            <w:vAlign w:val="center"/>
          </w:tcPr>
          <w:p w14:paraId="03CA1AA1" w14:textId="5E0581C6" w:rsidR="006C5BDB" w:rsidRPr="00EF72E4" w:rsidRDefault="006C5BDB" w:rsidP="006C5BDB">
            <w:pPr>
              <w:spacing w:before="50" w:after="60" w:line="240" w:lineRule="atLeast"/>
              <w:jc w:val="center"/>
              <w:rPr>
                <w:rFonts w:ascii="Arial" w:hAnsi="Arial" w:cs="Arial"/>
                <w:sz w:val="16"/>
                <w:szCs w:val="16"/>
              </w:rPr>
            </w:pPr>
            <w:r w:rsidRPr="00EF72E4">
              <w:rPr>
                <w:rFonts w:ascii="Arial" w:hAnsi="Arial" w:cs="Arial"/>
                <w:sz w:val="16"/>
                <w:szCs w:val="16"/>
              </w:rPr>
              <w:t xml:space="preserve">20 – 40 (30) </w:t>
            </w:r>
          </w:p>
        </w:tc>
        <w:tc>
          <w:tcPr>
            <w:tcW w:w="1871" w:type="dxa"/>
            <w:vAlign w:val="center"/>
          </w:tcPr>
          <w:p w14:paraId="7B6C50D3" w14:textId="6A6E56CC" w:rsidR="006C5BDB" w:rsidRPr="00EF72E4" w:rsidRDefault="006C5BDB" w:rsidP="006C5BDB">
            <w:pPr>
              <w:spacing w:before="50" w:after="60" w:line="240" w:lineRule="atLeast"/>
              <w:jc w:val="center"/>
              <w:rPr>
                <w:rFonts w:ascii="Arial" w:hAnsi="Arial" w:cs="Arial"/>
                <w:sz w:val="16"/>
                <w:szCs w:val="16"/>
              </w:rPr>
            </w:pPr>
            <w:r w:rsidRPr="00EF72E4">
              <w:rPr>
                <w:rFonts w:ascii="Arial" w:hAnsi="Arial" w:cs="Arial"/>
                <w:sz w:val="16"/>
                <w:szCs w:val="16"/>
              </w:rPr>
              <w:t>4 - 8 (6)</w:t>
            </w:r>
          </w:p>
        </w:tc>
        <w:tc>
          <w:tcPr>
            <w:tcW w:w="1701" w:type="dxa"/>
            <w:vAlign w:val="center"/>
          </w:tcPr>
          <w:p w14:paraId="0565B3A7" w14:textId="1F7698BB" w:rsidR="006C5BDB" w:rsidRPr="00EF72E4" w:rsidRDefault="006C5BDB" w:rsidP="006C5BDB">
            <w:pPr>
              <w:spacing w:before="50" w:after="60" w:line="240" w:lineRule="atLeast"/>
              <w:jc w:val="center"/>
              <w:rPr>
                <w:rFonts w:ascii="Arial" w:hAnsi="Arial" w:cs="Arial"/>
                <w:sz w:val="16"/>
                <w:szCs w:val="16"/>
              </w:rPr>
            </w:pPr>
            <w:r w:rsidRPr="00EF72E4">
              <w:rPr>
                <w:rFonts w:ascii="Arial" w:hAnsi="Arial" w:cs="Arial"/>
                <w:sz w:val="16"/>
                <w:szCs w:val="16"/>
              </w:rPr>
              <w:t>8 – 16 (12)</w:t>
            </w:r>
          </w:p>
        </w:tc>
        <w:tc>
          <w:tcPr>
            <w:tcW w:w="1701" w:type="dxa"/>
            <w:vAlign w:val="center"/>
          </w:tcPr>
          <w:p w14:paraId="29A9D108" w14:textId="3208D468" w:rsidR="006C5BDB" w:rsidRPr="00EF72E4" w:rsidRDefault="006C5BDB" w:rsidP="006C5BDB">
            <w:pPr>
              <w:spacing w:before="50" w:after="60" w:line="240" w:lineRule="atLeast"/>
              <w:jc w:val="center"/>
              <w:rPr>
                <w:rFonts w:ascii="Arial" w:hAnsi="Arial" w:cs="Arial"/>
                <w:sz w:val="16"/>
                <w:szCs w:val="16"/>
              </w:rPr>
            </w:pPr>
            <w:r w:rsidRPr="00EF72E4">
              <w:rPr>
                <w:rFonts w:ascii="Arial" w:hAnsi="Arial" w:cs="Arial"/>
                <w:sz w:val="16"/>
                <w:szCs w:val="16"/>
              </w:rPr>
              <w:t>8 – 16 (12)</w:t>
            </w:r>
          </w:p>
        </w:tc>
        <w:tc>
          <w:tcPr>
            <w:tcW w:w="1843" w:type="dxa"/>
            <w:vAlign w:val="center"/>
          </w:tcPr>
          <w:p w14:paraId="72C4DEB2" w14:textId="26E106E0" w:rsidR="006C5BDB" w:rsidRPr="00EF72E4" w:rsidRDefault="006C5BDB" w:rsidP="006C5BDB">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05A034C0" w14:textId="7D4F2E6C" w:rsidR="006C5BDB" w:rsidRPr="00EF72E4" w:rsidRDefault="006C5BDB" w:rsidP="006C5BDB">
            <w:pPr>
              <w:spacing w:before="50" w:after="60" w:line="240" w:lineRule="atLeast"/>
              <w:jc w:val="center"/>
              <w:rPr>
                <w:rFonts w:ascii="Arial" w:hAnsi="Arial" w:cs="Arial"/>
                <w:sz w:val="16"/>
                <w:szCs w:val="16"/>
              </w:rPr>
            </w:pPr>
            <w:r w:rsidRPr="00EF72E4">
              <w:rPr>
                <w:rFonts w:ascii="Arial" w:hAnsi="Arial" w:cs="Arial"/>
                <w:sz w:val="16"/>
                <w:szCs w:val="16"/>
              </w:rPr>
              <w:t>-</w:t>
            </w:r>
          </w:p>
        </w:tc>
      </w:tr>
      <w:tr w:rsidR="006C5BDB" w:rsidRPr="00EF72E4" w14:paraId="0F26B9F7" w14:textId="77777777" w:rsidTr="00975470">
        <w:tc>
          <w:tcPr>
            <w:tcW w:w="3261" w:type="dxa"/>
            <w:vAlign w:val="center"/>
          </w:tcPr>
          <w:p w14:paraId="1CF61B01" w14:textId="77777777" w:rsidR="006C5BDB" w:rsidRPr="00EF72E4" w:rsidRDefault="006C5BDB" w:rsidP="006C5BDB">
            <w:pPr>
              <w:spacing w:before="50" w:after="60" w:line="240" w:lineRule="atLeast"/>
              <w:rPr>
                <w:rFonts w:ascii="Arial" w:hAnsi="Arial" w:cs="Arial"/>
                <w:sz w:val="16"/>
                <w:szCs w:val="16"/>
              </w:rPr>
            </w:pPr>
            <w:r w:rsidRPr="00EF72E4">
              <w:rPr>
                <w:rFonts w:ascii="Arial" w:hAnsi="Arial" w:cs="Arial"/>
                <w:sz w:val="16"/>
                <w:szCs w:val="16"/>
              </w:rPr>
              <w:t>Gold &amp; silver production, without mercury</w:t>
            </w:r>
          </w:p>
        </w:tc>
        <w:tc>
          <w:tcPr>
            <w:tcW w:w="2126" w:type="dxa"/>
            <w:vAlign w:val="center"/>
          </w:tcPr>
          <w:p w14:paraId="2876C251" w14:textId="727ACAA6" w:rsidR="006C5BDB" w:rsidRPr="00EF72E4" w:rsidRDefault="006C5BDB" w:rsidP="006C5BDB">
            <w:pPr>
              <w:spacing w:line="300" w:lineRule="atLeast"/>
              <w:jc w:val="center"/>
              <w:rPr>
                <w:rFonts w:ascii="Arial" w:hAnsi="Arial" w:cs="Arial"/>
                <w:sz w:val="16"/>
                <w:szCs w:val="16"/>
              </w:rPr>
            </w:pPr>
            <w:r w:rsidRPr="00EF72E4">
              <w:rPr>
                <w:rFonts w:ascii="Arial" w:hAnsi="Arial" w:cs="Arial"/>
                <w:sz w:val="16"/>
                <w:szCs w:val="16"/>
              </w:rPr>
              <w:t>199</w:t>
            </w:r>
          </w:p>
        </w:tc>
        <w:tc>
          <w:tcPr>
            <w:tcW w:w="1871" w:type="dxa"/>
            <w:vAlign w:val="center"/>
          </w:tcPr>
          <w:p w14:paraId="6F0965CE" w14:textId="2F1FFBBF" w:rsidR="006C5BDB" w:rsidRPr="00EF72E4" w:rsidRDefault="006C5BDB" w:rsidP="006C5BDB">
            <w:pPr>
              <w:spacing w:line="300" w:lineRule="atLeast"/>
              <w:jc w:val="center"/>
              <w:rPr>
                <w:rFonts w:ascii="Arial" w:hAnsi="Arial" w:cs="Arial"/>
                <w:sz w:val="16"/>
                <w:szCs w:val="16"/>
              </w:rPr>
            </w:pPr>
            <w:r w:rsidRPr="00EF72E4">
              <w:rPr>
                <w:rFonts w:ascii="Arial" w:hAnsi="Arial" w:cs="Arial"/>
                <w:sz w:val="16"/>
                <w:szCs w:val="16"/>
              </w:rPr>
              <w:t>5.</w:t>
            </w:r>
            <w:r w:rsidR="009662DE">
              <w:rPr>
                <w:rFonts w:ascii="Arial" w:hAnsi="Arial" w:cs="Arial"/>
                <w:sz w:val="16"/>
                <w:szCs w:val="16"/>
              </w:rPr>
              <w:t>7</w:t>
            </w:r>
          </w:p>
        </w:tc>
        <w:tc>
          <w:tcPr>
            <w:tcW w:w="1701" w:type="dxa"/>
            <w:vAlign w:val="center"/>
          </w:tcPr>
          <w:p w14:paraId="56937B82" w14:textId="7E7CB94C" w:rsidR="006C5BDB" w:rsidRPr="00EF72E4" w:rsidRDefault="006C5BDB" w:rsidP="006C5BDB">
            <w:pPr>
              <w:spacing w:line="300" w:lineRule="atLeast"/>
              <w:jc w:val="center"/>
              <w:rPr>
                <w:rFonts w:ascii="Arial" w:hAnsi="Arial" w:cs="Arial"/>
                <w:sz w:val="16"/>
                <w:szCs w:val="16"/>
              </w:rPr>
            </w:pPr>
            <w:r w:rsidRPr="00EF72E4">
              <w:rPr>
                <w:rFonts w:ascii="Arial" w:hAnsi="Arial" w:cs="Arial"/>
                <w:sz w:val="16"/>
                <w:szCs w:val="16"/>
              </w:rPr>
              <w:t>2.8</w:t>
            </w:r>
          </w:p>
        </w:tc>
        <w:tc>
          <w:tcPr>
            <w:tcW w:w="1701" w:type="dxa"/>
            <w:vAlign w:val="center"/>
          </w:tcPr>
          <w:p w14:paraId="72F604D0" w14:textId="15F9FF16" w:rsidR="006C5BDB" w:rsidRPr="00EF72E4" w:rsidRDefault="006C5BDB" w:rsidP="006C5BDB">
            <w:pPr>
              <w:spacing w:line="300" w:lineRule="atLeast"/>
              <w:jc w:val="center"/>
              <w:rPr>
                <w:rFonts w:ascii="Arial" w:hAnsi="Arial" w:cs="Arial"/>
                <w:sz w:val="16"/>
                <w:szCs w:val="16"/>
              </w:rPr>
            </w:pPr>
            <w:r w:rsidRPr="00EF72E4">
              <w:rPr>
                <w:rFonts w:ascii="Arial" w:hAnsi="Arial" w:cs="Arial"/>
                <w:sz w:val="16"/>
                <w:szCs w:val="16"/>
              </w:rPr>
              <w:t>128</w:t>
            </w:r>
          </w:p>
        </w:tc>
        <w:tc>
          <w:tcPr>
            <w:tcW w:w="1843" w:type="dxa"/>
            <w:vAlign w:val="center"/>
          </w:tcPr>
          <w:p w14:paraId="6323908D" w14:textId="3AFB9C97" w:rsidR="006C5BDB" w:rsidRPr="00EF72E4" w:rsidRDefault="006C5BDB" w:rsidP="006C5BDB">
            <w:pPr>
              <w:spacing w:line="300" w:lineRule="atLeast"/>
              <w:jc w:val="center"/>
              <w:rPr>
                <w:rFonts w:ascii="Arial" w:hAnsi="Arial" w:cs="Arial"/>
                <w:sz w:val="16"/>
                <w:szCs w:val="16"/>
              </w:rPr>
            </w:pPr>
            <w:r w:rsidRPr="00EF72E4">
              <w:rPr>
                <w:rFonts w:ascii="Arial" w:hAnsi="Arial" w:cs="Arial"/>
                <w:sz w:val="16"/>
                <w:szCs w:val="16"/>
              </w:rPr>
              <w:t>5.</w:t>
            </w:r>
            <w:r w:rsidR="009662DE">
              <w:rPr>
                <w:rFonts w:ascii="Arial" w:hAnsi="Arial" w:cs="Arial"/>
                <w:sz w:val="16"/>
                <w:szCs w:val="16"/>
              </w:rPr>
              <w:t>7</w:t>
            </w:r>
          </w:p>
        </w:tc>
        <w:tc>
          <w:tcPr>
            <w:tcW w:w="1672" w:type="dxa"/>
            <w:vAlign w:val="center"/>
          </w:tcPr>
          <w:p w14:paraId="666D6E20" w14:textId="6CBF56D1" w:rsidR="006C5BDB" w:rsidRPr="00EF72E4" w:rsidRDefault="006C5BDB" w:rsidP="006C5BDB">
            <w:pPr>
              <w:spacing w:before="50" w:after="60" w:line="240" w:lineRule="atLeast"/>
              <w:jc w:val="center"/>
              <w:rPr>
                <w:rFonts w:ascii="Arial" w:hAnsi="Arial" w:cs="Arial"/>
                <w:sz w:val="16"/>
                <w:szCs w:val="16"/>
              </w:rPr>
            </w:pPr>
            <w:r w:rsidRPr="00EF72E4">
              <w:rPr>
                <w:rFonts w:ascii="Arial" w:hAnsi="Arial" w:cs="Arial"/>
                <w:sz w:val="16"/>
                <w:szCs w:val="16"/>
              </w:rPr>
              <w:t>5</w:t>
            </w:r>
            <w:r w:rsidR="009662DE">
              <w:rPr>
                <w:rFonts w:ascii="Arial" w:hAnsi="Arial" w:cs="Arial"/>
                <w:sz w:val="16"/>
                <w:szCs w:val="16"/>
              </w:rPr>
              <w:t>7.0</w:t>
            </w:r>
          </w:p>
        </w:tc>
      </w:tr>
      <w:tr w:rsidR="006C5BDB" w:rsidRPr="00EF72E4" w14:paraId="398F49FB" w14:textId="77777777" w:rsidTr="00975470">
        <w:tc>
          <w:tcPr>
            <w:tcW w:w="3261" w:type="dxa"/>
            <w:vAlign w:val="center"/>
          </w:tcPr>
          <w:p w14:paraId="5BB8E144" w14:textId="77777777" w:rsidR="006C5BDB" w:rsidRPr="00EF72E4" w:rsidRDefault="006C5BDB" w:rsidP="006C5BDB">
            <w:pPr>
              <w:spacing w:before="50" w:after="60" w:line="240" w:lineRule="atLeast"/>
              <w:rPr>
                <w:rFonts w:ascii="Arial" w:hAnsi="Arial" w:cs="Arial"/>
                <w:sz w:val="16"/>
                <w:szCs w:val="16"/>
              </w:rPr>
            </w:pPr>
            <w:r w:rsidRPr="00EF72E4">
              <w:rPr>
                <w:rFonts w:ascii="Arial" w:hAnsi="Arial" w:cs="Arial"/>
                <w:sz w:val="16"/>
                <w:szCs w:val="16"/>
              </w:rPr>
              <w:t>Ferrous metals production (iron &amp; steel)</w:t>
            </w:r>
          </w:p>
        </w:tc>
        <w:tc>
          <w:tcPr>
            <w:tcW w:w="2126" w:type="dxa"/>
            <w:vAlign w:val="center"/>
          </w:tcPr>
          <w:p w14:paraId="5EA6D1CE" w14:textId="63D92285" w:rsidR="006C5BDB" w:rsidRPr="00EF72E4" w:rsidRDefault="006C5BDB" w:rsidP="006C5BDB">
            <w:pPr>
              <w:spacing w:line="300" w:lineRule="atLeast"/>
              <w:jc w:val="center"/>
              <w:rPr>
                <w:rFonts w:ascii="Arial" w:hAnsi="Arial" w:cs="Arial"/>
                <w:sz w:val="16"/>
                <w:szCs w:val="16"/>
              </w:rPr>
            </w:pPr>
            <w:r w:rsidRPr="00EF72E4">
              <w:rPr>
                <w:rFonts w:ascii="Arial" w:hAnsi="Arial" w:cs="Arial"/>
                <w:bCs/>
                <w:sz w:val="16"/>
                <w:szCs w:val="16"/>
              </w:rPr>
              <w:t>38.0 – 152 (95.1)</w:t>
            </w:r>
          </w:p>
        </w:tc>
        <w:tc>
          <w:tcPr>
            <w:tcW w:w="1871" w:type="dxa"/>
            <w:vAlign w:val="center"/>
          </w:tcPr>
          <w:p w14:paraId="40CBBF73" w14:textId="74DDF047" w:rsidR="006C5BDB" w:rsidRPr="00EF72E4" w:rsidRDefault="006C5BDB" w:rsidP="006C5BDB">
            <w:pPr>
              <w:spacing w:line="300" w:lineRule="atLeast"/>
              <w:jc w:val="center"/>
              <w:rPr>
                <w:rFonts w:ascii="Arial" w:hAnsi="Arial" w:cs="Arial"/>
                <w:sz w:val="16"/>
                <w:szCs w:val="16"/>
              </w:rPr>
            </w:pPr>
            <w:r w:rsidRPr="00EF72E4">
              <w:rPr>
                <w:rFonts w:ascii="Arial" w:hAnsi="Arial" w:cs="Arial"/>
                <w:bCs/>
                <w:sz w:val="16"/>
                <w:szCs w:val="16"/>
              </w:rPr>
              <w:t>19</w:t>
            </w:r>
            <w:r w:rsidR="009662DE">
              <w:rPr>
                <w:rFonts w:ascii="Arial" w:hAnsi="Arial" w:cs="Arial"/>
                <w:bCs/>
                <w:sz w:val="16"/>
                <w:szCs w:val="16"/>
              </w:rPr>
              <w:t>.0</w:t>
            </w:r>
            <w:r w:rsidRPr="00EF72E4">
              <w:rPr>
                <w:rFonts w:ascii="Arial" w:hAnsi="Arial" w:cs="Arial"/>
                <w:bCs/>
                <w:sz w:val="16"/>
                <w:szCs w:val="16"/>
              </w:rPr>
              <w:t xml:space="preserve"> - 76.</w:t>
            </w:r>
            <w:r w:rsidR="009662DE">
              <w:rPr>
                <w:rFonts w:ascii="Arial" w:hAnsi="Arial" w:cs="Arial"/>
                <w:bCs/>
                <w:sz w:val="16"/>
                <w:szCs w:val="16"/>
              </w:rPr>
              <w:t>2</w:t>
            </w:r>
            <w:r w:rsidRPr="00EF72E4">
              <w:rPr>
                <w:rFonts w:ascii="Arial" w:hAnsi="Arial" w:cs="Arial"/>
                <w:bCs/>
                <w:sz w:val="16"/>
                <w:szCs w:val="16"/>
              </w:rPr>
              <w:t xml:space="preserve"> (47.6)</w:t>
            </w:r>
          </w:p>
        </w:tc>
        <w:tc>
          <w:tcPr>
            <w:tcW w:w="1701" w:type="dxa"/>
            <w:vAlign w:val="center"/>
          </w:tcPr>
          <w:p w14:paraId="637C8308" w14:textId="39712151" w:rsidR="006C5BDB" w:rsidRPr="00EF72E4" w:rsidRDefault="006C5BDB" w:rsidP="006C5BDB">
            <w:pPr>
              <w:spacing w:before="50" w:after="60" w:line="240" w:lineRule="atLeast"/>
              <w:jc w:val="center"/>
              <w:rPr>
                <w:rFonts w:ascii="Arial" w:hAnsi="Arial" w:cs="Arial"/>
                <w:sz w:val="16"/>
                <w:szCs w:val="16"/>
              </w:rPr>
            </w:pPr>
          </w:p>
        </w:tc>
        <w:tc>
          <w:tcPr>
            <w:tcW w:w="1701" w:type="dxa"/>
            <w:vAlign w:val="center"/>
          </w:tcPr>
          <w:p w14:paraId="3ABBA518" w14:textId="7E16619A" w:rsidR="006C5BDB" w:rsidRPr="00EF72E4" w:rsidRDefault="006C5BDB" w:rsidP="006C5BDB">
            <w:pPr>
              <w:spacing w:before="50" w:after="60" w:line="240" w:lineRule="atLeast"/>
              <w:jc w:val="center"/>
              <w:rPr>
                <w:rFonts w:ascii="Arial" w:hAnsi="Arial" w:cs="Arial"/>
                <w:sz w:val="16"/>
                <w:szCs w:val="16"/>
              </w:rPr>
            </w:pPr>
            <w:r w:rsidRPr="00EF72E4">
              <w:rPr>
                <w:rFonts w:ascii="Arial" w:hAnsi="Arial" w:cs="Arial"/>
                <w:bCs/>
                <w:sz w:val="16"/>
                <w:szCs w:val="16"/>
              </w:rPr>
              <w:t>19.0 - 76.</w:t>
            </w:r>
            <w:r w:rsidR="009662DE">
              <w:rPr>
                <w:rFonts w:ascii="Arial" w:hAnsi="Arial" w:cs="Arial"/>
                <w:bCs/>
                <w:sz w:val="16"/>
                <w:szCs w:val="16"/>
              </w:rPr>
              <w:t>2</w:t>
            </w:r>
            <w:r w:rsidRPr="00EF72E4">
              <w:rPr>
                <w:rFonts w:ascii="Arial" w:hAnsi="Arial" w:cs="Arial"/>
                <w:bCs/>
                <w:sz w:val="16"/>
                <w:szCs w:val="16"/>
              </w:rPr>
              <w:t xml:space="preserve"> (47.6)</w:t>
            </w:r>
          </w:p>
        </w:tc>
        <w:tc>
          <w:tcPr>
            <w:tcW w:w="1843" w:type="dxa"/>
            <w:vAlign w:val="center"/>
          </w:tcPr>
          <w:p w14:paraId="4BB965BB" w14:textId="33D70BED" w:rsidR="006C5BDB" w:rsidRPr="00EF72E4" w:rsidRDefault="006C5BDB" w:rsidP="006C5BDB">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228092DF" w14:textId="5BF149FA" w:rsidR="006C5BDB" w:rsidRPr="00EF72E4" w:rsidRDefault="006C5BDB" w:rsidP="006C5BDB">
            <w:pPr>
              <w:spacing w:before="50" w:after="60" w:line="240" w:lineRule="atLeast"/>
              <w:jc w:val="center"/>
              <w:rPr>
                <w:rFonts w:ascii="Arial" w:hAnsi="Arial" w:cs="Arial"/>
                <w:sz w:val="16"/>
                <w:szCs w:val="16"/>
              </w:rPr>
            </w:pPr>
          </w:p>
        </w:tc>
      </w:tr>
      <w:tr w:rsidR="006C5BDB" w:rsidRPr="00EF72E4" w14:paraId="328AA9E8" w14:textId="77777777" w:rsidTr="00975470">
        <w:tc>
          <w:tcPr>
            <w:tcW w:w="3261" w:type="dxa"/>
            <w:vAlign w:val="center"/>
          </w:tcPr>
          <w:p w14:paraId="4915FB46" w14:textId="77777777" w:rsidR="006C5BDB" w:rsidRPr="00EF72E4" w:rsidRDefault="006C5BDB" w:rsidP="006C5BDB">
            <w:pPr>
              <w:spacing w:before="50" w:after="60" w:line="240" w:lineRule="atLeast"/>
              <w:rPr>
                <w:rFonts w:ascii="Arial" w:hAnsi="Arial" w:cs="Arial"/>
                <w:sz w:val="16"/>
                <w:szCs w:val="16"/>
              </w:rPr>
            </w:pPr>
            <w:r w:rsidRPr="00EF72E4">
              <w:rPr>
                <w:rFonts w:ascii="Arial" w:hAnsi="Arial" w:cs="Arial"/>
                <w:sz w:val="16"/>
                <w:szCs w:val="16"/>
              </w:rPr>
              <w:t>Cement production</w:t>
            </w:r>
          </w:p>
        </w:tc>
        <w:tc>
          <w:tcPr>
            <w:tcW w:w="2126" w:type="dxa"/>
            <w:vAlign w:val="center"/>
          </w:tcPr>
          <w:p w14:paraId="6B558524" w14:textId="7F63FE97" w:rsidR="006C5BDB" w:rsidRPr="00EF72E4" w:rsidRDefault="006C5BDB" w:rsidP="006C5BDB">
            <w:pPr>
              <w:spacing w:line="300" w:lineRule="atLeast"/>
              <w:jc w:val="center"/>
              <w:rPr>
                <w:rFonts w:ascii="Arial" w:hAnsi="Arial" w:cs="Arial"/>
                <w:sz w:val="16"/>
                <w:szCs w:val="16"/>
              </w:rPr>
            </w:pPr>
            <w:r w:rsidRPr="00EF72E4">
              <w:rPr>
                <w:rFonts w:ascii="Arial" w:hAnsi="Arial" w:cs="Arial"/>
                <w:sz w:val="16"/>
                <w:szCs w:val="16"/>
              </w:rPr>
              <w:t>0.67</w:t>
            </w:r>
          </w:p>
        </w:tc>
        <w:tc>
          <w:tcPr>
            <w:tcW w:w="1871" w:type="dxa"/>
            <w:vAlign w:val="center"/>
          </w:tcPr>
          <w:p w14:paraId="4AE1B8AE" w14:textId="1865596D" w:rsidR="006C5BDB" w:rsidRPr="00EF72E4" w:rsidRDefault="006C5BDB" w:rsidP="006C5BDB">
            <w:pPr>
              <w:spacing w:line="300" w:lineRule="atLeast"/>
              <w:jc w:val="center"/>
              <w:rPr>
                <w:rFonts w:ascii="Arial" w:hAnsi="Arial" w:cs="Arial"/>
                <w:sz w:val="16"/>
                <w:szCs w:val="16"/>
              </w:rPr>
            </w:pPr>
            <w:r w:rsidRPr="00EF72E4">
              <w:rPr>
                <w:rFonts w:ascii="Arial" w:hAnsi="Arial" w:cs="Arial"/>
                <w:sz w:val="16"/>
                <w:szCs w:val="16"/>
              </w:rPr>
              <w:t>0.44</w:t>
            </w:r>
          </w:p>
        </w:tc>
        <w:tc>
          <w:tcPr>
            <w:tcW w:w="1701" w:type="dxa"/>
            <w:vAlign w:val="center"/>
          </w:tcPr>
          <w:p w14:paraId="5076B5C4" w14:textId="27CC12F6" w:rsidR="006C5BDB" w:rsidRPr="00EF72E4" w:rsidRDefault="006C5BDB" w:rsidP="006C5BDB">
            <w:pPr>
              <w:spacing w:line="30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7527EFC6" w14:textId="304EBF69" w:rsidR="006C5BDB" w:rsidRPr="00EF72E4" w:rsidRDefault="006C5BDB" w:rsidP="006C5BDB">
            <w:pPr>
              <w:spacing w:line="300" w:lineRule="atLeast"/>
              <w:jc w:val="center"/>
              <w:rPr>
                <w:rFonts w:ascii="Arial" w:hAnsi="Arial" w:cs="Arial"/>
                <w:sz w:val="16"/>
                <w:szCs w:val="16"/>
              </w:rPr>
            </w:pPr>
            <w:r w:rsidRPr="00EF72E4">
              <w:rPr>
                <w:rFonts w:ascii="Arial" w:hAnsi="Arial" w:cs="Arial"/>
                <w:sz w:val="16"/>
                <w:szCs w:val="16"/>
              </w:rPr>
              <w:t>-</w:t>
            </w:r>
          </w:p>
        </w:tc>
        <w:tc>
          <w:tcPr>
            <w:tcW w:w="1843" w:type="dxa"/>
            <w:vAlign w:val="center"/>
          </w:tcPr>
          <w:p w14:paraId="18267B63" w14:textId="40F1D69A" w:rsidR="006C5BDB" w:rsidRPr="00EF72E4" w:rsidRDefault="006C5BDB" w:rsidP="006C5BDB">
            <w:pPr>
              <w:spacing w:line="300" w:lineRule="atLeast"/>
              <w:jc w:val="center"/>
              <w:rPr>
                <w:rFonts w:ascii="Arial" w:hAnsi="Arial" w:cs="Arial"/>
                <w:sz w:val="16"/>
                <w:szCs w:val="16"/>
              </w:rPr>
            </w:pPr>
            <w:r w:rsidRPr="00EF72E4">
              <w:rPr>
                <w:rFonts w:ascii="Arial" w:hAnsi="Arial" w:cs="Arial"/>
                <w:sz w:val="16"/>
                <w:szCs w:val="16"/>
              </w:rPr>
              <w:t>0.19</w:t>
            </w:r>
          </w:p>
        </w:tc>
        <w:tc>
          <w:tcPr>
            <w:tcW w:w="1672" w:type="dxa"/>
            <w:vAlign w:val="center"/>
          </w:tcPr>
          <w:p w14:paraId="17585391" w14:textId="015BB7A4" w:rsidR="006C5BDB" w:rsidRPr="00EF72E4" w:rsidRDefault="006C5BDB" w:rsidP="006C5BDB">
            <w:pPr>
              <w:spacing w:before="50" w:after="60" w:line="240" w:lineRule="atLeast"/>
              <w:jc w:val="center"/>
              <w:rPr>
                <w:rFonts w:ascii="Arial" w:hAnsi="Arial" w:cs="Arial"/>
                <w:sz w:val="16"/>
                <w:szCs w:val="16"/>
              </w:rPr>
            </w:pPr>
            <w:r w:rsidRPr="00EF72E4">
              <w:rPr>
                <w:rFonts w:ascii="Arial" w:hAnsi="Arial" w:cs="Arial"/>
                <w:sz w:val="16"/>
                <w:szCs w:val="16"/>
              </w:rPr>
              <w:t>-</w:t>
            </w:r>
          </w:p>
        </w:tc>
      </w:tr>
      <w:tr w:rsidR="00C241F7" w:rsidRPr="00EF72E4" w14:paraId="151F2007" w14:textId="77777777" w:rsidTr="00975470">
        <w:tc>
          <w:tcPr>
            <w:tcW w:w="3261" w:type="dxa"/>
            <w:vAlign w:val="center"/>
          </w:tcPr>
          <w:p w14:paraId="0CA50705" w14:textId="77777777" w:rsidR="00C241F7" w:rsidRPr="00EF72E4" w:rsidRDefault="00C241F7" w:rsidP="00C241F7">
            <w:pPr>
              <w:spacing w:before="50" w:after="60" w:line="240" w:lineRule="atLeast"/>
              <w:rPr>
                <w:rFonts w:ascii="Arial" w:hAnsi="Arial" w:cs="Arial"/>
                <w:sz w:val="16"/>
                <w:szCs w:val="16"/>
              </w:rPr>
            </w:pPr>
            <w:r w:rsidRPr="00EF72E4">
              <w:rPr>
                <w:rFonts w:ascii="Arial" w:hAnsi="Arial" w:cs="Arial"/>
                <w:sz w:val="16"/>
                <w:szCs w:val="16"/>
              </w:rPr>
              <w:t>Lime production</w:t>
            </w:r>
          </w:p>
        </w:tc>
        <w:tc>
          <w:tcPr>
            <w:tcW w:w="2126" w:type="dxa"/>
            <w:vAlign w:val="center"/>
          </w:tcPr>
          <w:p w14:paraId="320B0736" w14:textId="2FEB8D3C" w:rsidR="00C241F7" w:rsidRPr="00EF72E4" w:rsidRDefault="00C241F7" w:rsidP="00C241F7">
            <w:pPr>
              <w:spacing w:line="300" w:lineRule="atLeast"/>
              <w:jc w:val="center"/>
              <w:rPr>
                <w:rFonts w:ascii="Arial" w:hAnsi="Arial" w:cs="Arial"/>
                <w:sz w:val="16"/>
                <w:szCs w:val="16"/>
              </w:rPr>
            </w:pPr>
            <w:r w:rsidRPr="00EF72E4">
              <w:rPr>
                <w:rFonts w:ascii="Arial" w:hAnsi="Arial" w:cs="Arial"/>
                <w:color w:val="000000" w:themeColor="text1"/>
                <w:sz w:val="16"/>
                <w:szCs w:val="16"/>
              </w:rPr>
              <w:t>0.64 – 2.57 (1.6</w:t>
            </w:r>
            <w:r w:rsidR="009662DE">
              <w:rPr>
                <w:rFonts w:ascii="Arial" w:hAnsi="Arial" w:cs="Arial"/>
                <w:color w:val="000000" w:themeColor="text1"/>
                <w:sz w:val="16"/>
                <w:szCs w:val="16"/>
              </w:rPr>
              <w:t>1</w:t>
            </w:r>
            <w:r w:rsidRPr="00EF72E4">
              <w:rPr>
                <w:rFonts w:ascii="Arial" w:hAnsi="Arial" w:cs="Arial"/>
                <w:color w:val="000000" w:themeColor="text1"/>
                <w:sz w:val="16"/>
                <w:szCs w:val="16"/>
              </w:rPr>
              <w:t>)</w:t>
            </w:r>
          </w:p>
        </w:tc>
        <w:tc>
          <w:tcPr>
            <w:tcW w:w="1871" w:type="dxa"/>
            <w:vAlign w:val="center"/>
          </w:tcPr>
          <w:p w14:paraId="6C206587" w14:textId="3884A468" w:rsidR="00C241F7" w:rsidRPr="00EF72E4" w:rsidRDefault="00C241F7" w:rsidP="00C241F7">
            <w:pPr>
              <w:spacing w:line="300" w:lineRule="atLeast"/>
              <w:jc w:val="center"/>
              <w:rPr>
                <w:rFonts w:ascii="Arial" w:hAnsi="Arial" w:cs="Arial"/>
                <w:sz w:val="16"/>
                <w:szCs w:val="16"/>
              </w:rPr>
            </w:pPr>
            <w:r w:rsidRPr="00EF72E4">
              <w:rPr>
                <w:rFonts w:ascii="Arial" w:hAnsi="Arial" w:cs="Arial"/>
                <w:color w:val="000000" w:themeColor="text1"/>
                <w:sz w:val="16"/>
                <w:szCs w:val="16"/>
              </w:rPr>
              <w:t>0.45 -1.80 (1.1</w:t>
            </w:r>
            <w:r w:rsidR="009662DE">
              <w:rPr>
                <w:rFonts w:ascii="Arial" w:hAnsi="Arial" w:cs="Arial"/>
                <w:color w:val="000000" w:themeColor="text1"/>
                <w:sz w:val="16"/>
                <w:szCs w:val="16"/>
              </w:rPr>
              <w:t>3</w:t>
            </w:r>
            <w:r w:rsidRPr="00EF72E4">
              <w:rPr>
                <w:rFonts w:ascii="Arial" w:hAnsi="Arial" w:cs="Arial"/>
                <w:color w:val="000000" w:themeColor="text1"/>
                <w:sz w:val="16"/>
                <w:szCs w:val="16"/>
              </w:rPr>
              <w:t>)</w:t>
            </w:r>
          </w:p>
        </w:tc>
        <w:tc>
          <w:tcPr>
            <w:tcW w:w="1701" w:type="dxa"/>
            <w:vAlign w:val="center"/>
          </w:tcPr>
          <w:p w14:paraId="31E3CDC0" w14:textId="6122552A"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color w:val="000000" w:themeColor="text1"/>
                <w:sz w:val="16"/>
                <w:szCs w:val="16"/>
              </w:rPr>
              <w:t>-</w:t>
            </w:r>
          </w:p>
        </w:tc>
        <w:tc>
          <w:tcPr>
            <w:tcW w:w="1701" w:type="dxa"/>
            <w:vAlign w:val="center"/>
          </w:tcPr>
          <w:p w14:paraId="0B591333" w14:textId="4FEB223F"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color w:val="000000" w:themeColor="text1"/>
                <w:sz w:val="16"/>
                <w:szCs w:val="16"/>
              </w:rPr>
              <w:t>-</w:t>
            </w:r>
          </w:p>
        </w:tc>
        <w:tc>
          <w:tcPr>
            <w:tcW w:w="1843" w:type="dxa"/>
            <w:vAlign w:val="center"/>
          </w:tcPr>
          <w:p w14:paraId="734233D6" w14:textId="76544C7B"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color w:val="000000" w:themeColor="text1"/>
                <w:sz w:val="16"/>
                <w:szCs w:val="16"/>
              </w:rPr>
              <w:t>0.193 – 0.772 (0.483)</w:t>
            </w:r>
          </w:p>
        </w:tc>
        <w:tc>
          <w:tcPr>
            <w:tcW w:w="1672" w:type="dxa"/>
            <w:vAlign w:val="center"/>
          </w:tcPr>
          <w:p w14:paraId="4DCB8E4E" w14:textId="783F37F3"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r>
      <w:tr w:rsidR="00C241F7" w:rsidRPr="00EF72E4" w14:paraId="78F0E767" w14:textId="77777777" w:rsidTr="00975470">
        <w:tc>
          <w:tcPr>
            <w:tcW w:w="3261" w:type="dxa"/>
            <w:vAlign w:val="center"/>
          </w:tcPr>
          <w:p w14:paraId="661C7047" w14:textId="77777777" w:rsidR="00C241F7" w:rsidRPr="00EF72E4" w:rsidRDefault="00C241F7" w:rsidP="00C241F7">
            <w:pPr>
              <w:spacing w:before="50" w:after="60" w:line="240" w:lineRule="atLeast"/>
              <w:rPr>
                <w:rFonts w:ascii="Arial" w:hAnsi="Arial" w:cs="Arial"/>
                <w:sz w:val="16"/>
                <w:szCs w:val="16"/>
              </w:rPr>
            </w:pPr>
            <w:r w:rsidRPr="00EF72E4">
              <w:rPr>
                <w:rFonts w:ascii="Arial" w:hAnsi="Arial" w:cs="Arial"/>
                <w:sz w:val="16"/>
                <w:szCs w:val="16"/>
              </w:rPr>
              <w:t>Phosphate fertiliser</w:t>
            </w:r>
          </w:p>
        </w:tc>
        <w:tc>
          <w:tcPr>
            <w:tcW w:w="2126" w:type="dxa"/>
            <w:vAlign w:val="center"/>
          </w:tcPr>
          <w:p w14:paraId="6C0C356C" w14:textId="689F624C"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132</w:t>
            </w:r>
          </w:p>
        </w:tc>
        <w:tc>
          <w:tcPr>
            <w:tcW w:w="1871" w:type="dxa"/>
            <w:vAlign w:val="center"/>
          </w:tcPr>
          <w:p w14:paraId="2B6A6413" w14:textId="458AE5AF" w:rsidR="00C241F7" w:rsidRPr="00EF72E4" w:rsidRDefault="00C241F7" w:rsidP="00C241F7">
            <w:pPr>
              <w:spacing w:before="50" w:after="60" w:line="240" w:lineRule="atLeast"/>
              <w:jc w:val="center"/>
              <w:rPr>
                <w:rFonts w:ascii="Arial" w:hAnsi="Arial" w:cs="Arial"/>
                <w:sz w:val="16"/>
                <w:szCs w:val="16"/>
              </w:rPr>
            </w:pPr>
          </w:p>
        </w:tc>
        <w:tc>
          <w:tcPr>
            <w:tcW w:w="1701" w:type="dxa"/>
            <w:vAlign w:val="center"/>
          </w:tcPr>
          <w:p w14:paraId="2B8DFFD9" w14:textId="46F73465"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019D0499" w14:textId="1EA03091"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132</w:t>
            </w:r>
          </w:p>
        </w:tc>
        <w:tc>
          <w:tcPr>
            <w:tcW w:w="1843" w:type="dxa"/>
            <w:vAlign w:val="center"/>
          </w:tcPr>
          <w:p w14:paraId="7FC6101C" w14:textId="34E17007"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6C64FAA8" w14:textId="01793340"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r>
      <w:tr w:rsidR="00C241F7" w:rsidRPr="00EF72E4" w14:paraId="5ADD32BA" w14:textId="77777777" w:rsidTr="00975470">
        <w:tc>
          <w:tcPr>
            <w:tcW w:w="3261" w:type="dxa"/>
            <w:vAlign w:val="center"/>
          </w:tcPr>
          <w:p w14:paraId="4CEA5BAB" w14:textId="77777777" w:rsidR="00C241F7" w:rsidRPr="00EF72E4" w:rsidRDefault="00C241F7" w:rsidP="00C241F7">
            <w:pPr>
              <w:spacing w:before="50" w:after="60" w:line="240" w:lineRule="atLeast"/>
              <w:rPr>
                <w:rFonts w:ascii="Arial" w:hAnsi="Arial" w:cs="Arial"/>
                <w:sz w:val="16"/>
                <w:szCs w:val="16"/>
              </w:rPr>
            </w:pPr>
            <w:r w:rsidRPr="00EF72E4">
              <w:rPr>
                <w:rFonts w:ascii="Arial" w:hAnsi="Arial" w:cs="Arial"/>
                <w:sz w:val="16"/>
                <w:szCs w:val="16"/>
              </w:rPr>
              <w:t>Agricultural lime application</w:t>
            </w:r>
          </w:p>
        </w:tc>
        <w:tc>
          <w:tcPr>
            <w:tcW w:w="2126" w:type="dxa"/>
            <w:vAlign w:val="center"/>
          </w:tcPr>
          <w:p w14:paraId="55CB95B2" w14:textId="476B99ED"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4.70 – 18.8 (11.</w:t>
            </w:r>
            <w:r w:rsidR="009662DE">
              <w:rPr>
                <w:rFonts w:ascii="Arial" w:hAnsi="Arial" w:cs="Arial"/>
                <w:sz w:val="16"/>
                <w:szCs w:val="16"/>
              </w:rPr>
              <w:t>8</w:t>
            </w:r>
            <w:r w:rsidRPr="00EF72E4">
              <w:rPr>
                <w:rFonts w:ascii="Arial" w:hAnsi="Arial" w:cs="Arial"/>
                <w:sz w:val="16"/>
                <w:szCs w:val="16"/>
              </w:rPr>
              <w:t>)</w:t>
            </w:r>
          </w:p>
        </w:tc>
        <w:tc>
          <w:tcPr>
            <w:tcW w:w="1871" w:type="dxa"/>
            <w:vAlign w:val="center"/>
          </w:tcPr>
          <w:p w14:paraId="7E3AC10D" w14:textId="372B1D28"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2F0D0570" w14:textId="05042E29"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21965AF4" w14:textId="6E9EFFFB"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4.70 – 18.8 (11.</w:t>
            </w:r>
            <w:r w:rsidR="009662DE">
              <w:rPr>
                <w:rFonts w:ascii="Arial" w:hAnsi="Arial" w:cs="Arial"/>
                <w:sz w:val="16"/>
                <w:szCs w:val="16"/>
              </w:rPr>
              <w:t>8</w:t>
            </w:r>
            <w:r w:rsidRPr="00EF72E4">
              <w:rPr>
                <w:rFonts w:ascii="Arial" w:hAnsi="Arial" w:cs="Arial"/>
                <w:sz w:val="16"/>
                <w:szCs w:val="16"/>
              </w:rPr>
              <w:t>)</w:t>
            </w:r>
          </w:p>
        </w:tc>
        <w:tc>
          <w:tcPr>
            <w:tcW w:w="1843" w:type="dxa"/>
            <w:vAlign w:val="center"/>
          </w:tcPr>
          <w:p w14:paraId="202BFE23" w14:textId="6EDBDB1A"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52C140BB" w14:textId="32EDF1F8"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r>
      <w:tr w:rsidR="00C241F7" w:rsidRPr="00EF72E4" w14:paraId="56FD47FB" w14:textId="77777777" w:rsidTr="00975470">
        <w:tc>
          <w:tcPr>
            <w:tcW w:w="3261" w:type="dxa"/>
            <w:vAlign w:val="center"/>
          </w:tcPr>
          <w:p w14:paraId="72EFFFE1" w14:textId="77777777" w:rsidR="00C241F7" w:rsidRPr="00EF72E4" w:rsidRDefault="00C241F7" w:rsidP="00C241F7">
            <w:pPr>
              <w:spacing w:before="50" w:after="60" w:line="240" w:lineRule="atLeast"/>
              <w:rPr>
                <w:rFonts w:ascii="Arial" w:hAnsi="Arial" w:cs="Arial"/>
                <w:sz w:val="16"/>
                <w:szCs w:val="16"/>
              </w:rPr>
            </w:pPr>
            <w:r w:rsidRPr="00EF72E4">
              <w:rPr>
                <w:rFonts w:ascii="Arial" w:hAnsi="Arial" w:cs="Arial"/>
                <w:sz w:val="16"/>
                <w:szCs w:val="16"/>
              </w:rPr>
              <w:t>Thermometers with mercury</w:t>
            </w:r>
          </w:p>
        </w:tc>
        <w:tc>
          <w:tcPr>
            <w:tcW w:w="2126" w:type="dxa"/>
            <w:vAlign w:val="center"/>
          </w:tcPr>
          <w:p w14:paraId="7C3853AB" w14:textId="0B70124C"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0.0005 – 0.005 (0.0028)</w:t>
            </w:r>
          </w:p>
        </w:tc>
        <w:tc>
          <w:tcPr>
            <w:tcW w:w="1871" w:type="dxa"/>
            <w:vAlign w:val="center"/>
          </w:tcPr>
          <w:p w14:paraId="17EECDEB" w14:textId="2BA264C1"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0.00005 – 0.0005 (0.00028)</w:t>
            </w:r>
          </w:p>
        </w:tc>
        <w:tc>
          <w:tcPr>
            <w:tcW w:w="1701" w:type="dxa"/>
          </w:tcPr>
          <w:p w14:paraId="3F5E8185" w14:textId="6B4D2136"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0.00015 – 0.0015 (0.00083)</w:t>
            </w:r>
          </w:p>
        </w:tc>
        <w:tc>
          <w:tcPr>
            <w:tcW w:w="1701" w:type="dxa"/>
            <w:vAlign w:val="center"/>
          </w:tcPr>
          <w:p w14:paraId="279B9A4B" w14:textId="61FADBBE"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843" w:type="dxa"/>
            <w:vAlign w:val="center"/>
          </w:tcPr>
          <w:p w14:paraId="177AF3F5" w14:textId="2534E81A"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62EDC722" w14:textId="46C17693"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0.0003 – 0.003 (0.0017)</w:t>
            </w:r>
          </w:p>
        </w:tc>
      </w:tr>
      <w:tr w:rsidR="00C241F7" w:rsidRPr="00EF72E4" w14:paraId="3B862B68" w14:textId="77777777" w:rsidTr="00975470">
        <w:tc>
          <w:tcPr>
            <w:tcW w:w="3261" w:type="dxa"/>
            <w:vAlign w:val="center"/>
          </w:tcPr>
          <w:p w14:paraId="4DBF3FD9" w14:textId="77777777" w:rsidR="00C241F7" w:rsidRPr="00EF72E4" w:rsidRDefault="00C241F7" w:rsidP="00C241F7">
            <w:pPr>
              <w:spacing w:before="50" w:after="60" w:line="240" w:lineRule="atLeast"/>
              <w:rPr>
                <w:rFonts w:ascii="Arial" w:hAnsi="Arial" w:cs="Arial"/>
                <w:sz w:val="16"/>
                <w:szCs w:val="16"/>
              </w:rPr>
            </w:pPr>
            <w:r w:rsidRPr="00EF72E4">
              <w:rPr>
                <w:rFonts w:ascii="Arial" w:hAnsi="Arial" w:cs="Arial"/>
                <w:sz w:val="16"/>
                <w:szCs w:val="16"/>
              </w:rPr>
              <w:t xml:space="preserve">Electrical switches, contacts and relays with mercury </w:t>
            </w:r>
          </w:p>
        </w:tc>
        <w:tc>
          <w:tcPr>
            <w:tcW w:w="2126" w:type="dxa"/>
            <w:vAlign w:val="center"/>
          </w:tcPr>
          <w:p w14:paraId="3D01559A" w14:textId="51E0B358" w:rsidR="00C241F7" w:rsidRPr="00EF72E4" w:rsidRDefault="00922130" w:rsidP="00C241F7">
            <w:pPr>
              <w:spacing w:line="300" w:lineRule="atLeast"/>
              <w:jc w:val="center"/>
              <w:rPr>
                <w:rFonts w:ascii="Arial" w:hAnsi="Arial" w:cs="Arial"/>
                <w:sz w:val="16"/>
                <w:szCs w:val="16"/>
              </w:rPr>
            </w:pPr>
            <w:r>
              <w:rPr>
                <w:rFonts w:ascii="Arial" w:hAnsi="Arial" w:cs="Arial"/>
                <w:sz w:val="16"/>
                <w:szCs w:val="16"/>
              </w:rPr>
              <w:t>6.4</w:t>
            </w:r>
          </w:p>
        </w:tc>
        <w:tc>
          <w:tcPr>
            <w:tcW w:w="1871" w:type="dxa"/>
            <w:vAlign w:val="center"/>
          </w:tcPr>
          <w:p w14:paraId="773DD2C1" w14:textId="2AB93700" w:rsidR="00C241F7" w:rsidRPr="00EF72E4" w:rsidRDefault="00922130" w:rsidP="00C241F7">
            <w:pPr>
              <w:spacing w:line="300" w:lineRule="atLeast"/>
              <w:jc w:val="center"/>
              <w:rPr>
                <w:rFonts w:ascii="Arial" w:hAnsi="Arial" w:cs="Arial"/>
                <w:sz w:val="16"/>
                <w:szCs w:val="16"/>
              </w:rPr>
            </w:pPr>
            <w:r>
              <w:rPr>
                <w:rFonts w:ascii="Arial" w:hAnsi="Arial" w:cs="Arial"/>
                <w:sz w:val="16"/>
                <w:szCs w:val="16"/>
              </w:rPr>
              <w:t>0.64</w:t>
            </w:r>
          </w:p>
        </w:tc>
        <w:tc>
          <w:tcPr>
            <w:tcW w:w="1701" w:type="dxa"/>
            <w:vAlign w:val="center"/>
          </w:tcPr>
          <w:p w14:paraId="19CB1FD7" w14:textId="70F1EC08"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209139F9" w14:textId="128A4812" w:rsidR="00C241F7" w:rsidRPr="00EF72E4" w:rsidRDefault="00922130" w:rsidP="00C241F7">
            <w:pPr>
              <w:spacing w:before="50" w:after="60" w:line="240" w:lineRule="atLeast"/>
              <w:jc w:val="center"/>
              <w:rPr>
                <w:rFonts w:ascii="Arial" w:hAnsi="Arial" w:cs="Arial"/>
                <w:sz w:val="16"/>
                <w:szCs w:val="16"/>
              </w:rPr>
            </w:pPr>
            <w:r>
              <w:rPr>
                <w:rFonts w:ascii="Arial" w:hAnsi="Arial" w:cs="Arial"/>
                <w:sz w:val="16"/>
                <w:szCs w:val="16"/>
              </w:rPr>
              <w:t>0.64</w:t>
            </w:r>
          </w:p>
        </w:tc>
        <w:tc>
          <w:tcPr>
            <w:tcW w:w="1843" w:type="dxa"/>
            <w:vAlign w:val="center"/>
          </w:tcPr>
          <w:p w14:paraId="7E69C824" w14:textId="5CDC8A11"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3B30003E" w14:textId="0E74D3E8" w:rsidR="00C241F7" w:rsidRPr="00EF72E4" w:rsidRDefault="00922130" w:rsidP="00C241F7">
            <w:pPr>
              <w:spacing w:before="50" w:after="60" w:line="240" w:lineRule="atLeast"/>
              <w:jc w:val="center"/>
              <w:rPr>
                <w:rFonts w:ascii="Arial" w:hAnsi="Arial" w:cs="Arial"/>
                <w:sz w:val="16"/>
                <w:szCs w:val="16"/>
              </w:rPr>
            </w:pPr>
            <w:r>
              <w:rPr>
                <w:rFonts w:ascii="Arial" w:hAnsi="Arial" w:cs="Arial"/>
                <w:sz w:val="16"/>
                <w:szCs w:val="16"/>
              </w:rPr>
              <w:t>5.12</w:t>
            </w:r>
          </w:p>
        </w:tc>
      </w:tr>
      <w:tr w:rsidR="00C241F7" w:rsidRPr="00EF72E4" w14:paraId="65877BE8" w14:textId="77777777" w:rsidTr="00975470">
        <w:tc>
          <w:tcPr>
            <w:tcW w:w="3261" w:type="dxa"/>
            <w:vAlign w:val="center"/>
          </w:tcPr>
          <w:p w14:paraId="253C094D" w14:textId="77777777" w:rsidR="00C241F7" w:rsidRPr="00EF72E4" w:rsidRDefault="00C241F7" w:rsidP="00C241F7">
            <w:pPr>
              <w:spacing w:before="50" w:after="60" w:line="240" w:lineRule="atLeast"/>
              <w:rPr>
                <w:rFonts w:ascii="Arial" w:hAnsi="Arial" w:cs="Arial"/>
                <w:sz w:val="16"/>
                <w:szCs w:val="16"/>
              </w:rPr>
            </w:pPr>
            <w:r w:rsidRPr="00EF72E4">
              <w:rPr>
                <w:rFonts w:ascii="Arial" w:hAnsi="Arial" w:cs="Arial"/>
                <w:sz w:val="16"/>
                <w:szCs w:val="16"/>
              </w:rPr>
              <w:t>Light sources - lamps</w:t>
            </w:r>
          </w:p>
        </w:tc>
        <w:tc>
          <w:tcPr>
            <w:tcW w:w="2126" w:type="dxa"/>
            <w:vAlign w:val="center"/>
          </w:tcPr>
          <w:p w14:paraId="0B3DA49F" w14:textId="6BF02752" w:rsidR="00C241F7" w:rsidRPr="00EF72E4" w:rsidRDefault="00C241F7" w:rsidP="00C241F7">
            <w:pPr>
              <w:spacing w:line="300" w:lineRule="atLeast"/>
              <w:jc w:val="center"/>
              <w:rPr>
                <w:rFonts w:ascii="Arial" w:hAnsi="Arial" w:cs="Arial"/>
                <w:sz w:val="16"/>
                <w:szCs w:val="16"/>
              </w:rPr>
            </w:pPr>
            <w:r w:rsidRPr="00EF72E4">
              <w:rPr>
                <w:rFonts w:ascii="Arial" w:hAnsi="Arial" w:cs="Arial"/>
                <w:sz w:val="16"/>
                <w:szCs w:val="16"/>
              </w:rPr>
              <w:t>2.</w:t>
            </w:r>
            <w:r w:rsidR="009662DE">
              <w:rPr>
                <w:rFonts w:ascii="Arial" w:hAnsi="Arial" w:cs="Arial"/>
                <w:sz w:val="16"/>
                <w:szCs w:val="16"/>
              </w:rPr>
              <w:t>4</w:t>
            </w:r>
            <w:r w:rsidRPr="00EF72E4">
              <w:rPr>
                <w:rFonts w:ascii="Arial" w:hAnsi="Arial" w:cs="Arial"/>
                <w:sz w:val="16"/>
                <w:szCs w:val="16"/>
              </w:rPr>
              <w:t xml:space="preserve"> – 8.1 (5.</w:t>
            </w:r>
            <w:r w:rsidR="00ED1439">
              <w:rPr>
                <w:rFonts w:ascii="Arial" w:hAnsi="Arial" w:cs="Arial"/>
                <w:sz w:val="16"/>
                <w:szCs w:val="16"/>
              </w:rPr>
              <w:t>3</w:t>
            </w:r>
            <w:r w:rsidRPr="00EF72E4">
              <w:rPr>
                <w:rFonts w:ascii="Arial" w:hAnsi="Arial" w:cs="Arial"/>
                <w:sz w:val="16"/>
                <w:szCs w:val="16"/>
              </w:rPr>
              <w:t>)</w:t>
            </w:r>
          </w:p>
        </w:tc>
        <w:tc>
          <w:tcPr>
            <w:tcW w:w="1871" w:type="dxa"/>
            <w:vAlign w:val="center"/>
          </w:tcPr>
          <w:p w14:paraId="56E10C7A" w14:textId="35FB414D" w:rsidR="00C241F7" w:rsidRPr="00EF72E4" w:rsidRDefault="00C241F7" w:rsidP="00C241F7">
            <w:pPr>
              <w:spacing w:line="300" w:lineRule="atLeast"/>
              <w:jc w:val="center"/>
              <w:rPr>
                <w:rFonts w:ascii="Arial" w:hAnsi="Arial" w:cs="Arial"/>
                <w:sz w:val="16"/>
                <w:szCs w:val="16"/>
              </w:rPr>
            </w:pPr>
            <w:r w:rsidRPr="00EF72E4">
              <w:rPr>
                <w:rFonts w:ascii="Arial" w:hAnsi="Arial" w:cs="Arial"/>
                <w:sz w:val="16"/>
                <w:szCs w:val="16"/>
              </w:rPr>
              <w:t>0.1</w:t>
            </w:r>
            <w:r w:rsidR="00ED1439">
              <w:rPr>
                <w:rFonts w:ascii="Arial" w:hAnsi="Arial" w:cs="Arial"/>
                <w:sz w:val="16"/>
                <w:szCs w:val="16"/>
              </w:rPr>
              <w:t>2</w:t>
            </w:r>
            <w:r w:rsidRPr="00EF72E4">
              <w:rPr>
                <w:rFonts w:ascii="Arial" w:hAnsi="Arial" w:cs="Arial"/>
                <w:sz w:val="16"/>
                <w:szCs w:val="16"/>
              </w:rPr>
              <w:t xml:space="preserve"> – 0.4</w:t>
            </w:r>
            <w:r w:rsidR="00ED1439">
              <w:rPr>
                <w:rFonts w:ascii="Arial" w:hAnsi="Arial" w:cs="Arial"/>
                <w:sz w:val="16"/>
                <w:szCs w:val="16"/>
              </w:rPr>
              <w:t>1</w:t>
            </w:r>
            <w:r w:rsidRPr="00EF72E4">
              <w:rPr>
                <w:rFonts w:ascii="Arial" w:hAnsi="Arial" w:cs="Arial"/>
                <w:sz w:val="16"/>
                <w:szCs w:val="16"/>
              </w:rPr>
              <w:t xml:space="preserve"> (0.26)</w:t>
            </w:r>
          </w:p>
        </w:tc>
        <w:tc>
          <w:tcPr>
            <w:tcW w:w="1701" w:type="dxa"/>
            <w:vAlign w:val="center"/>
          </w:tcPr>
          <w:p w14:paraId="12A87E50" w14:textId="3F0170BF" w:rsidR="00C241F7" w:rsidRPr="00EF72E4" w:rsidRDefault="00C241F7" w:rsidP="00C241F7">
            <w:pPr>
              <w:spacing w:line="30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65027C4E" w14:textId="38C8096D" w:rsidR="00C241F7" w:rsidRPr="00EF72E4" w:rsidRDefault="00C241F7" w:rsidP="00C241F7">
            <w:pPr>
              <w:spacing w:line="300" w:lineRule="atLeast"/>
              <w:jc w:val="center"/>
              <w:rPr>
                <w:rFonts w:ascii="Arial" w:hAnsi="Arial" w:cs="Arial"/>
                <w:sz w:val="16"/>
                <w:szCs w:val="16"/>
              </w:rPr>
            </w:pPr>
            <w:r w:rsidRPr="00EF72E4">
              <w:rPr>
                <w:rFonts w:ascii="Arial" w:hAnsi="Arial" w:cs="Arial"/>
                <w:sz w:val="16"/>
                <w:szCs w:val="16"/>
              </w:rPr>
              <w:t>-</w:t>
            </w:r>
          </w:p>
        </w:tc>
        <w:tc>
          <w:tcPr>
            <w:tcW w:w="1843" w:type="dxa"/>
            <w:vAlign w:val="center"/>
          </w:tcPr>
          <w:p w14:paraId="2B67B3D9" w14:textId="40DC4719" w:rsidR="00C241F7" w:rsidRPr="00EF72E4" w:rsidRDefault="00C241F7" w:rsidP="00C241F7">
            <w:pPr>
              <w:spacing w:line="30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446B5ACE" w14:textId="298AE97D" w:rsidR="00C241F7" w:rsidRPr="00EF72E4" w:rsidRDefault="00C241F7" w:rsidP="00C241F7">
            <w:pPr>
              <w:spacing w:line="300" w:lineRule="atLeast"/>
              <w:jc w:val="center"/>
              <w:rPr>
                <w:rFonts w:ascii="Arial" w:hAnsi="Arial" w:cs="Arial"/>
                <w:sz w:val="16"/>
                <w:szCs w:val="16"/>
              </w:rPr>
            </w:pPr>
            <w:r w:rsidRPr="00EF72E4">
              <w:rPr>
                <w:rFonts w:ascii="Arial" w:hAnsi="Arial" w:cs="Arial"/>
                <w:sz w:val="16"/>
                <w:szCs w:val="16"/>
              </w:rPr>
              <w:t>2.</w:t>
            </w:r>
            <w:r w:rsidR="00ED1439">
              <w:rPr>
                <w:rFonts w:ascii="Arial" w:hAnsi="Arial" w:cs="Arial"/>
                <w:sz w:val="16"/>
                <w:szCs w:val="16"/>
              </w:rPr>
              <w:t>3</w:t>
            </w:r>
            <w:r w:rsidRPr="00EF72E4">
              <w:rPr>
                <w:rFonts w:ascii="Arial" w:hAnsi="Arial" w:cs="Arial"/>
                <w:sz w:val="16"/>
                <w:szCs w:val="16"/>
              </w:rPr>
              <w:t xml:space="preserve"> – 7.7 (</w:t>
            </w:r>
            <w:r w:rsidR="00ED1439">
              <w:rPr>
                <w:rFonts w:ascii="Arial" w:hAnsi="Arial" w:cs="Arial"/>
                <w:sz w:val="16"/>
                <w:szCs w:val="16"/>
              </w:rPr>
              <w:t>5.0</w:t>
            </w:r>
            <w:r w:rsidRPr="00EF72E4">
              <w:rPr>
                <w:rFonts w:ascii="Arial" w:hAnsi="Arial" w:cs="Arial"/>
                <w:sz w:val="16"/>
                <w:szCs w:val="16"/>
              </w:rPr>
              <w:t>)</w:t>
            </w:r>
          </w:p>
        </w:tc>
      </w:tr>
      <w:tr w:rsidR="003C227D" w:rsidRPr="00EF72E4" w14:paraId="76D248DF" w14:textId="77777777" w:rsidTr="00975470">
        <w:tc>
          <w:tcPr>
            <w:tcW w:w="3261" w:type="dxa"/>
            <w:vAlign w:val="center"/>
          </w:tcPr>
          <w:p w14:paraId="19A962C7" w14:textId="77777777" w:rsidR="003C227D" w:rsidRPr="00EF72E4" w:rsidRDefault="003C227D" w:rsidP="004C4FDF">
            <w:pPr>
              <w:spacing w:before="50" w:after="60" w:line="240" w:lineRule="atLeast"/>
              <w:rPr>
                <w:rFonts w:ascii="Arial" w:hAnsi="Arial" w:cs="Arial"/>
                <w:sz w:val="16"/>
                <w:szCs w:val="16"/>
              </w:rPr>
            </w:pPr>
            <w:r w:rsidRPr="00EF72E4">
              <w:rPr>
                <w:rFonts w:ascii="Arial" w:hAnsi="Arial" w:cs="Arial"/>
                <w:sz w:val="16"/>
                <w:szCs w:val="16"/>
              </w:rPr>
              <w:t>Light sources - LCDs</w:t>
            </w:r>
          </w:p>
        </w:tc>
        <w:tc>
          <w:tcPr>
            <w:tcW w:w="2126" w:type="dxa"/>
            <w:vAlign w:val="center"/>
          </w:tcPr>
          <w:p w14:paraId="123F2A90" w14:textId="26033A9C" w:rsidR="003C227D" w:rsidRPr="00EF72E4" w:rsidRDefault="00ED1439" w:rsidP="004C4FDF">
            <w:pPr>
              <w:spacing w:before="50" w:after="60" w:line="240" w:lineRule="atLeast"/>
              <w:jc w:val="center"/>
              <w:rPr>
                <w:rFonts w:ascii="Arial" w:hAnsi="Arial" w:cs="Arial"/>
                <w:sz w:val="16"/>
                <w:szCs w:val="16"/>
              </w:rPr>
            </w:pPr>
            <w:r>
              <w:rPr>
                <w:rFonts w:ascii="Arial" w:hAnsi="Arial" w:cs="Arial"/>
                <w:sz w:val="16"/>
                <w:szCs w:val="16"/>
              </w:rPr>
              <w:t>-</w:t>
            </w:r>
          </w:p>
        </w:tc>
        <w:tc>
          <w:tcPr>
            <w:tcW w:w="1871" w:type="dxa"/>
            <w:vAlign w:val="center"/>
          </w:tcPr>
          <w:p w14:paraId="1C50879E" w14:textId="77777777" w:rsidR="003C227D" w:rsidRPr="00EF72E4" w:rsidRDefault="003C227D" w:rsidP="004C4FDF">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586F7FCE" w14:textId="77777777" w:rsidR="003C227D" w:rsidRPr="00EF72E4" w:rsidRDefault="003C227D" w:rsidP="004C4FDF">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4886DFA5" w14:textId="77777777" w:rsidR="003C227D" w:rsidRPr="00EF72E4" w:rsidRDefault="003C227D" w:rsidP="004C4FDF">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843" w:type="dxa"/>
            <w:vAlign w:val="center"/>
          </w:tcPr>
          <w:p w14:paraId="793EA6A9" w14:textId="77777777" w:rsidR="003C227D" w:rsidRPr="00EF72E4" w:rsidRDefault="003C227D" w:rsidP="004C4FDF">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738CACE8" w14:textId="77777777" w:rsidR="003C227D" w:rsidRPr="00EF72E4" w:rsidRDefault="003C227D" w:rsidP="004C4FDF">
            <w:pPr>
              <w:spacing w:before="50" w:after="60" w:line="240" w:lineRule="atLeast"/>
              <w:jc w:val="center"/>
              <w:rPr>
                <w:rFonts w:ascii="Arial" w:hAnsi="Arial" w:cs="Arial"/>
                <w:sz w:val="16"/>
                <w:szCs w:val="16"/>
              </w:rPr>
            </w:pPr>
            <w:r w:rsidRPr="00EF72E4">
              <w:rPr>
                <w:rFonts w:ascii="Arial" w:hAnsi="Arial" w:cs="Arial"/>
                <w:sz w:val="16"/>
                <w:szCs w:val="16"/>
              </w:rPr>
              <w:t>-</w:t>
            </w:r>
          </w:p>
        </w:tc>
      </w:tr>
      <w:tr w:rsidR="00C241F7" w:rsidRPr="00EF72E4" w14:paraId="233F95A4" w14:textId="77777777" w:rsidTr="00975470">
        <w:tc>
          <w:tcPr>
            <w:tcW w:w="3261" w:type="dxa"/>
            <w:vAlign w:val="center"/>
          </w:tcPr>
          <w:p w14:paraId="7C42984E" w14:textId="77777777" w:rsidR="00C241F7" w:rsidRPr="00EF72E4" w:rsidRDefault="00C241F7" w:rsidP="00C241F7">
            <w:pPr>
              <w:spacing w:before="50" w:after="60" w:line="240" w:lineRule="atLeast"/>
              <w:rPr>
                <w:rFonts w:ascii="Arial" w:hAnsi="Arial" w:cs="Arial"/>
                <w:sz w:val="16"/>
                <w:szCs w:val="16"/>
              </w:rPr>
            </w:pPr>
            <w:r w:rsidRPr="00EF72E4">
              <w:rPr>
                <w:rFonts w:ascii="Arial" w:hAnsi="Arial" w:cs="Arial"/>
                <w:sz w:val="16"/>
                <w:szCs w:val="16"/>
              </w:rPr>
              <w:t>Batteries containing mercury</w:t>
            </w:r>
          </w:p>
        </w:tc>
        <w:tc>
          <w:tcPr>
            <w:tcW w:w="2126" w:type="dxa"/>
            <w:vAlign w:val="center"/>
          </w:tcPr>
          <w:p w14:paraId="21D9EDEF" w14:textId="54439D2C"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33.4</w:t>
            </w:r>
          </w:p>
        </w:tc>
        <w:tc>
          <w:tcPr>
            <w:tcW w:w="1871" w:type="dxa"/>
            <w:vAlign w:val="center"/>
          </w:tcPr>
          <w:p w14:paraId="4089BE92" w14:textId="0C99583C"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7F60AB38" w14:textId="6AB40A16"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3A958EC9" w14:textId="7FB5F77E"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843" w:type="dxa"/>
            <w:vAlign w:val="center"/>
          </w:tcPr>
          <w:p w14:paraId="16939036" w14:textId="18C5A4CB"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36101D44" w14:textId="0BB6DA2E"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33.4</w:t>
            </w:r>
          </w:p>
        </w:tc>
      </w:tr>
      <w:tr w:rsidR="00C241F7" w:rsidRPr="00EF72E4" w14:paraId="2FBD54F6" w14:textId="77777777" w:rsidTr="00975470">
        <w:tc>
          <w:tcPr>
            <w:tcW w:w="3261" w:type="dxa"/>
            <w:vAlign w:val="center"/>
          </w:tcPr>
          <w:p w14:paraId="089FE545" w14:textId="77777777" w:rsidR="00C241F7" w:rsidRPr="00EF72E4" w:rsidRDefault="00C241F7" w:rsidP="00C241F7">
            <w:pPr>
              <w:spacing w:before="50" w:after="60" w:line="240" w:lineRule="atLeast"/>
              <w:rPr>
                <w:rFonts w:ascii="Arial" w:hAnsi="Arial" w:cs="Arial"/>
                <w:sz w:val="16"/>
                <w:szCs w:val="16"/>
              </w:rPr>
            </w:pPr>
            <w:r w:rsidRPr="00EF72E4">
              <w:rPr>
                <w:rFonts w:ascii="Arial" w:hAnsi="Arial" w:cs="Arial"/>
                <w:sz w:val="16"/>
                <w:szCs w:val="16"/>
              </w:rPr>
              <w:t>Pharmaceuticals for human and veterinary uses</w:t>
            </w:r>
          </w:p>
        </w:tc>
        <w:tc>
          <w:tcPr>
            <w:tcW w:w="2126" w:type="dxa"/>
            <w:vAlign w:val="center"/>
          </w:tcPr>
          <w:p w14:paraId="792B2AC1" w14:textId="7B597A34"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28.</w:t>
            </w:r>
            <w:r w:rsidR="00ED1439">
              <w:rPr>
                <w:rFonts w:ascii="Arial" w:hAnsi="Arial" w:cs="Arial"/>
                <w:sz w:val="16"/>
                <w:szCs w:val="16"/>
              </w:rPr>
              <w:t>9</w:t>
            </w:r>
          </w:p>
        </w:tc>
        <w:tc>
          <w:tcPr>
            <w:tcW w:w="1871" w:type="dxa"/>
            <w:vAlign w:val="center"/>
          </w:tcPr>
          <w:p w14:paraId="08143224" w14:textId="06A6B3F2"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09D444A8" w14:textId="168B0BAB"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2F5A8FA3" w14:textId="3B63FE73"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843" w:type="dxa"/>
            <w:vAlign w:val="center"/>
          </w:tcPr>
          <w:p w14:paraId="4045394E" w14:textId="7F38FA26"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28.</w:t>
            </w:r>
            <w:r w:rsidR="00ED1439">
              <w:rPr>
                <w:rFonts w:ascii="Arial" w:hAnsi="Arial" w:cs="Arial"/>
                <w:sz w:val="16"/>
                <w:szCs w:val="16"/>
              </w:rPr>
              <w:t>9</w:t>
            </w:r>
          </w:p>
        </w:tc>
        <w:tc>
          <w:tcPr>
            <w:tcW w:w="1672" w:type="dxa"/>
            <w:vAlign w:val="center"/>
          </w:tcPr>
          <w:p w14:paraId="3AB43E0D" w14:textId="53429AE2"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r>
      <w:tr w:rsidR="00C241F7" w:rsidRPr="00EF72E4" w14:paraId="6171EA84" w14:textId="77777777" w:rsidTr="00975470">
        <w:tc>
          <w:tcPr>
            <w:tcW w:w="3261" w:type="dxa"/>
            <w:vAlign w:val="center"/>
          </w:tcPr>
          <w:p w14:paraId="0D712BD9" w14:textId="77777777" w:rsidR="00C241F7" w:rsidRPr="00EF72E4" w:rsidRDefault="00C241F7" w:rsidP="00C241F7">
            <w:pPr>
              <w:spacing w:before="50" w:after="60" w:line="240" w:lineRule="atLeast"/>
              <w:rPr>
                <w:rFonts w:ascii="Arial" w:hAnsi="Arial" w:cs="Arial"/>
                <w:sz w:val="16"/>
                <w:szCs w:val="16"/>
              </w:rPr>
            </w:pPr>
            <w:r w:rsidRPr="00EF72E4">
              <w:rPr>
                <w:rFonts w:ascii="Arial" w:hAnsi="Arial" w:cs="Arial"/>
                <w:sz w:val="16"/>
                <w:szCs w:val="16"/>
              </w:rPr>
              <w:t>Dental mercury amalgam fillings</w:t>
            </w:r>
          </w:p>
        </w:tc>
        <w:tc>
          <w:tcPr>
            <w:tcW w:w="2126" w:type="dxa"/>
            <w:vAlign w:val="center"/>
          </w:tcPr>
          <w:p w14:paraId="49ABEC70" w14:textId="47E17A91" w:rsidR="00C241F7" w:rsidRPr="00EF72E4" w:rsidRDefault="00C241F7" w:rsidP="00C241F7">
            <w:pPr>
              <w:spacing w:line="300" w:lineRule="atLeast"/>
              <w:jc w:val="center"/>
              <w:rPr>
                <w:rFonts w:ascii="Arial" w:hAnsi="Arial" w:cs="Arial"/>
                <w:sz w:val="16"/>
                <w:szCs w:val="16"/>
              </w:rPr>
            </w:pPr>
            <w:r w:rsidRPr="00EF72E4">
              <w:rPr>
                <w:rFonts w:ascii="Arial" w:hAnsi="Arial" w:cs="Arial"/>
                <w:sz w:val="16"/>
                <w:szCs w:val="16"/>
              </w:rPr>
              <w:t>1.7</w:t>
            </w:r>
          </w:p>
        </w:tc>
        <w:tc>
          <w:tcPr>
            <w:tcW w:w="1871" w:type="dxa"/>
            <w:vAlign w:val="center"/>
          </w:tcPr>
          <w:p w14:paraId="639A5EE6" w14:textId="3027E2C5" w:rsidR="00C241F7" w:rsidRPr="00EF72E4" w:rsidRDefault="00C241F7" w:rsidP="00C241F7">
            <w:pPr>
              <w:spacing w:line="300" w:lineRule="atLeast"/>
              <w:jc w:val="center"/>
              <w:rPr>
                <w:rFonts w:ascii="Arial" w:hAnsi="Arial" w:cs="Arial"/>
                <w:sz w:val="16"/>
                <w:szCs w:val="16"/>
              </w:rPr>
            </w:pPr>
            <w:r w:rsidRPr="00EF72E4">
              <w:rPr>
                <w:rFonts w:ascii="Arial" w:hAnsi="Arial" w:cs="Arial"/>
                <w:sz w:val="16"/>
                <w:szCs w:val="16"/>
              </w:rPr>
              <w:t>0.034</w:t>
            </w:r>
          </w:p>
        </w:tc>
        <w:tc>
          <w:tcPr>
            <w:tcW w:w="1701" w:type="dxa"/>
            <w:vAlign w:val="center"/>
          </w:tcPr>
          <w:p w14:paraId="34379212" w14:textId="7CF03209" w:rsidR="00C241F7" w:rsidRPr="00EF72E4" w:rsidRDefault="00C241F7" w:rsidP="00C241F7">
            <w:pPr>
              <w:spacing w:line="300" w:lineRule="atLeast"/>
              <w:jc w:val="center"/>
              <w:rPr>
                <w:rFonts w:ascii="Arial" w:hAnsi="Arial" w:cs="Arial"/>
                <w:sz w:val="16"/>
                <w:szCs w:val="16"/>
              </w:rPr>
            </w:pPr>
            <w:r w:rsidRPr="00EF72E4">
              <w:rPr>
                <w:rFonts w:ascii="Arial" w:hAnsi="Arial" w:cs="Arial"/>
                <w:sz w:val="16"/>
                <w:szCs w:val="16"/>
              </w:rPr>
              <w:t>0.2</w:t>
            </w:r>
            <w:r w:rsidR="00ED1439">
              <w:rPr>
                <w:rFonts w:ascii="Arial" w:hAnsi="Arial" w:cs="Arial"/>
                <w:sz w:val="16"/>
                <w:szCs w:val="16"/>
              </w:rPr>
              <w:t>4</w:t>
            </w:r>
          </w:p>
        </w:tc>
        <w:tc>
          <w:tcPr>
            <w:tcW w:w="1701" w:type="dxa"/>
            <w:vAlign w:val="center"/>
          </w:tcPr>
          <w:p w14:paraId="52EB8153" w14:textId="59479DE6" w:rsidR="00C241F7" w:rsidRPr="00EF72E4" w:rsidRDefault="00C241F7" w:rsidP="00C241F7">
            <w:pPr>
              <w:spacing w:line="300" w:lineRule="atLeast"/>
              <w:jc w:val="center"/>
              <w:rPr>
                <w:rFonts w:ascii="Arial" w:hAnsi="Arial" w:cs="Arial"/>
                <w:sz w:val="16"/>
                <w:szCs w:val="16"/>
              </w:rPr>
            </w:pPr>
            <w:r w:rsidRPr="00EF72E4">
              <w:rPr>
                <w:rFonts w:ascii="Arial" w:hAnsi="Arial" w:cs="Arial"/>
                <w:sz w:val="16"/>
                <w:szCs w:val="16"/>
              </w:rPr>
              <w:t>-</w:t>
            </w:r>
          </w:p>
        </w:tc>
        <w:tc>
          <w:tcPr>
            <w:tcW w:w="1843" w:type="dxa"/>
            <w:vAlign w:val="center"/>
          </w:tcPr>
          <w:p w14:paraId="2FCD1D41" w14:textId="338D2349" w:rsidR="00C241F7" w:rsidRPr="00EF72E4" w:rsidRDefault="00C241F7" w:rsidP="00C241F7">
            <w:pPr>
              <w:spacing w:line="300" w:lineRule="atLeast"/>
              <w:jc w:val="center"/>
              <w:rPr>
                <w:rFonts w:ascii="Arial" w:hAnsi="Arial" w:cs="Arial"/>
                <w:sz w:val="16"/>
                <w:szCs w:val="16"/>
              </w:rPr>
            </w:pPr>
            <w:r w:rsidRPr="00EF72E4">
              <w:rPr>
                <w:rFonts w:ascii="Arial" w:hAnsi="Arial" w:cs="Arial"/>
                <w:sz w:val="16"/>
                <w:szCs w:val="16"/>
              </w:rPr>
              <w:t>1.0</w:t>
            </w:r>
            <w:r w:rsidR="00ED1439">
              <w:rPr>
                <w:rFonts w:ascii="Arial" w:hAnsi="Arial" w:cs="Arial"/>
                <w:sz w:val="16"/>
                <w:szCs w:val="16"/>
              </w:rPr>
              <w:t>3</w:t>
            </w:r>
          </w:p>
        </w:tc>
        <w:tc>
          <w:tcPr>
            <w:tcW w:w="1672" w:type="dxa"/>
            <w:vAlign w:val="center"/>
          </w:tcPr>
          <w:p w14:paraId="6AE800C1" w14:textId="488F75F8"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0.41</w:t>
            </w:r>
          </w:p>
        </w:tc>
      </w:tr>
      <w:tr w:rsidR="00C241F7" w:rsidRPr="00EF72E4" w14:paraId="47685B98" w14:textId="77777777" w:rsidTr="00975470">
        <w:tc>
          <w:tcPr>
            <w:tcW w:w="3261" w:type="dxa"/>
            <w:vAlign w:val="center"/>
          </w:tcPr>
          <w:p w14:paraId="6A3EB446" w14:textId="77777777" w:rsidR="00C241F7" w:rsidRPr="00EF72E4" w:rsidRDefault="00C241F7" w:rsidP="00C241F7">
            <w:pPr>
              <w:spacing w:before="50" w:after="60" w:line="240" w:lineRule="atLeast"/>
              <w:rPr>
                <w:rFonts w:ascii="Arial" w:hAnsi="Arial" w:cs="Arial"/>
                <w:sz w:val="16"/>
                <w:szCs w:val="16"/>
              </w:rPr>
            </w:pPr>
            <w:r w:rsidRPr="00EF72E4">
              <w:rPr>
                <w:rFonts w:ascii="Arial" w:hAnsi="Arial" w:cs="Arial"/>
                <w:sz w:val="16"/>
                <w:szCs w:val="16"/>
              </w:rPr>
              <w:t>Manometers and gauges</w:t>
            </w:r>
          </w:p>
        </w:tc>
        <w:tc>
          <w:tcPr>
            <w:tcW w:w="2126" w:type="dxa"/>
            <w:vAlign w:val="center"/>
          </w:tcPr>
          <w:p w14:paraId="0296D7F8" w14:textId="4998E56E"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0.0</w:t>
            </w:r>
            <w:r w:rsidR="00922130">
              <w:rPr>
                <w:rFonts w:ascii="Arial" w:hAnsi="Arial" w:cs="Arial"/>
                <w:sz w:val="16"/>
                <w:szCs w:val="16"/>
              </w:rPr>
              <w:t>80</w:t>
            </w:r>
          </w:p>
        </w:tc>
        <w:tc>
          <w:tcPr>
            <w:tcW w:w="1871" w:type="dxa"/>
            <w:vAlign w:val="center"/>
          </w:tcPr>
          <w:p w14:paraId="6FE80634" w14:textId="2FB0D7E0"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3342F32D" w14:textId="47314B9F"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2A77E0B0" w14:textId="25DBFCC7"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843" w:type="dxa"/>
            <w:vAlign w:val="center"/>
          </w:tcPr>
          <w:p w14:paraId="53F38386" w14:textId="1A1EC306"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0.0</w:t>
            </w:r>
            <w:r w:rsidR="00922130">
              <w:rPr>
                <w:rFonts w:ascii="Arial" w:hAnsi="Arial" w:cs="Arial"/>
                <w:sz w:val="16"/>
                <w:szCs w:val="16"/>
              </w:rPr>
              <w:t>80</w:t>
            </w:r>
          </w:p>
        </w:tc>
        <w:tc>
          <w:tcPr>
            <w:tcW w:w="1672" w:type="dxa"/>
            <w:vAlign w:val="center"/>
          </w:tcPr>
          <w:p w14:paraId="40097F60" w14:textId="1A57354D"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r>
      <w:tr w:rsidR="00C241F7" w:rsidRPr="00EF72E4" w14:paraId="09616987" w14:textId="77777777" w:rsidTr="00975470">
        <w:tc>
          <w:tcPr>
            <w:tcW w:w="3261" w:type="dxa"/>
            <w:vAlign w:val="center"/>
          </w:tcPr>
          <w:p w14:paraId="098EA845" w14:textId="77777777" w:rsidR="00C241F7" w:rsidRPr="00EF72E4" w:rsidRDefault="00C241F7" w:rsidP="00C241F7">
            <w:pPr>
              <w:spacing w:before="50" w:after="60" w:line="240" w:lineRule="atLeast"/>
              <w:rPr>
                <w:rFonts w:ascii="Arial" w:hAnsi="Arial" w:cs="Arial"/>
                <w:sz w:val="16"/>
                <w:szCs w:val="16"/>
              </w:rPr>
            </w:pPr>
            <w:r w:rsidRPr="00EF72E4">
              <w:rPr>
                <w:rFonts w:ascii="Arial" w:hAnsi="Arial" w:cs="Arial"/>
                <w:sz w:val="16"/>
                <w:szCs w:val="16"/>
              </w:rPr>
              <w:t>Laboratory chemicals and equipment</w:t>
            </w:r>
          </w:p>
        </w:tc>
        <w:tc>
          <w:tcPr>
            <w:tcW w:w="2126" w:type="dxa"/>
            <w:vAlign w:val="center"/>
          </w:tcPr>
          <w:p w14:paraId="40DA0E92" w14:textId="42AD8BC0" w:rsidR="00C241F7" w:rsidRPr="00EF72E4" w:rsidRDefault="00C241F7" w:rsidP="00C241F7">
            <w:pPr>
              <w:spacing w:line="300" w:lineRule="atLeast"/>
              <w:jc w:val="center"/>
              <w:rPr>
                <w:rFonts w:ascii="Arial" w:hAnsi="Arial" w:cs="Arial"/>
                <w:sz w:val="16"/>
                <w:szCs w:val="16"/>
              </w:rPr>
            </w:pPr>
            <w:r w:rsidRPr="00EF72E4">
              <w:rPr>
                <w:rFonts w:ascii="Arial" w:hAnsi="Arial" w:cs="Arial"/>
                <w:sz w:val="16"/>
                <w:szCs w:val="16"/>
              </w:rPr>
              <w:t>1.64</w:t>
            </w:r>
          </w:p>
        </w:tc>
        <w:tc>
          <w:tcPr>
            <w:tcW w:w="1871" w:type="dxa"/>
            <w:vAlign w:val="center"/>
          </w:tcPr>
          <w:p w14:paraId="086DD707" w14:textId="4AF46767" w:rsidR="00C241F7" w:rsidRPr="00EF72E4" w:rsidRDefault="00C241F7" w:rsidP="00C241F7">
            <w:pPr>
              <w:spacing w:line="300" w:lineRule="atLeast"/>
              <w:jc w:val="center"/>
              <w:rPr>
                <w:rFonts w:ascii="Arial" w:hAnsi="Arial" w:cs="Arial"/>
                <w:sz w:val="16"/>
                <w:szCs w:val="16"/>
              </w:rPr>
            </w:pPr>
            <w:r w:rsidRPr="00EF72E4">
              <w:rPr>
                <w:rFonts w:ascii="Arial" w:hAnsi="Arial" w:cs="Arial"/>
                <w:sz w:val="16"/>
                <w:szCs w:val="16"/>
              </w:rPr>
              <w:t>0.082</w:t>
            </w:r>
          </w:p>
        </w:tc>
        <w:tc>
          <w:tcPr>
            <w:tcW w:w="1701" w:type="dxa"/>
            <w:vAlign w:val="center"/>
          </w:tcPr>
          <w:p w14:paraId="78DECECD" w14:textId="16D72ABB" w:rsidR="00C241F7" w:rsidRPr="00EF72E4" w:rsidRDefault="00C241F7" w:rsidP="00C241F7">
            <w:pPr>
              <w:spacing w:line="300" w:lineRule="atLeast"/>
              <w:jc w:val="center"/>
              <w:rPr>
                <w:rFonts w:ascii="Arial" w:hAnsi="Arial" w:cs="Arial"/>
                <w:sz w:val="16"/>
                <w:szCs w:val="16"/>
              </w:rPr>
            </w:pPr>
            <w:r w:rsidRPr="00EF72E4">
              <w:rPr>
                <w:rFonts w:ascii="Arial" w:hAnsi="Arial" w:cs="Arial"/>
                <w:sz w:val="16"/>
                <w:szCs w:val="16"/>
              </w:rPr>
              <w:t>0.16</w:t>
            </w:r>
          </w:p>
        </w:tc>
        <w:tc>
          <w:tcPr>
            <w:tcW w:w="1701" w:type="dxa"/>
            <w:vAlign w:val="center"/>
          </w:tcPr>
          <w:p w14:paraId="16B09592" w14:textId="7EBDDAA8" w:rsidR="00C241F7" w:rsidRPr="00EF72E4" w:rsidRDefault="00C241F7" w:rsidP="00C241F7">
            <w:pPr>
              <w:spacing w:line="300" w:lineRule="atLeast"/>
              <w:jc w:val="center"/>
              <w:rPr>
                <w:rFonts w:ascii="Arial" w:hAnsi="Arial" w:cs="Arial"/>
                <w:sz w:val="16"/>
                <w:szCs w:val="16"/>
              </w:rPr>
            </w:pPr>
            <w:r w:rsidRPr="00EF72E4">
              <w:rPr>
                <w:rFonts w:ascii="Arial" w:hAnsi="Arial" w:cs="Arial"/>
                <w:sz w:val="16"/>
                <w:szCs w:val="16"/>
              </w:rPr>
              <w:t>-</w:t>
            </w:r>
          </w:p>
        </w:tc>
        <w:tc>
          <w:tcPr>
            <w:tcW w:w="1843" w:type="dxa"/>
            <w:vAlign w:val="center"/>
          </w:tcPr>
          <w:p w14:paraId="0F66C8B3" w14:textId="740C24E8"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752E3984" w14:textId="6F5281A3" w:rsidR="00C241F7" w:rsidRPr="00EF72E4" w:rsidRDefault="00C241F7" w:rsidP="00C241F7">
            <w:pPr>
              <w:spacing w:before="50" w:after="60" w:line="240" w:lineRule="atLeast"/>
              <w:jc w:val="center"/>
              <w:rPr>
                <w:rFonts w:ascii="Arial" w:hAnsi="Arial" w:cs="Arial"/>
                <w:sz w:val="16"/>
                <w:szCs w:val="16"/>
              </w:rPr>
            </w:pPr>
            <w:r w:rsidRPr="00EF72E4">
              <w:rPr>
                <w:rFonts w:ascii="Arial" w:hAnsi="Arial" w:cs="Arial"/>
                <w:sz w:val="16"/>
                <w:szCs w:val="16"/>
              </w:rPr>
              <w:t>1.</w:t>
            </w:r>
            <w:r w:rsidR="00ED1439">
              <w:rPr>
                <w:rFonts w:ascii="Arial" w:hAnsi="Arial" w:cs="Arial"/>
                <w:sz w:val="16"/>
                <w:szCs w:val="16"/>
              </w:rPr>
              <w:t>40</w:t>
            </w:r>
          </w:p>
        </w:tc>
      </w:tr>
      <w:tr w:rsidR="003C227D" w:rsidRPr="00EF72E4" w14:paraId="53798FD7" w14:textId="77777777" w:rsidTr="00975470">
        <w:tc>
          <w:tcPr>
            <w:tcW w:w="3261" w:type="dxa"/>
            <w:vAlign w:val="center"/>
          </w:tcPr>
          <w:p w14:paraId="791A1B29" w14:textId="77777777" w:rsidR="003C227D" w:rsidRPr="00EF72E4" w:rsidRDefault="003C227D" w:rsidP="004C4FDF">
            <w:pPr>
              <w:spacing w:before="50" w:after="60" w:line="240" w:lineRule="atLeast"/>
              <w:rPr>
                <w:rFonts w:ascii="Arial" w:hAnsi="Arial" w:cs="Arial"/>
                <w:sz w:val="16"/>
                <w:szCs w:val="16"/>
              </w:rPr>
            </w:pPr>
            <w:r w:rsidRPr="00EF72E4">
              <w:rPr>
                <w:rFonts w:ascii="Arial" w:hAnsi="Arial" w:cs="Arial"/>
                <w:sz w:val="16"/>
                <w:szCs w:val="16"/>
              </w:rPr>
              <w:t>Recycled mercury</w:t>
            </w:r>
          </w:p>
        </w:tc>
        <w:tc>
          <w:tcPr>
            <w:tcW w:w="2126" w:type="dxa"/>
            <w:vAlign w:val="center"/>
          </w:tcPr>
          <w:p w14:paraId="7990D9CB" w14:textId="1671B66A" w:rsidR="003C227D" w:rsidRPr="00EF72E4" w:rsidRDefault="00ED1439" w:rsidP="004C4FDF">
            <w:pPr>
              <w:spacing w:before="50" w:after="60" w:line="240" w:lineRule="atLeast"/>
              <w:jc w:val="center"/>
              <w:rPr>
                <w:rFonts w:ascii="Arial" w:hAnsi="Arial" w:cs="Arial"/>
                <w:sz w:val="16"/>
                <w:szCs w:val="16"/>
              </w:rPr>
            </w:pPr>
            <w:r>
              <w:rPr>
                <w:rFonts w:ascii="Arial" w:hAnsi="Arial" w:cs="Arial"/>
                <w:sz w:val="16"/>
                <w:szCs w:val="16"/>
              </w:rPr>
              <w:t>-</w:t>
            </w:r>
          </w:p>
        </w:tc>
        <w:tc>
          <w:tcPr>
            <w:tcW w:w="1871" w:type="dxa"/>
            <w:vAlign w:val="center"/>
          </w:tcPr>
          <w:p w14:paraId="45004226" w14:textId="77777777" w:rsidR="003C227D" w:rsidRPr="00EF72E4" w:rsidRDefault="003C227D" w:rsidP="004C4FDF">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35F679F5" w14:textId="77777777" w:rsidR="003C227D" w:rsidRPr="00EF72E4" w:rsidRDefault="003C227D" w:rsidP="004C4FDF">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4BB170CA" w14:textId="77777777" w:rsidR="003C227D" w:rsidRPr="00EF72E4" w:rsidRDefault="003C227D" w:rsidP="004C4FDF">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843" w:type="dxa"/>
            <w:vAlign w:val="center"/>
          </w:tcPr>
          <w:p w14:paraId="7140C57A" w14:textId="3E5D4BAC" w:rsidR="003C227D" w:rsidRPr="00EF72E4" w:rsidRDefault="00C241F7" w:rsidP="004C4FDF">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5CE4E031" w14:textId="77777777" w:rsidR="003C227D" w:rsidRPr="00EF72E4" w:rsidRDefault="003C227D" w:rsidP="004C4FDF">
            <w:pPr>
              <w:spacing w:before="50" w:after="60" w:line="240" w:lineRule="atLeast"/>
              <w:jc w:val="center"/>
              <w:rPr>
                <w:rFonts w:ascii="Arial" w:hAnsi="Arial" w:cs="Arial"/>
                <w:sz w:val="16"/>
                <w:szCs w:val="16"/>
              </w:rPr>
            </w:pPr>
            <w:r w:rsidRPr="00EF72E4">
              <w:rPr>
                <w:rFonts w:ascii="Arial" w:hAnsi="Arial" w:cs="Arial"/>
                <w:sz w:val="16"/>
                <w:szCs w:val="16"/>
              </w:rPr>
              <w:t>-</w:t>
            </w:r>
          </w:p>
        </w:tc>
      </w:tr>
      <w:tr w:rsidR="003C227D" w:rsidRPr="00EF72E4" w14:paraId="6C5CDE5D" w14:textId="77777777" w:rsidTr="00975470">
        <w:tc>
          <w:tcPr>
            <w:tcW w:w="3261" w:type="dxa"/>
            <w:vAlign w:val="center"/>
          </w:tcPr>
          <w:p w14:paraId="7990155A" w14:textId="77777777" w:rsidR="003C227D" w:rsidRPr="00EF72E4" w:rsidRDefault="003C227D" w:rsidP="004C4FDF">
            <w:pPr>
              <w:spacing w:before="50" w:after="60" w:line="240" w:lineRule="atLeast"/>
              <w:rPr>
                <w:rFonts w:ascii="Arial" w:hAnsi="Arial" w:cs="Arial"/>
                <w:sz w:val="16"/>
                <w:szCs w:val="16"/>
              </w:rPr>
            </w:pPr>
            <w:r w:rsidRPr="00EF72E4">
              <w:rPr>
                <w:rFonts w:ascii="Arial" w:hAnsi="Arial" w:cs="Arial"/>
                <w:sz w:val="16"/>
                <w:szCs w:val="16"/>
              </w:rPr>
              <w:t>Secondary ferrous metals (iron and steel)</w:t>
            </w:r>
          </w:p>
        </w:tc>
        <w:tc>
          <w:tcPr>
            <w:tcW w:w="2126" w:type="dxa"/>
            <w:vAlign w:val="center"/>
          </w:tcPr>
          <w:p w14:paraId="27900D44" w14:textId="0F6CBB51" w:rsidR="003C227D" w:rsidRPr="00EF72E4" w:rsidRDefault="00ED1439" w:rsidP="004C4FDF">
            <w:pPr>
              <w:spacing w:before="50" w:after="60" w:line="240" w:lineRule="atLeast"/>
              <w:jc w:val="center"/>
              <w:rPr>
                <w:rFonts w:ascii="Arial" w:hAnsi="Arial" w:cs="Arial"/>
                <w:sz w:val="16"/>
                <w:szCs w:val="16"/>
              </w:rPr>
            </w:pPr>
            <w:r>
              <w:rPr>
                <w:rFonts w:ascii="Arial" w:hAnsi="Arial" w:cs="Arial"/>
                <w:sz w:val="16"/>
                <w:szCs w:val="16"/>
              </w:rPr>
              <w:t>-</w:t>
            </w:r>
          </w:p>
        </w:tc>
        <w:tc>
          <w:tcPr>
            <w:tcW w:w="1871" w:type="dxa"/>
            <w:vAlign w:val="center"/>
          </w:tcPr>
          <w:p w14:paraId="5C59AF03" w14:textId="24F75E5B" w:rsidR="003C227D" w:rsidRPr="00EF72E4" w:rsidRDefault="007B2015" w:rsidP="004C4FDF">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779BE09A" w14:textId="77777777" w:rsidR="003C227D" w:rsidRPr="00EF72E4" w:rsidRDefault="003C227D" w:rsidP="004C4FDF">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32045DF8" w14:textId="77777777" w:rsidR="003C227D" w:rsidRPr="00EF72E4" w:rsidRDefault="003C227D" w:rsidP="004C4FDF">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843" w:type="dxa"/>
            <w:vAlign w:val="center"/>
          </w:tcPr>
          <w:p w14:paraId="6C95CDD4" w14:textId="77777777" w:rsidR="003C227D" w:rsidRPr="00EF72E4" w:rsidRDefault="003C227D" w:rsidP="004C4FDF">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4A063CF2" w14:textId="77777777" w:rsidR="003C227D" w:rsidRPr="00EF72E4" w:rsidRDefault="003C227D" w:rsidP="004C4FDF">
            <w:pPr>
              <w:spacing w:before="50" w:after="60" w:line="240" w:lineRule="atLeast"/>
              <w:jc w:val="center"/>
              <w:rPr>
                <w:rFonts w:ascii="Arial" w:hAnsi="Arial" w:cs="Arial"/>
                <w:sz w:val="16"/>
                <w:szCs w:val="16"/>
              </w:rPr>
            </w:pPr>
            <w:r w:rsidRPr="00EF72E4">
              <w:rPr>
                <w:rFonts w:ascii="Arial" w:hAnsi="Arial" w:cs="Arial"/>
                <w:sz w:val="16"/>
                <w:szCs w:val="16"/>
              </w:rPr>
              <w:t>0</w:t>
            </w:r>
          </w:p>
        </w:tc>
      </w:tr>
      <w:tr w:rsidR="003C227D" w:rsidRPr="00EF72E4" w14:paraId="1BCEADFF" w14:textId="77777777" w:rsidTr="00975470">
        <w:tc>
          <w:tcPr>
            <w:tcW w:w="3261" w:type="dxa"/>
            <w:vAlign w:val="center"/>
          </w:tcPr>
          <w:p w14:paraId="41CB7671" w14:textId="77777777" w:rsidR="003C227D" w:rsidRPr="00EF72E4" w:rsidRDefault="003C227D" w:rsidP="004C4FDF">
            <w:pPr>
              <w:spacing w:before="50" w:after="60" w:line="240" w:lineRule="atLeast"/>
              <w:rPr>
                <w:rFonts w:ascii="Arial" w:hAnsi="Arial" w:cs="Arial"/>
                <w:sz w:val="16"/>
                <w:szCs w:val="16"/>
              </w:rPr>
            </w:pPr>
            <w:r w:rsidRPr="00EF72E4">
              <w:rPr>
                <w:rFonts w:ascii="Arial" w:hAnsi="Arial" w:cs="Arial"/>
                <w:sz w:val="16"/>
                <w:szCs w:val="16"/>
              </w:rPr>
              <w:t>Hazardous waste incineration</w:t>
            </w:r>
          </w:p>
        </w:tc>
        <w:tc>
          <w:tcPr>
            <w:tcW w:w="2126" w:type="dxa"/>
            <w:vAlign w:val="center"/>
          </w:tcPr>
          <w:p w14:paraId="358BB32E" w14:textId="0BC2D0F2" w:rsidR="003C227D" w:rsidRPr="00EF72E4" w:rsidRDefault="00ED1439" w:rsidP="004C4FDF">
            <w:pPr>
              <w:spacing w:line="300" w:lineRule="atLeast"/>
              <w:jc w:val="center"/>
              <w:rPr>
                <w:rFonts w:ascii="Arial" w:hAnsi="Arial" w:cs="Arial"/>
                <w:sz w:val="16"/>
                <w:szCs w:val="16"/>
              </w:rPr>
            </w:pPr>
            <w:r>
              <w:rPr>
                <w:rFonts w:ascii="Arial" w:hAnsi="Arial" w:cs="Arial"/>
                <w:sz w:val="16"/>
                <w:szCs w:val="16"/>
              </w:rPr>
              <w:t>-</w:t>
            </w:r>
          </w:p>
        </w:tc>
        <w:tc>
          <w:tcPr>
            <w:tcW w:w="1871" w:type="dxa"/>
            <w:vAlign w:val="center"/>
          </w:tcPr>
          <w:p w14:paraId="4B65B54A" w14:textId="1CE8ACE9" w:rsidR="003C227D" w:rsidRPr="00EF72E4" w:rsidRDefault="007B2015" w:rsidP="004C4FDF">
            <w:pPr>
              <w:spacing w:line="30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17E8BFF6" w14:textId="77777777" w:rsidR="003C227D" w:rsidRPr="00EF72E4" w:rsidRDefault="003C227D" w:rsidP="004C4FDF">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5718FF4E" w14:textId="77777777" w:rsidR="003C227D" w:rsidRPr="00EF72E4" w:rsidRDefault="003C227D" w:rsidP="004C4FDF">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843" w:type="dxa"/>
            <w:vAlign w:val="center"/>
          </w:tcPr>
          <w:p w14:paraId="7507435A" w14:textId="77777777" w:rsidR="003C227D" w:rsidRPr="00EF72E4" w:rsidRDefault="003C227D" w:rsidP="004C4FDF">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32AFC2BD" w14:textId="77777777" w:rsidR="003C227D" w:rsidRPr="00EF72E4" w:rsidRDefault="003C227D" w:rsidP="004C4FDF">
            <w:pPr>
              <w:spacing w:before="50" w:after="60" w:line="240" w:lineRule="atLeast"/>
              <w:jc w:val="center"/>
              <w:rPr>
                <w:rFonts w:ascii="Arial" w:hAnsi="Arial" w:cs="Arial"/>
                <w:sz w:val="16"/>
                <w:szCs w:val="16"/>
              </w:rPr>
            </w:pPr>
            <w:r w:rsidRPr="00EF72E4">
              <w:rPr>
                <w:rFonts w:ascii="Arial" w:hAnsi="Arial" w:cs="Arial"/>
                <w:sz w:val="16"/>
                <w:szCs w:val="16"/>
              </w:rPr>
              <w:t>-</w:t>
            </w:r>
          </w:p>
        </w:tc>
      </w:tr>
      <w:tr w:rsidR="007B2015" w:rsidRPr="00EF72E4" w14:paraId="2E473EB5" w14:textId="77777777" w:rsidTr="00975470">
        <w:tc>
          <w:tcPr>
            <w:tcW w:w="3261" w:type="dxa"/>
            <w:vAlign w:val="center"/>
          </w:tcPr>
          <w:p w14:paraId="62F5C13D" w14:textId="77777777" w:rsidR="007B2015" w:rsidRPr="00EF72E4" w:rsidRDefault="007B2015" w:rsidP="007B2015">
            <w:pPr>
              <w:spacing w:before="50" w:after="60" w:line="240" w:lineRule="atLeast"/>
              <w:rPr>
                <w:rFonts w:ascii="Arial" w:hAnsi="Arial" w:cs="Arial"/>
                <w:sz w:val="16"/>
                <w:szCs w:val="16"/>
              </w:rPr>
            </w:pPr>
            <w:r w:rsidRPr="00EF72E4">
              <w:rPr>
                <w:rFonts w:ascii="Arial" w:hAnsi="Arial" w:cs="Arial"/>
                <w:sz w:val="16"/>
                <w:szCs w:val="16"/>
              </w:rPr>
              <w:t>Medical waste incineration</w:t>
            </w:r>
          </w:p>
        </w:tc>
        <w:tc>
          <w:tcPr>
            <w:tcW w:w="2126" w:type="dxa"/>
            <w:vAlign w:val="center"/>
          </w:tcPr>
          <w:p w14:paraId="09032472" w14:textId="2DE642AE" w:rsidR="007B2015" w:rsidRPr="00EF72E4" w:rsidRDefault="007B2015" w:rsidP="007B2015">
            <w:pPr>
              <w:spacing w:line="300" w:lineRule="atLeast"/>
              <w:jc w:val="center"/>
              <w:rPr>
                <w:rFonts w:ascii="Arial" w:hAnsi="Arial" w:cs="Arial"/>
                <w:sz w:val="16"/>
                <w:szCs w:val="16"/>
              </w:rPr>
            </w:pPr>
            <w:r w:rsidRPr="00EF72E4">
              <w:rPr>
                <w:rFonts w:ascii="Arial" w:hAnsi="Arial" w:cs="Arial"/>
                <w:sz w:val="16"/>
                <w:szCs w:val="16"/>
              </w:rPr>
              <w:t>1.</w:t>
            </w:r>
            <w:r w:rsidR="00ED1439">
              <w:rPr>
                <w:rFonts w:ascii="Arial" w:hAnsi="Arial" w:cs="Arial"/>
                <w:sz w:val="16"/>
                <w:szCs w:val="16"/>
              </w:rPr>
              <w:t>3</w:t>
            </w:r>
            <w:r w:rsidRPr="00EF72E4">
              <w:rPr>
                <w:rFonts w:ascii="Arial" w:hAnsi="Arial" w:cs="Arial"/>
                <w:sz w:val="16"/>
                <w:szCs w:val="16"/>
              </w:rPr>
              <w:t xml:space="preserve"> – 6.</w:t>
            </w:r>
            <w:r w:rsidR="00ED1439">
              <w:rPr>
                <w:rFonts w:ascii="Arial" w:hAnsi="Arial" w:cs="Arial"/>
                <w:sz w:val="16"/>
                <w:szCs w:val="16"/>
              </w:rPr>
              <w:t>5</w:t>
            </w:r>
            <w:r w:rsidRPr="00EF72E4">
              <w:rPr>
                <w:rFonts w:ascii="Arial" w:hAnsi="Arial" w:cs="Arial"/>
                <w:sz w:val="16"/>
                <w:szCs w:val="16"/>
              </w:rPr>
              <w:t xml:space="preserve"> (3.</w:t>
            </w:r>
            <w:r w:rsidR="00ED1439">
              <w:rPr>
                <w:rFonts w:ascii="Arial" w:hAnsi="Arial" w:cs="Arial"/>
                <w:sz w:val="16"/>
                <w:szCs w:val="16"/>
              </w:rPr>
              <w:t>9</w:t>
            </w:r>
            <w:r w:rsidRPr="00EF72E4">
              <w:rPr>
                <w:rFonts w:ascii="Arial" w:hAnsi="Arial" w:cs="Arial"/>
                <w:sz w:val="16"/>
                <w:szCs w:val="16"/>
              </w:rPr>
              <w:t>)</w:t>
            </w:r>
          </w:p>
        </w:tc>
        <w:tc>
          <w:tcPr>
            <w:tcW w:w="1871" w:type="dxa"/>
            <w:vAlign w:val="center"/>
          </w:tcPr>
          <w:p w14:paraId="5899D060" w14:textId="4AADD17E" w:rsidR="007B2015" w:rsidRPr="00EF72E4" w:rsidRDefault="007B2015" w:rsidP="007B2015">
            <w:pPr>
              <w:spacing w:line="300" w:lineRule="atLeast"/>
              <w:jc w:val="center"/>
              <w:rPr>
                <w:rFonts w:ascii="Arial" w:hAnsi="Arial" w:cs="Arial"/>
                <w:sz w:val="16"/>
                <w:szCs w:val="16"/>
              </w:rPr>
            </w:pPr>
            <w:r w:rsidRPr="00EF72E4">
              <w:rPr>
                <w:rFonts w:ascii="Arial" w:hAnsi="Arial" w:cs="Arial"/>
                <w:sz w:val="16"/>
                <w:szCs w:val="16"/>
              </w:rPr>
              <w:t>1.</w:t>
            </w:r>
            <w:r w:rsidR="00ED1439">
              <w:rPr>
                <w:rFonts w:ascii="Arial" w:hAnsi="Arial" w:cs="Arial"/>
                <w:sz w:val="16"/>
                <w:szCs w:val="16"/>
              </w:rPr>
              <w:t>3</w:t>
            </w:r>
            <w:r w:rsidRPr="00EF72E4">
              <w:rPr>
                <w:rFonts w:ascii="Arial" w:hAnsi="Arial" w:cs="Arial"/>
                <w:sz w:val="16"/>
                <w:szCs w:val="16"/>
              </w:rPr>
              <w:t xml:space="preserve"> – 6.</w:t>
            </w:r>
            <w:r w:rsidR="00ED1439">
              <w:rPr>
                <w:rFonts w:ascii="Arial" w:hAnsi="Arial" w:cs="Arial"/>
                <w:sz w:val="16"/>
                <w:szCs w:val="16"/>
              </w:rPr>
              <w:t>5</w:t>
            </w:r>
            <w:r w:rsidRPr="00EF72E4">
              <w:rPr>
                <w:rFonts w:ascii="Arial" w:hAnsi="Arial" w:cs="Arial"/>
                <w:sz w:val="16"/>
                <w:szCs w:val="16"/>
              </w:rPr>
              <w:t xml:space="preserve"> (3.</w:t>
            </w:r>
            <w:r w:rsidR="00ED1439">
              <w:rPr>
                <w:rFonts w:ascii="Arial" w:hAnsi="Arial" w:cs="Arial"/>
                <w:sz w:val="16"/>
                <w:szCs w:val="16"/>
              </w:rPr>
              <w:t>9</w:t>
            </w:r>
            <w:r w:rsidRPr="00EF72E4">
              <w:rPr>
                <w:rFonts w:ascii="Arial" w:hAnsi="Arial" w:cs="Arial"/>
                <w:sz w:val="16"/>
                <w:szCs w:val="16"/>
              </w:rPr>
              <w:t>)</w:t>
            </w:r>
          </w:p>
        </w:tc>
        <w:tc>
          <w:tcPr>
            <w:tcW w:w="1701" w:type="dxa"/>
            <w:vAlign w:val="center"/>
          </w:tcPr>
          <w:p w14:paraId="1FDBDE1A" w14:textId="72D114CD"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50E43C26" w14:textId="61CD127B"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843" w:type="dxa"/>
            <w:vAlign w:val="center"/>
          </w:tcPr>
          <w:p w14:paraId="5EE45A31" w14:textId="39868453"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7964E237" w14:textId="2A472B14"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r>
      <w:tr w:rsidR="007B2015" w:rsidRPr="00EF72E4" w14:paraId="1522E176" w14:textId="77777777" w:rsidTr="00975470">
        <w:tc>
          <w:tcPr>
            <w:tcW w:w="3261" w:type="dxa"/>
            <w:vAlign w:val="center"/>
          </w:tcPr>
          <w:p w14:paraId="7E3D80CA" w14:textId="77777777" w:rsidR="007B2015" w:rsidRPr="00EF72E4" w:rsidRDefault="007B2015" w:rsidP="007B2015">
            <w:pPr>
              <w:spacing w:before="50" w:after="60" w:line="240" w:lineRule="atLeast"/>
              <w:rPr>
                <w:rFonts w:ascii="Arial" w:hAnsi="Arial" w:cs="Arial"/>
                <w:sz w:val="16"/>
                <w:szCs w:val="16"/>
              </w:rPr>
            </w:pPr>
            <w:r w:rsidRPr="00EF72E4">
              <w:rPr>
                <w:rFonts w:ascii="Arial" w:hAnsi="Arial" w:cs="Arial"/>
                <w:sz w:val="16"/>
                <w:szCs w:val="16"/>
              </w:rPr>
              <w:t>Sewage sludge incineration</w:t>
            </w:r>
          </w:p>
        </w:tc>
        <w:tc>
          <w:tcPr>
            <w:tcW w:w="2126" w:type="dxa"/>
            <w:vAlign w:val="center"/>
          </w:tcPr>
          <w:p w14:paraId="1882B9D3" w14:textId="6D2F535E"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0.9</w:t>
            </w:r>
            <w:r w:rsidR="00ED1439">
              <w:rPr>
                <w:rFonts w:ascii="Arial" w:hAnsi="Arial" w:cs="Arial"/>
                <w:sz w:val="16"/>
                <w:szCs w:val="16"/>
              </w:rPr>
              <w:t>8</w:t>
            </w:r>
          </w:p>
        </w:tc>
        <w:tc>
          <w:tcPr>
            <w:tcW w:w="1871" w:type="dxa"/>
            <w:vAlign w:val="center"/>
          </w:tcPr>
          <w:p w14:paraId="6A1F919E" w14:textId="0708EE74"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58223C8E" w14:textId="1C283B3A"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3479EB7A" w14:textId="767C4A25"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843" w:type="dxa"/>
            <w:vAlign w:val="center"/>
          </w:tcPr>
          <w:p w14:paraId="444B83A2" w14:textId="2F82FE4C"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2005AF4D" w14:textId="711FE087"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0.9</w:t>
            </w:r>
            <w:r w:rsidR="00ED1439">
              <w:rPr>
                <w:rFonts w:ascii="Arial" w:hAnsi="Arial" w:cs="Arial"/>
                <w:sz w:val="16"/>
                <w:szCs w:val="16"/>
              </w:rPr>
              <w:t>8</w:t>
            </w:r>
          </w:p>
        </w:tc>
      </w:tr>
      <w:tr w:rsidR="007B2015" w:rsidRPr="00EF72E4" w14:paraId="182BA8DC" w14:textId="77777777" w:rsidTr="00975470">
        <w:tc>
          <w:tcPr>
            <w:tcW w:w="3261" w:type="dxa"/>
            <w:vAlign w:val="center"/>
          </w:tcPr>
          <w:p w14:paraId="76302017" w14:textId="77777777" w:rsidR="007B2015" w:rsidRPr="00EF72E4" w:rsidRDefault="007B2015" w:rsidP="007B2015">
            <w:pPr>
              <w:spacing w:before="50" w:after="60" w:line="240" w:lineRule="atLeast"/>
              <w:rPr>
                <w:rFonts w:ascii="Arial" w:hAnsi="Arial" w:cs="Arial"/>
                <w:sz w:val="16"/>
                <w:szCs w:val="16"/>
              </w:rPr>
            </w:pPr>
            <w:r w:rsidRPr="00EF72E4">
              <w:rPr>
                <w:rFonts w:ascii="Arial" w:hAnsi="Arial" w:cs="Arial"/>
                <w:sz w:val="16"/>
                <w:szCs w:val="16"/>
              </w:rPr>
              <w:t>Informal waste incineration</w:t>
            </w:r>
          </w:p>
        </w:tc>
        <w:tc>
          <w:tcPr>
            <w:tcW w:w="2126" w:type="dxa"/>
            <w:vAlign w:val="center"/>
          </w:tcPr>
          <w:p w14:paraId="2F4C0359" w14:textId="0207AA0F"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12.</w:t>
            </w:r>
            <w:r w:rsidR="00ED1439">
              <w:rPr>
                <w:rFonts w:ascii="Arial" w:hAnsi="Arial" w:cs="Arial"/>
                <w:sz w:val="16"/>
                <w:szCs w:val="16"/>
              </w:rPr>
              <w:t>6</w:t>
            </w:r>
          </w:p>
        </w:tc>
        <w:tc>
          <w:tcPr>
            <w:tcW w:w="1871" w:type="dxa"/>
            <w:vAlign w:val="center"/>
          </w:tcPr>
          <w:p w14:paraId="122943E1" w14:textId="4B0DD19E" w:rsidR="007B2015" w:rsidRPr="00EF72E4" w:rsidRDefault="0030255B" w:rsidP="0030255B">
            <w:pPr>
              <w:spacing w:before="50" w:after="60" w:line="240" w:lineRule="atLeast"/>
              <w:jc w:val="center"/>
              <w:rPr>
                <w:rFonts w:ascii="Arial" w:hAnsi="Arial" w:cs="Arial"/>
                <w:sz w:val="16"/>
                <w:szCs w:val="16"/>
              </w:rPr>
            </w:pPr>
            <w:r>
              <w:rPr>
                <w:rFonts w:ascii="Arial" w:hAnsi="Arial" w:cs="Arial"/>
                <w:sz w:val="16"/>
                <w:szCs w:val="16"/>
              </w:rPr>
              <w:t>12.6</w:t>
            </w:r>
          </w:p>
        </w:tc>
        <w:tc>
          <w:tcPr>
            <w:tcW w:w="1701" w:type="dxa"/>
            <w:vAlign w:val="center"/>
          </w:tcPr>
          <w:p w14:paraId="541DBA58" w14:textId="418295E9"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1382B73C" w14:textId="130B8F63"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843" w:type="dxa"/>
            <w:vAlign w:val="center"/>
          </w:tcPr>
          <w:p w14:paraId="18BC368A" w14:textId="3BD241EB"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07851963" w14:textId="4BDEA4EC"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r>
      <w:tr w:rsidR="007B2015" w:rsidRPr="00EF72E4" w14:paraId="6DE28763" w14:textId="77777777" w:rsidTr="00975470">
        <w:tc>
          <w:tcPr>
            <w:tcW w:w="3261" w:type="dxa"/>
            <w:vAlign w:val="center"/>
          </w:tcPr>
          <w:p w14:paraId="5DF9B4BF" w14:textId="77777777" w:rsidR="007B2015" w:rsidRPr="00EF72E4" w:rsidRDefault="007B2015" w:rsidP="007B2015">
            <w:pPr>
              <w:spacing w:before="50" w:after="60" w:line="240" w:lineRule="atLeast"/>
              <w:rPr>
                <w:rFonts w:ascii="Arial" w:hAnsi="Arial" w:cs="Arial"/>
                <w:sz w:val="16"/>
                <w:szCs w:val="16"/>
              </w:rPr>
            </w:pPr>
            <w:r w:rsidRPr="00EF72E4">
              <w:rPr>
                <w:rFonts w:ascii="Arial" w:hAnsi="Arial" w:cs="Arial"/>
                <w:sz w:val="16"/>
                <w:szCs w:val="16"/>
              </w:rPr>
              <w:t>Other (pet incinerators)</w:t>
            </w:r>
          </w:p>
        </w:tc>
        <w:tc>
          <w:tcPr>
            <w:tcW w:w="2126" w:type="dxa"/>
            <w:vAlign w:val="center"/>
          </w:tcPr>
          <w:p w14:paraId="4F97DF66" w14:textId="7220A7A6"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0.51</w:t>
            </w:r>
          </w:p>
        </w:tc>
        <w:tc>
          <w:tcPr>
            <w:tcW w:w="1871" w:type="dxa"/>
            <w:vAlign w:val="center"/>
          </w:tcPr>
          <w:p w14:paraId="106227FF" w14:textId="634DD739"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0.51</w:t>
            </w:r>
          </w:p>
        </w:tc>
        <w:tc>
          <w:tcPr>
            <w:tcW w:w="1701" w:type="dxa"/>
            <w:vAlign w:val="center"/>
          </w:tcPr>
          <w:p w14:paraId="20A5103F" w14:textId="77729136"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776CF39C" w14:textId="1CB706B3"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843" w:type="dxa"/>
            <w:vAlign w:val="center"/>
          </w:tcPr>
          <w:p w14:paraId="29CAA6C0" w14:textId="00417F56"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5E6BEFFC" w14:textId="0E818E1D"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r>
      <w:tr w:rsidR="007B2015" w:rsidRPr="00EF72E4" w14:paraId="5A2E4EC6" w14:textId="77777777" w:rsidTr="00975470">
        <w:tc>
          <w:tcPr>
            <w:tcW w:w="3261" w:type="dxa"/>
            <w:vAlign w:val="center"/>
          </w:tcPr>
          <w:p w14:paraId="2670CFEF" w14:textId="77777777" w:rsidR="007B2015" w:rsidRPr="00EF72E4" w:rsidRDefault="007B2015" w:rsidP="007B2015">
            <w:pPr>
              <w:spacing w:before="50" w:after="60" w:line="240" w:lineRule="atLeast"/>
              <w:rPr>
                <w:rFonts w:ascii="Arial" w:hAnsi="Arial" w:cs="Arial"/>
                <w:sz w:val="16"/>
                <w:szCs w:val="16"/>
              </w:rPr>
            </w:pPr>
            <w:r w:rsidRPr="00EF72E4">
              <w:rPr>
                <w:rFonts w:ascii="Arial" w:hAnsi="Arial" w:cs="Arial"/>
                <w:sz w:val="16"/>
                <w:szCs w:val="16"/>
              </w:rPr>
              <w:t>Controlled landfills/deposits</w:t>
            </w:r>
          </w:p>
        </w:tc>
        <w:tc>
          <w:tcPr>
            <w:tcW w:w="2126" w:type="dxa"/>
            <w:vAlign w:val="center"/>
          </w:tcPr>
          <w:p w14:paraId="50E5DE1D" w14:textId="6E81B400" w:rsidR="007B2015" w:rsidRPr="00EF72E4" w:rsidRDefault="007B2015" w:rsidP="007B2015">
            <w:pPr>
              <w:spacing w:line="300" w:lineRule="atLeast"/>
              <w:jc w:val="center"/>
              <w:rPr>
                <w:rFonts w:ascii="Arial" w:hAnsi="Arial" w:cs="Arial"/>
                <w:sz w:val="16"/>
                <w:szCs w:val="16"/>
              </w:rPr>
            </w:pPr>
            <w:r w:rsidRPr="00EF72E4">
              <w:rPr>
                <w:rFonts w:ascii="Arial" w:hAnsi="Arial" w:cs="Arial"/>
                <w:sz w:val="16"/>
                <w:szCs w:val="16"/>
              </w:rPr>
              <w:t>3,029</w:t>
            </w:r>
          </w:p>
        </w:tc>
        <w:tc>
          <w:tcPr>
            <w:tcW w:w="1871" w:type="dxa"/>
            <w:vAlign w:val="center"/>
          </w:tcPr>
          <w:p w14:paraId="1D86D3A8" w14:textId="4E7D1600" w:rsidR="007B2015" w:rsidRPr="00EF72E4" w:rsidRDefault="007B2015" w:rsidP="007B2015">
            <w:pPr>
              <w:spacing w:line="300" w:lineRule="atLeast"/>
              <w:jc w:val="center"/>
              <w:rPr>
                <w:rFonts w:ascii="Arial" w:hAnsi="Arial" w:cs="Arial"/>
                <w:sz w:val="16"/>
                <w:szCs w:val="16"/>
              </w:rPr>
            </w:pPr>
            <w:r w:rsidRPr="00EF72E4">
              <w:rPr>
                <w:rFonts w:ascii="Arial" w:hAnsi="Arial" w:cs="Arial"/>
                <w:sz w:val="16"/>
                <w:szCs w:val="16"/>
              </w:rPr>
              <w:t>30.</w:t>
            </w:r>
            <w:r w:rsidR="00ED1439">
              <w:rPr>
                <w:rFonts w:ascii="Arial" w:hAnsi="Arial" w:cs="Arial"/>
                <w:sz w:val="16"/>
                <w:szCs w:val="16"/>
              </w:rPr>
              <w:t>3</w:t>
            </w:r>
          </w:p>
        </w:tc>
        <w:tc>
          <w:tcPr>
            <w:tcW w:w="1701" w:type="dxa"/>
            <w:vAlign w:val="center"/>
          </w:tcPr>
          <w:p w14:paraId="587294B1" w14:textId="2FC1D25F" w:rsidR="007B2015" w:rsidRPr="00EF72E4" w:rsidRDefault="007B2015" w:rsidP="007B2015">
            <w:pPr>
              <w:spacing w:line="300" w:lineRule="atLeast"/>
              <w:jc w:val="center"/>
              <w:rPr>
                <w:rFonts w:ascii="Arial" w:hAnsi="Arial" w:cs="Arial"/>
                <w:sz w:val="16"/>
                <w:szCs w:val="16"/>
              </w:rPr>
            </w:pPr>
            <w:r w:rsidRPr="00EF72E4">
              <w:rPr>
                <w:rFonts w:ascii="Arial" w:hAnsi="Arial" w:cs="Arial"/>
                <w:sz w:val="16"/>
                <w:szCs w:val="16"/>
              </w:rPr>
              <w:t>0.30</w:t>
            </w:r>
          </w:p>
        </w:tc>
        <w:tc>
          <w:tcPr>
            <w:tcW w:w="1701" w:type="dxa"/>
            <w:vAlign w:val="center"/>
          </w:tcPr>
          <w:p w14:paraId="3EBF4123" w14:textId="1CA6E591"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843" w:type="dxa"/>
            <w:vAlign w:val="center"/>
          </w:tcPr>
          <w:p w14:paraId="4A32B8B3" w14:textId="254C9C6C"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16E494D4" w14:textId="3BB58DAA"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2998</w:t>
            </w:r>
          </w:p>
        </w:tc>
      </w:tr>
      <w:tr w:rsidR="007B2015" w:rsidRPr="00EF72E4" w14:paraId="2A850635" w14:textId="77777777" w:rsidTr="00975470">
        <w:tc>
          <w:tcPr>
            <w:tcW w:w="3261" w:type="dxa"/>
            <w:vAlign w:val="center"/>
          </w:tcPr>
          <w:p w14:paraId="3D90DFE4" w14:textId="77777777" w:rsidR="007B2015" w:rsidRPr="00EF72E4" w:rsidRDefault="007B2015" w:rsidP="007B2015">
            <w:pPr>
              <w:spacing w:before="50" w:after="60" w:line="240" w:lineRule="atLeast"/>
              <w:rPr>
                <w:rFonts w:ascii="Arial" w:hAnsi="Arial" w:cs="Arial"/>
                <w:sz w:val="16"/>
                <w:szCs w:val="16"/>
              </w:rPr>
            </w:pPr>
            <w:r w:rsidRPr="00EF72E4">
              <w:rPr>
                <w:rFonts w:ascii="Arial" w:hAnsi="Arial" w:cs="Arial"/>
                <w:sz w:val="16"/>
                <w:szCs w:val="16"/>
              </w:rPr>
              <w:t>Wastewater treatment systems</w:t>
            </w:r>
          </w:p>
        </w:tc>
        <w:tc>
          <w:tcPr>
            <w:tcW w:w="2126" w:type="dxa"/>
            <w:vAlign w:val="center"/>
          </w:tcPr>
          <w:p w14:paraId="79E9FF1F" w14:textId="144B96E1"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336.68 – 6733.66 (3535)</w:t>
            </w:r>
          </w:p>
        </w:tc>
        <w:tc>
          <w:tcPr>
            <w:tcW w:w="1871" w:type="dxa"/>
            <w:vAlign w:val="center"/>
          </w:tcPr>
          <w:p w14:paraId="20ED4B8A" w14:textId="09C52E20"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4A77A99A" w14:textId="1E098593" w:rsidR="007B2015" w:rsidRPr="00EF72E4" w:rsidRDefault="007B2015" w:rsidP="007B2015">
            <w:pPr>
              <w:spacing w:line="300" w:lineRule="atLeast"/>
              <w:jc w:val="center"/>
              <w:rPr>
                <w:rFonts w:ascii="Arial" w:hAnsi="Arial" w:cs="Arial"/>
                <w:sz w:val="16"/>
                <w:szCs w:val="16"/>
              </w:rPr>
            </w:pPr>
            <w:r w:rsidRPr="00EF72E4">
              <w:rPr>
                <w:rFonts w:ascii="Arial" w:hAnsi="Arial" w:cs="Arial"/>
                <w:sz w:val="16"/>
                <w:szCs w:val="16"/>
              </w:rPr>
              <w:t>168.34 – 3366.8 (176</w:t>
            </w:r>
            <w:r w:rsidR="00ED1439">
              <w:rPr>
                <w:rFonts w:ascii="Arial" w:hAnsi="Arial" w:cs="Arial"/>
                <w:sz w:val="16"/>
                <w:szCs w:val="16"/>
              </w:rPr>
              <w:t>8</w:t>
            </w:r>
            <w:r w:rsidRPr="00EF72E4">
              <w:rPr>
                <w:rFonts w:ascii="Arial" w:hAnsi="Arial" w:cs="Arial"/>
                <w:sz w:val="16"/>
                <w:szCs w:val="16"/>
              </w:rPr>
              <w:t>)</w:t>
            </w:r>
          </w:p>
        </w:tc>
        <w:tc>
          <w:tcPr>
            <w:tcW w:w="1701" w:type="dxa"/>
            <w:vAlign w:val="center"/>
          </w:tcPr>
          <w:p w14:paraId="6BB242D3" w14:textId="06D26601" w:rsidR="007B2015" w:rsidRPr="00EF72E4" w:rsidRDefault="007B2015" w:rsidP="007B2015">
            <w:pPr>
              <w:spacing w:line="300" w:lineRule="atLeast"/>
              <w:jc w:val="center"/>
              <w:rPr>
                <w:rFonts w:ascii="Arial" w:hAnsi="Arial" w:cs="Arial"/>
                <w:sz w:val="16"/>
                <w:szCs w:val="16"/>
              </w:rPr>
            </w:pPr>
            <w:r w:rsidRPr="00EF72E4">
              <w:rPr>
                <w:rFonts w:ascii="Arial" w:hAnsi="Arial" w:cs="Arial"/>
                <w:sz w:val="16"/>
                <w:szCs w:val="16"/>
              </w:rPr>
              <w:t>67.336 – 1346.73 (707</w:t>
            </w:r>
            <w:r w:rsidR="00ED1439">
              <w:rPr>
                <w:rFonts w:ascii="Arial" w:hAnsi="Arial" w:cs="Arial"/>
                <w:sz w:val="16"/>
                <w:szCs w:val="16"/>
              </w:rPr>
              <w:t>)</w:t>
            </w:r>
          </w:p>
        </w:tc>
        <w:tc>
          <w:tcPr>
            <w:tcW w:w="1843" w:type="dxa"/>
            <w:vAlign w:val="center"/>
          </w:tcPr>
          <w:p w14:paraId="30BA763D" w14:textId="327E78BF" w:rsidR="007B2015" w:rsidRPr="00EF72E4" w:rsidRDefault="00975470"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7C56D70D" w14:textId="611A8863" w:rsidR="007B2015" w:rsidRPr="00EF72E4" w:rsidRDefault="00975470" w:rsidP="007B2015">
            <w:pPr>
              <w:spacing w:before="50" w:after="60" w:line="240" w:lineRule="atLeast"/>
              <w:jc w:val="center"/>
              <w:rPr>
                <w:rFonts w:ascii="Arial" w:hAnsi="Arial" w:cs="Arial"/>
                <w:sz w:val="16"/>
                <w:szCs w:val="16"/>
              </w:rPr>
            </w:pPr>
            <w:r w:rsidRPr="00EF72E4">
              <w:rPr>
                <w:rFonts w:ascii="Arial" w:hAnsi="Arial" w:cs="Arial"/>
                <w:sz w:val="16"/>
                <w:szCs w:val="16"/>
              </w:rPr>
              <w:t>101.00 – 2020.10 (106</w:t>
            </w:r>
            <w:r w:rsidR="00ED1439">
              <w:rPr>
                <w:rFonts w:ascii="Arial" w:hAnsi="Arial" w:cs="Arial"/>
                <w:sz w:val="16"/>
                <w:szCs w:val="16"/>
              </w:rPr>
              <w:t>1</w:t>
            </w:r>
            <w:r w:rsidRPr="00EF72E4">
              <w:rPr>
                <w:rFonts w:ascii="Arial" w:hAnsi="Arial" w:cs="Arial"/>
                <w:sz w:val="16"/>
                <w:szCs w:val="16"/>
              </w:rPr>
              <w:t>)</w:t>
            </w:r>
          </w:p>
        </w:tc>
      </w:tr>
      <w:tr w:rsidR="007B2015" w:rsidRPr="00EF72E4" w14:paraId="2C82C90B" w14:textId="77777777" w:rsidTr="00975470">
        <w:tc>
          <w:tcPr>
            <w:tcW w:w="3261" w:type="dxa"/>
            <w:vAlign w:val="center"/>
          </w:tcPr>
          <w:p w14:paraId="4C4BFC17" w14:textId="77777777" w:rsidR="007B2015" w:rsidRPr="00EF72E4" w:rsidRDefault="007B2015" w:rsidP="007B2015">
            <w:pPr>
              <w:spacing w:before="50" w:after="60" w:line="240" w:lineRule="atLeast"/>
              <w:rPr>
                <w:rFonts w:ascii="Arial" w:hAnsi="Arial" w:cs="Arial"/>
                <w:sz w:val="16"/>
                <w:szCs w:val="16"/>
              </w:rPr>
            </w:pPr>
            <w:r w:rsidRPr="00EF72E4">
              <w:rPr>
                <w:rFonts w:ascii="Arial" w:hAnsi="Arial" w:cs="Arial"/>
                <w:sz w:val="16"/>
                <w:szCs w:val="16"/>
              </w:rPr>
              <w:t>Crematoria</w:t>
            </w:r>
          </w:p>
        </w:tc>
        <w:tc>
          <w:tcPr>
            <w:tcW w:w="2126" w:type="dxa"/>
            <w:vAlign w:val="center"/>
          </w:tcPr>
          <w:p w14:paraId="1A12DA38" w14:textId="70BFDCAA" w:rsidR="007B2015" w:rsidRPr="00EF72E4" w:rsidRDefault="007B2015" w:rsidP="007B2015">
            <w:pPr>
              <w:spacing w:line="300" w:lineRule="atLeast"/>
              <w:jc w:val="center"/>
            </w:pPr>
            <w:r w:rsidRPr="00EF72E4">
              <w:rPr>
                <w:rFonts w:ascii="Arial" w:hAnsi="Arial" w:cs="Arial"/>
                <w:sz w:val="16"/>
                <w:szCs w:val="16"/>
              </w:rPr>
              <w:t>25.4 – 10</w:t>
            </w:r>
            <w:r w:rsidR="00ED1439">
              <w:rPr>
                <w:rFonts w:ascii="Arial" w:hAnsi="Arial" w:cs="Arial"/>
                <w:sz w:val="16"/>
                <w:szCs w:val="16"/>
              </w:rPr>
              <w:t>2</w:t>
            </w:r>
            <w:r w:rsidRPr="00EF72E4">
              <w:rPr>
                <w:rFonts w:ascii="Arial" w:hAnsi="Arial" w:cs="Arial"/>
                <w:sz w:val="16"/>
                <w:szCs w:val="16"/>
              </w:rPr>
              <w:t xml:space="preserve"> (63.</w:t>
            </w:r>
            <w:r w:rsidR="00ED1439">
              <w:rPr>
                <w:rFonts w:ascii="Arial" w:hAnsi="Arial" w:cs="Arial"/>
                <w:sz w:val="16"/>
                <w:szCs w:val="16"/>
              </w:rPr>
              <w:t>6</w:t>
            </w:r>
            <w:r w:rsidRPr="00EF72E4">
              <w:rPr>
                <w:rFonts w:ascii="Arial" w:hAnsi="Arial" w:cs="Arial"/>
                <w:sz w:val="16"/>
                <w:szCs w:val="16"/>
              </w:rPr>
              <w:t>)</w:t>
            </w:r>
          </w:p>
        </w:tc>
        <w:tc>
          <w:tcPr>
            <w:tcW w:w="1871" w:type="dxa"/>
            <w:vAlign w:val="center"/>
          </w:tcPr>
          <w:p w14:paraId="604A6458" w14:textId="3B4A270D" w:rsidR="007B2015" w:rsidRPr="00EF72E4" w:rsidRDefault="007B2015" w:rsidP="007B2015">
            <w:pPr>
              <w:spacing w:line="300" w:lineRule="atLeast"/>
              <w:jc w:val="center"/>
            </w:pPr>
            <w:r w:rsidRPr="00EF72E4">
              <w:rPr>
                <w:rFonts w:ascii="Arial" w:hAnsi="Arial" w:cs="Arial"/>
                <w:sz w:val="16"/>
                <w:szCs w:val="16"/>
              </w:rPr>
              <w:t>25.4 – 10</w:t>
            </w:r>
            <w:r w:rsidR="00ED1439">
              <w:rPr>
                <w:rFonts w:ascii="Arial" w:hAnsi="Arial" w:cs="Arial"/>
                <w:sz w:val="16"/>
                <w:szCs w:val="16"/>
              </w:rPr>
              <w:t>2</w:t>
            </w:r>
            <w:r w:rsidRPr="00EF72E4">
              <w:rPr>
                <w:rFonts w:ascii="Arial" w:hAnsi="Arial" w:cs="Arial"/>
                <w:sz w:val="16"/>
                <w:szCs w:val="16"/>
              </w:rPr>
              <w:t xml:space="preserve"> (63.</w:t>
            </w:r>
            <w:r w:rsidR="00ED1439">
              <w:rPr>
                <w:rFonts w:ascii="Arial" w:hAnsi="Arial" w:cs="Arial"/>
                <w:sz w:val="16"/>
                <w:szCs w:val="16"/>
              </w:rPr>
              <w:t>6</w:t>
            </w:r>
            <w:r w:rsidRPr="00EF72E4">
              <w:rPr>
                <w:rFonts w:ascii="Arial" w:hAnsi="Arial" w:cs="Arial"/>
                <w:sz w:val="16"/>
                <w:szCs w:val="16"/>
              </w:rPr>
              <w:t>)</w:t>
            </w:r>
          </w:p>
        </w:tc>
        <w:tc>
          <w:tcPr>
            <w:tcW w:w="1701" w:type="dxa"/>
            <w:vAlign w:val="center"/>
          </w:tcPr>
          <w:p w14:paraId="20F8612F" w14:textId="4BBCDB54"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73B4FA0C" w14:textId="01F80E5E"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843" w:type="dxa"/>
            <w:vAlign w:val="center"/>
          </w:tcPr>
          <w:p w14:paraId="00E9A47C" w14:textId="0C957CE6"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1E57E1EB" w14:textId="3F31EBEC"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r>
      <w:tr w:rsidR="007B2015" w:rsidRPr="00EF72E4" w14:paraId="5B5AC2BD" w14:textId="77777777" w:rsidTr="00975470">
        <w:tc>
          <w:tcPr>
            <w:tcW w:w="3261" w:type="dxa"/>
            <w:vAlign w:val="center"/>
          </w:tcPr>
          <w:p w14:paraId="306773B7" w14:textId="77777777" w:rsidR="007B2015" w:rsidRPr="00EF72E4" w:rsidRDefault="007B2015" w:rsidP="007B2015">
            <w:pPr>
              <w:spacing w:before="50" w:after="60" w:line="240" w:lineRule="atLeast"/>
              <w:rPr>
                <w:rFonts w:ascii="Arial" w:hAnsi="Arial" w:cs="Arial"/>
                <w:sz w:val="16"/>
                <w:szCs w:val="16"/>
              </w:rPr>
            </w:pPr>
            <w:r w:rsidRPr="00EF72E4">
              <w:rPr>
                <w:rFonts w:ascii="Arial" w:hAnsi="Arial" w:cs="Arial"/>
                <w:sz w:val="16"/>
                <w:szCs w:val="16"/>
              </w:rPr>
              <w:t>Cemeteries</w:t>
            </w:r>
          </w:p>
        </w:tc>
        <w:tc>
          <w:tcPr>
            <w:tcW w:w="2126" w:type="dxa"/>
            <w:vAlign w:val="center"/>
          </w:tcPr>
          <w:p w14:paraId="0BCF04F8" w14:textId="32C9E4DE"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11.0 – 44.1 (27.</w:t>
            </w:r>
            <w:r w:rsidR="00ED1439">
              <w:rPr>
                <w:rFonts w:ascii="Arial" w:hAnsi="Arial" w:cs="Arial"/>
                <w:sz w:val="16"/>
                <w:szCs w:val="16"/>
              </w:rPr>
              <w:t>6</w:t>
            </w:r>
            <w:r w:rsidRPr="00EF72E4">
              <w:rPr>
                <w:rFonts w:ascii="Arial" w:hAnsi="Arial" w:cs="Arial"/>
                <w:sz w:val="16"/>
                <w:szCs w:val="16"/>
              </w:rPr>
              <w:t>)</w:t>
            </w:r>
          </w:p>
        </w:tc>
        <w:tc>
          <w:tcPr>
            <w:tcW w:w="1871" w:type="dxa"/>
            <w:vAlign w:val="center"/>
          </w:tcPr>
          <w:p w14:paraId="1FFE52E2" w14:textId="14654ED3"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7ABE6D72" w14:textId="0E49CDBC"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701" w:type="dxa"/>
            <w:vAlign w:val="center"/>
          </w:tcPr>
          <w:p w14:paraId="76799F97" w14:textId="029F495A"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11.0 – 44.1 (27.</w:t>
            </w:r>
            <w:r w:rsidR="00ED1439">
              <w:rPr>
                <w:rFonts w:ascii="Arial" w:hAnsi="Arial" w:cs="Arial"/>
                <w:sz w:val="16"/>
                <w:szCs w:val="16"/>
              </w:rPr>
              <w:t>6</w:t>
            </w:r>
            <w:r w:rsidRPr="00EF72E4">
              <w:rPr>
                <w:rFonts w:ascii="Arial" w:hAnsi="Arial" w:cs="Arial"/>
                <w:sz w:val="16"/>
                <w:szCs w:val="16"/>
              </w:rPr>
              <w:t>)</w:t>
            </w:r>
          </w:p>
        </w:tc>
        <w:tc>
          <w:tcPr>
            <w:tcW w:w="1843" w:type="dxa"/>
            <w:vAlign w:val="center"/>
          </w:tcPr>
          <w:p w14:paraId="32EC5F1D" w14:textId="1202A90E"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c>
          <w:tcPr>
            <w:tcW w:w="1672" w:type="dxa"/>
            <w:vAlign w:val="center"/>
          </w:tcPr>
          <w:p w14:paraId="3109ADBC" w14:textId="55F65858" w:rsidR="007B2015" w:rsidRPr="00EF72E4" w:rsidRDefault="007B2015" w:rsidP="007B2015">
            <w:pPr>
              <w:spacing w:before="50" w:after="60" w:line="240" w:lineRule="atLeast"/>
              <w:jc w:val="center"/>
              <w:rPr>
                <w:rFonts w:ascii="Arial" w:hAnsi="Arial" w:cs="Arial"/>
                <w:sz w:val="16"/>
                <w:szCs w:val="16"/>
              </w:rPr>
            </w:pPr>
            <w:r w:rsidRPr="00EF72E4">
              <w:rPr>
                <w:rFonts w:ascii="Arial" w:hAnsi="Arial" w:cs="Arial"/>
                <w:sz w:val="16"/>
                <w:szCs w:val="16"/>
              </w:rPr>
              <w:t>-</w:t>
            </w:r>
          </w:p>
        </w:tc>
      </w:tr>
      <w:tr w:rsidR="0071660B" w:rsidRPr="00EF72E4" w14:paraId="4D196C0F" w14:textId="77777777" w:rsidTr="00975470">
        <w:tc>
          <w:tcPr>
            <w:tcW w:w="3261" w:type="dxa"/>
            <w:vAlign w:val="center"/>
          </w:tcPr>
          <w:p w14:paraId="43EDA467" w14:textId="77777777" w:rsidR="0071660B" w:rsidRPr="00EF72E4" w:rsidRDefault="0071660B" w:rsidP="0071660B">
            <w:pPr>
              <w:spacing w:before="50" w:after="60" w:line="240" w:lineRule="atLeast"/>
              <w:ind w:left="-42"/>
              <w:rPr>
                <w:rFonts w:ascii="Arial" w:hAnsi="Arial" w:cs="Arial"/>
                <w:b/>
                <w:sz w:val="16"/>
                <w:szCs w:val="16"/>
              </w:rPr>
            </w:pPr>
            <w:r w:rsidRPr="00EF72E4">
              <w:rPr>
                <w:rFonts w:ascii="Arial" w:hAnsi="Arial" w:cs="Arial"/>
                <w:b/>
                <w:sz w:val="16"/>
                <w:szCs w:val="16"/>
              </w:rPr>
              <w:t>Totals, all sources</w:t>
            </w:r>
          </w:p>
        </w:tc>
        <w:tc>
          <w:tcPr>
            <w:tcW w:w="2126" w:type="dxa"/>
            <w:tcBorders>
              <w:top w:val="single" w:sz="12" w:space="0" w:color="auto"/>
              <w:left w:val="single" w:sz="12" w:space="0" w:color="auto"/>
              <w:bottom w:val="single" w:sz="12" w:space="0" w:color="auto"/>
              <w:right w:val="single" w:sz="12" w:space="0" w:color="auto"/>
            </w:tcBorders>
            <w:vAlign w:val="center"/>
          </w:tcPr>
          <w:p w14:paraId="0EC8D1CC" w14:textId="7945C120" w:rsidR="0071660B" w:rsidRPr="00EF72E4" w:rsidRDefault="0071660B" w:rsidP="0071660B">
            <w:pPr>
              <w:spacing w:before="60" w:after="60"/>
              <w:jc w:val="center"/>
              <w:rPr>
                <w:rFonts w:ascii="Arial" w:hAnsi="Arial" w:cs="Arial"/>
                <w:b/>
                <w:sz w:val="16"/>
                <w:szCs w:val="16"/>
              </w:rPr>
            </w:pPr>
            <w:r w:rsidRPr="00975470">
              <w:rPr>
                <w:rFonts w:ascii="Arial" w:hAnsi="Arial" w:cs="Arial"/>
                <w:b/>
                <w:sz w:val="16"/>
                <w:szCs w:val="16"/>
              </w:rPr>
              <w:t>4</w:t>
            </w:r>
            <w:r>
              <w:rPr>
                <w:rFonts w:ascii="Arial" w:hAnsi="Arial" w:cs="Arial"/>
                <w:b/>
                <w:sz w:val="16"/>
                <w:szCs w:val="16"/>
              </w:rPr>
              <w:t>,</w:t>
            </w:r>
            <w:r w:rsidRPr="00975470">
              <w:rPr>
                <w:rFonts w:ascii="Arial" w:hAnsi="Arial" w:cs="Arial"/>
                <w:b/>
                <w:sz w:val="16"/>
                <w:szCs w:val="16"/>
              </w:rPr>
              <w:t>24</w:t>
            </w:r>
            <w:r>
              <w:rPr>
                <w:rFonts w:ascii="Arial" w:hAnsi="Arial" w:cs="Arial"/>
                <w:b/>
                <w:sz w:val="16"/>
                <w:szCs w:val="16"/>
              </w:rPr>
              <w:t>4</w:t>
            </w:r>
            <w:r w:rsidRPr="00975470">
              <w:rPr>
                <w:rFonts w:ascii="Arial" w:hAnsi="Arial" w:cs="Arial"/>
                <w:b/>
                <w:sz w:val="16"/>
                <w:szCs w:val="16"/>
              </w:rPr>
              <w:t xml:space="preserve"> – 13</w:t>
            </w:r>
            <w:r>
              <w:rPr>
                <w:rFonts w:ascii="Arial" w:hAnsi="Arial" w:cs="Arial"/>
                <w:b/>
                <w:sz w:val="16"/>
                <w:szCs w:val="16"/>
              </w:rPr>
              <w:t>,2</w:t>
            </w:r>
            <w:r w:rsidRPr="00975470">
              <w:rPr>
                <w:rFonts w:ascii="Arial" w:hAnsi="Arial" w:cs="Arial"/>
                <w:b/>
                <w:sz w:val="16"/>
                <w:szCs w:val="16"/>
              </w:rPr>
              <w:t>85 (8</w:t>
            </w:r>
            <w:r>
              <w:rPr>
                <w:rFonts w:ascii="Arial" w:hAnsi="Arial" w:cs="Arial"/>
                <w:b/>
                <w:sz w:val="16"/>
                <w:szCs w:val="16"/>
              </w:rPr>
              <w:t>766</w:t>
            </w:r>
            <w:r w:rsidRPr="00975470">
              <w:rPr>
                <w:rFonts w:ascii="Arial" w:hAnsi="Arial" w:cs="Arial"/>
                <w:b/>
                <w:sz w:val="16"/>
                <w:szCs w:val="16"/>
              </w:rPr>
              <w:t>)</w:t>
            </w:r>
          </w:p>
        </w:tc>
        <w:tc>
          <w:tcPr>
            <w:tcW w:w="1871" w:type="dxa"/>
            <w:tcBorders>
              <w:top w:val="single" w:sz="12" w:space="0" w:color="auto"/>
              <w:left w:val="single" w:sz="12" w:space="0" w:color="auto"/>
              <w:bottom w:val="single" w:sz="12" w:space="0" w:color="auto"/>
              <w:right w:val="single" w:sz="12" w:space="0" w:color="auto"/>
            </w:tcBorders>
            <w:vAlign w:val="center"/>
          </w:tcPr>
          <w:p w14:paraId="4925326F" w14:textId="4885DB87" w:rsidR="0071660B" w:rsidRPr="00EF72E4" w:rsidRDefault="0071660B" w:rsidP="0071660B">
            <w:pPr>
              <w:spacing w:before="60" w:after="60"/>
              <w:jc w:val="center"/>
              <w:rPr>
                <w:rFonts w:ascii="Arial" w:hAnsi="Arial" w:cs="Arial"/>
                <w:b/>
                <w:sz w:val="16"/>
                <w:szCs w:val="16"/>
              </w:rPr>
            </w:pPr>
            <w:r w:rsidRPr="00975470">
              <w:rPr>
                <w:rFonts w:ascii="Arial" w:hAnsi="Arial" w:cs="Arial"/>
                <w:b/>
                <w:sz w:val="16"/>
                <w:szCs w:val="16"/>
              </w:rPr>
              <w:t>44</w:t>
            </w:r>
            <w:r>
              <w:rPr>
                <w:rFonts w:ascii="Arial" w:hAnsi="Arial" w:cs="Arial"/>
                <w:b/>
                <w:sz w:val="16"/>
                <w:szCs w:val="16"/>
              </w:rPr>
              <w:t>7</w:t>
            </w:r>
            <w:r w:rsidRPr="00975470">
              <w:rPr>
                <w:rFonts w:ascii="Arial" w:hAnsi="Arial" w:cs="Arial"/>
                <w:b/>
                <w:sz w:val="16"/>
                <w:szCs w:val="16"/>
              </w:rPr>
              <w:t xml:space="preserve"> – 2</w:t>
            </w:r>
            <w:r>
              <w:rPr>
                <w:rFonts w:ascii="Arial" w:hAnsi="Arial" w:cs="Arial"/>
                <w:b/>
                <w:sz w:val="16"/>
                <w:szCs w:val="16"/>
              </w:rPr>
              <w:t>,</w:t>
            </w:r>
            <w:r w:rsidRPr="00975470">
              <w:rPr>
                <w:rFonts w:ascii="Arial" w:hAnsi="Arial" w:cs="Arial"/>
                <w:b/>
                <w:sz w:val="16"/>
                <w:szCs w:val="16"/>
              </w:rPr>
              <w:t>7</w:t>
            </w:r>
            <w:r>
              <w:rPr>
                <w:rFonts w:ascii="Arial" w:hAnsi="Arial" w:cs="Arial"/>
                <w:b/>
                <w:sz w:val="16"/>
                <w:szCs w:val="16"/>
              </w:rPr>
              <w:t>3</w:t>
            </w:r>
            <w:r w:rsidRPr="00975470">
              <w:rPr>
                <w:rFonts w:ascii="Arial" w:hAnsi="Arial" w:cs="Arial"/>
                <w:b/>
                <w:sz w:val="16"/>
                <w:szCs w:val="16"/>
              </w:rPr>
              <w:t>6 (1</w:t>
            </w:r>
            <w:r>
              <w:rPr>
                <w:rFonts w:ascii="Arial" w:hAnsi="Arial" w:cs="Arial"/>
                <w:b/>
                <w:sz w:val="16"/>
                <w:szCs w:val="16"/>
              </w:rPr>
              <w:t>,</w:t>
            </w:r>
            <w:r w:rsidRPr="00975470">
              <w:rPr>
                <w:rFonts w:ascii="Arial" w:hAnsi="Arial" w:cs="Arial"/>
                <w:b/>
                <w:sz w:val="16"/>
                <w:szCs w:val="16"/>
              </w:rPr>
              <w:t>5</w:t>
            </w:r>
            <w:r>
              <w:rPr>
                <w:rFonts w:ascii="Arial" w:hAnsi="Arial" w:cs="Arial"/>
                <w:b/>
                <w:sz w:val="16"/>
                <w:szCs w:val="16"/>
              </w:rPr>
              <w:t>94</w:t>
            </w:r>
            <w:r w:rsidRPr="00975470">
              <w:rPr>
                <w:rFonts w:ascii="Arial" w:hAnsi="Arial" w:cs="Arial"/>
                <w:b/>
                <w:sz w:val="16"/>
                <w:szCs w:val="16"/>
              </w:rPr>
              <w:t>)</w:t>
            </w:r>
          </w:p>
        </w:tc>
        <w:tc>
          <w:tcPr>
            <w:tcW w:w="1701" w:type="dxa"/>
            <w:tcBorders>
              <w:top w:val="single" w:sz="12" w:space="0" w:color="auto"/>
              <w:left w:val="single" w:sz="12" w:space="0" w:color="auto"/>
              <w:bottom w:val="single" w:sz="12" w:space="0" w:color="auto"/>
              <w:right w:val="single" w:sz="12" w:space="0" w:color="auto"/>
            </w:tcBorders>
            <w:vAlign w:val="center"/>
          </w:tcPr>
          <w:p w14:paraId="330CB66C" w14:textId="079F8A87" w:rsidR="0071660B" w:rsidRPr="00EF72E4" w:rsidRDefault="0071660B" w:rsidP="0071660B">
            <w:pPr>
              <w:spacing w:before="60" w:after="60"/>
              <w:jc w:val="center"/>
              <w:rPr>
                <w:rFonts w:ascii="Arial" w:hAnsi="Arial" w:cs="Arial"/>
                <w:b/>
                <w:sz w:val="16"/>
                <w:szCs w:val="16"/>
              </w:rPr>
            </w:pPr>
            <w:r w:rsidRPr="00975470">
              <w:rPr>
                <w:rFonts w:ascii="Arial" w:hAnsi="Arial" w:cs="Arial"/>
                <w:b/>
                <w:sz w:val="16"/>
                <w:szCs w:val="16"/>
              </w:rPr>
              <w:t>186 – 3,445 (1,816)</w:t>
            </w:r>
          </w:p>
        </w:tc>
        <w:tc>
          <w:tcPr>
            <w:tcW w:w="1701" w:type="dxa"/>
            <w:tcBorders>
              <w:top w:val="single" w:sz="12" w:space="0" w:color="auto"/>
              <w:left w:val="single" w:sz="12" w:space="0" w:color="auto"/>
              <w:bottom w:val="single" w:sz="12" w:space="0" w:color="auto"/>
              <w:right w:val="single" w:sz="12" w:space="0" w:color="auto"/>
            </w:tcBorders>
            <w:vAlign w:val="center"/>
          </w:tcPr>
          <w:p w14:paraId="09BF2EDF" w14:textId="1528E923" w:rsidR="0071660B" w:rsidRPr="00EF72E4" w:rsidRDefault="0071660B" w:rsidP="0071660B">
            <w:pPr>
              <w:spacing w:before="60" w:after="60"/>
              <w:jc w:val="center"/>
              <w:rPr>
                <w:rFonts w:ascii="Arial" w:hAnsi="Arial" w:cs="Arial"/>
                <w:b/>
                <w:sz w:val="16"/>
                <w:szCs w:val="16"/>
              </w:rPr>
            </w:pPr>
            <w:r w:rsidRPr="00975470">
              <w:rPr>
                <w:rFonts w:ascii="Arial" w:hAnsi="Arial" w:cs="Arial"/>
                <w:b/>
                <w:sz w:val="16"/>
                <w:szCs w:val="16"/>
              </w:rPr>
              <w:t>37</w:t>
            </w:r>
            <w:r>
              <w:rPr>
                <w:rFonts w:ascii="Arial" w:hAnsi="Arial" w:cs="Arial"/>
                <w:b/>
                <w:sz w:val="16"/>
                <w:szCs w:val="16"/>
              </w:rPr>
              <w:t>3</w:t>
            </w:r>
            <w:r w:rsidRPr="00975470">
              <w:rPr>
                <w:rFonts w:ascii="Arial" w:hAnsi="Arial" w:cs="Arial"/>
                <w:b/>
                <w:sz w:val="16"/>
                <w:szCs w:val="16"/>
              </w:rPr>
              <w:t xml:space="preserve"> – 1,7</w:t>
            </w:r>
            <w:r>
              <w:rPr>
                <w:rFonts w:ascii="Arial" w:hAnsi="Arial" w:cs="Arial"/>
                <w:b/>
                <w:sz w:val="16"/>
                <w:szCs w:val="16"/>
              </w:rPr>
              <w:t>8</w:t>
            </w:r>
            <w:r w:rsidRPr="00975470">
              <w:rPr>
                <w:rFonts w:ascii="Arial" w:hAnsi="Arial" w:cs="Arial"/>
                <w:b/>
                <w:sz w:val="16"/>
                <w:szCs w:val="16"/>
              </w:rPr>
              <w:t>0- (1,0</w:t>
            </w:r>
            <w:r>
              <w:rPr>
                <w:rFonts w:ascii="Arial" w:hAnsi="Arial" w:cs="Arial"/>
                <w:b/>
                <w:sz w:val="16"/>
                <w:szCs w:val="16"/>
              </w:rPr>
              <w:t>76</w:t>
            </w:r>
            <w:r w:rsidRPr="00975470">
              <w:rPr>
                <w:rFonts w:ascii="Arial" w:hAnsi="Arial" w:cs="Arial"/>
                <w:b/>
                <w:sz w:val="16"/>
                <w:szCs w:val="16"/>
              </w:rPr>
              <w:t>)</w:t>
            </w:r>
          </w:p>
        </w:tc>
        <w:tc>
          <w:tcPr>
            <w:tcW w:w="1843" w:type="dxa"/>
            <w:tcBorders>
              <w:top w:val="single" w:sz="12" w:space="0" w:color="auto"/>
              <w:left w:val="single" w:sz="12" w:space="0" w:color="auto"/>
              <w:bottom w:val="single" w:sz="12" w:space="0" w:color="auto"/>
              <w:right w:val="single" w:sz="12" w:space="0" w:color="auto"/>
            </w:tcBorders>
            <w:vAlign w:val="center"/>
          </w:tcPr>
          <w:p w14:paraId="0675C821" w14:textId="445B10F2" w:rsidR="0071660B" w:rsidRPr="00EF72E4" w:rsidRDefault="0071660B" w:rsidP="0071660B">
            <w:pPr>
              <w:spacing w:before="60" w:after="60"/>
              <w:jc w:val="center"/>
              <w:rPr>
                <w:rFonts w:ascii="Arial" w:hAnsi="Arial" w:cs="Arial"/>
                <w:b/>
                <w:sz w:val="16"/>
                <w:szCs w:val="16"/>
              </w:rPr>
            </w:pPr>
            <w:r w:rsidRPr="00261DA3">
              <w:rPr>
                <w:rFonts w:ascii="Arial" w:hAnsi="Arial" w:cs="Arial"/>
                <w:b/>
                <w:sz w:val="16"/>
                <w:szCs w:val="16"/>
              </w:rPr>
              <w:t>36.0 – 36.6 (36.3)</w:t>
            </w:r>
          </w:p>
        </w:tc>
        <w:tc>
          <w:tcPr>
            <w:tcW w:w="1672" w:type="dxa"/>
            <w:tcBorders>
              <w:top w:val="single" w:sz="12" w:space="0" w:color="auto"/>
              <w:left w:val="single" w:sz="12" w:space="0" w:color="auto"/>
              <w:bottom w:val="single" w:sz="12" w:space="0" w:color="auto"/>
              <w:right w:val="single" w:sz="12" w:space="0" w:color="auto"/>
            </w:tcBorders>
            <w:vAlign w:val="center"/>
          </w:tcPr>
          <w:p w14:paraId="6F8B466B" w14:textId="1B48C62D" w:rsidR="0071660B" w:rsidRPr="00EF72E4" w:rsidRDefault="0071660B" w:rsidP="0071660B">
            <w:pPr>
              <w:spacing w:before="60" w:after="60"/>
              <w:jc w:val="center"/>
              <w:rPr>
                <w:rFonts w:ascii="Arial" w:hAnsi="Arial" w:cs="Arial"/>
                <w:b/>
                <w:sz w:val="16"/>
                <w:szCs w:val="16"/>
              </w:rPr>
            </w:pPr>
            <w:r w:rsidRPr="00261DA3">
              <w:rPr>
                <w:rFonts w:ascii="Arial" w:hAnsi="Arial" w:cs="Arial"/>
                <w:b/>
                <w:sz w:val="16"/>
                <w:szCs w:val="16"/>
              </w:rPr>
              <w:t>20</w:t>
            </w:r>
            <w:r>
              <w:rPr>
                <w:rFonts w:ascii="Arial" w:hAnsi="Arial" w:cs="Arial"/>
                <w:b/>
                <w:sz w:val="16"/>
                <w:szCs w:val="16"/>
              </w:rPr>
              <w:t>3</w:t>
            </w:r>
            <w:r w:rsidRPr="00261DA3">
              <w:rPr>
                <w:rFonts w:ascii="Arial" w:hAnsi="Arial" w:cs="Arial"/>
                <w:b/>
                <w:sz w:val="16"/>
                <w:szCs w:val="16"/>
              </w:rPr>
              <w:t xml:space="preserve"> – 2</w:t>
            </w:r>
            <w:r>
              <w:rPr>
                <w:rFonts w:ascii="Arial" w:hAnsi="Arial" w:cs="Arial"/>
                <w:b/>
                <w:sz w:val="16"/>
                <w:szCs w:val="16"/>
              </w:rPr>
              <w:t>289</w:t>
            </w:r>
            <w:r w:rsidRPr="00261DA3">
              <w:rPr>
                <w:rFonts w:ascii="Arial" w:hAnsi="Arial" w:cs="Arial"/>
                <w:b/>
                <w:sz w:val="16"/>
                <w:szCs w:val="16"/>
              </w:rPr>
              <w:t xml:space="preserve"> (12</w:t>
            </w:r>
            <w:r>
              <w:rPr>
                <w:rFonts w:ascii="Arial" w:hAnsi="Arial" w:cs="Arial"/>
                <w:b/>
                <w:sz w:val="16"/>
                <w:szCs w:val="16"/>
              </w:rPr>
              <w:t>46</w:t>
            </w:r>
            <w:r w:rsidRPr="00261DA3">
              <w:rPr>
                <w:rFonts w:ascii="Arial" w:hAnsi="Arial" w:cs="Arial"/>
                <w:b/>
                <w:sz w:val="16"/>
                <w:szCs w:val="16"/>
              </w:rPr>
              <w:t>)</w:t>
            </w:r>
          </w:p>
        </w:tc>
      </w:tr>
    </w:tbl>
    <w:p w14:paraId="63535895" w14:textId="6091570D" w:rsidR="003C227D" w:rsidRPr="00EF72E4" w:rsidRDefault="003C227D" w:rsidP="00792C46">
      <w:pPr>
        <w:spacing w:before="60" w:after="240"/>
        <w:ind w:left="142" w:hanging="153"/>
        <w:rPr>
          <w:sz w:val="18"/>
          <w:szCs w:val="18"/>
        </w:rPr>
      </w:pPr>
      <w:r w:rsidRPr="00A31B02">
        <w:rPr>
          <w:sz w:val="18"/>
          <w:szCs w:val="18"/>
        </w:rPr>
        <w:t xml:space="preserve">* </w:t>
      </w:r>
      <w:r w:rsidR="00792C46" w:rsidRPr="00A31B02">
        <w:rPr>
          <w:sz w:val="18"/>
          <w:szCs w:val="18"/>
        </w:rPr>
        <w:t>Landfill reservoir (</w:t>
      </w:r>
      <w:r w:rsidR="00261DA3" w:rsidRPr="00EF72E4">
        <w:rPr>
          <w:sz w:val="18"/>
          <w:szCs w:val="18"/>
        </w:rPr>
        <w:t>2,998</w:t>
      </w:r>
      <w:r w:rsidR="00792C46" w:rsidRPr="00A31B02">
        <w:rPr>
          <w:sz w:val="18"/>
          <w:szCs w:val="18"/>
        </w:rPr>
        <w:t xml:space="preserve"> kg) is not included in outputs here so total outputs will not equal total inputs. Also t</w:t>
      </w:r>
      <w:r w:rsidRPr="00A31B02">
        <w:rPr>
          <w:sz w:val="18"/>
          <w:szCs w:val="18"/>
        </w:rPr>
        <w:t>he totals in the table may not exactly equal the sum of displayed data, due to rounding)</w:t>
      </w:r>
    </w:p>
    <w:p w14:paraId="67975A83" w14:textId="77777777" w:rsidR="002709CD" w:rsidRPr="00EF72E4" w:rsidRDefault="002709CD" w:rsidP="003833D6">
      <w:pPr>
        <w:spacing w:line="300" w:lineRule="atLeast"/>
        <w:jc w:val="both"/>
        <w:rPr>
          <w:szCs w:val="18"/>
        </w:rPr>
        <w:sectPr w:rsidR="002709CD" w:rsidRPr="00EF72E4" w:rsidSect="00AB469E">
          <w:headerReference w:type="default" r:id="rId31"/>
          <w:footerReference w:type="default" r:id="rId32"/>
          <w:footerReference w:type="first" r:id="rId33"/>
          <w:endnotePr>
            <w:numFmt w:val="decimal"/>
          </w:endnotePr>
          <w:pgSz w:w="16840" w:h="11907" w:orient="landscape" w:code="9"/>
          <w:pgMar w:top="1418" w:right="1440" w:bottom="1418" w:left="1418" w:header="720" w:footer="720" w:gutter="0"/>
          <w:cols w:space="720"/>
          <w:docGrid w:linePitch="272"/>
        </w:sectPr>
      </w:pPr>
    </w:p>
    <w:p w14:paraId="34783260" w14:textId="3A744345" w:rsidR="00A56A7F" w:rsidRPr="00EF72E4" w:rsidRDefault="00A56A7F" w:rsidP="00060565">
      <w:pPr>
        <w:pStyle w:val="Heading1"/>
      </w:pPr>
      <w:bookmarkStart w:id="184" w:name="_Toc110355582"/>
      <w:r w:rsidRPr="00EF72E4">
        <w:t>List of References</w:t>
      </w:r>
      <w:bookmarkEnd w:id="184"/>
    </w:p>
    <w:p w14:paraId="6EDFBADF" w14:textId="77777777" w:rsidR="00AE7B6F" w:rsidRPr="00062104" w:rsidRDefault="00AE7B6F" w:rsidP="009A20E5">
      <w:pPr>
        <w:spacing w:line="300" w:lineRule="atLeast"/>
        <w:rPr>
          <w:color w:val="000000" w:themeColor="text1"/>
        </w:rPr>
      </w:pPr>
    </w:p>
    <w:p w14:paraId="411C1207" w14:textId="33B97823" w:rsidR="00F14246" w:rsidRDefault="00F14246" w:rsidP="009A20E5">
      <w:pPr>
        <w:spacing w:line="300" w:lineRule="atLeast"/>
        <w:rPr>
          <w:color w:val="000000" w:themeColor="text1"/>
        </w:rPr>
      </w:pPr>
      <w:r>
        <w:rPr>
          <w:color w:val="000000" w:themeColor="text1"/>
        </w:rPr>
        <w:t>Auckland Council, 2024. Auckland’s Waste Minimisation and Management Plan 2024: towards Zero Waste.  Auckland Council, 2024.</w:t>
      </w:r>
    </w:p>
    <w:p w14:paraId="29CEAC04" w14:textId="34E144E0" w:rsidR="009002F2" w:rsidRDefault="009002F2" w:rsidP="009A20E5">
      <w:pPr>
        <w:spacing w:line="300" w:lineRule="atLeast"/>
      </w:pPr>
      <w:r w:rsidRPr="00062104">
        <w:rPr>
          <w:color w:val="000000" w:themeColor="text1"/>
        </w:rPr>
        <w:t xml:space="preserve">Auckland Transport, 2022. </w:t>
      </w:r>
      <w:hyperlink r:id="rId34" w:history="1">
        <w:r w:rsidR="00326422" w:rsidRPr="00062104">
          <w:rPr>
            <w:rStyle w:val="Hyperlink"/>
            <w:color w:val="000000" w:themeColor="text1"/>
          </w:rPr>
          <w:t>https://www.at.govt.nz/media/198229/engineering-design-code-street-lighting.pdf</w:t>
        </w:r>
      </w:hyperlink>
    </w:p>
    <w:p w14:paraId="06CB0C80" w14:textId="6D42B306" w:rsidR="006456DC" w:rsidRPr="00062104" w:rsidRDefault="006456DC" w:rsidP="009A20E5">
      <w:pPr>
        <w:spacing w:line="300" w:lineRule="atLeast"/>
        <w:rPr>
          <w:color w:val="000000" w:themeColor="text1"/>
        </w:rPr>
      </w:pPr>
      <w:r>
        <w:t xml:space="preserve">Basel Convention, 2024. Basel Convention on the Control of Transboundary Movements of Hazardous Wastes and Their Disposal. Basel Convention National Reports – Year 2024. </w:t>
      </w:r>
      <w:r w:rsidRPr="0094324F">
        <w:t>https://www.basel.int/Countries/NationalReporting/NationalReports/BC2024Reports/tabid/10394/Default.aspx</w:t>
      </w:r>
    </w:p>
    <w:p w14:paraId="74952EDC" w14:textId="77777777" w:rsidR="00620D8B" w:rsidRDefault="00326422" w:rsidP="00620D8B">
      <w:pPr>
        <w:spacing w:line="300" w:lineRule="atLeast"/>
      </w:pPr>
      <w:r w:rsidRPr="00EB1460">
        <w:t xml:space="preserve">Beca, GHD and Boffa Miskell. (2020). </w:t>
      </w:r>
      <w:r w:rsidRPr="00326422">
        <w:t>The New Zealand Wastewater Sector Report</w:t>
      </w:r>
      <w:r w:rsidRPr="00EB1460">
        <w:rPr>
          <w:i/>
          <w:iCs/>
        </w:rPr>
        <w:t>.</w:t>
      </w:r>
    </w:p>
    <w:p w14:paraId="3432197E" w14:textId="77777777" w:rsidR="00620D8B" w:rsidRDefault="00C6032E" w:rsidP="00620D8B">
      <w:pPr>
        <w:spacing w:line="300" w:lineRule="atLeast"/>
        <w:rPr>
          <w:rFonts w:ascii="TimesNewRoman" w:hAnsi="TimesNewRoman"/>
          <w:lang w:eastAsia="en-GB"/>
        </w:rPr>
      </w:pPr>
      <w:r w:rsidRPr="00C6032E">
        <w:rPr>
          <w:rFonts w:ascii="TimesNewRoman" w:hAnsi="TimesNewRoman"/>
          <w:lang w:eastAsia="en-GB"/>
        </w:rPr>
        <w:t>Thain, 2009. Review of Carbon Emission Factors in Draft Stationary Engine and Industrial Process Regulations: Using Geothermal Fluid. Report prepared for the Ministry for the Environment, Geothermal &amp; Energy Technical Services Ltd, Taupo</w:t>
      </w:r>
    </w:p>
    <w:p w14:paraId="34CBD8B1" w14:textId="1A91C1B3" w:rsidR="00B0333C" w:rsidRDefault="00B0333C" w:rsidP="00B0333C">
      <w:pPr>
        <w:spacing w:line="300" w:lineRule="atLeast"/>
        <w:rPr>
          <w:rFonts w:ascii="TimesNewRoman" w:hAnsi="TimesNewRoman"/>
          <w:lang w:eastAsia="en-GB"/>
        </w:rPr>
      </w:pPr>
      <w:r w:rsidRPr="00EB1460">
        <w:rPr>
          <w:noProof/>
        </w:rPr>
        <w:t>CRL Energy</w:t>
      </w:r>
      <w:r w:rsidR="008E1762">
        <w:rPr>
          <w:noProof/>
        </w:rPr>
        <w:t>,</w:t>
      </w:r>
      <w:r w:rsidRPr="00EB1460">
        <w:rPr>
          <w:noProof/>
        </w:rPr>
        <w:t xml:space="preserve"> 2011. </w:t>
      </w:r>
      <w:r w:rsidRPr="00B0333C">
        <w:rPr>
          <w:noProof/>
        </w:rPr>
        <w:t>Heat Plant in New Zealand: Heat Plant Sized Greater than 100 Kilowattt Thermal Segmented by Industry Sector as at August 2011.</w:t>
      </w:r>
      <w:r w:rsidRPr="00EB1460">
        <w:rPr>
          <w:noProof/>
        </w:rPr>
        <w:t xml:space="preserve"> Wellington: CRL Energy Ltd on behalf of the Energy Efficiency and Conservation Authority.</w:t>
      </w:r>
    </w:p>
    <w:p w14:paraId="4A92236D" w14:textId="17CB18A0" w:rsidR="00062104" w:rsidRDefault="00AE7B6F" w:rsidP="00620D8B">
      <w:pPr>
        <w:spacing w:before="100" w:beforeAutospacing="1" w:after="100" w:afterAutospacing="1"/>
      </w:pPr>
      <w:r>
        <w:t xml:space="preserve">Consumer NZ, 2019. Household Battery Recycling. (Author Olivia Wannan)  </w:t>
      </w:r>
      <w:hyperlink r:id="rId35" w:history="1">
        <w:r w:rsidR="007A024D" w:rsidRPr="0054466D">
          <w:rPr>
            <w:rStyle w:val="Hyperlink"/>
          </w:rPr>
          <w:t>https://www.consumer.org.nz/articles/household-battery-recycling</w:t>
        </w:r>
      </w:hyperlink>
    </w:p>
    <w:p w14:paraId="00FA22FA" w14:textId="673979B9" w:rsidR="008D49CD" w:rsidRDefault="008D49CD" w:rsidP="00620D8B">
      <w:pPr>
        <w:spacing w:before="100" w:beforeAutospacing="1" w:after="100" w:afterAutospacing="1"/>
      </w:pPr>
      <w:r>
        <w:t>Craw, D and P</w:t>
      </w:r>
      <w:r w:rsidR="0039512F">
        <w:t>almer, M</w:t>
      </w:r>
      <w:r>
        <w:t>. 2025. Anthropogenic Hg-Au Residues from Placer Mining Compared to Natural Au-Hg Sources, South Island, New Zealand. Ne</w:t>
      </w:r>
      <w:r w:rsidR="00222487">
        <w:t>w Zealand Journal of Geology and Geophysics, 3 February 2025.</w:t>
      </w:r>
    </w:p>
    <w:p w14:paraId="71167074" w14:textId="7675B86F" w:rsidR="007A024D" w:rsidRDefault="007A024D" w:rsidP="00620D8B">
      <w:pPr>
        <w:spacing w:before="100" w:beforeAutospacing="1" w:after="100" w:afterAutospacing="1"/>
      </w:pPr>
      <w:r>
        <w:t xml:space="preserve">Drew, S and Henderson, C. 2014. Biosolids Incineration at Tahuna WTP- Fuelling a $10 Million Capital Saving. Dunedin City Council, 2014. </w:t>
      </w:r>
    </w:p>
    <w:p w14:paraId="1FD9CA95" w14:textId="49C026E2" w:rsidR="007A024D" w:rsidRDefault="007A024D" w:rsidP="00620D8B">
      <w:pPr>
        <w:spacing w:before="100" w:beforeAutospacing="1" w:after="100" w:afterAutospacing="1"/>
      </w:pPr>
      <w:r>
        <w:t xml:space="preserve">Dunedin City Council, 2012. Tahuna Wastewater Treatment Plant. Application for Renewal of Air Discharge permit. Application and Assessment of Effects on the Environment. 17 December 2012.  </w:t>
      </w:r>
    </w:p>
    <w:p w14:paraId="74FF714D" w14:textId="1060EEB4" w:rsidR="0018293A" w:rsidRDefault="0018293A" w:rsidP="00620D8B">
      <w:pPr>
        <w:spacing w:before="100" w:beforeAutospacing="1" w:after="100" w:afterAutospacing="1"/>
      </w:pPr>
      <w:r>
        <w:t>Esdaile, LJ and Chalker JM, 2018. The Mercury Problem in Artisanal and Small Scale Mining. Chemistry, 24 (27), 6905 – 6916.</w:t>
      </w:r>
    </w:p>
    <w:p w14:paraId="4468CC72" w14:textId="7ED400C1" w:rsidR="00142571" w:rsidRDefault="00142571" w:rsidP="00062104">
      <w:pPr>
        <w:spacing w:before="100" w:beforeAutospacing="1" w:after="100" w:afterAutospacing="1"/>
      </w:pPr>
      <w:r>
        <w:t>EECA, 202</w:t>
      </w:r>
      <w:r w:rsidR="005079C7">
        <w:t>5</w:t>
      </w:r>
      <w:r>
        <w:t>. https://www.eeca.govt.nz/insights/eeca-insights/e3-programme-sales-and-efficiency-data/</w:t>
      </w:r>
    </w:p>
    <w:p w14:paraId="335ABC22" w14:textId="42930005" w:rsidR="00F0717E" w:rsidRPr="003B477F" w:rsidRDefault="00F0717E" w:rsidP="009A20E5">
      <w:pPr>
        <w:spacing w:line="300" w:lineRule="atLeast"/>
        <w:rPr>
          <w:color w:val="000000" w:themeColor="text1"/>
        </w:rPr>
      </w:pPr>
      <w:r w:rsidRPr="003B477F">
        <w:rPr>
          <w:color w:val="000000" w:themeColor="text1"/>
        </w:rPr>
        <w:t xml:space="preserve">EPA, 2017. </w:t>
      </w:r>
      <w:hyperlink r:id="rId36" w:history="1">
        <w:r w:rsidRPr="003B477F">
          <w:rPr>
            <w:rStyle w:val="Hyperlink"/>
            <w:color w:val="000000" w:themeColor="text1"/>
          </w:rPr>
          <w:t>http://www.epa.govt.nz/search-databases/Pages/applications-search.aspx</w:t>
        </w:r>
      </w:hyperlink>
      <w:r w:rsidRPr="003B477F">
        <w:rPr>
          <w:color w:val="000000" w:themeColor="text1"/>
        </w:rPr>
        <w:t xml:space="preserve"> accessed on 10 May 2017. Environmental Protection Authority, Wellington.</w:t>
      </w:r>
    </w:p>
    <w:p w14:paraId="3AF044DC" w14:textId="1F81626D" w:rsidR="00020491" w:rsidRPr="003B477F" w:rsidRDefault="00020491" w:rsidP="009A20E5">
      <w:pPr>
        <w:spacing w:line="300" w:lineRule="atLeast"/>
        <w:rPr>
          <w:color w:val="000000" w:themeColor="text1"/>
        </w:rPr>
      </w:pPr>
      <w:r w:rsidRPr="003B477F">
        <w:rPr>
          <w:color w:val="000000" w:themeColor="text1"/>
        </w:rPr>
        <w:t>EPA,</w:t>
      </w:r>
      <w:r w:rsidR="00B655F0">
        <w:rPr>
          <w:color w:val="000000" w:themeColor="text1"/>
        </w:rPr>
        <w:t xml:space="preserve"> </w:t>
      </w:r>
      <w:r w:rsidR="00AA2FD1" w:rsidRPr="003B477F">
        <w:rPr>
          <w:color w:val="000000" w:themeColor="text1"/>
        </w:rPr>
        <w:t>2022</w:t>
      </w:r>
      <w:r w:rsidRPr="003B477F">
        <w:rPr>
          <w:color w:val="000000" w:themeColor="text1"/>
        </w:rPr>
        <w:t>. Waste Imports, Export</w:t>
      </w:r>
      <w:r w:rsidR="00E47F02" w:rsidRPr="003B477F">
        <w:rPr>
          <w:color w:val="000000" w:themeColor="text1"/>
        </w:rPr>
        <w:t xml:space="preserve">, Transit Permits ( </w:t>
      </w:r>
      <w:hyperlink r:id="rId37" w:history="1">
        <w:r w:rsidR="00AA2FD1" w:rsidRPr="003B477F">
          <w:rPr>
            <w:rStyle w:val="Hyperlink"/>
            <w:color w:val="000000" w:themeColor="text1"/>
          </w:rPr>
          <w:t>https://www.epa.govt.nz/hazardous-substances/hazardous-waste/current-permit-holders/</w:t>
        </w:r>
        <w:r w:rsidR="00AA2FD1" w:rsidRPr="003B477F" w:rsidDel="00AA2FD1">
          <w:rPr>
            <w:rStyle w:val="Hyperlink"/>
            <w:color w:val="000000" w:themeColor="text1"/>
          </w:rPr>
          <w:t xml:space="preserve"> </w:t>
        </w:r>
      </w:hyperlink>
      <w:r w:rsidRPr="003B477F">
        <w:rPr>
          <w:color w:val="000000" w:themeColor="text1"/>
        </w:rPr>
        <w:t xml:space="preserve"> Environmental Protection Authority, Wellington, current at </w:t>
      </w:r>
      <w:r w:rsidR="00AA2FD1" w:rsidRPr="003B477F">
        <w:rPr>
          <w:color w:val="000000" w:themeColor="text1"/>
        </w:rPr>
        <w:t>23 June</w:t>
      </w:r>
      <w:r w:rsidRPr="003B477F">
        <w:rPr>
          <w:color w:val="000000" w:themeColor="text1"/>
        </w:rPr>
        <w:t xml:space="preserve"> 20</w:t>
      </w:r>
      <w:r w:rsidR="00AA2FD1" w:rsidRPr="003B477F">
        <w:rPr>
          <w:color w:val="000000" w:themeColor="text1"/>
        </w:rPr>
        <w:t>20</w:t>
      </w:r>
      <w:r w:rsidRPr="003B477F">
        <w:rPr>
          <w:color w:val="000000" w:themeColor="text1"/>
        </w:rPr>
        <w:t>.</w:t>
      </w:r>
    </w:p>
    <w:p w14:paraId="2E8E83F7" w14:textId="6F686895" w:rsidR="009109B3" w:rsidRPr="003B477F" w:rsidRDefault="009109B3" w:rsidP="009A20E5">
      <w:pPr>
        <w:spacing w:line="300" w:lineRule="atLeast"/>
        <w:rPr>
          <w:color w:val="000000" w:themeColor="text1"/>
        </w:rPr>
      </w:pPr>
      <w:r w:rsidRPr="003B477F">
        <w:rPr>
          <w:color w:val="000000" w:themeColor="text1"/>
        </w:rPr>
        <w:t>Farrar, WP, Edwards, JF and Willard, D, 1994. Pathology in a Dog Associated with Elevated Tissue Mercury Concentrations. J Vet. Diagnostic Investigations, v6, p511 – 514.</w:t>
      </w:r>
    </w:p>
    <w:p w14:paraId="138103C2" w14:textId="4D89ACD3" w:rsidR="00B4529F" w:rsidRPr="003B477F" w:rsidRDefault="00B4529F" w:rsidP="009A20E5">
      <w:pPr>
        <w:spacing w:line="300" w:lineRule="atLeast"/>
        <w:rPr>
          <w:color w:val="000000" w:themeColor="text1"/>
        </w:rPr>
      </w:pPr>
      <w:r w:rsidRPr="003B477F">
        <w:rPr>
          <w:color w:val="000000" w:themeColor="text1"/>
        </w:rPr>
        <w:t xml:space="preserve">Fertiliser Association, 2022. Fertiliser Use in New Zealand.  </w:t>
      </w:r>
      <w:hyperlink r:id="rId38" w:history="1">
        <w:r w:rsidR="00040C19" w:rsidRPr="003B477F">
          <w:rPr>
            <w:rStyle w:val="Hyperlink"/>
            <w:color w:val="000000" w:themeColor="text1"/>
          </w:rPr>
          <w:t>www.fertiliser.org.nz/Site/about/fertiliser_use_in_nz.aspx</w:t>
        </w:r>
      </w:hyperlink>
      <w:r w:rsidR="00040C19" w:rsidRPr="003B477F">
        <w:rPr>
          <w:color w:val="000000" w:themeColor="text1"/>
        </w:rPr>
        <w:t xml:space="preserve"> (acces</w:t>
      </w:r>
      <w:r w:rsidR="00062104">
        <w:rPr>
          <w:color w:val="000000" w:themeColor="text1"/>
        </w:rPr>
        <w:t>s</w:t>
      </w:r>
      <w:r w:rsidR="00040C19" w:rsidRPr="003B477F">
        <w:rPr>
          <w:color w:val="000000" w:themeColor="text1"/>
        </w:rPr>
        <w:t>ed June 2022)</w:t>
      </w:r>
    </w:p>
    <w:p w14:paraId="0A48A51F" w14:textId="262DE054" w:rsidR="000836F8" w:rsidRDefault="000836F8" w:rsidP="000836F8">
      <w:pPr>
        <w:spacing w:line="300" w:lineRule="atLeast"/>
        <w:rPr>
          <w:color w:val="000000" w:themeColor="text1"/>
        </w:rPr>
      </w:pPr>
      <w:r w:rsidRPr="003B477F">
        <w:rPr>
          <w:color w:val="000000" w:themeColor="text1"/>
        </w:rPr>
        <w:t>F</w:t>
      </w:r>
      <w:r>
        <w:rPr>
          <w:color w:val="000000" w:themeColor="text1"/>
        </w:rPr>
        <w:t>letcher Building, 2025. 2025 Investor Day Presentation.</w:t>
      </w:r>
      <w:r w:rsidRPr="003B477F" w:rsidDel="0005778D">
        <w:rPr>
          <w:color w:val="000000" w:themeColor="text1"/>
        </w:rPr>
        <w:t xml:space="preserve"> </w:t>
      </w:r>
      <w:r>
        <w:rPr>
          <w:color w:val="000000" w:themeColor="text1"/>
        </w:rPr>
        <w:t>Heavy Building Materials Division. Construction Materials Vertical. https://fletcherbuilding.com/asssets/4-investor-centre/presentations/2025-Investor-Day-Presentations-Heavy-Building-Materials.pdf</w:t>
      </w:r>
    </w:p>
    <w:p w14:paraId="56CD7996" w14:textId="64C0A094" w:rsidR="002B4DAC" w:rsidRPr="003B477F" w:rsidRDefault="002B4DAC" w:rsidP="009A20E5">
      <w:pPr>
        <w:spacing w:line="300" w:lineRule="atLeast"/>
        <w:rPr>
          <w:color w:val="000000" w:themeColor="text1"/>
        </w:rPr>
      </w:pPr>
      <w:r>
        <w:rPr>
          <w:color w:val="000000" w:themeColor="text1"/>
        </w:rPr>
        <w:t>Genesis Energy, 2025.  Genesis Energy Ltd Climate Statement for the Reporting Period 1 July 2023 to 30 June 2024. 21 August 2025</w:t>
      </w:r>
    </w:p>
    <w:p w14:paraId="6A2173C6" w14:textId="76DFDE14" w:rsidR="00653E3B" w:rsidRPr="003B477F" w:rsidRDefault="00653E3B" w:rsidP="009A20E5">
      <w:pPr>
        <w:spacing w:line="300" w:lineRule="atLeast"/>
        <w:rPr>
          <w:color w:val="000000" w:themeColor="text1"/>
        </w:rPr>
      </w:pPr>
      <w:r w:rsidRPr="003B477F">
        <w:rPr>
          <w:color w:val="000000" w:themeColor="text1"/>
        </w:rPr>
        <w:t>IPWEA</w:t>
      </w:r>
      <w:r w:rsidR="008E1762">
        <w:rPr>
          <w:color w:val="000000" w:themeColor="text1"/>
        </w:rPr>
        <w:t xml:space="preserve">, </w:t>
      </w:r>
      <w:r w:rsidRPr="003B477F">
        <w:rPr>
          <w:color w:val="000000" w:themeColor="text1"/>
        </w:rPr>
        <w:t>2016</w:t>
      </w:r>
      <w:r w:rsidR="008E1762">
        <w:rPr>
          <w:color w:val="000000" w:themeColor="text1"/>
        </w:rPr>
        <w:t>.</w:t>
      </w:r>
      <w:r w:rsidRPr="003B477F">
        <w:rPr>
          <w:color w:val="000000" w:themeColor="text1"/>
        </w:rPr>
        <w:t xml:space="preserve"> Street Lighting and Smart Controls (SLSC) Roadmap.  Report prepared for Department of the Environment and Energy, Australian Government, by Strategic Lighting Partners and Next Energy through the Institute of Public Works Engineering Australia.</w:t>
      </w:r>
    </w:p>
    <w:p w14:paraId="5F2458B5" w14:textId="63D4166C" w:rsidR="00E80729" w:rsidRPr="003B477F" w:rsidRDefault="00E80729" w:rsidP="009A20E5">
      <w:pPr>
        <w:spacing w:line="300" w:lineRule="atLeast"/>
        <w:rPr>
          <w:color w:val="000000" w:themeColor="text1"/>
        </w:rPr>
      </w:pPr>
      <w:r w:rsidRPr="003B477F">
        <w:rPr>
          <w:color w:val="000000" w:themeColor="text1"/>
        </w:rPr>
        <w:t>K2 Environmental, 202</w:t>
      </w:r>
      <w:r w:rsidR="00717383">
        <w:rPr>
          <w:color w:val="000000" w:themeColor="text1"/>
        </w:rPr>
        <w:t>5</w:t>
      </w:r>
      <w:r w:rsidRPr="003B477F">
        <w:rPr>
          <w:color w:val="000000" w:themeColor="text1"/>
        </w:rPr>
        <w:t xml:space="preserve">. Stack Emission Testing Assessment.  </w:t>
      </w:r>
      <w:r w:rsidR="00717383">
        <w:rPr>
          <w:color w:val="000000" w:themeColor="text1"/>
        </w:rPr>
        <w:t xml:space="preserve">Dunedin City Council, 10 Tahuna Road, </w:t>
      </w:r>
      <w:r w:rsidRPr="003B477F">
        <w:rPr>
          <w:color w:val="000000" w:themeColor="text1"/>
        </w:rPr>
        <w:t xml:space="preserve">Report Number </w:t>
      </w:r>
      <w:r w:rsidR="00717383">
        <w:rPr>
          <w:color w:val="000000" w:themeColor="text1"/>
        </w:rPr>
        <w:t>ZO305</w:t>
      </w:r>
      <w:r w:rsidRPr="003B477F">
        <w:rPr>
          <w:color w:val="000000" w:themeColor="text1"/>
        </w:rPr>
        <w:t xml:space="preserve">.  </w:t>
      </w:r>
      <w:r w:rsidR="00717383">
        <w:rPr>
          <w:color w:val="000000" w:themeColor="text1"/>
        </w:rPr>
        <w:t>5 February 2025</w:t>
      </w:r>
    </w:p>
    <w:p w14:paraId="2C07AB8B" w14:textId="7A69A09B" w:rsidR="00E609AA" w:rsidRPr="003B477F" w:rsidRDefault="00A15666" w:rsidP="009A20E5">
      <w:pPr>
        <w:spacing w:line="300" w:lineRule="atLeast"/>
        <w:rPr>
          <w:color w:val="000000" w:themeColor="text1"/>
        </w:rPr>
      </w:pPr>
      <w:r w:rsidRPr="003B477F">
        <w:rPr>
          <w:color w:val="000000" w:themeColor="text1"/>
        </w:rPr>
        <w:t>Li, Z, 2002. Mineralogy and Trace Elements of the Cretaceous Greymouth Coals and their Combustion Products, PhD Thesis, University of Canterbury, Christchurch.</w:t>
      </w:r>
    </w:p>
    <w:p w14:paraId="41436108" w14:textId="24368D3F" w:rsidR="00F84D09" w:rsidRPr="003B477F" w:rsidRDefault="00F84D09" w:rsidP="009A20E5">
      <w:pPr>
        <w:spacing w:line="300" w:lineRule="atLeast"/>
        <w:rPr>
          <w:color w:val="000000" w:themeColor="text1"/>
        </w:rPr>
      </w:pPr>
      <w:r w:rsidRPr="003B477F">
        <w:rPr>
          <w:color w:val="000000" w:themeColor="text1"/>
        </w:rPr>
        <w:t>MBIE, 2017. Industrial Bioenergy Use. Updated Methodology to Estimate Demand. Wellington,  Ministry of Business, Innovation and Employment</w:t>
      </w:r>
    </w:p>
    <w:p w14:paraId="3D4CC70B" w14:textId="6843D834" w:rsidR="008D7E28" w:rsidRDefault="008D7E28" w:rsidP="008D7E28">
      <w:pPr>
        <w:spacing w:line="300" w:lineRule="atLeast"/>
        <w:rPr>
          <w:color w:val="000000" w:themeColor="text1"/>
        </w:rPr>
      </w:pPr>
      <w:r w:rsidRPr="003B477F">
        <w:rPr>
          <w:color w:val="000000" w:themeColor="text1"/>
        </w:rPr>
        <w:t>MBIE, 20</w:t>
      </w:r>
      <w:r w:rsidR="00AF17A2" w:rsidRPr="003B477F">
        <w:rPr>
          <w:color w:val="000000" w:themeColor="text1"/>
        </w:rPr>
        <w:t>21</w:t>
      </w:r>
      <w:r w:rsidRPr="003B477F">
        <w:rPr>
          <w:color w:val="000000" w:themeColor="text1"/>
        </w:rPr>
        <w:t>. Energy in New Zealand 20</w:t>
      </w:r>
      <w:r w:rsidR="00AF17A2" w:rsidRPr="003B477F">
        <w:rPr>
          <w:color w:val="000000" w:themeColor="text1"/>
        </w:rPr>
        <w:t>21</w:t>
      </w:r>
      <w:r w:rsidRPr="003B477F">
        <w:rPr>
          <w:color w:val="000000" w:themeColor="text1"/>
        </w:rPr>
        <w:t xml:space="preserve"> (for the 20</w:t>
      </w:r>
      <w:r w:rsidR="00AF17A2" w:rsidRPr="003B477F">
        <w:rPr>
          <w:color w:val="000000" w:themeColor="text1"/>
        </w:rPr>
        <w:t>20</w:t>
      </w:r>
      <w:r w:rsidRPr="003B477F">
        <w:rPr>
          <w:color w:val="000000" w:themeColor="text1"/>
        </w:rPr>
        <w:t xml:space="preserve"> calendar year) and web-based data tables for 20</w:t>
      </w:r>
      <w:r w:rsidR="00AF17A2" w:rsidRPr="003B477F">
        <w:rPr>
          <w:color w:val="000000" w:themeColor="text1"/>
        </w:rPr>
        <w:t>20</w:t>
      </w:r>
      <w:r w:rsidRPr="003B477F">
        <w:rPr>
          <w:color w:val="000000" w:themeColor="text1"/>
        </w:rPr>
        <w:t>. Wellington, Ministry of Business, Innovation and Employment.</w:t>
      </w:r>
    </w:p>
    <w:p w14:paraId="712DF1E0" w14:textId="1C339A6F" w:rsidR="002B23AB" w:rsidRDefault="002B23AB" w:rsidP="008D7E28">
      <w:pPr>
        <w:spacing w:line="300" w:lineRule="atLeast"/>
        <w:rPr>
          <w:color w:val="000000" w:themeColor="text1"/>
        </w:rPr>
      </w:pPr>
      <w:r>
        <w:rPr>
          <w:color w:val="000000" w:themeColor="text1"/>
        </w:rPr>
        <w:t>MBIE, 2025.  Energy in New Zealand 2025 (for the 2024 calendar year) and web-based data tables 2024</w:t>
      </w:r>
    </w:p>
    <w:p w14:paraId="2B641584" w14:textId="19CAF9D7" w:rsidR="00504376" w:rsidRPr="003B477F" w:rsidRDefault="00504376" w:rsidP="008D7E28">
      <w:pPr>
        <w:spacing w:line="300" w:lineRule="atLeast"/>
        <w:rPr>
          <w:color w:val="000000" w:themeColor="text1"/>
        </w:rPr>
      </w:pPr>
      <w:r>
        <w:rPr>
          <w:color w:val="000000" w:themeColor="text1"/>
        </w:rPr>
        <w:t>MBIE, 2025b.  “What is geothermal and how is it important to New Zealand”  Consultation document: From the Ground Up – A draft strategy to unlock New Zealand’s geothermal potential.  Ministry for Business, Innovation and Employment, Wellington, (updated 30 July 2025)</w:t>
      </w:r>
    </w:p>
    <w:p w14:paraId="2927417C" w14:textId="77777777" w:rsidR="00CE473F" w:rsidRPr="003B477F" w:rsidRDefault="00CE473F" w:rsidP="009A20E5">
      <w:pPr>
        <w:spacing w:line="300" w:lineRule="atLeast"/>
        <w:rPr>
          <w:color w:val="000000" w:themeColor="text1"/>
        </w:rPr>
      </w:pPr>
      <w:r w:rsidRPr="003B477F">
        <w:rPr>
          <w:color w:val="000000" w:themeColor="text1"/>
        </w:rPr>
        <w:t>MfE, 2002. A Guide to the Management of Cleanfills. Ministry for the Environment, Wellington.</w:t>
      </w:r>
    </w:p>
    <w:p w14:paraId="6475D1EB" w14:textId="5B286F58" w:rsidR="008C28F1" w:rsidRDefault="009F0589" w:rsidP="009A20E5">
      <w:pPr>
        <w:spacing w:line="300" w:lineRule="atLeast"/>
        <w:rPr>
          <w:color w:val="000000" w:themeColor="text1"/>
        </w:rPr>
      </w:pPr>
      <w:r w:rsidRPr="003B477F">
        <w:rPr>
          <w:color w:val="000000" w:themeColor="text1"/>
        </w:rPr>
        <w:t>M</w:t>
      </w:r>
      <w:r w:rsidR="008C28F1" w:rsidRPr="003B477F">
        <w:rPr>
          <w:color w:val="000000" w:themeColor="text1"/>
        </w:rPr>
        <w:t>fE,</w:t>
      </w:r>
      <w:r w:rsidR="008C28F1" w:rsidRPr="003B477F">
        <w:rPr>
          <w:color w:val="000000" w:themeColor="text1"/>
          <w:vertAlign w:val="superscript"/>
        </w:rPr>
        <w:t xml:space="preserve"> </w:t>
      </w:r>
      <w:r w:rsidR="008C28F1" w:rsidRPr="003B477F">
        <w:rPr>
          <w:color w:val="000000" w:themeColor="text1"/>
        </w:rPr>
        <w:t xml:space="preserve">2008. Mercury Inventory </w:t>
      </w:r>
      <w:r w:rsidR="002D7A99" w:rsidRPr="003B477F">
        <w:rPr>
          <w:color w:val="000000" w:themeColor="text1"/>
        </w:rPr>
        <w:t>for New Zealand, 2008. Ministry for the Environment, Wellington.</w:t>
      </w:r>
    </w:p>
    <w:p w14:paraId="10A60BFC" w14:textId="77777777" w:rsidR="00062104" w:rsidRPr="003B477F" w:rsidRDefault="00062104" w:rsidP="00062104">
      <w:pPr>
        <w:spacing w:line="300" w:lineRule="atLeast"/>
        <w:rPr>
          <w:color w:val="000000" w:themeColor="text1"/>
        </w:rPr>
      </w:pPr>
      <w:r w:rsidRPr="003B477F">
        <w:rPr>
          <w:color w:val="000000" w:themeColor="text1"/>
        </w:rPr>
        <w:t>MfE, 2011.</w:t>
      </w:r>
      <w:r>
        <w:rPr>
          <w:color w:val="000000" w:themeColor="text1"/>
        </w:rPr>
        <w:t xml:space="preserve"> </w:t>
      </w:r>
      <w:r w:rsidRPr="003B477F">
        <w:rPr>
          <w:color w:val="000000" w:themeColor="text1"/>
        </w:rPr>
        <w:t>New Zealand Inventory of Dioxin Emissions to Air, Land, and Water, and Reservoir Sources: 2011.  Ministry for the Environment, Wellington.</w:t>
      </w:r>
    </w:p>
    <w:p w14:paraId="3259A152" w14:textId="75DCB147" w:rsidR="005E1719" w:rsidRDefault="005E1719" w:rsidP="009A20E5">
      <w:pPr>
        <w:spacing w:line="300" w:lineRule="atLeast"/>
        <w:rPr>
          <w:color w:val="000000" w:themeColor="text1"/>
        </w:rPr>
      </w:pPr>
      <w:r>
        <w:rPr>
          <w:color w:val="000000" w:themeColor="text1"/>
        </w:rPr>
        <w:t>MfE, 2013</w:t>
      </w:r>
      <w:r w:rsidR="00062104">
        <w:rPr>
          <w:color w:val="000000" w:themeColor="text1"/>
        </w:rPr>
        <w:t>. Mercury Inventory for New Zealand, 2012. Ministry for the Environment, Wellington.</w:t>
      </w:r>
    </w:p>
    <w:p w14:paraId="2E89F498" w14:textId="42B8200E" w:rsidR="00062104" w:rsidRPr="003B477F" w:rsidRDefault="00062104" w:rsidP="009A20E5">
      <w:pPr>
        <w:spacing w:line="300" w:lineRule="atLeast"/>
        <w:rPr>
          <w:color w:val="000000" w:themeColor="text1"/>
        </w:rPr>
      </w:pPr>
      <w:r>
        <w:rPr>
          <w:color w:val="000000" w:themeColor="text1"/>
        </w:rPr>
        <w:t>MfE, 2018. Mercury Inventory for New Zealand, 2016. Ministry for the Environment, Wellington.</w:t>
      </w:r>
    </w:p>
    <w:p w14:paraId="7C9698C0" w14:textId="51BA185E" w:rsidR="00402872" w:rsidRPr="008E1762" w:rsidRDefault="00402872" w:rsidP="009A20E5">
      <w:pPr>
        <w:spacing w:line="300" w:lineRule="atLeast"/>
        <w:rPr>
          <w:rStyle w:val="Hyperlink"/>
          <w:color w:val="000000" w:themeColor="text1"/>
          <w:u w:val="none"/>
        </w:rPr>
      </w:pPr>
      <w:r w:rsidRPr="008E1762">
        <w:rPr>
          <w:rStyle w:val="Hyperlink"/>
          <w:color w:val="000000" w:themeColor="text1"/>
          <w:u w:val="none"/>
        </w:rPr>
        <w:t>MfE, 2020. Managing the trade in mercury and mercury products</w:t>
      </w:r>
      <w:r w:rsidR="003029A8" w:rsidRPr="008E1762">
        <w:rPr>
          <w:rStyle w:val="Hyperlink"/>
          <w:color w:val="000000" w:themeColor="text1"/>
          <w:u w:val="none"/>
        </w:rPr>
        <w:t>: New Zealand’s approach to ratifying the Minamata Convention: Consultation document.  Ministry for the Environment, Wellington.</w:t>
      </w:r>
    </w:p>
    <w:p w14:paraId="1DEBAB95" w14:textId="73658FA4" w:rsidR="004D6642" w:rsidRPr="008E1762" w:rsidRDefault="004D6642" w:rsidP="004D6642">
      <w:pPr>
        <w:spacing w:line="300" w:lineRule="atLeast"/>
        <w:rPr>
          <w:rStyle w:val="Hyperlink"/>
          <w:color w:val="000000" w:themeColor="text1"/>
          <w:u w:val="none"/>
        </w:rPr>
      </w:pPr>
      <w:r w:rsidRPr="008E1762">
        <w:rPr>
          <w:rStyle w:val="Hyperlink"/>
          <w:color w:val="000000" w:themeColor="text1"/>
          <w:u w:val="none"/>
        </w:rPr>
        <w:t xml:space="preserve">MfE, 2022. 2022 Update of the NZ Inventory of Dioxin Emissions to Air, Land, Water and Reservoir Sources. 2018.  Ministry for the Environment, Wellington. </w:t>
      </w:r>
    </w:p>
    <w:p w14:paraId="3F5B9494" w14:textId="6EA703D6" w:rsidR="00415B4F" w:rsidRDefault="00415B4F" w:rsidP="00415B4F">
      <w:pPr>
        <w:spacing w:line="300" w:lineRule="atLeast"/>
        <w:rPr>
          <w:rStyle w:val="Hyperlink"/>
          <w:color w:val="000000" w:themeColor="text1"/>
        </w:rPr>
      </w:pPr>
      <w:r w:rsidRPr="00EB1460">
        <w:t>M</w:t>
      </w:r>
      <w:r>
        <w:t xml:space="preserve">fE, 2025. </w:t>
      </w:r>
      <w:r w:rsidRPr="00EB1460">
        <w:t>New Zealand's Greenhouse Gas Inventory 1990-202</w:t>
      </w:r>
      <w:r>
        <w:t>3</w:t>
      </w:r>
      <w:r w:rsidRPr="00EB1460">
        <w:t xml:space="preserve"> Wellington: Ministry for the Environment</w:t>
      </w:r>
    </w:p>
    <w:p w14:paraId="7F2DE826" w14:textId="184B0847" w:rsidR="0014249A" w:rsidRPr="008E1762" w:rsidRDefault="0014249A" w:rsidP="004D6642">
      <w:pPr>
        <w:spacing w:line="300" w:lineRule="atLeast"/>
        <w:rPr>
          <w:rStyle w:val="Hyperlink"/>
          <w:color w:val="000000" w:themeColor="text1"/>
          <w:u w:val="none"/>
        </w:rPr>
      </w:pPr>
      <w:r w:rsidRPr="008E1762">
        <w:rPr>
          <w:rStyle w:val="Hyperlink"/>
          <w:color w:val="000000" w:themeColor="text1"/>
          <w:u w:val="none"/>
        </w:rPr>
        <w:t xml:space="preserve">MfE, </w:t>
      </w:r>
      <w:r w:rsidR="00C224EF" w:rsidRPr="008E1762">
        <w:rPr>
          <w:rStyle w:val="Hyperlink"/>
          <w:color w:val="000000" w:themeColor="text1"/>
          <w:u w:val="none"/>
        </w:rPr>
        <w:t>2025</w:t>
      </w:r>
      <w:r w:rsidR="00415B4F" w:rsidRPr="008E1762">
        <w:rPr>
          <w:rStyle w:val="Hyperlink"/>
          <w:color w:val="000000" w:themeColor="text1"/>
          <w:u w:val="none"/>
        </w:rPr>
        <w:t>b.</w:t>
      </w:r>
      <w:r w:rsidR="00C224EF" w:rsidRPr="008E1762">
        <w:rPr>
          <w:rStyle w:val="Hyperlink"/>
          <w:color w:val="000000" w:themeColor="text1"/>
          <w:u w:val="none"/>
        </w:rPr>
        <w:t xml:space="preserve"> </w:t>
      </w:r>
      <w:r w:rsidR="00BE1C1C" w:rsidRPr="008E1762">
        <w:rPr>
          <w:rStyle w:val="Hyperlink"/>
          <w:color w:val="000000" w:themeColor="text1"/>
          <w:u w:val="none"/>
        </w:rPr>
        <w:t xml:space="preserve">Nga Tatauranga Para </w:t>
      </w:r>
      <w:r w:rsidRPr="008E1762">
        <w:rPr>
          <w:rStyle w:val="Hyperlink"/>
          <w:color w:val="000000" w:themeColor="text1"/>
          <w:u w:val="none"/>
        </w:rPr>
        <w:t xml:space="preserve">Waste Statistics </w:t>
      </w:r>
      <w:hyperlink r:id="rId39" w:history="1">
        <w:r w:rsidR="003946F8" w:rsidRPr="008E1762">
          <w:rPr>
            <w:rStyle w:val="Hyperlink"/>
            <w:u w:val="none"/>
          </w:rPr>
          <w:t>www.environment.govt.nz/facts-and-science/waste/waste-statistics</w:t>
        </w:r>
      </w:hyperlink>
    </w:p>
    <w:p w14:paraId="5CBB9CA8" w14:textId="69D76BC1" w:rsidR="003946F8" w:rsidRPr="008E1762" w:rsidRDefault="003946F8" w:rsidP="003946F8">
      <w:pPr>
        <w:spacing w:line="300" w:lineRule="atLeast"/>
        <w:rPr>
          <w:rStyle w:val="Hyperlink"/>
          <w:color w:val="000000" w:themeColor="text1"/>
          <w:u w:val="none"/>
        </w:rPr>
      </w:pPr>
      <w:r w:rsidRPr="008E1762">
        <w:rPr>
          <w:rStyle w:val="Hyperlink"/>
          <w:color w:val="000000" w:themeColor="text1"/>
          <w:u w:val="none"/>
        </w:rPr>
        <w:t>MfE, 2026. Dioxin Inventory for New Zealand, 2024.  Ministry for the Environment, Wellington.</w:t>
      </w:r>
    </w:p>
    <w:p w14:paraId="5B0C9EDC" w14:textId="3F5EF672" w:rsidR="00653E3B" w:rsidRPr="003B477F" w:rsidRDefault="00653E3B" w:rsidP="00653E3B">
      <w:pPr>
        <w:spacing w:line="300" w:lineRule="atLeast"/>
        <w:rPr>
          <w:color w:val="000000" w:themeColor="text1"/>
        </w:rPr>
      </w:pPr>
      <w:r w:rsidRPr="003B477F">
        <w:rPr>
          <w:color w:val="000000" w:themeColor="text1"/>
        </w:rPr>
        <w:t>M</w:t>
      </w:r>
      <w:r w:rsidR="00DA0B93">
        <w:rPr>
          <w:color w:val="000000" w:themeColor="text1"/>
        </w:rPr>
        <w:t xml:space="preserve">inistry </w:t>
      </w:r>
      <w:r w:rsidR="006878C6">
        <w:rPr>
          <w:color w:val="000000" w:themeColor="text1"/>
        </w:rPr>
        <w:t>o</w:t>
      </w:r>
      <w:r w:rsidR="00DA0B93">
        <w:rPr>
          <w:color w:val="000000" w:themeColor="text1"/>
        </w:rPr>
        <w:t xml:space="preserve">f </w:t>
      </w:r>
      <w:r w:rsidRPr="003B477F">
        <w:rPr>
          <w:color w:val="000000" w:themeColor="text1"/>
        </w:rPr>
        <w:t>H</w:t>
      </w:r>
      <w:r w:rsidR="00DA0B93">
        <w:rPr>
          <w:color w:val="000000" w:themeColor="text1"/>
        </w:rPr>
        <w:t>ealth</w:t>
      </w:r>
      <w:r w:rsidRPr="003B477F">
        <w:rPr>
          <w:color w:val="000000" w:themeColor="text1"/>
        </w:rPr>
        <w:t>, 20</w:t>
      </w:r>
      <w:r w:rsidR="006878C6">
        <w:rPr>
          <w:color w:val="000000" w:themeColor="text1"/>
        </w:rPr>
        <w:t>2</w:t>
      </w:r>
      <w:r w:rsidR="00DA0B93">
        <w:rPr>
          <w:color w:val="000000" w:themeColor="text1"/>
        </w:rPr>
        <w:t>5</w:t>
      </w:r>
      <w:r w:rsidRPr="003B477F">
        <w:rPr>
          <w:color w:val="000000" w:themeColor="text1"/>
        </w:rPr>
        <w:t>. Immunisation Handbook 20</w:t>
      </w:r>
      <w:r w:rsidR="006878C6">
        <w:rPr>
          <w:color w:val="000000" w:themeColor="text1"/>
        </w:rPr>
        <w:t>2</w:t>
      </w:r>
      <w:r w:rsidR="00DA0B93">
        <w:rPr>
          <w:color w:val="000000" w:themeColor="text1"/>
        </w:rPr>
        <w:t>5</w:t>
      </w:r>
      <w:r w:rsidRPr="003B477F">
        <w:rPr>
          <w:color w:val="000000" w:themeColor="text1"/>
        </w:rPr>
        <w:t>,</w:t>
      </w:r>
      <w:r w:rsidR="009A6878">
        <w:rPr>
          <w:color w:val="000000" w:themeColor="text1"/>
        </w:rPr>
        <w:t xml:space="preserve"> </w:t>
      </w:r>
      <w:r w:rsidRPr="003B477F">
        <w:rPr>
          <w:color w:val="000000" w:themeColor="text1"/>
        </w:rPr>
        <w:t>Ministry of Health, Wellington.</w:t>
      </w:r>
    </w:p>
    <w:p w14:paraId="121C3C55" w14:textId="48B00271" w:rsidR="009E2437" w:rsidRPr="003B477F" w:rsidRDefault="009E2437" w:rsidP="00653E3B">
      <w:pPr>
        <w:spacing w:line="300" w:lineRule="atLeast"/>
        <w:rPr>
          <w:color w:val="000000" w:themeColor="text1"/>
        </w:rPr>
      </w:pPr>
      <w:r w:rsidRPr="003B477F">
        <w:rPr>
          <w:color w:val="000000" w:themeColor="text1"/>
        </w:rPr>
        <w:t>MPI, 202</w:t>
      </w:r>
      <w:r w:rsidR="00602181">
        <w:rPr>
          <w:color w:val="000000" w:themeColor="text1"/>
        </w:rPr>
        <w:t>5</w:t>
      </w:r>
      <w:r w:rsidRPr="003B477F">
        <w:rPr>
          <w:color w:val="000000" w:themeColor="text1"/>
        </w:rPr>
        <w:t xml:space="preserve">. ACVM Register. Ministry of Primary Industries.  </w:t>
      </w:r>
      <w:hyperlink r:id="rId40" w:history="1">
        <w:r w:rsidRPr="003B477F">
          <w:rPr>
            <w:rStyle w:val="Hyperlink"/>
            <w:color w:val="000000" w:themeColor="text1"/>
          </w:rPr>
          <w:t>https://eatsafe.nzfsa.govt.nz/web/public/acvm-register</w:t>
        </w:r>
      </w:hyperlink>
      <w:r w:rsidR="00602181">
        <w:rPr>
          <w:color w:val="000000" w:themeColor="text1"/>
        </w:rPr>
        <w:t>.</w:t>
      </w:r>
    </w:p>
    <w:p w14:paraId="35119B4D" w14:textId="235A83B7" w:rsidR="0038126D" w:rsidRDefault="0038126D" w:rsidP="009A20E5">
      <w:pPr>
        <w:spacing w:line="300" w:lineRule="atLeast"/>
        <w:rPr>
          <w:color w:val="000000" w:themeColor="text1"/>
        </w:rPr>
      </w:pPr>
      <w:r w:rsidRPr="003B477F">
        <w:rPr>
          <w:color w:val="000000" w:themeColor="text1"/>
        </w:rPr>
        <w:t>Newcombe, VC, 2008. Mercury Use in the Goldmining Industry: A retrospective examination of elemental mercury use in the gold mining industry of the West Coast of New Zealand in the period 1984 – 1988. MPhil (science) thesis, Massey University, Wellington.</w:t>
      </w:r>
    </w:p>
    <w:p w14:paraId="36BA8434" w14:textId="627BD513" w:rsidR="00214FC1" w:rsidRPr="003B477F" w:rsidRDefault="00214FC1" w:rsidP="009A20E5">
      <w:pPr>
        <w:spacing w:line="300" w:lineRule="atLeast"/>
        <w:rPr>
          <w:color w:val="000000" w:themeColor="text1"/>
        </w:rPr>
      </w:pPr>
      <w:r>
        <w:rPr>
          <w:color w:val="000000" w:themeColor="text1"/>
        </w:rPr>
        <w:t>NZ Transport Agency, 2025. Why Should We Switch to LEDs?  Ministry of Transport, Waka Kotahi, Wellington, 2025.</w:t>
      </w:r>
    </w:p>
    <w:p w14:paraId="58F4C88B" w14:textId="05A17FB3" w:rsidR="00AA1E80" w:rsidRPr="003B477F" w:rsidRDefault="00AA1E80" w:rsidP="009A20E5">
      <w:pPr>
        <w:spacing w:line="300" w:lineRule="atLeast"/>
        <w:rPr>
          <w:color w:val="000000" w:themeColor="text1"/>
        </w:rPr>
      </w:pPr>
      <w:r w:rsidRPr="003B477F">
        <w:rPr>
          <w:color w:val="000000" w:themeColor="text1"/>
        </w:rPr>
        <w:t xml:space="preserve">NS Energy, 2021. Profiling the Top Five Largest </w:t>
      </w:r>
      <w:r w:rsidR="00401076" w:rsidRPr="003B477F">
        <w:rPr>
          <w:color w:val="000000" w:themeColor="text1"/>
        </w:rPr>
        <w:t>Geothermal Power Stations in New Zealand. 16 April 2021. See htpps://www.nsenergybusiness.com/features/geothermal-power-stations-new-zealand/</w:t>
      </w:r>
    </w:p>
    <w:p w14:paraId="7F7FAAA4" w14:textId="1FAC9700" w:rsidR="00AD30EF" w:rsidRPr="003B477F" w:rsidRDefault="00AD30EF" w:rsidP="009A20E5">
      <w:pPr>
        <w:spacing w:line="300" w:lineRule="atLeast"/>
        <w:rPr>
          <w:color w:val="000000" w:themeColor="text1"/>
        </w:rPr>
      </w:pPr>
      <w:r w:rsidRPr="003B477F">
        <w:rPr>
          <w:color w:val="000000" w:themeColor="text1"/>
        </w:rPr>
        <w:t>NZIC, 199</w:t>
      </w:r>
      <w:r w:rsidR="001E5DEF" w:rsidRPr="003B477F">
        <w:rPr>
          <w:color w:val="000000" w:themeColor="text1"/>
        </w:rPr>
        <w:t>8</w:t>
      </w:r>
      <w:r w:rsidR="00165A2A" w:rsidRPr="003B477F">
        <w:rPr>
          <w:color w:val="000000" w:themeColor="text1"/>
        </w:rPr>
        <w:t>a</w:t>
      </w:r>
      <w:r w:rsidRPr="003B477F">
        <w:rPr>
          <w:color w:val="000000" w:themeColor="text1"/>
        </w:rPr>
        <w:t>. Steel Making, in Chemical Processes in New Zealand, 2</w:t>
      </w:r>
      <w:r w:rsidRPr="003B477F">
        <w:rPr>
          <w:color w:val="000000" w:themeColor="text1"/>
          <w:vertAlign w:val="superscript"/>
        </w:rPr>
        <w:t>nd</w:t>
      </w:r>
      <w:r w:rsidRPr="003B477F">
        <w:rPr>
          <w:color w:val="000000" w:themeColor="text1"/>
        </w:rPr>
        <w:t xml:space="preserve"> Edition, volume 2. NZ Institute of Chemistry, Auckland.</w:t>
      </w:r>
    </w:p>
    <w:p w14:paraId="5FC25554" w14:textId="3B298B7B" w:rsidR="00165A2A" w:rsidRDefault="001E5DEF" w:rsidP="009A20E5">
      <w:pPr>
        <w:spacing w:line="300" w:lineRule="atLeast"/>
        <w:rPr>
          <w:color w:val="000000" w:themeColor="text1"/>
        </w:rPr>
      </w:pPr>
      <w:r w:rsidRPr="003B477F">
        <w:rPr>
          <w:color w:val="000000" w:themeColor="text1"/>
        </w:rPr>
        <w:t>NZIC, 19</w:t>
      </w:r>
      <w:r w:rsidR="00165A2A" w:rsidRPr="003B477F">
        <w:rPr>
          <w:color w:val="000000" w:themeColor="text1"/>
        </w:rPr>
        <w:t>9</w:t>
      </w:r>
      <w:r w:rsidRPr="003B477F">
        <w:rPr>
          <w:color w:val="000000" w:themeColor="text1"/>
        </w:rPr>
        <w:t>8</w:t>
      </w:r>
      <w:r w:rsidR="00165A2A" w:rsidRPr="003B477F">
        <w:rPr>
          <w:color w:val="000000" w:themeColor="text1"/>
        </w:rPr>
        <w:t>b. The Manufacture of Sulfuric Acid and Superphosphate, in Chemical Processes in New Zealand, 2</w:t>
      </w:r>
      <w:r w:rsidR="00165A2A" w:rsidRPr="003B477F">
        <w:rPr>
          <w:color w:val="000000" w:themeColor="text1"/>
          <w:vertAlign w:val="superscript"/>
        </w:rPr>
        <w:t>nd</w:t>
      </w:r>
      <w:r w:rsidR="00165A2A" w:rsidRPr="003B477F">
        <w:rPr>
          <w:color w:val="000000" w:themeColor="text1"/>
        </w:rPr>
        <w:t xml:space="preserve"> Edition, volume 1. NZ Institute of Chemistry, Auckland.</w:t>
      </w:r>
    </w:p>
    <w:p w14:paraId="26CB819D" w14:textId="07534C0D" w:rsidR="00A2343E" w:rsidRDefault="00A2343E" w:rsidP="00A2343E">
      <w:pPr>
        <w:spacing w:line="300" w:lineRule="atLeast"/>
        <w:rPr>
          <w:color w:val="000000" w:themeColor="text1"/>
        </w:rPr>
      </w:pPr>
      <w:r w:rsidRPr="003B477F">
        <w:rPr>
          <w:color w:val="000000" w:themeColor="text1"/>
        </w:rPr>
        <w:t>NZIC, 1998</w:t>
      </w:r>
      <w:r>
        <w:rPr>
          <w:color w:val="000000" w:themeColor="text1"/>
        </w:rPr>
        <w:t>c</w:t>
      </w:r>
      <w:r w:rsidRPr="003B477F">
        <w:rPr>
          <w:color w:val="000000" w:themeColor="text1"/>
        </w:rPr>
        <w:t xml:space="preserve">. </w:t>
      </w:r>
      <w:r>
        <w:rPr>
          <w:color w:val="000000" w:themeColor="text1"/>
        </w:rPr>
        <w:t xml:space="preserve">Bleaching Chemicals for the Kraft Pulping Industry, </w:t>
      </w:r>
      <w:r w:rsidRPr="003B477F">
        <w:rPr>
          <w:color w:val="000000" w:themeColor="text1"/>
        </w:rPr>
        <w:t>in Chemical Processes in New Zealand, 2</w:t>
      </w:r>
      <w:r w:rsidRPr="003B477F">
        <w:rPr>
          <w:color w:val="000000" w:themeColor="text1"/>
          <w:vertAlign w:val="superscript"/>
        </w:rPr>
        <w:t>nd</w:t>
      </w:r>
      <w:r w:rsidRPr="003B477F">
        <w:rPr>
          <w:color w:val="000000" w:themeColor="text1"/>
        </w:rPr>
        <w:t xml:space="preserve"> Edition, volume 1. NZ Institute of Chemistry, Auckland.</w:t>
      </w:r>
    </w:p>
    <w:p w14:paraId="3D506C2E" w14:textId="063BB47F" w:rsidR="00165A2A" w:rsidRPr="003B477F" w:rsidRDefault="00715441" w:rsidP="009A20E5">
      <w:pPr>
        <w:spacing w:line="300" w:lineRule="atLeast"/>
        <w:rPr>
          <w:color w:val="000000" w:themeColor="text1"/>
        </w:rPr>
      </w:pPr>
      <w:r w:rsidRPr="003B477F">
        <w:rPr>
          <w:color w:val="000000" w:themeColor="text1"/>
        </w:rPr>
        <w:t>NZFMRA, 2013. Fertiliser guidelines obtained from the Fertiliser Association web site (</w:t>
      </w:r>
      <w:hyperlink r:id="rId41" w:history="1">
        <w:r w:rsidRPr="003B477F">
          <w:rPr>
            <w:rStyle w:val="Hyperlink"/>
            <w:color w:val="000000" w:themeColor="text1"/>
            <w:lang w:val="en-US"/>
          </w:rPr>
          <w:t>www.fertiliser.org.nz</w:t>
        </w:r>
      </w:hyperlink>
      <w:r w:rsidRPr="003B477F">
        <w:rPr>
          <w:color w:val="000000" w:themeColor="text1"/>
        </w:rPr>
        <w:t>), May 2013.</w:t>
      </w:r>
    </w:p>
    <w:p w14:paraId="060DB745" w14:textId="3B882CBA" w:rsidR="00583A0E" w:rsidRPr="003B477F" w:rsidRDefault="00583A0E" w:rsidP="009A20E5">
      <w:pPr>
        <w:spacing w:line="300" w:lineRule="atLeast"/>
        <w:rPr>
          <w:color w:val="000000" w:themeColor="text1"/>
        </w:rPr>
      </w:pPr>
      <w:r w:rsidRPr="003B477F">
        <w:rPr>
          <w:color w:val="000000" w:themeColor="text1"/>
        </w:rPr>
        <w:t>NZ Petroleum and Minerals, 2022</w:t>
      </w:r>
      <w:r w:rsidR="00F7116B" w:rsidRPr="003B477F">
        <w:rPr>
          <w:color w:val="000000" w:themeColor="text1"/>
        </w:rPr>
        <w:t xml:space="preserve"> (a)</w:t>
      </w:r>
      <w:r w:rsidRPr="003B477F">
        <w:rPr>
          <w:color w:val="000000" w:themeColor="text1"/>
        </w:rPr>
        <w:t xml:space="preserve">.  Operating Coal Mine Production Figures. </w:t>
      </w:r>
      <w:hyperlink r:id="rId42" w:history="1">
        <w:r w:rsidR="00256B6F" w:rsidRPr="003B477F">
          <w:rPr>
            <w:rStyle w:val="Hyperlink"/>
            <w:color w:val="000000" w:themeColor="text1"/>
          </w:rPr>
          <w:t>https://www.nzpam.govt.nz/nz-minerals/minerals-statistics/coal/operating-mines/</w:t>
        </w:r>
      </w:hyperlink>
    </w:p>
    <w:p w14:paraId="52E22929" w14:textId="286B9E89" w:rsidR="00F7116B" w:rsidRDefault="00F7116B" w:rsidP="009A20E5">
      <w:pPr>
        <w:spacing w:line="300" w:lineRule="atLeast"/>
        <w:rPr>
          <w:color w:val="000000" w:themeColor="text1"/>
        </w:rPr>
      </w:pPr>
      <w:r w:rsidRPr="003B477F">
        <w:rPr>
          <w:color w:val="000000" w:themeColor="text1"/>
        </w:rPr>
        <w:t>NZ Petroleum and Minerals, 202</w:t>
      </w:r>
      <w:r w:rsidR="00DA1043">
        <w:rPr>
          <w:color w:val="000000" w:themeColor="text1"/>
        </w:rPr>
        <w:t>3</w:t>
      </w:r>
      <w:r w:rsidRPr="003B477F">
        <w:rPr>
          <w:color w:val="000000" w:themeColor="text1"/>
        </w:rPr>
        <w:t xml:space="preserve">. Minerals Statistics. </w:t>
      </w:r>
      <w:hyperlink r:id="rId43" w:history="1">
        <w:r w:rsidR="0066548F" w:rsidRPr="00BD7597">
          <w:rPr>
            <w:rStyle w:val="Hyperlink"/>
          </w:rPr>
          <w:t>https://www.nzpam.govt.nz/nz-minerals/minerals-statistics</w:t>
        </w:r>
      </w:hyperlink>
    </w:p>
    <w:p w14:paraId="633DBE69" w14:textId="3854C518" w:rsidR="0066548F" w:rsidRPr="003B477F" w:rsidRDefault="0066548F" w:rsidP="009A20E5">
      <w:pPr>
        <w:spacing w:line="300" w:lineRule="atLeast"/>
        <w:rPr>
          <w:color w:val="000000" w:themeColor="text1"/>
        </w:rPr>
      </w:pPr>
      <w:r>
        <w:rPr>
          <w:color w:val="000000" w:themeColor="text1"/>
        </w:rPr>
        <w:t>NZ Petroleum and Minerals, 2025. Annual Minerals Industry Statistics and Survey. Gold Production 1993-2024.xlsx</w:t>
      </w:r>
    </w:p>
    <w:p w14:paraId="3BB97E12" w14:textId="6BAAF109" w:rsidR="00CC1F03" w:rsidRPr="003B477F" w:rsidRDefault="00CC1F03" w:rsidP="00084616">
      <w:pPr>
        <w:spacing w:line="300" w:lineRule="atLeast"/>
        <w:rPr>
          <w:color w:val="000000" w:themeColor="text1"/>
          <w:szCs w:val="18"/>
        </w:rPr>
      </w:pPr>
      <w:r w:rsidRPr="003B477F">
        <w:rPr>
          <w:color w:val="000000" w:themeColor="text1"/>
          <w:szCs w:val="18"/>
        </w:rPr>
        <w:t xml:space="preserve">Oceana Gold, 2020. Mining Gold for a Better Future. 2020 Sustainability Report.  </w:t>
      </w:r>
      <w:hyperlink r:id="rId44" w:history="1">
        <w:r w:rsidR="00BB4A96" w:rsidRPr="003B477F">
          <w:rPr>
            <w:rStyle w:val="Hyperlink"/>
            <w:color w:val="000000" w:themeColor="text1"/>
            <w:szCs w:val="18"/>
          </w:rPr>
          <w:t>https://oceanagold.com/wp-content/uploads/2021/06/OceanaGold-2020-Sustainability-Report.pdf</w:t>
        </w:r>
      </w:hyperlink>
      <w:r w:rsidR="000C3E63" w:rsidRPr="003B477F">
        <w:rPr>
          <w:color w:val="000000" w:themeColor="text1"/>
          <w:szCs w:val="18"/>
        </w:rPr>
        <w:t>.</w:t>
      </w:r>
    </w:p>
    <w:p w14:paraId="7EF6837C" w14:textId="73675C48" w:rsidR="00BB4A96" w:rsidRPr="003B477F" w:rsidRDefault="00BB4A96" w:rsidP="00084616">
      <w:pPr>
        <w:spacing w:line="300" w:lineRule="atLeast"/>
        <w:rPr>
          <w:color w:val="000000" w:themeColor="text1"/>
        </w:rPr>
      </w:pPr>
      <w:r w:rsidRPr="003B477F">
        <w:rPr>
          <w:color w:val="000000" w:themeColor="text1"/>
          <w:szCs w:val="18"/>
        </w:rPr>
        <w:t xml:space="preserve">Office of the Minister for the Environment, 2021. Minamata Convention on Mercury – Regulatory </w:t>
      </w:r>
      <w:r w:rsidR="00AE02D1" w:rsidRPr="003B477F">
        <w:rPr>
          <w:color w:val="000000" w:themeColor="text1"/>
          <w:szCs w:val="18"/>
        </w:rPr>
        <w:t>Measures to Enable Ratification – Final Policy Decisions. (Proactively released under the provisions of the Official Information Act 1982)</w:t>
      </w:r>
    </w:p>
    <w:p w14:paraId="370712F8" w14:textId="1D608FA1" w:rsidR="00D52736" w:rsidRPr="003B477F" w:rsidRDefault="00D52736" w:rsidP="009A20E5">
      <w:pPr>
        <w:spacing w:line="300" w:lineRule="atLeast"/>
        <w:rPr>
          <w:color w:val="000000" w:themeColor="text1"/>
        </w:rPr>
      </w:pPr>
      <w:r w:rsidRPr="003B477F">
        <w:rPr>
          <w:color w:val="000000" w:themeColor="text1"/>
        </w:rPr>
        <w:t xml:space="preserve">Penumarthy, L, Oehme, FW and Hayes, RH, 1980. Lead, Cadmium and Mercury Tissue Residues in Healthy Swine, Cattle, Dogs and Horses from the Midwestern United States. Arch. Environ. Contam. Toxicol. </w:t>
      </w:r>
      <w:r w:rsidR="00C54735">
        <w:rPr>
          <w:color w:val="000000" w:themeColor="text1"/>
        </w:rPr>
        <w:t xml:space="preserve">Volume </w:t>
      </w:r>
      <w:r w:rsidRPr="003B477F">
        <w:rPr>
          <w:color w:val="000000" w:themeColor="text1"/>
        </w:rPr>
        <w:t>9 p193 – 206.</w:t>
      </w:r>
    </w:p>
    <w:p w14:paraId="4EDF3DD8" w14:textId="795CB81F" w:rsidR="005950EB" w:rsidRDefault="005950EB" w:rsidP="009A20E5">
      <w:pPr>
        <w:spacing w:line="300" w:lineRule="atLeast"/>
        <w:rPr>
          <w:color w:val="000000" w:themeColor="text1"/>
        </w:rPr>
      </w:pPr>
      <w:r w:rsidRPr="003B477F">
        <w:rPr>
          <w:color w:val="000000" w:themeColor="text1"/>
        </w:rPr>
        <w:t>Statistics NZ, 202</w:t>
      </w:r>
      <w:r w:rsidR="00A2343E">
        <w:rPr>
          <w:color w:val="000000" w:themeColor="text1"/>
        </w:rPr>
        <w:t>4</w:t>
      </w:r>
      <w:r w:rsidRPr="003B477F">
        <w:rPr>
          <w:color w:val="000000" w:themeColor="text1"/>
        </w:rPr>
        <w:t>. National Population Estimates at 30 June 202</w:t>
      </w:r>
      <w:r>
        <w:rPr>
          <w:color w:val="000000" w:themeColor="text1"/>
        </w:rPr>
        <w:t xml:space="preserve">4.  </w:t>
      </w:r>
      <w:hyperlink r:id="rId45" w:history="1">
        <w:r w:rsidR="0021038E" w:rsidRPr="00D9507E">
          <w:rPr>
            <w:rStyle w:val="Hyperlink"/>
          </w:rPr>
          <w:t>https://www.stats.govt.nz/information-release/national-population-estimates-at-30-june-2024-2018-base/</w:t>
        </w:r>
      </w:hyperlink>
    </w:p>
    <w:p w14:paraId="4FE5AB7A" w14:textId="5F4C27E5" w:rsidR="0021038E" w:rsidRDefault="0021038E" w:rsidP="009A20E5">
      <w:pPr>
        <w:spacing w:line="300" w:lineRule="atLeast"/>
        <w:rPr>
          <w:color w:val="000000" w:themeColor="text1"/>
        </w:rPr>
      </w:pPr>
      <w:r>
        <w:rPr>
          <w:color w:val="000000" w:themeColor="text1"/>
        </w:rPr>
        <w:t>Taumata Arowai, 2025.  Network Environmental Performance Report 2023/2024. Water Services Authority Taumata Arowai, Wellington, June 2025.</w:t>
      </w:r>
    </w:p>
    <w:p w14:paraId="2FF92095" w14:textId="07A3720F" w:rsidR="00A423A6" w:rsidRDefault="00A423A6" w:rsidP="009A20E5">
      <w:pPr>
        <w:spacing w:line="300" w:lineRule="atLeast"/>
        <w:rPr>
          <w:color w:val="000000" w:themeColor="text1"/>
        </w:rPr>
      </w:pPr>
      <w:r>
        <w:rPr>
          <w:color w:val="000000" w:themeColor="text1"/>
        </w:rPr>
        <w:t xml:space="preserve">Taranaki </w:t>
      </w:r>
      <w:r w:rsidR="00FA4F10">
        <w:rPr>
          <w:color w:val="000000" w:themeColor="text1"/>
        </w:rPr>
        <w:t>R</w:t>
      </w:r>
      <w:r>
        <w:rPr>
          <w:color w:val="000000" w:themeColor="text1"/>
        </w:rPr>
        <w:t>egional Council, 2025. Dow Chemical (NZ) Ltd Monitoring Programme.  Annual Report 2023/2024.  Technical Report 2024-30.  April 2025.</w:t>
      </w:r>
    </w:p>
    <w:p w14:paraId="19CB1F94" w14:textId="5E6DB443" w:rsidR="00FD7E3F" w:rsidRDefault="00FD7E3F" w:rsidP="009A20E5">
      <w:pPr>
        <w:spacing w:line="300" w:lineRule="atLeast"/>
        <w:rPr>
          <w:color w:val="000000" w:themeColor="text1"/>
        </w:rPr>
      </w:pPr>
      <w:r>
        <w:rPr>
          <w:color w:val="000000" w:themeColor="text1"/>
        </w:rPr>
        <w:t>Te Ara Encyclopedia, 2009. Streets and Lighting by Adrian Humphries.  Te Ara. The On-line Encyclopedia of New Zealand, 2009.</w:t>
      </w:r>
    </w:p>
    <w:p w14:paraId="5511A6D8" w14:textId="68016833" w:rsidR="00C54735" w:rsidRPr="003B477F" w:rsidRDefault="00C54735" w:rsidP="00C54735">
      <w:pPr>
        <w:spacing w:line="300" w:lineRule="atLeast"/>
        <w:rPr>
          <w:color w:val="000000" w:themeColor="text1"/>
        </w:rPr>
      </w:pPr>
      <w:r w:rsidRPr="00C6032E">
        <w:rPr>
          <w:rFonts w:ascii="TimesNewRoman" w:hAnsi="TimesNewRoman"/>
          <w:lang w:eastAsia="en-GB"/>
        </w:rPr>
        <w:t>Thain</w:t>
      </w:r>
      <w:r>
        <w:rPr>
          <w:rFonts w:ascii="TimesNewRoman" w:hAnsi="TimesNewRoman"/>
          <w:lang w:eastAsia="en-GB"/>
        </w:rPr>
        <w:t xml:space="preserve"> I A,</w:t>
      </w:r>
      <w:r w:rsidRPr="00C6032E">
        <w:rPr>
          <w:rFonts w:ascii="TimesNewRoman" w:hAnsi="TimesNewRoman"/>
          <w:lang w:eastAsia="en-GB"/>
        </w:rPr>
        <w:t xml:space="preserve"> 2009. Review of Carbon Emission Factors in Draft Stationary Engine and Industrial Process Regulations: Using Geothermal Fluid. Report prepared for the Ministry for the Environment, Geothermal &amp; Energy Technical Services Ltd, Taupo</w:t>
      </w:r>
    </w:p>
    <w:p w14:paraId="583FFE48" w14:textId="22241264" w:rsidR="00653E3B" w:rsidRDefault="00653E3B" w:rsidP="009A20E5">
      <w:pPr>
        <w:spacing w:line="300" w:lineRule="atLeast"/>
        <w:rPr>
          <w:color w:val="000000" w:themeColor="text1"/>
        </w:rPr>
      </w:pPr>
      <w:r w:rsidRPr="003B477F">
        <w:rPr>
          <w:color w:val="000000" w:themeColor="text1"/>
        </w:rPr>
        <w:t>Tonkin and Taylor</w:t>
      </w:r>
      <w:r w:rsidR="00BD71C9">
        <w:rPr>
          <w:color w:val="000000" w:themeColor="text1"/>
        </w:rPr>
        <w:t>,</w:t>
      </w:r>
      <w:r w:rsidRPr="003B477F">
        <w:rPr>
          <w:color w:val="000000" w:themeColor="text1"/>
        </w:rPr>
        <w:t xml:space="preserve"> 2013. Assessment of Appropriate Disposal Options for Household (Dry Cell) Batteries (T and T ref. 29540).  Report prepared for Auckland Council by Tonkin and Taylor Ltd.</w:t>
      </w:r>
    </w:p>
    <w:p w14:paraId="68146720" w14:textId="4845673C" w:rsidR="00A423A6" w:rsidRPr="003B477F" w:rsidRDefault="00A423A6" w:rsidP="009A20E5">
      <w:pPr>
        <w:spacing w:line="300" w:lineRule="atLeast"/>
        <w:rPr>
          <w:color w:val="000000" w:themeColor="text1"/>
        </w:rPr>
      </w:pPr>
      <w:r>
        <w:rPr>
          <w:color w:val="000000" w:themeColor="text1"/>
        </w:rPr>
        <w:t>Tonkin and Taylor, 2024. Preliminary Site Investigation Paritutu, New Plymouth. Job Number 0021795.0200 v007.  July 2024</w:t>
      </w:r>
    </w:p>
    <w:p w14:paraId="69A661BF" w14:textId="77777777" w:rsidR="00C738EC" w:rsidRPr="003B477F" w:rsidRDefault="00C738EC" w:rsidP="00C738EC">
      <w:pPr>
        <w:spacing w:line="300" w:lineRule="atLeast"/>
        <w:rPr>
          <w:color w:val="000000" w:themeColor="text1"/>
        </w:rPr>
      </w:pPr>
      <w:r w:rsidRPr="003B477F">
        <w:rPr>
          <w:color w:val="000000" w:themeColor="text1"/>
        </w:rPr>
        <w:t>UNEP, 2013. Toolkit for Identification and Quantification of Mercury Releases, 2</w:t>
      </w:r>
      <w:r w:rsidRPr="003B477F">
        <w:rPr>
          <w:color w:val="000000" w:themeColor="text1"/>
          <w:vertAlign w:val="superscript"/>
        </w:rPr>
        <w:t>nd</w:t>
      </w:r>
      <w:r w:rsidRPr="003B477F">
        <w:rPr>
          <w:color w:val="000000" w:themeColor="text1"/>
        </w:rPr>
        <w:t xml:space="preserve"> edition, version 1.2, April 2013. United Nations Environment Programme, Geneva.</w:t>
      </w:r>
    </w:p>
    <w:p w14:paraId="2F00C104" w14:textId="53A3938B" w:rsidR="00C817BD" w:rsidRPr="003B477F" w:rsidRDefault="00C738EC" w:rsidP="009A20E5">
      <w:pPr>
        <w:spacing w:line="300" w:lineRule="atLeast"/>
        <w:rPr>
          <w:color w:val="000000" w:themeColor="text1"/>
        </w:rPr>
      </w:pPr>
      <w:r w:rsidRPr="003B477F">
        <w:rPr>
          <w:color w:val="000000" w:themeColor="text1"/>
        </w:rPr>
        <w:t>UNEP, 2017</w:t>
      </w:r>
      <w:r w:rsidR="00C817BD" w:rsidRPr="003B477F">
        <w:rPr>
          <w:color w:val="000000" w:themeColor="text1"/>
        </w:rPr>
        <w:t xml:space="preserve">. Toolkit for </w:t>
      </w:r>
      <w:r w:rsidR="005A008C" w:rsidRPr="003B477F">
        <w:rPr>
          <w:color w:val="000000" w:themeColor="text1"/>
        </w:rPr>
        <w:t>Identification and Quantification of Mercury Releases</w:t>
      </w:r>
      <w:r w:rsidR="00D53F1D" w:rsidRPr="003B477F">
        <w:rPr>
          <w:color w:val="000000" w:themeColor="text1"/>
        </w:rPr>
        <w:t>, 2</w:t>
      </w:r>
      <w:r w:rsidR="00D53F1D" w:rsidRPr="003B477F">
        <w:rPr>
          <w:color w:val="000000" w:themeColor="text1"/>
          <w:vertAlign w:val="superscript"/>
        </w:rPr>
        <w:t>nd</w:t>
      </w:r>
      <w:r w:rsidRPr="003B477F">
        <w:rPr>
          <w:color w:val="000000" w:themeColor="text1"/>
        </w:rPr>
        <w:t xml:space="preserve"> edition, version 1.4</w:t>
      </w:r>
      <w:r w:rsidR="00D53F1D" w:rsidRPr="003B477F">
        <w:rPr>
          <w:color w:val="000000" w:themeColor="text1"/>
        </w:rPr>
        <w:t xml:space="preserve">, </w:t>
      </w:r>
      <w:r w:rsidRPr="003B477F">
        <w:rPr>
          <w:color w:val="000000" w:themeColor="text1"/>
        </w:rPr>
        <w:t>January</w:t>
      </w:r>
      <w:r w:rsidR="00D53F1D" w:rsidRPr="003B477F">
        <w:rPr>
          <w:color w:val="000000" w:themeColor="text1"/>
        </w:rPr>
        <w:t xml:space="preserve"> 201</w:t>
      </w:r>
      <w:r w:rsidRPr="003B477F">
        <w:rPr>
          <w:color w:val="000000" w:themeColor="text1"/>
        </w:rPr>
        <w:t>7</w:t>
      </w:r>
      <w:r w:rsidR="00D53F1D" w:rsidRPr="003B477F">
        <w:rPr>
          <w:color w:val="000000" w:themeColor="text1"/>
        </w:rPr>
        <w:t>.</w:t>
      </w:r>
      <w:r w:rsidR="005A008C" w:rsidRPr="003B477F">
        <w:rPr>
          <w:color w:val="000000" w:themeColor="text1"/>
        </w:rPr>
        <w:t xml:space="preserve"> United Nations Environment Programme, Geneva.</w:t>
      </w:r>
    </w:p>
    <w:p w14:paraId="456026F1" w14:textId="6FE4EF33" w:rsidR="00DE121D" w:rsidRDefault="00DE121D" w:rsidP="009A20E5">
      <w:pPr>
        <w:spacing w:line="300" w:lineRule="atLeast"/>
        <w:rPr>
          <w:color w:val="000000" w:themeColor="text1"/>
        </w:rPr>
      </w:pPr>
      <w:r w:rsidRPr="003B477F">
        <w:rPr>
          <w:color w:val="000000" w:themeColor="text1"/>
        </w:rPr>
        <w:t>UNE</w:t>
      </w:r>
      <w:r w:rsidR="0023183E" w:rsidRPr="003B477F">
        <w:rPr>
          <w:color w:val="000000" w:themeColor="text1"/>
        </w:rPr>
        <w:t>P</w:t>
      </w:r>
      <w:r w:rsidRPr="003B477F">
        <w:rPr>
          <w:color w:val="000000" w:themeColor="text1"/>
        </w:rPr>
        <w:t xml:space="preserve">, 2019. Toolkit for Identification and Quantification </w:t>
      </w:r>
      <w:r w:rsidR="0023183E" w:rsidRPr="003B477F">
        <w:rPr>
          <w:color w:val="000000" w:themeColor="text1"/>
        </w:rPr>
        <w:t>of Mercury Releases. Reference Report and Guideline for Inventory Level 2. Version 1.5. November 2019. United Nations Environment Chemicals a</w:t>
      </w:r>
      <w:r w:rsidR="006B3E4B" w:rsidRPr="003B477F">
        <w:rPr>
          <w:color w:val="000000" w:themeColor="text1"/>
        </w:rPr>
        <w:t>n</w:t>
      </w:r>
      <w:r w:rsidR="0023183E" w:rsidRPr="003B477F">
        <w:rPr>
          <w:color w:val="000000" w:themeColor="text1"/>
        </w:rPr>
        <w:t>d Health Branch, Geneva.</w:t>
      </w:r>
    </w:p>
    <w:p w14:paraId="2052CA83" w14:textId="3B8167C9" w:rsidR="004850C0" w:rsidRDefault="003E6992" w:rsidP="009A20E5">
      <w:pPr>
        <w:spacing w:line="300" w:lineRule="atLeast"/>
        <w:rPr>
          <w:color w:val="000000" w:themeColor="text1"/>
        </w:rPr>
      </w:pPr>
      <w:r>
        <w:rPr>
          <w:color w:val="000000" w:themeColor="text1"/>
        </w:rPr>
        <w:t xml:space="preserve">UNEP, 2020 Minamata Convention on Mercury. Lamps.  Information from the African Region, Canada, EU, Japan, Norway, USA and other stakeholders, Geneva 2020. </w:t>
      </w:r>
      <w:r w:rsidRPr="003E6992">
        <w:rPr>
          <w:color w:val="000000" w:themeColor="text1"/>
        </w:rPr>
        <w:t>https://minamataconvention.org/sites/default/files/documents/working_document/compilation_03_lamps_20Aug_Clean.pdf#:~:text=%2D%20The%20average%20mercury%20content%20of%20a,T8%20LFL%20is%202.5%20%2D%203.3%20mg&amp;text=triband%20phosphor%20(which%20is%20a%20rare%20earth)%20and%20halophosphate%20phosphor</w:t>
      </w:r>
    </w:p>
    <w:p w14:paraId="5FE1989F" w14:textId="717C374F" w:rsidR="0039607A" w:rsidRDefault="0039607A" w:rsidP="009A20E5">
      <w:pPr>
        <w:spacing w:line="300" w:lineRule="atLeast"/>
        <w:rPr>
          <w:color w:val="000000" w:themeColor="text1"/>
        </w:rPr>
      </w:pPr>
      <w:r>
        <w:rPr>
          <w:color w:val="000000" w:themeColor="text1"/>
        </w:rPr>
        <w:t>UNEP, 2022. Becoming a Party to the Minamata Convention on Mercury. Factsheet, August 2022. United Nations Environmental Programme, Geneva, 2022.</w:t>
      </w:r>
    </w:p>
    <w:p w14:paraId="2F9C7522" w14:textId="77777777" w:rsidR="00E309FF" w:rsidRDefault="00E309FF" w:rsidP="00E309FF">
      <w:pPr>
        <w:spacing w:line="300" w:lineRule="atLeast"/>
        <w:rPr>
          <w:color w:val="000000" w:themeColor="text1"/>
        </w:rPr>
      </w:pPr>
      <w:r w:rsidRPr="003B477F">
        <w:rPr>
          <w:color w:val="000000" w:themeColor="text1"/>
        </w:rPr>
        <w:t xml:space="preserve">UNEP, </w:t>
      </w:r>
      <w:r>
        <w:rPr>
          <w:color w:val="000000" w:themeColor="text1"/>
        </w:rPr>
        <w:t>2023</w:t>
      </w:r>
      <w:r w:rsidRPr="003B477F">
        <w:rPr>
          <w:color w:val="000000" w:themeColor="text1"/>
        </w:rPr>
        <w:t>. Toolkit for Identification and Quantification of Mercury Releases. Reference Report and Guideline for Inventory Level 2. Version 1.</w:t>
      </w:r>
      <w:r>
        <w:rPr>
          <w:color w:val="000000" w:themeColor="text1"/>
        </w:rPr>
        <w:t>7</w:t>
      </w:r>
      <w:r w:rsidRPr="003B477F">
        <w:rPr>
          <w:color w:val="000000" w:themeColor="text1"/>
        </w:rPr>
        <w:t xml:space="preserve">. </w:t>
      </w:r>
      <w:r>
        <w:rPr>
          <w:color w:val="000000" w:themeColor="text1"/>
        </w:rPr>
        <w:t>February 2023</w:t>
      </w:r>
      <w:r w:rsidRPr="003B477F">
        <w:rPr>
          <w:color w:val="000000" w:themeColor="text1"/>
        </w:rPr>
        <w:t>. United Nations Environment Chemicals and Health Branch, Geneva.</w:t>
      </w:r>
    </w:p>
    <w:p w14:paraId="11747660" w14:textId="0325A8CC" w:rsidR="00AB58B6" w:rsidRDefault="00AB58B6" w:rsidP="00AB58B6">
      <w:pPr>
        <w:spacing w:line="300" w:lineRule="atLeast"/>
      </w:pPr>
      <w:r>
        <w:t>UNEP, 2024. Minamata Convention on Mercury. Text and Annexes.  Revised in 2024. United Nations Environment Programme, Geneva, 2024.</w:t>
      </w:r>
    </w:p>
    <w:p w14:paraId="28BE38CD" w14:textId="56C9554D" w:rsidR="00AB58B6" w:rsidRDefault="00AB58B6" w:rsidP="00AB58B6">
      <w:pPr>
        <w:spacing w:line="300" w:lineRule="atLeast"/>
      </w:pPr>
      <w:r>
        <w:t>UNEP, 2024b.  Minamata Convention on Mercury.  Progress Report 2024. United Nations Environment Programme, Geneva, 2024.</w:t>
      </w:r>
    </w:p>
    <w:p w14:paraId="02CCAE6D" w14:textId="7E71A9CC" w:rsidR="005E4D4F" w:rsidRPr="003B477F" w:rsidRDefault="005E4D4F" w:rsidP="00AB58B6">
      <w:pPr>
        <w:spacing w:line="300" w:lineRule="atLeast"/>
        <w:rPr>
          <w:color w:val="000000" w:themeColor="text1"/>
        </w:rPr>
      </w:pPr>
      <w:r>
        <w:t xml:space="preserve">UNEP, 2025. Minamata Convention COP6 Agrees to End the Use of Dental Amalgam by 2034. UNEP Press Release, 8 November 2025. </w:t>
      </w:r>
    </w:p>
    <w:p w14:paraId="5F9A5056" w14:textId="3CB95A22" w:rsidR="006B3E4B" w:rsidRPr="003B477F" w:rsidRDefault="006B3E4B" w:rsidP="009A20E5">
      <w:pPr>
        <w:spacing w:line="300" w:lineRule="atLeast"/>
        <w:rPr>
          <w:color w:val="000000" w:themeColor="text1"/>
        </w:rPr>
      </w:pPr>
      <w:r w:rsidRPr="003B477F">
        <w:rPr>
          <w:color w:val="000000" w:themeColor="text1"/>
        </w:rPr>
        <w:t>Water NZ, 2020. Flood Prone Septic Tanks Pose Significant Health Risks. https://www.waternz.org.nz/Story?Action=View@Story_id=1337</w:t>
      </w:r>
    </w:p>
    <w:p w14:paraId="62CE02AB" w14:textId="47B7EA29" w:rsidR="00914B36" w:rsidRPr="003B477F" w:rsidRDefault="00914B36" w:rsidP="00D46008">
      <w:pPr>
        <w:spacing w:line="300" w:lineRule="atLeast"/>
        <w:rPr>
          <w:color w:val="000000" w:themeColor="text1"/>
        </w:rPr>
      </w:pPr>
      <w:r w:rsidRPr="003B477F">
        <w:rPr>
          <w:color w:val="000000" w:themeColor="text1"/>
        </w:rPr>
        <w:t>Water NZ, 20</w:t>
      </w:r>
      <w:r w:rsidR="00AE7B6F" w:rsidRPr="003B477F">
        <w:rPr>
          <w:color w:val="000000" w:themeColor="text1"/>
        </w:rPr>
        <w:t>22</w:t>
      </w:r>
      <w:r w:rsidRPr="003B477F">
        <w:rPr>
          <w:color w:val="000000" w:themeColor="text1"/>
        </w:rPr>
        <w:t xml:space="preserve">. </w:t>
      </w:r>
      <w:r w:rsidR="00C55B14" w:rsidRPr="003B477F">
        <w:rPr>
          <w:color w:val="000000" w:themeColor="text1"/>
        </w:rPr>
        <w:t xml:space="preserve">National wastewater treatment plant database; </w:t>
      </w:r>
      <w:hyperlink r:id="rId46" w:history="1">
        <w:r w:rsidRPr="003B477F">
          <w:rPr>
            <w:rStyle w:val="Hyperlink"/>
            <w:color w:val="000000" w:themeColor="text1"/>
            <w:szCs w:val="18"/>
          </w:rPr>
          <w:t>www.waternz.org.nz/WWTPInventory</w:t>
        </w:r>
      </w:hyperlink>
      <w:r w:rsidRPr="003B477F">
        <w:rPr>
          <w:color w:val="000000" w:themeColor="text1"/>
          <w:szCs w:val="18"/>
        </w:rPr>
        <w:t xml:space="preserve">, </w:t>
      </w:r>
      <w:r w:rsidR="00C55B14" w:rsidRPr="003B477F">
        <w:rPr>
          <w:color w:val="000000" w:themeColor="text1"/>
        </w:rPr>
        <w:t xml:space="preserve">Water New Zealand, </w:t>
      </w:r>
      <w:r w:rsidRPr="003B477F">
        <w:rPr>
          <w:color w:val="000000" w:themeColor="text1"/>
          <w:szCs w:val="18"/>
        </w:rPr>
        <w:t>accessed May 20</w:t>
      </w:r>
      <w:r w:rsidR="00AE7B6F" w:rsidRPr="003B477F">
        <w:rPr>
          <w:color w:val="000000" w:themeColor="text1"/>
          <w:szCs w:val="18"/>
        </w:rPr>
        <w:t>22.</w:t>
      </w:r>
    </w:p>
    <w:p w14:paraId="57F38F2F" w14:textId="77777777" w:rsidR="007978DA" w:rsidRPr="003B477F" w:rsidRDefault="007978DA" w:rsidP="003833D6">
      <w:pPr>
        <w:spacing w:line="300" w:lineRule="atLeast"/>
        <w:jc w:val="both"/>
        <w:rPr>
          <w:color w:val="000000" w:themeColor="text1"/>
          <w:szCs w:val="18"/>
        </w:rPr>
      </w:pPr>
    </w:p>
    <w:sectPr w:rsidR="007978DA" w:rsidRPr="003B477F" w:rsidSect="0094046F">
      <w:headerReference w:type="default" r:id="rId47"/>
      <w:footerReference w:type="default" r:id="rId48"/>
      <w:headerReference w:type="first" r:id="rId49"/>
      <w:endnotePr>
        <w:numFmt w:val="decimal"/>
      </w:endnotePr>
      <w:pgSz w:w="11907" w:h="16840" w:code="9"/>
      <w:pgMar w:top="1418" w:right="1418" w:bottom="1440" w:left="141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8DB09" w14:textId="77777777" w:rsidR="003F29C7" w:rsidRDefault="003F29C7"/>
  </w:endnote>
  <w:endnote w:type="continuationSeparator" w:id="0">
    <w:p w14:paraId="30AA9F11" w14:textId="77777777" w:rsidR="003F29C7" w:rsidRDefault="003F29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666E1" w14:textId="0523439E" w:rsidR="00E8636E" w:rsidRPr="003F4BD9" w:rsidRDefault="00E8636E" w:rsidP="00394F37">
    <w:pPr>
      <w:pStyle w:val="Footer"/>
      <w:tabs>
        <w:tab w:val="clear" w:pos="4320"/>
        <w:tab w:val="clear" w:pos="8640"/>
        <w:tab w:val="center" w:pos="3686"/>
        <w:tab w:val="right" w:pos="9072"/>
      </w:tabs>
      <w:ind w:right="360"/>
      <w:jc w:val="center"/>
      <w:rPr>
        <w:rFonts w:ascii="Verdana" w:hAnsi="Verdana"/>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81975" w14:textId="697E3289" w:rsidR="00E8636E" w:rsidRPr="005F707F" w:rsidRDefault="00E8636E" w:rsidP="00FC1FE0">
    <w:pPr>
      <w:pStyle w:val="Footer"/>
      <w:tabs>
        <w:tab w:val="clear" w:pos="4320"/>
        <w:tab w:val="clear" w:pos="8640"/>
        <w:tab w:val="center" w:pos="4536"/>
        <w:tab w:val="right" w:pos="9072"/>
      </w:tabs>
      <w:ind w:right="360"/>
      <w:jc w:val="center"/>
      <w:rPr>
        <w:rFonts w:ascii="Verdana" w:hAnsi="Verdana"/>
        <w:b/>
        <w:color w:val="A6A6A6"/>
        <w:sz w:val="16"/>
        <w:szCs w:val="16"/>
      </w:rPr>
    </w:pPr>
    <w:r w:rsidRPr="005F707F">
      <w:rPr>
        <w:rStyle w:val="PageNumber"/>
        <w:rFonts w:ascii="Verdana" w:hAnsi="Verdana"/>
        <w:b/>
        <w:color w:val="A6A6A6"/>
        <w:sz w:val="16"/>
        <w:szCs w:val="16"/>
      </w:rPr>
      <w:tab/>
    </w:r>
    <w:r w:rsidRPr="005F707F">
      <w:rPr>
        <w:rStyle w:val="PageNumber"/>
        <w:rFonts w:ascii="Verdana" w:hAnsi="Verdana"/>
        <w:b/>
        <w:color w:val="A6A6A6"/>
        <w:sz w:val="16"/>
        <w:szCs w:val="16"/>
      </w:rPr>
      <w:fldChar w:fldCharType="begin"/>
    </w:r>
    <w:r w:rsidRPr="005F707F">
      <w:rPr>
        <w:rStyle w:val="PageNumber"/>
        <w:rFonts w:ascii="Verdana" w:hAnsi="Verdana"/>
        <w:b/>
        <w:color w:val="A6A6A6"/>
        <w:sz w:val="16"/>
        <w:szCs w:val="16"/>
      </w:rPr>
      <w:instrText xml:space="preserve"> PAGE </w:instrText>
    </w:r>
    <w:r w:rsidRPr="005F707F">
      <w:rPr>
        <w:rStyle w:val="PageNumber"/>
        <w:rFonts w:ascii="Verdana" w:hAnsi="Verdana"/>
        <w:b/>
        <w:color w:val="A6A6A6"/>
        <w:sz w:val="16"/>
        <w:szCs w:val="16"/>
      </w:rPr>
      <w:fldChar w:fldCharType="separate"/>
    </w:r>
    <w:r>
      <w:rPr>
        <w:rStyle w:val="PageNumber"/>
        <w:rFonts w:ascii="Verdana" w:hAnsi="Verdana"/>
        <w:b/>
        <w:noProof/>
        <w:color w:val="A6A6A6"/>
        <w:sz w:val="16"/>
        <w:szCs w:val="16"/>
      </w:rPr>
      <w:t>iii</w:t>
    </w:r>
    <w:r w:rsidRPr="005F707F">
      <w:rPr>
        <w:rStyle w:val="PageNumber"/>
        <w:rFonts w:ascii="Verdana" w:hAnsi="Verdana"/>
        <w:b/>
        <w:color w:val="A6A6A6"/>
        <w:sz w:val="16"/>
        <w:szCs w:val="16"/>
      </w:rPr>
      <w:fldChar w:fldCharType="end"/>
    </w:r>
    <w:r w:rsidRPr="005F707F">
      <w:rPr>
        <w:rStyle w:val="PageNumber"/>
        <w:rFonts w:ascii="Verdana" w:hAnsi="Verdana"/>
        <w:b/>
        <w:color w:val="A6A6A6"/>
        <w:sz w:val="16"/>
        <w:szCs w:val="16"/>
      </w:rPr>
      <w:tab/>
    </w:r>
    <w:r w:rsidR="00622310">
      <w:rPr>
        <w:rStyle w:val="PageNumber"/>
        <w:rFonts w:ascii="Verdana" w:hAnsi="Verdana"/>
        <w:b/>
        <w:color w:val="A6A6A6"/>
        <w:sz w:val="16"/>
        <w:szCs w:val="16"/>
      </w:rPr>
      <w:t>May</w:t>
    </w:r>
    <w:r>
      <w:rPr>
        <w:rStyle w:val="PageNumber"/>
        <w:rFonts w:ascii="Verdana" w:hAnsi="Verdana"/>
        <w:b/>
        <w:color w:val="A6A6A6"/>
        <w:sz w:val="16"/>
        <w:szCs w:val="16"/>
      </w:rPr>
      <w:t xml:space="preserve"> 20</w:t>
    </w:r>
    <w:r w:rsidR="003F6CBC">
      <w:rPr>
        <w:rStyle w:val="PageNumber"/>
        <w:rFonts w:ascii="Verdana" w:hAnsi="Verdana"/>
        <w:b/>
        <w:color w:val="A6A6A6"/>
        <w:sz w:val="16"/>
        <w:szCs w:val="16"/>
      </w:rPr>
      <w:t>2</w:t>
    </w:r>
    <w:r w:rsidR="00622310">
      <w:rPr>
        <w:rStyle w:val="PageNumber"/>
        <w:rFonts w:ascii="Verdana" w:hAnsi="Verdana"/>
        <w:b/>
        <w:color w:val="A6A6A6"/>
        <w:sz w:val="16"/>
        <w:szCs w:val="16"/>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EDBAD" w14:textId="381DDCE0" w:rsidR="00E8636E" w:rsidRPr="005F707F" w:rsidRDefault="00E8636E" w:rsidP="00FC1FE0">
    <w:pPr>
      <w:pStyle w:val="Footer"/>
      <w:tabs>
        <w:tab w:val="clear" w:pos="4320"/>
        <w:tab w:val="clear" w:pos="8640"/>
        <w:tab w:val="center" w:pos="4536"/>
        <w:tab w:val="right" w:pos="9072"/>
      </w:tabs>
      <w:ind w:right="360"/>
      <w:jc w:val="center"/>
      <w:rPr>
        <w:rFonts w:ascii="Verdana" w:hAnsi="Verdana"/>
        <w:b/>
        <w:color w:val="A6A6A6"/>
        <w:sz w:val="16"/>
        <w:szCs w:val="16"/>
      </w:rPr>
    </w:pPr>
    <w:r w:rsidRPr="005F707F">
      <w:rPr>
        <w:rStyle w:val="PageNumber"/>
        <w:rFonts w:ascii="Verdana" w:hAnsi="Verdana"/>
        <w:b/>
        <w:color w:val="A6A6A6"/>
        <w:sz w:val="16"/>
        <w:szCs w:val="16"/>
      </w:rPr>
      <w:tab/>
    </w:r>
    <w:r w:rsidRPr="005F707F">
      <w:rPr>
        <w:rStyle w:val="PageNumber"/>
        <w:rFonts w:ascii="Verdana" w:hAnsi="Verdana"/>
        <w:b/>
        <w:color w:val="A6A6A6"/>
        <w:sz w:val="16"/>
        <w:szCs w:val="16"/>
      </w:rPr>
      <w:fldChar w:fldCharType="begin"/>
    </w:r>
    <w:r w:rsidRPr="005F707F">
      <w:rPr>
        <w:rStyle w:val="PageNumber"/>
        <w:rFonts w:ascii="Verdana" w:hAnsi="Verdana"/>
        <w:b/>
        <w:color w:val="A6A6A6"/>
        <w:sz w:val="16"/>
        <w:szCs w:val="16"/>
      </w:rPr>
      <w:instrText xml:space="preserve"> PAGE </w:instrText>
    </w:r>
    <w:r w:rsidRPr="005F707F">
      <w:rPr>
        <w:rStyle w:val="PageNumber"/>
        <w:rFonts w:ascii="Verdana" w:hAnsi="Verdana"/>
        <w:b/>
        <w:color w:val="A6A6A6"/>
        <w:sz w:val="16"/>
        <w:szCs w:val="16"/>
      </w:rPr>
      <w:fldChar w:fldCharType="separate"/>
    </w:r>
    <w:r>
      <w:rPr>
        <w:rStyle w:val="PageNumber"/>
        <w:rFonts w:ascii="Verdana" w:hAnsi="Verdana"/>
        <w:b/>
        <w:noProof/>
        <w:color w:val="A6A6A6"/>
        <w:sz w:val="16"/>
        <w:szCs w:val="16"/>
      </w:rPr>
      <w:t>viii</w:t>
    </w:r>
    <w:r w:rsidRPr="005F707F">
      <w:rPr>
        <w:rStyle w:val="PageNumber"/>
        <w:rFonts w:ascii="Verdana" w:hAnsi="Verdana"/>
        <w:b/>
        <w:color w:val="A6A6A6"/>
        <w:sz w:val="16"/>
        <w:szCs w:val="16"/>
      </w:rPr>
      <w:fldChar w:fldCharType="end"/>
    </w:r>
    <w:r w:rsidRPr="005F707F">
      <w:rPr>
        <w:rStyle w:val="PageNumber"/>
        <w:rFonts w:ascii="Verdana" w:hAnsi="Verdana"/>
        <w:b/>
        <w:color w:val="A6A6A6"/>
        <w:sz w:val="16"/>
        <w:szCs w:val="16"/>
      </w:rPr>
      <w:tab/>
    </w:r>
    <w:r w:rsidR="00A31B02">
      <w:rPr>
        <w:rStyle w:val="PageNumber"/>
        <w:rFonts w:ascii="Verdana" w:hAnsi="Verdana"/>
        <w:b/>
        <w:color w:val="A6A6A6"/>
        <w:sz w:val="16"/>
        <w:szCs w:val="16"/>
      </w:rPr>
      <w:t>May</w:t>
    </w:r>
    <w:r w:rsidR="000E337E">
      <w:rPr>
        <w:rStyle w:val="PageNumber"/>
        <w:rFonts w:ascii="Verdana" w:hAnsi="Verdana"/>
        <w:b/>
        <w:color w:val="A6A6A6"/>
        <w:sz w:val="16"/>
        <w:szCs w:val="16"/>
      </w:rPr>
      <w:t xml:space="preserve"> </w:t>
    </w:r>
    <w:r>
      <w:rPr>
        <w:rStyle w:val="PageNumber"/>
        <w:rFonts w:ascii="Verdana" w:hAnsi="Verdana"/>
        <w:b/>
        <w:color w:val="A6A6A6"/>
        <w:sz w:val="16"/>
        <w:szCs w:val="16"/>
      </w:rPr>
      <w:t>20</w:t>
    </w:r>
    <w:r w:rsidR="000E337E">
      <w:rPr>
        <w:rStyle w:val="PageNumber"/>
        <w:rFonts w:ascii="Verdana" w:hAnsi="Verdana"/>
        <w:b/>
        <w:color w:val="A6A6A6"/>
        <w:sz w:val="16"/>
        <w:szCs w:val="16"/>
      </w:rPr>
      <w:t>2</w:t>
    </w:r>
    <w:r w:rsidR="00A31B02">
      <w:rPr>
        <w:rStyle w:val="PageNumber"/>
        <w:rFonts w:ascii="Verdana" w:hAnsi="Verdana"/>
        <w:b/>
        <w:color w:val="A6A6A6"/>
        <w:sz w:val="16"/>
        <w:szCs w:val="16"/>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4F351" w14:textId="13696A5E" w:rsidR="00E8636E" w:rsidRPr="00A90C81" w:rsidRDefault="00E8636E" w:rsidP="00FC1FE0">
    <w:pPr>
      <w:pStyle w:val="Footer"/>
      <w:tabs>
        <w:tab w:val="clear" w:pos="4320"/>
        <w:tab w:val="clear" w:pos="8640"/>
        <w:tab w:val="center" w:pos="4536"/>
        <w:tab w:val="right" w:pos="9072"/>
      </w:tabs>
      <w:jc w:val="center"/>
      <w:rPr>
        <w:rFonts w:ascii="Verdana" w:hAnsi="Verdana"/>
        <w:b/>
        <w:color w:val="A6A6A6"/>
        <w:sz w:val="16"/>
        <w:szCs w:val="16"/>
      </w:rPr>
    </w:pPr>
    <w:r w:rsidRPr="00A90C81">
      <w:rPr>
        <w:rStyle w:val="PageNumber"/>
        <w:rFonts w:ascii="Verdana" w:hAnsi="Verdana"/>
        <w:b/>
        <w:color w:val="A6A6A6"/>
        <w:sz w:val="16"/>
        <w:szCs w:val="16"/>
      </w:rPr>
      <w:tab/>
    </w:r>
    <w:r w:rsidRPr="00A90C81">
      <w:rPr>
        <w:rStyle w:val="PageNumber"/>
        <w:rFonts w:ascii="Verdana" w:hAnsi="Verdana"/>
        <w:b/>
        <w:color w:val="A6A6A6"/>
        <w:sz w:val="16"/>
        <w:szCs w:val="16"/>
      </w:rPr>
      <w:fldChar w:fldCharType="begin"/>
    </w:r>
    <w:r w:rsidRPr="00A90C81">
      <w:rPr>
        <w:rStyle w:val="PageNumber"/>
        <w:rFonts w:ascii="Verdana" w:hAnsi="Verdana"/>
        <w:b/>
        <w:color w:val="A6A6A6"/>
        <w:sz w:val="16"/>
        <w:szCs w:val="16"/>
      </w:rPr>
      <w:instrText xml:space="preserve"> PAGE </w:instrText>
    </w:r>
    <w:r w:rsidRPr="00A90C81">
      <w:rPr>
        <w:rStyle w:val="PageNumber"/>
        <w:rFonts w:ascii="Verdana" w:hAnsi="Verdana"/>
        <w:b/>
        <w:color w:val="A6A6A6"/>
        <w:sz w:val="16"/>
        <w:szCs w:val="16"/>
      </w:rPr>
      <w:fldChar w:fldCharType="separate"/>
    </w:r>
    <w:r>
      <w:rPr>
        <w:rStyle w:val="PageNumber"/>
        <w:rFonts w:ascii="Verdana" w:hAnsi="Verdana"/>
        <w:b/>
        <w:noProof/>
        <w:color w:val="A6A6A6"/>
        <w:sz w:val="16"/>
        <w:szCs w:val="16"/>
      </w:rPr>
      <w:t>58</w:t>
    </w:r>
    <w:r w:rsidRPr="00A90C81">
      <w:rPr>
        <w:rStyle w:val="PageNumber"/>
        <w:rFonts w:ascii="Verdana" w:hAnsi="Verdana"/>
        <w:b/>
        <w:color w:val="A6A6A6"/>
        <w:sz w:val="16"/>
        <w:szCs w:val="16"/>
      </w:rPr>
      <w:fldChar w:fldCharType="end"/>
    </w:r>
    <w:r w:rsidRPr="00A90C81">
      <w:rPr>
        <w:rStyle w:val="PageNumber"/>
        <w:rFonts w:ascii="Verdana" w:hAnsi="Verdana"/>
        <w:b/>
        <w:color w:val="A6A6A6"/>
        <w:sz w:val="16"/>
        <w:szCs w:val="16"/>
      </w:rPr>
      <w:tab/>
    </w:r>
    <w:r w:rsidR="00A31B02">
      <w:rPr>
        <w:rStyle w:val="PageNumber"/>
        <w:rFonts w:ascii="Verdana" w:hAnsi="Verdana"/>
        <w:b/>
        <w:color w:val="A6A6A6"/>
        <w:sz w:val="16"/>
        <w:szCs w:val="16"/>
      </w:rPr>
      <w:t>May 2026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94EBA" w14:textId="75EE5972" w:rsidR="00E8636E" w:rsidRPr="004723B2" w:rsidRDefault="00E8636E" w:rsidP="004723B2">
    <w:pPr>
      <w:pStyle w:val="Footer"/>
      <w:tabs>
        <w:tab w:val="clear" w:pos="4320"/>
        <w:tab w:val="clear" w:pos="8640"/>
        <w:tab w:val="center" w:pos="4536"/>
        <w:tab w:val="right" w:pos="9072"/>
      </w:tabs>
      <w:jc w:val="center"/>
    </w:pPr>
    <w:r w:rsidRPr="00A90C81">
      <w:rPr>
        <w:rStyle w:val="PageNumber"/>
        <w:rFonts w:ascii="Verdana" w:hAnsi="Verdana"/>
        <w:b/>
        <w:color w:val="A6A6A6"/>
        <w:sz w:val="16"/>
        <w:szCs w:val="16"/>
      </w:rPr>
      <w:tab/>
    </w:r>
    <w:r w:rsidRPr="00A90C81">
      <w:rPr>
        <w:rStyle w:val="PageNumber"/>
        <w:rFonts w:ascii="Verdana" w:hAnsi="Verdana"/>
        <w:b/>
        <w:color w:val="A6A6A6"/>
        <w:sz w:val="16"/>
        <w:szCs w:val="16"/>
      </w:rPr>
      <w:fldChar w:fldCharType="begin"/>
    </w:r>
    <w:r w:rsidRPr="00A90C81">
      <w:rPr>
        <w:rStyle w:val="PageNumber"/>
        <w:rFonts w:ascii="Verdana" w:hAnsi="Verdana"/>
        <w:b/>
        <w:color w:val="A6A6A6"/>
        <w:sz w:val="16"/>
        <w:szCs w:val="16"/>
      </w:rPr>
      <w:instrText xml:space="preserve"> PAGE </w:instrText>
    </w:r>
    <w:r w:rsidRPr="00A90C81">
      <w:rPr>
        <w:rStyle w:val="PageNumber"/>
        <w:rFonts w:ascii="Verdana" w:hAnsi="Verdana"/>
        <w:b/>
        <w:color w:val="A6A6A6"/>
        <w:sz w:val="16"/>
        <w:szCs w:val="16"/>
      </w:rPr>
      <w:fldChar w:fldCharType="separate"/>
    </w:r>
    <w:r>
      <w:rPr>
        <w:rStyle w:val="PageNumber"/>
        <w:rFonts w:ascii="Verdana" w:hAnsi="Verdana"/>
        <w:b/>
        <w:noProof/>
        <w:color w:val="A6A6A6"/>
        <w:sz w:val="16"/>
        <w:szCs w:val="16"/>
      </w:rPr>
      <w:t>1</w:t>
    </w:r>
    <w:r w:rsidRPr="00A90C81">
      <w:rPr>
        <w:rStyle w:val="PageNumber"/>
        <w:rFonts w:ascii="Verdana" w:hAnsi="Verdana"/>
        <w:b/>
        <w:color w:val="A6A6A6"/>
        <w:sz w:val="16"/>
        <w:szCs w:val="16"/>
      </w:rPr>
      <w:fldChar w:fldCharType="end"/>
    </w:r>
    <w:r>
      <w:rPr>
        <w:rStyle w:val="PageNumber"/>
        <w:rFonts w:ascii="Verdana" w:hAnsi="Verdana"/>
        <w:b/>
        <w:color w:val="A6A6A6"/>
        <w:sz w:val="16"/>
        <w:szCs w:val="16"/>
      </w:rPr>
      <w:tab/>
    </w:r>
    <w:r w:rsidR="00A31B02">
      <w:rPr>
        <w:rStyle w:val="PageNumber"/>
        <w:rFonts w:ascii="Verdana" w:hAnsi="Verdana"/>
        <w:b/>
        <w:color w:val="A6A6A6"/>
        <w:sz w:val="16"/>
        <w:szCs w:val="16"/>
      </w:rPr>
      <w:t>May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6F73" w14:textId="4D8D031D" w:rsidR="00E8636E" w:rsidRPr="00A90C81" w:rsidRDefault="00E8636E" w:rsidP="00AB469E">
    <w:pPr>
      <w:pStyle w:val="Footer"/>
      <w:tabs>
        <w:tab w:val="clear" w:pos="4320"/>
        <w:tab w:val="clear" w:pos="8640"/>
        <w:tab w:val="center" w:pos="6946"/>
        <w:tab w:val="right" w:pos="13892"/>
      </w:tabs>
      <w:jc w:val="center"/>
      <w:rPr>
        <w:rFonts w:ascii="Verdana" w:hAnsi="Verdana"/>
        <w:b/>
        <w:color w:val="A6A6A6"/>
        <w:sz w:val="16"/>
        <w:szCs w:val="16"/>
      </w:rPr>
    </w:pPr>
    <w:r w:rsidRPr="00A90C81">
      <w:rPr>
        <w:rStyle w:val="PageNumber"/>
        <w:rFonts w:ascii="Verdana" w:hAnsi="Verdana"/>
        <w:b/>
        <w:color w:val="A6A6A6"/>
        <w:sz w:val="16"/>
        <w:szCs w:val="16"/>
      </w:rPr>
      <w:tab/>
    </w:r>
    <w:r w:rsidRPr="00A90C81">
      <w:rPr>
        <w:rStyle w:val="PageNumber"/>
        <w:rFonts w:ascii="Verdana" w:hAnsi="Verdana"/>
        <w:b/>
        <w:color w:val="A6A6A6"/>
        <w:sz w:val="16"/>
        <w:szCs w:val="16"/>
      </w:rPr>
      <w:fldChar w:fldCharType="begin"/>
    </w:r>
    <w:r w:rsidRPr="00A90C81">
      <w:rPr>
        <w:rStyle w:val="PageNumber"/>
        <w:rFonts w:ascii="Verdana" w:hAnsi="Verdana"/>
        <w:b/>
        <w:color w:val="A6A6A6"/>
        <w:sz w:val="16"/>
        <w:szCs w:val="16"/>
      </w:rPr>
      <w:instrText xml:space="preserve"> PAGE </w:instrText>
    </w:r>
    <w:r w:rsidRPr="00A90C81">
      <w:rPr>
        <w:rStyle w:val="PageNumber"/>
        <w:rFonts w:ascii="Verdana" w:hAnsi="Verdana"/>
        <w:b/>
        <w:color w:val="A6A6A6"/>
        <w:sz w:val="16"/>
        <w:szCs w:val="16"/>
      </w:rPr>
      <w:fldChar w:fldCharType="separate"/>
    </w:r>
    <w:r>
      <w:rPr>
        <w:rStyle w:val="PageNumber"/>
        <w:rFonts w:ascii="Verdana" w:hAnsi="Verdana"/>
        <w:b/>
        <w:noProof/>
        <w:color w:val="A6A6A6"/>
        <w:sz w:val="16"/>
        <w:szCs w:val="16"/>
      </w:rPr>
      <w:t>60</w:t>
    </w:r>
    <w:r w:rsidRPr="00A90C81">
      <w:rPr>
        <w:rStyle w:val="PageNumber"/>
        <w:rFonts w:ascii="Verdana" w:hAnsi="Verdana"/>
        <w:b/>
        <w:color w:val="A6A6A6"/>
        <w:sz w:val="16"/>
        <w:szCs w:val="16"/>
      </w:rPr>
      <w:fldChar w:fldCharType="end"/>
    </w:r>
    <w:r w:rsidRPr="00A90C81">
      <w:rPr>
        <w:rStyle w:val="PageNumber"/>
        <w:rFonts w:ascii="Verdana" w:hAnsi="Verdana"/>
        <w:b/>
        <w:color w:val="A6A6A6"/>
        <w:sz w:val="16"/>
        <w:szCs w:val="16"/>
      </w:rPr>
      <w:tab/>
    </w:r>
    <w:r w:rsidR="00A31B02">
      <w:rPr>
        <w:rStyle w:val="PageNumber"/>
        <w:rFonts w:ascii="Verdana" w:hAnsi="Verdana"/>
        <w:b/>
        <w:color w:val="A6A6A6"/>
        <w:sz w:val="16"/>
        <w:szCs w:val="16"/>
      </w:rPr>
      <w:t>May 2026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B4953" w14:textId="77777777" w:rsidR="00E8636E" w:rsidRPr="004723B2" w:rsidRDefault="00E8636E" w:rsidP="00AB469E">
    <w:pPr>
      <w:pStyle w:val="Footer"/>
      <w:tabs>
        <w:tab w:val="clear" w:pos="4320"/>
        <w:tab w:val="clear" w:pos="8640"/>
        <w:tab w:val="center" w:pos="6946"/>
        <w:tab w:val="right" w:pos="13892"/>
      </w:tabs>
      <w:jc w:val="center"/>
    </w:pPr>
    <w:r w:rsidRPr="00A90C81">
      <w:rPr>
        <w:rStyle w:val="PageNumber"/>
        <w:rFonts w:ascii="Verdana" w:hAnsi="Verdana"/>
        <w:b/>
        <w:color w:val="A6A6A6"/>
        <w:sz w:val="16"/>
        <w:szCs w:val="16"/>
      </w:rPr>
      <w:tab/>
    </w:r>
    <w:r w:rsidRPr="00A90C81">
      <w:rPr>
        <w:rStyle w:val="PageNumber"/>
        <w:rFonts w:ascii="Verdana" w:hAnsi="Verdana"/>
        <w:b/>
        <w:color w:val="A6A6A6"/>
        <w:sz w:val="16"/>
        <w:szCs w:val="16"/>
      </w:rPr>
      <w:fldChar w:fldCharType="begin"/>
    </w:r>
    <w:r w:rsidRPr="00A90C81">
      <w:rPr>
        <w:rStyle w:val="PageNumber"/>
        <w:rFonts w:ascii="Verdana" w:hAnsi="Verdana"/>
        <w:b/>
        <w:color w:val="A6A6A6"/>
        <w:sz w:val="16"/>
        <w:szCs w:val="16"/>
      </w:rPr>
      <w:instrText xml:space="preserve"> PAGE </w:instrText>
    </w:r>
    <w:r w:rsidRPr="00A90C81">
      <w:rPr>
        <w:rStyle w:val="PageNumber"/>
        <w:rFonts w:ascii="Verdana" w:hAnsi="Verdana"/>
        <w:b/>
        <w:color w:val="A6A6A6"/>
        <w:sz w:val="16"/>
        <w:szCs w:val="16"/>
      </w:rPr>
      <w:fldChar w:fldCharType="separate"/>
    </w:r>
    <w:r>
      <w:rPr>
        <w:rStyle w:val="PageNumber"/>
        <w:rFonts w:ascii="Verdana" w:hAnsi="Verdana"/>
        <w:b/>
        <w:noProof/>
        <w:color w:val="A6A6A6"/>
        <w:sz w:val="16"/>
        <w:szCs w:val="16"/>
      </w:rPr>
      <w:t>47</w:t>
    </w:r>
    <w:r w:rsidRPr="00A90C81">
      <w:rPr>
        <w:rStyle w:val="PageNumber"/>
        <w:rFonts w:ascii="Verdana" w:hAnsi="Verdana"/>
        <w:b/>
        <w:color w:val="A6A6A6"/>
        <w:sz w:val="16"/>
        <w:szCs w:val="16"/>
      </w:rPr>
      <w:fldChar w:fldCharType="end"/>
    </w:r>
    <w:r>
      <w:rPr>
        <w:rStyle w:val="PageNumber"/>
        <w:rFonts w:ascii="Verdana" w:hAnsi="Verdana"/>
        <w:b/>
        <w:color w:val="A6A6A6"/>
        <w:sz w:val="16"/>
        <w:szCs w:val="16"/>
      </w:rPr>
      <w:tab/>
      <w:t>June</w:t>
    </w:r>
    <w:r w:rsidRPr="00A90C81">
      <w:rPr>
        <w:rStyle w:val="PageNumber"/>
        <w:rFonts w:ascii="Verdana" w:hAnsi="Verdana"/>
        <w:b/>
        <w:color w:val="A6A6A6"/>
        <w:sz w:val="16"/>
        <w:szCs w:val="16"/>
      </w:rPr>
      <w:t xml:space="preserve"> 201</w:t>
    </w:r>
    <w:r>
      <w:rPr>
        <w:rStyle w:val="PageNumber"/>
        <w:rFonts w:ascii="Verdana" w:hAnsi="Verdana"/>
        <w:b/>
        <w:color w:val="A6A6A6"/>
        <w:sz w:val="16"/>
        <w:szCs w:val="16"/>
      </w:rPr>
      <w:t>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99BEE" w14:textId="4E8D0E18" w:rsidR="00E8636E" w:rsidRPr="00A90C81" w:rsidRDefault="00E8636E" w:rsidP="007F5B8E">
    <w:pPr>
      <w:pStyle w:val="Footer"/>
      <w:tabs>
        <w:tab w:val="clear" w:pos="4320"/>
        <w:tab w:val="clear" w:pos="8640"/>
        <w:tab w:val="center" w:pos="4111"/>
        <w:tab w:val="right" w:pos="8931"/>
      </w:tabs>
      <w:rPr>
        <w:rFonts w:ascii="Verdana" w:hAnsi="Verdana"/>
        <w:b/>
        <w:color w:val="A6A6A6"/>
        <w:sz w:val="16"/>
        <w:szCs w:val="16"/>
      </w:rPr>
    </w:pPr>
    <w:r>
      <w:rPr>
        <w:rStyle w:val="PageNumber"/>
        <w:rFonts w:ascii="Verdana" w:hAnsi="Verdana"/>
        <w:b/>
        <w:color w:val="A6A6A6"/>
        <w:sz w:val="16"/>
        <w:szCs w:val="16"/>
      </w:rPr>
      <w:tab/>
    </w:r>
    <w:r w:rsidRPr="00A90C81">
      <w:rPr>
        <w:rStyle w:val="PageNumber"/>
        <w:rFonts w:ascii="Verdana" w:hAnsi="Verdana"/>
        <w:b/>
        <w:color w:val="A6A6A6"/>
        <w:sz w:val="16"/>
        <w:szCs w:val="16"/>
      </w:rPr>
      <w:fldChar w:fldCharType="begin"/>
    </w:r>
    <w:r w:rsidRPr="00A90C81">
      <w:rPr>
        <w:rStyle w:val="PageNumber"/>
        <w:rFonts w:ascii="Verdana" w:hAnsi="Verdana"/>
        <w:b/>
        <w:color w:val="A6A6A6"/>
        <w:sz w:val="16"/>
        <w:szCs w:val="16"/>
      </w:rPr>
      <w:instrText xml:space="preserve"> PAGE </w:instrText>
    </w:r>
    <w:r w:rsidRPr="00A90C81">
      <w:rPr>
        <w:rStyle w:val="PageNumber"/>
        <w:rFonts w:ascii="Verdana" w:hAnsi="Verdana"/>
        <w:b/>
        <w:color w:val="A6A6A6"/>
        <w:sz w:val="16"/>
        <w:szCs w:val="16"/>
      </w:rPr>
      <w:fldChar w:fldCharType="separate"/>
    </w:r>
    <w:r>
      <w:rPr>
        <w:rStyle w:val="PageNumber"/>
        <w:rFonts w:ascii="Verdana" w:hAnsi="Verdana"/>
        <w:b/>
        <w:noProof/>
        <w:color w:val="A6A6A6"/>
        <w:sz w:val="16"/>
        <w:szCs w:val="16"/>
      </w:rPr>
      <w:t>62</w:t>
    </w:r>
    <w:r w:rsidRPr="00A90C81">
      <w:rPr>
        <w:rStyle w:val="PageNumber"/>
        <w:rFonts w:ascii="Verdana" w:hAnsi="Verdana"/>
        <w:b/>
        <w:color w:val="A6A6A6"/>
        <w:sz w:val="16"/>
        <w:szCs w:val="16"/>
      </w:rPr>
      <w:fldChar w:fldCharType="end"/>
    </w:r>
    <w:r>
      <w:rPr>
        <w:rStyle w:val="PageNumber"/>
        <w:rFonts w:ascii="Verdana" w:hAnsi="Verdana"/>
        <w:b/>
        <w:color w:val="A6A6A6"/>
        <w:sz w:val="16"/>
        <w:szCs w:val="16"/>
      </w:rPr>
      <w:tab/>
    </w:r>
    <w:r w:rsidR="00A31B02">
      <w:rPr>
        <w:rStyle w:val="PageNumber"/>
        <w:rFonts w:ascii="Verdana" w:hAnsi="Verdana"/>
        <w:b/>
        <w:color w:val="A6A6A6"/>
        <w:sz w:val="16"/>
        <w:szCs w:val="16"/>
      </w:rPr>
      <w:t>May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BAB40" w14:textId="77777777" w:rsidR="003F29C7" w:rsidRDefault="003F29C7" w:rsidP="000B6652">
      <w:r>
        <w:separator/>
      </w:r>
    </w:p>
  </w:footnote>
  <w:footnote w:type="continuationSeparator" w:id="0">
    <w:p w14:paraId="3354E7E4" w14:textId="77777777" w:rsidR="003F29C7" w:rsidRDefault="003F29C7" w:rsidP="000B6652">
      <w:r>
        <w:continuationSeparator/>
      </w:r>
    </w:p>
  </w:footnote>
  <w:footnote w:id="1">
    <w:p w14:paraId="7D9027CA" w14:textId="77777777" w:rsidR="00E8636E" w:rsidRDefault="00E8636E" w:rsidP="00A013B3">
      <w:pPr>
        <w:pStyle w:val="FootnoteText"/>
        <w:ind w:left="720" w:hanging="720"/>
      </w:pPr>
      <w:r>
        <w:rPr>
          <w:rStyle w:val="FootnoteReference"/>
        </w:rPr>
        <w:footnoteRef/>
      </w:r>
      <w:r>
        <w:t xml:space="preserve"> </w:t>
      </w:r>
      <w:r>
        <w:tab/>
        <w:t>The source categories are numbered 5.1, 5.2, 5.3, etc in the Toolkit, simply because the detailed source coverage appears in section 5 of the Toolkit document. This numbering has been included in the sub-category tables given at the start of each section, but in all other text references to category numbers the 5 has been ignored.</w:t>
      </w:r>
    </w:p>
  </w:footnote>
  <w:footnote w:id="2">
    <w:p w14:paraId="1E537AB4" w14:textId="77777777" w:rsidR="00E8636E" w:rsidRDefault="00E8636E" w:rsidP="00094C6A">
      <w:pPr>
        <w:pStyle w:val="FootnoteText"/>
        <w:ind w:left="720" w:hanging="720"/>
      </w:pPr>
      <w:r>
        <w:rPr>
          <w:rStyle w:val="FootnoteReference"/>
        </w:rPr>
        <w:footnoteRef/>
      </w:r>
      <w:r>
        <w:t xml:space="preserve"> </w:t>
      </w:r>
      <w:r>
        <w:tab/>
        <w:t>Some industrial fuel use is also considered under other categories (eg. metal production, minerals) and is therefore excluded from the general fuel use category, to avoid double accounting.</w:t>
      </w:r>
    </w:p>
  </w:footnote>
  <w:footnote w:id="3">
    <w:p w14:paraId="03970ADC" w14:textId="77777777" w:rsidR="00E8636E" w:rsidRDefault="00E8636E" w:rsidP="004A7B0B">
      <w:pPr>
        <w:pStyle w:val="FootnoteText"/>
        <w:ind w:left="720" w:hanging="720"/>
      </w:pPr>
      <w:r>
        <w:rPr>
          <w:rStyle w:val="FootnoteReference"/>
        </w:rPr>
        <w:footnoteRef/>
      </w:r>
      <w:r>
        <w:t xml:space="preserve"> </w:t>
      </w:r>
      <w:r>
        <w:tab/>
        <w:t xml:space="preserve">1 </w:t>
      </w:r>
      <w:r w:rsidRPr="00CA4B68">
        <w:t>Petajoules</w:t>
      </w:r>
      <w:r>
        <w:t xml:space="preserve"> = 1 x</w:t>
      </w:r>
      <w:r w:rsidRPr="00CA4B68">
        <w:t xml:space="preserve"> 10</w:t>
      </w:r>
      <w:r w:rsidRPr="00CA4B68">
        <w:rPr>
          <w:vertAlign w:val="superscript"/>
        </w:rPr>
        <w:t>15</w:t>
      </w:r>
      <w:r w:rsidRPr="00CA4B68">
        <w:t xml:space="preserve"> Joules of energy. Most of the energy data in this section is expressed on both an energy and mass basis. The latter values will be more meaningful to the reader, but the energy-based values are used as </w:t>
      </w:r>
      <w:r>
        <w:t>a more precise measure of usage, because the energy content of coal is variable</w:t>
      </w:r>
      <w:r w:rsidRPr="00CA4B68">
        <w:t>.</w:t>
      </w:r>
    </w:p>
  </w:footnote>
  <w:footnote w:id="4">
    <w:p w14:paraId="548847A1" w14:textId="71315A99" w:rsidR="00E8636E" w:rsidRPr="007D0057" w:rsidRDefault="00E8636E" w:rsidP="004A7B0B">
      <w:pPr>
        <w:pStyle w:val="FootnoteText"/>
        <w:ind w:left="720" w:hanging="720"/>
        <w:rPr>
          <w:color w:val="000000" w:themeColor="text1"/>
        </w:rPr>
      </w:pPr>
      <w:r>
        <w:rPr>
          <w:rStyle w:val="FootnoteReference"/>
        </w:rPr>
        <w:footnoteRef/>
      </w:r>
      <w:r>
        <w:t xml:space="preserve"> </w:t>
      </w:r>
      <w:r>
        <w:tab/>
        <w:t xml:space="preserve">Most of the energy data used here has been taken from the annual energy data reports produced by MBIE, along with the more recent data available on-line, </w:t>
      </w:r>
      <w:r w:rsidR="00400A19" w:rsidRPr="00400A19">
        <w:t>https://www.mbie.govt.nz/building-and-energy/energy-and-natural-resources/energy-statistics-and-modelling/energy-statistics</w:t>
      </w:r>
    </w:p>
  </w:footnote>
  <w:footnote w:id="5">
    <w:p w14:paraId="42A9E08C" w14:textId="54B0EC81" w:rsidR="00E8636E" w:rsidRPr="00EB7D4D" w:rsidRDefault="00E8636E" w:rsidP="00C0444A">
      <w:pPr>
        <w:pStyle w:val="FootnoteText"/>
        <w:ind w:left="720" w:hanging="720"/>
        <w:rPr>
          <w:sz w:val="16"/>
          <w:szCs w:val="16"/>
        </w:rPr>
      </w:pPr>
      <w:r>
        <w:rPr>
          <w:rStyle w:val="FootnoteReference"/>
        </w:rPr>
        <w:footnoteRef/>
      </w:r>
      <w:r>
        <w:t xml:space="preserve"> </w:t>
      </w:r>
      <w:r>
        <w:tab/>
      </w:r>
      <w:r w:rsidRPr="00EB7D4D">
        <w:rPr>
          <w:sz w:val="16"/>
          <w:szCs w:val="16"/>
        </w:rPr>
        <w:t xml:space="preserve">There is a discrepancy of </w:t>
      </w:r>
      <w:r w:rsidR="0099009A" w:rsidRPr="00EB7D4D">
        <w:rPr>
          <w:sz w:val="16"/>
          <w:szCs w:val="16"/>
        </w:rPr>
        <w:t>1,173</w:t>
      </w:r>
      <w:r w:rsidRPr="00EB7D4D">
        <w:rPr>
          <w:sz w:val="16"/>
          <w:szCs w:val="16"/>
        </w:rPr>
        <w:t xml:space="preserve"> tonnes between this figure and the one noted in section 3.1, which was provided by Genesis </w:t>
      </w:r>
      <w:r w:rsidR="004B509C" w:rsidRPr="00EB7D4D">
        <w:rPr>
          <w:sz w:val="16"/>
          <w:szCs w:val="16"/>
        </w:rPr>
        <w:t>E</w:t>
      </w:r>
      <w:r w:rsidRPr="00EB7D4D">
        <w:rPr>
          <w:sz w:val="16"/>
          <w:szCs w:val="16"/>
        </w:rPr>
        <w:t>nergy. This is most likely because the NZEDF figure is based on supply while Genesis’ figure is based on actual consumption. It is considered more appropriate to use the NZEDF figure in this section, because the calculations here are all based on the national data</w:t>
      </w:r>
      <w:r w:rsidR="004B509C" w:rsidRPr="00EB7D4D">
        <w:rPr>
          <w:sz w:val="16"/>
          <w:szCs w:val="16"/>
        </w:rPr>
        <w:t>. This is consistent with the approach used in the previous inventory</w:t>
      </w:r>
      <w:r w:rsidRPr="00EB7D4D">
        <w:rPr>
          <w:sz w:val="16"/>
          <w:szCs w:val="16"/>
        </w:rPr>
        <w:t>.</w:t>
      </w:r>
    </w:p>
  </w:footnote>
  <w:footnote w:id="6">
    <w:p w14:paraId="0A183860" w14:textId="77777777" w:rsidR="00E8636E" w:rsidRPr="00EB7D4D" w:rsidRDefault="00E8636E" w:rsidP="00C0444A">
      <w:pPr>
        <w:pStyle w:val="FootnoteText"/>
        <w:ind w:left="720" w:hanging="720"/>
        <w:rPr>
          <w:sz w:val="16"/>
          <w:szCs w:val="16"/>
        </w:rPr>
      </w:pPr>
      <w:r>
        <w:rPr>
          <w:rStyle w:val="FootnoteReference"/>
        </w:rPr>
        <w:footnoteRef/>
      </w:r>
      <w:r>
        <w:t xml:space="preserve"> </w:t>
      </w:r>
      <w:r>
        <w:tab/>
      </w:r>
      <w:r w:rsidRPr="00EB7D4D">
        <w:rPr>
          <w:sz w:val="16"/>
          <w:szCs w:val="16"/>
        </w:rPr>
        <w:t>The coal used in steel manufacturing is a combination of that used in a cogeneration plant and in the actual manufacturing process (other transformation).</w:t>
      </w:r>
    </w:p>
  </w:footnote>
  <w:footnote w:id="7">
    <w:p w14:paraId="2F9E7D67" w14:textId="5D690924" w:rsidR="00E8636E" w:rsidRDefault="00E8636E">
      <w:pPr>
        <w:pStyle w:val="FootnoteText"/>
      </w:pPr>
      <w:r>
        <w:rPr>
          <w:rStyle w:val="FootnoteReference"/>
        </w:rPr>
        <w:footnoteRef/>
      </w:r>
      <w:r>
        <w:t xml:space="preserve"> </w:t>
      </w:r>
      <w:r>
        <w:tab/>
        <w:t xml:space="preserve">New Zealand Steel </w:t>
      </w:r>
      <w:r w:rsidRPr="0079618D">
        <w:t xml:space="preserve">is </w:t>
      </w:r>
      <w:r>
        <w:t xml:space="preserve">a wholly </w:t>
      </w:r>
      <w:r w:rsidRPr="0079618D">
        <w:t xml:space="preserve">owned </w:t>
      </w:r>
      <w:r>
        <w:t>subsidiary of</w:t>
      </w:r>
      <w:r w:rsidRPr="0079618D">
        <w:t xml:space="preserve"> BlueScope Steel L</w:t>
      </w:r>
      <w:r>
        <w:t>imi</w:t>
      </w:r>
      <w:r w:rsidRPr="0079618D">
        <w:t>t</w:t>
      </w:r>
      <w:r>
        <w:t>e</w:t>
      </w:r>
      <w:r w:rsidRPr="0079618D">
        <w:t>d</w:t>
      </w:r>
      <w:r>
        <w:t>.</w:t>
      </w:r>
    </w:p>
  </w:footnote>
  <w:footnote w:id="8">
    <w:p w14:paraId="047B483E" w14:textId="3FB8B0ED" w:rsidR="00E8636E" w:rsidRDefault="00E8636E" w:rsidP="00C14DE1">
      <w:pPr>
        <w:pStyle w:val="FootnoteText"/>
      </w:pPr>
      <w:r>
        <w:rPr>
          <w:rStyle w:val="FootnoteReference"/>
        </w:rPr>
        <w:footnoteRef/>
      </w:r>
      <w:r>
        <w:t xml:space="preserve"> </w:t>
      </w:r>
      <w:r>
        <w:tab/>
      </w:r>
      <w:r w:rsidR="002B0BF6">
        <w:t>27</w:t>
      </w:r>
      <w:r>
        <w:t>% of the coal was from Indonesia.</w:t>
      </w:r>
    </w:p>
  </w:footnote>
  <w:footnote w:id="9">
    <w:p w14:paraId="20F8E8F8" w14:textId="77777777" w:rsidR="00E8636E" w:rsidRDefault="00E8636E" w:rsidP="00D4612C">
      <w:pPr>
        <w:pStyle w:val="FootnoteText"/>
        <w:ind w:left="720" w:hanging="720"/>
      </w:pPr>
      <w:r>
        <w:rPr>
          <w:rStyle w:val="FootnoteReference"/>
        </w:rPr>
        <w:footnoteRef/>
      </w:r>
      <w:r>
        <w:t xml:space="preserve"> </w:t>
      </w:r>
      <w:r>
        <w:tab/>
        <w:t>The particulate control system on the New Zealand plant is actually quite complex. However, it does not include advanced control systems, such as selective non-catalytic reduction for NOx control.</w:t>
      </w:r>
    </w:p>
  </w:footnote>
  <w:footnote w:id="10">
    <w:p w14:paraId="080E3DDA" w14:textId="77777777" w:rsidR="00E8636E" w:rsidRDefault="00E8636E" w:rsidP="0094046F">
      <w:pPr>
        <w:pStyle w:val="FootnoteText"/>
        <w:ind w:left="720" w:hanging="720"/>
      </w:pPr>
      <w:r>
        <w:rPr>
          <w:rStyle w:val="FootnoteReference"/>
        </w:rPr>
        <w:footnoteRef/>
      </w:r>
      <w:r>
        <w:t xml:space="preserve"> </w:t>
      </w:r>
      <w:r>
        <w:tab/>
        <w:t>The pulp mill lime kilns form part of an internal chemical recycling process for the so-called ‘lime mud’ produced in the pulp making process. Some minor calcium additions are required to make up for losses in wastes, but these are obtained from baked lime rather than limestone.</w:t>
      </w:r>
    </w:p>
  </w:footnote>
  <w:footnote w:id="11">
    <w:p w14:paraId="256779D0" w14:textId="77777777" w:rsidR="00E8636E" w:rsidRDefault="00E8636E" w:rsidP="0094046F">
      <w:pPr>
        <w:pStyle w:val="FootnoteText"/>
        <w:ind w:left="720" w:hanging="720"/>
      </w:pPr>
      <w:r>
        <w:rPr>
          <w:rStyle w:val="FootnoteReference"/>
        </w:rPr>
        <w:footnoteRef/>
      </w:r>
      <w:r>
        <w:t xml:space="preserve"> </w:t>
      </w:r>
      <w:r>
        <w:tab/>
        <w:t>The lower figure of 5 is based on half the limit of detection (LOD) reported by McBride and Spiers. This is the approach normally used when laboratory results are reported as being less than the LOD.</w:t>
      </w:r>
    </w:p>
  </w:footnote>
  <w:footnote w:id="12">
    <w:p w14:paraId="486F121B" w14:textId="6E9108C0" w:rsidR="00E8636E" w:rsidRDefault="00E8636E" w:rsidP="00B86508">
      <w:pPr>
        <w:pStyle w:val="FootnoteText"/>
        <w:ind w:left="720" w:hanging="720"/>
      </w:pPr>
      <w:r>
        <w:rPr>
          <w:rStyle w:val="FootnoteReference"/>
        </w:rPr>
        <w:footnoteRef/>
      </w:r>
      <w:r>
        <w:t xml:space="preserve"> </w:t>
      </w:r>
      <w:r>
        <w:tab/>
        <w:t>The use of the mean value instead of the maximum was adopted because the analytical data is highly skewed towards the mean</w:t>
      </w:r>
      <w:r w:rsidR="00FC3ED9">
        <w:t>.</w:t>
      </w:r>
    </w:p>
  </w:footnote>
  <w:footnote w:id="13">
    <w:p w14:paraId="0DB8DB16" w14:textId="77777777" w:rsidR="00E8636E" w:rsidRDefault="00E8636E">
      <w:pPr>
        <w:pStyle w:val="FootnoteText"/>
      </w:pPr>
      <w:r>
        <w:rPr>
          <w:rStyle w:val="FootnoteReference"/>
        </w:rPr>
        <w:footnoteRef/>
      </w:r>
      <w:r>
        <w:t xml:space="preserve"> </w:t>
      </w:r>
      <w:r>
        <w:tab/>
        <w:t>A more detailed discussion of each of these potential sources was given in the 2012 Inventory Report.</w:t>
      </w:r>
    </w:p>
  </w:footnote>
  <w:footnote w:id="14">
    <w:p w14:paraId="68B54E23" w14:textId="38E978D5" w:rsidR="00E8636E" w:rsidRDefault="00E8636E" w:rsidP="009D6D91">
      <w:pPr>
        <w:pStyle w:val="FootnoteText"/>
        <w:ind w:left="720" w:hanging="720"/>
      </w:pPr>
      <w:r>
        <w:rPr>
          <w:rStyle w:val="FootnoteReference"/>
        </w:rPr>
        <w:footnoteRef/>
      </w:r>
      <w:r>
        <w:t xml:space="preserve"> </w:t>
      </w:r>
      <w:r>
        <w:tab/>
        <w:t>The data given in Table 7-6 of the 2012 Inventory report included small contributions from Zinc- Carbon, and Other MnO</w:t>
      </w:r>
      <w:r w:rsidRPr="006C26C6">
        <w:rPr>
          <w:vertAlign w:val="subscript"/>
        </w:rPr>
        <w:t>2</w:t>
      </w:r>
      <w:r>
        <w:t xml:space="preserve"> batteries. However, according to the Toolkit these can be regarded as mercury-free. Hence these batteries have not been included the current table 7-6. In addition, the 2012 totals given in Table 7-7 have been adjusted to exclude the zinc carbon and other MnO</w:t>
      </w:r>
      <w:r w:rsidRPr="006C26C6">
        <w:rPr>
          <w:vertAlign w:val="subscript"/>
        </w:rPr>
        <w:t>2</w:t>
      </w:r>
      <w:r>
        <w:t xml:space="preserve"> data.</w:t>
      </w:r>
    </w:p>
  </w:footnote>
  <w:footnote w:id="15">
    <w:p w14:paraId="6EF8FAFF" w14:textId="0EA39AAF" w:rsidR="00E8636E" w:rsidRDefault="00E8636E" w:rsidP="0053740A">
      <w:pPr>
        <w:pStyle w:val="FootnoteText"/>
        <w:ind w:left="720" w:hanging="720"/>
      </w:pPr>
      <w:r>
        <w:rPr>
          <w:rStyle w:val="FootnoteReference"/>
        </w:rPr>
        <w:footnoteRef/>
      </w:r>
      <w:r>
        <w:t xml:space="preserve"> </w:t>
      </w:r>
      <w:r w:rsidR="009D6D91">
        <w:tab/>
      </w:r>
      <w:r>
        <w:t>For button batteries such as zinc air the recycling rate may be higher because many audiology companies collect hearing aid batteries and provide specific disposal containers for their customers.</w:t>
      </w:r>
    </w:p>
  </w:footnote>
  <w:footnote w:id="16">
    <w:p w14:paraId="16D885B3" w14:textId="77777777" w:rsidR="00E8636E" w:rsidRDefault="00E8636E" w:rsidP="00D71381">
      <w:pPr>
        <w:pStyle w:val="FootnoteText"/>
        <w:ind w:left="720" w:hanging="720"/>
      </w:pPr>
      <w:r>
        <w:rPr>
          <w:rStyle w:val="FootnoteReference"/>
        </w:rPr>
        <w:footnoteRef/>
      </w:r>
      <w:r>
        <w:t xml:space="preserve"> </w:t>
      </w:r>
      <w:r>
        <w:tab/>
        <w:t>The chemical name for Thiomersal is e</w:t>
      </w:r>
      <w:r w:rsidRPr="00D71381">
        <w:t xml:space="preserve">thyl(2-mercaptobenzoato-(2-)-O,S) Mercurate (1-) sodium, </w:t>
      </w:r>
      <w:r>
        <w:t xml:space="preserve">and it is </w:t>
      </w:r>
      <w:r w:rsidRPr="00D71381">
        <w:t>also known as thiomerosal, and merthiolate)</w:t>
      </w:r>
    </w:p>
  </w:footnote>
  <w:footnote w:id="17">
    <w:p w14:paraId="2729314C" w14:textId="77777777" w:rsidR="00E8636E" w:rsidRDefault="00E8636E">
      <w:pPr>
        <w:pStyle w:val="FootnoteText"/>
      </w:pPr>
      <w:r>
        <w:rPr>
          <w:rStyle w:val="FootnoteReference"/>
        </w:rPr>
        <w:footnoteRef/>
      </w:r>
      <w:r>
        <w:t xml:space="preserve"> </w:t>
      </w:r>
      <w:r>
        <w:tab/>
        <w:t>The toolkit refers to the land disposal route as “sector specific” wastes.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E4CB3" w14:textId="2615FBF7" w:rsidR="00E8636E" w:rsidRPr="005F707F" w:rsidRDefault="00E8636E" w:rsidP="0037162E">
    <w:pPr>
      <w:pStyle w:val="Header"/>
      <w:tabs>
        <w:tab w:val="clear" w:pos="8640"/>
        <w:tab w:val="right" w:pos="8931"/>
      </w:tabs>
      <w:rPr>
        <w:rFonts w:ascii="Verdana" w:hAnsi="Verdana"/>
        <w:b/>
        <w:color w:val="A6A6A6"/>
        <w:sz w:val="16"/>
      </w:rPr>
    </w:pPr>
    <w:r w:rsidRPr="005F707F">
      <w:rPr>
        <w:rFonts w:ascii="Verdana" w:hAnsi="Verdana"/>
        <w:b/>
        <w:color w:val="A6A6A6"/>
        <w:sz w:val="16"/>
      </w:rPr>
      <w:tab/>
    </w:r>
    <w:r w:rsidRPr="005F707F">
      <w:rPr>
        <w:rFonts w:ascii="Verdana" w:hAnsi="Verdana"/>
        <w:b/>
        <w:color w:val="A6A6A6"/>
        <w:sz w:val="16"/>
      </w:rPr>
      <w:tab/>
    </w:r>
    <w:r>
      <w:rPr>
        <w:rFonts w:ascii="Verdana" w:hAnsi="Verdana"/>
        <w:b/>
        <w:color w:val="A6A6A6"/>
        <w:sz w:val="16"/>
      </w:rPr>
      <w:t>Mercury Inventory Update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13567" w14:textId="6DB37096" w:rsidR="00E8636E" w:rsidRPr="005F707F" w:rsidRDefault="00E8636E" w:rsidP="0037162E">
    <w:pPr>
      <w:pStyle w:val="Header"/>
      <w:tabs>
        <w:tab w:val="clear" w:pos="8640"/>
        <w:tab w:val="right" w:pos="8931"/>
      </w:tabs>
      <w:rPr>
        <w:rFonts w:ascii="Verdana" w:hAnsi="Verdana"/>
        <w:b/>
        <w:color w:val="A6A6A6"/>
        <w:sz w:val="16"/>
      </w:rPr>
    </w:pPr>
    <w:r w:rsidRPr="005F707F">
      <w:rPr>
        <w:rFonts w:ascii="Verdana" w:hAnsi="Verdana"/>
        <w:b/>
        <w:color w:val="A6A6A6"/>
        <w:sz w:val="16"/>
      </w:rPr>
      <w:tab/>
    </w:r>
    <w:r w:rsidRPr="005F707F">
      <w:rPr>
        <w:rFonts w:ascii="Verdana" w:hAnsi="Verdana"/>
        <w:b/>
        <w:color w:val="A6A6A6"/>
        <w:sz w:val="16"/>
      </w:rPr>
      <w:tab/>
    </w:r>
    <w:r>
      <w:rPr>
        <w:rFonts w:ascii="Verdana" w:hAnsi="Verdana"/>
        <w:b/>
        <w:color w:val="A6A6A6"/>
        <w:sz w:val="16"/>
      </w:rPr>
      <w:t>Mercury Inventory Update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EB43D" w14:textId="34F1AE82" w:rsidR="00E8636E" w:rsidRPr="005F707F" w:rsidRDefault="00E8636E" w:rsidP="0037162E">
    <w:pPr>
      <w:pStyle w:val="Header"/>
      <w:tabs>
        <w:tab w:val="clear" w:pos="8640"/>
        <w:tab w:val="right" w:pos="8931"/>
      </w:tabs>
      <w:rPr>
        <w:rFonts w:ascii="Verdana" w:hAnsi="Verdana"/>
        <w:b/>
        <w:color w:val="A6A6A6"/>
        <w:sz w:val="16"/>
      </w:rPr>
    </w:pPr>
    <w:r w:rsidRPr="005F707F">
      <w:rPr>
        <w:rFonts w:ascii="Verdana" w:hAnsi="Verdana"/>
        <w:b/>
        <w:color w:val="A6A6A6"/>
        <w:sz w:val="16"/>
      </w:rPr>
      <w:tab/>
    </w:r>
    <w:r w:rsidRPr="005F707F">
      <w:rPr>
        <w:rFonts w:ascii="Verdana" w:hAnsi="Verdana"/>
        <w:b/>
        <w:color w:val="A6A6A6"/>
        <w:sz w:val="16"/>
      </w:rPr>
      <w:tab/>
    </w:r>
    <w:r>
      <w:rPr>
        <w:rFonts w:ascii="Verdana" w:hAnsi="Verdana"/>
        <w:b/>
        <w:color w:val="A6A6A6"/>
        <w:sz w:val="16"/>
      </w:rPr>
      <w:t>Mercury Inventory Update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29558" w14:textId="77777777" w:rsidR="00E8636E" w:rsidRPr="005E4663" w:rsidRDefault="00E8636E" w:rsidP="005E466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3D760" w14:textId="16207C07" w:rsidR="00E8636E" w:rsidRPr="005F707F" w:rsidRDefault="00E8636E" w:rsidP="00FF6FD4">
    <w:pPr>
      <w:pStyle w:val="Header"/>
      <w:tabs>
        <w:tab w:val="clear" w:pos="8640"/>
        <w:tab w:val="right" w:pos="14034"/>
      </w:tabs>
      <w:rPr>
        <w:rFonts w:ascii="Verdana" w:hAnsi="Verdana"/>
        <w:b/>
        <w:color w:val="A6A6A6"/>
        <w:sz w:val="16"/>
      </w:rPr>
    </w:pPr>
    <w:r w:rsidRPr="005F707F">
      <w:rPr>
        <w:rFonts w:ascii="Verdana" w:hAnsi="Verdana"/>
        <w:b/>
        <w:color w:val="A6A6A6"/>
        <w:sz w:val="16"/>
      </w:rPr>
      <w:tab/>
    </w:r>
    <w:r w:rsidRPr="005F707F">
      <w:rPr>
        <w:rFonts w:ascii="Verdana" w:hAnsi="Verdana"/>
        <w:b/>
        <w:color w:val="A6A6A6"/>
        <w:sz w:val="16"/>
      </w:rPr>
      <w:tab/>
    </w:r>
    <w:r>
      <w:rPr>
        <w:rFonts w:ascii="Verdana" w:hAnsi="Verdana"/>
        <w:b/>
        <w:color w:val="A6A6A6"/>
        <w:sz w:val="16"/>
      </w:rPr>
      <w:t>Mercury Inventory Update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3E181" w14:textId="77777777" w:rsidR="00E8636E" w:rsidRPr="005F707F" w:rsidRDefault="00E8636E" w:rsidP="0037162E">
    <w:pPr>
      <w:pStyle w:val="Header"/>
      <w:tabs>
        <w:tab w:val="clear" w:pos="8640"/>
        <w:tab w:val="right" w:pos="8931"/>
      </w:tabs>
      <w:rPr>
        <w:rFonts w:ascii="Verdana" w:hAnsi="Verdana"/>
        <w:b/>
        <w:color w:val="A6A6A6"/>
        <w:sz w:val="16"/>
      </w:rPr>
    </w:pPr>
    <w:r w:rsidRPr="005F707F">
      <w:rPr>
        <w:rFonts w:ascii="Verdana" w:hAnsi="Verdana"/>
        <w:b/>
        <w:color w:val="A6A6A6"/>
        <w:sz w:val="16"/>
      </w:rPr>
      <w:tab/>
    </w:r>
    <w:r w:rsidRPr="005F707F">
      <w:rPr>
        <w:rFonts w:ascii="Verdana" w:hAnsi="Verdana"/>
        <w:b/>
        <w:color w:val="A6A6A6"/>
        <w:sz w:val="16"/>
      </w:rPr>
      <w:tab/>
    </w:r>
    <w:r>
      <w:rPr>
        <w:rFonts w:ascii="Verdana" w:hAnsi="Verdana"/>
        <w:b/>
        <w:color w:val="A6A6A6"/>
        <w:sz w:val="16"/>
      </w:rPr>
      <w:t>Mercury Inventory Update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905A2" w14:textId="77777777" w:rsidR="00E8636E" w:rsidRPr="005E4663" w:rsidRDefault="00E8636E" w:rsidP="005E46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41280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C045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38A9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414C0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12D7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02A1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E4F6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183C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0A6BD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2A87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761"/>
    <w:multiLevelType w:val="singleLevel"/>
    <w:tmpl w:val="CD12D14E"/>
    <w:lvl w:ilvl="0">
      <w:start w:val="1"/>
      <w:numFmt w:val="bullet"/>
      <w:lvlText w:val=""/>
      <w:lvlJc w:val="left"/>
      <w:pPr>
        <w:tabs>
          <w:tab w:val="num" w:pos="1607"/>
        </w:tabs>
        <w:ind w:left="1588" w:hanging="341"/>
      </w:pPr>
      <w:rPr>
        <w:rFonts w:ascii="Symbol" w:hAnsi="Symbol" w:hint="default"/>
      </w:rPr>
    </w:lvl>
  </w:abstractNum>
  <w:abstractNum w:abstractNumId="11" w15:restartNumberingAfterBreak="0">
    <w:nsid w:val="08F30118"/>
    <w:multiLevelType w:val="hybridMultilevel"/>
    <w:tmpl w:val="59D4A1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BDB7298"/>
    <w:multiLevelType w:val="hybridMultilevel"/>
    <w:tmpl w:val="AAFC2976"/>
    <w:lvl w:ilvl="0" w:tplc="A8124D2A">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3" w15:restartNumberingAfterBreak="0">
    <w:nsid w:val="0E520D67"/>
    <w:multiLevelType w:val="hybridMultilevel"/>
    <w:tmpl w:val="2DBE42A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52560AC"/>
    <w:multiLevelType w:val="hybridMultilevel"/>
    <w:tmpl w:val="C8EC8A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9213082"/>
    <w:multiLevelType w:val="hybridMultilevel"/>
    <w:tmpl w:val="5ACA5E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9A04858"/>
    <w:multiLevelType w:val="hybridMultilevel"/>
    <w:tmpl w:val="2DBE42A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B8C090C"/>
    <w:multiLevelType w:val="multilevel"/>
    <w:tmpl w:val="65ECA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7D7312"/>
    <w:multiLevelType w:val="multilevel"/>
    <w:tmpl w:val="7B588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676C42"/>
    <w:multiLevelType w:val="hybridMultilevel"/>
    <w:tmpl w:val="EB7ECF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32D7221"/>
    <w:multiLevelType w:val="hybridMultilevel"/>
    <w:tmpl w:val="77649BE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4AF523E"/>
    <w:multiLevelType w:val="hybridMultilevel"/>
    <w:tmpl w:val="D3D088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5722758"/>
    <w:multiLevelType w:val="hybridMultilevel"/>
    <w:tmpl w:val="43601D36"/>
    <w:lvl w:ilvl="0" w:tplc="04186D08">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3" w15:restartNumberingAfterBreak="0">
    <w:nsid w:val="35A11539"/>
    <w:multiLevelType w:val="hybridMultilevel"/>
    <w:tmpl w:val="0DBC48D2"/>
    <w:lvl w:ilvl="0" w:tplc="14090001">
      <w:start w:val="1"/>
      <w:numFmt w:val="bullet"/>
      <w:lvlText w:val=""/>
      <w:lvlJc w:val="left"/>
      <w:pPr>
        <w:ind w:left="502" w:hanging="360"/>
      </w:pPr>
      <w:rPr>
        <w:rFonts w:ascii="Symbol" w:hAnsi="Symbol" w:hint="default"/>
      </w:rPr>
    </w:lvl>
    <w:lvl w:ilvl="1" w:tplc="14090003">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24" w15:restartNumberingAfterBreak="0">
    <w:nsid w:val="37587890"/>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15:restartNumberingAfterBreak="0">
    <w:nsid w:val="39F7016A"/>
    <w:multiLevelType w:val="hybridMultilevel"/>
    <w:tmpl w:val="BA049E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5076CB2"/>
    <w:multiLevelType w:val="hybridMultilevel"/>
    <w:tmpl w:val="7CD09F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5AA3B72"/>
    <w:multiLevelType w:val="hybridMultilevel"/>
    <w:tmpl w:val="B344A8EC"/>
    <w:lvl w:ilvl="0" w:tplc="9282F912">
      <w:start w:val="1"/>
      <w:numFmt w:val="lowerLetter"/>
      <w:lvlText w:val="(%1)"/>
      <w:lvlJc w:val="left"/>
      <w:pPr>
        <w:ind w:left="1080" w:hanging="360"/>
      </w:pPr>
      <w:rPr>
        <w:rFonts w:hint="default"/>
      </w:r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8" w15:restartNumberingAfterBreak="0">
    <w:nsid w:val="45CE303D"/>
    <w:multiLevelType w:val="multilevel"/>
    <w:tmpl w:val="C8A6FB5C"/>
    <w:lvl w:ilvl="0">
      <w:start w:val="1"/>
      <w:numFmt w:val="decimal"/>
      <w:pStyle w:val="Heading1"/>
      <w:lvlText w:val="%1"/>
      <w:lvlJc w:val="left"/>
      <w:pPr>
        <w:ind w:left="432" w:hanging="432"/>
      </w:pPr>
      <w:rPr>
        <w:rFonts w:hint="default"/>
        <w:b/>
        <w:i w:val="0"/>
        <w:sz w:val="28"/>
      </w:rPr>
    </w:lvl>
    <w:lvl w:ilvl="1">
      <w:start w:val="1"/>
      <w:numFmt w:val="decimal"/>
      <w:pStyle w:val="Heading2"/>
      <w:lvlText w:val="%1.%2"/>
      <w:lvlJc w:val="left"/>
      <w:pPr>
        <w:ind w:left="1427"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48A76CDC"/>
    <w:multiLevelType w:val="hybridMultilevel"/>
    <w:tmpl w:val="F0267E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BDC03F8"/>
    <w:multiLevelType w:val="hybridMultilevel"/>
    <w:tmpl w:val="EB90B5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D3B2527"/>
    <w:multiLevelType w:val="multilevel"/>
    <w:tmpl w:val="11D6B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30365E7"/>
    <w:multiLevelType w:val="hybridMultilevel"/>
    <w:tmpl w:val="1FB233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E1D57D1"/>
    <w:multiLevelType w:val="multilevel"/>
    <w:tmpl w:val="6D84C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FEC3ACE"/>
    <w:multiLevelType w:val="hybridMultilevel"/>
    <w:tmpl w:val="4664FCFE"/>
    <w:lvl w:ilvl="0" w:tplc="FFFFFFFF">
      <w:start w:val="1"/>
      <w:numFmt w:val="bullet"/>
      <w:lvlText w:val=""/>
      <w:lvlJc w:val="left"/>
      <w:pPr>
        <w:tabs>
          <w:tab w:val="num" w:pos="0"/>
        </w:tabs>
        <w:ind w:left="1494"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EB6355"/>
    <w:multiLevelType w:val="hybridMultilevel"/>
    <w:tmpl w:val="22EE5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107C9D"/>
    <w:multiLevelType w:val="hybridMultilevel"/>
    <w:tmpl w:val="C52813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D9B76E0"/>
    <w:multiLevelType w:val="multilevel"/>
    <w:tmpl w:val="972E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9769041">
    <w:abstractNumId w:val="24"/>
  </w:num>
  <w:num w:numId="2" w16cid:durableId="1000425805">
    <w:abstractNumId w:val="26"/>
  </w:num>
  <w:num w:numId="3" w16cid:durableId="567880533">
    <w:abstractNumId w:val="27"/>
  </w:num>
  <w:num w:numId="4" w16cid:durableId="34157981">
    <w:abstractNumId w:val="12"/>
  </w:num>
  <w:num w:numId="5" w16cid:durableId="510416980">
    <w:abstractNumId w:val="23"/>
  </w:num>
  <w:num w:numId="6" w16cid:durableId="1243224908">
    <w:abstractNumId w:val="28"/>
  </w:num>
  <w:num w:numId="7" w16cid:durableId="8151510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474101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0314830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7798270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02310531">
    <w:abstractNumId w:val="20"/>
  </w:num>
  <w:num w:numId="12" w16cid:durableId="902444127">
    <w:abstractNumId w:val="16"/>
  </w:num>
  <w:num w:numId="13" w16cid:durableId="1299140222">
    <w:abstractNumId w:val="10"/>
  </w:num>
  <w:num w:numId="14" w16cid:durableId="1556156735">
    <w:abstractNumId w:val="34"/>
  </w:num>
  <w:num w:numId="15" w16cid:durableId="2061588889">
    <w:abstractNumId w:val="13"/>
  </w:num>
  <w:num w:numId="16" w16cid:durableId="19261880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7861926">
    <w:abstractNumId w:val="25"/>
  </w:num>
  <w:num w:numId="18" w16cid:durableId="317728822">
    <w:abstractNumId w:val="11"/>
  </w:num>
  <w:num w:numId="19" w16cid:durableId="362173139">
    <w:abstractNumId w:val="29"/>
  </w:num>
  <w:num w:numId="20" w16cid:durableId="19929084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6545217">
    <w:abstractNumId w:val="21"/>
  </w:num>
  <w:num w:numId="22" w16cid:durableId="181550458">
    <w:abstractNumId w:val="19"/>
  </w:num>
  <w:num w:numId="23" w16cid:durableId="463038393">
    <w:abstractNumId w:val="32"/>
  </w:num>
  <w:num w:numId="24" w16cid:durableId="1202018525">
    <w:abstractNumId w:val="30"/>
  </w:num>
  <w:num w:numId="25" w16cid:durableId="1507014831">
    <w:abstractNumId w:val="15"/>
  </w:num>
  <w:num w:numId="26" w16cid:durableId="10453273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050102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9059806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17316271">
    <w:abstractNumId w:val="14"/>
  </w:num>
  <w:num w:numId="30" w16cid:durableId="1654723714">
    <w:abstractNumId w:val="22"/>
  </w:num>
  <w:num w:numId="31" w16cid:durableId="957684443">
    <w:abstractNumId w:val="36"/>
  </w:num>
  <w:num w:numId="32" w16cid:durableId="895892367">
    <w:abstractNumId w:val="9"/>
  </w:num>
  <w:num w:numId="33" w16cid:durableId="383213143">
    <w:abstractNumId w:val="7"/>
  </w:num>
  <w:num w:numId="34" w16cid:durableId="605576247">
    <w:abstractNumId w:val="6"/>
  </w:num>
  <w:num w:numId="35" w16cid:durableId="1814057931">
    <w:abstractNumId w:val="5"/>
  </w:num>
  <w:num w:numId="36" w16cid:durableId="1649430757">
    <w:abstractNumId w:val="4"/>
  </w:num>
  <w:num w:numId="37" w16cid:durableId="374239021">
    <w:abstractNumId w:val="8"/>
  </w:num>
  <w:num w:numId="38" w16cid:durableId="858350939">
    <w:abstractNumId w:val="3"/>
  </w:num>
  <w:num w:numId="39" w16cid:durableId="1182090989">
    <w:abstractNumId w:val="2"/>
  </w:num>
  <w:num w:numId="40" w16cid:durableId="902061403">
    <w:abstractNumId w:val="1"/>
  </w:num>
  <w:num w:numId="41" w16cid:durableId="761298299">
    <w:abstractNumId w:val="0"/>
  </w:num>
  <w:num w:numId="42" w16cid:durableId="2019958932">
    <w:abstractNumId w:val="37"/>
  </w:num>
  <w:num w:numId="43" w16cid:durableId="864441625">
    <w:abstractNumId w:val="35"/>
  </w:num>
  <w:num w:numId="44" w16cid:durableId="1982997574">
    <w:abstractNumId w:val="33"/>
  </w:num>
  <w:num w:numId="45" w16cid:durableId="557284497">
    <w:abstractNumId w:val="31"/>
  </w:num>
  <w:num w:numId="46" w16cid:durableId="1736312963">
    <w:abstractNumId w:val="18"/>
  </w:num>
  <w:num w:numId="47" w16cid:durableId="1269586548">
    <w:abstractNumId w:val="17"/>
  </w:num>
  <w:num w:numId="48" w16cid:durableId="1551184801">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4830ECF-60B7-4CE6-8B7C-E35757F685D4}"/>
    <w:docVar w:name="dgnword-eventsink" w:val="103558776"/>
  </w:docVars>
  <w:rsids>
    <w:rsidRoot w:val="000E4A6F"/>
    <w:rsid w:val="000008E0"/>
    <w:rsid w:val="0000154A"/>
    <w:rsid w:val="00001BB4"/>
    <w:rsid w:val="00002163"/>
    <w:rsid w:val="00002598"/>
    <w:rsid w:val="00002653"/>
    <w:rsid w:val="00002928"/>
    <w:rsid w:val="00002BD3"/>
    <w:rsid w:val="0000356C"/>
    <w:rsid w:val="00003755"/>
    <w:rsid w:val="00003DA8"/>
    <w:rsid w:val="00003E5D"/>
    <w:rsid w:val="00004096"/>
    <w:rsid w:val="000042B2"/>
    <w:rsid w:val="00004D1A"/>
    <w:rsid w:val="0000574C"/>
    <w:rsid w:val="00006140"/>
    <w:rsid w:val="000061E7"/>
    <w:rsid w:val="00006686"/>
    <w:rsid w:val="000068B7"/>
    <w:rsid w:val="00006C8F"/>
    <w:rsid w:val="00006CCC"/>
    <w:rsid w:val="0000788F"/>
    <w:rsid w:val="0001042E"/>
    <w:rsid w:val="00010588"/>
    <w:rsid w:val="000105F6"/>
    <w:rsid w:val="00010768"/>
    <w:rsid w:val="00010BF6"/>
    <w:rsid w:val="00010CA7"/>
    <w:rsid w:val="00011BEE"/>
    <w:rsid w:val="000120E5"/>
    <w:rsid w:val="000121C7"/>
    <w:rsid w:val="00012454"/>
    <w:rsid w:val="00012893"/>
    <w:rsid w:val="00012F69"/>
    <w:rsid w:val="00013A75"/>
    <w:rsid w:val="00013E40"/>
    <w:rsid w:val="00013FED"/>
    <w:rsid w:val="00014321"/>
    <w:rsid w:val="00014659"/>
    <w:rsid w:val="000146D1"/>
    <w:rsid w:val="00015049"/>
    <w:rsid w:val="0001513E"/>
    <w:rsid w:val="00015476"/>
    <w:rsid w:val="00015493"/>
    <w:rsid w:val="000155AC"/>
    <w:rsid w:val="00015784"/>
    <w:rsid w:val="00015CD2"/>
    <w:rsid w:val="0001607A"/>
    <w:rsid w:val="000160A6"/>
    <w:rsid w:val="0001617E"/>
    <w:rsid w:val="00016348"/>
    <w:rsid w:val="00016974"/>
    <w:rsid w:val="00016AD4"/>
    <w:rsid w:val="00016F01"/>
    <w:rsid w:val="000175F4"/>
    <w:rsid w:val="00017F79"/>
    <w:rsid w:val="00020491"/>
    <w:rsid w:val="00020973"/>
    <w:rsid w:val="00020DB3"/>
    <w:rsid w:val="00021B0A"/>
    <w:rsid w:val="0002399A"/>
    <w:rsid w:val="00023AB2"/>
    <w:rsid w:val="00023B38"/>
    <w:rsid w:val="00023D40"/>
    <w:rsid w:val="00023D92"/>
    <w:rsid w:val="00023F1F"/>
    <w:rsid w:val="00024031"/>
    <w:rsid w:val="00024E49"/>
    <w:rsid w:val="00025790"/>
    <w:rsid w:val="00025998"/>
    <w:rsid w:val="00025B99"/>
    <w:rsid w:val="00025E54"/>
    <w:rsid w:val="00025EFE"/>
    <w:rsid w:val="00026730"/>
    <w:rsid w:val="00027503"/>
    <w:rsid w:val="000277B0"/>
    <w:rsid w:val="00027FF3"/>
    <w:rsid w:val="000300A4"/>
    <w:rsid w:val="0003038F"/>
    <w:rsid w:val="00030C8F"/>
    <w:rsid w:val="0003101F"/>
    <w:rsid w:val="0003149A"/>
    <w:rsid w:val="00031AD6"/>
    <w:rsid w:val="00031BA6"/>
    <w:rsid w:val="00031CA0"/>
    <w:rsid w:val="0003214D"/>
    <w:rsid w:val="0003246F"/>
    <w:rsid w:val="00033747"/>
    <w:rsid w:val="00033EAB"/>
    <w:rsid w:val="00033F16"/>
    <w:rsid w:val="00034578"/>
    <w:rsid w:val="000345D7"/>
    <w:rsid w:val="0003469C"/>
    <w:rsid w:val="000348A3"/>
    <w:rsid w:val="000348CA"/>
    <w:rsid w:val="00034FCE"/>
    <w:rsid w:val="0003509D"/>
    <w:rsid w:val="0003524A"/>
    <w:rsid w:val="000353D6"/>
    <w:rsid w:val="00035841"/>
    <w:rsid w:val="000368CD"/>
    <w:rsid w:val="00036954"/>
    <w:rsid w:val="000370DE"/>
    <w:rsid w:val="000375D8"/>
    <w:rsid w:val="000377F6"/>
    <w:rsid w:val="00037858"/>
    <w:rsid w:val="00037E76"/>
    <w:rsid w:val="000401F0"/>
    <w:rsid w:val="000408A3"/>
    <w:rsid w:val="000408D3"/>
    <w:rsid w:val="00040C0F"/>
    <w:rsid w:val="00040C19"/>
    <w:rsid w:val="00040C9D"/>
    <w:rsid w:val="00041154"/>
    <w:rsid w:val="000412AA"/>
    <w:rsid w:val="00041D01"/>
    <w:rsid w:val="00041F2D"/>
    <w:rsid w:val="000420C9"/>
    <w:rsid w:val="0004288B"/>
    <w:rsid w:val="00042A95"/>
    <w:rsid w:val="000434A4"/>
    <w:rsid w:val="00043714"/>
    <w:rsid w:val="00043C30"/>
    <w:rsid w:val="00043D47"/>
    <w:rsid w:val="000444D8"/>
    <w:rsid w:val="00044643"/>
    <w:rsid w:val="000457DF"/>
    <w:rsid w:val="00045814"/>
    <w:rsid w:val="00045BD3"/>
    <w:rsid w:val="00045BE0"/>
    <w:rsid w:val="00045FDB"/>
    <w:rsid w:val="0004707F"/>
    <w:rsid w:val="000470FE"/>
    <w:rsid w:val="00047187"/>
    <w:rsid w:val="000471B3"/>
    <w:rsid w:val="00047702"/>
    <w:rsid w:val="0004773B"/>
    <w:rsid w:val="00047E81"/>
    <w:rsid w:val="000502E1"/>
    <w:rsid w:val="00050876"/>
    <w:rsid w:val="000508F6"/>
    <w:rsid w:val="00050D05"/>
    <w:rsid w:val="00051160"/>
    <w:rsid w:val="00051242"/>
    <w:rsid w:val="00051250"/>
    <w:rsid w:val="00051753"/>
    <w:rsid w:val="000517A9"/>
    <w:rsid w:val="000520FA"/>
    <w:rsid w:val="000521C8"/>
    <w:rsid w:val="000523D4"/>
    <w:rsid w:val="00052805"/>
    <w:rsid w:val="00052B8D"/>
    <w:rsid w:val="00053D95"/>
    <w:rsid w:val="00054929"/>
    <w:rsid w:val="00054A9A"/>
    <w:rsid w:val="00054ACC"/>
    <w:rsid w:val="00054F79"/>
    <w:rsid w:val="000550EE"/>
    <w:rsid w:val="00055126"/>
    <w:rsid w:val="000557E4"/>
    <w:rsid w:val="00055C2C"/>
    <w:rsid w:val="00056890"/>
    <w:rsid w:val="00056EF0"/>
    <w:rsid w:val="00056F10"/>
    <w:rsid w:val="000578F8"/>
    <w:rsid w:val="00057AE7"/>
    <w:rsid w:val="00057CE0"/>
    <w:rsid w:val="000600A4"/>
    <w:rsid w:val="00060467"/>
    <w:rsid w:val="00060555"/>
    <w:rsid w:val="00060565"/>
    <w:rsid w:val="000608A5"/>
    <w:rsid w:val="00060F76"/>
    <w:rsid w:val="000616AD"/>
    <w:rsid w:val="00061852"/>
    <w:rsid w:val="00061F18"/>
    <w:rsid w:val="00062104"/>
    <w:rsid w:val="00062289"/>
    <w:rsid w:val="000623A9"/>
    <w:rsid w:val="0006273B"/>
    <w:rsid w:val="00062975"/>
    <w:rsid w:val="00062A7E"/>
    <w:rsid w:val="00062B1A"/>
    <w:rsid w:val="00063276"/>
    <w:rsid w:val="00063A0A"/>
    <w:rsid w:val="00064E5B"/>
    <w:rsid w:val="00064FAB"/>
    <w:rsid w:val="00065714"/>
    <w:rsid w:val="0006590F"/>
    <w:rsid w:val="00065B4F"/>
    <w:rsid w:val="000661C4"/>
    <w:rsid w:val="000664E9"/>
    <w:rsid w:val="00067254"/>
    <w:rsid w:val="000678C3"/>
    <w:rsid w:val="000678DC"/>
    <w:rsid w:val="000679BC"/>
    <w:rsid w:val="00067D25"/>
    <w:rsid w:val="00070281"/>
    <w:rsid w:val="000702AD"/>
    <w:rsid w:val="000705AE"/>
    <w:rsid w:val="00071AD1"/>
    <w:rsid w:val="000720A0"/>
    <w:rsid w:val="000723DE"/>
    <w:rsid w:val="00072803"/>
    <w:rsid w:val="0007342B"/>
    <w:rsid w:val="00073B64"/>
    <w:rsid w:val="00074007"/>
    <w:rsid w:val="00074AAB"/>
    <w:rsid w:val="00074B3F"/>
    <w:rsid w:val="00075015"/>
    <w:rsid w:val="00075200"/>
    <w:rsid w:val="000753FD"/>
    <w:rsid w:val="000757E4"/>
    <w:rsid w:val="000760F3"/>
    <w:rsid w:val="0007644A"/>
    <w:rsid w:val="000769F1"/>
    <w:rsid w:val="00077237"/>
    <w:rsid w:val="00077543"/>
    <w:rsid w:val="00077F2D"/>
    <w:rsid w:val="00080093"/>
    <w:rsid w:val="000807A3"/>
    <w:rsid w:val="00080AA0"/>
    <w:rsid w:val="00080DE4"/>
    <w:rsid w:val="00081247"/>
    <w:rsid w:val="000815FD"/>
    <w:rsid w:val="00081752"/>
    <w:rsid w:val="0008269D"/>
    <w:rsid w:val="0008307F"/>
    <w:rsid w:val="000836F8"/>
    <w:rsid w:val="00083831"/>
    <w:rsid w:val="00084096"/>
    <w:rsid w:val="00084616"/>
    <w:rsid w:val="00084AB4"/>
    <w:rsid w:val="00084F34"/>
    <w:rsid w:val="00084FB4"/>
    <w:rsid w:val="00085873"/>
    <w:rsid w:val="00085F68"/>
    <w:rsid w:val="00086A50"/>
    <w:rsid w:val="0008785B"/>
    <w:rsid w:val="00090185"/>
    <w:rsid w:val="0009021C"/>
    <w:rsid w:val="00091329"/>
    <w:rsid w:val="00091716"/>
    <w:rsid w:val="00092468"/>
    <w:rsid w:val="000924CC"/>
    <w:rsid w:val="00092603"/>
    <w:rsid w:val="00092E1E"/>
    <w:rsid w:val="000930EB"/>
    <w:rsid w:val="000937A5"/>
    <w:rsid w:val="00093DFB"/>
    <w:rsid w:val="0009443C"/>
    <w:rsid w:val="00094ABA"/>
    <w:rsid w:val="00094C6A"/>
    <w:rsid w:val="00095452"/>
    <w:rsid w:val="0009546D"/>
    <w:rsid w:val="000965FA"/>
    <w:rsid w:val="0009691F"/>
    <w:rsid w:val="000975AC"/>
    <w:rsid w:val="0009786B"/>
    <w:rsid w:val="000978BC"/>
    <w:rsid w:val="00097DA4"/>
    <w:rsid w:val="00097FC8"/>
    <w:rsid w:val="000A0232"/>
    <w:rsid w:val="000A0541"/>
    <w:rsid w:val="000A0AE9"/>
    <w:rsid w:val="000A1874"/>
    <w:rsid w:val="000A2980"/>
    <w:rsid w:val="000A2B60"/>
    <w:rsid w:val="000A33B8"/>
    <w:rsid w:val="000A34DC"/>
    <w:rsid w:val="000A4608"/>
    <w:rsid w:val="000A4ACF"/>
    <w:rsid w:val="000A4ADE"/>
    <w:rsid w:val="000A4BFD"/>
    <w:rsid w:val="000A52CF"/>
    <w:rsid w:val="000A547E"/>
    <w:rsid w:val="000A5865"/>
    <w:rsid w:val="000A5FF4"/>
    <w:rsid w:val="000A6252"/>
    <w:rsid w:val="000A678A"/>
    <w:rsid w:val="000A6AAD"/>
    <w:rsid w:val="000A6C8C"/>
    <w:rsid w:val="000A7107"/>
    <w:rsid w:val="000B082F"/>
    <w:rsid w:val="000B0B95"/>
    <w:rsid w:val="000B0E56"/>
    <w:rsid w:val="000B16FA"/>
    <w:rsid w:val="000B1AAD"/>
    <w:rsid w:val="000B1B79"/>
    <w:rsid w:val="000B1CA2"/>
    <w:rsid w:val="000B1D64"/>
    <w:rsid w:val="000B2562"/>
    <w:rsid w:val="000B2B0C"/>
    <w:rsid w:val="000B2D99"/>
    <w:rsid w:val="000B300C"/>
    <w:rsid w:val="000B32E6"/>
    <w:rsid w:val="000B353E"/>
    <w:rsid w:val="000B3A04"/>
    <w:rsid w:val="000B3E3D"/>
    <w:rsid w:val="000B4A2C"/>
    <w:rsid w:val="000B4AA4"/>
    <w:rsid w:val="000B51C9"/>
    <w:rsid w:val="000B5B80"/>
    <w:rsid w:val="000B5F2F"/>
    <w:rsid w:val="000B5FEE"/>
    <w:rsid w:val="000B6182"/>
    <w:rsid w:val="000B6546"/>
    <w:rsid w:val="000B6652"/>
    <w:rsid w:val="000B71C4"/>
    <w:rsid w:val="000B764A"/>
    <w:rsid w:val="000C0579"/>
    <w:rsid w:val="000C087D"/>
    <w:rsid w:val="000C0B58"/>
    <w:rsid w:val="000C1B66"/>
    <w:rsid w:val="000C1D19"/>
    <w:rsid w:val="000C221F"/>
    <w:rsid w:val="000C24FE"/>
    <w:rsid w:val="000C2679"/>
    <w:rsid w:val="000C2BDC"/>
    <w:rsid w:val="000C37B4"/>
    <w:rsid w:val="000C3E63"/>
    <w:rsid w:val="000C45B8"/>
    <w:rsid w:val="000C463E"/>
    <w:rsid w:val="000C49AF"/>
    <w:rsid w:val="000C4EB7"/>
    <w:rsid w:val="000C50D0"/>
    <w:rsid w:val="000C5418"/>
    <w:rsid w:val="000C5680"/>
    <w:rsid w:val="000C5CFC"/>
    <w:rsid w:val="000C5F06"/>
    <w:rsid w:val="000C6673"/>
    <w:rsid w:val="000C7DF5"/>
    <w:rsid w:val="000D087F"/>
    <w:rsid w:val="000D1666"/>
    <w:rsid w:val="000D1764"/>
    <w:rsid w:val="000D1935"/>
    <w:rsid w:val="000D1E1B"/>
    <w:rsid w:val="000D1ED3"/>
    <w:rsid w:val="000D2502"/>
    <w:rsid w:val="000D2912"/>
    <w:rsid w:val="000D2ACB"/>
    <w:rsid w:val="000D39F2"/>
    <w:rsid w:val="000D4780"/>
    <w:rsid w:val="000D4E55"/>
    <w:rsid w:val="000D4F26"/>
    <w:rsid w:val="000D583B"/>
    <w:rsid w:val="000D5CA7"/>
    <w:rsid w:val="000D62E7"/>
    <w:rsid w:val="000D6552"/>
    <w:rsid w:val="000D6CDB"/>
    <w:rsid w:val="000D6F46"/>
    <w:rsid w:val="000D77E7"/>
    <w:rsid w:val="000D7885"/>
    <w:rsid w:val="000D7B11"/>
    <w:rsid w:val="000E0956"/>
    <w:rsid w:val="000E0B19"/>
    <w:rsid w:val="000E14C5"/>
    <w:rsid w:val="000E1B28"/>
    <w:rsid w:val="000E2109"/>
    <w:rsid w:val="000E21A8"/>
    <w:rsid w:val="000E2701"/>
    <w:rsid w:val="000E304F"/>
    <w:rsid w:val="000E337E"/>
    <w:rsid w:val="000E37FD"/>
    <w:rsid w:val="000E396B"/>
    <w:rsid w:val="000E4029"/>
    <w:rsid w:val="000E404A"/>
    <w:rsid w:val="000E40FE"/>
    <w:rsid w:val="000E44BE"/>
    <w:rsid w:val="000E44D5"/>
    <w:rsid w:val="000E4A6F"/>
    <w:rsid w:val="000E5199"/>
    <w:rsid w:val="000E6A24"/>
    <w:rsid w:val="000E6D9D"/>
    <w:rsid w:val="000E7152"/>
    <w:rsid w:val="000E730C"/>
    <w:rsid w:val="000E7954"/>
    <w:rsid w:val="000E7F42"/>
    <w:rsid w:val="000F0158"/>
    <w:rsid w:val="000F030B"/>
    <w:rsid w:val="000F06F4"/>
    <w:rsid w:val="000F08C9"/>
    <w:rsid w:val="000F11EC"/>
    <w:rsid w:val="000F13DE"/>
    <w:rsid w:val="000F1490"/>
    <w:rsid w:val="000F160B"/>
    <w:rsid w:val="000F18E6"/>
    <w:rsid w:val="000F1AEC"/>
    <w:rsid w:val="000F2C60"/>
    <w:rsid w:val="000F3021"/>
    <w:rsid w:val="000F30F2"/>
    <w:rsid w:val="000F3273"/>
    <w:rsid w:val="000F3295"/>
    <w:rsid w:val="000F3451"/>
    <w:rsid w:val="000F351E"/>
    <w:rsid w:val="000F3668"/>
    <w:rsid w:val="000F3832"/>
    <w:rsid w:val="000F3AB4"/>
    <w:rsid w:val="000F3D4A"/>
    <w:rsid w:val="000F4D84"/>
    <w:rsid w:val="000F4FB5"/>
    <w:rsid w:val="000F58BD"/>
    <w:rsid w:val="000F650C"/>
    <w:rsid w:val="000F6514"/>
    <w:rsid w:val="000F66B1"/>
    <w:rsid w:val="000F68B7"/>
    <w:rsid w:val="000F6ABD"/>
    <w:rsid w:val="000F6BA6"/>
    <w:rsid w:val="000F6CB0"/>
    <w:rsid w:val="000F6D44"/>
    <w:rsid w:val="000F7864"/>
    <w:rsid w:val="000F7A3C"/>
    <w:rsid w:val="000F7CEC"/>
    <w:rsid w:val="001001BA"/>
    <w:rsid w:val="0010074B"/>
    <w:rsid w:val="00100B30"/>
    <w:rsid w:val="00100CE7"/>
    <w:rsid w:val="00100CF8"/>
    <w:rsid w:val="00100EDA"/>
    <w:rsid w:val="0010121F"/>
    <w:rsid w:val="00101DB2"/>
    <w:rsid w:val="00102015"/>
    <w:rsid w:val="001024F2"/>
    <w:rsid w:val="001035DD"/>
    <w:rsid w:val="0010366E"/>
    <w:rsid w:val="00103A13"/>
    <w:rsid w:val="00104B33"/>
    <w:rsid w:val="00104BBD"/>
    <w:rsid w:val="00104F40"/>
    <w:rsid w:val="0010506E"/>
    <w:rsid w:val="0010545A"/>
    <w:rsid w:val="001057AE"/>
    <w:rsid w:val="00105A2C"/>
    <w:rsid w:val="00105D99"/>
    <w:rsid w:val="00105F02"/>
    <w:rsid w:val="00105F0B"/>
    <w:rsid w:val="00105FF4"/>
    <w:rsid w:val="00106061"/>
    <w:rsid w:val="0010631A"/>
    <w:rsid w:val="001066B6"/>
    <w:rsid w:val="00106787"/>
    <w:rsid w:val="00106895"/>
    <w:rsid w:val="00106AE5"/>
    <w:rsid w:val="00106B60"/>
    <w:rsid w:val="00106C5D"/>
    <w:rsid w:val="00106EC9"/>
    <w:rsid w:val="0010783B"/>
    <w:rsid w:val="0010789E"/>
    <w:rsid w:val="0010793D"/>
    <w:rsid w:val="001103B6"/>
    <w:rsid w:val="00110685"/>
    <w:rsid w:val="00110D92"/>
    <w:rsid w:val="00110FC0"/>
    <w:rsid w:val="00111432"/>
    <w:rsid w:val="00111AEB"/>
    <w:rsid w:val="00112056"/>
    <w:rsid w:val="001121AD"/>
    <w:rsid w:val="00112B2B"/>
    <w:rsid w:val="0011320F"/>
    <w:rsid w:val="0011340D"/>
    <w:rsid w:val="00113DC8"/>
    <w:rsid w:val="001142E8"/>
    <w:rsid w:val="00114338"/>
    <w:rsid w:val="00114836"/>
    <w:rsid w:val="0011496E"/>
    <w:rsid w:val="0011501E"/>
    <w:rsid w:val="00115044"/>
    <w:rsid w:val="0011522A"/>
    <w:rsid w:val="00115C0F"/>
    <w:rsid w:val="00115DCB"/>
    <w:rsid w:val="0011605B"/>
    <w:rsid w:val="0011659E"/>
    <w:rsid w:val="001165B5"/>
    <w:rsid w:val="00116640"/>
    <w:rsid w:val="001166A5"/>
    <w:rsid w:val="001168CA"/>
    <w:rsid w:val="00116CC8"/>
    <w:rsid w:val="00116E7D"/>
    <w:rsid w:val="001179A0"/>
    <w:rsid w:val="001202B6"/>
    <w:rsid w:val="001205B2"/>
    <w:rsid w:val="00120844"/>
    <w:rsid w:val="00120CAB"/>
    <w:rsid w:val="001211C5"/>
    <w:rsid w:val="00121B25"/>
    <w:rsid w:val="00121B26"/>
    <w:rsid w:val="00121BAD"/>
    <w:rsid w:val="00121BFA"/>
    <w:rsid w:val="00121C9A"/>
    <w:rsid w:val="00122237"/>
    <w:rsid w:val="0012234E"/>
    <w:rsid w:val="00122495"/>
    <w:rsid w:val="001226B7"/>
    <w:rsid w:val="001235FF"/>
    <w:rsid w:val="001237B8"/>
    <w:rsid w:val="00123DA3"/>
    <w:rsid w:val="0012486F"/>
    <w:rsid w:val="00124AB5"/>
    <w:rsid w:val="001250DC"/>
    <w:rsid w:val="001252FD"/>
    <w:rsid w:val="001254E6"/>
    <w:rsid w:val="00125A0F"/>
    <w:rsid w:val="00126AD8"/>
    <w:rsid w:val="00127206"/>
    <w:rsid w:val="00127652"/>
    <w:rsid w:val="001277A1"/>
    <w:rsid w:val="00127C60"/>
    <w:rsid w:val="00130228"/>
    <w:rsid w:val="00130FD5"/>
    <w:rsid w:val="001315CA"/>
    <w:rsid w:val="0013167D"/>
    <w:rsid w:val="001316A2"/>
    <w:rsid w:val="00131B95"/>
    <w:rsid w:val="00131E33"/>
    <w:rsid w:val="00132319"/>
    <w:rsid w:val="001326E5"/>
    <w:rsid w:val="00132AA8"/>
    <w:rsid w:val="00133004"/>
    <w:rsid w:val="0013318B"/>
    <w:rsid w:val="001331B9"/>
    <w:rsid w:val="00133A39"/>
    <w:rsid w:val="00133E2F"/>
    <w:rsid w:val="00133EF7"/>
    <w:rsid w:val="00134116"/>
    <w:rsid w:val="0013416B"/>
    <w:rsid w:val="00134522"/>
    <w:rsid w:val="001345C5"/>
    <w:rsid w:val="00134727"/>
    <w:rsid w:val="00134FE9"/>
    <w:rsid w:val="001351A3"/>
    <w:rsid w:val="00135443"/>
    <w:rsid w:val="00135B14"/>
    <w:rsid w:val="00135B26"/>
    <w:rsid w:val="00135FEE"/>
    <w:rsid w:val="001360FE"/>
    <w:rsid w:val="001362D4"/>
    <w:rsid w:val="001365BE"/>
    <w:rsid w:val="00136884"/>
    <w:rsid w:val="001373EC"/>
    <w:rsid w:val="0013753A"/>
    <w:rsid w:val="0013778B"/>
    <w:rsid w:val="00140672"/>
    <w:rsid w:val="00140F52"/>
    <w:rsid w:val="00140F7C"/>
    <w:rsid w:val="00141289"/>
    <w:rsid w:val="001415AC"/>
    <w:rsid w:val="001416E8"/>
    <w:rsid w:val="00141934"/>
    <w:rsid w:val="00141962"/>
    <w:rsid w:val="0014235A"/>
    <w:rsid w:val="0014242B"/>
    <w:rsid w:val="0014249A"/>
    <w:rsid w:val="00142571"/>
    <w:rsid w:val="0014260E"/>
    <w:rsid w:val="001427DD"/>
    <w:rsid w:val="00142AA6"/>
    <w:rsid w:val="00142E85"/>
    <w:rsid w:val="00142FE7"/>
    <w:rsid w:val="00143131"/>
    <w:rsid w:val="0014357A"/>
    <w:rsid w:val="00143976"/>
    <w:rsid w:val="00144169"/>
    <w:rsid w:val="00144B93"/>
    <w:rsid w:val="00144F08"/>
    <w:rsid w:val="00145498"/>
    <w:rsid w:val="00145E34"/>
    <w:rsid w:val="0014629A"/>
    <w:rsid w:val="00146521"/>
    <w:rsid w:val="00146533"/>
    <w:rsid w:val="00146BFF"/>
    <w:rsid w:val="00146E19"/>
    <w:rsid w:val="00146F86"/>
    <w:rsid w:val="00146F97"/>
    <w:rsid w:val="00147313"/>
    <w:rsid w:val="00150BDA"/>
    <w:rsid w:val="00150D0E"/>
    <w:rsid w:val="0015149C"/>
    <w:rsid w:val="00151546"/>
    <w:rsid w:val="00151733"/>
    <w:rsid w:val="00151768"/>
    <w:rsid w:val="00151A93"/>
    <w:rsid w:val="0015237E"/>
    <w:rsid w:val="001524B4"/>
    <w:rsid w:val="00152A08"/>
    <w:rsid w:val="00152CDD"/>
    <w:rsid w:val="00153321"/>
    <w:rsid w:val="00153387"/>
    <w:rsid w:val="001537A3"/>
    <w:rsid w:val="00153CE5"/>
    <w:rsid w:val="00154018"/>
    <w:rsid w:val="001541EF"/>
    <w:rsid w:val="00154EE3"/>
    <w:rsid w:val="001555E4"/>
    <w:rsid w:val="00155B6B"/>
    <w:rsid w:val="00155CCD"/>
    <w:rsid w:val="0015655B"/>
    <w:rsid w:val="001579A3"/>
    <w:rsid w:val="00160014"/>
    <w:rsid w:val="0016055E"/>
    <w:rsid w:val="00161050"/>
    <w:rsid w:val="001612D0"/>
    <w:rsid w:val="001617F7"/>
    <w:rsid w:val="001619E8"/>
    <w:rsid w:val="001620A2"/>
    <w:rsid w:val="001620C6"/>
    <w:rsid w:val="00162327"/>
    <w:rsid w:val="00162A7D"/>
    <w:rsid w:val="00164448"/>
    <w:rsid w:val="00164767"/>
    <w:rsid w:val="00164BD3"/>
    <w:rsid w:val="00164FEC"/>
    <w:rsid w:val="00165A2A"/>
    <w:rsid w:val="00165CA6"/>
    <w:rsid w:val="00165D6C"/>
    <w:rsid w:val="00165D9B"/>
    <w:rsid w:val="001663BE"/>
    <w:rsid w:val="00167C9A"/>
    <w:rsid w:val="00167EFD"/>
    <w:rsid w:val="00170005"/>
    <w:rsid w:val="001702AA"/>
    <w:rsid w:val="00170D00"/>
    <w:rsid w:val="0017165B"/>
    <w:rsid w:val="00171A10"/>
    <w:rsid w:val="00171ABF"/>
    <w:rsid w:val="00171BBB"/>
    <w:rsid w:val="001724C3"/>
    <w:rsid w:val="001729C1"/>
    <w:rsid w:val="00172F1A"/>
    <w:rsid w:val="0017301A"/>
    <w:rsid w:val="001746C8"/>
    <w:rsid w:val="00174842"/>
    <w:rsid w:val="00174AA0"/>
    <w:rsid w:val="00174BF9"/>
    <w:rsid w:val="00175210"/>
    <w:rsid w:val="00175229"/>
    <w:rsid w:val="0017543C"/>
    <w:rsid w:val="00175A96"/>
    <w:rsid w:val="0017621D"/>
    <w:rsid w:val="00176752"/>
    <w:rsid w:val="001772CF"/>
    <w:rsid w:val="00177AB0"/>
    <w:rsid w:val="00180B00"/>
    <w:rsid w:val="00180B88"/>
    <w:rsid w:val="00181320"/>
    <w:rsid w:val="001813AB"/>
    <w:rsid w:val="00182330"/>
    <w:rsid w:val="00182894"/>
    <w:rsid w:val="0018293A"/>
    <w:rsid w:val="00183044"/>
    <w:rsid w:val="001833AC"/>
    <w:rsid w:val="001839E5"/>
    <w:rsid w:val="00183EE2"/>
    <w:rsid w:val="001842A7"/>
    <w:rsid w:val="00184602"/>
    <w:rsid w:val="00184A83"/>
    <w:rsid w:val="00184D32"/>
    <w:rsid w:val="00184FFC"/>
    <w:rsid w:val="0018526E"/>
    <w:rsid w:val="001856C4"/>
    <w:rsid w:val="00185747"/>
    <w:rsid w:val="00185768"/>
    <w:rsid w:val="00185861"/>
    <w:rsid w:val="00185B8C"/>
    <w:rsid w:val="00186023"/>
    <w:rsid w:val="001862E3"/>
    <w:rsid w:val="00186400"/>
    <w:rsid w:val="00186419"/>
    <w:rsid w:val="00186702"/>
    <w:rsid w:val="00187240"/>
    <w:rsid w:val="00187D32"/>
    <w:rsid w:val="0019033E"/>
    <w:rsid w:val="00190856"/>
    <w:rsid w:val="001912FC"/>
    <w:rsid w:val="00191BC9"/>
    <w:rsid w:val="001926BD"/>
    <w:rsid w:val="00192A06"/>
    <w:rsid w:val="00192B20"/>
    <w:rsid w:val="00193252"/>
    <w:rsid w:val="00193500"/>
    <w:rsid w:val="00193782"/>
    <w:rsid w:val="00194426"/>
    <w:rsid w:val="00194B00"/>
    <w:rsid w:val="00194E7D"/>
    <w:rsid w:val="0019596E"/>
    <w:rsid w:val="00195BFA"/>
    <w:rsid w:val="001960B7"/>
    <w:rsid w:val="001961C1"/>
    <w:rsid w:val="00196341"/>
    <w:rsid w:val="00196782"/>
    <w:rsid w:val="00197274"/>
    <w:rsid w:val="0019744D"/>
    <w:rsid w:val="00197C2F"/>
    <w:rsid w:val="001A0A3B"/>
    <w:rsid w:val="001A0A54"/>
    <w:rsid w:val="001A0AA1"/>
    <w:rsid w:val="001A0CC6"/>
    <w:rsid w:val="001A0D3D"/>
    <w:rsid w:val="001A0DF9"/>
    <w:rsid w:val="001A0F8A"/>
    <w:rsid w:val="001A10FF"/>
    <w:rsid w:val="001A1319"/>
    <w:rsid w:val="001A281C"/>
    <w:rsid w:val="001A2B04"/>
    <w:rsid w:val="001A2DC5"/>
    <w:rsid w:val="001A2E1F"/>
    <w:rsid w:val="001A2F59"/>
    <w:rsid w:val="001A397A"/>
    <w:rsid w:val="001A3EAC"/>
    <w:rsid w:val="001A4481"/>
    <w:rsid w:val="001A453B"/>
    <w:rsid w:val="001A45CB"/>
    <w:rsid w:val="001A4A11"/>
    <w:rsid w:val="001A5003"/>
    <w:rsid w:val="001A54A9"/>
    <w:rsid w:val="001A54CB"/>
    <w:rsid w:val="001A5D75"/>
    <w:rsid w:val="001A5E92"/>
    <w:rsid w:val="001A640B"/>
    <w:rsid w:val="001A644B"/>
    <w:rsid w:val="001A6547"/>
    <w:rsid w:val="001A6719"/>
    <w:rsid w:val="001A68C4"/>
    <w:rsid w:val="001A7170"/>
    <w:rsid w:val="001A762F"/>
    <w:rsid w:val="001A782D"/>
    <w:rsid w:val="001B047B"/>
    <w:rsid w:val="001B1B45"/>
    <w:rsid w:val="001B1F62"/>
    <w:rsid w:val="001B2346"/>
    <w:rsid w:val="001B2A99"/>
    <w:rsid w:val="001B2D8F"/>
    <w:rsid w:val="001B3623"/>
    <w:rsid w:val="001B381D"/>
    <w:rsid w:val="001B38FF"/>
    <w:rsid w:val="001B39AC"/>
    <w:rsid w:val="001B3E7A"/>
    <w:rsid w:val="001B401A"/>
    <w:rsid w:val="001B40B9"/>
    <w:rsid w:val="001B479F"/>
    <w:rsid w:val="001B4C75"/>
    <w:rsid w:val="001B5268"/>
    <w:rsid w:val="001B5862"/>
    <w:rsid w:val="001B6106"/>
    <w:rsid w:val="001B614E"/>
    <w:rsid w:val="001B62EB"/>
    <w:rsid w:val="001B6426"/>
    <w:rsid w:val="001B6498"/>
    <w:rsid w:val="001B65B6"/>
    <w:rsid w:val="001B6E36"/>
    <w:rsid w:val="001B714C"/>
    <w:rsid w:val="001B73D3"/>
    <w:rsid w:val="001C0225"/>
    <w:rsid w:val="001C0425"/>
    <w:rsid w:val="001C06A2"/>
    <w:rsid w:val="001C086D"/>
    <w:rsid w:val="001C08B7"/>
    <w:rsid w:val="001C0ED1"/>
    <w:rsid w:val="001C0F45"/>
    <w:rsid w:val="001C1808"/>
    <w:rsid w:val="001C1AE5"/>
    <w:rsid w:val="001C223F"/>
    <w:rsid w:val="001C247A"/>
    <w:rsid w:val="001C2BBD"/>
    <w:rsid w:val="001C312F"/>
    <w:rsid w:val="001C3345"/>
    <w:rsid w:val="001C3556"/>
    <w:rsid w:val="001C3866"/>
    <w:rsid w:val="001C38E0"/>
    <w:rsid w:val="001C393B"/>
    <w:rsid w:val="001C3CBF"/>
    <w:rsid w:val="001C3E83"/>
    <w:rsid w:val="001C48F0"/>
    <w:rsid w:val="001C4BB8"/>
    <w:rsid w:val="001C511B"/>
    <w:rsid w:val="001C51A5"/>
    <w:rsid w:val="001C5337"/>
    <w:rsid w:val="001C5CCF"/>
    <w:rsid w:val="001C67A9"/>
    <w:rsid w:val="001C67C0"/>
    <w:rsid w:val="001C6B2C"/>
    <w:rsid w:val="001C799A"/>
    <w:rsid w:val="001D06A7"/>
    <w:rsid w:val="001D0C09"/>
    <w:rsid w:val="001D0DF9"/>
    <w:rsid w:val="001D15CE"/>
    <w:rsid w:val="001D2235"/>
    <w:rsid w:val="001D2307"/>
    <w:rsid w:val="001D254B"/>
    <w:rsid w:val="001D33EF"/>
    <w:rsid w:val="001D388E"/>
    <w:rsid w:val="001D4509"/>
    <w:rsid w:val="001D450A"/>
    <w:rsid w:val="001D4623"/>
    <w:rsid w:val="001D5B6B"/>
    <w:rsid w:val="001D5D1E"/>
    <w:rsid w:val="001D5DDB"/>
    <w:rsid w:val="001D5E23"/>
    <w:rsid w:val="001D62C1"/>
    <w:rsid w:val="001D6F22"/>
    <w:rsid w:val="001D6FFF"/>
    <w:rsid w:val="001D71FD"/>
    <w:rsid w:val="001D72E9"/>
    <w:rsid w:val="001D7611"/>
    <w:rsid w:val="001D7751"/>
    <w:rsid w:val="001D7794"/>
    <w:rsid w:val="001D7FE6"/>
    <w:rsid w:val="001E0379"/>
    <w:rsid w:val="001E0819"/>
    <w:rsid w:val="001E16A3"/>
    <w:rsid w:val="001E1AB3"/>
    <w:rsid w:val="001E1C85"/>
    <w:rsid w:val="001E1C91"/>
    <w:rsid w:val="001E1FBA"/>
    <w:rsid w:val="001E250A"/>
    <w:rsid w:val="001E2594"/>
    <w:rsid w:val="001E2ADF"/>
    <w:rsid w:val="001E2D58"/>
    <w:rsid w:val="001E33ED"/>
    <w:rsid w:val="001E3EE7"/>
    <w:rsid w:val="001E4033"/>
    <w:rsid w:val="001E452F"/>
    <w:rsid w:val="001E453E"/>
    <w:rsid w:val="001E4F9D"/>
    <w:rsid w:val="001E5238"/>
    <w:rsid w:val="001E58C3"/>
    <w:rsid w:val="001E5B45"/>
    <w:rsid w:val="001E5DEF"/>
    <w:rsid w:val="001E5E16"/>
    <w:rsid w:val="001E68DA"/>
    <w:rsid w:val="001E6C4C"/>
    <w:rsid w:val="001E6E16"/>
    <w:rsid w:val="001E6F48"/>
    <w:rsid w:val="001E6F4D"/>
    <w:rsid w:val="001E70FA"/>
    <w:rsid w:val="001E7F88"/>
    <w:rsid w:val="001F02BE"/>
    <w:rsid w:val="001F05E1"/>
    <w:rsid w:val="001F0673"/>
    <w:rsid w:val="001F0EC5"/>
    <w:rsid w:val="001F16B0"/>
    <w:rsid w:val="001F2480"/>
    <w:rsid w:val="001F24E3"/>
    <w:rsid w:val="001F2585"/>
    <w:rsid w:val="001F25F7"/>
    <w:rsid w:val="001F2BCB"/>
    <w:rsid w:val="001F422E"/>
    <w:rsid w:val="001F4A07"/>
    <w:rsid w:val="001F4B1B"/>
    <w:rsid w:val="001F506B"/>
    <w:rsid w:val="001F50D9"/>
    <w:rsid w:val="001F5407"/>
    <w:rsid w:val="001F5D3E"/>
    <w:rsid w:val="001F60CB"/>
    <w:rsid w:val="001F6248"/>
    <w:rsid w:val="001F6CAB"/>
    <w:rsid w:val="001F6EB0"/>
    <w:rsid w:val="002000A0"/>
    <w:rsid w:val="002003B7"/>
    <w:rsid w:val="0020060F"/>
    <w:rsid w:val="00200D36"/>
    <w:rsid w:val="0020167E"/>
    <w:rsid w:val="002018E6"/>
    <w:rsid w:val="00201A2B"/>
    <w:rsid w:val="00202370"/>
    <w:rsid w:val="002025B1"/>
    <w:rsid w:val="002027C3"/>
    <w:rsid w:val="00202D79"/>
    <w:rsid w:val="0020398D"/>
    <w:rsid w:val="00203CEB"/>
    <w:rsid w:val="00204F93"/>
    <w:rsid w:val="002051BA"/>
    <w:rsid w:val="002051DF"/>
    <w:rsid w:val="002075B0"/>
    <w:rsid w:val="00207D25"/>
    <w:rsid w:val="00207DBE"/>
    <w:rsid w:val="00210382"/>
    <w:rsid w:val="0021038E"/>
    <w:rsid w:val="002109A6"/>
    <w:rsid w:val="00210B4F"/>
    <w:rsid w:val="00210C53"/>
    <w:rsid w:val="00211921"/>
    <w:rsid w:val="0021226C"/>
    <w:rsid w:val="00212915"/>
    <w:rsid w:val="002135AA"/>
    <w:rsid w:val="00213975"/>
    <w:rsid w:val="00213CCE"/>
    <w:rsid w:val="00213E93"/>
    <w:rsid w:val="00213EF6"/>
    <w:rsid w:val="00214FC1"/>
    <w:rsid w:val="0021500D"/>
    <w:rsid w:val="00215041"/>
    <w:rsid w:val="0021516B"/>
    <w:rsid w:val="0021563B"/>
    <w:rsid w:val="00215FA8"/>
    <w:rsid w:val="002174CF"/>
    <w:rsid w:val="00217717"/>
    <w:rsid w:val="0022004B"/>
    <w:rsid w:val="00220970"/>
    <w:rsid w:val="00220A32"/>
    <w:rsid w:val="00220BF6"/>
    <w:rsid w:val="00221A31"/>
    <w:rsid w:val="00221B28"/>
    <w:rsid w:val="00221D5E"/>
    <w:rsid w:val="00222416"/>
    <w:rsid w:val="00222485"/>
    <w:rsid w:val="00222487"/>
    <w:rsid w:val="002227CB"/>
    <w:rsid w:val="00222A94"/>
    <w:rsid w:val="0022323B"/>
    <w:rsid w:val="00223244"/>
    <w:rsid w:val="00223A21"/>
    <w:rsid w:val="00223EF9"/>
    <w:rsid w:val="00223FC7"/>
    <w:rsid w:val="002240FC"/>
    <w:rsid w:val="002253E6"/>
    <w:rsid w:val="002254A1"/>
    <w:rsid w:val="00225B04"/>
    <w:rsid w:val="00225DCB"/>
    <w:rsid w:val="00225E1E"/>
    <w:rsid w:val="002261C4"/>
    <w:rsid w:val="00226608"/>
    <w:rsid w:val="00226AC7"/>
    <w:rsid w:val="0022751C"/>
    <w:rsid w:val="00227D0F"/>
    <w:rsid w:val="002308A2"/>
    <w:rsid w:val="00230A28"/>
    <w:rsid w:val="00230AF9"/>
    <w:rsid w:val="002315E1"/>
    <w:rsid w:val="002316BF"/>
    <w:rsid w:val="0023183E"/>
    <w:rsid w:val="00231A1F"/>
    <w:rsid w:val="00232184"/>
    <w:rsid w:val="0023229C"/>
    <w:rsid w:val="00232361"/>
    <w:rsid w:val="002323B8"/>
    <w:rsid w:val="002324AB"/>
    <w:rsid w:val="00233122"/>
    <w:rsid w:val="00233885"/>
    <w:rsid w:val="002338E9"/>
    <w:rsid w:val="00233E2F"/>
    <w:rsid w:val="002343BA"/>
    <w:rsid w:val="00234935"/>
    <w:rsid w:val="00234B3B"/>
    <w:rsid w:val="00234C21"/>
    <w:rsid w:val="0023587A"/>
    <w:rsid w:val="00235D59"/>
    <w:rsid w:val="00235FFA"/>
    <w:rsid w:val="002368A8"/>
    <w:rsid w:val="002368BD"/>
    <w:rsid w:val="00236DB3"/>
    <w:rsid w:val="00236DC4"/>
    <w:rsid w:val="00237A17"/>
    <w:rsid w:val="00237D0F"/>
    <w:rsid w:val="00237D17"/>
    <w:rsid w:val="00237DA6"/>
    <w:rsid w:val="0024059D"/>
    <w:rsid w:val="00240BCE"/>
    <w:rsid w:val="002410E4"/>
    <w:rsid w:val="0024181C"/>
    <w:rsid w:val="0024183B"/>
    <w:rsid w:val="00241967"/>
    <w:rsid w:val="00241B4C"/>
    <w:rsid w:val="00241EDA"/>
    <w:rsid w:val="00242C24"/>
    <w:rsid w:val="00243A35"/>
    <w:rsid w:val="00243C0A"/>
    <w:rsid w:val="00243E27"/>
    <w:rsid w:val="00243FB9"/>
    <w:rsid w:val="00244DE2"/>
    <w:rsid w:val="00244EEC"/>
    <w:rsid w:val="002454C3"/>
    <w:rsid w:val="0024631A"/>
    <w:rsid w:val="0024649B"/>
    <w:rsid w:val="002465E8"/>
    <w:rsid w:val="00246738"/>
    <w:rsid w:val="0024688C"/>
    <w:rsid w:val="00246AA7"/>
    <w:rsid w:val="00246C88"/>
    <w:rsid w:val="00246DA2"/>
    <w:rsid w:val="00246F41"/>
    <w:rsid w:val="0024712A"/>
    <w:rsid w:val="00247256"/>
    <w:rsid w:val="002472C9"/>
    <w:rsid w:val="002472D3"/>
    <w:rsid w:val="0024746A"/>
    <w:rsid w:val="0024798C"/>
    <w:rsid w:val="00247BEF"/>
    <w:rsid w:val="00247DFC"/>
    <w:rsid w:val="00247E58"/>
    <w:rsid w:val="00250660"/>
    <w:rsid w:val="00250B80"/>
    <w:rsid w:val="00250E49"/>
    <w:rsid w:val="00250EE2"/>
    <w:rsid w:val="00251844"/>
    <w:rsid w:val="00251BA8"/>
    <w:rsid w:val="00251C60"/>
    <w:rsid w:val="00251E8B"/>
    <w:rsid w:val="00252591"/>
    <w:rsid w:val="002530A6"/>
    <w:rsid w:val="002530C1"/>
    <w:rsid w:val="0025396E"/>
    <w:rsid w:val="00253BB0"/>
    <w:rsid w:val="002544A8"/>
    <w:rsid w:val="00254793"/>
    <w:rsid w:val="00254ACE"/>
    <w:rsid w:val="00254C3A"/>
    <w:rsid w:val="00254D2B"/>
    <w:rsid w:val="00254F44"/>
    <w:rsid w:val="00255013"/>
    <w:rsid w:val="002557C2"/>
    <w:rsid w:val="00255890"/>
    <w:rsid w:val="002567C1"/>
    <w:rsid w:val="00256B6F"/>
    <w:rsid w:val="00257331"/>
    <w:rsid w:val="00257860"/>
    <w:rsid w:val="00257A69"/>
    <w:rsid w:val="00257B0F"/>
    <w:rsid w:val="00257B5B"/>
    <w:rsid w:val="0026001D"/>
    <w:rsid w:val="002600A4"/>
    <w:rsid w:val="0026045A"/>
    <w:rsid w:val="00260784"/>
    <w:rsid w:val="00261358"/>
    <w:rsid w:val="002615CE"/>
    <w:rsid w:val="00261B8C"/>
    <w:rsid w:val="00261DA3"/>
    <w:rsid w:val="002623D7"/>
    <w:rsid w:val="002624E0"/>
    <w:rsid w:val="002626A1"/>
    <w:rsid w:val="002626DF"/>
    <w:rsid w:val="00262B17"/>
    <w:rsid w:val="00263225"/>
    <w:rsid w:val="002637C5"/>
    <w:rsid w:val="00263924"/>
    <w:rsid w:val="00263E2B"/>
    <w:rsid w:val="00263F90"/>
    <w:rsid w:val="0026412C"/>
    <w:rsid w:val="002642E6"/>
    <w:rsid w:val="00264651"/>
    <w:rsid w:val="00264AB4"/>
    <w:rsid w:val="00264D00"/>
    <w:rsid w:val="00265A32"/>
    <w:rsid w:val="00265A42"/>
    <w:rsid w:val="00265D79"/>
    <w:rsid w:val="002661DB"/>
    <w:rsid w:val="002661E2"/>
    <w:rsid w:val="00266640"/>
    <w:rsid w:val="002667BD"/>
    <w:rsid w:val="002667F9"/>
    <w:rsid w:val="00266AF8"/>
    <w:rsid w:val="00266D6B"/>
    <w:rsid w:val="0026769B"/>
    <w:rsid w:val="002677B8"/>
    <w:rsid w:val="00270740"/>
    <w:rsid w:val="002708CD"/>
    <w:rsid w:val="002709CD"/>
    <w:rsid w:val="00270AE4"/>
    <w:rsid w:val="00270CD3"/>
    <w:rsid w:val="0027100F"/>
    <w:rsid w:val="002710C2"/>
    <w:rsid w:val="002712C7"/>
    <w:rsid w:val="002715CF"/>
    <w:rsid w:val="002722DA"/>
    <w:rsid w:val="00272899"/>
    <w:rsid w:val="00272953"/>
    <w:rsid w:val="0027393B"/>
    <w:rsid w:val="00273DC2"/>
    <w:rsid w:val="0027412C"/>
    <w:rsid w:val="0027417A"/>
    <w:rsid w:val="0027447B"/>
    <w:rsid w:val="0027486E"/>
    <w:rsid w:val="00274CC7"/>
    <w:rsid w:val="002758B0"/>
    <w:rsid w:val="0027594F"/>
    <w:rsid w:val="0027631C"/>
    <w:rsid w:val="00276D86"/>
    <w:rsid w:val="00276FE8"/>
    <w:rsid w:val="00277208"/>
    <w:rsid w:val="0027725F"/>
    <w:rsid w:val="00277403"/>
    <w:rsid w:val="00277784"/>
    <w:rsid w:val="00277CC6"/>
    <w:rsid w:val="002801E3"/>
    <w:rsid w:val="00280204"/>
    <w:rsid w:val="00280379"/>
    <w:rsid w:val="00280443"/>
    <w:rsid w:val="002809E0"/>
    <w:rsid w:val="00280CB0"/>
    <w:rsid w:val="00281515"/>
    <w:rsid w:val="0028183D"/>
    <w:rsid w:val="00281AD3"/>
    <w:rsid w:val="00281DF0"/>
    <w:rsid w:val="002821B0"/>
    <w:rsid w:val="00283A53"/>
    <w:rsid w:val="00283C99"/>
    <w:rsid w:val="00284760"/>
    <w:rsid w:val="0028482F"/>
    <w:rsid w:val="00284F82"/>
    <w:rsid w:val="00285368"/>
    <w:rsid w:val="0028563B"/>
    <w:rsid w:val="00285E5A"/>
    <w:rsid w:val="0028621C"/>
    <w:rsid w:val="0028635D"/>
    <w:rsid w:val="0028681C"/>
    <w:rsid w:val="002869B2"/>
    <w:rsid w:val="00286A6A"/>
    <w:rsid w:val="00286F4B"/>
    <w:rsid w:val="00287633"/>
    <w:rsid w:val="00291899"/>
    <w:rsid w:val="00291C2B"/>
    <w:rsid w:val="00291DA5"/>
    <w:rsid w:val="00292561"/>
    <w:rsid w:val="002925F9"/>
    <w:rsid w:val="00292BA9"/>
    <w:rsid w:val="00292C7B"/>
    <w:rsid w:val="00292F6E"/>
    <w:rsid w:val="0029352B"/>
    <w:rsid w:val="00293FBB"/>
    <w:rsid w:val="00293FFE"/>
    <w:rsid w:val="00294006"/>
    <w:rsid w:val="002941D9"/>
    <w:rsid w:val="00294F4F"/>
    <w:rsid w:val="002952D3"/>
    <w:rsid w:val="002953A8"/>
    <w:rsid w:val="00295461"/>
    <w:rsid w:val="002955D3"/>
    <w:rsid w:val="002960FF"/>
    <w:rsid w:val="0029635E"/>
    <w:rsid w:val="0029639E"/>
    <w:rsid w:val="002965FF"/>
    <w:rsid w:val="002966C1"/>
    <w:rsid w:val="00296CF3"/>
    <w:rsid w:val="00297CE8"/>
    <w:rsid w:val="002A030F"/>
    <w:rsid w:val="002A075E"/>
    <w:rsid w:val="002A07B7"/>
    <w:rsid w:val="002A0863"/>
    <w:rsid w:val="002A0A8F"/>
    <w:rsid w:val="002A0ABA"/>
    <w:rsid w:val="002A1449"/>
    <w:rsid w:val="002A1A72"/>
    <w:rsid w:val="002A1FCE"/>
    <w:rsid w:val="002A2A59"/>
    <w:rsid w:val="002A3BF5"/>
    <w:rsid w:val="002A53EF"/>
    <w:rsid w:val="002A59DD"/>
    <w:rsid w:val="002A5AE6"/>
    <w:rsid w:val="002A5CAB"/>
    <w:rsid w:val="002A5DE2"/>
    <w:rsid w:val="002A68E0"/>
    <w:rsid w:val="002A6B8B"/>
    <w:rsid w:val="002A761B"/>
    <w:rsid w:val="002A79A7"/>
    <w:rsid w:val="002A7F9F"/>
    <w:rsid w:val="002B0BF6"/>
    <w:rsid w:val="002B0C73"/>
    <w:rsid w:val="002B0D65"/>
    <w:rsid w:val="002B10CC"/>
    <w:rsid w:val="002B1244"/>
    <w:rsid w:val="002B16AE"/>
    <w:rsid w:val="002B17EA"/>
    <w:rsid w:val="002B1DA1"/>
    <w:rsid w:val="002B1ED3"/>
    <w:rsid w:val="002B2146"/>
    <w:rsid w:val="002B23AB"/>
    <w:rsid w:val="002B2C6F"/>
    <w:rsid w:val="002B307B"/>
    <w:rsid w:val="002B353C"/>
    <w:rsid w:val="002B3542"/>
    <w:rsid w:val="002B3717"/>
    <w:rsid w:val="002B3859"/>
    <w:rsid w:val="002B4071"/>
    <w:rsid w:val="002B48EE"/>
    <w:rsid w:val="002B4B43"/>
    <w:rsid w:val="002B4DAC"/>
    <w:rsid w:val="002B4F29"/>
    <w:rsid w:val="002B5280"/>
    <w:rsid w:val="002B53CA"/>
    <w:rsid w:val="002B5556"/>
    <w:rsid w:val="002B559B"/>
    <w:rsid w:val="002B5F06"/>
    <w:rsid w:val="002B6257"/>
    <w:rsid w:val="002B63E7"/>
    <w:rsid w:val="002B649C"/>
    <w:rsid w:val="002B69A6"/>
    <w:rsid w:val="002B69AC"/>
    <w:rsid w:val="002B6C66"/>
    <w:rsid w:val="002B70F0"/>
    <w:rsid w:val="002B73A0"/>
    <w:rsid w:val="002B78D7"/>
    <w:rsid w:val="002B7B8F"/>
    <w:rsid w:val="002C01EB"/>
    <w:rsid w:val="002C0366"/>
    <w:rsid w:val="002C0941"/>
    <w:rsid w:val="002C0A7B"/>
    <w:rsid w:val="002C0E3B"/>
    <w:rsid w:val="002C0E45"/>
    <w:rsid w:val="002C0EA0"/>
    <w:rsid w:val="002C1209"/>
    <w:rsid w:val="002C1270"/>
    <w:rsid w:val="002C1990"/>
    <w:rsid w:val="002C27BE"/>
    <w:rsid w:val="002C2F09"/>
    <w:rsid w:val="002C3070"/>
    <w:rsid w:val="002C3674"/>
    <w:rsid w:val="002C3838"/>
    <w:rsid w:val="002C3F5A"/>
    <w:rsid w:val="002C405A"/>
    <w:rsid w:val="002C425F"/>
    <w:rsid w:val="002C4328"/>
    <w:rsid w:val="002C47F4"/>
    <w:rsid w:val="002C49D7"/>
    <w:rsid w:val="002C5321"/>
    <w:rsid w:val="002C539F"/>
    <w:rsid w:val="002C545C"/>
    <w:rsid w:val="002C5744"/>
    <w:rsid w:val="002C57C2"/>
    <w:rsid w:val="002C5BF3"/>
    <w:rsid w:val="002C6090"/>
    <w:rsid w:val="002C69FA"/>
    <w:rsid w:val="002C6C37"/>
    <w:rsid w:val="002C7232"/>
    <w:rsid w:val="002C72D5"/>
    <w:rsid w:val="002C7709"/>
    <w:rsid w:val="002C77B0"/>
    <w:rsid w:val="002C7A52"/>
    <w:rsid w:val="002C7C02"/>
    <w:rsid w:val="002D0D51"/>
    <w:rsid w:val="002D1CD3"/>
    <w:rsid w:val="002D1CD9"/>
    <w:rsid w:val="002D2058"/>
    <w:rsid w:val="002D2583"/>
    <w:rsid w:val="002D2AB0"/>
    <w:rsid w:val="002D317E"/>
    <w:rsid w:val="002D3926"/>
    <w:rsid w:val="002D3966"/>
    <w:rsid w:val="002D3B47"/>
    <w:rsid w:val="002D49E8"/>
    <w:rsid w:val="002D573F"/>
    <w:rsid w:val="002D5B7E"/>
    <w:rsid w:val="002D6491"/>
    <w:rsid w:val="002D6716"/>
    <w:rsid w:val="002D6CD9"/>
    <w:rsid w:val="002D74DB"/>
    <w:rsid w:val="002D7721"/>
    <w:rsid w:val="002D7A99"/>
    <w:rsid w:val="002D7CC1"/>
    <w:rsid w:val="002D7E36"/>
    <w:rsid w:val="002E1381"/>
    <w:rsid w:val="002E1BB2"/>
    <w:rsid w:val="002E23A6"/>
    <w:rsid w:val="002E2FD3"/>
    <w:rsid w:val="002E31E3"/>
    <w:rsid w:val="002E33AC"/>
    <w:rsid w:val="002E3488"/>
    <w:rsid w:val="002E3C1E"/>
    <w:rsid w:val="002E444C"/>
    <w:rsid w:val="002E47F5"/>
    <w:rsid w:val="002E481C"/>
    <w:rsid w:val="002E4B98"/>
    <w:rsid w:val="002E522D"/>
    <w:rsid w:val="002E55ED"/>
    <w:rsid w:val="002E5710"/>
    <w:rsid w:val="002E57C3"/>
    <w:rsid w:val="002E58FB"/>
    <w:rsid w:val="002E5978"/>
    <w:rsid w:val="002E669D"/>
    <w:rsid w:val="002E69D7"/>
    <w:rsid w:val="002E6C83"/>
    <w:rsid w:val="002E6F66"/>
    <w:rsid w:val="002E7181"/>
    <w:rsid w:val="002E74F1"/>
    <w:rsid w:val="002E7B2F"/>
    <w:rsid w:val="002F05CF"/>
    <w:rsid w:val="002F0623"/>
    <w:rsid w:val="002F0CD0"/>
    <w:rsid w:val="002F0D8B"/>
    <w:rsid w:val="002F11BC"/>
    <w:rsid w:val="002F1B5B"/>
    <w:rsid w:val="002F2268"/>
    <w:rsid w:val="002F2540"/>
    <w:rsid w:val="002F2698"/>
    <w:rsid w:val="002F2937"/>
    <w:rsid w:val="002F2C6D"/>
    <w:rsid w:val="002F3266"/>
    <w:rsid w:val="002F3EAD"/>
    <w:rsid w:val="002F4C68"/>
    <w:rsid w:val="002F4E3D"/>
    <w:rsid w:val="002F4FBA"/>
    <w:rsid w:val="002F50EF"/>
    <w:rsid w:val="002F51B8"/>
    <w:rsid w:val="002F5753"/>
    <w:rsid w:val="002F5810"/>
    <w:rsid w:val="002F5FAE"/>
    <w:rsid w:val="002F7067"/>
    <w:rsid w:val="002F7410"/>
    <w:rsid w:val="002F74E3"/>
    <w:rsid w:val="002F76CA"/>
    <w:rsid w:val="002F7FA5"/>
    <w:rsid w:val="00300092"/>
    <w:rsid w:val="003004AD"/>
    <w:rsid w:val="003007F7"/>
    <w:rsid w:val="00300D96"/>
    <w:rsid w:val="003013D6"/>
    <w:rsid w:val="003015A8"/>
    <w:rsid w:val="00301B71"/>
    <w:rsid w:val="0030238D"/>
    <w:rsid w:val="0030255B"/>
    <w:rsid w:val="003025E0"/>
    <w:rsid w:val="0030279B"/>
    <w:rsid w:val="003029A8"/>
    <w:rsid w:val="00302B61"/>
    <w:rsid w:val="0030343F"/>
    <w:rsid w:val="0030345B"/>
    <w:rsid w:val="00303908"/>
    <w:rsid w:val="00303BED"/>
    <w:rsid w:val="003047E0"/>
    <w:rsid w:val="00304B78"/>
    <w:rsid w:val="00304E81"/>
    <w:rsid w:val="0030513E"/>
    <w:rsid w:val="003051C1"/>
    <w:rsid w:val="003053AF"/>
    <w:rsid w:val="00305BC7"/>
    <w:rsid w:val="00305E7F"/>
    <w:rsid w:val="003063FA"/>
    <w:rsid w:val="00306542"/>
    <w:rsid w:val="00306DFF"/>
    <w:rsid w:val="00306F85"/>
    <w:rsid w:val="003077C1"/>
    <w:rsid w:val="0030796B"/>
    <w:rsid w:val="00307A34"/>
    <w:rsid w:val="00307FE9"/>
    <w:rsid w:val="003107E0"/>
    <w:rsid w:val="003109F0"/>
    <w:rsid w:val="003118B8"/>
    <w:rsid w:val="00311B31"/>
    <w:rsid w:val="003120FE"/>
    <w:rsid w:val="00313022"/>
    <w:rsid w:val="00313502"/>
    <w:rsid w:val="003135A6"/>
    <w:rsid w:val="00313C8C"/>
    <w:rsid w:val="00314126"/>
    <w:rsid w:val="00314281"/>
    <w:rsid w:val="00314468"/>
    <w:rsid w:val="0031458B"/>
    <w:rsid w:val="0031458E"/>
    <w:rsid w:val="00314620"/>
    <w:rsid w:val="0031473B"/>
    <w:rsid w:val="00314951"/>
    <w:rsid w:val="00314B23"/>
    <w:rsid w:val="003157D0"/>
    <w:rsid w:val="003158AD"/>
    <w:rsid w:val="003161C7"/>
    <w:rsid w:val="00316685"/>
    <w:rsid w:val="00316D5D"/>
    <w:rsid w:val="0031740E"/>
    <w:rsid w:val="00317526"/>
    <w:rsid w:val="00317606"/>
    <w:rsid w:val="003203D5"/>
    <w:rsid w:val="003203F6"/>
    <w:rsid w:val="00320563"/>
    <w:rsid w:val="00320CD2"/>
    <w:rsid w:val="00320F71"/>
    <w:rsid w:val="00321405"/>
    <w:rsid w:val="003215AB"/>
    <w:rsid w:val="00321814"/>
    <w:rsid w:val="00321DE1"/>
    <w:rsid w:val="0032237A"/>
    <w:rsid w:val="00322AB9"/>
    <w:rsid w:val="00322C62"/>
    <w:rsid w:val="00322E20"/>
    <w:rsid w:val="00323917"/>
    <w:rsid w:val="003239E3"/>
    <w:rsid w:val="00323A5A"/>
    <w:rsid w:val="00323A82"/>
    <w:rsid w:val="00323E2D"/>
    <w:rsid w:val="00324038"/>
    <w:rsid w:val="00324865"/>
    <w:rsid w:val="00324AC7"/>
    <w:rsid w:val="00324BB2"/>
    <w:rsid w:val="0032569B"/>
    <w:rsid w:val="00325B9E"/>
    <w:rsid w:val="00325C33"/>
    <w:rsid w:val="00325CE9"/>
    <w:rsid w:val="00325CEF"/>
    <w:rsid w:val="00325D4A"/>
    <w:rsid w:val="00325ECD"/>
    <w:rsid w:val="00326422"/>
    <w:rsid w:val="00327804"/>
    <w:rsid w:val="00327F11"/>
    <w:rsid w:val="00327FCF"/>
    <w:rsid w:val="003305AE"/>
    <w:rsid w:val="00330E21"/>
    <w:rsid w:val="00330EBD"/>
    <w:rsid w:val="0033173C"/>
    <w:rsid w:val="00331808"/>
    <w:rsid w:val="003333A2"/>
    <w:rsid w:val="003334DF"/>
    <w:rsid w:val="003338A3"/>
    <w:rsid w:val="00333ABA"/>
    <w:rsid w:val="00334589"/>
    <w:rsid w:val="003345C7"/>
    <w:rsid w:val="00335826"/>
    <w:rsid w:val="003358DB"/>
    <w:rsid w:val="00336233"/>
    <w:rsid w:val="0033672F"/>
    <w:rsid w:val="003370C1"/>
    <w:rsid w:val="00337366"/>
    <w:rsid w:val="003377D8"/>
    <w:rsid w:val="00340F21"/>
    <w:rsid w:val="00340F64"/>
    <w:rsid w:val="0034129D"/>
    <w:rsid w:val="003417BE"/>
    <w:rsid w:val="00342162"/>
    <w:rsid w:val="003422AB"/>
    <w:rsid w:val="0034243A"/>
    <w:rsid w:val="00342E93"/>
    <w:rsid w:val="003430F7"/>
    <w:rsid w:val="00343ABD"/>
    <w:rsid w:val="00343B8E"/>
    <w:rsid w:val="00343E55"/>
    <w:rsid w:val="00344322"/>
    <w:rsid w:val="0034433F"/>
    <w:rsid w:val="00344E89"/>
    <w:rsid w:val="00345303"/>
    <w:rsid w:val="0034537F"/>
    <w:rsid w:val="003454A9"/>
    <w:rsid w:val="0034557E"/>
    <w:rsid w:val="003458FC"/>
    <w:rsid w:val="00345DED"/>
    <w:rsid w:val="00345E6E"/>
    <w:rsid w:val="003461CC"/>
    <w:rsid w:val="00346BD2"/>
    <w:rsid w:val="00347840"/>
    <w:rsid w:val="00347D3E"/>
    <w:rsid w:val="0035020A"/>
    <w:rsid w:val="0035039D"/>
    <w:rsid w:val="00350445"/>
    <w:rsid w:val="00350913"/>
    <w:rsid w:val="003509BA"/>
    <w:rsid w:val="00350BFF"/>
    <w:rsid w:val="00350DC4"/>
    <w:rsid w:val="00351058"/>
    <w:rsid w:val="00351257"/>
    <w:rsid w:val="003512E8"/>
    <w:rsid w:val="00351793"/>
    <w:rsid w:val="00351822"/>
    <w:rsid w:val="00351A84"/>
    <w:rsid w:val="00351B54"/>
    <w:rsid w:val="00351D84"/>
    <w:rsid w:val="00351DCF"/>
    <w:rsid w:val="00351FE2"/>
    <w:rsid w:val="00352440"/>
    <w:rsid w:val="00352C01"/>
    <w:rsid w:val="00352E48"/>
    <w:rsid w:val="00353175"/>
    <w:rsid w:val="0035321C"/>
    <w:rsid w:val="003532D9"/>
    <w:rsid w:val="0035358C"/>
    <w:rsid w:val="003539B3"/>
    <w:rsid w:val="00353AD8"/>
    <w:rsid w:val="00354540"/>
    <w:rsid w:val="00354B6C"/>
    <w:rsid w:val="00354F66"/>
    <w:rsid w:val="003553C0"/>
    <w:rsid w:val="00355741"/>
    <w:rsid w:val="00355E39"/>
    <w:rsid w:val="00355FDD"/>
    <w:rsid w:val="00356152"/>
    <w:rsid w:val="0035659A"/>
    <w:rsid w:val="0035666B"/>
    <w:rsid w:val="00356714"/>
    <w:rsid w:val="00356A90"/>
    <w:rsid w:val="00356D88"/>
    <w:rsid w:val="00356ECE"/>
    <w:rsid w:val="00357176"/>
    <w:rsid w:val="003577E8"/>
    <w:rsid w:val="00357F4B"/>
    <w:rsid w:val="00360853"/>
    <w:rsid w:val="00360880"/>
    <w:rsid w:val="00360C5A"/>
    <w:rsid w:val="00360E0F"/>
    <w:rsid w:val="00361F8C"/>
    <w:rsid w:val="00362169"/>
    <w:rsid w:val="00362193"/>
    <w:rsid w:val="0036252B"/>
    <w:rsid w:val="003630BE"/>
    <w:rsid w:val="00363350"/>
    <w:rsid w:val="0036336A"/>
    <w:rsid w:val="00364393"/>
    <w:rsid w:val="003658F6"/>
    <w:rsid w:val="00366148"/>
    <w:rsid w:val="003667BE"/>
    <w:rsid w:val="003674A3"/>
    <w:rsid w:val="00367524"/>
    <w:rsid w:val="00367642"/>
    <w:rsid w:val="0036772E"/>
    <w:rsid w:val="00367819"/>
    <w:rsid w:val="00367AF8"/>
    <w:rsid w:val="00370938"/>
    <w:rsid w:val="00370C2F"/>
    <w:rsid w:val="00370CE7"/>
    <w:rsid w:val="0037162E"/>
    <w:rsid w:val="00371AB9"/>
    <w:rsid w:val="00371D69"/>
    <w:rsid w:val="00371E10"/>
    <w:rsid w:val="00372169"/>
    <w:rsid w:val="00372641"/>
    <w:rsid w:val="00372726"/>
    <w:rsid w:val="00372A0E"/>
    <w:rsid w:val="00372EE1"/>
    <w:rsid w:val="00373D0A"/>
    <w:rsid w:val="00374616"/>
    <w:rsid w:val="00375163"/>
    <w:rsid w:val="00375165"/>
    <w:rsid w:val="00375752"/>
    <w:rsid w:val="003757DA"/>
    <w:rsid w:val="00375915"/>
    <w:rsid w:val="00375AC0"/>
    <w:rsid w:val="00375DEE"/>
    <w:rsid w:val="0037641E"/>
    <w:rsid w:val="00377026"/>
    <w:rsid w:val="003770D5"/>
    <w:rsid w:val="00377844"/>
    <w:rsid w:val="00377C4B"/>
    <w:rsid w:val="00377C53"/>
    <w:rsid w:val="003809E1"/>
    <w:rsid w:val="0038126D"/>
    <w:rsid w:val="003816EC"/>
    <w:rsid w:val="00381BDF"/>
    <w:rsid w:val="00382C51"/>
    <w:rsid w:val="00382ECB"/>
    <w:rsid w:val="003833D6"/>
    <w:rsid w:val="00383594"/>
    <w:rsid w:val="00383A8A"/>
    <w:rsid w:val="00383CA2"/>
    <w:rsid w:val="003842B7"/>
    <w:rsid w:val="00384CF5"/>
    <w:rsid w:val="00385064"/>
    <w:rsid w:val="00385287"/>
    <w:rsid w:val="00385433"/>
    <w:rsid w:val="00385BE1"/>
    <w:rsid w:val="003861DA"/>
    <w:rsid w:val="003868AA"/>
    <w:rsid w:val="00386C30"/>
    <w:rsid w:val="00386E88"/>
    <w:rsid w:val="003872B1"/>
    <w:rsid w:val="0038774B"/>
    <w:rsid w:val="00387783"/>
    <w:rsid w:val="00387A35"/>
    <w:rsid w:val="00390265"/>
    <w:rsid w:val="003902EC"/>
    <w:rsid w:val="00390602"/>
    <w:rsid w:val="00390C0E"/>
    <w:rsid w:val="00390C9F"/>
    <w:rsid w:val="00390E8A"/>
    <w:rsid w:val="00391C23"/>
    <w:rsid w:val="0039243F"/>
    <w:rsid w:val="003926C7"/>
    <w:rsid w:val="00392AAE"/>
    <w:rsid w:val="00392B4A"/>
    <w:rsid w:val="00392E71"/>
    <w:rsid w:val="00392F39"/>
    <w:rsid w:val="00392FFB"/>
    <w:rsid w:val="00393403"/>
    <w:rsid w:val="00393586"/>
    <w:rsid w:val="00393777"/>
    <w:rsid w:val="00394037"/>
    <w:rsid w:val="0039407E"/>
    <w:rsid w:val="003946F8"/>
    <w:rsid w:val="00394A35"/>
    <w:rsid w:val="00394D19"/>
    <w:rsid w:val="00394F37"/>
    <w:rsid w:val="003950F2"/>
    <w:rsid w:val="0039512F"/>
    <w:rsid w:val="00395896"/>
    <w:rsid w:val="00395AB5"/>
    <w:rsid w:val="00395D9E"/>
    <w:rsid w:val="0039607A"/>
    <w:rsid w:val="0039637F"/>
    <w:rsid w:val="003970B7"/>
    <w:rsid w:val="003975FF"/>
    <w:rsid w:val="003976A6"/>
    <w:rsid w:val="00397C90"/>
    <w:rsid w:val="00397E7A"/>
    <w:rsid w:val="003A0193"/>
    <w:rsid w:val="003A03AB"/>
    <w:rsid w:val="003A065A"/>
    <w:rsid w:val="003A0C7E"/>
    <w:rsid w:val="003A0CC1"/>
    <w:rsid w:val="003A20AA"/>
    <w:rsid w:val="003A2397"/>
    <w:rsid w:val="003A25A2"/>
    <w:rsid w:val="003A2A7B"/>
    <w:rsid w:val="003A30C3"/>
    <w:rsid w:val="003A31E7"/>
    <w:rsid w:val="003A3711"/>
    <w:rsid w:val="003A39FC"/>
    <w:rsid w:val="003A3A07"/>
    <w:rsid w:val="003A47AB"/>
    <w:rsid w:val="003A4E1E"/>
    <w:rsid w:val="003A51D4"/>
    <w:rsid w:val="003A52F3"/>
    <w:rsid w:val="003A585A"/>
    <w:rsid w:val="003A59D8"/>
    <w:rsid w:val="003A5C1A"/>
    <w:rsid w:val="003A5F63"/>
    <w:rsid w:val="003A65F5"/>
    <w:rsid w:val="003A662F"/>
    <w:rsid w:val="003A6944"/>
    <w:rsid w:val="003A6C4E"/>
    <w:rsid w:val="003A6F8C"/>
    <w:rsid w:val="003A7261"/>
    <w:rsid w:val="003A7663"/>
    <w:rsid w:val="003A7C1D"/>
    <w:rsid w:val="003A7D57"/>
    <w:rsid w:val="003A7F6D"/>
    <w:rsid w:val="003B00C0"/>
    <w:rsid w:val="003B02FF"/>
    <w:rsid w:val="003B0CF6"/>
    <w:rsid w:val="003B104D"/>
    <w:rsid w:val="003B131C"/>
    <w:rsid w:val="003B2D42"/>
    <w:rsid w:val="003B2D5E"/>
    <w:rsid w:val="003B3189"/>
    <w:rsid w:val="003B3833"/>
    <w:rsid w:val="003B3ACA"/>
    <w:rsid w:val="003B3B4A"/>
    <w:rsid w:val="003B3E3C"/>
    <w:rsid w:val="003B451A"/>
    <w:rsid w:val="003B477F"/>
    <w:rsid w:val="003B4AD8"/>
    <w:rsid w:val="003B5110"/>
    <w:rsid w:val="003B5700"/>
    <w:rsid w:val="003B6780"/>
    <w:rsid w:val="003B6B63"/>
    <w:rsid w:val="003B7046"/>
    <w:rsid w:val="003B7305"/>
    <w:rsid w:val="003B776A"/>
    <w:rsid w:val="003B7F1A"/>
    <w:rsid w:val="003C03DC"/>
    <w:rsid w:val="003C0C72"/>
    <w:rsid w:val="003C0CD3"/>
    <w:rsid w:val="003C1228"/>
    <w:rsid w:val="003C1335"/>
    <w:rsid w:val="003C169C"/>
    <w:rsid w:val="003C16C3"/>
    <w:rsid w:val="003C1735"/>
    <w:rsid w:val="003C223E"/>
    <w:rsid w:val="003C227D"/>
    <w:rsid w:val="003C24CE"/>
    <w:rsid w:val="003C3173"/>
    <w:rsid w:val="003C357B"/>
    <w:rsid w:val="003C365A"/>
    <w:rsid w:val="003C43BA"/>
    <w:rsid w:val="003C43D7"/>
    <w:rsid w:val="003C4E10"/>
    <w:rsid w:val="003C4F81"/>
    <w:rsid w:val="003C5684"/>
    <w:rsid w:val="003C59BC"/>
    <w:rsid w:val="003C59D8"/>
    <w:rsid w:val="003C5AE8"/>
    <w:rsid w:val="003C5D09"/>
    <w:rsid w:val="003C5FBE"/>
    <w:rsid w:val="003C5FE9"/>
    <w:rsid w:val="003C6C9B"/>
    <w:rsid w:val="003C732A"/>
    <w:rsid w:val="003C77D4"/>
    <w:rsid w:val="003C7CB4"/>
    <w:rsid w:val="003C7E56"/>
    <w:rsid w:val="003D05B5"/>
    <w:rsid w:val="003D09D3"/>
    <w:rsid w:val="003D0E73"/>
    <w:rsid w:val="003D115B"/>
    <w:rsid w:val="003D1375"/>
    <w:rsid w:val="003D1AE3"/>
    <w:rsid w:val="003D1BC2"/>
    <w:rsid w:val="003D1D90"/>
    <w:rsid w:val="003D2292"/>
    <w:rsid w:val="003D2C35"/>
    <w:rsid w:val="003D2F17"/>
    <w:rsid w:val="003D2F9D"/>
    <w:rsid w:val="003D36EC"/>
    <w:rsid w:val="003D3961"/>
    <w:rsid w:val="003D3D81"/>
    <w:rsid w:val="003D4B5A"/>
    <w:rsid w:val="003D54E4"/>
    <w:rsid w:val="003D556F"/>
    <w:rsid w:val="003D5ABB"/>
    <w:rsid w:val="003D6350"/>
    <w:rsid w:val="003D6541"/>
    <w:rsid w:val="003D6CE0"/>
    <w:rsid w:val="003D6D52"/>
    <w:rsid w:val="003D70C1"/>
    <w:rsid w:val="003D7511"/>
    <w:rsid w:val="003D7CBC"/>
    <w:rsid w:val="003D7CC9"/>
    <w:rsid w:val="003E0CE0"/>
    <w:rsid w:val="003E0D2B"/>
    <w:rsid w:val="003E1A9C"/>
    <w:rsid w:val="003E1E18"/>
    <w:rsid w:val="003E2201"/>
    <w:rsid w:val="003E25C9"/>
    <w:rsid w:val="003E2A6B"/>
    <w:rsid w:val="003E35CE"/>
    <w:rsid w:val="003E3B3A"/>
    <w:rsid w:val="003E3B5C"/>
    <w:rsid w:val="003E4F9C"/>
    <w:rsid w:val="003E52A4"/>
    <w:rsid w:val="003E559A"/>
    <w:rsid w:val="003E567B"/>
    <w:rsid w:val="003E5726"/>
    <w:rsid w:val="003E5E1D"/>
    <w:rsid w:val="003E641A"/>
    <w:rsid w:val="003E687C"/>
    <w:rsid w:val="003E68D6"/>
    <w:rsid w:val="003E6992"/>
    <w:rsid w:val="003E6D4B"/>
    <w:rsid w:val="003E777E"/>
    <w:rsid w:val="003E796B"/>
    <w:rsid w:val="003E7AAB"/>
    <w:rsid w:val="003E7FE1"/>
    <w:rsid w:val="003E7FFB"/>
    <w:rsid w:val="003F0198"/>
    <w:rsid w:val="003F0477"/>
    <w:rsid w:val="003F1220"/>
    <w:rsid w:val="003F1353"/>
    <w:rsid w:val="003F1C75"/>
    <w:rsid w:val="003F20DA"/>
    <w:rsid w:val="003F2323"/>
    <w:rsid w:val="003F286B"/>
    <w:rsid w:val="003F29C7"/>
    <w:rsid w:val="003F3DDF"/>
    <w:rsid w:val="003F42A0"/>
    <w:rsid w:val="003F47C8"/>
    <w:rsid w:val="003F4BD9"/>
    <w:rsid w:val="003F4D79"/>
    <w:rsid w:val="003F5087"/>
    <w:rsid w:val="003F52CC"/>
    <w:rsid w:val="003F62C5"/>
    <w:rsid w:val="003F63AF"/>
    <w:rsid w:val="003F63E4"/>
    <w:rsid w:val="003F6605"/>
    <w:rsid w:val="003F6CBC"/>
    <w:rsid w:val="003F7742"/>
    <w:rsid w:val="003F78D9"/>
    <w:rsid w:val="00400543"/>
    <w:rsid w:val="00400A19"/>
    <w:rsid w:val="00400A32"/>
    <w:rsid w:val="00400F38"/>
    <w:rsid w:val="00401076"/>
    <w:rsid w:val="00401B74"/>
    <w:rsid w:val="00401E02"/>
    <w:rsid w:val="00402872"/>
    <w:rsid w:val="004028AF"/>
    <w:rsid w:val="004028EB"/>
    <w:rsid w:val="00402F49"/>
    <w:rsid w:val="00403080"/>
    <w:rsid w:val="00403367"/>
    <w:rsid w:val="00403501"/>
    <w:rsid w:val="0040389B"/>
    <w:rsid w:val="00403B14"/>
    <w:rsid w:val="00404018"/>
    <w:rsid w:val="00404363"/>
    <w:rsid w:val="004046B9"/>
    <w:rsid w:val="00404D7E"/>
    <w:rsid w:val="0040504E"/>
    <w:rsid w:val="00405EBA"/>
    <w:rsid w:val="00405F94"/>
    <w:rsid w:val="004063DE"/>
    <w:rsid w:val="0040659E"/>
    <w:rsid w:val="00406841"/>
    <w:rsid w:val="00406B91"/>
    <w:rsid w:val="00406BC2"/>
    <w:rsid w:val="00406D45"/>
    <w:rsid w:val="00406F40"/>
    <w:rsid w:val="00410AE5"/>
    <w:rsid w:val="00411076"/>
    <w:rsid w:val="0041166F"/>
    <w:rsid w:val="00412114"/>
    <w:rsid w:val="004127E7"/>
    <w:rsid w:val="00412E89"/>
    <w:rsid w:val="00413146"/>
    <w:rsid w:val="00414189"/>
    <w:rsid w:val="00414319"/>
    <w:rsid w:val="0041434B"/>
    <w:rsid w:val="00414739"/>
    <w:rsid w:val="00414C36"/>
    <w:rsid w:val="00415586"/>
    <w:rsid w:val="00415B4F"/>
    <w:rsid w:val="004162E9"/>
    <w:rsid w:val="00416840"/>
    <w:rsid w:val="00416C15"/>
    <w:rsid w:val="00416CF0"/>
    <w:rsid w:val="00420411"/>
    <w:rsid w:val="004204D3"/>
    <w:rsid w:val="00420731"/>
    <w:rsid w:val="00421141"/>
    <w:rsid w:val="00421309"/>
    <w:rsid w:val="0042137C"/>
    <w:rsid w:val="00421A9F"/>
    <w:rsid w:val="00421B93"/>
    <w:rsid w:val="00422A66"/>
    <w:rsid w:val="00422B2B"/>
    <w:rsid w:val="0042390F"/>
    <w:rsid w:val="00423FC9"/>
    <w:rsid w:val="004244AD"/>
    <w:rsid w:val="0042454A"/>
    <w:rsid w:val="00424B01"/>
    <w:rsid w:val="00424C63"/>
    <w:rsid w:val="00425212"/>
    <w:rsid w:val="004258B1"/>
    <w:rsid w:val="00425E54"/>
    <w:rsid w:val="00426743"/>
    <w:rsid w:val="0042719D"/>
    <w:rsid w:val="004274AD"/>
    <w:rsid w:val="00427BC5"/>
    <w:rsid w:val="00427FB4"/>
    <w:rsid w:val="00430120"/>
    <w:rsid w:val="00430F27"/>
    <w:rsid w:val="0043125D"/>
    <w:rsid w:val="004315D9"/>
    <w:rsid w:val="00431A53"/>
    <w:rsid w:val="00431C7B"/>
    <w:rsid w:val="00431D3B"/>
    <w:rsid w:val="00432002"/>
    <w:rsid w:val="0043247D"/>
    <w:rsid w:val="00432AEB"/>
    <w:rsid w:val="004334D7"/>
    <w:rsid w:val="00433BBF"/>
    <w:rsid w:val="00433BC3"/>
    <w:rsid w:val="0043455D"/>
    <w:rsid w:val="00434BA3"/>
    <w:rsid w:val="004351A6"/>
    <w:rsid w:val="00435237"/>
    <w:rsid w:val="00435667"/>
    <w:rsid w:val="00435C60"/>
    <w:rsid w:val="0043618E"/>
    <w:rsid w:val="0043621F"/>
    <w:rsid w:val="00436AD1"/>
    <w:rsid w:val="00436B84"/>
    <w:rsid w:val="00436EF4"/>
    <w:rsid w:val="0043742F"/>
    <w:rsid w:val="00437464"/>
    <w:rsid w:val="004378A7"/>
    <w:rsid w:val="00437907"/>
    <w:rsid w:val="004379B7"/>
    <w:rsid w:val="00437DB7"/>
    <w:rsid w:val="00440249"/>
    <w:rsid w:val="00440824"/>
    <w:rsid w:val="00440893"/>
    <w:rsid w:val="00440CA3"/>
    <w:rsid w:val="00440E4E"/>
    <w:rsid w:val="00440E54"/>
    <w:rsid w:val="0044206B"/>
    <w:rsid w:val="004421BB"/>
    <w:rsid w:val="00442740"/>
    <w:rsid w:val="0044274B"/>
    <w:rsid w:val="004428A6"/>
    <w:rsid w:val="00442EEF"/>
    <w:rsid w:val="00443B5C"/>
    <w:rsid w:val="00444002"/>
    <w:rsid w:val="004442EB"/>
    <w:rsid w:val="00444B6E"/>
    <w:rsid w:val="00445B5B"/>
    <w:rsid w:val="00445EA2"/>
    <w:rsid w:val="0044670D"/>
    <w:rsid w:val="00446EC0"/>
    <w:rsid w:val="0044700D"/>
    <w:rsid w:val="00447B15"/>
    <w:rsid w:val="00447DB5"/>
    <w:rsid w:val="00450115"/>
    <w:rsid w:val="0045021C"/>
    <w:rsid w:val="004506C1"/>
    <w:rsid w:val="00450B26"/>
    <w:rsid w:val="00450C4E"/>
    <w:rsid w:val="00451192"/>
    <w:rsid w:val="00451195"/>
    <w:rsid w:val="004513E3"/>
    <w:rsid w:val="0045204A"/>
    <w:rsid w:val="00452DB7"/>
    <w:rsid w:val="00453027"/>
    <w:rsid w:val="00453642"/>
    <w:rsid w:val="00453A57"/>
    <w:rsid w:val="0045416C"/>
    <w:rsid w:val="00454191"/>
    <w:rsid w:val="00454753"/>
    <w:rsid w:val="004554E1"/>
    <w:rsid w:val="004559D3"/>
    <w:rsid w:val="00455C2F"/>
    <w:rsid w:val="0045647E"/>
    <w:rsid w:val="004565F0"/>
    <w:rsid w:val="00456C7E"/>
    <w:rsid w:val="004574EC"/>
    <w:rsid w:val="0045781B"/>
    <w:rsid w:val="00457C24"/>
    <w:rsid w:val="00457CD7"/>
    <w:rsid w:val="004602F3"/>
    <w:rsid w:val="00460739"/>
    <w:rsid w:val="00460A55"/>
    <w:rsid w:val="0046197F"/>
    <w:rsid w:val="00461B0B"/>
    <w:rsid w:val="00461E3A"/>
    <w:rsid w:val="00462359"/>
    <w:rsid w:val="00462603"/>
    <w:rsid w:val="0046268B"/>
    <w:rsid w:val="004626A1"/>
    <w:rsid w:val="00462E22"/>
    <w:rsid w:val="004630F5"/>
    <w:rsid w:val="004633D8"/>
    <w:rsid w:val="00463599"/>
    <w:rsid w:val="004637A8"/>
    <w:rsid w:val="00463A82"/>
    <w:rsid w:val="00464958"/>
    <w:rsid w:val="00465245"/>
    <w:rsid w:val="004652E2"/>
    <w:rsid w:val="0046542B"/>
    <w:rsid w:val="00465944"/>
    <w:rsid w:val="00465BCE"/>
    <w:rsid w:val="00465E90"/>
    <w:rsid w:val="00466BBA"/>
    <w:rsid w:val="00467A65"/>
    <w:rsid w:val="00467FEB"/>
    <w:rsid w:val="0047010E"/>
    <w:rsid w:val="004705D8"/>
    <w:rsid w:val="004707A8"/>
    <w:rsid w:val="004707B3"/>
    <w:rsid w:val="00470949"/>
    <w:rsid w:val="00470998"/>
    <w:rsid w:val="004716E6"/>
    <w:rsid w:val="00472206"/>
    <w:rsid w:val="004723B2"/>
    <w:rsid w:val="00473263"/>
    <w:rsid w:val="00473CB2"/>
    <w:rsid w:val="00474A3C"/>
    <w:rsid w:val="00474E24"/>
    <w:rsid w:val="00474EBD"/>
    <w:rsid w:val="00475228"/>
    <w:rsid w:val="00475B33"/>
    <w:rsid w:val="00475EC0"/>
    <w:rsid w:val="004760F0"/>
    <w:rsid w:val="0047650F"/>
    <w:rsid w:val="00477C3B"/>
    <w:rsid w:val="00477E79"/>
    <w:rsid w:val="00480100"/>
    <w:rsid w:val="004808B3"/>
    <w:rsid w:val="00480A53"/>
    <w:rsid w:val="004813FF"/>
    <w:rsid w:val="0048170B"/>
    <w:rsid w:val="00481B4F"/>
    <w:rsid w:val="00481B51"/>
    <w:rsid w:val="00481FFF"/>
    <w:rsid w:val="00482081"/>
    <w:rsid w:val="004822B6"/>
    <w:rsid w:val="004822FA"/>
    <w:rsid w:val="0048289A"/>
    <w:rsid w:val="004828DA"/>
    <w:rsid w:val="00482D3D"/>
    <w:rsid w:val="0048300C"/>
    <w:rsid w:val="0048356E"/>
    <w:rsid w:val="00483BAB"/>
    <w:rsid w:val="00483F02"/>
    <w:rsid w:val="00484286"/>
    <w:rsid w:val="004846AC"/>
    <w:rsid w:val="00484BA3"/>
    <w:rsid w:val="0048508E"/>
    <w:rsid w:val="004850C0"/>
    <w:rsid w:val="00485181"/>
    <w:rsid w:val="004858F7"/>
    <w:rsid w:val="00485FAB"/>
    <w:rsid w:val="00486D5C"/>
    <w:rsid w:val="004871E9"/>
    <w:rsid w:val="00487514"/>
    <w:rsid w:val="004877FA"/>
    <w:rsid w:val="00487AF9"/>
    <w:rsid w:val="004901F2"/>
    <w:rsid w:val="00490608"/>
    <w:rsid w:val="00490FCA"/>
    <w:rsid w:val="00491C64"/>
    <w:rsid w:val="00491CBE"/>
    <w:rsid w:val="00492158"/>
    <w:rsid w:val="004921DE"/>
    <w:rsid w:val="004924AC"/>
    <w:rsid w:val="00493180"/>
    <w:rsid w:val="00493A54"/>
    <w:rsid w:val="00493EDB"/>
    <w:rsid w:val="0049424B"/>
    <w:rsid w:val="00494A3C"/>
    <w:rsid w:val="00494D6F"/>
    <w:rsid w:val="00495678"/>
    <w:rsid w:val="004958F0"/>
    <w:rsid w:val="004959A2"/>
    <w:rsid w:val="00495CC7"/>
    <w:rsid w:val="0049639D"/>
    <w:rsid w:val="00496BC1"/>
    <w:rsid w:val="00496BCB"/>
    <w:rsid w:val="00496F22"/>
    <w:rsid w:val="00496F35"/>
    <w:rsid w:val="004971C9"/>
    <w:rsid w:val="00497468"/>
    <w:rsid w:val="0049793A"/>
    <w:rsid w:val="004979A5"/>
    <w:rsid w:val="004A02C0"/>
    <w:rsid w:val="004A03DA"/>
    <w:rsid w:val="004A0519"/>
    <w:rsid w:val="004A0737"/>
    <w:rsid w:val="004A1602"/>
    <w:rsid w:val="004A171A"/>
    <w:rsid w:val="004A1BCA"/>
    <w:rsid w:val="004A1C1C"/>
    <w:rsid w:val="004A20E9"/>
    <w:rsid w:val="004A227C"/>
    <w:rsid w:val="004A26C5"/>
    <w:rsid w:val="004A27B8"/>
    <w:rsid w:val="004A28D2"/>
    <w:rsid w:val="004A332D"/>
    <w:rsid w:val="004A35E3"/>
    <w:rsid w:val="004A378B"/>
    <w:rsid w:val="004A3F71"/>
    <w:rsid w:val="004A4566"/>
    <w:rsid w:val="004A4BAD"/>
    <w:rsid w:val="004A4F45"/>
    <w:rsid w:val="004A4F73"/>
    <w:rsid w:val="004A5853"/>
    <w:rsid w:val="004A5AA2"/>
    <w:rsid w:val="004A5E45"/>
    <w:rsid w:val="004A5F72"/>
    <w:rsid w:val="004A63BC"/>
    <w:rsid w:val="004A6438"/>
    <w:rsid w:val="004A6653"/>
    <w:rsid w:val="004A6C1F"/>
    <w:rsid w:val="004A6C5C"/>
    <w:rsid w:val="004A6E1A"/>
    <w:rsid w:val="004A7855"/>
    <w:rsid w:val="004A7B0B"/>
    <w:rsid w:val="004A7CC6"/>
    <w:rsid w:val="004B0537"/>
    <w:rsid w:val="004B09E1"/>
    <w:rsid w:val="004B0F27"/>
    <w:rsid w:val="004B12E3"/>
    <w:rsid w:val="004B150F"/>
    <w:rsid w:val="004B15AF"/>
    <w:rsid w:val="004B1C92"/>
    <w:rsid w:val="004B1D52"/>
    <w:rsid w:val="004B21A2"/>
    <w:rsid w:val="004B267D"/>
    <w:rsid w:val="004B2BBD"/>
    <w:rsid w:val="004B342D"/>
    <w:rsid w:val="004B386B"/>
    <w:rsid w:val="004B39B7"/>
    <w:rsid w:val="004B4583"/>
    <w:rsid w:val="004B46AA"/>
    <w:rsid w:val="004B4E60"/>
    <w:rsid w:val="004B5040"/>
    <w:rsid w:val="004B509C"/>
    <w:rsid w:val="004B51C6"/>
    <w:rsid w:val="004B5561"/>
    <w:rsid w:val="004B5834"/>
    <w:rsid w:val="004B5AB9"/>
    <w:rsid w:val="004B658A"/>
    <w:rsid w:val="004B6C5F"/>
    <w:rsid w:val="004B71B4"/>
    <w:rsid w:val="004B7307"/>
    <w:rsid w:val="004B78B9"/>
    <w:rsid w:val="004B7913"/>
    <w:rsid w:val="004B7D97"/>
    <w:rsid w:val="004B7DC7"/>
    <w:rsid w:val="004C00EB"/>
    <w:rsid w:val="004C0E6F"/>
    <w:rsid w:val="004C12A0"/>
    <w:rsid w:val="004C162E"/>
    <w:rsid w:val="004C198A"/>
    <w:rsid w:val="004C3B5F"/>
    <w:rsid w:val="004C3BDA"/>
    <w:rsid w:val="004C3E89"/>
    <w:rsid w:val="004C4210"/>
    <w:rsid w:val="004C49D1"/>
    <w:rsid w:val="004C4FDF"/>
    <w:rsid w:val="004C527E"/>
    <w:rsid w:val="004C58AE"/>
    <w:rsid w:val="004C5B34"/>
    <w:rsid w:val="004C5C81"/>
    <w:rsid w:val="004C5EA7"/>
    <w:rsid w:val="004C615A"/>
    <w:rsid w:val="004C61D4"/>
    <w:rsid w:val="004C621F"/>
    <w:rsid w:val="004C68B4"/>
    <w:rsid w:val="004C6D66"/>
    <w:rsid w:val="004C790C"/>
    <w:rsid w:val="004D0105"/>
    <w:rsid w:val="004D01A7"/>
    <w:rsid w:val="004D060A"/>
    <w:rsid w:val="004D0652"/>
    <w:rsid w:val="004D0C83"/>
    <w:rsid w:val="004D0D99"/>
    <w:rsid w:val="004D0E37"/>
    <w:rsid w:val="004D0FAC"/>
    <w:rsid w:val="004D11C1"/>
    <w:rsid w:val="004D18FF"/>
    <w:rsid w:val="004D1AE8"/>
    <w:rsid w:val="004D1CC2"/>
    <w:rsid w:val="004D23FE"/>
    <w:rsid w:val="004D277B"/>
    <w:rsid w:val="004D2809"/>
    <w:rsid w:val="004D2AB5"/>
    <w:rsid w:val="004D2B64"/>
    <w:rsid w:val="004D3453"/>
    <w:rsid w:val="004D4237"/>
    <w:rsid w:val="004D442A"/>
    <w:rsid w:val="004D5671"/>
    <w:rsid w:val="004D5A45"/>
    <w:rsid w:val="004D6175"/>
    <w:rsid w:val="004D660C"/>
    <w:rsid w:val="004D6642"/>
    <w:rsid w:val="004D699D"/>
    <w:rsid w:val="004D6C5A"/>
    <w:rsid w:val="004D6F79"/>
    <w:rsid w:val="004D73CD"/>
    <w:rsid w:val="004D7EA2"/>
    <w:rsid w:val="004E008C"/>
    <w:rsid w:val="004E082C"/>
    <w:rsid w:val="004E0EC0"/>
    <w:rsid w:val="004E106C"/>
    <w:rsid w:val="004E2D0D"/>
    <w:rsid w:val="004E2F48"/>
    <w:rsid w:val="004E322E"/>
    <w:rsid w:val="004E3397"/>
    <w:rsid w:val="004E364F"/>
    <w:rsid w:val="004E365B"/>
    <w:rsid w:val="004E39B9"/>
    <w:rsid w:val="004E3E02"/>
    <w:rsid w:val="004E4300"/>
    <w:rsid w:val="004E4306"/>
    <w:rsid w:val="004E4440"/>
    <w:rsid w:val="004E46A0"/>
    <w:rsid w:val="004E484A"/>
    <w:rsid w:val="004E51E5"/>
    <w:rsid w:val="004E5609"/>
    <w:rsid w:val="004E5760"/>
    <w:rsid w:val="004E5799"/>
    <w:rsid w:val="004E5D6C"/>
    <w:rsid w:val="004E5E04"/>
    <w:rsid w:val="004E62F9"/>
    <w:rsid w:val="004E64F9"/>
    <w:rsid w:val="004E6579"/>
    <w:rsid w:val="004E674E"/>
    <w:rsid w:val="004E7401"/>
    <w:rsid w:val="004E7599"/>
    <w:rsid w:val="004E78C1"/>
    <w:rsid w:val="004E7AAC"/>
    <w:rsid w:val="004F0373"/>
    <w:rsid w:val="004F0A5A"/>
    <w:rsid w:val="004F0E77"/>
    <w:rsid w:val="004F1134"/>
    <w:rsid w:val="004F1214"/>
    <w:rsid w:val="004F1310"/>
    <w:rsid w:val="004F1A64"/>
    <w:rsid w:val="004F1FD3"/>
    <w:rsid w:val="004F21C0"/>
    <w:rsid w:val="004F2907"/>
    <w:rsid w:val="004F31F4"/>
    <w:rsid w:val="004F38E3"/>
    <w:rsid w:val="004F3BC0"/>
    <w:rsid w:val="004F462D"/>
    <w:rsid w:val="004F50DE"/>
    <w:rsid w:val="004F5BD6"/>
    <w:rsid w:val="004F5F2B"/>
    <w:rsid w:val="004F61A7"/>
    <w:rsid w:val="004F61F5"/>
    <w:rsid w:val="004F62F6"/>
    <w:rsid w:val="004F6385"/>
    <w:rsid w:val="004F6634"/>
    <w:rsid w:val="004F6F27"/>
    <w:rsid w:val="004F73EE"/>
    <w:rsid w:val="004F7851"/>
    <w:rsid w:val="004F7C37"/>
    <w:rsid w:val="004F7E4D"/>
    <w:rsid w:val="00500388"/>
    <w:rsid w:val="00500691"/>
    <w:rsid w:val="00500819"/>
    <w:rsid w:val="00500865"/>
    <w:rsid w:val="00500892"/>
    <w:rsid w:val="00500D33"/>
    <w:rsid w:val="00501555"/>
    <w:rsid w:val="0050169C"/>
    <w:rsid w:val="00501BB6"/>
    <w:rsid w:val="00501CB1"/>
    <w:rsid w:val="00502069"/>
    <w:rsid w:val="005024FC"/>
    <w:rsid w:val="00502B5B"/>
    <w:rsid w:val="00502C9F"/>
    <w:rsid w:val="0050382F"/>
    <w:rsid w:val="00503E89"/>
    <w:rsid w:val="00503EBD"/>
    <w:rsid w:val="00504096"/>
    <w:rsid w:val="00504179"/>
    <w:rsid w:val="00504376"/>
    <w:rsid w:val="00504B07"/>
    <w:rsid w:val="00505248"/>
    <w:rsid w:val="00505713"/>
    <w:rsid w:val="005057E4"/>
    <w:rsid w:val="00505FAE"/>
    <w:rsid w:val="0050637C"/>
    <w:rsid w:val="00506566"/>
    <w:rsid w:val="005066EA"/>
    <w:rsid w:val="00506DFC"/>
    <w:rsid w:val="00506F24"/>
    <w:rsid w:val="005075E1"/>
    <w:rsid w:val="005079C7"/>
    <w:rsid w:val="00507B5B"/>
    <w:rsid w:val="00507D7E"/>
    <w:rsid w:val="005107B7"/>
    <w:rsid w:val="00511ABF"/>
    <w:rsid w:val="00511B2A"/>
    <w:rsid w:val="005120F2"/>
    <w:rsid w:val="005123A0"/>
    <w:rsid w:val="00512ACD"/>
    <w:rsid w:val="00512D90"/>
    <w:rsid w:val="00512DE5"/>
    <w:rsid w:val="00513E91"/>
    <w:rsid w:val="00514008"/>
    <w:rsid w:val="005144AF"/>
    <w:rsid w:val="0051474C"/>
    <w:rsid w:val="00514FCB"/>
    <w:rsid w:val="0051533B"/>
    <w:rsid w:val="00515351"/>
    <w:rsid w:val="00515FA9"/>
    <w:rsid w:val="005162FD"/>
    <w:rsid w:val="0051633E"/>
    <w:rsid w:val="00516F28"/>
    <w:rsid w:val="00517406"/>
    <w:rsid w:val="00517745"/>
    <w:rsid w:val="00520AB1"/>
    <w:rsid w:val="00520B74"/>
    <w:rsid w:val="00520C8E"/>
    <w:rsid w:val="0052130B"/>
    <w:rsid w:val="005214D1"/>
    <w:rsid w:val="0052216D"/>
    <w:rsid w:val="00522952"/>
    <w:rsid w:val="0052308C"/>
    <w:rsid w:val="00523FF9"/>
    <w:rsid w:val="00524380"/>
    <w:rsid w:val="00524747"/>
    <w:rsid w:val="00525365"/>
    <w:rsid w:val="0052553A"/>
    <w:rsid w:val="005255D3"/>
    <w:rsid w:val="00525727"/>
    <w:rsid w:val="0052678A"/>
    <w:rsid w:val="00526910"/>
    <w:rsid w:val="00526F21"/>
    <w:rsid w:val="00526F97"/>
    <w:rsid w:val="0052719F"/>
    <w:rsid w:val="005278ED"/>
    <w:rsid w:val="00527BEF"/>
    <w:rsid w:val="005300C6"/>
    <w:rsid w:val="005301C3"/>
    <w:rsid w:val="00530760"/>
    <w:rsid w:val="00530EA2"/>
    <w:rsid w:val="00530F92"/>
    <w:rsid w:val="00530FD4"/>
    <w:rsid w:val="00531219"/>
    <w:rsid w:val="0053171E"/>
    <w:rsid w:val="00531876"/>
    <w:rsid w:val="00532062"/>
    <w:rsid w:val="00532561"/>
    <w:rsid w:val="00532FBA"/>
    <w:rsid w:val="005330E8"/>
    <w:rsid w:val="0053349B"/>
    <w:rsid w:val="0053353E"/>
    <w:rsid w:val="00533EE2"/>
    <w:rsid w:val="005346D4"/>
    <w:rsid w:val="005359F8"/>
    <w:rsid w:val="00535A27"/>
    <w:rsid w:val="00535EF4"/>
    <w:rsid w:val="005360CF"/>
    <w:rsid w:val="0053740A"/>
    <w:rsid w:val="005379DB"/>
    <w:rsid w:val="00537ED1"/>
    <w:rsid w:val="005405C9"/>
    <w:rsid w:val="0054088E"/>
    <w:rsid w:val="00540A6D"/>
    <w:rsid w:val="00540B05"/>
    <w:rsid w:val="00540C38"/>
    <w:rsid w:val="00540C70"/>
    <w:rsid w:val="00540F22"/>
    <w:rsid w:val="0054113F"/>
    <w:rsid w:val="0054120E"/>
    <w:rsid w:val="00541786"/>
    <w:rsid w:val="005417C7"/>
    <w:rsid w:val="00541BDC"/>
    <w:rsid w:val="00542258"/>
    <w:rsid w:val="00542C7A"/>
    <w:rsid w:val="00543C2B"/>
    <w:rsid w:val="00543C35"/>
    <w:rsid w:val="00543EB0"/>
    <w:rsid w:val="00543F62"/>
    <w:rsid w:val="00544451"/>
    <w:rsid w:val="00545273"/>
    <w:rsid w:val="0054566F"/>
    <w:rsid w:val="005461F0"/>
    <w:rsid w:val="00546287"/>
    <w:rsid w:val="00546BA4"/>
    <w:rsid w:val="00547091"/>
    <w:rsid w:val="00547700"/>
    <w:rsid w:val="00547A34"/>
    <w:rsid w:val="00547D5A"/>
    <w:rsid w:val="005500EC"/>
    <w:rsid w:val="00551637"/>
    <w:rsid w:val="00552028"/>
    <w:rsid w:val="005522E7"/>
    <w:rsid w:val="00552377"/>
    <w:rsid w:val="005528C2"/>
    <w:rsid w:val="005529DE"/>
    <w:rsid w:val="00552CA0"/>
    <w:rsid w:val="00553792"/>
    <w:rsid w:val="005537CB"/>
    <w:rsid w:val="00553B51"/>
    <w:rsid w:val="00553FA2"/>
    <w:rsid w:val="00555741"/>
    <w:rsid w:val="00555C25"/>
    <w:rsid w:val="0055603D"/>
    <w:rsid w:val="0055642C"/>
    <w:rsid w:val="0055666A"/>
    <w:rsid w:val="00556D2A"/>
    <w:rsid w:val="00557C8C"/>
    <w:rsid w:val="00560396"/>
    <w:rsid w:val="00560430"/>
    <w:rsid w:val="005615EE"/>
    <w:rsid w:val="00562141"/>
    <w:rsid w:val="005633E1"/>
    <w:rsid w:val="00563A0E"/>
    <w:rsid w:val="00563C53"/>
    <w:rsid w:val="00563EBF"/>
    <w:rsid w:val="00563F4E"/>
    <w:rsid w:val="005644E9"/>
    <w:rsid w:val="005653CE"/>
    <w:rsid w:val="00565618"/>
    <w:rsid w:val="005659FA"/>
    <w:rsid w:val="00565AE6"/>
    <w:rsid w:val="00565B41"/>
    <w:rsid w:val="00565C51"/>
    <w:rsid w:val="00566019"/>
    <w:rsid w:val="00566592"/>
    <w:rsid w:val="00566A9E"/>
    <w:rsid w:val="00567E8E"/>
    <w:rsid w:val="00567FD8"/>
    <w:rsid w:val="005700EC"/>
    <w:rsid w:val="005701CB"/>
    <w:rsid w:val="005706DE"/>
    <w:rsid w:val="00570773"/>
    <w:rsid w:val="005709A7"/>
    <w:rsid w:val="00570F87"/>
    <w:rsid w:val="0057106C"/>
    <w:rsid w:val="00571105"/>
    <w:rsid w:val="00571DAC"/>
    <w:rsid w:val="00572682"/>
    <w:rsid w:val="0057294B"/>
    <w:rsid w:val="00573153"/>
    <w:rsid w:val="0057331F"/>
    <w:rsid w:val="00573364"/>
    <w:rsid w:val="00573838"/>
    <w:rsid w:val="00573B58"/>
    <w:rsid w:val="00573BE9"/>
    <w:rsid w:val="005746B5"/>
    <w:rsid w:val="00574A94"/>
    <w:rsid w:val="00574E19"/>
    <w:rsid w:val="00574E33"/>
    <w:rsid w:val="005754AB"/>
    <w:rsid w:val="00575993"/>
    <w:rsid w:val="00575E34"/>
    <w:rsid w:val="00576934"/>
    <w:rsid w:val="00576B08"/>
    <w:rsid w:val="00577456"/>
    <w:rsid w:val="0057746B"/>
    <w:rsid w:val="00577A6D"/>
    <w:rsid w:val="00577B10"/>
    <w:rsid w:val="00577C42"/>
    <w:rsid w:val="00580634"/>
    <w:rsid w:val="00580BE8"/>
    <w:rsid w:val="00580C3F"/>
    <w:rsid w:val="00580FF4"/>
    <w:rsid w:val="00581732"/>
    <w:rsid w:val="00581930"/>
    <w:rsid w:val="00582EF2"/>
    <w:rsid w:val="00583A0E"/>
    <w:rsid w:val="00583A68"/>
    <w:rsid w:val="00583B61"/>
    <w:rsid w:val="00583B71"/>
    <w:rsid w:val="00583D6E"/>
    <w:rsid w:val="00584B2F"/>
    <w:rsid w:val="00584CA9"/>
    <w:rsid w:val="00585518"/>
    <w:rsid w:val="0058565F"/>
    <w:rsid w:val="00585971"/>
    <w:rsid w:val="00585F49"/>
    <w:rsid w:val="00586D45"/>
    <w:rsid w:val="0058744B"/>
    <w:rsid w:val="0058761B"/>
    <w:rsid w:val="00590272"/>
    <w:rsid w:val="005905F5"/>
    <w:rsid w:val="00590973"/>
    <w:rsid w:val="00590B2A"/>
    <w:rsid w:val="00590EBB"/>
    <w:rsid w:val="00590F8B"/>
    <w:rsid w:val="0059139E"/>
    <w:rsid w:val="00591750"/>
    <w:rsid w:val="00591B26"/>
    <w:rsid w:val="00591C8B"/>
    <w:rsid w:val="00591D0E"/>
    <w:rsid w:val="0059226B"/>
    <w:rsid w:val="00592406"/>
    <w:rsid w:val="0059255B"/>
    <w:rsid w:val="005928B7"/>
    <w:rsid w:val="00593BF5"/>
    <w:rsid w:val="0059505B"/>
    <w:rsid w:val="005950EB"/>
    <w:rsid w:val="005953A3"/>
    <w:rsid w:val="0059572D"/>
    <w:rsid w:val="005957F7"/>
    <w:rsid w:val="00595ACA"/>
    <w:rsid w:val="00595E1F"/>
    <w:rsid w:val="00596004"/>
    <w:rsid w:val="0059620E"/>
    <w:rsid w:val="005964AC"/>
    <w:rsid w:val="0059685F"/>
    <w:rsid w:val="00596A86"/>
    <w:rsid w:val="00596B0F"/>
    <w:rsid w:val="00597852"/>
    <w:rsid w:val="00597903"/>
    <w:rsid w:val="00597D02"/>
    <w:rsid w:val="00597DA4"/>
    <w:rsid w:val="005A008C"/>
    <w:rsid w:val="005A024C"/>
    <w:rsid w:val="005A1D46"/>
    <w:rsid w:val="005A1E97"/>
    <w:rsid w:val="005A26DE"/>
    <w:rsid w:val="005A2999"/>
    <w:rsid w:val="005A33D4"/>
    <w:rsid w:val="005A3A17"/>
    <w:rsid w:val="005A3B3C"/>
    <w:rsid w:val="005A3C18"/>
    <w:rsid w:val="005A40B1"/>
    <w:rsid w:val="005A424C"/>
    <w:rsid w:val="005A4668"/>
    <w:rsid w:val="005A49C9"/>
    <w:rsid w:val="005A4EDB"/>
    <w:rsid w:val="005A5249"/>
    <w:rsid w:val="005A52CA"/>
    <w:rsid w:val="005A5A62"/>
    <w:rsid w:val="005A5C9C"/>
    <w:rsid w:val="005A6914"/>
    <w:rsid w:val="005A6C14"/>
    <w:rsid w:val="005A70D0"/>
    <w:rsid w:val="005A7AF8"/>
    <w:rsid w:val="005A7B77"/>
    <w:rsid w:val="005A7C86"/>
    <w:rsid w:val="005B0273"/>
    <w:rsid w:val="005B1FA4"/>
    <w:rsid w:val="005B224F"/>
    <w:rsid w:val="005B286C"/>
    <w:rsid w:val="005B288D"/>
    <w:rsid w:val="005B35CB"/>
    <w:rsid w:val="005B3832"/>
    <w:rsid w:val="005B39DB"/>
    <w:rsid w:val="005B3A73"/>
    <w:rsid w:val="005B3E14"/>
    <w:rsid w:val="005B40C6"/>
    <w:rsid w:val="005B4769"/>
    <w:rsid w:val="005B4F6E"/>
    <w:rsid w:val="005B607A"/>
    <w:rsid w:val="005B65D9"/>
    <w:rsid w:val="005B6B93"/>
    <w:rsid w:val="005B71BB"/>
    <w:rsid w:val="005B7314"/>
    <w:rsid w:val="005B788F"/>
    <w:rsid w:val="005C0388"/>
    <w:rsid w:val="005C19B8"/>
    <w:rsid w:val="005C1A7E"/>
    <w:rsid w:val="005C1C64"/>
    <w:rsid w:val="005C2229"/>
    <w:rsid w:val="005C3351"/>
    <w:rsid w:val="005C3EE3"/>
    <w:rsid w:val="005C47E1"/>
    <w:rsid w:val="005C4817"/>
    <w:rsid w:val="005C48C5"/>
    <w:rsid w:val="005C5D93"/>
    <w:rsid w:val="005C61E1"/>
    <w:rsid w:val="005C6BC2"/>
    <w:rsid w:val="005C75D1"/>
    <w:rsid w:val="005C7B0E"/>
    <w:rsid w:val="005C7D03"/>
    <w:rsid w:val="005D0035"/>
    <w:rsid w:val="005D0106"/>
    <w:rsid w:val="005D05BC"/>
    <w:rsid w:val="005D079E"/>
    <w:rsid w:val="005D09BA"/>
    <w:rsid w:val="005D0F6A"/>
    <w:rsid w:val="005D0FDA"/>
    <w:rsid w:val="005D12F2"/>
    <w:rsid w:val="005D1872"/>
    <w:rsid w:val="005D18AD"/>
    <w:rsid w:val="005D1AA2"/>
    <w:rsid w:val="005D1DA5"/>
    <w:rsid w:val="005D20B2"/>
    <w:rsid w:val="005D2204"/>
    <w:rsid w:val="005D25E4"/>
    <w:rsid w:val="005D315D"/>
    <w:rsid w:val="005D3C9F"/>
    <w:rsid w:val="005D404C"/>
    <w:rsid w:val="005D4877"/>
    <w:rsid w:val="005D4C84"/>
    <w:rsid w:val="005D5818"/>
    <w:rsid w:val="005D5A1B"/>
    <w:rsid w:val="005D6003"/>
    <w:rsid w:val="005D6136"/>
    <w:rsid w:val="005D63EE"/>
    <w:rsid w:val="005D6472"/>
    <w:rsid w:val="005D66BC"/>
    <w:rsid w:val="005D6850"/>
    <w:rsid w:val="005D6B34"/>
    <w:rsid w:val="005D6CD1"/>
    <w:rsid w:val="005D71DF"/>
    <w:rsid w:val="005D725F"/>
    <w:rsid w:val="005D751A"/>
    <w:rsid w:val="005D76AD"/>
    <w:rsid w:val="005D7B49"/>
    <w:rsid w:val="005D7F40"/>
    <w:rsid w:val="005D7F71"/>
    <w:rsid w:val="005E0276"/>
    <w:rsid w:val="005E03DE"/>
    <w:rsid w:val="005E042F"/>
    <w:rsid w:val="005E0C12"/>
    <w:rsid w:val="005E0D26"/>
    <w:rsid w:val="005E1110"/>
    <w:rsid w:val="005E1635"/>
    <w:rsid w:val="005E1719"/>
    <w:rsid w:val="005E18F6"/>
    <w:rsid w:val="005E1F6A"/>
    <w:rsid w:val="005E2362"/>
    <w:rsid w:val="005E26F7"/>
    <w:rsid w:val="005E28BC"/>
    <w:rsid w:val="005E348F"/>
    <w:rsid w:val="005E3683"/>
    <w:rsid w:val="005E38C1"/>
    <w:rsid w:val="005E3955"/>
    <w:rsid w:val="005E3A40"/>
    <w:rsid w:val="005E40E1"/>
    <w:rsid w:val="005E4114"/>
    <w:rsid w:val="005E42E9"/>
    <w:rsid w:val="005E4663"/>
    <w:rsid w:val="005E4D4F"/>
    <w:rsid w:val="005E5442"/>
    <w:rsid w:val="005E579A"/>
    <w:rsid w:val="005E5E71"/>
    <w:rsid w:val="005E5EA7"/>
    <w:rsid w:val="005E6FAA"/>
    <w:rsid w:val="005E73AE"/>
    <w:rsid w:val="005E76C3"/>
    <w:rsid w:val="005E78DF"/>
    <w:rsid w:val="005E7FE1"/>
    <w:rsid w:val="005F03D2"/>
    <w:rsid w:val="005F069B"/>
    <w:rsid w:val="005F088C"/>
    <w:rsid w:val="005F0975"/>
    <w:rsid w:val="005F0BF0"/>
    <w:rsid w:val="005F1080"/>
    <w:rsid w:val="005F10B2"/>
    <w:rsid w:val="005F196F"/>
    <w:rsid w:val="005F2BDE"/>
    <w:rsid w:val="005F2E84"/>
    <w:rsid w:val="005F3140"/>
    <w:rsid w:val="005F38EB"/>
    <w:rsid w:val="005F3B40"/>
    <w:rsid w:val="005F41E7"/>
    <w:rsid w:val="005F423C"/>
    <w:rsid w:val="005F4DB5"/>
    <w:rsid w:val="005F4E22"/>
    <w:rsid w:val="005F5371"/>
    <w:rsid w:val="005F5773"/>
    <w:rsid w:val="005F6106"/>
    <w:rsid w:val="005F6117"/>
    <w:rsid w:val="005F64EC"/>
    <w:rsid w:val="005F65D8"/>
    <w:rsid w:val="005F6774"/>
    <w:rsid w:val="005F68E3"/>
    <w:rsid w:val="005F6BDC"/>
    <w:rsid w:val="005F6C50"/>
    <w:rsid w:val="005F6D6C"/>
    <w:rsid w:val="005F707F"/>
    <w:rsid w:val="005F74A7"/>
    <w:rsid w:val="005F7732"/>
    <w:rsid w:val="005F777E"/>
    <w:rsid w:val="005F7AEE"/>
    <w:rsid w:val="005F7BA8"/>
    <w:rsid w:val="005F7D51"/>
    <w:rsid w:val="005F7E22"/>
    <w:rsid w:val="00600DF0"/>
    <w:rsid w:val="006017D8"/>
    <w:rsid w:val="006017E4"/>
    <w:rsid w:val="00602181"/>
    <w:rsid w:val="006023D9"/>
    <w:rsid w:val="0060312C"/>
    <w:rsid w:val="006036AA"/>
    <w:rsid w:val="006039A3"/>
    <w:rsid w:val="00603D0E"/>
    <w:rsid w:val="006044C4"/>
    <w:rsid w:val="0060459D"/>
    <w:rsid w:val="0060546A"/>
    <w:rsid w:val="00605F0D"/>
    <w:rsid w:val="00605F7C"/>
    <w:rsid w:val="00605FB6"/>
    <w:rsid w:val="0060639F"/>
    <w:rsid w:val="00606842"/>
    <w:rsid w:val="00606ADF"/>
    <w:rsid w:val="00606DCD"/>
    <w:rsid w:val="0060752A"/>
    <w:rsid w:val="00607E7D"/>
    <w:rsid w:val="00607E9B"/>
    <w:rsid w:val="00610435"/>
    <w:rsid w:val="006106F9"/>
    <w:rsid w:val="0061097F"/>
    <w:rsid w:val="006110C9"/>
    <w:rsid w:val="0061168B"/>
    <w:rsid w:val="00611D00"/>
    <w:rsid w:val="00611D0B"/>
    <w:rsid w:val="0061295C"/>
    <w:rsid w:val="00612DDB"/>
    <w:rsid w:val="006130F3"/>
    <w:rsid w:val="0061311E"/>
    <w:rsid w:val="00613311"/>
    <w:rsid w:val="006134C9"/>
    <w:rsid w:val="00613C85"/>
    <w:rsid w:val="00614004"/>
    <w:rsid w:val="00614527"/>
    <w:rsid w:val="00614AFF"/>
    <w:rsid w:val="00614C15"/>
    <w:rsid w:val="00614D4C"/>
    <w:rsid w:val="00615177"/>
    <w:rsid w:val="00615518"/>
    <w:rsid w:val="006157DB"/>
    <w:rsid w:val="0061591D"/>
    <w:rsid w:val="00615CB5"/>
    <w:rsid w:val="00616B5C"/>
    <w:rsid w:val="00617260"/>
    <w:rsid w:val="0061732C"/>
    <w:rsid w:val="00617416"/>
    <w:rsid w:val="00617A9A"/>
    <w:rsid w:val="00617CAE"/>
    <w:rsid w:val="006205AD"/>
    <w:rsid w:val="00620B0E"/>
    <w:rsid w:val="00620D00"/>
    <w:rsid w:val="00620D8B"/>
    <w:rsid w:val="006210CF"/>
    <w:rsid w:val="0062138B"/>
    <w:rsid w:val="00621E70"/>
    <w:rsid w:val="00622049"/>
    <w:rsid w:val="00622310"/>
    <w:rsid w:val="006223BA"/>
    <w:rsid w:val="00623527"/>
    <w:rsid w:val="0062356D"/>
    <w:rsid w:val="00624273"/>
    <w:rsid w:val="006243EA"/>
    <w:rsid w:val="00624EF2"/>
    <w:rsid w:val="00624FCE"/>
    <w:rsid w:val="006252E5"/>
    <w:rsid w:val="00625869"/>
    <w:rsid w:val="00625936"/>
    <w:rsid w:val="006259C3"/>
    <w:rsid w:val="0062643C"/>
    <w:rsid w:val="00626971"/>
    <w:rsid w:val="00626EE1"/>
    <w:rsid w:val="006270AE"/>
    <w:rsid w:val="00627174"/>
    <w:rsid w:val="006273FA"/>
    <w:rsid w:val="0062777B"/>
    <w:rsid w:val="00627ABE"/>
    <w:rsid w:val="00630035"/>
    <w:rsid w:val="006323B8"/>
    <w:rsid w:val="00632466"/>
    <w:rsid w:val="00632982"/>
    <w:rsid w:val="00633856"/>
    <w:rsid w:val="00633B48"/>
    <w:rsid w:val="00633B58"/>
    <w:rsid w:val="00633E56"/>
    <w:rsid w:val="006340B8"/>
    <w:rsid w:val="00634521"/>
    <w:rsid w:val="00634F11"/>
    <w:rsid w:val="00635649"/>
    <w:rsid w:val="0063565D"/>
    <w:rsid w:val="006357A9"/>
    <w:rsid w:val="006361AE"/>
    <w:rsid w:val="006365A9"/>
    <w:rsid w:val="00636A4F"/>
    <w:rsid w:val="00636B35"/>
    <w:rsid w:val="00636BA2"/>
    <w:rsid w:val="00636C3F"/>
    <w:rsid w:val="00636D03"/>
    <w:rsid w:val="00636FFC"/>
    <w:rsid w:val="0063725F"/>
    <w:rsid w:val="006379A8"/>
    <w:rsid w:val="00637BF5"/>
    <w:rsid w:val="00637F61"/>
    <w:rsid w:val="00640369"/>
    <w:rsid w:val="006403AA"/>
    <w:rsid w:val="006403B9"/>
    <w:rsid w:val="006404AE"/>
    <w:rsid w:val="00640B76"/>
    <w:rsid w:val="00640EAF"/>
    <w:rsid w:val="006412EA"/>
    <w:rsid w:val="00641329"/>
    <w:rsid w:val="00641A17"/>
    <w:rsid w:val="006421E4"/>
    <w:rsid w:val="00642E13"/>
    <w:rsid w:val="00642FCE"/>
    <w:rsid w:val="006430A1"/>
    <w:rsid w:val="006431CF"/>
    <w:rsid w:val="006432C8"/>
    <w:rsid w:val="00643483"/>
    <w:rsid w:val="006435F6"/>
    <w:rsid w:val="00643666"/>
    <w:rsid w:val="00643E17"/>
    <w:rsid w:val="00643FD6"/>
    <w:rsid w:val="00644004"/>
    <w:rsid w:val="00644007"/>
    <w:rsid w:val="00644292"/>
    <w:rsid w:val="0064494D"/>
    <w:rsid w:val="00644E1A"/>
    <w:rsid w:val="006456DC"/>
    <w:rsid w:val="00645F2B"/>
    <w:rsid w:val="0064662B"/>
    <w:rsid w:val="00646769"/>
    <w:rsid w:val="006469BB"/>
    <w:rsid w:val="00646D14"/>
    <w:rsid w:val="00646D71"/>
    <w:rsid w:val="00647256"/>
    <w:rsid w:val="00647434"/>
    <w:rsid w:val="0064784C"/>
    <w:rsid w:val="0064792F"/>
    <w:rsid w:val="00650FA5"/>
    <w:rsid w:val="0065140B"/>
    <w:rsid w:val="00652525"/>
    <w:rsid w:val="00652D59"/>
    <w:rsid w:val="00653189"/>
    <w:rsid w:val="00653E3B"/>
    <w:rsid w:val="0065401B"/>
    <w:rsid w:val="00654EAB"/>
    <w:rsid w:val="006552CA"/>
    <w:rsid w:val="006552EE"/>
    <w:rsid w:val="0065530B"/>
    <w:rsid w:val="00655B42"/>
    <w:rsid w:val="00655B46"/>
    <w:rsid w:val="00655CC9"/>
    <w:rsid w:val="0065672C"/>
    <w:rsid w:val="00657048"/>
    <w:rsid w:val="006572B6"/>
    <w:rsid w:val="006574C5"/>
    <w:rsid w:val="0065764A"/>
    <w:rsid w:val="006603AC"/>
    <w:rsid w:val="00660578"/>
    <w:rsid w:val="00660B6D"/>
    <w:rsid w:val="00660C8D"/>
    <w:rsid w:val="00661AA7"/>
    <w:rsid w:val="00661AAE"/>
    <w:rsid w:val="00661D0D"/>
    <w:rsid w:val="00662041"/>
    <w:rsid w:val="006629AE"/>
    <w:rsid w:val="00663058"/>
    <w:rsid w:val="00663330"/>
    <w:rsid w:val="00663631"/>
    <w:rsid w:val="00663947"/>
    <w:rsid w:val="00663D59"/>
    <w:rsid w:val="00663F4E"/>
    <w:rsid w:val="00664103"/>
    <w:rsid w:val="00664826"/>
    <w:rsid w:val="006650CD"/>
    <w:rsid w:val="0066548F"/>
    <w:rsid w:val="0066577B"/>
    <w:rsid w:val="006663CF"/>
    <w:rsid w:val="00666A02"/>
    <w:rsid w:val="00666D2A"/>
    <w:rsid w:val="00666EEF"/>
    <w:rsid w:val="0066746F"/>
    <w:rsid w:val="006676B6"/>
    <w:rsid w:val="0067016C"/>
    <w:rsid w:val="0067020B"/>
    <w:rsid w:val="00670940"/>
    <w:rsid w:val="00670D08"/>
    <w:rsid w:val="00671324"/>
    <w:rsid w:val="0067165A"/>
    <w:rsid w:val="006717C1"/>
    <w:rsid w:val="006718C2"/>
    <w:rsid w:val="00671A24"/>
    <w:rsid w:val="00671F6D"/>
    <w:rsid w:val="00672040"/>
    <w:rsid w:val="00672237"/>
    <w:rsid w:val="00672682"/>
    <w:rsid w:val="00672C8D"/>
    <w:rsid w:val="00672E3E"/>
    <w:rsid w:val="0067314B"/>
    <w:rsid w:val="00673C8C"/>
    <w:rsid w:val="006740E4"/>
    <w:rsid w:val="00674B24"/>
    <w:rsid w:val="00674F40"/>
    <w:rsid w:val="0067572F"/>
    <w:rsid w:val="00675730"/>
    <w:rsid w:val="006758BF"/>
    <w:rsid w:val="00675E23"/>
    <w:rsid w:val="00676490"/>
    <w:rsid w:val="006769E0"/>
    <w:rsid w:val="0067724A"/>
    <w:rsid w:val="0067748A"/>
    <w:rsid w:val="0067762D"/>
    <w:rsid w:val="006776F9"/>
    <w:rsid w:val="00677A93"/>
    <w:rsid w:val="00677B1E"/>
    <w:rsid w:val="00677D1E"/>
    <w:rsid w:val="00677F9F"/>
    <w:rsid w:val="00680091"/>
    <w:rsid w:val="00680160"/>
    <w:rsid w:val="00680AED"/>
    <w:rsid w:val="00680DC3"/>
    <w:rsid w:val="00681299"/>
    <w:rsid w:val="00681A99"/>
    <w:rsid w:val="0068247C"/>
    <w:rsid w:val="00682584"/>
    <w:rsid w:val="00682CB2"/>
    <w:rsid w:val="00682E94"/>
    <w:rsid w:val="0068346B"/>
    <w:rsid w:val="00683711"/>
    <w:rsid w:val="00683AD9"/>
    <w:rsid w:val="00683BBA"/>
    <w:rsid w:val="0068435E"/>
    <w:rsid w:val="006847A1"/>
    <w:rsid w:val="00684B56"/>
    <w:rsid w:val="00684BE1"/>
    <w:rsid w:val="00684CD2"/>
    <w:rsid w:val="0068508B"/>
    <w:rsid w:val="00685405"/>
    <w:rsid w:val="00685703"/>
    <w:rsid w:val="00685E83"/>
    <w:rsid w:val="00685E96"/>
    <w:rsid w:val="00686103"/>
    <w:rsid w:val="00686521"/>
    <w:rsid w:val="006865A8"/>
    <w:rsid w:val="006867D4"/>
    <w:rsid w:val="00686908"/>
    <w:rsid w:val="00686B3D"/>
    <w:rsid w:val="00687082"/>
    <w:rsid w:val="006870C2"/>
    <w:rsid w:val="006870F1"/>
    <w:rsid w:val="0068712E"/>
    <w:rsid w:val="00687504"/>
    <w:rsid w:val="00687885"/>
    <w:rsid w:val="006878C6"/>
    <w:rsid w:val="006879A1"/>
    <w:rsid w:val="006902B0"/>
    <w:rsid w:val="006902D7"/>
    <w:rsid w:val="0069081D"/>
    <w:rsid w:val="00691023"/>
    <w:rsid w:val="00691717"/>
    <w:rsid w:val="00691985"/>
    <w:rsid w:val="00691E8B"/>
    <w:rsid w:val="00692268"/>
    <w:rsid w:val="006923DA"/>
    <w:rsid w:val="0069269D"/>
    <w:rsid w:val="00692E65"/>
    <w:rsid w:val="00693032"/>
    <w:rsid w:val="0069342D"/>
    <w:rsid w:val="00693432"/>
    <w:rsid w:val="00693C42"/>
    <w:rsid w:val="00693D15"/>
    <w:rsid w:val="00693D71"/>
    <w:rsid w:val="00694457"/>
    <w:rsid w:val="006946A2"/>
    <w:rsid w:val="006946B7"/>
    <w:rsid w:val="00694C10"/>
    <w:rsid w:val="0069570E"/>
    <w:rsid w:val="00695B7D"/>
    <w:rsid w:val="00695BF7"/>
    <w:rsid w:val="00695F48"/>
    <w:rsid w:val="00695F9D"/>
    <w:rsid w:val="00696CB4"/>
    <w:rsid w:val="00697310"/>
    <w:rsid w:val="00697483"/>
    <w:rsid w:val="006975F7"/>
    <w:rsid w:val="00697BDB"/>
    <w:rsid w:val="00697FCE"/>
    <w:rsid w:val="006A0088"/>
    <w:rsid w:val="006A0608"/>
    <w:rsid w:val="006A092C"/>
    <w:rsid w:val="006A0E8F"/>
    <w:rsid w:val="006A0EEC"/>
    <w:rsid w:val="006A2087"/>
    <w:rsid w:val="006A28AD"/>
    <w:rsid w:val="006A2D53"/>
    <w:rsid w:val="006A329A"/>
    <w:rsid w:val="006A3AA1"/>
    <w:rsid w:val="006A3F3B"/>
    <w:rsid w:val="006A4176"/>
    <w:rsid w:val="006A4748"/>
    <w:rsid w:val="006A4B6B"/>
    <w:rsid w:val="006A515C"/>
    <w:rsid w:val="006A5610"/>
    <w:rsid w:val="006A564A"/>
    <w:rsid w:val="006A5AB5"/>
    <w:rsid w:val="006A5F18"/>
    <w:rsid w:val="006A5F98"/>
    <w:rsid w:val="006A71A0"/>
    <w:rsid w:val="006A7232"/>
    <w:rsid w:val="006A73B3"/>
    <w:rsid w:val="006A7957"/>
    <w:rsid w:val="006A796F"/>
    <w:rsid w:val="006A7B52"/>
    <w:rsid w:val="006A7C5A"/>
    <w:rsid w:val="006A7CF0"/>
    <w:rsid w:val="006B0B2B"/>
    <w:rsid w:val="006B1AC3"/>
    <w:rsid w:val="006B1E4A"/>
    <w:rsid w:val="006B2756"/>
    <w:rsid w:val="006B29A1"/>
    <w:rsid w:val="006B2BF1"/>
    <w:rsid w:val="006B2C98"/>
    <w:rsid w:val="006B37EE"/>
    <w:rsid w:val="006B39BA"/>
    <w:rsid w:val="006B3BC8"/>
    <w:rsid w:val="006B3C0B"/>
    <w:rsid w:val="006B3D36"/>
    <w:rsid w:val="006B3E4B"/>
    <w:rsid w:val="006B40B1"/>
    <w:rsid w:val="006B425F"/>
    <w:rsid w:val="006B4BB5"/>
    <w:rsid w:val="006B4D69"/>
    <w:rsid w:val="006B5267"/>
    <w:rsid w:val="006B60B4"/>
    <w:rsid w:val="006B62FF"/>
    <w:rsid w:val="006B68CE"/>
    <w:rsid w:val="006B6B4F"/>
    <w:rsid w:val="006B6BFC"/>
    <w:rsid w:val="006B6C48"/>
    <w:rsid w:val="006B6FC9"/>
    <w:rsid w:val="006B70F6"/>
    <w:rsid w:val="006B7421"/>
    <w:rsid w:val="006B78EC"/>
    <w:rsid w:val="006C05D0"/>
    <w:rsid w:val="006C08B7"/>
    <w:rsid w:val="006C09CF"/>
    <w:rsid w:val="006C0EDF"/>
    <w:rsid w:val="006C1966"/>
    <w:rsid w:val="006C2320"/>
    <w:rsid w:val="006C251E"/>
    <w:rsid w:val="006C268B"/>
    <w:rsid w:val="006C26C6"/>
    <w:rsid w:val="006C2851"/>
    <w:rsid w:val="006C2F4B"/>
    <w:rsid w:val="006C339C"/>
    <w:rsid w:val="006C357C"/>
    <w:rsid w:val="006C4104"/>
    <w:rsid w:val="006C42E8"/>
    <w:rsid w:val="006C4729"/>
    <w:rsid w:val="006C4765"/>
    <w:rsid w:val="006C4B55"/>
    <w:rsid w:val="006C5BDB"/>
    <w:rsid w:val="006C69DA"/>
    <w:rsid w:val="006C6B5B"/>
    <w:rsid w:val="006C6CDF"/>
    <w:rsid w:val="006C7216"/>
    <w:rsid w:val="006C734D"/>
    <w:rsid w:val="006C7DC4"/>
    <w:rsid w:val="006D0512"/>
    <w:rsid w:val="006D080C"/>
    <w:rsid w:val="006D0BBB"/>
    <w:rsid w:val="006D0D8D"/>
    <w:rsid w:val="006D1CBB"/>
    <w:rsid w:val="006D238E"/>
    <w:rsid w:val="006D2D8B"/>
    <w:rsid w:val="006D31B6"/>
    <w:rsid w:val="006D33D8"/>
    <w:rsid w:val="006D3473"/>
    <w:rsid w:val="006D3AD2"/>
    <w:rsid w:val="006D3B50"/>
    <w:rsid w:val="006D3FF1"/>
    <w:rsid w:val="006D4364"/>
    <w:rsid w:val="006D44AA"/>
    <w:rsid w:val="006D4842"/>
    <w:rsid w:val="006D4BBB"/>
    <w:rsid w:val="006D4C05"/>
    <w:rsid w:val="006D5728"/>
    <w:rsid w:val="006D5F31"/>
    <w:rsid w:val="006D5F42"/>
    <w:rsid w:val="006D615A"/>
    <w:rsid w:val="006D6CD1"/>
    <w:rsid w:val="006D766F"/>
    <w:rsid w:val="006D797B"/>
    <w:rsid w:val="006D79FA"/>
    <w:rsid w:val="006D7CCE"/>
    <w:rsid w:val="006D7E13"/>
    <w:rsid w:val="006E0095"/>
    <w:rsid w:val="006E0275"/>
    <w:rsid w:val="006E0C52"/>
    <w:rsid w:val="006E0E4C"/>
    <w:rsid w:val="006E101D"/>
    <w:rsid w:val="006E18D6"/>
    <w:rsid w:val="006E2226"/>
    <w:rsid w:val="006E2C96"/>
    <w:rsid w:val="006E2FF8"/>
    <w:rsid w:val="006E33B1"/>
    <w:rsid w:val="006E3EA0"/>
    <w:rsid w:val="006E3F1D"/>
    <w:rsid w:val="006E4111"/>
    <w:rsid w:val="006E4576"/>
    <w:rsid w:val="006E651F"/>
    <w:rsid w:val="006E6A33"/>
    <w:rsid w:val="006E6E20"/>
    <w:rsid w:val="006E74F8"/>
    <w:rsid w:val="006E7821"/>
    <w:rsid w:val="006E7829"/>
    <w:rsid w:val="006E78B6"/>
    <w:rsid w:val="006E7B4B"/>
    <w:rsid w:val="006E7B73"/>
    <w:rsid w:val="006E7CBF"/>
    <w:rsid w:val="006E7DB8"/>
    <w:rsid w:val="006E7F4E"/>
    <w:rsid w:val="006F01DD"/>
    <w:rsid w:val="006F060E"/>
    <w:rsid w:val="006F0863"/>
    <w:rsid w:val="006F0EAC"/>
    <w:rsid w:val="006F0ECC"/>
    <w:rsid w:val="006F0F72"/>
    <w:rsid w:val="006F136B"/>
    <w:rsid w:val="006F1D20"/>
    <w:rsid w:val="006F260F"/>
    <w:rsid w:val="006F3420"/>
    <w:rsid w:val="006F3584"/>
    <w:rsid w:val="006F3589"/>
    <w:rsid w:val="006F38BD"/>
    <w:rsid w:val="006F3E33"/>
    <w:rsid w:val="006F44CB"/>
    <w:rsid w:val="006F4A36"/>
    <w:rsid w:val="006F4F54"/>
    <w:rsid w:val="006F58C7"/>
    <w:rsid w:val="006F5B5E"/>
    <w:rsid w:val="006F63AB"/>
    <w:rsid w:val="006F6748"/>
    <w:rsid w:val="006F6BB8"/>
    <w:rsid w:val="006F6DB5"/>
    <w:rsid w:val="006F6DFB"/>
    <w:rsid w:val="006F7381"/>
    <w:rsid w:val="006F79CC"/>
    <w:rsid w:val="00700CDE"/>
    <w:rsid w:val="00700FC9"/>
    <w:rsid w:val="00701C39"/>
    <w:rsid w:val="0070209B"/>
    <w:rsid w:val="007029E8"/>
    <w:rsid w:val="00702AFD"/>
    <w:rsid w:val="00702EE4"/>
    <w:rsid w:val="007036C3"/>
    <w:rsid w:val="00704007"/>
    <w:rsid w:val="007050BA"/>
    <w:rsid w:val="0070571C"/>
    <w:rsid w:val="007058EF"/>
    <w:rsid w:val="00705915"/>
    <w:rsid w:val="00706355"/>
    <w:rsid w:val="007064BF"/>
    <w:rsid w:val="00706D51"/>
    <w:rsid w:val="00706F22"/>
    <w:rsid w:val="007074FA"/>
    <w:rsid w:val="0070784C"/>
    <w:rsid w:val="00710404"/>
    <w:rsid w:val="00710429"/>
    <w:rsid w:val="0071050D"/>
    <w:rsid w:val="007107A3"/>
    <w:rsid w:val="00711033"/>
    <w:rsid w:val="007111BF"/>
    <w:rsid w:val="0071154F"/>
    <w:rsid w:val="007118AD"/>
    <w:rsid w:val="00712129"/>
    <w:rsid w:val="0071263A"/>
    <w:rsid w:val="00712970"/>
    <w:rsid w:val="007132DC"/>
    <w:rsid w:val="00713668"/>
    <w:rsid w:val="00713A00"/>
    <w:rsid w:val="00713B92"/>
    <w:rsid w:val="00713E0D"/>
    <w:rsid w:val="0071409E"/>
    <w:rsid w:val="007143BC"/>
    <w:rsid w:val="00714477"/>
    <w:rsid w:val="007146F0"/>
    <w:rsid w:val="00714EB7"/>
    <w:rsid w:val="00715441"/>
    <w:rsid w:val="00715715"/>
    <w:rsid w:val="007157C2"/>
    <w:rsid w:val="00715CAB"/>
    <w:rsid w:val="00715DF6"/>
    <w:rsid w:val="0071660B"/>
    <w:rsid w:val="007171D0"/>
    <w:rsid w:val="00717383"/>
    <w:rsid w:val="007173DD"/>
    <w:rsid w:val="007200C0"/>
    <w:rsid w:val="0072097B"/>
    <w:rsid w:val="00720A12"/>
    <w:rsid w:val="00721B78"/>
    <w:rsid w:val="00721ED4"/>
    <w:rsid w:val="00721EF2"/>
    <w:rsid w:val="0072225C"/>
    <w:rsid w:val="0072249D"/>
    <w:rsid w:val="00722BBC"/>
    <w:rsid w:val="00722C0B"/>
    <w:rsid w:val="00722D29"/>
    <w:rsid w:val="00722FA2"/>
    <w:rsid w:val="00724BB6"/>
    <w:rsid w:val="0072511F"/>
    <w:rsid w:val="00725663"/>
    <w:rsid w:val="0072569F"/>
    <w:rsid w:val="007257F3"/>
    <w:rsid w:val="00725B81"/>
    <w:rsid w:val="00726136"/>
    <w:rsid w:val="00726EE1"/>
    <w:rsid w:val="00727361"/>
    <w:rsid w:val="007275EE"/>
    <w:rsid w:val="007276F3"/>
    <w:rsid w:val="00730008"/>
    <w:rsid w:val="00730792"/>
    <w:rsid w:val="007307A8"/>
    <w:rsid w:val="00730F4A"/>
    <w:rsid w:val="00731871"/>
    <w:rsid w:val="00731AD9"/>
    <w:rsid w:val="00731D4E"/>
    <w:rsid w:val="007322EF"/>
    <w:rsid w:val="00732360"/>
    <w:rsid w:val="0073262F"/>
    <w:rsid w:val="007332EE"/>
    <w:rsid w:val="00734160"/>
    <w:rsid w:val="0073495D"/>
    <w:rsid w:val="00735191"/>
    <w:rsid w:val="007357D0"/>
    <w:rsid w:val="00735880"/>
    <w:rsid w:val="00735952"/>
    <w:rsid w:val="00735B4F"/>
    <w:rsid w:val="00735EDC"/>
    <w:rsid w:val="0073616A"/>
    <w:rsid w:val="0073617C"/>
    <w:rsid w:val="00736244"/>
    <w:rsid w:val="007369CD"/>
    <w:rsid w:val="00736C60"/>
    <w:rsid w:val="00736CFF"/>
    <w:rsid w:val="007370F9"/>
    <w:rsid w:val="00737A9D"/>
    <w:rsid w:val="00737DF0"/>
    <w:rsid w:val="007403EE"/>
    <w:rsid w:val="00740862"/>
    <w:rsid w:val="00740D50"/>
    <w:rsid w:val="00740E20"/>
    <w:rsid w:val="007419D9"/>
    <w:rsid w:val="00742569"/>
    <w:rsid w:val="007426BF"/>
    <w:rsid w:val="007427D1"/>
    <w:rsid w:val="0074302D"/>
    <w:rsid w:val="0074371C"/>
    <w:rsid w:val="00743F3B"/>
    <w:rsid w:val="00743F9B"/>
    <w:rsid w:val="00744808"/>
    <w:rsid w:val="00744B17"/>
    <w:rsid w:val="00744C44"/>
    <w:rsid w:val="00744D38"/>
    <w:rsid w:val="00744ECF"/>
    <w:rsid w:val="00745189"/>
    <w:rsid w:val="0074570E"/>
    <w:rsid w:val="00745CB6"/>
    <w:rsid w:val="00745DF1"/>
    <w:rsid w:val="00745F3C"/>
    <w:rsid w:val="0074620C"/>
    <w:rsid w:val="00746776"/>
    <w:rsid w:val="00746C34"/>
    <w:rsid w:val="0074756B"/>
    <w:rsid w:val="00747617"/>
    <w:rsid w:val="0075005D"/>
    <w:rsid w:val="007506CA"/>
    <w:rsid w:val="00750CDC"/>
    <w:rsid w:val="007519AC"/>
    <w:rsid w:val="00751BAA"/>
    <w:rsid w:val="00752236"/>
    <w:rsid w:val="00752FFB"/>
    <w:rsid w:val="00753102"/>
    <w:rsid w:val="00753742"/>
    <w:rsid w:val="00753BB9"/>
    <w:rsid w:val="0075407C"/>
    <w:rsid w:val="0075466B"/>
    <w:rsid w:val="00754C65"/>
    <w:rsid w:val="0075509C"/>
    <w:rsid w:val="007553FF"/>
    <w:rsid w:val="0075593A"/>
    <w:rsid w:val="00755A78"/>
    <w:rsid w:val="00755B87"/>
    <w:rsid w:val="00755C19"/>
    <w:rsid w:val="00756F7D"/>
    <w:rsid w:val="00757093"/>
    <w:rsid w:val="00760322"/>
    <w:rsid w:val="00760BD6"/>
    <w:rsid w:val="00760CFA"/>
    <w:rsid w:val="00761B4C"/>
    <w:rsid w:val="00761E39"/>
    <w:rsid w:val="007625AC"/>
    <w:rsid w:val="00762E1B"/>
    <w:rsid w:val="00763125"/>
    <w:rsid w:val="00763C81"/>
    <w:rsid w:val="00763D28"/>
    <w:rsid w:val="00764269"/>
    <w:rsid w:val="007646AF"/>
    <w:rsid w:val="00764DD1"/>
    <w:rsid w:val="00764FC4"/>
    <w:rsid w:val="00765220"/>
    <w:rsid w:val="00766442"/>
    <w:rsid w:val="00766523"/>
    <w:rsid w:val="00767853"/>
    <w:rsid w:val="00770BA3"/>
    <w:rsid w:val="00771510"/>
    <w:rsid w:val="00771A27"/>
    <w:rsid w:val="00772164"/>
    <w:rsid w:val="007723D6"/>
    <w:rsid w:val="00772950"/>
    <w:rsid w:val="00772A48"/>
    <w:rsid w:val="00772BDF"/>
    <w:rsid w:val="00772C0F"/>
    <w:rsid w:val="00772CAF"/>
    <w:rsid w:val="0077326B"/>
    <w:rsid w:val="00773894"/>
    <w:rsid w:val="00773A2C"/>
    <w:rsid w:val="00774201"/>
    <w:rsid w:val="007746DC"/>
    <w:rsid w:val="007747A3"/>
    <w:rsid w:val="007748A4"/>
    <w:rsid w:val="00774991"/>
    <w:rsid w:val="00775066"/>
    <w:rsid w:val="007750C7"/>
    <w:rsid w:val="00775A76"/>
    <w:rsid w:val="00775F03"/>
    <w:rsid w:val="007763C1"/>
    <w:rsid w:val="00776C8B"/>
    <w:rsid w:val="0077712F"/>
    <w:rsid w:val="00777CF1"/>
    <w:rsid w:val="00780862"/>
    <w:rsid w:val="00780B15"/>
    <w:rsid w:val="00781117"/>
    <w:rsid w:val="007814F2"/>
    <w:rsid w:val="007828F5"/>
    <w:rsid w:val="00782D81"/>
    <w:rsid w:val="00782E54"/>
    <w:rsid w:val="0078411B"/>
    <w:rsid w:val="007847C5"/>
    <w:rsid w:val="00784A01"/>
    <w:rsid w:val="00784BAE"/>
    <w:rsid w:val="00784CB8"/>
    <w:rsid w:val="00784E98"/>
    <w:rsid w:val="0078520B"/>
    <w:rsid w:val="00785AF6"/>
    <w:rsid w:val="00785F87"/>
    <w:rsid w:val="007860B1"/>
    <w:rsid w:val="00786E36"/>
    <w:rsid w:val="00787E6B"/>
    <w:rsid w:val="00787F9D"/>
    <w:rsid w:val="007901FE"/>
    <w:rsid w:val="00790392"/>
    <w:rsid w:val="00790512"/>
    <w:rsid w:val="00790887"/>
    <w:rsid w:val="00791A3A"/>
    <w:rsid w:val="00791E10"/>
    <w:rsid w:val="00792288"/>
    <w:rsid w:val="007924F9"/>
    <w:rsid w:val="00792628"/>
    <w:rsid w:val="00792905"/>
    <w:rsid w:val="00792C46"/>
    <w:rsid w:val="00792EE4"/>
    <w:rsid w:val="007940FE"/>
    <w:rsid w:val="00794625"/>
    <w:rsid w:val="007957BE"/>
    <w:rsid w:val="00795B95"/>
    <w:rsid w:val="007960D1"/>
    <w:rsid w:val="0079618D"/>
    <w:rsid w:val="007966FC"/>
    <w:rsid w:val="00796A36"/>
    <w:rsid w:val="00796C72"/>
    <w:rsid w:val="00796FAD"/>
    <w:rsid w:val="00797589"/>
    <w:rsid w:val="00797856"/>
    <w:rsid w:val="007978DA"/>
    <w:rsid w:val="007A024D"/>
    <w:rsid w:val="007A047B"/>
    <w:rsid w:val="007A0537"/>
    <w:rsid w:val="007A0C17"/>
    <w:rsid w:val="007A14E3"/>
    <w:rsid w:val="007A18F7"/>
    <w:rsid w:val="007A1D07"/>
    <w:rsid w:val="007A2B65"/>
    <w:rsid w:val="007A2BE5"/>
    <w:rsid w:val="007A2D96"/>
    <w:rsid w:val="007A32B6"/>
    <w:rsid w:val="007A3A08"/>
    <w:rsid w:val="007A429E"/>
    <w:rsid w:val="007A56A6"/>
    <w:rsid w:val="007A586C"/>
    <w:rsid w:val="007A589E"/>
    <w:rsid w:val="007A7A73"/>
    <w:rsid w:val="007B0965"/>
    <w:rsid w:val="007B14B2"/>
    <w:rsid w:val="007B1534"/>
    <w:rsid w:val="007B15CD"/>
    <w:rsid w:val="007B17A2"/>
    <w:rsid w:val="007B18E7"/>
    <w:rsid w:val="007B1CD0"/>
    <w:rsid w:val="007B2015"/>
    <w:rsid w:val="007B2F8E"/>
    <w:rsid w:val="007B30F3"/>
    <w:rsid w:val="007B348B"/>
    <w:rsid w:val="007B386E"/>
    <w:rsid w:val="007B3AFA"/>
    <w:rsid w:val="007B3C3F"/>
    <w:rsid w:val="007B48D2"/>
    <w:rsid w:val="007B48FF"/>
    <w:rsid w:val="007B490E"/>
    <w:rsid w:val="007B4DB3"/>
    <w:rsid w:val="007B6866"/>
    <w:rsid w:val="007B6F9C"/>
    <w:rsid w:val="007B7241"/>
    <w:rsid w:val="007B77C9"/>
    <w:rsid w:val="007B7AEB"/>
    <w:rsid w:val="007C05D7"/>
    <w:rsid w:val="007C05F7"/>
    <w:rsid w:val="007C09E0"/>
    <w:rsid w:val="007C1337"/>
    <w:rsid w:val="007C19E1"/>
    <w:rsid w:val="007C1E30"/>
    <w:rsid w:val="007C1E84"/>
    <w:rsid w:val="007C208C"/>
    <w:rsid w:val="007C2231"/>
    <w:rsid w:val="007C277A"/>
    <w:rsid w:val="007C2AC6"/>
    <w:rsid w:val="007C2CA3"/>
    <w:rsid w:val="007C3211"/>
    <w:rsid w:val="007C37F7"/>
    <w:rsid w:val="007C38BD"/>
    <w:rsid w:val="007C3FA4"/>
    <w:rsid w:val="007C4605"/>
    <w:rsid w:val="007C4B0B"/>
    <w:rsid w:val="007C4BFF"/>
    <w:rsid w:val="007C5375"/>
    <w:rsid w:val="007C53D8"/>
    <w:rsid w:val="007C5F70"/>
    <w:rsid w:val="007C625F"/>
    <w:rsid w:val="007C6AD5"/>
    <w:rsid w:val="007C6B0A"/>
    <w:rsid w:val="007C6D2B"/>
    <w:rsid w:val="007C7128"/>
    <w:rsid w:val="007C766A"/>
    <w:rsid w:val="007C7680"/>
    <w:rsid w:val="007C773E"/>
    <w:rsid w:val="007D0057"/>
    <w:rsid w:val="007D0249"/>
    <w:rsid w:val="007D0B62"/>
    <w:rsid w:val="007D0E23"/>
    <w:rsid w:val="007D0EED"/>
    <w:rsid w:val="007D196A"/>
    <w:rsid w:val="007D1ADA"/>
    <w:rsid w:val="007D1DE6"/>
    <w:rsid w:val="007D1FCE"/>
    <w:rsid w:val="007D231F"/>
    <w:rsid w:val="007D2703"/>
    <w:rsid w:val="007D2A84"/>
    <w:rsid w:val="007D2EE8"/>
    <w:rsid w:val="007D383C"/>
    <w:rsid w:val="007D3C6A"/>
    <w:rsid w:val="007D3DE7"/>
    <w:rsid w:val="007D401F"/>
    <w:rsid w:val="007D41B1"/>
    <w:rsid w:val="007D4239"/>
    <w:rsid w:val="007D46E2"/>
    <w:rsid w:val="007D4D84"/>
    <w:rsid w:val="007D4FDE"/>
    <w:rsid w:val="007D4FE4"/>
    <w:rsid w:val="007D5329"/>
    <w:rsid w:val="007D58D9"/>
    <w:rsid w:val="007D5A44"/>
    <w:rsid w:val="007D62DF"/>
    <w:rsid w:val="007D6336"/>
    <w:rsid w:val="007D68B1"/>
    <w:rsid w:val="007D6A79"/>
    <w:rsid w:val="007D6CF6"/>
    <w:rsid w:val="007D6E0A"/>
    <w:rsid w:val="007D6FFD"/>
    <w:rsid w:val="007D70A4"/>
    <w:rsid w:val="007D7285"/>
    <w:rsid w:val="007D7B62"/>
    <w:rsid w:val="007D7BA9"/>
    <w:rsid w:val="007D7CBD"/>
    <w:rsid w:val="007E0E52"/>
    <w:rsid w:val="007E0F2E"/>
    <w:rsid w:val="007E11F3"/>
    <w:rsid w:val="007E2481"/>
    <w:rsid w:val="007E24CE"/>
    <w:rsid w:val="007E3067"/>
    <w:rsid w:val="007E3AFD"/>
    <w:rsid w:val="007E3C3B"/>
    <w:rsid w:val="007E4209"/>
    <w:rsid w:val="007E4980"/>
    <w:rsid w:val="007E4DDC"/>
    <w:rsid w:val="007E52B4"/>
    <w:rsid w:val="007E5334"/>
    <w:rsid w:val="007E5B0A"/>
    <w:rsid w:val="007E5F3D"/>
    <w:rsid w:val="007E5FCA"/>
    <w:rsid w:val="007E6529"/>
    <w:rsid w:val="007E74A5"/>
    <w:rsid w:val="007E76BD"/>
    <w:rsid w:val="007E7833"/>
    <w:rsid w:val="007E7834"/>
    <w:rsid w:val="007E7D62"/>
    <w:rsid w:val="007F0146"/>
    <w:rsid w:val="007F015C"/>
    <w:rsid w:val="007F045F"/>
    <w:rsid w:val="007F05EE"/>
    <w:rsid w:val="007F1984"/>
    <w:rsid w:val="007F1DE2"/>
    <w:rsid w:val="007F1E99"/>
    <w:rsid w:val="007F1F89"/>
    <w:rsid w:val="007F209D"/>
    <w:rsid w:val="007F2265"/>
    <w:rsid w:val="007F22F1"/>
    <w:rsid w:val="007F27D8"/>
    <w:rsid w:val="007F28F2"/>
    <w:rsid w:val="007F2912"/>
    <w:rsid w:val="007F3CBF"/>
    <w:rsid w:val="007F3D53"/>
    <w:rsid w:val="007F3E66"/>
    <w:rsid w:val="007F4335"/>
    <w:rsid w:val="007F44C9"/>
    <w:rsid w:val="007F4EF7"/>
    <w:rsid w:val="007F5800"/>
    <w:rsid w:val="007F5995"/>
    <w:rsid w:val="007F5B8E"/>
    <w:rsid w:val="007F6970"/>
    <w:rsid w:val="007F6980"/>
    <w:rsid w:val="007F7177"/>
    <w:rsid w:val="007F742C"/>
    <w:rsid w:val="007F7D28"/>
    <w:rsid w:val="00800241"/>
    <w:rsid w:val="008006B9"/>
    <w:rsid w:val="00801115"/>
    <w:rsid w:val="0080172B"/>
    <w:rsid w:val="00801BE4"/>
    <w:rsid w:val="008035F6"/>
    <w:rsid w:val="00803C09"/>
    <w:rsid w:val="00803E5B"/>
    <w:rsid w:val="00804E42"/>
    <w:rsid w:val="00804FC8"/>
    <w:rsid w:val="008051CC"/>
    <w:rsid w:val="00805395"/>
    <w:rsid w:val="00805417"/>
    <w:rsid w:val="00805418"/>
    <w:rsid w:val="008055B0"/>
    <w:rsid w:val="00805E72"/>
    <w:rsid w:val="00806264"/>
    <w:rsid w:val="00806345"/>
    <w:rsid w:val="0080660B"/>
    <w:rsid w:val="00806C3A"/>
    <w:rsid w:val="00806F93"/>
    <w:rsid w:val="0080746A"/>
    <w:rsid w:val="00807830"/>
    <w:rsid w:val="00807C32"/>
    <w:rsid w:val="00807D57"/>
    <w:rsid w:val="00807D5D"/>
    <w:rsid w:val="00807F30"/>
    <w:rsid w:val="00810B4D"/>
    <w:rsid w:val="00810F03"/>
    <w:rsid w:val="008113D4"/>
    <w:rsid w:val="008113E4"/>
    <w:rsid w:val="0081164D"/>
    <w:rsid w:val="00811A92"/>
    <w:rsid w:val="00811BA0"/>
    <w:rsid w:val="00811ED7"/>
    <w:rsid w:val="00812670"/>
    <w:rsid w:val="0081319F"/>
    <w:rsid w:val="008138EE"/>
    <w:rsid w:val="008142EC"/>
    <w:rsid w:val="0081485A"/>
    <w:rsid w:val="008152BC"/>
    <w:rsid w:val="008159A5"/>
    <w:rsid w:val="00815B71"/>
    <w:rsid w:val="00815C19"/>
    <w:rsid w:val="00815C69"/>
    <w:rsid w:val="0081653E"/>
    <w:rsid w:val="00816540"/>
    <w:rsid w:val="00816AED"/>
    <w:rsid w:val="00817C24"/>
    <w:rsid w:val="0082016A"/>
    <w:rsid w:val="00820179"/>
    <w:rsid w:val="0082021A"/>
    <w:rsid w:val="008212CD"/>
    <w:rsid w:val="00821C3A"/>
    <w:rsid w:val="00821E2A"/>
    <w:rsid w:val="00822E44"/>
    <w:rsid w:val="00823210"/>
    <w:rsid w:val="0082333F"/>
    <w:rsid w:val="00823A16"/>
    <w:rsid w:val="008240ED"/>
    <w:rsid w:val="0082411F"/>
    <w:rsid w:val="00824912"/>
    <w:rsid w:val="00824C34"/>
    <w:rsid w:val="00824C58"/>
    <w:rsid w:val="00825E13"/>
    <w:rsid w:val="00826087"/>
    <w:rsid w:val="00826184"/>
    <w:rsid w:val="00826279"/>
    <w:rsid w:val="0082656C"/>
    <w:rsid w:val="0082680E"/>
    <w:rsid w:val="008269C3"/>
    <w:rsid w:val="0082747E"/>
    <w:rsid w:val="00827A62"/>
    <w:rsid w:val="00830C3F"/>
    <w:rsid w:val="0083153E"/>
    <w:rsid w:val="00831608"/>
    <w:rsid w:val="008317A2"/>
    <w:rsid w:val="008319EB"/>
    <w:rsid w:val="008319EC"/>
    <w:rsid w:val="008319EF"/>
    <w:rsid w:val="00831D47"/>
    <w:rsid w:val="00831D8D"/>
    <w:rsid w:val="00831E85"/>
    <w:rsid w:val="00832B6C"/>
    <w:rsid w:val="00832CDE"/>
    <w:rsid w:val="00832F40"/>
    <w:rsid w:val="008338E4"/>
    <w:rsid w:val="008339EA"/>
    <w:rsid w:val="00833F05"/>
    <w:rsid w:val="008346B9"/>
    <w:rsid w:val="008347C6"/>
    <w:rsid w:val="00834B07"/>
    <w:rsid w:val="00835752"/>
    <w:rsid w:val="008358E3"/>
    <w:rsid w:val="00835CC2"/>
    <w:rsid w:val="00835F25"/>
    <w:rsid w:val="008362A7"/>
    <w:rsid w:val="00836431"/>
    <w:rsid w:val="00836BC1"/>
    <w:rsid w:val="00836D08"/>
    <w:rsid w:val="008371A8"/>
    <w:rsid w:val="008371E1"/>
    <w:rsid w:val="0084001E"/>
    <w:rsid w:val="00840750"/>
    <w:rsid w:val="008409D2"/>
    <w:rsid w:val="00840C77"/>
    <w:rsid w:val="00840D93"/>
    <w:rsid w:val="0084141B"/>
    <w:rsid w:val="00841620"/>
    <w:rsid w:val="00841658"/>
    <w:rsid w:val="00841900"/>
    <w:rsid w:val="00841D9B"/>
    <w:rsid w:val="00842CA3"/>
    <w:rsid w:val="008438C9"/>
    <w:rsid w:val="00843DAB"/>
    <w:rsid w:val="008441DD"/>
    <w:rsid w:val="00844461"/>
    <w:rsid w:val="008445AB"/>
    <w:rsid w:val="0084553F"/>
    <w:rsid w:val="00845977"/>
    <w:rsid w:val="0084664C"/>
    <w:rsid w:val="0084756E"/>
    <w:rsid w:val="0084779A"/>
    <w:rsid w:val="00850486"/>
    <w:rsid w:val="00850A59"/>
    <w:rsid w:val="00850A82"/>
    <w:rsid w:val="00850B8E"/>
    <w:rsid w:val="00850ECE"/>
    <w:rsid w:val="0085102E"/>
    <w:rsid w:val="0085141F"/>
    <w:rsid w:val="00851857"/>
    <w:rsid w:val="0085187A"/>
    <w:rsid w:val="00851C42"/>
    <w:rsid w:val="00851ED4"/>
    <w:rsid w:val="008521E4"/>
    <w:rsid w:val="0085243A"/>
    <w:rsid w:val="00852644"/>
    <w:rsid w:val="008537B4"/>
    <w:rsid w:val="00853D1C"/>
    <w:rsid w:val="00853EC8"/>
    <w:rsid w:val="00854312"/>
    <w:rsid w:val="00854473"/>
    <w:rsid w:val="00855291"/>
    <w:rsid w:val="008558CD"/>
    <w:rsid w:val="00855A6E"/>
    <w:rsid w:val="00855F80"/>
    <w:rsid w:val="00856258"/>
    <w:rsid w:val="00856397"/>
    <w:rsid w:val="008565D2"/>
    <w:rsid w:val="00856694"/>
    <w:rsid w:val="008566FA"/>
    <w:rsid w:val="008568ED"/>
    <w:rsid w:val="008575C2"/>
    <w:rsid w:val="0086053D"/>
    <w:rsid w:val="008606C3"/>
    <w:rsid w:val="00860D95"/>
    <w:rsid w:val="00860D97"/>
    <w:rsid w:val="00860DDC"/>
    <w:rsid w:val="00861132"/>
    <w:rsid w:val="0086153A"/>
    <w:rsid w:val="00861872"/>
    <w:rsid w:val="00861AC9"/>
    <w:rsid w:val="00861ED5"/>
    <w:rsid w:val="00861F56"/>
    <w:rsid w:val="00862358"/>
    <w:rsid w:val="0086294C"/>
    <w:rsid w:val="00863377"/>
    <w:rsid w:val="00863A03"/>
    <w:rsid w:val="00864AF4"/>
    <w:rsid w:val="00864D54"/>
    <w:rsid w:val="00864DCA"/>
    <w:rsid w:val="00865B59"/>
    <w:rsid w:val="00865C28"/>
    <w:rsid w:val="00866172"/>
    <w:rsid w:val="008661B9"/>
    <w:rsid w:val="00866275"/>
    <w:rsid w:val="00866EEE"/>
    <w:rsid w:val="008670C7"/>
    <w:rsid w:val="00867DA5"/>
    <w:rsid w:val="0087008C"/>
    <w:rsid w:val="00870677"/>
    <w:rsid w:val="00870961"/>
    <w:rsid w:val="00870D23"/>
    <w:rsid w:val="00871103"/>
    <w:rsid w:val="008716FE"/>
    <w:rsid w:val="0087175B"/>
    <w:rsid w:val="00871846"/>
    <w:rsid w:val="00871AC7"/>
    <w:rsid w:val="00871B2E"/>
    <w:rsid w:val="00872194"/>
    <w:rsid w:val="00872E08"/>
    <w:rsid w:val="00872FAF"/>
    <w:rsid w:val="008731D7"/>
    <w:rsid w:val="0087321F"/>
    <w:rsid w:val="008737A0"/>
    <w:rsid w:val="008739BF"/>
    <w:rsid w:val="00873CB2"/>
    <w:rsid w:val="00874536"/>
    <w:rsid w:val="00874C1F"/>
    <w:rsid w:val="00874DF0"/>
    <w:rsid w:val="00875976"/>
    <w:rsid w:val="0087599D"/>
    <w:rsid w:val="00876629"/>
    <w:rsid w:val="0087682D"/>
    <w:rsid w:val="00876AFB"/>
    <w:rsid w:val="00876B10"/>
    <w:rsid w:val="00876C79"/>
    <w:rsid w:val="00876E83"/>
    <w:rsid w:val="00876F75"/>
    <w:rsid w:val="00877168"/>
    <w:rsid w:val="008775E1"/>
    <w:rsid w:val="00877958"/>
    <w:rsid w:val="00877FE4"/>
    <w:rsid w:val="008804BA"/>
    <w:rsid w:val="00880597"/>
    <w:rsid w:val="00880CC1"/>
    <w:rsid w:val="00880DFF"/>
    <w:rsid w:val="00880EB4"/>
    <w:rsid w:val="00882402"/>
    <w:rsid w:val="0088252F"/>
    <w:rsid w:val="00882D32"/>
    <w:rsid w:val="00882DCF"/>
    <w:rsid w:val="00883073"/>
    <w:rsid w:val="00883194"/>
    <w:rsid w:val="008836EE"/>
    <w:rsid w:val="00883807"/>
    <w:rsid w:val="00883DF8"/>
    <w:rsid w:val="00884494"/>
    <w:rsid w:val="0088450D"/>
    <w:rsid w:val="0088473E"/>
    <w:rsid w:val="00884A61"/>
    <w:rsid w:val="00885036"/>
    <w:rsid w:val="00885385"/>
    <w:rsid w:val="0088595B"/>
    <w:rsid w:val="008859F9"/>
    <w:rsid w:val="00885E1A"/>
    <w:rsid w:val="0088649D"/>
    <w:rsid w:val="008869D5"/>
    <w:rsid w:val="00886BB1"/>
    <w:rsid w:val="00886F6F"/>
    <w:rsid w:val="00887AA0"/>
    <w:rsid w:val="00887D0A"/>
    <w:rsid w:val="00891D76"/>
    <w:rsid w:val="008925FC"/>
    <w:rsid w:val="00892884"/>
    <w:rsid w:val="00892B2D"/>
    <w:rsid w:val="00892EB8"/>
    <w:rsid w:val="008936F1"/>
    <w:rsid w:val="008942FC"/>
    <w:rsid w:val="00894B99"/>
    <w:rsid w:val="00894F2A"/>
    <w:rsid w:val="00895401"/>
    <w:rsid w:val="00895407"/>
    <w:rsid w:val="008956BE"/>
    <w:rsid w:val="008957C5"/>
    <w:rsid w:val="00895E33"/>
    <w:rsid w:val="00895E35"/>
    <w:rsid w:val="00895F0C"/>
    <w:rsid w:val="00895F44"/>
    <w:rsid w:val="00896193"/>
    <w:rsid w:val="00896CEA"/>
    <w:rsid w:val="00896F00"/>
    <w:rsid w:val="00896FDF"/>
    <w:rsid w:val="008978D9"/>
    <w:rsid w:val="00897AC4"/>
    <w:rsid w:val="00897F33"/>
    <w:rsid w:val="008A009D"/>
    <w:rsid w:val="008A04DB"/>
    <w:rsid w:val="008A059D"/>
    <w:rsid w:val="008A139E"/>
    <w:rsid w:val="008A13B1"/>
    <w:rsid w:val="008A1CEB"/>
    <w:rsid w:val="008A26FE"/>
    <w:rsid w:val="008A2949"/>
    <w:rsid w:val="008A29B0"/>
    <w:rsid w:val="008A2CA8"/>
    <w:rsid w:val="008A301B"/>
    <w:rsid w:val="008A3186"/>
    <w:rsid w:val="008A3945"/>
    <w:rsid w:val="008A433F"/>
    <w:rsid w:val="008A451E"/>
    <w:rsid w:val="008A45A0"/>
    <w:rsid w:val="008A4991"/>
    <w:rsid w:val="008A4BA2"/>
    <w:rsid w:val="008A5002"/>
    <w:rsid w:val="008A5146"/>
    <w:rsid w:val="008A52F2"/>
    <w:rsid w:val="008A54DD"/>
    <w:rsid w:val="008A6474"/>
    <w:rsid w:val="008A68C9"/>
    <w:rsid w:val="008A7B19"/>
    <w:rsid w:val="008B0252"/>
    <w:rsid w:val="008B03B7"/>
    <w:rsid w:val="008B046D"/>
    <w:rsid w:val="008B0517"/>
    <w:rsid w:val="008B086D"/>
    <w:rsid w:val="008B088E"/>
    <w:rsid w:val="008B09A8"/>
    <w:rsid w:val="008B14AE"/>
    <w:rsid w:val="008B1EB8"/>
    <w:rsid w:val="008B2D07"/>
    <w:rsid w:val="008B307F"/>
    <w:rsid w:val="008B3340"/>
    <w:rsid w:val="008B3A1B"/>
    <w:rsid w:val="008B3E6C"/>
    <w:rsid w:val="008B4725"/>
    <w:rsid w:val="008B4756"/>
    <w:rsid w:val="008B50E8"/>
    <w:rsid w:val="008B533B"/>
    <w:rsid w:val="008B5941"/>
    <w:rsid w:val="008B59B7"/>
    <w:rsid w:val="008B6029"/>
    <w:rsid w:val="008B6ABC"/>
    <w:rsid w:val="008B7686"/>
    <w:rsid w:val="008B773D"/>
    <w:rsid w:val="008B7D4A"/>
    <w:rsid w:val="008B7E69"/>
    <w:rsid w:val="008C0569"/>
    <w:rsid w:val="008C1BA4"/>
    <w:rsid w:val="008C1DD8"/>
    <w:rsid w:val="008C213F"/>
    <w:rsid w:val="008C288C"/>
    <w:rsid w:val="008C28F1"/>
    <w:rsid w:val="008C2D1F"/>
    <w:rsid w:val="008C2D4A"/>
    <w:rsid w:val="008C2F2F"/>
    <w:rsid w:val="008C350E"/>
    <w:rsid w:val="008C37A7"/>
    <w:rsid w:val="008C3E90"/>
    <w:rsid w:val="008C4447"/>
    <w:rsid w:val="008C4ECC"/>
    <w:rsid w:val="008C52EA"/>
    <w:rsid w:val="008C564B"/>
    <w:rsid w:val="008C5A81"/>
    <w:rsid w:val="008C5D06"/>
    <w:rsid w:val="008C61FF"/>
    <w:rsid w:val="008C6C61"/>
    <w:rsid w:val="008C73BB"/>
    <w:rsid w:val="008C77DE"/>
    <w:rsid w:val="008C7849"/>
    <w:rsid w:val="008C7894"/>
    <w:rsid w:val="008C7BF6"/>
    <w:rsid w:val="008C7CEF"/>
    <w:rsid w:val="008C7DCD"/>
    <w:rsid w:val="008D11A0"/>
    <w:rsid w:val="008D1262"/>
    <w:rsid w:val="008D35FF"/>
    <w:rsid w:val="008D3FCF"/>
    <w:rsid w:val="008D49CD"/>
    <w:rsid w:val="008D5436"/>
    <w:rsid w:val="008D64CE"/>
    <w:rsid w:val="008D6501"/>
    <w:rsid w:val="008D6B3F"/>
    <w:rsid w:val="008D6FA3"/>
    <w:rsid w:val="008D71C2"/>
    <w:rsid w:val="008D73D0"/>
    <w:rsid w:val="008D7E28"/>
    <w:rsid w:val="008D7ECC"/>
    <w:rsid w:val="008E0EF2"/>
    <w:rsid w:val="008E10C1"/>
    <w:rsid w:val="008E12AF"/>
    <w:rsid w:val="008E1762"/>
    <w:rsid w:val="008E1986"/>
    <w:rsid w:val="008E1C4B"/>
    <w:rsid w:val="008E219C"/>
    <w:rsid w:val="008E25EF"/>
    <w:rsid w:val="008E2E0B"/>
    <w:rsid w:val="008E3038"/>
    <w:rsid w:val="008E329B"/>
    <w:rsid w:val="008E3897"/>
    <w:rsid w:val="008E3BC4"/>
    <w:rsid w:val="008E422A"/>
    <w:rsid w:val="008E447F"/>
    <w:rsid w:val="008E461B"/>
    <w:rsid w:val="008E4821"/>
    <w:rsid w:val="008E482A"/>
    <w:rsid w:val="008E4C46"/>
    <w:rsid w:val="008E5217"/>
    <w:rsid w:val="008E5DE3"/>
    <w:rsid w:val="008E68B5"/>
    <w:rsid w:val="008E6A5E"/>
    <w:rsid w:val="008E700C"/>
    <w:rsid w:val="008E7C8E"/>
    <w:rsid w:val="008F0412"/>
    <w:rsid w:val="008F08BA"/>
    <w:rsid w:val="008F0B99"/>
    <w:rsid w:val="008F11FE"/>
    <w:rsid w:val="008F120C"/>
    <w:rsid w:val="008F1889"/>
    <w:rsid w:val="008F1C52"/>
    <w:rsid w:val="008F1D97"/>
    <w:rsid w:val="008F1F5C"/>
    <w:rsid w:val="008F1FE6"/>
    <w:rsid w:val="008F21C8"/>
    <w:rsid w:val="008F2582"/>
    <w:rsid w:val="008F25E8"/>
    <w:rsid w:val="008F26F5"/>
    <w:rsid w:val="008F2B47"/>
    <w:rsid w:val="008F2FDD"/>
    <w:rsid w:val="008F3217"/>
    <w:rsid w:val="008F32C9"/>
    <w:rsid w:val="008F38B6"/>
    <w:rsid w:val="008F394F"/>
    <w:rsid w:val="008F4B48"/>
    <w:rsid w:val="008F4D9D"/>
    <w:rsid w:val="008F5D88"/>
    <w:rsid w:val="008F636A"/>
    <w:rsid w:val="008F677D"/>
    <w:rsid w:val="008F6E88"/>
    <w:rsid w:val="008F74B4"/>
    <w:rsid w:val="008F78D9"/>
    <w:rsid w:val="008F7C82"/>
    <w:rsid w:val="008F7FA4"/>
    <w:rsid w:val="009001F9"/>
    <w:rsid w:val="009002AA"/>
    <w:rsid w:val="009002F2"/>
    <w:rsid w:val="009003F6"/>
    <w:rsid w:val="00900530"/>
    <w:rsid w:val="00901026"/>
    <w:rsid w:val="00901AD5"/>
    <w:rsid w:val="00901C48"/>
    <w:rsid w:val="00901ED2"/>
    <w:rsid w:val="00901F81"/>
    <w:rsid w:val="009032B9"/>
    <w:rsid w:val="009033D0"/>
    <w:rsid w:val="00903532"/>
    <w:rsid w:val="009038A1"/>
    <w:rsid w:val="009038C4"/>
    <w:rsid w:val="00903A8E"/>
    <w:rsid w:val="00903B58"/>
    <w:rsid w:val="00903DB8"/>
    <w:rsid w:val="00903E7B"/>
    <w:rsid w:val="00903F7F"/>
    <w:rsid w:val="0090459D"/>
    <w:rsid w:val="009048D3"/>
    <w:rsid w:val="009049D8"/>
    <w:rsid w:val="00904A96"/>
    <w:rsid w:val="009055D4"/>
    <w:rsid w:val="0090578C"/>
    <w:rsid w:val="00905AF0"/>
    <w:rsid w:val="00905D65"/>
    <w:rsid w:val="00906FF8"/>
    <w:rsid w:val="0090765A"/>
    <w:rsid w:val="009103A1"/>
    <w:rsid w:val="009109B3"/>
    <w:rsid w:val="00910B68"/>
    <w:rsid w:val="00910E8C"/>
    <w:rsid w:val="00911329"/>
    <w:rsid w:val="009118C7"/>
    <w:rsid w:val="00911FE7"/>
    <w:rsid w:val="009123F3"/>
    <w:rsid w:val="00912D32"/>
    <w:rsid w:val="00913B8D"/>
    <w:rsid w:val="00913C69"/>
    <w:rsid w:val="00913FFF"/>
    <w:rsid w:val="00914B36"/>
    <w:rsid w:val="00915093"/>
    <w:rsid w:val="009154E5"/>
    <w:rsid w:val="00915D7E"/>
    <w:rsid w:val="00915F25"/>
    <w:rsid w:val="00916288"/>
    <w:rsid w:val="00916498"/>
    <w:rsid w:val="009168A7"/>
    <w:rsid w:val="00916EC5"/>
    <w:rsid w:val="00916EFA"/>
    <w:rsid w:val="009173F1"/>
    <w:rsid w:val="009176CF"/>
    <w:rsid w:val="00917BB7"/>
    <w:rsid w:val="00917E95"/>
    <w:rsid w:val="00920061"/>
    <w:rsid w:val="0092069E"/>
    <w:rsid w:val="009206A9"/>
    <w:rsid w:val="00920748"/>
    <w:rsid w:val="00920CAA"/>
    <w:rsid w:val="00920F6F"/>
    <w:rsid w:val="00922130"/>
    <w:rsid w:val="0092214E"/>
    <w:rsid w:val="009227FC"/>
    <w:rsid w:val="009229CD"/>
    <w:rsid w:val="00922A39"/>
    <w:rsid w:val="00922FA1"/>
    <w:rsid w:val="0092340E"/>
    <w:rsid w:val="00923950"/>
    <w:rsid w:val="00923BEC"/>
    <w:rsid w:val="0092438F"/>
    <w:rsid w:val="0092466E"/>
    <w:rsid w:val="00925B57"/>
    <w:rsid w:val="00925EA1"/>
    <w:rsid w:val="00925F2F"/>
    <w:rsid w:val="0092618A"/>
    <w:rsid w:val="0092619D"/>
    <w:rsid w:val="00926F87"/>
    <w:rsid w:val="009272D9"/>
    <w:rsid w:val="00927AC9"/>
    <w:rsid w:val="00927B8D"/>
    <w:rsid w:val="00927B93"/>
    <w:rsid w:val="00930626"/>
    <w:rsid w:val="00930826"/>
    <w:rsid w:val="0093099D"/>
    <w:rsid w:val="00930CE4"/>
    <w:rsid w:val="00931012"/>
    <w:rsid w:val="009318AA"/>
    <w:rsid w:val="00932478"/>
    <w:rsid w:val="00932524"/>
    <w:rsid w:val="00932F78"/>
    <w:rsid w:val="009337A9"/>
    <w:rsid w:val="00934073"/>
    <w:rsid w:val="009343B0"/>
    <w:rsid w:val="009344A1"/>
    <w:rsid w:val="00934C90"/>
    <w:rsid w:val="00934D3A"/>
    <w:rsid w:val="0093553A"/>
    <w:rsid w:val="0093596D"/>
    <w:rsid w:val="00935973"/>
    <w:rsid w:val="00935A9E"/>
    <w:rsid w:val="00935F3F"/>
    <w:rsid w:val="00936188"/>
    <w:rsid w:val="009362D9"/>
    <w:rsid w:val="009362F3"/>
    <w:rsid w:val="009365AD"/>
    <w:rsid w:val="0093680E"/>
    <w:rsid w:val="00936C13"/>
    <w:rsid w:val="00936F68"/>
    <w:rsid w:val="00937059"/>
    <w:rsid w:val="00937178"/>
    <w:rsid w:val="009376E4"/>
    <w:rsid w:val="00937CBC"/>
    <w:rsid w:val="00937CBF"/>
    <w:rsid w:val="00937F94"/>
    <w:rsid w:val="0094046F"/>
    <w:rsid w:val="00940553"/>
    <w:rsid w:val="009406D8"/>
    <w:rsid w:val="00941899"/>
    <w:rsid w:val="00941C00"/>
    <w:rsid w:val="009422F6"/>
    <w:rsid w:val="009429CA"/>
    <w:rsid w:val="00942B63"/>
    <w:rsid w:val="00942E2A"/>
    <w:rsid w:val="00943293"/>
    <w:rsid w:val="009438DE"/>
    <w:rsid w:val="00943D1F"/>
    <w:rsid w:val="009444E0"/>
    <w:rsid w:val="00944DCC"/>
    <w:rsid w:val="009453F8"/>
    <w:rsid w:val="00945630"/>
    <w:rsid w:val="00945ADA"/>
    <w:rsid w:val="00945CCC"/>
    <w:rsid w:val="0094605E"/>
    <w:rsid w:val="0094616E"/>
    <w:rsid w:val="00946235"/>
    <w:rsid w:val="00946540"/>
    <w:rsid w:val="00947363"/>
    <w:rsid w:val="00947566"/>
    <w:rsid w:val="009475E7"/>
    <w:rsid w:val="0094779E"/>
    <w:rsid w:val="009477CF"/>
    <w:rsid w:val="00947A3A"/>
    <w:rsid w:val="00950CC3"/>
    <w:rsid w:val="00950D72"/>
    <w:rsid w:val="00951312"/>
    <w:rsid w:val="00951635"/>
    <w:rsid w:val="00952C58"/>
    <w:rsid w:val="00952DCF"/>
    <w:rsid w:val="009540CA"/>
    <w:rsid w:val="00954A27"/>
    <w:rsid w:val="00955065"/>
    <w:rsid w:val="009551B8"/>
    <w:rsid w:val="00956DCF"/>
    <w:rsid w:val="009575EB"/>
    <w:rsid w:val="009607EF"/>
    <w:rsid w:val="009619AB"/>
    <w:rsid w:val="00961F17"/>
    <w:rsid w:val="009621D0"/>
    <w:rsid w:val="00962856"/>
    <w:rsid w:val="00962DBB"/>
    <w:rsid w:val="00962F74"/>
    <w:rsid w:val="0096325E"/>
    <w:rsid w:val="0096338D"/>
    <w:rsid w:val="009638C9"/>
    <w:rsid w:val="00963C8B"/>
    <w:rsid w:val="00963C91"/>
    <w:rsid w:val="009641E9"/>
    <w:rsid w:val="00964A29"/>
    <w:rsid w:val="00964A7A"/>
    <w:rsid w:val="00964BDB"/>
    <w:rsid w:val="009655BA"/>
    <w:rsid w:val="00965816"/>
    <w:rsid w:val="00965B4D"/>
    <w:rsid w:val="00965B4F"/>
    <w:rsid w:val="00965B6F"/>
    <w:rsid w:val="00965BC1"/>
    <w:rsid w:val="00965EDB"/>
    <w:rsid w:val="009662DE"/>
    <w:rsid w:val="00966BFC"/>
    <w:rsid w:val="00967B8A"/>
    <w:rsid w:val="00967CFC"/>
    <w:rsid w:val="00970052"/>
    <w:rsid w:val="00970445"/>
    <w:rsid w:val="009705DC"/>
    <w:rsid w:val="009708CB"/>
    <w:rsid w:val="009714BD"/>
    <w:rsid w:val="00971764"/>
    <w:rsid w:val="0097214B"/>
    <w:rsid w:val="00972D52"/>
    <w:rsid w:val="00972F43"/>
    <w:rsid w:val="009731FB"/>
    <w:rsid w:val="00973EF4"/>
    <w:rsid w:val="00974777"/>
    <w:rsid w:val="00974878"/>
    <w:rsid w:val="00974C58"/>
    <w:rsid w:val="00974E98"/>
    <w:rsid w:val="00975016"/>
    <w:rsid w:val="0097501A"/>
    <w:rsid w:val="00975470"/>
    <w:rsid w:val="00975A7E"/>
    <w:rsid w:val="00975DA8"/>
    <w:rsid w:val="00975E9D"/>
    <w:rsid w:val="0097620E"/>
    <w:rsid w:val="009766C1"/>
    <w:rsid w:val="00976DA4"/>
    <w:rsid w:val="00977465"/>
    <w:rsid w:val="00977E53"/>
    <w:rsid w:val="00977EC1"/>
    <w:rsid w:val="00977FBF"/>
    <w:rsid w:val="0098007D"/>
    <w:rsid w:val="0098026F"/>
    <w:rsid w:val="00980390"/>
    <w:rsid w:val="0098042D"/>
    <w:rsid w:val="0098049C"/>
    <w:rsid w:val="00980DDE"/>
    <w:rsid w:val="00981424"/>
    <w:rsid w:val="009817E8"/>
    <w:rsid w:val="00981951"/>
    <w:rsid w:val="0098224C"/>
    <w:rsid w:val="009827D4"/>
    <w:rsid w:val="00982F85"/>
    <w:rsid w:val="00983111"/>
    <w:rsid w:val="0098325D"/>
    <w:rsid w:val="0098345B"/>
    <w:rsid w:val="0098373E"/>
    <w:rsid w:val="00983E1A"/>
    <w:rsid w:val="00983F51"/>
    <w:rsid w:val="00984037"/>
    <w:rsid w:val="009841C0"/>
    <w:rsid w:val="00984671"/>
    <w:rsid w:val="0098484A"/>
    <w:rsid w:val="009855EE"/>
    <w:rsid w:val="00985C0B"/>
    <w:rsid w:val="009860DF"/>
    <w:rsid w:val="0098622A"/>
    <w:rsid w:val="009867B4"/>
    <w:rsid w:val="00986C8A"/>
    <w:rsid w:val="00986F25"/>
    <w:rsid w:val="00986F59"/>
    <w:rsid w:val="0098734A"/>
    <w:rsid w:val="0099009A"/>
    <w:rsid w:val="00990176"/>
    <w:rsid w:val="009901F1"/>
    <w:rsid w:val="009902EB"/>
    <w:rsid w:val="0099050E"/>
    <w:rsid w:val="00990A55"/>
    <w:rsid w:val="00991BC0"/>
    <w:rsid w:val="00991C62"/>
    <w:rsid w:val="00991D1F"/>
    <w:rsid w:val="00992029"/>
    <w:rsid w:val="009925DE"/>
    <w:rsid w:val="00992921"/>
    <w:rsid w:val="0099308F"/>
    <w:rsid w:val="009931AA"/>
    <w:rsid w:val="00993C47"/>
    <w:rsid w:val="00993DC7"/>
    <w:rsid w:val="00994913"/>
    <w:rsid w:val="00994F11"/>
    <w:rsid w:val="00994FFA"/>
    <w:rsid w:val="0099521D"/>
    <w:rsid w:val="00996177"/>
    <w:rsid w:val="0099644E"/>
    <w:rsid w:val="00996506"/>
    <w:rsid w:val="009966AD"/>
    <w:rsid w:val="00996EC3"/>
    <w:rsid w:val="00996F84"/>
    <w:rsid w:val="00997015"/>
    <w:rsid w:val="00997190"/>
    <w:rsid w:val="00997281"/>
    <w:rsid w:val="00997719"/>
    <w:rsid w:val="00997A8E"/>
    <w:rsid w:val="00997D72"/>
    <w:rsid w:val="00997EA3"/>
    <w:rsid w:val="00997EE1"/>
    <w:rsid w:val="009A0339"/>
    <w:rsid w:val="009A0369"/>
    <w:rsid w:val="009A10EA"/>
    <w:rsid w:val="009A165F"/>
    <w:rsid w:val="009A19F0"/>
    <w:rsid w:val="009A1EAF"/>
    <w:rsid w:val="009A2045"/>
    <w:rsid w:val="009A20E5"/>
    <w:rsid w:val="009A22CC"/>
    <w:rsid w:val="009A267C"/>
    <w:rsid w:val="009A2FF8"/>
    <w:rsid w:val="009A3757"/>
    <w:rsid w:val="009A37FC"/>
    <w:rsid w:val="009A3E22"/>
    <w:rsid w:val="009A3EE2"/>
    <w:rsid w:val="009A44C0"/>
    <w:rsid w:val="009A4621"/>
    <w:rsid w:val="009A4990"/>
    <w:rsid w:val="009A54BE"/>
    <w:rsid w:val="009A55A5"/>
    <w:rsid w:val="009A5613"/>
    <w:rsid w:val="009A59EB"/>
    <w:rsid w:val="009A5B93"/>
    <w:rsid w:val="009A5CD9"/>
    <w:rsid w:val="009A6853"/>
    <w:rsid w:val="009A6878"/>
    <w:rsid w:val="009A6A6D"/>
    <w:rsid w:val="009A6B03"/>
    <w:rsid w:val="009A6CE6"/>
    <w:rsid w:val="009A6F4E"/>
    <w:rsid w:val="009A71BD"/>
    <w:rsid w:val="009A7770"/>
    <w:rsid w:val="009A7BC4"/>
    <w:rsid w:val="009B0A69"/>
    <w:rsid w:val="009B0D55"/>
    <w:rsid w:val="009B15D7"/>
    <w:rsid w:val="009B16BC"/>
    <w:rsid w:val="009B194D"/>
    <w:rsid w:val="009B1E62"/>
    <w:rsid w:val="009B2034"/>
    <w:rsid w:val="009B353C"/>
    <w:rsid w:val="009B35E0"/>
    <w:rsid w:val="009B36D6"/>
    <w:rsid w:val="009B39D6"/>
    <w:rsid w:val="009B49A9"/>
    <w:rsid w:val="009B4D66"/>
    <w:rsid w:val="009B4D9A"/>
    <w:rsid w:val="009B5028"/>
    <w:rsid w:val="009B5CCA"/>
    <w:rsid w:val="009B5F0D"/>
    <w:rsid w:val="009B614F"/>
    <w:rsid w:val="009B6C45"/>
    <w:rsid w:val="009B6E74"/>
    <w:rsid w:val="009B7127"/>
    <w:rsid w:val="009B7C24"/>
    <w:rsid w:val="009B7F1A"/>
    <w:rsid w:val="009C00C2"/>
    <w:rsid w:val="009C050E"/>
    <w:rsid w:val="009C09C7"/>
    <w:rsid w:val="009C0EAA"/>
    <w:rsid w:val="009C188E"/>
    <w:rsid w:val="009C1DC2"/>
    <w:rsid w:val="009C20B1"/>
    <w:rsid w:val="009C20D2"/>
    <w:rsid w:val="009C2481"/>
    <w:rsid w:val="009C28F8"/>
    <w:rsid w:val="009C2987"/>
    <w:rsid w:val="009C2E07"/>
    <w:rsid w:val="009C2E6B"/>
    <w:rsid w:val="009C3288"/>
    <w:rsid w:val="009C34AB"/>
    <w:rsid w:val="009C3B33"/>
    <w:rsid w:val="009C400B"/>
    <w:rsid w:val="009C422C"/>
    <w:rsid w:val="009C5E77"/>
    <w:rsid w:val="009C61EC"/>
    <w:rsid w:val="009C6631"/>
    <w:rsid w:val="009C6842"/>
    <w:rsid w:val="009C70EE"/>
    <w:rsid w:val="009C753E"/>
    <w:rsid w:val="009C7E97"/>
    <w:rsid w:val="009D0805"/>
    <w:rsid w:val="009D0D1B"/>
    <w:rsid w:val="009D1394"/>
    <w:rsid w:val="009D1593"/>
    <w:rsid w:val="009D20C2"/>
    <w:rsid w:val="009D242E"/>
    <w:rsid w:val="009D2859"/>
    <w:rsid w:val="009D29E4"/>
    <w:rsid w:val="009D2BC7"/>
    <w:rsid w:val="009D30FE"/>
    <w:rsid w:val="009D3470"/>
    <w:rsid w:val="009D3A88"/>
    <w:rsid w:val="009D3B23"/>
    <w:rsid w:val="009D440B"/>
    <w:rsid w:val="009D4B1A"/>
    <w:rsid w:val="009D4D56"/>
    <w:rsid w:val="009D55E3"/>
    <w:rsid w:val="009D5E4D"/>
    <w:rsid w:val="009D5F3A"/>
    <w:rsid w:val="009D5FC0"/>
    <w:rsid w:val="009D6174"/>
    <w:rsid w:val="009D6402"/>
    <w:rsid w:val="009D66A9"/>
    <w:rsid w:val="009D66D5"/>
    <w:rsid w:val="009D6D91"/>
    <w:rsid w:val="009D747C"/>
    <w:rsid w:val="009D7607"/>
    <w:rsid w:val="009D7D37"/>
    <w:rsid w:val="009D7E96"/>
    <w:rsid w:val="009E0245"/>
    <w:rsid w:val="009E04BB"/>
    <w:rsid w:val="009E0843"/>
    <w:rsid w:val="009E0E32"/>
    <w:rsid w:val="009E1089"/>
    <w:rsid w:val="009E118C"/>
    <w:rsid w:val="009E12C6"/>
    <w:rsid w:val="009E1430"/>
    <w:rsid w:val="009E1459"/>
    <w:rsid w:val="009E1953"/>
    <w:rsid w:val="009E2052"/>
    <w:rsid w:val="009E2437"/>
    <w:rsid w:val="009E2582"/>
    <w:rsid w:val="009E2A40"/>
    <w:rsid w:val="009E344E"/>
    <w:rsid w:val="009E34E9"/>
    <w:rsid w:val="009E3F72"/>
    <w:rsid w:val="009E40CC"/>
    <w:rsid w:val="009E40D6"/>
    <w:rsid w:val="009E460B"/>
    <w:rsid w:val="009E4945"/>
    <w:rsid w:val="009E4A14"/>
    <w:rsid w:val="009E4AA9"/>
    <w:rsid w:val="009E4DD6"/>
    <w:rsid w:val="009E619B"/>
    <w:rsid w:val="009E6388"/>
    <w:rsid w:val="009E6412"/>
    <w:rsid w:val="009E6608"/>
    <w:rsid w:val="009E685C"/>
    <w:rsid w:val="009E752B"/>
    <w:rsid w:val="009E7815"/>
    <w:rsid w:val="009E7837"/>
    <w:rsid w:val="009F0589"/>
    <w:rsid w:val="009F0657"/>
    <w:rsid w:val="009F089C"/>
    <w:rsid w:val="009F0D0B"/>
    <w:rsid w:val="009F1066"/>
    <w:rsid w:val="009F1200"/>
    <w:rsid w:val="009F1439"/>
    <w:rsid w:val="009F16F2"/>
    <w:rsid w:val="009F188B"/>
    <w:rsid w:val="009F1F34"/>
    <w:rsid w:val="009F250D"/>
    <w:rsid w:val="009F255B"/>
    <w:rsid w:val="009F2792"/>
    <w:rsid w:val="009F3168"/>
    <w:rsid w:val="009F34F9"/>
    <w:rsid w:val="009F3A1C"/>
    <w:rsid w:val="009F3D41"/>
    <w:rsid w:val="009F46C6"/>
    <w:rsid w:val="009F46FB"/>
    <w:rsid w:val="009F4D16"/>
    <w:rsid w:val="009F569F"/>
    <w:rsid w:val="009F56CF"/>
    <w:rsid w:val="009F5AB4"/>
    <w:rsid w:val="009F5B13"/>
    <w:rsid w:val="009F6440"/>
    <w:rsid w:val="009F6681"/>
    <w:rsid w:val="009F66A4"/>
    <w:rsid w:val="009F676E"/>
    <w:rsid w:val="009F6DEA"/>
    <w:rsid w:val="00A00723"/>
    <w:rsid w:val="00A00BA6"/>
    <w:rsid w:val="00A00D28"/>
    <w:rsid w:val="00A013B3"/>
    <w:rsid w:val="00A01478"/>
    <w:rsid w:val="00A01846"/>
    <w:rsid w:val="00A019F2"/>
    <w:rsid w:val="00A01E02"/>
    <w:rsid w:val="00A0215A"/>
    <w:rsid w:val="00A021F9"/>
    <w:rsid w:val="00A02EC6"/>
    <w:rsid w:val="00A0394F"/>
    <w:rsid w:val="00A03E90"/>
    <w:rsid w:val="00A041DC"/>
    <w:rsid w:val="00A0466B"/>
    <w:rsid w:val="00A04782"/>
    <w:rsid w:val="00A04F43"/>
    <w:rsid w:val="00A0529D"/>
    <w:rsid w:val="00A059F2"/>
    <w:rsid w:val="00A05EC8"/>
    <w:rsid w:val="00A06570"/>
    <w:rsid w:val="00A06631"/>
    <w:rsid w:val="00A06915"/>
    <w:rsid w:val="00A06A05"/>
    <w:rsid w:val="00A06DBA"/>
    <w:rsid w:val="00A074F2"/>
    <w:rsid w:val="00A0756B"/>
    <w:rsid w:val="00A103C1"/>
    <w:rsid w:val="00A10805"/>
    <w:rsid w:val="00A10969"/>
    <w:rsid w:val="00A10EC7"/>
    <w:rsid w:val="00A11197"/>
    <w:rsid w:val="00A11608"/>
    <w:rsid w:val="00A11820"/>
    <w:rsid w:val="00A119E8"/>
    <w:rsid w:val="00A122A0"/>
    <w:rsid w:val="00A130EC"/>
    <w:rsid w:val="00A1376B"/>
    <w:rsid w:val="00A13CFB"/>
    <w:rsid w:val="00A142DE"/>
    <w:rsid w:val="00A144B6"/>
    <w:rsid w:val="00A14971"/>
    <w:rsid w:val="00A14A12"/>
    <w:rsid w:val="00A14AF8"/>
    <w:rsid w:val="00A15666"/>
    <w:rsid w:val="00A157C5"/>
    <w:rsid w:val="00A15810"/>
    <w:rsid w:val="00A15CAA"/>
    <w:rsid w:val="00A15CDB"/>
    <w:rsid w:val="00A162F0"/>
    <w:rsid w:val="00A166A8"/>
    <w:rsid w:val="00A16A69"/>
    <w:rsid w:val="00A16A7F"/>
    <w:rsid w:val="00A16C1F"/>
    <w:rsid w:val="00A16D6B"/>
    <w:rsid w:val="00A1718B"/>
    <w:rsid w:val="00A1725C"/>
    <w:rsid w:val="00A177B7"/>
    <w:rsid w:val="00A20523"/>
    <w:rsid w:val="00A21117"/>
    <w:rsid w:val="00A213BA"/>
    <w:rsid w:val="00A2180A"/>
    <w:rsid w:val="00A21BF4"/>
    <w:rsid w:val="00A21C42"/>
    <w:rsid w:val="00A2273D"/>
    <w:rsid w:val="00A2343E"/>
    <w:rsid w:val="00A23535"/>
    <w:rsid w:val="00A236B5"/>
    <w:rsid w:val="00A2383D"/>
    <w:rsid w:val="00A247CA"/>
    <w:rsid w:val="00A24B59"/>
    <w:rsid w:val="00A25C30"/>
    <w:rsid w:val="00A26651"/>
    <w:rsid w:val="00A26BC4"/>
    <w:rsid w:val="00A26D12"/>
    <w:rsid w:val="00A272E8"/>
    <w:rsid w:val="00A27408"/>
    <w:rsid w:val="00A27DE7"/>
    <w:rsid w:val="00A27F6E"/>
    <w:rsid w:val="00A302A8"/>
    <w:rsid w:val="00A30A44"/>
    <w:rsid w:val="00A30F8A"/>
    <w:rsid w:val="00A311F7"/>
    <w:rsid w:val="00A3166C"/>
    <w:rsid w:val="00A31AD9"/>
    <w:rsid w:val="00A31B02"/>
    <w:rsid w:val="00A31DA2"/>
    <w:rsid w:val="00A32DB0"/>
    <w:rsid w:val="00A32E07"/>
    <w:rsid w:val="00A331C4"/>
    <w:rsid w:val="00A332A7"/>
    <w:rsid w:val="00A342A4"/>
    <w:rsid w:val="00A34C27"/>
    <w:rsid w:val="00A34E1A"/>
    <w:rsid w:val="00A357C2"/>
    <w:rsid w:val="00A3595D"/>
    <w:rsid w:val="00A3628A"/>
    <w:rsid w:val="00A36575"/>
    <w:rsid w:val="00A36BC4"/>
    <w:rsid w:val="00A36E5A"/>
    <w:rsid w:val="00A371D1"/>
    <w:rsid w:val="00A371E7"/>
    <w:rsid w:val="00A3743A"/>
    <w:rsid w:val="00A37DEF"/>
    <w:rsid w:val="00A37E69"/>
    <w:rsid w:val="00A402E7"/>
    <w:rsid w:val="00A40366"/>
    <w:rsid w:val="00A40C76"/>
    <w:rsid w:val="00A4106B"/>
    <w:rsid w:val="00A41563"/>
    <w:rsid w:val="00A416C2"/>
    <w:rsid w:val="00A41763"/>
    <w:rsid w:val="00A417B1"/>
    <w:rsid w:val="00A418F8"/>
    <w:rsid w:val="00A41B9A"/>
    <w:rsid w:val="00A42390"/>
    <w:rsid w:val="00A423A6"/>
    <w:rsid w:val="00A429F6"/>
    <w:rsid w:val="00A42AC3"/>
    <w:rsid w:val="00A42AFE"/>
    <w:rsid w:val="00A43982"/>
    <w:rsid w:val="00A43D9A"/>
    <w:rsid w:val="00A441DC"/>
    <w:rsid w:val="00A4442E"/>
    <w:rsid w:val="00A445F9"/>
    <w:rsid w:val="00A4465A"/>
    <w:rsid w:val="00A447BC"/>
    <w:rsid w:val="00A44983"/>
    <w:rsid w:val="00A44BC4"/>
    <w:rsid w:val="00A44F42"/>
    <w:rsid w:val="00A44F69"/>
    <w:rsid w:val="00A4531D"/>
    <w:rsid w:val="00A45797"/>
    <w:rsid w:val="00A45967"/>
    <w:rsid w:val="00A45ED3"/>
    <w:rsid w:val="00A46622"/>
    <w:rsid w:val="00A46636"/>
    <w:rsid w:val="00A4689B"/>
    <w:rsid w:val="00A46D73"/>
    <w:rsid w:val="00A46ED4"/>
    <w:rsid w:val="00A47577"/>
    <w:rsid w:val="00A47FE7"/>
    <w:rsid w:val="00A5008D"/>
    <w:rsid w:val="00A50414"/>
    <w:rsid w:val="00A5090B"/>
    <w:rsid w:val="00A50F85"/>
    <w:rsid w:val="00A5196C"/>
    <w:rsid w:val="00A51AE5"/>
    <w:rsid w:val="00A51C46"/>
    <w:rsid w:val="00A529DC"/>
    <w:rsid w:val="00A5324D"/>
    <w:rsid w:val="00A534AB"/>
    <w:rsid w:val="00A53B83"/>
    <w:rsid w:val="00A53F9D"/>
    <w:rsid w:val="00A54847"/>
    <w:rsid w:val="00A5498E"/>
    <w:rsid w:val="00A54B80"/>
    <w:rsid w:val="00A54B87"/>
    <w:rsid w:val="00A54CF7"/>
    <w:rsid w:val="00A54D32"/>
    <w:rsid w:val="00A55348"/>
    <w:rsid w:val="00A55620"/>
    <w:rsid w:val="00A556A0"/>
    <w:rsid w:val="00A559C4"/>
    <w:rsid w:val="00A55B20"/>
    <w:rsid w:val="00A5647B"/>
    <w:rsid w:val="00A5660E"/>
    <w:rsid w:val="00A56A7F"/>
    <w:rsid w:val="00A56AAE"/>
    <w:rsid w:val="00A571B0"/>
    <w:rsid w:val="00A571D4"/>
    <w:rsid w:val="00A5731F"/>
    <w:rsid w:val="00A5751F"/>
    <w:rsid w:val="00A5791E"/>
    <w:rsid w:val="00A57B40"/>
    <w:rsid w:val="00A57EF9"/>
    <w:rsid w:val="00A60721"/>
    <w:rsid w:val="00A60C82"/>
    <w:rsid w:val="00A61623"/>
    <w:rsid w:val="00A616A0"/>
    <w:rsid w:val="00A624A3"/>
    <w:rsid w:val="00A62C53"/>
    <w:rsid w:val="00A62C9A"/>
    <w:rsid w:val="00A62E66"/>
    <w:rsid w:val="00A62F48"/>
    <w:rsid w:val="00A63332"/>
    <w:rsid w:val="00A6353F"/>
    <w:rsid w:val="00A63879"/>
    <w:rsid w:val="00A63B7A"/>
    <w:rsid w:val="00A63C37"/>
    <w:rsid w:val="00A63D3B"/>
    <w:rsid w:val="00A63D65"/>
    <w:rsid w:val="00A641A9"/>
    <w:rsid w:val="00A647D4"/>
    <w:rsid w:val="00A64E87"/>
    <w:rsid w:val="00A652C8"/>
    <w:rsid w:val="00A65512"/>
    <w:rsid w:val="00A658B0"/>
    <w:rsid w:val="00A663D0"/>
    <w:rsid w:val="00A669BE"/>
    <w:rsid w:val="00A67258"/>
    <w:rsid w:val="00A677EA"/>
    <w:rsid w:val="00A67D66"/>
    <w:rsid w:val="00A67DF0"/>
    <w:rsid w:val="00A70099"/>
    <w:rsid w:val="00A70DA4"/>
    <w:rsid w:val="00A70EA8"/>
    <w:rsid w:val="00A715EC"/>
    <w:rsid w:val="00A71C13"/>
    <w:rsid w:val="00A72350"/>
    <w:rsid w:val="00A72549"/>
    <w:rsid w:val="00A72555"/>
    <w:rsid w:val="00A72E1C"/>
    <w:rsid w:val="00A7324B"/>
    <w:rsid w:val="00A7352A"/>
    <w:rsid w:val="00A73DB6"/>
    <w:rsid w:val="00A73FFA"/>
    <w:rsid w:val="00A747AB"/>
    <w:rsid w:val="00A7482E"/>
    <w:rsid w:val="00A74896"/>
    <w:rsid w:val="00A748BE"/>
    <w:rsid w:val="00A7524C"/>
    <w:rsid w:val="00A76581"/>
    <w:rsid w:val="00A771D2"/>
    <w:rsid w:val="00A77705"/>
    <w:rsid w:val="00A77800"/>
    <w:rsid w:val="00A77FFE"/>
    <w:rsid w:val="00A80519"/>
    <w:rsid w:val="00A805DF"/>
    <w:rsid w:val="00A80A6C"/>
    <w:rsid w:val="00A81027"/>
    <w:rsid w:val="00A8164C"/>
    <w:rsid w:val="00A828D3"/>
    <w:rsid w:val="00A82E99"/>
    <w:rsid w:val="00A82FBD"/>
    <w:rsid w:val="00A831B5"/>
    <w:rsid w:val="00A83650"/>
    <w:rsid w:val="00A83FAF"/>
    <w:rsid w:val="00A84010"/>
    <w:rsid w:val="00A8443D"/>
    <w:rsid w:val="00A84A2E"/>
    <w:rsid w:val="00A85034"/>
    <w:rsid w:val="00A8543C"/>
    <w:rsid w:val="00A8553E"/>
    <w:rsid w:val="00A85688"/>
    <w:rsid w:val="00A85EDB"/>
    <w:rsid w:val="00A85FB4"/>
    <w:rsid w:val="00A861C4"/>
    <w:rsid w:val="00A86865"/>
    <w:rsid w:val="00A868DF"/>
    <w:rsid w:val="00A86ACC"/>
    <w:rsid w:val="00A86C3D"/>
    <w:rsid w:val="00A8727C"/>
    <w:rsid w:val="00A873BD"/>
    <w:rsid w:val="00A875B2"/>
    <w:rsid w:val="00A87659"/>
    <w:rsid w:val="00A87E20"/>
    <w:rsid w:val="00A87FDE"/>
    <w:rsid w:val="00A90A88"/>
    <w:rsid w:val="00A90C81"/>
    <w:rsid w:val="00A90C86"/>
    <w:rsid w:val="00A90D54"/>
    <w:rsid w:val="00A90E64"/>
    <w:rsid w:val="00A90EDE"/>
    <w:rsid w:val="00A91532"/>
    <w:rsid w:val="00A9153C"/>
    <w:rsid w:val="00A91618"/>
    <w:rsid w:val="00A9253E"/>
    <w:rsid w:val="00A9270C"/>
    <w:rsid w:val="00A93623"/>
    <w:rsid w:val="00A93797"/>
    <w:rsid w:val="00A939B8"/>
    <w:rsid w:val="00A94175"/>
    <w:rsid w:val="00A942EE"/>
    <w:rsid w:val="00A945B2"/>
    <w:rsid w:val="00A9468D"/>
    <w:rsid w:val="00A94732"/>
    <w:rsid w:val="00A947B2"/>
    <w:rsid w:val="00A94AD6"/>
    <w:rsid w:val="00A94EA7"/>
    <w:rsid w:val="00A950AA"/>
    <w:rsid w:val="00A95994"/>
    <w:rsid w:val="00A95F10"/>
    <w:rsid w:val="00A96144"/>
    <w:rsid w:val="00A96201"/>
    <w:rsid w:val="00A96D04"/>
    <w:rsid w:val="00A96DD8"/>
    <w:rsid w:val="00A96DF6"/>
    <w:rsid w:val="00A96FAD"/>
    <w:rsid w:val="00A97215"/>
    <w:rsid w:val="00A973F5"/>
    <w:rsid w:val="00A97408"/>
    <w:rsid w:val="00A9788A"/>
    <w:rsid w:val="00A97C77"/>
    <w:rsid w:val="00A97D5C"/>
    <w:rsid w:val="00A97D78"/>
    <w:rsid w:val="00AA00ED"/>
    <w:rsid w:val="00AA07C7"/>
    <w:rsid w:val="00AA093A"/>
    <w:rsid w:val="00AA0ADA"/>
    <w:rsid w:val="00AA0D66"/>
    <w:rsid w:val="00AA0DC9"/>
    <w:rsid w:val="00AA18B7"/>
    <w:rsid w:val="00AA1E80"/>
    <w:rsid w:val="00AA20C4"/>
    <w:rsid w:val="00AA2FC0"/>
    <w:rsid w:val="00AA2FD1"/>
    <w:rsid w:val="00AA3240"/>
    <w:rsid w:val="00AA3AD0"/>
    <w:rsid w:val="00AA3F3E"/>
    <w:rsid w:val="00AA4218"/>
    <w:rsid w:val="00AA45AF"/>
    <w:rsid w:val="00AA48C3"/>
    <w:rsid w:val="00AA4FA1"/>
    <w:rsid w:val="00AA503D"/>
    <w:rsid w:val="00AA5CB4"/>
    <w:rsid w:val="00AA617C"/>
    <w:rsid w:val="00AA6805"/>
    <w:rsid w:val="00AA6BD9"/>
    <w:rsid w:val="00AA7A82"/>
    <w:rsid w:val="00AA7B3E"/>
    <w:rsid w:val="00AA7C86"/>
    <w:rsid w:val="00AB0741"/>
    <w:rsid w:val="00AB0D4C"/>
    <w:rsid w:val="00AB0DD0"/>
    <w:rsid w:val="00AB0E4F"/>
    <w:rsid w:val="00AB1511"/>
    <w:rsid w:val="00AB1819"/>
    <w:rsid w:val="00AB2683"/>
    <w:rsid w:val="00AB2BED"/>
    <w:rsid w:val="00AB2DBB"/>
    <w:rsid w:val="00AB3555"/>
    <w:rsid w:val="00AB3952"/>
    <w:rsid w:val="00AB3AFC"/>
    <w:rsid w:val="00AB3F90"/>
    <w:rsid w:val="00AB4194"/>
    <w:rsid w:val="00AB469E"/>
    <w:rsid w:val="00AB49A2"/>
    <w:rsid w:val="00AB4A21"/>
    <w:rsid w:val="00AB4ACB"/>
    <w:rsid w:val="00AB5326"/>
    <w:rsid w:val="00AB58B6"/>
    <w:rsid w:val="00AB68F8"/>
    <w:rsid w:val="00AB693E"/>
    <w:rsid w:val="00AB6D27"/>
    <w:rsid w:val="00AB71B2"/>
    <w:rsid w:val="00AC02A3"/>
    <w:rsid w:val="00AC09F2"/>
    <w:rsid w:val="00AC0C9A"/>
    <w:rsid w:val="00AC0EF5"/>
    <w:rsid w:val="00AC1FAB"/>
    <w:rsid w:val="00AC28BA"/>
    <w:rsid w:val="00AC3856"/>
    <w:rsid w:val="00AC396B"/>
    <w:rsid w:val="00AC39AE"/>
    <w:rsid w:val="00AC4172"/>
    <w:rsid w:val="00AC442F"/>
    <w:rsid w:val="00AC4ACC"/>
    <w:rsid w:val="00AC51B1"/>
    <w:rsid w:val="00AC6ECA"/>
    <w:rsid w:val="00AC76F9"/>
    <w:rsid w:val="00AC7983"/>
    <w:rsid w:val="00AC7A80"/>
    <w:rsid w:val="00AC7DC8"/>
    <w:rsid w:val="00AD00D2"/>
    <w:rsid w:val="00AD02E5"/>
    <w:rsid w:val="00AD0E1C"/>
    <w:rsid w:val="00AD1115"/>
    <w:rsid w:val="00AD1162"/>
    <w:rsid w:val="00AD1327"/>
    <w:rsid w:val="00AD173A"/>
    <w:rsid w:val="00AD1BA1"/>
    <w:rsid w:val="00AD1FF6"/>
    <w:rsid w:val="00AD2153"/>
    <w:rsid w:val="00AD21D1"/>
    <w:rsid w:val="00AD2FDD"/>
    <w:rsid w:val="00AD3085"/>
    <w:rsid w:val="00AD30EF"/>
    <w:rsid w:val="00AD3B23"/>
    <w:rsid w:val="00AD3D7C"/>
    <w:rsid w:val="00AD45A2"/>
    <w:rsid w:val="00AD4934"/>
    <w:rsid w:val="00AD4CE5"/>
    <w:rsid w:val="00AD5106"/>
    <w:rsid w:val="00AD544A"/>
    <w:rsid w:val="00AD545B"/>
    <w:rsid w:val="00AD5485"/>
    <w:rsid w:val="00AD54EE"/>
    <w:rsid w:val="00AD58C1"/>
    <w:rsid w:val="00AD6E10"/>
    <w:rsid w:val="00AD7585"/>
    <w:rsid w:val="00AD77DB"/>
    <w:rsid w:val="00AD7F43"/>
    <w:rsid w:val="00AE00FF"/>
    <w:rsid w:val="00AE02D1"/>
    <w:rsid w:val="00AE0AA6"/>
    <w:rsid w:val="00AE0E9E"/>
    <w:rsid w:val="00AE0F65"/>
    <w:rsid w:val="00AE16C6"/>
    <w:rsid w:val="00AE18D2"/>
    <w:rsid w:val="00AE2524"/>
    <w:rsid w:val="00AE2761"/>
    <w:rsid w:val="00AE2BFD"/>
    <w:rsid w:val="00AE2D77"/>
    <w:rsid w:val="00AE2DE4"/>
    <w:rsid w:val="00AE339B"/>
    <w:rsid w:val="00AE366F"/>
    <w:rsid w:val="00AE3C54"/>
    <w:rsid w:val="00AE4F46"/>
    <w:rsid w:val="00AE56C2"/>
    <w:rsid w:val="00AE5712"/>
    <w:rsid w:val="00AE5906"/>
    <w:rsid w:val="00AE677A"/>
    <w:rsid w:val="00AE6A45"/>
    <w:rsid w:val="00AE6DE9"/>
    <w:rsid w:val="00AE7B6F"/>
    <w:rsid w:val="00AE7BF2"/>
    <w:rsid w:val="00AE7C2B"/>
    <w:rsid w:val="00AF0644"/>
    <w:rsid w:val="00AF07F1"/>
    <w:rsid w:val="00AF0C7B"/>
    <w:rsid w:val="00AF0D84"/>
    <w:rsid w:val="00AF1006"/>
    <w:rsid w:val="00AF12AC"/>
    <w:rsid w:val="00AF15B6"/>
    <w:rsid w:val="00AF17A2"/>
    <w:rsid w:val="00AF1E5F"/>
    <w:rsid w:val="00AF290B"/>
    <w:rsid w:val="00AF35D2"/>
    <w:rsid w:val="00AF36CF"/>
    <w:rsid w:val="00AF3F76"/>
    <w:rsid w:val="00AF3F93"/>
    <w:rsid w:val="00AF3FEA"/>
    <w:rsid w:val="00AF453D"/>
    <w:rsid w:val="00AF4770"/>
    <w:rsid w:val="00AF4C8A"/>
    <w:rsid w:val="00AF5067"/>
    <w:rsid w:val="00AF5226"/>
    <w:rsid w:val="00AF5579"/>
    <w:rsid w:val="00AF5DC8"/>
    <w:rsid w:val="00AF5F5A"/>
    <w:rsid w:val="00AF6366"/>
    <w:rsid w:val="00AF63B0"/>
    <w:rsid w:val="00AF655E"/>
    <w:rsid w:val="00AF7B30"/>
    <w:rsid w:val="00B004CB"/>
    <w:rsid w:val="00B01629"/>
    <w:rsid w:val="00B017AC"/>
    <w:rsid w:val="00B01826"/>
    <w:rsid w:val="00B01D6B"/>
    <w:rsid w:val="00B02295"/>
    <w:rsid w:val="00B02631"/>
    <w:rsid w:val="00B027AE"/>
    <w:rsid w:val="00B0280E"/>
    <w:rsid w:val="00B0286C"/>
    <w:rsid w:val="00B02B05"/>
    <w:rsid w:val="00B0333C"/>
    <w:rsid w:val="00B03622"/>
    <w:rsid w:val="00B03CFF"/>
    <w:rsid w:val="00B03EDB"/>
    <w:rsid w:val="00B04742"/>
    <w:rsid w:val="00B04F56"/>
    <w:rsid w:val="00B05400"/>
    <w:rsid w:val="00B05523"/>
    <w:rsid w:val="00B05B71"/>
    <w:rsid w:val="00B05D8B"/>
    <w:rsid w:val="00B06459"/>
    <w:rsid w:val="00B06BC9"/>
    <w:rsid w:val="00B06DB8"/>
    <w:rsid w:val="00B075A6"/>
    <w:rsid w:val="00B07A2B"/>
    <w:rsid w:val="00B07B05"/>
    <w:rsid w:val="00B07D07"/>
    <w:rsid w:val="00B10361"/>
    <w:rsid w:val="00B10A31"/>
    <w:rsid w:val="00B10B1E"/>
    <w:rsid w:val="00B10EAB"/>
    <w:rsid w:val="00B11993"/>
    <w:rsid w:val="00B11B32"/>
    <w:rsid w:val="00B11EB8"/>
    <w:rsid w:val="00B11F8B"/>
    <w:rsid w:val="00B1237B"/>
    <w:rsid w:val="00B1239E"/>
    <w:rsid w:val="00B12755"/>
    <w:rsid w:val="00B12769"/>
    <w:rsid w:val="00B1278C"/>
    <w:rsid w:val="00B1345D"/>
    <w:rsid w:val="00B136BC"/>
    <w:rsid w:val="00B14133"/>
    <w:rsid w:val="00B1505E"/>
    <w:rsid w:val="00B151EF"/>
    <w:rsid w:val="00B15551"/>
    <w:rsid w:val="00B155D3"/>
    <w:rsid w:val="00B1574C"/>
    <w:rsid w:val="00B15B5D"/>
    <w:rsid w:val="00B15F59"/>
    <w:rsid w:val="00B16113"/>
    <w:rsid w:val="00B16432"/>
    <w:rsid w:val="00B16941"/>
    <w:rsid w:val="00B16988"/>
    <w:rsid w:val="00B169B3"/>
    <w:rsid w:val="00B169C6"/>
    <w:rsid w:val="00B16D0C"/>
    <w:rsid w:val="00B172FB"/>
    <w:rsid w:val="00B17DC4"/>
    <w:rsid w:val="00B2006B"/>
    <w:rsid w:val="00B200A7"/>
    <w:rsid w:val="00B205A9"/>
    <w:rsid w:val="00B20941"/>
    <w:rsid w:val="00B20B95"/>
    <w:rsid w:val="00B223CF"/>
    <w:rsid w:val="00B2271A"/>
    <w:rsid w:val="00B2284A"/>
    <w:rsid w:val="00B22A69"/>
    <w:rsid w:val="00B2334A"/>
    <w:rsid w:val="00B23806"/>
    <w:rsid w:val="00B2402D"/>
    <w:rsid w:val="00B24AE6"/>
    <w:rsid w:val="00B24FAB"/>
    <w:rsid w:val="00B2520C"/>
    <w:rsid w:val="00B25283"/>
    <w:rsid w:val="00B253EA"/>
    <w:rsid w:val="00B25743"/>
    <w:rsid w:val="00B259E7"/>
    <w:rsid w:val="00B25C11"/>
    <w:rsid w:val="00B25E9C"/>
    <w:rsid w:val="00B2638E"/>
    <w:rsid w:val="00B2648D"/>
    <w:rsid w:val="00B268E9"/>
    <w:rsid w:val="00B269E5"/>
    <w:rsid w:val="00B26AEA"/>
    <w:rsid w:val="00B27CA0"/>
    <w:rsid w:val="00B27F37"/>
    <w:rsid w:val="00B27F43"/>
    <w:rsid w:val="00B30342"/>
    <w:rsid w:val="00B30661"/>
    <w:rsid w:val="00B308A4"/>
    <w:rsid w:val="00B30DCA"/>
    <w:rsid w:val="00B31027"/>
    <w:rsid w:val="00B31394"/>
    <w:rsid w:val="00B31F28"/>
    <w:rsid w:val="00B32222"/>
    <w:rsid w:val="00B32247"/>
    <w:rsid w:val="00B32344"/>
    <w:rsid w:val="00B32A96"/>
    <w:rsid w:val="00B32DCD"/>
    <w:rsid w:val="00B3340F"/>
    <w:rsid w:val="00B344D2"/>
    <w:rsid w:val="00B353BC"/>
    <w:rsid w:val="00B35B6B"/>
    <w:rsid w:val="00B36069"/>
    <w:rsid w:val="00B3626A"/>
    <w:rsid w:val="00B3663A"/>
    <w:rsid w:val="00B36C3B"/>
    <w:rsid w:val="00B36CEB"/>
    <w:rsid w:val="00B36FA2"/>
    <w:rsid w:val="00B406C6"/>
    <w:rsid w:val="00B40F79"/>
    <w:rsid w:val="00B41B45"/>
    <w:rsid w:val="00B4207D"/>
    <w:rsid w:val="00B42391"/>
    <w:rsid w:val="00B423E9"/>
    <w:rsid w:val="00B42413"/>
    <w:rsid w:val="00B42738"/>
    <w:rsid w:val="00B42A55"/>
    <w:rsid w:val="00B432F9"/>
    <w:rsid w:val="00B439CD"/>
    <w:rsid w:val="00B43B3D"/>
    <w:rsid w:val="00B442C4"/>
    <w:rsid w:val="00B44BAE"/>
    <w:rsid w:val="00B44CA3"/>
    <w:rsid w:val="00B4529F"/>
    <w:rsid w:val="00B45601"/>
    <w:rsid w:val="00B4565B"/>
    <w:rsid w:val="00B456ED"/>
    <w:rsid w:val="00B458B5"/>
    <w:rsid w:val="00B46239"/>
    <w:rsid w:val="00B46E0B"/>
    <w:rsid w:val="00B47A6F"/>
    <w:rsid w:val="00B47E85"/>
    <w:rsid w:val="00B5098D"/>
    <w:rsid w:val="00B50B38"/>
    <w:rsid w:val="00B511E1"/>
    <w:rsid w:val="00B51ADC"/>
    <w:rsid w:val="00B51CEE"/>
    <w:rsid w:val="00B51E8B"/>
    <w:rsid w:val="00B52767"/>
    <w:rsid w:val="00B52933"/>
    <w:rsid w:val="00B53170"/>
    <w:rsid w:val="00B5340D"/>
    <w:rsid w:val="00B5347B"/>
    <w:rsid w:val="00B536AC"/>
    <w:rsid w:val="00B538D4"/>
    <w:rsid w:val="00B53D6C"/>
    <w:rsid w:val="00B53F07"/>
    <w:rsid w:val="00B53F85"/>
    <w:rsid w:val="00B55098"/>
    <w:rsid w:val="00B55273"/>
    <w:rsid w:val="00B552D6"/>
    <w:rsid w:val="00B553B0"/>
    <w:rsid w:val="00B554A6"/>
    <w:rsid w:val="00B556D7"/>
    <w:rsid w:val="00B56114"/>
    <w:rsid w:val="00B5628B"/>
    <w:rsid w:val="00B5667F"/>
    <w:rsid w:val="00B569C2"/>
    <w:rsid w:val="00B56A07"/>
    <w:rsid w:val="00B56A74"/>
    <w:rsid w:val="00B56B2E"/>
    <w:rsid w:val="00B56CE9"/>
    <w:rsid w:val="00B57BFA"/>
    <w:rsid w:val="00B57DFF"/>
    <w:rsid w:val="00B57E80"/>
    <w:rsid w:val="00B57EBB"/>
    <w:rsid w:val="00B60233"/>
    <w:rsid w:val="00B6055D"/>
    <w:rsid w:val="00B60B6C"/>
    <w:rsid w:val="00B60C51"/>
    <w:rsid w:val="00B60EA8"/>
    <w:rsid w:val="00B6114B"/>
    <w:rsid w:val="00B61B6D"/>
    <w:rsid w:val="00B61E57"/>
    <w:rsid w:val="00B61F06"/>
    <w:rsid w:val="00B6241E"/>
    <w:rsid w:val="00B625B5"/>
    <w:rsid w:val="00B6294F"/>
    <w:rsid w:val="00B62C03"/>
    <w:rsid w:val="00B63048"/>
    <w:rsid w:val="00B6323D"/>
    <w:rsid w:val="00B634A9"/>
    <w:rsid w:val="00B63BC5"/>
    <w:rsid w:val="00B63E26"/>
    <w:rsid w:val="00B6412A"/>
    <w:rsid w:val="00B641CA"/>
    <w:rsid w:val="00B643F6"/>
    <w:rsid w:val="00B6457B"/>
    <w:rsid w:val="00B64618"/>
    <w:rsid w:val="00B64761"/>
    <w:rsid w:val="00B647AA"/>
    <w:rsid w:val="00B64BA0"/>
    <w:rsid w:val="00B64BD5"/>
    <w:rsid w:val="00B64CC6"/>
    <w:rsid w:val="00B65043"/>
    <w:rsid w:val="00B654EE"/>
    <w:rsid w:val="00B655F0"/>
    <w:rsid w:val="00B6598B"/>
    <w:rsid w:val="00B6620A"/>
    <w:rsid w:val="00B66B71"/>
    <w:rsid w:val="00B66CCC"/>
    <w:rsid w:val="00B66EFC"/>
    <w:rsid w:val="00B67029"/>
    <w:rsid w:val="00B674C1"/>
    <w:rsid w:val="00B6753E"/>
    <w:rsid w:val="00B676F0"/>
    <w:rsid w:val="00B67B22"/>
    <w:rsid w:val="00B706AB"/>
    <w:rsid w:val="00B71293"/>
    <w:rsid w:val="00B71336"/>
    <w:rsid w:val="00B715B8"/>
    <w:rsid w:val="00B715EB"/>
    <w:rsid w:val="00B7243F"/>
    <w:rsid w:val="00B72462"/>
    <w:rsid w:val="00B729C8"/>
    <w:rsid w:val="00B72C00"/>
    <w:rsid w:val="00B734DC"/>
    <w:rsid w:val="00B73695"/>
    <w:rsid w:val="00B73906"/>
    <w:rsid w:val="00B739C7"/>
    <w:rsid w:val="00B73BD2"/>
    <w:rsid w:val="00B743D2"/>
    <w:rsid w:val="00B74572"/>
    <w:rsid w:val="00B745F0"/>
    <w:rsid w:val="00B7483E"/>
    <w:rsid w:val="00B74C39"/>
    <w:rsid w:val="00B74D44"/>
    <w:rsid w:val="00B75548"/>
    <w:rsid w:val="00B756FA"/>
    <w:rsid w:val="00B75D96"/>
    <w:rsid w:val="00B75E52"/>
    <w:rsid w:val="00B7642E"/>
    <w:rsid w:val="00B76496"/>
    <w:rsid w:val="00B765E1"/>
    <w:rsid w:val="00B767A9"/>
    <w:rsid w:val="00B76C48"/>
    <w:rsid w:val="00B77743"/>
    <w:rsid w:val="00B77830"/>
    <w:rsid w:val="00B77F9C"/>
    <w:rsid w:val="00B80392"/>
    <w:rsid w:val="00B80C47"/>
    <w:rsid w:val="00B810B7"/>
    <w:rsid w:val="00B811F1"/>
    <w:rsid w:val="00B81235"/>
    <w:rsid w:val="00B8162D"/>
    <w:rsid w:val="00B81DCE"/>
    <w:rsid w:val="00B82518"/>
    <w:rsid w:val="00B82CCF"/>
    <w:rsid w:val="00B83103"/>
    <w:rsid w:val="00B83288"/>
    <w:rsid w:val="00B83C51"/>
    <w:rsid w:val="00B83CCD"/>
    <w:rsid w:val="00B8521B"/>
    <w:rsid w:val="00B86302"/>
    <w:rsid w:val="00B86508"/>
    <w:rsid w:val="00B86859"/>
    <w:rsid w:val="00B868A3"/>
    <w:rsid w:val="00B8695D"/>
    <w:rsid w:val="00B86EF8"/>
    <w:rsid w:val="00B86FB3"/>
    <w:rsid w:val="00B871DA"/>
    <w:rsid w:val="00B87317"/>
    <w:rsid w:val="00B87789"/>
    <w:rsid w:val="00B902AA"/>
    <w:rsid w:val="00B90A12"/>
    <w:rsid w:val="00B90FCC"/>
    <w:rsid w:val="00B9135F"/>
    <w:rsid w:val="00B924CC"/>
    <w:rsid w:val="00B926AD"/>
    <w:rsid w:val="00B92D10"/>
    <w:rsid w:val="00B92E5E"/>
    <w:rsid w:val="00B92ECE"/>
    <w:rsid w:val="00B930DF"/>
    <w:rsid w:val="00B93343"/>
    <w:rsid w:val="00B93750"/>
    <w:rsid w:val="00B93D6B"/>
    <w:rsid w:val="00B94D91"/>
    <w:rsid w:val="00B957F3"/>
    <w:rsid w:val="00B95933"/>
    <w:rsid w:val="00B95C99"/>
    <w:rsid w:val="00B96370"/>
    <w:rsid w:val="00B96530"/>
    <w:rsid w:val="00B96548"/>
    <w:rsid w:val="00B9681A"/>
    <w:rsid w:val="00B96904"/>
    <w:rsid w:val="00B9708C"/>
    <w:rsid w:val="00B97815"/>
    <w:rsid w:val="00B97DDA"/>
    <w:rsid w:val="00B97FB1"/>
    <w:rsid w:val="00BA093A"/>
    <w:rsid w:val="00BA0C74"/>
    <w:rsid w:val="00BA0DD2"/>
    <w:rsid w:val="00BA113D"/>
    <w:rsid w:val="00BA1534"/>
    <w:rsid w:val="00BA2102"/>
    <w:rsid w:val="00BA2D52"/>
    <w:rsid w:val="00BA2DE9"/>
    <w:rsid w:val="00BA3502"/>
    <w:rsid w:val="00BA3D8F"/>
    <w:rsid w:val="00BA3E93"/>
    <w:rsid w:val="00BA470A"/>
    <w:rsid w:val="00BA4B26"/>
    <w:rsid w:val="00BA506C"/>
    <w:rsid w:val="00BA50B4"/>
    <w:rsid w:val="00BA5877"/>
    <w:rsid w:val="00BA599A"/>
    <w:rsid w:val="00BA5DFE"/>
    <w:rsid w:val="00BA63FD"/>
    <w:rsid w:val="00BA64DC"/>
    <w:rsid w:val="00BA65DE"/>
    <w:rsid w:val="00BA6665"/>
    <w:rsid w:val="00BA694F"/>
    <w:rsid w:val="00BA6C6C"/>
    <w:rsid w:val="00BA6EC5"/>
    <w:rsid w:val="00BA7735"/>
    <w:rsid w:val="00BA7ABE"/>
    <w:rsid w:val="00BB00D7"/>
    <w:rsid w:val="00BB0251"/>
    <w:rsid w:val="00BB08A3"/>
    <w:rsid w:val="00BB0B0D"/>
    <w:rsid w:val="00BB0BC9"/>
    <w:rsid w:val="00BB0D09"/>
    <w:rsid w:val="00BB1492"/>
    <w:rsid w:val="00BB1AB0"/>
    <w:rsid w:val="00BB1BE7"/>
    <w:rsid w:val="00BB2137"/>
    <w:rsid w:val="00BB260A"/>
    <w:rsid w:val="00BB2DCB"/>
    <w:rsid w:val="00BB30B4"/>
    <w:rsid w:val="00BB31EE"/>
    <w:rsid w:val="00BB4A96"/>
    <w:rsid w:val="00BB5351"/>
    <w:rsid w:val="00BB563D"/>
    <w:rsid w:val="00BB5A8C"/>
    <w:rsid w:val="00BB602A"/>
    <w:rsid w:val="00BB630D"/>
    <w:rsid w:val="00BB65B1"/>
    <w:rsid w:val="00BB6AF6"/>
    <w:rsid w:val="00BB6CE7"/>
    <w:rsid w:val="00BB6DD8"/>
    <w:rsid w:val="00BB76FF"/>
    <w:rsid w:val="00BB7767"/>
    <w:rsid w:val="00BC01E5"/>
    <w:rsid w:val="00BC05BA"/>
    <w:rsid w:val="00BC09BA"/>
    <w:rsid w:val="00BC1174"/>
    <w:rsid w:val="00BC249F"/>
    <w:rsid w:val="00BC2973"/>
    <w:rsid w:val="00BC3100"/>
    <w:rsid w:val="00BC34DB"/>
    <w:rsid w:val="00BC3557"/>
    <w:rsid w:val="00BC3632"/>
    <w:rsid w:val="00BC3DA0"/>
    <w:rsid w:val="00BC4372"/>
    <w:rsid w:val="00BC445D"/>
    <w:rsid w:val="00BC47A6"/>
    <w:rsid w:val="00BC487E"/>
    <w:rsid w:val="00BC4FAB"/>
    <w:rsid w:val="00BC53DC"/>
    <w:rsid w:val="00BC5BB3"/>
    <w:rsid w:val="00BC5BFC"/>
    <w:rsid w:val="00BC61D1"/>
    <w:rsid w:val="00BC6975"/>
    <w:rsid w:val="00BC6B6B"/>
    <w:rsid w:val="00BC6D45"/>
    <w:rsid w:val="00BC703A"/>
    <w:rsid w:val="00BC73AD"/>
    <w:rsid w:val="00BC7F08"/>
    <w:rsid w:val="00BC7F7D"/>
    <w:rsid w:val="00BD0488"/>
    <w:rsid w:val="00BD06E1"/>
    <w:rsid w:val="00BD0711"/>
    <w:rsid w:val="00BD0D46"/>
    <w:rsid w:val="00BD180B"/>
    <w:rsid w:val="00BD1A0A"/>
    <w:rsid w:val="00BD2800"/>
    <w:rsid w:val="00BD2E2D"/>
    <w:rsid w:val="00BD3133"/>
    <w:rsid w:val="00BD3214"/>
    <w:rsid w:val="00BD3309"/>
    <w:rsid w:val="00BD3343"/>
    <w:rsid w:val="00BD371F"/>
    <w:rsid w:val="00BD403A"/>
    <w:rsid w:val="00BD51B2"/>
    <w:rsid w:val="00BD603B"/>
    <w:rsid w:val="00BD71C9"/>
    <w:rsid w:val="00BD7798"/>
    <w:rsid w:val="00BD7B64"/>
    <w:rsid w:val="00BD7D5D"/>
    <w:rsid w:val="00BE0250"/>
    <w:rsid w:val="00BE034E"/>
    <w:rsid w:val="00BE0656"/>
    <w:rsid w:val="00BE0918"/>
    <w:rsid w:val="00BE138F"/>
    <w:rsid w:val="00BE17CF"/>
    <w:rsid w:val="00BE19C5"/>
    <w:rsid w:val="00BE1C1C"/>
    <w:rsid w:val="00BE2431"/>
    <w:rsid w:val="00BE30B8"/>
    <w:rsid w:val="00BE3366"/>
    <w:rsid w:val="00BE37CA"/>
    <w:rsid w:val="00BE3D71"/>
    <w:rsid w:val="00BE4699"/>
    <w:rsid w:val="00BE4760"/>
    <w:rsid w:val="00BE4ED9"/>
    <w:rsid w:val="00BE5B00"/>
    <w:rsid w:val="00BE6904"/>
    <w:rsid w:val="00BE6BC2"/>
    <w:rsid w:val="00BE7321"/>
    <w:rsid w:val="00BE7567"/>
    <w:rsid w:val="00BE7B10"/>
    <w:rsid w:val="00BE7F5A"/>
    <w:rsid w:val="00BF0A8A"/>
    <w:rsid w:val="00BF0C3D"/>
    <w:rsid w:val="00BF0F0E"/>
    <w:rsid w:val="00BF1065"/>
    <w:rsid w:val="00BF10C8"/>
    <w:rsid w:val="00BF1373"/>
    <w:rsid w:val="00BF1642"/>
    <w:rsid w:val="00BF1696"/>
    <w:rsid w:val="00BF1878"/>
    <w:rsid w:val="00BF1B34"/>
    <w:rsid w:val="00BF2B6B"/>
    <w:rsid w:val="00BF3080"/>
    <w:rsid w:val="00BF30F1"/>
    <w:rsid w:val="00BF3245"/>
    <w:rsid w:val="00BF32E9"/>
    <w:rsid w:val="00BF3738"/>
    <w:rsid w:val="00BF38D7"/>
    <w:rsid w:val="00BF3D37"/>
    <w:rsid w:val="00BF47C2"/>
    <w:rsid w:val="00BF4985"/>
    <w:rsid w:val="00BF4BA1"/>
    <w:rsid w:val="00BF5384"/>
    <w:rsid w:val="00BF5893"/>
    <w:rsid w:val="00BF6BA9"/>
    <w:rsid w:val="00BF711E"/>
    <w:rsid w:val="00BF7244"/>
    <w:rsid w:val="00BF7388"/>
    <w:rsid w:val="00BF7478"/>
    <w:rsid w:val="00BF7662"/>
    <w:rsid w:val="00BF7687"/>
    <w:rsid w:val="00C0034E"/>
    <w:rsid w:val="00C0060D"/>
    <w:rsid w:val="00C009A1"/>
    <w:rsid w:val="00C00AE5"/>
    <w:rsid w:val="00C00C2D"/>
    <w:rsid w:val="00C00DDF"/>
    <w:rsid w:val="00C01232"/>
    <w:rsid w:val="00C026A9"/>
    <w:rsid w:val="00C02C3B"/>
    <w:rsid w:val="00C02CE4"/>
    <w:rsid w:val="00C02D65"/>
    <w:rsid w:val="00C02F4C"/>
    <w:rsid w:val="00C03269"/>
    <w:rsid w:val="00C0334F"/>
    <w:rsid w:val="00C038D3"/>
    <w:rsid w:val="00C03926"/>
    <w:rsid w:val="00C03956"/>
    <w:rsid w:val="00C03D37"/>
    <w:rsid w:val="00C03DE3"/>
    <w:rsid w:val="00C04007"/>
    <w:rsid w:val="00C04112"/>
    <w:rsid w:val="00C0444A"/>
    <w:rsid w:val="00C048FE"/>
    <w:rsid w:val="00C04911"/>
    <w:rsid w:val="00C05182"/>
    <w:rsid w:val="00C056B9"/>
    <w:rsid w:val="00C05903"/>
    <w:rsid w:val="00C05926"/>
    <w:rsid w:val="00C05A03"/>
    <w:rsid w:val="00C05AEF"/>
    <w:rsid w:val="00C05BF2"/>
    <w:rsid w:val="00C05F03"/>
    <w:rsid w:val="00C06402"/>
    <w:rsid w:val="00C06772"/>
    <w:rsid w:val="00C06775"/>
    <w:rsid w:val="00C06829"/>
    <w:rsid w:val="00C06D35"/>
    <w:rsid w:val="00C06EC7"/>
    <w:rsid w:val="00C074C9"/>
    <w:rsid w:val="00C07D5F"/>
    <w:rsid w:val="00C07E38"/>
    <w:rsid w:val="00C07E57"/>
    <w:rsid w:val="00C07FF3"/>
    <w:rsid w:val="00C10C2C"/>
    <w:rsid w:val="00C115D6"/>
    <w:rsid w:val="00C11C22"/>
    <w:rsid w:val="00C11ECB"/>
    <w:rsid w:val="00C128E1"/>
    <w:rsid w:val="00C13971"/>
    <w:rsid w:val="00C1434B"/>
    <w:rsid w:val="00C14859"/>
    <w:rsid w:val="00C14863"/>
    <w:rsid w:val="00C14868"/>
    <w:rsid w:val="00C14B23"/>
    <w:rsid w:val="00C14DE1"/>
    <w:rsid w:val="00C14F45"/>
    <w:rsid w:val="00C14FA7"/>
    <w:rsid w:val="00C152A7"/>
    <w:rsid w:val="00C156A2"/>
    <w:rsid w:val="00C1611D"/>
    <w:rsid w:val="00C16396"/>
    <w:rsid w:val="00C16672"/>
    <w:rsid w:val="00C17060"/>
    <w:rsid w:val="00C171C2"/>
    <w:rsid w:val="00C17435"/>
    <w:rsid w:val="00C17A52"/>
    <w:rsid w:val="00C20665"/>
    <w:rsid w:val="00C20B16"/>
    <w:rsid w:val="00C20F42"/>
    <w:rsid w:val="00C20F5D"/>
    <w:rsid w:val="00C21580"/>
    <w:rsid w:val="00C2178A"/>
    <w:rsid w:val="00C217B7"/>
    <w:rsid w:val="00C217EA"/>
    <w:rsid w:val="00C21DD8"/>
    <w:rsid w:val="00C21F75"/>
    <w:rsid w:val="00C22458"/>
    <w:rsid w:val="00C224EF"/>
    <w:rsid w:val="00C22809"/>
    <w:rsid w:val="00C22982"/>
    <w:rsid w:val="00C237D5"/>
    <w:rsid w:val="00C241F7"/>
    <w:rsid w:val="00C24499"/>
    <w:rsid w:val="00C24835"/>
    <w:rsid w:val="00C24893"/>
    <w:rsid w:val="00C24AE6"/>
    <w:rsid w:val="00C259E8"/>
    <w:rsid w:val="00C25C0B"/>
    <w:rsid w:val="00C26390"/>
    <w:rsid w:val="00C2663A"/>
    <w:rsid w:val="00C26754"/>
    <w:rsid w:val="00C26911"/>
    <w:rsid w:val="00C26FC6"/>
    <w:rsid w:val="00C27664"/>
    <w:rsid w:val="00C301F2"/>
    <w:rsid w:val="00C3040F"/>
    <w:rsid w:val="00C3085E"/>
    <w:rsid w:val="00C30C3D"/>
    <w:rsid w:val="00C31163"/>
    <w:rsid w:val="00C316B8"/>
    <w:rsid w:val="00C31D89"/>
    <w:rsid w:val="00C3253A"/>
    <w:rsid w:val="00C3280D"/>
    <w:rsid w:val="00C32831"/>
    <w:rsid w:val="00C328AE"/>
    <w:rsid w:val="00C330FE"/>
    <w:rsid w:val="00C3348F"/>
    <w:rsid w:val="00C338D1"/>
    <w:rsid w:val="00C33DEA"/>
    <w:rsid w:val="00C34434"/>
    <w:rsid w:val="00C34A7E"/>
    <w:rsid w:val="00C354FC"/>
    <w:rsid w:val="00C359BB"/>
    <w:rsid w:val="00C36658"/>
    <w:rsid w:val="00C36CFD"/>
    <w:rsid w:val="00C36F80"/>
    <w:rsid w:val="00C372BB"/>
    <w:rsid w:val="00C374FF"/>
    <w:rsid w:val="00C37BF9"/>
    <w:rsid w:val="00C40F62"/>
    <w:rsid w:val="00C4105E"/>
    <w:rsid w:val="00C41302"/>
    <w:rsid w:val="00C41DCF"/>
    <w:rsid w:val="00C41E39"/>
    <w:rsid w:val="00C42D24"/>
    <w:rsid w:val="00C42ED1"/>
    <w:rsid w:val="00C42F67"/>
    <w:rsid w:val="00C42F69"/>
    <w:rsid w:val="00C432BB"/>
    <w:rsid w:val="00C439AD"/>
    <w:rsid w:val="00C43A87"/>
    <w:rsid w:val="00C43F37"/>
    <w:rsid w:val="00C43FED"/>
    <w:rsid w:val="00C440E0"/>
    <w:rsid w:val="00C4418B"/>
    <w:rsid w:val="00C441CE"/>
    <w:rsid w:val="00C441DC"/>
    <w:rsid w:val="00C44C71"/>
    <w:rsid w:val="00C44DDC"/>
    <w:rsid w:val="00C44EAF"/>
    <w:rsid w:val="00C4505B"/>
    <w:rsid w:val="00C453D4"/>
    <w:rsid w:val="00C4590E"/>
    <w:rsid w:val="00C45E55"/>
    <w:rsid w:val="00C4601D"/>
    <w:rsid w:val="00C46894"/>
    <w:rsid w:val="00C46B2D"/>
    <w:rsid w:val="00C46E07"/>
    <w:rsid w:val="00C473D8"/>
    <w:rsid w:val="00C47962"/>
    <w:rsid w:val="00C5027B"/>
    <w:rsid w:val="00C50291"/>
    <w:rsid w:val="00C503B1"/>
    <w:rsid w:val="00C506A0"/>
    <w:rsid w:val="00C51099"/>
    <w:rsid w:val="00C515CB"/>
    <w:rsid w:val="00C51B79"/>
    <w:rsid w:val="00C51BD0"/>
    <w:rsid w:val="00C52020"/>
    <w:rsid w:val="00C52812"/>
    <w:rsid w:val="00C52DDE"/>
    <w:rsid w:val="00C52F6F"/>
    <w:rsid w:val="00C53A0D"/>
    <w:rsid w:val="00C546F4"/>
    <w:rsid w:val="00C54735"/>
    <w:rsid w:val="00C548C3"/>
    <w:rsid w:val="00C54EB0"/>
    <w:rsid w:val="00C54EEE"/>
    <w:rsid w:val="00C5574E"/>
    <w:rsid w:val="00C559C1"/>
    <w:rsid w:val="00C55B14"/>
    <w:rsid w:val="00C55D09"/>
    <w:rsid w:val="00C56065"/>
    <w:rsid w:val="00C56A6C"/>
    <w:rsid w:val="00C56E3C"/>
    <w:rsid w:val="00C57E70"/>
    <w:rsid w:val="00C57E98"/>
    <w:rsid w:val="00C600C3"/>
    <w:rsid w:val="00C6010F"/>
    <w:rsid w:val="00C6032E"/>
    <w:rsid w:val="00C60560"/>
    <w:rsid w:val="00C60985"/>
    <w:rsid w:val="00C60EED"/>
    <w:rsid w:val="00C60FDD"/>
    <w:rsid w:val="00C61050"/>
    <w:rsid w:val="00C6184E"/>
    <w:rsid w:val="00C6257D"/>
    <w:rsid w:val="00C62D86"/>
    <w:rsid w:val="00C62D9F"/>
    <w:rsid w:val="00C631AE"/>
    <w:rsid w:val="00C63412"/>
    <w:rsid w:val="00C6352E"/>
    <w:rsid w:val="00C63D34"/>
    <w:rsid w:val="00C649E0"/>
    <w:rsid w:val="00C653E2"/>
    <w:rsid w:val="00C6632D"/>
    <w:rsid w:val="00C6643A"/>
    <w:rsid w:val="00C666D6"/>
    <w:rsid w:val="00C66E1A"/>
    <w:rsid w:val="00C66F49"/>
    <w:rsid w:val="00C67C07"/>
    <w:rsid w:val="00C67CA8"/>
    <w:rsid w:val="00C700EA"/>
    <w:rsid w:val="00C703D0"/>
    <w:rsid w:val="00C711B4"/>
    <w:rsid w:val="00C71BC9"/>
    <w:rsid w:val="00C720C1"/>
    <w:rsid w:val="00C721D9"/>
    <w:rsid w:val="00C738EC"/>
    <w:rsid w:val="00C74D33"/>
    <w:rsid w:val="00C750EC"/>
    <w:rsid w:val="00C7590D"/>
    <w:rsid w:val="00C76571"/>
    <w:rsid w:val="00C76713"/>
    <w:rsid w:val="00C76876"/>
    <w:rsid w:val="00C768F3"/>
    <w:rsid w:val="00C76B56"/>
    <w:rsid w:val="00C774A3"/>
    <w:rsid w:val="00C8044F"/>
    <w:rsid w:val="00C80F24"/>
    <w:rsid w:val="00C817BD"/>
    <w:rsid w:val="00C81B93"/>
    <w:rsid w:val="00C825A0"/>
    <w:rsid w:val="00C82F14"/>
    <w:rsid w:val="00C83699"/>
    <w:rsid w:val="00C836BD"/>
    <w:rsid w:val="00C83F9F"/>
    <w:rsid w:val="00C840E6"/>
    <w:rsid w:val="00C854F8"/>
    <w:rsid w:val="00C861C8"/>
    <w:rsid w:val="00C8620E"/>
    <w:rsid w:val="00C869FA"/>
    <w:rsid w:val="00C86ADD"/>
    <w:rsid w:val="00C86BBC"/>
    <w:rsid w:val="00C86D5E"/>
    <w:rsid w:val="00C86E8A"/>
    <w:rsid w:val="00C86FF1"/>
    <w:rsid w:val="00C8709C"/>
    <w:rsid w:val="00C870F4"/>
    <w:rsid w:val="00C87339"/>
    <w:rsid w:val="00C873AC"/>
    <w:rsid w:val="00C87A97"/>
    <w:rsid w:val="00C900C8"/>
    <w:rsid w:val="00C902B9"/>
    <w:rsid w:val="00C9032F"/>
    <w:rsid w:val="00C909A7"/>
    <w:rsid w:val="00C90AA7"/>
    <w:rsid w:val="00C90F81"/>
    <w:rsid w:val="00C9116B"/>
    <w:rsid w:val="00C9132E"/>
    <w:rsid w:val="00C9141F"/>
    <w:rsid w:val="00C91E6A"/>
    <w:rsid w:val="00C91E6C"/>
    <w:rsid w:val="00C92D4B"/>
    <w:rsid w:val="00C92D6F"/>
    <w:rsid w:val="00C93360"/>
    <w:rsid w:val="00C937E1"/>
    <w:rsid w:val="00C93854"/>
    <w:rsid w:val="00C93889"/>
    <w:rsid w:val="00C93B8E"/>
    <w:rsid w:val="00C94BB8"/>
    <w:rsid w:val="00C94C0B"/>
    <w:rsid w:val="00C9606F"/>
    <w:rsid w:val="00C960A5"/>
    <w:rsid w:val="00C96A66"/>
    <w:rsid w:val="00C96B58"/>
    <w:rsid w:val="00C977E8"/>
    <w:rsid w:val="00C97D4E"/>
    <w:rsid w:val="00CA01E2"/>
    <w:rsid w:val="00CA02B2"/>
    <w:rsid w:val="00CA0478"/>
    <w:rsid w:val="00CA0509"/>
    <w:rsid w:val="00CA074B"/>
    <w:rsid w:val="00CA0DD1"/>
    <w:rsid w:val="00CA1056"/>
    <w:rsid w:val="00CA1E1B"/>
    <w:rsid w:val="00CA24AF"/>
    <w:rsid w:val="00CA2B7E"/>
    <w:rsid w:val="00CA2BF5"/>
    <w:rsid w:val="00CA2DE5"/>
    <w:rsid w:val="00CA2F5B"/>
    <w:rsid w:val="00CA381E"/>
    <w:rsid w:val="00CA42FA"/>
    <w:rsid w:val="00CA441A"/>
    <w:rsid w:val="00CA44FD"/>
    <w:rsid w:val="00CA45BE"/>
    <w:rsid w:val="00CA490B"/>
    <w:rsid w:val="00CA4B68"/>
    <w:rsid w:val="00CA5553"/>
    <w:rsid w:val="00CA5568"/>
    <w:rsid w:val="00CA563B"/>
    <w:rsid w:val="00CA599D"/>
    <w:rsid w:val="00CA5A5D"/>
    <w:rsid w:val="00CA5DD8"/>
    <w:rsid w:val="00CA5F7C"/>
    <w:rsid w:val="00CA62F4"/>
    <w:rsid w:val="00CA65A1"/>
    <w:rsid w:val="00CA6AFB"/>
    <w:rsid w:val="00CA6BDB"/>
    <w:rsid w:val="00CA6EEE"/>
    <w:rsid w:val="00CA7343"/>
    <w:rsid w:val="00CA79C7"/>
    <w:rsid w:val="00CA7AD2"/>
    <w:rsid w:val="00CA7AFE"/>
    <w:rsid w:val="00CB0C7E"/>
    <w:rsid w:val="00CB0CC9"/>
    <w:rsid w:val="00CB1312"/>
    <w:rsid w:val="00CB13CA"/>
    <w:rsid w:val="00CB1FD9"/>
    <w:rsid w:val="00CB212E"/>
    <w:rsid w:val="00CB22D5"/>
    <w:rsid w:val="00CB2DDB"/>
    <w:rsid w:val="00CB2E57"/>
    <w:rsid w:val="00CB2FBA"/>
    <w:rsid w:val="00CB3FB4"/>
    <w:rsid w:val="00CB54E1"/>
    <w:rsid w:val="00CB5662"/>
    <w:rsid w:val="00CB61F0"/>
    <w:rsid w:val="00CB62E8"/>
    <w:rsid w:val="00CB6587"/>
    <w:rsid w:val="00CB75BB"/>
    <w:rsid w:val="00CC0030"/>
    <w:rsid w:val="00CC0DFF"/>
    <w:rsid w:val="00CC0E4D"/>
    <w:rsid w:val="00CC1036"/>
    <w:rsid w:val="00CC1209"/>
    <w:rsid w:val="00CC1251"/>
    <w:rsid w:val="00CC1F03"/>
    <w:rsid w:val="00CC2469"/>
    <w:rsid w:val="00CC2688"/>
    <w:rsid w:val="00CC27B8"/>
    <w:rsid w:val="00CC2D55"/>
    <w:rsid w:val="00CC2ECF"/>
    <w:rsid w:val="00CC2FB4"/>
    <w:rsid w:val="00CC3927"/>
    <w:rsid w:val="00CC3CF9"/>
    <w:rsid w:val="00CC4105"/>
    <w:rsid w:val="00CC41B5"/>
    <w:rsid w:val="00CC4240"/>
    <w:rsid w:val="00CC4D4D"/>
    <w:rsid w:val="00CC4DC3"/>
    <w:rsid w:val="00CC4E38"/>
    <w:rsid w:val="00CC5905"/>
    <w:rsid w:val="00CC61FD"/>
    <w:rsid w:val="00CC6764"/>
    <w:rsid w:val="00CC6E25"/>
    <w:rsid w:val="00CC6F90"/>
    <w:rsid w:val="00CC7D56"/>
    <w:rsid w:val="00CD05AD"/>
    <w:rsid w:val="00CD0E48"/>
    <w:rsid w:val="00CD1B86"/>
    <w:rsid w:val="00CD1EBB"/>
    <w:rsid w:val="00CD1F8B"/>
    <w:rsid w:val="00CD2035"/>
    <w:rsid w:val="00CD27A9"/>
    <w:rsid w:val="00CD31A8"/>
    <w:rsid w:val="00CD3548"/>
    <w:rsid w:val="00CD39B8"/>
    <w:rsid w:val="00CD41BD"/>
    <w:rsid w:val="00CD41DF"/>
    <w:rsid w:val="00CD44B3"/>
    <w:rsid w:val="00CD4536"/>
    <w:rsid w:val="00CD5ABE"/>
    <w:rsid w:val="00CD619F"/>
    <w:rsid w:val="00CD6200"/>
    <w:rsid w:val="00CD6AF0"/>
    <w:rsid w:val="00CD6EAC"/>
    <w:rsid w:val="00CE08B4"/>
    <w:rsid w:val="00CE0D5A"/>
    <w:rsid w:val="00CE0DFE"/>
    <w:rsid w:val="00CE177F"/>
    <w:rsid w:val="00CE1C67"/>
    <w:rsid w:val="00CE1F59"/>
    <w:rsid w:val="00CE21AC"/>
    <w:rsid w:val="00CE2AE9"/>
    <w:rsid w:val="00CE2DBD"/>
    <w:rsid w:val="00CE370F"/>
    <w:rsid w:val="00CE3BC4"/>
    <w:rsid w:val="00CE3C24"/>
    <w:rsid w:val="00CE3E59"/>
    <w:rsid w:val="00CE423A"/>
    <w:rsid w:val="00CE46DC"/>
    <w:rsid w:val="00CE473F"/>
    <w:rsid w:val="00CE4DEF"/>
    <w:rsid w:val="00CE548D"/>
    <w:rsid w:val="00CE5730"/>
    <w:rsid w:val="00CE5B24"/>
    <w:rsid w:val="00CE5FC3"/>
    <w:rsid w:val="00CE622B"/>
    <w:rsid w:val="00CE6712"/>
    <w:rsid w:val="00CE686E"/>
    <w:rsid w:val="00CE69E5"/>
    <w:rsid w:val="00CE6F95"/>
    <w:rsid w:val="00CE7028"/>
    <w:rsid w:val="00CE73F5"/>
    <w:rsid w:val="00CE75B2"/>
    <w:rsid w:val="00CE7781"/>
    <w:rsid w:val="00CE7F4D"/>
    <w:rsid w:val="00CF0081"/>
    <w:rsid w:val="00CF05EE"/>
    <w:rsid w:val="00CF0701"/>
    <w:rsid w:val="00CF1144"/>
    <w:rsid w:val="00CF1189"/>
    <w:rsid w:val="00CF190C"/>
    <w:rsid w:val="00CF21A2"/>
    <w:rsid w:val="00CF2337"/>
    <w:rsid w:val="00CF2A89"/>
    <w:rsid w:val="00CF2D88"/>
    <w:rsid w:val="00CF2DAD"/>
    <w:rsid w:val="00CF322A"/>
    <w:rsid w:val="00CF3320"/>
    <w:rsid w:val="00CF349C"/>
    <w:rsid w:val="00CF3DF0"/>
    <w:rsid w:val="00CF42CF"/>
    <w:rsid w:val="00CF4A6D"/>
    <w:rsid w:val="00CF5036"/>
    <w:rsid w:val="00CF51FA"/>
    <w:rsid w:val="00CF538D"/>
    <w:rsid w:val="00CF54BC"/>
    <w:rsid w:val="00CF554F"/>
    <w:rsid w:val="00CF5DF9"/>
    <w:rsid w:val="00CF5EC6"/>
    <w:rsid w:val="00CF5F61"/>
    <w:rsid w:val="00CF63B2"/>
    <w:rsid w:val="00CF6DF3"/>
    <w:rsid w:val="00CF72D1"/>
    <w:rsid w:val="00CF74DC"/>
    <w:rsid w:val="00CF74DD"/>
    <w:rsid w:val="00CF7CEC"/>
    <w:rsid w:val="00CF7DB5"/>
    <w:rsid w:val="00D0053F"/>
    <w:rsid w:val="00D00567"/>
    <w:rsid w:val="00D00F55"/>
    <w:rsid w:val="00D01826"/>
    <w:rsid w:val="00D01C9E"/>
    <w:rsid w:val="00D0297C"/>
    <w:rsid w:val="00D03136"/>
    <w:rsid w:val="00D035F9"/>
    <w:rsid w:val="00D03696"/>
    <w:rsid w:val="00D03CD7"/>
    <w:rsid w:val="00D0409A"/>
    <w:rsid w:val="00D040C1"/>
    <w:rsid w:val="00D045C4"/>
    <w:rsid w:val="00D04C9D"/>
    <w:rsid w:val="00D05042"/>
    <w:rsid w:val="00D0558C"/>
    <w:rsid w:val="00D05761"/>
    <w:rsid w:val="00D059EF"/>
    <w:rsid w:val="00D05C51"/>
    <w:rsid w:val="00D05E7E"/>
    <w:rsid w:val="00D06FD9"/>
    <w:rsid w:val="00D07C56"/>
    <w:rsid w:val="00D07F5F"/>
    <w:rsid w:val="00D10010"/>
    <w:rsid w:val="00D1022A"/>
    <w:rsid w:val="00D105FA"/>
    <w:rsid w:val="00D10BEE"/>
    <w:rsid w:val="00D113FF"/>
    <w:rsid w:val="00D11463"/>
    <w:rsid w:val="00D11656"/>
    <w:rsid w:val="00D118C1"/>
    <w:rsid w:val="00D1200F"/>
    <w:rsid w:val="00D12873"/>
    <w:rsid w:val="00D13262"/>
    <w:rsid w:val="00D138FF"/>
    <w:rsid w:val="00D13C89"/>
    <w:rsid w:val="00D14251"/>
    <w:rsid w:val="00D1425D"/>
    <w:rsid w:val="00D142D2"/>
    <w:rsid w:val="00D14458"/>
    <w:rsid w:val="00D14B97"/>
    <w:rsid w:val="00D14BC7"/>
    <w:rsid w:val="00D14D6D"/>
    <w:rsid w:val="00D14F56"/>
    <w:rsid w:val="00D15909"/>
    <w:rsid w:val="00D15A61"/>
    <w:rsid w:val="00D15BDE"/>
    <w:rsid w:val="00D167FE"/>
    <w:rsid w:val="00D16B41"/>
    <w:rsid w:val="00D16B66"/>
    <w:rsid w:val="00D16D18"/>
    <w:rsid w:val="00D16D45"/>
    <w:rsid w:val="00D16E72"/>
    <w:rsid w:val="00D1700F"/>
    <w:rsid w:val="00D171DA"/>
    <w:rsid w:val="00D176A5"/>
    <w:rsid w:val="00D17FAC"/>
    <w:rsid w:val="00D20BA6"/>
    <w:rsid w:val="00D20D9E"/>
    <w:rsid w:val="00D21533"/>
    <w:rsid w:val="00D21BE1"/>
    <w:rsid w:val="00D21D57"/>
    <w:rsid w:val="00D21E3A"/>
    <w:rsid w:val="00D22090"/>
    <w:rsid w:val="00D2311F"/>
    <w:rsid w:val="00D23371"/>
    <w:rsid w:val="00D237D4"/>
    <w:rsid w:val="00D2413F"/>
    <w:rsid w:val="00D242CB"/>
    <w:rsid w:val="00D24C25"/>
    <w:rsid w:val="00D2552C"/>
    <w:rsid w:val="00D25594"/>
    <w:rsid w:val="00D25FD2"/>
    <w:rsid w:val="00D26105"/>
    <w:rsid w:val="00D26378"/>
    <w:rsid w:val="00D26DF0"/>
    <w:rsid w:val="00D27065"/>
    <w:rsid w:val="00D270F7"/>
    <w:rsid w:val="00D30242"/>
    <w:rsid w:val="00D304DB"/>
    <w:rsid w:val="00D314CB"/>
    <w:rsid w:val="00D315B2"/>
    <w:rsid w:val="00D320CE"/>
    <w:rsid w:val="00D321E9"/>
    <w:rsid w:val="00D332FA"/>
    <w:rsid w:val="00D33A85"/>
    <w:rsid w:val="00D33E29"/>
    <w:rsid w:val="00D3487E"/>
    <w:rsid w:val="00D34949"/>
    <w:rsid w:val="00D34BF6"/>
    <w:rsid w:val="00D351AD"/>
    <w:rsid w:val="00D351E1"/>
    <w:rsid w:val="00D35930"/>
    <w:rsid w:val="00D360FB"/>
    <w:rsid w:val="00D3620E"/>
    <w:rsid w:val="00D3716C"/>
    <w:rsid w:val="00D3758C"/>
    <w:rsid w:val="00D37A65"/>
    <w:rsid w:val="00D37E00"/>
    <w:rsid w:val="00D37EF1"/>
    <w:rsid w:val="00D41AD4"/>
    <w:rsid w:val="00D41B04"/>
    <w:rsid w:val="00D41C9A"/>
    <w:rsid w:val="00D41F7C"/>
    <w:rsid w:val="00D42647"/>
    <w:rsid w:val="00D42F4F"/>
    <w:rsid w:val="00D43C3B"/>
    <w:rsid w:val="00D43E10"/>
    <w:rsid w:val="00D446E3"/>
    <w:rsid w:val="00D44CFF"/>
    <w:rsid w:val="00D450EE"/>
    <w:rsid w:val="00D457CC"/>
    <w:rsid w:val="00D45A12"/>
    <w:rsid w:val="00D45AFB"/>
    <w:rsid w:val="00D45C1B"/>
    <w:rsid w:val="00D45DC4"/>
    <w:rsid w:val="00D46008"/>
    <w:rsid w:val="00D4612C"/>
    <w:rsid w:val="00D46624"/>
    <w:rsid w:val="00D46C78"/>
    <w:rsid w:val="00D47383"/>
    <w:rsid w:val="00D47415"/>
    <w:rsid w:val="00D4797B"/>
    <w:rsid w:val="00D47F06"/>
    <w:rsid w:val="00D50894"/>
    <w:rsid w:val="00D516D8"/>
    <w:rsid w:val="00D51729"/>
    <w:rsid w:val="00D522F8"/>
    <w:rsid w:val="00D5248A"/>
    <w:rsid w:val="00D524E4"/>
    <w:rsid w:val="00D52736"/>
    <w:rsid w:val="00D52B01"/>
    <w:rsid w:val="00D52C67"/>
    <w:rsid w:val="00D530BF"/>
    <w:rsid w:val="00D53532"/>
    <w:rsid w:val="00D53F1D"/>
    <w:rsid w:val="00D53F79"/>
    <w:rsid w:val="00D5471E"/>
    <w:rsid w:val="00D551B6"/>
    <w:rsid w:val="00D55602"/>
    <w:rsid w:val="00D55921"/>
    <w:rsid w:val="00D55C97"/>
    <w:rsid w:val="00D55DE2"/>
    <w:rsid w:val="00D569F7"/>
    <w:rsid w:val="00D56F5E"/>
    <w:rsid w:val="00D57373"/>
    <w:rsid w:val="00D57A44"/>
    <w:rsid w:val="00D57C33"/>
    <w:rsid w:val="00D57ED9"/>
    <w:rsid w:val="00D6069E"/>
    <w:rsid w:val="00D60B04"/>
    <w:rsid w:val="00D60B27"/>
    <w:rsid w:val="00D60C27"/>
    <w:rsid w:val="00D612EE"/>
    <w:rsid w:val="00D61534"/>
    <w:rsid w:val="00D62013"/>
    <w:rsid w:val="00D62184"/>
    <w:rsid w:val="00D62412"/>
    <w:rsid w:val="00D62520"/>
    <w:rsid w:val="00D625D7"/>
    <w:rsid w:val="00D6270C"/>
    <w:rsid w:val="00D62C14"/>
    <w:rsid w:val="00D62EE7"/>
    <w:rsid w:val="00D631A6"/>
    <w:rsid w:val="00D634A3"/>
    <w:rsid w:val="00D64079"/>
    <w:rsid w:val="00D64332"/>
    <w:rsid w:val="00D65809"/>
    <w:rsid w:val="00D66B4A"/>
    <w:rsid w:val="00D670E1"/>
    <w:rsid w:val="00D7009C"/>
    <w:rsid w:val="00D70591"/>
    <w:rsid w:val="00D709DE"/>
    <w:rsid w:val="00D70C25"/>
    <w:rsid w:val="00D70D66"/>
    <w:rsid w:val="00D71270"/>
    <w:rsid w:val="00D71381"/>
    <w:rsid w:val="00D71BDC"/>
    <w:rsid w:val="00D71DDC"/>
    <w:rsid w:val="00D725DD"/>
    <w:rsid w:val="00D727C0"/>
    <w:rsid w:val="00D72A32"/>
    <w:rsid w:val="00D72C9B"/>
    <w:rsid w:val="00D72FDD"/>
    <w:rsid w:val="00D73102"/>
    <w:rsid w:val="00D7371C"/>
    <w:rsid w:val="00D73ADD"/>
    <w:rsid w:val="00D74487"/>
    <w:rsid w:val="00D7471F"/>
    <w:rsid w:val="00D75D61"/>
    <w:rsid w:val="00D75DBC"/>
    <w:rsid w:val="00D766AB"/>
    <w:rsid w:val="00D76724"/>
    <w:rsid w:val="00D7684A"/>
    <w:rsid w:val="00D76CEF"/>
    <w:rsid w:val="00D76DA0"/>
    <w:rsid w:val="00D770CF"/>
    <w:rsid w:val="00D7754A"/>
    <w:rsid w:val="00D77A16"/>
    <w:rsid w:val="00D77A99"/>
    <w:rsid w:val="00D800A7"/>
    <w:rsid w:val="00D80637"/>
    <w:rsid w:val="00D8087D"/>
    <w:rsid w:val="00D812B9"/>
    <w:rsid w:val="00D81697"/>
    <w:rsid w:val="00D8194D"/>
    <w:rsid w:val="00D81EC6"/>
    <w:rsid w:val="00D81F00"/>
    <w:rsid w:val="00D81F98"/>
    <w:rsid w:val="00D82E76"/>
    <w:rsid w:val="00D83284"/>
    <w:rsid w:val="00D833C8"/>
    <w:rsid w:val="00D838BA"/>
    <w:rsid w:val="00D83BA9"/>
    <w:rsid w:val="00D8449F"/>
    <w:rsid w:val="00D84523"/>
    <w:rsid w:val="00D853BD"/>
    <w:rsid w:val="00D85924"/>
    <w:rsid w:val="00D86460"/>
    <w:rsid w:val="00D86641"/>
    <w:rsid w:val="00D86AD2"/>
    <w:rsid w:val="00D86DA2"/>
    <w:rsid w:val="00D874DD"/>
    <w:rsid w:val="00D87FC4"/>
    <w:rsid w:val="00D90479"/>
    <w:rsid w:val="00D9052A"/>
    <w:rsid w:val="00D90A13"/>
    <w:rsid w:val="00D9158A"/>
    <w:rsid w:val="00D917D9"/>
    <w:rsid w:val="00D918F6"/>
    <w:rsid w:val="00D91936"/>
    <w:rsid w:val="00D91BD2"/>
    <w:rsid w:val="00D91C82"/>
    <w:rsid w:val="00D92170"/>
    <w:rsid w:val="00D9237B"/>
    <w:rsid w:val="00D92AD2"/>
    <w:rsid w:val="00D92E57"/>
    <w:rsid w:val="00D931A1"/>
    <w:rsid w:val="00D94046"/>
    <w:rsid w:val="00D943D3"/>
    <w:rsid w:val="00D943F4"/>
    <w:rsid w:val="00D947F8"/>
    <w:rsid w:val="00D9508D"/>
    <w:rsid w:val="00D953D8"/>
    <w:rsid w:val="00D95821"/>
    <w:rsid w:val="00D95B91"/>
    <w:rsid w:val="00D95D02"/>
    <w:rsid w:val="00D95EBA"/>
    <w:rsid w:val="00D9602B"/>
    <w:rsid w:val="00D96756"/>
    <w:rsid w:val="00D9681E"/>
    <w:rsid w:val="00D96BF7"/>
    <w:rsid w:val="00D97398"/>
    <w:rsid w:val="00D9740D"/>
    <w:rsid w:val="00D9780B"/>
    <w:rsid w:val="00D979C5"/>
    <w:rsid w:val="00D979D3"/>
    <w:rsid w:val="00DA0B93"/>
    <w:rsid w:val="00DA0BE4"/>
    <w:rsid w:val="00DA0BEC"/>
    <w:rsid w:val="00DA0CE9"/>
    <w:rsid w:val="00DA0E41"/>
    <w:rsid w:val="00DA1043"/>
    <w:rsid w:val="00DA1278"/>
    <w:rsid w:val="00DA14FB"/>
    <w:rsid w:val="00DA1903"/>
    <w:rsid w:val="00DA1E2B"/>
    <w:rsid w:val="00DA20A7"/>
    <w:rsid w:val="00DA219B"/>
    <w:rsid w:val="00DA21EF"/>
    <w:rsid w:val="00DA25B9"/>
    <w:rsid w:val="00DA2658"/>
    <w:rsid w:val="00DA2ABB"/>
    <w:rsid w:val="00DA2D68"/>
    <w:rsid w:val="00DA34B0"/>
    <w:rsid w:val="00DA35DB"/>
    <w:rsid w:val="00DA37EB"/>
    <w:rsid w:val="00DA38A1"/>
    <w:rsid w:val="00DA3F1C"/>
    <w:rsid w:val="00DA42D9"/>
    <w:rsid w:val="00DA46CE"/>
    <w:rsid w:val="00DA48E1"/>
    <w:rsid w:val="00DA4959"/>
    <w:rsid w:val="00DA4A54"/>
    <w:rsid w:val="00DA5088"/>
    <w:rsid w:val="00DA51D5"/>
    <w:rsid w:val="00DA5279"/>
    <w:rsid w:val="00DA56F6"/>
    <w:rsid w:val="00DA5C6A"/>
    <w:rsid w:val="00DA61F5"/>
    <w:rsid w:val="00DA6461"/>
    <w:rsid w:val="00DA6AE5"/>
    <w:rsid w:val="00DA6B36"/>
    <w:rsid w:val="00DA6BFD"/>
    <w:rsid w:val="00DA708B"/>
    <w:rsid w:val="00DA74C7"/>
    <w:rsid w:val="00DA79A8"/>
    <w:rsid w:val="00DA79CF"/>
    <w:rsid w:val="00DA7CB4"/>
    <w:rsid w:val="00DB09D1"/>
    <w:rsid w:val="00DB1157"/>
    <w:rsid w:val="00DB2144"/>
    <w:rsid w:val="00DB26FF"/>
    <w:rsid w:val="00DB28E5"/>
    <w:rsid w:val="00DB3881"/>
    <w:rsid w:val="00DB47A7"/>
    <w:rsid w:val="00DB4E27"/>
    <w:rsid w:val="00DB5237"/>
    <w:rsid w:val="00DB5623"/>
    <w:rsid w:val="00DB666C"/>
    <w:rsid w:val="00DB67EA"/>
    <w:rsid w:val="00DB6ECA"/>
    <w:rsid w:val="00DB6FCC"/>
    <w:rsid w:val="00DB738F"/>
    <w:rsid w:val="00DB7765"/>
    <w:rsid w:val="00DB7866"/>
    <w:rsid w:val="00DB78E9"/>
    <w:rsid w:val="00DC009D"/>
    <w:rsid w:val="00DC0453"/>
    <w:rsid w:val="00DC0C0F"/>
    <w:rsid w:val="00DC0C4B"/>
    <w:rsid w:val="00DC15C8"/>
    <w:rsid w:val="00DC1C08"/>
    <w:rsid w:val="00DC1C69"/>
    <w:rsid w:val="00DC1C8C"/>
    <w:rsid w:val="00DC1D7E"/>
    <w:rsid w:val="00DC1EFD"/>
    <w:rsid w:val="00DC1F1B"/>
    <w:rsid w:val="00DC2E2D"/>
    <w:rsid w:val="00DC3439"/>
    <w:rsid w:val="00DC4391"/>
    <w:rsid w:val="00DC473E"/>
    <w:rsid w:val="00DC5D8A"/>
    <w:rsid w:val="00DC6A03"/>
    <w:rsid w:val="00DC6F45"/>
    <w:rsid w:val="00DC71D1"/>
    <w:rsid w:val="00DC7CE3"/>
    <w:rsid w:val="00DC7F5F"/>
    <w:rsid w:val="00DC7F67"/>
    <w:rsid w:val="00DD0542"/>
    <w:rsid w:val="00DD0FC2"/>
    <w:rsid w:val="00DD1595"/>
    <w:rsid w:val="00DD16AE"/>
    <w:rsid w:val="00DD171F"/>
    <w:rsid w:val="00DD1A89"/>
    <w:rsid w:val="00DD22C0"/>
    <w:rsid w:val="00DD2798"/>
    <w:rsid w:val="00DD2A8C"/>
    <w:rsid w:val="00DD3364"/>
    <w:rsid w:val="00DD4373"/>
    <w:rsid w:val="00DD62F6"/>
    <w:rsid w:val="00DD6C14"/>
    <w:rsid w:val="00DD7013"/>
    <w:rsid w:val="00DD7401"/>
    <w:rsid w:val="00DD7752"/>
    <w:rsid w:val="00DD7D95"/>
    <w:rsid w:val="00DE0994"/>
    <w:rsid w:val="00DE121D"/>
    <w:rsid w:val="00DE1276"/>
    <w:rsid w:val="00DE15A2"/>
    <w:rsid w:val="00DE15AA"/>
    <w:rsid w:val="00DE16E5"/>
    <w:rsid w:val="00DE18F1"/>
    <w:rsid w:val="00DE1EFD"/>
    <w:rsid w:val="00DE2339"/>
    <w:rsid w:val="00DE2346"/>
    <w:rsid w:val="00DE2437"/>
    <w:rsid w:val="00DE257D"/>
    <w:rsid w:val="00DE26F4"/>
    <w:rsid w:val="00DE27F8"/>
    <w:rsid w:val="00DE2D7B"/>
    <w:rsid w:val="00DE3651"/>
    <w:rsid w:val="00DE3C59"/>
    <w:rsid w:val="00DE3E77"/>
    <w:rsid w:val="00DE40F9"/>
    <w:rsid w:val="00DE42A4"/>
    <w:rsid w:val="00DE46AE"/>
    <w:rsid w:val="00DE4BF3"/>
    <w:rsid w:val="00DE5153"/>
    <w:rsid w:val="00DE56D7"/>
    <w:rsid w:val="00DE6332"/>
    <w:rsid w:val="00DE6734"/>
    <w:rsid w:val="00DE6998"/>
    <w:rsid w:val="00DE6A84"/>
    <w:rsid w:val="00DE6E9E"/>
    <w:rsid w:val="00DE71E4"/>
    <w:rsid w:val="00DE72BA"/>
    <w:rsid w:val="00DE7382"/>
    <w:rsid w:val="00DE7890"/>
    <w:rsid w:val="00DE7E83"/>
    <w:rsid w:val="00DF0064"/>
    <w:rsid w:val="00DF028B"/>
    <w:rsid w:val="00DF06E7"/>
    <w:rsid w:val="00DF0900"/>
    <w:rsid w:val="00DF0AA0"/>
    <w:rsid w:val="00DF110B"/>
    <w:rsid w:val="00DF16F4"/>
    <w:rsid w:val="00DF1C49"/>
    <w:rsid w:val="00DF2287"/>
    <w:rsid w:val="00DF32CE"/>
    <w:rsid w:val="00DF3A77"/>
    <w:rsid w:val="00DF3C50"/>
    <w:rsid w:val="00DF4275"/>
    <w:rsid w:val="00DF4808"/>
    <w:rsid w:val="00DF4B11"/>
    <w:rsid w:val="00DF5261"/>
    <w:rsid w:val="00DF56CA"/>
    <w:rsid w:val="00DF5D1C"/>
    <w:rsid w:val="00DF5F39"/>
    <w:rsid w:val="00DF67F1"/>
    <w:rsid w:val="00DF6865"/>
    <w:rsid w:val="00DF6A5A"/>
    <w:rsid w:val="00DF732A"/>
    <w:rsid w:val="00DF754B"/>
    <w:rsid w:val="00DF7EF0"/>
    <w:rsid w:val="00E00074"/>
    <w:rsid w:val="00E00840"/>
    <w:rsid w:val="00E00B06"/>
    <w:rsid w:val="00E00C82"/>
    <w:rsid w:val="00E00FFD"/>
    <w:rsid w:val="00E00FFF"/>
    <w:rsid w:val="00E01018"/>
    <w:rsid w:val="00E012E3"/>
    <w:rsid w:val="00E02468"/>
    <w:rsid w:val="00E02475"/>
    <w:rsid w:val="00E0256F"/>
    <w:rsid w:val="00E029F4"/>
    <w:rsid w:val="00E03A1E"/>
    <w:rsid w:val="00E03D2D"/>
    <w:rsid w:val="00E042A5"/>
    <w:rsid w:val="00E043B2"/>
    <w:rsid w:val="00E04781"/>
    <w:rsid w:val="00E048E6"/>
    <w:rsid w:val="00E04C84"/>
    <w:rsid w:val="00E050E5"/>
    <w:rsid w:val="00E0576D"/>
    <w:rsid w:val="00E05B9D"/>
    <w:rsid w:val="00E06211"/>
    <w:rsid w:val="00E063AA"/>
    <w:rsid w:val="00E06489"/>
    <w:rsid w:val="00E06811"/>
    <w:rsid w:val="00E06AE4"/>
    <w:rsid w:val="00E06B66"/>
    <w:rsid w:val="00E077AD"/>
    <w:rsid w:val="00E10B23"/>
    <w:rsid w:val="00E10B98"/>
    <w:rsid w:val="00E11AC9"/>
    <w:rsid w:val="00E11C5F"/>
    <w:rsid w:val="00E11E75"/>
    <w:rsid w:val="00E124F3"/>
    <w:rsid w:val="00E126D4"/>
    <w:rsid w:val="00E12760"/>
    <w:rsid w:val="00E12A41"/>
    <w:rsid w:val="00E1319A"/>
    <w:rsid w:val="00E13A5B"/>
    <w:rsid w:val="00E13BA6"/>
    <w:rsid w:val="00E13C1E"/>
    <w:rsid w:val="00E1420F"/>
    <w:rsid w:val="00E14388"/>
    <w:rsid w:val="00E14EA3"/>
    <w:rsid w:val="00E15079"/>
    <w:rsid w:val="00E1590E"/>
    <w:rsid w:val="00E15933"/>
    <w:rsid w:val="00E1640C"/>
    <w:rsid w:val="00E1653D"/>
    <w:rsid w:val="00E170BB"/>
    <w:rsid w:val="00E175F6"/>
    <w:rsid w:val="00E17D4E"/>
    <w:rsid w:val="00E17F2F"/>
    <w:rsid w:val="00E2046D"/>
    <w:rsid w:val="00E20488"/>
    <w:rsid w:val="00E20567"/>
    <w:rsid w:val="00E21285"/>
    <w:rsid w:val="00E2172E"/>
    <w:rsid w:val="00E21CAC"/>
    <w:rsid w:val="00E21D7F"/>
    <w:rsid w:val="00E22081"/>
    <w:rsid w:val="00E2258A"/>
    <w:rsid w:val="00E22675"/>
    <w:rsid w:val="00E22C4D"/>
    <w:rsid w:val="00E245F7"/>
    <w:rsid w:val="00E2482C"/>
    <w:rsid w:val="00E24C7F"/>
    <w:rsid w:val="00E24CC0"/>
    <w:rsid w:val="00E2507F"/>
    <w:rsid w:val="00E250BE"/>
    <w:rsid w:val="00E25563"/>
    <w:rsid w:val="00E255A1"/>
    <w:rsid w:val="00E256C4"/>
    <w:rsid w:val="00E25769"/>
    <w:rsid w:val="00E25E7D"/>
    <w:rsid w:val="00E263E2"/>
    <w:rsid w:val="00E26A92"/>
    <w:rsid w:val="00E26D1D"/>
    <w:rsid w:val="00E27115"/>
    <w:rsid w:val="00E2755C"/>
    <w:rsid w:val="00E27748"/>
    <w:rsid w:val="00E3089F"/>
    <w:rsid w:val="00E309FF"/>
    <w:rsid w:val="00E30CD0"/>
    <w:rsid w:val="00E31244"/>
    <w:rsid w:val="00E3132D"/>
    <w:rsid w:val="00E315B1"/>
    <w:rsid w:val="00E31731"/>
    <w:rsid w:val="00E31A39"/>
    <w:rsid w:val="00E31B5F"/>
    <w:rsid w:val="00E32256"/>
    <w:rsid w:val="00E32281"/>
    <w:rsid w:val="00E3248A"/>
    <w:rsid w:val="00E32536"/>
    <w:rsid w:val="00E3292E"/>
    <w:rsid w:val="00E332C7"/>
    <w:rsid w:val="00E33417"/>
    <w:rsid w:val="00E3381F"/>
    <w:rsid w:val="00E3396E"/>
    <w:rsid w:val="00E33B16"/>
    <w:rsid w:val="00E34110"/>
    <w:rsid w:val="00E34C36"/>
    <w:rsid w:val="00E3530B"/>
    <w:rsid w:val="00E370CB"/>
    <w:rsid w:val="00E37999"/>
    <w:rsid w:val="00E37F6F"/>
    <w:rsid w:val="00E400AA"/>
    <w:rsid w:val="00E402DB"/>
    <w:rsid w:val="00E40356"/>
    <w:rsid w:val="00E40FD4"/>
    <w:rsid w:val="00E41028"/>
    <w:rsid w:val="00E41728"/>
    <w:rsid w:val="00E424E3"/>
    <w:rsid w:val="00E42D92"/>
    <w:rsid w:val="00E43729"/>
    <w:rsid w:val="00E44C9D"/>
    <w:rsid w:val="00E452C4"/>
    <w:rsid w:val="00E452C6"/>
    <w:rsid w:val="00E4552A"/>
    <w:rsid w:val="00E45AE3"/>
    <w:rsid w:val="00E45E6D"/>
    <w:rsid w:val="00E46285"/>
    <w:rsid w:val="00E465AE"/>
    <w:rsid w:val="00E46876"/>
    <w:rsid w:val="00E46A9E"/>
    <w:rsid w:val="00E46AE0"/>
    <w:rsid w:val="00E472E6"/>
    <w:rsid w:val="00E479EE"/>
    <w:rsid w:val="00E47F02"/>
    <w:rsid w:val="00E50291"/>
    <w:rsid w:val="00E507C1"/>
    <w:rsid w:val="00E50CD5"/>
    <w:rsid w:val="00E51347"/>
    <w:rsid w:val="00E517EB"/>
    <w:rsid w:val="00E51AC9"/>
    <w:rsid w:val="00E51E55"/>
    <w:rsid w:val="00E5227F"/>
    <w:rsid w:val="00E524DF"/>
    <w:rsid w:val="00E5595E"/>
    <w:rsid w:val="00E55BD7"/>
    <w:rsid w:val="00E55BEE"/>
    <w:rsid w:val="00E55D43"/>
    <w:rsid w:val="00E5678F"/>
    <w:rsid w:val="00E56864"/>
    <w:rsid w:val="00E56AE2"/>
    <w:rsid w:val="00E56EF5"/>
    <w:rsid w:val="00E56F64"/>
    <w:rsid w:val="00E5704B"/>
    <w:rsid w:val="00E5793A"/>
    <w:rsid w:val="00E57A9E"/>
    <w:rsid w:val="00E57D9B"/>
    <w:rsid w:val="00E60597"/>
    <w:rsid w:val="00E6084A"/>
    <w:rsid w:val="00E609AA"/>
    <w:rsid w:val="00E60E20"/>
    <w:rsid w:val="00E6177D"/>
    <w:rsid w:val="00E61AA0"/>
    <w:rsid w:val="00E61BFF"/>
    <w:rsid w:val="00E61E6F"/>
    <w:rsid w:val="00E61E78"/>
    <w:rsid w:val="00E6220A"/>
    <w:rsid w:val="00E62290"/>
    <w:rsid w:val="00E62771"/>
    <w:rsid w:val="00E62A01"/>
    <w:rsid w:val="00E62CD6"/>
    <w:rsid w:val="00E63527"/>
    <w:rsid w:val="00E64429"/>
    <w:rsid w:val="00E64ACE"/>
    <w:rsid w:val="00E652F4"/>
    <w:rsid w:val="00E65347"/>
    <w:rsid w:val="00E653B2"/>
    <w:rsid w:val="00E65993"/>
    <w:rsid w:val="00E65D04"/>
    <w:rsid w:val="00E66238"/>
    <w:rsid w:val="00E6684B"/>
    <w:rsid w:val="00E66BB8"/>
    <w:rsid w:val="00E66D5F"/>
    <w:rsid w:val="00E66F68"/>
    <w:rsid w:val="00E67062"/>
    <w:rsid w:val="00E678D9"/>
    <w:rsid w:val="00E67AC7"/>
    <w:rsid w:val="00E70518"/>
    <w:rsid w:val="00E7064A"/>
    <w:rsid w:val="00E70785"/>
    <w:rsid w:val="00E70DEF"/>
    <w:rsid w:val="00E713A0"/>
    <w:rsid w:val="00E7159E"/>
    <w:rsid w:val="00E71A91"/>
    <w:rsid w:val="00E71F3E"/>
    <w:rsid w:val="00E721F0"/>
    <w:rsid w:val="00E72D10"/>
    <w:rsid w:val="00E739A5"/>
    <w:rsid w:val="00E73A31"/>
    <w:rsid w:val="00E73BC7"/>
    <w:rsid w:val="00E7434D"/>
    <w:rsid w:val="00E748D7"/>
    <w:rsid w:val="00E74A39"/>
    <w:rsid w:val="00E74B2D"/>
    <w:rsid w:val="00E74F14"/>
    <w:rsid w:val="00E75B6F"/>
    <w:rsid w:val="00E75D81"/>
    <w:rsid w:val="00E75E39"/>
    <w:rsid w:val="00E7625A"/>
    <w:rsid w:val="00E762F4"/>
    <w:rsid w:val="00E768DA"/>
    <w:rsid w:val="00E76A55"/>
    <w:rsid w:val="00E7740A"/>
    <w:rsid w:val="00E77848"/>
    <w:rsid w:val="00E8001D"/>
    <w:rsid w:val="00E803B5"/>
    <w:rsid w:val="00E803F1"/>
    <w:rsid w:val="00E80453"/>
    <w:rsid w:val="00E80729"/>
    <w:rsid w:val="00E80B05"/>
    <w:rsid w:val="00E819E9"/>
    <w:rsid w:val="00E82EA7"/>
    <w:rsid w:val="00E82F80"/>
    <w:rsid w:val="00E83031"/>
    <w:rsid w:val="00E833B5"/>
    <w:rsid w:val="00E84292"/>
    <w:rsid w:val="00E8438F"/>
    <w:rsid w:val="00E84873"/>
    <w:rsid w:val="00E84B5D"/>
    <w:rsid w:val="00E858FA"/>
    <w:rsid w:val="00E85AA0"/>
    <w:rsid w:val="00E85C1C"/>
    <w:rsid w:val="00E85C29"/>
    <w:rsid w:val="00E860A7"/>
    <w:rsid w:val="00E8636E"/>
    <w:rsid w:val="00E868DF"/>
    <w:rsid w:val="00E874FE"/>
    <w:rsid w:val="00E87978"/>
    <w:rsid w:val="00E90065"/>
    <w:rsid w:val="00E90645"/>
    <w:rsid w:val="00E9078C"/>
    <w:rsid w:val="00E91022"/>
    <w:rsid w:val="00E9142C"/>
    <w:rsid w:val="00E91470"/>
    <w:rsid w:val="00E9174C"/>
    <w:rsid w:val="00E91D6B"/>
    <w:rsid w:val="00E91EFB"/>
    <w:rsid w:val="00E922E9"/>
    <w:rsid w:val="00E92F47"/>
    <w:rsid w:val="00E92F9D"/>
    <w:rsid w:val="00E9355A"/>
    <w:rsid w:val="00E9383E"/>
    <w:rsid w:val="00E93B1F"/>
    <w:rsid w:val="00E93BDF"/>
    <w:rsid w:val="00E943BF"/>
    <w:rsid w:val="00E94AA7"/>
    <w:rsid w:val="00E95127"/>
    <w:rsid w:val="00E9555C"/>
    <w:rsid w:val="00E959FB"/>
    <w:rsid w:val="00E95C70"/>
    <w:rsid w:val="00E96790"/>
    <w:rsid w:val="00E96E5A"/>
    <w:rsid w:val="00E96FD2"/>
    <w:rsid w:val="00E973B1"/>
    <w:rsid w:val="00E979AB"/>
    <w:rsid w:val="00EA0CF8"/>
    <w:rsid w:val="00EA0E1A"/>
    <w:rsid w:val="00EA143E"/>
    <w:rsid w:val="00EA1835"/>
    <w:rsid w:val="00EA1BA2"/>
    <w:rsid w:val="00EA235B"/>
    <w:rsid w:val="00EA2B5E"/>
    <w:rsid w:val="00EA2C0D"/>
    <w:rsid w:val="00EA2CDB"/>
    <w:rsid w:val="00EA3492"/>
    <w:rsid w:val="00EA3C84"/>
    <w:rsid w:val="00EA45FD"/>
    <w:rsid w:val="00EA4AE8"/>
    <w:rsid w:val="00EA4F4B"/>
    <w:rsid w:val="00EA5196"/>
    <w:rsid w:val="00EA562C"/>
    <w:rsid w:val="00EA562E"/>
    <w:rsid w:val="00EA5946"/>
    <w:rsid w:val="00EA5D2E"/>
    <w:rsid w:val="00EA6C1A"/>
    <w:rsid w:val="00EA6F53"/>
    <w:rsid w:val="00EA7C2C"/>
    <w:rsid w:val="00EB0022"/>
    <w:rsid w:val="00EB0112"/>
    <w:rsid w:val="00EB035A"/>
    <w:rsid w:val="00EB07A3"/>
    <w:rsid w:val="00EB0BD0"/>
    <w:rsid w:val="00EB17C1"/>
    <w:rsid w:val="00EB1C6B"/>
    <w:rsid w:val="00EB209F"/>
    <w:rsid w:val="00EB215C"/>
    <w:rsid w:val="00EB23E1"/>
    <w:rsid w:val="00EB2694"/>
    <w:rsid w:val="00EB2CCA"/>
    <w:rsid w:val="00EB2D58"/>
    <w:rsid w:val="00EB2DDB"/>
    <w:rsid w:val="00EB36A7"/>
    <w:rsid w:val="00EB3CE8"/>
    <w:rsid w:val="00EB3D0A"/>
    <w:rsid w:val="00EB3E30"/>
    <w:rsid w:val="00EB3E5D"/>
    <w:rsid w:val="00EB46E6"/>
    <w:rsid w:val="00EB4C33"/>
    <w:rsid w:val="00EB4C92"/>
    <w:rsid w:val="00EB5AB2"/>
    <w:rsid w:val="00EB5ACF"/>
    <w:rsid w:val="00EB6383"/>
    <w:rsid w:val="00EB662F"/>
    <w:rsid w:val="00EB6B77"/>
    <w:rsid w:val="00EB6BAB"/>
    <w:rsid w:val="00EB6D4A"/>
    <w:rsid w:val="00EB6E97"/>
    <w:rsid w:val="00EB7D4D"/>
    <w:rsid w:val="00EC09DD"/>
    <w:rsid w:val="00EC0A21"/>
    <w:rsid w:val="00EC0A39"/>
    <w:rsid w:val="00EC0CDA"/>
    <w:rsid w:val="00EC0EB5"/>
    <w:rsid w:val="00EC10A9"/>
    <w:rsid w:val="00EC1125"/>
    <w:rsid w:val="00EC1EAD"/>
    <w:rsid w:val="00EC22DC"/>
    <w:rsid w:val="00EC25DD"/>
    <w:rsid w:val="00EC2D50"/>
    <w:rsid w:val="00EC2DCF"/>
    <w:rsid w:val="00EC33F9"/>
    <w:rsid w:val="00EC34C5"/>
    <w:rsid w:val="00EC3F6D"/>
    <w:rsid w:val="00EC41D1"/>
    <w:rsid w:val="00EC43F4"/>
    <w:rsid w:val="00EC4A81"/>
    <w:rsid w:val="00EC59B5"/>
    <w:rsid w:val="00EC5D89"/>
    <w:rsid w:val="00EC6635"/>
    <w:rsid w:val="00EC68D5"/>
    <w:rsid w:val="00EC7130"/>
    <w:rsid w:val="00EC7584"/>
    <w:rsid w:val="00EC79EE"/>
    <w:rsid w:val="00ED0341"/>
    <w:rsid w:val="00ED0371"/>
    <w:rsid w:val="00ED0758"/>
    <w:rsid w:val="00ED0D86"/>
    <w:rsid w:val="00ED1097"/>
    <w:rsid w:val="00ED11D1"/>
    <w:rsid w:val="00ED1439"/>
    <w:rsid w:val="00ED1A7A"/>
    <w:rsid w:val="00ED1B99"/>
    <w:rsid w:val="00ED20DE"/>
    <w:rsid w:val="00ED232C"/>
    <w:rsid w:val="00ED2984"/>
    <w:rsid w:val="00ED2AB3"/>
    <w:rsid w:val="00ED2AB9"/>
    <w:rsid w:val="00ED315A"/>
    <w:rsid w:val="00ED3B2F"/>
    <w:rsid w:val="00ED3C4A"/>
    <w:rsid w:val="00ED3DF3"/>
    <w:rsid w:val="00ED4F2C"/>
    <w:rsid w:val="00ED52F7"/>
    <w:rsid w:val="00ED54E8"/>
    <w:rsid w:val="00ED589E"/>
    <w:rsid w:val="00ED5CC2"/>
    <w:rsid w:val="00ED5D78"/>
    <w:rsid w:val="00ED5E2F"/>
    <w:rsid w:val="00ED5F2C"/>
    <w:rsid w:val="00ED626D"/>
    <w:rsid w:val="00ED65AC"/>
    <w:rsid w:val="00ED67CA"/>
    <w:rsid w:val="00ED6A25"/>
    <w:rsid w:val="00ED7177"/>
    <w:rsid w:val="00ED71DA"/>
    <w:rsid w:val="00ED743F"/>
    <w:rsid w:val="00ED7B29"/>
    <w:rsid w:val="00EE0D2E"/>
    <w:rsid w:val="00EE108F"/>
    <w:rsid w:val="00EE11AA"/>
    <w:rsid w:val="00EE1455"/>
    <w:rsid w:val="00EE147C"/>
    <w:rsid w:val="00EE170A"/>
    <w:rsid w:val="00EE1E3B"/>
    <w:rsid w:val="00EE2403"/>
    <w:rsid w:val="00EE31C6"/>
    <w:rsid w:val="00EE3488"/>
    <w:rsid w:val="00EE40DB"/>
    <w:rsid w:val="00EE4754"/>
    <w:rsid w:val="00EE5279"/>
    <w:rsid w:val="00EE59AC"/>
    <w:rsid w:val="00EE62BB"/>
    <w:rsid w:val="00EE68DE"/>
    <w:rsid w:val="00EE6949"/>
    <w:rsid w:val="00EE6CF7"/>
    <w:rsid w:val="00EE7254"/>
    <w:rsid w:val="00EE76E4"/>
    <w:rsid w:val="00EE795C"/>
    <w:rsid w:val="00EE7C41"/>
    <w:rsid w:val="00EF0390"/>
    <w:rsid w:val="00EF093C"/>
    <w:rsid w:val="00EF09B3"/>
    <w:rsid w:val="00EF0E8F"/>
    <w:rsid w:val="00EF13FC"/>
    <w:rsid w:val="00EF1648"/>
    <w:rsid w:val="00EF1834"/>
    <w:rsid w:val="00EF191A"/>
    <w:rsid w:val="00EF1ABF"/>
    <w:rsid w:val="00EF21E6"/>
    <w:rsid w:val="00EF225E"/>
    <w:rsid w:val="00EF3702"/>
    <w:rsid w:val="00EF389F"/>
    <w:rsid w:val="00EF3FAE"/>
    <w:rsid w:val="00EF462B"/>
    <w:rsid w:val="00EF50BC"/>
    <w:rsid w:val="00EF580B"/>
    <w:rsid w:val="00EF5CF9"/>
    <w:rsid w:val="00EF5D0A"/>
    <w:rsid w:val="00EF5FAE"/>
    <w:rsid w:val="00EF641E"/>
    <w:rsid w:val="00EF67F3"/>
    <w:rsid w:val="00EF710F"/>
    <w:rsid w:val="00EF72E4"/>
    <w:rsid w:val="00EF7C55"/>
    <w:rsid w:val="00F00122"/>
    <w:rsid w:val="00F0025A"/>
    <w:rsid w:val="00F00580"/>
    <w:rsid w:val="00F00782"/>
    <w:rsid w:val="00F00D9F"/>
    <w:rsid w:val="00F00FEA"/>
    <w:rsid w:val="00F01BE3"/>
    <w:rsid w:val="00F02177"/>
    <w:rsid w:val="00F024B9"/>
    <w:rsid w:val="00F025D4"/>
    <w:rsid w:val="00F02726"/>
    <w:rsid w:val="00F0288A"/>
    <w:rsid w:val="00F02E1C"/>
    <w:rsid w:val="00F03157"/>
    <w:rsid w:val="00F03204"/>
    <w:rsid w:val="00F03522"/>
    <w:rsid w:val="00F038F9"/>
    <w:rsid w:val="00F03E7F"/>
    <w:rsid w:val="00F0469B"/>
    <w:rsid w:val="00F046FF"/>
    <w:rsid w:val="00F04A74"/>
    <w:rsid w:val="00F04D10"/>
    <w:rsid w:val="00F050CE"/>
    <w:rsid w:val="00F058A9"/>
    <w:rsid w:val="00F064A6"/>
    <w:rsid w:val="00F064C1"/>
    <w:rsid w:val="00F0717E"/>
    <w:rsid w:val="00F0772D"/>
    <w:rsid w:val="00F10C09"/>
    <w:rsid w:val="00F11214"/>
    <w:rsid w:val="00F11373"/>
    <w:rsid w:val="00F113BE"/>
    <w:rsid w:val="00F11453"/>
    <w:rsid w:val="00F11682"/>
    <w:rsid w:val="00F11833"/>
    <w:rsid w:val="00F12076"/>
    <w:rsid w:val="00F12D38"/>
    <w:rsid w:val="00F133D4"/>
    <w:rsid w:val="00F139A6"/>
    <w:rsid w:val="00F13B43"/>
    <w:rsid w:val="00F14014"/>
    <w:rsid w:val="00F14246"/>
    <w:rsid w:val="00F142DF"/>
    <w:rsid w:val="00F14312"/>
    <w:rsid w:val="00F1463A"/>
    <w:rsid w:val="00F1531B"/>
    <w:rsid w:val="00F157B6"/>
    <w:rsid w:val="00F16480"/>
    <w:rsid w:val="00F16EF2"/>
    <w:rsid w:val="00F17193"/>
    <w:rsid w:val="00F17930"/>
    <w:rsid w:val="00F17BDD"/>
    <w:rsid w:val="00F17D26"/>
    <w:rsid w:val="00F20770"/>
    <w:rsid w:val="00F211F7"/>
    <w:rsid w:val="00F21207"/>
    <w:rsid w:val="00F215CA"/>
    <w:rsid w:val="00F2176F"/>
    <w:rsid w:val="00F21A72"/>
    <w:rsid w:val="00F22079"/>
    <w:rsid w:val="00F223D3"/>
    <w:rsid w:val="00F224E8"/>
    <w:rsid w:val="00F22738"/>
    <w:rsid w:val="00F22AE6"/>
    <w:rsid w:val="00F23553"/>
    <w:rsid w:val="00F243AB"/>
    <w:rsid w:val="00F2479F"/>
    <w:rsid w:val="00F25087"/>
    <w:rsid w:val="00F25653"/>
    <w:rsid w:val="00F25982"/>
    <w:rsid w:val="00F266F7"/>
    <w:rsid w:val="00F26B59"/>
    <w:rsid w:val="00F27081"/>
    <w:rsid w:val="00F2709B"/>
    <w:rsid w:val="00F2722A"/>
    <w:rsid w:val="00F272B3"/>
    <w:rsid w:val="00F273E3"/>
    <w:rsid w:val="00F274A4"/>
    <w:rsid w:val="00F27E35"/>
    <w:rsid w:val="00F308B0"/>
    <w:rsid w:val="00F3092D"/>
    <w:rsid w:val="00F30C6A"/>
    <w:rsid w:val="00F30FF6"/>
    <w:rsid w:val="00F3101D"/>
    <w:rsid w:val="00F313F7"/>
    <w:rsid w:val="00F31685"/>
    <w:rsid w:val="00F319C2"/>
    <w:rsid w:val="00F31AFA"/>
    <w:rsid w:val="00F31D8C"/>
    <w:rsid w:val="00F3226E"/>
    <w:rsid w:val="00F32473"/>
    <w:rsid w:val="00F33A9D"/>
    <w:rsid w:val="00F33F28"/>
    <w:rsid w:val="00F3403C"/>
    <w:rsid w:val="00F34323"/>
    <w:rsid w:val="00F34441"/>
    <w:rsid w:val="00F347AF"/>
    <w:rsid w:val="00F34A36"/>
    <w:rsid w:val="00F34A46"/>
    <w:rsid w:val="00F34EA3"/>
    <w:rsid w:val="00F34FCE"/>
    <w:rsid w:val="00F352E8"/>
    <w:rsid w:val="00F3572D"/>
    <w:rsid w:val="00F35CD6"/>
    <w:rsid w:val="00F35E66"/>
    <w:rsid w:val="00F365DE"/>
    <w:rsid w:val="00F36CB3"/>
    <w:rsid w:val="00F36F92"/>
    <w:rsid w:val="00F3754E"/>
    <w:rsid w:val="00F37CED"/>
    <w:rsid w:val="00F37E8D"/>
    <w:rsid w:val="00F37F03"/>
    <w:rsid w:val="00F40527"/>
    <w:rsid w:val="00F41C73"/>
    <w:rsid w:val="00F42217"/>
    <w:rsid w:val="00F42639"/>
    <w:rsid w:val="00F429D6"/>
    <w:rsid w:val="00F42B1A"/>
    <w:rsid w:val="00F42F64"/>
    <w:rsid w:val="00F43513"/>
    <w:rsid w:val="00F43AC0"/>
    <w:rsid w:val="00F44240"/>
    <w:rsid w:val="00F447E1"/>
    <w:rsid w:val="00F44938"/>
    <w:rsid w:val="00F44C17"/>
    <w:rsid w:val="00F452EF"/>
    <w:rsid w:val="00F45443"/>
    <w:rsid w:val="00F45763"/>
    <w:rsid w:val="00F45827"/>
    <w:rsid w:val="00F45F3B"/>
    <w:rsid w:val="00F46CAA"/>
    <w:rsid w:val="00F46D3D"/>
    <w:rsid w:val="00F46E98"/>
    <w:rsid w:val="00F474AA"/>
    <w:rsid w:val="00F47A70"/>
    <w:rsid w:val="00F47AA7"/>
    <w:rsid w:val="00F47D41"/>
    <w:rsid w:val="00F5004A"/>
    <w:rsid w:val="00F50723"/>
    <w:rsid w:val="00F5091F"/>
    <w:rsid w:val="00F512A4"/>
    <w:rsid w:val="00F519CE"/>
    <w:rsid w:val="00F5205E"/>
    <w:rsid w:val="00F5252E"/>
    <w:rsid w:val="00F526C7"/>
    <w:rsid w:val="00F52817"/>
    <w:rsid w:val="00F52CB9"/>
    <w:rsid w:val="00F5355F"/>
    <w:rsid w:val="00F539EB"/>
    <w:rsid w:val="00F53E2A"/>
    <w:rsid w:val="00F54A20"/>
    <w:rsid w:val="00F55FAB"/>
    <w:rsid w:val="00F5649F"/>
    <w:rsid w:val="00F569C4"/>
    <w:rsid w:val="00F56B37"/>
    <w:rsid w:val="00F56C04"/>
    <w:rsid w:val="00F571AB"/>
    <w:rsid w:val="00F57839"/>
    <w:rsid w:val="00F5793D"/>
    <w:rsid w:val="00F57950"/>
    <w:rsid w:val="00F57C64"/>
    <w:rsid w:val="00F60657"/>
    <w:rsid w:val="00F60B7F"/>
    <w:rsid w:val="00F60C02"/>
    <w:rsid w:val="00F61069"/>
    <w:rsid w:val="00F61A78"/>
    <w:rsid w:val="00F61B1B"/>
    <w:rsid w:val="00F61CA3"/>
    <w:rsid w:val="00F6202C"/>
    <w:rsid w:val="00F62666"/>
    <w:rsid w:val="00F6299C"/>
    <w:rsid w:val="00F62B8A"/>
    <w:rsid w:val="00F6314E"/>
    <w:rsid w:val="00F632DB"/>
    <w:rsid w:val="00F63CD3"/>
    <w:rsid w:val="00F63F5D"/>
    <w:rsid w:val="00F641D4"/>
    <w:rsid w:val="00F64C2B"/>
    <w:rsid w:val="00F64EF8"/>
    <w:rsid w:val="00F65029"/>
    <w:rsid w:val="00F66469"/>
    <w:rsid w:val="00F66E33"/>
    <w:rsid w:val="00F6792D"/>
    <w:rsid w:val="00F67F85"/>
    <w:rsid w:val="00F705E1"/>
    <w:rsid w:val="00F70A85"/>
    <w:rsid w:val="00F7116B"/>
    <w:rsid w:val="00F71F81"/>
    <w:rsid w:val="00F723E5"/>
    <w:rsid w:val="00F728A4"/>
    <w:rsid w:val="00F7329D"/>
    <w:rsid w:val="00F735C1"/>
    <w:rsid w:val="00F73641"/>
    <w:rsid w:val="00F736C3"/>
    <w:rsid w:val="00F73812"/>
    <w:rsid w:val="00F73B97"/>
    <w:rsid w:val="00F740AF"/>
    <w:rsid w:val="00F74BAA"/>
    <w:rsid w:val="00F75091"/>
    <w:rsid w:val="00F7515B"/>
    <w:rsid w:val="00F7533F"/>
    <w:rsid w:val="00F75912"/>
    <w:rsid w:val="00F75E07"/>
    <w:rsid w:val="00F75E3A"/>
    <w:rsid w:val="00F76187"/>
    <w:rsid w:val="00F767A2"/>
    <w:rsid w:val="00F77187"/>
    <w:rsid w:val="00F7723B"/>
    <w:rsid w:val="00F77240"/>
    <w:rsid w:val="00F77280"/>
    <w:rsid w:val="00F77CCB"/>
    <w:rsid w:val="00F77D71"/>
    <w:rsid w:val="00F77E42"/>
    <w:rsid w:val="00F80181"/>
    <w:rsid w:val="00F809DB"/>
    <w:rsid w:val="00F80CC3"/>
    <w:rsid w:val="00F80ED9"/>
    <w:rsid w:val="00F80F93"/>
    <w:rsid w:val="00F81310"/>
    <w:rsid w:val="00F81736"/>
    <w:rsid w:val="00F820E9"/>
    <w:rsid w:val="00F822C4"/>
    <w:rsid w:val="00F8266A"/>
    <w:rsid w:val="00F82C88"/>
    <w:rsid w:val="00F83015"/>
    <w:rsid w:val="00F83996"/>
    <w:rsid w:val="00F8399A"/>
    <w:rsid w:val="00F844FF"/>
    <w:rsid w:val="00F8459A"/>
    <w:rsid w:val="00F847D0"/>
    <w:rsid w:val="00F84885"/>
    <w:rsid w:val="00F84AF5"/>
    <w:rsid w:val="00F84D09"/>
    <w:rsid w:val="00F85093"/>
    <w:rsid w:val="00F85F78"/>
    <w:rsid w:val="00F864A5"/>
    <w:rsid w:val="00F87F5F"/>
    <w:rsid w:val="00F90558"/>
    <w:rsid w:val="00F9068C"/>
    <w:rsid w:val="00F906C5"/>
    <w:rsid w:val="00F90945"/>
    <w:rsid w:val="00F912C2"/>
    <w:rsid w:val="00F91445"/>
    <w:rsid w:val="00F91524"/>
    <w:rsid w:val="00F91803"/>
    <w:rsid w:val="00F91D3F"/>
    <w:rsid w:val="00F9244F"/>
    <w:rsid w:val="00F9273E"/>
    <w:rsid w:val="00F92C9C"/>
    <w:rsid w:val="00F94AF6"/>
    <w:rsid w:val="00F94D03"/>
    <w:rsid w:val="00F94FBE"/>
    <w:rsid w:val="00F9514E"/>
    <w:rsid w:val="00F95156"/>
    <w:rsid w:val="00F958AE"/>
    <w:rsid w:val="00F95C61"/>
    <w:rsid w:val="00F96022"/>
    <w:rsid w:val="00F97006"/>
    <w:rsid w:val="00F977AF"/>
    <w:rsid w:val="00FA0AA6"/>
    <w:rsid w:val="00FA0FEA"/>
    <w:rsid w:val="00FA122B"/>
    <w:rsid w:val="00FA19B0"/>
    <w:rsid w:val="00FA242E"/>
    <w:rsid w:val="00FA26BD"/>
    <w:rsid w:val="00FA2B98"/>
    <w:rsid w:val="00FA2C00"/>
    <w:rsid w:val="00FA32D2"/>
    <w:rsid w:val="00FA34BC"/>
    <w:rsid w:val="00FA36F2"/>
    <w:rsid w:val="00FA37DF"/>
    <w:rsid w:val="00FA382D"/>
    <w:rsid w:val="00FA4300"/>
    <w:rsid w:val="00FA4378"/>
    <w:rsid w:val="00FA43CA"/>
    <w:rsid w:val="00FA47E8"/>
    <w:rsid w:val="00FA4F10"/>
    <w:rsid w:val="00FA570E"/>
    <w:rsid w:val="00FA5721"/>
    <w:rsid w:val="00FA573E"/>
    <w:rsid w:val="00FA5964"/>
    <w:rsid w:val="00FA5A6A"/>
    <w:rsid w:val="00FA5AD1"/>
    <w:rsid w:val="00FA5F85"/>
    <w:rsid w:val="00FA6036"/>
    <w:rsid w:val="00FA6046"/>
    <w:rsid w:val="00FA63A5"/>
    <w:rsid w:val="00FA6CF3"/>
    <w:rsid w:val="00FA6FBA"/>
    <w:rsid w:val="00FA725C"/>
    <w:rsid w:val="00FA72B1"/>
    <w:rsid w:val="00FA7477"/>
    <w:rsid w:val="00FA77E8"/>
    <w:rsid w:val="00FA7D88"/>
    <w:rsid w:val="00FB08FB"/>
    <w:rsid w:val="00FB0B8A"/>
    <w:rsid w:val="00FB0EB7"/>
    <w:rsid w:val="00FB0F6B"/>
    <w:rsid w:val="00FB127D"/>
    <w:rsid w:val="00FB132C"/>
    <w:rsid w:val="00FB134B"/>
    <w:rsid w:val="00FB141E"/>
    <w:rsid w:val="00FB1BA4"/>
    <w:rsid w:val="00FB2234"/>
    <w:rsid w:val="00FB2CEF"/>
    <w:rsid w:val="00FB3159"/>
    <w:rsid w:val="00FB340D"/>
    <w:rsid w:val="00FB3967"/>
    <w:rsid w:val="00FB3C50"/>
    <w:rsid w:val="00FB3C52"/>
    <w:rsid w:val="00FB3EA4"/>
    <w:rsid w:val="00FB4130"/>
    <w:rsid w:val="00FB4900"/>
    <w:rsid w:val="00FB536D"/>
    <w:rsid w:val="00FB54A3"/>
    <w:rsid w:val="00FB56C9"/>
    <w:rsid w:val="00FB5DC3"/>
    <w:rsid w:val="00FB5F20"/>
    <w:rsid w:val="00FB6452"/>
    <w:rsid w:val="00FB6F47"/>
    <w:rsid w:val="00FB7297"/>
    <w:rsid w:val="00FB76DC"/>
    <w:rsid w:val="00FB7882"/>
    <w:rsid w:val="00FC0A10"/>
    <w:rsid w:val="00FC0CF3"/>
    <w:rsid w:val="00FC0DAB"/>
    <w:rsid w:val="00FC1329"/>
    <w:rsid w:val="00FC17B1"/>
    <w:rsid w:val="00FC1FE0"/>
    <w:rsid w:val="00FC2749"/>
    <w:rsid w:val="00FC2895"/>
    <w:rsid w:val="00FC2AA3"/>
    <w:rsid w:val="00FC2FAC"/>
    <w:rsid w:val="00FC313A"/>
    <w:rsid w:val="00FC3576"/>
    <w:rsid w:val="00FC3B57"/>
    <w:rsid w:val="00FC3ED9"/>
    <w:rsid w:val="00FC40CD"/>
    <w:rsid w:val="00FC4742"/>
    <w:rsid w:val="00FC4891"/>
    <w:rsid w:val="00FC4F3E"/>
    <w:rsid w:val="00FC502B"/>
    <w:rsid w:val="00FC51B4"/>
    <w:rsid w:val="00FC5DFE"/>
    <w:rsid w:val="00FC5E4A"/>
    <w:rsid w:val="00FC69D7"/>
    <w:rsid w:val="00FC6ED7"/>
    <w:rsid w:val="00FC75BE"/>
    <w:rsid w:val="00FC7951"/>
    <w:rsid w:val="00FC7CA3"/>
    <w:rsid w:val="00FD0165"/>
    <w:rsid w:val="00FD04CC"/>
    <w:rsid w:val="00FD0B64"/>
    <w:rsid w:val="00FD0BE5"/>
    <w:rsid w:val="00FD0BE8"/>
    <w:rsid w:val="00FD0EF1"/>
    <w:rsid w:val="00FD1159"/>
    <w:rsid w:val="00FD13CC"/>
    <w:rsid w:val="00FD1945"/>
    <w:rsid w:val="00FD1C77"/>
    <w:rsid w:val="00FD1D32"/>
    <w:rsid w:val="00FD1E8B"/>
    <w:rsid w:val="00FD21B1"/>
    <w:rsid w:val="00FD2CAE"/>
    <w:rsid w:val="00FD3AE7"/>
    <w:rsid w:val="00FD4211"/>
    <w:rsid w:val="00FD469A"/>
    <w:rsid w:val="00FD4916"/>
    <w:rsid w:val="00FD4C97"/>
    <w:rsid w:val="00FD563F"/>
    <w:rsid w:val="00FD5A69"/>
    <w:rsid w:val="00FD6601"/>
    <w:rsid w:val="00FD67A7"/>
    <w:rsid w:val="00FD6F7D"/>
    <w:rsid w:val="00FD7E3F"/>
    <w:rsid w:val="00FD7E54"/>
    <w:rsid w:val="00FE04A2"/>
    <w:rsid w:val="00FE0EB9"/>
    <w:rsid w:val="00FE1125"/>
    <w:rsid w:val="00FE125A"/>
    <w:rsid w:val="00FE165A"/>
    <w:rsid w:val="00FE1A1B"/>
    <w:rsid w:val="00FE20D5"/>
    <w:rsid w:val="00FE2933"/>
    <w:rsid w:val="00FE40C7"/>
    <w:rsid w:val="00FE4342"/>
    <w:rsid w:val="00FE448C"/>
    <w:rsid w:val="00FE46D4"/>
    <w:rsid w:val="00FE49BA"/>
    <w:rsid w:val="00FE4C3B"/>
    <w:rsid w:val="00FE4D07"/>
    <w:rsid w:val="00FE4E92"/>
    <w:rsid w:val="00FE5A72"/>
    <w:rsid w:val="00FE5C5F"/>
    <w:rsid w:val="00FE5F91"/>
    <w:rsid w:val="00FE6C23"/>
    <w:rsid w:val="00FE6C76"/>
    <w:rsid w:val="00FE71FD"/>
    <w:rsid w:val="00FE7257"/>
    <w:rsid w:val="00FE72BA"/>
    <w:rsid w:val="00FF0264"/>
    <w:rsid w:val="00FF15FF"/>
    <w:rsid w:val="00FF1D43"/>
    <w:rsid w:val="00FF1E24"/>
    <w:rsid w:val="00FF1E74"/>
    <w:rsid w:val="00FF1F68"/>
    <w:rsid w:val="00FF1F89"/>
    <w:rsid w:val="00FF24EC"/>
    <w:rsid w:val="00FF2CCE"/>
    <w:rsid w:val="00FF3255"/>
    <w:rsid w:val="00FF38F4"/>
    <w:rsid w:val="00FF3C09"/>
    <w:rsid w:val="00FF41E0"/>
    <w:rsid w:val="00FF45C8"/>
    <w:rsid w:val="00FF46D9"/>
    <w:rsid w:val="00FF48EB"/>
    <w:rsid w:val="00FF4D03"/>
    <w:rsid w:val="00FF4EC3"/>
    <w:rsid w:val="00FF5ABC"/>
    <w:rsid w:val="00FF6FD4"/>
    <w:rsid w:val="00FF705A"/>
    <w:rsid w:val="00FF7C28"/>
    <w:rsid w:val="00FF7CBE"/>
    <w:rsid w:val="32D1A38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084E87"/>
  <w15:docId w15:val="{F71B3147-65AC-AB48-B627-B90AC9C35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B1A"/>
    <w:pPr>
      <w:spacing w:after="120"/>
    </w:pPr>
    <w:rPr>
      <w:lang w:eastAsia="en-US"/>
    </w:rPr>
  </w:style>
  <w:style w:type="paragraph" w:styleId="Heading1">
    <w:name w:val="heading 1"/>
    <w:basedOn w:val="Normal"/>
    <w:next w:val="Normal"/>
    <w:link w:val="Heading1Char"/>
    <w:qFormat/>
    <w:rsid w:val="00135B26"/>
    <w:pPr>
      <w:keepNext/>
      <w:numPr>
        <w:numId w:val="6"/>
      </w:numPr>
      <w:tabs>
        <w:tab w:val="left" w:pos="680"/>
      </w:tabs>
      <w:outlineLvl w:val="0"/>
    </w:pPr>
    <w:rPr>
      <w:rFonts w:ascii="Arial" w:hAnsi="Arial"/>
      <w:b/>
      <w:sz w:val="28"/>
    </w:rPr>
  </w:style>
  <w:style w:type="paragraph" w:styleId="Heading2">
    <w:name w:val="heading 2"/>
    <w:basedOn w:val="Heading1"/>
    <w:next w:val="Normal"/>
    <w:link w:val="Heading2Char"/>
    <w:qFormat/>
    <w:rsid w:val="002A030F"/>
    <w:pPr>
      <w:numPr>
        <w:ilvl w:val="1"/>
      </w:numPr>
      <w:tabs>
        <w:tab w:val="clear" w:pos="680"/>
        <w:tab w:val="left" w:pos="1134"/>
      </w:tabs>
      <w:spacing w:before="240"/>
      <w:ind w:left="918" w:hanging="578"/>
      <w:outlineLvl w:val="1"/>
    </w:pPr>
    <w:rPr>
      <w:sz w:val="24"/>
    </w:rPr>
  </w:style>
  <w:style w:type="paragraph" w:styleId="Heading3">
    <w:name w:val="heading 3"/>
    <w:basedOn w:val="Normal"/>
    <w:next w:val="Normal"/>
    <w:qFormat/>
    <w:rsid w:val="0012486F"/>
    <w:pPr>
      <w:keepNext/>
      <w:numPr>
        <w:ilvl w:val="2"/>
        <w:numId w:val="6"/>
      </w:numPr>
      <w:spacing w:before="60" w:after="60"/>
      <w:outlineLvl w:val="2"/>
    </w:pPr>
    <w:rPr>
      <w:rFonts w:ascii="Verdana" w:hAnsi="Verdana"/>
      <w:sz w:val="18"/>
      <w:u w:val="single"/>
    </w:rPr>
  </w:style>
  <w:style w:type="paragraph" w:styleId="Heading4">
    <w:name w:val="heading 4"/>
    <w:basedOn w:val="Normal"/>
    <w:next w:val="Normal"/>
    <w:link w:val="Heading4Char"/>
    <w:uiPriority w:val="9"/>
    <w:semiHidden/>
    <w:unhideWhenUsed/>
    <w:qFormat/>
    <w:rsid w:val="00060565"/>
    <w:pPr>
      <w:keepNext/>
      <w:numPr>
        <w:ilvl w:val="3"/>
        <w:numId w:val="6"/>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B75D96"/>
    <w:pPr>
      <w:numPr>
        <w:ilvl w:val="4"/>
        <w:numId w:val="6"/>
      </w:numPr>
      <w:spacing w:before="120"/>
      <w:outlineLvl w:val="4"/>
    </w:pPr>
    <w:rPr>
      <w:rFonts w:ascii="Arial" w:hAnsi="Arial"/>
      <w:b/>
      <w:bCs/>
      <w:iCs/>
      <w:szCs w:val="26"/>
    </w:rPr>
  </w:style>
  <w:style w:type="paragraph" w:styleId="Heading6">
    <w:name w:val="heading 6"/>
    <w:basedOn w:val="Normal"/>
    <w:next w:val="Normal"/>
    <w:link w:val="Heading6Char"/>
    <w:uiPriority w:val="9"/>
    <w:semiHidden/>
    <w:unhideWhenUsed/>
    <w:qFormat/>
    <w:rsid w:val="00060565"/>
    <w:pPr>
      <w:numPr>
        <w:ilvl w:val="5"/>
        <w:numId w:val="6"/>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060565"/>
    <w:pPr>
      <w:numPr>
        <w:ilvl w:val="6"/>
        <w:numId w:val="6"/>
      </w:numPr>
      <w:spacing w:before="240" w:after="60"/>
      <w:outlineLvl w:val="6"/>
    </w:pPr>
    <w:rPr>
      <w:rFonts w:ascii="Calibri" w:hAnsi="Calibri"/>
      <w:sz w:val="24"/>
      <w:szCs w:val="24"/>
    </w:rPr>
  </w:style>
  <w:style w:type="paragraph" w:styleId="Heading8">
    <w:name w:val="heading 8"/>
    <w:basedOn w:val="Normal"/>
    <w:next w:val="Normal"/>
    <w:link w:val="Heading8Char"/>
    <w:uiPriority w:val="9"/>
    <w:semiHidden/>
    <w:unhideWhenUsed/>
    <w:qFormat/>
    <w:rsid w:val="00060565"/>
    <w:pPr>
      <w:numPr>
        <w:ilvl w:val="7"/>
        <w:numId w:val="6"/>
      </w:numPr>
      <w:spacing w:before="240" w:after="60"/>
      <w:outlineLvl w:val="7"/>
    </w:pPr>
    <w:rPr>
      <w:rFonts w:ascii="Calibri" w:hAnsi="Calibri"/>
      <w:i/>
      <w:iCs/>
      <w:sz w:val="24"/>
      <w:szCs w:val="24"/>
    </w:rPr>
  </w:style>
  <w:style w:type="paragraph" w:styleId="Heading9">
    <w:name w:val="heading 9"/>
    <w:basedOn w:val="Normal"/>
    <w:next w:val="Normal"/>
    <w:link w:val="Heading9Char"/>
    <w:uiPriority w:val="9"/>
    <w:semiHidden/>
    <w:unhideWhenUsed/>
    <w:qFormat/>
    <w:rsid w:val="00060565"/>
    <w:pPr>
      <w:numPr>
        <w:ilvl w:val="8"/>
        <w:numId w:val="6"/>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B5F0D"/>
    <w:pPr>
      <w:tabs>
        <w:tab w:val="center" w:pos="4320"/>
        <w:tab w:val="right" w:pos="8640"/>
      </w:tabs>
    </w:pPr>
  </w:style>
  <w:style w:type="paragraph" w:styleId="Footer">
    <w:name w:val="footer"/>
    <w:basedOn w:val="Normal"/>
    <w:link w:val="FooterChar"/>
    <w:uiPriority w:val="99"/>
    <w:rsid w:val="009B5F0D"/>
    <w:pPr>
      <w:tabs>
        <w:tab w:val="center" w:pos="4320"/>
        <w:tab w:val="right" w:pos="8640"/>
      </w:tabs>
    </w:pPr>
  </w:style>
  <w:style w:type="character" w:styleId="PageNumber">
    <w:name w:val="page number"/>
    <w:basedOn w:val="DefaultParagraphFont"/>
    <w:rsid w:val="00E858FA"/>
  </w:style>
  <w:style w:type="paragraph" w:styleId="BodyText">
    <w:name w:val="Body Text"/>
    <w:basedOn w:val="Normal"/>
    <w:link w:val="BodyTextChar"/>
    <w:rsid w:val="00E74A39"/>
    <w:rPr>
      <w:b/>
      <w:bCs/>
      <w:sz w:val="24"/>
      <w:szCs w:val="24"/>
    </w:rPr>
  </w:style>
  <w:style w:type="paragraph" w:styleId="BalloonText">
    <w:name w:val="Balloon Text"/>
    <w:basedOn w:val="Normal"/>
    <w:semiHidden/>
    <w:rsid w:val="006C4765"/>
    <w:rPr>
      <w:rFonts w:ascii="Tahoma" w:hAnsi="Tahoma" w:cs="Tahoma"/>
      <w:sz w:val="16"/>
      <w:szCs w:val="16"/>
    </w:rPr>
  </w:style>
  <w:style w:type="paragraph" w:styleId="FootnoteText">
    <w:name w:val="footnote text"/>
    <w:basedOn w:val="Normal"/>
    <w:link w:val="FootnoteTextChar"/>
    <w:semiHidden/>
    <w:rsid w:val="00F71F81"/>
  </w:style>
  <w:style w:type="character" w:styleId="FootnoteReference">
    <w:name w:val="footnote reference"/>
    <w:rsid w:val="00F71F81"/>
    <w:rPr>
      <w:vertAlign w:val="superscript"/>
    </w:rPr>
  </w:style>
  <w:style w:type="character" w:styleId="Hyperlink">
    <w:name w:val="Hyperlink"/>
    <w:uiPriority w:val="99"/>
    <w:rsid w:val="00C7590D"/>
    <w:rPr>
      <w:color w:val="0000FF"/>
      <w:u w:val="single"/>
    </w:rPr>
  </w:style>
  <w:style w:type="paragraph" w:customStyle="1" w:styleId="MfE">
    <w:name w:val="MfE"/>
    <w:basedOn w:val="Normal"/>
    <w:rsid w:val="007F22F1"/>
    <w:pPr>
      <w:ind w:left="1134"/>
      <w:jc w:val="both"/>
    </w:pPr>
    <w:rPr>
      <w:sz w:val="24"/>
      <w:lang w:val="en-GB" w:eastAsia="en-AU"/>
    </w:rPr>
  </w:style>
  <w:style w:type="table" w:styleId="TableGrid">
    <w:name w:val="Table Grid"/>
    <w:basedOn w:val="TableNormal"/>
    <w:rsid w:val="00241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135B26"/>
    <w:rPr>
      <w:rFonts w:ascii="Arial" w:hAnsi="Arial"/>
      <w:b/>
      <w:sz w:val="28"/>
      <w:lang w:eastAsia="en-US"/>
    </w:rPr>
  </w:style>
  <w:style w:type="paragraph" w:styleId="TOC1">
    <w:name w:val="toc 1"/>
    <w:basedOn w:val="Normal"/>
    <w:next w:val="Normal"/>
    <w:autoRedefine/>
    <w:uiPriority w:val="39"/>
    <w:rsid w:val="00774991"/>
    <w:pPr>
      <w:tabs>
        <w:tab w:val="left" w:pos="440"/>
        <w:tab w:val="right" w:leader="dot" w:pos="9061"/>
      </w:tabs>
      <w:spacing w:before="120" w:after="0" w:line="360" w:lineRule="auto"/>
    </w:pPr>
    <w:rPr>
      <w:rFonts w:ascii="Arial" w:hAnsi="Arial"/>
      <w:b/>
      <w:noProof/>
      <w:lang w:val="en-US"/>
    </w:rPr>
  </w:style>
  <w:style w:type="paragraph" w:styleId="TOC2">
    <w:name w:val="toc 2"/>
    <w:basedOn w:val="Normal"/>
    <w:next w:val="Normal"/>
    <w:autoRedefine/>
    <w:uiPriority w:val="39"/>
    <w:rsid w:val="00774991"/>
    <w:pPr>
      <w:tabs>
        <w:tab w:val="left" w:pos="880"/>
        <w:tab w:val="right" w:leader="dot" w:pos="9061"/>
      </w:tabs>
      <w:ind w:left="200"/>
    </w:pPr>
    <w:rPr>
      <w:rFonts w:ascii="Arial" w:hAnsi="Arial"/>
    </w:rPr>
  </w:style>
  <w:style w:type="paragraph" w:styleId="EndnoteText">
    <w:name w:val="endnote text"/>
    <w:basedOn w:val="Normal"/>
    <w:semiHidden/>
    <w:rsid w:val="00BC4FAB"/>
  </w:style>
  <w:style w:type="character" w:styleId="EndnoteReference">
    <w:name w:val="endnote reference"/>
    <w:semiHidden/>
    <w:rsid w:val="00BC4FAB"/>
    <w:rPr>
      <w:vertAlign w:val="superscript"/>
    </w:rPr>
  </w:style>
  <w:style w:type="character" w:customStyle="1" w:styleId="a">
    <w:name w:val="a"/>
    <w:aliases w:val="b,c"/>
    <w:basedOn w:val="DefaultParagraphFont"/>
    <w:rsid w:val="002C0941"/>
  </w:style>
  <w:style w:type="character" w:customStyle="1" w:styleId="FootnoteTextChar">
    <w:name w:val="Footnote Text Char"/>
    <w:link w:val="FootnoteText"/>
    <w:semiHidden/>
    <w:rsid w:val="00672237"/>
    <w:rPr>
      <w:lang w:eastAsia="en-US"/>
    </w:rPr>
  </w:style>
  <w:style w:type="paragraph" w:styleId="ListParagraph">
    <w:name w:val="List Paragraph"/>
    <w:basedOn w:val="Normal"/>
    <w:uiPriority w:val="34"/>
    <w:qFormat/>
    <w:rsid w:val="00E06489"/>
    <w:pPr>
      <w:ind w:left="720"/>
      <w:contextualSpacing/>
    </w:pPr>
  </w:style>
  <w:style w:type="character" w:customStyle="1" w:styleId="FooterChar">
    <w:name w:val="Footer Char"/>
    <w:link w:val="Footer"/>
    <w:uiPriority w:val="99"/>
    <w:rsid w:val="00A70DA4"/>
    <w:rPr>
      <w:lang w:eastAsia="en-US"/>
    </w:rPr>
  </w:style>
  <w:style w:type="paragraph" w:styleId="NormalWeb">
    <w:name w:val="Normal (Web)"/>
    <w:basedOn w:val="Normal"/>
    <w:uiPriority w:val="99"/>
    <w:semiHidden/>
    <w:unhideWhenUsed/>
    <w:rsid w:val="00B151EF"/>
    <w:rPr>
      <w:sz w:val="24"/>
      <w:szCs w:val="24"/>
    </w:rPr>
  </w:style>
  <w:style w:type="numbering" w:styleId="111111">
    <w:name w:val="Outline List 2"/>
    <w:aliases w:val="1 / 1.1"/>
    <w:basedOn w:val="NoList"/>
    <w:rsid w:val="00136884"/>
    <w:pPr>
      <w:numPr>
        <w:numId w:val="1"/>
      </w:numPr>
    </w:pPr>
  </w:style>
  <w:style w:type="character" w:customStyle="1" w:styleId="Heading5Char">
    <w:name w:val="Heading 5 Char"/>
    <w:link w:val="Heading5"/>
    <w:uiPriority w:val="9"/>
    <w:rsid w:val="00B75D96"/>
    <w:rPr>
      <w:rFonts w:ascii="Arial" w:hAnsi="Arial"/>
      <w:b/>
      <w:bCs/>
      <w:iCs/>
      <w:szCs w:val="26"/>
      <w:lang w:eastAsia="en-US"/>
    </w:rPr>
  </w:style>
  <w:style w:type="character" w:customStyle="1" w:styleId="BodyTextChar">
    <w:name w:val="Body Text Char"/>
    <w:link w:val="BodyText"/>
    <w:rsid w:val="00B75D96"/>
    <w:rPr>
      <w:b/>
      <w:bCs/>
      <w:sz w:val="24"/>
      <w:szCs w:val="24"/>
      <w:lang w:eastAsia="en-US"/>
    </w:rPr>
  </w:style>
  <w:style w:type="paragraph" w:styleId="Caption">
    <w:name w:val="caption"/>
    <w:basedOn w:val="Normal"/>
    <w:next w:val="Normal"/>
    <w:uiPriority w:val="35"/>
    <w:unhideWhenUsed/>
    <w:qFormat/>
    <w:rsid w:val="003D7CC9"/>
    <w:rPr>
      <w:b/>
      <w:bCs/>
    </w:rPr>
  </w:style>
  <w:style w:type="character" w:customStyle="1" w:styleId="Heading4Char">
    <w:name w:val="Heading 4 Char"/>
    <w:link w:val="Heading4"/>
    <w:uiPriority w:val="9"/>
    <w:semiHidden/>
    <w:rsid w:val="00060565"/>
    <w:rPr>
      <w:rFonts w:ascii="Calibri" w:hAnsi="Calibri"/>
      <w:b/>
      <w:bCs/>
      <w:sz w:val="28"/>
      <w:szCs w:val="28"/>
      <w:lang w:eastAsia="en-US"/>
    </w:rPr>
  </w:style>
  <w:style w:type="character" w:customStyle="1" w:styleId="Heading6Char">
    <w:name w:val="Heading 6 Char"/>
    <w:link w:val="Heading6"/>
    <w:uiPriority w:val="9"/>
    <w:semiHidden/>
    <w:rsid w:val="00060565"/>
    <w:rPr>
      <w:rFonts w:ascii="Calibri" w:hAnsi="Calibri"/>
      <w:b/>
      <w:bCs/>
      <w:sz w:val="22"/>
      <w:szCs w:val="22"/>
      <w:lang w:eastAsia="en-US"/>
    </w:rPr>
  </w:style>
  <w:style w:type="character" w:customStyle="1" w:styleId="Heading7Char">
    <w:name w:val="Heading 7 Char"/>
    <w:link w:val="Heading7"/>
    <w:uiPriority w:val="9"/>
    <w:semiHidden/>
    <w:rsid w:val="00060565"/>
    <w:rPr>
      <w:rFonts w:ascii="Calibri" w:hAnsi="Calibri"/>
      <w:sz w:val="24"/>
      <w:szCs w:val="24"/>
      <w:lang w:eastAsia="en-US"/>
    </w:rPr>
  </w:style>
  <w:style w:type="character" w:customStyle="1" w:styleId="Heading8Char">
    <w:name w:val="Heading 8 Char"/>
    <w:link w:val="Heading8"/>
    <w:uiPriority w:val="9"/>
    <w:semiHidden/>
    <w:rsid w:val="00060565"/>
    <w:rPr>
      <w:rFonts w:ascii="Calibri" w:hAnsi="Calibri"/>
      <w:i/>
      <w:iCs/>
      <w:sz w:val="24"/>
      <w:szCs w:val="24"/>
      <w:lang w:eastAsia="en-US"/>
    </w:rPr>
  </w:style>
  <w:style w:type="character" w:customStyle="1" w:styleId="Heading9Char">
    <w:name w:val="Heading 9 Char"/>
    <w:link w:val="Heading9"/>
    <w:uiPriority w:val="9"/>
    <w:semiHidden/>
    <w:rsid w:val="00060565"/>
    <w:rPr>
      <w:rFonts w:ascii="Cambria" w:hAnsi="Cambria"/>
      <w:sz w:val="22"/>
      <w:szCs w:val="22"/>
      <w:lang w:eastAsia="en-US"/>
    </w:rPr>
  </w:style>
  <w:style w:type="paragraph" w:styleId="TOC3">
    <w:name w:val="toc 3"/>
    <w:basedOn w:val="Normal"/>
    <w:next w:val="Normal"/>
    <w:autoRedefine/>
    <w:uiPriority w:val="39"/>
    <w:unhideWhenUsed/>
    <w:rsid w:val="00277208"/>
    <w:pPr>
      <w:spacing w:after="100" w:line="276" w:lineRule="auto"/>
      <w:ind w:left="440"/>
    </w:pPr>
    <w:rPr>
      <w:rFonts w:asciiTheme="minorHAnsi" w:eastAsiaTheme="minorEastAsia" w:hAnsiTheme="minorHAnsi" w:cstheme="minorBidi"/>
      <w:sz w:val="22"/>
      <w:szCs w:val="22"/>
      <w:lang w:eastAsia="en-NZ"/>
    </w:rPr>
  </w:style>
  <w:style w:type="paragraph" w:styleId="TOC4">
    <w:name w:val="toc 4"/>
    <w:basedOn w:val="Normal"/>
    <w:next w:val="Normal"/>
    <w:autoRedefine/>
    <w:uiPriority w:val="39"/>
    <w:unhideWhenUsed/>
    <w:rsid w:val="00277208"/>
    <w:pPr>
      <w:spacing w:after="100" w:line="276" w:lineRule="auto"/>
      <w:ind w:left="660"/>
    </w:pPr>
    <w:rPr>
      <w:rFonts w:asciiTheme="minorHAnsi" w:eastAsiaTheme="minorEastAsia" w:hAnsiTheme="minorHAnsi" w:cstheme="minorBidi"/>
      <w:sz w:val="22"/>
      <w:szCs w:val="22"/>
      <w:lang w:eastAsia="en-NZ"/>
    </w:rPr>
  </w:style>
  <w:style w:type="paragraph" w:styleId="TOC5">
    <w:name w:val="toc 5"/>
    <w:basedOn w:val="Normal"/>
    <w:next w:val="Normal"/>
    <w:autoRedefine/>
    <w:uiPriority w:val="39"/>
    <w:unhideWhenUsed/>
    <w:rsid w:val="00277208"/>
    <w:pPr>
      <w:spacing w:after="100" w:line="276"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277208"/>
    <w:pPr>
      <w:spacing w:after="100" w:line="276"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277208"/>
    <w:pPr>
      <w:spacing w:after="100" w:line="276"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277208"/>
    <w:pPr>
      <w:spacing w:after="100" w:line="276"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277208"/>
    <w:pPr>
      <w:spacing w:after="100" w:line="276" w:lineRule="auto"/>
      <w:ind w:left="1760"/>
    </w:pPr>
    <w:rPr>
      <w:rFonts w:asciiTheme="minorHAnsi" w:eastAsiaTheme="minorEastAsia" w:hAnsiTheme="minorHAnsi" w:cstheme="minorBidi"/>
      <w:sz w:val="22"/>
      <w:szCs w:val="22"/>
      <w:lang w:eastAsia="en-NZ"/>
    </w:rPr>
  </w:style>
  <w:style w:type="paragraph" w:styleId="BodyTextIndent3">
    <w:name w:val="Body Text Indent 3"/>
    <w:basedOn w:val="Normal"/>
    <w:link w:val="BodyTextIndent3Char"/>
    <w:uiPriority w:val="99"/>
    <w:semiHidden/>
    <w:unhideWhenUsed/>
    <w:rsid w:val="00C440E0"/>
    <w:pPr>
      <w:ind w:left="283"/>
    </w:pPr>
    <w:rPr>
      <w:sz w:val="16"/>
      <w:szCs w:val="16"/>
    </w:rPr>
  </w:style>
  <w:style w:type="character" w:customStyle="1" w:styleId="BodyTextIndent3Char">
    <w:name w:val="Body Text Indent 3 Char"/>
    <w:basedOn w:val="DefaultParagraphFont"/>
    <w:link w:val="BodyTextIndent3"/>
    <w:uiPriority w:val="99"/>
    <w:semiHidden/>
    <w:rsid w:val="00C440E0"/>
    <w:rPr>
      <w:sz w:val="16"/>
      <w:szCs w:val="16"/>
      <w:lang w:eastAsia="en-US"/>
    </w:rPr>
  </w:style>
  <w:style w:type="paragraph" w:styleId="TableofFigures">
    <w:name w:val="table of figures"/>
    <w:basedOn w:val="Normal"/>
    <w:next w:val="Normal"/>
    <w:uiPriority w:val="99"/>
    <w:unhideWhenUsed/>
    <w:rsid w:val="00937F94"/>
    <w:pPr>
      <w:tabs>
        <w:tab w:val="left" w:pos="879"/>
        <w:tab w:val="left" w:pos="8789"/>
      </w:tabs>
      <w:spacing w:after="0"/>
      <w:ind w:left="987" w:hanging="987"/>
    </w:pPr>
    <w:rPr>
      <w:rFonts w:ascii="Arial" w:hAnsi="Arial"/>
    </w:rPr>
  </w:style>
  <w:style w:type="paragraph" w:styleId="CommentText">
    <w:name w:val="annotation text"/>
    <w:basedOn w:val="Normal"/>
    <w:link w:val="CommentTextChar"/>
    <w:uiPriority w:val="99"/>
    <w:unhideWhenUsed/>
    <w:rsid w:val="00940553"/>
  </w:style>
  <w:style w:type="character" w:customStyle="1" w:styleId="CommentTextChar">
    <w:name w:val="Comment Text Char"/>
    <w:basedOn w:val="DefaultParagraphFont"/>
    <w:link w:val="CommentText"/>
    <w:uiPriority w:val="99"/>
    <w:rsid w:val="00940553"/>
    <w:rPr>
      <w:lang w:eastAsia="en-US"/>
    </w:rPr>
  </w:style>
  <w:style w:type="table" w:customStyle="1" w:styleId="TableGrid1">
    <w:name w:val="Table Grid1"/>
    <w:basedOn w:val="TableNormal"/>
    <w:next w:val="TableGrid"/>
    <w:uiPriority w:val="59"/>
    <w:rsid w:val="00A410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502B"/>
    <w:rPr>
      <w:sz w:val="16"/>
      <w:szCs w:val="16"/>
    </w:rPr>
  </w:style>
  <w:style w:type="paragraph" w:styleId="CommentSubject">
    <w:name w:val="annotation subject"/>
    <w:basedOn w:val="CommentText"/>
    <w:next w:val="CommentText"/>
    <w:link w:val="CommentSubjectChar"/>
    <w:uiPriority w:val="99"/>
    <w:semiHidden/>
    <w:unhideWhenUsed/>
    <w:rsid w:val="00FC502B"/>
    <w:rPr>
      <w:b/>
      <w:bCs/>
    </w:rPr>
  </w:style>
  <w:style w:type="character" w:customStyle="1" w:styleId="CommentSubjectChar">
    <w:name w:val="Comment Subject Char"/>
    <w:basedOn w:val="CommentTextChar"/>
    <w:link w:val="CommentSubject"/>
    <w:uiPriority w:val="99"/>
    <w:semiHidden/>
    <w:rsid w:val="00FC502B"/>
    <w:rPr>
      <w:b/>
      <w:bCs/>
      <w:lang w:eastAsia="en-US"/>
    </w:rPr>
  </w:style>
  <w:style w:type="character" w:styleId="FollowedHyperlink">
    <w:name w:val="FollowedHyperlink"/>
    <w:basedOn w:val="DefaultParagraphFont"/>
    <w:uiPriority w:val="99"/>
    <w:semiHidden/>
    <w:unhideWhenUsed/>
    <w:rsid w:val="00C55B14"/>
    <w:rPr>
      <w:color w:val="800080" w:themeColor="followedHyperlink"/>
      <w:u w:val="single"/>
    </w:rPr>
  </w:style>
  <w:style w:type="character" w:customStyle="1" w:styleId="Heading2Char">
    <w:name w:val="Heading 2 Char"/>
    <w:basedOn w:val="DefaultParagraphFont"/>
    <w:link w:val="Heading2"/>
    <w:rsid w:val="009731FB"/>
    <w:rPr>
      <w:rFonts w:ascii="Arial" w:hAnsi="Arial"/>
      <w:b/>
      <w:sz w:val="24"/>
      <w:lang w:eastAsia="en-US"/>
    </w:rPr>
  </w:style>
  <w:style w:type="character" w:styleId="UnresolvedMention">
    <w:name w:val="Unresolved Mention"/>
    <w:basedOn w:val="DefaultParagraphFont"/>
    <w:uiPriority w:val="99"/>
    <w:semiHidden/>
    <w:unhideWhenUsed/>
    <w:rsid w:val="00580C3F"/>
    <w:rPr>
      <w:color w:val="605E5C"/>
      <w:shd w:val="clear" w:color="auto" w:fill="E1DFDD"/>
    </w:rPr>
  </w:style>
  <w:style w:type="paragraph" w:styleId="Revision">
    <w:name w:val="Revision"/>
    <w:hidden/>
    <w:uiPriority w:val="99"/>
    <w:semiHidden/>
    <w:rsid w:val="005C1C64"/>
    <w:rPr>
      <w:lang w:eastAsia="en-US"/>
    </w:rPr>
  </w:style>
  <w:style w:type="paragraph" w:styleId="Signature">
    <w:name w:val="Signature"/>
    <w:basedOn w:val="Normal"/>
    <w:link w:val="SignatureChar"/>
    <w:uiPriority w:val="99"/>
    <w:unhideWhenUsed/>
    <w:rsid w:val="005A7B77"/>
    <w:pPr>
      <w:spacing w:after="0"/>
      <w:ind w:left="4252"/>
    </w:pPr>
  </w:style>
  <w:style w:type="character" w:customStyle="1" w:styleId="SignatureChar">
    <w:name w:val="Signature Char"/>
    <w:basedOn w:val="DefaultParagraphFont"/>
    <w:link w:val="Signature"/>
    <w:uiPriority w:val="99"/>
    <w:rsid w:val="005A7B77"/>
    <w:rPr>
      <w:lang w:eastAsia="en-US"/>
    </w:rPr>
  </w:style>
  <w:style w:type="paragraph" w:styleId="Bibliography">
    <w:name w:val="Bibliography"/>
    <w:basedOn w:val="Normal"/>
    <w:next w:val="Normal"/>
    <w:uiPriority w:val="37"/>
    <w:unhideWhenUsed/>
    <w:rsid w:val="003264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315318">
      <w:bodyDiv w:val="1"/>
      <w:marLeft w:val="0"/>
      <w:marRight w:val="0"/>
      <w:marTop w:val="0"/>
      <w:marBottom w:val="0"/>
      <w:divBdr>
        <w:top w:val="none" w:sz="0" w:space="0" w:color="auto"/>
        <w:left w:val="none" w:sz="0" w:space="0" w:color="auto"/>
        <w:bottom w:val="none" w:sz="0" w:space="0" w:color="auto"/>
        <w:right w:val="none" w:sz="0" w:space="0" w:color="auto"/>
      </w:divBdr>
    </w:div>
    <w:div w:id="209194501">
      <w:bodyDiv w:val="1"/>
      <w:marLeft w:val="0"/>
      <w:marRight w:val="0"/>
      <w:marTop w:val="0"/>
      <w:marBottom w:val="0"/>
      <w:divBdr>
        <w:top w:val="none" w:sz="0" w:space="0" w:color="auto"/>
        <w:left w:val="none" w:sz="0" w:space="0" w:color="auto"/>
        <w:bottom w:val="none" w:sz="0" w:space="0" w:color="auto"/>
        <w:right w:val="none" w:sz="0" w:space="0" w:color="auto"/>
      </w:divBdr>
      <w:divsChild>
        <w:div w:id="1333027160">
          <w:marLeft w:val="0"/>
          <w:marRight w:val="0"/>
          <w:marTop w:val="0"/>
          <w:marBottom w:val="0"/>
          <w:divBdr>
            <w:top w:val="none" w:sz="0" w:space="0" w:color="auto"/>
            <w:left w:val="none" w:sz="0" w:space="0" w:color="auto"/>
            <w:bottom w:val="none" w:sz="0" w:space="0" w:color="auto"/>
            <w:right w:val="none" w:sz="0" w:space="0" w:color="auto"/>
          </w:divBdr>
          <w:divsChild>
            <w:div w:id="1068072417">
              <w:marLeft w:val="0"/>
              <w:marRight w:val="0"/>
              <w:marTop w:val="0"/>
              <w:marBottom w:val="0"/>
              <w:divBdr>
                <w:top w:val="none" w:sz="0" w:space="0" w:color="auto"/>
                <w:left w:val="none" w:sz="0" w:space="0" w:color="auto"/>
                <w:bottom w:val="none" w:sz="0" w:space="0" w:color="auto"/>
                <w:right w:val="none" w:sz="0" w:space="0" w:color="auto"/>
              </w:divBdr>
              <w:divsChild>
                <w:div w:id="676228052">
                  <w:marLeft w:val="0"/>
                  <w:marRight w:val="0"/>
                  <w:marTop w:val="0"/>
                  <w:marBottom w:val="0"/>
                  <w:divBdr>
                    <w:top w:val="none" w:sz="0" w:space="0" w:color="auto"/>
                    <w:left w:val="none" w:sz="0" w:space="0" w:color="auto"/>
                    <w:bottom w:val="none" w:sz="0" w:space="0" w:color="auto"/>
                    <w:right w:val="none" w:sz="0" w:space="0" w:color="auto"/>
                  </w:divBdr>
                  <w:divsChild>
                    <w:div w:id="32756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16336">
      <w:bodyDiv w:val="1"/>
      <w:marLeft w:val="0"/>
      <w:marRight w:val="0"/>
      <w:marTop w:val="0"/>
      <w:marBottom w:val="0"/>
      <w:divBdr>
        <w:top w:val="none" w:sz="0" w:space="0" w:color="auto"/>
        <w:left w:val="none" w:sz="0" w:space="0" w:color="auto"/>
        <w:bottom w:val="none" w:sz="0" w:space="0" w:color="auto"/>
        <w:right w:val="none" w:sz="0" w:space="0" w:color="auto"/>
      </w:divBdr>
      <w:divsChild>
        <w:div w:id="999967159">
          <w:marLeft w:val="0"/>
          <w:marRight w:val="0"/>
          <w:marTop w:val="0"/>
          <w:marBottom w:val="0"/>
          <w:divBdr>
            <w:top w:val="none" w:sz="0" w:space="0" w:color="auto"/>
            <w:left w:val="none" w:sz="0" w:space="0" w:color="auto"/>
            <w:bottom w:val="none" w:sz="0" w:space="0" w:color="auto"/>
            <w:right w:val="none" w:sz="0" w:space="0" w:color="auto"/>
          </w:divBdr>
          <w:divsChild>
            <w:div w:id="1974823558">
              <w:marLeft w:val="0"/>
              <w:marRight w:val="0"/>
              <w:marTop w:val="0"/>
              <w:marBottom w:val="0"/>
              <w:divBdr>
                <w:top w:val="none" w:sz="0" w:space="0" w:color="auto"/>
                <w:left w:val="none" w:sz="0" w:space="0" w:color="auto"/>
                <w:bottom w:val="none" w:sz="0" w:space="0" w:color="auto"/>
                <w:right w:val="none" w:sz="0" w:space="0" w:color="auto"/>
              </w:divBdr>
              <w:divsChild>
                <w:div w:id="37874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81246">
      <w:bodyDiv w:val="1"/>
      <w:marLeft w:val="0"/>
      <w:marRight w:val="0"/>
      <w:marTop w:val="0"/>
      <w:marBottom w:val="0"/>
      <w:divBdr>
        <w:top w:val="none" w:sz="0" w:space="0" w:color="auto"/>
        <w:left w:val="none" w:sz="0" w:space="0" w:color="auto"/>
        <w:bottom w:val="none" w:sz="0" w:space="0" w:color="auto"/>
        <w:right w:val="none" w:sz="0" w:space="0" w:color="auto"/>
      </w:divBdr>
      <w:divsChild>
        <w:div w:id="480922162">
          <w:marLeft w:val="0"/>
          <w:marRight w:val="0"/>
          <w:marTop w:val="0"/>
          <w:marBottom w:val="0"/>
          <w:divBdr>
            <w:top w:val="none" w:sz="0" w:space="0" w:color="auto"/>
            <w:left w:val="none" w:sz="0" w:space="0" w:color="auto"/>
            <w:bottom w:val="none" w:sz="0" w:space="0" w:color="auto"/>
            <w:right w:val="none" w:sz="0" w:space="0" w:color="auto"/>
          </w:divBdr>
          <w:divsChild>
            <w:div w:id="1555313995">
              <w:marLeft w:val="0"/>
              <w:marRight w:val="0"/>
              <w:marTop w:val="0"/>
              <w:marBottom w:val="0"/>
              <w:divBdr>
                <w:top w:val="none" w:sz="0" w:space="0" w:color="auto"/>
                <w:left w:val="none" w:sz="0" w:space="0" w:color="auto"/>
                <w:bottom w:val="none" w:sz="0" w:space="0" w:color="auto"/>
                <w:right w:val="none" w:sz="0" w:space="0" w:color="auto"/>
              </w:divBdr>
              <w:divsChild>
                <w:div w:id="1238442002">
                  <w:marLeft w:val="0"/>
                  <w:marRight w:val="0"/>
                  <w:marTop w:val="0"/>
                  <w:marBottom w:val="0"/>
                  <w:divBdr>
                    <w:top w:val="none" w:sz="0" w:space="0" w:color="auto"/>
                    <w:left w:val="none" w:sz="0" w:space="0" w:color="auto"/>
                    <w:bottom w:val="none" w:sz="0" w:space="0" w:color="auto"/>
                    <w:right w:val="none" w:sz="0" w:space="0" w:color="auto"/>
                  </w:divBdr>
                  <w:divsChild>
                    <w:div w:id="58094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161000">
      <w:bodyDiv w:val="1"/>
      <w:marLeft w:val="0"/>
      <w:marRight w:val="0"/>
      <w:marTop w:val="0"/>
      <w:marBottom w:val="0"/>
      <w:divBdr>
        <w:top w:val="none" w:sz="0" w:space="0" w:color="auto"/>
        <w:left w:val="none" w:sz="0" w:space="0" w:color="auto"/>
        <w:bottom w:val="none" w:sz="0" w:space="0" w:color="auto"/>
        <w:right w:val="none" w:sz="0" w:space="0" w:color="auto"/>
      </w:divBdr>
      <w:divsChild>
        <w:div w:id="67308416">
          <w:marLeft w:val="0"/>
          <w:marRight w:val="0"/>
          <w:marTop w:val="0"/>
          <w:marBottom w:val="0"/>
          <w:divBdr>
            <w:top w:val="none" w:sz="0" w:space="0" w:color="auto"/>
            <w:left w:val="none" w:sz="0" w:space="0" w:color="auto"/>
            <w:bottom w:val="none" w:sz="0" w:space="0" w:color="auto"/>
            <w:right w:val="none" w:sz="0" w:space="0" w:color="auto"/>
          </w:divBdr>
          <w:divsChild>
            <w:div w:id="227811651">
              <w:marLeft w:val="0"/>
              <w:marRight w:val="0"/>
              <w:marTop w:val="0"/>
              <w:marBottom w:val="0"/>
              <w:divBdr>
                <w:top w:val="none" w:sz="0" w:space="0" w:color="auto"/>
                <w:left w:val="none" w:sz="0" w:space="0" w:color="auto"/>
                <w:bottom w:val="none" w:sz="0" w:space="0" w:color="auto"/>
                <w:right w:val="none" w:sz="0" w:space="0" w:color="auto"/>
              </w:divBdr>
              <w:divsChild>
                <w:div w:id="1643802062">
                  <w:marLeft w:val="0"/>
                  <w:marRight w:val="0"/>
                  <w:marTop w:val="0"/>
                  <w:marBottom w:val="0"/>
                  <w:divBdr>
                    <w:top w:val="none" w:sz="0" w:space="0" w:color="auto"/>
                    <w:left w:val="none" w:sz="0" w:space="0" w:color="auto"/>
                    <w:bottom w:val="none" w:sz="0" w:space="0" w:color="auto"/>
                    <w:right w:val="none" w:sz="0" w:space="0" w:color="auto"/>
                  </w:divBdr>
                </w:div>
              </w:divsChild>
            </w:div>
            <w:div w:id="263535115">
              <w:marLeft w:val="0"/>
              <w:marRight w:val="0"/>
              <w:marTop w:val="0"/>
              <w:marBottom w:val="0"/>
              <w:divBdr>
                <w:top w:val="none" w:sz="0" w:space="0" w:color="auto"/>
                <w:left w:val="none" w:sz="0" w:space="0" w:color="auto"/>
                <w:bottom w:val="none" w:sz="0" w:space="0" w:color="auto"/>
                <w:right w:val="none" w:sz="0" w:space="0" w:color="auto"/>
              </w:divBdr>
              <w:divsChild>
                <w:div w:id="458380331">
                  <w:marLeft w:val="0"/>
                  <w:marRight w:val="0"/>
                  <w:marTop w:val="0"/>
                  <w:marBottom w:val="0"/>
                  <w:divBdr>
                    <w:top w:val="none" w:sz="0" w:space="0" w:color="auto"/>
                    <w:left w:val="none" w:sz="0" w:space="0" w:color="auto"/>
                    <w:bottom w:val="none" w:sz="0" w:space="0" w:color="auto"/>
                    <w:right w:val="none" w:sz="0" w:space="0" w:color="auto"/>
                  </w:divBdr>
                </w:div>
              </w:divsChild>
            </w:div>
            <w:div w:id="346177473">
              <w:marLeft w:val="0"/>
              <w:marRight w:val="0"/>
              <w:marTop w:val="0"/>
              <w:marBottom w:val="0"/>
              <w:divBdr>
                <w:top w:val="none" w:sz="0" w:space="0" w:color="auto"/>
                <w:left w:val="none" w:sz="0" w:space="0" w:color="auto"/>
                <w:bottom w:val="none" w:sz="0" w:space="0" w:color="auto"/>
                <w:right w:val="none" w:sz="0" w:space="0" w:color="auto"/>
              </w:divBdr>
              <w:divsChild>
                <w:div w:id="1299608514">
                  <w:marLeft w:val="0"/>
                  <w:marRight w:val="0"/>
                  <w:marTop w:val="0"/>
                  <w:marBottom w:val="0"/>
                  <w:divBdr>
                    <w:top w:val="none" w:sz="0" w:space="0" w:color="auto"/>
                    <w:left w:val="none" w:sz="0" w:space="0" w:color="auto"/>
                    <w:bottom w:val="none" w:sz="0" w:space="0" w:color="auto"/>
                    <w:right w:val="none" w:sz="0" w:space="0" w:color="auto"/>
                  </w:divBdr>
                </w:div>
              </w:divsChild>
            </w:div>
            <w:div w:id="442307988">
              <w:marLeft w:val="0"/>
              <w:marRight w:val="0"/>
              <w:marTop w:val="0"/>
              <w:marBottom w:val="0"/>
              <w:divBdr>
                <w:top w:val="none" w:sz="0" w:space="0" w:color="auto"/>
                <w:left w:val="none" w:sz="0" w:space="0" w:color="auto"/>
                <w:bottom w:val="none" w:sz="0" w:space="0" w:color="auto"/>
                <w:right w:val="none" w:sz="0" w:space="0" w:color="auto"/>
              </w:divBdr>
              <w:divsChild>
                <w:div w:id="178204552">
                  <w:marLeft w:val="0"/>
                  <w:marRight w:val="0"/>
                  <w:marTop w:val="0"/>
                  <w:marBottom w:val="0"/>
                  <w:divBdr>
                    <w:top w:val="none" w:sz="0" w:space="0" w:color="auto"/>
                    <w:left w:val="none" w:sz="0" w:space="0" w:color="auto"/>
                    <w:bottom w:val="none" w:sz="0" w:space="0" w:color="auto"/>
                    <w:right w:val="none" w:sz="0" w:space="0" w:color="auto"/>
                  </w:divBdr>
                </w:div>
              </w:divsChild>
            </w:div>
            <w:div w:id="723213837">
              <w:marLeft w:val="0"/>
              <w:marRight w:val="0"/>
              <w:marTop w:val="0"/>
              <w:marBottom w:val="0"/>
              <w:divBdr>
                <w:top w:val="none" w:sz="0" w:space="0" w:color="auto"/>
                <w:left w:val="none" w:sz="0" w:space="0" w:color="auto"/>
                <w:bottom w:val="none" w:sz="0" w:space="0" w:color="auto"/>
                <w:right w:val="none" w:sz="0" w:space="0" w:color="auto"/>
              </w:divBdr>
              <w:divsChild>
                <w:div w:id="1938445666">
                  <w:marLeft w:val="0"/>
                  <w:marRight w:val="0"/>
                  <w:marTop w:val="0"/>
                  <w:marBottom w:val="0"/>
                  <w:divBdr>
                    <w:top w:val="none" w:sz="0" w:space="0" w:color="auto"/>
                    <w:left w:val="none" w:sz="0" w:space="0" w:color="auto"/>
                    <w:bottom w:val="none" w:sz="0" w:space="0" w:color="auto"/>
                    <w:right w:val="none" w:sz="0" w:space="0" w:color="auto"/>
                  </w:divBdr>
                </w:div>
              </w:divsChild>
            </w:div>
            <w:div w:id="723410904">
              <w:marLeft w:val="0"/>
              <w:marRight w:val="0"/>
              <w:marTop w:val="0"/>
              <w:marBottom w:val="0"/>
              <w:divBdr>
                <w:top w:val="none" w:sz="0" w:space="0" w:color="auto"/>
                <w:left w:val="none" w:sz="0" w:space="0" w:color="auto"/>
                <w:bottom w:val="none" w:sz="0" w:space="0" w:color="auto"/>
                <w:right w:val="none" w:sz="0" w:space="0" w:color="auto"/>
              </w:divBdr>
              <w:divsChild>
                <w:div w:id="240532498">
                  <w:marLeft w:val="0"/>
                  <w:marRight w:val="0"/>
                  <w:marTop w:val="0"/>
                  <w:marBottom w:val="0"/>
                  <w:divBdr>
                    <w:top w:val="none" w:sz="0" w:space="0" w:color="auto"/>
                    <w:left w:val="none" w:sz="0" w:space="0" w:color="auto"/>
                    <w:bottom w:val="none" w:sz="0" w:space="0" w:color="auto"/>
                    <w:right w:val="none" w:sz="0" w:space="0" w:color="auto"/>
                  </w:divBdr>
                </w:div>
              </w:divsChild>
            </w:div>
            <w:div w:id="747580685">
              <w:marLeft w:val="0"/>
              <w:marRight w:val="0"/>
              <w:marTop w:val="0"/>
              <w:marBottom w:val="0"/>
              <w:divBdr>
                <w:top w:val="none" w:sz="0" w:space="0" w:color="auto"/>
                <w:left w:val="none" w:sz="0" w:space="0" w:color="auto"/>
                <w:bottom w:val="none" w:sz="0" w:space="0" w:color="auto"/>
                <w:right w:val="none" w:sz="0" w:space="0" w:color="auto"/>
              </w:divBdr>
              <w:divsChild>
                <w:div w:id="542862274">
                  <w:marLeft w:val="0"/>
                  <w:marRight w:val="0"/>
                  <w:marTop w:val="0"/>
                  <w:marBottom w:val="0"/>
                  <w:divBdr>
                    <w:top w:val="none" w:sz="0" w:space="0" w:color="auto"/>
                    <w:left w:val="none" w:sz="0" w:space="0" w:color="auto"/>
                    <w:bottom w:val="none" w:sz="0" w:space="0" w:color="auto"/>
                    <w:right w:val="none" w:sz="0" w:space="0" w:color="auto"/>
                  </w:divBdr>
                </w:div>
              </w:divsChild>
            </w:div>
            <w:div w:id="920988640">
              <w:marLeft w:val="0"/>
              <w:marRight w:val="0"/>
              <w:marTop w:val="0"/>
              <w:marBottom w:val="0"/>
              <w:divBdr>
                <w:top w:val="none" w:sz="0" w:space="0" w:color="auto"/>
                <w:left w:val="none" w:sz="0" w:space="0" w:color="auto"/>
                <w:bottom w:val="none" w:sz="0" w:space="0" w:color="auto"/>
                <w:right w:val="none" w:sz="0" w:space="0" w:color="auto"/>
              </w:divBdr>
              <w:divsChild>
                <w:div w:id="2054888878">
                  <w:marLeft w:val="0"/>
                  <w:marRight w:val="0"/>
                  <w:marTop w:val="0"/>
                  <w:marBottom w:val="0"/>
                  <w:divBdr>
                    <w:top w:val="none" w:sz="0" w:space="0" w:color="auto"/>
                    <w:left w:val="none" w:sz="0" w:space="0" w:color="auto"/>
                    <w:bottom w:val="none" w:sz="0" w:space="0" w:color="auto"/>
                    <w:right w:val="none" w:sz="0" w:space="0" w:color="auto"/>
                  </w:divBdr>
                </w:div>
              </w:divsChild>
            </w:div>
            <w:div w:id="1390568409">
              <w:marLeft w:val="0"/>
              <w:marRight w:val="0"/>
              <w:marTop w:val="0"/>
              <w:marBottom w:val="0"/>
              <w:divBdr>
                <w:top w:val="none" w:sz="0" w:space="0" w:color="auto"/>
                <w:left w:val="none" w:sz="0" w:space="0" w:color="auto"/>
                <w:bottom w:val="none" w:sz="0" w:space="0" w:color="auto"/>
                <w:right w:val="none" w:sz="0" w:space="0" w:color="auto"/>
              </w:divBdr>
              <w:divsChild>
                <w:div w:id="327901810">
                  <w:marLeft w:val="0"/>
                  <w:marRight w:val="0"/>
                  <w:marTop w:val="0"/>
                  <w:marBottom w:val="0"/>
                  <w:divBdr>
                    <w:top w:val="none" w:sz="0" w:space="0" w:color="auto"/>
                    <w:left w:val="none" w:sz="0" w:space="0" w:color="auto"/>
                    <w:bottom w:val="none" w:sz="0" w:space="0" w:color="auto"/>
                    <w:right w:val="none" w:sz="0" w:space="0" w:color="auto"/>
                  </w:divBdr>
                </w:div>
              </w:divsChild>
            </w:div>
            <w:div w:id="1422679040">
              <w:marLeft w:val="0"/>
              <w:marRight w:val="0"/>
              <w:marTop w:val="0"/>
              <w:marBottom w:val="0"/>
              <w:divBdr>
                <w:top w:val="none" w:sz="0" w:space="0" w:color="auto"/>
                <w:left w:val="none" w:sz="0" w:space="0" w:color="auto"/>
                <w:bottom w:val="none" w:sz="0" w:space="0" w:color="auto"/>
                <w:right w:val="none" w:sz="0" w:space="0" w:color="auto"/>
              </w:divBdr>
              <w:divsChild>
                <w:div w:id="625893778">
                  <w:marLeft w:val="0"/>
                  <w:marRight w:val="0"/>
                  <w:marTop w:val="0"/>
                  <w:marBottom w:val="0"/>
                  <w:divBdr>
                    <w:top w:val="none" w:sz="0" w:space="0" w:color="auto"/>
                    <w:left w:val="none" w:sz="0" w:space="0" w:color="auto"/>
                    <w:bottom w:val="none" w:sz="0" w:space="0" w:color="auto"/>
                    <w:right w:val="none" w:sz="0" w:space="0" w:color="auto"/>
                  </w:divBdr>
                </w:div>
              </w:divsChild>
            </w:div>
            <w:div w:id="2063598665">
              <w:marLeft w:val="0"/>
              <w:marRight w:val="0"/>
              <w:marTop w:val="0"/>
              <w:marBottom w:val="0"/>
              <w:divBdr>
                <w:top w:val="none" w:sz="0" w:space="0" w:color="auto"/>
                <w:left w:val="none" w:sz="0" w:space="0" w:color="auto"/>
                <w:bottom w:val="none" w:sz="0" w:space="0" w:color="auto"/>
                <w:right w:val="none" w:sz="0" w:space="0" w:color="auto"/>
              </w:divBdr>
              <w:divsChild>
                <w:div w:id="17082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4427">
          <w:marLeft w:val="0"/>
          <w:marRight w:val="0"/>
          <w:marTop w:val="0"/>
          <w:marBottom w:val="0"/>
          <w:divBdr>
            <w:top w:val="none" w:sz="0" w:space="0" w:color="auto"/>
            <w:left w:val="none" w:sz="0" w:space="0" w:color="auto"/>
            <w:bottom w:val="none" w:sz="0" w:space="0" w:color="auto"/>
            <w:right w:val="none" w:sz="0" w:space="0" w:color="auto"/>
          </w:divBdr>
          <w:divsChild>
            <w:div w:id="997268956">
              <w:marLeft w:val="0"/>
              <w:marRight w:val="0"/>
              <w:marTop w:val="0"/>
              <w:marBottom w:val="0"/>
              <w:divBdr>
                <w:top w:val="none" w:sz="0" w:space="0" w:color="auto"/>
                <w:left w:val="none" w:sz="0" w:space="0" w:color="auto"/>
                <w:bottom w:val="none" w:sz="0" w:space="0" w:color="auto"/>
                <w:right w:val="none" w:sz="0" w:space="0" w:color="auto"/>
              </w:divBdr>
            </w:div>
          </w:divsChild>
        </w:div>
        <w:div w:id="161360750">
          <w:marLeft w:val="0"/>
          <w:marRight w:val="0"/>
          <w:marTop w:val="0"/>
          <w:marBottom w:val="0"/>
          <w:divBdr>
            <w:top w:val="none" w:sz="0" w:space="0" w:color="auto"/>
            <w:left w:val="none" w:sz="0" w:space="0" w:color="auto"/>
            <w:bottom w:val="none" w:sz="0" w:space="0" w:color="auto"/>
            <w:right w:val="none" w:sz="0" w:space="0" w:color="auto"/>
          </w:divBdr>
          <w:divsChild>
            <w:div w:id="503977999">
              <w:marLeft w:val="0"/>
              <w:marRight w:val="0"/>
              <w:marTop w:val="0"/>
              <w:marBottom w:val="0"/>
              <w:divBdr>
                <w:top w:val="none" w:sz="0" w:space="0" w:color="auto"/>
                <w:left w:val="none" w:sz="0" w:space="0" w:color="auto"/>
                <w:bottom w:val="none" w:sz="0" w:space="0" w:color="auto"/>
                <w:right w:val="none" w:sz="0" w:space="0" w:color="auto"/>
              </w:divBdr>
            </w:div>
          </w:divsChild>
        </w:div>
        <w:div w:id="421799879">
          <w:marLeft w:val="0"/>
          <w:marRight w:val="0"/>
          <w:marTop w:val="0"/>
          <w:marBottom w:val="0"/>
          <w:divBdr>
            <w:top w:val="none" w:sz="0" w:space="0" w:color="auto"/>
            <w:left w:val="none" w:sz="0" w:space="0" w:color="auto"/>
            <w:bottom w:val="none" w:sz="0" w:space="0" w:color="auto"/>
            <w:right w:val="none" w:sz="0" w:space="0" w:color="auto"/>
          </w:divBdr>
          <w:divsChild>
            <w:div w:id="1484007491">
              <w:marLeft w:val="0"/>
              <w:marRight w:val="0"/>
              <w:marTop w:val="0"/>
              <w:marBottom w:val="0"/>
              <w:divBdr>
                <w:top w:val="none" w:sz="0" w:space="0" w:color="auto"/>
                <w:left w:val="none" w:sz="0" w:space="0" w:color="auto"/>
                <w:bottom w:val="none" w:sz="0" w:space="0" w:color="auto"/>
                <w:right w:val="none" w:sz="0" w:space="0" w:color="auto"/>
              </w:divBdr>
            </w:div>
          </w:divsChild>
        </w:div>
        <w:div w:id="772867908">
          <w:marLeft w:val="0"/>
          <w:marRight w:val="0"/>
          <w:marTop w:val="0"/>
          <w:marBottom w:val="0"/>
          <w:divBdr>
            <w:top w:val="none" w:sz="0" w:space="0" w:color="auto"/>
            <w:left w:val="none" w:sz="0" w:space="0" w:color="auto"/>
            <w:bottom w:val="none" w:sz="0" w:space="0" w:color="auto"/>
            <w:right w:val="none" w:sz="0" w:space="0" w:color="auto"/>
          </w:divBdr>
          <w:divsChild>
            <w:div w:id="1597471317">
              <w:marLeft w:val="0"/>
              <w:marRight w:val="0"/>
              <w:marTop w:val="0"/>
              <w:marBottom w:val="0"/>
              <w:divBdr>
                <w:top w:val="none" w:sz="0" w:space="0" w:color="auto"/>
                <w:left w:val="none" w:sz="0" w:space="0" w:color="auto"/>
                <w:bottom w:val="none" w:sz="0" w:space="0" w:color="auto"/>
                <w:right w:val="none" w:sz="0" w:space="0" w:color="auto"/>
              </w:divBdr>
            </w:div>
          </w:divsChild>
        </w:div>
        <w:div w:id="915945086">
          <w:marLeft w:val="0"/>
          <w:marRight w:val="0"/>
          <w:marTop w:val="0"/>
          <w:marBottom w:val="0"/>
          <w:divBdr>
            <w:top w:val="none" w:sz="0" w:space="0" w:color="auto"/>
            <w:left w:val="none" w:sz="0" w:space="0" w:color="auto"/>
            <w:bottom w:val="none" w:sz="0" w:space="0" w:color="auto"/>
            <w:right w:val="none" w:sz="0" w:space="0" w:color="auto"/>
          </w:divBdr>
          <w:divsChild>
            <w:div w:id="552229425">
              <w:marLeft w:val="0"/>
              <w:marRight w:val="0"/>
              <w:marTop w:val="0"/>
              <w:marBottom w:val="0"/>
              <w:divBdr>
                <w:top w:val="none" w:sz="0" w:space="0" w:color="auto"/>
                <w:left w:val="none" w:sz="0" w:space="0" w:color="auto"/>
                <w:bottom w:val="none" w:sz="0" w:space="0" w:color="auto"/>
                <w:right w:val="none" w:sz="0" w:space="0" w:color="auto"/>
              </w:divBdr>
              <w:divsChild>
                <w:div w:id="478351658">
                  <w:marLeft w:val="0"/>
                  <w:marRight w:val="0"/>
                  <w:marTop w:val="0"/>
                  <w:marBottom w:val="0"/>
                  <w:divBdr>
                    <w:top w:val="none" w:sz="0" w:space="0" w:color="auto"/>
                    <w:left w:val="none" w:sz="0" w:space="0" w:color="auto"/>
                    <w:bottom w:val="none" w:sz="0" w:space="0" w:color="auto"/>
                    <w:right w:val="none" w:sz="0" w:space="0" w:color="auto"/>
                  </w:divBdr>
                  <w:divsChild>
                    <w:div w:id="2032753651">
                      <w:marLeft w:val="0"/>
                      <w:marRight w:val="0"/>
                      <w:marTop w:val="0"/>
                      <w:marBottom w:val="0"/>
                      <w:divBdr>
                        <w:top w:val="none" w:sz="0" w:space="0" w:color="auto"/>
                        <w:left w:val="none" w:sz="0" w:space="0" w:color="auto"/>
                        <w:bottom w:val="none" w:sz="0" w:space="0" w:color="auto"/>
                        <w:right w:val="none" w:sz="0" w:space="0" w:color="auto"/>
                      </w:divBdr>
                    </w:div>
                  </w:divsChild>
                </w:div>
                <w:div w:id="828135100">
                  <w:marLeft w:val="0"/>
                  <w:marRight w:val="0"/>
                  <w:marTop w:val="0"/>
                  <w:marBottom w:val="0"/>
                  <w:divBdr>
                    <w:top w:val="none" w:sz="0" w:space="0" w:color="auto"/>
                    <w:left w:val="none" w:sz="0" w:space="0" w:color="auto"/>
                    <w:bottom w:val="none" w:sz="0" w:space="0" w:color="auto"/>
                    <w:right w:val="none" w:sz="0" w:space="0" w:color="auto"/>
                  </w:divBdr>
                  <w:divsChild>
                    <w:div w:id="390542995">
                      <w:marLeft w:val="0"/>
                      <w:marRight w:val="0"/>
                      <w:marTop w:val="0"/>
                      <w:marBottom w:val="0"/>
                      <w:divBdr>
                        <w:top w:val="none" w:sz="0" w:space="0" w:color="auto"/>
                        <w:left w:val="none" w:sz="0" w:space="0" w:color="auto"/>
                        <w:bottom w:val="none" w:sz="0" w:space="0" w:color="auto"/>
                        <w:right w:val="none" w:sz="0" w:space="0" w:color="auto"/>
                      </w:divBdr>
                    </w:div>
                  </w:divsChild>
                </w:div>
                <w:div w:id="986400333">
                  <w:marLeft w:val="0"/>
                  <w:marRight w:val="0"/>
                  <w:marTop w:val="0"/>
                  <w:marBottom w:val="0"/>
                  <w:divBdr>
                    <w:top w:val="none" w:sz="0" w:space="0" w:color="auto"/>
                    <w:left w:val="none" w:sz="0" w:space="0" w:color="auto"/>
                    <w:bottom w:val="none" w:sz="0" w:space="0" w:color="auto"/>
                    <w:right w:val="none" w:sz="0" w:space="0" w:color="auto"/>
                  </w:divBdr>
                  <w:divsChild>
                    <w:div w:id="53547671">
                      <w:marLeft w:val="0"/>
                      <w:marRight w:val="0"/>
                      <w:marTop w:val="0"/>
                      <w:marBottom w:val="0"/>
                      <w:divBdr>
                        <w:top w:val="none" w:sz="0" w:space="0" w:color="auto"/>
                        <w:left w:val="none" w:sz="0" w:space="0" w:color="auto"/>
                        <w:bottom w:val="none" w:sz="0" w:space="0" w:color="auto"/>
                        <w:right w:val="none" w:sz="0" w:space="0" w:color="auto"/>
                      </w:divBdr>
                    </w:div>
                  </w:divsChild>
                </w:div>
                <w:div w:id="1622421481">
                  <w:marLeft w:val="0"/>
                  <w:marRight w:val="0"/>
                  <w:marTop w:val="0"/>
                  <w:marBottom w:val="0"/>
                  <w:divBdr>
                    <w:top w:val="none" w:sz="0" w:space="0" w:color="auto"/>
                    <w:left w:val="none" w:sz="0" w:space="0" w:color="auto"/>
                    <w:bottom w:val="none" w:sz="0" w:space="0" w:color="auto"/>
                    <w:right w:val="none" w:sz="0" w:space="0" w:color="auto"/>
                  </w:divBdr>
                  <w:divsChild>
                    <w:div w:id="1231381677">
                      <w:marLeft w:val="0"/>
                      <w:marRight w:val="0"/>
                      <w:marTop w:val="0"/>
                      <w:marBottom w:val="0"/>
                      <w:divBdr>
                        <w:top w:val="none" w:sz="0" w:space="0" w:color="auto"/>
                        <w:left w:val="none" w:sz="0" w:space="0" w:color="auto"/>
                        <w:bottom w:val="none" w:sz="0" w:space="0" w:color="auto"/>
                        <w:right w:val="none" w:sz="0" w:space="0" w:color="auto"/>
                      </w:divBdr>
                    </w:div>
                  </w:divsChild>
                </w:div>
                <w:div w:id="2032101041">
                  <w:marLeft w:val="0"/>
                  <w:marRight w:val="0"/>
                  <w:marTop w:val="0"/>
                  <w:marBottom w:val="0"/>
                  <w:divBdr>
                    <w:top w:val="none" w:sz="0" w:space="0" w:color="auto"/>
                    <w:left w:val="none" w:sz="0" w:space="0" w:color="auto"/>
                    <w:bottom w:val="none" w:sz="0" w:space="0" w:color="auto"/>
                    <w:right w:val="none" w:sz="0" w:space="0" w:color="auto"/>
                  </w:divBdr>
                  <w:divsChild>
                    <w:div w:id="37558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40389">
          <w:marLeft w:val="0"/>
          <w:marRight w:val="0"/>
          <w:marTop w:val="0"/>
          <w:marBottom w:val="0"/>
          <w:divBdr>
            <w:top w:val="none" w:sz="0" w:space="0" w:color="auto"/>
            <w:left w:val="none" w:sz="0" w:space="0" w:color="auto"/>
            <w:bottom w:val="none" w:sz="0" w:space="0" w:color="auto"/>
            <w:right w:val="none" w:sz="0" w:space="0" w:color="auto"/>
          </w:divBdr>
          <w:divsChild>
            <w:div w:id="794324191">
              <w:marLeft w:val="0"/>
              <w:marRight w:val="0"/>
              <w:marTop w:val="0"/>
              <w:marBottom w:val="0"/>
              <w:divBdr>
                <w:top w:val="none" w:sz="0" w:space="0" w:color="auto"/>
                <w:left w:val="none" w:sz="0" w:space="0" w:color="auto"/>
                <w:bottom w:val="none" w:sz="0" w:space="0" w:color="auto"/>
                <w:right w:val="none" w:sz="0" w:space="0" w:color="auto"/>
              </w:divBdr>
            </w:div>
          </w:divsChild>
        </w:div>
        <w:div w:id="1270743783">
          <w:marLeft w:val="0"/>
          <w:marRight w:val="0"/>
          <w:marTop w:val="0"/>
          <w:marBottom w:val="0"/>
          <w:divBdr>
            <w:top w:val="none" w:sz="0" w:space="0" w:color="auto"/>
            <w:left w:val="none" w:sz="0" w:space="0" w:color="auto"/>
            <w:bottom w:val="none" w:sz="0" w:space="0" w:color="auto"/>
            <w:right w:val="none" w:sz="0" w:space="0" w:color="auto"/>
          </w:divBdr>
          <w:divsChild>
            <w:div w:id="537663778">
              <w:marLeft w:val="0"/>
              <w:marRight w:val="0"/>
              <w:marTop w:val="0"/>
              <w:marBottom w:val="0"/>
              <w:divBdr>
                <w:top w:val="none" w:sz="0" w:space="0" w:color="auto"/>
                <w:left w:val="none" w:sz="0" w:space="0" w:color="auto"/>
                <w:bottom w:val="none" w:sz="0" w:space="0" w:color="auto"/>
                <w:right w:val="none" w:sz="0" w:space="0" w:color="auto"/>
              </w:divBdr>
            </w:div>
          </w:divsChild>
        </w:div>
        <w:div w:id="1408305326">
          <w:marLeft w:val="0"/>
          <w:marRight w:val="0"/>
          <w:marTop w:val="0"/>
          <w:marBottom w:val="0"/>
          <w:divBdr>
            <w:top w:val="none" w:sz="0" w:space="0" w:color="auto"/>
            <w:left w:val="none" w:sz="0" w:space="0" w:color="auto"/>
            <w:bottom w:val="none" w:sz="0" w:space="0" w:color="auto"/>
            <w:right w:val="none" w:sz="0" w:space="0" w:color="auto"/>
          </w:divBdr>
          <w:divsChild>
            <w:div w:id="1198468892">
              <w:marLeft w:val="0"/>
              <w:marRight w:val="0"/>
              <w:marTop w:val="0"/>
              <w:marBottom w:val="0"/>
              <w:divBdr>
                <w:top w:val="none" w:sz="0" w:space="0" w:color="auto"/>
                <w:left w:val="none" w:sz="0" w:space="0" w:color="auto"/>
                <w:bottom w:val="none" w:sz="0" w:space="0" w:color="auto"/>
                <w:right w:val="none" w:sz="0" w:space="0" w:color="auto"/>
              </w:divBdr>
            </w:div>
          </w:divsChild>
        </w:div>
        <w:div w:id="1470440536">
          <w:marLeft w:val="0"/>
          <w:marRight w:val="0"/>
          <w:marTop w:val="0"/>
          <w:marBottom w:val="0"/>
          <w:divBdr>
            <w:top w:val="none" w:sz="0" w:space="0" w:color="auto"/>
            <w:left w:val="none" w:sz="0" w:space="0" w:color="auto"/>
            <w:bottom w:val="none" w:sz="0" w:space="0" w:color="auto"/>
            <w:right w:val="none" w:sz="0" w:space="0" w:color="auto"/>
          </w:divBdr>
          <w:divsChild>
            <w:div w:id="1655260524">
              <w:marLeft w:val="0"/>
              <w:marRight w:val="0"/>
              <w:marTop w:val="0"/>
              <w:marBottom w:val="0"/>
              <w:divBdr>
                <w:top w:val="none" w:sz="0" w:space="0" w:color="auto"/>
                <w:left w:val="none" w:sz="0" w:space="0" w:color="auto"/>
                <w:bottom w:val="none" w:sz="0" w:space="0" w:color="auto"/>
                <w:right w:val="none" w:sz="0" w:space="0" w:color="auto"/>
              </w:divBdr>
            </w:div>
          </w:divsChild>
        </w:div>
        <w:div w:id="1495680212">
          <w:marLeft w:val="0"/>
          <w:marRight w:val="0"/>
          <w:marTop w:val="0"/>
          <w:marBottom w:val="0"/>
          <w:divBdr>
            <w:top w:val="none" w:sz="0" w:space="0" w:color="auto"/>
            <w:left w:val="none" w:sz="0" w:space="0" w:color="auto"/>
            <w:bottom w:val="none" w:sz="0" w:space="0" w:color="auto"/>
            <w:right w:val="none" w:sz="0" w:space="0" w:color="auto"/>
          </w:divBdr>
          <w:divsChild>
            <w:div w:id="1644308728">
              <w:marLeft w:val="0"/>
              <w:marRight w:val="0"/>
              <w:marTop w:val="0"/>
              <w:marBottom w:val="0"/>
              <w:divBdr>
                <w:top w:val="none" w:sz="0" w:space="0" w:color="auto"/>
                <w:left w:val="none" w:sz="0" w:space="0" w:color="auto"/>
                <w:bottom w:val="none" w:sz="0" w:space="0" w:color="auto"/>
                <w:right w:val="none" w:sz="0" w:space="0" w:color="auto"/>
              </w:divBdr>
            </w:div>
          </w:divsChild>
        </w:div>
        <w:div w:id="1917744831">
          <w:marLeft w:val="0"/>
          <w:marRight w:val="0"/>
          <w:marTop w:val="0"/>
          <w:marBottom w:val="0"/>
          <w:divBdr>
            <w:top w:val="none" w:sz="0" w:space="0" w:color="auto"/>
            <w:left w:val="none" w:sz="0" w:space="0" w:color="auto"/>
            <w:bottom w:val="none" w:sz="0" w:space="0" w:color="auto"/>
            <w:right w:val="none" w:sz="0" w:space="0" w:color="auto"/>
          </w:divBdr>
          <w:divsChild>
            <w:div w:id="715852987">
              <w:marLeft w:val="0"/>
              <w:marRight w:val="0"/>
              <w:marTop w:val="0"/>
              <w:marBottom w:val="0"/>
              <w:divBdr>
                <w:top w:val="none" w:sz="0" w:space="0" w:color="auto"/>
                <w:left w:val="none" w:sz="0" w:space="0" w:color="auto"/>
                <w:bottom w:val="none" w:sz="0" w:space="0" w:color="auto"/>
                <w:right w:val="none" w:sz="0" w:space="0" w:color="auto"/>
              </w:divBdr>
            </w:div>
          </w:divsChild>
        </w:div>
        <w:div w:id="1951350025">
          <w:marLeft w:val="0"/>
          <w:marRight w:val="0"/>
          <w:marTop w:val="0"/>
          <w:marBottom w:val="0"/>
          <w:divBdr>
            <w:top w:val="none" w:sz="0" w:space="0" w:color="auto"/>
            <w:left w:val="none" w:sz="0" w:space="0" w:color="auto"/>
            <w:bottom w:val="none" w:sz="0" w:space="0" w:color="auto"/>
            <w:right w:val="none" w:sz="0" w:space="0" w:color="auto"/>
          </w:divBdr>
          <w:divsChild>
            <w:div w:id="1240169480">
              <w:marLeft w:val="0"/>
              <w:marRight w:val="0"/>
              <w:marTop w:val="0"/>
              <w:marBottom w:val="0"/>
              <w:divBdr>
                <w:top w:val="none" w:sz="0" w:space="0" w:color="auto"/>
                <w:left w:val="none" w:sz="0" w:space="0" w:color="auto"/>
                <w:bottom w:val="none" w:sz="0" w:space="0" w:color="auto"/>
                <w:right w:val="none" w:sz="0" w:space="0" w:color="auto"/>
              </w:divBdr>
            </w:div>
          </w:divsChild>
        </w:div>
        <w:div w:id="2003971327">
          <w:marLeft w:val="0"/>
          <w:marRight w:val="0"/>
          <w:marTop w:val="0"/>
          <w:marBottom w:val="0"/>
          <w:divBdr>
            <w:top w:val="none" w:sz="0" w:space="0" w:color="auto"/>
            <w:left w:val="none" w:sz="0" w:space="0" w:color="auto"/>
            <w:bottom w:val="none" w:sz="0" w:space="0" w:color="auto"/>
            <w:right w:val="none" w:sz="0" w:space="0" w:color="auto"/>
          </w:divBdr>
          <w:divsChild>
            <w:div w:id="1305813027">
              <w:marLeft w:val="0"/>
              <w:marRight w:val="0"/>
              <w:marTop w:val="0"/>
              <w:marBottom w:val="0"/>
              <w:divBdr>
                <w:top w:val="none" w:sz="0" w:space="0" w:color="auto"/>
                <w:left w:val="none" w:sz="0" w:space="0" w:color="auto"/>
                <w:bottom w:val="none" w:sz="0" w:space="0" w:color="auto"/>
                <w:right w:val="none" w:sz="0" w:space="0" w:color="auto"/>
              </w:divBdr>
            </w:div>
          </w:divsChild>
        </w:div>
        <w:div w:id="2055695414">
          <w:marLeft w:val="0"/>
          <w:marRight w:val="0"/>
          <w:marTop w:val="0"/>
          <w:marBottom w:val="0"/>
          <w:divBdr>
            <w:top w:val="none" w:sz="0" w:space="0" w:color="auto"/>
            <w:left w:val="none" w:sz="0" w:space="0" w:color="auto"/>
            <w:bottom w:val="none" w:sz="0" w:space="0" w:color="auto"/>
            <w:right w:val="none" w:sz="0" w:space="0" w:color="auto"/>
          </w:divBdr>
          <w:divsChild>
            <w:div w:id="27030295">
              <w:marLeft w:val="0"/>
              <w:marRight w:val="0"/>
              <w:marTop w:val="0"/>
              <w:marBottom w:val="0"/>
              <w:divBdr>
                <w:top w:val="none" w:sz="0" w:space="0" w:color="auto"/>
                <w:left w:val="none" w:sz="0" w:space="0" w:color="auto"/>
                <w:bottom w:val="none" w:sz="0" w:space="0" w:color="auto"/>
                <w:right w:val="none" w:sz="0" w:space="0" w:color="auto"/>
              </w:divBdr>
              <w:divsChild>
                <w:div w:id="1347710056">
                  <w:marLeft w:val="0"/>
                  <w:marRight w:val="0"/>
                  <w:marTop w:val="0"/>
                  <w:marBottom w:val="0"/>
                  <w:divBdr>
                    <w:top w:val="none" w:sz="0" w:space="0" w:color="auto"/>
                    <w:left w:val="none" w:sz="0" w:space="0" w:color="auto"/>
                    <w:bottom w:val="none" w:sz="0" w:space="0" w:color="auto"/>
                    <w:right w:val="none" w:sz="0" w:space="0" w:color="auto"/>
                  </w:divBdr>
                </w:div>
              </w:divsChild>
            </w:div>
            <w:div w:id="932471203">
              <w:marLeft w:val="0"/>
              <w:marRight w:val="0"/>
              <w:marTop w:val="0"/>
              <w:marBottom w:val="0"/>
              <w:divBdr>
                <w:top w:val="none" w:sz="0" w:space="0" w:color="auto"/>
                <w:left w:val="none" w:sz="0" w:space="0" w:color="auto"/>
                <w:bottom w:val="none" w:sz="0" w:space="0" w:color="auto"/>
                <w:right w:val="none" w:sz="0" w:space="0" w:color="auto"/>
              </w:divBdr>
              <w:divsChild>
                <w:div w:id="85079462">
                  <w:marLeft w:val="0"/>
                  <w:marRight w:val="0"/>
                  <w:marTop w:val="0"/>
                  <w:marBottom w:val="0"/>
                  <w:divBdr>
                    <w:top w:val="none" w:sz="0" w:space="0" w:color="auto"/>
                    <w:left w:val="none" w:sz="0" w:space="0" w:color="auto"/>
                    <w:bottom w:val="none" w:sz="0" w:space="0" w:color="auto"/>
                    <w:right w:val="none" w:sz="0" w:space="0" w:color="auto"/>
                  </w:divBdr>
                </w:div>
              </w:divsChild>
            </w:div>
            <w:div w:id="1478840302">
              <w:marLeft w:val="0"/>
              <w:marRight w:val="0"/>
              <w:marTop w:val="0"/>
              <w:marBottom w:val="0"/>
              <w:divBdr>
                <w:top w:val="none" w:sz="0" w:space="0" w:color="auto"/>
                <w:left w:val="none" w:sz="0" w:space="0" w:color="auto"/>
                <w:bottom w:val="none" w:sz="0" w:space="0" w:color="auto"/>
                <w:right w:val="none" w:sz="0" w:space="0" w:color="auto"/>
              </w:divBdr>
              <w:divsChild>
                <w:div w:id="247542369">
                  <w:marLeft w:val="0"/>
                  <w:marRight w:val="0"/>
                  <w:marTop w:val="0"/>
                  <w:marBottom w:val="0"/>
                  <w:divBdr>
                    <w:top w:val="none" w:sz="0" w:space="0" w:color="auto"/>
                    <w:left w:val="none" w:sz="0" w:space="0" w:color="auto"/>
                    <w:bottom w:val="none" w:sz="0" w:space="0" w:color="auto"/>
                    <w:right w:val="none" w:sz="0" w:space="0" w:color="auto"/>
                  </w:divBdr>
                </w:div>
              </w:divsChild>
            </w:div>
            <w:div w:id="1764371993">
              <w:marLeft w:val="0"/>
              <w:marRight w:val="0"/>
              <w:marTop w:val="0"/>
              <w:marBottom w:val="0"/>
              <w:divBdr>
                <w:top w:val="none" w:sz="0" w:space="0" w:color="auto"/>
                <w:left w:val="none" w:sz="0" w:space="0" w:color="auto"/>
                <w:bottom w:val="none" w:sz="0" w:space="0" w:color="auto"/>
                <w:right w:val="none" w:sz="0" w:space="0" w:color="auto"/>
              </w:divBdr>
              <w:divsChild>
                <w:div w:id="172656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23626">
          <w:marLeft w:val="0"/>
          <w:marRight w:val="0"/>
          <w:marTop w:val="0"/>
          <w:marBottom w:val="0"/>
          <w:divBdr>
            <w:top w:val="none" w:sz="0" w:space="0" w:color="auto"/>
            <w:left w:val="none" w:sz="0" w:space="0" w:color="auto"/>
            <w:bottom w:val="none" w:sz="0" w:space="0" w:color="auto"/>
            <w:right w:val="none" w:sz="0" w:space="0" w:color="auto"/>
          </w:divBdr>
          <w:divsChild>
            <w:div w:id="61390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33172">
      <w:bodyDiv w:val="1"/>
      <w:marLeft w:val="0"/>
      <w:marRight w:val="0"/>
      <w:marTop w:val="0"/>
      <w:marBottom w:val="0"/>
      <w:divBdr>
        <w:top w:val="none" w:sz="0" w:space="0" w:color="auto"/>
        <w:left w:val="none" w:sz="0" w:space="0" w:color="auto"/>
        <w:bottom w:val="none" w:sz="0" w:space="0" w:color="auto"/>
        <w:right w:val="none" w:sz="0" w:space="0" w:color="auto"/>
      </w:divBdr>
      <w:divsChild>
        <w:div w:id="1342970199">
          <w:marLeft w:val="0"/>
          <w:marRight w:val="0"/>
          <w:marTop w:val="0"/>
          <w:marBottom w:val="0"/>
          <w:divBdr>
            <w:top w:val="none" w:sz="0" w:space="0" w:color="auto"/>
            <w:left w:val="none" w:sz="0" w:space="0" w:color="auto"/>
            <w:bottom w:val="none" w:sz="0" w:space="0" w:color="auto"/>
            <w:right w:val="none" w:sz="0" w:space="0" w:color="auto"/>
          </w:divBdr>
          <w:divsChild>
            <w:div w:id="1903564727">
              <w:marLeft w:val="0"/>
              <w:marRight w:val="0"/>
              <w:marTop w:val="0"/>
              <w:marBottom w:val="0"/>
              <w:divBdr>
                <w:top w:val="none" w:sz="0" w:space="0" w:color="auto"/>
                <w:left w:val="none" w:sz="0" w:space="0" w:color="auto"/>
                <w:bottom w:val="none" w:sz="0" w:space="0" w:color="auto"/>
                <w:right w:val="none" w:sz="0" w:space="0" w:color="auto"/>
              </w:divBdr>
              <w:divsChild>
                <w:div w:id="128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45528">
      <w:bodyDiv w:val="1"/>
      <w:marLeft w:val="0"/>
      <w:marRight w:val="0"/>
      <w:marTop w:val="0"/>
      <w:marBottom w:val="0"/>
      <w:divBdr>
        <w:top w:val="none" w:sz="0" w:space="0" w:color="auto"/>
        <w:left w:val="none" w:sz="0" w:space="0" w:color="auto"/>
        <w:bottom w:val="none" w:sz="0" w:space="0" w:color="auto"/>
        <w:right w:val="none" w:sz="0" w:space="0" w:color="auto"/>
      </w:divBdr>
      <w:divsChild>
        <w:div w:id="2041347458">
          <w:marLeft w:val="0"/>
          <w:marRight w:val="0"/>
          <w:marTop w:val="0"/>
          <w:marBottom w:val="0"/>
          <w:divBdr>
            <w:top w:val="none" w:sz="0" w:space="0" w:color="auto"/>
            <w:left w:val="none" w:sz="0" w:space="0" w:color="auto"/>
            <w:bottom w:val="none" w:sz="0" w:space="0" w:color="auto"/>
            <w:right w:val="none" w:sz="0" w:space="0" w:color="auto"/>
          </w:divBdr>
          <w:divsChild>
            <w:div w:id="1875578844">
              <w:marLeft w:val="0"/>
              <w:marRight w:val="0"/>
              <w:marTop w:val="0"/>
              <w:marBottom w:val="0"/>
              <w:divBdr>
                <w:top w:val="none" w:sz="0" w:space="0" w:color="auto"/>
                <w:left w:val="none" w:sz="0" w:space="0" w:color="auto"/>
                <w:bottom w:val="none" w:sz="0" w:space="0" w:color="auto"/>
                <w:right w:val="none" w:sz="0" w:space="0" w:color="auto"/>
              </w:divBdr>
              <w:divsChild>
                <w:div w:id="1929843503">
                  <w:marLeft w:val="0"/>
                  <w:marRight w:val="0"/>
                  <w:marTop w:val="0"/>
                  <w:marBottom w:val="0"/>
                  <w:divBdr>
                    <w:top w:val="none" w:sz="0" w:space="0" w:color="auto"/>
                    <w:left w:val="none" w:sz="0" w:space="0" w:color="auto"/>
                    <w:bottom w:val="none" w:sz="0" w:space="0" w:color="auto"/>
                    <w:right w:val="none" w:sz="0" w:space="0" w:color="auto"/>
                  </w:divBdr>
                  <w:divsChild>
                    <w:div w:id="197305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904392">
      <w:bodyDiv w:val="1"/>
      <w:marLeft w:val="0"/>
      <w:marRight w:val="0"/>
      <w:marTop w:val="0"/>
      <w:marBottom w:val="0"/>
      <w:divBdr>
        <w:top w:val="none" w:sz="0" w:space="0" w:color="auto"/>
        <w:left w:val="none" w:sz="0" w:space="0" w:color="auto"/>
        <w:bottom w:val="none" w:sz="0" w:space="0" w:color="auto"/>
        <w:right w:val="none" w:sz="0" w:space="0" w:color="auto"/>
      </w:divBdr>
      <w:divsChild>
        <w:div w:id="917908327">
          <w:marLeft w:val="0"/>
          <w:marRight w:val="0"/>
          <w:marTop w:val="0"/>
          <w:marBottom w:val="0"/>
          <w:divBdr>
            <w:top w:val="none" w:sz="0" w:space="0" w:color="auto"/>
            <w:left w:val="none" w:sz="0" w:space="0" w:color="auto"/>
            <w:bottom w:val="none" w:sz="0" w:space="0" w:color="auto"/>
            <w:right w:val="none" w:sz="0" w:space="0" w:color="auto"/>
          </w:divBdr>
          <w:divsChild>
            <w:div w:id="207768239">
              <w:marLeft w:val="0"/>
              <w:marRight w:val="0"/>
              <w:marTop w:val="0"/>
              <w:marBottom w:val="0"/>
              <w:divBdr>
                <w:top w:val="none" w:sz="0" w:space="0" w:color="auto"/>
                <w:left w:val="none" w:sz="0" w:space="0" w:color="auto"/>
                <w:bottom w:val="none" w:sz="0" w:space="0" w:color="auto"/>
                <w:right w:val="none" w:sz="0" w:space="0" w:color="auto"/>
              </w:divBdr>
              <w:divsChild>
                <w:div w:id="19653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461848">
      <w:bodyDiv w:val="1"/>
      <w:marLeft w:val="0"/>
      <w:marRight w:val="0"/>
      <w:marTop w:val="0"/>
      <w:marBottom w:val="0"/>
      <w:divBdr>
        <w:top w:val="none" w:sz="0" w:space="0" w:color="auto"/>
        <w:left w:val="none" w:sz="0" w:space="0" w:color="auto"/>
        <w:bottom w:val="none" w:sz="0" w:space="0" w:color="auto"/>
        <w:right w:val="none" w:sz="0" w:space="0" w:color="auto"/>
      </w:divBdr>
      <w:divsChild>
        <w:div w:id="831486151">
          <w:marLeft w:val="0"/>
          <w:marRight w:val="0"/>
          <w:marTop w:val="0"/>
          <w:marBottom w:val="0"/>
          <w:divBdr>
            <w:top w:val="none" w:sz="0" w:space="0" w:color="auto"/>
            <w:left w:val="none" w:sz="0" w:space="0" w:color="auto"/>
            <w:bottom w:val="none" w:sz="0" w:space="0" w:color="auto"/>
            <w:right w:val="none" w:sz="0" w:space="0" w:color="auto"/>
          </w:divBdr>
          <w:divsChild>
            <w:div w:id="1781952071">
              <w:marLeft w:val="0"/>
              <w:marRight w:val="0"/>
              <w:marTop w:val="0"/>
              <w:marBottom w:val="0"/>
              <w:divBdr>
                <w:top w:val="none" w:sz="0" w:space="0" w:color="auto"/>
                <w:left w:val="none" w:sz="0" w:space="0" w:color="auto"/>
                <w:bottom w:val="none" w:sz="0" w:space="0" w:color="auto"/>
                <w:right w:val="none" w:sz="0" w:space="0" w:color="auto"/>
              </w:divBdr>
              <w:divsChild>
                <w:div w:id="181548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181143">
      <w:bodyDiv w:val="1"/>
      <w:marLeft w:val="0"/>
      <w:marRight w:val="0"/>
      <w:marTop w:val="0"/>
      <w:marBottom w:val="0"/>
      <w:divBdr>
        <w:top w:val="none" w:sz="0" w:space="0" w:color="auto"/>
        <w:left w:val="none" w:sz="0" w:space="0" w:color="auto"/>
        <w:bottom w:val="none" w:sz="0" w:space="0" w:color="auto"/>
        <w:right w:val="none" w:sz="0" w:space="0" w:color="auto"/>
      </w:divBdr>
      <w:divsChild>
        <w:div w:id="310182309">
          <w:marLeft w:val="0"/>
          <w:marRight w:val="0"/>
          <w:marTop w:val="0"/>
          <w:marBottom w:val="0"/>
          <w:divBdr>
            <w:top w:val="none" w:sz="0" w:space="0" w:color="auto"/>
            <w:left w:val="none" w:sz="0" w:space="0" w:color="auto"/>
            <w:bottom w:val="none" w:sz="0" w:space="0" w:color="auto"/>
            <w:right w:val="none" w:sz="0" w:space="0" w:color="auto"/>
          </w:divBdr>
          <w:divsChild>
            <w:div w:id="1550610510">
              <w:marLeft w:val="0"/>
              <w:marRight w:val="0"/>
              <w:marTop w:val="0"/>
              <w:marBottom w:val="0"/>
              <w:divBdr>
                <w:top w:val="none" w:sz="0" w:space="0" w:color="auto"/>
                <w:left w:val="none" w:sz="0" w:space="0" w:color="auto"/>
                <w:bottom w:val="none" w:sz="0" w:space="0" w:color="auto"/>
                <w:right w:val="none" w:sz="0" w:space="0" w:color="auto"/>
              </w:divBdr>
              <w:divsChild>
                <w:div w:id="57559187">
                  <w:marLeft w:val="0"/>
                  <w:marRight w:val="0"/>
                  <w:marTop w:val="0"/>
                  <w:marBottom w:val="0"/>
                  <w:divBdr>
                    <w:top w:val="none" w:sz="0" w:space="0" w:color="auto"/>
                    <w:left w:val="none" w:sz="0" w:space="0" w:color="auto"/>
                    <w:bottom w:val="none" w:sz="0" w:space="0" w:color="auto"/>
                    <w:right w:val="none" w:sz="0" w:space="0" w:color="auto"/>
                  </w:divBdr>
                  <w:divsChild>
                    <w:div w:id="476151023">
                      <w:marLeft w:val="0"/>
                      <w:marRight w:val="0"/>
                      <w:marTop w:val="0"/>
                      <w:marBottom w:val="0"/>
                      <w:divBdr>
                        <w:top w:val="none" w:sz="0" w:space="0" w:color="auto"/>
                        <w:left w:val="none" w:sz="0" w:space="0" w:color="auto"/>
                        <w:bottom w:val="none" w:sz="0" w:space="0" w:color="auto"/>
                        <w:right w:val="none" w:sz="0" w:space="0" w:color="auto"/>
                      </w:divBdr>
                    </w:div>
                  </w:divsChild>
                </w:div>
                <w:div w:id="783580453">
                  <w:marLeft w:val="0"/>
                  <w:marRight w:val="0"/>
                  <w:marTop w:val="0"/>
                  <w:marBottom w:val="0"/>
                  <w:divBdr>
                    <w:top w:val="none" w:sz="0" w:space="0" w:color="auto"/>
                    <w:left w:val="none" w:sz="0" w:space="0" w:color="auto"/>
                    <w:bottom w:val="none" w:sz="0" w:space="0" w:color="auto"/>
                    <w:right w:val="none" w:sz="0" w:space="0" w:color="auto"/>
                  </w:divBdr>
                  <w:divsChild>
                    <w:div w:id="342166180">
                      <w:marLeft w:val="0"/>
                      <w:marRight w:val="0"/>
                      <w:marTop w:val="0"/>
                      <w:marBottom w:val="0"/>
                      <w:divBdr>
                        <w:top w:val="none" w:sz="0" w:space="0" w:color="auto"/>
                        <w:left w:val="none" w:sz="0" w:space="0" w:color="auto"/>
                        <w:bottom w:val="none" w:sz="0" w:space="0" w:color="auto"/>
                        <w:right w:val="none" w:sz="0" w:space="0" w:color="auto"/>
                      </w:divBdr>
                    </w:div>
                  </w:divsChild>
                </w:div>
                <w:div w:id="1328946285">
                  <w:marLeft w:val="0"/>
                  <w:marRight w:val="0"/>
                  <w:marTop w:val="0"/>
                  <w:marBottom w:val="0"/>
                  <w:divBdr>
                    <w:top w:val="none" w:sz="0" w:space="0" w:color="auto"/>
                    <w:left w:val="none" w:sz="0" w:space="0" w:color="auto"/>
                    <w:bottom w:val="none" w:sz="0" w:space="0" w:color="auto"/>
                    <w:right w:val="none" w:sz="0" w:space="0" w:color="auto"/>
                  </w:divBdr>
                  <w:divsChild>
                    <w:div w:id="1038120964">
                      <w:marLeft w:val="0"/>
                      <w:marRight w:val="0"/>
                      <w:marTop w:val="0"/>
                      <w:marBottom w:val="0"/>
                      <w:divBdr>
                        <w:top w:val="none" w:sz="0" w:space="0" w:color="auto"/>
                        <w:left w:val="none" w:sz="0" w:space="0" w:color="auto"/>
                        <w:bottom w:val="none" w:sz="0" w:space="0" w:color="auto"/>
                        <w:right w:val="none" w:sz="0" w:space="0" w:color="auto"/>
                      </w:divBdr>
                    </w:div>
                  </w:divsChild>
                </w:div>
                <w:div w:id="1571185801">
                  <w:marLeft w:val="0"/>
                  <w:marRight w:val="0"/>
                  <w:marTop w:val="0"/>
                  <w:marBottom w:val="0"/>
                  <w:divBdr>
                    <w:top w:val="none" w:sz="0" w:space="0" w:color="auto"/>
                    <w:left w:val="none" w:sz="0" w:space="0" w:color="auto"/>
                    <w:bottom w:val="none" w:sz="0" w:space="0" w:color="auto"/>
                    <w:right w:val="none" w:sz="0" w:space="0" w:color="auto"/>
                  </w:divBdr>
                  <w:divsChild>
                    <w:div w:id="1756197935">
                      <w:marLeft w:val="0"/>
                      <w:marRight w:val="0"/>
                      <w:marTop w:val="0"/>
                      <w:marBottom w:val="0"/>
                      <w:divBdr>
                        <w:top w:val="none" w:sz="0" w:space="0" w:color="auto"/>
                        <w:left w:val="none" w:sz="0" w:space="0" w:color="auto"/>
                        <w:bottom w:val="none" w:sz="0" w:space="0" w:color="auto"/>
                        <w:right w:val="none" w:sz="0" w:space="0" w:color="auto"/>
                      </w:divBdr>
                    </w:div>
                  </w:divsChild>
                </w:div>
                <w:div w:id="1627269560">
                  <w:marLeft w:val="0"/>
                  <w:marRight w:val="0"/>
                  <w:marTop w:val="0"/>
                  <w:marBottom w:val="0"/>
                  <w:divBdr>
                    <w:top w:val="none" w:sz="0" w:space="0" w:color="auto"/>
                    <w:left w:val="none" w:sz="0" w:space="0" w:color="auto"/>
                    <w:bottom w:val="none" w:sz="0" w:space="0" w:color="auto"/>
                    <w:right w:val="none" w:sz="0" w:space="0" w:color="auto"/>
                  </w:divBdr>
                  <w:divsChild>
                    <w:div w:id="405343535">
                      <w:marLeft w:val="0"/>
                      <w:marRight w:val="0"/>
                      <w:marTop w:val="0"/>
                      <w:marBottom w:val="0"/>
                      <w:divBdr>
                        <w:top w:val="none" w:sz="0" w:space="0" w:color="auto"/>
                        <w:left w:val="none" w:sz="0" w:space="0" w:color="auto"/>
                        <w:bottom w:val="none" w:sz="0" w:space="0" w:color="auto"/>
                        <w:right w:val="none" w:sz="0" w:space="0" w:color="auto"/>
                      </w:divBdr>
                    </w:div>
                  </w:divsChild>
                </w:div>
                <w:div w:id="1664550692">
                  <w:marLeft w:val="0"/>
                  <w:marRight w:val="0"/>
                  <w:marTop w:val="0"/>
                  <w:marBottom w:val="0"/>
                  <w:divBdr>
                    <w:top w:val="none" w:sz="0" w:space="0" w:color="auto"/>
                    <w:left w:val="none" w:sz="0" w:space="0" w:color="auto"/>
                    <w:bottom w:val="none" w:sz="0" w:space="0" w:color="auto"/>
                    <w:right w:val="none" w:sz="0" w:space="0" w:color="auto"/>
                  </w:divBdr>
                  <w:divsChild>
                    <w:div w:id="2042700661">
                      <w:marLeft w:val="0"/>
                      <w:marRight w:val="0"/>
                      <w:marTop w:val="0"/>
                      <w:marBottom w:val="0"/>
                      <w:divBdr>
                        <w:top w:val="none" w:sz="0" w:space="0" w:color="auto"/>
                        <w:left w:val="none" w:sz="0" w:space="0" w:color="auto"/>
                        <w:bottom w:val="none" w:sz="0" w:space="0" w:color="auto"/>
                        <w:right w:val="none" w:sz="0" w:space="0" w:color="auto"/>
                      </w:divBdr>
                    </w:div>
                  </w:divsChild>
                </w:div>
                <w:div w:id="1906603544">
                  <w:marLeft w:val="0"/>
                  <w:marRight w:val="0"/>
                  <w:marTop w:val="0"/>
                  <w:marBottom w:val="0"/>
                  <w:divBdr>
                    <w:top w:val="none" w:sz="0" w:space="0" w:color="auto"/>
                    <w:left w:val="none" w:sz="0" w:space="0" w:color="auto"/>
                    <w:bottom w:val="none" w:sz="0" w:space="0" w:color="auto"/>
                    <w:right w:val="none" w:sz="0" w:space="0" w:color="auto"/>
                  </w:divBdr>
                  <w:divsChild>
                    <w:div w:id="25836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800218">
      <w:bodyDiv w:val="1"/>
      <w:marLeft w:val="0"/>
      <w:marRight w:val="0"/>
      <w:marTop w:val="0"/>
      <w:marBottom w:val="0"/>
      <w:divBdr>
        <w:top w:val="none" w:sz="0" w:space="0" w:color="auto"/>
        <w:left w:val="none" w:sz="0" w:space="0" w:color="auto"/>
        <w:bottom w:val="none" w:sz="0" w:space="0" w:color="auto"/>
        <w:right w:val="none" w:sz="0" w:space="0" w:color="auto"/>
      </w:divBdr>
      <w:divsChild>
        <w:div w:id="837312066">
          <w:marLeft w:val="0"/>
          <w:marRight w:val="0"/>
          <w:marTop w:val="0"/>
          <w:marBottom w:val="0"/>
          <w:divBdr>
            <w:top w:val="none" w:sz="0" w:space="0" w:color="auto"/>
            <w:left w:val="none" w:sz="0" w:space="0" w:color="auto"/>
            <w:bottom w:val="none" w:sz="0" w:space="0" w:color="auto"/>
            <w:right w:val="none" w:sz="0" w:space="0" w:color="auto"/>
          </w:divBdr>
          <w:divsChild>
            <w:div w:id="514999652">
              <w:marLeft w:val="0"/>
              <w:marRight w:val="0"/>
              <w:marTop w:val="0"/>
              <w:marBottom w:val="0"/>
              <w:divBdr>
                <w:top w:val="none" w:sz="0" w:space="0" w:color="auto"/>
                <w:left w:val="none" w:sz="0" w:space="0" w:color="auto"/>
                <w:bottom w:val="none" w:sz="0" w:space="0" w:color="auto"/>
                <w:right w:val="none" w:sz="0" w:space="0" w:color="auto"/>
              </w:divBdr>
              <w:divsChild>
                <w:div w:id="28847895">
                  <w:marLeft w:val="0"/>
                  <w:marRight w:val="0"/>
                  <w:marTop w:val="0"/>
                  <w:marBottom w:val="0"/>
                  <w:divBdr>
                    <w:top w:val="none" w:sz="0" w:space="0" w:color="auto"/>
                    <w:left w:val="none" w:sz="0" w:space="0" w:color="auto"/>
                    <w:bottom w:val="none" w:sz="0" w:space="0" w:color="auto"/>
                    <w:right w:val="none" w:sz="0" w:space="0" w:color="auto"/>
                  </w:divBdr>
                  <w:divsChild>
                    <w:div w:id="46978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157370">
      <w:bodyDiv w:val="1"/>
      <w:marLeft w:val="0"/>
      <w:marRight w:val="0"/>
      <w:marTop w:val="0"/>
      <w:marBottom w:val="0"/>
      <w:divBdr>
        <w:top w:val="none" w:sz="0" w:space="0" w:color="auto"/>
        <w:left w:val="none" w:sz="0" w:space="0" w:color="auto"/>
        <w:bottom w:val="none" w:sz="0" w:space="0" w:color="auto"/>
        <w:right w:val="none" w:sz="0" w:space="0" w:color="auto"/>
      </w:divBdr>
      <w:divsChild>
        <w:div w:id="67121603">
          <w:marLeft w:val="0"/>
          <w:marRight w:val="0"/>
          <w:marTop w:val="0"/>
          <w:marBottom w:val="0"/>
          <w:divBdr>
            <w:top w:val="none" w:sz="0" w:space="0" w:color="auto"/>
            <w:left w:val="none" w:sz="0" w:space="0" w:color="auto"/>
            <w:bottom w:val="none" w:sz="0" w:space="0" w:color="auto"/>
            <w:right w:val="none" w:sz="0" w:space="0" w:color="auto"/>
          </w:divBdr>
          <w:divsChild>
            <w:div w:id="1546989912">
              <w:marLeft w:val="0"/>
              <w:marRight w:val="0"/>
              <w:marTop w:val="0"/>
              <w:marBottom w:val="0"/>
              <w:divBdr>
                <w:top w:val="none" w:sz="0" w:space="0" w:color="auto"/>
                <w:left w:val="none" w:sz="0" w:space="0" w:color="auto"/>
                <w:bottom w:val="none" w:sz="0" w:space="0" w:color="auto"/>
                <w:right w:val="none" w:sz="0" w:space="0" w:color="auto"/>
              </w:divBdr>
              <w:divsChild>
                <w:div w:id="3381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113472">
      <w:bodyDiv w:val="1"/>
      <w:marLeft w:val="0"/>
      <w:marRight w:val="0"/>
      <w:marTop w:val="0"/>
      <w:marBottom w:val="0"/>
      <w:divBdr>
        <w:top w:val="none" w:sz="0" w:space="0" w:color="auto"/>
        <w:left w:val="none" w:sz="0" w:space="0" w:color="auto"/>
        <w:bottom w:val="none" w:sz="0" w:space="0" w:color="auto"/>
        <w:right w:val="none" w:sz="0" w:space="0" w:color="auto"/>
      </w:divBdr>
      <w:divsChild>
        <w:div w:id="967123351">
          <w:marLeft w:val="0"/>
          <w:marRight w:val="0"/>
          <w:marTop w:val="0"/>
          <w:marBottom w:val="0"/>
          <w:divBdr>
            <w:top w:val="none" w:sz="0" w:space="0" w:color="auto"/>
            <w:left w:val="none" w:sz="0" w:space="0" w:color="auto"/>
            <w:bottom w:val="none" w:sz="0" w:space="0" w:color="auto"/>
            <w:right w:val="none" w:sz="0" w:space="0" w:color="auto"/>
          </w:divBdr>
          <w:divsChild>
            <w:div w:id="135072804">
              <w:marLeft w:val="0"/>
              <w:marRight w:val="0"/>
              <w:marTop w:val="0"/>
              <w:marBottom w:val="0"/>
              <w:divBdr>
                <w:top w:val="none" w:sz="0" w:space="0" w:color="auto"/>
                <w:left w:val="none" w:sz="0" w:space="0" w:color="auto"/>
                <w:bottom w:val="none" w:sz="0" w:space="0" w:color="auto"/>
                <w:right w:val="none" w:sz="0" w:space="0" w:color="auto"/>
              </w:divBdr>
              <w:divsChild>
                <w:div w:id="105600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988944">
      <w:bodyDiv w:val="1"/>
      <w:marLeft w:val="0"/>
      <w:marRight w:val="0"/>
      <w:marTop w:val="0"/>
      <w:marBottom w:val="0"/>
      <w:divBdr>
        <w:top w:val="none" w:sz="0" w:space="0" w:color="auto"/>
        <w:left w:val="none" w:sz="0" w:space="0" w:color="auto"/>
        <w:bottom w:val="none" w:sz="0" w:space="0" w:color="auto"/>
        <w:right w:val="none" w:sz="0" w:space="0" w:color="auto"/>
      </w:divBdr>
    </w:div>
    <w:div w:id="853541713">
      <w:bodyDiv w:val="1"/>
      <w:marLeft w:val="0"/>
      <w:marRight w:val="0"/>
      <w:marTop w:val="0"/>
      <w:marBottom w:val="0"/>
      <w:divBdr>
        <w:top w:val="none" w:sz="0" w:space="0" w:color="auto"/>
        <w:left w:val="none" w:sz="0" w:space="0" w:color="auto"/>
        <w:bottom w:val="none" w:sz="0" w:space="0" w:color="auto"/>
        <w:right w:val="none" w:sz="0" w:space="0" w:color="auto"/>
      </w:divBdr>
      <w:divsChild>
        <w:div w:id="1698778359">
          <w:marLeft w:val="0"/>
          <w:marRight w:val="0"/>
          <w:marTop w:val="0"/>
          <w:marBottom w:val="0"/>
          <w:divBdr>
            <w:top w:val="none" w:sz="0" w:space="0" w:color="auto"/>
            <w:left w:val="none" w:sz="0" w:space="0" w:color="auto"/>
            <w:bottom w:val="none" w:sz="0" w:space="0" w:color="auto"/>
            <w:right w:val="none" w:sz="0" w:space="0" w:color="auto"/>
          </w:divBdr>
          <w:divsChild>
            <w:div w:id="1797215177">
              <w:marLeft w:val="0"/>
              <w:marRight w:val="0"/>
              <w:marTop w:val="0"/>
              <w:marBottom w:val="0"/>
              <w:divBdr>
                <w:top w:val="none" w:sz="0" w:space="0" w:color="auto"/>
                <w:left w:val="none" w:sz="0" w:space="0" w:color="auto"/>
                <w:bottom w:val="none" w:sz="0" w:space="0" w:color="auto"/>
                <w:right w:val="none" w:sz="0" w:space="0" w:color="auto"/>
              </w:divBdr>
              <w:divsChild>
                <w:div w:id="351683755">
                  <w:marLeft w:val="0"/>
                  <w:marRight w:val="0"/>
                  <w:marTop w:val="105"/>
                  <w:marBottom w:val="0"/>
                  <w:divBdr>
                    <w:top w:val="none" w:sz="0" w:space="0" w:color="auto"/>
                    <w:left w:val="none" w:sz="0" w:space="0" w:color="auto"/>
                    <w:bottom w:val="none" w:sz="0" w:space="0" w:color="auto"/>
                    <w:right w:val="none" w:sz="0" w:space="0" w:color="auto"/>
                  </w:divBdr>
                  <w:divsChild>
                    <w:div w:id="1484194947">
                      <w:marLeft w:val="450"/>
                      <w:marRight w:val="225"/>
                      <w:marTop w:val="0"/>
                      <w:marBottom w:val="0"/>
                      <w:divBdr>
                        <w:top w:val="none" w:sz="0" w:space="0" w:color="auto"/>
                        <w:left w:val="none" w:sz="0" w:space="0" w:color="auto"/>
                        <w:bottom w:val="none" w:sz="0" w:space="0" w:color="auto"/>
                        <w:right w:val="none" w:sz="0" w:space="0" w:color="auto"/>
                      </w:divBdr>
                      <w:divsChild>
                        <w:div w:id="2005475609">
                          <w:marLeft w:val="0"/>
                          <w:marRight w:val="0"/>
                          <w:marTop w:val="0"/>
                          <w:marBottom w:val="600"/>
                          <w:divBdr>
                            <w:top w:val="single" w:sz="6" w:space="0" w:color="314664"/>
                            <w:left w:val="single" w:sz="6" w:space="0" w:color="314664"/>
                            <w:bottom w:val="single" w:sz="6" w:space="0" w:color="314664"/>
                            <w:right w:val="single" w:sz="6" w:space="0" w:color="314664"/>
                          </w:divBdr>
                          <w:divsChild>
                            <w:div w:id="1396124661">
                              <w:marLeft w:val="0"/>
                              <w:marRight w:val="0"/>
                              <w:marTop w:val="0"/>
                              <w:marBottom w:val="0"/>
                              <w:divBdr>
                                <w:top w:val="none" w:sz="0" w:space="0" w:color="auto"/>
                                <w:left w:val="none" w:sz="0" w:space="0" w:color="auto"/>
                                <w:bottom w:val="none" w:sz="0" w:space="0" w:color="auto"/>
                                <w:right w:val="none" w:sz="0" w:space="0" w:color="auto"/>
                              </w:divBdr>
                              <w:divsChild>
                                <w:div w:id="1928035539">
                                  <w:marLeft w:val="0"/>
                                  <w:marRight w:val="0"/>
                                  <w:marTop w:val="0"/>
                                  <w:marBottom w:val="0"/>
                                  <w:divBdr>
                                    <w:top w:val="none" w:sz="0" w:space="0" w:color="auto"/>
                                    <w:left w:val="none" w:sz="0" w:space="0" w:color="auto"/>
                                    <w:bottom w:val="none" w:sz="0" w:space="0" w:color="auto"/>
                                    <w:right w:val="none" w:sz="0" w:space="0" w:color="auto"/>
                                  </w:divBdr>
                                  <w:divsChild>
                                    <w:div w:id="1903832343">
                                      <w:marLeft w:val="0"/>
                                      <w:marRight w:val="0"/>
                                      <w:marTop w:val="0"/>
                                      <w:marBottom w:val="0"/>
                                      <w:divBdr>
                                        <w:top w:val="none" w:sz="0" w:space="0" w:color="auto"/>
                                        <w:left w:val="none" w:sz="0" w:space="0" w:color="auto"/>
                                        <w:bottom w:val="none" w:sz="0" w:space="0" w:color="auto"/>
                                        <w:right w:val="none" w:sz="0" w:space="0" w:color="auto"/>
                                      </w:divBdr>
                                      <w:divsChild>
                                        <w:div w:id="1170753187">
                                          <w:marLeft w:val="0"/>
                                          <w:marRight w:val="0"/>
                                          <w:marTop w:val="0"/>
                                          <w:marBottom w:val="0"/>
                                          <w:divBdr>
                                            <w:top w:val="none" w:sz="0" w:space="0" w:color="auto"/>
                                            <w:left w:val="none" w:sz="0" w:space="0" w:color="auto"/>
                                            <w:bottom w:val="none" w:sz="0" w:space="0" w:color="auto"/>
                                            <w:right w:val="none" w:sz="0" w:space="0" w:color="auto"/>
                                          </w:divBdr>
                                          <w:divsChild>
                                            <w:div w:id="1109278646">
                                              <w:marLeft w:val="0"/>
                                              <w:marRight w:val="0"/>
                                              <w:marTop w:val="0"/>
                                              <w:marBottom w:val="0"/>
                                              <w:divBdr>
                                                <w:top w:val="none" w:sz="0" w:space="0" w:color="auto"/>
                                                <w:left w:val="none" w:sz="0" w:space="0" w:color="auto"/>
                                                <w:bottom w:val="none" w:sz="0" w:space="0" w:color="auto"/>
                                                <w:right w:val="none" w:sz="0" w:space="0" w:color="auto"/>
                                              </w:divBdr>
                                              <w:divsChild>
                                                <w:div w:id="1056899194">
                                                  <w:marLeft w:val="0"/>
                                                  <w:marRight w:val="0"/>
                                                  <w:marTop w:val="0"/>
                                                  <w:marBottom w:val="0"/>
                                                  <w:divBdr>
                                                    <w:top w:val="none" w:sz="0" w:space="0" w:color="auto"/>
                                                    <w:left w:val="none" w:sz="0" w:space="0" w:color="auto"/>
                                                    <w:bottom w:val="none" w:sz="0" w:space="0" w:color="auto"/>
                                                    <w:right w:val="none" w:sz="0" w:space="0" w:color="auto"/>
                                                  </w:divBdr>
                                                  <w:divsChild>
                                                    <w:div w:id="874122222">
                                                      <w:marLeft w:val="0"/>
                                                      <w:marRight w:val="0"/>
                                                      <w:marTop w:val="0"/>
                                                      <w:marBottom w:val="0"/>
                                                      <w:divBdr>
                                                        <w:top w:val="none" w:sz="0" w:space="0" w:color="auto"/>
                                                        <w:left w:val="none" w:sz="0" w:space="0" w:color="auto"/>
                                                        <w:bottom w:val="none" w:sz="0" w:space="0" w:color="auto"/>
                                                        <w:right w:val="none" w:sz="0" w:space="0" w:color="auto"/>
                                                      </w:divBdr>
                                                      <w:divsChild>
                                                        <w:div w:id="35292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5342873">
      <w:bodyDiv w:val="1"/>
      <w:marLeft w:val="0"/>
      <w:marRight w:val="0"/>
      <w:marTop w:val="0"/>
      <w:marBottom w:val="0"/>
      <w:divBdr>
        <w:top w:val="none" w:sz="0" w:space="0" w:color="auto"/>
        <w:left w:val="none" w:sz="0" w:space="0" w:color="auto"/>
        <w:bottom w:val="none" w:sz="0" w:space="0" w:color="auto"/>
        <w:right w:val="none" w:sz="0" w:space="0" w:color="auto"/>
      </w:divBdr>
      <w:divsChild>
        <w:div w:id="270819596">
          <w:marLeft w:val="0"/>
          <w:marRight w:val="0"/>
          <w:marTop w:val="0"/>
          <w:marBottom w:val="0"/>
          <w:divBdr>
            <w:top w:val="none" w:sz="0" w:space="0" w:color="auto"/>
            <w:left w:val="none" w:sz="0" w:space="0" w:color="auto"/>
            <w:bottom w:val="none" w:sz="0" w:space="0" w:color="auto"/>
            <w:right w:val="none" w:sz="0" w:space="0" w:color="auto"/>
          </w:divBdr>
          <w:divsChild>
            <w:div w:id="2108309285">
              <w:marLeft w:val="0"/>
              <w:marRight w:val="0"/>
              <w:marTop w:val="0"/>
              <w:marBottom w:val="0"/>
              <w:divBdr>
                <w:top w:val="none" w:sz="0" w:space="0" w:color="auto"/>
                <w:left w:val="none" w:sz="0" w:space="0" w:color="auto"/>
                <w:bottom w:val="none" w:sz="0" w:space="0" w:color="auto"/>
                <w:right w:val="none" w:sz="0" w:space="0" w:color="auto"/>
              </w:divBdr>
              <w:divsChild>
                <w:div w:id="195474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284528">
      <w:bodyDiv w:val="1"/>
      <w:marLeft w:val="0"/>
      <w:marRight w:val="0"/>
      <w:marTop w:val="0"/>
      <w:marBottom w:val="0"/>
      <w:divBdr>
        <w:top w:val="none" w:sz="0" w:space="0" w:color="auto"/>
        <w:left w:val="none" w:sz="0" w:space="0" w:color="auto"/>
        <w:bottom w:val="none" w:sz="0" w:space="0" w:color="auto"/>
        <w:right w:val="none" w:sz="0" w:space="0" w:color="auto"/>
      </w:divBdr>
      <w:divsChild>
        <w:div w:id="2003924154">
          <w:marLeft w:val="0"/>
          <w:marRight w:val="0"/>
          <w:marTop w:val="0"/>
          <w:marBottom w:val="0"/>
          <w:divBdr>
            <w:top w:val="none" w:sz="0" w:space="0" w:color="auto"/>
            <w:left w:val="none" w:sz="0" w:space="0" w:color="auto"/>
            <w:bottom w:val="none" w:sz="0" w:space="0" w:color="auto"/>
            <w:right w:val="none" w:sz="0" w:space="0" w:color="auto"/>
          </w:divBdr>
          <w:divsChild>
            <w:div w:id="304742740">
              <w:marLeft w:val="0"/>
              <w:marRight w:val="0"/>
              <w:marTop w:val="0"/>
              <w:marBottom w:val="0"/>
              <w:divBdr>
                <w:top w:val="none" w:sz="0" w:space="0" w:color="auto"/>
                <w:left w:val="none" w:sz="0" w:space="0" w:color="auto"/>
                <w:bottom w:val="none" w:sz="0" w:space="0" w:color="auto"/>
                <w:right w:val="none" w:sz="0" w:space="0" w:color="auto"/>
              </w:divBdr>
              <w:divsChild>
                <w:div w:id="49767578">
                  <w:marLeft w:val="0"/>
                  <w:marRight w:val="0"/>
                  <w:marTop w:val="0"/>
                  <w:marBottom w:val="0"/>
                  <w:divBdr>
                    <w:top w:val="none" w:sz="0" w:space="0" w:color="auto"/>
                    <w:left w:val="none" w:sz="0" w:space="0" w:color="auto"/>
                    <w:bottom w:val="none" w:sz="0" w:space="0" w:color="auto"/>
                    <w:right w:val="none" w:sz="0" w:space="0" w:color="auto"/>
                  </w:divBdr>
                </w:div>
                <w:div w:id="1674332368">
                  <w:marLeft w:val="0"/>
                  <w:marRight w:val="0"/>
                  <w:marTop w:val="0"/>
                  <w:marBottom w:val="0"/>
                  <w:divBdr>
                    <w:top w:val="none" w:sz="0" w:space="0" w:color="auto"/>
                    <w:left w:val="none" w:sz="0" w:space="0" w:color="auto"/>
                    <w:bottom w:val="none" w:sz="0" w:space="0" w:color="auto"/>
                    <w:right w:val="none" w:sz="0" w:space="0" w:color="auto"/>
                  </w:divBdr>
                </w:div>
              </w:divsChild>
            </w:div>
            <w:div w:id="1366976872">
              <w:marLeft w:val="0"/>
              <w:marRight w:val="0"/>
              <w:marTop w:val="0"/>
              <w:marBottom w:val="0"/>
              <w:divBdr>
                <w:top w:val="none" w:sz="0" w:space="0" w:color="auto"/>
                <w:left w:val="none" w:sz="0" w:space="0" w:color="auto"/>
                <w:bottom w:val="none" w:sz="0" w:space="0" w:color="auto"/>
                <w:right w:val="none" w:sz="0" w:space="0" w:color="auto"/>
              </w:divBdr>
              <w:divsChild>
                <w:div w:id="203661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155339">
      <w:bodyDiv w:val="1"/>
      <w:marLeft w:val="0"/>
      <w:marRight w:val="0"/>
      <w:marTop w:val="0"/>
      <w:marBottom w:val="0"/>
      <w:divBdr>
        <w:top w:val="none" w:sz="0" w:space="0" w:color="auto"/>
        <w:left w:val="none" w:sz="0" w:space="0" w:color="auto"/>
        <w:bottom w:val="none" w:sz="0" w:space="0" w:color="auto"/>
        <w:right w:val="none" w:sz="0" w:space="0" w:color="auto"/>
      </w:divBdr>
      <w:divsChild>
        <w:div w:id="858785320">
          <w:marLeft w:val="0"/>
          <w:marRight w:val="0"/>
          <w:marTop w:val="0"/>
          <w:marBottom w:val="0"/>
          <w:divBdr>
            <w:top w:val="none" w:sz="0" w:space="0" w:color="auto"/>
            <w:left w:val="none" w:sz="0" w:space="0" w:color="auto"/>
            <w:bottom w:val="none" w:sz="0" w:space="0" w:color="auto"/>
            <w:right w:val="none" w:sz="0" w:space="0" w:color="auto"/>
          </w:divBdr>
          <w:divsChild>
            <w:div w:id="1953436384">
              <w:marLeft w:val="0"/>
              <w:marRight w:val="0"/>
              <w:marTop w:val="0"/>
              <w:marBottom w:val="0"/>
              <w:divBdr>
                <w:top w:val="none" w:sz="0" w:space="0" w:color="auto"/>
                <w:left w:val="none" w:sz="0" w:space="0" w:color="auto"/>
                <w:bottom w:val="none" w:sz="0" w:space="0" w:color="auto"/>
                <w:right w:val="none" w:sz="0" w:space="0" w:color="auto"/>
              </w:divBdr>
              <w:divsChild>
                <w:div w:id="190888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7733">
      <w:bodyDiv w:val="1"/>
      <w:marLeft w:val="0"/>
      <w:marRight w:val="0"/>
      <w:marTop w:val="0"/>
      <w:marBottom w:val="0"/>
      <w:divBdr>
        <w:top w:val="none" w:sz="0" w:space="0" w:color="auto"/>
        <w:left w:val="none" w:sz="0" w:space="0" w:color="auto"/>
        <w:bottom w:val="none" w:sz="0" w:space="0" w:color="auto"/>
        <w:right w:val="none" w:sz="0" w:space="0" w:color="auto"/>
      </w:divBdr>
      <w:divsChild>
        <w:div w:id="469859411">
          <w:marLeft w:val="0"/>
          <w:marRight w:val="0"/>
          <w:marTop w:val="0"/>
          <w:marBottom w:val="0"/>
          <w:divBdr>
            <w:top w:val="none" w:sz="0" w:space="0" w:color="auto"/>
            <w:left w:val="none" w:sz="0" w:space="0" w:color="auto"/>
            <w:bottom w:val="none" w:sz="0" w:space="0" w:color="auto"/>
            <w:right w:val="none" w:sz="0" w:space="0" w:color="auto"/>
          </w:divBdr>
          <w:divsChild>
            <w:div w:id="1937401010">
              <w:marLeft w:val="0"/>
              <w:marRight w:val="0"/>
              <w:marTop w:val="0"/>
              <w:marBottom w:val="0"/>
              <w:divBdr>
                <w:top w:val="none" w:sz="0" w:space="0" w:color="auto"/>
                <w:left w:val="none" w:sz="0" w:space="0" w:color="auto"/>
                <w:bottom w:val="none" w:sz="0" w:space="0" w:color="auto"/>
                <w:right w:val="none" w:sz="0" w:space="0" w:color="auto"/>
              </w:divBdr>
              <w:divsChild>
                <w:div w:id="109119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22956">
      <w:bodyDiv w:val="1"/>
      <w:marLeft w:val="0"/>
      <w:marRight w:val="0"/>
      <w:marTop w:val="0"/>
      <w:marBottom w:val="0"/>
      <w:divBdr>
        <w:top w:val="none" w:sz="0" w:space="0" w:color="auto"/>
        <w:left w:val="none" w:sz="0" w:space="0" w:color="auto"/>
        <w:bottom w:val="none" w:sz="0" w:space="0" w:color="auto"/>
        <w:right w:val="none" w:sz="0" w:space="0" w:color="auto"/>
      </w:divBdr>
      <w:divsChild>
        <w:div w:id="407769778">
          <w:marLeft w:val="0"/>
          <w:marRight w:val="0"/>
          <w:marTop w:val="0"/>
          <w:marBottom w:val="0"/>
          <w:divBdr>
            <w:top w:val="none" w:sz="0" w:space="0" w:color="auto"/>
            <w:left w:val="none" w:sz="0" w:space="0" w:color="auto"/>
            <w:bottom w:val="none" w:sz="0" w:space="0" w:color="auto"/>
            <w:right w:val="none" w:sz="0" w:space="0" w:color="auto"/>
          </w:divBdr>
        </w:div>
      </w:divsChild>
    </w:div>
    <w:div w:id="1065030579">
      <w:bodyDiv w:val="1"/>
      <w:marLeft w:val="0"/>
      <w:marRight w:val="0"/>
      <w:marTop w:val="0"/>
      <w:marBottom w:val="0"/>
      <w:divBdr>
        <w:top w:val="none" w:sz="0" w:space="0" w:color="auto"/>
        <w:left w:val="none" w:sz="0" w:space="0" w:color="auto"/>
        <w:bottom w:val="none" w:sz="0" w:space="0" w:color="auto"/>
        <w:right w:val="none" w:sz="0" w:space="0" w:color="auto"/>
      </w:divBdr>
      <w:divsChild>
        <w:div w:id="749041994">
          <w:marLeft w:val="0"/>
          <w:marRight w:val="0"/>
          <w:marTop w:val="0"/>
          <w:marBottom w:val="0"/>
          <w:divBdr>
            <w:top w:val="none" w:sz="0" w:space="0" w:color="auto"/>
            <w:left w:val="none" w:sz="0" w:space="0" w:color="auto"/>
            <w:bottom w:val="none" w:sz="0" w:space="0" w:color="auto"/>
            <w:right w:val="none" w:sz="0" w:space="0" w:color="auto"/>
          </w:divBdr>
          <w:divsChild>
            <w:div w:id="1711607010">
              <w:marLeft w:val="0"/>
              <w:marRight w:val="0"/>
              <w:marTop w:val="0"/>
              <w:marBottom w:val="0"/>
              <w:divBdr>
                <w:top w:val="none" w:sz="0" w:space="0" w:color="auto"/>
                <w:left w:val="none" w:sz="0" w:space="0" w:color="auto"/>
                <w:bottom w:val="none" w:sz="0" w:space="0" w:color="auto"/>
                <w:right w:val="none" w:sz="0" w:space="0" w:color="auto"/>
              </w:divBdr>
              <w:divsChild>
                <w:div w:id="1859152452">
                  <w:marLeft w:val="0"/>
                  <w:marRight w:val="0"/>
                  <w:marTop w:val="0"/>
                  <w:marBottom w:val="0"/>
                  <w:divBdr>
                    <w:top w:val="none" w:sz="0" w:space="0" w:color="auto"/>
                    <w:left w:val="none" w:sz="0" w:space="0" w:color="auto"/>
                    <w:bottom w:val="none" w:sz="0" w:space="0" w:color="auto"/>
                    <w:right w:val="none" w:sz="0" w:space="0" w:color="auto"/>
                  </w:divBdr>
                </w:div>
              </w:divsChild>
            </w:div>
            <w:div w:id="1894847637">
              <w:marLeft w:val="0"/>
              <w:marRight w:val="0"/>
              <w:marTop w:val="0"/>
              <w:marBottom w:val="0"/>
              <w:divBdr>
                <w:top w:val="none" w:sz="0" w:space="0" w:color="auto"/>
                <w:left w:val="none" w:sz="0" w:space="0" w:color="auto"/>
                <w:bottom w:val="none" w:sz="0" w:space="0" w:color="auto"/>
                <w:right w:val="none" w:sz="0" w:space="0" w:color="auto"/>
              </w:divBdr>
              <w:divsChild>
                <w:div w:id="239801999">
                  <w:marLeft w:val="0"/>
                  <w:marRight w:val="0"/>
                  <w:marTop w:val="0"/>
                  <w:marBottom w:val="0"/>
                  <w:divBdr>
                    <w:top w:val="none" w:sz="0" w:space="0" w:color="auto"/>
                    <w:left w:val="none" w:sz="0" w:space="0" w:color="auto"/>
                    <w:bottom w:val="none" w:sz="0" w:space="0" w:color="auto"/>
                    <w:right w:val="none" w:sz="0" w:space="0" w:color="auto"/>
                  </w:divBdr>
                </w:div>
                <w:div w:id="10164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140471">
      <w:bodyDiv w:val="1"/>
      <w:marLeft w:val="0"/>
      <w:marRight w:val="0"/>
      <w:marTop w:val="0"/>
      <w:marBottom w:val="0"/>
      <w:divBdr>
        <w:top w:val="none" w:sz="0" w:space="0" w:color="auto"/>
        <w:left w:val="none" w:sz="0" w:space="0" w:color="auto"/>
        <w:bottom w:val="none" w:sz="0" w:space="0" w:color="auto"/>
        <w:right w:val="none" w:sz="0" w:space="0" w:color="auto"/>
      </w:divBdr>
      <w:divsChild>
        <w:div w:id="232931104">
          <w:marLeft w:val="0"/>
          <w:marRight w:val="0"/>
          <w:marTop w:val="0"/>
          <w:marBottom w:val="0"/>
          <w:divBdr>
            <w:top w:val="none" w:sz="0" w:space="0" w:color="auto"/>
            <w:left w:val="none" w:sz="0" w:space="0" w:color="auto"/>
            <w:bottom w:val="none" w:sz="0" w:space="0" w:color="auto"/>
            <w:right w:val="none" w:sz="0" w:space="0" w:color="auto"/>
          </w:divBdr>
          <w:divsChild>
            <w:div w:id="690306566">
              <w:marLeft w:val="0"/>
              <w:marRight w:val="0"/>
              <w:marTop w:val="0"/>
              <w:marBottom w:val="0"/>
              <w:divBdr>
                <w:top w:val="none" w:sz="0" w:space="0" w:color="auto"/>
                <w:left w:val="none" w:sz="0" w:space="0" w:color="auto"/>
                <w:bottom w:val="none" w:sz="0" w:space="0" w:color="auto"/>
                <w:right w:val="none" w:sz="0" w:space="0" w:color="auto"/>
              </w:divBdr>
              <w:divsChild>
                <w:div w:id="76981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33224">
      <w:bodyDiv w:val="1"/>
      <w:marLeft w:val="0"/>
      <w:marRight w:val="0"/>
      <w:marTop w:val="0"/>
      <w:marBottom w:val="0"/>
      <w:divBdr>
        <w:top w:val="none" w:sz="0" w:space="0" w:color="auto"/>
        <w:left w:val="none" w:sz="0" w:space="0" w:color="auto"/>
        <w:bottom w:val="none" w:sz="0" w:space="0" w:color="auto"/>
        <w:right w:val="none" w:sz="0" w:space="0" w:color="auto"/>
      </w:divBdr>
      <w:divsChild>
        <w:div w:id="409230875">
          <w:marLeft w:val="0"/>
          <w:marRight w:val="0"/>
          <w:marTop w:val="0"/>
          <w:marBottom w:val="0"/>
          <w:divBdr>
            <w:top w:val="none" w:sz="0" w:space="0" w:color="auto"/>
            <w:left w:val="none" w:sz="0" w:space="0" w:color="auto"/>
            <w:bottom w:val="none" w:sz="0" w:space="0" w:color="auto"/>
            <w:right w:val="none" w:sz="0" w:space="0" w:color="auto"/>
          </w:divBdr>
          <w:divsChild>
            <w:div w:id="940726516">
              <w:marLeft w:val="0"/>
              <w:marRight w:val="0"/>
              <w:marTop w:val="0"/>
              <w:marBottom w:val="0"/>
              <w:divBdr>
                <w:top w:val="none" w:sz="0" w:space="0" w:color="auto"/>
                <w:left w:val="none" w:sz="0" w:space="0" w:color="auto"/>
                <w:bottom w:val="none" w:sz="0" w:space="0" w:color="auto"/>
                <w:right w:val="none" w:sz="0" w:space="0" w:color="auto"/>
              </w:divBdr>
              <w:divsChild>
                <w:div w:id="19951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1031">
      <w:bodyDiv w:val="1"/>
      <w:marLeft w:val="0"/>
      <w:marRight w:val="0"/>
      <w:marTop w:val="0"/>
      <w:marBottom w:val="0"/>
      <w:divBdr>
        <w:top w:val="none" w:sz="0" w:space="0" w:color="auto"/>
        <w:left w:val="none" w:sz="0" w:space="0" w:color="auto"/>
        <w:bottom w:val="none" w:sz="0" w:space="0" w:color="auto"/>
        <w:right w:val="none" w:sz="0" w:space="0" w:color="auto"/>
      </w:divBdr>
      <w:divsChild>
        <w:div w:id="360058650">
          <w:marLeft w:val="336"/>
          <w:marRight w:val="0"/>
          <w:marTop w:val="120"/>
          <w:marBottom w:val="312"/>
          <w:divBdr>
            <w:top w:val="none" w:sz="0" w:space="0" w:color="auto"/>
            <w:left w:val="none" w:sz="0" w:space="0" w:color="auto"/>
            <w:bottom w:val="none" w:sz="0" w:space="0" w:color="auto"/>
            <w:right w:val="none" w:sz="0" w:space="0" w:color="auto"/>
          </w:divBdr>
          <w:divsChild>
            <w:div w:id="162033100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88576272">
          <w:marLeft w:val="0"/>
          <w:marRight w:val="0"/>
          <w:marTop w:val="0"/>
          <w:marBottom w:val="120"/>
          <w:divBdr>
            <w:top w:val="none" w:sz="0" w:space="0" w:color="auto"/>
            <w:left w:val="none" w:sz="0" w:space="0" w:color="auto"/>
            <w:bottom w:val="none" w:sz="0" w:space="0" w:color="auto"/>
            <w:right w:val="none" w:sz="0" w:space="0" w:color="auto"/>
          </w:divBdr>
        </w:div>
        <w:div w:id="424692777">
          <w:marLeft w:val="336"/>
          <w:marRight w:val="0"/>
          <w:marTop w:val="120"/>
          <w:marBottom w:val="312"/>
          <w:divBdr>
            <w:top w:val="none" w:sz="0" w:space="0" w:color="auto"/>
            <w:left w:val="none" w:sz="0" w:space="0" w:color="auto"/>
            <w:bottom w:val="none" w:sz="0" w:space="0" w:color="auto"/>
            <w:right w:val="none" w:sz="0" w:space="0" w:color="auto"/>
          </w:divBdr>
          <w:divsChild>
            <w:div w:id="164038405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31099047">
          <w:marLeft w:val="336"/>
          <w:marRight w:val="0"/>
          <w:marTop w:val="120"/>
          <w:marBottom w:val="312"/>
          <w:divBdr>
            <w:top w:val="none" w:sz="0" w:space="0" w:color="auto"/>
            <w:left w:val="none" w:sz="0" w:space="0" w:color="auto"/>
            <w:bottom w:val="none" w:sz="0" w:space="0" w:color="auto"/>
            <w:right w:val="none" w:sz="0" w:space="0" w:color="auto"/>
          </w:divBdr>
          <w:divsChild>
            <w:div w:id="247910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46463569">
          <w:marLeft w:val="0"/>
          <w:marRight w:val="0"/>
          <w:marTop w:val="0"/>
          <w:marBottom w:val="0"/>
          <w:divBdr>
            <w:top w:val="none" w:sz="0" w:space="0" w:color="auto"/>
            <w:left w:val="none" w:sz="0" w:space="0" w:color="auto"/>
            <w:bottom w:val="none" w:sz="0" w:space="0" w:color="auto"/>
            <w:right w:val="none" w:sz="0" w:space="0" w:color="auto"/>
          </w:divBdr>
        </w:div>
        <w:div w:id="1474172412">
          <w:marLeft w:val="0"/>
          <w:marRight w:val="0"/>
          <w:marTop w:val="0"/>
          <w:marBottom w:val="120"/>
          <w:divBdr>
            <w:top w:val="none" w:sz="0" w:space="0" w:color="auto"/>
            <w:left w:val="none" w:sz="0" w:space="0" w:color="auto"/>
            <w:bottom w:val="none" w:sz="0" w:space="0" w:color="auto"/>
            <w:right w:val="none" w:sz="0" w:space="0" w:color="auto"/>
          </w:divBdr>
        </w:div>
        <w:div w:id="1835418087">
          <w:marLeft w:val="0"/>
          <w:marRight w:val="0"/>
          <w:marTop w:val="0"/>
          <w:marBottom w:val="0"/>
          <w:divBdr>
            <w:top w:val="none" w:sz="0" w:space="0" w:color="auto"/>
            <w:left w:val="none" w:sz="0" w:space="0" w:color="auto"/>
            <w:bottom w:val="none" w:sz="0" w:space="0" w:color="auto"/>
            <w:right w:val="none" w:sz="0" w:space="0" w:color="auto"/>
          </w:divBdr>
        </w:div>
        <w:div w:id="2079666470">
          <w:marLeft w:val="336"/>
          <w:marRight w:val="0"/>
          <w:marTop w:val="120"/>
          <w:marBottom w:val="312"/>
          <w:divBdr>
            <w:top w:val="none" w:sz="0" w:space="0" w:color="auto"/>
            <w:left w:val="none" w:sz="0" w:space="0" w:color="auto"/>
            <w:bottom w:val="none" w:sz="0" w:space="0" w:color="auto"/>
            <w:right w:val="none" w:sz="0" w:space="0" w:color="auto"/>
          </w:divBdr>
          <w:divsChild>
            <w:div w:id="196380485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32622477">
      <w:bodyDiv w:val="1"/>
      <w:marLeft w:val="0"/>
      <w:marRight w:val="0"/>
      <w:marTop w:val="0"/>
      <w:marBottom w:val="0"/>
      <w:divBdr>
        <w:top w:val="none" w:sz="0" w:space="0" w:color="auto"/>
        <w:left w:val="none" w:sz="0" w:space="0" w:color="auto"/>
        <w:bottom w:val="none" w:sz="0" w:space="0" w:color="auto"/>
        <w:right w:val="none" w:sz="0" w:space="0" w:color="auto"/>
      </w:divBdr>
      <w:divsChild>
        <w:div w:id="2146895164">
          <w:marLeft w:val="0"/>
          <w:marRight w:val="0"/>
          <w:marTop w:val="0"/>
          <w:marBottom w:val="0"/>
          <w:divBdr>
            <w:top w:val="none" w:sz="0" w:space="0" w:color="auto"/>
            <w:left w:val="none" w:sz="0" w:space="0" w:color="auto"/>
            <w:bottom w:val="none" w:sz="0" w:space="0" w:color="auto"/>
            <w:right w:val="none" w:sz="0" w:space="0" w:color="auto"/>
          </w:divBdr>
          <w:divsChild>
            <w:div w:id="209999661">
              <w:marLeft w:val="0"/>
              <w:marRight w:val="0"/>
              <w:marTop w:val="0"/>
              <w:marBottom w:val="0"/>
              <w:divBdr>
                <w:top w:val="none" w:sz="0" w:space="0" w:color="auto"/>
                <w:left w:val="none" w:sz="0" w:space="0" w:color="auto"/>
                <w:bottom w:val="none" w:sz="0" w:space="0" w:color="auto"/>
                <w:right w:val="none" w:sz="0" w:space="0" w:color="auto"/>
              </w:divBdr>
              <w:divsChild>
                <w:div w:id="1978681973">
                  <w:marLeft w:val="0"/>
                  <w:marRight w:val="0"/>
                  <w:marTop w:val="0"/>
                  <w:marBottom w:val="0"/>
                  <w:divBdr>
                    <w:top w:val="none" w:sz="0" w:space="0" w:color="auto"/>
                    <w:left w:val="none" w:sz="0" w:space="0" w:color="auto"/>
                    <w:bottom w:val="none" w:sz="0" w:space="0" w:color="auto"/>
                    <w:right w:val="none" w:sz="0" w:space="0" w:color="auto"/>
                  </w:divBdr>
                  <w:divsChild>
                    <w:div w:id="118254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058358">
      <w:bodyDiv w:val="1"/>
      <w:marLeft w:val="0"/>
      <w:marRight w:val="0"/>
      <w:marTop w:val="0"/>
      <w:marBottom w:val="0"/>
      <w:divBdr>
        <w:top w:val="none" w:sz="0" w:space="0" w:color="auto"/>
        <w:left w:val="none" w:sz="0" w:space="0" w:color="auto"/>
        <w:bottom w:val="none" w:sz="0" w:space="0" w:color="auto"/>
        <w:right w:val="none" w:sz="0" w:space="0" w:color="auto"/>
      </w:divBdr>
      <w:divsChild>
        <w:div w:id="182592403">
          <w:marLeft w:val="0"/>
          <w:marRight w:val="0"/>
          <w:marTop w:val="0"/>
          <w:marBottom w:val="0"/>
          <w:divBdr>
            <w:top w:val="none" w:sz="0" w:space="0" w:color="auto"/>
            <w:left w:val="none" w:sz="0" w:space="0" w:color="auto"/>
            <w:bottom w:val="none" w:sz="0" w:space="0" w:color="auto"/>
            <w:right w:val="none" w:sz="0" w:space="0" w:color="auto"/>
          </w:divBdr>
          <w:divsChild>
            <w:div w:id="1161197960">
              <w:marLeft w:val="0"/>
              <w:marRight w:val="0"/>
              <w:marTop w:val="0"/>
              <w:marBottom w:val="0"/>
              <w:divBdr>
                <w:top w:val="none" w:sz="0" w:space="0" w:color="auto"/>
                <w:left w:val="none" w:sz="0" w:space="0" w:color="auto"/>
                <w:bottom w:val="none" w:sz="0" w:space="0" w:color="auto"/>
                <w:right w:val="none" w:sz="0" w:space="0" w:color="auto"/>
              </w:divBdr>
            </w:div>
          </w:divsChild>
        </w:div>
        <w:div w:id="406727710">
          <w:marLeft w:val="0"/>
          <w:marRight w:val="0"/>
          <w:marTop w:val="0"/>
          <w:marBottom w:val="0"/>
          <w:divBdr>
            <w:top w:val="none" w:sz="0" w:space="0" w:color="auto"/>
            <w:left w:val="none" w:sz="0" w:space="0" w:color="auto"/>
            <w:bottom w:val="none" w:sz="0" w:space="0" w:color="auto"/>
            <w:right w:val="none" w:sz="0" w:space="0" w:color="auto"/>
          </w:divBdr>
          <w:divsChild>
            <w:div w:id="135530708">
              <w:marLeft w:val="0"/>
              <w:marRight w:val="0"/>
              <w:marTop w:val="0"/>
              <w:marBottom w:val="0"/>
              <w:divBdr>
                <w:top w:val="none" w:sz="0" w:space="0" w:color="auto"/>
                <w:left w:val="none" w:sz="0" w:space="0" w:color="auto"/>
                <w:bottom w:val="none" w:sz="0" w:space="0" w:color="auto"/>
                <w:right w:val="none" w:sz="0" w:space="0" w:color="auto"/>
              </w:divBdr>
              <w:divsChild>
                <w:div w:id="517039928">
                  <w:marLeft w:val="0"/>
                  <w:marRight w:val="0"/>
                  <w:marTop w:val="0"/>
                  <w:marBottom w:val="0"/>
                  <w:divBdr>
                    <w:top w:val="none" w:sz="0" w:space="0" w:color="auto"/>
                    <w:left w:val="none" w:sz="0" w:space="0" w:color="auto"/>
                    <w:bottom w:val="none" w:sz="0" w:space="0" w:color="auto"/>
                    <w:right w:val="none" w:sz="0" w:space="0" w:color="auto"/>
                  </w:divBdr>
                </w:div>
              </w:divsChild>
            </w:div>
            <w:div w:id="243222287">
              <w:marLeft w:val="0"/>
              <w:marRight w:val="0"/>
              <w:marTop w:val="0"/>
              <w:marBottom w:val="0"/>
              <w:divBdr>
                <w:top w:val="none" w:sz="0" w:space="0" w:color="auto"/>
                <w:left w:val="none" w:sz="0" w:space="0" w:color="auto"/>
                <w:bottom w:val="none" w:sz="0" w:space="0" w:color="auto"/>
                <w:right w:val="none" w:sz="0" w:space="0" w:color="auto"/>
              </w:divBdr>
              <w:divsChild>
                <w:div w:id="1204905431">
                  <w:marLeft w:val="0"/>
                  <w:marRight w:val="0"/>
                  <w:marTop w:val="0"/>
                  <w:marBottom w:val="0"/>
                  <w:divBdr>
                    <w:top w:val="none" w:sz="0" w:space="0" w:color="auto"/>
                    <w:left w:val="none" w:sz="0" w:space="0" w:color="auto"/>
                    <w:bottom w:val="none" w:sz="0" w:space="0" w:color="auto"/>
                    <w:right w:val="none" w:sz="0" w:space="0" w:color="auto"/>
                  </w:divBdr>
                </w:div>
              </w:divsChild>
            </w:div>
            <w:div w:id="614673759">
              <w:marLeft w:val="0"/>
              <w:marRight w:val="0"/>
              <w:marTop w:val="0"/>
              <w:marBottom w:val="0"/>
              <w:divBdr>
                <w:top w:val="none" w:sz="0" w:space="0" w:color="auto"/>
                <w:left w:val="none" w:sz="0" w:space="0" w:color="auto"/>
                <w:bottom w:val="none" w:sz="0" w:space="0" w:color="auto"/>
                <w:right w:val="none" w:sz="0" w:space="0" w:color="auto"/>
              </w:divBdr>
              <w:divsChild>
                <w:div w:id="2036493437">
                  <w:marLeft w:val="0"/>
                  <w:marRight w:val="0"/>
                  <w:marTop w:val="0"/>
                  <w:marBottom w:val="0"/>
                  <w:divBdr>
                    <w:top w:val="none" w:sz="0" w:space="0" w:color="auto"/>
                    <w:left w:val="none" w:sz="0" w:space="0" w:color="auto"/>
                    <w:bottom w:val="none" w:sz="0" w:space="0" w:color="auto"/>
                    <w:right w:val="none" w:sz="0" w:space="0" w:color="auto"/>
                  </w:divBdr>
                </w:div>
              </w:divsChild>
            </w:div>
            <w:div w:id="627276336">
              <w:marLeft w:val="0"/>
              <w:marRight w:val="0"/>
              <w:marTop w:val="0"/>
              <w:marBottom w:val="0"/>
              <w:divBdr>
                <w:top w:val="none" w:sz="0" w:space="0" w:color="auto"/>
                <w:left w:val="none" w:sz="0" w:space="0" w:color="auto"/>
                <w:bottom w:val="none" w:sz="0" w:space="0" w:color="auto"/>
                <w:right w:val="none" w:sz="0" w:space="0" w:color="auto"/>
              </w:divBdr>
              <w:divsChild>
                <w:div w:id="249119076">
                  <w:marLeft w:val="0"/>
                  <w:marRight w:val="0"/>
                  <w:marTop w:val="0"/>
                  <w:marBottom w:val="0"/>
                  <w:divBdr>
                    <w:top w:val="none" w:sz="0" w:space="0" w:color="auto"/>
                    <w:left w:val="none" w:sz="0" w:space="0" w:color="auto"/>
                    <w:bottom w:val="none" w:sz="0" w:space="0" w:color="auto"/>
                    <w:right w:val="none" w:sz="0" w:space="0" w:color="auto"/>
                  </w:divBdr>
                </w:div>
              </w:divsChild>
            </w:div>
            <w:div w:id="1108038659">
              <w:marLeft w:val="0"/>
              <w:marRight w:val="0"/>
              <w:marTop w:val="0"/>
              <w:marBottom w:val="0"/>
              <w:divBdr>
                <w:top w:val="none" w:sz="0" w:space="0" w:color="auto"/>
                <w:left w:val="none" w:sz="0" w:space="0" w:color="auto"/>
                <w:bottom w:val="none" w:sz="0" w:space="0" w:color="auto"/>
                <w:right w:val="none" w:sz="0" w:space="0" w:color="auto"/>
              </w:divBdr>
              <w:divsChild>
                <w:div w:id="2024281631">
                  <w:marLeft w:val="0"/>
                  <w:marRight w:val="0"/>
                  <w:marTop w:val="0"/>
                  <w:marBottom w:val="0"/>
                  <w:divBdr>
                    <w:top w:val="none" w:sz="0" w:space="0" w:color="auto"/>
                    <w:left w:val="none" w:sz="0" w:space="0" w:color="auto"/>
                    <w:bottom w:val="none" w:sz="0" w:space="0" w:color="auto"/>
                    <w:right w:val="none" w:sz="0" w:space="0" w:color="auto"/>
                  </w:divBdr>
                </w:div>
              </w:divsChild>
            </w:div>
            <w:div w:id="1116405972">
              <w:marLeft w:val="0"/>
              <w:marRight w:val="0"/>
              <w:marTop w:val="0"/>
              <w:marBottom w:val="0"/>
              <w:divBdr>
                <w:top w:val="none" w:sz="0" w:space="0" w:color="auto"/>
                <w:left w:val="none" w:sz="0" w:space="0" w:color="auto"/>
                <w:bottom w:val="none" w:sz="0" w:space="0" w:color="auto"/>
                <w:right w:val="none" w:sz="0" w:space="0" w:color="auto"/>
              </w:divBdr>
              <w:divsChild>
                <w:div w:id="969701336">
                  <w:marLeft w:val="0"/>
                  <w:marRight w:val="0"/>
                  <w:marTop w:val="0"/>
                  <w:marBottom w:val="0"/>
                  <w:divBdr>
                    <w:top w:val="none" w:sz="0" w:space="0" w:color="auto"/>
                    <w:left w:val="none" w:sz="0" w:space="0" w:color="auto"/>
                    <w:bottom w:val="none" w:sz="0" w:space="0" w:color="auto"/>
                    <w:right w:val="none" w:sz="0" w:space="0" w:color="auto"/>
                  </w:divBdr>
                </w:div>
              </w:divsChild>
            </w:div>
            <w:div w:id="1376584026">
              <w:marLeft w:val="0"/>
              <w:marRight w:val="0"/>
              <w:marTop w:val="0"/>
              <w:marBottom w:val="0"/>
              <w:divBdr>
                <w:top w:val="none" w:sz="0" w:space="0" w:color="auto"/>
                <w:left w:val="none" w:sz="0" w:space="0" w:color="auto"/>
                <w:bottom w:val="none" w:sz="0" w:space="0" w:color="auto"/>
                <w:right w:val="none" w:sz="0" w:space="0" w:color="auto"/>
              </w:divBdr>
              <w:divsChild>
                <w:div w:id="427695555">
                  <w:marLeft w:val="0"/>
                  <w:marRight w:val="0"/>
                  <w:marTop w:val="0"/>
                  <w:marBottom w:val="0"/>
                  <w:divBdr>
                    <w:top w:val="none" w:sz="0" w:space="0" w:color="auto"/>
                    <w:left w:val="none" w:sz="0" w:space="0" w:color="auto"/>
                    <w:bottom w:val="none" w:sz="0" w:space="0" w:color="auto"/>
                    <w:right w:val="none" w:sz="0" w:space="0" w:color="auto"/>
                  </w:divBdr>
                </w:div>
              </w:divsChild>
            </w:div>
            <w:div w:id="1724982034">
              <w:marLeft w:val="0"/>
              <w:marRight w:val="0"/>
              <w:marTop w:val="0"/>
              <w:marBottom w:val="0"/>
              <w:divBdr>
                <w:top w:val="none" w:sz="0" w:space="0" w:color="auto"/>
                <w:left w:val="none" w:sz="0" w:space="0" w:color="auto"/>
                <w:bottom w:val="none" w:sz="0" w:space="0" w:color="auto"/>
                <w:right w:val="none" w:sz="0" w:space="0" w:color="auto"/>
              </w:divBdr>
              <w:divsChild>
                <w:div w:id="791438696">
                  <w:marLeft w:val="0"/>
                  <w:marRight w:val="0"/>
                  <w:marTop w:val="0"/>
                  <w:marBottom w:val="0"/>
                  <w:divBdr>
                    <w:top w:val="none" w:sz="0" w:space="0" w:color="auto"/>
                    <w:left w:val="none" w:sz="0" w:space="0" w:color="auto"/>
                    <w:bottom w:val="none" w:sz="0" w:space="0" w:color="auto"/>
                    <w:right w:val="none" w:sz="0" w:space="0" w:color="auto"/>
                  </w:divBdr>
                </w:div>
              </w:divsChild>
            </w:div>
            <w:div w:id="1955089124">
              <w:marLeft w:val="0"/>
              <w:marRight w:val="0"/>
              <w:marTop w:val="0"/>
              <w:marBottom w:val="0"/>
              <w:divBdr>
                <w:top w:val="none" w:sz="0" w:space="0" w:color="auto"/>
                <w:left w:val="none" w:sz="0" w:space="0" w:color="auto"/>
                <w:bottom w:val="none" w:sz="0" w:space="0" w:color="auto"/>
                <w:right w:val="none" w:sz="0" w:space="0" w:color="auto"/>
              </w:divBdr>
              <w:divsChild>
                <w:div w:id="870872809">
                  <w:marLeft w:val="0"/>
                  <w:marRight w:val="0"/>
                  <w:marTop w:val="0"/>
                  <w:marBottom w:val="0"/>
                  <w:divBdr>
                    <w:top w:val="none" w:sz="0" w:space="0" w:color="auto"/>
                    <w:left w:val="none" w:sz="0" w:space="0" w:color="auto"/>
                    <w:bottom w:val="none" w:sz="0" w:space="0" w:color="auto"/>
                    <w:right w:val="none" w:sz="0" w:space="0" w:color="auto"/>
                  </w:divBdr>
                </w:div>
              </w:divsChild>
            </w:div>
            <w:div w:id="1960184559">
              <w:marLeft w:val="0"/>
              <w:marRight w:val="0"/>
              <w:marTop w:val="0"/>
              <w:marBottom w:val="0"/>
              <w:divBdr>
                <w:top w:val="none" w:sz="0" w:space="0" w:color="auto"/>
                <w:left w:val="none" w:sz="0" w:space="0" w:color="auto"/>
                <w:bottom w:val="none" w:sz="0" w:space="0" w:color="auto"/>
                <w:right w:val="none" w:sz="0" w:space="0" w:color="auto"/>
              </w:divBdr>
              <w:divsChild>
                <w:div w:id="774713273">
                  <w:marLeft w:val="0"/>
                  <w:marRight w:val="0"/>
                  <w:marTop w:val="0"/>
                  <w:marBottom w:val="0"/>
                  <w:divBdr>
                    <w:top w:val="none" w:sz="0" w:space="0" w:color="auto"/>
                    <w:left w:val="none" w:sz="0" w:space="0" w:color="auto"/>
                    <w:bottom w:val="none" w:sz="0" w:space="0" w:color="auto"/>
                    <w:right w:val="none" w:sz="0" w:space="0" w:color="auto"/>
                  </w:divBdr>
                </w:div>
              </w:divsChild>
            </w:div>
            <w:div w:id="2074153316">
              <w:marLeft w:val="0"/>
              <w:marRight w:val="0"/>
              <w:marTop w:val="0"/>
              <w:marBottom w:val="0"/>
              <w:divBdr>
                <w:top w:val="none" w:sz="0" w:space="0" w:color="auto"/>
                <w:left w:val="none" w:sz="0" w:space="0" w:color="auto"/>
                <w:bottom w:val="none" w:sz="0" w:space="0" w:color="auto"/>
                <w:right w:val="none" w:sz="0" w:space="0" w:color="auto"/>
              </w:divBdr>
              <w:divsChild>
                <w:div w:id="3161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9376">
          <w:marLeft w:val="0"/>
          <w:marRight w:val="0"/>
          <w:marTop w:val="0"/>
          <w:marBottom w:val="0"/>
          <w:divBdr>
            <w:top w:val="none" w:sz="0" w:space="0" w:color="auto"/>
            <w:left w:val="none" w:sz="0" w:space="0" w:color="auto"/>
            <w:bottom w:val="none" w:sz="0" w:space="0" w:color="auto"/>
            <w:right w:val="none" w:sz="0" w:space="0" w:color="auto"/>
          </w:divBdr>
          <w:divsChild>
            <w:div w:id="647712544">
              <w:marLeft w:val="0"/>
              <w:marRight w:val="0"/>
              <w:marTop w:val="0"/>
              <w:marBottom w:val="0"/>
              <w:divBdr>
                <w:top w:val="none" w:sz="0" w:space="0" w:color="auto"/>
                <w:left w:val="none" w:sz="0" w:space="0" w:color="auto"/>
                <w:bottom w:val="none" w:sz="0" w:space="0" w:color="auto"/>
                <w:right w:val="none" w:sz="0" w:space="0" w:color="auto"/>
              </w:divBdr>
            </w:div>
          </w:divsChild>
        </w:div>
        <w:div w:id="595207466">
          <w:marLeft w:val="0"/>
          <w:marRight w:val="0"/>
          <w:marTop w:val="0"/>
          <w:marBottom w:val="0"/>
          <w:divBdr>
            <w:top w:val="none" w:sz="0" w:space="0" w:color="auto"/>
            <w:left w:val="none" w:sz="0" w:space="0" w:color="auto"/>
            <w:bottom w:val="none" w:sz="0" w:space="0" w:color="auto"/>
            <w:right w:val="none" w:sz="0" w:space="0" w:color="auto"/>
          </w:divBdr>
          <w:divsChild>
            <w:div w:id="1407723410">
              <w:marLeft w:val="0"/>
              <w:marRight w:val="0"/>
              <w:marTop w:val="0"/>
              <w:marBottom w:val="0"/>
              <w:divBdr>
                <w:top w:val="none" w:sz="0" w:space="0" w:color="auto"/>
                <w:left w:val="none" w:sz="0" w:space="0" w:color="auto"/>
                <w:bottom w:val="none" w:sz="0" w:space="0" w:color="auto"/>
                <w:right w:val="none" w:sz="0" w:space="0" w:color="auto"/>
              </w:divBdr>
            </w:div>
          </w:divsChild>
        </w:div>
        <w:div w:id="948395960">
          <w:marLeft w:val="0"/>
          <w:marRight w:val="0"/>
          <w:marTop w:val="0"/>
          <w:marBottom w:val="0"/>
          <w:divBdr>
            <w:top w:val="none" w:sz="0" w:space="0" w:color="auto"/>
            <w:left w:val="none" w:sz="0" w:space="0" w:color="auto"/>
            <w:bottom w:val="none" w:sz="0" w:space="0" w:color="auto"/>
            <w:right w:val="none" w:sz="0" w:space="0" w:color="auto"/>
          </w:divBdr>
          <w:divsChild>
            <w:div w:id="545218415">
              <w:marLeft w:val="0"/>
              <w:marRight w:val="0"/>
              <w:marTop w:val="0"/>
              <w:marBottom w:val="0"/>
              <w:divBdr>
                <w:top w:val="none" w:sz="0" w:space="0" w:color="auto"/>
                <w:left w:val="none" w:sz="0" w:space="0" w:color="auto"/>
                <w:bottom w:val="none" w:sz="0" w:space="0" w:color="auto"/>
                <w:right w:val="none" w:sz="0" w:space="0" w:color="auto"/>
              </w:divBdr>
            </w:div>
          </w:divsChild>
        </w:div>
        <w:div w:id="1071536430">
          <w:marLeft w:val="0"/>
          <w:marRight w:val="0"/>
          <w:marTop w:val="0"/>
          <w:marBottom w:val="0"/>
          <w:divBdr>
            <w:top w:val="none" w:sz="0" w:space="0" w:color="auto"/>
            <w:left w:val="none" w:sz="0" w:space="0" w:color="auto"/>
            <w:bottom w:val="none" w:sz="0" w:space="0" w:color="auto"/>
            <w:right w:val="none" w:sz="0" w:space="0" w:color="auto"/>
          </w:divBdr>
          <w:divsChild>
            <w:div w:id="141310388">
              <w:marLeft w:val="0"/>
              <w:marRight w:val="0"/>
              <w:marTop w:val="0"/>
              <w:marBottom w:val="0"/>
              <w:divBdr>
                <w:top w:val="none" w:sz="0" w:space="0" w:color="auto"/>
                <w:left w:val="none" w:sz="0" w:space="0" w:color="auto"/>
                <w:bottom w:val="none" w:sz="0" w:space="0" w:color="auto"/>
                <w:right w:val="none" w:sz="0" w:space="0" w:color="auto"/>
              </w:divBdr>
              <w:divsChild>
                <w:div w:id="20666217">
                  <w:marLeft w:val="0"/>
                  <w:marRight w:val="0"/>
                  <w:marTop w:val="0"/>
                  <w:marBottom w:val="0"/>
                  <w:divBdr>
                    <w:top w:val="none" w:sz="0" w:space="0" w:color="auto"/>
                    <w:left w:val="none" w:sz="0" w:space="0" w:color="auto"/>
                    <w:bottom w:val="none" w:sz="0" w:space="0" w:color="auto"/>
                    <w:right w:val="none" w:sz="0" w:space="0" w:color="auto"/>
                  </w:divBdr>
                </w:div>
              </w:divsChild>
            </w:div>
            <w:div w:id="1196885960">
              <w:marLeft w:val="0"/>
              <w:marRight w:val="0"/>
              <w:marTop w:val="0"/>
              <w:marBottom w:val="0"/>
              <w:divBdr>
                <w:top w:val="none" w:sz="0" w:space="0" w:color="auto"/>
                <w:left w:val="none" w:sz="0" w:space="0" w:color="auto"/>
                <w:bottom w:val="none" w:sz="0" w:space="0" w:color="auto"/>
                <w:right w:val="none" w:sz="0" w:space="0" w:color="auto"/>
              </w:divBdr>
              <w:divsChild>
                <w:div w:id="1335451379">
                  <w:marLeft w:val="0"/>
                  <w:marRight w:val="0"/>
                  <w:marTop w:val="0"/>
                  <w:marBottom w:val="0"/>
                  <w:divBdr>
                    <w:top w:val="none" w:sz="0" w:space="0" w:color="auto"/>
                    <w:left w:val="none" w:sz="0" w:space="0" w:color="auto"/>
                    <w:bottom w:val="none" w:sz="0" w:space="0" w:color="auto"/>
                    <w:right w:val="none" w:sz="0" w:space="0" w:color="auto"/>
                  </w:divBdr>
                </w:div>
              </w:divsChild>
            </w:div>
            <w:div w:id="1885099645">
              <w:marLeft w:val="0"/>
              <w:marRight w:val="0"/>
              <w:marTop w:val="0"/>
              <w:marBottom w:val="0"/>
              <w:divBdr>
                <w:top w:val="none" w:sz="0" w:space="0" w:color="auto"/>
                <w:left w:val="none" w:sz="0" w:space="0" w:color="auto"/>
                <w:bottom w:val="none" w:sz="0" w:space="0" w:color="auto"/>
                <w:right w:val="none" w:sz="0" w:space="0" w:color="auto"/>
              </w:divBdr>
              <w:divsChild>
                <w:div w:id="1182550481">
                  <w:marLeft w:val="0"/>
                  <w:marRight w:val="0"/>
                  <w:marTop w:val="0"/>
                  <w:marBottom w:val="0"/>
                  <w:divBdr>
                    <w:top w:val="none" w:sz="0" w:space="0" w:color="auto"/>
                    <w:left w:val="none" w:sz="0" w:space="0" w:color="auto"/>
                    <w:bottom w:val="none" w:sz="0" w:space="0" w:color="auto"/>
                    <w:right w:val="none" w:sz="0" w:space="0" w:color="auto"/>
                  </w:divBdr>
                </w:div>
              </w:divsChild>
            </w:div>
            <w:div w:id="2105151000">
              <w:marLeft w:val="0"/>
              <w:marRight w:val="0"/>
              <w:marTop w:val="0"/>
              <w:marBottom w:val="0"/>
              <w:divBdr>
                <w:top w:val="none" w:sz="0" w:space="0" w:color="auto"/>
                <w:left w:val="none" w:sz="0" w:space="0" w:color="auto"/>
                <w:bottom w:val="none" w:sz="0" w:space="0" w:color="auto"/>
                <w:right w:val="none" w:sz="0" w:space="0" w:color="auto"/>
              </w:divBdr>
              <w:divsChild>
                <w:div w:id="54094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40722">
          <w:marLeft w:val="0"/>
          <w:marRight w:val="0"/>
          <w:marTop w:val="0"/>
          <w:marBottom w:val="0"/>
          <w:divBdr>
            <w:top w:val="none" w:sz="0" w:space="0" w:color="auto"/>
            <w:left w:val="none" w:sz="0" w:space="0" w:color="auto"/>
            <w:bottom w:val="none" w:sz="0" w:space="0" w:color="auto"/>
            <w:right w:val="none" w:sz="0" w:space="0" w:color="auto"/>
          </w:divBdr>
          <w:divsChild>
            <w:div w:id="293603140">
              <w:marLeft w:val="0"/>
              <w:marRight w:val="0"/>
              <w:marTop w:val="0"/>
              <w:marBottom w:val="0"/>
              <w:divBdr>
                <w:top w:val="none" w:sz="0" w:space="0" w:color="auto"/>
                <w:left w:val="none" w:sz="0" w:space="0" w:color="auto"/>
                <w:bottom w:val="none" w:sz="0" w:space="0" w:color="auto"/>
                <w:right w:val="none" w:sz="0" w:space="0" w:color="auto"/>
              </w:divBdr>
            </w:div>
          </w:divsChild>
        </w:div>
        <w:div w:id="1207059871">
          <w:marLeft w:val="0"/>
          <w:marRight w:val="0"/>
          <w:marTop w:val="0"/>
          <w:marBottom w:val="0"/>
          <w:divBdr>
            <w:top w:val="none" w:sz="0" w:space="0" w:color="auto"/>
            <w:left w:val="none" w:sz="0" w:space="0" w:color="auto"/>
            <w:bottom w:val="none" w:sz="0" w:space="0" w:color="auto"/>
            <w:right w:val="none" w:sz="0" w:space="0" w:color="auto"/>
          </w:divBdr>
          <w:divsChild>
            <w:div w:id="538275860">
              <w:marLeft w:val="0"/>
              <w:marRight w:val="0"/>
              <w:marTop w:val="0"/>
              <w:marBottom w:val="0"/>
              <w:divBdr>
                <w:top w:val="none" w:sz="0" w:space="0" w:color="auto"/>
                <w:left w:val="none" w:sz="0" w:space="0" w:color="auto"/>
                <w:bottom w:val="none" w:sz="0" w:space="0" w:color="auto"/>
                <w:right w:val="none" w:sz="0" w:space="0" w:color="auto"/>
              </w:divBdr>
            </w:div>
          </w:divsChild>
        </w:div>
        <w:div w:id="1233203418">
          <w:marLeft w:val="0"/>
          <w:marRight w:val="0"/>
          <w:marTop w:val="0"/>
          <w:marBottom w:val="0"/>
          <w:divBdr>
            <w:top w:val="none" w:sz="0" w:space="0" w:color="auto"/>
            <w:left w:val="none" w:sz="0" w:space="0" w:color="auto"/>
            <w:bottom w:val="none" w:sz="0" w:space="0" w:color="auto"/>
            <w:right w:val="none" w:sz="0" w:space="0" w:color="auto"/>
          </w:divBdr>
          <w:divsChild>
            <w:div w:id="1440566683">
              <w:marLeft w:val="0"/>
              <w:marRight w:val="0"/>
              <w:marTop w:val="0"/>
              <w:marBottom w:val="0"/>
              <w:divBdr>
                <w:top w:val="none" w:sz="0" w:space="0" w:color="auto"/>
                <w:left w:val="none" w:sz="0" w:space="0" w:color="auto"/>
                <w:bottom w:val="none" w:sz="0" w:space="0" w:color="auto"/>
                <w:right w:val="none" w:sz="0" w:space="0" w:color="auto"/>
              </w:divBdr>
            </w:div>
          </w:divsChild>
        </w:div>
        <w:div w:id="1342657583">
          <w:marLeft w:val="0"/>
          <w:marRight w:val="0"/>
          <w:marTop w:val="0"/>
          <w:marBottom w:val="0"/>
          <w:divBdr>
            <w:top w:val="none" w:sz="0" w:space="0" w:color="auto"/>
            <w:left w:val="none" w:sz="0" w:space="0" w:color="auto"/>
            <w:bottom w:val="none" w:sz="0" w:space="0" w:color="auto"/>
            <w:right w:val="none" w:sz="0" w:space="0" w:color="auto"/>
          </w:divBdr>
          <w:divsChild>
            <w:div w:id="834030429">
              <w:marLeft w:val="0"/>
              <w:marRight w:val="0"/>
              <w:marTop w:val="0"/>
              <w:marBottom w:val="0"/>
              <w:divBdr>
                <w:top w:val="none" w:sz="0" w:space="0" w:color="auto"/>
                <w:left w:val="none" w:sz="0" w:space="0" w:color="auto"/>
                <w:bottom w:val="none" w:sz="0" w:space="0" w:color="auto"/>
                <w:right w:val="none" w:sz="0" w:space="0" w:color="auto"/>
              </w:divBdr>
            </w:div>
          </w:divsChild>
        </w:div>
        <w:div w:id="1349409170">
          <w:marLeft w:val="0"/>
          <w:marRight w:val="0"/>
          <w:marTop w:val="0"/>
          <w:marBottom w:val="0"/>
          <w:divBdr>
            <w:top w:val="none" w:sz="0" w:space="0" w:color="auto"/>
            <w:left w:val="none" w:sz="0" w:space="0" w:color="auto"/>
            <w:bottom w:val="none" w:sz="0" w:space="0" w:color="auto"/>
            <w:right w:val="none" w:sz="0" w:space="0" w:color="auto"/>
          </w:divBdr>
          <w:divsChild>
            <w:div w:id="719210046">
              <w:marLeft w:val="0"/>
              <w:marRight w:val="0"/>
              <w:marTop w:val="0"/>
              <w:marBottom w:val="0"/>
              <w:divBdr>
                <w:top w:val="none" w:sz="0" w:space="0" w:color="auto"/>
                <w:left w:val="none" w:sz="0" w:space="0" w:color="auto"/>
                <w:bottom w:val="none" w:sz="0" w:space="0" w:color="auto"/>
                <w:right w:val="none" w:sz="0" w:space="0" w:color="auto"/>
              </w:divBdr>
            </w:div>
          </w:divsChild>
        </w:div>
        <w:div w:id="1390835167">
          <w:marLeft w:val="0"/>
          <w:marRight w:val="0"/>
          <w:marTop w:val="0"/>
          <w:marBottom w:val="0"/>
          <w:divBdr>
            <w:top w:val="none" w:sz="0" w:space="0" w:color="auto"/>
            <w:left w:val="none" w:sz="0" w:space="0" w:color="auto"/>
            <w:bottom w:val="none" w:sz="0" w:space="0" w:color="auto"/>
            <w:right w:val="none" w:sz="0" w:space="0" w:color="auto"/>
          </w:divBdr>
          <w:divsChild>
            <w:div w:id="1771924379">
              <w:marLeft w:val="0"/>
              <w:marRight w:val="0"/>
              <w:marTop w:val="0"/>
              <w:marBottom w:val="0"/>
              <w:divBdr>
                <w:top w:val="none" w:sz="0" w:space="0" w:color="auto"/>
                <w:left w:val="none" w:sz="0" w:space="0" w:color="auto"/>
                <w:bottom w:val="none" w:sz="0" w:space="0" w:color="auto"/>
                <w:right w:val="none" w:sz="0" w:space="0" w:color="auto"/>
              </w:divBdr>
            </w:div>
          </w:divsChild>
        </w:div>
        <w:div w:id="1425691899">
          <w:marLeft w:val="0"/>
          <w:marRight w:val="0"/>
          <w:marTop w:val="0"/>
          <w:marBottom w:val="0"/>
          <w:divBdr>
            <w:top w:val="none" w:sz="0" w:space="0" w:color="auto"/>
            <w:left w:val="none" w:sz="0" w:space="0" w:color="auto"/>
            <w:bottom w:val="none" w:sz="0" w:space="0" w:color="auto"/>
            <w:right w:val="none" w:sz="0" w:space="0" w:color="auto"/>
          </w:divBdr>
          <w:divsChild>
            <w:div w:id="704447570">
              <w:marLeft w:val="0"/>
              <w:marRight w:val="0"/>
              <w:marTop w:val="0"/>
              <w:marBottom w:val="0"/>
              <w:divBdr>
                <w:top w:val="none" w:sz="0" w:space="0" w:color="auto"/>
                <w:left w:val="none" w:sz="0" w:space="0" w:color="auto"/>
                <w:bottom w:val="none" w:sz="0" w:space="0" w:color="auto"/>
                <w:right w:val="none" w:sz="0" w:space="0" w:color="auto"/>
              </w:divBdr>
              <w:divsChild>
                <w:div w:id="401027478">
                  <w:marLeft w:val="0"/>
                  <w:marRight w:val="0"/>
                  <w:marTop w:val="0"/>
                  <w:marBottom w:val="0"/>
                  <w:divBdr>
                    <w:top w:val="none" w:sz="0" w:space="0" w:color="auto"/>
                    <w:left w:val="none" w:sz="0" w:space="0" w:color="auto"/>
                    <w:bottom w:val="none" w:sz="0" w:space="0" w:color="auto"/>
                    <w:right w:val="none" w:sz="0" w:space="0" w:color="auto"/>
                  </w:divBdr>
                  <w:divsChild>
                    <w:div w:id="285048204">
                      <w:marLeft w:val="0"/>
                      <w:marRight w:val="0"/>
                      <w:marTop w:val="0"/>
                      <w:marBottom w:val="0"/>
                      <w:divBdr>
                        <w:top w:val="none" w:sz="0" w:space="0" w:color="auto"/>
                        <w:left w:val="none" w:sz="0" w:space="0" w:color="auto"/>
                        <w:bottom w:val="none" w:sz="0" w:space="0" w:color="auto"/>
                        <w:right w:val="none" w:sz="0" w:space="0" w:color="auto"/>
                      </w:divBdr>
                    </w:div>
                  </w:divsChild>
                </w:div>
                <w:div w:id="1317421839">
                  <w:marLeft w:val="0"/>
                  <w:marRight w:val="0"/>
                  <w:marTop w:val="0"/>
                  <w:marBottom w:val="0"/>
                  <w:divBdr>
                    <w:top w:val="none" w:sz="0" w:space="0" w:color="auto"/>
                    <w:left w:val="none" w:sz="0" w:space="0" w:color="auto"/>
                    <w:bottom w:val="none" w:sz="0" w:space="0" w:color="auto"/>
                    <w:right w:val="none" w:sz="0" w:space="0" w:color="auto"/>
                  </w:divBdr>
                  <w:divsChild>
                    <w:div w:id="2055612411">
                      <w:marLeft w:val="0"/>
                      <w:marRight w:val="0"/>
                      <w:marTop w:val="0"/>
                      <w:marBottom w:val="0"/>
                      <w:divBdr>
                        <w:top w:val="none" w:sz="0" w:space="0" w:color="auto"/>
                        <w:left w:val="none" w:sz="0" w:space="0" w:color="auto"/>
                        <w:bottom w:val="none" w:sz="0" w:space="0" w:color="auto"/>
                        <w:right w:val="none" w:sz="0" w:space="0" w:color="auto"/>
                      </w:divBdr>
                    </w:div>
                  </w:divsChild>
                </w:div>
                <w:div w:id="1794210344">
                  <w:marLeft w:val="0"/>
                  <w:marRight w:val="0"/>
                  <w:marTop w:val="0"/>
                  <w:marBottom w:val="0"/>
                  <w:divBdr>
                    <w:top w:val="none" w:sz="0" w:space="0" w:color="auto"/>
                    <w:left w:val="none" w:sz="0" w:space="0" w:color="auto"/>
                    <w:bottom w:val="none" w:sz="0" w:space="0" w:color="auto"/>
                    <w:right w:val="none" w:sz="0" w:space="0" w:color="auto"/>
                  </w:divBdr>
                  <w:divsChild>
                    <w:div w:id="1182278354">
                      <w:marLeft w:val="0"/>
                      <w:marRight w:val="0"/>
                      <w:marTop w:val="0"/>
                      <w:marBottom w:val="0"/>
                      <w:divBdr>
                        <w:top w:val="none" w:sz="0" w:space="0" w:color="auto"/>
                        <w:left w:val="none" w:sz="0" w:space="0" w:color="auto"/>
                        <w:bottom w:val="none" w:sz="0" w:space="0" w:color="auto"/>
                        <w:right w:val="none" w:sz="0" w:space="0" w:color="auto"/>
                      </w:divBdr>
                    </w:div>
                  </w:divsChild>
                </w:div>
                <w:div w:id="1865096555">
                  <w:marLeft w:val="0"/>
                  <w:marRight w:val="0"/>
                  <w:marTop w:val="0"/>
                  <w:marBottom w:val="0"/>
                  <w:divBdr>
                    <w:top w:val="none" w:sz="0" w:space="0" w:color="auto"/>
                    <w:left w:val="none" w:sz="0" w:space="0" w:color="auto"/>
                    <w:bottom w:val="none" w:sz="0" w:space="0" w:color="auto"/>
                    <w:right w:val="none" w:sz="0" w:space="0" w:color="auto"/>
                  </w:divBdr>
                  <w:divsChild>
                    <w:div w:id="1262566657">
                      <w:marLeft w:val="0"/>
                      <w:marRight w:val="0"/>
                      <w:marTop w:val="0"/>
                      <w:marBottom w:val="0"/>
                      <w:divBdr>
                        <w:top w:val="none" w:sz="0" w:space="0" w:color="auto"/>
                        <w:left w:val="none" w:sz="0" w:space="0" w:color="auto"/>
                        <w:bottom w:val="none" w:sz="0" w:space="0" w:color="auto"/>
                        <w:right w:val="none" w:sz="0" w:space="0" w:color="auto"/>
                      </w:divBdr>
                    </w:div>
                  </w:divsChild>
                </w:div>
                <w:div w:id="2099786963">
                  <w:marLeft w:val="0"/>
                  <w:marRight w:val="0"/>
                  <w:marTop w:val="0"/>
                  <w:marBottom w:val="0"/>
                  <w:divBdr>
                    <w:top w:val="none" w:sz="0" w:space="0" w:color="auto"/>
                    <w:left w:val="none" w:sz="0" w:space="0" w:color="auto"/>
                    <w:bottom w:val="none" w:sz="0" w:space="0" w:color="auto"/>
                    <w:right w:val="none" w:sz="0" w:space="0" w:color="auto"/>
                  </w:divBdr>
                  <w:divsChild>
                    <w:div w:id="56074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771373">
          <w:marLeft w:val="0"/>
          <w:marRight w:val="0"/>
          <w:marTop w:val="0"/>
          <w:marBottom w:val="0"/>
          <w:divBdr>
            <w:top w:val="none" w:sz="0" w:space="0" w:color="auto"/>
            <w:left w:val="none" w:sz="0" w:space="0" w:color="auto"/>
            <w:bottom w:val="none" w:sz="0" w:space="0" w:color="auto"/>
            <w:right w:val="none" w:sz="0" w:space="0" w:color="auto"/>
          </w:divBdr>
          <w:divsChild>
            <w:div w:id="27731055">
              <w:marLeft w:val="0"/>
              <w:marRight w:val="0"/>
              <w:marTop w:val="0"/>
              <w:marBottom w:val="0"/>
              <w:divBdr>
                <w:top w:val="none" w:sz="0" w:space="0" w:color="auto"/>
                <w:left w:val="none" w:sz="0" w:space="0" w:color="auto"/>
                <w:bottom w:val="none" w:sz="0" w:space="0" w:color="auto"/>
                <w:right w:val="none" w:sz="0" w:space="0" w:color="auto"/>
              </w:divBdr>
            </w:div>
          </w:divsChild>
        </w:div>
        <w:div w:id="1653095038">
          <w:marLeft w:val="0"/>
          <w:marRight w:val="0"/>
          <w:marTop w:val="0"/>
          <w:marBottom w:val="0"/>
          <w:divBdr>
            <w:top w:val="none" w:sz="0" w:space="0" w:color="auto"/>
            <w:left w:val="none" w:sz="0" w:space="0" w:color="auto"/>
            <w:bottom w:val="none" w:sz="0" w:space="0" w:color="auto"/>
            <w:right w:val="none" w:sz="0" w:space="0" w:color="auto"/>
          </w:divBdr>
          <w:divsChild>
            <w:div w:id="660039129">
              <w:marLeft w:val="0"/>
              <w:marRight w:val="0"/>
              <w:marTop w:val="0"/>
              <w:marBottom w:val="0"/>
              <w:divBdr>
                <w:top w:val="none" w:sz="0" w:space="0" w:color="auto"/>
                <w:left w:val="none" w:sz="0" w:space="0" w:color="auto"/>
                <w:bottom w:val="none" w:sz="0" w:space="0" w:color="auto"/>
                <w:right w:val="none" w:sz="0" w:space="0" w:color="auto"/>
              </w:divBdr>
            </w:div>
          </w:divsChild>
        </w:div>
        <w:div w:id="2146238833">
          <w:marLeft w:val="0"/>
          <w:marRight w:val="0"/>
          <w:marTop w:val="0"/>
          <w:marBottom w:val="0"/>
          <w:divBdr>
            <w:top w:val="none" w:sz="0" w:space="0" w:color="auto"/>
            <w:left w:val="none" w:sz="0" w:space="0" w:color="auto"/>
            <w:bottom w:val="none" w:sz="0" w:space="0" w:color="auto"/>
            <w:right w:val="none" w:sz="0" w:space="0" w:color="auto"/>
          </w:divBdr>
          <w:divsChild>
            <w:div w:id="10129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239">
      <w:bodyDiv w:val="1"/>
      <w:marLeft w:val="0"/>
      <w:marRight w:val="0"/>
      <w:marTop w:val="0"/>
      <w:marBottom w:val="0"/>
      <w:divBdr>
        <w:top w:val="none" w:sz="0" w:space="0" w:color="auto"/>
        <w:left w:val="none" w:sz="0" w:space="0" w:color="auto"/>
        <w:bottom w:val="none" w:sz="0" w:space="0" w:color="auto"/>
        <w:right w:val="none" w:sz="0" w:space="0" w:color="auto"/>
      </w:divBdr>
      <w:divsChild>
        <w:div w:id="1344360192">
          <w:marLeft w:val="0"/>
          <w:marRight w:val="0"/>
          <w:marTop w:val="0"/>
          <w:marBottom w:val="0"/>
          <w:divBdr>
            <w:top w:val="none" w:sz="0" w:space="0" w:color="auto"/>
            <w:left w:val="none" w:sz="0" w:space="0" w:color="auto"/>
            <w:bottom w:val="none" w:sz="0" w:space="0" w:color="auto"/>
            <w:right w:val="none" w:sz="0" w:space="0" w:color="auto"/>
          </w:divBdr>
          <w:divsChild>
            <w:div w:id="1200704836">
              <w:marLeft w:val="0"/>
              <w:marRight w:val="0"/>
              <w:marTop w:val="0"/>
              <w:marBottom w:val="0"/>
              <w:divBdr>
                <w:top w:val="none" w:sz="0" w:space="0" w:color="auto"/>
                <w:left w:val="none" w:sz="0" w:space="0" w:color="auto"/>
                <w:bottom w:val="none" w:sz="0" w:space="0" w:color="auto"/>
                <w:right w:val="none" w:sz="0" w:space="0" w:color="auto"/>
              </w:divBdr>
              <w:divsChild>
                <w:div w:id="1461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28479">
      <w:bodyDiv w:val="1"/>
      <w:marLeft w:val="0"/>
      <w:marRight w:val="0"/>
      <w:marTop w:val="0"/>
      <w:marBottom w:val="0"/>
      <w:divBdr>
        <w:top w:val="none" w:sz="0" w:space="0" w:color="auto"/>
        <w:left w:val="none" w:sz="0" w:space="0" w:color="auto"/>
        <w:bottom w:val="none" w:sz="0" w:space="0" w:color="auto"/>
        <w:right w:val="none" w:sz="0" w:space="0" w:color="auto"/>
      </w:divBdr>
      <w:divsChild>
        <w:div w:id="1864782485">
          <w:marLeft w:val="0"/>
          <w:marRight w:val="0"/>
          <w:marTop w:val="0"/>
          <w:marBottom w:val="0"/>
          <w:divBdr>
            <w:top w:val="none" w:sz="0" w:space="0" w:color="auto"/>
            <w:left w:val="none" w:sz="0" w:space="0" w:color="auto"/>
            <w:bottom w:val="none" w:sz="0" w:space="0" w:color="auto"/>
            <w:right w:val="none" w:sz="0" w:space="0" w:color="auto"/>
          </w:divBdr>
          <w:divsChild>
            <w:div w:id="1777870607">
              <w:marLeft w:val="0"/>
              <w:marRight w:val="0"/>
              <w:marTop w:val="0"/>
              <w:marBottom w:val="0"/>
              <w:divBdr>
                <w:top w:val="none" w:sz="0" w:space="0" w:color="auto"/>
                <w:left w:val="none" w:sz="0" w:space="0" w:color="auto"/>
                <w:bottom w:val="none" w:sz="0" w:space="0" w:color="auto"/>
                <w:right w:val="none" w:sz="0" w:space="0" w:color="auto"/>
              </w:divBdr>
              <w:divsChild>
                <w:div w:id="1640454923">
                  <w:marLeft w:val="0"/>
                  <w:marRight w:val="0"/>
                  <w:marTop w:val="0"/>
                  <w:marBottom w:val="0"/>
                  <w:divBdr>
                    <w:top w:val="none" w:sz="0" w:space="0" w:color="auto"/>
                    <w:left w:val="none" w:sz="0" w:space="0" w:color="auto"/>
                    <w:bottom w:val="none" w:sz="0" w:space="0" w:color="auto"/>
                    <w:right w:val="none" w:sz="0" w:space="0" w:color="auto"/>
                  </w:divBdr>
                  <w:divsChild>
                    <w:div w:id="312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471552">
      <w:bodyDiv w:val="1"/>
      <w:marLeft w:val="0"/>
      <w:marRight w:val="0"/>
      <w:marTop w:val="0"/>
      <w:marBottom w:val="0"/>
      <w:divBdr>
        <w:top w:val="none" w:sz="0" w:space="0" w:color="auto"/>
        <w:left w:val="none" w:sz="0" w:space="0" w:color="auto"/>
        <w:bottom w:val="none" w:sz="0" w:space="0" w:color="auto"/>
        <w:right w:val="none" w:sz="0" w:space="0" w:color="auto"/>
      </w:divBdr>
      <w:divsChild>
        <w:div w:id="1754818336">
          <w:marLeft w:val="0"/>
          <w:marRight w:val="0"/>
          <w:marTop w:val="0"/>
          <w:marBottom w:val="0"/>
          <w:divBdr>
            <w:top w:val="none" w:sz="0" w:space="0" w:color="auto"/>
            <w:left w:val="none" w:sz="0" w:space="0" w:color="auto"/>
            <w:bottom w:val="none" w:sz="0" w:space="0" w:color="auto"/>
            <w:right w:val="none" w:sz="0" w:space="0" w:color="auto"/>
          </w:divBdr>
          <w:divsChild>
            <w:div w:id="1125468785">
              <w:marLeft w:val="0"/>
              <w:marRight w:val="0"/>
              <w:marTop w:val="0"/>
              <w:marBottom w:val="0"/>
              <w:divBdr>
                <w:top w:val="none" w:sz="0" w:space="0" w:color="auto"/>
                <w:left w:val="none" w:sz="0" w:space="0" w:color="auto"/>
                <w:bottom w:val="none" w:sz="0" w:space="0" w:color="auto"/>
                <w:right w:val="none" w:sz="0" w:space="0" w:color="auto"/>
              </w:divBdr>
              <w:divsChild>
                <w:div w:id="1313169953">
                  <w:marLeft w:val="0"/>
                  <w:marRight w:val="0"/>
                  <w:marTop w:val="105"/>
                  <w:marBottom w:val="0"/>
                  <w:divBdr>
                    <w:top w:val="none" w:sz="0" w:space="0" w:color="auto"/>
                    <w:left w:val="none" w:sz="0" w:space="0" w:color="auto"/>
                    <w:bottom w:val="none" w:sz="0" w:space="0" w:color="auto"/>
                    <w:right w:val="none" w:sz="0" w:space="0" w:color="auto"/>
                  </w:divBdr>
                  <w:divsChild>
                    <w:div w:id="545724940">
                      <w:marLeft w:val="450"/>
                      <w:marRight w:val="225"/>
                      <w:marTop w:val="0"/>
                      <w:marBottom w:val="0"/>
                      <w:divBdr>
                        <w:top w:val="none" w:sz="0" w:space="0" w:color="auto"/>
                        <w:left w:val="none" w:sz="0" w:space="0" w:color="auto"/>
                        <w:bottom w:val="none" w:sz="0" w:space="0" w:color="auto"/>
                        <w:right w:val="none" w:sz="0" w:space="0" w:color="auto"/>
                      </w:divBdr>
                      <w:divsChild>
                        <w:div w:id="1694306446">
                          <w:marLeft w:val="0"/>
                          <w:marRight w:val="0"/>
                          <w:marTop w:val="0"/>
                          <w:marBottom w:val="600"/>
                          <w:divBdr>
                            <w:top w:val="single" w:sz="6" w:space="0" w:color="314664"/>
                            <w:left w:val="single" w:sz="6" w:space="0" w:color="314664"/>
                            <w:bottom w:val="single" w:sz="6" w:space="0" w:color="314664"/>
                            <w:right w:val="single" w:sz="6" w:space="0" w:color="314664"/>
                          </w:divBdr>
                          <w:divsChild>
                            <w:div w:id="816800124">
                              <w:marLeft w:val="0"/>
                              <w:marRight w:val="0"/>
                              <w:marTop w:val="0"/>
                              <w:marBottom w:val="0"/>
                              <w:divBdr>
                                <w:top w:val="none" w:sz="0" w:space="0" w:color="auto"/>
                                <w:left w:val="none" w:sz="0" w:space="0" w:color="auto"/>
                                <w:bottom w:val="none" w:sz="0" w:space="0" w:color="auto"/>
                                <w:right w:val="none" w:sz="0" w:space="0" w:color="auto"/>
                              </w:divBdr>
                              <w:divsChild>
                                <w:div w:id="1776362533">
                                  <w:marLeft w:val="0"/>
                                  <w:marRight w:val="0"/>
                                  <w:marTop w:val="0"/>
                                  <w:marBottom w:val="0"/>
                                  <w:divBdr>
                                    <w:top w:val="none" w:sz="0" w:space="0" w:color="auto"/>
                                    <w:left w:val="none" w:sz="0" w:space="0" w:color="auto"/>
                                    <w:bottom w:val="none" w:sz="0" w:space="0" w:color="auto"/>
                                    <w:right w:val="none" w:sz="0" w:space="0" w:color="auto"/>
                                  </w:divBdr>
                                  <w:divsChild>
                                    <w:div w:id="1402486404">
                                      <w:marLeft w:val="0"/>
                                      <w:marRight w:val="0"/>
                                      <w:marTop w:val="0"/>
                                      <w:marBottom w:val="0"/>
                                      <w:divBdr>
                                        <w:top w:val="none" w:sz="0" w:space="0" w:color="auto"/>
                                        <w:left w:val="none" w:sz="0" w:space="0" w:color="auto"/>
                                        <w:bottom w:val="none" w:sz="0" w:space="0" w:color="auto"/>
                                        <w:right w:val="none" w:sz="0" w:space="0" w:color="auto"/>
                                      </w:divBdr>
                                      <w:divsChild>
                                        <w:div w:id="769397700">
                                          <w:marLeft w:val="0"/>
                                          <w:marRight w:val="0"/>
                                          <w:marTop w:val="0"/>
                                          <w:marBottom w:val="0"/>
                                          <w:divBdr>
                                            <w:top w:val="none" w:sz="0" w:space="0" w:color="auto"/>
                                            <w:left w:val="none" w:sz="0" w:space="0" w:color="auto"/>
                                            <w:bottom w:val="none" w:sz="0" w:space="0" w:color="auto"/>
                                            <w:right w:val="none" w:sz="0" w:space="0" w:color="auto"/>
                                          </w:divBdr>
                                          <w:divsChild>
                                            <w:div w:id="174926835">
                                              <w:marLeft w:val="0"/>
                                              <w:marRight w:val="0"/>
                                              <w:marTop w:val="0"/>
                                              <w:marBottom w:val="0"/>
                                              <w:divBdr>
                                                <w:top w:val="none" w:sz="0" w:space="0" w:color="auto"/>
                                                <w:left w:val="none" w:sz="0" w:space="0" w:color="auto"/>
                                                <w:bottom w:val="none" w:sz="0" w:space="0" w:color="auto"/>
                                                <w:right w:val="none" w:sz="0" w:space="0" w:color="auto"/>
                                              </w:divBdr>
                                              <w:divsChild>
                                                <w:div w:id="169683357">
                                                  <w:marLeft w:val="0"/>
                                                  <w:marRight w:val="0"/>
                                                  <w:marTop w:val="0"/>
                                                  <w:marBottom w:val="0"/>
                                                  <w:divBdr>
                                                    <w:top w:val="none" w:sz="0" w:space="0" w:color="auto"/>
                                                    <w:left w:val="none" w:sz="0" w:space="0" w:color="auto"/>
                                                    <w:bottom w:val="none" w:sz="0" w:space="0" w:color="auto"/>
                                                    <w:right w:val="none" w:sz="0" w:space="0" w:color="auto"/>
                                                  </w:divBdr>
                                                  <w:divsChild>
                                                    <w:div w:id="209697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8812206">
      <w:bodyDiv w:val="1"/>
      <w:marLeft w:val="0"/>
      <w:marRight w:val="0"/>
      <w:marTop w:val="0"/>
      <w:marBottom w:val="0"/>
      <w:divBdr>
        <w:top w:val="none" w:sz="0" w:space="0" w:color="auto"/>
        <w:left w:val="none" w:sz="0" w:space="0" w:color="auto"/>
        <w:bottom w:val="none" w:sz="0" w:space="0" w:color="auto"/>
        <w:right w:val="none" w:sz="0" w:space="0" w:color="auto"/>
      </w:divBdr>
      <w:divsChild>
        <w:div w:id="13725859">
          <w:marLeft w:val="0"/>
          <w:marRight w:val="0"/>
          <w:marTop w:val="0"/>
          <w:marBottom w:val="0"/>
          <w:divBdr>
            <w:top w:val="none" w:sz="0" w:space="0" w:color="auto"/>
            <w:left w:val="none" w:sz="0" w:space="0" w:color="auto"/>
            <w:bottom w:val="none" w:sz="0" w:space="0" w:color="auto"/>
            <w:right w:val="none" w:sz="0" w:space="0" w:color="auto"/>
          </w:divBdr>
          <w:divsChild>
            <w:div w:id="1485973430">
              <w:marLeft w:val="0"/>
              <w:marRight w:val="0"/>
              <w:marTop w:val="0"/>
              <w:marBottom w:val="0"/>
              <w:divBdr>
                <w:top w:val="none" w:sz="0" w:space="0" w:color="auto"/>
                <w:left w:val="none" w:sz="0" w:space="0" w:color="auto"/>
                <w:bottom w:val="none" w:sz="0" w:space="0" w:color="auto"/>
                <w:right w:val="none" w:sz="0" w:space="0" w:color="auto"/>
              </w:divBdr>
              <w:divsChild>
                <w:div w:id="11897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93966">
      <w:bodyDiv w:val="1"/>
      <w:marLeft w:val="0"/>
      <w:marRight w:val="0"/>
      <w:marTop w:val="0"/>
      <w:marBottom w:val="0"/>
      <w:divBdr>
        <w:top w:val="none" w:sz="0" w:space="0" w:color="auto"/>
        <w:left w:val="none" w:sz="0" w:space="0" w:color="auto"/>
        <w:bottom w:val="none" w:sz="0" w:space="0" w:color="auto"/>
        <w:right w:val="none" w:sz="0" w:space="0" w:color="auto"/>
      </w:divBdr>
    </w:div>
    <w:div w:id="1559171435">
      <w:bodyDiv w:val="1"/>
      <w:marLeft w:val="0"/>
      <w:marRight w:val="0"/>
      <w:marTop w:val="0"/>
      <w:marBottom w:val="0"/>
      <w:divBdr>
        <w:top w:val="none" w:sz="0" w:space="0" w:color="auto"/>
        <w:left w:val="none" w:sz="0" w:space="0" w:color="auto"/>
        <w:bottom w:val="none" w:sz="0" w:space="0" w:color="auto"/>
        <w:right w:val="none" w:sz="0" w:space="0" w:color="auto"/>
      </w:divBdr>
      <w:divsChild>
        <w:div w:id="1564178946">
          <w:marLeft w:val="0"/>
          <w:marRight w:val="0"/>
          <w:marTop w:val="0"/>
          <w:marBottom w:val="0"/>
          <w:divBdr>
            <w:top w:val="none" w:sz="0" w:space="0" w:color="auto"/>
            <w:left w:val="none" w:sz="0" w:space="0" w:color="auto"/>
            <w:bottom w:val="none" w:sz="0" w:space="0" w:color="auto"/>
            <w:right w:val="none" w:sz="0" w:space="0" w:color="auto"/>
          </w:divBdr>
          <w:divsChild>
            <w:div w:id="119344251">
              <w:marLeft w:val="0"/>
              <w:marRight w:val="0"/>
              <w:marTop w:val="0"/>
              <w:marBottom w:val="0"/>
              <w:divBdr>
                <w:top w:val="none" w:sz="0" w:space="0" w:color="auto"/>
                <w:left w:val="none" w:sz="0" w:space="0" w:color="auto"/>
                <w:bottom w:val="none" w:sz="0" w:space="0" w:color="auto"/>
                <w:right w:val="none" w:sz="0" w:space="0" w:color="auto"/>
              </w:divBdr>
              <w:divsChild>
                <w:div w:id="4196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9399">
      <w:bodyDiv w:val="1"/>
      <w:marLeft w:val="0"/>
      <w:marRight w:val="0"/>
      <w:marTop w:val="0"/>
      <w:marBottom w:val="0"/>
      <w:divBdr>
        <w:top w:val="none" w:sz="0" w:space="0" w:color="auto"/>
        <w:left w:val="none" w:sz="0" w:space="0" w:color="auto"/>
        <w:bottom w:val="none" w:sz="0" w:space="0" w:color="auto"/>
        <w:right w:val="none" w:sz="0" w:space="0" w:color="auto"/>
      </w:divBdr>
      <w:divsChild>
        <w:div w:id="338239823">
          <w:marLeft w:val="0"/>
          <w:marRight w:val="0"/>
          <w:marTop w:val="0"/>
          <w:marBottom w:val="0"/>
          <w:divBdr>
            <w:top w:val="none" w:sz="0" w:space="0" w:color="auto"/>
            <w:left w:val="none" w:sz="0" w:space="0" w:color="auto"/>
            <w:bottom w:val="none" w:sz="0" w:space="0" w:color="auto"/>
            <w:right w:val="none" w:sz="0" w:space="0" w:color="auto"/>
          </w:divBdr>
          <w:divsChild>
            <w:div w:id="35468832">
              <w:marLeft w:val="0"/>
              <w:marRight w:val="0"/>
              <w:marTop w:val="0"/>
              <w:marBottom w:val="0"/>
              <w:divBdr>
                <w:top w:val="none" w:sz="0" w:space="0" w:color="auto"/>
                <w:left w:val="none" w:sz="0" w:space="0" w:color="auto"/>
                <w:bottom w:val="none" w:sz="0" w:space="0" w:color="auto"/>
                <w:right w:val="none" w:sz="0" w:space="0" w:color="auto"/>
              </w:divBdr>
              <w:divsChild>
                <w:div w:id="146985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8559">
      <w:bodyDiv w:val="1"/>
      <w:marLeft w:val="0"/>
      <w:marRight w:val="0"/>
      <w:marTop w:val="0"/>
      <w:marBottom w:val="0"/>
      <w:divBdr>
        <w:top w:val="none" w:sz="0" w:space="0" w:color="auto"/>
        <w:left w:val="none" w:sz="0" w:space="0" w:color="auto"/>
        <w:bottom w:val="none" w:sz="0" w:space="0" w:color="auto"/>
        <w:right w:val="none" w:sz="0" w:space="0" w:color="auto"/>
      </w:divBdr>
      <w:divsChild>
        <w:div w:id="1160074582">
          <w:marLeft w:val="0"/>
          <w:marRight w:val="0"/>
          <w:marTop w:val="0"/>
          <w:marBottom w:val="0"/>
          <w:divBdr>
            <w:top w:val="none" w:sz="0" w:space="0" w:color="auto"/>
            <w:left w:val="none" w:sz="0" w:space="0" w:color="auto"/>
            <w:bottom w:val="none" w:sz="0" w:space="0" w:color="auto"/>
            <w:right w:val="none" w:sz="0" w:space="0" w:color="auto"/>
          </w:divBdr>
          <w:divsChild>
            <w:div w:id="659652192">
              <w:marLeft w:val="0"/>
              <w:marRight w:val="0"/>
              <w:marTop w:val="0"/>
              <w:marBottom w:val="0"/>
              <w:divBdr>
                <w:top w:val="none" w:sz="0" w:space="0" w:color="auto"/>
                <w:left w:val="none" w:sz="0" w:space="0" w:color="auto"/>
                <w:bottom w:val="none" w:sz="0" w:space="0" w:color="auto"/>
                <w:right w:val="none" w:sz="0" w:space="0" w:color="auto"/>
              </w:divBdr>
              <w:divsChild>
                <w:div w:id="1781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3558">
      <w:bodyDiv w:val="1"/>
      <w:marLeft w:val="0"/>
      <w:marRight w:val="0"/>
      <w:marTop w:val="0"/>
      <w:marBottom w:val="0"/>
      <w:divBdr>
        <w:top w:val="none" w:sz="0" w:space="0" w:color="auto"/>
        <w:left w:val="none" w:sz="0" w:space="0" w:color="auto"/>
        <w:bottom w:val="none" w:sz="0" w:space="0" w:color="auto"/>
        <w:right w:val="none" w:sz="0" w:space="0" w:color="auto"/>
      </w:divBdr>
      <w:divsChild>
        <w:div w:id="706413544">
          <w:marLeft w:val="0"/>
          <w:marRight w:val="0"/>
          <w:marTop w:val="0"/>
          <w:marBottom w:val="0"/>
          <w:divBdr>
            <w:top w:val="none" w:sz="0" w:space="0" w:color="auto"/>
            <w:left w:val="none" w:sz="0" w:space="0" w:color="auto"/>
            <w:bottom w:val="none" w:sz="0" w:space="0" w:color="auto"/>
            <w:right w:val="none" w:sz="0" w:space="0" w:color="auto"/>
          </w:divBdr>
          <w:divsChild>
            <w:div w:id="1578974870">
              <w:marLeft w:val="0"/>
              <w:marRight w:val="0"/>
              <w:marTop w:val="0"/>
              <w:marBottom w:val="0"/>
              <w:divBdr>
                <w:top w:val="none" w:sz="0" w:space="0" w:color="auto"/>
                <w:left w:val="none" w:sz="0" w:space="0" w:color="auto"/>
                <w:bottom w:val="none" w:sz="0" w:space="0" w:color="auto"/>
                <w:right w:val="none" w:sz="0" w:space="0" w:color="auto"/>
              </w:divBdr>
              <w:divsChild>
                <w:div w:id="157917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94951">
      <w:bodyDiv w:val="1"/>
      <w:marLeft w:val="0"/>
      <w:marRight w:val="0"/>
      <w:marTop w:val="0"/>
      <w:marBottom w:val="0"/>
      <w:divBdr>
        <w:top w:val="none" w:sz="0" w:space="0" w:color="auto"/>
        <w:left w:val="none" w:sz="0" w:space="0" w:color="auto"/>
        <w:bottom w:val="none" w:sz="0" w:space="0" w:color="auto"/>
        <w:right w:val="none" w:sz="0" w:space="0" w:color="auto"/>
      </w:divBdr>
      <w:divsChild>
        <w:div w:id="39672648">
          <w:marLeft w:val="0"/>
          <w:marRight w:val="0"/>
          <w:marTop w:val="0"/>
          <w:marBottom w:val="0"/>
          <w:divBdr>
            <w:top w:val="none" w:sz="0" w:space="0" w:color="auto"/>
            <w:left w:val="none" w:sz="0" w:space="0" w:color="auto"/>
            <w:bottom w:val="none" w:sz="0" w:space="0" w:color="auto"/>
            <w:right w:val="none" w:sz="0" w:space="0" w:color="auto"/>
          </w:divBdr>
        </w:div>
      </w:divsChild>
    </w:div>
    <w:div w:id="2031249450">
      <w:bodyDiv w:val="1"/>
      <w:marLeft w:val="0"/>
      <w:marRight w:val="0"/>
      <w:marTop w:val="0"/>
      <w:marBottom w:val="0"/>
      <w:divBdr>
        <w:top w:val="none" w:sz="0" w:space="0" w:color="auto"/>
        <w:left w:val="none" w:sz="0" w:space="0" w:color="auto"/>
        <w:bottom w:val="none" w:sz="0" w:space="0" w:color="auto"/>
        <w:right w:val="none" w:sz="0" w:space="0" w:color="auto"/>
      </w:divBdr>
      <w:divsChild>
        <w:div w:id="1464276950">
          <w:marLeft w:val="0"/>
          <w:marRight w:val="0"/>
          <w:marTop w:val="0"/>
          <w:marBottom w:val="0"/>
          <w:divBdr>
            <w:top w:val="none" w:sz="0" w:space="0" w:color="auto"/>
            <w:left w:val="none" w:sz="0" w:space="0" w:color="auto"/>
            <w:bottom w:val="none" w:sz="0" w:space="0" w:color="auto"/>
            <w:right w:val="none" w:sz="0" w:space="0" w:color="auto"/>
          </w:divBdr>
          <w:divsChild>
            <w:div w:id="275987479">
              <w:marLeft w:val="0"/>
              <w:marRight w:val="0"/>
              <w:marTop w:val="0"/>
              <w:marBottom w:val="0"/>
              <w:divBdr>
                <w:top w:val="none" w:sz="0" w:space="0" w:color="auto"/>
                <w:left w:val="none" w:sz="0" w:space="0" w:color="auto"/>
                <w:bottom w:val="none" w:sz="0" w:space="0" w:color="auto"/>
                <w:right w:val="none" w:sz="0" w:space="0" w:color="auto"/>
              </w:divBdr>
              <w:divsChild>
                <w:div w:id="15304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84402">
      <w:bodyDiv w:val="1"/>
      <w:marLeft w:val="0"/>
      <w:marRight w:val="0"/>
      <w:marTop w:val="0"/>
      <w:marBottom w:val="0"/>
      <w:divBdr>
        <w:top w:val="none" w:sz="0" w:space="0" w:color="auto"/>
        <w:left w:val="none" w:sz="0" w:space="0" w:color="auto"/>
        <w:bottom w:val="none" w:sz="0" w:space="0" w:color="auto"/>
        <w:right w:val="none" w:sz="0" w:space="0" w:color="auto"/>
      </w:divBdr>
      <w:divsChild>
        <w:div w:id="1742630302">
          <w:marLeft w:val="0"/>
          <w:marRight w:val="0"/>
          <w:marTop w:val="0"/>
          <w:marBottom w:val="0"/>
          <w:divBdr>
            <w:top w:val="none" w:sz="0" w:space="0" w:color="auto"/>
            <w:left w:val="none" w:sz="0" w:space="0" w:color="auto"/>
            <w:bottom w:val="none" w:sz="0" w:space="0" w:color="auto"/>
            <w:right w:val="none" w:sz="0" w:space="0" w:color="auto"/>
          </w:divBdr>
          <w:divsChild>
            <w:div w:id="530800916">
              <w:marLeft w:val="0"/>
              <w:marRight w:val="0"/>
              <w:marTop w:val="0"/>
              <w:marBottom w:val="0"/>
              <w:divBdr>
                <w:top w:val="none" w:sz="0" w:space="0" w:color="auto"/>
                <w:left w:val="none" w:sz="0" w:space="0" w:color="auto"/>
                <w:bottom w:val="none" w:sz="0" w:space="0" w:color="auto"/>
                <w:right w:val="none" w:sz="0" w:space="0" w:color="auto"/>
              </w:divBdr>
              <w:divsChild>
                <w:div w:id="9688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893513">
      <w:bodyDiv w:val="1"/>
      <w:marLeft w:val="0"/>
      <w:marRight w:val="0"/>
      <w:marTop w:val="0"/>
      <w:marBottom w:val="0"/>
      <w:divBdr>
        <w:top w:val="none" w:sz="0" w:space="0" w:color="auto"/>
        <w:left w:val="none" w:sz="0" w:space="0" w:color="auto"/>
        <w:bottom w:val="none" w:sz="0" w:space="0" w:color="auto"/>
        <w:right w:val="none" w:sz="0" w:space="0" w:color="auto"/>
      </w:divBdr>
      <w:divsChild>
        <w:div w:id="1923636083">
          <w:marLeft w:val="0"/>
          <w:marRight w:val="0"/>
          <w:marTop w:val="0"/>
          <w:marBottom w:val="0"/>
          <w:divBdr>
            <w:top w:val="none" w:sz="0" w:space="0" w:color="auto"/>
            <w:left w:val="none" w:sz="0" w:space="0" w:color="auto"/>
            <w:bottom w:val="none" w:sz="0" w:space="0" w:color="auto"/>
            <w:right w:val="none" w:sz="0" w:space="0" w:color="auto"/>
          </w:divBdr>
          <w:divsChild>
            <w:div w:id="728961128">
              <w:marLeft w:val="0"/>
              <w:marRight w:val="0"/>
              <w:marTop w:val="0"/>
              <w:marBottom w:val="0"/>
              <w:divBdr>
                <w:top w:val="none" w:sz="0" w:space="0" w:color="auto"/>
                <w:left w:val="none" w:sz="0" w:space="0" w:color="auto"/>
                <w:bottom w:val="none" w:sz="0" w:space="0" w:color="auto"/>
                <w:right w:val="none" w:sz="0" w:space="0" w:color="auto"/>
              </w:divBdr>
              <w:divsChild>
                <w:div w:id="35660900">
                  <w:marLeft w:val="0"/>
                  <w:marRight w:val="0"/>
                  <w:marTop w:val="0"/>
                  <w:marBottom w:val="0"/>
                  <w:divBdr>
                    <w:top w:val="none" w:sz="0" w:space="0" w:color="auto"/>
                    <w:left w:val="none" w:sz="0" w:space="0" w:color="auto"/>
                    <w:bottom w:val="none" w:sz="0" w:space="0" w:color="auto"/>
                    <w:right w:val="none" w:sz="0" w:space="0" w:color="auto"/>
                  </w:divBdr>
                  <w:divsChild>
                    <w:div w:id="547258220">
                      <w:marLeft w:val="0"/>
                      <w:marRight w:val="0"/>
                      <w:marTop w:val="0"/>
                      <w:marBottom w:val="0"/>
                      <w:divBdr>
                        <w:top w:val="none" w:sz="0" w:space="0" w:color="auto"/>
                        <w:left w:val="none" w:sz="0" w:space="0" w:color="auto"/>
                        <w:bottom w:val="none" w:sz="0" w:space="0" w:color="auto"/>
                        <w:right w:val="none" w:sz="0" w:space="0" w:color="auto"/>
                      </w:divBdr>
                    </w:div>
                  </w:divsChild>
                </w:div>
                <w:div w:id="463083586">
                  <w:marLeft w:val="0"/>
                  <w:marRight w:val="0"/>
                  <w:marTop w:val="0"/>
                  <w:marBottom w:val="0"/>
                  <w:divBdr>
                    <w:top w:val="none" w:sz="0" w:space="0" w:color="auto"/>
                    <w:left w:val="none" w:sz="0" w:space="0" w:color="auto"/>
                    <w:bottom w:val="none" w:sz="0" w:space="0" w:color="auto"/>
                    <w:right w:val="none" w:sz="0" w:space="0" w:color="auto"/>
                  </w:divBdr>
                  <w:divsChild>
                    <w:div w:id="654189825">
                      <w:marLeft w:val="0"/>
                      <w:marRight w:val="0"/>
                      <w:marTop w:val="0"/>
                      <w:marBottom w:val="0"/>
                      <w:divBdr>
                        <w:top w:val="none" w:sz="0" w:space="0" w:color="auto"/>
                        <w:left w:val="none" w:sz="0" w:space="0" w:color="auto"/>
                        <w:bottom w:val="none" w:sz="0" w:space="0" w:color="auto"/>
                        <w:right w:val="none" w:sz="0" w:space="0" w:color="auto"/>
                      </w:divBdr>
                    </w:div>
                  </w:divsChild>
                </w:div>
                <w:div w:id="497576239">
                  <w:marLeft w:val="0"/>
                  <w:marRight w:val="0"/>
                  <w:marTop w:val="0"/>
                  <w:marBottom w:val="0"/>
                  <w:divBdr>
                    <w:top w:val="none" w:sz="0" w:space="0" w:color="auto"/>
                    <w:left w:val="none" w:sz="0" w:space="0" w:color="auto"/>
                    <w:bottom w:val="none" w:sz="0" w:space="0" w:color="auto"/>
                    <w:right w:val="none" w:sz="0" w:space="0" w:color="auto"/>
                  </w:divBdr>
                  <w:divsChild>
                    <w:div w:id="523591784">
                      <w:marLeft w:val="0"/>
                      <w:marRight w:val="0"/>
                      <w:marTop w:val="0"/>
                      <w:marBottom w:val="0"/>
                      <w:divBdr>
                        <w:top w:val="none" w:sz="0" w:space="0" w:color="auto"/>
                        <w:left w:val="none" w:sz="0" w:space="0" w:color="auto"/>
                        <w:bottom w:val="none" w:sz="0" w:space="0" w:color="auto"/>
                        <w:right w:val="none" w:sz="0" w:space="0" w:color="auto"/>
                      </w:divBdr>
                    </w:div>
                  </w:divsChild>
                </w:div>
                <w:div w:id="1449281572">
                  <w:marLeft w:val="0"/>
                  <w:marRight w:val="0"/>
                  <w:marTop w:val="0"/>
                  <w:marBottom w:val="0"/>
                  <w:divBdr>
                    <w:top w:val="none" w:sz="0" w:space="0" w:color="auto"/>
                    <w:left w:val="none" w:sz="0" w:space="0" w:color="auto"/>
                    <w:bottom w:val="none" w:sz="0" w:space="0" w:color="auto"/>
                    <w:right w:val="none" w:sz="0" w:space="0" w:color="auto"/>
                  </w:divBdr>
                  <w:divsChild>
                    <w:div w:id="453982611">
                      <w:marLeft w:val="0"/>
                      <w:marRight w:val="0"/>
                      <w:marTop w:val="0"/>
                      <w:marBottom w:val="0"/>
                      <w:divBdr>
                        <w:top w:val="none" w:sz="0" w:space="0" w:color="auto"/>
                        <w:left w:val="none" w:sz="0" w:space="0" w:color="auto"/>
                        <w:bottom w:val="none" w:sz="0" w:space="0" w:color="auto"/>
                        <w:right w:val="none" w:sz="0" w:space="0" w:color="auto"/>
                      </w:divBdr>
                    </w:div>
                  </w:divsChild>
                </w:div>
                <w:div w:id="1561987587">
                  <w:marLeft w:val="0"/>
                  <w:marRight w:val="0"/>
                  <w:marTop w:val="0"/>
                  <w:marBottom w:val="0"/>
                  <w:divBdr>
                    <w:top w:val="none" w:sz="0" w:space="0" w:color="auto"/>
                    <w:left w:val="none" w:sz="0" w:space="0" w:color="auto"/>
                    <w:bottom w:val="none" w:sz="0" w:space="0" w:color="auto"/>
                    <w:right w:val="none" w:sz="0" w:space="0" w:color="auto"/>
                  </w:divBdr>
                  <w:divsChild>
                    <w:div w:id="597561965">
                      <w:marLeft w:val="0"/>
                      <w:marRight w:val="0"/>
                      <w:marTop w:val="0"/>
                      <w:marBottom w:val="0"/>
                      <w:divBdr>
                        <w:top w:val="none" w:sz="0" w:space="0" w:color="auto"/>
                        <w:left w:val="none" w:sz="0" w:space="0" w:color="auto"/>
                        <w:bottom w:val="none" w:sz="0" w:space="0" w:color="auto"/>
                        <w:right w:val="none" w:sz="0" w:space="0" w:color="auto"/>
                      </w:divBdr>
                    </w:div>
                  </w:divsChild>
                </w:div>
                <w:div w:id="1652715652">
                  <w:marLeft w:val="0"/>
                  <w:marRight w:val="0"/>
                  <w:marTop w:val="0"/>
                  <w:marBottom w:val="0"/>
                  <w:divBdr>
                    <w:top w:val="none" w:sz="0" w:space="0" w:color="auto"/>
                    <w:left w:val="none" w:sz="0" w:space="0" w:color="auto"/>
                    <w:bottom w:val="none" w:sz="0" w:space="0" w:color="auto"/>
                    <w:right w:val="none" w:sz="0" w:space="0" w:color="auto"/>
                  </w:divBdr>
                  <w:divsChild>
                    <w:div w:id="1805660403">
                      <w:marLeft w:val="0"/>
                      <w:marRight w:val="0"/>
                      <w:marTop w:val="0"/>
                      <w:marBottom w:val="0"/>
                      <w:divBdr>
                        <w:top w:val="none" w:sz="0" w:space="0" w:color="auto"/>
                        <w:left w:val="none" w:sz="0" w:space="0" w:color="auto"/>
                        <w:bottom w:val="none" w:sz="0" w:space="0" w:color="auto"/>
                        <w:right w:val="none" w:sz="0" w:space="0" w:color="auto"/>
                      </w:divBdr>
                    </w:div>
                  </w:divsChild>
                </w:div>
                <w:div w:id="2027094847">
                  <w:marLeft w:val="0"/>
                  <w:marRight w:val="0"/>
                  <w:marTop w:val="0"/>
                  <w:marBottom w:val="0"/>
                  <w:divBdr>
                    <w:top w:val="none" w:sz="0" w:space="0" w:color="auto"/>
                    <w:left w:val="none" w:sz="0" w:space="0" w:color="auto"/>
                    <w:bottom w:val="none" w:sz="0" w:space="0" w:color="auto"/>
                    <w:right w:val="none" w:sz="0" w:space="0" w:color="auto"/>
                  </w:divBdr>
                  <w:divsChild>
                    <w:div w:id="17177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98538">
      <w:bodyDiv w:val="1"/>
      <w:marLeft w:val="0"/>
      <w:marRight w:val="0"/>
      <w:marTop w:val="0"/>
      <w:marBottom w:val="0"/>
      <w:divBdr>
        <w:top w:val="none" w:sz="0" w:space="0" w:color="auto"/>
        <w:left w:val="none" w:sz="0" w:space="0" w:color="auto"/>
        <w:bottom w:val="none" w:sz="0" w:space="0" w:color="auto"/>
        <w:right w:val="none" w:sz="0" w:space="0" w:color="auto"/>
      </w:divBdr>
    </w:div>
    <w:div w:id="2047370459">
      <w:bodyDiv w:val="1"/>
      <w:marLeft w:val="0"/>
      <w:marRight w:val="0"/>
      <w:marTop w:val="0"/>
      <w:marBottom w:val="0"/>
      <w:divBdr>
        <w:top w:val="none" w:sz="0" w:space="0" w:color="auto"/>
        <w:left w:val="none" w:sz="0" w:space="0" w:color="auto"/>
        <w:bottom w:val="none" w:sz="0" w:space="0" w:color="auto"/>
        <w:right w:val="none" w:sz="0" w:space="0" w:color="auto"/>
      </w:divBdr>
      <w:divsChild>
        <w:div w:id="1289630857">
          <w:marLeft w:val="0"/>
          <w:marRight w:val="0"/>
          <w:marTop w:val="0"/>
          <w:marBottom w:val="0"/>
          <w:divBdr>
            <w:top w:val="none" w:sz="0" w:space="0" w:color="auto"/>
            <w:left w:val="none" w:sz="0" w:space="0" w:color="auto"/>
            <w:bottom w:val="none" w:sz="0" w:space="0" w:color="auto"/>
            <w:right w:val="none" w:sz="0" w:space="0" w:color="auto"/>
          </w:divBdr>
          <w:divsChild>
            <w:div w:id="828178984">
              <w:marLeft w:val="0"/>
              <w:marRight w:val="0"/>
              <w:marTop w:val="0"/>
              <w:marBottom w:val="0"/>
              <w:divBdr>
                <w:top w:val="none" w:sz="0" w:space="0" w:color="auto"/>
                <w:left w:val="none" w:sz="0" w:space="0" w:color="auto"/>
                <w:bottom w:val="none" w:sz="0" w:space="0" w:color="auto"/>
                <w:right w:val="none" w:sz="0" w:space="0" w:color="auto"/>
              </w:divBdr>
              <w:divsChild>
                <w:div w:id="60249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870392">
      <w:bodyDiv w:val="1"/>
      <w:marLeft w:val="0"/>
      <w:marRight w:val="0"/>
      <w:marTop w:val="0"/>
      <w:marBottom w:val="0"/>
      <w:divBdr>
        <w:top w:val="none" w:sz="0" w:space="0" w:color="auto"/>
        <w:left w:val="none" w:sz="0" w:space="0" w:color="auto"/>
        <w:bottom w:val="none" w:sz="0" w:space="0" w:color="auto"/>
        <w:right w:val="none" w:sz="0" w:space="0" w:color="auto"/>
      </w:divBdr>
      <w:divsChild>
        <w:div w:id="863711502">
          <w:marLeft w:val="0"/>
          <w:marRight w:val="0"/>
          <w:marTop w:val="0"/>
          <w:marBottom w:val="0"/>
          <w:divBdr>
            <w:top w:val="none" w:sz="0" w:space="0" w:color="auto"/>
            <w:left w:val="none" w:sz="0" w:space="0" w:color="auto"/>
            <w:bottom w:val="none" w:sz="0" w:space="0" w:color="auto"/>
            <w:right w:val="none" w:sz="0" w:space="0" w:color="auto"/>
          </w:divBdr>
          <w:divsChild>
            <w:div w:id="809175092">
              <w:marLeft w:val="0"/>
              <w:marRight w:val="0"/>
              <w:marTop w:val="0"/>
              <w:marBottom w:val="0"/>
              <w:divBdr>
                <w:top w:val="none" w:sz="0" w:space="0" w:color="auto"/>
                <w:left w:val="none" w:sz="0" w:space="0" w:color="auto"/>
                <w:bottom w:val="none" w:sz="0" w:space="0" w:color="auto"/>
                <w:right w:val="none" w:sz="0" w:space="0" w:color="auto"/>
              </w:divBdr>
              <w:divsChild>
                <w:div w:id="212418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8.xml"/><Relationship Id="rId39" Type="http://schemas.openxmlformats.org/officeDocument/2006/relationships/hyperlink" Target="http://www.environment.govt.nz/facts-and-science/waste/waste-statistics" TargetMode="External"/><Relationship Id="rId21" Type="http://schemas.openxmlformats.org/officeDocument/2006/relationships/chart" Target="charts/chart3.xml"/><Relationship Id="rId34" Type="http://schemas.openxmlformats.org/officeDocument/2006/relationships/hyperlink" Target="https://www.at.govt.nz/media/198229/engineering-design-code-street-lighting.pdf" TargetMode="External"/><Relationship Id="rId42" Type="http://schemas.openxmlformats.org/officeDocument/2006/relationships/hyperlink" Target="https://www.nzpam.govt.nz/nz-minerals/minerals-statistics/coal/operating-mines/" TargetMode="External"/><Relationship Id="rId47" Type="http://schemas.openxmlformats.org/officeDocument/2006/relationships/header" Target="header6.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4.xml"/><Relationship Id="rId11" Type="http://schemas.openxmlformats.org/officeDocument/2006/relationships/endnotes" Target="endnotes.xml"/><Relationship Id="rId24" Type="http://schemas.openxmlformats.org/officeDocument/2006/relationships/chart" Target="charts/chart6.xml"/><Relationship Id="rId32" Type="http://schemas.openxmlformats.org/officeDocument/2006/relationships/footer" Target="footer6.xml"/><Relationship Id="rId37" Type="http://schemas.openxmlformats.org/officeDocument/2006/relationships/hyperlink" Target="https://www.epa.govt.nz/hazardous-substances/hazardous-waste/current-permit-holders/%20" TargetMode="External"/><Relationship Id="rId40" Type="http://schemas.openxmlformats.org/officeDocument/2006/relationships/hyperlink" Target="https://eatsafe.nzfsa.govt.nz/web/public/acvm-register" TargetMode="External"/><Relationship Id="rId45" Type="http://schemas.openxmlformats.org/officeDocument/2006/relationships/hyperlink" Target="https://www.stats.govt.nz/information-release/national-population-estimates-at-30-june-2024-2018-base/" TargetMode="Externa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footer" Target="footer4.xml"/><Relationship Id="rId36" Type="http://schemas.openxmlformats.org/officeDocument/2006/relationships/hyperlink" Target="http://www.epa.govt.nz/search-databases/Pages/applications-search.aspx" TargetMode="External"/><Relationship Id="rId49"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hyperlink" Target="https://hinekorako.taumataaroiwai.govt.nz/publicregister/wastewater/" TargetMode="External"/><Relationship Id="rId31" Type="http://schemas.openxmlformats.org/officeDocument/2006/relationships/header" Target="header5.xml"/><Relationship Id="rId44" Type="http://schemas.openxmlformats.org/officeDocument/2006/relationships/hyperlink" Target="https://oceanagold.com/wp-content/uploads/2021/06/OceanaGold-2020-Sustainability-Report.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hart" Target="charts/chart4.xml"/><Relationship Id="rId27" Type="http://schemas.openxmlformats.org/officeDocument/2006/relationships/header" Target="header3.xml"/><Relationship Id="rId30" Type="http://schemas.openxmlformats.org/officeDocument/2006/relationships/footer" Target="footer5.xml"/><Relationship Id="rId35" Type="http://schemas.openxmlformats.org/officeDocument/2006/relationships/hyperlink" Target="https://www.consumer.org.nz/articles/household-battery-recycling" TargetMode="External"/><Relationship Id="rId43" Type="http://schemas.openxmlformats.org/officeDocument/2006/relationships/hyperlink" Target="https://www.nzpam.govt.nz/nz-minerals/minerals-statistics" TargetMode="External"/><Relationship Id="rId48" Type="http://schemas.openxmlformats.org/officeDocument/2006/relationships/footer" Target="footer8.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chart" Target="charts/chart7.xml"/><Relationship Id="rId33" Type="http://schemas.openxmlformats.org/officeDocument/2006/relationships/footer" Target="footer7.xml"/><Relationship Id="rId38" Type="http://schemas.openxmlformats.org/officeDocument/2006/relationships/hyperlink" Target="http://www.fertiliser.org.nz/Site/about/fertiliser_use_in_nz.aspx" TargetMode="External"/><Relationship Id="rId46" Type="http://schemas.openxmlformats.org/officeDocument/2006/relationships/hyperlink" Target="http://www.waternz.org.nz/WWTPInventory" TargetMode="External"/><Relationship Id="rId20" Type="http://schemas.openxmlformats.org/officeDocument/2006/relationships/chart" Target="charts/chart2.xml"/><Relationship Id="rId41" Type="http://schemas.openxmlformats.org/officeDocument/2006/relationships/hyperlink" Target="http://www.fertiliser.org.nz"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GEC%20Letterhead.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judithbingham\Desktop\Business\AGB%20Business\Active%20Work\Ministry%20for%20Environment\MfE%202025\2025%20Mercury%20Inventory\2024%20Mercury%20Inventory%20write%20up\Charts\2024%20Version%20of%202020%20C%20Mercury%20Inventory%20Results%20Tables&amp;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judithbingham\Desktop\Business\AGB%20Business\Active%20Work\Ministry%20for%20Environment\MfE%202025\2025%20Mercury%20Inventory\2024%20Mercury%20Inventory%20write%20up\Charts\2024%20Version%20of%202020%20C%20Mercury%20Inventory%20Results%20Tables&amp;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judithbingham\Desktop\Business\AGB%20Business\Active%20Work\Ministry%20for%20Environment\MfE%202025\2025%20Mercury%20Inventory\2024%20Mercury%20Inventory%20write%20up\Charts\2024%20Version%20of%202020%20C%20Mercury%20Inventory%20Results%20Tables&amp;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judithbingham\Desktop\Business\AGB%20Business\Active%20Work\Ministry%20for%20Environment\MfE%202025\2025%20Mercury%20Inventory\2024%20Mercury%20Inventory%20write%20up\Charts\2024%20Version%20of%202020%20C%20Mercury%20Inventory%20Results%20Tables&amp;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judithbingham\Desktop\Business\AGB%20Business\Active%20Work\Ministry%20for%20Environment\MfE%202025\2025%20Mercury%20Inventory\2024%20Mercury%20Inventory%20write%20up\Charts\2024%20Version%20of%202020%20C%20Mercury%20Inventory%20Results%20Tables&amp;Graph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judithbingham\Desktop\Business\AGB%20Business\Active%20Work\Ministry%20for%20Environment\MfE%202025\2025%20Mercury%20Inventory\2024%20Mercury%20Inventory%20write%20up\Charts\2024%20Version%20of%202020%20C%20Mercury%20Inventory%20Results%20Tables&amp;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judithbingham\Desktop\Business\AGB%20Business\Active%20Work\Ministry%20for%20Environment\MfE%202025\2025%20Mercury%20Inventory\2024%20Mercury%20Inventory%20write%20up\Charts\2024%20Version%20of%202020%20C%20Mercury%20Inventory%20Results%20Tables&amp;Graph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judithbingham\Desktop\Business\AGB%20Business\Active%20Work\Ministry%20for%20Environment\MfE%202025\2025%20Mercury%20Inventory\2024%20Mercury%20Inventory%20write%20up\Charts\2024%20Version%20of%202020%20C%20Mercury%20Inventory%20Results%20Tables&amp;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NZ" sz="1100"/>
              <a:t>Annual Mercury Inputs (log scale) for 2024</a:t>
            </a:r>
          </a:p>
        </c:rich>
      </c:tx>
      <c:layout>
        <c:manualLayout>
          <c:xMode val="edge"/>
          <c:yMode val="edge"/>
          <c:x val="0.32287803008264809"/>
          <c:y val="1.2669353830771153E-2"/>
        </c:manualLayout>
      </c:layout>
      <c:overlay val="0"/>
    </c:title>
    <c:autoTitleDeleted val="0"/>
    <c:plotArea>
      <c:layout>
        <c:manualLayout>
          <c:layoutTarget val="inner"/>
          <c:xMode val="edge"/>
          <c:yMode val="edge"/>
          <c:x val="9.221012226572875E-2"/>
          <c:y val="7.9225439126962366E-2"/>
          <c:w val="0.8918305016007928"/>
          <c:h val="0.55731761070767161"/>
        </c:manualLayout>
      </c:layout>
      <c:stockChart>
        <c:ser>
          <c:idx val="0"/>
          <c:order val="0"/>
          <c:tx>
            <c:strRef>
              <c:f>'Log scale'!$H$4</c:f>
              <c:strCache>
                <c:ptCount val="1"/>
                <c:pt idx="0">
                  <c:v>min</c:v>
                </c:pt>
              </c:strCache>
            </c:strRef>
          </c:tx>
          <c:spPr>
            <a:ln w="28575">
              <a:noFill/>
            </a:ln>
          </c:spPr>
          <c:marker>
            <c:symbol val="none"/>
          </c:marker>
          <c:cat>
            <c:strRef>
              <c:f>'Log scale'!$G$5:$G$31</c:f>
              <c:strCache>
                <c:ptCount val="27"/>
                <c:pt idx="0">
                  <c:v>Pet Incinerators</c:v>
                </c:pt>
                <c:pt idx="1">
                  <c:v>Cement</c:v>
                </c:pt>
                <c:pt idx="2">
                  <c:v>Sewage Sludge Incin.</c:v>
                </c:pt>
                <c:pt idx="3">
                  <c:v>Med. Waste Incin.</c:v>
                </c:pt>
                <c:pt idx="4">
                  <c:v>Lime</c:v>
                </c:pt>
                <c:pt idx="5">
                  <c:v>Lab Chemicals</c:v>
                </c:pt>
                <c:pt idx="6">
                  <c:v>Dental Amalgams</c:v>
                </c:pt>
                <c:pt idx="7">
                  <c:v>Lamps</c:v>
                </c:pt>
                <c:pt idx="8">
                  <c:v>Switches and Relays</c:v>
                </c:pt>
                <c:pt idx="9">
                  <c:v>Agricultural Lime</c:v>
                </c:pt>
                <c:pt idx="10">
                  <c:v>Informal incineration</c:v>
                </c:pt>
                <c:pt idx="11">
                  <c:v>Oil (fossil fuel)</c:v>
                </c:pt>
                <c:pt idx="12">
                  <c:v>Burial</c:v>
                </c:pt>
                <c:pt idx="13">
                  <c:v>Pharmaceuticals</c:v>
                </c:pt>
                <c:pt idx="14">
                  <c:v>Gold Mining (with Hg)</c:v>
                </c:pt>
                <c:pt idx="15">
                  <c:v>Batteries</c:v>
                </c:pt>
                <c:pt idx="16">
                  <c:v>Cremations</c:v>
                </c:pt>
                <c:pt idx="17">
                  <c:v>Other coal combustion</c:v>
                </c:pt>
                <c:pt idx="18">
                  <c:v>Coal (Electricity)</c:v>
                </c:pt>
                <c:pt idx="19">
                  <c:v>Biomass</c:v>
                </c:pt>
                <c:pt idx="20">
                  <c:v>Iron and Steel (primary)</c:v>
                </c:pt>
                <c:pt idx="21">
                  <c:v>Natural Gas</c:v>
                </c:pt>
                <c:pt idx="22">
                  <c:v>Fertilisers</c:v>
                </c:pt>
                <c:pt idx="23">
                  <c:v>Gold mining (Hg free)</c:v>
                </c:pt>
                <c:pt idx="24">
                  <c:v>Geothermal</c:v>
                </c:pt>
                <c:pt idx="25">
                  <c:v>Landfills (reservoirs)</c:v>
                </c:pt>
                <c:pt idx="26">
                  <c:v>Wastewater </c:v>
                </c:pt>
              </c:strCache>
            </c:strRef>
          </c:cat>
          <c:val>
            <c:numRef>
              <c:f>'Log scale'!$H$5:$H$31</c:f>
              <c:numCache>
                <c:formatCode>General</c:formatCode>
                <c:ptCount val="27"/>
                <c:pt idx="0">
                  <c:v>0.51</c:v>
                </c:pt>
                <c:pt idx="1">
                  <c:v>0.67</c:v>
                </c:pt>
                <c:pt idx="2">
                  <c:v>0.97499999999999998</c:v>
                </c:pt>
                <c:pt idx="3">
                  <c:v>1.296</c:v>
                </c:pt>
                <c:pt idx="4">
                  <c:v>0.64300000000000002</c:v>
                </c:pt>
                <c:pt idx="5">
                  <c:v>1.641</c:v>
                </c:pt>
                <c:pt idx="6">
                  <c:v>1.71</c:v>
                </c:pt>
                <c:pt idx="7">
                  <c:v>5.25</c:v>
                </c:pt>
                <c:pt idx="8">
                  <c:v>6.4</c:v>
                </c:pt>
                <c:pt idx="9">
                  <c:v>11.76</c:v>
                </c:pt>
                <c:pt idx="10">
                  <c:v>12.58</c:v>
                </c:pt>
                <c:pt idx="11">
                  <c:v>20.399999999999999</c:v>
                </c:pt>
                <c:pt idx="12">
                  <c:v>27.57</c:v>
                </c:pt>
                <c:pt idx="13">
                  <c:v>28.85</c:v>
                </c:pt>
                <c:pt idx="14">
                  <c:v>20</c:v>
                </c:pt>
                <c:pt idx="15">
                  <c:v>33.44</c:v>
                </c:pt>
                <c:pt idx="16">
                  <c:v>25.43</c:v>
                </c:pt>
                <c:pt idx="17">
                  <c:v>28.84</c:v>
                </c:pt>
                <c:pt idx="18">
                  <c:v>17.408999999999999</c:v>
                </c:pt>
                <c:pt idx="19">
                  <c:v>17.03</c:v>
                </c:pt>
                <c:pt idx="20">
                  <c:v>38.04</c:v>
                </c:pt>
                <c:pt idx="21">
                  <c:v>0.33</c:v>
                </c:pt>
                <c:pt idx="22">
                  <c:v>132</c:v>
                </c:pt>
                <c:pt idx="23">
                  <c:v>199.2</c:v>
                </c:pt>
                <c:pt idx="24">
                  <c:v>273</c:v>
                </c:pt>
                <c:pt idx="25">
                  <c:v>3029</c:v>
                </c:pt>
                <c:pt idx="26">
                  <c:v>336.7</c:v>
                </c:pt>
              </c:numCache>
            </c:numRef>
          </c:val>
          <c:smooth val="0"/>
          <c:extLst>
            <c:ext xmlns:c16="http://schemas.microsoft.com/office/drawing/2014/chart" uri="{C3380CC4-5D6E-409C-BE32-E72D297353CC}">
              <c16:uniqueId val="{00000000-4188-4148-965E-DD051EA61B41}"/>
            </c:ext>
          </c:extLst>
        </c:ser>
        <c:ser>
          <c:idx val="1"/>
          <c:order val="1"/>
          <c:tx>
            <c:strRef>
              <c:f>'Log scale'!$I$4</c:f>
              <c:strCache>
                <c:ptCount val="1"/>
                <c:pt idx="0">
                  <c:v>max</c:v>
                </c:pt>
              </c:strCache>
            </c:strRef>
          </c:tx>
          <c:spPr>
            <a:ln w="28575">
              <a:noFill/>
            </a:ln>
          </c:spPr>
          <c:marker>
            <c:symbol val="none"/>
          </c:marker>
          <c:cat>
            <c:strRef>
              <c:f>'Log scale'!$G$5:$G$31</c:f>
              <c:strCache>
                <c:ptCount val="27"/>
                <c:pt idx="0">
                  <c:v>Pet Incinerators</c:v>
                </c:pt>
                <c:pt idx="1">
                  <c:v>Cement</c:v>
                </c:pt>
                <c:pt idx="2">
                  <c:v>Sewage Sludge Incin.</c:v>
                </c:pt>
                <c:pt idx="3">
                  <c:v>Med. Waste Incin.</c:v>
                </c:pt>
                <c:pt idx="4">
                  <c:v>Lime</c:v>
                </c:pt>
                <c:pt idx="5">
                  <c:v>Lab Chemicals</c:v>
                </c:pt>
                <c:pt idx="6">
                  <c:v>Dental Amalgams</c:v>
                </c:pt>
                <c:pt idx="7">
                  <c:v>Lamps</c:v>
                </c:pt>
                <c:pt idx="8">
                  <c:v>Switches and Relays</c:v>
                </c:pt>
                <c:pt idx="9">
                  <c:v>Agricultural Lime</c:v>
                </c:pt>
                <c:pt idx="10">
                  <c:v>Informal incineration</c:v>
                </c:pt>
                <c:pt idx="11">
                  <c:v>Oil (fossil fuel)</c:v>
                </c:pt>
                <c:pt idx="12">
                  <c:v>Burial</c:v>
                </c:pt>
                <c:pt idx="13">
                  <c:v>Pharmaceuticals</c:v>
                </c:pt>
                <c:pt idx="14">
                  <c:v>Gold Mining (with Hg)</c:v>
                </c:pt>
                <c:pt idx="15">
                  <c:v>Batteries</c:v>
                </c:pt>
                <c:pt idx="16">
                  <c:v>Cremations</c:v>
                </c:pt>
                <c:pt idx="17">
                  <c:v>Other coal combustion</c:v>
                </c:pt>
                <c:pt idx="18">
                  <c:v>Coal (Electricity)</c:v>
                </c:pt>
                <c:pt idx="19">
                  <c:v>Biomass</c:v>
                </c:pt>
                <c:pt idx="20">
                  <c:v>Iron and Steel (primary)</c:v>
                </c:pt>
                <c:pt idx="21">
                  <c:v>Natural Gas</c:v>
                </c:pt>
                <c:pt idx="22">
                  <c:v>Fertilisers</c:v>
                </c:pt>
                <c:pt idx="23">
                  <c:v>Gold mining (Hg free)</c:v>
                </c:pt>
                <c:pt idx="24">
                  <c:v>Geothermal</c:v>
                </c:pt>
                <c:pt idx="25">
                  <c:v>Landfills (reservoirs)</c:v>
                </c:pt>
                <c:pt idx="26">
                  <c:v>Wastewater </c:v>
                </c:pt>
              </c:strCache>
            </c:strRef>
          </c:cat>
          <c:val>
            <c:numRef>
              <c:f>'Log scale'!$I$5:$I$31</c:f>
              <c:numCache>
                <c:formatCode>General</c:formatCode>
                <c:ptCount val="27"/>
                <c:pt idx="0">
                  <c:v>0.51</c:v>
                </c:pt>
                <c:pt idx="1">
                  <c:v>0.67</c:v>
                </c:pt>
                <c:pt idx="2">
                  <c:v>0.97499999999999998</c:v>
                </c:pt>
                <c:pt idx="3">
                  <c:v>1.296</c:v>
                </c:pt>
                <c:pt idx="4">
                  <c:v>2.5720000000000001</c:v>
                </c:pt>
                <c:pt idx="5">
                  <c:v>1.641</c:v>
                </c:pt>
                <c:pt idx="6">
                  <c:v>1.71</c:v>
                </c:pt>
                <c:pt idx="7">
                  <c:v>5.25</c:v>
                </c:pt>
                <c:pt idx="8">
                  <c:v>6.4</c:v>
                </c:pt>
                <c:pt idx="9">
                  <c:v>11.76</c:v>
                </c:pt>
                <c:pt idx="10">
                  <c:v>12.58</c:v>
                </c:pt>
                <c:pt idx="11">
                  <c:v>20.399999999999999</c:v>
                </c:pt>
                <c:pt idx="12">
                  <c:v>27.57</c:v>
                </c:pt>
                <c:pt idx="13">
                  <c:v>28.85</c:v>
                </c:pt>
                <c:pt idx="14">
                  <c:v>40</c:v>
                </c:pt>
                <c:pt idx="15">
                  <c:v>33.44</c:v>
                </c:pt>
                <c:pt idx="16">
                  <c:v>101.72</c:v>
                </c:pt>
                <c:pt idx="17">
                  <c:v>108.13</c:v>
                </c:pt>
                <c:pt idx="18">
                  <c:v>165.38499999999999</c:v>
                </c:pt>
                <c:pt idx="19">
                  <c:v>170.3</c:v>
                </c:pt>
                <c:pt idx="20">
                  <c:v>152.19999999999999</c:v>
                </c:pt>
                <c:pt idx="21">
                  <c:v>262</c:v>
                </c:pt>
                <c:pt idx="22">
                  <c:v>132</c:v>
                </c:pt>
                <c:pt idx="23">
                  <c:v>199.2</c:v>
                </c:pt>
                <c:pt idx="24">
                  <c:v>2004</c:v>
                </c:pt>
                <c:pt idx="25">
                  <c:v>3029</c:v>
                </c:pt>
                <c:pt idx="26">
                  <c:v>6733.7</c:v>
                </c:pt>
              </c:numCache>
            </c:numRef>
          </c:val>
          <c:smooth val="0"/>
          <c:extLst>
            <c:ext xmlns:c16="http://schemas.microsoft.com/office/drawing/2014/chart" uri="{C3380CC4-5D6E-409C-BE32-E72D297353CC}">
              <c16:uniqueId val="{00000001-4188-4148-965E-DD051EA61B41}"/>
            </c:ext>
          </c:extLst>
        </c:ser>
        <c:ser>
          <c:idx val="2"/>
          <c:order val="2"/>
          <c:tx>
            <c:strRef>
              <c:f>'Log scale'!$J$4</c:f>
              <c:strCache>
                <c:ptCount val="1"/>
                <c:pt idx="0">
                  <c:v>mean</c:v>
                </c:pt>
              </c:strCache>
            </c:strRef>
          </c:tx>
          <c:spPr>
            <a:ln w="28575">
              <a:noFill/>
            </a:ln>
          </c:spPr>
          <c:marker>
            <c:symbol val="diamond"/>
            <c:size val="5"/>
            <c:spPr>
              <a:solidFill>
                <a:schemeClr val="tx1"/>
              </a:solidFill>
            </c:spPr>
          </c:marker>
          <c:cat>
            <c:strRef>
              <c:f>'Log scale'!$G$5:$G$31</c:f>
              <c:strCache>
                <c:ptCount val="27"/>
                <c:pt idx="0">
                  <c:v>Pet Incinerators</c:v>
                </c:pt>
                <c:pt idx="1">
                  <c:v>Cement</c:v>
                </c:pt>
                <c:pt idx="2">
                  <c:v>Sewage Sludge Incin.</c:v>
                </c:pt>
                <c:pt idx="3">
                  <c:v>Med. Waste Incin.</c:v>
                </c:pt>
                <c:pt idx="4">
                  <c:v>Lime</c:v>
                </c:pt>
                <c:pt idx="5">
                  <c:v>Lab Chemicals</c:v>
                </c:pt>
                <c:pt idx="6">
                  <c:v>Dental Amalgams</c:v>
                </c:pt>
                <c:pt idx="7">
                  <c:v>Lamps</c:v>
                </c:pt>
                <c:pt idx="8">
                  <c:v>Switches and Relays</c:v>
                </c:pt>
                <c:pt idx="9">
                  <c:v>Agricultural Lime</c:v>
                </c:pt>
                <c:pt idx="10">
                  <c:v>Informal incineration</c:v>
                </c:pt>
                <c:pt idx="11">
                  <c:v>Oil (fossil fuel)</c:v>
                </c:pt>
                <c:pt idx="12">
                  <c:v>Burial</c:v>
                </c:pt>
                <c:pt idx="13">
                  <c:v>Pharmaceuticals</c:v>
                </c:pt>
                <c:pt idx="14">
                  <c:v>Gold Mining (with Hg)</c:v>
                </c:pt>
                <c:pt idx="15">
                  <c:v>Batteries</c:v>
                </c:pt>
                <c:pt idx="16">
                  <c:v>Cremations</c:v>
                </c:pt>
                <c:pt idx="17">
                  <c:v>Other coal combustion</c:v>
                </c:pt>
                <c:pt idx="18">
                  <c:v>Coal (Electricity)</c:v>
                </c:pt>
                <c:pt idx="19">
                  <c:v>Biomass</c:v>
                </c:pt>
                <c:pt idx="20">
                  <c:v>Iron and Steel (primary)</c:v>
                </c:pt>
                <c:pt idx="21">
                  <c:v>Natural Gas</c:v>
                </c:pt>
                <c:pt idx="22">
                  <c:v>Fertilisers</c:v>
                </c:pt>
                <c:pt idx="23">
                  <c:v>Gold mining (Hg free)</c:v>
                </c:pt>
                <c:pt idx="24">
                  <c:v>Geothermal</c:v>
                </c:pt>
                <c:pt idx="25">
                  <c:v>Landfills (reservoirs)</c:v>
                </c:pt>
                <c:pt idx="26">
                  <c:v>Wastewater </c:v>
                </c:pt>
              </c:strCache>
            </c:strRef>
          </c:cat>
          <c:val>
            <c:numRef>
              <c:f>'Log scale'!$J$5:$J$31</c:f>
              <c:numCache>
                <c:formatCode>General</c:formatCode>
                <c:ptCount val="27"/>
                <c:pt idx="0">
                  <c:v>0.51</c:v>
                </c:pt>
                <c:pt idx="1">
                  <c:v>0.67</c:v>
                </c:pt>
                <c:pt idx="2">
                  <c:v>0.97499999999999998</c:v>
                </c:pt>
                <c:pt idx="3">
                  <c:v>1.296</c:v>
                </c:pt>
                <c:pt idx="4">
                  <c:v>1.6080000000000001</c:v>
                </c:pt>
                <c:pt idx="5">
                  <c:v>1.641</c:v>
                </c:pt>
                <c:pt idx="6">
                  <c:v>1.71</c:v>
                </c:pt>
                <c:pt idx="7">
                  <c:v>5.25</c:v>
                </c:pt>
                <c:pt idx="8">
                  <c:v>6.4</c:v>
                </c:pt>
                <c:pt idx="9">
                  <c:v>11.76</c:v>
                </c:pt>
                <c:pt idx="10">
                  <c:v>12.58</c:v>
                </c:pt>
                <c:pt idx="11">
                  <c:v>20.399999999999999</c:v>
                </c:pt>
                <c:pt idx="12">
                  <c:v>27.57</c:v>
                </c:pt>
                <c:pt idx="13">
                  <c:v>28.85</c:v>
                </c:pt>
                <c:pt idx="14">
                  <c:v>30</c:v>
                </c:pt>
                <c:pt idx="15">
                  <c:v>33.44</c:v>
                </c:pt>
                <c:pt idx="16">
                  <c:v>63.57</c:v>
                </c:pt>
                <c:pt idx="17">
                  <c:v>68.48</c:v>
                </c:pt>
                <c:pt idx="18">
                  <c:v>91.396000000000001</c:v>
                </c:pt>
                <c:pt idx="19">
                  <c:v>93.67</c:v>
                </c:pt>
                <c:pt idx="20">
                  <c:v>95.1</c:v>
                </c:pt>
                <c:pt idx="21">
                  <c:v>131</c:v>
                </c:pt>
                <c:pt idx="22">
                  <c:v>132</c:v>
                </c:pt>
                <c:pt idx="23">
                  <c:v>199.2</c:v>
                </c:pt>
                <c:pt idx="24">
                  <c:v>1138.4000000000001</c:v>
                </c:pt>
                <c:pt idx="25">
                  <c:v>3029</c:v>
                </c:pt>
                <c:pt idx="26">
                  <c:v>3535.2</c:v>
                </c:pt>
              </c:numCache>
            </c:numRef>
          </c:val>
          <c:smooth val="0"/>
          <c:extLst>
            <c:ext xmlns:c16="http://schemas.microsoft.com/office/drawing/2014/chart" uri="{C3380CC4-5D6E-409C-BE32-E72D297353CC}">
              <c16:uniqueId val="{00000002-4188-4148-965E-DD051EA61B41}"/>
            </c:ext>
          </c:extLst>
        </c:ser>
        <c:dLbls>
          <c:showLegendKey val="0"/>
          <c:showVal val="0"/>
          <c:showCatName val="0"/>
          <c:showSerName val="0"/>
          <c:showPercent val="0"/>
          <c:showBubbleSize val="0"/>
        </c:dLbls>
        <c:hiLowLines>
          <c:spPr>
            <a:ln w="76200">
              <a:solidFill>
                <a:schemeClr val="accent1"/>
              </a:solidFill>
            </a:ln>
          </c:spPr>
        </c:hiLowLines>
        <c:axId val="131591552"/>
        <c:axId val="131593344"/>
      </c:stockChart>
      <c:catAx>
        <c:axId val="131591552"/>
        <c:scaling>
          <c:orientation val="minMax"/>
        </c:scaling>
        <c:delete val="0"/>
        <c:axPos val="b"/>
        <c:numFmt formatCode="General" sourceLinked="0"/>
        <c:majorTickMark val="in"/>
        <c:minorTickMark val="none"/>
        <c:tickLblPos val="nextTo"/>
        <c:txPr>
          <a:bodyPr rot="-4200000"/>
          <a:lstStyle/>
          <a:p>
            <a:pPr>
              <a:defRPr sz="770" b="1" baseline="0"/>
            </a:pPr>
            <a:endParaRPr lang="en-US"/>
          </a:p>
        </c:txPr>
        <c:crossAx val="131593344"/>
        <c:crossesAt val="1.0000000000000002E-2"/>
        <c:auto val="1"/>
        <c:lblAlgn val="ctr"/>
        <c:lblOffset val="100"/>
        <c:tickLblSkip val="1"/>
        <c:noMultiLvlLbl val="0"/>
      </c:catAx>
      <c:valAx>
        <c:axId val="131593344"/>
        <c:scaling>
          <c:logBase val="10"/>
          <c:orientation val="minMax"/>
          <c:min val="0.1"/>
        </c:scaling>
        <c:delete val="0"/>
        <c:axPos val="l"/>
        <c:majorGridlines/>
        <c:title>
          <c:tx>
            <c:rich>
              <a:bodyPr/>
              <a:lstStyle/>
              <a:p>
                <a:pPr>
                  <a:defRPr sz="1000"/>
                </a:pPr>
                <a:r>
                  <a:rPr lang="en-NZ" sz="1000"/>
                  <a:t>Annual Inputs, kg/year</a:t>
                </a:r>
              </a:p>
            </c:rich>
          </c:tx>
          <c:overlay val="0"/>
        </c:title>
        <c:numFmt formatCode="General" sourceLinked="1"/>
        <c:majorTickMark val="none"/>
        <c:minorTickMark val="none"/>
        <c:tickLblPos val="nextTo"/>
        <c:crossAx val="1315915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2024 Relative Mercury Inputs</a:t>
            </a:r>
            <a:r>
              <a:rPr lang="en-NZ" baseline="0"/>
              <a:t> by Category</a:t>
            </a:r>
            <a:endParaRPr lang="en-NZ"/>
          </a:p>
        </c:rich>
      </c:tx>
      <c:overlay val="0"/>
    </c:title>
    <c:autoTitleDeleted val="0"/>
    <c:plotArea>
      <c:layout/>
      <c:pieChart>
        <c:varyColors val="1"/>
        <c:ser>
          <c:idx val="0"/>
          <c:order val="0"/>
          <c:explosion val="1"/>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SummaryTable!$J$5:$J$12</c:f>
              <c:strCache>
                <c:ptCount val="8"/>
                <c:pt idx="0">
                  <c:v>Extraction and use of fuels/energy sources </c:v>
                </c:pt>
                <c:pt idx="1">
                  <c:v>Primary (virgin) metal production </c:v>
                </c:pt>
                <c:pt idx="2">
                  <c:v>Production of minerals and materials with mercury impurities</c:v>
                </c:pt>
                <c:pt idx="3">
                  <c:v>Consumer products with intentional use of mercury </c:v>
                </c:pt>
                <c:pt idx="6">
                  <c:v>Landfilling and wastewater treatment</c:v>
                </c:pt>
                <c:pt idx="7">
                  <c:v>Crematoria and cemeteries </c:v>
                </c:pt>
              </c:strCache>
            </c:strRef>
          </c:cat>
          <c:val>
            <c:numRef>
              <c:f>SummaryTable!$K$5:$K$12</c:f>
              <c:numCache>
                <c:formatCode>General</c:formatCode>
                <c:ptCount val="8"/>
                <c:pt idx="0">
                  <c:v>1543.35</c:v>
                </c:pt>
                <c:pt idx="1">
                  <c:v>324.29000000000002</c:v>
                </c:pt>
                <c:pt idx="2">
                  <c:v>146</c:v>
                </c:pt>
                <c:pt idx="3">
                  <c:v>73.900000000000006</c:v>
                </c:pt>
                <c:pt idx="6">
                  <c:v>6564.17</c:v>
                </c:pt>
                <c:pt idx="7">
                  <c:v>91.14</c:v>
                </c:pt>
              </c:numCache>
            </c:numRef>
          </c:val>
          <c:extLst>
            <c:ext xmlns:c16="http://schemas.microsoft.com/office/drawing/2014/chart" uri="{C3380CC4-5D6E-409C-BE32-E72D297353CC}">
              <c16:uniqueId val="{00000000-5F09-6C4F-866C-D969C16E03D2}"/>
            </c:ext>
          </c:extLst>
        </c:ser>
        <c:dLbls>
          <c:showLegendKey val="0"/>
          <c:showVal val="0"/>
          <c:showCatName val="0"/>
          <c:showSerName val="0"/>
          <c:showPercent val="1"/>
          <c:showBubbleSize val="0"/>
          <c:showLeaderLines val="1"/>
        </c:dLbls>
        <c:firstSliceAng val="0"/>
      </c:pieChart>
    </c:plotArea>
    <c:legend>
      <c:legendPos val="r"/>
      <c:legendEntry>
        <c:idx val="4"/>
        <c:delete val="1"/>
      </c:legendEntry>
      <c:legendEntry>
        <c:idx val="5"/>
        <c:delete val="1"/>
      </c:legendEntry>
      <c:overlay val="0"/>
      <c:txPr>
        <a:bodyPr/>
        <a:lstStyle/>
        <a:p>
          <a:pPr rtl="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NZ" sz="1100"/>
              <a:t>Annual Mercury Inputs (log scale) for 2024</a:t>
            </a:r>
          </a:p>
        </c:rich>
      </c:tx>
      <c:layout>
        <c:manualLayout>
          <c:xMode val="edge"/>
          <c:yMode val="edge"/>
          <c:x val="0.32287803008264809"/>
          <c:y val="1.2669353830771153E-2"/>
        </c:manualLayout>
      </c:layout>
      <c:overlay val="0"/>
    </c:title>
    <c:autoTitleDeleted val="0"/>
    <c:plotArea>
      <c:layout>
        <c:manualLayout>
          <c:layoutTarget val="inner"/>
          <c:xMode val="edge"/>
          <c:yMode val="edge"/>
          <c:x val="9.221012226572875E-2"/>
          <c:y val="7.9225439126962366E-2"/>
          <c:w val="0.8918305016007928"/>
          <c:h val="0.55731761070767161"/>
        </c:manualLayout>
      </c:layout>
      <c:stockChart>
        <c:ser>
          <c:idx val="0"/>
          <c:order val="0"/>
          <c:tx>
            <c:strRef>
              <c:f>'Log scale'!$H$4</c:f>
              <c:strCache>
                <c:ptCount val="1"/>
                <c:pt idx="0">
                  <c:v>min</c:v>
                </c:pt>
              </c:strCache>
            </c:strRef>
          </c:tx>
          <c:spPr>
            <a:ln w="28575">
              <a:noFill/>
            </a:ln>
          </c:spPr>
          <c:marker>
            <c:symbol val="none"/>
          </c:marker>
          <c:cat>
            <c:strRef>
              <c:f>'Log scale'!$G$5:$G$31</c:f>
              <c:strCache>
                <c:ptCount val="27"/>
                <c:pt idx="0">
                  <c:v>Pet Incinerators</c:v>
                </c:pt>
                <c:pt idx="1">
                  <c:v>Cement</c:v>
                </c:pt>
                <c:pt idx="2">
                  <c:v>Sewage Sludge Incin.</c:v>
                </c:pt>
                <c:pt idx="3">
                  <c:v>Med. Waste Incin.</c:v>
                </c:pt>
                <c:pt idx="4">
                  <c:v>Lime</c:v>
                </c:pt>
                <c:pt idx="5">
                  <c:v>Lab Chemicals</c:v>
                </c:pt>
                <c:pt idx="6">
                  <c:v>Dental Amalgams</c:v>
                </c:pt>
                <c:pt idx="7">
                  <c:v>Lamps</c:v>
                </c:pt>
                <c:pt idx="8">
                  <c:v>Switches and Relays</c:v>
                </c:pt>
                <c:pt idx="9">
                  <c:v>Agricultural Lime</c:v>
                </c:pt>
                <c:pt idx="10">
                  <c:v>Informal incineration</c:v>
                </c:pt>
                <c:pt idx="11">
                  <c:v>Oil (fossil fuel)</c:v>
                </c:pt>
                <c:pt idx="12">
                  <c:v>Burial</c:v>
                </c:pt>
                <c:pt idx="13">
                  <c:v>Pharmaceuticals</c:v>
                </c:pt>
                <c:pt idx="14">
                  <c:v>Gold Mining (with Hg)</c:v>
                </c:pt>
                <c:pt idx="15">
                  <c:v>Batteries</c:v>
                </c:pt>
                <c:pt idx="16">
                  <c:v>Cremations</c:v>
                </c:pt>
                <c:pt idx="17">
                  <c:v>Other coal combustion</c:v>
                </c:pt>
                <c:pt idx="18">
                  <c:v>Coal (Electricity)</c:v>
                </c:pt>
                <c:pt idx="19">
                  <c:v>Biomass</c:v>
                </c:pt>
                <c:pt idx="20">
                  <c:v>Iron and Steel (primary)</c:v>
                </c:pt>
                <c:pt idx="21">
                  <c:v>Natural Gas</c:v>
                </c:pt>
                <c:pt idx="22">
                  <c:v>Fertilisers</c:v>
                </c:pt>
                <c:pt idx="23">
                  <c:v>Gold mining (Hg free)</c:v>
                </c:pt>
                <c:pt idx="24">
                  <c:v>Geothermal</c:v>
                </c:pt>
                <c:pt idx="25">
                  <c:v>Landfills (reservoirs)</c:v>
                </c:pt>
                <c:pt idx="26">
                  <c:v>Wastewater </c:v>
                </c:pt>
              </c:strCache>
            </c:strRef>
          </c:cat>
          <c:val>
            <c:numRef>
              <c:f>'Log scale'!$H$5:$H$31</c:f>
              <c:numCache>
                <c:formatCode>General</c:formatCode>
                <c:ptCount val="27"/>
                <c:pt idx="0">
                  <c:v>0.51</c:v>
                </c:pt>
                <c:pt idx="1">
                  <c:v>0.67</c:v>
                </c:pt>
                <c:pt idx="2">
                  <c:v>0.97499999999999998</c:v>
                </c:pt>
                <c:pt idx="3">
                  <c:v>1.296</c:v>
                </c:pt>
                <c:pt idx="4">
                  <c:v>0.64300000000000002</c:v>
                </c:pt>
                <c:pt idx="5">
                  <c:v>1.641</c:v>
                </c:pt>
                <c:pt idx="6">
                  <c:v>1.71</c:v>
                </c:pt>
                <c:pt idx="7">
                  <c:v>5.25</c:v>
                </c:pt>
                <c:pt idx="8">
                  <c:v>6.4</c:v>
                </c:pt>
                <c:pt idx="9">
                  <c:v>11.76</c:v>
                </c:pt>
                <c:pt idx="10">
                  <c:v>12.58</c:v>
                </c:pt>
                <c:pt idx="11">
                  <c:v>20.399999999999999</c:v>
                </c:pt>
                <c:pt idx="12">
                  <c:v>27.57</c:v>
                </c:pt>
                <c:pt idx="13">
                  <c:v>28.85</c:v>
                </c:pt>
                <c:pt idx="14">
                  <c:v>20</c:v>
                </c:pt>
                <c:pt idx="15">
                  <c:v>33.44</c:v>
                </c:pt>
                <c:pt idx="16">
                  <c:v>25.43</c:v>
                </c:pt>
                <c:pt idx="17">
                  <c:v>28.84</c:v>
                </c:pt>
                <c:pt idx="18">
                  <c:v>17.408999999999999</c:v>
                </c:pt>
                <c:pt idx="19">
                  <c:v>17.03</c:v>
                </c:pt>
                <c:pt idx="20">
                  <c:v>38.04</c:v>
                </c:pt>
                <c:pt idx="21">
                  <c:v>0.33</c:v>
                </c:pt>
                <c:pt idx="22">
                  <c:v>132</c:v>
                </c:pt>
                <c:pt idx="23">
                  <c:v>199.2</c:v>
                </c:pt>
                <c:pt idx="24">
                  <c:v>273</c:v>
                </c:pt>
                <c:pt idx="25">
                  <c:v>3029</c:v>
                </c:pt>
                <c:pt idx="26">
                  <c:v>336.7</c:v>
                </c:pt>
              </c:numCache>
            </c:numRef>
          </c:val>
          <c:smooth val="0"/>
          <c:extLst>
            <c:ext xmlns:c16="http://schemas.microsoft.com/office/drawing/2014/chart" uri="{C3380CC4-5D6E-409C-BE32-E72D297353CC}">
              <c16:uniqueId val="{00000000-C14C-5742-BB41-218F057A9C14}"/>
            </c:ext>
          </c:extLst>
        </c:ser>
        <c:ser>
          <c:idx val="1"/>
          <c:order val="1"/>
          <c:tx>
            <c:strRef>
              <c:f>'Log scale'!$I$4</c:f>
              <c:strCache>
                <c:ptCount val="1"/>
                <c:pt idx="0">
                  <c:v>max</c:v>
                </c:pt>
              </c:strCache>
            </c:strRef>
          </c:tx>
          <c:spPr>
            <a:ln w="28575">
              <a:noFill/>
            </a:ln>
          </c:spPr>
          <c:marker>
            <c:symbol val="none"/>
          </c:marker>
          <c:cat>
            <c:strRef>
              <c:f>'Log scale'!$G$5:$G$31</c:f>
              <c:strCache>
                <c:ptCount val="27"/>
                <c:pt idx="0">
                  <c:v>Pet Incinerators</c:v>
                </c:pt>
                <c:pt idx="1">
                  <c:v>Cement</c:v>
                </c:pt>
                <c:pt idx="2">
                  <c:v>Sewage Sludge Incin.</c:v>
                </c:pt>
                <c:pt idx="3">
                  <c:v>Med. Waste Incin.</c:v>
                </c:pt>
                <c:pt idx="4">
                  <c:v>Lime</c:v>
                </c:pt>
                <c:pt idx="5">
                  <c:v>Lab Chemicals</c:v>
                </c:pt>
                <c:pt idx="6">
                  <c:v>Dental Amalgams</c:v>
                </c:pt>
                <c:pt idx="7">
                  <c:v>Lamps</c:v>
                </c:pt>
                <c:pt idx="8">
                  <c:v>Switches and Relays</c:v>
                </c:pt>
                <c:pt idx="9">
                  <c:v>Agricultural Lime</c:v>
                </c:pt>
                <c:pt idx="10">
                  <c:v>Informal incineration</c:v>
                </c:pt>
                <c:pt idx="11">
                  <c:v>Oil (fossil fuel)</c:v>
                </c:pt>
                <c:pt idx="12">
                  <c:v>Burial</c:v>
                </c:pt>
                <c:pt idx="13">
                  <c:v>Pharmaceuticals</c:v>
                </c:pt>
                <c:pt idx="14">
                  <c:v>Gold Mining (with Hg)</c:v>
                </c:pt>
                <c:pt idx="15">
                  <c:v>Batteries</c:v>
                </c:pt>
                <c:pt idx="16">
                  <c:v>Cremations</c:v>
                </c:pt>
                <c:pt idx="17">
                  <c:v>Other coal combustion</c:v>
                </c:pt>
                <c:pt idx="18">
                  <c:v>Coal (Electricity)</c:v>
                </c:pt>
                <c:pt idx="19">
                  <c:v>Biomass</c:v>
                </c:pt>
                <c:pt idx="20">
                  <c:v>Iron and Steel (primary)</c:v>
                </c:pt>
                <c:pt idx="21">
                  <c:v>Natural Gas</c:v>
                </c:pt>
                <c:pt idx="22">
                  <c:v>Fertilisers</c:v>
                </c:pt>
                <c:pt idx="23">
                  <c:v>Gold mining (Hg free)</c:v>
                </c:pt>
                <c:pt idx="24">
                  <c:v>Geothermal</c:v>
                </c:pt>
                <c:pt idx="25">
                  <c:v>Landfills (reservoirs)</c:v>
                </c:pt>
                <c:pt idx="26">
                  <c:v>Wastewater </c:v>
                </c:pt>
              </c:strCache>
            </c:strRef>
          </c:cat>
          <c:val>
            <c:numRef>
              <c:f>'Log scale'!$I$5:$I$31</c:f>
              <c:numCache>
                <c:formatCode>General</c:formatCode>
                <c:ptCount val="27"/>
                <c:pt idx="0">
                  <c:v>0.51</c:v>
                </c:pt>
                <c:pt idx="1">
                  <c:v>0.67</c:v>
                </c:pt>
                <c:pt idx="2">
                  <c:v>0.97499999999999998</c:v>
                </c:pt>
                <c:pt idx="3">
                  <c:v>1.296</c:v>
                </c:pt>
                <c:pt idx="4">
                  <c:v>2.5720000000000001</c:v>
                </c:pt>
                <c:pt idx="5">
                  <c:v>1.641</c:v>
                </c:pt>
                <c:pt idx="6">
                  <c:v>1.71</c:v>
                </c:pt>
                <c:pt idx="7">
                  <c:v>5.25</c:v>
                </c:pt>
                <c:pt idx="8">
                  <c:v>6.4</c:v>
                </c:pt>
                <c:pt idx="9">
                  <c:v>11.76</c:v>
                </c:pt>
                <c:pt idx="10">
                  <c:v>12.58</c:v>
                </c:pt>
                <c:pt idx="11">
                  <c:v>20.399999999999999</c:v>
                </c:pt>
                <c:pt idx="12">
                  <c:v>27.57</c:v>
                </c:pt>
                <c:pt idx="13">
                  <c:v>28.85</c:v>
                </c:pt>
                <c:pt idx="14">
                  <c:v>40</c:v>
                </c:pt>
                <c:pt idx="15">
                  <c:v>33.44</c:v>
                </c:pt>
                <c:pt idx="16">
                  <c:v>101.72</c:v>
                </c:pt>
                <c:pt idx="17">
                  <c:v>108.13</c:v>
                </c:pt>
                <c:pt idx="18">
                  <c:v>165.38499999999999</c:v>
                </c:pt>
                <c:pt idx="19">
                  <c:v>170.3</c:v>
                </c:pt>
                <c:pt idx="20">
                  <c:v>152.19999999999999</c:v>
                </c:pt>
                <c:pt idx="21">
                  <c:v>262</c:v>
                </c:pt>
                <c:pt idx="22">
                  <c:v>132</c:v>
                </c:pt>
                <c:pt idx="23">
                  <c:v>199.2</c:v>
                </c:pt>
                <c:pt idx="24">
                  <c:v>2004</c:v>
                </c:pt>
                <c:pt idx="25">
                  <c:v>3029</c:v>
                </c:pt>
                <c:pt idx="26">
                  <c:v>6733.7</c:v>
                </c:pt>
              </c:numCache>
            </c:numRef>
          </c:val>
          <c:smooth val="0"/>
          <c:extLst>
            <c:ext xmlns:c16="http://schemas.microsoft.com/office/drawing/2014/chart" uri="{C3380CC4-5D6E-409C-BE32-E72D297353CC}">
              <c16:uniqueId val="{00000001-C14C-5742-BB41-218F057A9C14}"/>
            </c:ext>
          </c:extLst>
        </c:ser>
        <c:ser>
          <c:idx val="2"/>
          <c:order val="2"/>
          <c:tx>
            <c:strRef>
              <c:f>'Log scale'!$J$4</c:f>
              <c:strCache>
                <c:ptCount val="1"/>
                <c:pt idx="0">
                  <c:v>mean</c:v>
                </c:pt>
              </c:strCache>
            </c:strRef>
          </c:tx>
          <c:spPr>
            <a:ln w="28575">
              <a:noFill/>
            </a:ln>
          </c:spPr>
          <c:marker>
            <c:symbol val="diamond"/>
            <c:size val="5"/>
            <c:spPr>
              <a:solidFill>
                <a:schemeClr val="tx1"/>
              </a:solidFill>
            </c:spPr>
          </c:marker>
          <c:cat>
            <c:strRef>
              <c:f>'Log scale'!$G$5:$G$31</c:f>
              <c:strCache>
                <c:ptCount val="27"/>
                <c:pt idx="0">
                  <c:v>Pet Incinerators</c:v>
                </c:pt>
                <c:pt idx="1">
                  <c:v>Cement</c:v>
                </c:pt>
                <c:pt idx="2">
                  <c:v>Sewage Sludge Incin.</c:v>
                </c:pt>
                <c:pt idx="3">
                  <c:v>Med. Waste Incin.</c:v>
                </c:pt>
                <c:pt idx="4">
                  <c:v>Lime</c:v>
                </c:pt>
                <c:pt idx="5">
                  <c:v>Lab Chemicals</c:v>
                </c:pt>
                <c:pt idx="6">
                  <c:v>Dental Amalgams</c:v>
                </c:pt>
                <c:pt idx="7">
                  <c:v>Lamps</c:v>
                </c:pt>
                <c:pt idx="8">
                  <c:v>Switches and Relays</c:v>
                </c:pt>
                <c:pt idx="9">
                  <c:v>Agricultural Lime</c:v>
                </c:pt>
                <c:pt idx="10">
                  <c:v>Informal incineration</c:v>
                </c:pt>
                <c:pt idx="11">
                  <c:v>Oil (fossil fuel)</c:v>
                </c:pt>
                <c:pt idx="12">
                  <c:v>Burial</c:v>
                </c:pt>
                <c:pt idx="13">
                  <c:v>Pharmaceuticals</c:v>
                </c:pt>
                <c:pt idx="14">
                  <c:v>Gold Mining (with Hg)</c:v>
                </c:pt>
                <c:pt idx="15">
                  <c:v>Batteries</c:v>
                </c:pt>
                <c:pt idx="16">
                  <c:v>Cremations</c:v>
                </c:pt>
                <c:pt idx="17">
                  <c:v>Other coal combustion</c:v>
                </c:pt>
                <c:pt idx="18">
                  <c:v>Coal (Electricity)</c:v>
                </c:pt>
                <c:pt idx="19">
                  <c:v>Biomass</c:v>
                </c:pt>
                <c:pt idx="20">
                  <c:v>Iron and Steel (primary)</c:v>
                </c:pt>
                <c:pt idx="21">
                  <c:v>Natural Gas</c:v>
                </c:pt>
                <c:pt idx="22">
                  <c:v>Fertilisers</c:v>
                </c:pt>
                <c:pt idx="23">
                  <c:v>Gold mining (Hg free)</c:v>
                </c:pt>
                <c:pt idx="24">
                  <c:v>Geothermal</c:v>
                </c:pt>
                <c:pt idx="25">
                  <c:v>Landfills (reservoirs)</c:v>
                </c:pt>
                <c:pt idx="26">
                  <c:v>Wastewater </c:v>
                </c:pt>
              </c:strCache>
            </c:strRef>
          </c:cat>
          <c:val>
            <c:numRef>
              <c:f>'Log scale'!$J$5:$J$31</c:f>
              <c:numCache>
                <c:formatCode>General</c:formatCode>
                <c:ptCount val="27"/>
                <c:pt idx="0">
                  <c:v>0.51</c:v>
                </c:pt>
                <c:pt idx="1">
                  <c:v>0.67</c:v>
                </c:pt>
                <c:pt idx="2">
                  <c:v>0.97499999999999998</c:v>
                </c:pt>
                <c:pt idx="3">
                  <c:v>1.296</c:v>
                </c:pt>
                <c:pt idx="4">
                  <c:v>1.6080000000000001</c:v>
                </c:pt>
                <c:pt idx="5">
                  <c:v>1.641</c:v>
                </c:pt>
                <c:pt idx="6">
                  <c:v>1.71</c:v>
                </c:pt>
                <c:pt idx="7">
                  <c:v>5.25</c:v>
                </c:pt>
                <c:pt idx="8">
                  <c:v>6.4</c:v>
                </c:pt>
                <c:pt idx="9">
                  <c:v>11.76</c:v>
                </c:pt>
                <c:pt idx="10">
                  <c:v>12.58</c:v>
                </c:pt>
                <c:pt idx="11">
                  <c:v>20.399999999999999</c:v>
                </c:pt>
                <c:pt idx="12">
                  <c:v>27.57</c:v>
                </c:pt>
                <c:pt idx="13">
                  <c:v>28.85</c:v>
                </c:pt>
                <c:pt idx="14">
                  <c:v>30</c:v>
                </c:pt>
                <c:pt idx="15">
                  <c:v>33.44</c:v>
                </c:pt>
                <c:pt idx="16">
                  <c:v>63.57</c:v>
                </c:pt>
                <c:pt idx="17">
                  <c:v>68.48</c:v>
                </c:pt>
                <c:pt idx="18">
                  <c:v>91.396000000000001</c:v>
                </c:pt>
                <c:pt idx="19">
                  <c:v>93.67</c:v>
                </c:pt>
                <c:pt idx="20">
                  <c:v>95.1</c:v>
                </c:pt>
                <c:pt idx="21">
                  <c:v>131</c:v>
                </c:pt>
                <c:pt idx="22">
                  <c:v>132</c:v>
                </c:pt>
                <c:pt idx="23">
                  <c:v>199.2</c:v>
                </c:pt>
                <c:pt idx="24">
                  <c:v>1138.4000000000001</c:v>
                </c:pt>
                <c:pt idx="25">
                  <c:v>3029</c:v>
                </c:pt>
                <c:pt idx="26">
                  <c:v>3535.2</c:v>
                </c:pt>
              </c:numCache>
            </c:numRef>
          </c:val>
          <c:smooth val="0"/>
          <c:extLst>
            <c:ext xmlns:c16="http://schemas.microsoft.com/office/drawing/2014/chart" uri="{C3380CC4-5D6E-409C-BE32-E72D297353CC}">
              <c16:uniqueId val="{00000002-C14C-5742-BB41-218F057A9C14}"/>
            </c:ext>
          </c:extLst>
        </c:ser>
        <c:dLbls>
          <c:showLegendKey val="0"/>
          <c:showVal val="0"/>
          <c:showCatName val="0"/>
          <c:showSerName val="0"/>
          <c:showPercent val="0"/>
          <c:showBubbleSize val="0"/>
        </c:dLbls>
        <c:hiLowLines>
          <c:spPr>
            <a:ln w="76200">
              <a:solidFill>
                <a:schemeClr val="accent1"/>
              </a:solidFill>
            </a:ln>
          </c:spPr>
        </c:hiLowLines>
        <c:axId val="131591552"/>
        <c:axId val="131593344"/>
      </c:stockChart>
      <c:catAx>
        <c:axId val="131591552"/>
        <c:scaling>
          <c:orientation val="minMax"/>
        </c:scaling>
        <c:delete val="0"/>
        <c:axPos val="b"/>
        <c:numFmt formatCode="General" sourceLinked="0"/>
        <c:majorTickMark val="in"/>
        <c:minorTickMark val="none"/>
        <c:tickLblPos val="nextTo"/>
        <c:txPr>
          <a:bodyPr rot="-4200000"/>
          <a:lstStyle/>
          <a:p>
            <a:pPr>
              <a:defRPr sz="800" b="1"/>
            </a:pPr>
            <a:endParaRPr lang="en-US"/>
          </a:p>
        </c:txPr>
        <c:crossAx val="131593344"/>
        <c:crossesAt val="1.0000000000000002E-2"/>
        <c:auto val="1"/>
        <c:lblAlgn val="ctr"/>
        <c:lblOffset val="100"/>
        <c:tickLblSkip val="1"/>
        <c:noMultiLvlLbl val="0"/>
      </c:catAx>
      <c:valAx>
        <c:axId val="131593344"/>
        <c:scaling>
          <c:logBase val="10"/>
          <c:orientation val="minMax"/>
          <c:min val="0.1"/>
        </c:scaling>
        <c:delete val="0"/>
        <c:axPos val="l"/>
        <c:majorGridlines/>
        <c:title>
          <c:tx>
            <c:rich>
              <a:bodyPr/>
              <a:lstStyle/>
              <a:p>
                <a:pPr>
                  <a:defRPr sz="1000"/>
                </a:pPr>
                <a:r>
                  <a:rPr lang="en-NZ" sz="1000"/>
                  <a:t>Annual Inputs, kg/year</a:t>
                </a:r>
              </a:p>
            </c:rich>
          </c:tx>
          <c:overlay val="0"/>
        </c:title>
        <c:numFmt formatCode="General" sourceLinked="1"/>
        <c:majorTickMark val="none"/>
        <c:minorTickMark val="none"/>
        <c:tickLblPos val="nextTo"/>
        <c:crossAx val="13159155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Mercury Outputs to Air, 2024</a:t>
            </a:r>
          </a:p>
        </c:rich>
      </c:tx>
      <c:overlay val="0"/>
    </c:title>
    <c:autoTitleDeleted val="0"/>
    <c:plotArea>
      <c:layout/>
      <c:pieChart>
        <c:varyColors val="1"/>
        <c:ser>
          <c:idx val="2"/>
          <c:order val="0"/>
          <c:dLbls>
            <c:dLbl>
              <c:idx val="6"/>
              <c:layout>
                <c:manualLayout>
                  <c:x val="8.5483787918730954E-3"/>
                  <c:y val="-4.106412193651898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223-8E42-BD67-F00B2E7A3E3B}"/>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SummaryTable!$L$5:$L$13</c:f>
              <c:strCache>
                <c:ptCount val="8"/>
                <c:pt idx="0">
                  <c:v>Extraction and use of fuels/energy sources </c:v>
                </c:pt>
                <c:pt idx="1">
                  <c:v>Primary (virgin) metal production </c:v>
                </c:pt>
                <c:pt idx="5">
                  <c:v>Waste incineration </c:v>
                </c:pt>
                <c:pt idx="6">
                  <c:v>Landfilling and wastewater treatment</c:v>
                </c:pt>
                <c:pt idx="7">
                  <c:v>Crematoria and cemeteries </c:v>
                </c:pt>
              </c:strCache>
            </c:strRef>
          </c:cat>
          <c:val>
            <c:numRef>
              <c:f>SummaryTable!$M$5:$M$13</c:f>
              <c:numCache>
                <c:formatCode>General</c:formatCode>
                <c:ptCount val="9"/>
                <c:pt idx="0">
                  <c:v>1419</c:v>
                </c:pt>
                <c:pt idx="1">
                  <c:v>59.3</c:v>
                </c:pt>
                <c:pt idx="5">
                  <c:v>16.975999999999999</c:v>
                </c:pt>
                <c:pt idx="6">
                  <c:v>30.3</c:v>
                </c:pt>
                <c:pt idx="7">
                  <c:v>63.6</c:v>
                </c:pt>
              </c:numCache>
            </c:numRef>
          </c:val>
          <c:extLst>
            <c:ext xmlns:c16="http://schemas.microsoft.com/office/drawing/2014/chart" uri="{C3380CC4-5D6E-409C-BE32-E72D297353CC}">
              <c16:uniqueId val="{00000001-5223-8E42-BD67-F00B2E7A3E3B}"/>
            </c:ext>
          </c:extLst>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egendEntry>
        <c:idx val="4"/>
        <c:delete val="1"/>
      </c:legendEntry>
      <c:legendEntry>
        <c:idx val="8"/>
        <c:delete val="1"/>
      </c:legendEntry>
      <c:layout>
        <c:manualLayout>
          <c:xMode val="edge"/>
          <c:yMode val="edge"/>
          <c:x val="0.62359463924826108"/>
          <c:y val="0.29680381105176867"/>
          <c:w val="0.36238257759365355"/>
          <c:h val="0.65288652234397593"/>
        </c:manualLayout>
      </c:layout>
      <c:overlay val="0"/>
      <c:txPr>
        <a:bodyPr/>
        <a:lstStyle/>
        <a:p>
          <a:pPr rtl="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Mercury Outputs to Water, 2024</a:t>
            </a:r>
          </a:p>
        </c:rich>
      </c:tx>
      <c:overlay val="0"/>
    </c:title>
    <c:autoTitleDeleted val="0"/>
    <c:plotArea>
      <c:layout/>
      <c:pieChart>
        <c:varyColors val="1"/>
        <c:ser>
          <c:idx val="2"/>
          <c:order val="0"/>
          <c:dLbls>
            <c:dLbl>
              <c:idx val="1"/>
              <c:layout>
                <c:manualLayout>
                  <c:x val="4.7593078679185136E-2"/>
                  <c:y val="1.014057408926302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F8D-974E-9C25-2479EFBA0FBA}"/>
                </c:ext>
              </c:extLst>
            </c:dLbl>
            <c:dLbl>
              <c:idx val="2"/>
              <c:layout>
                <c:manualLayout>
                  <c:x val="7.2126700446483949E-2"/>
                  <c:y val="1.0192926915063294E-3"/>
                </c:manualLayout>
              </c:layout>
              <c:tx>
                <c:rich>
                  <a:bodyPr/>
                  <a:lstStyle/>
                  <a:p>
                    <a:r>
                      <a:rPr lang="en-US"/>
                      <a:t>0.4%</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FF8D-974E-9C25-2479EFBA0FBA}"/>
                </c:ext>
              </c:extLst>
            </c:dLbl>
            <c:dLbl>
              <c:idx val="3"/>
              <c:delete val="1"/>
              <c:extLst>
                <c:ext xmlns:c15="http://schemas.microsoft.com/office/drawing/2012/chart" uri="{CE6537A1-D6FC-4f65-9D91-7224C49458BB}"/>
                <c:ext xmlns:c16="http://schemas.microsoft.com/office/drawing/2014/chart" uri="{C3380CC4-5D6E-409C-BE32-E72D297353CC}">
                  <c16:uniqueId val="{00000002-FF8D-974E-9C25-2479EFBA0FBA}"/>
                </c:ext>
              </c:extLst>
            </c:dLbl>
            <c:dLbl>
              <c:idx val="4"/>
              <c:delete val="1"/>
              <c:extLst>
                <c:ext xmlns:c15="http://schemas.microsoft.com/office/drawing/2012/chart" uri="{CE6537A1-D6FC-4f65-9D91-7224C49458BB}">
                  <c15:layout>
                    <c:manualLayout>
                      <c:w val="3.0382696842518257E-2"/>
                      <c:h val="5.4123711340206188E-2"/>
                    </c:manualLayout>
                  </c15:layout>
                </c:ext>
                <c:ext xmlns:c16="http://schemas.microsoft.com/office/drawing/2014/chart" uri="{C3380CC4-5D6E-409C-BE32-E72D297353CC}">
                  <c16:uniqueId val="{00000003-FF8D-974E-9C25-2479EFBA0FBA}"/>
                </c:ext>
              </c:extLst>
            </c:dLbl>
            <c:dLbl>
              <c:idx val="5"/>
              <c:delete val="1"/>
              <c:extLst>
                <c:ext xmlns:c15="http://schemas.microsoft.com/office/drawing/2012/chart" uri="{CE6537A1-D6FC-4f65-9D91-7224C49458BB}"/>
                <c:ext xmlns:c16="http://schemas.microsoft.com/office/drawing/2014/chart" uri="{C3380CC4-5D6E-409C-BE32-E72D297353CC}">
                  <c16:uniqueId val="{00000004-FF8D-974E-9C25-2479EFBA0FBA}"/>
                </c:ext>
              </c:extLst>
            </c:dLbl>
            <c:dLbl>
              <c:idx val="8"/>
              <c:delete val="1"/>
              <c:extLst>
                <c:ext xmlns:c15="http://schemas.microsoft.com/office/drawing/2012/chart" uri="{CE6537A1-D6FC-4f65-9D91-7224C49458BB}"/>
                <c:ext xmlns:c16="http://schemas.microsoft.com/office/drawing/2014/chart" uri="{C3380CC4-5D6E-409C-BE32-E72D297353CC}">
                  <c16:uniqueId val="{00000005-FF8D-974E-9C25-2479EFBA0FBA}"/>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SummaryTable!$N$5:$N$13</c:f>
              <c:strCache>
                <c:ptCount val="7"/>
                <c:pt idx="0">
                  <c:v>Extraction and use of fuels/energy sources </c:v>
                </c:pt>
                <c:pt idx="1">
                  <c:v>Primary (virgin) metal production </c:v>
                </c:pt>
                <c:pt idx="6">
                  <c:v>Landfilling and wastewater treatment</c:v>
                </c:pt>
              </c:strCache>
            </c:strRef>
          </c:cat>
          <c:val>
            <c:numRef>
              <c:f>SummaryTable!$O$5:$O$13</c:f>
              <c:numCache>
                <c:formatCode>General</c:formatCode>
                <c:ptCount val="9"/>
                <c:pt idx="0">
                  <c:v>32.6</c:v>
                </c:pt>
                <c:pt idx="1">
                  <c:v>14.85</c:v>
                </c:pt>
                <c:pt idx="6">
                  <c:v>1768</c:v>
                </c:pt>
              </c:numCache>
            </c:numRef>
          </c:val>
          <c:extLst>
            <c:ext xmlns:c16="http://schemas.microsoft.com/office/drawing/2014/chart" uri="{C3380CC4-5D6E-409C-BE32-E72D297353CC}">
              <c16:uniqueId val="{00000006-FF8D-974E-9C25-2479EFBA0FBA}"/>
            </c:ext>
          </c:extLst>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egendEntry>
        <c:idx val="4"/>
        <c:delete val="1"/>
      </c:legendEntry>
      <c:legendEntry>
        <c:idx val="5"/>
        <c:delete val="1"/>
      </c:legendEntry>
      <c:legendEntry>
        <c:idx val="7"/>
        <c:delete val="1"/>
      </c:legendEntry>
      <c:legendEntry>
        <c:idx val="8"/>
        <c:delete val="1"/>
      </c:legendEntry>
      <c:layout>
        <c:manualLayout>
          <c:xMode val="edge"/>
          <c:yMode val="edge"/>
          <c:x val="0.62359463924826108"/>
          <c:y val="0.29680381105176867"/>
          <c:w val="0.36238257759365355"/>
          <c:h val="0.65288652234397593"/>
        </c:manualLayout>
      </c:layout>
      <c:overlay val="0"/>
      <c:txPr>
        <a:bodyPr/>
        <a:lstStyle/>
        <a:p>
          <a:pPr rtl="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sz="1600"/>
              <a:t>Mercury Outputs to Land, 2024</a:t>
            </a:r>
          </a:p>
        </c:rich>
      </c:tx>
      <c:layout>
        <c:manualLayout>
          <c:xMode val="edge"/>
          <c:yMode val="edge"/>
          <c:x val="0.14191645439264602"/>
          <c:y val="1.3745704467353952E-2"/>
        </c:manualLayout>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SummaryTable!$P$5:$P$13</c:f>
              <c:strCache>
                <c:ptCount val="8"/>
                <c:pt idx="0">
                  <c:v>Primary (virgin) metal production</c:v>
                </c:pt>
                <c:pt idx="2">
                  <c:v>Production of minerals and materials with mercury impurities</c:v>
                </c:pt>
                <c:pt idx="6">
                  <c:v>Landfilling and wastewater treatment</c:v>
                </c:pt>
                <c:pt idx="7">
                  <c:v>Crematoria and cemeteries </c:v>
                </c:pt>
              </c:strCache>
            </c:strRef>
          </c:cat>
          <c:val>
            <c:numRef>
              <c:f>SummaryTable!$Q$5:$Q$13</c:f>
              <c:numCache>
                <c:formatCode>General</c:formatCode>
                <c:ptCount val="9"/>
                <c:pt idx="0">
                  <c:v>187.6</c:v>
                </c:pt>
                <c:pt idx="2">
                  <c:v>143.76</c:v>
                </c:pt>
                <c:pt idx="6">
                  <c:v>707</c:v>
                </c:pt>
                <c:pt idx="7">
                  <c:v>27.57</c:v>
                </c:pt>
              </c:numCache>
            </c:numRef>
          </c:val>
          <c:extLst>
            <c:ext xmlns:c16="http://schemas.microsoft.com/office/drawing/2014/chart" uri="{C3380CC4-5D6E-409C-BE32-E72D297353CC}">
              <c16:uniqueId val="{00000000-5738-864E-83E5-1A29A01A4CAB}"/>
            </c:ext>
          </c:extLst>
        </c:ser>
        <c:ser>
          <c:idx val="2"/>
          <c:order val="1"/>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SummaryTable!$P$5:$P$13</c:f>
              <c:strCache>
                <c:ptCount val="8"/>
                <c:pt idx="0">
                  <c:v>Primary (virgin) metal production</c:v>
                </c:pt>
                <c:pt idx="2">
                  <c:v>Production of minerals and materials with mercury impurities</c:v>
                </c:pt>
                <c:pt idx="6">
                  <c:v>Landfilling and wastewater treatment</c:v>
                </c:pt>
                <c:pt idx="7">
                  <c:v>Crematoria and cemeteries </c:v>
                </c:pt>
              </c:strCache>
            </c:strRef>
          </c:cat>
          <c:val>
            <c:numRef>
              <c:f>SummaryTable!$Q$5:$Q$13</c:f>
              <c:numCache>
                <c:formatCode>General</c:formatCode>
                <c:ptCount val="9"/>
                <c:pt idx="0">
                  <c:v>187.6</c:v>
                </c:pt>
                <c:pt idx="2">
                  <c:v>143.76</c:v>
                </c:pt>
                <c:pt idx="6">
                  <c:v>707</c:v>
                </c:pt>
                <c:pt idx="7">
                  <c:v>27.57</c:v>
                </c:pt>
              </c:numCache>
            </c:numRef>
          </c:val>
          <c:extLst>
            <c:ext xmlns:c16="http://schemas.microsoft.com/office/drawing/2014/chart" uri="{C3380CC4-5D6E-409C-BE32-E72D297353CC}">
              <c16:uniqueId val="{00000001-5738-864E-83E5-1A29A01A4CAB}"/>
            </c:ext>
          </c:extLst>
        </c:ser>
        <c:dLbls>
          <c:showLegendKey val="0"/>
          <c:showVal val="0"/>
          <c:showCatName val="0"/>
          <c:showSerName val="0"/>
          <c:showPercent val="1"/>
          <c:showBubbleSize val="0"/>
          <c:showLeaderLines val="1"/>
        </c:dLbls>
        <c:firstSliceAng val="0"/>
      </c:pieChart>
    </c:plotArea>
    <c:legend>
      <c:legendPos val="r"/>
      <c:legendEntry>
        <c:idx val="1"/>
        <c:delete val="1"/>
      </c:legendEntry>
      <c:legendEntry>
        <c:idx val="3"/>
        <c:delete val="1"/>
      </c:legendEntry>
      <c:legendEntry>
        <c:idx val="4"/>
        <c:delete val="1"/>
      </c:legendEntry>
      <c:legendEntry>
        <c:idx val="5"/>
        <c:delete val="1"/>
      </c:legendEntry>
      <c:legendEntry>
        <c:idx val="8"/>
        <c:delete val="1"/>
      </c:legendEntry>
      <c:layout>
        <c:manualLayout>
          <c:xMode val="edge"/>
          <c:yMode val="edge"/>
          <c:x val="0.62359463924826108"/>
          <c:y val="0.29680381105176867"/>
          <c:w val="0.36238257759365355"/>
          <c:h val="0.65288652234397593"/>
        </c:manualLayout>
      </c:layout>
      <c:overlay val="0"/>
      <c:txPr>
        <a:bodyPr/>
        <a:lstStyle/>
        <a:p>
          <a:pPr rtl="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Mercury Outputs to Product, 2024</a:t>
            </a:r>
          </a:p>
        </c:rich>
      </c:tx>
      <c:overlay val="0"/>
    </c:title>
    <c:autoTitleDeleted val="0"/>
    <c:plotArea>
      <c:layout/>
      <c:pieChart>
        <c:varyColors val="1"/>
        <c:ser>
          <c:idx val="2"/>
          <c:order val="0"/>
          <c:dPt>
            <c:idx val="0"/>
            <c:bubble3D val="0"/>
            <c:spPr>
              <a:solidFill>
                <a:schemeClr val="accent2"/>
              </a:solidFill>
            </c:spPr>
            <c:extLst>
              <c:ext xmlns:c16="http://schemas.microsoft.com/office/drawing/2014/chart" uri="{C3380CC4-5D6E-409C-BE32-E72D297353CC}">
                <c16:uniqueId val="{00000001-C666-5944-B20A-EBC17110AC74}"/>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SummaryTable!$R$5:$R$13</c:f>
              <c:strCache>
                <c:ptCount val="5"/>
                <c:pt idx="0">
                  <c:v>Primary (virgin) metal production </c:v>
                </c:pt>
                <c:pt idx="1">
                  <c:v>Primary (virgin) metal production </c:v>
                </c:pt>
                <c:pt idx="2">
                  <c:v>Production of minerals and materials with mercury impurities</c:v>
                </c:pt>
                <c:pt idx="3">
                  <c:v>Consumer products with intentional use of mercury </c:v>
                </c:pt>
                <c:pt idx="4">
                  <c:v>Other intentional product/process uses </c:v>
                </c:pt>
              </c:strCache>
            </c:strRef>
          </c:cat>
          <c:val>
            <c:numRef>
              <c:f>SummaryTable!$S$5:$S$13</c:f>
              <c:numCache>
                <c:formatCode>General</c:formatCode>
                <c:ptCount val="9"/>
                <c:pt idx="1">
                  <c:v>5.69</c:v>
                </c:pt>
                <c:pt idx="2">
                  <c:v>0.68300000000000005</c:v>
                </c:pt>
                <c:pt idx="3">
                  <c:v>28.85</c:v>
                </c:pt>
                <c:pt idx="4">
                  <c:v>1.101</c:v>
                </c:pt>
              </c:numCache>
            </c:numRef>
          </c:val>
          <c:extLst>
            <c:ext xmlns:c16="http://schemas.microsoft.com/office/drawing/2014/chart" uri="{C3380CC4-5D6E-409C-BE32-E72D297353CC}">
              <c16:uniqueId val="{00000002-C666-5944-B20A-EBC17110AC74}"/>
            </c:ext>
          </c:extLst>
        </c:ser>
        <c:dLbls>
          <c:showLegendKey val="0"/>
          <c:showVal val="0"/>
          <c:showCatName val="0"/>
          <c:showSerName val="0"/>
          <c:showPercent val="1"/>
          <c:showBubbleSize val="0"/>
          <c:showLeaderLines val="1"/>
        </c:dLbls>
        <c:firstSliceAng val="0"/>
      </c:pieChart>
    </c:plotArea>
    <c:legend>
      <c:legendPos val="r"/>
      <c:legendEntry>
        <c:idx val="1"/>
        <c:delete val="1"/>
      </c:legendEntry>
      <c:legendEntry>
        <c:idx val="5"/>
        <c:delete val="1"/>
      </c:legendEntry>
      <c:legendEntry>
        <c:idx val="6"/>
        <c:delete val="1"/>
      </c:legendEntry>
      <c:legendEntry>
        <c:idx val="7"/>
        <c:delete val="1"/>
      </c:legendEntry>
      <c:legendEntry>
        <c:idx val="8"/>
        <c:delete val="1"/>
      </c:legendEntry>
      <c:layout>
        <c:manualLayout>
          <c:xMode val="edge"/>
          <c:yMode val="edge"/>
          <c:x val="0.62359463924826108"/>
          <c:y val="0.29680381105176867"/>
          <c:w val="0.36238257759365355"/>
          <c:h val="0.65288652234397593"/>
        </c:manualLayout>
      </c:layout>
      <c:overlay val="0"/>
      <c:txPr>
        <a:bodyPr/>
        <a:lstStyle/>
        <a:p>
          <a:pPr rtl="0">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Mercury Outputs to Waste, 2024</a:t>
            </a:r>
          </a:p>
        </c:rich>
      </c:tx>
      <c:overlay val="0"/>
    </c:title>
    <c:autoTitleDeleted val="0"/>
    <c:plotArea>
      <c:layout/>
      <c:pieChart>
        <c:varyColors val="1"/>
        <c:ser>
          <c:idx val="2"/>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SummaryTable!$T$5:$T$12</c:f>
              <c:strCache>
                <c:ptCount val="7"/>
                <c:pt idx="0">
                  <c:v>Extraction and use of fuels/energy sources </c:v>
                </c:pt>
                <c:pt idx="1">
                  <c:v>Primary (virgin) metal production </c:v>
                </c:pt>
                <c:pt idx="3">
                  <c:v>Consumer products with intentional use of mercury </c:v>
                </c:pt>
                <c:pt idx="6">
                  <c:v> Landfilling and wastewater treatment</c:v>
                </c:pt>
              </c:strCache>
            </c:strRef>
          </c:cat>
          <c:val>
            <c:numRef>
              <c:f>SummaryTable!$U$5:$U$13</c:f>
              <c:numCache>
                <c:formatCode>General</c:formatCode>
                <c:ptCount val="9"/>
                <c:pt idx="0">
                  <c:v>82.05</c:v>
                </c:pt>
                <c:pt idx="1">
                  <c:v>56.96</c:v>
                </c:pt>
                <c:pt idx="3">
                  <c:v>43.6</c:v>
                </c:pt>
                <c:pt idx="6">
                  <c:v>1060.5999999999999</c:v>
                </c:pt>
              </c:numCache>
            </c:numRef>
          </c:val>
          <c:extLst>
            <c:ext xmlns:c16="http://schemas.microsoft.com/office/drawing/2014/chart" uri="{C3380CC4-5D6E-409C-BE32-E72D297353CC}">
              <c16:uniqueId val="{00000000-158D-284D-9AB8-09C93DF2DB23}"/>
            </c:ext>
          </c:extLst>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4"/>
        <c:delete val="1"/>
      </c:legendEntry>
      <c:legendEntry>
        <c:idx val="5"/>
        <c:delete val="1"/>
      </c:legendEntry>
      <c:legendEntry>
        <c:idx val="7"/>
        <c:delete val="1"/>
      </c:legendEntry>
      <c:legendEntry>
        <c:idx val="8"/>
        <c:delete val="1"/>
      </c:legendEntry>
      <c:layout>
        <c:manualLayout>
          <c:xMode val="edge"/>
          <c:yMode val="edge"/>
          <c:x val="0.62359463924826108"/>
          <c:y val="0.29680381105176867"/>
          <c:w val="0.36238257759365355"/>
          <c:h val="0.65288652234397593"/>
        </c:manualLayout>
      </c:layout>
      <c:overlay val="0"/>
      <c:txPr>
        <a:bodyPr/>
        <a:lstStyle/>
        <a:p>
          <a:pPr rtl="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8" ma:contentTypeDescription="Create a new document." ma:contentTypeScope="" ma:versionID="a6a6655c3984688bfc1f96b05429a24f">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84a0e010620cb633f2dde1b4af04e1c5"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To" minOccurs="0"/>
                <xsd:element ref="ns3:From" minOccurs="0"/>
                <xsd:element ref="ns3:Sent_x002f_Received" minOccurs="0"/>
                <xsd:element ref="ns3:MTS_x0020_Type" minOccurs="0"/>
                <xsd:element ref="ns3:MTS_x0020_ID" minOccurs="0"/>
                <xsd:element ref="ns3:Other_x0020_Details_4" minOccurs="0"/>
                <xsd:element ref="ns3:Contract_x0020_Number" minOccurs="0"/>
                <xsd:element ref="ns1:_ip_UnifiedCompliancePolicyProperties" minOccurs="0"/>
                <xsd:element ref="ns1:_ip_UnifiedCompliancePolicyUIAction" minOccurs="0"/>
                <xsd:element ref="ns4:SharedWithUsers" minOccurs="0"/>
                <xsd:element ref="ns4:SharedWithDetails" minOccurs="0"/>
                <xsd:element ref="ns3:MediaServiceLocation" minOccurs="0"/>
                <xsd:element ref="ns3:MediaLengthInSeconds" minOccurs="0"/>
                <xsd:element ref="ns3:lcf76f155ced4ddcb4097134ff3c332f" minOccurs="0"/>
                <xsd:element ref="ns2:TaxCatchAll" minOccurs="0"/>
                <xsd:element ref="ns5:IconOverlay"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3" nillable="true" ma:displayName="Taxonomy Catch All Column" ma:hidden="true" ma:list="{d0cdddb6-5cfb-45b6-8fe0-da02a32629e8}"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Library" ma:index="28" nillable="true" ma:displayName="Library" ma:default="" ma:description="" ma:internalName="Library">
      <xsd:simpleType>
        <xsd:restriction base="dms:Text">
          <xsd:maxLength value="255"/>
        </xsd:restriction>
      </xsd:simpleType>
    </xsd:element>
    <xsd:element name="Legacy_x0020_DocID" ma:index="29" nillable="true" ma:displayName="Legacy DocID" ma:decimals="-1" ma:default="" ma:description="" ma:internalName="Legacy_x0020_DocID">
      <xsd:simpleType>
        <xsd:restriction base="dms:Number"/>
      </xsd:simpleType>
    </xsd:element>
    <xsd:element name="Legacy_x0020_Version" ma:index="30" nillable="true" ma:displayName="Legacy Version" ma:default="" ma:description="" ma:internalName="Legacy_x0020_Version">
      <xsd:simpleType>
        <xsd:restriction base="dms:Text">
          <xsd:maxLength value="255"/>
        </xsd:restriction>
      </xsd:simpleType>
    </xsd:element>
    <xsd:element name="Class" ma:index="31" nillable="true" ma:displayName="Class" ma:default="" ma:description="" ma:internalName="Class">
      <xsd:simpleType>
        <xsd:restriction base="dms:Text">
          <xsd:maxLength value="255"/>
        </xsd:restriction>
      </xsd:simpleType>
    </xsd:element>
    <xsd:element name="Author0" ma:index="32" nillable="true" ma:displayName="Author" ma:default="" ma:description="" ma:internalName="Author0">
      <xsd:simpleType>
        <xsd:restriction base="dms:Text">
          <xsd:maxLength value="255"/>
        </xsd:restriction>
      </xsd:simpleType>
    </xsd:element>
    <xsd:element name="Status" ma:index="33" nillable="true" ma:displayName="Status" ma:default="" ma:description="" ma:internalName="Status">
      <xsd:simpleType>
        <xsd:restriction base="dms:Text">
          <xsd:maxLength value="255"/>
        </xsd:restriction>
      </xsd:simpleType>
    </xsd:element>
    <xsd:element name="Year" ma:index="34" nillable="true" ma:displayName="Year" ma:default="" ma:description="" ma:internalName="Year">
      <xsd:simpleType>
        <xsd:restriction base="dms:Text">
          <xsd:maxLength value="255"/>
        </xsd:restriction>
      </xsd:simpleType>
    </xsd:element>
    <xsd:element name="Other_x0020_Details" ma:index="35" nillable="true" ma:displayName="Other Details" ma:default="" ma:description="" ma:internalName="Other_x0020_Details">
      <xsd:simpleType>
        <xsd:restriction base="dms:Text">
          <xsd:maxLength value="255"/>
        </xsd:restriction>
      </xsd:simpleType>
    </xsd:element>
    <xsd:element name="Other_x0020_Details_2" ma:index="36" nillable="true" ma:displayName="Other Details_2" ma:description="" ma:internalName="Other_x0020_Details_2">
      <xsd:simpleType>
        <xsd:restriction base="dms:Text">
          <xsd:maxLength value="255"/>
        </xsd:restriction>
      </xsd:simpleType>
    </xsd:element>
    <xsd:element name="Other_x0020_Details_3" ma:index="37" nillable="true" ma:displayName="Other Details_3" ma:description="" ma:internalName="Other_x0020_Details_3">
      <xsd:simpleType>
        <xsd:restriction base="dms:Text">
          <xsd:maxLength value="255"/>
        </xsd:restriction>
      </xsd:simpleType>
    </xsd:element>
    <xsd:element name="To" ma:index="38" nillable="true" ma:displayName="To" ma:default="" ma:description="" ma:internalName="To">
      <xsd:simpleType>
        <xsd:restriction base="dms:Note">
          <xsd:maxLength value="255"/>
        </xsd:restriction>
      </xsd:simpleType>
    </xsd:element>
    <xsd:element name="From" ma:index="39" nillable="true" ma:displayName="From" ma:default="" ma:description="" ma:internalName="From">
      <xsd:simpleType>
        <xsd:restriction base="dms:Text">
          <xsd:maxLength value="255"/>
        </xsd:restriction>
      </xsd:simpleType>
    </xsd:element>
    <xsd:element name="Sent_x002f_Received" ma:index="40" nillable="true" ma:displayName="Sent/Received" ma:default="" ma:description="" ma:internalName="Sent_x002f_Received">
      <xsd:simpleType>
        <xsd:restriction base="dms:Text">
          <xsd:maxLength value="255"/>
        </xsd:restriction>
      </xsd:simpleType>
    </xsd:element>
    <xsd:element name="MTS_x0020_Type" ma:index="41" nillable="true" ma:displayName="MTS Type" ma:default="" ma:description="" ma:internalName="MTS_x0020_Type">
      <xsd:simpleType>
        <xsd:restriction base="dms:Note">
          <xsd:maxLength value="255"/>
        </xsd:restriction>
      </xsd:simpleType>
    </xsd:element>
    <xsd:element name="MTS_x0020_ID" ma:index="42" nillable="true" ma:displayName="MTS ID" ma:default="" ma:description="" ma:internalName="MTS_x0020_ID">
      <xsd:simpleType>
        <xsd:restriction base="dms:Text">
          <xsd:maxLength value="255"/>
        </xsd:restriction>
      </xsd:simpleType>
    </xsd:element>
    <xsd:element name="Other_x0020_Details_4" ma:index="43" nillable="true" ma:displayName="Other Details_4" ma:description="" ma:internalName="Other_x0020_Details_4">
      <xsd:simpleType>
        <xsd:restriction base="dms:Text">
          <xsd:maxLength value="255"/>
        </xsd:restriction>
      </xsd:simpleType>
    </xsd:element>
    <xsd:element name="Contract_x0020_Number" ma:index="44" nillable="true" ma:displayName="Contract Number" ma:default="" ma:description="" ma:internalName="Contract_x0020_Number">
      <xsd:simpleType>
        <xsd:restriction base="dms:Text">
          <xsd:maxLength value="255"/>
        </xsd:restriction>
      </xsd:simpleType>
    </xsd:element>
    <xsd:element name="MediaServiceLocation" ma:index="49" nillable="true" ma:displayName="Location" ma:internalName="MediaServiceLocation" ma:readOnly="true">
      <xsd:simpleType>
        <xsd:restriction base="dms:Text"/>
      </xsd:simpleType>
    </xsd:element>
    <xsd:element name="MediaLengthInSeconds" ma:index="50" nillable="true" ma:displayName="MediaLengthInSeconds" ma:hidden="true"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element name="MediaServiceBillingMetadata" ma:index="5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ail_x0020_Table xmlns="4a94300e-a927-4b92-9d3a-682523035cb6" xsi:nil="true"/>
    <Sender_x0020_Date xmlns="4a94300e-a927-4b92-9d3a-682523035cb6" xsi:nil="true"/>
    <Carbon_x0020_Copy xmlns="4a94300e-a927-4b92-9d3a-682523035cb6" xsi:nil="true"/>
    <Class xmlns="4a94300e-a927-4b92-9d3a-682523035cb6" xsi:nil="true"/>
    <From xmlns="4a94300e-a927-4b92-9d3a-682523035cb6" xsi:nil="true"/>
    <_dlc_DocId xmlns="58a6f171-52cb-4404-b47d-af1c8daf8fd1">ECM-1620197338-103952</_dlc_DocId>
    <Other_x0020_Details_2 xmlns="4a94300e-a927-4b92-9d3a-682523035cb6" xsi:nil="true"/>
    <Receiver xmlns="4a94300e-a927-4b92-9d3a-682523035cb6" xsi:nil="true"/>
    <Legacy_x0020_Version xmlns="4a94300e-a927-4b92-9d3a-682523035cb6" xsi:nil="true"/>
    <Author0 xmlns="4a94300e-a927-4b92-9d3a-682523035cb6" xsi:nil="true"/>
    <IconOverlay xmlns="http://schemas.microsoft.com/sharepoint/v4" xsi:nil="true"/>
    <Sent_x002f_Received xmlns="4a94300e-a927-4b92-9d3a-682523035cb6" xsi:nil="true"/>
    <Other_x0020_Details_3 xmlns="4a94300e-a927-4b92-9d3a-682523035cb6" xsi:nil="true"/>
    <_ip_UnifiedCompliancePolicyUIAction xmlns="http://schemas.microsoft.com/sharepoint/v3" xsi:nil="true"/>
    <Library xmlns="4a94300e-a927-4b92-9d3a-682523035cb6" xsi:nil="true"/>
    <Document_x0020_Type xmlns="4a94300e-a927-4b92-9d3a-682523035cb6" xsi:nil="true"/>
    <Other_x0020_Details xmlns="4a94300e-a927-4b92-9d3a-682523035cb6" xsi:nil="true"/>
    <_dlc_DocIdUrl xmlns="58a6f171-52cb-4404-b47d-af1c8daf8fd1">
      <Url>https://ministryforenvironment.sharepoint.com/sites/ECM-Pol-AcrDom/_layouts/15/DocIdRedir.aspx?ID=ECM-1620197338-103952</Url>
      <Description>ECM-1620197338-103952</Description>
    </_dlc_DocIdUrl>
    <Legacy_x0020_DocID xmlns="4a94300e-a927-4b92-9d3a-682523035cb6" xsi:nil="true"/>
    <_ip_UnifiedCompliancePolicyProperties xmlns="http://schemas.microsoft.com/sharepoint/v3" xsi:nil="true"/>
    <Contract_x0020_Number xmlns="4a94300e-a927-4b92-9d3a-682523035cb6" xsi:nil="true"/>
    <Receiver_x0020_Date xmlns="4a94300e-a927-4b92-9d3a-682523035cb6" xsi:nil="true"/>
    <Other_x0020_Details_4 xmlns="4a94300e-a927-4b92-9d3a-682523035cb6" xsi:nil="true"/>
    <Year xmlns="4a94300e-a927-4b92-9d3a-682523035cb6" xsi:nil="true"/>
    <MTS_x0020_Type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Status xmlns="4a94300e-a927-4b92-9d3a-682523035cb6" xsi:nil="true"/>
    <Sender xmlns="4a94300e-a927-4b92-9d3a-682523035cb6" xsi:nil="true"/>
    <To xmlns="4a94300e-a927-4b92-9d3a-682523035cb6" xsi:nil="true"/>
    <MTS_x0020_ID xmlns="4a94300e-a927-4b92-9d3a-682523035cb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EB1338-0C95-4CDB-8030-7E5C81F44491}">
  <ds:schemaRefs>
    <ds:schemaRef ds:uri="http://schemas.microsoft.com/sharepoint/events"/>
  </ds:schemaRefs>
</ds:datastoreItem>
</file>

<file path=customXml/itemProps2.xml><?xml version="1.0" encoding="utf-8"?>
<ds:datastoreItem xmlns:ds="http://schemas.openxmlformats.org/officeDocument/2006/customXml" ds:itemID="{C2909D4C-4E90-4688-BCA0-11568C736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74818D-4DDC-4172-86F0-24F9C568FF71}">
  <ds:schemaRefs>
    <ds:schemaRef ds:uri="http://schemas.microsoft.com/office/2006/metadata/properties"/>
    <ds:schemaRef ds:uri="http://schemas.microsoft.com/office/infopath/2007/PartnerControls"/>
    <ds:schemaRef ds:uri="4a94300e-a927-4b92-9d3a-682523035cb6"/>
    <ds:schemaRef ds:uri="58a6f171-52cb-4404-b47d-af1c8daf8fd1"/>
    <ds:schemaRef ds:uri="http://schemas.microsoft.com/sharepoint/v4"/>
    <ds:schemaRef ds:uri="http://schemas.microsoft.com/sharepoint/v3"/>
  </ds:schemaRefs>
</ds:datastoreItem>
</file>

<file path=customXml/itemProps4.xml><?xml version="1.0" encoding="utf-8"?>
<ds:datastoreItem xmlns:ds="http://schemas.openxmlformats.org/officeDocument/2006/customXml" ds:itemID="{AAD93415-7BE3-4280-A7D2-1AB1CDA7CBED}">
  <ds:schemaRefs>
    <ds:schemaRef ds:uri="http://schemas.openxmlformats.org/officeDocument/2006/bibliography"/>
  </ds:schemaRefs>
</ds:datastoreItem>
</file>

<file path=customXml/itemProps5.xml><?xml version="1.0" encoding="utf-8"?>
<ds:datastoreItem xmlns:ds="http://schemas.openxmlformats.org/officeDocument/2006/customXml" ds:itemID="{09869839-8EBB-4527-969E-EC493296CF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GEC%20Letterhead.dot</Template>
  <TotalTime>0</TotalTime>
  <Pages>1</Pages>
  <Words>29930</Words>
  <Characters>170606</Characters>
  <Application>Microsoft Office Word</Application>
  <DocSecurity>2</DocSecurity>
  <Lines>1421</Lines>
  <Paragraphs>400</Paragraphs>
  <ScaleCrop>false</ScaleCrop>
  <Company>Hewlett-Packard Company</Company>
  <LinksUpToDate>false</LinksUpToDate>
  <CharactersWithSpaces>200136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Bruce Graham</dc:creator>
  <cp:keywords/>
  <dc:description/>
  <cp:lastModifiedBy>Zoe George</cp:lastModifiedBy>
  <cp:revision>3</cp:revision>
  <cp:lastPrinted>2026-04-06T23:17:00Z</cp:lastPrinted>
  <dcterms:created xsi:type="dcterms:W3CDTF">2026-05-07T03:35:00Z</dcterms:created>
  <dcterms:modified xsi:type="dcterms:W3CDTF">2026-05-07T03:35:00Z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ediaServiceImageTags">
    <vt:lpwstr/>
  </property>
  <property fmtid="{D5CDD505-2E9C-101B-9397-08002B2CF9AE}" pid="4" name="ContentTypeId">
    <vt:lpwstr>0x010100EA5FB0BEBF7DE54D9F252D8A06C053F7</vt:lpwstr>
  </property>
  <property fmtid="{D5CDD505-2E9C-101B-9397-08002B2CF9AE}" pid="5" name="_dlc_DocIdItemGuid">
    <vt:lpwstr>d0f9fe29-d1af-4bf1-b471-fb58e914c409</vt:lpwstr>
  </property>
  <property fmtid="{D5CDD505-2E9C-101B-9397-08002B2CF9AE}" pid="6" name="MSIP_Label_52dda6cc-d61d-4fd2-bf18-9b3017d931cc_Enabled">
    <vt:lpwstr>true</vt:lpwstr>
  </property>
  <property fmtid="{D5CDD505-2E9C-101B-9397-08002B2CF9AE}" pid="7" name="MSIP_Label_52dda6cc-d61d-4fd2-bf18-9b3017d931cc_SetDate">
    <vt:lpwstr>2026-05-07T03:35:25Z</vt:lpwstr>
  </property>
  <property fmtid="{D5CDD505-2E9C-101B-9397-08002B2CF9AE}" pid="8" name="MSIP_Label_52dda6cc-d61d-4fd2-bf18-9b3017d931cc_Method">
    <vt:lpwstr>Privileged</vt:lpwstr>
  </property>
  <property fmtid="{D5CDD505-2E9C-101B-9397-08002B2CF9AE}" pid="9" name="MSIP_Label_52dda6cc-d61d-4fd2-bf18-9b3017d931cc_Name">
    <vt:lpwstr>[UNCLASSIFIED]</vt:lpwstr>
  </property>
  <property fmtid="{D5CDD505-2E9C-101B-9397-08002B2CF9AE}" pid="10" name="MSIP_Label_52dda6cc-d61d-4fd2-bf18-9b3017d931cc_SiteId">
    <vt:lpwstr>761dd003-d4ff-4049-8a72-8549b20fcbb1</vt:lpwstr>
  </property>
  <property fmtid="{D5CDD505-2E9C-101B-9397-08002B2CF9AE}" pid="11" name="MSIP_Label_52dda6cc-d61d-4fd2-bf18-9b3017d931cc_ActionId">
    <vt:lpwstr>e2c983a7-257b-4331-b75d-11f521d2bb8f</vt:lpwstr>
  </property>
  <property fmtid="{D5CDD505-2E9C-101B-9397-08002B2CF9AE}" pid="12" name="MSIP_Label_52dda6cc-d61d-4fd2-bf18-9b3017d931cc_ContentBits">
    <vt:lpwstr>0</vt:lpwstr>
  </property>
  <property fmtid="{D5CDD505-2E9C-101B-9397-08002B2CF9AE}" pid="13" name="MSIP_Label_52dda6cc-d61d-4fd2-bf18-9b3017d931cc_Tag">
    <vt:lpwstr>10, 0, 1, 2</vt:lpwstr>
  </property>
</Properties>
</file>