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4481" w14:textId="5932B7CF" w:rsidR="008C6F95" w:rsidRPr="006528B0" w:rsidRDefault="00E44AEA" w:rsidP="005D70A8">
      <w:pPr>
        <w:pStyle w:val="BodyText"/>
        <w:spacing w:before="0" w:after="0" w:line="20" w:lineRule="atLeast"/>
        <w:rPr>
          <w:sz w:val="2"/>
          <w:szCs w:val="2"/>
        </w:rPr>
      </w:pPr>
      <w:r w:rsidRPr="005D70A8">
        <w:rPr>
          <w:noProof/>
          <w:sz w:val="2"/>
          <w:szCs w:val="2"/>
        </w:rPr>
        <mc:AlternateContent>
          <mc:Choice Requires="wps">
            <w:drawing>
              <wp:anchor distT="0" distB="0" distL="114300" distR="114300" simplePos="0" relativeHeight="251658242" behindDoc="0" locked="0" layoutInCell="1" allowOverlap="0" wp14:anchorId="6B2FFCAF" wp14:editId="5EAAE354">
                <wp:simplePos x="0" y="0"/>
                <wp:positionH relativeFrom="margin">
                  <wp:posOffset>-251460</wp:posOffset>
                </wp:positionH>
                <wp:positionV relativeFrom="page">
                  <wp:posOffset>1254760</wp:posOffset>
                </wp:positionV>
                <wp:extent cx="6430010" cy="1417320"/>
                <wp:effectExtent l="0" t="0" r="0" b="0"/>
                <wp:wrapTopAndBottom/>
                <wp:docPr id="969042202" name="Text Box 969042202"/>
                <wp:cNvGraphicFramePr/>
                <a:graphic xmlns:a="http://schemas.openxmlformats.org/drawingml/2006/main">
                  <a:graphicData uri="http://schemas.microsoft.com/office/word/2010/wordprocessingShape">
                    <wps:wsp>
                      <wps:cNvSpPr txBox="1"/>
                      <wps:spPr>
                        <a:xfrm>
                          <a:off x="0" y="0"/>
                          <a:ext cx="6430010" cy="1417320"/>
                        </a:xfrm>
                        <a:prstGeom prst="rect">
                          <a:avLst/>
                        </a:prstGeom>
                        <a:noFill/>
                        <a:ln w="6350">
                          <a:noFill/>
                        </a:ln>
                      </wps:spPr>
                      <wps:txbx>
                        <w:txbxContent>
                          <w:p w14:paraId="123EA3B7" w14:textId="5E260D93" w:rsidR="004F4D22" w:rsidRPr="004F4D22" w:rsidRDefault="005976FD" w:rsidP="005877AC">
                            <w:pPr>
                              <w:pStyle w:val="Title-Mori"/>
                            </w:pPr>
                            <w:r>
                              <w:t>Waste levy – measuring waste tonnages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FFCAF" id="_x0000_t202" coordsize="21600,21600" o:spt="202" path="m,l,21600r21600,l21600,xe">
                <v:stroke joinstyle="miter"/>
                <v:path gradientshapeok="t" o:connecttype="rect"/>
              </v:shapetype>
              <v:shape id="Text Box 969042202" o:spid="_x0000_s1026" type="#_x0000_t202" style="position:absolute;margin-left:-19.8pt;margin-top:98.8pt;width:506.3pt;height:111.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" o:allowoverlap="f" filled="f" stroked="f" strokeweight=".5pt">
                <v:textbox>
                  <w:txbxContent>
                    <w:p w14:paraId="123EA3B7" w14:textId="5E260D93" w:rsidR="004F4D22" w:rsidRPr="004F4D22" w:rsidRDefault="005976FD" w:rsidP="005877AC">
                      <w:pPr>
                        <w:pStyle w:val="Title-Mori"/>
                      </w:pPr>
                      <w:r>
                        <w:t>Waste levy – measuring waste tonnages</w:t>
                      </w:r>
                    </w:p>
                  </w:txbxContent>
                </v:textbox>
                <w10:wrap type="topAndBottom" anchorx="margin" anchory="page"/>
              </v:shape>
            </w:pict>
          </mc:Fallback>
        </mc:AlternateContent>
      </w:r>
      <w:r w:rsidRPr="005D70A8">
        <w:rPr>
          <w:noProof/>
          <w:sz w:val="2"/>
          <w:szCs w:val="2"/>
        </w:rPr>
        <w:drawing>
          <wp:anchor distT="0" distB="0" distL="114300" distR="114300" simplePos="0" relativeHeight="251658240" behindDoc="1" locked="0" layoutInCell="1" allowOverlap="1" wp14:anchorId="48EBE166" wp14:editId="5D67A34C">
            <wp:simplePos x="0" y="0"/>
            <wp:positionH relativeFrom="page">
              <wp:posOffset>10795</wp:posOffset>
            </wp:positionH>
            <wp:positionV relativeFrom="page">
              <wp:posOffset>-259080</wp:posOffset>
            </wp:positionV>
            <wp:extent cx="7545705" cy="2699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44" t="-4809" r="-144" b="57087"/>
                    <a:stretch/>
                  </pic:blipFill>
                  <pic:spPr bwMode="auto">
                    <a:xfrm>
                      <a:off x="0" y="0"/>
                      <a:ext cx="7545705" cy="2699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49135238"/>
    </w:p>
    <w:p w14:paraId="18A9971C" w14:textId="0F1914C9" w:rsidR="00C942E5" w:rsidRDefault="0056047D" w:rsidP="00BA3CA6">
      <w:pPr>
        <w:pStyle w:val="Intro"/>
      </w:pPr>
      <w:r>
        <w:t xml:space="preserve">This is part of a series of fact sheets on disposal facility obligations under the Waste Minimisation Act 2008 and related regulations. </w:t>
      </w:r>
      <w:r w:rsidR="009A20DB">
        <w:t xml:space="preserve">From </w:t>
      </w:r>
      <w:r w:rsidR="00C22212">
        <w:t xml:space="preserve">1 July 2024 </w:t>
      </w:r>
      <w:r w:rsidR="005A7EA0">
        <w:t xml:space="preserve">disposal facility operators will need to report </w:t>
      </w:r>
      <w:r w:rsidR="00E02C2D">
        <w:t xml:space="preserve">additional </w:t>
      </w:r>
      <w:r w:rsidR="005A7EA0">
        <w:t>information</w:t>
      </w:r>
      <w:r w:rsidR="00782586">
        <w:t>.</w:t>
      </w:r>
    </w:p>
    <w:bookmarkEnd w:id="1"/>
    <w:p w14:paraId="64EA0EB2" w14:textId="7B0C9945" w:rsidR="00E67FBF" w:rsidRPr="00225830" w:rsidRDefault="00E67FBF" w:rsidP="007F7040">
      <w:pPr>
        <w:pStyle w:val="Heading2"/>
      </w:pPr>
      <w:r>
        <w:t>Measuring and reporting waste tonnages</w:t>
      </w:r>
    </w:p>
    <w:p w14:paraId="0242A580" w14:textId="77777777" w:rsidR="00E67FBF" w:rsidRPr="007F7040" w:rsidRDefault="00E67FBF" w:rsidP="007F7040">
      <w:pPr>
        <w:pStyle w:val="BodyText"/>
      </w:pPr>
      <w:r w:rsidRPr="007F7040">
        <w:t xml:space="preserve">The Waste Minimisation Act 2008 (WMA) requires disposal facility operators to measure waste that is disposed of at their facility. Table 1 outlines the three measures you must take and report to the Ministry for the Environment. </w:t>
      </w:r>
    </w:p>
    <w:p w14:paraId="51D3C304" w14:textId="4EF031B3" w:rsidR="00E67FBF" w:rsidRDefault="00E67FBF" w:rsidP="00E67FBF">
      <w:pPr>
        <w:pStyle w:val="Tableheading"/>
      </w:pPr>
      <w:r w:rsidRPr="00A03D69">
        <w:t>Table 1</w:t>
      </w:r>
      <w:r>
        <w:t>:</w:t>
      </w:r>
      <w:r>
        <w:tab/>
      </w:r>
      <w:r w:rsidR="00F54D7C">
        <w:t>W</w:t>
      </w:r>
      <w:r>
        <w:t>hat</w:t>
      </w:r>
      <w:r w:rsidRPr="00A03D69">
        <w:t xml:space="preserve"> </w:t>
      </w:r>
      <w:r>
        <w:t xml:space="preserve">disposal facility </w:t>
      </w:r>
      <w:r w:rsidRPr="00A03D69">
        <w:t>operator</w:t>
      </w:r>
      <w:r>
        <w:t>s</w:t>
      </w:r>
      <w:r w:rsidRPr="00A03D69">
        <w:t xml:space="preserve"> must measure</w:t>
      </w:r>
    </w:p>
    <w:tbl>
      <w:tblPr>
        <w:tblStyle w:val="LightGrid-Accent11"/>
        <w:tblW w:w="5000" w:type="pct"/>
        <w:tblLook w:val="04A0" w:firstRow="1" w:lastRow="0" w:firstColumn="1" w:lastColumn="0" w:noHBand="0" w:noVBand="1"/>
      </w:tblPr>
      <w:tblGrid>
        <w:gridCol w:w="1580"/>
        <w:gridCol w:w="4799"/>
        <w:gridCol w:w="2692"/>
      </w:tblGrid>
      <w:tr w:rsidR="00E67FBF" w:rsidRPr="006B77BB" w14:paraId="4D2567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pct"/>
            <w:gridSpan w:val="2"/>
          </w:tcPr>
          <w:p w14:paraId="43ED4E0A" w14:textId="77777777" w:rsidR="00E67FBF" w:rsidRPr="006B77BB" w:rsidRDefault="00E67FBF" w:rsidP="00BB2617">
            <w:pPr>
              <w:pStyle w:val="TableText"/>
            </w:pPr>
            <w:r>
              <w:t>Definition</w:t>
            </w:r>
          </w:p>
        </w:tc>
        <w:tc>
          <w:tcPr>
            <w:tcW w:w="1484" w:type="pct"/>
          </w:tcPr>
          <w:p w14:paraId="01D7C175" w14:textId="77777777" w:rsidR="00E67FBF" w:rsidRDefault="00E67FBF" w:rsidP="00BB2617">
            <w:pPr>
              <w:pStyle w:val="TableText"/>
              <w:cnfStyle w:val="100000000000" w:firstRow="1" w:lastRow="0" w:firstColumn="0" w:lastColumn="0" w:oddVBand="0" w:evenVBand="0" w:oddHBand="0" w:evenHBand="0" w:firstRowFirstColumn="0" w:firstRowLastColumn="0" w:lastRowFirstColumn="0" w:lastRowLastColumn="0"/>
            </w:pPr>
            <w:r>
              <w:t>Format</w:t>
            </w:r>
          </w:p>
        </w:tc>
      </w:tr>
      <w:tr w:rsidR="00E67FBF" w:rsidRPr="006B77BB" w14:paraId="7EDC4D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pct"/>
          </w:tcPr>
          <w:p w14:paraId="2F03EDA4" w14:textId="77777777" w:rsidR="00E67FBF" w:rsidRPr="006B77BB" w:rsidRDefault="00E67FBF" w:rsidP="00BB2617">
            <w:pPr>
              <w:pStyle w:val="TableText"/>
            </w:pPr>
            <w:r>
              <w:t>Gross tonnage</w:t>
            </w:r>
          </w:p>
        </w:tc>
        <w:tc>
          <w:tcPr>
            <w:tcW w:w="2645" w:type="pct"/>
          </w:tcPr>
          <w:p w14:paraId="44C078A1"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The total tonnage of waste and diverted material that enters the facility.</w:t>
            </w:r>
          </w:p>
          <w:p w14:paraId="26E0A057" w14:textId="77777777" w:rsidR="00E67FBF" w:rsidRPr="008D7A99"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 xml:space="preserve">A common error in the calculation process is including only solid, residual waste in the gross tonnage measure. </w:t>
            </w:r>
          </w:p>
          <w:p w14:paraId="1273FA02" w14:textId="77777777" w:rsidR="00E67FBF" w:rsidRPr="006B77BB"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 xml:space="preserve">All material that enters the facility should be included under the gross tonnage, including materials that are intended for diversion. </w:t>
            </w:r>
          </w:p>
        </w:tc>
        <w:tc>
          <w:tcPr>
            <w:tcW w:w="1484" w:type="pct"/>
          </w:tcPr>
          <w:p w14:paraId="064ACE63"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Total tonnage reported in tonnes.</w:t>
            </w:r>
          </w:p>
        </w:tc>
      </w:tr>
      <w:tr w:rsidR="00E67FBF" w:rsidRPr="006B77BB" w14:paraId="58A0871C" w14:textId="77777777">
        <w:tc>
          <w:tcPr>
            <w:cnfStyle w:val="001000000000" w:firstRow="0" w:lastRow="0" w:firstColumn="1" w:lastColumn="0" w:oddVBand="0" w:evenVBand="0" w:oddHBand="0" w:evenHBand="0" w:firstRowFirstColumn="0" w:firstRowLastColumn="0" w:lastRowFirstColumn="0" w:lastRowLastColumn="0"/>
            <w:tcW w:w="871" w:type="pct"/>
          </w:tcPr>
          <w:p w14:paraId="6488E347" w14:textId="77777777" w:rsidR="00E67FBF" w:rsidRPr="006B77BB" w:rsidRDefault="00E67FBF" w:rsidP="00BB2617">
            <w:pPr>
              <w:pStyle w:val="TableText"/>
            </w:pPr>
            <w:r>
              <w:t>Diverted tonnage (Diversion)</w:t>
            </w:r>
          </w:p>
        </w:tc>
        <w:tc>
          <w:tcPr>
            <w:tcW w:w="2645" w:type="pct"/>
          </w:tcPr>
          <w:p w14:paraId="7283FC6C"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The tonnage of waste or diverted material that enters the facility but is reused, recycled, or recovered from the facility no later than six months of it arriving</w:t>
            </w:r>
            <w:r w:rsidRPr="005877AC">
              <w:rPr>
                <w:rStyle w:val="FootnoteReference"/>
                <w:color w:val="auto"/>
              </w:rPr>
              <w:footnoteReference w:id="2"/>
            </w:r>
            <w:r>
              <w:t xml:space="preserve">. </w:t>
            </w:r>
          </w:p>
          <w:p w14:paraId="4C77AF13"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 xml:space="preserve">Diverted tonnage may include waste deliberately burnt at the facility to recover energy from it, but not waste burnt at the facility for the purpose of destroying it. </w:t>
            </w:r>
          </w:p>
          <w:p w14:paraId="26843EDA" w14:textId="77777777" w:rsidR="00E67FBF" w:rsidRPr="006B77BB"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The measurement of diverted tonnage must include waste measured in the ‘gross tonnage’ category, which is then diverted.</w:t>
            </w:r>
          </w:p>
        </w:tc>
        <w:tc>
          <w:tcPr>
            <w:tcW w:w="1484" w:type="pct"/>
          </w:tcPr>
          <w:p w14:paraId="3A6BE798"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Tonnage of diverted material, reported in tonnes.</w:t>
            </w:r>
          </w:p>
        </w:tc>
      </w:tr>
      <w:tr w:rsidR="00E67FBF" w:rsidRPr="006B77BB" w14:paraId="27AD63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pct"/>
          </w:tcPr>
          <w:p w14:paraId="216C35A9" w14:textId="77777777" w:rsidR="00E67FBF" w:rsidRDefault="00E67FBF" w:rsidP="00BB2617">
            <w:pPr>
              <w:pStyle w:val="TableText"/>
            </w:pPr>
            <w:r>
              <w:t xml:space="preserve">Activity source </w:t>
            </w:r>
          </w:p>
        </w:tc>
        <w:tc>
          <w:tcPr>
            <w:tcW w:w="2645" w:type="pct"/>
          </w:tcPr>
          <w:p w14:paraId="4F534ADE"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 xml:space="preserve">The activity category (that is, the activity source that the waste comes from) of material that is received at a disposal facility. </w:t>
            </w:r>
          </w:p>
          <w:p w14:paraId="496C0283" w14:textId="77777777" w:rsidR="00E67FBF" w:rsidRPr="006B77BB"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This is to be reported as tonnages of each of the seven activity categories listed in Schedule 3 of the regulations.</w:t>
            </w:r>
          </w:p>
        </w:tc>
        <w:tc>
          <w:tcPr>
            <w:tcW w:w="1484" w:type="pct"/>
          </w:tcPr>
          <w:p w14:paraId="4FA92997"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Tonnage of each of the seven activity source categories, reported in tonnes.</w:t>
            </w:r>
          </w:p>
        </w:tc>
      </w:tr>
    </w:tbl>
    <w:p w14:paraId="41BE5B84" w14:textId="77777777" w:rsidR="00E67FBF" w:rsidRDefault="00E67FBF" w:rsidP="007F7040">
      <w:pPr>
        <w:pStyle w:val="Heading2"/>
      </w:pPr>
      <w:r>
        <w:lastRenderedPageBreak/>
        <w:t xml:space="preserve">Why you need to report tonnages </w:t>
      </w:r>
    </w:p>
    <w:p w14:paraId="3EC9B6B6" w14:textId="77777777" w:rsidR="00E67FBF" w:rsidRDefault="00E67FBF" w:rsidP="00E67FBF">
      <w:pPr>
        <w:pStyle w:val="BodyText"/>
      </w:pPr>
      <w:r>
        <w:t xml:space="preserve">Gross and diverted tonnages are used to calculate </w:t>
      </w:r>
      <w:r w:rsidRPr="007F11DD">
        <w:rPr>
          <w:b/>
        </w:rPr>
        <w:t>net tonnage</w:t>
      </w:r>
      <w:r>
        <w:t xml:space="preserve">, which the Ministry uses to calculate the waste disposal levy owed by the disposal facility. </w:t>
      </w:r>
      <w:r w:rsidDel="00031631">
        <w:t xml:space="preserve">This is an important aspect of our compliance, monitoring and enforcement responsibilities. </w:t>
      </w:r>
    </w:p>
    <w:p w14:paraId="5B734333" w14:textId="77777777" w:rsidR="00E67FBF" w:rsidRDefault="00E67FBF" w:rsidP="00E67FBF">
      <w:pPr>
        <w:pStyle w:val="BodyText"/>
      </w:pPr>
      <w:r>
        <w:t xml:space="preserve">Net tonnage is the gross tonnage minus diverted tonnage. </w:t>
      </w:r>
    </w:p>
    <w:p w14:paraId="6FE5E89F" w14:textId="77777777" w:rsidR="00E67FBF" w:rsidRDefault="00E67FBF" w:rsidP="007F7040">
      <w:pPr>
        <w:pStyle w:val="Heading3"/>
      </w:pPr>
      <w:r w:rsidRPr="32BCAADE">
        <w:t>Activity category reporting</w:t>
      </w:r>
    </w:p>
    <w:p w14:paraId="621A0795" w14:textId="77777777" w:rsidR="00E67FBF" w:rsidRDefault="00E67FBF" w:rsidP="00E67FBF">
      <w:pPr>
        <w:pStyle w:val="BodyText"/>
        <w:rPr>
          <w:highlight w:val="yellow"/>
        </w:rPr>
      </w:pPr>
      <w:r>
        <w:t xml:space="preserve">From 1 July 2024 disposal facility operators must report on the source of materials received (activity categories) alongside their waste return. </w:t>
      </w:r>
    </w:p>
    <w:p w14:paraId="1BA1C7A8" w14:textId="3AD4A7CE" w:rsidR="00E67FBF" w:rsidRDefault="00E67FBF" w:rsidP="00E67FBF">
      <w:pPr>
        <w:pStyle w:val="BodyText"/>
        <w:rPr>
          <w:highlight w:val="yellow"/>
        </w:rPr>
      </w:pPr>
      <w:r w:rsidRPr="001177C1">
        <w:t xml:space="preserve">Read more </w:t>
      </w:r>
      <w:r>
        <w:t xml:space="preserve">about </w:t>
      </w:r>
      <w:hyperlink r:id="rId13" w:history="1">
        <w:r w:rsidRPr="001177C1">
          <w:rPr>
            <w:rStyle w:val="Hyperlink"/>
          </w:rPr>
          <w:t>activity category reporting requirements</w:t>
        </w:r>
      </w:hyperlink>
      <w:r w:rsidRPr="001405C3">
        <w:t xml:space="preserve"> for disposal facility operators</w:t>
      </w:r>
      <w:r>
        <w:t>.</w:t>
      </w:r>
    </w:p>
    <w:p w14:paraId="28753A6B" w14:textId="77777777" w:rsidR="00E67FBF" w:rsidRPr="00115DDB" w:rsidRDefault="00E67FBF" w:rsidP="007F7040">
      <w:pPr>
        <w:pStyle w:val="Heading2"/>
      </w:pPr>
      <w:r>
        <w:t>Measuring your waste tonnages</w:t>
      </w:r>
    </w:p>
    <w:p w14:paraId="344EF22A" w14:textId="77777777" w:rsidR="00E67FBF" w:rsidRPr="00377D0A" w:rsidRDefault="00E67FBF" w:rsidP="00377D0A">
      <w:pPr>
        <w:pStyle w:val="BodyText"/>
        <w:rPr>
          <w:rStyle w:val="cf01"/>
          <w:rFonts w:ascii="Calibri" w:eastAsiaTheme="majorEastAsia" w:hAnsi="Calibri" w:cs="Times New Roman"/>
          <w:sz w:val="22"/>
          <w:szCs w:val="22"/>
        </w:rPr>
      </w:pPr>
      <w:r w:rsidRPr="00377D0A">
        <w:rPr>
          <w:rStyle w:val="cf01"/>
          <w:rFonts w:ascii="Calibri" w:eastAsiaTheme="majorEastAsia" w:hAnsi="Calibri" w:cs="Times New Roman"/>
          <w:sz w:val="22"/>
          <w:szCs w:val="22"/>
        </w:rPr>
        <w:t xml:space="preserve">If your facility has a compliant weighbridge, you must use this to measure all incoming waste and diverted material. </w:t>
      </w:r>
    </w:p>
    <w:p w14:paraId="53AD002F" w14:textId="77777777" w:rsidR="00E67FBF" w:rsidRPr="00377D0A" w:rsidRDefault="00E67FBF" w:rsidP="00377D0A">
      <w:pPr>
        <w:pStyle w:val="BodyText"/>
      </w:pPr>
      <w:r w:rsidRPr="00377D0A">
        <w:t>If you do not have a compliant weighbridge, you may measure gross and diverted tonnage using an off-site weighbridge, as long as it is compliant.</w:t>
      </w:r>
    </w:p>
    <w:p w14:paraId="2EECFD7E" w14:textId="77777777" w:rsidR="00E67FBF" w:rsidRPr="00377D0A" w:rsidRDefault="00E67FBF" w:rsidP="00377D0A">
      <w:pPr>
        <w:pStyle w:val="BodyText"/>
      </w:pPr>
      <w:r w:rsidRPr="00377D0A">
        <w:t xml:space="preserve">A weighbridge must be compliant with the Weights and Measures Act 1987 and display a mark of verification. For more information on weighbridges see the </w:t>
      </w:r>
      <w:hyperlink r:id="rId14" w:history="1">
        <w:r w:rsidRPr="00377D0A">
          <w:rPr>
            <w:rStyle w:val="Hyperlink"/>
            <w:color w:val="auto"/>
          </w:rPr>
          <w:t>Trading Standards Website</w:t>
        </w:r>
      </w:hyperlink>
      <w:r w:rsidRPr="00377D0A">
        <w:t>.</w:t>
      </w:r>
    </w:p>
    <w:p w14:paraId="54C58C43" w14:textId="77777777" w:rsidR="00E67FBF" w:rsidRPr="00377D0A" w:rsidRDefault="00E67FBF" w:rsidP="00377D0A">
      <w:pPr>
        <w:pStyle w:val="BodyText"/>
      </w:pPr>
      <w:r w:rsidRPr="00377D0A">
        <w:rPr>
          <w:rStyle w:val="cf01"/>
          <w:rFonts w:ascii="Calibri" w:eastAsiaTheme="majorEastAsia" w:hAnsi="Calibri" w:cs="Times New Roman"/>
          <w:sz w:val="22"/>
          <w:szCs w:val="22"/>
        </w:rPr>
        <w:t xml:space="preserve">If you do not have </w:t>
      </w:r>
      <w:r w:rsidRPr="00377D0A">
        <w:t>access to a compliant weighbridge, you can measure gross tonnage using:</w:t>
      </w:r>
    </w:p>
    <w:p w14:paraId="39A2B6BD" w14:textId="77777777" w:rsidR="00E67FBF" w:rsidRDefault="00E67FBF" w:rsidP="00E67FBF">
      <w:pPr>
        <w:pStyle w:val="Bullet"/>
      </w:pPr>
      <w:r>
        <w:t xml:space="preserve">the volume-to-weight conversion method, which requires the use of regulated volume-to-weight conversion factors (Appendix 1). </w:t>
      </w:r>
    </w:p>
    <w:p w14:paraId="324946AE" w14:textId="77777777" w:rsidR="00E67FBF" w:rsidRDefault="00E67FBF" w:rsidP="00E67FBF">
      <w:pPr>
        <w:pStyle w:val="Bullet"/>
      </w:pPr>
      <w:r>
        <w:t xml:space="preserve">The average tonnage system, which the Ministry must first approve. </w:t>
      </w:r>
    </w:p>
    <w:p w14:paraId="402948C5" w14:textId="77777777" w:rsidR="00E67FBF" w:rsidRDefault="00E67FBF" w:rsidP="007F7040">
      <w:pPr>
        <w:pStyle w:val="Heading3"/>
      </w:pPr>
      <w:r>
        <w:t>The volume-to-weight conversion method</w:t>
      </w:r>
    </w:p>
    <w:p w14:paraId="0AD972F4" w14:textId="77777777" w:rsidR="00E67FBF" w:rsidRDefault="00E67FBF" w:rsidP="00E67FBF">
      <w:pPr>
        <w:pStyle w:val="BodyText"/>
      </w:pPr>
      <w:r>
        <w:t xml:space="preserve">This option is only available if you do not have access to a compliant weighbridge. </w:t>
      </w:r>
    </w:p>
    <w:p w14:paraId="531BB5C2" w14:textId="77777777" w:rsidR="00E67FBF" w:rsidRDefault="00E67FBF" w:rsidP="00E67FBF">
      <w:pPr>
        <w:pStyle w:val="BodyText"/>
      </w:pPr>
      <w:r w:rsidRPr="78788C02">
        <w:rPr>
          <w:rFonts w:eastAsia="Calibri" w:cs="Calibri"/>
          <w:color w:val="000000" w:themeColor="text1"/>
        </w:rPr>
        <w:t>From 1 July 2024, the conversion factors have been updated to provide more categories (see appendix 1).</w:t>
      </w:r>
      <w:r w:rsidRPr="78788C02">
        <w:t xml:space="preserve"> </w:t>
      </w:r>
    </w:p>
    <w:p w14:paraId="6918B960" w14:textId="77777777" w:rsidR="00E67FBF" w:rsidRDefault="00E67FBF" w:rsidP="00E67FBF">
      <w:pPr>
        <w:pStyle w:val="BodyText"/>
      </w:pPr>
      <w:r>
        <w:t xml:space="preserve">Volume-to-weight conversion uses the assessed volume of material (in cubic metres) and regulated conversion factors in this formula to calculate gross or diverted tonnage: </w:t>
      </w:r>
    </w:p>
    <w:p w14:paraId="238D5075" w14:textId="4AE787B0" w:rsidR="009E2CEF" w:rsidRDefault="006A73BA" w:rsidP="009E2CEF">
      <w:pPr>
        <w:pStyle w:val="BodyText"/>
        <w:rPr>
          <w:b/>
          <w:bCs/>
        </w:rPr>
      </w:pPr>
      <w:r>
        <w:rPr>
          <w:b/>
          <w:bCs/>
          <w:noProof/>
        </w:rPr>
        <mc:AlternateContent>
          <mc:Choice Requires="wps">
            <w:drawing>
              <wp:anchor distT="0" distB="0" distL="114300" distR="114300" simplePos="0" relativeHeight="251658254" behindDoc="0" locked="0" layoutInCell="1" allowOverlap="1" wp14:anchorId="15F1C9FA" wp14:editId="00A7624E">
                <wp:simplePos x="0" y="0"/>
                <wp:positionH relativeFrom="column">
                  <wp:posOffset>1613839</wp:posOffset>
                </wp:positionH>
                <wp:positionV relativeFrom="paragraph">
                  <wp:posOffset>213360</wp:posOffset>
                </wp:positionV>
                <wp:extent cx="222885" cy="222885"/>
                <wp:effectExtent l="0" t="0" r="0" b="0"/>
                <wp:wrapNone/>
                <wp:docPr id="1452498577" name="Multiplication Sign 4"/>
                <wp:cNvGraphicFramePr/>
                <a:graphic xmlns:a="http://schemas.openxmlformats.org/drawingml/2006/main">
                  <a:graphicData uri="http://schemas.microsoft.com/office/word/2010/wordprocessingShape">
                    <wps:wsp>
                      <wps:cNvSpPr/>
                      <wps:spPr>
                        <a:xfrm>
                          <a:off x="0" y="0"/>
                          <a:ext cx="222885" cy="222885"/>
                        </a:xfrm>
                        <a:prstGeom prst="mathMultiply">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050027AF" id="Multiplication Sign 4" o:spid="_x0000_s1026" style="position:absolute;margin-left:127.05pt;margin-top:16.8pt;width:17.55pt;height:17.55pt;z-index:251658254;visibility:visible;mso-wrap-style:square;mso-wrap-distance-left:9pt;mso-wrap-distance-top:0;mso-wrap-distance-right:9pt;mso-wrap-distance-bottom:0;mso-position-horizontal:absolute;mso-position-horizontal-relative:text;mso-position-vertical:absolute;mso-position-vertical-relative:text;v-text-anchor:middle" coordsize="222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" path="m34997,72066l72066,34997r39377,39377l150819,34997r37069,37069l148511,111443r39377,39376l150819,187888,111443,148511,72066,187888,34997,150819,74374,111443,34997,72066xe" fillcolor="#1c556c [3204]" stroked="f" strokeweight="1pt">
                <v:stroke joinstyle="miter"/>
                <v:path arrowok="t" o:connecttype="custom" o:connectlocs="34997,72066;72066,34997;111443,74374;150819,34997;187888,72066;148511,111443;187888,150819;150819,187888;111443,148511;72066,187888;34997,150819;74374,111443;34997,72066" o:connectangles="0,0,0,0,0,0,0,0,0,0,0,0,0"/>
              </v:shape>
            </w:pict>
          </mc:Fallback>
        </mc:AlternateContent>
      </w:r>
      <w:r w:rsidRPr="00234DE9">
        <w:rPr>
          <w:b/>
          <w:bCs/>
          <w:noProof/>
        </w:rPr>
        <mc:AlternateContent>
          <mc:Choice Requires="wps">
            <w:drawing>
              <wp:anchor distT="45720" distB="45720" distL="114300" distR="114300" simplePos="0" relativeHeight="251658250" behindDoc="0" locked="0" layoutInCell="1" allowOverlap="1" wp14:anchorId="67929CF3" wp14:editId="47EA6139">
                <wp:simplePos x="0" y="0"/>
                <wp:positionH relativeFrom="column">
                  <wp:posOffset>208584</wp:posOffset>
                </wp:positionH>
                <wp:positionV relativeFrom="paragraph">
                  <wp:posOffset>94615</wp:posOffset>
                </wp:positionV>
                <wp:extent cx="1371600" cy="462915"/>
                <wp:effectExtent l="0" t="0" r="0" b="0"/>
                <wp:wrapNone/>
                <wp:docPr id="1468301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2915"/>
                        </a:xfrm>
                        <a:prstGeom prst="rect">
                          <a:avLst/>
                        </a:prstGeom>
                        <a:solidFill>
                          <a:schemeClr val="tx2"/>
                        </a:solidFill>
                        <a:ln w="9525">
                          <a:noFill/>
                          <a:miter lim="800000"/>
                          <a:headEnd/>
                          <a:tailEnd/>
                        </a:ln>
                      </wps:spPr>
                      <wps:txbx>
                        <w:txbxContent>
                          <w:p w14:paraId="1B198BB1" w14:textId="3C96F927" w:rsidR="009E2CEF" w:rsidRPr="003133FF" w:rsidRDefault="009E2CEF" w:rsidP="009E2CEF">
                            <w:pPr>
                              <w:jc w:val="center"/>
                              <w:rPr>
                                <w:color w:val="FFFFFF" w:themeColor="background1"/>
                              </w:rPr>
                            </w:pPr>
                            <w:r>
                              <w:rPr>
                                <w:color w:val="FFFFFF" w:themeColor="background1"/>
                              </w:rPr>
                              <w:t>Assessed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9CF3" id="Text Box 2" o:spid="_x0000_s1027" type="#_x0000_t202" style="position:absolute;margin-left:16.4pt;margin-top:7.45pt;width:108pt;height:36.4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" fillcolor="#1b556b [3215]" stroked="f">
                <v:textbox>
                  <w:txbxContent>
                    <w:p w14:paraId="1B198BB1" w14:textId="3C96F927" w:rsidR="009E2CEF" w:rsidRPr="003133FF" w:rsidRDefault="009E2CEF" w:rsidP="009E2CEF">
                      <w:pPr>
                        <w:jc w:val="center"/>
                        <w:rPr>
                          <w:color w:val="FFFFFF" w:themeColor="background1"/>
                        </w:rPr>
                      </w:pPr>
                      <w:r>
                        <w:rPr>
                          <w:color w:val="FFFFFF" w:themeColor="background1"/>
                        </w:rPr>
                        <w:t>Assessed volume</w:t>
                      </w:r>
                    </w:p>
                  </w:txbxContent>
                </v:textbox>
              </v:shape>
            </w:pict>
          </mc:Fallback>
        </mc:AlternateContent>
      </w:r>
      <w:r>
        <w:rPr>
          <w:b/>
          <w:bCs/>
          <w:noProof/>
        </w:rPr>
        <mc:AlternateContent>
          <mc:Choice Requires="wps">
            <w:drawing>
              <wp:anchor distT="0" distB="0" distL="114300" distR="114300" simplePos="0" relativeHeight="251658253" behindDoc="0" locked="0" layoutInCell="1" allowOverlap="1" wp14:anchorId="7F545C63" wp14:editId="0A5ED7BF">
                <wp:simplePos x="0" y="0"/>
                <wp:positionH relativeFrom="column">
                  <wp:posOffset>3303270</wp:posOffset>
                </wp:positionH>
                <wp:positionV relativeFrom="paragraph">
                  <wp:posOffset>232410</wp:posOffset>
                </wp:positionV>
                <wp:extent cx="200025" cy="200025"/>
                <wp:effectExtent l="0" t="0" r="0" b="0"/>
                <wp:wrapNone/>
                <wp:docPr id="540190410" name="Equals 5"/>
                <wp:cNvGraphicFramePr/>
                <a:graphic xmlns:a="http://schemas.openxmlformats.org/drawingml/2006/main">
                  <a:graphicData uri="http://schemas.microsoft.com/office/word/2010/wordprocessingShape">
                    <wps:wsp>
                      <wps:cNvSpPr/>
                      <wps:spPr>
                        <a:xfrm>
                          <a:off x="0" y="0"/>
                          <a:ext cx="200025" cy="200025"/>
                        </a:xfrm>
                        <a:prstGeom prst="mathEqual">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70AEB34C" id="Equals 5" o:spid="_x0000_s1026" style="position:absolute;margin-left:260.1pt;margin-top:18.3pt;width:15.75pt;height:15.75pt;z-index:251658253;visibility:visible;mso-wrap-style:square;mso-wrap-distance-left:9pt;mso-wrap-distance-top:0;mso-wrap-distance-right:9pt;mso-wrap-distance-bottom:0;mso-position-horizontal:absolute;mso-position-horizontal-relative:text;mso-position-vertical:absolute;mso-position-vertical-relative:text;v-text-anchor:middle"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" path="m26513,41205r146999,l173512,88251r-146999,l26513,41205xm26513,111774r146999,l173512,158820r-146999,l26513,111774xe" fillcolor="#1c556c [3204]" stroked="f" strokeweight="1pt">
                <v:stroke joinstyle="miter"/>
                <v:path arrowok="t" o:connecttype="custom" o:connectlocs="26513,41205;173512,41205;173512,88251;26513,88251;26513,41205;26513,111774;173512,111774;173512,158820;26513,158820;26513,111774" o:connectangles="0,0,0,0,0,0,0,0,0,0"/>
              </v:shape>
            </w:pict>
          </mc:Fallback>
        </mc:AlternateContent>
      </w:r>
      <w:r w:rsidRPr="00234DE9">
        <w:rPr>
          <w:b/>
          <w:bCs/>
          <w:noProof/>
        </w:rPr>
        <mc:AlternateContent>
          <mc:Choice Requires="wps">
            <w:drawing>
              <wp:anchor distT="45720" distB="45720" distL="114300" distR="114300" simplePos="0" relativeHeight="251658252" behindDoc="0" locked="0" layoutInCell="1" allowOverlap="1" wp14:anchorId="789E1A13" wp14:editId="2F4D4587">
                <wp:simplePos x="0" y="0"/>
                <wp:positionH relativeFrom="column">
                  <wp:posOffset>3568488</wp:posOffset>
                </wp:positionH>
                <wp:positionV relativeFrom="paragraph">
                  <wp:posOffset>115570</wp:posOffset>
                </wp:positionV>
                <wp:extent cx="1122045" cy="462915"/>
                <wp:effectExtent l="0" t="0" r="1905" b="0"/>
                <wp:wrapNone/>
                <wp:docPr id="931936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2915"/>
                        </a:xfrm>
                        <a:prstGeom prst="rect">
                          <a:avLst/>
                        </a:prstGeom>
                        <a:solidFill>
                          <a:schemeClr val="tx2"/>
                        </a:solidFill>
                        <a:ln w="9525">
                          <a:noFill/>
                          <a:miter lim="800000"/>
                          <a:headEnd/>
                          <a:tailEnd/>
                        </a:ln>
                      </wps:spPr>
                      <wps:txbx>
                        <w:txbxContent>
                          <w:p w14:paraId="773A9E01" w14:textId="18DC16D0" w:rsidR="009E2CEF" w:rsidRPr="003133FF" w:rsidRDefault="009E2CEF" w:rsidP="009E2CEF">
                            <w:pPr>
                              <w:jc w:val="center"/>
                              <w:rPr>
                                <w:color w:val="FFFFFF" w:themeColor="background1"/>
                              </w:rPr>
                            </w:pPr>
                            <w:r>
                              <w:rPr>
                                <w:color w:val="FFFFFF" w:themeColor="background1"/>
                              </w:rPr>
                              <w:t>Gross tonnage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1A13" id="_x0000_s1028" type="#_x0000_t202" style="position:absolute;margin-left:281pt;margin-top:9.1pt;width:88.35pt;height:36.4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" fillcolor="#1b556b [3215]" stroked="f">
                <v:textbox>
                  <w:txbxContent>
                    <w:p w14:paraId="773A9E01" w14:textId="18DC16D0" w:rsidR="009E2CEF" w:rsidRPr="003133FF" w:rsidRDefault="009E2CEF" w:rsidP="009E2CEF">
                      <w:pPr>
                        <w:jc w:val="center"/>
                        <w:rPr>
                          <w:color w:val="FFFFFF" w:themeColor="background1"/>
                        </w:rPr>
                      </w:pPr>
                      <w:r>
                        <w:rPr>
                          <w:color w:val="FFFFFF" w:themeColor="background1"/>
                        </w:rPr>
                        <w:t>Gross tonnage</w:t>
                      </w:r>
                    </w:p>
                  </w:txbxContent>
                </v:textbox>
              </v:shape>
            </w:pict>
          </mc:Fallback>
        </mc:AlternateContent>
      </w:r>
      <w:r w:rsidR="006A05F6" w:rsidRPr="00234DE9">
        <w:rPr>
          <w:b/>
          <w:bCs/>
          <w:noProof/>
        </w:rPr>
        <mc:AlternateContent>
          <mc:Choice Requires="wps">
            <w:drawing>
              <wp:anchor distT="45720" distB="45720" distL="114300" distR="114300" simplePos="0" relativeHeight="251658251" behindDoc="0" locked="0" layoutInCell="1" allowOverlap="1" wp14:anchorId="1D76FB52" wp14:editId="325ED10A">
                <wp:simplePos x="0" y="0"/>
                <wp:positionH relativeFrom="column">
                  <wp:posOffset>1871345</wp:posOffset>
                </wp:positionH>
                <wp:positionV relativeFrom="paragraph">
                  <wp:posOffset>110490</wp:posOffset>
                </wp:positionV>
                <wp:extent cx="1388110" cy="462915"/>
                <wp:effectExtent l="0" t="0" r="2540" b="0"/>
                <wp:wrapNone/>
                <wp:docPr id="737163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462915"/>
                        </a:xfrm>
                        <a:prstGeom prst="rect">
                          <a:avLst/>
                        </a:prstGeom>
                        <a:solidFill>
                          <a:schemeClr val="tx2"/>
                        </a:solidFill>
                        <a:ln w="9525">
                          <a:noFill/>
                          <a:miter lim="800000"/>
                          <a:headEnd/>
                          <a:tailEnd/>
                        </a:ln>
                      </wps:spPr>
                      <wps:txbx>
                        <w:txbxContent>
                          <w:p w14:paraId="28870502" w14:textId="506203AF" w:rsidR="009E2CEF" w:rsidRPr="003133FF" w:rsidRDefault="009E2CEF" w:rsidP="009E2CEF">
                            <w:pPr>
                              <w:jc w:val="center"/>
                              <w:rPr>
                                <w:color w:val="FFFFFF" w:themeColor="background1"/>
                              </w:rPr>
                            </w:pPr>
                            <w:r>
                              <w:rPr>
                                <w:color w:val="FFFFFF" w:themeColor="background1"/>
                              </w:rPr>
                              <w:t>Conversion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6FB52" id="_x0000_s1029" type="#_x0000_t202" style="position:absolute;margin-left:147.35pt;margin-top:8.7pt;width:109.3pt;height:36.4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" fillcolor="#1b556b [3215]" stroked="f">
                <v:textbox>
                  <w:txbxContent>
                    <w:p w14:paraId="28870502" w14:textId="506203AF" w:rsidR="009E2CEF" w:rsidRPr="003133FF" w:rsidRDefault="009E2CEF" w:rsidP="009E2CEF">
                      <w:pPr>
                        <w:jc w:val="center"/>
                        <w:rPr>
                          <w:color w:val="FFFFFF" w:themeColor="background1"/>
                        </w:rPr>
                      </w:pPr>
                      <w:r>
                        <w:rPr>
                          <w:color w:val="FFFFFF" w:themeColor="background1"/>
                        </w:rPr>
                        <w:t>Conversion factor</w:t>
                      </w:r>
                    </w:p>
                  </w:txbxContent>
                </v:textbox>
              </v:shape>
            </w:pict>
          </mc:Fallback>
        </mc:AlternateContent>
      </w:r>
    </w:p>
    <w:p w14:paraId="4338DB1C" w14:textId="54028C01" w:rsidR="009E2CEF" w:rsidRDefault="009E2CEF" w:rsidP="00E67FBF">
      <w:pPr>
        <w:pStyle w:val="BodyText"/>
      </w:pPr>
    </w:p>
    <w:p w14:paraId="50E106DE" w14:textId="77777777" w:rsidR="00E67FBF" w:rsidRDefault="00E67FBF" w:rsidP="00E67FBF">
      <w:pPr>
        <w:pStyle w:val="BodyText"/>
      </w:pPr>
      <w:r w:rsidRPr="00B32D87">
        <w:rPr>
          <w:b/>
          <w:bCs/>
        </w:rPr>
        <w:t xml:space="preserve">You can measure assessed volume </w:t>
      </w:r>
      <w:r w:rsidRPr="78788C02">
        <w:rPr>
          <w:b/>
          <w:bCs/>
        </w:rPr>
        <w:t>by</w:t>
      </w:r>
      <w:r>
        <w:t>:</w:t>
      </w:r>
    </w:p>
    <w:p w14:paraId="63D156FA" w14:textId="77777777" w:rsidR="00E67FBF" w:rsidRDefault="00E67FBF" w:rsidP="00E67FBF">
      <w:pPr>
        <w:pStyle w:val="Bullet"/>
      </w:pPr>
      <w:r>
        <w:t>using a</w:t>
      </w:r>
      <w:r w:rsidDel="00CD1418">
        <w:t xml:space="preserve"> measuring instrument such as a</w:t>
      </w:r>
      <w:r>
        <w:t xml:space="preserve"> tape measure to measure </w:t>
      </w:r>
      <w:r w:rsidDel="00CD1418">
        <w:t xml:space="preserve">the volume of waste in the container, for example, physically measuring </w:t>
      </w:r>
      <w:r>
        <w:t>the dimensions of a container or skip bin</w:t>
      </w:r>
    </w:p>
    <w:p w14:paraId="710296F9" w14:textId="77777777" w:rsidR="00E67FBF" w:rsidRDefault="00E67FBF" w:rsidP="00E67FBF">
      <w:pPr>
        <w:pStyle w:val="Bullet"/>
      </w:pPr>
      <w:r>
        <w:t>estimating the volume as accurately and consistently as possible</w:t>
      </w:r>
    </w:p>
    <w:p w14:paraId="0B66CCB7" w14:textId="77777777" w:rsidR="00E67FBF" w:rsidRDefault="00E67FBF" w:rsidP="00E67FBF">
      <w:pPr>
        <w:pStyle w:val="Bullet"/>
      </w:pPr>
      <w:r>
        <w:t>using information on the volume capacity of types of vehicles.</w:t>
      </w:r>
    </w:p>
    <w:p w14:paraId="01C83E82" w14:textId="644B9825" w:rsidR="00E67FBF" w:rsidRDefault="00E67FBF" w:rsidP="00E67FBF">
      <w:pPr>
        <w:pStyle w:val="BodyText"/>
        <w:rPr>
          <w:b/>
          <w:bCs/>
        </w:rPr>
      </w:pPr>
      <w:r w:rsidRPr="00B32D87">
        <w:rPr>
          <w:b/>
          <w:bCs/>
        </w:rPr>
        <w:lastRenderedPageBreak/>
        <w:t>When measuring volume using a measuring instrument, you should use the following formula:</w:t>
      </w:r>
    </w:p>
    <w:p w14:paraId="5E5C6139" w14:textId="4318A0E1" w:rsidR="008B2D18" w:rsidRDefault="00FE159E" w:rsidP="00E67FBF">
      <w:pPr>
        <w:pStyle w:val="BodyText"/>
        <w:rPr>
          <w:b/>
          <w:bCs/>
        </w:rPr>
      </w:pPr>
      <w:r w:rsidRPr="00234DE9">
        <w:rPr>
          <w:b/>
          <w:bCs/>
          <w:noProof/>
        </w:rPr>
        <mc:AlternateContent>
          <mc:Choice Requires="wps">
            <w:drawing>
              <wp:anchor distT="45720" distB="45720" distL="114300" distR="114300" simplePos="0" relativeHeight="251658244" behindDoc="0" locked="0" layoutInCell="1" allowOverlap="1" wp14:anchorId="5BB9C5F4" wp14:editId="2D137730">
                <wp:simplePos x="0" y="0"/>
                <wp:positionH relativeFrom="column">
                  <wp:posOffset>1651635</wp:posOffset>
                </wp:positionH>
                <wp:positionV relativeFrom="paragraph">
                  <wp:posOffset>96189</wp:posOffset>
                </wp:positionV>
                <wp:extent cx="1122045" cy="462915"/>
                <wp:effectExtent l="0" t="0" r="1905" b="0"/>
                <wp:wrapNone/>
                <wp:docPr id="1632555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2915"/>
                        </a:xfrm>
                        <a:prstGeom prst="rect">
                          <a:avLst/>
                        </a:prstGeom>
                        <a:solidFill>
                          <a:schemeClr val="tx2"/>
                        </a:solidFill>
                        <a:ln w="9525">
                          <a:noFill/>
                          <a:miter lim="800000"/>
                          <a:headEnd/>
                          <a:tailEnd/>
                        </a:ln>
                      </wps:spPr>
                      <wps:txbx>
                        <w:txbxContent>
                          <w:p w14:paraId="387E2D3C" w14:textId="44FB5F74" w:rsidR="00807CF5" w:rsidRPr="003133FF" w:rsidRDefault="00807CF5" w:rsidP="00807CF5">
                            <w:pPr>
                              <w:jc w:val="center"/>
                              <w:rPr>
                                <w:color w:val="FFFFFF" w:themeColor="background1"/>
                              </w:rPr>
                            </w:pPr>
                            <w:r>
                              <w:rPr>
                                <w:color w:val="FFFFFF" w:themeColor="background1"/>
                              </w:rPr>
                              <w:t>Width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9C5F4" id="_x0000_s1030" type="#_x0000_t202" style="position:absolute;margin-left:130.05pt;margin-top:7.55pt;width:88.35pt;height:36.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" fillcolor="#1b556b [3215]" stroked="f">
                <v:textbox>
                  <w:txbxContent>
                    <w:p w14:paraId="387E2D3C" w14:textId="44FB5F74" w:rsidR="00807CF5" w:rsidRPr="003133FF" w:rsidRDefault="00807CF5" w:rsidP="00807CF5">
                      <w:pPr>
                        <w:jc w:val="center"/>
                        <w:rPr>
                          <w:color w:val="FFFFFF" w:themeColor="background1"/>
                        </w:rPr>
                      </w:pPr>
                      <w:r>
                        <w:rPr>
                          <w:color w:val="FFFFFF" w:themeColor="background1"/>
                        </w:rPr>
                        <w:t>Width</w:t>
                      </w:r>
                    </w:p>
                  </w:txbxContent>
                </v:textbox>
              </v:shape>
            </w:pict>
          </mc:Fallback>
        </mc:AlternateContent>
      </w:r>
      <w:r w:rsidR="006A73BA" w:rsidRPr="00234DE9">
        <w:rPr>
          <w:b/>
          <w:bCs/>
          <w:noProof/>
        </w:rPr>
        <mc:AlternateContent>
          <mc:Choice Requires="wps">
            <w:drawing>
              <wp:anchor distT="45720" distB="45720" distL="114300" distR="114300" simplePos="0" relativeHeight="251658243" behindDoc="0" locked="0" layoutInCell="1" allowOverlap="1" wp14:anchorId="3784BE93" wp14:editId="23AEE60E">
                <wp:simplePos x="0" y="0"/>
                <wp:positionH relativeFrom="column">
                  <wp:posOffset>253696</wp:posOffset>
                </wp:positionH>
                <wp:positionV relativeFrom="paragraph">
                  <wp:posOffset>93980</wp:posOffset>
                </wp:positionV>
                <wp:extent cx="1122045" cy="462915"/>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2915"/>
                        </a:xfrm>
                        <a:prstGeom prst="rect">
                          <a:avLst/>
                        </a:prstGeom>
                        <a:solidFill>
                          <a:schemeClr val="tx2"/>
                        </a:solidFill>
                        <a:ln w="9525">
                          <a:noFill/>
                          <a:miter lim="800000"/>
                          <a:headEnd/>
                          <a:tailEnd/>
                        </a:ln>
                      </wps:spPr>
                      <wps:txbx>
                        <w:txbxContent>
                          <w:p w14:paraId="2C1BBDFF" w14:textId="5E2835F5" w:rsidR="00234DE9" w:rsidRPr="003133FF" w:rsidRDefault="00234DE9" w:rsidP="003133FF">
                            <w:pPr>
                              <w:jc w:val="center"/>
                              <w:rPr>
                                <w:color w:val="FFFFFF" w:themeColor="background1"/>
                              </w:rPr>
                            </w:pPr>
                            <w:r w:rsidRPr="003133FF">
                              <w:rPr>
                                <w:color w:val="FFFFFF" w:themeColor="background1"/>
                              </w:rPr>
                              <w:t>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4BE93" id="_x0000_s1031" type="#_x0000_t202" style="position:absolute;margin-left:20pt;margin-top:7.4pt;width:88.35pt;height:36.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" fillcolor="#1b556b [3215]" stroked="f">
                <v:textbox>
                  <w:txbxContent>
                    <w:p w14:paraId="2C1BBDFF" w14:textId="5E2835F5" w:rsidR="00234DE9" w:rsidRPr="003133FF" w:rsidRDefault="00234DE9" w:rsidP="003133FF">
                      <w:pPr>
                        <w:jc w:val="center"/>
                        <w:rPr>
                          <w:color w:val="FFFFFF" w:themeColor="background1"/>
                        </w:rPr>
                      </w:pPr>
                      <w:r w:rsidRPr="003133FF">
                        <w:rPr>
                          <w:color w:val="FFFFFF" w:themeColor="background1"/>
                        </w:rPr>
                        <w:t>Length</w:t>
                      </w:r>
                    </w:p>
                  </w:txbxContent>
                </v:textbox>
              </v:shape>
            </w:pict>
          </mc:Fallback>
        </mc:AlternateContent>
      </w:r>
      <w:r w:rsidR="006A73BA">
        <w:rPr>
          <w:b/>
          <w:bCs/>
          <w:noProof/>
        </w:rPr>
        <mc:AlternateContent>
          <mc:Choice Requires="wps">
            <w:drawing>
              <wp:anchor distT="0" distB="0" distL="114300" distR="114300" simplePos="0" relativeHeight="251658247" behindDoc="0" locked="0" layoutInCell="1" allowOverlap="1" wp14:anchorId="36BF0D76" wp14:editId="03F26B17">
                <wp:simplePos x="0" y="0"/>
                <wp:positionH relativeFrom="column">
                  <wp:posOffset>1409700</wp:posOffset>
                </wp:positionH>
                <wp:positionV relativeFrom="paragraph">
                  <wp:posOffset>216535</wp:posOffset>
                </wp:positionV>
                <wp:extent cx="222885" cy="222885"/>
                <wp:effectExtent l="0" t="0" r="0" b="0"/>
                <wp:wrapNone/>
                <wp:docPr id="1935533571" name="Multiplication Sign 4"/>
                <wp:cNvGraphicFramePr/>
                <a:graphic xmlns:a="http://schemas.openxmlformats.org/drawingml/2006/main">
                  <a:graphicData uri="http://schemas.microsoft.com/office/word/2010/wordprocessingShape">
                    <wps:wsp>
                      <wps:cNvSpPr/>
                      <wps:spPr>
                        <a:xfrm>
                          <a:off x="0" y="0"/>
                          <a:ext cx="222885" cy="222885"/>
                        </a:xfrm>
                        <a:prstGeom prst="mathMultiply">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6681B2C2" id="Multiplication Sign 4" o:spid="_x0000_s1026" style="position:absolute;margin-left:111pt;margin-top:17.05pt;width:17.55pt;height:17.55pt;z-index:251658247;visibility:visible;mso-wrap-style:square;mso-wrap-distance-left:9pt;mso-wrap-distance-top:0;mso-wrap-distance-right:9pt;mso-wrap-distance-bottom:0;mso-position-horizontal:absolute;mso-position-horizontal-relative:text;mso-position-vertical:absolute;mso-position-vertical-relative:text;v-text-anchor:middle" coordsize="222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" path="m34997,72066l72066,34997r39377,39377l150819,34997r37069,37069l148511,111443r39377,39376l150819,187888,111443,148511,72066,187888,34997,150819,74374,111443,34997,72066xe" fillcolor="#1c556c [3204]" stroked="f" strokeweight="1pt">
                <v:stroke joinstyle="miter"/>
                <v:path arrowok="t" o:connecttype="custom" o:connectlocs="34997,72066;72066,34997;111443,74374;150819,34997;187888,72066;148511,111443;187888,150819;150819,187888;111443,148511;72066,187888;34997,150819;74374,111443;34997,72066" o:connectangles="0,0,0,0,0,0,0,0,0,0,0,0,0"/>
              </v:shape>
            </w:pict>
          </mc:Fallback>
        </mc:AlternateContent>
      </w:r>
      <w:r w:rsidR="006A73BA">
        <w:rPr>
          <w:b/>
          <w:bCs/>
          <w:noProof/>
        </w:rPr>
        <mc:AlternateContent>
          <mc:Choice Requires="wps">
            <w:drawing>
              <wp:anchor distT="0" distB="0" distL="114300" distR="114300" simplePos="0" relativeHeight="251658248" behindDoc="0" locked="0" layoutInCell="1" allowOverlap="1" wp14:anchorId="7B442731" wp14:editId="311684EA">
                <wp:simplePos x="0" y="0"/>
                <wp:positionH relativeFrom="column">
                  <wp:posOffset>2798445</wp:posOffset>
                </wp:positionH>
                <wp:positionV relativeFrom="paragraph">
                  <wp:posOffset>214630</wp:posOffset>
                </wp:positionV>
                <wp:extent cx="222885" cy="222885"/>
                <wp:effectExtent l="0" t="0" r="0" b="0"/>
                <wp:wrapNone/>
                <wp:docPr id="1388404396" name="Multiplication Sign 4"/>
                <wp:cNvGraphicFramePr/>
                <a:graphic xmlns:a="http://schemas.openxmlformats.org/drawingml/2006/main">
                  <a:graphicData uri="http://schemas.microsoft.com/office/word/2010/wordprocessingShape">
                    <wps:wsp>
                      <wps:cNvSpPr/>
                      <wps:spPr>
                        <a:xfrm>
                          <a:off x="0" y="0"/>
                          <a:ext cx="222885" cy="222885"/>
                        </a:xfrm>
                        <a:prstGeom prst="mathMultiply">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28A38BE4" id="Multiplication Sign 4" o:spid="_x0000_s1026" style="position:absolute;margin-left:220.35pt;margin-top:16.9pt;width:17.55pt;height:17.55pt;z-index:251658248;visibility:visible;mso-wrap-style:square;mso-wrap-distance-left:9pt;mso-wrap-distance-top:0;mso-wrap-distance-right:9pt;mso-wrap-distance-bottom:0;mso-position-horizontal:absolute;mso-position-horizontal-relative:text;mso-position-vertical:absolute;mso-position-vertical-relative:text;v-text-anchor:middle" coordsize="222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" path="m34997,72066l72066,34997r39377,39377l150819,34997r37069,37069l148511,111443r39377,39376l150819,187888,111443,148511,72066,187888,34997,150819,74374,111443,34997,72066xe" fillcolor="#1c556c [3204]" stroked="f" strokeweight="1pt">
                <v:stroke joinstyle="miter"/>
                <v:path arrowok="t" o:connecttype="custom" o:connectlocs="34997,72066;72066,34997;111443,74374;150819,34997;187888,72066;148511,111443;187888,150819;150819,187888;111443,148511;72066,187888;34997,150819;74374,111443;34997,72066" o:connectangles="0,0,0,0,0,0,0,0,0,0,0,0,0"/>
              </v:shape>
            </w:pict>
          </mc:Fallback>
        </mc:AlternateContent>
      </w:r>
      <w:r w:rsidR="00DD7851">
        <w:rPr>
          <w:b/>
          <w:bCs/>
          <w:noProof/>
        </w:rPr>
        <mc:AlternateContent>
          <mc:Choice Requires="wps">
            <w:drawing>
              <wp:anchor distT="0" distB="0" distL="114300" distR="114300" simplePos="0" relativeHeight="251658249" behindDoc="0" locked="0" layoutInCell="1" allowOverlap="1" wp14:anchorId="045B8AA0" wp14:editId="345CECFA">
                <wp:simplePos x="0" y="0"/>
                <wp:positionH relativeFrom="column">
                  <wp:posOffset>4198724</wp:posOffset>
                </wp:positionH>
                <wp:positionV relativeFrom="paragraph">
                  <wp:posOffset>234950</wp:posOffset>
                </wp:positionV>
                <wp:extent cx="200025" cy="200025"/>
                <wp:effectExtent l="0" t="0" r="0" b="0"/>
                <wp:wrapNone/>
                <wp:docPr id="207230123" name="Equals 5"/>
                <wp:cNvGraphicFramePr/>
                <a:graphic xmlns:a="http://schemas.openxmlformats.org/drawingml/2006/main">
                  <a:graphicData uri="http://schemas.microsoft.com/office/word/2010/wordprocessingShape">
                    <wps:wsp>
                      <wps:cNvSpPr/>
                      <wps:spPr>
                        <a:xfrm>
                          <a:off x="0" y="0"/>
                          <a:ext cx="200025" cy="200025"/>
                        </a:xfrm>
                        <a:prstGeom prst="mathEqual">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12CC75D3" id="Equals 5" o:spid="_x0000_s1026" style="position:absolute;margin-left:330.6pt;margin-top:18.5pt;width:15.75pt;height:15.75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" path="m26513,41205r146999,l173512,88251r-146999,l26513,41205xm26513,111774r146999,l173512,158820r-146999,l26513,111774xe" fillcolor="#1c556c [3204]" stroked="f" strokeweight="1pt">
                <v:stroke joinstyle="miter"/>
                <v:path arrowok="t" o:connecttype="custom" o:connectlocs="26513,41205;173512,41205;173512,88251;26513,88251;26513,41205;26513,111774;173512,111774;173512,158820;26513,158820;26513,111774" o:connectangles="0,0,0,0,0,0,0,0,0,0"/>
              </v:shape>
            </w:pict>
          </mc:Fallback>
        </mc:AlternateContent>
      </w:r>
      <w:r w:rsidR="00DD7851" w:rsidRPr="00234DE9">
        <w:rPr>
          <w:b/>
          <w:bCs/>
          <w:noProof/>
        </w:rPr>
        <mc:AlternateContent>
          <mc:Choice Requires="wps">
            <w:drawing>
              <wp:anchor distT="45720" distB="45720" distL="114300" distR="114300" simplePos="0" relativeHeight="251658246" behindDoc="0" locked="0" layoutInCell="1" allowOverlap="1" wp14:anchorId="49CDA90A" wp14:editId="1E231FE8">
                <wp:simplePos x="0" y="0"/>
                <wp:positionH relativeFrom="column">
                  <wp:posOffset>4430499</wp:posOffset>
                </wp:positionH>
                <wp:positionV relativeFrom="paragraph">
                  <wp:posOffset>107315</wp:posOffset>
                </wp:positionV>
                <wp:extent cx="1122045" cy="462915"/>
                <wp:effectExtent l="0" t="0" r="1905" b="0"/>
                <wp:wrapNone/>
                <wp:docPr id="13397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2915"/>
                        </a:xfrm>
                        <a:prstGeom prst="rect">
                          <a:avLst/>
                        </a:prstGeom>
                        <a:solidFill>
                          <a:schemeClr val="tx2"/>
                        </a:solidFill>
                        <a:ln w="9525">
                          <a:noFill/>
                          <a:miter lim="800000"/>
                          <a:headEnd/>
                          <a:tailEnd/>
                        </a:ln>
                      </wps:spPr>
                      <wps:txbx>
                        <w:txbxContent>
                          <w:p w14:paraId="09F0A9E0" w14:textId="03FBFD11" w:rsidR="00B037FA" w:rsidRPr="003133FF" w:rsidRDefault="00B037FA" w:rsidP="00B037FA">
                            <w:pPr>
                              <w:jc w:val="center"/>
                              <w:rPr>
                                <w:color w:val="FFFFFF" w:themeColor="background1"/>
                              </w:rPr>
                            </w:pPr>
                            <w:r>
                              <w:rPr>
                                <w:color w:val="FFFFFF" w:themeColor="background1"/>
                              </w:rPr>
                              <w:t>Volume in M</w:t>
                            </w:r>
                            <w:r w:rsidRPr="00B037FA">
                              <w:rPr>
                                <w:color w:val="FFFFFF" w:themeColor="background1"/>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A90A" id="_x0000_s1032" type="#_x0000_t202" style="position:absolute;margin-left:348.85pt;margin-top:8.45pt;width:88.35pt;height:36.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" fillcolor="#1b556b [3215]" stroked="f">
                <v:textbox>
                  <w:txbxContent>
                    <w:p w14:paraId="09F0A9E0" w14:textId="03FBFD11" w:rsidR="00B037FA" w:rsidRPr="003133FF" w:rsidRDefault="00B037FA" w:rsidP="00B037FA">
                      <w:pPr>
                        <w:jc w:val="center"/>
                        <w:rPr>
                          <w:color w:val="FFFFFF" w:themeColor="background1"/>
                        </w:rPr>
                      </w:pPr>
                      <w:r>
                        <w:rPr>
                          <w:color w:val="FFFFFF" w:themeColor="background1"/>
                        </w:rPr>
                        <w:t>Volume in M</w:t>
                      </w:r>
                      <w:r w:rsidRPr="00B037FA">
                        <w:rPr>
                          <w:color w:val="FFFFFF" w:themeColor="background1"/>
                          <w:vertAlign w:val="superscript"/>
                        </w:rPr>
                        <w:t>3</w:t>
                      </w:r>
                    </w:p>
                  </w:txbxContent>
                </v:textbox>
              </v:shape>
            </w:pict>
          </mc:Fallback>
        </mc:AlternateContent>
      </w:r>
      <w:r w:rsidR="008B2D18" w:rsidRPr="00234DE9">
        <w:rPr>
          <w:b/>
          <w:bCs/>
          <w:noProof/>
        </w:rPr>
        <mc:AlternateContent>
          <mc:Choice Requires="wps">
            <w:drawing>
              <wp:anchor distT="45720" distB="45720" distL="114300" distR="114300" simplePos="0" relativeHeight="251658245" behindDoc="0" locked="0" layoutInCell="1" allowOverlap="1" wp14:anchorId="3E72EA4D" wp14:editId="4E044F3C">
                <wp:simplePos x="0" y="0"/>
                <wp:positionH relativeFrom="column">
                  <wp:posOffset>3048208</wp:posOffset>
                </wp:positionH>
                <wp:positionV relativeFrom="paragraph">
                  <wp:posOffset>99079</wp:posOffset>
                </wp:positionV>
                <wp:extent cx="1122045" cy="462915"/>
                <wp:effectExtent l="0" t="0" r="1905" b="0"/>
                <wp:wrapNone/>
                <wp:docPr id="2109909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62915"/>
                        </a:xfrm>
                        <a:prstGeom prst="rect">
                          <a:avLst/>
                        </a:prstGeom>
                        <a:solidFill>
                          <a:schemeClr val="tx2"/>
                        </a:solidFill>
                        <a:ln w="9525">
                          <a:noFill/>
                          <a:miter lim="800000"/>
                          <a:headEnd/>
                          <a:tailEnd/>
                        </a:ln>
                      </wps:spPr>
                      <wps:txbx>
                        <w:txbxContent>
                          <w:p w14:paraId="7A89B78F" w14:textId="6E0D4921" w:rsidR="00807CF5" w:rsidRPr="003133FF" w:rsidRDefault="00807CF5" w:rsidP="00807CF5">
                            <w:pPr>
                              <w:jc w:val="center"/>
                              <w:rPr>
                                <w:color w:val="FFFFFF" w:themeColor="background1"/>
                              </w:rPr>
                            </w:pPr>
                            <w:r>
                              <w:rPr>
                                <w:color w:val="FFFFFF" w:themeColor="background1"/>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2EA4D" id="_x0000_s1033" type="#_x0000_t202" style="position:absolute;margin-left:240pt;margin-top:7.8pt;width:88.35pt;height:36.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" fillcolor="#1b556b [3215]" stroked="f">
                <v:textbox>
                  <w:txbxContent>
                    <w:p w14:paraId="7A89B78F" w14:textId="6E0D4921" w:rsidR="00807CF5" w:rsidRPr="003133FF" w:rsidRDefault="00807CF5" w:rsidP="00807CF5">
                      <w:pPr>
                        <w:jc w:val="center"/>
                        <w:rPr>
                          <w:color w:val="FFFFFF" w:themeColor="background1"/>
                        </w:rPr>
                      </w:pPr>
                      <w:r>
                        <w:rPr>
                          <w:color w:val="FFFFFF" w:themeColor="background1"/>
                        </w:rPr>
                        <w:t>Height</w:t>
                      </w:r>
                    </w:p>
                  </w:txbxContent>
                </v:textbox>
              </v:shape>
            </w:pict>
          </mc:Fallback>
        </mc:AlternateContent>
      </w:r>
    </w:p>
    <w:p w14:paraId="4BA73E35" w14:textId="3B2209FB" w:rsidR="008B2D18" w:rsidRDefault="008B2D18" w:rsidP="00E67FBF">
      <w:pPr>
        <w:pStyle w:val="BodyText"/>
        <w:rPr>
          <w:b/>
          <w:bCs/>
        </w:rPr>
      </w:pPr>
    </w:p>
    <w:p w14:paraId="3A749186" w14:textId="3B35765B" w:rsidR="00E67FBF" w:rsidRPr="00907577" w:rsidRDefault="00E67FBF" w:rsidP="00E67FBF">
      <w:pPr>
        <w:pStyle w:val="BodyText"/>
        <w:rPr>
          <w:b/>
          <w:bCs/>
        </w:rPr>
      </w:pPr>
      <w:r>
        <w:t>If you are assessing volume, records must show how you assessed the volume.</w:t>
      </w:r>
    </w:p>
    <w:p w14:paraId="24FF8D49" w14:textId="77777777" w:rsidR="00E67FBF" w:rsidRDefault="00E67FBF" w:rsidP="00E67FBF">
      <w:pPr>
        <w:pStyle w:val="BodyText"/>
      </w:pPr>
      <w:r>
        <w:t xml:space="preserve">Once you have assessed the volume, choose the most appropriate conversion factor. To do so, assess the waste being deposited and then select the most appropriate category of waste from the conversion factor schedule. </w:t>
      </w:r>
    </w:p>
    <w:p w14:paraId="7ADBE78F" w14:textId="77777777" w:rsidR="00E67FBF" w:rsidRDefault="00E67FBF" w:rsidP="00377D0A">
      <w:pPr>
        <w:pStyle w:val="Sub-bullet"/>
        <w:numPr>
          <w:ilvl w:val="0"/>
          <w:numId w:val="0"/>
        </w:numPr>
      </w:pPr>
      <w:r>
        <w:t xml:space="preserve">As part of the changes to waste information regulations that come into effect on 1 July 2024, we have updated the volume-to-weight conversion factor schedule to improve the definitions, and cover the broad categories of waste that may be delivered to your facilities. The updated conversion factors are listed in </w:t>
      </w:r>
      <w:r w:rsidDel="00DF0D72">
        <w:t xml:space="preserve">Appendix </w:t>
      </w:r>
      <w:r>
        <w:t>1.</w:t>
      </w:r>
    </w:p>
    <w:p w14:paraId="614F4212" w14:textId="77777777" w:rsidR="00E67FBF" w:rsidRDefault="00E67FBF" w:rsidP="008D403E">
      <w:pPr>
        <w:pStyle w:val="Heading3"/>
      </w:pPr>
      <w:r>
        <w:t>The average tonnage system</w:t>
      </w:r>
    </w:p>
    <w:p w14:paraId="38A6A6BF" w14:textId="77777777" w:rsidR="00E67FBF" w:rsidRDefault="00E67FBF" w:rsidP="00E67FBF">
      <w:pPr>
        <w:pStyle w:val="BodyText"/>
      </w:pPr>
      <w:r>
        <w:t xml:space="preserve">You can only use an average tonnage system to measure your waste if you have approval from the Ministry. Apply for approval through </w:t>
      </w:r>
      <w:r w:rsidDel="003B5490">
        <w:t>the Online Waste Levy System</w:t>
      </w:r>
      <w:r>
        <w:t xml:space="preserve"> (OWLS).</w:t>
      </w:r>
    </w:p>
    <w:p w14:paraId="6C57D10A" w14:textId="77777777" w:rsidR="00E67FBF" w:rsidRDefault="00E67FBF" w:rsidP="00E67FBF">
      <w:pPr>
        <w:pStyle w:val="BodyText"/>
      </w:pPr>
      <w:r>
        <w:t>An average tonnage system allows you to weigh a sample of the vehicles delivering waste to the disposal facility and calculate the average weight of waste carried for specific types of vehicles set out in Appendix 2.</w:t>
      </w:r>
    </w:p>
    <w:p w14:paraId="7FFB5CCC" w14:textId="77777777" w:rsidR="00E67FBF" w:rsidRDefault="00E67FBF" w:rsidP="00E67FBF">
      <w:pPr>
        <w:pStyle w:val="BodyText"/>
      </w:pPr>
      <w:r>
        <w:t xml:space="preserve">The simplest way to calculate the average load weight is by weighing multiple vehicle loads. You can then calculate the average load weight by dividing the total of the net load weights by the number of vehicles weighed. </w:t>
      </w:r>
    </w:p>
    <w:p w14:paraId="6923FB2A" w14:textId="77777777" w:rsidR="00E67FBF" w:rsidRDefault="00E67FBF" w:rsidP="00E67FBF">
      <w:pPr>
        <w:pStyle w:val="BodyText"/>
      </w:pPr>
      <w:r>
        <w:t xml:space="preserve">You must calculate the load weight of each vehicle by weighing the vehicle before and after the waste has been dropped off. You can use either an on-site or off-site compliant weighbridge or volume-to-weight conversion. </w:t>
      </w:r>
    </w:p>
    <w:p w14:paraId="24675A3E" w14:textId="77777777" w:rsidR="00E67FBF" w:rsidRDefault="00E67FBF" w:rsidP="008D403E">
      <w:pPr>
        <w:pStyle w:val="Heading2"/>
      </w:pPr>
      <w:r>
        <w:t>Records and report measurements in monthly, quarterly or annual returns</w:t>
      </w:r>
    </w:p>
    <w:p w14:paraId="2BFDCA27" w14:textId="77777777" w:rsidR="00E67FBF" w:rsidRDefault="00E67FBF" w:rsidP="00E67FBF">
      <w:pPr>
        <w:pStyle w:val="BodyText"/>
      </w:pPr>
      <w:r>
        <w:t>The WMA requires disposal facility operators to keep the original records of the tonnages of waste and diverted material. These records are used when the Ministry audits your facility. It is an offence under the WMA for a disposal facility to fail to keep accurate records.</w:t>
      </w:r>
    </w:p>
    <w:p w14:paraId="4240F48A" w14:textId="77777777" w:rsidR="00E67FBF" w:rsidRDefault="00E67FBF" w:rsidP="00E67FBF">
      <w:pPr>
        <w:pStyle w:val="BodyText"/>
      </w:pPr>
      <w:r>
        <w:t>Gross, diverted and activity source category tonnages are also included in the monthly, quarterly or annual returns a disposal facility operator provides to the Ministry.</w:t>
      </w:r>
    </w:p>
    <w:p w14:paraId="5260692E" w14:textId="18B565C0" w:rsidR="00097BD7" w:rsidRPr="00377D0A" w:rsidRDefault="00E67FBF" w:rsidP="00E67FBF">
      <w:pPr>
        <w:pStyle w:val="BodyText"/>
      </w:pPr>
      <w:r w:rsidDel="0059404E">
        <w:t>For levy</w:t>
      </w:r>
      <w:r w:rsidDel="00E1306A">
        <w:t xml:space="preserve"> </w:t>
      </w:r>
      <w:r w:rsidDel="0059404E">
        <w:t xml:space="preserve">liable facilities, </w:t>
      </w:r>
      <w:r>
        <w:t xml:space="preserve">the Ministry uses these returns to calculate what waste levy is owed by a disposal facility operator. Please see the </w:t>
      </w:r>
      <w:hyperlink r:id="rId15">
        <w:r w:rsidRPr="63EC7EA4">
          <w:rPr>
            <w:rStyle w:val="Hyperlink"/>
            <w:color w:val="32809C" w:themeColor="accent2"/>
          </w:rPr>
          <w:t>Waste Levy: Filing a waste return</w:t>
        </w:r>
      </w:hyperlink>
      <w:r>
        <w:t xml:space="preserve"> factsheet for more information.</w:t>
      </w:r>
    </w:p>
    <w:p w14:paraId="0D05C19A" w14:textId="77777777" w:rsidR="00B41F6F" w:rsidRDefault="00B41F6F">
      <w:pPr>
        <w:spacing w:before="0" w:after="0" w:line="240" w:lineRule="auto"/>
        <w:jc w:val="left"/>
        <w:rPr>
          <w:rStyle w:val="normaltextrun"/>
          <w:rFonts w:ascii="Georgia" w:eastAsiaTheme="majorEastAsia" w:hAnsi="Georgia" w:cstheme="majorBidi"/>
          <w:b/>
          <w:bCs/>
          <w:color w:val="1B556B"/>
          <w:sz w:val="36"/>
          <w:szCs w:val="36"/>
        </w:rPr>
      </w:pPr>
      <w:r>
        <w:rPr>
          <w:rStyle w:val="normaltextrun"/>
        </w:rPr>
        <w:br w:type="page"/>
      </w:r>
    </w:p>
    <w:p w14:paraId="51E32E26" w14:textId="50A34A53" w:rsidR="00E67FBF" w:rsidRPr="008D403E" w:rsidRDefault="00E67FBF" w:rsidP="008D403E">
      <w:pPr>
        <w:pStyle w:val="Heading2"/>
        <w:rPr>
          <w:rStyle w:val="eop"/>
        </w:rPr>
      </w:pPr>
      <w:r w:rsidRPr="008D403E">
        <w:rPr>
          <w:rStyle w:val="normaltextrun"/>
        </w:rPr>
        <w:lastRenderedPageBreak/>
        <w:t>Appendix 1</w:t>
      </w:r>
      <w:r w:rsidR="00C755E9">
        <w:rPr>
          <w:rStyle w:val="normaltextrun"/>
        </w:rPr>
        <w:t>:</w:t>
      </w:r>
      <w:r w:rsidRPr="008D403E" w:rsidDel="00C755E9">
        <w:rPr>
          <w:rStyle w:val="normaltextrun"/>
        </w:rPr>
        <w:t xml:space="preserve"> </w:t>
      </w:r>
      <w:r w:rsidRPr="008D403E">
        <w:rPr>
          <w:rStyle w:val="normaltextrun"/>
        </w:rPr>
        <w:t>Conversion factors</w:t>
      </w:r>
      <w:r w:rsidRPr="008D403E">
        <w:rPr>
          <w:rStyle w:val="eop"/>
        </w:rPr>
        <w:t> </w:t>
      </w:r>
    </w:p>
    <w:p w14:paraId="2F759AC3" w14:textId="77777777" w:rsidR="002575B5" w:rsidRPr="002575B5" w:rsidRDefault="002575B5" w:rsidP="002575B5">
      <w:pPr>
        <w:pStyle w:val="BodyText"/>
      </w:pPr>
    </w:p>
    <w:tbl>
      <w:tblPr>
        <w:tblStyle w:val="LightGrid-Accent11"/>
        <w:tblW w:w="5000" w:type="pct"/>
        <w:tblLook w:val="04A0" w:firstRow="1" w:lastRow="0" w:firstColumn="1" w:lastColumn="0" w:noHBand="0" w:noVBand="1"/>
      </w:tblPr>
      <w:tblGrid>
        <w:gridCol w:w="2410"/>
        <w:gridCol w:w="5103"/>
        <w:gridCol w:w="1558"/>
      </w:tblGrid>
      <w:tr w:rsidR="00E67FBF" w:rsidRPr="00D41D22" w14:paraId="26C0D1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136E5B92" w14:textId="77777777" w:rsidR="00E67FBF" w:rsidRPr="00D41D22" w:rsidRDefault="00E67FBF" w:rsidP="00C05283">
            <w:pPr>
              <w:pStyle w:val="TableTextbold"/>
            </w:pPr>
            <w:r w:rsidRPr="00D41D22">
              <w:t xml:space="preserve">Type of waste or diverted material </w:t>
            </w:r>
          </w:p>
        </w:tc>
        <w:tc>
          <w:tcPr>
            <w:tcW w:w="2813" w:type="pct"/>
          </w:tcPr>
          <w:p w14:paraId="0BBBBBDF" w14:textId="77777777" w:rsidR="00E67FBF" w:rsidRPr="00D41D22" w:rsidRDefault="00E67FBF" w:rsidP="00C05283">
            <w:pPr>
              <w:pStyle w:val="TableTextbold"/>
              <w:cnfStyle w:val="100000000000" w:firstRow="1" w:lastRow="0" w:firstColumn="0" w:lastColumn="0" w:oddVBand="0" w:evenVBand="0" w:oddHBand="0" w:evenHBand="0" w:firstRowFirstColumn="0" w:firstRowLastColumn="0" w:lastRowFirstColumn="0" w:lastRowLastColumn="0"/>
            </w:pPr>
            <w:r w:rsidRPr="00D41D22">
              <w:t xml:space="preserve">Description </w:t>
            </w:r>
          </w:p>
        </w:tc>
        <w:tc>
          <w:tcPr>
            <w:tcW w:w="859" w:type="pct"/>
          </w:tcPr>
          <w:p w14:paraId="3C230698" w14:textId="77777777" w:rsidR="00E67FBF" w:rsidRPr="00D41D22" w:rsidRDefault="00E67FBF" w:rsidP="00C05283">
            <w:pPr>
              <w:pStyle w:val="TableTextbold"/>
              <w:cnfStyle w:val="100000000000" w:firstRow="1" w:lastRow="0" w:firstColumn="0" w:lastColumn="0" w:oddVBand="0" w:evenVBand="0" w:oddHBand="0" w:evenHBand="0" w:firstRowFirstColumn="0" w:firstRowLastColumn="0" w:lastRowFirstColumn="0" w:lastRowLastColumn="0"/>
            </w:pPr>
            <w:r w:rsidRPr="00D41D22">
              <w:t>Conversion factor</w:t>
            </w:r>
          </w:p>
        </w:tc>
      </w:tr>
      <w:tr w:rsidR="00E67FBF" w:rsidRPr="006B77BB" w14:paraId="658A22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4E445F14" w14:textId="77777777" w:rsidR="00E67FBF" w:rsidRPr="006B77BB" w:rsidRDefault="00E67FBF" w:rsidP="00BB2617">
            <w:pPr>
              <w:pStyle w:val="TableText"/>
            </w:pPr>
            <w:r>
              <w:t>Mixed general material – loose.</w:t>
            </w:r>
          </w:p>
        </w:tc>
        <w:tc>
          <w:tcPr>
            <w:tcW w:w="2813" w:type="pct"/>
          </w:tcPr>
          <w:p w14:paraId="30005463"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Small loads (0.5 cubic metres or less) of uncompacted general waste or material, including bags of domestic and commercial refuse or waste.</w:t>
            </w:r>
          </w:p>
          <w:p w14:paraId="17B236CE" w14:textId="77777777" w:rsidR="00E67FBF" w:rsidRPr="00DF1938"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o</w:t>
            </w:r>
            <w:r w:rsidRPr="00DF1938">
              <w:t>r</w:t>
            </w:r>
          </w:p>
          <w:p w14:paraId="2AED3256"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Material for diversion that is similar in density to loose and uncompacted material, such as recyclable containers, cans</w:t>
            </w:r>
            <w:r w:rsidDel="00B07256">
              <w:t>,</w:t>
            </w:r>
            <w:r>
              <w:t xml:space="preserve"> and plastic bottles. </w:t>
            </w:r>
          </w:p>
          <w:p w14:paraId="68B0DB3E" w14:textId="77777777" w:rsidR="00E67FBF" w:rsidRPr="006B77BB"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 xml:space="preserve">Includes loads received from </w:t>
            </w:r>
            <w:r w:rsidDel="001B11B2">
              <w:t xml:space="preserve">a </w:t>
            </w:r>
            <w:r>
              <w:t xml:space="preserve">residential customer that </w:t>
            </w:r>
            <w:r w:rsidDel="0081505B">
              <w:t xml:space="preserve">is </w:t>
            </w:r>
            <w:r>
              <w:t>mainly household waste but include</w:t>
            </w:r>
            <w:r w:rsidDel="001B11B2">
              <w:t>s</w:t>
            </w:r>
            <w:r>
              <w:t xml:space="preserve"> some garden material.</w:t>
            </w:r>
          </w:p>
        </w:tc>
        <w:tc>
          <w:tcPr>
            <w:tcW w:w="859" w:type="pct"/>
          </w:tcPr>
          <w:p w14:paraId="63D7B6BB" w14:textId="77777777" w:rsidR="00E67FBF" w:rsidRPr="006B77BB"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0.13 tonnes (</w:t>
            </w:r>
            <w:r w:rsidDel="001B11B2">
              <w:t>130kg</w:t>
            </w:r>
            <w:r>
              <w:t>)/cubic metre</w:t>
            </w:r>
          </w:p>
        </w:tc>
      </w:tr>
      <w:tr w:rsidR="00E67FBF" w:rsidRPr="006B77BB" w14:paraId="09DC4D2C" w14:textId="77777777">
        <w:tc>
          <w:tcPr>
            <w:cnfStyle w:val="001000000000" w:firstRow="0" w:lastRow="0" w:firstColumn="1" w:lastColumn="0" w:oddVBand="0" w:evenVBand="0" w:oddHBand="0" w:evenHBand="0" w:firstRowFirstColumn="0" w:firstRowLastColumn="0" w:lastRowFirstColumn="0" w:lastRowLastColumn="0"/>
            <w:tcW w:w="1328" w:type="pct"/>
          </w:tcPr>
          <w:p w14:paraId="7F5FA6F8" w14:textId="77777777" w:rsidR="00E67FBF" w:rsidRPr="006B77BB" w:rsidRDefault="00E67FBF" w:rsidP="00BB2617">
            <w:pPr>
              <w:pStyle w:val="TableText"/>
            </w:pPr>
            <w:r>
              <w:t>Uncompacted garden material.</w:t>
            </w:r>
          </w:p>
        </w:tc>
        <w:tc>
          <w:tcPr>
            <w:tcW w:w="2813" w:type="pct"/>
          </w:tcPr>
          <w:p w14:paraId="13957D8B"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Grass, leaves, foliage, branches</w:t>
            </w:r>
            <w:r w:rsidDel="00AB7E6A">
              <w:t>,</w:t>
            </w:r>
            <w:r>
              <w:t xml:space="preserve"> and other general bulky green waste.</w:t>
            </w:r>
          </w:p>
          <w:p w14:paraId="68FE044D" w14:textId="77777777" w:rsidR="00E67FBF" w:rsidRPr="006B77BB"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Does not include soil or logs, or mulched materials. Material is delivered loose and not from a collection service or otherwise compacted.</w:t>
            </w:r>
          </w:p>
        </w:tc>
        <w:tc>
          <w:tcPr>
            <w:tcW w:w="859" w:type="pct"/>
          </w:tcPr>
          <w:p w14:paraId="73F7F0C3" w14:textId="77777777" w:rsidR="00E67FBF" w:rsidRPr="006B77BB"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0.15 tonnes (150kg)/cubic metre</w:t>
            </w:r>
          </w:p>
        </w:tc>
      </w:tr>
      <w:tr w:rsidR="00E67FBF" w:rsidRPr="006B77BB" w14:paraId="5E3F88F0"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28" w:type="pct"/>
          </w:tcPr>
          <w:p w14:paraId="63894CDA" w14:textId="77777777" w:rsidR="00E67FBF" w:rsidRPr="006B77BB" w:rsidRDefault="00E67FBF" w:rsidP="00BB2617">
            <w:pPr>
              <w:pStyle w:val="TableText"/>
            </w:pPr>
            <w:r>
              <w:t>Mixed general material – bulk, uncompacted.</w:t>
            </w:r>
          </w:p>
        </w:tc>
        <w:tc>
          <w:tcPr>
            <w:tcW w:w="2813" w:type="pct"/>
          </w:tcPr>
          <w:p w14:paraId="2556260E"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Larger loads (more than 0.5 cubic metres) of any uncompacted waste</w:t>
            </w:r>
          </w:p>
          <w:p w14:paraId="74FEBF46" w14:textId="77777777" w:rsidR="00E67FBF" w:rsidRPr="00C97C8A"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o</w:t>
            </w:r>
            <w:r w:rsidRPr="00C97C8A">
              <w:t>r</w:t>
            </w:r>
          </w:p>
          <w:p w14:paraId="6BFCD89D"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 xml:space="preserve">Material for diversion from residential, commercial, and industrial sources. </w:t>
            </w:r>
          </w:p>
          <w:p w14:paraId="5E0EE65C" w14:textId="77777777" w:rsidR="00E67FBF" w:rsidRPr="006B77BB"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 xml:space="preserve">Includes loads of construction and demolition waste </w:t>
            </w:r>
            <w:r w:rsidDel="00AF6E0A">
              <w:t xml:space="preserve">of building products and materials that is dominated by </w:t>
            </w:r>
            <w:r>
              <w:t xml:space="preserve">packaging or light-weight insulation. </w:t>
            </w:r>
          </w:p>
        </w:tc>
        <w:tc>
          <w:tcPr>
            <w:tcW w:w="859" w:type="pct"/>
          </w:tcPr>
          <w:p w14:paraId="7CA843D7" w14:textId="77777777" w:rsidR="00E67FBF" w:rsidRPr="006B77BB"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0.20 tonnes (</w:t>
            </w:r>
            <w:r w:rsidDel="001B11B2">
              <w:t>200kg</w:t>
            </w:r>
            <w:r>
              <w:t>)/cubic metre</w:t>
            </w:r>
          </w:p>
        </w:tc>
      </w:tr>
      <w:tr w:rsidR="00E67FBF" w:rsidRPr="006B77BB" w14:paraId="45711CD5" w14:textId="77777777">
        <w:trPr>
          <w:trHeight w:val="70"/>
        </w:trPr>
        <w:tc>
          <w:tcPr>
            <w:cnfStyle w:val="001000000000" w:firstRow="0" w:lastRow="0" w:firstColumn="1" w:lastColumn="0" w:oddVBand="0" w:evenVBand="0" w:oddHBand="0" w:evenHBand="0" w:firstRowFirstColumn="0" w:firstRowLastColumn="0" w:lastRowFirstColumn="0" w:lastRowLastColumn="0"/>
            <w:tcW w:w="1328" w:type="pct"/>
          </w:tcPr>
          <w:p w14:paraId="46754683" w14:textId="77777777" w:rsidR="00E67FBF" w:rsidRDefault="00E67FBF" w:rsidP="00BB2617">
            <w:pPr>
              <w:pStyle w:val="TableText"/>
            </w:pPr>
            <w:r>
              <w:t>Compacted putrescible material.</w:t>
            </w:r>
          </w:p>
        </w:tc>
        <w:tc>
          <w:tcPr>
            <w:tcW w:w="2813" w:type="pct"/>
          </w:tcPr>
          <w:p w14:paraId="1C1EFBF0" w14:textId="77777777" w:rsidR="00E67FBF" w:rsidDel="001E3C51"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Compacted or mulched grass, leaves, foliage, branches</w:t>
            </w:r>
            <w:r w:rsidDel="00AF6E0A">
              <w:t>,</w:t>
            </w:r>
            <w:r>
              <w:t xml:space="preserve"> and food waste included in a food and garden waste collection. </w:t>
            </w:r>
          </w:p>
          <w:p w14:paraId="6BB3F2B0"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 xml:space="preserve">Does not include soil or logs. </w:t>
            </w:r>
            <w:r w:rsidDel="001E3C51">
              <w:t>For example, materials collected through a kerbside service in a compactor vehicle.</w:t>
            </w:r>
          </w:p>
        </w:tc>
        <w:tc>
          <w:tcPr>
            <w:tcW w:w="859" w:type="pct"/>
          </w:tcPr>
          <w:p w14:paraId="7172353B"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0.26 tonnes (260kg)/cubic metre</w:t>
            </w:r>
          </w:p>
        </w:tc>
      </w:tr>
      <w:tr w:rsidR="00E67FBF" w:rsidRPr="006B77BB" w14:paraId="6248266D"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28" w:type="pct"/>
          </w:tcPr>
          <w:p w14:paraId="1F6BEFB9" w14:textId="77777777" w:rsidR="00E67FBF" w:rsidRDefault="00E67FBF" w:rsidP="00BB2617">
            <w:pPr>
              <w:pStyle w:val="TableText"/>
            </w:pPr>
            <w:r>
              <w:t>Mixed general material – compacted.</w:t>
            </w:r>
          </w:p>
        </w:tc>
        <w:tc>
          <w:tcPr>
            <w:tcW w:w="2813" w:type="pct"/>
          </w:tcPr>
          <w:p w14:paraId="0AD8459B"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Waste or material for diversion carried in a compacted state (including in kerbside collection compactors, stationary compactors, and mechanical handling if this includes compaction) and compacted bulk waste.</w:t>
            </w:r>
          </w:p>
          <w:p w14:paraId="25F30408" w14:textId="77777777" w:rsidR="00E67FBF" w:rsidRPr="0011393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o</w:t>
            </w:r>
            <w:r w:rsidRPr="0011393F">
              <w:t>r</w:t>
            </w:r>
          </w:p>
          <w:p w14:paraId="76EE6DA3"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Material from refuse transfer stations in a compacted state.</w:t>
            </w:r>
          </w:p>
          <w:p w14:paraId="33F0F20A" w14:textId="77777777" w:rsidR="00E67FBF" w:rsidRPr="0011393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o</w:t>
            </w:r>
            <w:r w:rsidRPr="0011393F">
              <w:t>r</w:t>
            </w:r>
          </w:p>
          <w:p w14:paraId="3D822BCC"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Waste or material for diversion that is similar in density to compacted waste, such as whole glass bottles and loose light-gauge scrap metal.</w:t>
            </w:r>
          </w:p>
        </w:tc>
        <w:tc>
          <w:tcPr>
            <w:tcW w:w="859" w:type="pct"/>
          </w:tcPr>
          <w:p w14:paraId="45D6F37F"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0.32 tonnes (320kg)/cubic metre</w:t>
            </w:r>
          </w:p>
        </w:tc>
      </w:tr>
      <w:tr w:rsidR="00E67FBF" w:rsidRPr="006B77BB" w14:paraId="0F4AA369" w14:textId="77777777">
        <w:trPr>
          <w:trHeight w:val="70"/>
        </w:trPr>
        <w:tc>
          <w:tcPr>
            <w:cnfStyle w:val="001000000000" w:firstRow="0" w:lastRow="0" w:firstColumn="1" w:lastColumn="0" w:oddVBand="0" w:evenVBand="0" w:oddHBand="0" w:evenHBand="0" w:firstRowFirstColumn="0" w:firstRowLastColumn="0" w:lastRowFirstColumn="0" w:lastRowLastColumn="0"/>
            <w:tcW w:w="1328" w:type="pct"/>
          </w:tcPr>
          <w:p w14:paraId="04F714E5" w14:textId="77777777" w:rsidR="00E67FBF" w:rsidRDefault="00E67FBF" w:rsidP="00BB2617">
            <w:pPr>
              <w:pStyle w:val="TableText"/>
            </w:pPr>
            <w:r>
              <w:t>Mixed construction and demolition material.</w:t>
            </w:r>
          </w:p>
        </w:tc>
        <w:tc>
          <w:tcPr>
            <w:tcW w:w="2813" w:type="pct"/>
          </w:tcPr>
          <w:p w14:paraId="15E93AE2"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Mixed loads of construction and demolition waste. Includes a mixture of timber, glass, metals, plastics, plasterboard</w:t>
            </w:r>
            <w:r w:rsidDel="00D631F3">
              <w:t>,</w:t>
            </w:r>
            <w:r>
              <w:t xml:space="preserve"> or fibre cement products, fibreglass or insulation materials, masonry, bricks</w:t>
            </w:r>
            <w:r w:rsidDel="00D631F3">
              <w:t>,</w:t>
            </w:r>
            <w:r>
              <w:t xml:space="preserve"> and small </w:t>
            </w:r>
            <w:r w:rsidDel="00721D61">
              <w:t xml:space="preserve">(incidental) </w:t>
            </w:r>
            <w:r>
              <w:t>amounts of concrete, soil</w:t>
            </w:r>
            <w:r w:rsidDel="00721D61">
              <w:t>,</w:t>
            </w:r>
            <w:r>
              <w:t xml:space="preserve"> or rock.</w:t>
            </w:r>
          </w:p>
          <w:p w14:paraId="2F84B197"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 xml:space="preserve">If the load is predominantly concrete, soil or rock, this should be categorised under </w:t>
            </w:r>
            <w:r w:rsidDel="00310FF2">
              <w:t>“</w:t>
            </w:r>
            <w:r>
              <w:t>Soil, sludges, and similar excavated material</w:t>
            </w:r>
            <w:r w:rsidDel="00310FF2">
              <w:t>”</w:t>
            </w:r>
            <w:r>
              <w:t xml:space="preserve"> or </w:t>
            </w:r>
            <w:r w:rsidDel="00310FF2">
              <w:t>“</w:t>
            </w:r>
            <w:r>
              <w:t>Concrete, rock, or other high-density materials</w:t>
            </w:r>
            <w:r w:rsidDel="00310FF2">
              <w:t>”</w:t>
            </w:r>
            <w:r>
              <w:t>.</w:t>
            </w:r>
          </w:p>
          <w:p w14:paraId="109DBE42"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lastRenderedPageBreak/>
              <w:t>Not applicable to loads of construction and demolition material that are dominated by lighter materials such as insulation, packaging</w:t>
            </w:r>
            <w:r w:rsidDel="00722071">
              <w:t>,</w:t>
            </w:r>
            <w:r>
              <w:t xml:space="preserve"> or plastics (“Mixed general material</w:t>
            </w:r>
            <w:r w:rsidDel="00310FF2">
              <w:t>—</w:t>
            </w:r>
            <w:r>
              <w:t>bulk, uncompacted</w:t>
            </w:r>
            <w:r w:rsidDel="00310FF2">
              <w:t>”</w:t>
            </w:r>
            <w:r>
              <w:t xml:space="preserve"> applies).</w:t>
            </w:r>
          </w:p>
        </w:tc>
        <w:tc>
          <w:tcPr>
            <w:tcW w:w="859" w:type="pct"/>
          </w:tcPr>
          <w:p w14:paraId="0E9899A2"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lastRenderedPageBreak/>
              <w:t>1.20 tonnes (</w:t>
            </w:r>
            <w:r w:rsidDel="006A61C8">
              <w:t>1200kg</w:t>
            </w:r>
            <w:r>
              <w:t>)/cubic metre</w:t>
            </w:r>
          </w:p>
        </w:tc>
      </w:tr>
      <w:tr w:rsidR="00E67FBF" w:rsidRPr="006B77BB" w14:paraId="50CA60B2"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28" w:type="pct"/>
          </w:tcPr>
          <w:p w14:paraId="3D6BB887" w14:textId="77777777" w:rsidR="00E67FBF" w:rsidRDefault="00E67FBF" w:rsidP="00BB2617">
            <w:pPr>
              <w:pStyle w:val="TableText"/>
            </w:pPr>
            <w:r>
              <w:t>Soil, sludges and similar excavated material.</w:t>
            </w:r>
          </w:p>
        </w:tc>
        <w:tc>
          <w:tcPr>
            <w:tcW w:w="2813" w:type="pct"/>
          </w:tcPr>
          <w:p w14:paraId="6892F486"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Material predominantly made up of soil and excavated material including sand, silt, cla</w:t>
            </w:r>
            <w:r w:rsidDel="00722071">
              <w:t>y</w:t>
            </w:r>
            <w:r w:rsidDel="0082206D">
              <w:t>,</w:t>
            </w:r>
            <w:r>
              <w:t xml:space="preserve"> and topsoil. May include stumps or logs and asphalt.</w:t>
            </w:r>
          </w:p>
          <w:p w14:paraId="68BB9E94"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Materials predominantly made up of slags, sludges (including biosolids), ash, foundry sand, pomace (fruit pulp), and abattoir waste.</w:t>
            </w:r>
          </w:p>
        </w:tc>
        <w:tc>
          <w:tcPr>
            <w:tcW w:w="859" w:type="pct"/>
          </w:tcPr>
          <w:p w14:paraId="00BF952C" w14:textId="77777777" w:rsidR="00E67FBF" w:rsidRDefault="00E67FBF" w:rsidP="00BB2617">
            <w:pPr>
              <w:pStyle w:val="TableText"/>
              <w:cnfStyle w:val="000000100000" w:firstRow="0" w:lastRow="0" w:firstColumn="0" w:lastColumn="0" w:oddVBand="0" w:evenVBand="0" w:oddHBand="1" w:evenHBand="0" w:firstRowFirstColumn="0" w:firstRowLastColumn="0" w:lastRowFirstColumn="0" w:lastRowLastColumn="0"/>
            </w:pPr>
            <w:r>
              <w:t>1.50 tonnes (</w:t>
            </w:r>
            <w:r w:rsidDel="006A61C8">
              <w:t>1500kg</w:t>
            </w:r>
            <w:r>
              <w:t>)/cubic metre</w:t>
            </w:r>
          </w:p>
        </w:tc>
      </w:tr>
      <w:tr w:rsidR="00E67FBF" w:rsidRPr="006B77BB" w14:paraId="66B8AF2D" w14:textId="77777777">
        <w:trPr>
          <w:trHeight w:val="70"/>
        </w:trPr>
        <w:tc>
          <w:tcPr>
            <w:cnfStyle w:val="001000000000" w:firstRow="0" w:lastRow="0" w:firstColumn="1" w:lastColumn="0" w:oddVBand="0" w:evenVBand="0" w:oddHBand="0" w:evenHBand="0" w:firstRowFirstColumn="0" w:firstRowLastColumn="0" w:lastRowFirstColumn="0" w:lastRowLastColumn="0"/>
            <w:tcW w:w="1328" w:type="pct"/>
          </w:tcPr>
          <w:p w14:paraId="7EEC70D7" w14:textId="77777777" w:rsidR="00E67FBF" w:rsidRDefault="00E67FBF" w:rsidP="00BB2617">
            <w:pPr>
              <w:pStyle w:val="TableText"/>
            </w:pPr>
            <w:r>
              <w:t>Concrete, rock</w:t>
            </w:r>
            <w:r w:rsidDel="00272E6D">
              <w:t>,</w:t>
            </w:r>
            <w:r>
              <w:t xml:space="preserve"> or other high-density materials.</w:t>
            </w:r>
          </w:p>
        </w:tc>
        <w:tc>
          <w:tcPr>
            <w:tcW w:w="2813" w:type="pct"/>
          </w:tcPr>
          <w:p w14:paraId="386E693F" w14:textId="5B263B0C" w:rsidR="00E67FBF" w:rsidRPr="00006207"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Waste or material composed of high-density materials and predominantly made up of concrete, rock</w:t>
            </w:r>
            <w:r w:rsidDel="0082206D">
              <w:t>,</w:t>
            </w:r>
            <w:r>
              <w:t xml:space="preserve"> and rubble.</w:t>
            </w:r>
          </w:p>
        </w:tc>
        <w:tc>
          <w:tcPr>
            <w:tcW w:w="859" w:type="pct"/>
          </w:tcPr>
          <w:p w14:paraId="7EC856D9" w14:textId="77777777" w:rsidR="00E67FBF" w:rsidRDefault="00E67FBF" w:rsidP="00BB2617">
            <w:pPr>
              <w:pStyle w:val="TableText"/>
              <w:cnfStyle w:val="000000000000" w:firstRow="0" w:lastRow="0" w:firstColumn="0" w:lastColumn="0" w:oddVBand="0" w:evenVBand="0" w:oddHBand="0" w:evenHBand="0" w:firstRowFirstColumn="0" w:firstRowLastColumn="0" w:lastRowFirstColumn="0" w:lastRowLastColumn="0"/>
            </w:pPr>
            <w:r>
              <w:t>2.00 tonnes (</w:t>
            </w:r>
            <w:r w:rsidDel="006A61C8">
              <w:t>2000kg</w:t>
            </w:r>
            <w:r>
              <w:t>)/cubic metre</w:t>
            </w:r>
          </w:p>
        </w:tc>
      </w:tr>
    </w:tbl>
    <w:p w14:paraId="5625445D" w14:textId="77777777" w:rsidR="00E67FBF" w:rsidRDefault="00E67FBF" w:rsidP="00E67FBF">
      <w:pPr>
        <w:pStyle w:val="BodyText"/>
      </w:pPr>
    </w:p>
    <w:p w14:paraId="6EBC76A7" w14:textId="6B53382D" w:rsidR="00E67FBF" w:rsidRPr="0044713C" w:rsidRDefault="00E67FBF" w:rsidP="0044713C">
      <w:pPr>
        <w:pStyle w:val="Heading2"/>
        <w:rPr>
          <w:rStyle w:val="eop"/>
        </w:rPr>
      </w:pPr>
      <w:r w:rsidRPr="06E362A8">
        <w:rPr>
          <w:rStyle w:val="normaltextrun"/>
        </w:rPr>
        <w:t>Appendix 2</w:t>
      </w:r>
      <w:r w:rsidR="00C755E9">
        <w:rPr>
          <w:rStyle w:val="normaltextrun"/>
        </w:rPr>
        <w:t>:</w:t>
      </w:r>
      <w:r w:rsidRPr="06E362A8" w:rsidDel="00C755E9">
        <w:rPr>
          <w:rStyle w:val="normaltextrun"/>
        </w:rPr>
        <w:t xml:space="preserve"> </w:t>
      </w:r>
      <w:r w:rsidRPr="06E362A8">
        <w:rPr>
          <w:rStyle w:val="normaltextrun"/>
        </w:rPr>
        <w:t xml:space="preserve">Average tonnage </w:t>
      </w:r>
      <w:r w:rsidR="00C755E9">
        <w:rPr>
          <w:rStyle w:val="normaltextrun"/>
        </w:rPr>
        <w:t xml:space="preserve">of </w:t>
      </w:r>
      <w:r w:rsidRPr="06E362A8">
        <w:rPr>
          <w:rStyle w:val="normaltextrun"/>
        </w:rPr>
        <w:t>vehicles</w:t>
      </w:r>
      <w:r w:rsidRPr="06E362A8">
        <w:rPr>
          <w:rStyle w:val="eop"/>
        </w:rPr>
        <w:t> </w:t>
      </w:r>
    </w:p>
    <w:p w14:paraId="232AF6B9" w14:textId="77777777" w:rsidR="002575B5" w:rsidRPr="002575B5" w:rsidRDefault="002575B5" w:rsidP="002575B5">
      <w:pPr>
        <w:pStyle w:val="BodyText"/>
      </w:pPr>
    </w:p>
    <w:tbl>
      <w:tblPr>
        <w:tblW w:w="9071" w:type="dxa"/>
        <w:tblBorders>
          <w:top w:val="outset" w:sz="6" w:space="0" w:color="auto"/>
          <w:left w:val="outset" w:sz="6" w:space="0" w:color="auto"/>
          <w:bottom w:val="outset" w:sz="6" w:space="0" w:color="auto"/>
          <w:right w:val="outset" w:sz="6" w:space="0" w:color="auto"/>
        </w:tblBorders>
        <w:tblCellMar>
          <w:right w:w="0" w:type="dxa"/>
        </w:tblCellMar>
        <w:tblLook w:val="04A0" w:firstRow="1" w:lastRow="0" w:firstColumn="1" w:lastColumn="0" w:noHBand="0" w:noVBand="1"/>
      </w:tblPr>
      <w:tblGrid>
        <w:gridCol w:w="2410"/>
        <w:gridCol w:w="6661"/>
      </w:tblGrid>
      <w:tr w:rsidR="003133FF" w:rsidRPr="00E83907" w14:paraId="1A2A6CBE" w14:textId="77777777" w:rsidTr="06E362A8">
        <w:trPr>
          <w:trHeight w:val="300"/>
        </w:trPr>
        <w:tc>
          <w:tcPr>
            <w:tcW w:w="2410" w:type="dxa"/>
            <w:tcBorders>
              <w:top w:val="nil"/>
              <w:left w:val="nil"/>
              <w:bottom w:val="single" w:sz="6" w:space="0" w:color="1B556B" w:themeColor="text2"/>
              <w:right w:val="single" w:sz="6" w:space="0" w:color="1B556B" w:themeColor="text2"/>
            </w:tcBorders>
            <w:shd w:val="clear" w:color="auto" w:fill="1B556B" w:themeFill="text2"/>
            <w:hideMark/>
          </w:tcPr>
          <w:p w14:paraId="4F20E0D3" w14:textId="77777777" w:rsidR="00E67FBF" w:rsidRPr="00053A07" w:rsidRDefault="00E67FBF" w:rsidP="00A030BC">
            <w:pPr>
              <w:pStyle w:val="TableTextbold"/>
              <w:rPr>
                <w:b/>
              </w:rPr>
            </w:pPr>
            <w:r w:rsidRPr="00053A07">
              <w:rPr>
                <w:b/>
              </w:rPr>
              <w:t>Class </w:t>
            </w:r>
          </w:p>
        </w:tc>
        <w:tc>
          <w:tcPr>
            <w:tcW w:w="6661" w:type="dxa"/>
            <w:tcBorders>
              <w:top w:val="nil"/>
              <w:left w:val="single" w:sz="6" w:space="0" w:color="1B556B" w:themeColor="text2"/>
              <w:bottom w:val="single" w:sz="6" w:space="0" w:color="1B556B" w:themeColor="text2"/>
              <w:right w:val="nil"/>
            </w:tcBorders>
            <w:shd w:val="clear" w:color="auto" w:fill="1B556B" w:themeFill="text2"/>
            <w:hideMark/>
          </w:tcPr>
          <w:p w14:paraId="3B5DD7BE" w14:textId="77777777" w:rsidR="00E67FBF" w:rsidRPr="00053A07" w:rsidRDefault="00E67FBF" w:rsidP="00A030BC">
            <w:pPr>
              <w:pStyle w:val="TableTextbold"/>
              <w:rPr>
                <w:b/>
              </w:rPr>
            </w:pPr>
            <w:r w:rsidRPr="00053A07">
              <w:rPr>
                <w:b/>
              </w:rPr>
              <w:t>Description </w:t>
            </w:r>
          </w:p>
        </w:tc>
      </w:tr>
      <w:tr w:rsidR="003133FF" w:rsidRPr="00E83907" w14:paraId="0DDF4C98"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689A6AE5" w14:textId="77777777" w:rsidR="00E67FBF" w:rsidRPr="002575B5" w:rsidRDefault="00E67FBF" w:rsidP="00BB2617">
            <w:pPr>
              <w:pStyle w:val="TableText"/>
            </w:pPr>
            <w:r w:rsidRPr="002575B5">
              <w:t>MA (Passenger car) </w:t>
            </w:r>
          </w:p>
          <w:p w14:paraId="0703C40A" w14:textId="77777777" w:rsidR="00E67FBF" w:rsidRPr="002575B5" w:rsidRDefault="00E67FBF" w:rsidP="00BB2617">
            <w:pPr>
              <w:pStyle w:val="TableText"/>
            </w:pPr>
            <w:r w:rsidRPr="002575B5">
              <w:rPr>
                <w:noProof/>
              </w:rPr>
              <w:drawing>
                <wp:inline distT="0" distB="0" distL="0" distR="0" wp14:anchorId="77658602" wp14:editId="0CD2FC22">
                  <wp:extent cx="1143000" cy="381000"/>
                  <wp:effectExtent l="0" t="0" r="0" b="0"/>
                  <wp:docPr id="5475431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2575B5">
              <w:t>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368455E0" w14:textId="77777777" w:rsidR="00E67FBF" w:rsidRPr="002575B5" w:rsidRDefault="00E67FBF" w:rsidP="00BB2617">
            <w:pPr>
              <w:pStyle w:val="TableText"/>
            </w:pPr>
            <w:r w:rsidRPr="002575B5">
              <w:t>A passenger vehicle (other than a Class MB or Class MC vehicle) that has no more than nine seats (including the driver’s seat) </w:t>
            </w:r>
          </w:p>
        </w:tc>
      </w:tr>
      <w:tr w:rsidR="003133FF" w:rsidRPr="00E83907" w14:paraId="4888EA64"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4A8A0B01" w14:textId="77777777" w:rsidR="00E67FBF" w:rsidRPr="002575B5" w:rsidRDefault="00E67FBF" w:rsidP="00BB2617">
            <w:pPr>
              <w:pStyle w:val="TableText"/>
            </w:pPr>
            <w:r w:rsidRPr="002575B5">
              <w:t>MB (Forward control passenger vehicle) </w:t>
            </w:r>
          </w:p>
          <w:p w14:paraId="2CD51083" w14:textId="77777777" w:rsidR="00E67FBF" w:rsidRPr="002575B5" w:rsidRDefault="00E67FBF" w:rsidP="00BB2617">
            <w:pPr>
              <w:pStyle w:val="TableText"/>
            </w:pPr>
            <w:r w:rsidRPr="002575B5">
              <w:rPr>
                <w:noProof/>
              </w:rPr>
              <w:drawing>
                <wp:inline distT="0" distB="0" distL="0" distR="0" wp14:anchorId="151F4C24" wp14:editId="6CB8C5DC">
                  <wp:extent cx="1143000" cy="457200"/>
                  <wp:effectExtent l="0" t="0" r="0" b="0"/>
                  <wp:docPr id="1978509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2575B5">
              <w:t>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04E741B1" w14:textId="77777777" w:rsidR="00E67FBF" w:rsidRPr="002575B5" w:rsidRDefault="00E67FBF" w:rsidP="00BB2617">
            <w:pPr>
              <w:pStyle w:val="TableText"/>
            </w:pPr>
            <w:r w:rsidRPr="002575B5">
              <w:t>A passenger vehicle (other than a Class MC vehicle): </w:t>
            </w:r>
          </w:p>
          <w:p w14:paraId="36CFDD72" w14:textId="46E62EDA" w:rsidR="00E67FBF" w:rsidRPr="002575B5" w:rsidRDefault="00E67FBF" w:rsidP="00BB2617">
            <w:pPr>
              <w:pStyle w:val="TableText"/>
            </w:pPr>
            <w:r w:rsidRPr="002575B5">
              <w:t>that has no more than nine seats (including the driver’s seat), and </w:t>
            </w:r>
          </w:p>
          <w:p w14:paraId="5F6F3674" w14:textId="48E824D4" w:rsidR="00E67FBF" w:rsidRPr="002575B5" w:rsidRDefault="00E67FBF" w:rsidP="00BB2617">
            <w:pPr>
              <w:pStyle w:val="TableText"/>
            </w:pPr>
            <w:r w:rsidRPr="002575B5">
              <w:t>in which the centre of the steering wheel is in the forward quarter of the vehicle’s total length </w:t>
            </w:r>
          </w:p>
        </w:tc>
      </w:tr>
      <w:tr w:rsidR="003133FF" w:rsidRPr="00E83907" w14:paraId="78205FB0"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4794C788" w14:textId="77777777" w:rsidR="00E67FBF" w:rsidRPr="002575B5" w:rsidRDefault="00E67FBF" w:rsidP="00BB2617">
            <w:pPr>
              <w:pStyle w:val="TableText"/>
            </w:pPr>
            <w:r w:rsidRPr="002575B5">
              <w:t>MC (Off-road passenger vehicle) </w:t>
            </w:r>
          </w:p>
          <w:p w14:paraId="31B79801" w14:textId="77777777" w:rsidR="00E67FBF" w:rsidRPr="002575B5" w:rsidRDefault="00E67FBF" w:rsidP="00BB2617">
            <w:pPr>
              <w:pStyle w:val="TableText"/>
            </w:pPr>
            <w:r w:rsidRPr="002575B5">
              <w:rPr>
                <w:noProof/>
              </w:rPr>
              <w:drawing>
                <wp:inline distT="0" distB="0" distL="0" distR="0" wp14:anchorId="078B7F63" wp14:editId="0DA2B330">
                  <wp:extent cx="1143000" cy="485775"/>
                  <wp:effectExtent l="0" t="0" r="0" b="9525"/>
                  <wp:docPr id="468890653" name="Picture 1" descr="A car with a black stri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90653" name="Picture 1" descr="A car with a black stri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Pr="002575B5">
              <w:t>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6B4F31E8" w14:textId="77777777" w:rsidR="00E67FBF" w:rsidRPr="002575B5" w:rsidRDefault="00E67FBF" w:rsidP="00BB2617">
            <w:pPr>
              <w:pStyle w:val="TableText"/>
            </w:pPr>
            <w:r w:rsidRPr="002575B5">
              <w:t>A passenger vehicle, designed with special features for off-road operation, that has no more than nine seats (including the driver’s seat), and that: </w:t>
            </w:r>
          </w:p>
          <w:p w14:paraId="583A7F6D" w14:textId="77777777" w:rsidR="00E67FBF" w:rsidRPr="002575B5" w:rsidRDefault="00E67FBF" w:rsidP="00BB2617">
            <w:pPr>
              <w:pStyle w:val="TableText"/>
            </w:pPr>
            <w:r w:rsidRPr="002575B5">
              <w:t>a.</w:t>
            </w:r>
            <w:r w:rsidRPr="002575B5">
              <w:tab/>
              <w:t>has four-wheel drive, and </w:t>
            </w:r>
          </w:p>
          <w:p w14:paraId="57375309" w14:textId="77777777" w:rsidR="00E67FBF" w:rsidRPr="002575B5" w:rsidRDefault="00E67FBF" w:rsidP="00BB2617">
            <w:pPr>
              <w:pStyle w:val="TableText"/>
            </w:pPr>
            <w:r w:rsidRPr="002575B5">
              <w:t>b.</w:t>
            </w:r>
            <w:r w:rsidRPr="002575B5">
              <w:tab/>
              <w:t>has at least four of the following characteristics when the vehicle is unladen on a level surface and the front wheels are parallel to the vehicle’s longitudinal centreline and the tyres are inflated to the vehicle manufacturer’s recommended pressure: </w:t>
            </w:r>
          </w:p>
          <w:p w14:paraId="00796354" w14:textId="77777777" w:rsidR="00E67FBF" w:rsidRPr="002575B5" w:rsidRDefault="00E67FBF" w:rsidP="00BB2617">
            <w:pPr>
              <w:pStyle w:val="TableText"/>
            </w:pPr>
            <w:r w:rsidRPr="002575B5">
              <w:t>i.</w:t>
            </w:r>
            <w:r w:rsidRPr="002575B5">
              <w:tab/>
              <w:t>an approach angle of not less than 28 deg </w:t>
            </w:r>
          </w:p>
          <w:p w14:paraId="4BE445F0" w14:textId="77777777" w:rsidR="00E67FBF" w:rsidRPr="002575B5" w:rsidRDefault="00E67FBF" w:rsidP="00BB2617">
            <w:pPr>
              <w:pStyle w:val="TableText"/>
            </w:pPr>
            <w:r w:rsidRPr="002575B5">
              <w:t>ii.</w:t>
            </w:r>
            <w:r w:rsidRPr="002575B5">
              <w:tab/>
              <w:t>a breakover angle of not less than 14 deg </w:t>
            </w:r>
          </w:p>
          <w:p w14:paraId="0F5BD96A" w14:textId="77777777" w:rsidR="00E67FBF" w:rsidRPr="002575B5" w:rsidRDefault="00E67FBF" w:rsidP="00BB2617">
            <w:pPr>
              <w:pStyle w:val="TableText"/>
            </w:pPr>
            <w:r w:rsidRPr="002575B5">
              <w:t>iii.</w:t>
            </w:r>
            <w:r w:rsidRPr="002575B5">
              <w:tab/>
              <w:t>a departure angle of not less than 20 deg </w:t>
            </w:r>
          </w:p>
          <w:p w14:paraId="51B0728D" w14:textId="77777777" w:rsidR="00E67FBF" w:rsidRPr="002575B5" w:rsidRDefault="00E67FBF" w:rsidP="00BB2617">
            <w:pPr>
              <w:pStyle w:val="TableText"/>
            </w:pPr>
            <w:r w:rsidRPr="002575B5">
              <w:t>iv.</w:t>
            </w:r>
            <w:r w:rsidRPr="002575B5">
              <w:tab/>
              <w:t>a running clearance of not less than 200 mm </w:t>
            </w:r>
          </w:p>
          <w:p w14:paraId="79276A27" w14:textId="77777777" w:rsidR="00E67FBF" w:rsidRPr="002575B5" w:rsidRDefault="00E67FBF" w:rsidP="00BB2617">
            <w:pPr>
              <w:pStyle w:val="TableText"/>
            </w:pPr>
            <w:r w:rsidRPr="002575B5">
              <w:t>v.</w:t>
            </w:r>
            <w:r w:rsidRPr="002575B5">
              <w:tab/>
              <w:t>a front-axle clearance, rear-axle clearance, or suspension clearance of not less than 175 mm  </w:t>
            </w:r>
          </w:p>
        </w:tc>
      </w:tr>
      <w:tr w:rsidR="003133FF" w:rsidRPr="00E83907" w14:paraId="2C702981"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0D03D728" w14:textId="77777777" w:rsidR="00E67FBF" w:rsidRPr="002575B5" w:rsidRDefault="00E67FBF" w:rsidP="00BB2617">
            <w:pPr>
              <w:pStyle w:val="TableText"/>
            </w:pPr>
            <w:r w:rsidRPr="002575B5">
              <w:t>Omnibus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6761C284" w14:textId="77777777" w:rsidR="00E67FBF" w:rsidRPr="002575B5" w:rsidRDefault="00E67FBF" w:rsidP="00BB2617">
            <w:pPr>
              <w:pStyle w:val="TableText"/>
            </w:pPr>
            <w:r w:rsidRPr="002575B5">
              <w:t>A passenger vehicle that has more than nine seats (including the driver’s seat). An omnibus comprising two or more non-separable but articulated units shall be considered</w:t>
            </w:r>
            <w:r w:rsidRPr="002575B5" w:rsidDel="004A1652">
              <w:t xml:space="preserve"> as</w:t>
            </w:r>
            <w:r w:rsidRPr="002575B5">
              <w:t xml:space="preserve"> a single vehicle. </w:t>
            </w:r>
          </w:p>
        </w:tc>
      </w:tr>
      <w:tr w:rsidR="003133FF" w:rsidRPr="00E83907" w14:paraId="11F2B3AD"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65F514C0" w14:textId="77777777" w:rsidR="00E67FBF" w:rsidRPr="002575B5" w:rsidRDefault="00E67FBF" w:rsidP="00BB2617">
            <w:pPr>
              <w:pStyle w:val="TableText"/>
            </w:pPr>
            <w:r w:rsidRPr="002575B5">
              <w:t>MD 1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0629F041" w14:textId="77777777" w:rsidR="00E67FBF" w:rsidRPr="002575B5" w:rsidRDefault="00E67FBF" w:rsidP="00BB2617">
            <w:pPr>
              <w:pStyle w:val="TableText"/>
            </w:pPr>
            <w:r w:rsidRPr="002575B5">
              <w:t>An omnibus that has a gross vehicle mass not exceeding 3.5 tonnes and not more than 12 seats </w:t>
            </w:r>
          </w:p>
        </w:tc>
      </w:tr>
      <w:tr w:rsidR="003133FF" w:rsidRPr="00E83907" w14:paraId="49A70B56"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26E3A0F5" w14:textId="77777777" w:rsidR="00E67FBF" w:rsidRPr="002575B5" w:rsidRDefault="00E67FBF" w:rsidP="00BB2617">
            <w:pPr>
              <w:pStyle w:val="TableText"/>
            </w:pPr>
            <w:r w:rsidRPr="002575B5">
              <w:t>MD 2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05A297D2" w14:textId="77777777" w:rsidR="00E67FBF" w:rsidRPr="002575B5" w:rsidRDefault="00E67FBF" w:rsidP="00BB2617">
            <w:pPr>
              <w:pStyle w:val="TableText"/>
            </w:pPr>
            <w:r w:rsidRPr="002575B5">
              <w:t>An omnibus that has a gross vehicle mass not exceeding 3.5 tonnes and more than 12 seats </w:t>
            </w:r>
          </w:p>
        </w:tc>
      </w:tr>
      <w:tr w:rsidR="003133FF" w:rsidRPr="00E83907" w14:paraId="18766BCC" w14:textId="77777777" w:rsidTr="06E362A8">
        <w:trPr>
          <w:trHeight w:val="300"/>
        </w:trPr>
        <w:tc>
          <w:tcPr>
            <w:tcW w:w="2410" w:type="dxa"/>
            <w:tcBorders>
              <w:top w:val="single" w:sz="6" w:space="0" w:color="1B556B" w:themeColor="text2"/>
              <w:left w:val="nil"/>
              <w:bottom w:val="nil"/>
              <w:right w:val="single" w:sz="6" w:space="0" w:color="1B556B" w:themeColor="text2"/>
            </w:tcBorders>
            <w:shd w:val="clear" w:color="auto" w:fill="auto"/>
            <w:hideMark/>
          </w:tcPr>
          <w:p w14:paraId="286AB6FD" w14:textId="77777777" w:rsidR="00E67FBF" w:rsidRPr="002575B5" w:rsidRDefault="00E67FBF" w:rsidP="00BB2617">
            <w:pPr>
              <w:pStyle w:val="TableText"/>
            </w:pPr>
            <w:r w:rsidRPr="002575B5">
              <w:lastRenderedPageBreak/>
              <w:t>Goods vehicle </w:t>
            </w:r>
          </w:p>
        </w:tc>
        <w:tc>
          <w:tcPr>
            <w:tcW w:w="6661" w:type="dxa"/>
            <w:tcBorders>
              <w:top w:val="single" w:sz="6" w:space="0" w:color="1B556B" w:themeColor="text2"/>
              <w:left w:val="single" w:sz="6" w:space="0" w:color="1B556B" w:themeColor="text2"/>
              <w:bottom w:val="nil"/>
              <w:right w:val="nil"/>
            </w:tcBorders>
            <w:shd w:val="clear" w:color="auto" w:fill="auto"/>
            <w:hideMark/>
          </w:tcPr>
          <w:p w14:paraId="20FACC19" w14:textId="77777777" w:rsidR="00E67FBF" w:rsidRPr="002575B5" w:rsidRDefault="00E67FBF" w:rsidP="00BB2617">
            <w:pPr>
              <w:pStyle w:val="TableText"/>
            </w:pPr>
            <w:r w:rsidRPr="002575B5">
              <w:t>A motor vehicle that: </w:t>
            </w:r>
          </w:p>
          <w:p w14:paraId="507499CC" w14:textId="77777777" w:rsidR="00E67FBF" w:rsidRPr="002575B5" w:rsidRDefault="00E67FBF" w:rsidP="00BB2617">
            <w:pPr>
              <w:pStyle w:val="TableText"/>
            </w:pPr>
            <w:r w:rsidRPr="002575B5">
              <w:t>a.</w:t>
            </w:r>
            <w:r w:rsidRPr="002575B5">
              <w:tab/>
              <w:t>is constructed primarily for the carriage of goods, and </w:t>
            </w:r>
          </w:p>
          <w:p w14:paraId="243D0239" w14:textId="77777777" w:rsidR="00E67FBF" w:rsidRPr="002575B5" w:rsidRDefault="00E67FBF" w:rsidP="00BB2617">
            <w:pPr>
              <w:pStyle w:val="TableText"/>
            </w:pPr>
            <w:r w:rsidRPr="002575B5">
              <w:t>b.</w:t>
            </w:r>
            <w:r w:rsidRPr="002575B5">
              <w:tab/>
              <w:t>either: </w:t>
            </w:r>
          </w:p>
          <w:p w14:paraId="538B19C0" w14:textId="77777777" w:rsidR="00E67FBF" w:rsidRPr="002575B5" w:rsidRDefault="00E67FBF" w:rsidP="00BB2617">
            <w:pPr>
              <w:pStyle w:val="TableText"/>
            </w:pPr>
            <w:r w:rsidRPr="002575B5">
              <w:t>i.</w:t>
            </w:r>
            <w:r w:rsidRPr="002575B5">
              <w:tab/>
              <w:t>has at least four wheels, or </w:t>
            </w:r>
          </w:p>
          <w:p w14:paraId="1A67BAD0" w14:textId="77777777" w:rsidR="00E67FBF" w:rsidRPr="002575B5" w:rsidRDefault="00E67FBF" w:rsidP="00BB2617">
            <w:pPr>
              <w:pStyle w:val="TableText"/>
            </w:pPr>
            <w:r w:rsidRPr="002575B5">
              <w:t>ii.</w:t>
            </w:r>
            <w:r w:rsidRPr="002575B5">
              <w:tab/>
              <w:t>has three wheels and a gross vehicle mass exceeding 1 tonne </w:t>
            </w:r>
          </w:p>
        </w:tc>
      </w:tr>
      <w:tr w:rsidR="003133FF" w:rsidRPr="00E83907" w14:paraId="55C1A769" w14:textId="77777777" w:rsidTr="06E362A8">
        <w:trPr>
          <w:trHeight w:val="300"/>
        </w:trPr>
        <w:tc>
          <w:tcPr>
            <w:tcW w:w="2410" w:type="dxa"/>
            <w:tcBorders>
              <w:top w:val="nil"/>
              <w:left w:val="nil"/>
              <w:bottom w:val="single" w:sz="6" w:space="0" w:color="1B556B" w:themeColor="text2"/>
              <w:right w:val="single" w:sz="6" w:space="0" w:color="1B556B" w:themeColor="text2"/>
            </w:tcBorders>
            <w:shd w:val="clear" w:color="auto" w:fill="auto"/>
            <w:hideMark/>
          </w:tcPr>
          <w:p w14:paraId="1212275C" w14:textId="77777777" w:rsidR="00E67FBF" w:rsidRPr="002575B5" w:rsidRDefault="00E67FBF" w:rsidP="00BB2617">
            <w:pPr>
              <w:pStyle w:val="TableText"/>
            </w:pPr>
            <w:r w:rsidRPr="002575B5">
              <w:t> </w:t>
            </w:r>
          </w:p>
        </w:tc>
        <w:tc>
          <w:tcPr>
            <w:tcW w:w="6661" w:type="dxa"/>
            <w:tcBorders>
              <w:top w:val="nil"/>
              <w:left w:val="single" w:sz="6" w:space="0" w:color="1B556B" w:themeColor="text2"/>
              <w:bottom w:val="single" w:sz="6" w:space="0" w:color="1B556B" w:themeColor="text2"/>
              <w:right w:val="nil"/>
            </w:tcBorders>
            <w:shd w:val="clear" w:color="auto" w:fill="auto"/>
            <w:hideMark/>
          </w:tcPr>
          <w:p w14:paraId="5D7CBB61" w14:textId="77777777" w:rsidR="00E67FBF" w:rsidRPr="002575B5" w:rsidRDefault="00E67FBF" w:rsidP="00BB2617">
            <w:pPr>
              <w:pStyle w:val="TableText"/>
            </w:pPr>
            <w:r w:rsidRPr="002575B5">
              <w:t>For the purpose of this description: </w:t>
            </w:r>
          </w:p>
          <w:p w14:paraId="152D529B" w14:textId="77777777" w:rsidR="00E67FBF" w:rsidRPr="002575B5" w:rsidRDefault="00E67FBF" w:rsidP="00BB2617">
            <w:pPr>
              <w:pStyle w:val="TableText"/>
            </w:pPr>
            <w:r w:rsidRPr="002575B5">
              <w:t>a.</w:t>
            </w:r>
            <w:r w:rsidRPr="002575B5">
              <w:tab/>
              <w:t>a vehicle that is constructed for both the carriage of goods and passengers shall be considered primarily for the carriage of goods if the number of seats multiplied by 68 kg is less than 50% of the difference between the gross vehicle mass and the unladen mass </w:t>
            </w:r>
          </w:p>
          <w:p w14:paraId="06C6BA09" w14:textId="77777777" w:rsidR="00E67FBF" w:rsidRPr="002575B5" w:rsidRDefault="00E67FBF" w:rsidP="00BB2617">
            <w:pPr>
              <w:pStyle w:val="TableText"/>
            </w:pPr>
            <w:r w:rsidRPr="002575B5">
              <w:t>b.</w:t>
            </w:r>
            <w:r w:rsidRPr="002575B5">
              <w:tab/>
              <w:t>the equipment and installations carried on special purpose vehicles not designed for the carriage of passengers shall be considered to be goods </w:t>
            </w:r>
          </w:p>
          <w:p w14:paraId="10DBA7D1" w14:textId="77777777" w:rsidR="00E67FBF" w:rsidRPr="002575B5" w:rsidRDefault="00E67FBF" w:rsidP="00BB2617">
            <w:pPr>
              <w:pStyle w:val="TableText"/>
            </w:pPr>
            <w:r w:rsidRPr="002575B5">
              <w:t>c.</w:t>
            </w:r>
            <w:r w:rsidRPr="002575B5">
              <w:tab/>
              <w:t>a goods vehicle that has two or more non-separable but articulated units shall be considered to be a single vehicle </w:t>
            </w:r>
          </w:p>
        </w:tc>
      </w:tr>
      <w:tr w:rsidR="003133FF" w:rsidRPr="00E83907" w14:paraId="01E58D49"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0140409D" w14:textId="77777777" w:rsidR="00E67FBF" w:rsidRPr="002575B5" w:rsidRDefault="00E67FBF" w:rsidP="00BB2617">
            <w:pPr>
              <w:pStyle w:val="TableText"/>
            </w:pPr>
            <w:r w:rsidRPr="002575B5">
              <w:t>NA (Light goods vehicle)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18FB75DE" w14:textId="77777777" w:rsidR="00E67FBF" w:rsidRPr="002575B5" w:rsidRDefault="00E67FBF" w:rsidP="00BB2617">
            <w:pPr>
              <w:pStyle w:val="TableText"/>
            </w:pPr>
            <w:r w:rsidRPr="002575B5">
              <w:t>A goods vehicle that has a gross vehicle mass not exceeding 3.5 tonnes </w:t>
            </w:r>
          </w:p>
        </w:tc>
      </w:tr>
      <w:tr w:rsidR="003133FF" w:rsidRPr="00E83907" w14:paraId="121274F4"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5E69DB02" w14:textId="77777777" w:rsidR="00E67FBF" w:rsidRPr="002575B5" w:rsidRDefault="00E67FBF" w:rsidP="00BB2617">
            <w:pPr>
              <w:pStyle w:val="TableText"/>
            </w:pPr>
            <w:r w:rsidRPr="002575B5">
              <w:t>NB (Medium goods vehicle)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1E03C7BE" w14:textId="77777777" w:rsidR="00E67FBF" w:rsidRPr="002575B5" w:rsidRDefault="00E67FBF" w:rsidP="00BB2617">
            <w:pPr>
              <w:pStyle w:val="TableText"/>
            </w:pPr>
            <w:r w:rsidRPr="002575B5">
              <w:t>A goods vehicle that has a gross vehicle mass exceeding 3.5 tonnes but not exceeding 12 tonnes </w:t>
            </w:r>
          </w:p>
        </w:tc>
      </w:tr>
      <w:tr w:rsidR="003133FF" w:rsidRPr="00E83907" w14:paraId="2C42EA35" w14:textId="77777777" w:rsidTr="06E362A8">
        <w:trPr>
          <w:trHeight w:val="300"/>
        </w:trPr>
        <w:tc>
          <w:tcPr>
            <w:tcW w:w="2410" w:type="dxa"/>
            <w:tcBorders>
              <w:top w:val="single" w:sz="6" w:space="0" w:color="1B556B" w:themeColor="text2"/>
              <w:left w:val="nil"/>
              <w:bottom w:val="single" w:sz="6" w:space="0" w:color="1B556B" w:themeColor="text2"/>
              <w:right w:val="single" w:sz="6" w:space="0" w:color="1B556B" w:themeColor="text2"/>
            </w:tcBorders>
            <w:shd w:val="clear" w:color="auto" w:fill="auto"/>
            <w:hideMark/>
          </w:tcPr>
          <w:p w14:paraId="691D7F91" w14:textId="77777777" w:rsidR="00E67FBF" w:rsidRPr="002575B5" w:rsidRDefault="00E67FBF" w:rsidP="00BB2617">
            <w:pPr>
              <w:pStyle w:val="TableText"/>
            </w:pPr>
            <w:r w:rsidRPr="002575B5">
              <w:t>NC (Heavy goods vehicle) </w:t>
            </w:r>
          </w:p>
        </w:tc>
        <w:tc>
          <w:tcPr>
            <w:tcW w:w="6661" w:type="dxa"/>
            <w:tcBorders>
              <w:top w:val="single" w:sz="6" w:space="0" w:color="1B556B" w:themeColor="text2"/>
              <w:left w:val="single" w:sz="6" w:space="0" w:color="1B556B" w:themeColor="text2"/>
              <w:bottom w:val="single" w:sz="6" w:space="0" w:color="1B556B" w:themeColor="text2"/>
              <w:right w:val="nil"/>
            </w:tcBorders>
            <w:shd w:val="clear" w:color="auto" w:fill="auto"/>
            <w:hideMark/>
          </w:tcPr>
          <w:p w14:paraId="2BB3D018" w14:textId="77777777" w:rsidR="00E67FBF" w:rsidRPr="002575B5" w:rsidRDefault="00E67FBF" w:rsidP="00BB2617">
            <w:pPr>
              <w:pStyle w:val="TableText"/>
            </w:pPr>
            <w:r w:rsidRPr="002575B5">
              <w:t>A goods vehicle that has a gross vehicle mass exceeding 12 tonnes </w:t>
            </w:r>
          </w:p>
        </w:tc>
      </w:tr>
    </w:tbl>
    <w:p w14:paraId="1E1FC3A8" w14:textId="77777777" w:rsidR="00E67FBF" w:rsidRDefault="00E67FBF" w:rsidP="00E67FBF">
      <w:pPr>
        <w:pStyle w:val="BodyText"/>
      </w:pPr>
    </w:p>
    <w:p w14:paraId="3EF144DE" w14:textId="77777777" w:rsidR="00FA0C86" w:rsidRDefault="006239DF" w:rsidP="00D1660E">
      <w:pPr>
        <w:pStyle w:val="BodyText"/>
      </w:pPr>
      <w:r>
        <w:rPr>
          <w:noProof/>
        </w:rPr>
        <mc:AlternateContent>
          <mc:Choice Requires="wps">
            <w:drawing>
              <wp:anchor distT="0" distB="0" distL="114300" distR="114300" simplePos="0" relativeHeight="251658241" behindDoc="0" locked="1" layoutInCell="1" allowOverlap="1" wp14:anchorId="09F28545" wp14:editId="37EF50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31B3301D" w:rsidR="006239DF" w:rsidRDefault="000E18DF" w:rsidP="00BB2617">
                                  <w:pPr>
                                    <w:pStyle w:val="TableText"/>
                                  </w:pPr>
                                  <w:r>
                                    <w:t>First published in August 2021</w:t>
                                  </w:r>
                                  <w:r w:rsidR="00B0632C">
                                    <w:br/>
                                  </w:r>
                                  <w:r>
                                    <w:t xml:space="preserve">Updated </w:t>
                                  </w:r>
                                  <w:r w:rsidR="006239DF" w:rsidRPr="006C18C8">
                                    <w:t xml:space="preserve">in </w:t>
                                  </w:r>
                                  <w:r w:rsidR="00EE6157">
                                    <w:t>May</w:t>
                                  </w:r>
                                  <w:r w:rsidR="00506557">
                                    <w:t xml:space="preserve"> 2024</w:t>
                                  </w:r>
                                  <w:r w:rsidR="006239DF" w:rsidRPr="006C18C8">
                                    <w:t xml:space="preserve"> by the </w:t>
                                  </w:r>
                                  <w:r w:rsidR="006239DF" w:rsidRPr="006C18C8">
                                    <w:br/>
                                    <w:t xml:space="preserve">Ministry for the Environment – Manatū </w:t>
                                  </w:r>
                                  <w:r w:rsidR="00AA40AD">
                                    <w:t>m</w:t>
                                  </w:r>
                                  <w:r w:rsidR="006239DF" w:rsidRPr="006C18C8">
                                    <w:t xml:space="preserve">ō </w:t>
                                  </w:r>
                                  <w:r w:rsidR="00AA40AD">
                                    <w:t>t</w:t>
                                  </w:r>
                                  <w:r w:rsidR="006239DF" w:rsidRPr="006C18C8">
                                    <w:t>e Taiao</w:t>
                                  </w:r>
                                  <w:r w:rsidR="006239DF" w:rsidRPr="006C18C8">
                                    <w:br/>
                                    <w:t xml:space="preserve">Publication number: INFO </w:t>
                                  </w:r>
                                  <w:r w:rsidR="00970080">
                                    <w:t>1242</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9">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8545" id="Text Box 1" o:spid="_x0000_s1034" type="#_x0000_t202" style="position:absolute;margin-left:-.9pt;margin-top:736.75pt;width:459.5pt;height:8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31B3301D" w:rsidR="006239DF" w:rsidRDefault="000E18DF" w:rsidP="00BB2617">
                            <w:pPr>
                              <w:pStyle w:val="TableText"/>
                            </w:pPr>
                            <w:r>
                              <w:t>First published in August 2021</w:t>
                            </w:r>
                            <w:r w:rsidR="00B0632C">
                              <w:br/>
                            </w:r>
                            <w:r>
                              <w:t xml:space="preserve">Updated </w:t>
                            </w:r>
                            <w:r w:rsidR="006239DF" w:rsidRPr="006C18C8">
                              <w:t xml:space="preserve">in </w:t>
                            </w:r>
                            <w:r w:rsidR="00EE6157">
                              <w:t>May</w:t>
                            </w:r>
                            <w:r w:rsidR="00506557">
                              <w:t xml:space="preserve"> 2024</w:t>
                            </w:r>
                            <w:r w:rsidR="006239DF" w:rsidRPr="006C18C8">
                              <w:t xml:space="preserve"> by the </w:t>
                            </w:r>
                            <w:r w:rsidR="006239DF" w:rsidRPr="006C18C8">
                              <w:br/>
                              <w:t xml:space="preserve">Ministry for the Environment – Manatū </w:t>
                            </w:r>
                            <w:r w:rsidR="00AA40AD">
                              <w:t>m</w:t>
                            </w:r>
                            <w:r w:rsidR="006239DF" w:rsidRPr="006C18C8">
                              <w:t xml:space="preserve">ō </w:t>
                            </w:r>
                            <w:r w:rsidR="00AA40AD">
                              <w:t>t</w:t>
                            </w:r>
                            <w:r w:rsidR="006239DF" w:rsidRPr="006C18C8">
                              <w:t>e Taiao</w:t>
                            </w:r>
                            <w:r w:rsidR="006239DF" w:rsidRPr="006C18C8">
                              <w:br/>
                              <w:t xml:space="preserve">Publication number: INFO </w:t>
                            </w:r>
                            <w:r w:rsidR="00970080">
                              <w:t>1242</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227810760" name="Picture 2278107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9">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7773F4">
      <w:footerReference w:type="even" r:id="rId20"/>
      <w:footerReference w:type="default" r:id="rId21"/>
      <w:headerReference w:type="first" r:id="rId22"/>
      <w:footerReference w:type="first" r:id="rId23"/>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5309" w14:textId="77777777" w:rsidR="007773F4" w:rsidRDefault="007773F4" w:rsidP="0080531E">
      <w:pPr>
        <w:spacing w:before="0" w:after="0" w:line="240" w:lineRule="auto"/>
      </w:pPr>
      <w:r>
        <w:separator/>
      </w:r>
    </w:p>
    <w:p w14:paraId="6A5924D5" w14:textId="77777777" w:rsidR="007773F4" w:rsidRDefault="007773F4"/>
  </w:endnote>
  <w:endnote w:type="continuationSeparator" w:id="0">
    <w:p w14:paraId="4ED6E099" w14:textId="77777777" w:rsidR="007773F4" w:rsidRDefault="007773F4" w:rsidP="0080531E">
      <w:pPr>
        <w:spacing w:before="0" w:after="0" w:line="240" w:lineRule="auto"/>
      </w:pPr>
      <w:r>
        <w:continuationSeparator/>
      </w:r>
    </w:p>
    <w:p w14:paraId="24731E22" w14:textId="77777777" w:rsidR="007773F4" w:rsidRDefault="007773F4"/>
  </w:endnote>
  <w:endnote w:type="continuationNotice" w:id="1">
    <w:p w14:paraId="13D1F23B" w14:textId="77777777" w:rsidR="007773F4" w:rsidRDefault="007773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Gothic UI Semibold">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6EBE9CF9"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AF7CC8">
      <w:t>Waste levy – measuring waste tonnages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0AEA4F79" w:rsidR="006C18C8" w:rsidRPr="003A6769" w:rsidRDefault="00FE4F91" w:rsidP="00FE4F91">
    <w:pPr>
      <w:pStyle w:val="Footerodd"/>
    </w:pPr>
    <w:r>
      <w:tab/>
    </w:r>
    <w:r w:rsidR="00AF7CC8">
      <w:t>Waste levy – measuring waste tonnages</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2910AF91" w:rsidR="0085118C" w:rsidRDefault="0085118C" w:rsidP="0085118C">
    <w:pPr>
      <w:pStyle w:val="Footerodd"/>
    </w:pPr>
    <w:r>
      <w:tab/>
    </w:r>
    <w:r w:rsidR="00377D0A">
      <w:t>Waste levy – measuring waste tonnages</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56A6" w14:textId="77777777" w:rsidR="007773F4" w:rsidRDefault="007773F4" w:rsidP="00CB5C5F">
      <w:pPr>
        <w:spacing w:before="0" w:after="80" w:line="240" w:lineRule="auto"/>
      </w:pPr>
      <w:bookmarkStart w:id="0" w:name="_Hlk86912439"/>
      <w:bookmarkEnd w:id="0"/>
      <w:r>
        <w:separator/>
      </w:r>
    </w:p>
  </w:footnote>
  <w:footnote w:type="continuationSeparator" w:id="0">
    <w:p w14:paraId="01F73F34" w14:textId="77777777" w:rsidR="007773F4" w:rsidRDefault="007773F4" w:rsidP="0080531E">
      <w:pPr>
        <w:spacing w:before="0" w:after="0" w:line="240" w:lineRule="auto"/>
      </w:pPr>
      <w:r>
        <w:continuationSeparator/>
      </w:r>
    </w:p>
    <w:p w14:paraId="05406F75" w14:textId="77777777" w:rsidR="007773F4" w:rsidRDefault="007773F4"/>
  </w:footnote>
  <w:footnote w:type="continuationNotice" w:id="1">
    <w:p w14:paraId="741B401D" w14:textId="77777777" w:rsidR="007773F4" w:rsidRDefault="007773F4">
      <w:pPr>
        <w:spacing w:before="0" w:after="0" w:line="240" w:lineRule="auto"/>
      </w:pPr>
    </w:p>
  </w:footnote>
  <w:footnote w:id="2">
    <w:p w14:paraId="04FB9866" w14:textId="77777777" w:rsidR="00E67FBF" w:rsidRPr="00AF4C4D" w:rsidRDefault="00E67FBF" w:rsidP="00E67FBF">
      <w:pPr>
        <w:pStyle w:val="FootnoteText"/>
        <w:rPr>
          <w:color w:val="32809C" w:themeColor="accent2"/>
        </w:rPr>
      </w:pPr>
      <w:r>
        <w:rPr>
          <w:rStyle w:val="FootnoteReference"/>
        </w:rPr>
        <w:footnoteRef/>
      </w:r>
      <w:r>
        <w:t xml:space="preserve"> Not all materials can be </w:t>
      </w:r>
      <w:r w:rsidDel="000F530F">
        <w:t>reused</w:t>
      </w:r>
      <w:r>
        <w:t xml:space="preserve">, recycled, or recovered on site. For further information on diversion </w:t>
      </w:r>
      <w:hyperlink r:id="rId1" w:history="1">
        <w:r w:rsidRPr="00AF4C4D">
          <w:rPr>
            <w:rStyle w:val="Hyperlink"/>
            <w:color w:val="32809C" w:themeColor="accent2"/>
          </w:rPr>
          <w:t>please see here</w:t>
        </w:r>
      </w:hyperlink>
      <w:r w:rsidRPr="00AF4C4D">
        <w:rPr>
          <w:color w:val="32809C" w:themeColor="accent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A07" w14:textId="77777777" w:rsidR="0013076D" w:rsidRDefault="0013076D">
    <w:pPr>
      <w:pStyle w:val="Header"/>
    </w:pPr>
  </w:p>
  <w:p w14:paraId="34242462" w14:textId="77777777" w:rsidR="0013076D" w:rsidRDefault="0013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35C0CC0"/>
    <w:multiLevelType w:val="hybridMultilevel"/>
    <w:tmpl w:val="9DF64F8C"/>
    <w:lvl w:ilvl="0" w:tplc="1409000F">
      <w:start w:val="1"/>
      <w:numFmt w:val="decimal"/>
      <w:lvlText w:val="%1."/>
      <w:lvlJc w:val="left"/>
      <w:pPr>
        <w:ind w:left="759" w:hanging="360"/>
      </w:pPr>
    </w:lvl>
    <w:lvl w:ilvl="1" w:tplc="14090019" w:tentative="1">
      <w:start w:val="1"/>
      <w:numFmt w:val="lowerLetter"/>
      <w:lvlText w:val="%2."/>
      <w:lvlJc w:val="left"/>
      <w:pPr>
        <w:ind w:left="1479" w:hanging="360"/>
      </w:pPr>
    </w:lvl>
    <w:lvl w:ilvl="2" w:tplc="1409001B" w:tentative="1">
      <w:start w:val="1"/>
      <w:numFmt w:val="lowerRoman"/>
      <w:lvlText w:val="%3."/>
      <w:lvlJc w:val="right"/>
      <w:pPr>
        <w:ind w:left="2199" w:hanging="180"/>
      </w:pPr>
    </w:lvl>
    <w:lvl w:ilvl="3" w:tplc="1409000F" w:tentative="1">
      <w:start w:val="1"/>
      <w:numFmt w:val="decimal"/>
      <w:lvlText w:val="%4."/>
      <w:lvlJc w:val="left"/>
      <w:pPr>
        <w:ind w:left="2919" w:hanging="360"/>
      </w:pPr>
    </w:lvl>
    <w:lvl w:ilvl="4" w:tplc="14090019" w:tentative="1">
      <w:start w:val="1"/>
      <w:numFmt w:val="lowerLetter"/>
      <w:lvlText w:val="%5."/>
      <w:lvlJc w:val="left"/>
      <w:pPr>
        <w:ind w:left="3639" w:hanging="360"/>
      </w:pPr>
    </w:lvl>
    <w:lvl w:ilvl="5" w:tplc="1409001B" w:tentative="1">
      <w:start w:val="1"/>
      <w:numFmt w:val="lowerRoman"/>
      <w:lvlText w:val="%6."/>
      <w:lvlJc w:val="right"/>
      <w:pPr>
        <w:ind w:left="4359" w:hanging="180"/>
      </w:pPr>
    </w:lvl>
    <w:lvl w:ilvl="6" w:tplc="1409000F" w:tentative="1">
      <w:start w:val="1"/>
      <w:numFmt w:val="decimal"/>
      <w:lvlText w:val="%7."/>
      <w:lvlJc w:val="left"/>
      <w:pPr>
        <w:ind w:left="5079" w:hanging="360"/>
      </w:pPr>
    </w:lvl>
    <w:lvl w:ilvl="7" w:tplc="14090019" w:tentative="1">
      <w:start w:val="1"/>
      <w:numFmt w:val="lowerLetter"/>
      <w:lvlText w:val="%8."/>
      <w:lvlJc w:val="left"/>
      <w:pPr>
        <w:ind w:left="5799" w:hanging="360"/>
      </w:pPr>
    </w:lvl>
    <w:lvl w:ilvl="8" w:tplc="1409001B" w:tentative="1">
      <w:start w:val="1"/>
      <w:numFmt w:val="lowerRoman"/>
      <w:lvlText w:val="%9."/>
      <w:lvlJc w:val="right"/>
      <w:pPr>
        <w:ind w:left="6519" w:hanging="180"/>
      </w:p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6F61F47"/>
    <w:multiLevelType w:val="hybridMultilevel"/>
    <w:tmpl w:val="7C728A6C"/>
    <w:lvl w:ilvl="0" w:tplc="DA2A1FD6">
      <w:start w:val="1"/>
      <w:numFmt w:val="lowerLetter"/>
      <w:lvlText w:val="%1)"/>
      <w:lvlJc w:val="left"/>
      <w:pPr>
        <w:ind w:left="399" w:hanging="360"/>
      </w:pPr>
    </w:lvl>
    <w:lvl w:ilvl="1" w:tplc="14090019" w:tentative="1">
      <w:start w:val="1"/>
      <w:numFmt w:val="lowerLetter"/>
      <w:lvlText w:val="%2."/>
      <w:lvlJc w:val="left"/>
      <w:pPr>
        <w:ind w:left="1119" w:hanging="360"/>
      </w:pPr>
    </w:lvl>
    <w:lvl w:ilvl="2" w:tplc="1409001B" w:tentative="1">
      <w:start w:val="1"/>
      <w:numFmt w:val="lowerRoman"/>
      <w:lvlText w:val="%3."/>
      <w:lvlJc w:val="right"/>
      <w:pPr>
        <w:ind w:left="1839" w:hanging="180"/>
      </w:pPr>
    </w:lvl>
    <w:lvl w:ilvl="3" w:tplc="1409000F" w:tentative="1">
      <w:start w:val="1"/>
      <w:numFmt w:val="decimal"/>
      <w:lvlText w:val="%4."/>
      <w:lvlJc w:val="left"/>
      <w:pPr>
        <w:ind w:left="2559" w:hanging="360"/>
      </w:pPr>
    </w:lvl>
    <w:lvl w:ilvl="4" w:tplc="14090019" w:tentative="1">
      <w:start w:val="1"/>
      <w:numFmt w:val="lowerLetter"/>
      <w:lvlText w:val="%5."/>
      <w:lvlJc w:val="left"/>
      <w:pPr>
        <w:ind w:left="3279" w:hanging="360"/>
      </w:pPr>
    </w:lvl>
    <w:lvl w:ilvl="5" w:tplc="1409001B" w:tentative="1">
      <w:start w:val="1"/>
      <w:numFmt w:val="lowerRoman"/>
      <w:lvlText w:val="%6."/>
      <w:lvlJc w:val="right"/>
      <w:pPr>
        <w:ind w:left="3999" w:hanging="180"/>
      </w:pPr>
    </w:lvl>
    <w:lvl w:ilvl="6" w:tplc="1409000F" w:tentative="1">
      <w:start w:val="1"/>
      <w:numFmt w:val="decimal"/>
      <w:lvlText w:val="%7."/>
      <w:lvlJc w:val="left"/>
      <w:pPr>
        <w:ind w:left="4719" w:hanging="360"/>
      </w:pPr>
    </w:lvl>
    <w:lvl w:ilvl="7" w:tplc="14090019" w:tentative="1">
      <w:start w:val="1"/>
      <w:numFmt w:val="lowerLetter"/>
      <w:lvlText w:val="%8."/>
      <w:lvlJc w:val="left"/>
      <w:pPr>
        <w:ind w:left="5439" w:hanging="360"/>
      </w:pPr>
    </w:lvl>
    <w:lvl w:ilvl="8" w:tplc="1409001B" w:tentative="1">
      <w:start w:val="1"/>
      <w:numFmt w:val="lowerRoman"/>
      <w:lvlText w:val="%9."/>
      <w:lvlJc w:val="right"/>
      <w:pPr>
        <w:ind w:left="6159" w:hanging="180"/>
      </w:pPr>
    </w:lvl>
  </w:abstractNum>
  <w:abstractNum w:abstractNumId="25"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7"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608E"/>
    <w:multiLevelType w:val="hybridMultilevel"/>
    <w:tmpl w:val="518E3D7C"/>
    <w:lvl w:ilvl="0" w:tplc="1A6AC0A0">
      <w:start w:val="1"/>
      <w:numFmt w:val="lowerLetter"/>
      <w:lvlText w:val="%1."/>
      <w:lvlJc w:val="left"/>
      <w:pPr>
        <w:ind w:left="399" w:hanging="360"/>
      </w:pPr>
      <w:rPr>
        <w:rFonts w:hint="default"/>
      </w:rPr>
    </w:lvl>
    <w:lvl w:ilvl="1" w:tplc="14090019" w:tentative="1">
      <w:start w:val="1"/>
      <w:numFmt w:val="lowerLetter"/>
      <w:lvlText w:val="%2."/>
      <w:lvlJc w:val="left"/>
      <w:pPr>
        <w:ind w:left="1119" w:hanging="360"/>
      </w:pPr>
    </w:lvl>
    <w:lvl w:ilvl="2" w:tplc="1409001B" w:tentative="1">
      <w:start w:val="1"/>
      <w:numFmt w:val="lowerRoman"/>
      <w:lvlText w:val="%3."/>
      <w:lvlJc w:val="right"/>
      <w:pPr>
        <w:ind w:left="1839" w:hanging="180"/>
      </w:pPr>
    </w:lvl>
    <w:lvl w:ilvl="3" w:tplc="1409000F" w:tentative="1">
      <w:start w:val="1"/>
      <w:numFmt w:val="decimal"/>
      <w:lvlText w:val="%4."/>
      <w:lvlJc w:val="left"/>
      <w:pPr>
        <w:ind w:left="2559" w:hanging="360"/>
      </w:pPr>
    </w:lvl>
    <w:lvl w:ilvl="4" w:tplc="14090019" w:tentative="1">
      <w:start w:val="1"/>
      <w:numFmt w:val="lowerLetter"/>
      <w:lvlText w:val="%5."/>
      <w:lvlJc w:val="left"/>
      <w:pPr>
        <w:ind w:left="3279" w:hanging="360"/>
      </w:pPr>
    </w:lvl>
    <w:lvl w:ilvl="5" w:tplc="1409001B" w:tentative="1">
      <w:start w:val="1"/>
      <w:numFmt w:val="lowerRoman"/>
      <w:lvlText w:val="%6."/>
      <w:lvlJc w:val="right"/>
      <w:pPr>
        <w:ind w:left="3999" w:hanging="180"/>
      </w:pPr>
    </w:lvl>
    <w:lvl w:ilvl="6" w:tplc="1409000F" w:tentative="1">
      <w:start w:val="1"/>
      <w:numFmt w:val="decimal"/>
      <w:lvlText w:val="%7."/>
      <w:lvlJc w:val="left"/>
      <w:pPr>
        <w:ind w:left="4719" w:hanging="360"/>
      </w:pPr>
    </w:lvl>
    <w:lvl w:ilvl="7" w:tplc="14090019" w:tentative="1">
      <w:start w:val="1"/>
      <w:numFmt w:val="lowerLetter"/>
      <w:lvlText w:val="%8."/>
      <w:lvlJc w:val="left"/>
      <w:pPr>
        <w:ind w:left="5439" w:hanging="360"/>
      </w:pPr>
    </w:lvl>
    <w:lvl w:ilvl="8" w:tplc="1409001B" w:tentative="1">
      <w:start w:val="1"/>
      <w:numFmt w:val="lowerRoman"/>
      <w:lvlText w:val="%9."/>
      <w:lvlJc w:val="right"/>
      <w:pPr>
        <w:ind w:left="6159" w:hanging="180"/>
      </w:p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6"/>
  </w:num>
  <w:num w:numId="3" w16cid:durableId="428039246">
    <w:abstractNumId w:val="38"/>
  </w:num>
  <w:num w:numId="4" w16cid:durableId="1688940720">
    <w:abstractNumId w:val="20"/>
  </w:num>
  <w:num w:numId="5" w16cid:durableId="1790082978">
    <w:abstractNumId w:val="12"/>
  </w:num>
  <w:num w:numId="6" w16cid:durableId="571161853">
    <w:abstractNumId w:val="7"/>
  </w:num>
  <w:num w:numId="7" w16cid:durableId="851066908">
    <w:abstractNumId w:val="23"/>
  </w:num>
  <w:num w:numId="8" w16cid:durableId="61224443">
    <w:abstractNumId w:val="22"/>
  </w:num>
  <w:num w:numId="9" w16cid:durableId="972250063">
    <w:abstractNumId w:val="36"/>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0"/>
  </w:num>
  <w:num w:numId="13" w16cid:durableId="948007045">
    <w:abstractNumId w:val="11"/>
  </w:num>
  <w:num w:numId="14" w16cid:durableId="823200718">
    <w:abstractNumId w:val="32"/>
  </w:num>
  <w:num w:numId="15" w16cid:durableId="703866721">
    <w:abstractNumId w:val="21"/>
  </w:num>
  <w:num w:numId="16" w16cid:durableId="192305151">
    <w:abstractNumId w:val="10"/>
  </w:num>
  <w:num w:numId="17" w16cid:durableId="24016450">
    <w:abstractNumId w:val="31"/>
  </w:num>
  <w:num w:numId="18" w16cid:durableId="717705514">
    <w:abstractNumId w:val="27"/>
  </w:num>
  <w:num w:numId="19" w16cid:durableId="691230062">
    <w:abstractNumId w:val="33"/>
  </w:num>
  <w:num w:numId="20" w16cid:durableId="1343435891">
    <w:abstractNumId w:val="13"/>
  </w:num>
  <w:num w:numId="21" w16cid:durableId="4983556">
    <w:abstractNumId w:val="28"/>
  </w:num>
  <w:num w:numId="22" w16cid:durableId="1442725474">
    <w:abstractNumId w:val="4"/>
  </w:num>
  <w:num w:numId="23" w16cid:durableId="380246717">
    <w:abstractNumId w:val="25"/>
  </w:num>
  <w:num w:numId="24" w16cid:durableId="1964146203">
    <w:abstractNumId w:val="16"/>
  </w:num>
  <w:num w:numId="25" w16cid:durableId="1810130802">
    <w:abstractNumId w:val="35"/>
  </w:num>
  <w:num w:numId="26" w16cid:durableId="404837251">
    <w:abstractNumId w:val="29"/>
  </w:num>
  <w:num w:numId="27" w16cid:durableId="1851795376">
    <w:abstractNumId w:val="0"/>
  </w:num>
  <w:num w:numId="28" w16cid:durableId="1318416344">
    <w:abstractNumId w:val="18"/>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9"/>
  </w:num>
  <w:num w:numId="35" w16cid:durableId="152792863">
    <w:abstractNumId w:val="17"/>
  </w:num>
  <w:num w:numId="36" w16cid:durableId="448669641">
    <w:abstractNumId w:val="6"/>
  </w:num>
  <w:num w:numId="37" w16cid:durableId="41442950">
    <w:abstractNumId w:val="34"/>
  </w:num>
  <w:num w:numId="38" w16cid:durableId="592393198">
    <w:abstractNumId w:val="26"/>
  </w:num>
  <w:num w:numId="39" w16cid:durableId="588536818">
    <w:abstractNumId w:val="6"/>
  </w:num>
  <w:num w:numId="40" w16cid:durableId="2045132311">
    <w:abstractNumId w:val="15"/>
  </w:num>
  <w:num w:numId="41" w16cid:durableId="19670485">
    <w:abstractNumId w:val="37"/>
  </w:num>
  <w:num w:numId="42" w16cid:durableId="80204132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F04"/>
    <w:rsid w:val="0000197E"/>
    <w:rsid w:val="000020F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14E"/>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3181"/>
    <w:rsid w:val="00044A50"/>
    <w:rsid w:val="00044C65"/>
    <w:rsid w:val="000458C7"/>
    <w:rsid w:val="00045991"/>
    <w:rsid w:val="00045E5C"/>
    <w:rsid w:val="00046288"/>
    <w:rsid w:val="00047941"/>
    <w:rsid w:val="00050A22"/>
    <w:rsid w:val="00050E27"/>
    <w:rsid w:val="0005144F"/>
    <w:rsid w:val="00051AF1"/>
    <w:rsid w:val="00051D42"/>
    <w:rsid w:val="000538A1"/>
    <w:rsid w:val="00053A07"/>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6DDC"/>
    <w:rsid w:val="00067128"/>
    <w:rsid w:val="000675CD"/>
    <w:rsid w:val="00067872"/>
    <w:rsid w:val="000678AC"/>
    <w:rsid w:val="00067D46"/>
    <w:rsid w:val="000703B2"/>
    <w:rsid w:val="00070FBF"/>
    <w:rsid w:val="000711EE"/>
    <w:rsid w:val="0007180E"/>
    <w:rsid w:val="00071AE4"/>
    <w:rsid w:val="00071CB5"/>
    <w:rsid w:val="00071CCB"/>
    <w:rsid w:val="00071D03"/>
    <w:rsid w:val="000720F5"/>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69D1"/>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BD7"/>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5EDC"/>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8DF"/>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196"/>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5E94"/>
    <w:rsid w:val="000F6464"/>
    <w:rsid w:val="000F6628"/>
    <w:rsid w:val="000F6C25"/>
    <w:rsid w:val="000F76EB"/>
    <w:rsid w:val="000F78AE"/>
    <w:rsid w:val="000F7E25"/>
    <w:rsid w:val="001007EE"/>
    <w:rsid w:val="00100F76"/>
    <w:rsid w:val="0010148E"/>
    <w:rsid w:val="0010194C"/>
    <w:rsid w:val="0010253C"/>
    <w:rsid w:val="00102BD1"/>
    <w:rsid w:val="00102CB9"/>
    <w:rsid w:val="00103569"/>
    <w:rsid w:val="0010486A"/>
    <w:rsid w:val="0010561C"/>
    <w:rsid w:val="00105C0F"/>
    <w:rsid w:val="00105E39"/>
    <w:rsid w:val="00106561"/>
    <w:rsid w:val="00106D63"/>
    <w:rsid w:val="001075F3"/>
    <w:rsid w:val="001076BB"/>
    <w:rsid w:val="00107A01"/>
    <w:rsid w:val="00107C23"/>
    <w:rsid w:val="00110307"/>
    <w:rsid w:val="00110C7F"/>
    <w:rsid w:val="00110EE2"/>
    <w:rsid w:val="00111A88"/>
    <w:rsid w:val="0011221A"/>
    <w:rsid w:val="00113283"/>
    <w:rsid w:val="0011342E"/>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7C1"/>
    <w:rsid w:val="00117F9B"/>
    <w:rsid w:val="00121211"/>
    <w:rsid w:val="00121628"/>
    <w:rsid w:val="0012167D"/>
    <w:rsid w:val="00122189"/>
    <w:rsid w:val="00122280"/>
    <w:rsid w:val="001222CE"/>
    <w:rsid w:val="00122D42"/>
    <w:rsid w:val="00123345"/>
    <w:rsid w:val="00123C46"/>
    <w:rsid w:val="0012470B"/>
    <w:rsid w:val="001250F5"/>
    <w:rsid w:val="00125C75"/>
    <w:rsid w:val="00125C7E"/>
    <w:rsid w:val="001268A6"/>
    <w:rsid w:val="001269A9"/>
    <w:rsid w:val="0012731C"/>
    <w:rsid w:val="00127945"/>
    <w:rsid w:val="00127D94"/>
    <w:rsid w:val="00127E90"/>
    <w:rsid w:val="001302C1"/>
    <w:rsid w:val="001306D3"/>
    <w:rsid w:val="0013076D"/>
    <w:rsid w:val="001308F4"/>
    <w:rsid w:val="001310BF"/>
    <w:rsid w:val="00131EC2"/>
    <w:rsid w:val="0013326A"/>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213"/>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4FBE"/>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4BA4"/>
    <w:rsid w:val="001A65C8"/>
    <w:rsid w:val="001A732E"/>
    <w:rsid w:val="001A7F30"/>
    <w:rsid w:val="001B06E2"/>
    <w:rsid w:val="001B103A"/>
    <w:rsid w:val="001B103D"/>
    <w:rsid w:val="001B1513"/>
    <w:rsid w:val="001B1767"/>
    <w:rsid w:val="001B2453"/>
    <w:rsid w:val="001B3D48"/>
    <w:rsid w:val="001B5AF9"/>
    <w:rsid w:val="001B61EE"/>
    <w:rsid w:val="001B6600"/>
    <w:rsid w:val="001B6B9B"/>
    <w:rsid w:val="001B6C27"/>
    <w:rsid w:val="001B7144"/>
    <w:rsid w:val="001B78F7"/>
    <w:rsid w:val="001B7B8A"/>
    <w:rsid w:val="001B7D86"/>
    <w:rsid w:val="001B7DB5"/>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0C3"/>
    <w:rsid w:val="001D3C6F"/>
    <w:rsid w:val="001D488C"/>
    <w:rsid w:val="001D4CDF"/>
    <w:rsid w:val="001D4F88"/>
    <w:rsid w:val="001D578D"/>
    <w:rsid w:val="001D5818"/>
    <w:rsid w:val="001D653A"/>
    <w:rsid w:val="001D7DEE"/>
    <w:rsid w:val="001E02CB"/>
    <w:rsid w:val="001E0BBA"/>
    <w:rsid w:val="001E14FD"/>
    <w:rsid w:val="001E180F"/>
    <w:rsid w:val="001E1C64"/>
    <w:rsid w:val="001E1CEC"/>
    <w:rsid w:val="001E2ECB"/>
    <w:rsid w:val="001E3C29"/>
    <w:rsid w:val="001E4B64"/>
    <w:rsid w:val="001E552A"/>
    <w:rsid w:val="001E57B9"/>
    <w:rsid w:val="001E6259"/>
    <w:rsid w:val="001E6E8D"/>
    <w:rsid w:val="001E7EE4"/>
    <w:rsid w:val="001E7F76"/>
    <w:rsid w:val="001F0B1F"/>
    <w:rsid w:val="001F0FAF"/>
    <w:rsid w:val="001F139F"/>
    <w:rsid w:val="001F2805"/>
    <w:rsid w:val="001F2ACA"/>
    <w:rsid w:val="001F2E79"/>
    <w:rsid w:val="001F2F07"/>
    <w:rsid w:val="001F3123"/>
    <w:rsid w:val="001F376D"/>
    <w:rsid w:val="001F418C"/>
    <w:rsid w:val="001F4B2D"/>
    <w:rsid w:val="001F4EE2"/>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3B4A"/>
    <w:rsid w:val="00214EA2"/>
    <w:rsid w:val="002160FA"/>
    <w:rsid w:val="002166DD"/>
    <w:rsid w:val="002168A2"/>
    <w:rsid w:val="00217867"/>
    <w:rsid w:val="002205E4"/>
    <w:rsid w:val="00220D67"/>
    <w:rsid w:val="002215F8"/>
    <w:rsid w:val="00221F80"/>
    <w:rsid w:val="0022273A"/>
    <w:rsid w:val="00222D28"/>
    <w:rsid w:val="0022341F"/>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E18"/>
    <w:rsid w:val="00227FB4"/>
    <w:rsid w:val="0023057E"/>
    <w:rsid w:val="002312BC"/>
    <w:rsid w:val="002337E5"/>
    <w:rsid w:val="00233C06"/>
    <w:rsid w:val="00233F24"/>
    <w:rsid w:val="00234BBB"/>
    <w:rsid w:val="00234DE9"/>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AFB"/>
    <w:rsid w:val="00251E3D"/>
    <w:rsid w:val="00251EEE"/>
    <w:rsid w:val="00253177"/>
    <w:rsid w:val="002538B8"/>
    <w:rsid w:val="0025396F"/>
    <w:rsid w:val="00254319"/>
    <w:rsid w:val="0025539F"/>
    <w:rsid w:val="002554B8"/>
    <w:rsid w:val="00256388"/>
    <w:rsid w:val="00256529"/>
    <w:rsid w:val="00256E44"/>
    <w:rsid w:val="002575B5"/>
    <w:rsid w:val="00260919"/>
    <w:rsid w:val="002612FD"/>
    <w:rsid w:val="002613DC"/>
    <w:rsid w:val="00261755"/>
    <w:rsid w:val="00261AAA"/>
    <w:rsid w:val="00262097"/>
    <w:rsid w:val="002626D7"/>
    <w:rsid w:val="00262D20"/>
    <w:rsid w:val="002634AB"/>
    <w:rsid w:val="002637F8"/>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2F1"/>
    <w:rsid w:val="002756EF"/>
    <w:rsid w:val="00275708"/>
    <w:rsid w:val="002768CF"/>
    <w:rsid w:val="00276CE1"/>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9BE"/>
    <w:rsid w:val="00287DAB"/>
    <w:rsid w:val="00287FB6"/>
    <w:rsid w:val="002900C5"/>
    <w:rsid w:val="002901E0"/>
    <w:rsid w:val="0029075B"/>
    <w:rsid w:val="00290BB1"/>
    <w:rsid w:val="00291BC1"/>
    <w:rsid w:val="002933B9"/>
    <w:rsid w:val="002933CA"/>
    <w:rsid w:val="00293A8F"/>
    <w:rsid w:val="00294F4B"/>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31A"/>
    <w:rsid w:val="002B072D"/>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363"/>
    <w:rsid w:val="002C7A02"/>
    <w:rsid w:val="002C7BD4"/>
    <w:rsid w:val="002D0107"/>
    <w:rsid w:val="002D062E"/>
    <w:rsid w:val="002D0D43"/>
    <w:rsid w:val="002D15C2"/>
    <w:rsid w:val="002D2B10"/>
    <w:rsid w:val="002D386A"/>
    <w:rsid w:val="002D3BED"/>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62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36"/>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3FF"/>
    <w:rsid w:val="00313EAC"/>
    <w:rsid w:val="003142F4"/>
    <w:rsid w:val="0031454E"/>
    <w:rsid w:val="00315E87"/>
    <w:rsid w:val="0031611F"/>
    <w:rsid w:val="00317A33"/>
    <w:rsid w:val="00320339"/>
    <w:rsid w:val="00320699"/>
    <w:rsid w:val="00321214"/>
    <w:rsid w:val="003213D5"/>
    <w:rsid w:val="0032241C"/>
    <w:rsid w:val="003226E4"/>
    <w:rsid w:val="00323737"/>
    <w:rsid w:val="003237C5"/>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6954"/>
    <w:rsid w:val="00337368"/>
    <w:rsid w:val="00337B4D"/>
    <w:rsid w:val="003407A9"/>
    <w:rsid w:val="00340BA3"/>
    <w:rsid w:val="00340BAF"/>
    <w:rsid w:val="00340C2B"/>
    <w:rsid w:val="00340F9A"/>
    <w:rsid w:val="00341018"/>
    <w:rsid w:val="00341B09"/>
    <w:rsid w:val="003420D9"/>
    <w:rsid w:val="003421E2"/>
    <w:rsid w:val="003423E0"/>
    <w:rsid w:val="003424E2"/>
    <w:rsid w:val="0034301A"/>
    <w:rsid w:val="00343D76"/>
    <w:rsid w:val="0034466A"/>
    <w:rsid w:val="00344DFD"/>
    <w:rsid w:val="003451D3"/>
    <w:rsid w:val="00345E4E"/>
    <w:rsid w:val="00346631"/>
    <w:rsid w:val="00346AAD"/>
    <w:rsid w:val="00346D96"/>
    <w:rsid w:val="0034736A"/>
    <w:rsid w:val="0034747C"/>
    <w:rsid w:val="00347B6C"/>
    <w:rsid w:val="003501F8"/>
    <w:rsid w:val="0035151C"/>
    <w:rsid w:val="00352254"/>
    <w:rsid w:val="003522A3"/>
    <w:rsid w:val="003534ED"/>
    <w:rsid w:val="00353929"/>
    <w:rsid w:val="00353CFC"/>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D0A"/>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2B0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3C89"/>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FB1"/>
    <w:rsid w:val="00425173"/>
    <w:rsid w:val="004255B4"/>
    <w:rsid w:val="00426766"/>
    <w:rsid w:val="004267D0"/>
    <w:rsid w:val="004276CB"/>
    <w:rsid w:val="004279CA"/>
    <w:rsid w:val="00427A82"/>
    <w:rsid w:val="00427EA2"/>
    <w:rsid w:val="00430115"/>
    <w:rsid w:val="004303CA"/>
    <w:rsid w:val="00430A4B"/>
    <w:rsid w:val="00431C46"/>
    <w:rsid w:val="004327E6"/>
    <w:rsid w:val="004329DC"/>
    <w:rsid w:val="00432AC6"/>
    <w:rsid w:val="0043356C"/>
    <w:rsid w:val="00434C5E"/>
    <w:rsid w:val="00435765"/>
    <w:rsid w:val="004360B6"/>
    <w:rsid w:val="004362E5"/>
    <w:rsid w:val="00436356"/>
    <w:rsid w:val="0044041E"/>
    <w:rsid w:val="00440722"/>
    <w:rsid w:val="00440DF5"/>
    <w:rsid w:val="0044193B"/>
    <w:rsid w:val="004425D9"/>
    <w:rsid w:val="00443244"/>
    <w:rsid w:val="00444AF6"/>
    <w:rsid w:val="0044519D"/>
    <w:rsid w:val="00445544"/>
    <w:rsid w:val="00445C0B"/>
    <w:rsid w:val="00446195"/>
    <w:rsid w:val="0044713C"/>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3B"/>
    <w:rsid w:val="00457B9B"/>
    <w:rsid w:val="00457D63"/>
    <w:rsid w:val="00457E21"/>
    <w:rsid w:val="0046007E"/>
    <w:rsid w:val="0046024B"/>
    <w:rsid w:val="00460E36"/>
    <w:rsid w:val="00461155"/>
    <w:rsid w:val="004616FE"/>
    <w:rsid w:val="0046218C"/>
    <w:rsid w:val="004623D4"/>
    <w:rsid w:val="00463944"/>
    <w:rsid w:val="00463E33"/>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8D2"/>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96D"/>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652"/>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CE6"/>
    <w:rsid w:val="004C1E3C"/>
    <w:rsid w:val="004C2171"/>
    <w:rsid w:val="004C2228"/>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6E1C"/>
    <w:rsid w:val="004C7541"/>
    <w:rsid w:val="004C775F"/>
    <w:rsid w:val="004D04D5"/>
    <w:rsid w:val="004D1E71"/>
    <w:rsid w:val="004D2809"/>
    <w:rsid w:val="004D2CDF"/>
    <w:rsid w:val="004D33CE"/>
    <w:rsid w:val="004D4384"/>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D22"/>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10B"/>
    <w:rsid w:val="00506083"/>
    <w:rsid w:val="00506557"/>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6CB"/>
    <w:rsid w:val="00523B23"/>
    <w:rsid w:val="00523DFA"/>
    <w:rsid w:val="00524D5E"/>
    <w:rsid w:val="005254BC"/>
    <w:rsid w:val="005256FC"/>
    <w:rsid w:val="00526C27"/>
    <w:rsid w:val="00526DFF"/>
    <w:rsid w:val="00527473"/>
    <w:rsid w:val="00527641"/>
    <w:rsid w:val="00527EF9"/>
    <w:rsid w:val="005305FF"/>
    <w:rsid w:val="00530C9B"/>
    <w:rsid w:val="00532334"/>
    <w:rsid w:val="005324AF"/>
    <w:rsid w:val="0053402C"/>
    <w:rsid w:val="00534090"/>
    <w:rsid w:val="00534ABA"/>
    <w:rsid w:val="00534DA8"/>
    <w:rsid w:val="00535AED"/>
    <w:rsid w:val="00535FFF"/>
    <w:rsid w:val="0053616F"/>
    <w:rsid w:val="005368AD"/>
    <w:rsid w:val="00536BE8"/>
    <w:rsid w:val="005370BC"/>
    <w:rsid w:val="00537B35"/>
    <w:rsid w:val="00537DE7"/>
    <w:rsid w:val="00537E29"/>
    <w:rsid w:val="00537EC4"/>
    <w:rsid w:val="00537FE4"/>
    <w:rsid w:val="0054027D"/>
    <w:rsid w:val="00541222"/>
    <w:rsid w:val="00541A8D"/>
    <w:rsid w:val="00541D4D"/>
    <w:rsid w:val="00542693"/>
    <w:rsid w:val="00542917"/>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404"/>
    <w:rsid w:val="0056047D"/>
    <w:rsid w:val="005606B6"/>
    <w:rsid w:val="005608D6"/>
    <w:rsid w:val="00560F19"/>
    <w:rsid w:val="00561E1C"/>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28C3"/>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7AC"/>
    <w:rsid w:val="0058788D"/>
    <w:rsid w:val="00587E29"/>
    <w:rsid w:val="00587FE6"/>
    <w:rsid w:val="00591698"/>
    <w:rsid w:val="00592862"/>
    <w:rsid w:val="00593B87"/>
    <w:rsid w:val="00593C1C"/>
    <w:rsid w:val="00593E94"/>
    <w:rsid w:val="00594143"/>
    <w:rsid w:val="00594543"/>
    <w:rsid w:val="00594612"/>
    <w:rsid w:val="00595873"/>
    <w:rsid w:val="00595CDD"/>
    <w:rsid w:val="00596487"/>
    <w:rsid w:val="005964BB"/>
    <w:rsid w:val="00596834"/>
    <w:rsid w:val="00596A70"/>
    <w:rsid w:val="00596BD3"/>
    <w:rsid w:val="00596BE7"/>
    <w:rsid w:val="00596C3E"/>
    <w:rsid w:val="005971F3"/>
    <w:rsid w:val="005976FD"/>
    <w:rsid w:val="005977DD"/>
    <w:rsid w:val="005A0038"/>
    <w:rsid w:val="005A04BD"/>
    <w:rsid w:val="005A0A3F"/>
    <w:rsid w:val="005A114F"/>
    <w:rsid w:val="005A1F49"/>
    <w:rsid w:val="005A2364"/>
    <w:rsid w:val="005A2480"/>
    <w:rsid w:val="005A2B2C"/>
    <w:rsid w:val="005A2D6B"/>
    <w:rsid w:val="005A3252"/>
    <w:rsid w:val="005A33F7"/>
    <w:rsid w:val="005A3FE7"/>
    <w:rsid w:val="005A40CF"/>
    <w:rsid w:val="005A4A0A"/>
    <w:rsid w:val="005A4A9C"/>
    <w:rsid w:val="005A4BAE"/>
    <w:rsid w:val="005A4F39"/>
    <w:rsid w:val="005A574D"/>
    <w:rsid w:val="005A5B5C"/>
    <w:rsid w:val="005A6E93"/>
    <w:rsid w:val="005A707A"/>
    <w:rsid w:val="005A7340"/>
    <w:rsid w:val="005A7EA0"/>
    <w:rsid w:val="005A7F93"/>
    <w:rsid w:val="005B07EA"/>
    <w:rsid w:val="005B0B20"/>
    <w:rsid w:val="005B0BD6"/>
    <w:rsid w:val="005B0C0E"/>
    <w:rsid w:val="005B0EFB"/>
    <w:rsid w:val="005B1060"/>
    <w:rsid w:val="005B1214"/>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2E2A"/>
    <w:rsid w:val="005D31E9"/>
    <w:rsid w:val="005D3242"/>
    <w:rsid w:val="005D610C"/>
    <w:rsid w:val="005D70A8"/>
    <w:rsid w:val="005D74E7"/>
    <w:rsid w:val="005D7F7B"/>
    <w:rsid w:val="005E15D0"/>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CEA"/>
    <w:rsid w:val="005F2C1F"/>
    <w:rsid w:val="005F2E44"/>
    <w:rsid w:val="005F3690"/>
    <w:rsid w:val="005F3986"/>
    <w:rsid w:val="005F43D5"/>
    <w:rsid w:val="005F4C57"/>
    <w:rsid w:val="005F588E"/>
    <w:rsid w:val="005F6692"/>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224"/>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8B0"/>
    <w:rsid w:val="00652907"/>
    <w:rsid w:val="00652E06"/>
    <w:rsid w:val="00653FC4"/>
    <w:rsid w:val="00654F91"/>
    <w:rsid w:val="00655361"/>
    <w:rsid w:val="00655E86"/>
    <w:rsid w:val="00656253"/>
    <w:rsid w:val="00656799"/>
    <w:rsid w:val="00656B77"/>
    <w:rsid w:val="00656E72"/>
    <w:rsid w:val="006570B1"/>
    <w:rsid w:val="006578A1"/>
    <w:rsid w:val="006578A6"/>
    <w:rsid w:val="006609D7"/>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03C"/>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5F6"/>
    <w:rsid w:val="006A08F2"/>
    <w:rsid w:val="006A13C9"/>
    <w:rsid w:val="006A151A"/>
    <w:rsid w:val="006A1E62"/>
    <w:rsid w:val="006A2906"/>
    <w:rsid w:val="006A2A12"/>
    <w:rsid w:val="006A2E9C"/>
    <w:rsid w:val="006A35E0"/>
    <w:rsid w:val="006A377F"/>
    <w:rsid w:val="006A384A"/>
    <w:rsid w:val="006A3875"/>
    <w:rsid w:val="006A3D40"/>
    <w:rsid w:val="006A561D"/>
    <w:rsid w:val="006A57EF"/>
    <w:rsid w:val="006A5A0C"/>
    <w:rsid w:val="006A5BA0"/>
    <w:rsid w:val="006A5BB1"/>
    <w:rsid w:val="006A5F88"/>
    <w:rsid w:val="006A73BA"/>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034"/>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6C3F"/>
    <w:rsid w:val="006C75AA"/>
    <w:rsid w:val="006C78A6"/>
    <w:rsid w:val="006C7AB4"/>
    <w:rsid w:val="006D006B"/>
    <w:rsid w:val="006D105C"/>
    <w:rsid w:val="006D30E7"/>
    <w:rsid w:val="006D4701"/>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3E1"/>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5F"/>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87D"/>
    <w:rsid w:val="00724AA1"/>
    <w:rsid w:val="00724D39"/>
    <w:rsid w:val="00725A19"/>
    <w:rsid w:val="00726356"/>
    <w:rsid w:val="007268C7"/>
    <w:rsid w:val="00726AAB"/>
    <w:rsid w:val="00727077"/>
    <w:rsid w:val="00730C32"/>
    <w:rsid w:val="00730EA6"/>
    <w:rsid w:val="00731C15"/>
    <w:rsid w:val="00732045"/>
    <w:rsid w:val="007322A0"/>
    <w:rsid w:val="007326CB"/>
    <w:rsid w:val="00732C1A"/>
    <w:rsid w:val="00733CDC"/>
    <w:rsid w:val="00734B9A"/>
    <w:rsid w:val="00735695"/>
    <w:rsid w:val="00735863"/>
    <w:rsid w:val="007360CB"/>
    <w:rsid w:val="0073653E"/>
    <w:rsid w:val="00737566"/>
    <w:rsid w:val="00741BA2"/>
    <w:rsid w:val="00741CF4"/>
    <w:rsid w:val="00741DCC"/>
    <w:rsid w:val="00741DE2"/>
    <w:rsid w:val="007421A1"/>
    <w:rsid w:val="007423FF"/>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6863"/>
    <w:rsid w:val="007575C0"/>
    <w:rsid w:val="00757D2F"/>
    <w:rsid w:val="0076000E"/>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6963"/>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228"/>
    <w:rsid w:val="007773F4"/>
    <w:rsid w:val="00777945"/>
    <w:rsid w:val="00777D40"/>
    <w:rsid w:val="00780676"/>
    <w:rsid w:val="00780B8D"/>
    <w:rsid w:val="00780B8E"/>
    <w:rsid w:val="00780FE4"/>
    <w:rsid w:val="00781649"/>
    <w:rsid w:val="007823D6"/>
    <w:rsid w:val="0078254E"/>
    <w:rsid w:val="00782586"/>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5F"/>
    <w:rsid w:val="00791D85"/>
    <w:rsid w:val="00791DAF"/>
    <w:rsid w:val="007924CA"/>
    <w:rsid w:val="00794A66"/>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5E98"/>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5401"/>
    <w:rsid w:val="007B5FB4"/>
    <w:rsid w:val="007B6B2B"/>
    <w:rsid w:val="007B7949"/>
    <w:rsid w:val="007B7A33"/>
    <w:rsid w:val="007B7D30"/>
    <w:rsid w:val="007C0FA9"/>
    <w:rsid w:val="007C2413"/>
    <w:rsid w:val="007C25AE"/>
    <w:rsid w:val="007C3152"/>
    <w:rsid w:val="007C333B"/>
    <w:rsid w:val="007C3914"/>
    <w:rsid w:val="007C3CEA"/>
    <w:rsid w:val="007C3D92"/>
    <w:rsid w:val="007C3E6F"/>
    <w:rsid w:val="007C3E98"/>
    <w:rsid w:val="007C5A8F"/>
    <w:rsid w:val="007C5B38"/>
    <w:rsid w:val="007C6313"/>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5274"/>
    <w:rsid w:val="007D56CD"/>
    <w:rsid w:val="007D674C"/>
    <w:rsid w:val="007D6B7B"/>
    <w:rsid w:val="007D6CF1"/>
    <w:rsid w:val="007D7131"/>
    <w:rsid w:val="007D7BEC"/>
    <w:rsid w:val="007D7CE3"/>
    <w:rsid w:val="007E051A"/>
    <w:rsid w:val="007E0798"/>
    <w:rsid w:val="007E1B72"/>
    <w:rsid w:val="007E3EE3"/>
    <w:rsid w:val="007E48DD"/>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040"/>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CF5"/>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17EF3"/>
    <w:rsid w:val="0082000D"/>
    <w:rsid w:val="0082037E"/>
    <w:rsid w:val="00820C9C"/>
    <w:rsid w:val="00820F55"/>
    <w:rsid w:val="00821572"/>
    <w:rsid w:val="00821919"/>
    <w:rsid w:val="00821D9C"/>
    <w:rsid w:val="00822310"/>
    <w:rsid w:val="00823794"/>
    <w:rsid w:val="008237B3"/>
    <w:rsid w:val="008237F4"/>
    <w:rsid w:val="00823F67"/>
    <w:rsid w:val="00824022"/>
    <w:rsid w:val="0082483A"/>
    <w:rsid w:val="00824995"/>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D91"/>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5ED7"/>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4C87"/>
    <w:rsid w:val="008A506F"/>
    <w:rsid w:val="008A528A"/>
    <w:rsid w:val="008A5298"/>
    <w:rsid w:val="008A535A"/>
    <w:rsid w:val="008A720F"/>
    <w:rsid w:val="008A7C72"/>
    <w:rsid w:val="008B04F2"/>
    <w:rsid w:val="008B0D0E"/>
    <w:rsid w:val="008B12BB"/>
    <w:rsid w:val="008B1411"/>
    <w:rsid w:val="008B17A2"/>
    <w:rsid w:val="008B25F2"/>
    <w:rsid w:val="008B2643"/>
    <w:rsid w:val="008B2D18"/>
    <w:rsid w:val="008B2FAE"/>
    <w:rsid w:val="008B3097"/>
    <w:rsid w:val="008B3317"/>
    <w:rsid w:val="008B414B"/>
    <w:rsid w:val="008B4E0E"/>
    <w:rsid w:val="008B4FB9"/>
    <w:rsid w:val="008B5715"/>
    <w:rsid w:val="008B5A2D"/>
    <w:rsid w:val="008B5BC2"/>
    <w:rsid w:val="008B60BB"/>
    <w:rsid w:val="008B6732"/>
    <w:rsid w:val="008B68EC"/>
    <w:rsid w:val="008B711E"/>
    <w:rsid w:val="008B735E"/>
    <w:rsid w:val="008C03E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5"/>
    <w:rsid w:val="008C7685"/>
    <w:rsid w:val="008D007A"/>
    <w:rsid w:val="008D07DE"/>
    <w:rsid w:val="008D0831"/>
    <w:rsid w:val="008D0E40"/>
    <w:rsid w:val="008D1E7F"/>
    <w:rsid w:val="008D2367"/>
    <w:rsid w:val="008D2E7A"/>
    <w:rsid w:val="008D403E"/>
    <w:rsid w:val="008D427A"/>
    <w:rsid w:val="008D4DD5"/>
    <w:rsid w:val="008D5657"/>
    <w:rsid w:val="008D5F2F"/>
    <w:rsid w:val="008D6752"/>
    <w:rsid w:val="008D69E7"/>
    <w:rsid w:val="008D6FC1"/>
    <w:rsid w:val="008E0140"/>
    <w:rsid w:val="008E0688"/>
    <w:rsid w:val="008E0BEF"/>
    <w:rsid w:val="008E266D"/>
    <w:rsid w:val="008E2F0C"/>
    <w:rsid w:val="008E3E23"/>
    <w:rsid w:val="008E5103"/>
    <w:rsid w:val="008E52DA"/>
    <w:rsid w:val="008E547B"/>
    <w:rsid w:val="008E5DF8"/>
    <w:rsid w:val="008E7B47"/>
    <w:rsid w:val="008F0250"/>
    <w:rsid w:val="008F11F4"/>
    <w:rsid w:val="008F1952"/>
    <w:rsid w:val="008F1EF5"/>
    <w:rsid w:val="008F254D"/>
    <w:rsid w:val="008F310B"/>
    <w:rsid w:val="008F322B"/>
    <w:rsid w:val="008F34CB"/>
    <w:rsid w:val="008F3519"/>
    <w:rsid w:val="008F3A25"/>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577"/>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2D1"/>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8A7"/>
    <w:rsid w:val="00966D9D"/>
    <w:rsid w:val="00966E4A"/>
    <w:rsid w:val="00967041"/>
    <w:rsid w:val="00970080"/>
    <w:rsid w:val="00970918"/>
    <w:rsid w:val="0097099E"/>
    <w:rsid w:val="009714D1"/>
    <w:rsid w:val="00971761"/>
    <w:rsid w:val="00971F1B"/>
    <w:rsid w:val="0097216F"/>
    <w:rsid w:val="00972C3B"/>
    <w:rsid w:val="00973057"/>
    <w:rsid w:val="00973604"/>
    <w:rsid w:val="00974D50"/>
    <w:rsid w:val="009751AF"/>
    <w:rsid w:val="00975326"/>
    <w:rsid w:val="009757C3"/>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3A2"/>
    <w:rsid w:val="00986566"/>
    <w:rsid w:val="00986ACA"/>
    <w:rsid w:val="00986CC1"/>
    <w:rsid w:val="00986F4E"/>
    <w:rsid w:val="00987191"/>
    <w:rsid w:val="00987A5A"/>
    <w:rsid w:val="00987B78"/>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20DB"/>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BE4"/>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5B90"/>
    <w:rsid w:val="009D6620"/>
    <w:rsid w:val="009D6C54"/>
    <w:rsid w:val="009D72B0"/>
    <w:rsid w:val="009D77CE"/>
    <w:rsid w:val="009D7DE3"/>
    <w:rsid w:val="009E004A"/>
    <w:rsid w:val="009E066B"/>
    <w:rsid w:val="009E1515"/>
    <w:rsid w:val="009E1CFF"/>
    <w:rsid w:val="009E1FEE"/>
    <w:rsid w:val="009E23EA"/>
    <w:rsid w:val="009E2CEF"/>
    <w:rsid w:val="009E2D24"/>
    <w:rsid w:val="009E2E5D"/>
    <w:rsid w:val="009E2EA0"/>
    <w:rsid w:val="009E305F"/>
    <w:rsid w:val="009E3417"/>
    <w:rsid w:val="009E36FF"/>
    <w:rsid w:val="009E37D3"/>
    <w:rsid w:val="009E39A4"/>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0D6"/>
    <w:rsid w:val="00A01420"/>
    <w:rsid w:val="00A017B4"/>
    <w:rsid w:val="00A01C53"/>
    <w:rsid w:val="00A01D38"/>
    <w:rsid w:val="00A02414"/>
    <w:rsid w:val="00A025B9"/>
    <w:rsid w:val="00A02623"/>
    <w:rsid w:val="00A030BC"/>
    <w:rsid w:val="00A0355C"/>
    <w:rsid w:val="00A03A13"/>
    <w:rsid w:val="00A040CD"/>
    <w:rsid w:val="00A04429"/>
    <w:rsid w:val="00A05898"/>
    <w:rsid w:val="00A06446"/>
    <w:rsid w:val="00A06697"/>
    <w:rsid w:val="00A06C40"/>
    <w:rsid w:val="00A07FB4"/>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1796C"/>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705"/>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EB5"/>
    <w:rsid w:val="00A50FFA"/>
    <w:rsid w:val="00A539D1"/>
    <w:rsid w:val="00A54DAE"/>
    <w:rsid w:val="00A55A70"/>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889"/>
    <w:rsid w:val="00A70BD2"/>
    <w:rsid w:val="00A70FFD"/>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280"/>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82D"/>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282"/>
    <w:rsid w:val="00AC47EC"/>
    <w:rsid w:val="00AC4E5D"/>
    <w:rsid w:val="00AC6C53"/>
    <w:rsid w:val="00AC6E85"/>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570A"/>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0D86"/>
    <w:rsid w:val="00AF166F"/>
    <w:rsid w:val="00AF1C03"/>
    <w:rsid w:val="00AF3936"/>
    <w:rsid w:val="00AF39AF"/>
    <w:rsid w:val="00AF3E3B"/>
    <w:rsid w:val="00AF3E5A"/>
    <w:rsid w:val="00AF46FE"/>
    <w:rsid w:val="00AF486F"/>
    <w:rsid w:val="00AF548B"/>
    <w:rsid w:val="00AF55E0"/>
    <w:rsid w:val="00AF5666"/>
    <w:rsid w:val="00AF57E5"/>
    <w:rsid w:val="00AF5870"/>
    <w:rsid w:val="00AF5AAF"/>
    <w:rsid w:val="00AF6619"/>
    <w:rsid w:val="00AF6CFD"/>
    <w:rsid w:val="00AF7CC8"/>
    <w:rsid w:val="00AF7DC1"/>
    <w:rsid w:val="00B000AE"/>
    <w:rsid w:val="00B0040B"/>
    <w:rsid w:val="00B00830"/>
    <w:rsid w:val="00B00AB5"/>
    <w:rsid w:val="00B00CC0"/>
    <w:rsid w:val="00B00F5C"/>
    <w:rsid w:val="00B019C1"/>
    <w:rsid w:val="00B0236E"/>
    <w:rsid w:val="00B02506"/>
    <w:rsid w:val="00B02ACE"/>
    <w:rsid w:val="00B037FA"/>
    <w:rsid w:val="00B03913"/>
    <w:rsid w:val="00B03E5D"/>
    <w:rsid w:val="00B04CE3"/>
    <w:rsid w:val="00B04CEA"/>
    <w:rsid w:val="00B05607"/>
    <w:rsid w:val="00B0565F"/>
    <w:rsid w:val="00B05A08"/>
    <w:rsid w:val="00B05F14"/>
    <w:rsid w:val="00B0632C"/>
    <w:rsid w:val="00B06737"/>
    <w:rsid w:val="00B0784C"/>
    <w:rsid w:val="00B07CE9"/>
    <w:rsid w:val="00B101D5"/>
    <w:rsid w:val="00B103A2"/>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2D86"/>
    <w:rsid w:val="00B2301A"/>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6F"/>
    <w:rsid w:val="00B41FD8"/>
    <w:rsid w:val="00B420DF"/>
    <w:rsid w:val="00B428E2"/>
    <w:rsid w:val="00B42A2C"/>
    <w:rsid w:val="00B42A5C"/>
    <w:rsid w:val="00B42A98"/>
    <w:rsid w:val="00B42C64"/>
    <w:rsid w:val="00B448EF"/>
    <w:rsid w:val="00B47493"/>
    <w:rsid w:val="00B474C8"/>
    <w:rsid w:val="00B474DF"/>
    <w:rsid w:val="00B47915"/>
    <w:rsid w:val="00B47A1B"/>
    <w:rsid w:val="00B50526"/>
    <w:rsid w:val="00B50E18"/>
    <w:rsid w:val="00B513A9"/>
    <w:rsid w:val="00B51568"/>
    <w:rsid w:val="00B51610"/>
    <w:rsid w:val="00B5167B"/>
    <w:rsid w:val="00B520E3"/>
    <w:rsid w:val="00B52336"/>
    <w:rsid w:val="00B5314C"/>
    <w:rsid w:val="00B5388C"/>
    <w:rsid w:val="00B55CED"/>
    <w:rsid w:val="00B55D57"/>
    <w:rsid w:val="00B55F80"/>
    <w:rsid w:val="00B56480"/>
    <w:rsid w:val="00B565D6"/>
    <w:rsid w:val="00B56C6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3E80"/>
    <w:rsid w:val="00B84FB4"/>
    <w:rsid w:val="00B8756E"/>
    <w:rsid w:val="00B87A7D"/>
    <w:rsid w:val="00B87C3B"/>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CA6"/>
    <w:rsid w:val="00BA3D14"/>
    <w:rsid w:val="00BA435A"/>
    <w:rsid w:val="00BA54BA"/>
    <w:rsid w:val="00BA5603"/>
    <w:rsid w:val="00BA56D9"/>
    <w:rsid w:val="00BA6194"/>
    <w:rsid w:val="00BA6CE3"/>
    <w:rsid w:val="00BA7EEE"/>
    <w:rsid w:val="00BB2008"/>
    <w:rsid w:val="00BB2617"/>
    <w:rsid w:val="00BB29DF"/>
    <w:rsid w:val="00BB2CFC"/>
    <w:rsid w:val="00BB2F3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0A3B"/>
    <w:rsid w:val="00BC1527"/>
    <w:rsid w:val="00BC2306"/>
    <w:rsid w:val="00BC2F31"/>
    <w:rsid w:val="00BC316E"/>
    <w:rsid w:val="00BC3C74"/>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25B"/>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17E"/>
    <w:rsid w:val="00C01D39"/>
    <w:rsid w:val="00C0200C"/>
    <w:rsid w:val="00C02039"/>
    <w:rsid w:val="00C020A8"/>
    <w:rsid w:val="00C02DC2"/>
    <w:rsid w:val="00C034A4"/>
    <w:rsid w:val="00C03DD0"/>
    <w:rsid w:val="00C04445"/>
    <w:rsid w:val="00C04705"/>
    <w:rsid w:val="00C04A7F"/>
    <w:rsid w:val="00C04B93"/>
    <w:rsid w:val="00C04E2B"/>
    <w:rsid w:val="00C051AA"/>
    <w:rsid w:val="00C05283"/>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6AB4"/>
    <w:rsid w:val="00C17E76"/>
    <w:rsid w:val="00C200C9"/>
    <w:rsid w:val="00C20FD4"/>
    <w:rsid w:val="00C21D8E"/>
    <w:rsid w:val="00C22212"/>
    <w:rsid w:val="00C22525"/>
    <w:rsid w:val="00C2396A"/>
    <w:rsid w:val="00C23CF8"/>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0F81"/>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538B"/>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000"/>
    <w:rsid w:val="00C716A3"/>
    <w:rsid w:val="00C71D15"/>
    <w:rsid w:val="00C7234D"/>
    <w:rsid w:val="00C7244E"/>
    <w:rsid w:val="00C726C9"/>
    <w:rsid w:val="00C72801"/>
    <w:rsid w:val="00C72C0A"/>
    <w:rsid w:val="00C73E67"/>
    <w:rsid w:val="00C73FAD"/>
    <w:rsid w:val="00C74AE1"/>
    <w:rsid w:val="00C755E9"/>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4DA4"/>
    <w:rsid w:val="00C85A36"/>
    <w:rsid w:val="00C85CD1"/>
    <w:rsid w:val="00C86C56"/>
    <w:rsid w:val="00C8773E"/>
    <w:rsid w:val="00C90601"/>
    <w:rsid w:val="00C90B02"/>
    <w:rsid w:val="00C90D16"/>
    <w:rsid w:val="00C9116A"/>
    <w:rsid w:val="00C91DAF"/>
    <w:rsid w:val="00C9265D"/>
    <w:rsid w:val="00C92824"/>
    <w:rsid w:val="00C92FF5"/>
    <w:rsid w:val="00C937BA"/>
    <w:rsid w:val="00C942E5"/>
    <w:rsid w:val="00C949FC"/>
    <w:rsid w:val="00C94B5C"/>
    <w:rsid w:val="00C960CF"/>
    <w:rsid w:val="00C96672"/>
    <w:rsid w:val="00C96678"/>
    <w:rsid w:val="00C96772"/>
    <w:rsid w:val="00C96CFA"/>
    <w:rsid w:val="00C96E5A"/>
    <w:rsid w:val="00C96EB5"/>
    <w:rsid w:val="00CA0083"/>
    <w:rsid w:val="00CA0257"/>
    <w:rsid w:val="00CA0917"/>
    <w:rsid w:val="00CA102B"/>
    <w:rsid w:val="00CA283D"/>
    <w:rsid w:val="00CA29D1"/>
    <w:rsid w:val="00CA2DD6"/>
    <w:rsid w:val="00CA3247"/>
    <w:rsid w:val="00CA3752"/>
    <w:rsid w:val="00CA3999"/>
    <w:rsid w:val="00CA39C0"/>
    <w:rsid w:val="00CA4B2B"/>
    <w:rsid w:val="00CA5429"/>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B10"/>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F1E"/>
    <w:rsid w:val="00D0428E"/>
    <w:rsid w:val="00D04426"/>
    <w:rsid w:val="00D0482F"/>
    <w:rsid w:val="00D048B4"/>
    <w:rsid w:val="00D04A33"/>
    <w:rsid w:val="00D05892"/>
    <w:rsid w:val="00D06824"/>
    <w:rsid w:val="00D06C03"/>
    <w:rsid w:val="00D1037A"/>
    <w:rsid w:val="00D10D09"/>
    <w:rsid w:val="00D1163E"/>
    <w:rsid w:val="00D12362"/>
    <w:rsid w:val="00D12A4F"/>
    <w:rsid w:val="00D14512"/>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1D22"/>
    <w:rsid w:val="00D42115"/>
    <w:rsid w:val="00D42EFD"/>
    <w:rsid w:val="00D457D1"/>
    <w:rsid w:val="00D458AA"/>
    <w:rsid w:val="00D46009"/>
    <w:rsid w:val="00D46338"/>
    <w:rsid w:val="00D46945"/>
    <w:rsid w:val="00D46BA2"/>
    <w:rsid w:val="00D47234"/>
    <w:rsid w:val="00D47281"/>
    <w:rsid w:val="00D47581"/>
    <w:rsid w:val="00D50295"/>
    <w:rsid w:val="00D5069A"/>
    <w:rsid w:val="00D50E43"/>
    <w:rsid w:val="00D51469"/>
    <w:rsid w:val="00D5182D"/>
    <w:rsid w:val="00D52B45"/>
    <w:rsid w:val="00D530EB"/>
    <w:rsid w:val="00D53393"/>
    <w:rsid w:val="00D535B6"/>
    <w:rsid w:val="00D5451D"/>
    <w:rsid w:val="00D55235"/>
    <w:rsid w:val="00D55D78"/>
    <w:rsid w:val="00D57071"/>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4E4"/>
    <w:rsid w:val="00D70F17"/>
    <w:rsid w:val="00D712DA"/>
    <w:rsid w:val="00D719EF"/>
    <w:rsid w:val="00D72327"/>
    <w:rsid w:val="00D727E0"/>
    <w:rsid w:val="00D72B87"/>
    <w:rsid w:val="00D72C08"/>
    <w:rsid w:val="00D72C72"/>
    <w:rsid w:val="00D74160"/>
    <w:rsid w:val="00D744CC"/>
    <w:rsid w:val="00D75D22"/>
    <w:rsid w:val="00D75DA5"/>
    <w:rsid w:val="00D761F0"/>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2F1B"/>
    <w:rsid w:val="00D93873"/>
    <w:rsid w:val="00D93C1C"/>
    <w:rsid w:val="00D94026"/>
    <w:rsid w:val="00D94120"/>
    <w:rsid w:val="00D951DD"/>
    <w:rsid w:val="00D952ED"/>
    <w:rsid w:val="00D95799"/>
    <w:rsid w:val="00D957FA"/>
    <w:rsid w:val="00D9664C"/>
    <w:rsid w:val="00D97404"/>
    <w:rsid w:val="00D975A3"/>
    <w:rsid w:val="00D979D0"/>
    <w:rsid w:val="00DA08CA"/>
    <w:rsid w:val="00DA0F37"/>
    <w:rsid w:val="00DA101A"/>
    <w:rsid w:val="00DA122C"/>
    <w:rsid w:val="00DA283B"/>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A48"/>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8A"/>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AA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851"/>
    <w:rsid w:val="00DD7CCA"/>
    <w:rsid w:val="00DE0A4F"/>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2D"/>
    <w:rsid w:val="00E02C4D"/>
    <w:rsid w:val="00E031A5"/>
    <w:rsid w:val="00E0341B"/>
    <w:rsid w:val="00E0348F"/>
    <w:rsid w:val="00E035A6"/>
    <w:rsid w:val="00E038F5"/>
    <w:rsid w:val="00E03D67"/>
    <w:rsid w:val="00E04510"/>
    <w:rsid w:val="00E04784"/>
    <w:rsid w:val="00E05569"/>
    <w:rsid w:val="00E0562E"/>
    <w:rsid w:val="00E05A6C"/>
    <w:rsid w:val="00E05C32"/>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492"/>
    <w:rsid w:val="00E37F0C"/>
    <w:rsid w:val="00E40ADF"/>
    <w:rsid w:val="00E418E3"/>
    <w:rsid w:val="00E41F8B"/>
    <w:rsid w:val="00E423DE"/>
    <w:rsid w:val="00E4296F"/>
    <w:rsid w:val="00E42F07"/>
    <w:rsid w:val="00E431FF"/>
    <w:rsid w:val="00E4370F"/>
    <w:rsid w:val="00E4441D"/>
    <w:rsid w:val="00E44AEA"/>
    <w:rsid w:val="00E453AB"/>
    <w:rsid w:val="00E462E6"/>
    <w:rsid w:val="00E463A0"/>
    <w:rsid w:val="00E465B5"/>
    <w:rsid w:val="00E47839"/>
    <w:rsid w:val="00E513CF"/>
    <w:rsid w:val="00E51CDE"/>
    <w:rsid w:val="00E5210B"/>
    <w:rsid w:val="00E5265F"/>
    <w:rsid w:val="00E52CD4"/>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3F00"/>
    <w:rsid w:val="00E646B5"/>
    <w:rsid w:val="00E65427"/>
    <w:rsid w:val="00E6543F"/>
    <w:rsid w:val="00E655EF"/>
    <w:rsid w:val="00E661C0"/>
    <w:rsid w:val="00E663F5"/>
    <w:rsid w:val="00E66E97"/>
    <w:rsid w:val="00E67FBF"/>
    <w:rsid w:val="00E70BD6"/>
    <w:rsid w:val="00E711DE"/>
    <w:rsid w:val="00E71305"/>
    <w:rsid w:val="00E72383"/>
    <w:rsid w:val="00E724D2"/>
    <w:rsid w:val="00E72D9F"/>
    <w:rsid w:val="00E73188"/>
    <w:rsid w:val="00E732B8"/>
    <w:rsid w:val="00E73C41"/>
    <w:rsid w:val="00E74933"/>
    <w:rsid w:val="00E74EDC"/>
    <w:rsid w:val="00E75597"/>
    <w:rsid w:val="00E75737"/>
    <w:rsid w:val="00E75875"/>
    <w:rsid w:val="00E75886"/>
    <w:rsid w:val="00E75D6E"/>
    <w:rsid w:val="00E76007"/>
    <w:rsid w:val="00E76181"/>
    <w:rsid w:val="00E765AF"/>
    <w:rsid w:val="00E770F2"/>
    <w:rsid w:val="00E77EAC"/>
    <w:rsid w:val="00E800F6"/>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192B"/>
    <w:rsid w:val="00E922C4"/>
    <w:rsid w:val="00E943AE"/>
    <w:rsid w:val="00E947B0"/>
    <w:rsid w:val="00E95D82"/>
    <w:rsid w:val="00E95F21"/>
    <w:rsid w:val="00E96273"/>
    <w:rsid w:val="00E96E97"/>
    <w:rsid w:val="00E97D49"/>
    <w:rsid w:val="00EA0251"/>
    <w:rsid w:val="00EA1065"/>
    <w:rsid w:val="00EA1434"/>
    <w:rsid w:val="00EA16B6"/>
    <w:rsid w:val="00EA1C80"/>
    <w:rsid w:val="00EA3C3E"/>
    <w:rsid w:val="00EA432C"/>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185"/>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0476"/>
    <w:rsid w:val="00ED1295"/>
    <w:rsid w:val="00ED2725"/>
    <w:rsid w:val="00ED2F9A"/>
    <w:rsid w:val="00ED34D1"/>
    <w:rsid w:val="00ED367F"/>
    <w:rsid w:val="00ED3890"/>
    <w:rsid w:val="00ED4206"/>
    <w:rsid w:val="00ED58A2"/>
    <w:rsid w:val="00ED58C3"/>
    <w:rsid w:val="00ED5C71"/>
    <w:rsid w:val="00ED5EEE"/>
    <w:rsid w:val="00ED667C"/>
    <w:rsid w:val="00ED668D"/>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157"/>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C2B"/>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D7C"/>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7C9"/>
    <w:rsid w:val="00F70B72"/>
    <w:rsid w:val="00F70DEF"/>
    <w:rsid w:val="00F70EA3"/>
    <w:rsid w:val="00F71398"/>
    <w:rsid w:val="00F7294C"/>
    <w:rsid w:val="00F72C5F"/>
    <w:rsid w:val="00F73549"/>
    <w:rsid w:val="00F73FB2"/>
    <w:rsid w:val="00F7451B"/>
    <w:rsid w:val="00F75782"/>
    <w:rsid w:val="00F759E0"/>
    <w:rsid w:val="00F80C1D"/>
    <w:rsid w:val="00F81130"/>
    <w:rsid w:val="00F81469"/>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743"/>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3F07"/>
    <w:rsid w:val="00FD4148"/>
    <w:rsid w:val="00FD4D5B"/>
    <w:rsid w:val="00FD6453"/>
    <w:rsid w:val="00FD67FD"/>
    <w:rsid w:val="00FD7CB2"/>
    <w:rsid w:val="00FD7D46"/>
    <w:rsid w:val="00FD7D8B"/>
    <w:rsid w:val="00FE0AF2"/>
    <w:rsid w:val="00FE0E83"/>
    <w:rsid w:val="00FE12E0"/>
    <w:rsid w:val="00FE159E"/>
    <w:rsid w:val="00FE1C47"/>
    <w:rsid w:val="00FE22DD"/>
    <w:rsid w:val="00FE2CFB"/>
    <w:rsid w:val="00FE4A60"/>
    <w:rsid w:val="00FE4DF3"/>
    <w:rsid w:val="00FE4F91"/>
    <w:rsid w:val="00FE54E0"/>
    <w:rsid w:val="00FE55F0"/>
    <w:rsid w:val="00FE6331"/>
    <w:rsid w:val="00FE685B"/>
    <w:rsid w:val="00FE6C12"/>
    <w:rsid w:val="00FE785C"/>
    <w:rsid w:val="00FE7894"/>
    <w:rsid w:val="00FF0003"/>
    <w:rsid w:val="00FF01FA"/>
    <w:rsid w:val="00FF1472"/>
    <w:rsid w:val="00FF21B5"/>
    <w:rsid w:val="00FF21C3"/>
    <w:rsid w:val="00FF2A11"/>
    <w:rsid w:val="00FF2AA0"/>
    <w:rsid w:val="00FF3F6C"/>
    <w:rsid w:val="00FF4603"/>
    <w:rsid w:val="00FF4B07"/>
    <w:rsid w:val="00FF4BFC"/>
    <w:rsid w:val="00FF4C11"/>
    <w:rsid w:val="00FF56B9"/>
    <w:rsid w:val="00FF57E8"/>
    <w:rsid w:val="00FF58C0"/>
    <w:rsid w:val="00FF5948"/>
    <w:rsid w:val="00FF5B28"/>
    <w:rsid w:val="00FF6B71"/>
    <w:rsid w:val="00FF6EDF"/>
    <w:rsid w:val="00FF6EEA"/>
    <w:rsid w:val="00FF77DF"/>
    <w:rsid w:val="00FF7ABB"/>
    <w:rsid w:val="00FF7B99"/>
    <w:rsid w:val="06E362A8"/>
    <w:rsid w:val="520DE98E"/>
    <w:rsid w:val="579155A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5660C1A4-6604-42D1-8051-22B6E6FA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EF"/>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6C6C3F"/>
    <w:pPr>
      <w:keepNext/>
      <w:tabs>
        <w:tab w:val="left" w:pos="851"/>
      </w:tabs>
      <w:spacing w:before="240" w:after="0" w:line="600" w:lineRule="atLeast"/>
      <w:jc w:val="left"/>
      <w:outlineLvl w:val="0"/>
    </w:pPr>
    <w:rPr>
      <w:rFonts w:ascii="Georgia" w:eastAsiaTheme="majorEastAsia" w:hAnsi="Georgia" w:cstheme="majorBidi"/>
      <w:b/>
      <w:bCs/>
      <w:color w:val="1B556B"/>
      <w:sz w:val="48"/>
      <w:szCs w:val="48"/>
    </w:rPr>
  </w:style>
  <w:style w:type="paragraph" w:styleId="Heading2">
    <w:name w:val="heading 2"/>
    <w:basedOn w:val="Normal"/>
    <w:next w:val="BodyText"/>
    <w:link w:val="Heading2Char"/>
    <w:qFormat/>
    <w:rsid w:val="0050510B"/>
    <w:pPr>
      <w:keepNext/>
      <w:tabs>
        <w:tab w:val="left" w:pos="851"/>
      </w:tabs>
      <w:spacing w:before="240" w:after="0" w:line="440" w:lineRule="atLeast"/>
      <w:jc w:val="left"/>
      <w:outlineLvl w:val="1"/>
    </w:pPr>
    <w:rPr>
      <w:rFonts w:ascii="Georgia" w:eastAsiaTheme="majorEastAsia" w:hAnsi="Georgia" w:cstheme="majorBidi"/>
      <w:b/>
      <w:bCs/>
      <w:color w:val="1B556B"/>
      <w:sz w:val="36"/>
      <w:szCs w:val="36"/>
    </w:rPr>
  </w:style>
  <w:style w:type="paragraph" w:styleId="Heading3">
    <w:name w:val="heading 3"/>
    <w:basedOn w:val="Normal"/>
    <w:next w:val="BodyText"/>
    <w:link w:val="Heading3Char"/>
    <w:qFormat/>
    <w:rsid w:val="005236CB"/>
    <w:pPr>
      <w:keepNext/>
      <w:tabs>
        <w:tab w:val="left" w:pos="851"/>
      </w:tabs>
      <w:spacing w:before="240" w:after="0" w:line="360" w:lineRule="atLeast"/>
      <w:jc w:val="left"/>
      <w:outlineLvl w:val="2"/>
    </w:pPr>
    <w:rPr>
      <w:rFonts w:ascii="Georgia" w:eastAsiaTheme="majorEastAsia" w:hAnsi="Georgia" w:cstheme="majorBidi"/>
      <w:b/>
      <w:bCs/>
      <w:color w:val="1B556B"/>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152213"/>
    <w:pPr>
      <w:keepNext/>
      <w:spacing w:before="240" w:after="0" w:line="240" w:lineRule="auto"/>
      <w:jc w:val="left"/>
      <w:outlineLvl w:val="4"/>
    </w:pPr>
    <w:rPr>
      <w:b/>
      <w:bCs/>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3F"/>
    <w:rPr>
      <w:rFonts w:ascii="Georgia" w:eastAsiaTheme="majorEastAsia" w:hAnsi="Georgia" w:cstheme="majorBidi"/>
      <w:b/>
      <w:bCs/>
      <w:color w:val="1B556B"/>
      <w:sz w:val="48"/>
      <w:szCs w:val="48"/>
    </w:rPr>
  </w:style>
  <w:style w:type="character" w:customStyle="1" w:styleId="Heading2Char">
    <w:name w:val="Heading 2 Char"/>
    <w:basedOn w:val="DefaultParagraphFont"/>
    <w:link w:val="Heading2"/>
    <w:rsid w:val="0050510B"/>
    <w:rPr>
      <w:rFonts w:ascii="Georgia" w:eastAsiaTheme="majorEastAsia" w:hAnsi="Georgia" w:cstheme="majorBidi"/>
      <w:b/>
      <w:bCs/>
      <w:color w:val="1B556B"/>
      <w:sz w:val="36"/>
      <w:szCs w:val="36"/>
    </w:rPr>
  </w:style>
  <w:style w:type="character" w:customStyle="1" w:styleId="Heading3Char">
    <w:name w:val="Heading 3 Char"/>
    <w:basedOn w:val="DefaultParagraphFont"/>
    <w:link w:val="Heading3"/>
    <w:rsid w:val="005236CB"/>
    <w:rPr>
      <w:rFonts w:ascii="Georgia" w:eastAsiaTheme="majorEastAsia" w:hAnsi="Georgia" w:cstheme="majorBidi"/>
      <w:b/>
      <w:bCs/>
      <w:color w:val="1B556B"/>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152213"/>
    <w:rPr>
      <w:rFonts w:eastAsia="Times New Roman"/>
      <w:b/>
      <w:bCs/>
      <w:i/>
      <w:sz w:val="24"/>
      <w:szCs w:val="22"/>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bullet">
    <w:name w:val="Sub-bulle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qFormat/>
    <w:rsid w:val="00B50526"/>
    <w:pPr>
      <w:spacing w:before="0" w:after="240" w:line="680" w:lineRule="atLeast"/>
      <w:ind w:right="-23"/>
      <w:jc w:val="left"/>
    </w:pPr>
    <w:rPr>
      <w:rFonts w:ascii="Georgia" w:hAnsi="Georgia"/>
      <w:color w:val="FFFFFF" w:themeColor="background1"/>
      <w:sz w:val="56"/>
      <w:szCs w:val="56"/>
    </w:rPr>
  </w:style>
  <w:style w:type="character" w:customStyle="1" w:styleId="TitleChar">
    <w:name w:val="Title Char"/>
    <w:link w:val="Title"/>
    <w:uiPriority w:val="2"/>
    <w:rsid w:val="00B50526"/>
    <w:rPr>
      <w:rFonts w:ascii="Georgia" w:eastAsia="Times New Roman" w:hAnsi="Georgia"/>
      <w:color w:val="FFFFFF" w:themeColor="background1"/>
      <w:sz w:val="56"/>
      <w:szCs w:val="56"/>
    </w:rPr>
  </w:style>
  <w:style w:type="paragraph" w:styleId="Subtitle">
    <w:name w:val="Subtitle"/>
    <w:basedOn w:val="Normal"/>
    <w:link w:val="SubtitleChar"/>
    <w:uiPriority w:val="2"/>
    <w:qFormat/>
    <w:rsid w:val="00B50526"/>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B50526"/>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BB2617"/>
    <w:pPr>
      <w:spacing w:before="60" w:after="60" w:line="240" w:lineRule="atLeast"/>
      <w:ind w:left="39"/>
      <w:jc w:val="left"/>
    </w:pPr>
    <w:rPr>
      <w:bCs/>
      <w:sz w:val="18"/>
    </w:rPr>
  </w:style>
  <w:style w:type="paragraph" w:customStyle="1" w:styleId="TableTextbold">
    <w:name w:val="TableText bold"/>
    <w:basedOn w:val="Normal"/>
    <w:autoRedefine/>
    <w:qFormat/>
    <w:rsid w:val="00053A07"/>
    <w:pPr>
      <w:ind w:left="142"/>
      <w:jc w:val="left"/>
    </w:pPr>
    <w:rPr>
      <w:rFonts w:asciiTheme="minorHAnsi" w:hAnsiTheme="minorHAnsi"/>
      <w:bCs/>
      <w:color w:val="FFFFFF" w:themeColor="background1"/>
      <w:sz w:val="18"/>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Yu Gothic UI Semibold" w:eastAsia="Times New Roman" w:hAnsi="@Yu Gothic UI Semi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Yu Gothic UI Semibold" w:eastAsia="Times New Roman" w:hAnsi="@Yu Gothic UI Semi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Yu Gothic UI Semibold" w:eastAsia="Times New Roman" w:hAnsi="@Yu Gothic UI Semibold" w:cs="Times New Roman"/>
        <w:b/>
        <w:bCs/>
      </w:rPr>
    </w:tblStylePr>
    <w:tblStylePr w:type="lastCol">
      <w:rPr>
        <w:rFonts w:ascii="@Yu Gothic UI Semibold" w:eastAsia="Times New Roman" w:hAnsi="@Yu Gothic UI Semi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Yu Gothic UI Semibold" w:eastAsia="Times New Roman" w:hAnsi="@Yu Gothic UI Semi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le-Mori">
    <w:name w:val="Title - Māori"/>
    <w:basedOn w:val="Title"/>
    <w:qFormat/>
    <w:rsid w:val="00B50526"/>
    <w:rPr>
      <w:b/>
      <w:bCs/>
    </w:rPr>
  </w:style>
  <w:style w:type="paragraph" w:customStyle="1" w:styleId="Intro">
    <w:name w:val="Intro"/>
    <w:basedOn w:val="BodyText"/>
    <w:qFormat/>
    <w:rsid w:val="00D57071"/>
    <w:pPr>
      <w:spacing w:line="400" w:lineRule="exact"/>
    </w:pPr>
    <w:rPr>
      <w:color w:val="32809C" w:themeColor="accent2"/>
      <w:sz w:val="32"/>
      <w:szCs w:val="32"/>
    </w:rPr>
  </w:style>
  <w:style w:type="character" w:styleId="Mention">
    <w:name w:val="Mention"/>
    <w:basedOn w:val="DefaultParagraphFont"/>
    <w:uiPriority w:val="99"/>
    <w:unhideWhenUsed/>
    <w:rsid w:val="00506557"/>
    <w:rPr>
      <w:color w:val="2B579A"/>
      <w:shd w:val="clear" w:color="auto" w:fill="E6E6E6"/>
    </w:rPr>
  </w:style>
  <w:style w:type="paragraph" w:customStyle="1" w:styleId="paragraph">
    <w:name w:val="paragraph"/>
    <w:basedOn w:val="Normal"/>
    <w:rsid w:val="00506557"/>
    <w:pPr>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DefaultParagraphFont"/>
    <w:rsid w:val="00E67FBF"/>
    <w:rPr>
      <w:rFonts w:ascii="Segoe UI" w:hAnsi="Segoe UI" w:cs="Segoe UI" w:hint="default"/>
      <w:sz w:val="18"/>
      <w:szCs w:val="18"/>
    </w:rPr>
  </w:style>
  <w:style w:type="character" w:customStyle="1" w:styleId="normaltextrun">
    <w:name w:val="normaltextrun"/>
    <w:basedOn w:val="DefaultParagraphFont"/>
    <w:rsid w:val="00E67FBF"/>
  </w:style>
  <w:style w:type="character" w:customStyle="1" w:styleId="eop">
    <w:name w:val="eop"/>
    <w:basedOn w:val="DefaultParagraphFont"/>
    <w:rsid w:val="00E6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83377714">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activity-category-reportin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nvironment.govt.nz/publications/waste-levy-filing-a-waste-retur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demeasurement.tradingstandards.govt.nz/for-business/equipment-used-for-weighing-and-measuring/weighbridg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vironment.govt.nz/assets/publications/Waste/managing-diversion-at-disposal-facilities-final.pdf"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ECM-1122293896-115437</_dlc_DocId>
    <_dlc_DocIdUrl xmlns="58a6f171-52cb-4404-b47d-af1c8daf8fd1">
      <Url>https://ministryforenvironment.sharepoint.com/sites/ECM-ER-Comms/_layouts/15/DocIdRedir.aspx?ID=ECM-1122293896-115437</Url>
      <Description>ECM-1122293896-115437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7017E770-6109-4E38-88F1-C68C63164D2D}">
  <ds:schemaRefs>
    <ds:schemaRef ds:uri="http://schemas.microsoft.com/sharepoint/events"/>
  </ds:schemaRefs>
</ds:datastoreItem>
</file>

<file path=customXml/itemProps5.xml><?xml version="1.0" encoding="utf-8"?>
<ds:datastoreItem xmlns:ds="http://schemas.openxmlformats.org/officeDocument/2006/customXml" ds:itemID="{BFCA2AB9-BF09-42FB-B4C1-16645CF8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81</cp:revision>
  <dcterms:created xsi:type="dcterms:W3CDTF">2024-04-17T15:35:00Z</dcterms:created>
  <dcterms:modified xsi:type="dcterms:W3CDTF">2024-04-30T20:46:00Z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MediaServiceImageTags">
    <vt:lpwstr/>
  </property>
  <property fmtid="{D5CDD505-2E9C-101B-9397-08002B2CF9AE}" pid="10" name="ContentTypeId">
    <vt:lpwstr>0x010100EA5FB0BEBF7DE54D9F252D8A06C053F7</vt:lpwstr>
  </property>
  <property fmtid="{D5CDD505-2E9C-101B-9397-08002B2CF9AE}" pid="11" name="_dlc_DocIdItemGuid">
    <vt:lpwstr>defce08a-659e-4b95-9392-e631fd42ebef</vt:lpwstr>
  </property>
</Properties>
</file>