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7DDA" w14:textId="77777777" w:rsidR="00B30A89" w:rsidRDefault="00D171C6" w:rsidP="00524D5E">
      <w:pPr>
        <w:pStyle w:val="BodyText"/>
        <w:spacing w:after="5000"/>
      </w:pPr>
      <w:r>
        <w:rPr>
          <w:noProof/>
        </w:rPr>
        <w:drawing>
          <wp:anchor distT="0" distB="0" distL="114300" distR="114300" simplePos="0" relativeHeight="251658240" behindDoc="1" locked="0" layoutInCell="1" allowOverlap="1" wp14:anchorId="40427F9C" wp14:editId="5226611B">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r w:rsidR="00524D5E">
        <w:rPr>
          <w:noProof/>
        </w:rPr>
        <mc:AlternateContent>
          <mc:Choice Requires="wps">
            <w:drawing>
              <wp:anchor distT="0" distB="0" distL="114300" distR="114300" simplePos="0" relativeHeight="251658241" behindDoc="0" locked="0" layoutInCell="1" allowOverlap="1" wp14:anchorId="2568360E" wp14:editId="29EE8A7C">
                <wp:simplePos x="0" y="0"/>
                <wp:positionH relativeFrom="column">
                  <wp:posOffset>-96520</wp:posOffset>
                </wp:positionH>
                <wp:positionV relativeFrom="paragraph">
                  <wp:posOffset>605444</wp:posOffset>
                </wp:positionV>
                <wp:extent cx="6035104" cy="1649423"/>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60BAD706" w14:textId="77777777" w:rsidR="001C70AF" w:rsidRPr="00072904" w:rsidRDefault="001C70AF" w:rsidP="001C70AF">
                            <w:pPr>
                              <w:pStyle w:val="Subtitle"/>
                              <w:rPr>
                                <w:sz w:val="52"/>
                                <w:szCs w:val="52"/>
                              </w:rPr>
                            </w:pPr>
                            <w:r w:rsidRPr="00072904">
                              <w:rPr>
                                <w:sz w:val="52"/>
                                <w:szCs w:val="52"/>
                              </w:rPr>
                              <w:t xml:space="preserve">Guidance for councils preparing housing and business development capacity </w:t>
                            </w:r>
                            <w:proofErr w:type="gramStart"/>
                            <w:r w:rsidRPr="00072904">
                              <w:rPr>
                                <w:sz w:val="52"/>
                                <w:szCs w:val="52"/>
                              </w:rPr>
                              <w:t>assessments</w:t>
                            </w:r>
                            <w:proofErr w:type="gramEnd"/>
                          </w:p>
                          <w:p w14:paraId="46AD1CDF" w14:textId="647CC776" w:rsidR="00B349E3" w:rsidRPr="001C70AF" w:rsidRDefault="007F1E89" w:rsidP="00296A94">
                            <w:pPr>
                              <w:pStyle w:val="Subtitle"/>
                            </w:pPr>
                            <w:r w:rsidRPr="001C70AF">
                              <w:t xml:space="preserve">Updated technical advice on using Stats NZ population </w:t>
                            </w:r>
                            <w:proofErr w:type="gramStart"/>
                            <w:r w:rsidRPr="001C70AF">
                              <w:t>projections</w:t>
                            </w:r>
                            <w:proofErr w:type="gramEnd"/>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2568360E" id="_x0000_t202" coordsize="21600,21600" o:spt="202" path="m,l,21600r21600,l21600,xe">
                <v:stroke joinstyle="miter"/>
                <v:path gradientshapeok="t" o:connecttype="rect"/>
              </v:shapetype>
              <v:shape id="Text Box 6" o:spid="_x0000_s1026" type="#_x0000_t202" style="position:absolute;margin-left:-7.6pt;margin-top:47.65pt;width:475.2pt;height:129.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" filled="f" stroked="f" strokeweight=".5pt">
                <v:textbox style="mso-fit-shape-to-text:t" inset="1mm,2mm,0">
                  <w:txbxContent>
                    <w:p w14:paraId="60BAD706" w14:textId="77777777" w:rsidR="001C70AF" w:rsidRPr="00072904" w:rsidRDefault="001C70AF" w:rsidP="001C70AF">
                      <w:pPr>
                        <w:pStyle w:val="Subtitle"/>
                        <w:rPr>
                          <w:sz w:val="52"/>
                          <w:szCs w:val="52"/>
                        </w:rPr>
                      </w:pPr>
                      <w:r w:rsidRPr="00072904">
                        <w:rPr>
                          <w:sz w:val="52"/>
                          <w:szCs w:val="52"/>
                        </w:rPr>
                        <w:t xml:space="preserve">Guidance for councils preparing housing and business development capacity </w:t>
                      </w:r>
                      <w:proofErr w:type="gramStart"/>
                      <w:r w:rsidRPr="00072904">
                        <w:rPr>
                          <w:sz w:val="52"/>
                          <w:szCs w:val="52"/>
                        </w:rPr>
                        <w:t>assessments</w:t>
                      </w:r>
                      <w:proofErr w:type="gramEnd"/>
                    </w:p>
                    <w:p w14:paraId="46AD1CDF" w14:textId="647CC776" w:rsidR="00B349E3" w:rsidRPr="001C70AF" w:rsidRDefault="007F1E89" w:rsidP="00296A94">
                      <w:pPr>
                        <w:pStyle w:val="Subtitle"/>
                      </w:pPr>
                      <w:r w:rsidRPr="001C70AF">
                        <w:t xml:space="preserve">Updated technical advice on using Stats NZ population </w:t>
                      </w:r>
                      <w:proofErr w:type="gramStart"/>
                      <w:r w:rsidRPr="001C70AF">
                        <w:t>projections</w:t>
                      </w:r>
                      <w:proofErr w:type="gramEnd"/>
                    </w:p>
                  </w:txbxContent>
                </v:textbox>
              </v:shape>
            </w:pict>
          </mc:Fallback>
        </mc:AlternateContent>
      </w:r>
    </w:p>
    <w:p w14:paraId="2DC92AA1" w14:textId="77777777" w:rsidR="00C76B1F" w:rsidRPr="009C1533" w:rsidRDefault="00C76B1F" w:rsidP="00C76B1F">
      <w:pPr>
        <w:pStyle w:val="Heading2"/>
        <w:rPr>
          <w:rStyle w:val="Heading1Char"/>
          <w:b/>
          <w:bCs/>
          <w:sz w:val="36"/>
          <w:szCs w:val="26"/>
        </w:rPr>
      </w:pPr>
      <w:bookmarkStart w:id="1" w:name="_Toc148362969"/>
      <w:r w:rsidRPr="009C1533">
        <w:rPr>
          <w:rStyle w:val="Heading1Char"/>
          <w:b/>
          <w:bCs/>
          <w:sz w:val="36"/>
          <w:szCs w:val="26"/>
        </w:rPr>
        <w:t>Background</w:t>
      </w:r>
      <w:bookmarkEnd w:id="1"/>
    </w:p>
    <w:p w14:paraId="19753643" w14:textId="5F4C8131" w:rsidR="00C76B1F" w:rsidRDefault="222E858D" w:rsidP="00C76B1F">
      <w:pPr>
        <w:pStyle w:val="BodyText"/>
        <w:rPr>
          <w:rFonts w:eastAsia="Calibri"/>
        </w:rPr>
      </w:pPr>
      <w:r w:rsidRPr="71C3CBDE">
        <w:rPr>
          <w:rFonts w:eastAsia="Calibri"/>
        </w:rPr>
        <w:t>Under the National Policy Statement on Urban Development, local authorities are required to prepare housing and business development capacity assessments (HBAs). These</w:t>
      </w:r>
      <w:r>
        <w:t xml:space="preserve"> inform council decisions on how and where housing growth will occur. </w:t>
      </w:r>
    </w:p>
    <w:p w14:paraId="1BC2BDCD" w14:textId="7AA77B66" w:rsidR="00F5746A" w:rsidRDefault="007F1E89" w:rsidP="00F5746A">
      <w:pPr>
        <w:pStyle w:val="Heading2"/>
      </w:pPr>
      <w:r w:rsidRPr="007F1E89">
        <w:t>Purpose of this guidance</w:t>
      </w:r>
    </w:p>
    <w:p w14:paraId="7186ABC0" w14:textId="3BF039CE" w:rsidR="007F1E89" w:rsidRDefault="00A009C9" w:rsidP="007F1E89">
      <w:pPr>
        <w:pStyle w:val="BodyText"/>
      </w:pPr>
      <w:hyperlink r:id="rId13" w:history="1">
        <w:r w:rsidR="007F1E89" w:rsidRPr="007F1E89">
          <w:rPr>
            <w:rStyle w:val="Hyperlink"/>
          </w:rPr>
          <w:t>The N</w:t>
        </w:r>
        <w:r w:rsidR="005719D3">
          <w:rPr>
            <w:rStyle w:val="Hyperlink"/>
          </w:rPr>
          <w:t xml:space="preserve">ational </w:t>
        </w:r>
        <w:r w:rsidR="007F1E89" w:rsidRPr="007F1E89">
          <w:rPr>
            <w:rStyle w:val="Hyperlink"/>
          </w:rPr>
          <w:t>P</w:t>
        </w:r>
        <w:r w:rsidR="005719D3">
          <w:rPr>
            <w:rStyle w:val="Hyperlink"/>
          </w:rPr>
          <w:t xml:space="preserve">olicy </w:t>
        </w:r>
        <w:r w:rsidR="007F1E89" w:rsidRPr="007F1E89">
          <w:rPr>
            <w:rStyle w:val="Hyperlink"/>
          </w:rPr>
          <w:t>S</w:t>
        </w:r>
        <w:r w:rsidR="005719D3">
          <w:rPr>
            <w:rStyle w:val="Hyperlink"/>
          </w:rPr>
          <w:t xml:space="preserve">tatement on </w:t>
        </w:r>
        <w:r w:rsidR="007F1E89" w:rsidRPr="007F1E89">
          <w:rPr>
            <w:rStyle w:val="Hyperlink"/>
          </w:rPr>
          <w:t>U</w:t>
        </w:r>
        <w:r w:rsidR="005719D3">
          <w:rPr>
            <w:rStyle w:val="Hyperlink"/>
          </w:rPr>
          <w:t xml:space="preserve">rban </w:t>
        </w:r>
        <w:r w:rsidR="007F1E89" w:rsidRPr="007F1E89">
          <w:rPr>
            <w:rStyle w:val="Hyperlink"/>
          </w:rPr>
          <w:t>D</w:t>
        </w:r>
        <w:r w:rsidR="005719D3">
          <w:rPr>
            <w:rStyle w:val="Hyperlink"/>
          </w:rPr>
          <w:t xml:space="preserve">evelopment </w:t>
        </w:r>
        <w:r w:rsidR="006A77D5" w:rsidRPr="007F1E89">
          <w:rPr>
            <w:rStyle w:val="Hyperlink"/>
          </w:rPr>
          <w:t>C</w:t>
        </w:r>
        <w:r w:rsidR="006A77D5">
          <w:rPr>
            <w:rStyle w:val="Hyperlink"/>
          </w:rPr>
          <w:t>apacity</w:t>
        </w:r>
        <w:r w:rsidR="005719D3">
          <w:rPr>
            <w:rStyle w:val="Hyperlink"/>
          </w:rPr>
          <w:t xml:space="preserve"> Guide on</w:t>
        </w:r>
        <w:r w:rsidR="007F1E89" w:rsidRPr="007F1E89">
          <w:rPr>
            <w:rStyle w:val="Hyperlink"/>
          </w:rPr>
          <w:t xml:space="preserve"> Evidence and Monitoring </w:t>
        </w:r>
      </w:hyperlink>
      <w:r w:rsidR="000E7808">
        <w:t xml:space="preserve">has </w:t>
      </w:r>
      <w:r w:rsidR="007F1E89" w:rsidRPr="007F1E89">
        <w:t>instructions for assessing housing demand in the context of HBA</w:t>
      </w:r>
      <w:r w:rsidR="00774ABC">
        <w:t>s</w:t>
      </w:r>
      <w:r w:rsidR="007F1E89" w:rsidRPr="007F1E89">
        <w:t>. This is not a substitute for th</w:t>
      </w:r>
      <w:r w:rsidR="00381778">
        <w:t>at</w:t>
      </w:r>
      <w:r w:rsidR="007F1E89" w:rsidRPr="007F1E89">
        <w:t xml:space="preserve"> guide but provides additional, detailed, and up-to-date information on specific data sources. This guidance expands on section 2.1.1 </w:t>
      </w:r>
      <w:r w:rsidR="00CA039B">
        <w:t>‘</w:t>
      </w:r>
      <w:r w:rsidR="007F1E89" w:rsidRPr="007F1E89">
        <w:t>Using Statistics NZ or alternative sources of population and household projections</w:t>
      </w:r>
      <w:r w:rsidR="0003552F">
        <w:t>’</w:t>
      </w:r>
      <w:r w:rsidR="007F1E89" w:rsidRPr="007F1E89">
        <w:t xml:space="preserve"> of the original guide. For </w:t>
      </w:r>
      <w:r w:rsidR="005826D3">
        <w:t>general</w:t>
      </w:r>
      <w:r w:rsidR="005826D3" w:rsidRPr="007F1E89">
        <w:t xml:space="preserve"> </w:t>
      </w:r>
      <w:r w:rsidR="007F1E89" w:rsidRPr="007F1E89">
        <w:t>guidance on conducting demand assessments, please refer to the original guide.</w:t>
      </w:r>
    </w:p>
    <w:p w14:paraId="73432D1A" w14:textId="3571E785" w:rsidR="007F1E89" w:rsidRDefault="007F1E89" w:rsidP="007F1E89">
      <w:pPr>
        <w:pStyle w:val="Heading2"/>
      </w:pPr>
      <w:r>
        <w:t>Population projections</w:t>
      </w:r>
    </w:p>
    <w:p w14:paraId="37F8B5FC" w14:textId="544F6B6B" w:rsidR="007F1E89" w:rsidRPr="007F1E89" w:rsidRDefault="007F1E89" w:rsidP="007F1E89">
      <w:pPr>
        <w:pStyle w:val="BodyText"/>
      </w:pPr>
      <w:r w:rsidRPr="007F1E89">
        <w:t xml:space="preserve">The freely available population projections from Stats NZ can </w:t>
      </w:r>
      <w:r w:rsidR="00F02B1F">
        <w:t xml:space="preserve">help </w:t>
      </w:r>
      <w:r w:rsidRPr="007F1E89">
        <w:t>determin</w:t>
      </w:r>
      <w:r w:rsidR="00F02B1F">
        <w:t>e</w:t>
      </w:r>
      <w:r w:rsidRPr="007F1E89">
        <w:t xml:space="preserve"> the number of dwellings needed, while the </w:t>
      </w:r>
      <w:r w:rsidR="001F7C70">
        <w:t>f</w:t>
      </w:r>
      <w:r w:rsidRPr="007F1E89">
        <w:t xml:space="preserve">amily and </w:t>
      </w:r>
      <w:r w:rsidR="001F7C70">
        <w:t>h</w:t>
      </w:r>
      <w:r w:rsidRPr="007F1E89">
        <w:t xml:space="preserve">ousehold </w:t>
      </w:r>
      <w:r w:rsidR="001F7C70">
        <w:t>p</w:t>
      </w:r>
      <w:r w:rsidRPr="007F1E89">
        <w:t xml:space="preserve">opulation </w:t>
      </w:r>
      <w:r w:rsidR="001F7C70">
        <w:t>p</w:t>
      </w:r>
      <w:r w:rsidRPr="007F1E89">
        <w:t xml:space="preserve">rojections can </w:t>
      </w:r>
      <w:r w:rsidR="00BB1782">
        <w:t xml:space="preserve">help </w:t>
      </w:r>
      <w:r w:rsidRPr="007F1E89">
        <w:t xml:space="preserve">identify household typologies by providing insights into household </w:t>
      </w:r>
      <w:r w:rsidR="00D2377E">
        <w:t>make-up</w:t>
      </w:r>
      <w:r w:rsidRPr="007F1E89">
        <w:t>. However, it is important to note that these projections do not provide information on household incomes or whether households will be able to afford the housing they require.</w:t>
      </w:r>
    </w:p>
    <w:p w14:paraId="117A7929" w14:textId="28439DDB" w:rsidR="007F1E89" w:rsidRDefault="007F1E89" w:rsidP="007F1E89">
      <w:pPr>
        <w:pStyle w:val="Heading2"/>
      </w:pPr>
      <w:r>
        <w:t>Types of projections available</w:t>
      </w:r>
    </w:p>
    <w:p w14:paraId="699F268F" w14:textId="040ED88F" w:rsidR="007F1E89" w:rsidRDefault="007F1E89" w:rsidP="007F1E89">
      <w:pPr>
        <w:pStyle w:val="BodyText"/>
      </w:pPr>
      <w:r w:rsidRPr="007F1E89">
        <w:t xml:space="preserve">These </w:t>
      </w:r>
      <w:r w:rsidR="00BB1782">
        <w:t>projections are</w:t>
      </w:r>
      <w:r w:rsidR="006370E5">
        <w:t xml:space="preserve"> all</w:t>
      </w:r>
      <w:r w:rsidR="00BB1782">
        <w:t xml:space="preserve"> </w:t>
      </w:r>
      <w:r w:rsidRPr="007F1E89">
        <w:t xml:space="preserve">available at the time of </w:t>
      </w:r>
      <w:r w:rsidR="00EA7CC3">
        <w:t>publi</w:t>
      </w:r>
      <w:r w:rsidR="006370E5">
        <w:t>cation</w:t>
      </w:r>
      <w:r w:rsidRPr="007F1E89">
        <w:t xml:space="preserve">. </w:t>
      </w:r>
      <w:r w:rsidR="00EA7CC3">
        <w:t>C</w:t>
      </w:r>
      <w:r w:rsidRPr="007F1E89">
        <w:t>ouncil</w:t>
      </w:r>
      <w:r w:rsidR="00EA7CC3">
        <w:t>s</w:t>
      </w:r>
      <w:r w:rsidRPr="007F1E89">
        <w:t xml:space="preserve"> may use </w:t>
      </w:r>
      <w:r w:rsidR="00EA7CC3">
        <w:t xml:space="preserve">their </w:t>
      </w:r>
      <w:r w:rsidRPr="007F1E89">
        <w:t>own population projections</w:t>
      </w:r>
      <w:r w:rsidR="00EA7CC3">
        <w:t xml:space="preserve"> </w:t>
      </w:r>
      <w:proofErr w:type="gramStart"/>
      <w:r w:rsidR="00EA7CC3">
        <w:t>instead</w:t>
      </w:r>
      <w:r w:rsidRPr="007F1E89">
        <w:t xml:space="preserve">, </w:t>
      </w:r>
      <w:r w:rsidR="00EA7CC3">
        <w:t>but</w:t>
      </w:r>
      <w:proofErr w:type="gramEnd"/>
      <w:r w:rsidR="00EA7CC3">
        <w:t xml:space="preserve"> would need to also provide </w:t>
      </w:r>
      <w:r w:rsidRPr="007F1E89">
        <w:t>the methodology for th</w:t>
      </w:r>
      <w:r w:rsidR="00EA7CC3">
        <w:t>em</w:t>
      </w:r>
      <w:r w:rsidRPr="007F1E89">
        <w:t xml:space="preserve"> within (or as an </w:t>
      </w:r>
      <w:r w:rsidR="00EA7CC3">
        <w:t>a</w:t>
      </w:r>
      <w:r w:rsidRPr="007F1E89">
        <w:t xml:space="preserve">ppendix to) </w:t>
      </w:r>
      <w:r w:rsidR="00EA7CC3">
        <w:t xml:space="preserve">their </w:t>
      </w:r>
      <w:r w:rsidRPr="007F1E89">
        <w:t>HBA.</w:t>
      </w:r>
    </w:p>
    <w:p w14:paraId="00F4F832" w14:textId="5457DE78" w:rsidR="00F5746A" w:rsidRPr="00225830" w:rsidRDefault="007F1E89" w:rsidP="00F5746A">
      <w:pPr>
        <w:pStyle w:val="Heading3"/>
      </w:pPr>
      <w:r>
        <w:lastRenderedPageBreak/>
        <w:t xml:space="preserve">National </w:t>
      </w:r>
      <w:r w:rsidR="00EA7CC3">
        <w:t>p</w:t>
      </w:r>
      <w:r>
        <w:t xml:space="preserve">opulation </w:t>
      </w:r>
      <w:r w:rsidR="00EA7CC3">
        <w:t>p</w:t>
      </w:r>
      <w:r>
        <w:t>rojections</w:t>
      </w:r>
    </w:p>
    <w:p w14:paraId="69788E1C" w14:textId="4C0AE9F0" w:rsidR="007F1E89" w:rsidRPr="007F1E89" w:rsidRDefault="735B51B4" w:rsidP="007F1E89">
      <w:pPr>
        <w:pStyle w:val="BodyText"/>
      </w:pPr>
      <w:r w:rsidRPr="71C3CBDE">
        <w:rPr>
          <w:lang w:val="en-US"/>
        </w:rPr>
        <w:t xml:space="preserve">National population projections (NPPs) show the future population of </w:t>
      </w:r>
      <w:r w:rsidR="6ED91FE5" w:rsidRPr="71C3CBDE">
        <w:rPr>
          <w:lang w:val="en-US"/>
        </w:rPr>
        <w:t xml:space="preserve">Aotearoa </w:t>
      </w:r>
      <w:r w:rsidRPr="71C3CBDE">
        <w:rPr>
          <w:lang w:val="en-US"/>
        </w:rPr>
        <w:t xml:space="preserve">New Zealand based on assumptions about migration and natural </w:t>
      </w:r>
      <w:r w:rsidR="02161576" w:rsidRPr="71C3CBDE">
        <w:rPr>
          <w:lang w:val="en-US"/>
        </w:rPr>
        <w:t xml:space="preserve">population </w:t>
      </w:r>
      <w:r w:rsidRPr="71C3CBDE">
        <w:rPr>
          <w:lang w:val="en-US"/>
        </w:rPr>
        <w:t>increase. NPPs indicate uncertainty over time. For example, there</w:t>
      </w:r>
      <w:r w:rsidR="1F6C830F" w:rsidRPr="71C3CBDE">
        <w:rPr>
          <w:lang w:val="en-US"/>
        </w:rPr>
        <w:t>’</w:t>
      </w:r>
      <w:r w:rsidRPr="71C3CBDE">
        <w:rPr>
          <w:lang w:val="en-US"/>
        </w:rPr>
        <w:t>s a 95</w:t>
      </w:r>
      <w:r w:rsidR="02161576" w:rsidRPr="71C3CBDE">
        <w:rPr>
          <w:lang w:val="en-US"/>
        </w:rPr>
        <w:t xml:space="preserve"> per cent</w:t>
      </w:r>
      <w:r w:rsidRPr="71C3CBDE">
        <w:rPr>
          <w:lang w:val="en-US"/>
        </w:rPr>
        <w:t xml:space="preserve"> chance </w:t>
      </w:r>
      <w:r w:rsidR="02161576" w:rsidRPr="71C3CBDE">
        <w:rPr>
          <w:lang w:val="en-US"/>
        </w:rPr>
        <w:t xml:space="preserve">that </w:t>
      </w:r>
      <w:r w:rsidRPr="71C3CBDE">
        <w:rPr>
          <w:lang w:val="en-US"/>
        </w:rPr>
        <w:t xml:space="preserve">the projections will exceed the </w:t>
      </w:r>
      <w:r w:rsidR="02161576" w:rsidRPr="71C3CBDE">
        <w:rPr>
          <w:lang w:val="en-US"/>
        </w:rPr>
        <w:t xml:space="preserve">fifth </w:t>
      </w:r>
      <w:r w:rsidRPr="71C3CBDE">
        <w:rPr>
          <w:lang w:val="en-US"/>
        </w:rPr>
        <w:t>percentile and a 5</w:t>
      </w:r>
      <w:r w:rsidR="186520A8" w:rsidRPr="71C3CBDE">
        <w:rPr>
          <w:lang w:val="en-US"/>
        </w:rPr>
        <w:t> </w:t>
      </w:r>
      <w:r w:rsidR="02161576" w:rsidRPr="71C3CBDE">
        <w:rPr>
          <w:lang w:val="en-US"/>
        </w:rPr>
        <w:t>per cent</w:t>
      </w:r>
      <w:r w:rsidRPr="71C3CBDE">
        <w:rPr>
          <w:lang w:val="en-US"/>
        </w:rPr>
        <w:t xml:space="preserve"> chance they</w:t>
      </w:r>
      <w:r w:rsidR="1F6C830F" w:rsidRPr="71C3CBDE">
        <w:rPr>
          <w:lang w:val="en-US"/>
        </w:rPr>
        <w:t>’</w:t>
      </w:r>
      <w:r w:rsidRPr="71C3CBDE">
        <w:rPr>
          <w:lang w:val="en-US"/>
        </w:rPr>
        <w:t xml:space="preserve">ll surpass the 95th percentile. </w:t>
      </w:r>
    </w:p>
    <w:p w14:paraId="7522B9CC" w14:textId="327ED6FB" w:rsidR="007F1E89" w:rsidRDefault="007F1E89" w:rsidP="007F1E89">
      <w:pPr>
        <w:pStyle w:val="BodyText"/>
      </w:pPr>
      <w:r w:rsidRPr="007F1E89">
        <w:rPr>
          <w:lang w:val="en-US"/>
        </w:rPr>
        <w:t>The latest NPPs use the provisional estimated resident population as of</w:t>
      </w:r>
      <w:r w:rsidR="00C643A4">
        <w:rPr>
          <w:lang w:val="en-US"/>
        </w:rPr>
        <w:t xml:space="preserve"> 30</w:t>
      </w:r>
      <w:r w:rsidRPr="007F1E89">
        <w:rPr>
          <w:lang w:val="en-US"/>
        </w:rPr>
        <w:t xml:space="preserve"> June 2022 as the starting point for projections covering 2023</w:t>
      </w:r>
      <w:r w:rsidR="002C767D">
        <w:rPr>
          <w:lang w:val="en-US"/>
        </w:rPr>
        <w:t>–</w:t>
      </w:r>
      <w:r w:rsidRPr="007F1E89">
        <w:rPr>
          <w:lang w:val="en-US"/>
        </w:rPr>
        <w:t>2073. Key findings include</w:t>
      </w:r>
      <w:r w:rsidR="00CD269D">
        <w:rPr>
          <w:lang w:val="en-US"/>
        </w:rPr>
        <w:t xml:space="preserve"> that</w:t>
      </w:r>
      <w:r w:rsidRPr="007F1E89">
        <w:rPr>
          <w:lang w:val="en-US"/>
        </w:rPr>
        <w:t>:</w:t>
      </w:r>
    </w:p>
    <w:p w14:paraId="5DDE6F1A" w14:textId="5CC46F27" w:rsidR="007F1E89" w:rsidRDefault="6ED91FE5" w:rsidP="007F1E89">
      <w:pPr>
        <w:pStyle w:val="Bullet"/>
      </w:pPr>
      <w:r>
        <w:t xml:space="preserve">Aotearoa </w:t>
      </w:r>
      <w:r w:rsidR="638519B0">
        <w:t xml:space="preserve">New Zealand </w:t>
      </w:r>
      <w:r w:rsidR="735B51B4">
        <w:t>will likely have slower long-term population growth, with a projected 25</w:t>
      </w:r>
      <w:r w:rsidR="766FBF91">
        <w:t xml:space="preserve"> pe</w:t>
      </w:r>
      <w:r w:rsidR="6C70E312">
        <w:t>r</w:t>
      </w:r>
      <w:r w:rsidR="766FBF91">
        <w:t xml:space="preserve"> cent </w:t>
      </w:r>
      <w:r w:rsidR="735B51B4">
        <w:t xml:space="preserve">chance of no growth by the 2050s and </w:t>
      </w:r>
      <w:r w:rsidR="5B7C6E8D">
        <w:t xml:space="preserve">a </w:t>
      </w:r>
      <w:r w:rsidR="735B51B4">
        <w:t xml:space="preserve">potential decline by the </w:t>
      </w:r>
      <w:proofErr w:type="gramStart"/>
      <w:r w:rsidR="735B51B4">
        <w:t>2060s</w:t>
      </w:r>
      <w:proofErr w:type="gramEnd"/>
      <w:r w:rsidR="735B51B4">
        <w:t xml:space="preserve"> </w:t>
      </w:r>
    </w:p>
    <w:p w14:paraId="395912BC" w14:textId="6307C509" w:rsidR="007F1E89" w:rsidRDefault="00CD269D" w:rsidP="007F1E89">
      <w:pPr>
        <w:pStyle w:val="Bullet"/>
      </w:pPr>
      <w:r>
        <w:t>t</w:t>
      </w:r>
      <w:r w:rsidR="007F1E89">
        <w:t>here is a narrowing gap between births and deaths, with rising deaths due to ag</w:t>
      </w:r>
      <w:r w:rsidR="004F2947">
        <w:t>e</w:t>
      </w:r>
      <w:r w:rsidR="007F1E89">
        <w:t xml:space="preserve">ing. </w:t>
      </w:r>
      <w:r w:rsidR="003C72D5">
        <w:t>There is a</w:t>
      </w:r>
      <w:r w:rsidR="007F1E89">
        <w:t xml:space="preserve"> 75</w:t>
      </w:r>
      <w:r w:rsidR="003C72D5">
        <w:t xml:space="preserve"> per cent</w:t>
      </w:r>
      <w:r w:rsidR="007F1E89">
        <w:t xml:space="preserve"> chance of natural increase being below 20,000 by the mid-2030s and a 25</w:t>
      </w:r>
      <w:r w:rsidR="003C72D5">
        <w:t xml:space="preserve"> per cent</w:t>
      </w:r>
      <w:r w:rsidR="007F1E89">
        <w:t xml:space="preserve"> chance of deaths exceeding births by </w:t>
      </w:r>
      <w:proofErr w:type="gramStart"/>
      <w:r w:rsidR="007F1E89">
        <w:t>2044</w:t>
      </w:r>
      <w:proofErr w:type="gramEnd"/>
      <w:r w:rsidR="007F1E89">
        <w:t xml:space="preserve"> </w:t>
      </w:r>
    </w:p>
    <w:p w14:paraId="5F61BDB7" w14:textId="5CA5143E" w:rsidR="007F1E89" w:rsidRDefault="40C2BA63" w:rsidP="007F1E89">
      <w:pPr>
        <w:pStyle w:val="Bullet"/>
      </w:pPr>
      <w:r>
        <w:t xml:space="preserve">Aotearoa </w:t>
      </w:r>
      <w:r w:rsidR="087EB4BE">
        <w:t xml:space="preserve">New Zealand </w:t>
      </w:r>
      <w:r w:rsidR="735B51B4">
        <w:t>has an ag</w:t>
      </w:r>
      <w:r w:rsidR="3FB905D9">
        <w:t>e</w:t>
      </w:r>
      <w:r w:rsidR="735B51B4">
        <w:t>ing population, with median age rising from 37 in 2022 to 40 in the early 2030s and a 75</w:t>
      </w:r>
      <w:r w:rsidR="534406CC">
        <w:t xml:space="preserve"> per cent</w:t>
      </w:r>
      <w:r w:rsidR="735B51B4">
        <w:t xml:space="preserve"> chance of surpassing 45 by 2073. Children under 15 are expected to be less than one</w:t>
      </w:r>
      <w:r w:rsidR="22AD1FF6">
        <w:t>-</w:t>
      </w:r>
      <w:r w:rsidR="735B51B4">
        <w:t>fifth of the population by 2073</w:t>
      </w:r>
      <w:r w:rsidR="22AD1FF6">
        <w:t xml:space="preserve"> and t</w:t>
      </w:r>
      <w:r w:rsidR="735B51B4">
        <w:t>he number of people over 65 is projected to double by 2063</w:t>
      </w:r>
      <w:r w:rsidR="4FC2BC10">
        <w:t>.</w:t>
      </w:r>
    </w:p>
    <w:p w14:paraId="6B0B3F1E" w14:textId="46A8F2B0" w:rsidR="007F1E89" w:rsidRDefault="00487665" w:rsidP="007F1E89">
      <w:pPr>
        <w:pStyle w:val="BodyText"/>
      </w:pPr>
      <w:r w:rsidRPr="00E91C9F">
        <w:rPr>
          <w:rStyle w:val="Heading4Char"/>
        </w:rPr>
        <w:t>NPP a</w:t>
      </w:r>
      <w:r w:rsidR="007F1E89" w:rsidRPr="00E91C9F">
        <w:rPr>
          <w:rStyle w:val="Heading4Char"/>
        </w:rPr>
        <w:t>ssumptions</w:t>
      </w:r>
    </w:p>
    <w:p w14:paraId="6DE17929" w14:textId="5A731DDB" w:rsidR="007F1E89" w:rsidRDefault="007F1E89" w:rsidP="007F1E89">
      <w:pPr>
        <w:pStyle w:val="Bullet"/>
      </w:pPr>
      <w:r>
        <w:t xml:space="preserve">Fertility: Total fertility rates are assumed at 1.7 births per woman, declining to 1.65 by 2042. There are high and low scenarios of 2.3 and 1, respectively. </w:t>
      </w:r>
    </w:p>
    <w:p w14:paraId="7DF2166D" w14:textId="0D4D452F" w:rsidR="007F1E89" w:rsidRDefault="007F1E89" w:rsidP="007F1E89">
      <w:pPr>
        <w:pStyle w:val="Bullet"/>
      </w:pPr>
      <w:r>
        <w:t>Migration: Assumptions are based on experts</w:t>
      </w:r>
      <w:r w:rsidR="003D3738">
        <w:t>’</w:t>
      </w:r>
      <w:r>
        <w:t xml:space="preserve"> input. Net migration is projected to reach 25,000 by 2026. Scenarios for no migration and high migration are also considered. </w:t>
      </w:r>
    </w:p>
    <w:p w14:paraId="446E094C" w14:textId="70E5375D" w:rsidR="007F1E89" w:rsidRDefault="735B51B4" w:rsidP="007F1E89">
      <w:pPr>
        <w:pStyle w:val="Bullet"/>
      </w:pPr>
      <w:r>
        <w:t xml:space="preserve">Life </w:t>
      </w:r>
      <w:r w:rsidR="57F3506A">
        <w:t>e</w:t>
      </w:r>
      <w:r>
        <w:t>xpectancy: There is an expected increase in life expectancy from 80.8 to 87 for males and from 84.1 to 89.7 for females. A very low</w:t>
      </w:r>
      <w:r w:rsidR="14961AAC">
        <w:t xml:space="preserve"> </w:t>
      </w:r>
      <w:r>
        <w:t>death</w:t>
      </w:r>
      <w:r w:rsidR="57F3506A">
        <w:t>-</w:t>
      </w:r>
      <w:r>
        <w:t>rate projection is also considered throughout.</w:t>
      </w:r>
    </w:p>
    <w:p w14:paraId="393FD1F9" w14:textId="3D1EEA7A" w:rsidR="007F1E89" w:rsidRDefault="007F1E89" w:rsidP="007F1E89">
      <w:pPr>
        <w:pStyle w:val="Heading3"/>
      </w:pPr>
      <w:r w:rsidRPr="007F1E89">
        <w:t>Sub</w:t>
      </w:r>
      <w:r w:rsidR="00DC0A5C">
        <w:t>-</w:t>
      </w:r>
      <w:r w:rsidRPr="007F1E89">
        <w:t xml:space="preserve">national </w:t>
      </w:r>
      <w:r w:rsidR="003B5118">
        <w:t>p</w:t>
      </w:r>
      <w:r w:rsidRPr="007F1E89">
        <w:t xml:space="preserve">opulation </w:t>
      </w:r>
      <w:r w:rsidR="003B5118">
        <w:t>p</w:t>
      </w:r>
      <w:r w:rsidRPr="007F1E89">
        <w:t>rojections</w:t>
      </w:r>
    </w:p>
    <w:p w14:paraId="7D440D50" w14:textId="661628CE" w:rsidR="007F1E89" w:rsidRDefault="007F1E89" w:rsidP="007F1E89">
      <w:pPr>
        <w:pStyle w:val="BodyText"/>
      </w:pPr>
      <w:r>
        <w:t>Sub-national population projections (SNPPs) provide age and sex-specific projections for different</w:t>
      </w:r>
      <w:r w:rsidR="00641A44">
        <w:t xml:space="preserve"> regions and</w:t>
      </w:r>
      <w:r>
        <w:t xml:space="preserve"> territorial authorities. The projections are based on the provisional estimated resident population </w:t>
      </w:r>
      <w:proofErr w:type="gramStart"/>
      <w:r>
        <w:t>at</w:t>
      </w:r>
      <w:proofErr w:type="gramEnd"/>
      <w:r>
        <w:t xml:space="preserve"> 30 June 2018 and cover the period from 2018 to 2048 in five-year</w:t>
      </w:r>
      <w:r w:rsidR="007D5E86">
        <w:t>ly</w:t>
      </w:r>
      <w:r>
        <w:t xml:space="preserve"> intervals. SNPPs include low, medium, and high projections for each </w:t>
      </w:r>
      <w:r w:rsidR="00641A44">
        <w:t xml:space="preserve">region and </w:t>
      </w:r>
      <w:r>
        <w:t xml:space="preserve">territorial authority. </w:t>
      </w:r>
    </w:p>
    <w:p w14:paraId="7E7E4DCD" w14:textId="0BBD2684" w:rsidR="007F1E89" w:rsidRDefault="735B51B4" w:rsidP="007F1E89">
      <w:pPr>
        <w:pStyle w:val="BodyText"/>
      </w:pPr>
      <w:r>
        <w:t>It's important to note that projection uncertainty increases for smaller geographic areas and areas experiencing rapid population changes. This is because sub-national projections rely on national projections, and inaccuracies at the national level can impact and potentially amplify inaccuracies at the sub-national level</w:t>
      </w:r>
      <w:r w:rsidR="007F1E89" w:rsidRPr="71C3CBDE">
        <w:rPr>
          <w:rStyle w:val="FootnoteReference"/>
        </w:rPr>
        <w:footnoteReference w:id="2"/>
      </w:r>
      <w:r>
        <w:t xml:space="preserve"> </w:t>
      </w:r>
    </w:p>
    <w:p w14:paraId="3B424F16" w14:textId="528DDB49" w:rsidR="007F1E89" w:rsidRPr="002E601E" w:rsidRDefault="007F1E89" w:rsidP="007F1E89">
      <w:pPr>
        <w:pStyle w:val="Heading3"/>
      </w:pPr>
      <w:r>
        <w:t xml:space="preserve">Ethnic </w:t>
      </w:r>
      <w:r w:rsidR="00D83650">
        <w:t>p</w:t>
      </w:r>
      <w:r>
        <w:t xml:space="preserve">opulation </w:t>
      </w:r>
      <w:r w:rsidR="00D83650">
        <w:t>p</w:t>
      </w:r>
      <w:r>
        <w:t xml:space="preserve">rojections </w:t>
      </w:r>
    </w:p>
    <w:p w14:paraId="1263632E" w14:textId="62DF32F4" w:rsidR="007F1E89" w:rsidRDefault="735B51B4" w:rsidP="007F1E89">
      <w:pPr>
        <w:pStyle w:val="BodyText"/>
      </w:pPr>
      <w:r>
        <w:t>Ethnic population projections (EPPs)</w:t>
      </w:r>
      <w:r w:rsidR="40104169">
        <w:t xml:space="preserve"> project the </w:t>
      </w:r>
      <w:r w:rsidR="747F56A4">
        <w:t xml:space="preserve">ethnic make-up of each area of </w:t>
      </w:r>
      <w:r w:rsidR="59B47C83">
        <w:t>Aotearoa</w:t>
      </w:r>
      <w:r w:rsidR="789139F6">
        <w:t xml:space="preserve"> New Zealand</w:t>
      </w:r>
      <w:r>
        <w:t xml:space="preserve">. These projections use the provisional estimated resident population </w:t>
      </w:r>
      <w:proofErr w:type="gramStart"/>
      <w:r>
        <w:t>at</w:t>
      </w:r>
      <w:proofErr w:type="gramEnd"/>
      <w:r>
        <w:t xml:space="preserve"> 30 June 2018 as the starting point and cover the period from 2018 to 2043. They offer projections for different age and sex groups at national and sub</w:t>
      </w:r>
      <w:r w:rsidR="3FC123DC">
        <w:t>-</w:t>
      </w:r>
      <w:r>
        <w:t xml:space="preserve">national levels. </w:t>
      </w:r>
    </w:p>
    <w:p w14:paraId="08BC40C6" w14:textId="04BE7E92" w:rsidR="007F1E89" w:rsidRDefault="4BF25EA5" w:rsidP="00C845F4">
      <w:pPr>
        <w:pStyle w:val="BodyText"/>
        <w:spacing w:line="300" w:lineRule="atLeast"/>
      </w:pPr>
      <w:r>
        <w:lastRenderedPageBreak/>
        <w:t>E</w:t>
      </w:r>
      <w:r w:rsidR="735B51B4">
        <w:t xml:space="preserve">thnic population </w:t>
      </w:r>
      <w:r w:rsidR="3E4FC5C7">
        <w:t xml:space="preserve">trends are expected to </w:t>
      </w:r>
      <w:r w:rsidR="735B51B4">
        <w:t xml:space="preserve">follow similar patterns to the national projections. Over time, the growth rate of ethnic populations will slow, populations will age, and there will be a larger proportion of people aged 65 and above. These trends are particularly pronounced in the European population, which has an older age structure. As a result, other ethnicities will </w:t>
      </w:r>
      <w:r w:rsidR="743266D9">
        <w:t xml:space="preserve">make up more of </w:t>
      </w:r>
      <w:r w:rsidR="735B51B4">
        <w:t xml:space="preserve">the overall population and </w:t>
      </w:r>
      <w:r w:rsidR="3E8EBF36">
        <w:t xml:space="preserve">Aotearoa </w:t>
      </w:r>
      <w:r w:rsidR="70E0E3C5">
        <w:t xml:space="preserve">New Zealand </w:t>
      </w:r>
      <w:r w:rsidR="735B51B4">
        <w:t xml:space="preserve">will become more ethnically diverse. Projected net migration loss in the European population will further contribute to this trend. </w:t>
      </w:r>
    </w:p>
    <w:p w14:paraId="48F47512" w14:textId="6C243D40" w:rsidR="007F1E89" w:rsidRPr="007F1E89" w:rsidRDefault="007F1E89" w:rsidP="00C845F4">
      <w:pPr>
        <w:pStyle w:val="BodyText"/>
        <w:spacing w:line="300" w:lineRule="atLeast"/>
      </w:pPr>
      <w:r>
        <w:t>Different</w:t>
      </w:r>
      <w:r w:rsidR="00653F94">
        <w:t xml:space="preserve"> factors will affect different</w:t>
      </w:r>
      <w:r>
        <w:t xml:space="preserve"> ethnic populations. The growth of Māori and Pacific populations will primarily be driven by natural increase, while net migration will be the main driver </w:t>
      </w:r>
      <w:r w:rsidR="007F518C">
        <w:t xml:space="preserve">of </w:t>
      </w:r>
      <w:r>
        <w:t>growth in Asian populations.</w:t>
      </w:r>
    </w:p>
    <w:p w14:paraId="4E68C44A" w14:textId="51431C46" w:rsidR="007F1E89" w:rsidRDefault="007F1E89" w:rsidP="007F1E89">
      <w:pPr>
        <w:pStyle w:val="Heading3"/>
      </w:pPr>
      <w:r>
        <w:t xml:space="preserve">Family and </w:t>
      </w:r>
      <w:r w:rsidR="007F518C">
        <w:t>h</w:t>
      </w:r>
      <w:r>
        <w:t xml:space="preserve">ousehold </w:t>
      </w:r>
      <w:r w:rsidR="007F518C">
        <w:t>p</w:t>
      </w:r>
      <w:r>
        <w:t xml:space="preserve">opulation </w:t>
      </w:r>
      <w:r w:rsidR="007F518C">
        <w:t>p</w:t>
      </w:r>
      <w:r>
        <w:t>rojections</w:t>
      </w:r>
    </w:p>
    <w:p w14:paraId="40DDB3B0" w14:textId="36D4ED1B" w:rsidR="00F5746A" w:rsidRDefault="735B51B4" w:rsidP="00F5746A">
      <w:pPr>
        <w:pStyle w:val="BodyText"/>
      </w:pPr>
      <w:r w:rsidRPr="007F1E89">
        <w:t xml:space="preserve">Family and </w:t>
      </w:r>
      <w:r w:rsidR="30D9CB38">
        <w:t>h</w:t>
      </w:r>
      <w:r w:rsidRPr="007F1E89">
        <w:t xml:space="preserve">ousehold </w:t>
      </w:r>
      <w:r w:rsidR="79979A9B">
        <w:t xml:space="preserve">population </w:t>
      </w:r>
      <w:r w:rsidR="30D9CB38">
        <w:t>p</w:t>
      </w:r>
      <w:r w:rsidRPr="007F1E89">
        <w:t xml:space="preserve">rojections (FHPPs) provide insights into population living arrangements, age, and sex. These projections use the provisional estimated resident population </w:t>
      </w:r>
      <w:proofErr w:type="gramStart"/>
      <w:r w:rsidRPr="007F1E89">
        <w:t>at</w:t>
      </w:r>
      <w:proofErr w:type="gramEnd"/>
      <w:r w:rsidRPr="007F1E89">
        <w:t xml:space="preserve"> 30 June 2018 as the starting point and cover the period from 2018 to 2043, with data available at national and sub-national levels, including </w:t>
      </w:r>
      <w:r w:rsidR="39FC0A52">
        <w:t>s</w:t>
      </w:r>
      <w:r w:rsidRPr="007F1E89">
        <w:t xml:space="preserve">tatistical </w:t>
      </w:r>
      <w:r w:rsidR="39FC0A52">
        <w:t>a</w:t>
      </w:r>
      <w:r w:rsidRPr="007F1E89">
        <w:t>rea 2</w:t>
      </w:r>
      <w:r w:rsidR="3D93FF9E">
        <w:t>.</w:t>
      </w:r>
      <w:r w:rsidR="007F1E89">
        <w:rPr>
          <w:rStyle w:val="FootnoteReference"/>
        </w:rPr>
        <w:footnoteReference w:id="3"/>
      </w:r>
    </w:p>
    <w:p w14:paraId="63F5AB58" w14:textId="77777777" w:rsidR="00227D8B" w:rsidRDefault="00227D8B" w:rsidP="00227D8B">
      <w:pPr>
        <w:pStyle w:val="Heading2"/>
      </w:pPr>
      <w:r>
        <w:t>Frequency of updates</w:t>
      </w:r>
    </w:p>
    <w:p w14:paraId="0ACCA389" w14:textId="106940FB" w:rsidR="00790394" w:rsidRDefault="00790394" w:rsidP="00227D8B">
      <w:pPr>
        <w:pStyle w:val="BodyText"/>
      </w:pPr>
      <w:r>
        <w:t>The population projections are updated following the Census</w:t>
      </w:r>
      <w:r w:rsidR="00A44F52">
        <w:t xml:space="preserve"> according to the following schedule</w:t>
      </w:r>
      <w:r w:rsidR="00DF121C">
        <w:t>.</w:t>
      </w:r>
      <w:r>
        <w:t xml:space="preserve"> </w:t>
      </w:r>
    </w:p>
    <w:p w14:paraId="62BB3D7C" w14:textId="525C3708" w:rsidR="00227D8B" w:rsidRDefault="00A44F52" w:rsidP="00227D8B">
      <w:pPr>
        <w:pStyle w:val="Bullet"/>
      </w:pPr>
      <w:r>
        <w:t xml:space="preserve">Firstly, </w:t>
      </w:r>
      <w:r w:rsidR="00227D8B">
        <w:t>the national population projections (NPPs)</w:t>
      </w:r>
      <w:r w:rsidR="00312E67">
        <w:t xml:space="preserve"> are prepared. These </w:t>
      </w:r>
      <w:r w:rsidR="003A7C22">
        <w:t xml:space="preserve">projections </w:t>
      </w:r>
      <w:r w:rsidR="00227D8B">
        <w:t xml:space="preserve">use the estimated resident population as their base due to </w:t>
      </w:r>
      <w:r w:rsidR="007F7DF3">
        <w:t>their</w:t>
      </w:r>
      <w:r w:rsidR="00227D8B">
        <w:t xml:space="preserve"> larger sample size and reduced potential for errors. All other projections use the population estimates from the previous Census as their base. </w:t>
      </w:r>
    </w:p>
    <w:p w14:paraId="4432BB2D" w14:textId="4DFF8365" w:rsidR="00227D8B" w:rsidRDefault="007F7DF3" w:rsidP="00E91C9F">
      <w:pPr>
        <w:pStyle w:val="Bullet"/>
      </w:pPr>
      <w:r>
        <w:t>Se</w:t>
      </w:r>
      <w:r w:rsidR="00C90391">
        <w:t>c</w:t>
      </w:r>
      <w:r>
        <w:t xml:space="preserve">ondly, </w:t>
      </w:r>
      <w:r w:rsidR="00227D8B">
        <w:t>the sub-national population projections (SNPP), ethnic population projections (EPP), and family and household population projections (FHPP)</w:t>
      </w:r>
      <w:r w:rsidR="00C90391">
        <w:t xml:space="preserve"> are prepared</w:t>
      </w:r>
      <w:r w:rsidR="00227D8B">
        <w:t xml:space="preserve">, in that order. These projections are informed by the NPP and must be consistent with it. For example, the sum of projected sub-national populations cannot exceed the total projected national population in any given year (except for in the EPP, as individuals can identify with multiple ethnicities). </w:t>
      </w:r>
    </w:p>
    <w:p w14:paraId="1C9A4CE0" w14:textId="65C767D1" w:rsidR="00790394" w:rsidRDefault="00227D8B" w:rsidP="00227D8B">
      <w:pPr>
        <w:pStyle w:val="BodyText"/>
        <w:rPr>
          <w:rStyle w:val="normaltextrun"/>
          <w:rFonts w:cs="Calibri"/>
        </w:rPr>
      </w:pPr>
      <w:r>
        <w:t xml:space="preserve">Once the first round of projections is complete, they are updated. </w:t>
      </w:r>
      <w:r w:rsidR="003139F8" w:rsidRPr="7301E483">
        <w:rPr>
          <w:rStyle w:val="normaltextrun"/>
          <w:rFonts w:cs="Calibri"/>
        </w:rPr>
        <w:t xml:space="preserve">The first round of </w:t>
      </w:r>
      <w:r w:rsidR="003139F8">
        <w:rPr>
          <w:rStyle w:val="normaltextrun"/>
          <w:rFonts w:cs="Calibri"/>
        </w:rPr>
        <w:t xml:space="preserve">each type of </w:t>
      </w:r>
      <w:r w:rsidR="003139F8" w:rsidRPr="7301E483">
        <w:rPr>
          <w:rStyle w:val="normaltextrun"/>
          <w:rFonts w:cs="Calibri"/>
        </w:rPr>
        <w:t xml:space="preserve">projections are called </w:t>
      </w:r>
      <w:r w:rsidR="003139F8">
        <w:rPr>
          <w:rStyle w:val="normaltextrun"/>
          <w:rFonts w:cs="Calibri"/>
        </w:rPr>
        <w:t xml:space="preserve">the </w:t>
      </w:r>
      <w:r w:rsidR="003139F8" w:rsidRPr="7301E483">
        <w:rPr>
          <w:rStyle w:val="normaltextrun"/>
          <w:rFonts w:cs="Calibri"/>
        </w:rPr>
        <w:t xml:space="preserve">‘base’ and the second round are named ‘updated’. </w:t>
      </w:r>
    </w:p>
    <w:p w14:paraId="69439439" w14:textId="665D1923" w:rsidR="00227D8B" w:rsidRDefault="00227D8B" w:rsidP="00227D8B">
      <w:pPr>
        <w:pStyle w:val="BodyText"/>
      </w:pPr>
      <w:r>
        <w:t xml:space="preserve">The NPP is updated using the latest estimated residential population (ERP) as the new base. For instance, the NPP 2020 (base) becomes the NPP (2022) base. </w:t>
      </w:r>
    </w:p>
    <w:p w14:paraId="609A379B" w14:textId="1C7299BB" w:rsidR="00227D8B" w:rsidRDefault="00227D8B" w:rsidP="00227D8B">
      <w:pPr>
        <w:pStyle w:val="BodyText"/>
      </w:pPr>
      <w:r>
        <w:t xml:space="preserve">The SNPP and EPP are also updated using the population from the last Census as the base. Therefore, the SNPP 2018 (base) becomes the SNPP 2018 (base) update. </w:t>
      </w:r>
      <w:r w:rsidR="004B1675">
        <w:t>T</w:t>
      </w:r>
      <w:r>
        <w:t xml:space="preserve">he FHPP </w:t>
      </w:r>
      <w:r w:rsidR="004B1675">
        <w:t>is</w:t>
      </w:r>
      <w:r>
        <w:t xml:space="preserve"> currently not updated. </w:t>
      </w:r>
    </w:p>
    <w:p w14:paraId="25E273BF" w14:textId="3E9AEC0E" w:rsidR="007F1E89" w:rsidRDefault="00340479" w:rsidP="007F1E89">
      <w:pPr>
        <w:pStyle w:val="Heading2"/>
      </w:pPr>
      <w:r>
        <w:lastRenderedPageBreak/>
        <w:t>U</w:t>
      </w:r>
      <w:r w:rsidR="007F1E89">
        <w:t>sing the projections</w:t>
      </w:r>
    </w:p>
    <w:p w14:paraId="5B5848D9" w14:textId="6C5F159E" w:rsidR="00366F28" w:rsidRPr="00366F28" w:rsidRDefault="7C702DC5" w:rsidP="00E91C9F">
      <w:pPr>
        <w:pStyle w:val="BodyText"/>
      </w:pPr>
      <w:r>
        <w:t>Stats NZ</w:t>
      </w:r>
      <w:r w:rsidR="6A398A55">
        <w:t xml:space="preserve"> note</w:t>
      </w:r>
      <w:r w:rsidR="003617CB">
        <w:t>s</w:t>
      </w:r>
      <w:r w:rsidR="6A398A55">
        <w:t xml:space="preserve"> that:</w:t>
      </w:r>
    </w:p>
    <w:p w14:paraId="5E7ACF51" w14:textId="09016F13" w:rsidR="00BD632D" w:rsidRDefault="3A18953F" w:rsidP="00BD632D">
      <w:pPr>
        <w:pStyle w:val="Bullet"/>
      </w:pPr>
      <w:r>
        <w:t>p</w:t>
      </w:r>
      <w:r w:rsidR="68A9B288">
        <w:t xml:space="preserve">opulation projections provide indications, not predictions, and should not be used to forecast trends. They focus solely on demographic trends and do not account for major policy changes, global events (like the COVID-19 pandemic), or economic </w:t>
      </w:r>
      <w:proofErr w:type="gramStart"/>
      <w:r w:rsidR="68A9B288">
        <w:t>shifts</w:t>
      </w:r>
      <w:proofErr w:type="gramEnd"/>
    </w:p>
    <w:p w14:paraId="3C1CCCD3" w14:textId="096B1352" w:rsidR="00346B87" w:rsidRDefault="3A18953F">
      <w:pPr>
        <w:pStyle w:val="Bullet"/>
      </w:pPr>
      <w:r>
        <w:t>p</w:t>
      </w:r>
      <w:r w:rsidR="735B51B4">
        <w:t xml:space="preserve">rojections are based on different assumptions about migration and natural increase. Short-term projections are </w:t>
      </w:r>
      <w:r w:rsidR="4A6F1729">
        <w:t xml:space="preserve">normally </w:t>
      </w:r>
      <w:r w:rsidR="735B51B4">
        <w:t>more accurate, while long-term projections have greater uncertainty.</w:t>
      </w:r>
      <w:r w:rsidR="4A6F1729">
        <w:t xml:space="preserve"> However, </w:t>
      </w:r>
      <w:r w:rsidR="330375C9">
        <w:t>recent net migration has been much higher than expected</w:t>
      </w:r>
      <w:r w:rsidR="69E4F00D">
        <w:t>.</w:t>
      </w:r>
      <w:r w:rsidR="006C14AF">
        <w:rPr>
          <w:rStyle w:val="FootnoteReference"/>
        </w:rPr>
        <w:footnoteReference w:id="4"/>
      </w:r>
      <w:r w:rsidR="330375C9">
        <w:t xml:space="preserve"> </w:t>
      </w:r>
      <w:r w:rsidR="6E5A0A9A">
        <w:t xml:space="preserve">So, </w:t>
      </w:r>
      <w:r w:rsidR="79FBAED6">
        <w:t xml:space="preserve">while the projections likely provide </w:t>
      </w:r>
      <w:r w:rsidR="5F170DEC">
        <w:t>a suitable indication of population</w:t>
      </w:r>
      <w:r w:rsidR="2C97452A">
        <w:t xml:space="preserve"> changes over the long</w:t>
      </w:r>
      <w:r w:rsidR="47677F63">
        <w:t xml:space="preserve"> </w:t>
      </w:r>
      <w:r w:rsidR="2C97452A">
        <w:t xml:space="preserve">term, </w:t>
      </w:r>
      <w:r w:rsidR="4C019485">
        <w:t>they will underestimate population over the short-term.</w:t>
      </w:r>
      <w:r w:rsidR="2359DF85">
        <w:t xml:space="preserve"> </w:t>
      </w:r>
      <w:r w:rsidR="1EEB9899">
        <w:t>Over the short</w:t>
      </w:r>
      <w:r>
        <w:t xml:space="preserve"> </w:t>
      </w:r>
      <w:r w:rsidR="1EEB9899">
        <w:t>term, t</w:t>
      </w:r>
      <w:r w:rsidR="2359DF85">
        <w:t>his issue</w:t>
      </w:r>
      <w:r w:rsidR="31CFDBF1">
        <w:t xml:space="preserve"> will</w:t>
      </w:r>
      <w:r w:rsidR="47C2AF90">
        <w:t xml:space="preserve"> have a greater impact on</w:t>
      </w:r>
      <w:r w:rsidR="2D00248B">
        <w:t xml:space="preserve"> the accuracy of</w:t>
      </w:r>
      <w:r w:rsidR="64E2CAE4">
        <w:t>:</w:t>
      </w:r>
    </w:p>
    <w:p w14:paraId="2C87B774" w14:textId="2EF5660D" w:rsidR="009D727B" w:rsidRDefault="00AD6642" w:rsidP="00306340">
      <w:pPr>
        <w:pStyle w:val="Sub-list"/>
      </w:pPr>
      <w:r>
        <w:t>Asian population projections</w:t>
      </w:r>
      <w:r w:rsidR="00CF435D">
        <w:t xml:space="preserve"> </w:t>
      </w:r>
      <w:r w:rsidR="00C34B56">
        <w:t xml:space="preserve">because Asian population growth is more dependent on immigration than </w:t>
      </w:r>
      <w:r w:rsidR="00297EA1">
        <w:t xml:space="preserve">the </w:t>
      </w:r>
      <w:r w:rsidR="00C34B56">
        <w:t xml:space="preserve">growth of </w:t>
      </w:r>
      <w:r w:rsidR="009D727B">
        <w:t xml:space="preserve">other </w:t>
      </w:r>
      <w:proofErr w:type="gramStart"/>
      <w:r w:rsidR="009D727B">
        <w:t>ethnicities</w:t>
      </w:r>
      <w:proofErr w:type="gramEnd"/>
    </w:p>
    <w:p w14:paraId="7B4CC326" w14:textId="5B5B5A41" w:rsidR="6AE48DDB" w:rsidRDefault="6AE48DDB" w:rsidP="71C3CBDE">
      <w:pPr>
        <w:pStyle w:val="Sub-list"/>
      </w:pPr>
      <w:r>
        <w:t>large city (especially Auckland) population</w:t>
      </w:r>
      <w:r w:rsidR="1ACCEB03">
        <w:t xml:space="preserve"> projections</w:t>
      </w:r>
      <w:r w:rsidR="388717DB">
        <w:t>,</w:t>
      </w:r>
      <w:r w:rsidR="170352F4">
        <w:t xml:space="preserve"> as the population of </w:t>
      </w:r>
      <w:r w:rsidR="5A595982">
        <w:t xml:space="preserve">Aotearoa </w:t>
      </w:r>
      <w:r w:rsidR="170352F4">
        <w:t>New Zealand’</w:t>
      </w:r>
      <w:r>
        <w:t xml:space="preserve">s </w:t>
      </w:r>
      <w:r w:rsidR="170352F4">
        <w:t xml:space="preserve">large centres is </w:t>
      </w:r>
      <w:r w:rsidR="498D871D">
        <w:t xml:space="preserve">more heavily dependent on immigration than our </w:t>
      </w:r>
      <w:r w:rsidR="1ACCEB03">
        <w:t>smaller population centres</w:t>
      </w:r>
      <w:r w:rsidR="5A2A7471">
        <w:t>.</w:t>
      </w:r>
      <w:r w:rsidR="735B51B4">
        <w:t xml:space="preserve"> </w:t>
      </w:r>
    </w:p>
    <w:p w14:paraId="13368F6A" w14:textId="4BBC09AD" w:rsidR="00A669BC" w:rsidRDefault="735B51B4" w:rsidP="71C3CBDE">
      <w:pPr>
        <w:pStyle w:val="Bullet"/>
        <w:numPr>
          <w:ilvl w:val="0"/>
          <w:numId w:val="0"/>
        </w:numPr>
        <w:tabs>
          <w:tab w:val="left" w:pos="397"/>
        </w:tabs>
      </w:pPr>
      <w:r>
        <w:t xml:space="preserve">Keeping in mind the </w:t>
      </w:r>
      <w:r w:rsidR="112C1385">
        <w:t xml:space="preserve">below </w:t>
      </w:r>
      <w:r>
        <w:t xml:space="preserve">compatibility guidelines, </w:t>
      </w:r>
      <w:r w:rsidR="25B7A865">
        <w:t xml:space="preserve">we </w:t>
      </w:r>
      <w:r w:rsidR="135384F3">
        <w:t xml:space="preserve">would normally </w:t>
      </w:r>
      <w:r w:rsidR="6C5673FE">
        <w:t>advise</w:t>
      </w:r>
      <w:r w:rsidR="135384F3">
        <w:t xml:space="preserve"> using </w:t>
      </w:r>
      <w:r>
        <w:t xml:space="preserve">the most </w:t>
      </w:r>
      <w:r w:rsidR="688ACBBE">
        <w:t xml:space="preserve">recent </w:t>
      </w:r>
      <w:r>
        <w:t>projections as these contain the most up-to-date data and assumptions.</w:t>
      </w:r>
      <w:r w:rsidR="4FE33E37">
        <w:t xml:space="preserve"> However, </w:t>
      </w:r>
      <w:r w:rsidR="4F48A2B0">
        <w:t>as recent</w:t>
      </w:r>
      <w:r w:rsidR="571B07F8">
        <w:t xml:space="preserve"> – updated</w:t>
      </w:r>
      <w:r w:rsidR="24741FD1">
        <w:t xml:space="preserve"> or second round</w:t>
      </w:r>
      <w:r w:rsidR="571B07F8">
        <w:t xml:space="preserve"> </w:t>
      </w:r>
      <w:r w:rsidR="24741FD1">
        <w:t>–</w:t>
      </w:r>
      <w:r w:rsidR="4F48A2B0">
        <w:t xml:space="preserve"> projections wildly underestimate net migration</w:t>
      </w:r>
      <w:r w:rsidR="575B7EC7">
        <w:t xml:space="preserve"> in the short-term, the </w:t>
      </w:r>
      <w:r w:rsidR="4BF59030">
        <w:t>base</w:t>
      </w:r>
      <w:r w:rsidR="24741FD1">
        <w:t xml:space="preserve"> or first round</w:t>
      </w:r>
      <w:r w:rsidR="32116A50">
        <w:t xml:space="preserve"> </w:t>
      </w:r>
      <w:r w:rsidR="575B7EC7">
        <w:t>projections</w:t>
      </w:r>
      <w:r w:rsidR="00318921">
        <w:t xml:space="preserve"> will be more accurate over the short</w:t>
      </w:r>
      <w:r w:rsidR="3FEF336D">
        <w:t xml:space="preserve"> </w:t>
      </w:r>
      <w:r w:rsidR="00318921">
        <w:t>term</w:t>
      </w:r>
      <w:r w:rsidR="0B558C11">
        <w:t xml:space="preserve">, especially for projecting the Asian population and population of people in </w:t>
      </w:r>
      <w:r w:rsidR="3FEF336D">
        <w:t xml:space="preserve">Aotearoa </w:t>
      </w:r>
      <w:r w:rsidR="0B558C11">
        <w:t>New Zealand’s la</w:t>
      </w:r>
      <w:r w:rsidR="53DB9BED">
        <w:t>rge urban centres</w:t>
      </w:r>
      <w:r w:rsidR="00318921">
        <w:t>.</w:t>
      </w:r>
      <w:r w:rsidR="575B7EC7">
        <w:t xml:space="preserve"> </w:t>
      </w:r>
      <w:r w:rsidR="54E1BC0F">
        <w:t xml:space="preserve">For example, </w:t>
      </w:r>
      <w:r w:rsidR="1B40D1FD">
        <w:t>to improve the accuracy of short-term assessments</w:t>
      </w:r>
      <w:r w:rsidR="73EF230D">
        <w:t xml:space="preserve"> we advise using the:</w:t>
      </w:r>
    </w:p>
    <w:p w14:paraId="37BA80D7" w14:textId="1F005E6A" w:rsidR="00B0051E" w:rsidRDefault="00A669BC" w:rsidP="003617CB">
      <w:pPr>
        <w:pStyle w:val="Bullet"/>
      </w:pPr>
      <w:r>
        <w:t>N</w:t>
      </w:r>
      <w:r w:rsidR="00B32B5F">
        <w:t>PP</w:t>
      </w:r>
      <w:r w:rsidR="008425F6">
        <w:t xml:space="preserve">: 2020 (base) – 2073, or a projection with a higher net </w:t>
      </w:r>
      <w:r w:rsidR="00BA7B9A">
        <w:t xml:space="preserve">migration scenario from the more recent </w:t>
      </w:r>
      <w:r w:rsidR="00B32B5F">
        <w:t xml:space="preserve">NPP: </w:t>
      </w:r>
      <w:r w:rsidR="00B0051E">
        <w:t>2022-base projections.</w:t>
      </w:r>
    </w:p>
    <w:p w14:paraId="64540DD8" w14:textId="376F3905" w:rsidR="007F1E89" w:rsidRDefault="0004694C" w:rsidP="003617CB">
      <w:pPr>
        <w:pStyle w:val="Bullet"/>
      </w:pPr>
      <w:r>
        <w:t>SNPP: 2018 (</w:t>
      </w:r>
      <w:r w:rsidR="00765424">
        <w:t xml:space="preserve">base) – 2048, </w:t>
      </w:r>
      <w:r w:rsidR="00B32B5F">
        <w:t>National EPP</w:t>
      </w:r>
      <w:r w:rsidR="00774341">
        <w:t xml:space="preserve"> 2018 (base) – 2043</w:t>
      </w:r>
      <w:r>
        <w:t xml:space="preserve">, </w:t>
      </w:r>
      <w:r w:rsidR="00765424">
        <w:t xml:space="preserve">sub-national </w:t>
      </w:r>
      <w:r w:rsidR="00F33F24">
        <w:t>EPP: 2018</w:t>
      </w:r>
      <w:r w:rsidR="002812CD">
        <w:t xml:space="preserve"> (base) – 2043, rather than the up</w:t>
      </w:r>
      <w:r w:rsidR="00553FCC">
        <w:t>dated version of these assessments.</w:t>
      </w:r>
      <w:r w:rsidR="007F1E89">
        <w:t xml:space="preserve"> </w:t>
      </w:r>
    </w:p>
    <w:p w14:paraId="7C71FFB6" w14:textId="52C5FA6F" w:rsidR="007F1E89" w:rsidRPr="007F1E89" w:rsidRDefault="735B51B4" w:rsidP="71C3CBDE">
      <w:pPr>
        <w:pStyle w:val="Bullet"/>
        <w:numPr>
          <w:ilvl w:val="0"/>
          <w:numId w:val="0"/>
        </w:numPr>
        <w:tabs>
          <w:tab w:val="left" w:pos="397"/>
        </w:tabs>
      </w:pPr>
      <w:r>
        <w:t>The EPP provides sub-national breakdowns, but exploration of family and household projections for different ethnicities is not possible at national or sub</w:t>
      </w:r>
      <w:r w:rsidR="3FC123DC">
        <w:t>-</w:t>
      </w:r>
      <w:r>
        <w:t>national levels.</w:t>
      </w:r>
    </w:p>
    <w:p w14:paraId="0C7D7288" w14:textId="0CFE734B" w:rsidR="007F1E89" w:rsidRDefault="00DA7DF4" w:rsidP="007F1E89">
      <w:pPr>
        <w:pStyle w:val="Heading2"/>
      </w:pPr>
      <w:r>
        <w:t>U</w:t>
      </w:r>
      <w:r w:rsidR="007F1E89">
        <w:t>s</w:t>
      </w:r>
      <w:r>
        <w:t>ing</w:t>
      </w:r>
      <w:r w:rsidR="007F1E89">
        <w:t xml:space="preserve"> different projections together</w:t>
      </w:r>
    </w:p>
    <w:p w14:paraId="53562CBA" w14:textId="19FF7384" w:rsidR="007F1E89" w:rsidRPr="007F1E89" w:rsidRDefault="00551EBF" w:rsidP="007F1E89">
      <w:pPr>
        <w:pStyle w:val="BodyText"/>
        <w:rPr>
          <w:rFonts w:cs="Calibri"/>
        </w:rPr>
      </w:pPr>
      <w:r>
        <w:rPr>
          <w:rStyle w:val="normaltextrun"/>
          <w:rFonts w:cs="Calibri"/>
        </w:rPr>
        <w:t>Generally</w:t>
      </w:r>
      <w:r w:rsidR="007F1E89" w:rsidRPr="7301E483">
        <w:rPr>
          <w:rStyle w:val="normaltextrun"/>
          <w:rFonts w:cs="Calibri"/>
        </w:rPr>
        <w:t xml:space="preserve">, different types of projections can </w:t>
      </w:r>
      <w:r w:rsidR="006E5D4C">
        <w:rPr>
          <w:rStyle w:val="normaltextrun"/>
          <w:rFonts w:cs="Calibri"/>
        </w:rPr>
        <w:t xml:space="preserve">only </w:t>
      </w:r>
      <w:r w:rsidR="007F1E89" w:rsidRPr="7301E483">
        <w:rPr>
          <w:rStyle w:val="normaltextrun"/>
          <w:rFonts w:cs="Calibri"/>
        </w:rPr>
        <w:t>be used together if they are from the same round.</w:t>
      </w:r>
      <w:r w:rsidR="00523A2B">
        <w:rPr>
          <w:rStyle w:val="normaltextrun"/>
          <w:rFonts w:cs="Calibri"/>
        </w:rPr>
        <w:t xml:space="preserve"> </w:t>
      </w:r>
      <w:r w:rsidR="00F94432">
        <w:rPr>
          <w:rStyle w:val="normaltextrun"/>
          <w:rFonts w:cs="Calibri"/>
        </w:rPr>
        <w:t xml:space="preserve">Please </w:t>
      </w:r>
      <w:r w:rsidR="00E1119F">
        <w:rPr>
          <w:rStyle w:val="normaltextrun"/>
          <w:rFonts w:cs="Calibri"/>
        </w:rPr>
        <w:t>note</w:t>
      </w:r>
      <w:r w:rsidR="00F94432">
        <w:rPr>
          <w:rStyle w:val="normaltextrun"/>
          <w:rFonts w:cs="Calibri"/>
        </w:rPr>
        <w:t xml:space="preserve"> that</w:t>
      </w:r>
      <w:r w:rsidR="00E1119F">
        <w:rPr>
          <w:rStyle w:val="normaltextrun"/>
          <w:rFonts w:cs="Calibri"/>
        </w:rPr>
        <w:t>:</w:t>
      </w:r>
    </w:p>
    <w:p w14:paraId="2BFEC9B7" w14:textId="661A52CF" w:rsidR="007F1E89" w:rsidRPr="007F1E89" w:rsidRDefault="1170F4B5" w:rsidP="007F1E89">
      <w:pPr>
        <w:pStyle w:val="Bullet"/>
      </w:pPr>
      <w:r w:rsidRPr="71C3CBDE">
        <w:rPr>
          <w:rStyle w:val="normaltextrun"/>
        </w:rPr>
        <w:t>t</w:t>
      </w:r>
      <w:r w:rsidR="735B51B4" w:rsidRPr="71C3CBDE">
        <w:rPr>
          <w:rStyle w:val="normaltextrun"/>
        </w:rPr>
        <w:t>he NPP 2022</w:t>
      </w:r>
      <w:r w:rsidRPr="71C3CBDE">
        <w:rPr>
          <w:rStyle w:val="normaltextrun"/>
        </w:rPr>
        <w:t xml:space="preserve"> </w:t>
      </w:r>
      <w:r w:rsidR="735B51B4" w:rsidRPr="71C3CBDE">
        <w:rPr>
          <w:rStyle w:val="normaltextrun"/>
        </w:rPr>
        <w:t>(base) is consistent with the SNPP 2018</w:t>
      </w:r>
      <w:r w:rsidRPr="71C3CBDE">
        <w:rPr>
          <w:rStyle w:val="normaltextrun"/>
        </w:rPr>
        <w:t xml:space="preserve"> </w:t>
      </w:r>
      <w:r w:rsidR="735B51B4" w:rsidRPr="71C3CBDE">
        <w:rPr>
          <w:rStyle w:val="normaltextrun"/>
        </w:rPr>
        <w:t xml:space="preserve">(base) update, but not with the first round of </w:t>
      </w:r>
      <w:proofErr w:type="gramStart"/>
      <w:r w:rsidR="735B51B4" w:rsidRPr="71C3CBDE">
        <w:rPr>
          <w:rStyle w:val="normaltextrun"/>
        </w:rPr>
        <w:t>SNPPs</w:t>
      </w:r>
      <w:proofErr w:type="gramEnd"/>
    </w:p>
    <w:p w14:paraId="0FA099B0" w14:textId="47C4EE58" w:rsidR="007F1E89" w:rsidRPr="007F1E89" w:rsidRDefault="1170F4B5" w:rsidP="007F1E89">
      <w:pPr>
        <w:pStyle w:val="Bullet"/>
      </w:pPr>
      <w:r w:rsidRPr="71C3CBDE">
        <w:rPr>
          <w:rStyle w:val="normaltextrun"/>
        </w:rPr>
        <w:t>d</w:t>
      </w:r>
      <w:r w:rsidR="735B51B4" w:rsidRPr="71C3CBDE">
        <w:rPr>
          <w:rStyle w:val="normaltextrun"/>
        </w:rPr>
        <w:t xml:space="preserve">ue to </w:t>
      </w:r>
      <w:r w:rsidRPr="71C3CBDE">
        <w:rPr>
          <w:rStyle w:val="normaltextrun"/>
        </w:rPr>
        <w:t xml:space="preserve">a </w:t>
      </w:r>
      <w:r w:rsidR="735B51B4" w:rsidRPr="71C3CBDE">
        <w:rPr>
          <w:rStyle w:val="normaltextrun"/>
        </w:rPr>
        <w:t>lack of updates, compare the FHPPs with the NPP 2020</w:t>
      </w:r>
      <w:r w:rsidRPr="71C3CBDE">
        <w:rPr>
          <w:rStyle w:val="normaltextrun"/>
        </w:rPr>
        <w:t xml:space="preserve"> </w:t>
      </w:r>
      <w:r w:rsidR="735B51B4" w:rsidRPr="71C3CBDE">
        <w:rPr>
          <w:rStyle w:val="normaltextrun"/>
        </w:rPr>
        <w:t>(base) for short</w:t>
      </w:r>
      <w:r w:rsidRPr="71C3CBDE">
        <w:rPr>
          <w:rStyle w:val="normaltextrun"/>
        </w:rPr>
        <w:t>-</w:t>
      </w:r>
      <w:r w:rsidR="735B51B4" w:rsidRPr="71C3CBDE">
        <w:rPr>
          <w:rStyle w:val="normaltextrun"/>
        </w:rPr>
        <w:t xml:space="preserve">term projections. </w:t>
      </w:r>
      <w:r w:rsidR="735B51B4" w:rsidRPr="71C3CBDE">
        <w:rPr>
          <w:rStyle w:val="eop"/>
        </w:rPr>
        <w:t> </w:t>
      </w:r>
    </w:p>
    <w:p w14:paraId="1F34B59A" w14:textId="42739C5B" w:rsidR="007F1E89" w:rsidRDefault="735B51B4" w:rsidP="007F1E89">
      <w:pPr>
        <w:pStyle w:val="BodyText"/>
        <w:rPr>
          <w:rStyle w:val="eop"/>
          <w:rFonts w:cs="Calibri"/>
        </w:rPr>
      </w:pPr>
      <w:r w:rsidRPr="71C3CBDE">
        <w:rPr>
          <w:rStyle w:val="normaltextrun"/>
          <w:rFonts w:cs="Calibri"/>
          <w:lang w:val="en-US"/>
        </w:rPr>
        <w:t>Projection datasets present different possible projections. At the time of release the median projection (50</w:t>
      </w:r>
      <w:r w:rsidR="3229786F" w:rsidRPr="71C3CBDE">
        <w:rPr>
          <w:rStyle w:val="normaltextrun"/>
          <w:rFonts w:cs="Calibri"/>
          <w:lang w:val="en-US"/>
        </w:rPr>
        <w:t>th</w:t>
      </w:r>
      <w:r w:rsidRPr="71C3CBDE">
        <w:rPr>
          <w:rStyle w:val="normaltextrun"/>
          <w:rFonts w:cs="Calibri"/>
          <w:lang w:val="en-US"/>
        </w:rPr>
        <w:t xml:space="preserve"> percentile) indicates an estimated 50 per</w:t>
      </w:r>
      <w:r w:rsidR="6CB3E4ED" w:rsidRPr="71C3CBDE">
        <w:rPr>
          <w:rStyle w:val="normaltextrun"/>
          <w:rFonts w:cs="Calibri"/>
          <w:lang w:val="en-US"/>
        </w:rPr>
        <w:t xml:space="preserve"> </w:t>
      </w:r>
      <w:r w:rsidRPr="71C3CBDE">
        <w:rPr>
          <w:rStyle w:val="normaltextrun"/>
          <w:rFonts w:cs="Calibri"/>
          <w:lang w:val="en-US"/>
        </w:rPr>
        <w:t>cent chance that the value will be lower and a 50 per</w:t>
      </w:r>
      <w:r w:rsidR="4AB63761" w:rsidRPr="71C3CBDE">
        <w:rPr>
          <w:rStyle w:val="normaltextrun"/>
          <w:rFonts w:cs="Calibri"/>
          <w:lang w:val="en-US"/>
        </w:rPr>
        <w:t xml:space="preserve"> </w:t>
      </w:r>
      <w:r w:rsidRPr="71C3CBDE">
        <w:rPr>
          <w:rStyle w:val="normaltextrun"/>
          <w:rFonts w:cs="Calibri"/>
          <w:lang w:val="en-US"/>
        </w:rPr>
        <w:t xml:space="preserve">cent chance that the value will be higher than this percentile. Other percentiles indicate </w:t>
      </w:r>
      <w:r w:rsidRPr="71C3CBDE">
        <w:rPr>
          <w:rStyle w:val="normaltextrun"/>
          <w:rFonts w:cs="Calibri"/>
          <w:lang w:val="en-US"/>
        </w:rPr>
        <w:lastRenderedPageBreak/>
        <w:t>the distribution of values. For example, the 25</w:t>
      </w:r>
      <w:r w:rsidR="3229786F" w:rsidRPr="71C3CBDE">
        <w:rPr>
          <w:rStyle w:val="normaltextrun"/>
          <w:rFonts w:cs="Calibri"/>
          <w:lang w:val="en-US"/>
        </w:rPr>
        <w:t>th</w:t>
      </w:r>
      <w:r w:rsidRPr="71C3CBDE">
        <w:rPr>
          <w:rStyle w:val="normaltextrun"/>
          <w:rFonts w:cs="Calibri"/>
          <w:lang w:val="en-US"/>
        </w:rPr>
        <w:t xml:space="preserve"> percentile indicates an estimated 25 per</w:t>
      </w:r>
      <w:r w:rsidR="4AB63761" w:rsidRPr="71C3CBDE">
        <w:rPr>
          <w:rStyle w:val="normaltextrun"/>
          <w:rFonts w:cs="Calibri"/>
          <w:lang w:val="en-US"/>
        </w:rPr>
        <w:t xml:space="preserve"> </w:t>
      </w:r>
      <w:r w:rsidRPr="71C3CBDE">
        <w:rPr>
          <w:rStyle w:val="normaltextrun"/>
          <w:rFonts w:cs="Calibri"/>
          <w:lang w:val="en-US"/>
        </w:rPr>
        <w:t xml:space="preserve">cent chance that the actual value will be lower and </w:t>
      </w:r>
      <w:r w:rsidR="4AB63761" w:rsidRPr="71C3CBDE">
        <w:rPr>
          <w:rStyle w:val="normaltextrun"/>
          <w:rFonts w:cs="Calibri"/>
          <w:lang w:val="en-US"/>
        </w:rPr>
        <w:t xml:space="preserve">a </w:t>
      </w:r>
      <w:r w:rsidRPr="71C3CBDE">
        <w:rPr>
          <w:rStyle w:val="normaltextrun"/>
          <w:rFonts w:cs="Calibri"/>
          <w:lang w:val="en-US"/>
        </w:rPr>
        <w:t>75 per</w:t>
      </w:r>
      <w:r w:rsidR="4AB63761" w:rsidRPr="71C3CBDE">
        <w:rPr>
          <w:rStyle w:val="normaltextrun"/>
          <w:rFonts w:cs="Calibri"/>
          <w:lang w:val="en-US"/>
        </w:rPr>
        <w:t xml:space="preserve"> </w:t>
      </w:r>
      <w:r w:rsidRPr="71C3CBDE">
        <w:rPr>
          <w:rStyle w:val="normaltextrun"/>
          <w:rFonts w:cs="Calibri"/>
          <w:lang w:val="en-US"/>
        </w:rPr>
        <w:t xml:space="preserve">cent chance that the actual will be higher.  </w:t>
      </w:r>
    </w:p>
    <w:p w14:paraId="4427A56B" w14:textId="77777777" w:rsidR="007F1E89" w:rsidRDefault="007F1E89" w:rsidP="007F1E89">
      <w:pPr>
        <w:pStyle w:val="BodyText"/>
        <w:rPr>
          <w:rFonts w:eastAsia="Calibri"/>
          <w:lang w:val="en-US"/>
        </w:rPr>
      </w:pPr>
      <w:r w:rsidRPr="7301E483">
        <w:rPr>
          <w:rFonts w:eastAsia="Calibri"/>
          <w:lang w:val="en-US"/>
        </w:rPr>
        <w:t>The medium (50</w:t>
      </w:r>
      <w:r w:rsidRPr="00E91C9F">
        <w:rPr>
          <w:rFonts w:eastAsia="Calibri"/>
          <w:lang w:val="en-US"/>
        </w:rPr>
        <w:t>th</w:t>
      </w:r>
      <w:r w:rsidRPr="7301E483">
        <w:rPr>
          <w:rFonts w:eastAsia="Calibri"/>
          <w:lang w:val="en-US"/>
        </w:rPr>
        <w:t xml:space="preserve"> percentile) projection of a particular projection type can be used together with the medium projection of other types. </w:t>
      </w:r>
    </w:p>
    <w:p w14:paraId="4001D6DC" w14:textId="77777777" w:rsidR="007F1E89" w:rsidRDefault="735B51B4" w:rsidP="007F1E89">
      <w:pPr>
        <w:pStyle w:val="Bullet"/>
        <w:rPr>
          <w:rFonts w:eastAsiaTheme="minorEastAsia"/>
          <w:lang w:val="en-US"/>
        </w:rPr>
      </w:pPr>
      <w:r w:rsidRPr="71C3CBDE">
        <w:rPr>
          <w:rFonts w:eastAsiaTheme="minorEastAsia"/>
          <w:lang w:val="en-US"/>
        </w:rPr>
        <w:t xml:space="preserve">The median (50th percentile) NPP is consistent with the medium SNPP, EPPs, and FHPP. </w:t>
      </w:r>
    </w:p>
    <w:p w14:paraId="219C795C" w14:textId="4506DA77" w:rsidR="007F1E89" w:rsidRDefault="735B51B4" w:rsidP="007F1E89">
      <w:pPr>
        <w:pStyle w:val="Bullet"/>
        <w:rPr>
          <w:rFonts w:eastAsiaTheme="minorEastAsia"/>
          <w:lang w:val="en-US"/>
        </w:rPr>
      </w:pPr>
      <w:r w:rsidRPr="71C3CBDE">
        <w:rPr>
          <w:rFonts w:eastAsiaTheme="minorEastAsia"/>
          <w:lang w:val="en-US"/>
        </w:rPr>
        <w:t xml:space="preserve">When using the FHPPs together with other projections, use the medium B projection, as this accounts for changing living arrangements based on </w:t>
      </w:r>
      <w:r w:rsidR="152A014F" w:rsidRPr="71C3CBDE">
        <w:rPr>
          <w:rFonts w:eastAsiaTheme="minorEastAsia"/>
          <w:lang w:val="en-US"/>
        </w:rPr>
        <w:t>C</w:t>
      </w:r>
      <w:r w:rsidRPr="71C3CBDE">
        <w:rPr>
          <w:rFonts w:eastAsiaTheme="minorEastAsia"/>
          <w:lang w:val="en-US"/>
        </w:rPr>
        <w:t>ensus family coding data from 2001</w:t>
      </w:r>
      <w:r w:rsidR="7A24ECAD" w:rsidRPr="71C3CBDE">
        <w:rPr>
          <w:rFonts w:eastAsiaTheme="minorEastAsia"/>
          <w:lang w:val="en-US"/>
        </w:rPr>
        <w:t xml:space="preserve"> to </w:t>
      </w:r>
      <w:r w:rsidRPr="71C3CBDE">
        <w:rPr>
          <w:rFonts w:eastAsiaTheme="minorEastAsia"/>
          <w:lang w:val="en-US"/>
        </w:rPr>
        <w:t xml:space="preserve">2018. </w:t>
      </w:r>
    </w:p>
    <w:p w14:paraId="0AE8842F" w14:textId="32F7E33E" w:rsidR="007F1E89" w:rsidRDefault="735B51B4" w:rsidP="007F1E89">
      <w:pPr>
        <w:pStyle w:val="Bullet"/>
        <w:rPr>
          <w:rFonts w:eastAsiaTheme="minorEastAsia"/>
          <w:lang w:val="en-US"/>
        </w:rPr>
      </w:pPr>
      <w:r w:rsidRPr="71C3CBDE">
        <w:rPr>
          <w:rFonts w:eastAsiaTheme="minorEastAsia"/>
          <w:lang w:val="en-US"/>
        </w:rPr>
        <w:t>High or low NPPs are not consistent with high or low sub</w:t>
      </w:r>
      <w:r w:rsidR="3FC123DC" w:rsidRPr="71C3CBDE">
        <w:rPr>
          <w:rFonts w:eastAsiaTheme="minorEastAsia"/>
          <w:lang w:val="en-US"/>
        </w:rPr>
        <w:t>-</w:t>
      </w:r>
      <w:r w:rsidRPr="71C3CBDE">
        <w:rPr>
          <w:rFonts w:eastAsiaTheme="minorEastAsia"/>
          <w:lang w:val="en-US"/>
        </w:rPr>
        <w:t xml:space="preserve">national, </w:t>
      </w:r>
      <w:proofErr w:type="gramStart"/>
      <w:r w:rsidRPr="71C3CBDE">
        <w:rPr>
          <w:rFonts w:eastAsiaTheme="minorEastAsia"/>
          <w:lang w:val="en-US"/>
        </w:rPr>
        <w:t>ethnic</w:t>
      </w:r>
      <w:proofErr w:type="gramEnd"/>
      <w:r w:rsidRPr="71C3CBDE">
        <w:rPr>
          <w:rFonts w:eastAsiaTheme="minorEastAsia"/>
          <w:lang w:val="en-US"/>
        </w:rPr>
        <w:t xml:space="preserve"> or family and household population projections due to different underlying assumptions. </w:t>
      </w:r>
    </w:p>
    <w:p w14:paraId="1523B6AD" w14:textId="327EF2BD" w:rsidR="007F1E89" w:rsidRDefault="007F1E89" w:rsidP="007F1E89">
      <w:pPr>
        <w:pStyle w:val="BodyText"/>
        <w:rPr>
          <w:lang w:val="en-US"/>
        </w:rPr>
      </w:pPr>
      <w:r w:rsidRPr="05EE23DE">
        <w:rPr>
          <w:rFonts w:eastAsia="Calibri"/>
          <w:lang w:val="en-US"/>
        </w:rPr>
        <w:t xml:space="preserve">Table </w:t>
      </w:r>
      <w:r w:rsidR="005F7FAB">
        <w:rPr>
          <w:rFonts w:eastAsia="Calibri"/>
          <w:lang w:val="en-US"/>
        </w:rPr>
        <w:t xml:space="preserve">1 </w:t>
      </w:r>
      <w:r w:rsidRPr="05EE23DE">
        <w:rPr>
          <w:rFonts w:eastAsia="Calibri"/>
          <w:lang w:val="en-US"/>
        </w:rPr>
        <w:t xml:space="preserve">below </w:t>
      </w:r>
      <w:r w:rsidR="005F7FAB">
        <w:rPr>
          <w:rFonts w:eastAsia="Calibri"/>
          <w:lang w:val="en-US"/>
        </w:rPr>
        <w:t xml:space="preserve">shows </w:t>
      </w:r>
      <w:r w:rsidRPr="05EE23DE">
        <w:rPr>
          <w:rFonts w:eastAsia="Calibri"/>
          <w:lang w:val="en-US"/>
        </w:rPr>
        <w:t xml:space="preserve">the projections available as </w:t>
      </w:r>
      <w:proofErr w:type="gramStart"/>
      <w:r w:rsidRPr="05EE23DE">
        <w:rPr>
          <w:rFonts w:eastAsia="Calibri"/>
          <w:lang w:val="en-US"/>
        </w:rPr>
        <w:t>at</w:t>
      </w:r>
      <w:proofErr w:type="gramEnd"/>
      <w:r w:rsidRPr="05EE23DE">
        <w:rPr>
          <w:rFonts w:eastAsia="Calibri"/>
          <w:lang w:val="en-US"/>
        </w:rPr>
        <w:t xml:space="preserve"> </w:t>
      </w:r>
      <w:r w:rsidR="007F7A13">
        <w:rPr>
          <w:rFonts w:eastAsia="Calibri"/>
          <w:lang w:val="en-US"/>
        </w:rPr>
        <w:t>November</w:t>
      </w:r>
      <w:r w:rsidR="007F7A13" w:rsidRPr="05EE23DE">
        <w:rPr>
          <w:rFonts w:eastAsia="Calibri"/>
          <w:lang w:val="en-US"/>
        </w:rPr>
        <w:t xml:space="preserve"> </w:t>
      </w:r>
      <w:r w:rsidRPr="05EE23DE">
        <w:rPr>
          <w:rFonts w:eastAsia="Calibri"/>
          <w:lang w:val="en-US"/>
        </w:rPr>
        <w:t>2023, and their compatibility with other projections. It is consistent with the rules above.</w:t>
      </w:r>
      <w:r w:rsidR="00D108E4">
        <w:rPr>
          <w:rFonts w:eastAsia="Calibri"/>
          <w:lang w:val="en-US"/>
        </w:rPr>
        <w:t xml:space="preserve"> For ease of </w:t>
      </w:r>
      <w:proofErr w:type="gramStart"/>
      <w:r w:rsidR="00D108E4">
        <w:rPr>
          <w:rFonts w:eastAsia="Calibri"/>
          <w:lang w:val="en-US"/>
        </w:rPr>
        <w:t>access</w:t>
      </w:r>
      <w:proofErr w:type="gramEnd"/>
      <w:r w:rsidR="00D108E4">
        <w:rPr>
          <w:rFonts w:eastAsia="Calibri"/>
          <w:lang w:val="en-US"/>
        </w:rPr>
        <w:t xml:space="preserve"> we have included links to all the projections.</w:t>
      </w:r>
      <w:r w:rsidRPr="05EE23DE">
        <w:rPr>
          <w:lang w:val="en-US"/>
        </w:rPr>
        <w:t xml:space="preserve"> </w:t>
      </w:r>
    </w:p>
    <w:p w14:paraId="4D0B19BE" w14:textId="39E1E4BC" w:rsidR="00BA701B" w:rsidRDefault="00BA701B">
      <w:pPr>
        <w:spacing w:before="0" w:after="0" w:line="240" w:lineRule="auto"/>
        <w:jc w:val="left"/>
        <w:rPr>
          <w:b/>
          <w:sz w:val="20"/>
        </w:rPr>
      </w:pPr>
      <w:bookmarkStart w:id="2" w:name="_Toc454963812"/>
    </w:p>
    <w:p w14:paraId="1F420C98" w14:textId="19E39303" w:rsidR="001308F4" w:rsidRPr="006B77BB" w:rsidRDefault="001308F4" w:rsidP="001308F4">
      <w:pPr>
        <w:pStyle w:val="Tableheading"/>
      </w:pPr>
      <w:r w:rsidRPr="006B77BB">
        <w:t xml:space="preserve">Table </w:t>
      </w:r>
      <w:r w:rsidRPr="00E91C9F">
        <w:t>1</w:t>
      </w:r>
      <w:r w:rsidRPr="009C42B1">
        <w:t>:</w:t>
      </w:r>
      <w:r w:rsidRPr="009C42B1">
        <w:tab/>
      </w:r>
      <w:bookmarkEnd w:id="2"/>
      <w:r w:rsidR="00C3291F">
        <w:t>Compatibility of different population projections</w:t>
      </w:r>
    </w:p>
    <w:tbl>
      <w:tblPr>
        <w:tblStyle w:val="LightGrid-Accent11"/>
        <w:tblW w:w="5000" w:type="pct"/>
        <w:tblLook w:val="04A0" w:firstRow="1" w:lastRow="0" w:firstColumn="1" w:lastColumn="0" w:noHBand="0" w:noVBand="1"/>
      </w:tblPr>
      <w:tblGrid>
        <w:gridCol w:w="4535"/>
        <w:gridCol w:w="4536"/>
      </w:tblGrid>
      <w:tr w:rsidR="001308F4" w:rsidRPr="00A2703A" w14:paraId="17B4406D" w14:textId="77777777" w:rsidTr="71C3CB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43E9EA07" w14:textId="671EC135" w:rsidR="001308F4" w:rsidRPr="00A2703A" w:rsidRDefault="00C3291F">
            <w:pPr>
              <w:pStyle w:val="TableTextbold"/>
              <w:rPr>
                <w:b/>
                <w:bCs w:val="0"/>
              </w:rPr>
            </w:pPr>
            <w:r w:rsidRPr="00311C3E">
              <w:rPr>
                <w:b/>
                <w:bCs w:val="0"/>
              </w:rPr>
              <w:t>Projection</w:t>
            </w:r>
          </w:p>
        </w:tc>
        <w:tc>
          <w:tcPr>
            <w:tcW w:w="2500" w:type="pct"/>
          </w:tcPr>
          <w:p w14:paraId="7FC3DAF7" w14:textId="426E995A" w:rsidR="001308F4" w:rsidRPr="00A2703A" w:rsidRDefault="59531E9D" w:rsidP="71C3CBDE">
            <w:pPr>
              <w:pStyle w:val="TableTextbold"/>
              <w:cnfStyle w:val="100000000000" w:firstRow="1" w:lastRow="0" w:firstColumn="0" w:lastColumn="0" w:oddVBand="0" w:evenVBand="0" w:oddHBand="0" w:evenHBand="0" w:firstRowFirstColumn="0" w:firstRowLastColumn="0" w:lastRowFirstColumn="0" w:lastRowLastColumn="0"/>
              <w:rPr>
                <w:b/>
              </w:rPr>
            </w:pPr>
            <w:r w:rsidRPr="71C3CBDE">
              <w:rPr>
                <w:b/>
              </w:rPr>
              <w:t xml:space="preserve">Alignment with national population </w:t>
            </w:r>
            <w:proofErr w:type="gramStart"/>
            <w:r w:rsidRPr="71C3CBDE">
              <w:rPr>
                <w:b/>
              </w:rPr>
              <w:t xml:space="preserve">projection </w:t>
            </w:r>
            <w:r w:rsidR="3229786F" w:rsidRPr="71C3CBDE">
              <w:rPr>
                <w:b/>
              </w:rPr>
              <w:t xml:space="preserve"> releases</w:t>
            </w:r>
            <w:proofErr w:type="gramEnd"/>
          </w:p>
        </w:tc>
      </w:tr>
      <w:tr w:rsidR="001308F4" w:rsidRPr="006B77BB" w14:paraId="7AD447B1" w14:textId="77777777" w:rsidTr="71C3C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02C5FD1" w14:textId="7A75E3AF" w:rsidR="00461A4B" w:rsidRPr="00AF558B" w:rsidRDefault="00461A4B" w:rsidP="00461A4B">
            <w:pPr>
              <w:pStyle w:val="TableText"/>
              <w:rPr>
                <w:rFonts w:eastAsiaTheme="minorEastAsia"/>
                <w:b/>
                <w:bCs w:val="0"/>
              </w:rPr>
            </w:pPr>
            <w:r w:rsidRPr="00AF558B">
              <w:rPr>
                <w:rFonts w:eastAsiaTheme="minorEastAsia"/>
                <w:b/>
              </w:rPr>
              <w:t>National population projections (NPP)</w:t>
            </w:r>
            <w:r w:rsidR="00274C8B">
              <w:rPr>
                <w:rFonts w:eastAsiaTheme="minorEastAsia"/>
                <w:b/>
              </w:rPr>
              <w:t xml:space="preserve"> to 2073</w:t>
            </w:r>
          </w:p>
          <w:p w14:paraId="345A1B00" w14:textId="01469499" w:rsidR="00461A4B" w:rsidRPr="00461A4B" w:rsidRDefault="00A009C9" w:rsidP="00461A4B">
            <w:pPr>
              <w:pStyle w:val="TableBullet"/>
            </w:pPr>
            <w:hyperlink r:id="rId14" w:history="1">
              <w:r w:rsidR="00461A4B" w:rsidRPr="00E2171F">
                <w:rPr>
                  <w:rStyle w:val="Hyperlink"/>
                  <w:bCs w:val="0"/>
                </w:rPr>
                <w:t xml:space="preserve">First </w:t>
              </w:r>
              <w:r w:rsidR="00C605E2" w:rsidRPr="00E2171F">
                <w:rPr>
                  <w:rStyle w:val="Hyperlink"/>
                  <w:bCs w:val="0"/>
                </w:rPr>
                <w:t>NPP</w:t>
              </w:r>
              <w:r w:rsidR="00461A4B" w:rsidRPr="00E2171F">
                <w:rPr>
                  <w:rStyle w:val="Hyperlink"/>
                  <w:bCs w:val="0"/>
                </w:rPr>
                <w:t xml:space="preserve"> post-2018 Census, </w:t>
              </w:r>
              <w:r w:rsidR="00C605E2" w:rsidRPr="00E2171F">
                <w:rPr>
                  <w:rStyle w:val="Hyperlink"/>
                  <w:bCs w:val="0"/>
                </w:rPr>
                <w:t xml:space="preserve">released </w:t>
              </w:r>
              <w:r w:rsidR="00461A4B" w:rsidRPr="00E2171F">
                <w:rPr>
                  <w:rStyle w:val="Hyperlink"/>
                  <w:bCs w:val="0"/>
                </w:rPr>
                <w:t>8 December 2020</w:t>
              </w:r>
            </w:hyperlink>
            <w:r w:rsidR="00C605E2">
              <w:t>.</w:t>
            </w:r>
          </w:p>
          <w:p w14:paraId="79185176" w14:textId="17172BE8" w:rsidR="001308F4" w:rsidRPr="00461A4B" w:rsidRDefault="00A009C9" w:rsidP="00E91C9F">
            <w:pPr>
              <w:pStyle w:val="TableBullet"/>
            </w:pPr>
            <w:hyperlink r:id="rId15" w:history="1">
              <w:r w:rsidR="00461A4B" w:rsidRPr="007730EC">
                <w:rPr>
                  <w:rStyle w:val="Hyperlink"/>
                  <w:bCs w:val="0"/>
                </w:rPr>
                <w:t xml:space="preserve">Updated </w:t>
              </w:r>
              <w:r w:rsidR="00C605E2" w:rsidRPr="007730EC">
                <w:rPr>
                  <w:rStyle w:val="Hyperlink"/>
                  <w:bCs w:val="0"/>
                </w:rPr>
                <w:t xml:space="preserve">NPP, released </w:t>
              </w:r>
              <w:r w:rsidR="00461A4B" w:rsidRPr="007730EC">
                <w:rPr>
                  <w:rStyle w:val="Hyperlink"/>
                  <w:bCs w:val="0"/>
                </w:rPr>
                <w:t>27 July 2022</w:t>
              </w:r>
            </w:hyperlink>
            <w:r w:rsidR="00C605E2">
              <w:t>.</w:t>
            </w:r>
          </w:p>
        </w:tc>
        <w:tc>
          <w:tcPr>
            <w:tcW w:w="2500" w:type="pct"/>
          </w:tcPr>
          <w:p w14:paraId="34FA2117" w14:textId="06106EB6" w:rsidR="001308F4" w:rsidRPr="006B77BB" w:rsidRDefault="001308F4" w:rsidP="00E91C9F">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pPr>
          </w:p>
        </w:tc>
      </w:tr>
      <w:tr w:rsidR="00AF558B" w:rsidRPr="006B77BB" w14:paraId="7FC73542" w14:textId="77777777" w:rsidTr="71C3CBDE">
        <w:tc>
          <w:tcPr>
            <w:cnfStyle w:val="001000000000" w:firstRow="0" w:lastRow="0" w:firstColumn="1" w:lastColumn="0" w:oddVBand="0" w:evenVBand="0" w:oddHBand="0" w:evenHBand="0" w:firstRowFirstColumn="0" w:firstRowLastColumn="0" w:lastRowFirstColumn="0" w:lastRowLastColumn="0"/>
            <w:tcW w:w="2500" w:type="pct"/>
          </w:tcPr>
          <w:p w14:paraId="3611231E" w14:textId="5E88CF81" w:rsidR="00AF558B" w:rsidRPr="00AF558B" w:rsidRDefault="00AF558B" w:rsidP="00AF558B">
            <w:pPr>
              <w:pStyle w:val="TableText"/>
              <w:rPr>
                <w:rFonts w:eastAsiaTheme="minorEastAsia"/>
                <w:b/>
                <w:bCs w:val="0"/>
              </w:rPr>
            </w:pPr>
            <w:r w:rsidRPr="00AF558B">
              <w:rPr>
                <w:rFonts w:eastAsiaTheme="minorEastAsia"/>
                <w:b/>
                <w:bCs w:val="0"/>
              </w:rPr>
              <w:t>Sub</w:t>
            </w:r>
            <w:r w:rsidR="008C7E4A">
              <w:rPr>
                <w:rFonts w:eastAsiaTheme="minorEastAsia"/>
                <w:b/>
                <w:bCs w:val="0"/>
              </w:rPr>
              <w:t>-</w:t>
            </w:r>
            <w:r w:rsidRPr="00AF558B">
              <w:rPr>
                <w:rFonts w:eastAsiaTheme="minorEastAsia"/>
                <w:b/>
                <w:bCs w:val="0"/>
              </w:rPr>
              <w:t>national population projections (SNPP)</w:t>
            </w:r>
            <w:r w:rsidR="000363B7">
              <w:rPr>
                <w:rFonts w:eastAsiaTheme="minorEastAsia"/>
                <w:b/>
                <w:bCs w:val="0"/>
              </w:rPr>
              <w:t xml:space="preserve"> to </w:t>
            </w:r>
            <w:r w:rsidR="00274C8B">
              <w:rPr>
                <w:rFonts w:eastAsiaTheme="minorEastAsia"/>
                <w:b/>
                <w:bCs w:val="0"/>
              </w:rPr>
              <w:t>2048</w:t>
            </w:r>
          </w:p>
          <w:p w14:paraId="1763214C" w14:textId="77777777" w:rsidR="00B35558" w:rsidRPr="00B35558" w:rsidRDefault="00A009C9" w:rsidP="00B35558">
            <w:pPr>
              <w:pStyle w:val="TableBullet"/>
              <w:rPr>
                <w:rFonts w:eastAsiaTheme="minorEastAsia"/>
              </w:rPr>
            </w:pPr>
            <w:hyperlink r:id="rId16" w:history="1">
              <w:r w:rsidR="00AF558B" w:rsidRPr="00B53D24">
                <w:rPr>
                  <w:rStyle w:val="Hyperlink"/>
                  <w:rFonts w:eastAsiaTheme="minorEastAsia"/>
                  <w:bCs w:val="0"/>
                </w:rPr>
                <w:t xml:space="preserve">First </w:t>
              </w:r>
              <w:r w:rsidR="00C605E2" w:rsidRPr="00B53D24">
                <w:rPr>
                  <w:rStyle w:val="Hyperlink"/>
                  <w:rFonts w:eastAsiaTheme="minorEastAsia"/>
                  <w:bCs w:val="0"/>
                </w:rPr>
                <w:t xml:space="preserve">SNPP </w:t>
              </w:r>
              <w:r w:rsidR="00AF558B" w:rsidRPr="00B53D24">
                <w:rPr>
                  <w:rStyle w:val="Hyperlink"/>
                  <w:rFonts w:eastAsiaTheme="minorEastAsia"/>
                  <w:bCs w:val="0"/>
                </w:rPr>
                <w:t>post</w:t>
              </w:r>
              <w:r w:rsidR="00F44310" w:rsidRPr="00B53D24">
                <w:rPr>
                  <w:rStyle w:val="Hyperlink"/>
                  <w:rFonts w:eastAsiaTheme="minorEastAsia"/>
                  <w:bCs w:val="0"/>
                </w:rPr>
                <w:t>-</w:t>
              </w:r>
              <w:r w:rsidR="00AF558B" w:rsidRPr="00B53D24">
                <w:rPr>
                  <w:rStyle w:val="Hyperlink"/>
                  <w:rFonts w:eastAsiaTheme="minorEastAsia"/>
                  <w:bCs w:val="0"/>
                </w:rPr>
                <w:t xml:space="preserve">2018 Census, </w:t>
              </w:r>
              <w:r w:rsidR="00C605E2" w:rsidRPr="00B53D24">
                <w:rPr>
                  <w:rStyle w:val="Hyperlink"/>
                  <w:rFonts w:eastAsiaTheme="minorEastAsia"/>
                  <w:bCs w:val="0"/>
                </w:rPr>
                <w:t xml:space="preserve">released </w:t>
              </w:r>
              <w:r w:rsidR="00AF558B" w:rsidRPr="00B53D24">
                <w:rPr>
                  <w:rStyle w:val="Hyperlink"/>
                  <w:rFonts w:eastAsiaTheme="minorEastAsia"/>
                  <w:bCs w:val="0"/>
                </w:rPr>
                <w:t>31 March 2021</w:t>
              </w:r>
            </w:hyperlink>
            <w:r w:rsidR="00C605E2">
              <w:rPr>
                <w:rFonts w:eastAsiaTheme="minorEastAsia"/>
              </w:rPr>
              <w:t>.</w:t>
            </w:r>
          </w:p>
          <w:p w14:paraId="3CCF576C" w14:textId="57D166D7" w:rsidR="00AF558B" w:rsidRPr="00B35558" w:rsidRDefault="00A009C9" w:rsidP="00B35558">
            <w:pPr>
              <w:pStyle w:val="TableBullet"/>
              <w:rPr>
                <w:rFonts w:eastAsiaTheme="minorEastAsia"/>
              </w:rPr>
            </w:pPr>
            <w:hyperlink r:id="rId17" w:history="1">
              <w:r w:rsidR="00AF558B" w:rsidRPr="00B35558">
                <w:rPr>
                  <w:rStyle w:val="Hyperlink"/>
                  <w:rFonts w:eastAsiaTheme="minorEastAsia"/>
                  <w:bCs w:val="0"/>
                </w:rPr>
                <w:t xml:space="preserve">Updated </w:t>
              </w:r>
              <w:r w:rsidR="00C605E2" w:rsidRPr="00B35558">
                <w:rPr>
                  <w:rStyle w:val="Hyperlink"/>
                  <w:rFonts w:eastAsiaTheme="minorEastAsia"/>
                  <w:bCs w:val="0"/>
                </w:rPr>
                <w:t xml:space="preserve">SNPP, released </w:t>
              </w:r>
              <w:r w:rsidR="00AF558B" w:rsidRPr="00B35558">
                <w:rPr>
                  <w:rStyle w:val="Hyperlink"/>
                  <w:rFonts w:eastAsiaTheme="minorEastAsia"/>
                  <w:bCs w:val="0"/>
                </w:rPr>
                <w:t>12 Dec</w:t>
              </w:r>
              <w:r w:rsidR="00C605E2" w:rsidRPr="00B35558">
                <w:rPr>
                  <w:rStyle w:val="Hyperlink"/>
                  <w:rFonts w:eastAsiaTheme="minorEastAsia"/>
                  <w:bCs w:val="0"/>
                </w:rPr>
                <w:t>ember</w:t>
              </w:r>
              <w:r w:rsidR="00AF558B" w:rsidRPr="00B35558">
                <w:rPr>
                  <w:rStyle w:val="Hyperlink"/>
                  <w:rFonts w:eastAsiaTheme="minorEastAsia"/>
                  <w:bCs w:val="0"/>
                </w:rPr>
                <w:t xml:space="preserve"> 2022</w:t>
              </w:r>
            </w:hyperlink>
            <w:r w:rsidR="00AF558B" w:rsidRPr="00B35558">
              <w:rPr>
                <w:rFonts w:eastAsiaTheme="minorEastAsia"/>
              </w:rPr>
              <w:t xml:space="preserve"> (based on boundaries as </w:t>
            </w:r>
            <w:proofErr w:type="gramStart"/>
            <w:r w:rsidR="00AF558B" w:rsidRPr="00B35558">
              <w:rPr>
                <w:rFonts w:eastAsiaTheme="minorEastAsia"/>
              </w:rPr>
              <w:t>at</w:t>
            </w:r>
            <w:proofErr w:type="gramEnd"/>
            <w:r w:rsidR="00AF558B" w:rsidRPr="00B35558">
              <w:rPr>
                <w:rFonts w:eastAsiaTheme="minorEastAsia"/>
              </w:rPr>
              <w:t xml:space="preserve"> Jan</w:t>
            </w:r>
            <w:r w:rsidR="00F44310" w:rsidRPr="00B35558">
              <w:rPr>
                <w:rFonts w:eastAsiaTheme="minorEastAsia"/>
              </w:rPr>
              <w:t>uary</w:t>
            </w:r>
            <w:r w:rsidR="00AF558B" w:rsidRPr="00B35558">
              <w:rPr>
                <w:rFonts w:eastAsiaTheme="minorEastAsia"/>
              </w:rPr>
              <w:t xml:space="preserve"> 2022)</w:t>
            </w:r>
            <w:r w:rsidR="00C605E2" w:rsidRPr="00B35558">
              <w:rPr>
                <w:rFonts w:eastAsiaTheme="minorEastAsia"/>
              </w:rPr>
              <w:t>.</w:t>
            </w:r>
          </w:p>
        </w:tc>
        <w:tc>
          <w:tcPr>
            <w:tcW w:w="2500" w:type="pct"/>
          </w:tcPr>
          <w:p w14:paraId="45006A4C" w14:textId="2B3CF5E9" w:rsidR="00AF558B" w:rsidRDefault="00AF558B" w:rsidP="00AF558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7301E483">
              <w:rPr>
                <w:rFonts w:eastAsiaTheme="minorEastAsia"/>
              </w:rPr>
              <w:t>The NPP 2022</w:t>
            </w:r>
            <w:r w:rsidR="00F44310">
              <w:rPr>
                <w:rFonts w:eastAsiaTheme="minorEastAsia"/>
              </w:rPr>
              <w:t xml:space="preserve"> </w:t>
            </w:r>
            <w:r w:rsidRPr="7301E483">
              <w:rPr>
                <w:rFonts w:eastAsiaTheme="minorEastAsia"/>
              </w:rPr>
              <w:t>(base) 50</w:t>
            </w:r>
            <w:r w:rsidRPr="00E91C9F">
              <w:rPr>
                <w:rFonts w:eastAsiaTheme="minorEastAsia"/>
              </w:rPr>
              <w:t>th</w:t>
            </w:r>
            <w:r w:rsidRPr="7301E483">
              <w:rPr>
                <w:rFonts w:eastAsiaTheme="minorEastAsia"/>
              </w:rPr>
              <w:t xml:space="preserve"> percentile (released 27 July 2022) is consistent with the SNPP medium projection 2018</w:t>
            </w:r>
            <w:r w:rsidR="00F44310">
              <w:rPr>
                <w:rFonts w:eastAsiaTheme="minorEastAsia"/>
              </w:rPr>
              <w:t xml:space="preserve"> </w:t>
            </w:r>
            <w:r w:rsidRPr="7301E483">
              <w:rPr>
                <w:rFonts w:eastAsiaTheme="minorEastAsia"/>
              </w:rPr>
              <w:t xml:space="preserve">(base) </w:t>
            </w:r>
            <w:r w:rsidRPr="00E91C9F">
              <w:rPr>
                <w:rFonts w:eastAsiaTheme="minorEastAsia"/>
              </w:rPr>
              <w:t>updated</w:t>
            </w:r>
            <w:r w:rsidRPr="7301E483">
              <w:rPr>
                <w:rFonts w:eastAsiaTheme="minorEastAsia"/>
              </w:rPr>
              <w:t xml:space="preserve"> version (released 12 Dec</w:t>
            </w:r>
            <w:r w:rsidR="00F44310">
              <w:rPr>
                <w:rFonts w:eastAsiaTheme="minorEastAsia"/>
              </w:rPr>
              <w:t>ember</w:t>
            </w:r>
            <w:r w:rsidRPr="7301E483">
              <w:rPr>
                <w:rFonts w:eastAsiaTheme="minorEastAsia"/>
              </w:rPr>
              <w:t xml:space="preserve"> 2022). </w:t>
            </w:r>
          </w:p>
          <w:p w14:paraId="7959A977" w14:textId="77777777" w:rsidR="00AF558B" w:rsidRPr="006B77BB" w:rsidRDefault="00AF558B" w:rsidP="00AF558B">
            <w:pPr>
              <w:pStyle w:val="TableText"/>
              <w:cnfStyle w:val="000000000000" w:firstRow="0" w:lastRow="0" w:firstColumn="0" w:lastColumn="0" w:oddVBand="0" w:evenVBand="0" w:oddHBand="0" w:evenHBand="0" w:firstRowFirstColumn="0" w:firstRowLastColumn="0" w:lastRowFirstColumn="0" w:lastRowLastColumn="0"/>
            </w:pPr>
          </w:p>
        </w:tc>
      </w:tr>
      <w:tr w:rsidR="00AF558B" w:rsidRPr="006B77BB" w14:paraId="51332D6E" w14:textId="77777777" w:rsidTr="71C3C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256F5EE" w14:textId="068DA231" w:rsidR="00AF558B" w:rsidRPr="00AF558B" w:rsidRDefault="00AF558B" w:rsidP="00AF558B">
            <w:pPr>
              <w:pStyle w:val="TableText"/>
              <w:rPr>
                <w:rFonts w:eastAsiaTheme="minorEastAsia"/>
                <w:b/>
                <w:bCs w:val="0"/>
              </w:rPr>
            </w:pPr>
            <w:r w:rsidRPr="00AF558B">
              <w:rPr>
                <w:rFonts w:eastAsiaTheme="minorEastAsia"/>
                <w:b/>
                <w:bCs w:val="0"/>
              </w:rPr>
              <w:t>Ethnic population projections (EPP)</w:t>
            </w:r>
            <w:r w:rsidR="00444C4D">
              <w:rPr>
                <w:rFonts w:eastAsiaTheme="minorEastAsia"/>
                <w:b/>
                <w:bCs w:val="0"/>
              </w:rPr>
              <w:t xml:space="preserve"> to 2043</w:t>
            </w:r>
          </w:p>
          <w:p w14:paraId="4D258034" w14:textId="60ECBE1D" w:rsidR="00AF558B" w:rsidRDefault="00A009C9" w:rsidP="00AF558B">
            <w:pPr>
              <w:pStyle w:val="TableBullet"/>
              <w:rPr>
                <w:rFonts w:eastAsiaTheme="minorEastAsia"/>
              </w:rPr>
            </w:pPr>
            <w:hyperlink r:id="rId18" w:history="1">
              <w:r w:rsidR="00AF558B" w:rsidRPr="00444C4D">
                <w:rPr>
                  <w:rStyle w:val="Hyperlink"/>
                  <w:rFonts w:eastAsiaTheme="minorEastAsia"/>
                  <w:bCs w:val="0"/>
                </w:rPr>
                <w:t xml:space="preserve">First </w:t>
              </w:r>
              <w:r w:rsidR="00C605E2" w:rsidRPr="00444C4D">
                <w:rPr>
                  <w:rStyle w:val="Hyperlink"/>
                  <w:rFonts w:eastAsiaTheme="minorEastAsia"/>
                  <w:bCs w:val="0"/>
                </w:rPr>
                <w:t>n</w:t>
              </w:r>
              <w:r w:rsidR="00AF558B" w:rsidRPr="00444C4D">
                <w:rPr>
                  <w:rStyle w:val="Hyperlink"/>
                  <w:rFonts w:eastAsiaTheme="minorEastAsia"/>
                  <w:bCs w:val="0"/>
                </w:rPr>
                <w:t>ational EPP post</w:t>
              </w:r>
              <w:r w:rsidR="00D6790B" w:rsidRPr="00444C4D">
                <w:rPr>
                  <w:rStyle w:val="Hyperlink"/>
                  <w:rFonts w:eastAsiaTheme="minorEastAsia"/>
                  <w:bCs w:val="0"/>
                </w:rPr>
                <w:t>-</w:t>
              </w:r>
              <w:r w:rsidR="00AF558B" w:rsidRPr="00444C4D">
                <w:rPr>
                  <w:rStyle w:val="Hyperlink"/>
                  <w:rFonts w:eastAsiaTheme="minorEastAsia"/>
                  <w:bCs w:val="0"/>
                </w:rPr>
                <w:t xml:space="preserve">2018 Census, </w:t>
              </w:r>
              <w:r w:rsidR="00B2178A" w:rsidRPr="00444C4D">
                <w:rPr>
                  <w:rStyle w:val="Hyperlink"/>
                  <w:rFonts w:eastAsiaTheme="minorEastAsia"/>
                  <w:bCs w:val="0"/>
                </w:rPr>
                <w:t xml:space="preserve">released </w:t>
              </w:r>
              <w:r w:rsidR="00AF558B" w:rsidRPr="00444C4D">
                <w:rPr>
                  <w:rStyle w:val="Hyperlink"/>
                  <w:rFonts w:eastAsiaTheme="minorEastAsia"/>
                  <w:bCs w:val="0"/>
                </w:rPr>
                <w:t>28 May 2021</w:t>
              </w:r>
            </w:hyperlink>
            <w:r w:rsidR="00A70966">
              <w:rPr>
                <w:rFonts w:eastAsiaTheme="minorEastAsia"/>
              </w:rPr>
              <w:t>.</w:t>
            </w:r>
          </w:p>
          <w:p w14:paraId="42EA5D34" w14:textId="77777777" w:rsidR="00B35558" w:rsidRPr="00B35558" w:rsidRDefault="00A009C9" w:rsidP="00B35558">
            <w:pPr>
              <w:pStyle w:val="TableBullet"/>
              <w:rPr>
                <w:rFonts w:eastAsiaTheme="minorEastAsia"/>
              </w:rPr>
            </w:pPr>
            <w:hyperlink r:id="rId19" w:history="1">
              <w:r w:rsidR="00AF558B" w:rsidRPr="008C68B0">
                <w:rPr>
                  <w:rStyle w:val="Hyperlink"/>
                  <w:rFonts w:eastAsiaTheme="minorEastAsia"/>
                  <w:bCs w:val="0"/>
                </w:rPr>
                <w:t>First sub-national EPP</w:t>
              </w:r>
            </w:hyperlink>
            <w:r w:rsidR="00A70966">
              <w:rPr>
                <w:rFonts w:eastAsiaTheme="minorEastAsia"/>
              </w:rPr>
              <w:t>,</w:t>
            </w:r>
            <w:r w:rsidR="00AF558B" w:rsidRPr="7301E483">
              <w:rPr>
                <w:rFonts w:eastAsiaTheme="minorEastAsia"/>
              </w:rPr>
              <w:t xml:space="preserve"> release</w:t>
            </w:r>
            <w:r w:rsidR="00A70966">
              <w:rPr>
                <w:rFonts w:eastAsiaTheme="minorEastAsia"/>
              </w:rPr>
              <w:t>d</w:t>
            </w:r>
            <w:r w:rsidR="00AF558B" w:rsidRPr="7301E483">
              <w:rPr>
                <w:rFonts w:eastAsiaTheme="minorEastAsia"/>
              </w:rPr>
              <w:t xml:space="preserve"> 29 March 2022</w:t>
            </w:r>
            <w:r w:rsidR="00A70966">
              <w:rPr>
                <w:rFonts w:eastAsiaTheme="minorEastAsia"/>
              </w:rPr>
              <w:t>.</w:t>
            </w:r>
          </w:p>
          <w:p w14:paraId="784472BA" w14:textId="77777777" w:rsidR="00B35558" w:rsidRPr="00B35558" w:rsidRDefault="00A009C9" w:rsidP="00B35558">
            <w:pPr>
              <w:pStyle w:val="TableBullet"/>
              <w:rPr>
                <w:rFonts w:eastAsiaTheme="minorEastAsia"/>
              </w:rPr>
            </w:pPr>
            <w:hyperlink r:id="rId20" w:history="1">
              <w:r w:rsidR="00AF558B" w:rsidRPr="00B35558">
                <w:rPr>
                  <w:rStyle w:val="Hyperlink"/>
                  <w:rFonts w:eastAsiaTheme="minorEastAsia"/>
                  <w:bCs w:val="0"/>
                </w:rPr>
                <w:t>Updated national EPP</w:t>
              </w:r>
            </w:hyperlink>
            <w:r w:rsidR="00A70966" w:rsidRPr="00B35558">
              <w:rPr>
                <w:rFonts w:eastAsiaTheme="minorEastAsia"/>
              </w:rPr>
              <w:t>,</w:t>
            </w:r>
            <w:r w:rsidR="00AF558B" w:rsidRPr="00B35558">
              <w:rPr>
                <w:rFonts w:eastAsiaTheme="minorEastAsia"/>
              </w:rPr>
              <w:t xml:space="preserve"> released 29 Sept</w:t>
            </w:r>
            <w:r w:rsidR="00A70966" w:rsidRPr="00B35558">
              <w:rPr>
                <w:rFonts w:eastAsiaTheme="minorEastAsia"/>
              </w:rPr>
              <w:t>ember</w:t>
            </w:r>
            <w:r w:rsidR="00AF558B" w:rsidRPr="00B35558">
              <w:rPr>
                <w:rFonts w:eastAsiaTheme="minorEastAsia"/>
              </w:rPr>
              <w:t xml:space="preserve"> 2022</w:t>
            </w:r>
            <w:r w:rsidR="00A70966" w:rsidRPr="00B35558">
              <w:rPr>
                <w:rFonts w:eastAsiaTheme="minorEastAsia"/>
              </w:rPr>
              <w:t>.</w:t>
            </w:r>
          </w:p>
          <w:p w14:paraId="18532F12" w14:textId="481D237E" w:rsidR="00AF558B" w:rsidRPr="00B35558" w:rsidRDefault="00A009C9" w:rsidP="71C3CBDE">
            <w:pPr>
              <w:pStyle w:val="TableBullet"/>
              <w:rPr>
                <w:rFonts w:eastAsiaTheme="minorEastAsia"/>
              </w:rPr>
            </w:pPr>
            <w:hyperlink r:id="rId21">
              <w:r w:rsidR="0C34E9DE" w:rsidRPr="71C3CBDE">
                <w:rPr>
                  <w:rStyle w:val="Hyperlink"/>
                  <w:rFonts w:eastAsiaTheme="minorEastAsia"/>
                </w:rPr>
                <w:t>Updated sub-national EPP</w:t>
              </w:r>
            </w:hyperlink>
            <w:r w:rsidR="1D3A66AE" w:rsidRPr="71C3CBDE">
              <w:rPr>
                <w:rFonts w:eastAsiaTheme="minorEastAsia"/>
              </w:rPr>
              <w:t>,</w:t>
            </w:r>
            <w:r w:rsidR="4804F5D1" w:rsidRPr="71C3CBDE">
              <w:rPr>
                <w:rFonts w:eastAsiaTheme="minorEastAsia"/>
              </w:rPr>
              <w:t xml:space="preserve"> </w:t>
            </w:r>
            <w:r w:rsidR="0C34E9DE" w:rsidRPr="71C3CBDE">
              <w:rPr>
                <w:rFonts w:eastAsiaTheme="minorEastAsia"/>
              </w:rPr>
              <w:t>release</w:t>
            </w:r>
            <w:r w:rsidR="4804F5D1" w:rsidRPr="71C3CBDE">
              <w:rPr>
                <w:rFonts w:eastAsiaTheme="minorEastAsia"/>
              </w:rPr>
              <w:t>d</w:t>
            </w:r>
            <w:r w:rsidR="0C34E9DE" w:rsidRPr="71C3CBDE">
              <w:rPr>
                <w:rFonts w:eastAsiaTheme="minorEastAsia"/>
              </w:rPr>
              <w:t xml:space="preserve"> </w:t>
            </w:r>
            <w:r w:rsidR="1D3A66AE" w:rsidRPr="71C3CBDE">
              <w:rPr>
                <w:rFonts w:eastAsiaTheme="minorEastAsia"/>
              </w:rPr>
              <w:t xml:space="preserve">5 October </w:t>
            </w:r>
            <w:r w:rsidR="0C34E9DE" w:rsidRPr="71C3CBDE">
              <w:rPr>
                <w:rFonts w:eastAsiaTheme="minorEastAsia"/>
              </w:rPr>
              <w:t>2023</w:t>
            </w:r>
            <w:r w:rsidR="4804F5D1">
              <w:t>.</w:t>
            </w:r>
          </w:p>
        </w:tc>
        <w:tc>
          <w:tcPr>
            <w:tcW w:w="2500" w:type="pct"/>
          </w:tcPr>
          <w:p w14:paraId="023B1C5B" w14:textId="6A088CBD" w:rsidR="00F52F36" w:rsidRPr="00E91C9F" w:rsidRDefault="6F297F1F" w:rsidP="71C3CBDE">
            <w:pPr>
              <w:pStyle w:val="TableText"/>
              <w:cnfStyle w:val="000000100000" w:firstRow="0" w:lastRow="0" w:firstColumn="0" w:lastColumn="0" w:oddVBand="0" w:evenVBand="0" w:oddHBand="1" w:evenHBand="0" w:firstRowFirstColumn="0" w:firstRowLastColumn="0" w:lastRowFirstColumn="0" w:lastRowLastColumn="0"/>
              <w:rPr>
                <w:rFonts w:eastAsiaTheme="minorEastAsia"/>
              </w:rPr>
            </w:pPr>
            <w:r w:rsidRPr="71C3CBDE">
              <w:rPr>
                <w:rFonts w:eastAsiaTheme="minorEastAsia"/>
              </w:rPr>
              <w:t xml:space="preserve">The </w:t>
            </w:r>
            <w:r w:rsidR="345B183F" w:rsidRPr="71C3CBDE">
              <w:rPr>
                <w:rFonts w:eastAsiaTheme="minorEastAsia"/>
                <w:b/>
                <w:bCs/>
              </w:rPr>
              <w:t>updated</w:t>
            </w:r>
            <w:r w:rsidR="345B183F" w:rsidRPr="71C3CBDE">
              <w:rPr>
                <w:rFonts w:eastAsiaTheme="minorEastAsia"/>
              </w:rPr>
              <w:t xml:space="preserve"> </w:t>
            </w:r>
            <w:r w:rsidRPr="71C3CBDE">
              <w:rPr>
                <w:rFonts w:eastAsiaTheme="minorEastAsia"/>
              </w:rPr>
              <w:t xml:space="preserve">medium </w:t>
            </w:r>
            <w:r w:rsidR="345B183F" w:rsidRPr="71C3CBDE">
              <w:rPr>
                <w:rFonts w:eastAsiaTheme="minorEastAsia"/>
              </w:rPr>
              <w:t xml:space="preserve">ethnic and sub-national </w:t>
            </w:r>
            <w:r w:rsidR="453FA787" w:rsidRPr="71C3CBDE">
              <w:rPr>
                <w:rFonts w:eastAsiaTheme="minorEastAsia"/>
              </w:rPr>
              <w:t>EPP</w:t>
            </w:r>
            <w:r w:rsidR="345B183F" w:rsidRPr="71C3CBDE">
              <w:rPr>
                <w:rFonts w:eastAsiaTheme="minorEastAsia"/>
              </w:rPr>
              <w:t xml:space="preserve">s are </w:t>
            </w:r>
            <w:r w:rsidRPr="71C3CBDE">
              <w:rPr>
                <w:rFonts w:eastAsiaTheme="minorEastAsia"/>
              </w:rPr>
              <w:t xml:space="preserve">consistent with other 2018-base </w:t>
            </w:r>
            <w:r w:rsidRPr="71C3CBDE">
              <w:rPr>
                <w:rFonts w:eastAsiaTheme="minorEastAsia"/>
                <w:b/>
                <w:bCs/>
              </w:rPr>
              <w:t>updated</w:t>
            </w:r>
            <w:r w:rsidRPr="71C3CBDE">
              <w:rPr>
                <w:rFonts w:eastAsiaTheme="minorEastAsia"/>
              </w:rPr>
              <w:t xml:space="preserve"> </w:t>
            </w:r>
            <w:r w:rsidR="39EF778E" w:rsidRPr="71C3CBDE">
              <w:rPr>
                <w:rFonts w:eastAsiaTheme="minorEastAsia"/>
              </w:rPr>
              <w:t xml:space="preserve">medium </w:t>
            </w:r>
            <w:r w:rsidRPr="71C3CBDE">
              <w:rPr>
                <w:rFonts w:eastAsiaTheme="minorEastAsia"/>
              </w:rPr>
              <w:t>projections</w:t>
            </w:r>
            <w:r w:rsidR="03B20C07" w:rsidRPr="71C3CBDE">
              <w:rPr>
                <w:rFonts w:eastAsiaTheme="minorEastAsia"/>
              </w:rPr>
              <w:t xml:space="preserve">. All </w:t>
            </w:r>
            <w:r w:rsidRPr="71C3CBDE">
              <w:rPr>
                <w:rFonts w:eastAsiaTheme="minorEastAsia"/>
              </w:rPr>
              <w:t xml:space="preserve">of these are consistent with the median projection (50th percentile) of </w:t>
            </w:r>
            <w:r w:rsidR="162C449E" w:rsidRPr="71C3CBDE">
              <w:rPr>
                <w:rFonts w:eastAsiaTheme="minorEastAsia"/>
              </w:rPr>
              <w:t xml:space="preserve">the </w:t>
            </w:r>
            <w:hyperlink r:id="rId22" w:history="1">
              <w:r w:rsidR="162C449E" w:rsidRPr="71C3CBDE">
                <w:rPr>
                  <w:rFonts w:eastAsiaTheme="minorEastAsia"/>
                </w:rPr>
                <w:t>national population projections: 2022(base)–2073</w:t>
              </w:r>
            </w:hyperlink>
            <w:r w:rsidR="162C449E" w:rsidRPr="71C3CBDE">
              <w:rPr>
                <w:rFonts w:eastAsiaTheme="minorEastAsia"/>
              </w:rPr>
              <w:t xml:space="preserve"> </w:t>
            </w:r>
            <w:r w:rsidRPr="71C3CBDE">
              <w:rPr>
                <w:rFonts w:eastAsiaTheme="minorEastAsia"/>
              </w:rPr>
              <w:t xml:space="preserve">(released July 2022). </w:t>
            </w:r>
            <w:r w:rsidR="40049B62" w:rsidRPr="71C3CBDE">
              <w:rPr>
                <w:rFonts w:eastAsiaTheme="minorEastAsia"/>
              </w:rPr>
              <w:t>The medium ethnic and sub-national ethnic population projections are also consistent provide</w:t>
            </w:r>
            <w:r w:rsidR="76D71475" w:rsidRPr="71C3CBDE">
              <w:rPr>
                <w:rFonts w:eastAsiaTheme="minorEastAsia"/>
              </w:rPr>
              <w:t>d you are comparing versions from the same round.</w:t>
            </w:r>
          </w:p>
          <w:p w14:paraId="4A419663" w14:textId="77777777" w:rsidR="00AF558B" w:rsidRPr="006B77BB" w:rsidRDefault="00AF558B" w:rsidP="00164B15">
            <w:pPr>
              <w:pStyle w:val="TableText"/>
              <w:cnfStyle w:val="000000100000" w:firstRow="0" w:lastRow="0" w:firstColumn="0" w:lastColumn="0" w:oddVBand="0" w:evenVBand="0" w:oddHBand="1" w:evenHBand="0" w:firstRowFirstColumn="0" w:firstRowLastColumn="0" w:lastRowFirstColumn="0" w:lastRowLastColumn="0"/>
            </w:pPr>
          </w:p>
        </w:tc>
      </w:tr>
      <w:tr w:rsidR="00AF558B" w:rsidRPr="006B77BB" w14:paraId="0E2302C1" w14:textId="77777777" w:rsidTr="71C3CBDE">
        <w:tc>
          <w:tcPr>
            <w:cnfStyle w:val="001000000000" w:firstRow="0" w:lastRow="0" w:firstColumn="1" w:lastColumn="0" w:oddVBand="0" w:evenVBand="0" w:oddHBand="0" w:evenHBand="0" w:firstRowFirstColumn="0" w:firstRowLastColumn="0" w:lastRowFirstColumn="0" w:lastRowLastColumn="0"/>
            <w:tcW w:w="2500" w:type="pct"/>
          </w:tcPr>
          <w:p w14:paraId="7EBFA0FD" w14:textId="1D253A8E" w:rsidR="00AF558B" w:rsidRPr="00AF558B" w:rsidRDefault="00AF558B" w:rsidP="00AF558B">
            <w:pPr>
              <w:pStyle w:val="TableText"/>
              <w:rPr>
                <w:rFonts w:eastAsiaTheme="minorEastAsia"/>
                <w:b/>
                <w:bCs w:val="0"/>
              </w:rPr>
            </w:pPr>
            <w:r w:rsidRPr="00AF558B">
              <w:rPr>
                <w:rFonts w:eastAsiaTheme="minorEastAsia"/>
                <w:b/>
                <w:bCs w:val="0"/>
              </w:rPr>
              <w:t>Family and household population projections (FHPP)</w:t>
            </w:r>
          </w:p>
          <w:p w14:paraId="188FF30A" w14:textId="61BCE8B1" w:rsidR="00AF558B" w:rsidRDefault="00A009C9" w:rsidP="00AF558B">
            <w:pPr>
              <w:pStyle w:val="TableBullet"/>
              <w:rPr>
                <w:rFonts w:eastAsiaTheme="minorEastAsia"/>
              </w:rPr>
            </w:pPr>
            <w:hyperlink r:id="rId23" w:anchor=":~:text=the%20average%20size%20of%20households,2043%20(an%20increase%20of%20417%2C000)" w:history="1">
              <w:r w:rsidR="00AF558B" w:rsidRPr="001E71DA">
                <w:rPr>
                  <w:rStyle w:val="Hyperlink"/>
                  <w:rFonts w:eastAsiaTheme="minorEastAsia"/>
                  <w:bCs w:val="0"/>
                </w:rPr>
                <w:t>First national and sub</w:t>
              </w:r>
              <w:r w:rsidR="008C7E4A" w:rsidRPr="001E71DA">
                <w:rPr>
                  <w:rStyle w:val="Hyperlink"/>
                  <w:rFonts w:eastAsiaTheme="minorEastAsia"/>
                  <w:bCs w:val="0"/>
                </w:rPr>
                <w:t>-</w:t>
              </w:r>
              <w:r w:rsidR="00AF558B" w:rsidRPr="001E71DA">
                <w:rPr>
                  <w:rStyle w:val="Hyperlink"/>
                  <w:rFonts w:eastAsiaTheme="minorEastAsia"/>
                  <w:bCs w:val="0"/>
                </w:rPr>
                <w:t>national FHPP post</w:t>
              </w:r>
              <w:r w:rsidR="00FC40EF" w:rsidRPr="001E71DA">
                <w:rPr>
                  <w:rStyle w:val="Hyperlink"/>
                  <w:rFonts w:eastAsiaTheme="minorEastAsia"/>
                  <w:bCs w:val="0"/>
                </w:rPr>
                <w:t>-</w:t>
              </w:r>
              <w:r w:rsidR="00AF558B" w:rsidRPr="001E71DA">
                <w:rPr>
                  <w:rStyle w:val="Hyperlink"/>
                  <w:rFonts w:eastAsiaTheme="minorEastAsia"/>
                  <w:bCs w:val="0"/>
                </w:rPr>
                <w:t>2018 Census,</w:t>
              </w:r>
              <w:r w:rsidR="00B2178A" w:rsidRPr="001E71DA">
                <w:rPr>
                  <w:rStyle w:val="Hyperlink"/>
                  <w:rFonts w:eastAsiaTheme="minorEastAsia"/>
                  <w:bCs w:val="0"/>
                </w:rPr>
                <w:t xml:space="preserve"> </w:t>
              </w:r>
              <w:r w:rsidR="00FC40EF" w:rsidRPr="001E71DA">
                <w:rPr>
                  <w:rStyle w:val="Hyperlink"/>
                  <w:rFonts w:eastAsiaTheme="minorEastAsia"/>
                  <w:bCs w:val="0"/>
                </w:rPr>
                <w:t xml:space="preserve">released </w:t>
              </w:r>
              <w:r w:rsidR="00AF558B" w:rsidRPr="001E71DA">
                <w:rPr>
                  <w:rStyle w:val="Hyperlink"/>
                  <w:rFonts w:eastAsiaTheme="minorEastAsia"/>
                  <w:bCs w:val="0"/>
                </w:rPr>
                <w:t>15 Dec</w:t>
              </w:r>
              <w:r w:rsidR="00FC40EF" w:rsidRPr="001E71DA">
                <w:rPr>
                  <w:rStyle w:val="Hyperlink"/>
                  <w:rFonts w:eastAsiaTheme="minorEastAsia"/>
                  <w:bCs w:val="0"/>
                </w:rPr>
                <w:t>ember</w:t>
              </w:r>
              <w:r w:rsidR="00AF558B" w:rsidRPr="001E71DA">
                <w:rPr>
                  <w:rStyle w:val="Hyperlink"/>
                  <w:rFonts w:eastAsiaTheme="minorEastAsia"/>
                  <w:bCs w:val="0"/>
                </w:rPr>
                <w:t xml:space="preserve"> 2021</w:t>
              </w:r>
            </w:hyperlink>
            <w:r w:rsidR="00D6790B">
              <w:rPr>
                <w:rFonts w:eastAsiaTheme="minorEastAsia"/>
              </w:rPr>
              <w:t>.</w:t>
            </w:r>
          </w:p>
          <w:p w14:paraId="656B741D" w14:textId="2737AA51" w:rsidR="00AF558B" w:rsidRDefault="00AF558B" w:rsidP="00AF558B">
            <w:pPr>
              <w:pStyle w:val="TableBullet"/>
              <w:rPr>
                <w:rFonts w:eastAsiaTheme="minorEastAsia"/>
              </w:rPr>
            </w:pPr>
            <w:r w:rsidRPr="7301E483">
              <w:rPr>
                <w:rFonts w:eastAsiaTheme="minorEastAsia"/>
              </w:rPr>
              <w:t>First SA2 FHPP</w:t>
            </w:r>
            <w:r w:rsidR="00B2178A">
              <w:rPr>
                <w:rFonts w:eastAsiaTheme="minorEastAsia"/>
              </w:rPr>
              <w:t>,</w:t>
            </w:r>
            <w:r w:rsidRPr="7301E483">
              <w:rPr>
                <w:rFonts w:eastAsiaTheme="minorEastAsia"/>
              </w:rPr>
              <w:t xml:space="preserve"> release</w:t>
            </w:r>
            <w:r w:rsidR="00FC40EF">
              <w:rPr>
                <w:rFonts w:eastAsiaTheme="minorEastAsia"/>
              </w:rPr>
              <w:t>d</w:t>
            </w:r>
            <w:r w:rsidRPr="7301E483">
              <w:rPr>
                <w:rFonts w:eastAsiaTheme="minorEastAsia"/>
              </w:rPr>
              <w:t xml:space="preserve"> 16 Dec</w:t>
            </w:r>
            <w:r w:rsidR="00FC40EF">
              <w:rPr>
                <w:rFonts w:eastAsiaTheme="minorEastAsia"/>
              </w:rPr>
              <w:t>ember</w:t>
            </w:r>
            <w:r w:rsidRPr="7301E483">
              <w:rPr>
                <w:rFonts w:eastAsiaTheme="minorEastAsia"/>
              </w:rPr>
              <w:t xml:space="preserve"> 2022</w:t>
            </w:r>
            <w:r w:rsidR="00D6790B">
              <w:rPr>
                <w:rFonts w:eastAsiaTheme="minorEastAsia"/>
              </w:rPr>
              <w:t>.</w:t>
            </w:r>
          </w:p>
          <w:p w14:paraId="677FA052" w14:textId="3AF0BA2F" w:rsidR="00AF558B" w:rsidRPr="00AF558B" w:rsidRDefault="00003284" w:rsidP="00AF558B">
            <w:pPr>
              <w:pStyle w:val="TableBullet"/>
              <w:rPr>
                <w:rFonts w:eastAsiaTheme="minorEastAsia"/>
              </w:rPr>
            </w:pPr>
            <w:r>
              <w:rPr>
                <w:rFonts w:eastAsiaTheme="minorEastAsia"/>
              </w:rPr>
              <w:t xml:space="preserve">A second update of any FHPPs </w:t>
            </w:r>
            <w:r w:rsidR="00AF558B" w:rsidRPr="7301E483">
              <w:rPr>
                <w:rFonts w:eastAsiaTheme="minorEastAsia"/>
              </w:rPr>
              <w:t>is unlikely to be release</w:t>
            </w:r>
            <w:r>
              <w:rPr>
                <w:rFonts w:eastAsiaTheme="minorEastAsia"/>
              </w:rPr>
              <w:t>d</w:t>
            </w:r>
            <w:r w:rsidR="00D6790B">
              <w:rPr>
                <w:rFonts w:eastAsiaTheme="minorEastAsia"/>
              </w:rPr>
              <w:t>.</w:t>
            </w:r>
            <w:r w:rsidR="00AF558B" w:rsidRPr="7301E483">
              <w:rPr>
                <w:rFonts w:eastAsiaTheme="minorEastAsia"/>
              </w:rPr>
              <w:t xml:space="preserve"> </w:t>
            </w:r>
          </w:p>
        </w:tc>
        <w:tc>
          <w:tcPr>
            <w:tcW w:w="2500" w:type="pct"/>
          </w:tcPr>
          <w:p w14:paraId="0141019C" w14:textId="3A212942" w:rsidR="00AF558B" w:rsidRDefault="00AF558B" w:rsidP="00AF558B">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7301E483">
              <w:rPr>
                <w:rFonts w:eastAsiaTheme="minorEastAsia"/>
              </w:rPr>
              <w:t>The NPP 2020</w:t>
            </w:r>
            <w:r w:rsidR="00E67623">
              <w:rPr>
                <w:rFonts w:eastAsiaTheme="minorEastAsia"/>
              </w:rPr>
              <w:t xml:space="preserve"> </w:t>
            </w:r>
            <w:r w:rsidRPr="7301E483">
              <w:rPr>
                <w:rFonts w:eastAsiaTheme="minorEastAsia"/>
              </w:rPr>
              <w:t>(base) 50</w:t>
            </w:r>
            <w:r w:rsidRPr="00E91C9F">
              <w:rPr>
                <w:rFonts w:eastAsiaTheme="minorEastAsia"/>
              </w:rPr>
              <w:t>th</w:t>
            </w:r>
            <w:r w:rsidRPr="7301E483">
              <w:rPr>
                <w:rFonts w:eastAsiaTheme="minorEastAsia"/>
              </w:rPr>
              <w:t xml:space="preserve"> percentile (released 8 December 2020) is consistent with the FHPP medium B projection 2018</w:t>
            </w:r>
            <w:r w:rsidR="00F44310">
              <w:rPr>
                <w:rFonts w:eastAsiaTheme="minorEastAsia"/>
              </w:rPr>
              <w:t xml:space="preserve"> </w:t>
            </w:r>
            <w:r w:rsidRPr="7301E483">
              <w:rPr>
                <w:rFonts w:eastAsiaTheme="minorEastAsia"/>
              </w:rPr>
              <w:t>(base) (released 15 Dec</w:t>
            </w:r>
            <w:r w:rsidR="00F44310">
              <w:rPr>
                <w:rFonts w:eastAsiaTheme="minorEastAsia"/>
              </w:rPr>
              <w:t>ember</w:t>
            </w:r>
            <w:r w:rsidRPr="7301E483">
              <w:rPr>
                <w:rFonts w:eastAsiaTheme="minorEastAsia"/>
              </w:rPr>
              <w:t xml:space="preserve"> 2021). </w:t>
            </w:r>
          </w:p>
          <w:p w14:paraId="263659E2" w14:textId="77777777" w:rsidR="00AF558B" w:rsidRPr="7301E483" w:rsidRDefault="00AF558B" w:rsidP="00AF558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p>
        </w:tc>
      </w:tr>
    </w:tbl>
    <w:p w14:paraId="6B268829" w14:textId="77777777" w:rsidR="00FA0C86" w:rsidRDefault="006239DF" w:rsidP="00D1660E">
      <w:pPr>
        <w:pStyle w:val="BodyText"/>
      </w:pPr>
      <w:r>
        <w:rPr>
          <w:noProof/>
        </w:rPr>
        <mc:AlternateContent>
          <mc:Choice Requires="wps">
            <w:drawing>
              <wp:anchor distT="0" distB="0" distL="114300" distR="114300" simplePos="0" relativeHeight="251658242" behindDoc="0" locked="1" layoutInCell="1" allowOverlap="1" wp14:anchorId="7CC346CA" wp14:editId="6A7FA173">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36385E17"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07B1181F" w14:textId="040C71FF" w:rsidR="006239DF" w:rsidRDefault="00B0632C" w:rsidP="003A6769">
                                  <w:pPr>
                                    <w:pStyle w:val="TableText"/>
                                  </w:pPr>
                                  <w:r>
                                    <w:br/>
                                  </w:r>
                                  <w:r w:rsidR="006239DF" w:rsidRPr="006C18C8">
                                    <w:t xml:space="preserve">Published </w:t>
                                  </w:r>
                                  <w:r w:rsidR="006239DF" w:rsidRPr="003B08DE">
                                    <w:t xml:space="preserve">in </w:t>
                                  </w:r>
                                  <w:r w:rsidR="003B08DE" w:rsidRPr="003B08DE">
                                    <w:t>December 2023</w:t>
                                  </w:r>
                                  <w:r w:rsidR="006239DF" w:rsidRPr="003B08DE">
                                    <w:t xml:space="preserve"> by the </w:t>
                                  </w:r>
                                  <w:r w:rsidR="006239DF" w:rsidRPr="003B08DE">
                                    <w:br/>
                                    <w:t xml:space="preserve">Ministry for the Environment – </w:t>
                                  </w:r>
                                  <w:proofErr w:type="spellStart"/>
                                  <w:r w:rsidR="006239DF" w:rsidRPr="003B08DE">
                                    <w:t>Manatū</w:t>
                                  </w:r>
                                  <w:proofErr w:type="spellEnd"/>
                                  <w:r w:rsidR="006239DF" w:rsidRPr="003B08DE">
                                    <w:t xml:space="preserve"> </w:t>
                                  </w:r>
                                  <w:proofErr w:type="spellStart"/>
                                  <w:r w:rsidR="00AA40AD" w:rsidRPr="003B08DE">
                                    <w:t>m</w:t>
                                  </w:r>
                                  <w:r w:rsidR="006239DF" w:rsidRPr="003B08DE">
                                    <w:t>ō</w:t>
                                  </w:r>
                                  <w:proofErr w:type="spellEnd"/>
                                  <w:r w:rsidR="006239DF" w:rsidRPr="003B08DE">
                                    <w:t xml:space="preserve"> </w:t>
                                  </w:r>
                                  <w:proofErr w:type="spellStart"/>
                                  <w:r w:rsidR="00AA40AD" w:rsidRPr="003B08DE">
                                    <w:t>t</w:t>
                                  </w:r>
                                  <w:r w:rsidR="006239DF" w:rsidRPr="003B08DE">
                                    <w:t>e</w:t>
                                  </w:r>
                                  <w:proofErr w:type="spellEnd"/>
                                  <w:r w:rsidR="006239DF" w:rsidRPr="003B08DE">
                                    <w:t xml:space="preserve"> Taiao</w:t>
                                  </w:r>
                                  <w:r w:rsidR="006239DF" w:rsidRPr="003B08DE">
                                    <w:br/>
                                    <w:t xml:space="preserve">Publication number: INFO </w:t>
                                  </w:r>
                                  <w:r w:rsidR="003B08DE" w:rsidRPr="003B08DE">
                                    <w:t>1205</w:t>
                                  </w:r>
                                </w:p>
                              </w:tc>
                              <w:tc>
                                <w:tcPr>
                                  <w:tcW w:w="3588" w:type="dxa"/>
                                  <w:shd w:val="clear" w:color="auto" w:fill="FFFFFF" w:themeFill="background1"/>
                                  <w:tcMar>
                                    <w:left w:w="0" w:type="dxa"/>
                                    <w:right w:w="0" w:type="dxa"/>
                                  </w:tcMar>
                                  <w:vAlign w:val="bottom"/>
                                </w:tcPr>
                                <w:p w14:paraId="2FF71DA0" w14:textId="77777777" w:rsidR="006239DF" w:rsidRDefault="006239DF" w:rsidP="00E57601">
                                  <w:pPr>
                                    <w:pStyle w:val="Footer"/>
                                    <w:jc w:val="right"/>
                                  </w:pPr>
                                  <w:r>
                                    <w:rPr>
                                      <w:noProof/>
                                    </w:rPr>
                                    <w:drawing>
                                      <wp:inline distT="0" distB="0" distL="0" distR="0" wp14:anchorId="378C33E3" wp14:editId="18AF5546">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B7E5F77"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46CA" id="Text Box 1" o:spid="_x0000_s1027" type="#_x0000_t202" style="position:absolute;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36385E17"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07B1181F" w14:textId="040C71FF" w:rsidR="006239DF" w:rsidRDefault="00B0632C" w:rsidP="003A6769">
                            <w:pPr>
                              <w:pStyle w:val="TableText"/>
                            </w:pPr>
                            <w:r>
                              <w:br/>
                            </w:r>
                            <w:r w:rsidR="006239DF" w:rsidRPr="006C18C8">
                              <w:t xml:space="preserve">Published </w:t>
                            </w:r>
                            <w:r w:rsidR="006239DF" w:rsidRPr="003B08DE">
                              <w:t xml:space="preserve">in </w:t>
                            </w:r>
                            <w:r w:rsidR="003B08DE" w:rsidRPr="003B08DE">
                              <w:t>December 2023</w:t>
                            </w:r>
                            <w:r w:rsidR="006239DF" w:rsidRPr="003B08DE">
                              <w:t xml:space="preserve"> by the </w:t>
                            </w:r>
                            <w:r w:rsidR="006239DF" w:rsidRPr="003B08DE">
                              <w:br/>
                              <w:t xml:space="preserve">Ministry for the Environment – </w:t>
                            </w:r>
                            <w:proofErr w:type="spellStart"/>
                            <w:r w:rsidR="006239DF" w:rsidRPr="003B08DE">
                              <w:t>Manatū</w:t>
                            </w:r>
                            <w:proofErr w:type="spellEnd"/>
                            <w:r w:rsidR="006239DF" w:rsidRPr="003B08DE">
                              <w:t xml:space="preserve"> </w:t>
                            </w:r>
                            <w:proofErr w:type="spellStart"/>
                            <w:r w:rsidR="00AA40AD" w:rsidRPr="003B08DE">
                              <w:t>m</w:t>
                            </w:r>
                            <w:r w:rsidR="006239DF" w:rsidRPr="003B08DE">
                              <w:t>ō</w:t>
                            </w:r>
                            <w:proofErr w:type="spellEnd"/>
                            <w:r w:rsidR="006239DF" w:rsidRPr="003B08DE">
                              <w:t xml:space="preserve"> </w:t>
                            </w:r>
                            <w:proofErr w:type="spellStart"/>
                            <w:r w:rsidR="00AA40AD" w:rsidRPr="003B08DE">
                              <w:t>t</w:t>
                            </w:r>
                            <w:r w:rsidR="006239DF" w:rsidRPr="003B08DE">
                              <w:t>e</w:t>
                            </w:r>
                            <w:proofErr w:type="spellEnd"/>
                            <w:r w:rsidR="006239DF" w:rsidRPr="003B08DE">
                              <w:t xml:space="preserve"> Taiao</w:t>
                            </w:r>
                            <w:r w:rsidR="006239DF" w:rsidRPr="003B08DE">
                              <w:br/>
                              <w:t xml:space="preserve">Publication number: INFO </w:t>
                            </w:r>
                            <w:r w:rsidR="003B08DE" w:rsidRPr="003B08DE">
                              <w:t>1205</w:t>
                            </w:r>
                          </w:p>
                        </w:tc>
                        <w:tc>
                          <w:tcPr>
                            <w:tcW w:w="3588" w:type="dxa"/>
                            <w:shd w:val="clear" w:color="auto" w:fill="FFFFFF" w:themeFill="background1"/>
                            <w:tcMar>
                              <w:left w:w="0" w:type="dxa"/>
                              <w:right w:w="0" w:type="dxa"/>
                            </w:tcMar>
                            <w:vAlign w:val="bottom"/>
                          </w:tcPr>
                          <w:p w14:paraId="2FF71DA0" w14:textId="77777777" w:rsidR="006239DF" w:rsidRDefault="006239DF" w:rsidP="00E57601">
                            <w:pPr>
                              <w:pStyle w:val="Footer"/>
                              <w:jc w:val="right"/>
                            </w:pPr>
                            <w:r>
                              <w:rPr>
                                <w:noProof/>
                              </w:rPr>
                              <w:drawing>
                                <wp:inline distT="0" distB="0" distL="0" distR="0" wp14:anchorId="378C33E3" wp14:editId="18AF5546">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B7E5F77"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85118C">
      <w:footerReference w:type="even" r:id="rId25"/>
      <w:footerReference w:type="default" r:id="rId26"/>
      <w:footerReference w:type="first" r:id="rId2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059F" w14:textId="77777777" w:rsidR="00F7582A" w:rsidRDefault="00F7582A" w:rsidP="0080531E">
      <w:pPr>
        <w:spacing w:before="0" w:after="0" w:line="240" w:lineRule="auto"/>
      </w:pPr>
      <w:r>
        <w:separator/>
      </w:r>
    </w:p>
    <w:p w14:paraId="2B5973D0" w14:textId="77777777" w:rsidR="00F7582A" w:rsidRDefault="00F7582A"/>
  </w:endnote>
  <w:endnote w:type="continuationSeparator" w:id="0">
    <w:p w14:paraId="60DB1588" w14:textId="77777777" w:rsidR="00F7582A" w:rsidRDefault="00F7582A" w:rsidP="0080531E">
      <w:pPr>
        <w:spacing w:before="0" w:after="0" w:line="240" w:lineRule="auto"/>
      </w:pPr>
      <w:r>
        <w:continuationSeparator/>
      </w:r>
    </w:p>
    <w:p w14:paraId="4FD5E769" w14:textId="77777777" w:rsidR="00F7582A" w:rsidRDefault="00F7582A"/>
  </w:endnote>
  <w:endnote w:type="continuationNotice" w:id="1">
    <w:p w14:paraId="25559F0D" w14:textId="77777777" w:rsidR="00F7582A" w:rsidRDefault="00F758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AFDE" w14:textId="30EDE40F"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AF558B" w:rsidRPr="00AF558B">
      <w:t xml:space="preserve">Updated technical advice on using Stats NZ population </w:t>
    </w:r>
    <w:proofErr w:type="gramStart"/>
    <w:r w:rsidR="00AF558B" w:rsidRPr="00AF558B">
      <w:t>projections</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6C3E" w14:textId="3152F0D0" w:rsidR="006C18C8" w:rsidRPr="003A6769" w:rsidRDefault="00FE4F91" w:rsidP="00FE4F91">
    <w:pPr>
      <w:pStyle w:val="Footerodd"/>
    </w:pPr>
    <w:r>
      <w:tab/>
    </w:r>
    <w:r w:rsidR="00AF558B" w:rsidRPr="00AF558B">
      <w:t>Updated technical advice on using Stats NZ population projections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C09D" w14:textId="1E43254F" w:rsidR="0085118C" w:rsidRDefault="0085118C" w:rsidP="0085118C">
    <w:pPr>
      <w:pStyle w:val="Footerodd"/>
    </w:pPr>
    <w:r>
      <w:tab/>
    </w:r>
    <w:r w:rsidR="00AF558B" w:rsidRPr="00AF558B">
      <w:t>Updated technical advice on using Stats NZ population projections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E0A8" w14:textId="77777777" w:rsidR="00F7582A" w:rsidRDefault="00F7582A" w:rsidP="00CB5C5F">
      <w:pPr>
        <w:spacing w:before="0" w:after="80" w:line="240" w:lineRule="auto"/>
      </w:pPr>
      <w:bookmarkStart w:id="0" w:name="_Hlk86912439"/>
      <w:bookmarkEnd w:id="0"/>
      <w:r>
        <w:separator/>
      </w:r>
    </w:p>
  </w:footnote>
  <w:footnote w:type="continuationSeparator" w:id="0">
    <w:p w14:paraId="4F7FE408" w14:textId="77777777" w:rsidR="00F7582A" w:rsidRDefault="00F7582A" w:rsidP="0080531E">
      <w:pPr>
        <w:spacing w:before="0" w:after="0" w:line="240" w:lineRule="auto"/>
      </w:pPr>
      <w:r>
        <w:continuationSeparator/>
      </w:r>
    </w:p>
    <w:p w14:paraId="785BE264" w14:textId="77777777" w:rsidR="00F7582A" w:rsidRDefault="00F7582A"/>
  </w:footnote>
  <w:footnote w:type="continuationNotice" w:id="1">
    <w:p w14:paraId="0E731F70" w14:textId="77777777" w:rsidR="00F7582A" w:rsidRDefault="00F7582A">
      <w:pPr>
        <w:spacing w:before="0" w:after="0" w:line="240" w:lineRule="auto"/>
      </w:pPr>
    </w:p>
  </w:footnote>
  <w:footnote w:id="2">
    <w:p w14:paraId="3FDE84BE" w14:textId="66E1F8BE" w:rsidR="71C3CBDE" w:rsidRDefault="71C3CBDE" w:rsidP="71C3CBDE">
      <w:pPr>
        <w:pStyle w:val="FootnoteText"/>
      </w:pPr>
      <w:r w:rsidRPr="71C3CBDE">
        <w:rPr>
          <w:rStyle w:val="FootnoteReference"/>
        </w:rPr>
        <w:footnoteRef/>
      </w:r>
      <w:r>
        <w:t xml:space="preserve"> Stats NZ, 2016</w:t>
      </w:r>
    </w:p>
  </w:footnote>
  <w:footnote w:id="3">
    <w:p w14:paraId="4DC1A53C" w14:textId="15809120" w:rsidR="007F1E89" w:rsidRDefault="007F1E89">
      <w:pPr>
        <w:pStyle w:val="FootnoteText"/>
      </w:pPr>
      <w:r>
        <w:rPr>
          <w:rStyle w:val="FootnoteReference"/>
        </w:rPr>
        <w:footnoteRef/>
      </w:r>
      <w:r w:rsidR="71C3CBDE">
        <w:t xml:space="preserve"> </w:t>
      </w:r>
      <w:r w:rsidR="00AF558B">
        <w:tab/>
      </w:r>
      <w:r w:rsidR="71C3CBDE">
        <w:t xml:space="preserve">Statistical area 2 (or </w:t>
      </w:r>
      <w:r w:rsidR="71C3CBDE" w:rsidRPr="00AF558B">
        <w:t>SA2</w:t>
      </w:r>
      <w:r w:rsidR="71C3CBDE">
        <w:t>)</w:t>
      </w:r>
      <w:r w:rsidR="71C3CBDE" w:rsidRPr="00AF558B">
        <w:t xml:space="preserve"> aim</w:t>
      </w:r>
      <w:r w:rsidR="71C3CBDE">
        <w:t>s</w:t>
      </w:r>
      <w:r w:rsidR="71C3CBDE" w:rsidRPr="00AF558B">
        <w:t xml:space="preserve"> to </w:t>
      </w:r>
      <w:r w:rsidR="71C3CBDE">
        <w:t>“</w:t>
      </w:r>
      <w:r w:rsidR="71C3CBDE" w:rsidRPr="00AF558B">
        <w:t>reflect communities that interact together socially and economically. In populated areas, SA2s generally contain similar sized populations. SA2s in city council areas generally have a population of 2,000–4,000 residents while SA2s in district council areas generally have a population of 1,000–3,000 residents. In rural areas, many SA2s have fewer than 1,000 residents because they are in conservation areas or contain sparse populations that cover a large area.</w:t>
      </w:r>
      <w:r w:rsidR="71C3CBDE">
        <w:t>”</w:t>
      </w:r>
      <w:r w:rsidR="71C3CBDE" w:rsidRPr="00AF558B">
        <w:t xml:space="preserve"> (</w:t>
      </w:r>
      <w:hyperlink r:id="rId1" w:history="1">
        <w:r w:rsidR="71C3CBDE" w:rsidRPr="00FF2952">
          <w:rPr>
            <w:rStyle w:val="Hyperlink"/>
          </w:rPr>
          <w:t>Stats NZ</w:t>
        </w:r>
      </w:hyperlink>
      <w:r w:rsidR="71C3CBDE" w:rsidRPr="00AF558B">
        <w:t>)</w:t>
      </w:r>
    </w:p>
  </w:footnote>
  <w:footnote w:id="4">
    <w:p w14:paraId="67104FAB" w14:textId="1758197F" w:rsidR="006C14AF" w:rsidRDefault="006C14AF">
      <w:pPr>
        <w:pStyle w:val="FootnoteText"/>
      </w:pPr>
      <w:r>
        <w:rPr>
          <w:rStyle w:val="FootnoteReference"/>
        </w:rPr>
        <w:footnoteRef/>
      </w:r>
      <w:r>
        <w:t xml:space="preserve"> </w:t>
      </w:r>
      <w:r>
        <w:tab/>
        <w:t xml:space="preserve">Largely because we have never needed to project </w:t>
      </w:r>
      <w:r w:rsidR="007320E0">
        <w:t>im</w:t>
      </w:r>
      <w:r>
        <w:t xml:space="preserve">migration in a highly globalised world </w:t>
      </w:r>
      <w:r w:rsidR="00B01938">
        <w:t xml:space="preserve">following a global pandemic </w:t>
      </w:r>
      <w:r w:rsidR="00B20438">
        <w:t>the scale of COVID-19</w:t>
      </w:r>
      <w:r w:rsidR="00722A43">
        <w:t>, so we have no historical experience to draw on</w:t>
      </w:r>
      <w:r w:rsidR="00A3066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CA005E3"/>
    <w:multiLevelType w:val="hybridMultilevel"/>
    <w:tmpl w:val="0C5C8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90074B"/>
    <w:multiLevelType w:val="hybridMultilevel"/>
    <w:tmpl w:val="131A43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7"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8"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FF7BFA"/>
    <w:multiLevelType w:val="hybridMultilevel"/>
    <w:tmpl w:val="FFFFFFFF"/>
    <w:lvl w:ilvl="0" w:tplc="A5506B86">
      <w:start w:val="1"/>
      <w:numFmt w:val="bullet"/>
      <w:lvlText w:val="-"/>
      <w:lvlJc w:val="left"/>
      <w:pPr>
        <w:ind w:left="720" w:hanging="360"/>
      </w:pPr>
      <w:rPr>
        <w:rFonts w:ascii="Calibri" w:hAnsi="Calibri" w:hint="default"/>
      </w:rPr>
    </w:lvl>
    <w:lvl w:ilvl="1" w:tplc="626AEA0A">
      <w:start w:val="1"/>
      <w:numFmt w:val="bullet"/>
      <w:lvlText w:val="o"/>
      <w:lvlJc w:val="left"/>
      <w:pPr>
        <w:ind w:left="1440" w:hanging="360"/>
      </w:pPr>
      <w:rPr>
        <w:rFonts w:ascii="Courier New" w:hAnsi="Courier New" w:hint="default"/>
      </w:rPr>
    </w:lvl>
    <w:lvl w:ilvl="2" w:tplc="2148312C">
      <w:start w:val="1"/>
      <w:numFmt w:val="bullet"/>
      <w:lvlText w:val=""/>
      <w:lvlJc w:val="left"/>
      <w:pPr>
        <w:ind w:left="2160" w:hanging="360"/>
      </w:pPr>
      <w:rPr>
        <w:rFonts w:ascii="Wingdings" w:hAnsi="Wingdings" w:hint="default"/>
      </w:rPr>
    </w:lvl>
    <w:lvl w:ilvl="3" w:tplc="D482085A">
      <w:start w:val="1"/>
      <w:numFmt w:val="bullet"/>
      <w:lvlText w:val=""/>
      <w:lvlJc w:val="left"/>
      <w:pPr>
        <w:ind w:left="2880" w:hanging="360"/>
      </w:pPr>
      <w:rPr>
        <w:rFonts w:ascii="Symbol" w:hAnsi="Symbol" w:hint="default"/>
      </w:rPr>
    </w:lvl>
    <w:lvl w:ilvl="4" w:tplc="B2285FE6">
      <w:start w:val="1"/>
      <w:numFmt w:val="bullet"/>
      <w:lvlText w:val="o"/>
      <w:lvlJc w:val="left"/>
      <w:pPr>
        <w:ind w:left="3600" w:hanging="360"/>
      </w:pPr>
      <w:rPr>
        <w:rFonts w:ascii="Courier New" w:hAnsi="Courier New" w:hint="default"/>
      </w:rPr>
    </w:lvl>
    <w:lvl w:ilvl="5" w:tplc="9884A5E6">
      <w:start w:val="1"/>
      <w:numFmt w:val="bullet"/>
      <w:lvlText w:val=""/>
      <w:lvlJc w:val="left"/>
      <w:pPr>
        <w:ind w:left="4320" w:hanging="360"/>
      </w:pPr>
      <w:rPr>
        <w:rFonts w:ascii="Wingdings" w:hAnsi="Wingdings" w:hint="default"/>
      </w:rPr>
    </w:lvl>
    <w:lvl w:ilvl="6" w:tplc="DF1A702E">
      <w:start w:val="1"/>
      <w:numFmt w:val="bullet"/>
      <w:lvlText w:val=""/>
      <w:lvlJc w:val="left"/>
      <w:pPr>
        <w:ind w:left="5040" w:hanging="360"/>
      </w:pPr>
      <w:rPr>
        <w:rFonts w:ascii="Symbol" w:hAnsi="Symbol" w:hint="default"/>
      </w:rPr>
    </w:lvl>
    <w:lvl w:ilvl="7" w:tplc="11180408">
      <w:start w:val="1"/>
      <w:numFmt w:val="bullet"/>
      <w:lvlText w:val="o"/>
      <w:lvlJc w:val="left"/>
      <w:pPr>
        <w:ind w:left="5760" w:hanging="360"/>
      </w:pPr>
      <w:rPr>
        <w:rFonts w:ascii="Courier New" w:hAnsi="Courier New" w:hint="default"/>
      </w:rPr>
    </w:lvl>
    <w:lvl w:ilvl="8" w:tplc="2014E550">
      <w:start w:val="1"/>
      <w:numFmt w:val="bullet"/>
      <w:lvlText w:val=""/>
      <w:lvlJc w:val="left"/>
      <w:pPr>
        <w:ind w:left="6480" w:hanging="360"/>
      </w:pPr>
      <w:rPr>
        <w:rFonts w:ascii="Wingdings" w:hAnsi="Wingdings" w:hint="default"/>
      </w:r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2422C6"/>
    <w:multiLevelType w:val="hybridMultilevel"/>
    <w:tmpl w:val="76B6A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A682D3D"/>
    <w:multiLevelType w:val="hybridMultilevel"/>
    <w:tmpl w:val="8092E084"/>
    <w:lvl w:ilvl="0" w:tplc="14090001">
      <w:start w:val="1"/>
      <w:numFmt w:val="bullet"/>
      <w:lvlText w:val=""/>
      <w:lvlJc w:val="left"/>
      <w:pPr>
        <w:ind w:left="757" w:hanging="360"/>
      </w:pPr>
      <w:rPr>
        <w:rFonts w:ascii="Symbol" w:hAnsi="Symbol" w:hint="default"/>
      </w:rPr>
    </w:lvl>
    <w:lvl w:ilvl="1" w:tplc="14090003" w:tentative="1">
      <w:start w:val="1"/>
      <w:numFmt w:val="bullet"/>
      <w:lvlText w:val="o"/>
      <w:lvlJc w:val="left"/>
      <w:pPr>
        <w:ind w:left="1477" w:hanging="360"/>
      </w:pPr>
      <w:rPr>
        <w:rFonts w:ascii="Courier New" w:hAnsi="Courier New" w:cs="Courier New" w:hint="default"/>
      </w:rPr>
    </w:lvl>
    <w:lvl w:ilvl="2" w:tplc="14090005" w:tentative="1">
      <w:start w:val="1"/>
      <w:numFmt w:val="bullet"/>
      <w:lvlText w:val=""/>
      <w:lvlJc w:val="left"/>
      <w:pPr>
        <w:ind w:left="2197" w:hanging="360"/>
      </w:pPr>
      <w:rPr>
        <w:rFonts w:ascii="Wingdings" w:hAnsi="Wingdings" w:hint="default"/>
      </w:rPr>
    </w:lvl>
    <w:lvl w:ilvl="3" w:tplc="14090001" w:tentative="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Courier New"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Courier New" w:hint="default"/>
      </w:rPr>
    </w:lvl>
    <w:lvl w:ilvl="8" w:tplc="14090005" w:tentative="1">
      <w:start w:val="1"/>
      <w:numFmt w:val="bullet"/>
      <w:lvlText w:val=""/>
      <w:lvlJc w:val="left"/>
      <w:pPr>
        <w:ind w:left="6517" w:hanging="360"/>
      </w:pPr>
      <w:rPr>
        <w:rFonts w:ascii="Wingdings" w:hAnsi="Wingdings" w:hint="default"/>
      </w:rPr>
    </w:lvl>
  </w:abstractNum>
  <w:abstractNum w:abstractNumId="28"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0"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4"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42717"/>
    <w:multiLevelType w:val="multilevel"/>
    <w:tmpl w:val="DCDEB9D0"/>
    <w:numStyleLink w:val="Style1"/>
  </w:abstractNum>
  <w:abstractNum w:abstractNumId="3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8"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6"/>
  </w:num>
  <w:num w:numId="2" w16cid:durableId="659116008">
    <w:abstractNumId w:val="29"/>
  </w:num>
  <w:num w:numId="3" w16cid:durableId="428039246">
    <w:abstractNumId w:val="40"/>
  </w:num>
  <w:num w:numId="4" w16cid:durableId="1688940720">
    <w:abstractNumId w:val="23"/>
  </w:num>
  <w:num w:numId="5" w16cid:durableId="1790082978">
    <w:abstractNumId w:val="14"/>
  </w:num>
  <w:num w:numId="6" w16cid:durableId="571161853">
    <w:abstractNumId w:val="9"/>
  </w:num>
  <w:num w:numId="7" w16cid:durableId="851066908">
    <w:abstractNumId w:val="26"/>
  </w:num>
  <w:num w:numId="8" w16cid:durableId="61224443">
    <w:abstractNumId w:val="25"/>
  </w:num>
  <w:num w:numId="9" w16cid:durableId="972250063">
    <w:abstractNumId w:val="39"/>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33"/>
  </w:num>
  <w:num w:numId="13" w16cid:durableId="948007045">
    <w:abstractNumId w:val="13"/>
  </w:num>
  <w:num w:numId="14" w16cid:durableId="823200718">
    <w:abstractNumId w:val="35"/>
  </w:num>
  <w:num w:numId="15" w16cid:durableId="703866721">
    <w:abstractNumId w:val="24"/>
  </w:num>
  <w:num w:numId="16" w16cid:durableId="192305151">
    <w:abstractNumId w:val="12"/>
  </w:num>
  <w:num w:numId="17" w16cid:durableId="24016450">
    <w:abstractNumId w:val="34"/>
  </w:num>
  <w:num w:numId="18" w16cid:durableId="717705514">
    <w:abstractNumId w:val="30"/>
  </w:num>
  <w:num w:numId="19" w16cid:durableId="691230062">
    <w:abstractNumId w:val="36"/>
  </w:num>
  <w:num w:numId="20" w16cid:durableId="1343435891">
    <w:abstractNumId w:val="15"/>
  </w:num>
  <w:num w:numId="21" w16cid:durableId="4983556">
    <w:abstractNumId w:val="31"/>
  </w:num>
  <w:num w:numId="22" w16cid:durableId="1442725474">
    <w:abstractNumId w:val="6"/>
  </w:num>
  <w:num w:numId="23" w16cid:durableId="380246717">
    <w:abstractNumId w:val="28"/>
  </w:num>
  <w:num w:numId="24" w16cid:durableId="1964146203">
    <w:abstractNumId w:val="17"/>
  </w:num>
  <w:num w:numId="25" w16cid:durableId="1810130802">
    <w:abstractNumId w:val="38"/>
  </w:num>
  <w:num w:numId="26" w16cid:durableId="404837251">
    <w:abstractNumId w:val="32"/>
  </w:num>
  <w:num w:numId="27" w16cid:durableId="1851795376">
    <w:abstractNumId w:val="0"/>
  </w:num>
  <w:num w:numId="28" w16cid:durableId="1318416344">
    <w:abstractNumId w:val="20"/>
  </w:num>
  <w:num w:numId="29" w16cid:durableId="1533492555">
    <w:abstractNumId w:val="10"/>
  </w:num>
  <w:num w:numId="30" w16cid:durableId="1154376177">
    <w:abstractNumId w:val="4"/>
  </w:num>
  <w:num w:numId="31" w16cid:durableId="944464173">
    <w:abstractNumId w:val="2"/>
  </w:num>
  <w:num w:numId="32" w16cid:durableId="1884168811">
    <w:abstractNumId w:val="7"/>
  </w:num>
  <w:num w:numId="33" w16cid:durableId="1627159036">
    <w:abstractNumId w:val="11"/>
  </w:num>
  <w:num w:numId="34" w16cid:durableId="1671175605">
    <w:abstractNumId w:val="21"/>
  </w:num>
  <w:num w:numId="35" w16cid:durableId="152792863">
    <w:abstractNumId w:val="19"/>
  </w:num>
  <w:num w:numId="36" w16cid:durableId="448669641">
    <w:abstractNumId w:val="8"/>
  </w:num>
  <w:num w:numId="37" w16cid:durableId="41442950">
    <w:abstractNumId w:val="37"/>
  </w:num>
  <w:num w:numId="38" w16cid:durableId="592393198">
    <w:abstractNumId w:val="29"/>
  </w:num>
  <w:num w:numId="39" w16cid:durableId="588536818">
    <w:abstractNumId w:val="8"/>
  </w:num>
  <w:num w:numId="40" w16cid:durableId="1434936391">
    <w:abstractNumId w:val="18"/>
  </w:num>
  <w:num w:numId="41" w16cid:durableId="1381317523">
    <w:abstractNumId w:val="5"/>
  </w:num>
  <w:num w:numId="42" w16cid:durableId="1587110806">
    <w:abstractNumId w:val="22"/>
  </w:num>
  <w:num w:numId="43" w16cid:durableId="483860751">
    <w:abstractNumId w:val="3"/>
  </w:num>
  <w:num w:numId="44" w16cid:durableId="16655805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89"/>
    <w:rsid w:val="00000792"/>
    <w:rsid w:val="00000F04"/>
    <w:rsid w:val="00003284"/>
    <w:rsid w:val="00003C4F"/>
    <w:rsid w:val="00004E0A"/>
    <w:rsid w:val="00004FD3"/>
    <w:rsid w:val="000059E9"/>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850"/>
    <w:rsid w:val="00032A81"/>
    <w:rsid w:val="000340D8"/>
    <w:rsid w:val="0003427D"/>
    <w:rsid w:val="00034DFA"/>
    <w:rsid w:val="0003552F"/>
    <w:rsid w:val="000357ED"/>
    <w:rsid w:val="00035E15"/>
    <w:rsid w:val="000363B7"/>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A48"/>
    <w:rsid w:val="00042EDB"/>
    <w:rsid w:val="000434B7"/>
    <w:rsid w:val="00044A50"/>
    <w:rsid w:val="00044C65"/>
    <w:rsid w:val="000458C7"/>
    <w:rsid w:val="00045991"/>
    <w:rsid w:val="00045E5C"/>
    <w:rsid w:val="00046288"/>
    <w:rsid w:val="0004694C"/>
    <w:rsid w:val="00047231"/>
    <w:rsid w:val="00047941"/>
    <w:rsid w:val="00050A22"/>
    <w:rsid w:val="00050E27"/>
    <w:rsid w:val="0005144F"/>
    <w:rsid w:val="00051AF1"/>
    <w:rsid w:val="00051D42"/>
    <w:rsid w:val="00052C81"/>
    <w:rsid w:val="000538A1"/>
    <w:rsid w:val="0005458C"/>
    <w:rsid w:val="00055375"/>
    <w:rsid w:val="00055A00"/>
    <w:rsid w:val="00056319"/>
    <w:rsid w:val="000564E7"/>
    <w:rsid w:val="00056770"/>
    <w:rsid w:val="00057386"/>
    <w:rsid w:val="00057EEF"/>
    <w:rsid w:val="000600D7"/>
    <w:rsid w:val="000609D8"/>
    <w:rsid w:val="0006130F"/>
    <w:rsid w:val="000619CB"/>
    <w:rsid w:val="00062387"/>
    <w:rsid w:val="00062A8A"/>
    <w:rsid w:val="000633A0"/>
    <w:rsid w:val="000640F0"/>
    <w:rsid w:val="0006434D"/>
    <w:rsid w:val="000643A1"/>
    <w:rsid w:val="00064679"/>
    <w:rsid w:val="00064A13"/>
    <w:rsid w:val="00064AF4"/>
    <w:rsid w:val="00064DB1"/>
    <w:rsid w:val="00065BA3"/>
    <w:rsid w:val="00065D3B"/>
    <w:rsid w:val="000667E9"/>
    <w:rsid w:val="00066D3A"/>
    <w:rsid w:val="00067128"/>
    <w:rsid w:val="000675CD"/>
    <w:rsid w:val="00067872"/>
    <w:rsid w:val="000678AC"/>
    <w:rsid w:val="000703B2"/>
    <w:rsid w:val="00070FBF"/>
    <w:rsid w:val="000711EE"/>
    <w:rsid w:val="0007180E"/>
    <w:rsid w:val="00071AE4"/>
    <w:rsid w:val="00071CB5"/>
    <w:rsid w:val="00071CCB"/>
    <w:rsid w:val="00071D03"/>
    <w:rsid w:val="0007232B"/>
    <w:rsid w:val="00072E09"/>
    <w:rsid w:val="000735A2"/>
    <w:rsid w:val="00073C9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CDD"/>
    <w:rsid w:val="00092D7C"/>
    <w:rsid w:val="00094344"/>
    <w:rsid w:val="000953C6"/>
    <w:rsid w:val="000953F4"/>
    <w:rsid w:val="0009590C"/>
    <w:rsid w:val="000959E7"/>
    <w:rsid w:val="00095E7D"/>
    <w:rsid w:val="000964DE"/>
    <w:rsid w:val="000972AB"/>
    <w:rsid w:val="00097771"/>
    <w:rsid w:val="00097B40"/>
    <w:rsid w:val="00097D0E"/>
    <w:rsid w:val="00097EC3"/>
    <w:rsid w:val="000A130F"/>
    <w:rsid w:val="000A17EA"/>
    <w:rsid w:val="000A1C7A"/>
    <w:rsid w:val="000A2345"/>
    <w:rsid w:val="000A2394"/>
    <w:rsid w:val="000A31C1"/>
    <w:rsid w:val="000A32C5"/>
    <w:rsid w:val="000A3411"/>
    <w:rsid w:val="000A34CA"/>
    <w:rsid w:val="000A426F"/>
    <w:rsid w:val="000A4559"/>
    <w:rsid w:val="000A45FD"/>
    <w:rsid w:val="000A477B"/>
    <w:rsid w:val="000A4B64"/>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1CBB"/>
    <w:rsid w:val="000C3270"/>
    <w:rsid w:val="000C574D"/>
    <w:rsid w:val="000C577E"/>
    <w:rsid w:val="000D04BA"/>
    <w:rsid w:val="000D0B6E"/>
    <w:rsid w:val="000D0D65"/>
    <w:rsid w:val="000D12E0"/>
    <w:rsid w:val="000D1944"/>
    <w:rsid w:val="000D1BE5"/>
    <w:rsid w:val="000D1DD9"/>
    <w:rsid w:val="000D2172"/>
    <w:rsid w:val="000D293C"/>
    <w:rsid w:val="000D2951"/>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22C"/>
    <w:rsid w:val="000E730A"/>
    <w:rsid w:val="000E755B"/>
    <w:rsid w:val="000E7808"/>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4BCE"/>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2288"/>
    <w:rsid w:val="00133E73"/>
    <w:rsid w:val="00133FDB"/>
    <w:rsid w:val="00134C79"/>
    <w:rsid w:val="00134F4A"/>
    <w:rsid w:val="00135E4E"/>
    <w:rsid w:val="00136246"/>
    <w:rsid w:val="001362A1"/>
    <w:rsid w:val="001364D4"/>
    <w:rsid w:val="001371C8"/>
    <w:rsid w:val="001372ED"/>
    <w:rsid w:val="00141CA7"/>
    <w:rsid w:val="00142B50"/>
    <w:rsid w:val="001431B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4B15"/>
    <w:rsid w:val="00165705"/>
    <w:rsid w:val="00165796"/>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47BF"/>
    <w:rsid w:val="00175C34"/>
    <w:rsid w:val="00175F9A"/>
    <w:rsid w:val="00176E98"/>
    <w:rsid w:val="001772EA"/>
    <w:rsid w:val="00177432"/>
    <w:rsid w:val="00177996"/>
    <w:rsid w:val="00180B3F"/>
    <w:rsid w:val="00180C83"/>
    <w:rsid w:val="00180CE5"/>
    <w:rsid w:val="0018175B"/>
    <w:rsid w:val="001820A3"/>
    <w:rsid w:val="00183159"/>
    <w:rsid w:val="0018332A"/>
    <w:rsid w:val="00183D80"/>
    <w:rsid w:val="001842C8"/>
    <w:rsid w:val="00185044"/>
    <w:rsid w:val="001850DB"/>
    <w:rsid w:val="0018599C"/>
    <w:rsid w:val="00185AF7"/>
    <w:rsid w:val="001869EE"/>
    <w:rsid w:val="00186D00"/>
    <w:rsid w:val="0018743A"/>
    <w:rsid w:val="00190A57"/>
    <w:rsid w:val="00190B3F"/>
    <w:rsid w:val="0019122C"/>
    <w:rsid w:val="00191908"/>
    <w:rsid w:val="00192DF3"/>
    <w:rsid w:val="0019301F"/>
    <w:rsid w:val="00193286"/>
    <w:rsid w:val="001932D7"/>
    <w:rsid w:val="001937B8"/>
    <w:rsid w:val="00194BB7"/>
    <w:rsid w:val="00194CC5"/>
    <w:rsid w:val="001951B2"/>
    <w:rsid w:val="0019565D"/>
    <w:rsid w:val="00196D21"/>
    <w:rsid w:val="00197564"/>
    <w:rsid w:val="00197EC2"/>
    <w:rsid w:val="00197ECE"/>
    <w:rsid w:val="001A1CED"/>
    <w:rsid w:val="001A279B"/>
    <w:rsid w:val="001A285A"/>
    <w:rsid w:val="001A2DC3"/>
    <w:rsid w:val="001A2E4C"/>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600"/>
    <w:rsid w:val="001B664B"/>
    <w:rsid w:val="001B6B9B"/>
    <w:rsid w:val="001B6C27"/>
    <w:rsid w:val="001B7144"/>
    <w:rsid w:val="001B7B8A"/>
    <w:rsid w:val="001B7DB5"/>
    <w:rsid w:val="001B7E91"/>
    <w:rsid w:val="001C0748"/>
    <w:rsid w:val="001C147E"/>
    <w:rsid w:val="001C151B"/>
    <w:rsid w:val="001C19E5"/>
    <w:rsid w:val="001C2C57"/>
    <w:rsid w:val="001C2C8A"/>
    <w:rsid w:val="001C3800"/>
    <w:rsid w:val="001C3C7B"/>
    <w:rsid w:val="001C6122"/>
    <w:rsid w:val="001C6587"/>
    <w:rsid w:val="001C69BE"/>
    <w:rsid w:val="001C6DB5"/>
    <w:rsid w:val="001C70AF"/>
    <w:rsid w:val="001C71AC"/>
    <w:rsid w:val="001C7316"/>
    <w:rsid w:val="001C79D0"/>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0D"/>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18B"/>
    <w:rsid w:val="001E71DA"/>
    <w:rsid w:val="001E7EE4"/>
    <w:rsid w:val="001E7F76"/>
    <w:rsid w:val="001F0FAF"/>
    <w:rsid w:val="001F139F"/>
    <w:rsid w:val="001F2805"/>
    <w:rsid w:val="001F2ACA"/>
    <w:rsid w:val="001F2E79"/>
    <w:rsid w:val="001F2F07"/>
    <w:rsid w:val="001F3123"/>
    <w:rsid w:val="001F376D"/>
    <w:rsid w:val="001F418C"/>
    <w:rsid w:val="001F4B21"/>
    <w:rsid w:val="001F4B2D"/>
    <w:rsid w:val="001F4F40"/>
    <w:rsid w:val="001F50E0"/>
    <w:rsid w:val="001F594C"/>
    <w:rsid w:val="001F64EA"/>
    <w:rsid w:val="001F69FC"/>
    <w:rsid w:val="001F6D62"/>
    <w:rsid w:val="001F7675"/>
    <w:rsid w:val="001F7C70"/>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D8B"/>
    <w:rsid w:val="00227FB4"/>
    <w:rsid w:val="0023057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D44"/>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4C8B"/>
    <w:rsid w:val="002756EF"/>
    <w:rsid w:val="00275708"/>
    <w:rsid w:val="002768CF"/>
    <w:rsid w:val="00276F82"/>
    <w:rsid w:val="00277B54"/>
    <w:rsid w:val="00277EBF"/>
    <w:rsid w:val="002805DF"/>
    <w:rsid w:val="0028092D"/>
    <w:rsid w:val="002812C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B9"/>
    <w:rsid w:val="002933CA"/>
    <w:rsid w:val="00293A8F"/>
    <w:rsid w:val="00295155"/>
    <w:rsid w:val="00295D51"/>
    <w:rsid w:val="00296203"/>
    <w:rsid w:val="00296428"/>
    <w:rsid w:val="0029643D"/>
    <w:rsid w:val="00296A94"/>
    <w:rsid w:val="00296F24"/>
    <w:rsid w:val="0029706A"/>
    <w:rsid w:val="002972EE"/>
    <w:rsid w:val="00297C02"/>
    <w:rsid w:val="00297EA1"/>
    <w:rsid w:val="00297F01"/>
    <w:rsid w:val="002A025D"/>
    <w:rsid w:val="002A052D"/>
    <w:rsid w:val="002A0DF8"/>
    <w:rsid w:val="002A1928"/>
    <w:rsid w:val="002A1D3D"/>
    <w:rsid w:val="002A1F1F"/>
    <w:rsid w:val="002A21B5"/>
    <w:rsid w:val="002A2631"/>
    <w:rsid w:val="002A2A0C"/>
    <w:rsid w:val="002A2BB6"/>
    <w:rsid w:val="002A2F03"/>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827"/>
    <w:rsid w:val="002B097D"/>
    <w:rsid w:val="002B11B2"/>
    <w:rsid w:val="002B17DD"/>
    <w:rsid w:val="002B18F7"/>
    <w:rsid w:val="002B328A"/>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67D"/>
    <w:rsid w:val="002C7A02"/>
    <w:rsid w:val="002C7BD4"/>
    <w:rsid w:val="002D0107"/>
    <w:rsid w:val="002D062E"/>
    <w:rsid w:val="002D0D43"/>
    <w:rsid w:val="002D15C2"/>
    <w:rsid w:val="002D2B10"/>
    <w:rsid w:val="002D386A"/>
    <w:rsid w:val="002D4100"/>
    <w:rsid w:val="002D477F"/>
    <w:rsid w:val="002D4F48"/>
    <w:rsid w:val="002D519B"/>
    <w:rsid w:val="002D621E"/>
    <w:rsid w:val="002D65B7"/>
    <w:rsid w:val="002D66DA"/>
    <w:rsid w:val="002D7027"/>
    <w:rsid w:val="002D70DC"/>
    <w:rsid w:val="002D758B"/>
    <w:rsid w:val="002D79BC"/>
    <w:rsid w:val="002D7E58"/>
    <w:rsid w:val="002E076E"/>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965"/>
    <w:rsid w:val="002E4D08"/>
    <w:rsid w:val="002E4DA5"/>
    <w:rsid w:val="002E52B8"/>
    <w:rsid w:val="002E5DBF"/>
    <w:rsid w:val="002E5E01"/>
    <w:rsid w:val="002E60F5"/>
    <w:rsid w:val="002E6536"/>
    <w:rsid w:val="002E69F5"/>
    <w:rsid w:val="002E6CAA"/>
    <w:rsid w:val="002E73EC"/>
    <w:rsid w:val="002E7768"/>
    <w:rsid w:val="002F023D"/>
    <w:rsid w:val="002F0A64"/>
    <w:rsid w:val="002F10EC"/>
    <w:rsid w:val="002F1136"/>
    <w:rsid w:val="002F1231"/>
    <w:rsid w:val="002F1521"/>
    <w:rsid w:val="002F15EE"/>
    <w:rsid w:val="002F3632"/>
    <w:rsid w:val="002F3AFB"/>
    <w:rsid w:val="002F3C41"/>
    <w:rsid w:val="002F4C8E"/>
    <w:rsid w:val="002F4E29"/>
    <w:rsid w:val="002F5076"/>
    <w:rsid w:val="002F5839"/>
    <w:rsid w:val="002F64D9"/>
    <w:rsid w:val="002F651D"/>
    <w:rsid w:val="002F6648"/>
    <w:rsid w:val="002F6694"/>
    <w:rsid w:val="002F6E44"/>
    <w:rsid w:val="002F74FD"/>
    <w:rsid w:val="002F787B"/>
    <w:rsid w:val="002F7974"/>
    <w:rsid w:val="002F7D01"/>
    <w:rsid w:val="0030005C"/>
    <w:rsid w:val="00300369"/>
    <w:rsid w:val="00301A30"/>
    <w:rsid w:val="00301D0A"/>
    <w:rsid w:val="003027B8"/>
    <w:rsid w:val="0030293F"/>
    <w:rsid w:val="00302947"/>
    <w:rsid w:val="00302BED"/>
    <w:rsid w:val="00302C50"/>
    <w:rsid w:val="00302F93"/>
    <w:rsid w:val="003031C2"/>
    <w:rsid w:val="00303861"/>
    <w:rsid w:val="003039F3"/>
    <w:rsid w:val="00304FFF"/>
    <w:rsid w:val="003053E4"/>
    <w:rsid w:val="00305557"/>
    <w:rsid w:val="0030561F"/>
    <w:rsid w:val="00305CA3"/>
    <w:rsid w:val="00306340"/>
    <w:rsid w:val="00306E5C"/>
    <w:rsid w:val="00307493"/>
    <w:rsid w:val="00307C19"/>
    <w:rsid w:val="00310732"/>
    <w:rsid w:val="00310BC9"/>
    <w:rsid w:val="00311762"/>
    <w:rsid w:val="00311C3E"/>
    <w:rsid w:val="00311E98"/>
    <w:rsid w:val="00312215"/>
    <w:rsid w:val="0031249C"/>
    <w:rsid w:val="003125C3"/>
    <w:rsid w:val="00312896"/>
    <w:rsid w:val="00312E67"/>
    <w:rsid w:val="003139F8"/>
    <w:rsid w:val="00313EAC"/>
    <w:rsid w:val="003142F4"/>
    <w:rsid w:val="0031454E"/>
    <w:rsid w:val="0031611F"/>
    <w:rsid w:val="00317A33"/>
    <w:rsid w:val="00318921"/>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479"/>
    <w:rsid w:val="0034054E"/>
    <w:rsid w:val="003407A9"/>
    <w:rsid w:val="00340BA3"/>
    <w:rsid w:val="00340BAF"/>
    <w:rsid w:val="00340C2B"/>
    <w:rsid w:val="00340F9A"/>
    <w:rsid w:val="00341018"/>
    <w:rsid w:val="00341B09"/>
    <w:rsid w:val="003420D9"/>
    <w:rsid w:val="003423E0"/>
    <w:rsid w:val="003424E2"/>
    <w:rsid w:val="00342BE6"/>
    <w:rsid w:val="0034301A"/>
    <w:rsid w:val="00343B94"/>
    <w:rsid w:val="00343D76"/>
    <w:rsid w:val="00344DFD"/>
    <w:rsid w:val="003451D3"/>
    <w:rsid w:val="00345E4E"/>
    <w:rsid w:val="00346631"/>
    <w:rsid w:val="00346AAD"/>
    <w:rsid w:val="00346B87"/>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7CB"/>
    <w:rsid w:val="00361A9B"/>
    <w:rsid w:val="00361CDD"/>
    <w:rsid w:val="00361EA8"/>
    <w:rsid w:val="0036294D"/>
    <w:rsid w:val="00362B86"/>
    <w:rsid w:val="00362CB0"/>
    <w:rsid w:val="00362CCF"/>
    <w:rsid w:val="003631DB"/>
    <w:rsid w:val="0036348F"/>
    <w:rsid w:val="00363B9A"/>
    <w:rsid w:val="00364524"/>
    <w:rsid w:val="0036513A"/>
    <w:rsid w:val="00365237"/>
    <w:rsid w:val="0036536A"/>
    <w:rsid w:val="0036559C"/>
    <w:rsid w:val="0036587E"/>
    <w:rsid w:val="003660CD"/>
    <w:rsid w:val="00366B08"/>
    <w:rsid w:val="00366F28"/>
    <w:rsid w:val="00367496"/>
    <w:rsid w:val="003678BE"/>
    <w:rsid w:val="003700F8"/>
    <w:rsid w:val="00370949"/>
    <w:rsid w:val="00370C41"/>
    <w:rsid w:val="0037243B"/>
    <w:rsid w:val="0037251C"/>
    <w:rsid w:val="0037272C"/>
    <w:rsid w:val="00372B9A"/>
    <w:rsid w:val="003731BF"/>
    <w:rsid w:val="00375287"/>
    <w:rsid w:val="00375791"/>
    <w:rsid w:val="00375826"/>
    <w:rsid w:val="00375994"/>
    <w:rsid w:val="00375C2F"/>
    <w:rsid w:val="00375C59"/>
    <w:rsid w:val="00375E05"/>
    <w:rsid w:val="00376BB7"/>
    <w:rsid w:val="00376E5B"/>
    <w:rsid w:val="00376EEE"/>
    <w:rsid w:val="00377BA1"/>
    <w:rsid w:val="00377FF0"/>
    <w:rsid w:val="00380616"/>
    <w:rsid w:val="00381022"/>
    <w:rsid w:val="003814B8"/>
    <w:rsid w:val="00381778"/>
    <w:rsid w:val="00382909"/>
    <w:rsid w:val="00382EE1"/>
    <w:rsid w:val="003841C3"/>
    <w:rsid w:val="00384258"/>
    <w:rsid w:val="003850AB"/>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13A"/>
    <w:rsid w:val="00395446"/>
    <w:rsid w:val="00396725"/>
    <w:rsid w:val="00397A28"/>
    <w:rsid w:val="00397B11"/>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C22"/>
    <w:rsid w:val="003A7D1D"/>
    <w:rsid w:val="003B08DE"/>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118"/>
    <w:rsid w:val="003B5BD9"/>
    <w:rsid w:val="003B64A3"/>
    <w:rsid w:val="003B6DB8"/>
    <w:rsid w:val="003B72B9"/>
    <w:rsid w:val="003C0887"/>
    <w:rsid w:val="003C08AF"/>
    <w:rsid w:val="003C0EE7"/>
    <w:rsid w:val="003C2EDD"/>
    <w:rsid w:val="003C3220"/>
    <w:rsid w:val="003C3A47"/>
    <w:rsid w:val="003C3A79"/>
    <w:rsid w:val="003C488A"/>
    <w:rsid w:val="003C48F2"/>
    <w:rsid w:val="003C5177"/>
    <w:rsid w:val="003C52B0"/>
    <w:rsid w:val="003C5911"/>
    <w:rsid w:val="003C5CDB"/>
    <w:rsid w:val="003C6465"/>
    <w:rsid w:val="003C65E4"/>
    <w:rsid w:val="003C72D5"/>
    <w:rsid w:val="003C7712"/>
    <w:rsid w:val="003C7862"/>
    <w:rsid w:val="003C7ECD"/>
    <w:rsid w:val="003D007D"/>
    <w:rsid w:val="003D01A1"/>
    <w:rsid w:val="003D04D6"/>
    <w:rsid w:val="003D04F6"/>
    <w:rsid w:val="003D10F2"/>
    <w:rsid w:val="003D18CC"/>
    <w:rsid w:val="003D2543"/>
    <w:rsid w:val="003D3583"/>
    <w:rsid w:val="003D3738"/>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7C4"/>
    <w:rsid w:val="003E0C14"/>
    <w:rsid w:val="003E0D6F"/>
    <w:rsid w:val="003E1591"/>
    <w:rsid w:val="003E1ACF"/>
    <w:rsid w:val="003E216C"/>
    <w:rsid w:val="003E236E"/>
    <w:rsid w:val="003E259D"/>
    <w:rsid w:val="003E26BA"/>
    <w:rsid w:val="003E27A7"/>
    <w:rsid w:val="003E2906"/>
    <w:rsid w:val="003E2969"/>
    <w:rsid w:val="003E2C1A"/>
    <w:rsid w:val="003E330F"/>
    <w:rsid w:val="003E3478"/>
    <w:rsid w:val="003E3DF3"/>
    <w:rsid w:val="003E4E74"/>
    <w:rsid w:val="003E5F7D"/>
    <w:rsid w:val="003E6520"/>
    <w:rsid w:val="003E6676"/>
    <w:rsid w:val="003E67E7"/>
    <w:rsid w:val="003E6B3C"/>
    <w:rsid w:val="003E6B95"/>
    <w:rsid w:val="003E70FF"/>
    <w:rsid w:val="003E7F1B"/>
    <w:rsid w:val="003F0B41"/>
    <w:rsid w:val="003F1AD2"/>
    <w:rsid w:val="003F1E39"/>
    <w:rsid w:val="003F229D"/>
    <w:rsid w:val="003F25F0"/>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37"/>
    <w:rsid w:val="00404C44"/>
    <w:rsid w:val="00404EE8"/>
    <w:rsid w:val="00404F5A"/>
    <w:rsid w:val="0040510D"/>
    <w:rsid w:val="0040512D"/>
    <w:rsid w:val="00405DF1"/>
    <w:rsid w:val="00405EC4"/>
    <w:rsid w:val="0040602F"/>
    <w:rsid w:val="00406AFB"/>
    <w:rsid w:val="00407382"/>
    <w:rsid w:val="0040791B"/>
    <w:rsid w:val="00411958"/>
    <w:rsid w:val="00411B2A"/>
    <w:rsid w:val="004124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845"/>
    <w:rsid w:val="004279CA"/>
    <w:rsid w:val="00427A82"/>
    <w:rsid w:val="00427EA2"/>
    <w:rsid w:val="00430115"/>
    <w:rsid w:val="004303CA"/>
    <w:rsid w:val="00430A4B"/>
    <w:rsid w:val="00431C46"/>
    <w:rsid w:val="004327E6"/>
    <w:rsid w:val="004329DC"/>
    <w:rsid w:val="00432AC6"/>
    <w:rsid w:val="004339B7"/>
    <w:rsid w:val="00434C5E"/>
    <w:rsid w:val="00435765"/>
    <w:rsid w:val="004360B6"/>
    <w:rsid w:val="004362E5"/>
    <w:rsid w:val="00436356"/>
    <w:rsid w:val="0044041E"/>
    <w:rsid w:val="00440722"/>
    <w:rsid w:val="00440DF5"/>
    <w:rsid w:val="004425D9"/>
    <w:rsid w:val="00443244"/>
    <w:rsid w:val="00444AF6"/>
    <w:rsid w:val="00444C4D"/>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1A4B"/>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4A7A"/>
    <w:rsid w:val="00475AFF"/>
    <w:rsid w:val="00475D30"/>
    <w:rsid w:val="004765F4"/>
    <w:rsid w:val="00476B4D"/>
    <w:rsid w:val="00476CBC"/>
    <w:rsid w:val="00476E6C"/>
    <w:rsid w:val="00477282"/>
    <w:rsid w:val="00477947"/>
    <w:rsid w:val="00480FA1"/>
    <w:rsid w:val="00481FD7"/>
    <w:rsid w:val="00482083"/>
    <w:rsid w:val="00482DE5"/>
    <w:rsid w:val="00483266"/>
    <w:rsid w:val="0048352E"/>
    <w:rsid w:val="004836A9"/>
    <w:rsid w:val="00483B23"/>
    <w:rsid w:val="004840D7"/>
    <w:rsid w:val="004844E2"/>
    <w:rsid w:val="004846F4"/>
    <w:rsid w:val="00485C26"/>
    <w:rsid w:val="00485EC0"/>
    <w:rsid w:val="004875E1"/>
    <w:rsid w:val="00487665"/>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75"/>
    <w:rsid w:val="004B16C4"/>
    <w:rsid w:val="004B1867"/>
    <w:rsid w:val="004B2A64"/>
    <w:rsid w:val="004B3073"/>
    <w:rsid w:val="004B352E"/>
    <w:rsid w:val="004B41DA"/>
    <w:rsid w:val="004B470D"/>
    <w:rsid w:val="004B4764"/>
    <w:rsid w:val="004B4846"/>
    <w:rsid w:val="004B4B05"/>
    <w:rsid w:val="004B5394"/>
    <w:rsid w:val="004B5BDD"/>
    <w:rsid w:val="004B6E9E"/>
    <w:rsid w:val="004B6F83"/>
    <w:rsid w:val="004B7C06"/>
    <w:rsid w:val="004B7C29"/>
    <w:rsid w:val="004C06E5"/>
    <w:rsid w:val="004C1412"/>
    <w:rsid w:val="004C198D"/>
    <w:rsid w:val="004C1B7D"/>
    <w:rsid w:val="004C1CE6"/>
    <w:rsid w:val="004C1E3C"/>
    <w:rsid w:val="004C25F0"/>
    <w:rsid w:val="004C26DD"/>
    <w:rsid w:val="004C2B5D"/>
    <w:rsid w:val="004C2D68"/>
    <w:rsid w:val="004C2EC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577"/>
    <w:rsid w:val="004E76DB"/>
    <w:rsid w:val="004F1F90"/>
    <w:rsid w:val="004F2401"/>
    <w:rsid w:val="004F2947"/>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4762"/>
    <w:rsid w:val="00504BB0"/>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A2B"/>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2693"/>
    <w:rsid w:val="0054309B"/>
    <w:rsid w:val="00544DA0"/>
    <w:rsid w:val="005454BD"/>
    <w:rsid w:val="005457E4"/>
    <w:rsid w:val="00546C49"/>
    <w:rsid w:val="0055010B"/>
    <w:rsid w:val="005502D3"/>
    <w:rsid w:val="00550D59"/>
    <w:rsid w:val="00550D66"/>
    <w:rsid w:val="0055110D"/>
    <w:rsid w:val="00551297"/>
    <w:rsid w:val="00551EBF"/>
    <w:rsid w:val="00551F81"/>
    <w:rsid w:val="0055210F"/>
    <w:rsid w:val="00552CD7"/>
    <w:rsid w:val="005533BE"/>
    <w:rsid w:val="00553FCC"/>
    <w:rsid w:val="00554B30"/>
    <w:rsid w:val="00554FFB"/>
    <w:rsid w:val="0055607D"/>
    <w:rsid w:val="00556660"/>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D4D"/>
    <w:rsid w:val="00567588"/>
    <w:rsid w:val="00567992"/>
    <w:rsid w:val="00567C3C"/>
    <w:rsid w:val="005702F8"/>
    <w:rsid w:val="00571231"/>
    <w:rsid w:val="00571767"/>
    <w:rsid w:val="005719D3"/>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6D3"/>
    <w:rsid w:val="00582B90"/>
    <w:rsid w:val="005831A7"/>
    <w:rsid w:val="00583321"/>
    <w:rsid w:val="0058341E"/>
    <w:rsid w:val="00584F3A"/>
    <w:rsid w:val="005853AB"/>
    <w:rsid w:val="00585748"/>
    <w:rsid w:val="005859C5"/>
    <w:rsid w:val="00585C79"/>
    <w:rsid w:val="00586104"/>
    <w:rsid w:val="00586144"/>
    <w:rsid w:val="005868CF"/>
    <w:rsid w:val="00587785"/>
    <w:rsid w:val="0058788D"/>
    <w:rsid w:val="00587E29"/>
    <w:rsid w:val="00587FE6"/>
    <w:rsid w:val="00591698"/>
    <w:rsid w:val="00592862"/>
    <w:rsid w:val="00593B87"/>
    <w:rsid w:val="00593C1C"/>
    <w:rsid w:val="00593E94"/>
    <w:rsid w:val="00594143"/>
    <w:rsid w:val="00594543"/>
    <w:rsid w:val="00594612"/>
    <w:rsid w:val="00594B67"/>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51A"/>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B7E"/>
    <w:rsid w:val="005B5D40"/>
    <w:rsid w:val="005B5EFC"/>
    <w:rsid w:val="005B6412"/>
    <w:rsid w:val="005B6698"/>
    <w:rsid w:val="005B68A7"/>
    <w:rsid w:val="005B6AC3"/>
    <w:rsid w:val="005B7604"/>
    <w:rsid w:val="005C055E"/>
    <w:rsid w:val="005C0FA1"/>
    <w:rsid w:val="005C132F"/>
    <w:rsid w:val="005C1615"/>
    <w:rsid w:val="005C1D98"/>
    <w:rsid w:val="005C1DA5"/>
    <w:rsid w:val="005C23DB"/>
    <w:rsid w:val="005C2559"/>
    <w:rsid w:val="005C2873"/>
    <w:rsid w:val="005C28AB"/>
    <w:rsid w:val="005C34FC"/>
    <w:rsid w:val="005C3B5C"/>
    <w:rsid w:val="005C3C7F"/>
    <w:rsid w:val="005C5143"/>
    <w:rsid w:val="005C5639"/>
    <w:rsid w:val="005C5742"/>
    <w:rsid w:val="005C760E"/>
    <w:rsid w:val="005C7D74"/>
    <w:rsid w:val="005C7E9E"/>
    <w:rsid w:val="005D18C9"/>
    <w:rsid w:val="005D1B72"/>
    <w:rsid w:val="005D23BD"/>
    <w:rsid w:val="005D2471"/>
    <w:rsid w:val="005D25A3"/>
    <w:rsid w:val="005D2779"/>
    <w:rsid w:val="005D2E2A"/>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5F7FAB"/>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A07"/>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305"/>
    <w:rsid w:val="00623643"/>
    <w:rsid w:val="006239DF"/>
    <w:rsid w:val="00624018"/>
    <w:rsid w:val="006240C4"/>
    <w:rsid w:val="00625304"/>
    <w:rsid w:val="0062581B"/>
    <w:rsid w:val="006261F4"/>
    <w:rsid w:val="0063164E"/>
    <w:rsid w:val="0063191D"/>
    <w:rsid w:val="006327A9"/>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370E5"/>
    <w:rsid w:val="006404D1"/>
    <w:rsid w:val="00640F43"/>
    <w:rsid w:val="006412CA"/>
    <w:rsid w:val="00641718"/>
    <w:rsid w:val="00641A44"/>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47DE0"/>
    <w:rsid w:val="006502A4"/>
    <w:rsid w:val="006519E6"/>
    <w:rsid w:val="00651CDE"/>
    <w:rsid w:val="00652326"/>
    <w:rsid w:val="00652907"/>
    <w:rsid w:val="00652E06"/>
    <w:rsid w:val="00653F94"/>
    <w:rsid w:val="00653FC4"/>
    <w:rsid w:val="00654F91"/>
    <w:rsid w:val="00655361"/>
    <w:rsid w:val="00656253"/>
    <w:rsid w:val="00656799"/>
    <w:rsid w:val="00656B77"/>
    <w:rsid w:val="00656E72"/>
    <w:rsid w:val="006570B1"/>
    <w:rsid w:val="006578A1"/>
    <w:rsid w:val="006578A6"/>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492"/>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270"/>
    <w:rsid w:val="006844BA"/>
    <w:rsid w:val="006845A2"/>
    <w:rsid w:val="00684BF8"/>
    <w:rsid w:val="00684D9B"/>
    <w:rsid w:val="0068522E"/>
    <w:rsid w:val="006858AA"/>
    <w:rsid w:val="00685BCF"/>
    <w:rsid w:val="006867C7"/>
    <w:rsid w:val="006871D0"/>
    <w:rsid w:val="0068751F"/>
    <w:rsid w:val="006900D1"/>
    <w:rsid w:val="00690270"/>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A6A"/>
    <w:rsid w:val="006A2E9C"/>
    <w:rsid w:val="006A35E0"/>
    <w:rsid w:val="006A377F"/>
    <w:rsid w:val="006A384A"/>
    <w:rsid w:val="006A3875"/>
    <w:rsid w:val="006A3D40"/>
    <w:rsid w:val="006A561D"/>
    <w:rsid w:val="006A5A0C"/>
    <w:rsid w:val="006A5BA0"/>
    <w:rsid w:val="006A5BB1"/>
    <w:rsid w:val="006A5F88"/>
    <w:rsid w:val="006A77D5"/>
    <w:rsid w:val="006A7D95"/>
    <w:rsid w:val="006B120D"/>
    <w:rsid w:val="006B13C1"/>
    <w:rsid w:val="006B2CC7"/>
    <w:rsid w:val="006B3AF9"/>
    <w:rsid w:val="006B4158"/>
    <w:rsid w:val="006B44C5"/>
    <w:rsid w:val="006B46C6"/>
    <w:rsid w:val="006B555F"/>
    <w:rsid w:val="006B6242"/>
    <w:rsid w:val="006B678C"/>
    <w:rsid w:val="006B6C7C"/>
    <w:rsid w:val="006B6EA4"/>
    <w:rsid w:val="006B77BB"/>
    <w:rsid w:val="006B7F8F"/>
    <w:rsid w:val="006B7FC5"/>
    <w:rsid w:val="006C055E"/>
    <w:rsid w:val="006C0D13"/>
    <w:rsid w:val="006C14AF"/>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150E"/>
    <w:rsid w:val="006D30E7"/>
    <w:rsid w:val="006D48E7"/>
    <w:rsid w:val="006D4947"/>
    <w:rsid w:val="006D5F16"/>
    <w:rsid w:val="006D63AD"/>
    <w:rsid w:val="006D6532"/>
    <w:rsid w:val="006D6764"/>
    <w:rsid w:val="006D67D9"/>
    <w:rsid w:val="006D6C93"/>
    <w:rsid w:val="006D7573"/>
    <w:rsid w:val="006E01D7"/>
    <w:rsid w:val="006E0340"/>
    <w:rsid w:val="006E06F9"/>
    <w:rsid w:val="006E07A9"/>
    <w:rsid w:val="006E0B38"/>
    <w:rsid w:val="006E0D91"/>
    <w:rsid w:val="006E1706"/>
    <w:rsid w:val="006E200A"/>
    <w:rsid w:val="006E2E45"/>
    <w:rsid w:val="006E3CB2"/>
    <w:rsid w:val="006E3DA8"/>
    <w:rsid w:val="006E5D4C"/>
    <w:rsid w:val="006E5DAA"/>
    <w:rsid w:val="006E7006"/>
    <w:rsid w:val="006E746F"/>
    <w:rsid w:val="006F00E7"/>
    <w:rsid w:val="006F0F6E"/>
    <w:rsid w:val="006F143A"/>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1EA2"/>
    <w:rsid w:val="00702ED0"/>
    <w:rsid w:val="00703C09"/>
    <w:rsid w:val="0070434A"/>
    <w:rsid w:val="007048C4"/>
    <w:rsid w:val="00704CC4"/>
    <w:rsid w:val="00705345"/>
    <w:rsid w:val="0070638D"/>
    <w:rsid w:val="0070664C"/>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47"/>
    <w:rsid w:val="0071415A"/>
    <w:rsid w:val="0071458E"/>
    <w:rsid w:val="007145C9"/>
    <w:rsid w:val="00714631"/>
    <w:rsid w:val="00714B6E"/>
    <w:rsid w:val="00714C1B"/>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A43"/>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0E0"/>
    <w:rsid w:val="007322A0"/>
    <w:rsid w:val="00732C1A"/>
    <w:rsid w:val="00733CDC"/>
    <w:rsid w:val="00734B7D"/>
    <w:rsid w:val="00734B9A"/>
    <w:rsid w:val="00735695"/>
    <w:rsid w:val="00735863"/>
    <w:rsid w:val="007360CB"/>
    <w:rsid w:val="0073653E"/>
    <w:rsid w:val="00737566"/>
    <w:rsid w:val="00741BA2"/>
    <w:rsid w:val="00741CF4"/>
    <w:rsid w:val="00741DCC"/>
    <w:rsid w:val="00741DE2"/>
    <w:rsid w:val="00741E71"/>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3F97"/>
    <w:rsid w:val="007642B4"/>
    <w:rsid w:val="00764C45"/>
    <w:rsid w:val="00765424"/>
    <w:rsid w:val="00765A07"/>
    <w:rsid w:val="00766277"/>
    <w:rsid w:val="0076656A"/>
    <w:rsid w:val="00766701"/>
    <w:rsid w:val="00766911"/>
    <w:rsid w:val="00767793"/>
    <w:rsid w:val="007679D8"/>
    <w:rsid w:val="00770803"/>
    <w:rsid w:val="00771319"/>
    <w:rsid w:val="007713E8"/>
    <w:rsid w:val="00771794"/>
    <w:rsid w:val="00771B46"/>
    <w:rsid w:val="00771CCF"/>
    <w:rsid w:val="00771F7D"/>
    <w:rsid w:val="00772C3E"/>
    <w:rsid w:val="00772FE4"/>
    <w:rsid w:val="007730EC"/>
    <w:rsid w:val="007730F4"/>
    <w:rsid w:val="007736E8"/>
    <w:rsid w:val="00774341"/>
    <w:rsid w:val="00774ABC"/>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372B"/>
    <w:rsid w:val="007840E2"/>
    <w:rsid w:val="0078569F"/>
    <w:rsid w:val="00785803"/>
    <w:rsid w:val="00785EB4"/>
    <w:rsid w:val="0078609A"/>
    <w:rsid w:val="00786F85"/>
    <w:rsid w:val="0078731A"/>
    <w:rsid w:val="00787487"/>
    <w:rsid w:val="00790086"/>
    <w:rsid w:val="00790394"/>
    <w:rsid w:val="007906F1"/>
    <w:rsid w:val="00790EC2"/>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0236"/>
    <w:rsid w:val="007B038C"/>
    <w:rsid w:val="007B1027"/>
    <w:rsid w:val="007B1691"/>
    <w:rsid w:val="007B174F"/>
    <w:rsid w:val="007B1863"/>
    <w:rsid w:val="007B18C5"/>
    <w:rsid w:val="007B1925"/>
    <w:rsid w:val="007B22E0"/>
    <w:rsid w:val="007B28CA"/>
    <w:rsid w:val="007B337E"/>
    <w:rsid w:val="007B358D"/>
    <w:rsid w:val="007B5401"/>
    <w:rsid w:val="007B5FB4"/>
    <w:rsid w:val="007B6B2B"/>
    <w:rsid w:val="007B7949"/>
    <w:rsid w:val="007B7D30"/>
    <w:rsid w:val="007C0FA9"/>
    <w:rsid w:val="007C2413"/>
    <w:rsid w:val="007C2507"/>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E86"/>
    <w:rsid w:val="007D6370"/>
    <w:rsid w:val="007D674C"/>
    <w:rsid w:val="007D6B7B"/>
    <w:rsid w:val="007D6CF1"/>
    <w:rsid w:val="007D7131"/>
    <w:rsid w:val="007D7BEC"/>
    <w:rsid w:val="007D7CE3"/>
    <w:rsid w:val="007E051A"/>
    <w:rsid w:val="007E053B"/>
    <w:rsid w:val="007E0798"/>
    <w:rsid w:val="007E0AD4"/>
    <w:rsid w:val="007E1B72"/>
    <w:rsid w:val="007E3EE3"/>
    <w:rsid w:val="007E57DE"/>
    <w:rsid w:val="007E5902"/>
    <w:rsid w:val="007E6719"/>
    <w:rsid w:val="007E68ED"/>
    <w:rsid w:val="007E69ED"/>
    <w:rsid w:val="007E7B2D"/>
    <w:rsid w:val="007F0221"/>
    <w:rsid w:val="007F034B"/>
    <w:rsid w:val="007F07B9"/>
    <w:rsid w:val="007F0928"/>
    <w:rsid w:val="007F0969"/>
    <w:rsid w:val="007F15CE"/>
    <w:rsid w:val="007F1E88"/>
    <w:rsid w:val="007F1E89"/>
    <w:rsid w:val="007F2CD7"/>
    <w:rsid w:val="007F3568"/>
    <w:rsid w:val="007F422D"/>
    <w:rsid w:val="007F4DBA"/>
    <w:rsid w:val="007F518C"/>
    <w:rsid w:val="007F519C"/>
    <w:rsid w:val="007F534D"/>
    <w:rsid w:val="007F54A2"/>
    <w:rsid w:val="007F54FE"/>
    <w:rsid w:val="007F5535"/>
    <w:rsid w:val="007F5D32"/>
    <w:rsid w:val="007F72DC"/>
    <w:rsid w:val="007F795F"/>
    <w:rsid w:val="007F7A13"/>
    <w:rsid w:val="007F7DF3"/>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0FB2"/>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23A"/>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5F6"/>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64B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6D2"/>
    <w:rsid w:val="00882F1D"/>
    <w:rsid w:val="00883A4D"/>
    <w:rsid w:val="00883B21"/>
    <w:rsid w:val="00883E9A"/>
    <w:rsid w:val="00883F8F"/>
    <w:rsid w:val="00884235"/>
    <w:rsid w:val="0088487B"/>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BEC"/>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1"/>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448"/>
    <w:rsid w:val="008B5715"/>
    <w:rsid w:val="008B5A2D"/>
    <w:rsid w:val="008B5BC2"/>
    <w:rsid w:val="008B60BB"/>
    <w:rsid w:val="008B6732"/>
    <w:rsid w:val="008B68EC"/>
    <w:rsid w:val="008B711E"/>
    <w:rsid w:val="008B75F1"/>
    <w:rsid w:val="008C042F"/>
    <w:rsid w:val="008C057B"/>
    <w:rsid w:val="008C0CAC"/>
    <w:rsid w:val="008C13B4"/>
    <w:rsid w:val="008C1557"/>
    <w:rsid w:val="008C1B8C"/>
    <w:rsid w:val="008C2306"/>
    <w:rsid w:val="008C23C0"/>
    <w:rsid w:val="008C26D1"/>
    <w:rsid w:val="008C2B7F"/>
    <w:rsid w:val="008C36AC"/>
    <w:rsid w:val="008C4953"/>
    <w:rsid w:val="008C4E44"/>
    <w:rsid w:val="008C6255"/>
    <w:rsid w:val="008C684B"/>
    <w:rsid w:val="008C68B0"/>
    <w:rsid w:val="008C6ABD"/>
    <w:rsid w:val="008C6F18"/>
    <w:rsid w:val="008C7685"/>
    <w:rsid w:val="008C7E4A"/>
    <w:rsid w:val="008D007A"/>
    <w:rsid w:val="008D07DE"/>
    <w:rsid w:val="008D0831"/>
    <w:rsid w:val="008D0E40"/>
    <w:rsid w:val="008D1E7F"/>
    <w:rsid w:val="008D2367"/>
    <w:rsid w:val="008D287C"/>
    <w:rsid w:val="008D3699"/>
    <w:rsid w:val="008D427A"/>
    <w:rsid w:val="008D4DD5"/>
    <w:rsid w:val="008D5657"/>
    <w:rsid w:val="008D5F2F"/>
    <w:rsid w:val="008D6752"/>
    <w:rsid w:val="008D69E7"/>
    <w:rsid w:val="008D6FC1"/>
    <w:rsid w:val="008D6FEB"/>
    <w:rsid w:val="008E0140"/>
    <w:rsid w:val="008E0688"/>
    <w:rsid w:val="008E0BEF"/>
    <w:rsid w:val="008E266D"/>
    <w:rsid w:val="008E2F0C"/>
    <w:rsid w:val="008E3E23"/>
    <w:rsid w:val="008E52DA"/>
    <w:rsid w:val="008E547B"/>
    <w:rsid w:val="008E5DF8"/>
    <w:rsid w:val="008E61A7"/>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6C6"/>
    <w:rsid w:val="00902E5B"/>
    <w:rsid w:val="00903FD9"/>
    <w:rsid w:val="00904CF5"/>
    <w:rsid w:val="009050D7"/>
    <w:rsid w:val="00905259"/>
    <w:rsid w:val="0090556C"/>
    <w:rsid w:val="00905633"/>
    <w:rsid w:val="00905EAE"/>
    <w:rsid w:val="009060C4"/>
    <w:rsid w:val="00906ADD"/>
    <w:rsid w:val="00906C91"/>
    <w:rsid w:val="00906C95"/>
    <w:rsid w:val="00907656"/>
    <w:rsid w:val="00907E47"/>
    <w:rsid w:val="009107BA"/>
    <w:rsid w:val="009115EF"/>
    <w:rsid w:val="009116DD"/>
    <w:rsid w:val="009127F8"/>
    <w:rsid w:val="00912D1C"/>
    <w:rsid w:val="00912D58"/>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47F8"/>
    <w:rsid w:val="00925238"/>
    <w:rsid w:val="0092528F"/>
    <w:rsid w:val="009254A3"/>
    <w:rsid w:val="00925ACF"/>
    <w:rsid w:val="0092615D"/>
    <w:rsid w:val="009262E6"/>
    <w:rsid w:val="0092638C"/>
    <w:rsid w:val="00926546"/>
    <w:rsid w:val="009265A1"/>
    <w:rsid w:val="00927700"/>
    <w:rsid w:val="0093016D"/>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79C4"/>
    <w:rsid w:val="0094030C"/>
    <w:rsid w:val="0094041A"/>
    <w:rsid w:val="00940D32"/>
    <w:rsid w:val="0094190D"/>
    <w:rsid w:val="00942354"/>
    <w:rsid w:val="00942681"/>
    <w:rsid w:val="00943A7E"/>
    <w:rsid w:val="00943E42"/>
    <w:rsid w:val="00943E5D"/>
    <w:rsid w:val="00944728"/>
    <w:rsid w:val="009453E8"/>
    <w:rsid w:val="00945664"/>
    <w:rsid w:val="00945AD1"/>
    <w:rsid w:val="0094600F"/>
    <w:rsid w:val="00946ECB"/>
    <w:rsid w:val="00947069"/>
    <w:rsid w:val="00947268"/>
    <w:rsid w:val="0094750E"/>
    <w:rsid w:val="00947C94"/>
    <w:rsid w:val="009507C8"/>
    <w:rsid w:val="0095115E"/>
    <w:rsid w:val="0095118A"/>
    <w:rsid w:val="00952468"/>
    <w:rsid w:val="009543A4"/>
    <w:rsid w:val="00954767"/>
    <w:rsid w:val="0095487A"/>
    <w:rsid w:val="009548F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717"/>
    <w:rsid w:val="00981D1C"/>
    <w:rsid w:val="00981E1C"/>
    <w:rsid w:val="00982118"/>
    <w:rsid w:val="0098212C"/>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010"/>
    <w:rsid w:val="0099097E"/>
    <w:rsid w:val="00991C15"/>
    <w:rsid w:val="009921FC"/>
    <w:rsid w:val="0099272B"/>
    <w:rsid w:val="00992A0E"/>
    <w:rsid w:val="0099399E"/>
    <w:rsid w:val="0099413C"/>
    <w:rsid w:val="00994230"/>
    <w:rsid w:val="0099479E"/>
    <w:rsid w:val="00994D02"/>
    <w:rsid w:val="009950E0"/>
    <w:rsid w:val="009951D8"/>
    <w:rsid w:val="00995355"/>
    <w:rsid w:val="0099586F"/>
    <w:rsid w:val="0099719E"/>
    <w:rsid w:val="009A0169"/>
    <w:rsid w:val="009A1B56"/>
    <w:rsid w:val="009A31CF"/>
    <w:rsid w:val="009A3C93"/>
    <w:rsid w:val="009A3FD0"/>
    <w:rsid w:val="009A51C7"/>
    <w:rsid w:val="009A59EC"/>
    <w:rsid w:val="009A5C56"/>
    <w:rsid w:val="009A5CA8"/>
    <w:rsid w:val="009A5FD7"/>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0E24"/>
    <w:rsid w:val="009C115D"/>
    <w:rsid w:val="009C15E7"/>
    <w:rsid w:val="009C17C8"/>
    <w:rsid w:val="009C385B"/>
    <w:rsid w:val="009C3E3C"/>
    <w:rsid w:val="009C4282"/>
    <w:rsid w:val="009C42B1"/>
    <w:rsid w:val="009C4353"/>
    <w:rsid w:val="009C49C2"/>
    <w:rsid w:val="009C4E2D"/>
    <w:rsid w:val="009C62C0"/>
    <w:rsid w:val="009C68DA"/>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7B"/>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2A96"/>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3FA0"/>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0662"/>
    <w:rsid w:val="00A31CE0"/>
    <w:rsid w:val="00A31FA9"/>
    <w:rsid w:val="00A333BF"/>
    <w:rsid w:val="00A33825"/>
    <w:rsid w:val="00A3398F"/>
    <w:rsid w:val="00A34598"/>
    <w:rsid w:val="00A3464A"/>
    <w:rsid w:val="00A35583"/>
    <w:rsid w:val="00A363EF"/>
    <w:rsid w:val="00A36DFE"/>
    <w:rsid w:val="00A370FD"/>
    <w:rsid w:val="00A3714B"/>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4F52"/>
    <w:rsid w:val="00A45367"/>
    <w:rsid w:val="00A45EC4"/>
    <w:rsid w:val="00A47212"/>
    <w:rsid w:val="00A474EA"/>
    <w:rsid w:val="00A501B2"/>
    <w:rsid w:val="00A5034A"/>
    <w:rsid w:val="00A50FFA"/>
    <w:rsid w:val="00A512C8"/>
    <w:rsid w:val="00A539D1"/>
    <w:rsid w:val="00A54C95"/>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9BC"/>
    <w:rsid w:val="00A66DF9"/>
    <w:rsid w:val="00A704E4"/>
    <w:rsid w:val="00A706FC"/>
    <w:rsid w:val="00A70966"/>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3417"/>
    <w:rsid w:val="00A9468F"/>
    <w:rsid w:val="00A9498D"/>
    <w:rsid w:val="00A95335"/>
    <w:rsid w:val="00A9566B"/>
    <w:rsid w:val="00A9657F"/>
    <w:rsid w:val="00A9797D"/>
    <w:rsid w:val="00AA015F"/>
    <w:rsid w:val="00AA0C3A"/>
    <w:rsid w:val="00AA1723"/>
    <w:rsid w:val="00AA190D"/>
    <w:rsid w:val="00AA1FDD"/>
    <w:rsid w:val="00AA22C3"/>
    <w:rsid w:val="00AA230D"/>
    <w:rsid w:val="00AA40A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0F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DAB"/>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600C"/>
    <w:rsid w:val="00AD63D6"/>
    <w:rsid w:val="00AD6642"/>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1E3"/>
    <w:rsid w:val="00AE73E0"/>
    <w:rsid w:val="00AF03C0"/>
    <w:rsid w:val="00AF166F"/>
    <w:rsid w:val="00AF1C03"/>
    <w:rsid w:val="00AF3936"/>
    <w:rsid w:val="00AF39AF"/>
    <w:rsid w:val="00AF3E3B"/>
    <w:rsid w:val="00AF3E5A"/>
    <w:rsid w:val="00AF46FE"/>
    <w:rsid w:val="00AF486F"/>
    <w:rsid w:val="00AF548B"/>
    <w:rsid w:val="00AF558B"/>
    <w:rsid w:val="00AF55E0"/>
    <w:rsid w:val="00AF5666"/>
    <w:rsid w:val="00AF5870"/>
    <w:rsid w:val="00AF5AAF"/>
    <w:rsid w:val="00AF6619"/>
    <w:rsid w:val="00AF6CFD"/>
    <w:rsid w:val="00AF7DC1"/>
    <w:rsid w:val="00B000AE"/>
    <w:rsid w:val="00B0040B"/>
    <w:rsid w:val="00B0051E"/>
    <w:rsid w:val="00B00830"/>
    <w:rsid w:val="00B00AB5"/>
    <w:rsid w:val="00B00CC0"/>
    <w:rsid w:val="00B00F5C"/>
    <w:rsid w:val="00B01938"/>
    <w:rsid w:val="00B019C1"/>
    <w:rsid w:val="00B0236E"/>
    <w:rsid w:val="00B02506"/>
    <w:rsid w:val="00B02ACE"/>
    <w:rsid w:val="00B03913"/>
    <w:rsid w:val="00B04CE3"/>
    <w:rsid w:val="00B04CEA"/>
    <w:rsid w:val="00B05607"/>
    <w:rsid w:val="00B05A08"/>
    <w:rsid w:val="00B05F14"/>
    <w:rsid w:val="00B0632C"/>
    <w:rsid w:val="00B06737"/>
    <w:rsid w:val="00B0784C"/>
    <w:rsid w:val="00B07CE9"/>
    <w:rsid w:val="00B101D5"/>
    <w:rsid w:val="00B10633"/>
    <w:rsid w:val="00B10B08"/>
    <w:rsid w:val="00B11A78"/>
    <w:rsid w:val="00B11CFB"/>
    <w:rsid w:val="00B12111"/>
    <w:rsid w:val="00B12804"/>
    <w:rsid w:val="00B12A1F"/>
    <w:rsid w:val="00B133A0"/>
    <w:rsid w:val="00B13E18"/>
    <w:rsid w:val="00B13E74"/>
    <w:rsid w:val="00B14109"/>
    <w:rsid w:val="00B14410"/>
    <w:rsid w:val="00B1486D"/>
    <w:rsid w:val="00B150D6"/>
    <w:rsid w:val="00B15373"/>
    <w:rsid w:val="00B15475"/>
    <w:rsid w:val="00B15639"/>
    <w:rsid w:val="00B15D15"/>
    <w:rsid w:val="00B15E42"/>
    <w:rsid w:val="00B15EEE"/>
    <w:rsid w:val="00B16198"/>
    <w:rsid w:val="00B163A6"/>
    <w:rsid w:val="00B16A2C"/>
    <w:rsid w:val="00B16FB6"/>
    <w:rsid w:val="00B17022"/>
    <w:rsid w:val="00B20438"/>
    <w:rsid w:val="00B20FD1"/>
    <w:rsid w:val="00B21736"/>
    <w:rsid w:val="00B2178A"/>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2B5F"/>
    <w:rsid w:val="00B333FE"/>
    <w:rsid w:val="00B3382B"/>
    <w:rsid w:val="00B349E3"/>
    <w:rsid w:val="00B35094"/>
    <w:rsid w:val="00B350F0"/>
    <w:rsid w:val="00B35558"/>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3D24"/>
    <w:rsid w:val="00B55CED"/>
    <w:rsid w:val="00B55D57"/>
    <w:rsid w:val="00B55F80"/>
    <w:rsid w:val="00B56480"/>
    <w:rsid w:val="00B565D6"/>
    <w:rsid w:val="00B576A4"/>
    <w:rsid w:val="00B57998"/>
    <w:rsid w:val="00B57CD0"/>
    <w:rsid w:val="00B57DA9"/>
    <w:rsid w:val="00B60177"/>
    <w:rsid w:val="00B60639"/>
    <w:rsid w:val="00B614EC"/>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A7D"/>
    <w:rsid w:val="00B87DF9"/>
    <w:rsid w:val="00B91896"/>
    <w:rsid w:val="00B91951"/>
    <w:rsid w:val="00B91A58"/>
    <w:rsid w:val="00B91E94"/>
    <w:rsid w:val="00B91EAD"/>
    <w:rsid w:val="00B91F38"/>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0F90"/>
    <w:rsid w:val="00BA1D52"/>
    <w:rsid w:val="00BA1F74"/>
    <w:rsid w:val="00BA1FE7"/>
    <w:rsid w:val="00BA2B1D"/>
    <w:rsid w:val="00BA386F"/>
    <w:rsid w:val="00BA3D14"/>
    <w:rsid w:val="00BA435A"/>
    <w:rsid w:val="00BA54BA"/>
    <w:rsid w:val="00BA5603"/>
    <w:rsid w:val="00BA56D9"/>
    <w:rsid w:val="00BA6194"/>
    <w:rsid w:val="00BA6CE3"/>
    <w:rsid w:val="00BA701B"/>
    <w:rsid w:val="00BA735A"/>
    <w:rsid w:val="00BA7B9A"/>
    <w:rsid w:val="00BA7EEE"/>
    <w:rsid w:val="00BB1782"/>
    <w:rsid w:val="00BB2008"/>
    <w:rsid w:val="00BB29DF"/>
    <w:rsid w:val="00BB2CFC"/>
    <w:rsid w:val="00BB34DC"/>
    <w:rsid w:val="00BB35D0"/>
    <w:rsid w:val="00BB3883"/>
    <w:rsid w:val="00BB3AC4"/>
    <w:rsid w:val="00BB3FBA"/>
    <w:rsid w:val="00BB44F0"/>
    <w:rsid w:val="00BB4999"/>
    <w:rsid w:val="00BB4BCD"/>
    <w:rsid w:val="00BB4E36"/>
    <w:rsid w:val="00BB56C7"/>
    <w:rsid w:val="00BB5B62"/>
    <w:rsid w:val="00BB6502"/>
    <w:rsid w:val="00BB6BCD"/>
    <w:rsid w:val="00BB70F9"/>
    <w:rsid w:val="00BB7C9B"/>
    <w:rsid w:val="00BC1527"/>
    <w:rsid w:val="00BC2306"/>
    <w:rsid w:val="00BC2F31"/>
    <w:rsid w:val="00BC316E"/>
    <w:rsid w:val="00BC3641"/>
    <w:rsid w:val="00BC4036"/>
    <w:rsid w:val="00BC4F0A"/>
    <w:rsid w:val="00BC509F"/>
    <w:rsid w:val="00BC51D2"/>
    <w:rsid w:val="00BC555E"/>
    <w:rsid w:val="00BC64BE"/>
    <w:rsid w:val="00BC70C6"/>
    <w:rsid w:val="00BC7155"/>
    <w:rsid w:val="00BC7550"/>
    <w:rsid w:val="00BD0B72"/>
    <w:rsid w:val="00BD2668"/>
    <w:rsid w:val="00BD3924"/>
    <w:rsid w:val="00BD3C33"/>
    <w:rsid w:val="00BD450F"/>
    <w:rsid w:val="00BD4512"/>
    <w:rsid w:val="00BD52AA"/>
    <w:rsid w:val="00BD632D"/>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55B"/>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3F4"/>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1F"/>
    <w:rsid w:val="00C32951"/>
    <w:rsid w:val="00C32C02"/>
    <w:rsid w:val="00C33235"/>
    <w:rsid w:val="00C33677"/>
    <w:rsid w:val="00C34137"/>
    <w:rsid w:val="00C3476B"/>
    <w:rsid w:val="00C347A2"/>
    <w:rsid w:val="00C34B56"/>
    <w:rsid w:val="00C35240"/>
    <w:rsid w:val="00C368B3"/>
    <w:rsid w:val="00C36F07"/>
    <w:rsid w:val="00C37214"/>
    <w:rsid w:val="00C372E8"/>
    <w:rsid w:val="00C409DC"/>
    <w:rsid w:val="00C40B1B"/>
    <w:rsid w:val="00C40E88"/>
    <w:rsid w:val="00C416A3"/>
    <w:rsid w:val="00C41785"/>
    <w:rsid w:val="00C41ED1"/>
    <w:rsid w:val="00C41FC1"/>
    <w:rsid w:val="00C434C2"/>
    <w:rsid w:val="00C43940"/>
    <w:rsid w:val="00C44342"/>
    <w:rsid w:val="00C44694"/>
    <w:rsid w:val="00C446B7"/>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3F6E"/>
    <w:rsid w:val="00C541DE"/>
    <w:rsid w:val="00C54C11"/>
    <w:rsid w:val="00C54C67"/>
    <w:rsid w:val="00C54E65"/>
    <w:rsid w:val="00C56324"/>
    <w:rsid w:val="00C5653B"/>
    <w:rsid w:val="00C565A3"/>
    <w:rsid w:val="00C577F7"/>
    <w:rsid w:val="00C605E2"/>
    <w:rsid w:val="00C60667"/>
    <w:rsid w:val="00C61AB9"/>
    <w:rsid w:val="00C61F84"/>
    <w:rsid w:val="00C62FF7"/>
    <w:rsid w:val="00C63135"/>
    <w:rsid w:val="00C637DC"/>
    <w:rsid w:val="00C63EE8"/>
    <w:rsid w:val="00C6432E"/>
    <w:rsid w:val="00C643A4"/>
    <w:rsid w:val="00C65718"/>
    <w:rsid w:val="00C65B17"/>
    <w:rsid w:val="00C65B95"/>
    <w:rsid w:val="00C65C81"/>
    <w:rsid w:val="00C6609E"/>
    <w:rsid w:val="00C6619B"/>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A51"/>
    <w:rsid w:val="00C76B1F"/>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5F4"/>
    <w:rsid w:val="00C8495F"/>
    <w:rsid w:val="00C84BF1"/>
    <w:rsid w:val="00C84CA2"/>
    <w:rsid w:val="00C85A36"/>
    <w:rsid w:val="00C85CD1"/>
    <w:rsid w:val="00C86C56"/>
    <w:rsid w:val="00C8773E"/>
    <w:rsid w:val="00C90391"/>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CFA"/>
    <w:rsid w:val="00C96E5A"/>
    <w:rsid w:val="00C96EB5"/>
    <w:rsid w:val="00CA0257"/>
    <w:rsid w:val="00CA039B"/>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1EB9"/>
    <w:rsid w:val="00CC20E0"/>
    <w:rsid w:val="00CC2818"/>
    <w:rsid w:val="00CC2ED0"/>
    <w:rsid w:val="00CC2F7A"/>
    <w:rsid w:val="00CC3A70"/>
    <w:rsid w:val="00CC4033"/>
    <w:rsid w:val="00CC40B8"/>
    <w:rsid w:val="00CC5444"/>
    <w:rsid w:val="00CC5534"/>
    <w:rsid w:val="00CC5631"/>
    <w:rsid w:val="00CC597E"/>
    <w:rsid w:val="00CC5E6C"/>
    <w:rsid w:val="00CC62A6"/>
    <w:rsid w:val="00CC676C"/>
    <w:rsid w:val="00CC745B"/>
    <w:rsid w:val="00CC7A11"/>
    <w:rsid w:val="00CD04A8"/>
    <w:rsid w:val="00CD051B"/>
    <w:rsid w:val="00CD1DB1"/>
    <w:rsid w:val="00CD22B5"/>
    <w:rsid w:val="00CD22F4"/>
    <w:rsid w:val="00CD25E1"/>
    <w:rsid w:val="00CD269D"/>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6C2"/>
    <w:rsid w:val="00CE5856"/>
    <w:rsid w:val="00CE5BDE"/>
    <w:rsid w:val="00CE6A6D"/>
    <w:rsid w:val="00CE774C"/>
    <w:rsid w:val="00CF012E"/>
    <w:rsid w:val="00CF04D4"/>
    <w:rsid w:val="00CF0B4C"/>
    <w:rsid w:val="00CF1680"/>
    <w:rsid w:val="00CF1A1A"/>
    <w:rsid w:val="00CF1BD7"/>
    <w:rsid w:val="00CF1E21"/>
    <w:rsid w:val="00CF21A5"/>
    <w:rsid w:val="00CF2518"/>
    <w:rsid w:val="00CF2DDE"/>
    <w:rsid w:val="00CF344A"/>
    <w:rsid w:val="00CF39A0"/>
    <w:rsid w:val="00CF3D1C"/>
    <w:rsid w:val="00CF435D"/>
    <w:rsid w:val="00CF4713"/>
    <w:rsid w:val="00CF4A66"/>
    <w:rsid w:val="00CF4B12"/>
    <w:rsid w:val="00CF58FE"/>
    <w:rsid w:val="00CF5EBE"/>
    <w:rsid w:val="00CF644D"/>
    <w:rsid w:val="00CF765B"/>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8E4"/>
    <w:rsid w:val="00D10D09"/>
    <w:rsid w:val="00D1163E"/>
    <w:rsid w:val="00D12362"/>
    <w:rsid w:val="00D12A4F"/>
    <w:rsid w:val="00D14C15"/>
    <w:rsid w:val="00D15CB3"/>
    <w:rsid w:val="00D15CE2"/>
    <w:rsid w:val="00D15F51"/>
    <w:rsid w:val="00D1660E"/>
    <w:rsid w:val="00D16ED5"/>
    <w:rsid w:val="00D171C6"/>
    <w:rsid w:val="00D17E27"/>
    <w:rsid w:val="00D202B1"/>
    <w:rsid w:val="00D20662"/>
    <w:rsid w:val="00D21291"/>
    <w:rsid w:val="00D21C8A"/>
    <w:rsid w:val="00D2297E"/>
    <w:rsid w:val="00D22DE5"/>
    <w:rsid w:val="00D233BD"/>
    <w:rsid w:val="00D233D7"/>
    <w:rsid w:val="00D2377E"/>
    <w:rsid w:val="00D23CBB"/>
    <w:rsid w:val="00D25806"/>
    <w:rsid w:val="00D25E9D"/>
    <w:rsid w:val="00D25F1C"/>
    <w:rsid w:val="00D26DE6"/>
    <w:rsid w:val="00D26EE7"/>
    <w:rsid w:val="00D305F7"/>
    <w:rsid w:val="00D30718"/>
    <w:rsid w:val="00D322FB"/>
    <w:rsid w:val="00D32475"/>
    <w:rsid w:val="00D32EC3"/>
    <w:rsid w:val="00D32EF4"/>
    <w:rsid w:val="00D33F81"/>
    <w:rsid w:val="00D340C2"/>
    <w:rsid w:val="00D34613"/>
    <w:rsid w:val="00D34850"/>
    <w:rsid w:val="00D3486B"/>
    <w:rsid w:val="00D35060"/>
    <w:rsid w:val="00D36420"/>
    <w:rsid w:val="00D369D4"/>
    <w:rsid w:val="00D36AD7"/>
    <w:rsid w:val="00D373E9"/>
    <w:rsid w:val="00D37C61"/>
    <w:rsid w:val="00D403FF"/>
    <w:rsid w:val="00D404C4"/>
    <w:rsid w:val="00D40CE9"/>
    <w:rsid w:val="00D40D0B"/>
    <w:rsid w:val="00D41C2A"/>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2F8C"/>
    <w:rsid w:val="00D63748"/>
    <w:rsid w:val="00D639F0"/>
    <w:rsid w:val="00D63C1B"/>
    <w:rsid w:val="00D63D76"/>
    <w:rsid w:val="00D64B44"/>
    <w:rsid w:val="00D64BFF"/>
    <w:rsid w:val="00D64DE1"/>
    <w:rsid w:val="00D64E3F"/>
    <w:rsid w:val="00D653D0"/>
    <w:rsid w:val="00D6692A"/>
    <w:rsid w:val="00D66E55"/>
    <w:rsid w:val="00D674E9"/>
    <w:rsid w:val="00D6790B"/>
    <w:rsid w:val="00D6799A"/>
    <w:rsid w:val="00D7009C"/>
    <w:rsid w:val="00D70F17"/>
    <w:rsid w:val="00D712DA"/>
    <w:rsid w:val="00D719EF"/>
    <w:rsid w:val="00D72327"/>
    <w:rsid w:val="00D727E0"/>
    <w:rsid w:val="00D729E8"/>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650"/>
    <w:rsid w:val="00D83D13"/>
    <w:rsid w:val="00D841AC"/>
    <w:rsid w:val="00D8589D"/>
    <w:rsid w:val="00D85A81"/>
    <w:rsid w:val="00D86466"/>
    <w:rsid w:val="00D870E8"/>
    <w:rsid w:val="00D87423"/>
    <w:rsid w:val="00D87452"/>
    <w:rsid w:val="00D87485"/>
    <w:rsid w:val="00D87E58"/>
    <w:rsid w:val="00D907CB"/>
    <w:rsid w:val="00D91AF2"/>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A7DF4"/>
    <w:rsid w:val="00DB0191"/>
    <w:rsid w:val="00DB0359"/>
    <w:rsid w:val="00DB0EF6"/>
    <w:rsid w:val="00DB0F8A"/>
    <w:rsid w:val="00DB26A8"/>
    <w:rsid w:val="00DB27CF"/>
    <w:rsid w:val="00DB324C"/>
    <w:rsid w:val="00DB3FD3"/>
    <w:rsid w:val="00DB5F2A"/>
    <w:rsid w:val="00DB6D86"/>
    <w:rsid w:val="00DB6F45"/>
    <w:rsid w:val="00DB72B7"/>
    <w:rsid w:val="00DB7546"/>
    <w:rsid w:val="00DC0624"/>
    <w:rsid w:val="00DC0A5C"/>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A69"/>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21C"/>
    <w:rsid w:val="00DF14F9"/>
    <w:rsid w:val="00DF1A1F"/>
    <w:rsid w:val="00DF1C2D"/>
    <w:rsid w:val="00DF1CC0"/>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0F"/>
    <w:rsid w:val="00E04784"/>
    <w:rsid w:val="00E05569"/>
    <w:rsid w:val="00E05A6C"/>
    <w:rsid w:val="00E05F59"/>
    <w:rsid w:val="00E0655D"/>
    <w:rsid w:val="00E07A1A"/>
    <w:rsid w:val="00E1024A"/>
    <w:rsid w:val="00E10B17"/>
    <w:rsid w:val="00E10B67"/>
    <w:rsid w:val="00E1119F"/>
    <w:rsid w:val="00E12029"/>
    <w:rsid w:val="00E12742"/>
    <w:rsid w:val="00E12AB9"/>
    <w:rsid w:val="00E12B67"/>
    <w:rsid w:val="00E1371D"/>
    <w:rsid w:val="00E141D3"/>
    <w:rsid w:val="00E14941"/>
    <w:rsid w:val="00E1526B"/>
    <w:rsid w:val="00E1534B"/>
    <w:rsid w:val="00E15408"/>
    <w:rsid w:val="00E15743"/>
    <w:rsid w:val="00E15C52"/>
    <w:rsid w:val="00E15EDA"/>
    <w:rsid w:val="00E15F0B"/>
    <w:rsid w:val="00E160E8"/>
    <w:rsid w:val="00E16199"/>
    <w:rsid w:val="00E16311"/>
    <w:rsid w:val="00E1702C"/>
    <w:rsid w:val="00E1735E"/>
    <w:rsid w:val="00E1766F"/>
    <w:rsid w:val="00E20CC5"/>
    <w:rsid w:val="00E2171F"/>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4760"/>
    <w:rsid w:val="00E357F7"/>
    <w:rsid w:val="00E35C6C"/>
    <w:rsid w:val="00E35D79"/>
    <w:rsid w:val="00E3621B"/>
    <w:rsid w:val="00E36D6F"/>
    <w:rsid w:val="00E36F43"/>
    <w:rsid w:val="00E37F0C"/>
    <w:rsid w:val="00E40ADF"/>
    <w:rsid w:val="00E418E3"/>
    <w:rsid w:val="00E41F8B"/>
    <w:rsid w:val="00E423DE"/>
    <w:rsid w:val="00E4296F"/>
    <w:rsid w:val="00E42F07"/>
    <w:rsid w:val="00E4370F"/>
    <w:rsid w:val="00E4441D"/>
    <w:rsid w:val="00E445F0"/>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009"/>
    <w:rsid w:val="00E625BE"/>
    <w:rsid w:val="00E6284B"/>
    <w:rsid w:val="00E62D07"/>
    <w:rsid w:val="00E62DF6"/>
    <w:rsid w:val="00E63A22"/>
    <w:rsid w:val="00E63B8F"/>
    <w:rsid w:val="00E646B5"/>
    <w:rsid w:val="00E65427"/>
    <w:rsid w:val="00E6543F"/>
    <w:rsid w:val="00E655EF"/>
    <w:rsid w:val="00E661C0"/>
    <w:rsid w:val="00E663F5"/>
    <w:rsid w:val="00E66E97"/>
    <w:rsid w:val="00E67623"/>
    <w:rsid w:val="00E70BD6"/>
    <w:rsid w:val="00E71305"/>
    <w:rsid w:val="00E715D7"/>
    <w:rsid w:val="00E72383"/>
    <w:rsid w:val="00E724D2"/>
    <w:rsid w:val="00E72817"/>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1C9F"/>
    <w:rsid w:val="00E922C4"/>
    <w:rsid w:val="00E943AE"/>
    <w:rsid w:val="00E947B0"/>
    <w:rsid w:val="00E95C63"/>
    <w:rsid w:val="00E95D82"/>
    <w:rsid w:val="00E95F21"/>
    <w:rsid w:val="00E96273"/>
    <w:rsid w:val="00E96E97"/>
    <w:rsid w:val="00E97D49"/>
    <w:rsid w:val="00EA0251"/>
    <w:rsid w:val="00EA096B"/>
    <w:rsid w:val="00EA1065"/>
    <w:rsid w:val="00EA1434"/>
    <w:rsid w:val="00EA3C3E"/>
    <w:rsid w:val="00EA3D66"/>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A7CC3"/>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1BDB"/>
    <w:rsid w:val="00EF223B"/>
    <w:rsid w:val="00EF29DE"/>
    <w:rsid w:val="00EF3978"/>
    <w:rsid w:val="00EF3AAC"/>
    <w:rsid w:val="00EF4D42"/>
    <w:rsid w:val="00EF4FD1"/>
    <w:rsid w:val="00EF5318"/>
    <w:rsid w:val="00EF599F"/>
    <w:rsid w:val="00EF695E"/>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1F"/>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0A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3F24"/>
    <w:rsid w:val="00F34E02"/>
    <w:rsid w:val="00F3549E"/>
    <w:rsid w:val="00F365A7"/>
    <w:rsid w:val="00F3681C"/>
    <w:rsid w:val="00F36F59"/>
    <w:rsid w:val="00F371C1"/>
    <w:rsid w:val="00F3769D"/>
    <w:rsid w:val="00F404F4"/>
    <w:rsid w:val="00F4143E"/>
    <w:rsid w:val="00F41CC5"/>
    <w:rsid w:val="00F41D25"/>
    <w:rsid w:val="00F423C2"/>
    <w:rsid w:val="00F433F8"/>
    <w:rsid w:val="00F433FE"/>
    <w:rsid w:val="00F43627"/>
    <w:rsid w:val="00F43781"/>
    <w:rsid w:val="00F44310"/>
    <w:rsid w:val="00F4463C"/>
    <w:rsid w:val="00F473A5"/>
    <w:rsid w:val="00F473F3"/>
    <w:rsid w:val="00F474B8"/>
    <w:rsid w:val="00F478CA"/>
    <w:rsid w:val="00F47CE2"/>
    <w:rsid w:val="00F501F3"/>
    <w:rsid w:val="00F50A98"/>
    <w:rsid w:val="00F50E5F"/>
    <w:rsid w:val="00F51460"/>
    <w:rsid w:val="00F51667"/>
    <w:rsid w:val="00F521DC"/>
    <w:rsid w:val="00F525D9"/>
    <w:rsid w:val="00F52F36"/>
    <w:rsid w:val="00F53199"/>
    <w:rsid w:val="00F53EB2"/>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451B"/>
    <w:rsid w:val="00F75782"/>
    <w:rsid w:val="00F7582A"/>
    <w:rsid w:val="00F80C1D"/>
    <w:rsid w:val="00F81130"/>
    <w:rsid w:val="00F818F7"/>
    <w:rsid w:val="00F82758"/>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324"/>
    <w:rsid w:val="00F9177E"/>
    <w:rsid w:val="00F91E4F"/>
    <w:rsid w:val="00F91FDF"/>
    <w:rsid w:val="00F92AA1"/>
    <w:rsid w:val="00F92FDC"/>
    <w:rsid w:val="00F931D2"/>
    <w:rsid w:val="00F93431"/>
    <w:rsid w:val="00F93A4A"/>
    <w:rsid w:val="00F93D27"/>
    <w:rsid w:val="00F94432"/>
    <w:rsid w:val="00F95DD6"/>
    <w:rsid w:val="00F96370"/>
    <w:rsid w:val="00F97940"/>
    <w:rsid w:val="00F97BA3"/>
    <w:rsid w:val="00F97EA2"/>
    <w:rsid w:val="00F97F0D"/>
    <w:rsid w:val="00FA044A"/>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3B7"/>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0EF"/>
    <w:rsid w:val="00FC43AD"/>
    <w:rsid w:val="00FC4B40"/>
    <w:rsid w:val="00FC5876"/>
    <w:rsid w:val="00FC5DBB"/>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952"/>
    <w:rsid w:val="00FF2A11"/>
    <w:rsid w:val="00FF2AA0"/>
    <w:rsid w:val="00FF3F6C"/>
    <w:rsid w:val="00FF4603"/>
    <w:rsid w:val="00FF4B07"/>
    <w:rsid w:val="00FF4BFC"/>
    <w:rsid w:val="00FF4C11"/>
    <w:rsid w:val="00FF56B9"/>
    <w:rsid w:val="00FF56D2"/>
    <w:rsid w:val="00FF57E8"/>
    <w:rsid w:val="00FF58C0"/>
    <w:rsid w:val="00FF5948"/>
    <w:rsid w:val="00FF6B71"/>
    <w:rsid w:val="00FF6EDF"/>
    <w:rsid w:val="00FF6EEA"/>
    <w:rsid w:val="00FF77DF"/>
    <w:rsid w:val="00FF7ABB"/>
    <w:rsid w:val="00FF7B99"/>
    <w:rsid w:val="01619630"/>
    <w:rsid w:val="02161576"/>
    <w:rsid w:val="03B20C07"/>
    <w:rsid w:val="087EB4BE"/>
    <w:rsid w:val="0B558C11"/>
    <w:rsid w:val="0C34E9DE"/>
    <w:rsid w:val="0F67116D"/>
    <w:rsid w:val="112C1385"/>
    <w:rsid w:val="1170F4B5"/>
    <w:rsid w:val="135384F3"/>
    <w:rsid w:val="14961AAC"/>
    <w:rsid w:val="152A014F"/>
    <w:rsid w:val="162C449E"/>
    <w:rsid w:val="170352F4"/>
    <w:rsid w:val="186520A8"/>
    <w:rsid w:val="19388EC7"/>
    <w:rsid w:val="1ACCEB03"/>
    <w:rsid w:val="1AD45F28"/>
    <w:rsid w:val="1B40D1FD"/>
    <w:rsid w:val="1D3A66AE"/>
    <w:rsid w:val="1EEB9899"/>
    <w:rsid w:val="1F126979"/>
    <w:rsid w:val="1F6C830F"/>
    <w:rsid w:val="222E858D"/>
    <w:rsid w:val="228DCBA0"/>
    <w:rsid w:val="22AD1FF6"/>
    <w:rsid w:val="2359DF85"/>
    <w:rsid w:val="23A224D5"/>
    <w:rsid w:val="24741FD1"/>
    <w:rsid w:val="25B7A865"/>
    <w:rsid w:val="2C97452A"/>
    <w:rsid w:val="2D00248B"/>
    <w:rsid w:val="30D9CB38"/>
    <w:rsid w:val="31CFDBF1"/>
    <w:rsid w:val="32116A50"/>
    <w:rsid w:val="3229786F"/>
    <w:rsid w:val="330375C9"/>
    <w:rsid w:val="345B183F"/>
    <w:rsid w:val="3604986E"/>
    <w:rsid w:val="362923FD"/>
    <w:rsid w:val="388717DB"/>
    <w:rsid w:val="39EF778E"/>
    <w:rsid w:val="39FC0A52"/>
    <w:rsid w:val="3A18953F"/>
    <w:rsid w:val="3B3331CC"/>
    <w:rsid w:val="3D93FF9E"/>
    <w:rsid w:val="3E4FC5C7"/>
    <w:rsid w:val="3E8EBF36"/>
    <w:rsid w:val="3FB905D9"/>
    <w:rsid w:val="3FC123DC"/>
    <w:rsid w:val="3FEF336D"/>
    <w:rsid w:val="40049B62"/>
    <w:rsid w:val="40104169"/>
    <w:rsid w:val="40C2BA63"/>
    <w:rsid w:val="453FA787"/>
    <w:rsid w:val="47677F63"/>
    <w:rsid w:val="47C2AF90"/>
    <w:rsid w:val="4804F5D1"/>
    <w:rsid w:val="485D5962"/>
    <w:rsid w:val="48A90010"/>
    <w:rsid w:val="498D871D"/>
    <w:rsid w:val="4A6F1729"/>
    <w:rsid w:val="4AB63761"/>
    <w:rsid w:val="4BF25EA5"/>
    <w:rsid w:val="4BF59030"/>
    <w:rsid w:val="4BF952A2"/>
    <w:rsid w:val="4C019485"/>
    <w:rsid w:val="4D952303"/>
    <w:rsid w:val="4F48A2B0"/>
    <w:rsid w:val="4FBEA29A"/>
    <w:rsid w:val="4FC2BC10"/>
    <w:rsid w:val="4FE33E37"/>
    <w:rsid w:val="534406CC"/>
    <w:rsid w:val="53DB9BED"/>
    <w:rsid w:val="540D4847"/>
    <w:rsid w:val="54E1BC0F"/>
    <w:rsid w:val="571B07F8"/>
    <w:rsid w:val="5747B618"/>
    <w:rsid w:val="575B7EC7"/>
    <w:rsid w:val="57F3506A"/>
    <w:rsid w:val="59531E9D"/>
    <w:rsid w:val="59B47C83"/>
    <w:rsid w:val="5A2A7471"/>
    <w:rsid w:val="5A595982"/>
    <w:rsid w:val="5B5BDA97"/>
    <w:rsid w:val="5B7C6E8D"/>
    <w:rsid w:val="5F170DEC"/>
    <w:rsid w:val="610699DC"/>
    <w:rsid w:val="63595286"/>
    <w:rsid w:val="638519B0"/>
    <w:rsid w:val="64E2CAE4"/>
    <w:rsid w:val="66B9C217"/>
    <w:rsid w:val="688ACBBE"/>
    <w:rsid w:val="68A9B288"/>
    <w:rsid w:val="69E4F00D"/>
    <w:rsid w:val="6A398A55"/>
    <w:rsid w:val="6AE48DDB"/>
    <w:rsid w:val="6C5673FE"/>
    <w:rsid w:val="6C70E312"/>
    <w:rsid w:val="6CB3E4ED"/>
    <w:rsid w:val="6DD7E59D"/>
    <w:rsid w:val="6E5A0A9A"/>
    <w:rsid w:val="6ED91FE5"/>
    <w:rsid w:val="6F297F1F"/>
    <w:rsid w:val="70B0B6FC"/>
    <w:rsid w:val="70E0E3C5"/>
    <w:rsid w:val="71C3CBDE"/>
    <w:rsid w:val="735B51B4"/>
    <w:rsid w:val="73EF230D"/>
    <w:rsid w:val="743266D9"/>
    <w:rsid w:val="747F56A4"/>
    <w:rsid w:val="766FBF91"/>
    <w:rsid w:val="76D71475"/>
    <w:rsid w:val="789139F6"/>
    <w:rsid w:val="79979A9B"/>
    <w:rsid w:val="79FBAED6"/>
    <w:rsid w:val="7A24ECAD"/>
    <w:rsid w:val="7C702DC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2884"/>
  <w15:docId w15:val="{5613FA51-C63D-42E9-A1BD-7F7A9DA3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zh-CN" w:bidi="th-TH"/>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7F1E89"/>
  </w:style>
  <w:style w:type="character" w:customStyle="1" w:styleId="eop">
    <w:name w:val="eop"/>
    <w:basedOn w:val="DefaultParagraphFont"/>
    <w:rsid w:val="007F1E89"/>
  </w:style>
  <w:style w:type="paragraph" w:customStyle="1" w:styleId="paragraph">
    <w:name w:val="paragraph"/>
    <w:basedOn w:val="Normal"/>
    <w:rsid w:val="007F1E89"/>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ssets/Publications/Files/FINAL-NPS-UDC-Evidence-and-Monitoring-guide.pdf" TargetMode="External"/><Relationship Id="rId18" Type="http://schemas.openxmlformats.org/officeDocument/2006/relationships/hyperlink" Target="https://www.stats.govt.nz/information-releases/national-ethnic-population-projections-2018base-204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tats.govt.nz/information-releases/subnational-ethnic-population-projections-2018base2043-updat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tats.govt.nz/information-releases/subnational-population-projections-2018base2048-updat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ats.govt.nz/information-releases/subnational-population-projections-2018base2048/" TargetMode="External"/><Relationship Id="rId20" Type="http://schemas.openxmlformats.org/officeDocument/2006/relationships/hyperlink" Target="https://www.stats.govt.nz/information-releases/national-ethnic-population-projections-2018base2043-upd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stats.govt.nz/information-releases/national-population-projections-2022base2073/" TargetMode="External"/><Relationship Id="rId23" Type="http://schemas.openxmlformats.org/officeDocument/2006/relationships/hyperlink" Target="https://www.stats.govt.nz/information-releases/family-and-household-projections-2018base-2043/"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tats.govt.nz/information-releases/subnational-ethnic-population-projections-2018base204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ts.govt.nz/information-releases/national-population-projections-2020base2073" TargetMode="External"/><Relationship Id="rId22" Type="http://schemas.openxmlformats.org/officeDocument/2006/relationships/hyperlink" Target="https://www.stats.govt.nz/information-releases/national-population-projections-2022base2073/"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atafinder.stats.govt.nz/layer/111227-statistical-area-2-2023-generali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x"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4" ma:contentTypeDescription="Create a new document." ma:contentTypeScope="" ma:versionID="71ca4ff2c816bf98e720b531c5ba270a">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19f05a26c8dc5a9aa0303e2594aee7a9"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ECM-1122293896-110933</_dlc_DocId>
    <_dlc_DocIdUrl xmlns="58a6f171-52cb-4404-b47d-af1c8daf8fd1">
      <Url>https://ministryforenvironment.sharepoint.com/sites/ECM-ER-Comms/_layouts/15/DocIdRedir.aspx?ID=ECM-1122293896-110933</Url>
      <Description>ECM-1122293896-110933</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2DEC36E1-7BD8-466A-A8C1-10C3C3CBE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 ds:uri="http://schemas.microsoft.com/sharepoint/v4"/>
  </ds:schemaRefs>
</ds:datastoreItem>
</file>

<file path=customXml/itemProps5.xml><?xml version="1.0" encoding="utf-8"?>
<ds:datastoreItem xmlns:ds="http://schemas.openxmlformats.org/officeDocument/2006/customXml" ds:itemID="{04E19D66-749F-4E11-8B87-ADE5AA59C4FC}">
  <ds:schemaRefs>
    <ds:schemaRef ds:uri="http://schemas.microsoft.com/sharepoint/events"/>
  </ds:schemaRefs>
</ds:datastoreItem>
</file>

<file path=docMetadata/LabelInfo.xml><?xml version="1.0" encoding="utf-8"?>
<clbl:labelList xmlns:clbl="http://schemas.microsoft.com/office/2020/mipLabelMetadata">
  <clbl:label id="{5d55f92f-9485-4f69-b590-6c6b0063de5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MfE Information sheet template</Template>
  <TotalTime>1</TotalTime>
  <Pages>5</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Links>
    <vt:vector size="72" baseType="variant">
      <vt:variant>
        <vt:i4>1835101</vt:i4>
      </vt:variant>
      <vt:variant>
        <vt:i4>30</vt:i4>
      </vt:variant>
      <vt:variant>
        <vt:i4>0</vt:i4>
      </vt:variant>
      <vt:variant>
        <vt:i4>5</vt:i4>
      </vt:variant>
      <vt:variant>
        <vt:lpwstr>https://www.stats.govt.nz/information-releases/family-and-household-projections-2018base-2043/</vt:lpwstr>
      </vt:variant>
      <vt:variant>
        <vt:lpwstr>:~:text=the%20average%20size%20of%20households,2043%20(an%20increase%20of%20417%2C000)</vt:lpwstr>
      </vt:variant>
      <vt:variant>
        <vt:i4>655438</vt:i4>
      </vt:variant>
      <vt:variant>
        <vt:i4>27</vt:i4>
      </vt:variant>
      <vt:variant>
        <vt:i4>0</vt:i4>
      </vt:variant>
      <vt:variant>
        <vt:i4>5</vt:i4>
      </vt:variant>
      <vt:variant>
        <vt:lpwstr>https://www.stats.govt.nz/information-releases/national-population-projections-2022base2073/</vt:lpwstr>
      </vt:variant>
      <vt:variant>
        <vt:lpwstr/>
      </vt:variant>
      <vt:variant>
        <vt:i4>1507358</vt:i4>
      </vt:variant>
      <vt:variant>
        <vt:i4>24</vt:i4>
      </vt:variant>
      <vt:variant>
        <vt:i4>0</vt:i4>
      </vt:variant>
      <vt:variant>
        <vt:i4>5</vt:i4>
      </vt:variant>
      <vt:variant>
        <vt:lpwstr>https://www.stats.govt.nz/information-releases/subnational-ethnic-population-projections-2018base2043-update/</vt:lpwstr>
      </vt:variant>
      <vt:variant>
        <vt:lpwstr/>
      </vt:variant>
      <vt:variant>
        <vt:i4>4653135</vt:i4>
      </vt:variant>
      <vt:variant>
        <vt:i4>21</vt:i4>
      </vt:variant>
      <vt:variant>
        <vt:i4>0</vt:i4>
      </vt:variant>
      <vt:variant>
        <vt:i4>5</vt:i4>
      </vt:variant>
      <vt:variant>
        <vt:lpwstr>https://www.stats.govt.nz/information-releases/national-ethnic-population-projections-2018base2043-update</vt:lpwstr>
      </vt:variant>
      <vt:variant>
        <vt:lpwstr/>
      </vt:variant>
      <vt:variant>
        <vt:i4>5111880</vt:i4>
      </vt:variant>
      <vt:variant>
        <vt:i4>18</vt:i4>
      </vt:variant>
      <vt:variant>
        <vt:i4>0</vt:i4>
      </vt:variant>
      <vt:variant>
        <vt:i4>5</vt:i4>
      </vt:variant>
      <vt:variant>
        <vt:lpwstr>https://www.stats.govt.nz/information-releases/subnational-ethnic-population-projections-2018base2043</vt:lpwstr>
      </vt:variant>
      <vt:variant>
        <vt:lpwstr/>
      </vt:variant>
      <vt:variant>
        <vt:i4>2556008</vt:i4>
      </vt:variant>
      <vt:variant>
        <vt:i4>15</vt:i4>
      </vt:variant>
      <vt:variant>
        <vt:i4>0</vt:i4>
      </vt:variant>
      <vt:variant>
        <vt:i4>5</vt:i4>
      </vt:variant>
      <vt:variant>
        <vt:lpwstr>https://www.stats.govt.nz/information-releases/national-ethnic-population-projections-2018base-2043</vt:lpwstr>
      </vt:variant>
      <vt:variant>
        <vt:lpwstr/>
      </vt:variant>
      <vt:variant>
        <vt:i4>3670053</vt:i4>
      </vt:variant>
      <vt:variant>
        <vt:i4>12</vt:i4>
      </vt:variant>
      <vt:variant>
        <vt:i4>0</vt:i4>
      </vt:variant>
      <vt:variant>
        <vt:i4>5</vt:i4>
      </vt:variant>
      <vt:variant>
        <vt:lpwstr>https://www.stats.govt.nz/information-releases/subnational-population-projections-2018base2048-update/</vt:lpwstr>
      </vt:variant>
      <vt:variant>
        <vt:lpwstr/>
      </vt:variant>
      <vt:variant>
        <vt:i4>7471228</vt:i4>
      </vt:variant>
      <vt:variant>
        <vt:i4>9</vt:i4>
      </vt:variant>
      <vt:variant>
        <vt:i4>0</vt:i4>
      </vt:variant>
      <vt:variant>
        <vt:i4>5</vt:i4>
      </vt:variant>
      <vt:variant>
        <vt:lpwstr>https://www.stats.govt.nz/information-releases/subnational-population-projections-2018base2048/</vt:lpwstr>
      </vt:variant>
      <vt:variant>
        <vt:lpwstr/>
      </vt:variant>
      <vt:variant>
        <vt:i4>655438</vt:i4>
      </vt:variant>
      <vt:variant>
        <vt:i4>6</vt:i4>
      </vt:variant>
      <vt:variant>
        <vt:i4>0</vt:i4>
      </vt:variant>
      <vt:variant>
        <vt:i4>5</vt:i4>
      </vt:variant>
      <vt:variant>
        <vt:lpwstr>https://www.stats.govt.nz/information-releases/national-population-projections-2022base2073/</vt:lpwstr>
      </vt:variant>
      <vt:variant>
        <vt:lpwstr/>
      </vt:variant>
      <vt:variant>
        <vt:i4>2424959</vt:i4>
      </vt:variant>
      <vt:variant>
        <vt:i4>3</vt:i4>
      </vt:variant>
      <vt:variant>
        <vt:i4>0</vt:i4>
      </vt:variant>
      <vt:variant>
        <vt:i4>5</vt:i4>
      </vt:variant>
      <vt:variant>
        <vt:lpwstr>https://www.stats.govt.nz/information-releases/national-population-projections-2020base2073</vt:lpwstr>
      </vt:variant>
      <vt:variant>
        <vt:lpwstr/>
      </vt:variant>
      <vt:variant>
        <vt:i4>4849742</vt:i4>
      </vt:variant>
      <vt:variant>
        <vt:i4>0</vt:i4>
      </vt:variant>
      <vt:variant>
        <vt:i4>0</vt:i4>
      </vt:variant>
      <vt:variant>
        <vt:i4>5</vt:i4>
      </vt:variant>
      <vt:variant>
        <vt:lpwstr>https://environment.govt.nz/assets/Publications/Files/FINAL-NPS-UDC-Evidence-and-Monitoring-guide.pdf</vt:lpwstr>
      </vt:variant>
      <vt:variant>
        <vt:lpwstr/>
      </vt:variant>
      <vt:variant>
        <vt:i4>2752639</vt:i4>
      </vt:variant>
      <vt:variant>
        <vt:i4>0</vt:i4>
      </vt:variant>
      <vt:variant>
        <vt:i4>0</vt:i4>
      </vt:variant>
      <vt:variant>
        <vt:i4>5</vt:i4>
      </vt:variant>
      <vt:variant>
        <vt:lpwstr>https://datafinder.stats.govt.nz/layer/111227-statistical-area-2-2023-generalised/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Gemma Freeman</cp:lastModifiedBy>
  <cp:revision>2</cp:revision>
  <dcterms:created xsi:type="dcterms:W3CDTF">2023-12-18T02:23:00Z</dcterms:created>
  <dcterms:modified xsi:type="dcterms:W3CDTF">2023-12-18T02:23:00Z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a335e840-7c59-4db9-99ee-f5e4800a7a34</vt:lpwstr>
  </property>
  <property fmtid="{D5CDD505-2E9C-101B-9397-08002B2CF9AE}" pid="11" name="MediaServiceImageTags">
    <vt:lpwstr/>
  </property>
  <property fmtid="{D5CDD505-2E9C-101B-9397-08002B2CF9AE}" pid="12" name="ClassificationContentMarkingFooterShapeIds">
    <vt:lpwstr>3,5,7</vt:lpwstr>
  </property>
  <property fmtid="{D5CDD505-2E9C-101B-9397-08002B2CF9AE}" pid="13" name="ClassificationContentMarkingFooterFontProps">
    <vt:lpwstr>#000000,10,Calibri</vt:lpwstr>
  </property>
  <property fmtid="{D5CDD505-2E9C-101B-9397-08002B2CF9AE}" pid="14" name="ClassificationContentMarkingFooterText">
    <vt:lpwstr>[IN-CONFIDENCE:RELEASE EXTERNAL]</vt:lpwstr>
  </property>
</Properties>
</file>