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C1E9" w14:textId="1E66D183" w:rsidR="0080531E" w:rsidRPr="00225830" w:rsidRDefault="0051158B" w:rsidP="0003640E">
      <w:pPr>
        <w:pStyle w:val="Title"/>
        <w:rPr>
          <w:rFonts w:ascii="Georgia" w:hAnsi="Georgia"/>
          <w:sz w:val="56"/>
          <w:szCs w:val="56"/>
        </w:rPr>
      </w:pPr>
      <w:bookmarkStart w:id="0" w:name="_Hlk94613873"/>
      <w:r>
        <w:rPr>
          <w:noProof/>
        </w:rPr>
        <w:drawing>
          <wp:anchor distT="0" distB="0" distL="114300" distR="114300" simplePos="0" relativeHeight="251658240" behindDoc="0" locked="0" layoutInCell="1" allowOverlap="1" wp14:anchorId="2E8C9EB0" wp14:editId="5AFBBB2B">
            <wp:simplePos x="0" y="0"/>
            <wp:positionH relativeFrom="column">
              <wp:posOffset>-900430</wp:posOffset>
            </wp:positionH>
            <wp:positionV relativeFrom="paragraph">
              <wp:posOffset>-3619500</wp:posOffset>
            </wp:positionV>
            <wp:extent cx="7701876" cy="1089660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6125" cy="10902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9D3F1" w14:textId="31BDC99A" w:rsidR="0080531E" w:rsidRPr="006B77BB" w:rsidRDefault="0080531E" w:rsidP="0003640E">
      <w:pPr>
        <w:pStyle w:val="BodyText"/>
      </w:pPr>
    </w:p>
    <w:p w14:paraId="04D499E6" w14:textId="2DED83B9" w:rsidR="0003640E" w:rsidRPr="006B77BB" w:rsidRDefault="0003640E" w:rsidP="0003640E">
      <w:pPr>
        <w:pStyle w:val="BodyText"/>
      </w:pPr>
    </w:p>
    <w:p w14:paraId="6B20BBC2" w14:textId="77777777" w:rsidR="0003640E" w:rsidRPr="006B77BB" w:rsidRDefault="0003640E" w:rsidP="0080531E">
      <w:pPr>
        <w:jc w:val="left"/>
        <w:rPr>
          <w:color w:val="FF0000"/>
        </w:rPr>
        <w:sectPr w:rsidR="0003640E" w:rsidRPr="006B77BB" w:rsidSect="00B73ABB">
          <w:headerReference w:type="even" r:id="rId13"/>
          <w:headerReference w:type="default" r:id="rId14"/>
          <w:footerReference w:type="even" r:id="rId15"/>
          <w:footerReference w:type="default" r:id="rId16"/>
          <w:headerReference w:type="first" r:id="rId17"/>
          <w:footerReference w:type="first" r:id="rId18"/>
          <w:pgSz w:w="11907" w:h="16840" w:code="9"/>
          <w:pgMar w:top="5670" w:right="1418" w:bottom="1701" w:left="1418" w:header="567" w:footer="685" w:gutter="0"/>
          <w:cols w:space="720"/>
        </w:sectPr>
      </w:pPr>
    </w:p>
    <w:p w14:paraId="61CFEBF3" w14:textId="77777777" w:rsidR="00452EC4" w:rsidRPr="006B77BB" w:rsidRDefault="00452EC4" w:rsidP="00775F57">
      <w:pPr>
        <w:pStyle w:val="Imprint"/>
        <w:spacing w:before="0" w:after="0"/>
        <w:rPr>
          <w:b/>
        </w:rPr>
      </w:pPr>
      <w:r w:rsidRPr="006B77BB">
        <w:rPr>
          <w:b/>
        </w:rPr>
        <w:lastRenderedPageBreak/>
        <w:t>Disclaimer</w:t>
      </w:r>
    </w:p>
    <w:p w14:paraId="2011A7E1" w14:textId="1788C922" w:rsidR="0051158B" w:rsidRDefault="0051158B" w:rsidP="0051158B">
      <w:pPr>
        <w:pStyle w:val="Imprint"/>
      </w:pPr>
      <w:r>
        <w:t>While all care and diligence has been used in processing, analysing, and extracting data and information for this publication, the Ministry for the Environment and the data providers give no warranty in relation to the report or data used in the report – including its accuracy, reliability, and suitability – and accept no liability whatsoever in relation to any loss, damage, or other costs relating to the use of any part of the report (including any data) or any compilations, derivative works, or modifications of the report (including any data).</w:t>
      </w:r>
    </w:p>
    <w:p w14:paraId="02F3E3A0" w14:textId="77777777" w:rsidR="00452EC4" w:rsidRPr="006B77BB" w:rsidRDefault="00452EC4" w:rsidP="00452EC4">
      <w:pPr>
        <w:pStyle w:val="Imprint"/>
      </w:pPr>
    </w:p>
    <w:p w14:paraId="5E058CBA" w14:textId="61445BAA" w:rsidR="0080531E" w:rsidRPr="006B77BB" w:rsidRDefault="00452EC4" w:rsidP="0080531E">
      <w:pPr>
        <w:pStyle w:val="Imprint"/>
      </w:pPr>
      <w:r w:rsidRPr="006B77BB">
        <w:t xml:space="preserve">This </w:t>
      </w:r>
      <w:r w:rsidR="00775F57" w:rsidRPr="006B77BB">
        <w:t>document</w:t>
      </w:r>
      <w:r w:rsidRPr="006B77BB">
        <w:t xml:space="preserve"> may be cited as:</w:t>
      </w:r>
      <w:r w:rsidR="00775F57" w:rsidRPr="006B77BB">
        <w:t xml:space="preserve"> Ministry for the Environment. </w:t>
      </w:r>
      <w:r w:rsidR="0051158B">
        <w:t>202</w:t>
      </w:r>
      <w:r w:rsidR="00554917">
        <w:t>2</w:t>
      </w:r>
      <w:r w:rsidR="0051158B">
        <w:t xml:space="preserve">. </w:t>
      </w:r>
      <w:r w:rsidR="00554917">
        <w:t>Reforming industrial allocation</w:t>
      </w:r>
      <w:r w:rsidR="00F56928">
        <w:t xml:space="preserve"> in the New Zealand Emissions Trading Scheme</w:t>
      </w:r>
      <w:r w:rsidR="00C84D06">
        <w:t>:</w:t>
      </w:r>
      <w:r w:rsidR="0051158B">
        <w:t xml:space="preserve"> Summary</w:t>
      </w:r>
      <w:r w:rsidR="00775F57">
        <w:t xml:space="preserve"> of </w:t>
      </w:r>
      <w:r w:rsidR="0051158B">
        <w:t>submissions.</w:t>
      </w:r>
      <w:r w:rsidR="00775F57" w:rsidRPr="006B77BB">
        <w:t xml:space="preserve"> Wellington: Ministry for the Environment.</w:t>
      </w:r>
    </w:p>
    <w:p w14:paraId="15F4B52F" w14:textId="77777777" w:rsidR="0080531E" w:rsidRPr="006B77BB" w:rsidRDefault="0080531E" w:rsidP="0080531E">
      <w:pPr>
        <w:pStyle w:val="Imprint"/>
      </w:pPr>
    </w:p>
    <w:p w14:paraId="67D777FB" w14:textId="77777777" w:rsidR="0080531E" w:rsidRPr="006B77BB" w:rsidRDefault="0080531E" w:rsidP="0080531E">
      <w:pPr>
        <w:pStyle w:val="Imprint"/>
      </w:pPr>
    </w:p>
    <w:p w14:paraId="5022C2F5" w14:textId="77777777" w:rsidR="0080531E" w:rsidRPr="006B77BB" w:rsidRDefault="0080531E" w:rsidP="0080531E">
      <w:pPr>
        <w:pStyle w:val="Imprint"/>
      </w:pPr>
    </w:p>
    <w:p w14:paraId="609E049F" w14:textId="77777777" w:rsidR="0080531E" w:rsidRPr="006B77BB" w:rsidRDefault="0080531E" w:rsidP="0080531E">
      <w:pPr>
        <w:pStyle w:val="Imprint"/>
      </w:pPr>
    </w:p>
    <w:p w14:paraId="29243CE0" w14:textId="77777777" w:rsidR="0080531E" w:rsidRDefault="0080531E" w:rsidP="0080531E">
      <w:pPr>
        <w:pStyle w:val="Imprint"/>
      </w:pPr>
    </w:p>
    <w:p w14:paraId="6E40338A" w14:textId="77777777" w:rsidR="00663783" w:rsidRPr="006B77BB" w:rsidRDefault="00663783" w:rsidP="0080531E">
      <w:pPr>
        <w:pStyle w:val="Imprint"/>
      </w:pPr>
    </w:p>
    <w:p w14:paraId="78923D7D" w14:textId="1F2547EA" w:rsidR="00225830" w:rsidRDefault="00225830" w:rsidP="0080531E">
      <w:pPr>
        <w:pStyle w:val="Imprint"/>
      </w:pPr>
    </w:p>
    <w:p w14:paraId="74449660" w14:textId="4CB8D409" w:rsidR="00C4338C" w:rsidRDefault="00C4338C" w:rsidP="0080531E">
      <w:pPr>
        <w:pStyle w:val="Imprint"/>
      </w:pPr>
    </w:p>
    <w:p w14:paraId="69AB2BB8" w14:textId="66B91280" w:rsidR="009A350F" w:rsidRDefault="009A350F" w:rsidP="0080531E">
      <w:pPr>
        <w:pStyle w:val="Imprint"/>
      </w:pPr>
    </w:p>
    <w:p w14:paraId="65079E7A" w14:textId="70579053" w:rsidR="009A350F" w:rsidRDefault="009A350F" w:rsidP="0080531E">
      <w:pPr>
        <w:pStyle w:val="Imprint"/>
      </w:pPr>
    </w:p>
    <w:p w14:paraId="778EF25F" w14:textId="77777777" w:rsidR="009A350F" w:rsidRDefault="009A350F" w:rsidP="0080531E">
      <w:pPr>
        <w:pStyle w:val="Imprint"/>
      </w:pPr>
    </w:p>
    <w:p w14:paraId="1D4DCD9D" w14:textId="77777777" w:rsidR="00225830" w:rsidRDefault="00225830" w:rsidP="0080531E">
      <w:pPr>
        <w:pStyle w:val="Imprint"/>
      </w:pPr>
    </w:p>
    <w:p w14:paraId="4CD5B469" w14:textId="77777777" w:rsidR="00225830" w:rsidRPr="006B77BB" w:rsidRDefault="00225830" w:rsidP="0080531E">
      <w:pPr>
        <w:pStyle w:val="Imprint"/>
      </w:pPr>
    </w:p>
    <w:p w14:paraId="3D76F8B6" w14:textId="686C1CF6" w:rsidR="0080531E" w:rsidRPr="006B77BB" w:rsidRDefault="0080531E" w:rsidP="0080531E">
      <w:pPr>
        <w:pStyle w:val="Imprint"/>
      </w:pPr>
      <w:r w:rsidRPr="006B77BB">
        <w:t xml:space="preserve">Published in </w:t>
      </w:r>
      <w:r w:rsidR="009B0BA7">
        <w:t>March</w:t>
      </w:r>
      <w:r w:rsidR="0051158B">
        <w:t xml:space="preserve"> 2022</w:t>
      </w:r>
      <w:r w:rsidRPr="006B77BB">
        <w:t xml:space="preserve"> by the</w:t>
      </w:r>
      <w:r w:rsidRPr="006B77BB">
        <w:br/>
        <w:t xml:space="preserve">Ministry for the Environment </w:t>
      </w:r>
      <w:r w:rsidRPr="006B77BB">
        <w:br/>
        <w:t>Manatū Mō Te Taiao</w:t>
      </w:r>
      <w:r w:rsidRPr="006B77BB">
        <w:br/>
        <w:t>PO Box 10362, Wellington 6143, New Zealand</w:t>
      </w:r>
    </w:p>
    <w:p w14:paraId="18302C6C" w14:textId="08B6F46A" w:rsidR="0080531E" w:rsidRPr="006B77BB" w:rsidRDefault="0080531E" w:rsidP="0080531E">
      <w:pPr>
        <w:pStyle w:val="Imprint"/>
        <w:tabs>
          <w:tab w:val="left" w:pos="720"/>
        </w:tabs>
        <w:ind w:left="720" w:hanging="720"/>
      </w:pPr>
      <w:r w:rsidRPr="006B77BB">
        <w:t xml:space="preserve">ISBN: </w:t>
      </w:r>
      <w:r w:rsidRPr="006B77BB">
        <w:tab/>
      </w:r>
      <w:r w:rsidR="00C84D06" w:rsidRPr="00C84D06">
        <w:t>978-1-99-102506-7</w:t>
      </w:r>
      <w:r w:rsidRPr="006B77BB">
        <w:br/>
      </w:r>
    </w:p>
    <w:p w14:paraId="0B24D798" w14:textId="69119659" w:rsidR="0080531E" w:rsidRPr="006B77BB" w:rsidRDefault="0080531E" w:rsidP="0080531E">
      <w:pPr>
        <w:pStyle w:val="Imprint"/>
        <w:ind w:left="720" w:hanging="720"/>
      </w:pPr>
      <w:r w:rsidRPr="006B77BB">
        <w:t xml:space="preserve">Publication number: </w:t>
      </w:r>
      <w:r w:rsidRPr="00C84D06">
        <w:t xml:space="preserve">ME </w:t>
      </w:r>
      <w:r w:rsidR="00C84D06">
        <w:t>1619</w:t>
      </w:r>
    </w:p>
    <w:p w14:paraId="1F6FAA14" w14:textId="0EB44431" w:rsidR="0080531E" w:rsidRPr="006B77BB" w:rsidRDefault="0080531E" w:rsidP="00593E94">
      <w:pPr>
        <w:pStyle w:val="Imprint"/>
        <w:spacing w:after="80"/>
      </w:pPr>
      <w:r w:rsidRPr="006B77BB">
        <w:t xml:space="preserve">© Crown copyright New Zealand </w:t>
      </w:r>
      <w:r w:rsidR="00554917">
        <w:t>2022</w:t>
      </w:r>
    </w:p>
    <w:p w14:paraId="19DC7C29" w14:textId="77777777" w:rsidR="00C04705" w:rsidRDefault="0080531E" w:rsidP="00593E94">
      <w:pPr>
        <w:pStyle w:val="Imprint"/>
        <w:spacing w:before="240" w:after="0"/>
        <w:rPr>
          <w:rStyle w:val="Hyperlink"/>
          <w:color w:val="auto"/>
        </w:rPr>
      </w:pPr>
      <w:r w:rsidRPr="006B77BB">
        <w:t>This document is available on the Ministry for</w:t>
      </w:r>
      <w:r w:rsidR="004C4E8A" w:rsidRPr="006B77BB">
        <w:t xml:space="preserve"> the Environment </w:t>
      </w:r>
      <w:r w:rsidR="00CB557F" w:rsidRPr="006B77BB">
        <w:t>website</w:t>
      </w:r>
      <w:r w:rsidRPr="006B77BB">
        <w:t xml:space="preserve">: </w:t>
      </w:r>
      <w:hyperlink r:id="rId19" w:history="1">
        <w:r w:rsidR="00225830">
          <w:rPr>
            <w:rStyle w:val="Hyperlink"/>
          </w:rPr>
          <w:t>environment</w:t>
        </w:r>
        <w:r w:rsidRPr="006B77BB">
          <w:rPr>
            <w:rStyle w:val="Hyperlink"/>
          </w:rPr>
          <w:t>.govt.nz</w:t>
        </w:r>
      </w:hyperlink>
      <w:r w:rsidR="00B51610" w:rsidRPr="006B77BB">
        <w:rPr>
          <w:rStyle w:val="Hyperlink"/>
          <w:color w:val="auto"/>
        </w:rPr>
        <w:t>.</w:t>
      </w:r>
    </w:p>
    <w:p w14:paraId="5B196F3A" w14:textId="77777777" w:rsidR="0080531E" w:rsidRPr="00A84FE1" w:rsidRDefault="0080531E" w:rsidP="00A84FE1">
      <w:pPr>
        <w:sectPr w:rsidR="0080531E" w:rsidRPr="00A84FE1" w:rsidSect="0036151C">
          <w:headerReference w:type="even" r:id="rId20"/>
          <w:headerReference w:type="default" r:id="rId21"/>
          <w:footerReference w:type="even" r:id="rId22"/>
          <w:footerReference w:type="default" r:id="rId23"/>
          <w:pgSz w:w="11907" w:h="16840" w:code="9"/>
          <w:pgMar w:top="1134" w:right="1418" w:bottom="1134" w:left="1418" w:header="567" w:footer="567" w:gutter="567"/>
          <w:pgNumType w:fmt="lowerRoman"/>
          <w:cols w:space="720"/>
        </w:sectPr>
      </w:pPr>
    </w:p>
    <w:p w14:paraId="79CCF762" w14:textId="77777777" w:rsidR="0080531E" w:rsidRPr="00225830" w:rsidRDefault="0080531E" w:rsidP="00B73ABB">
      <w:pPr>
        <w:pStyle w:val="Heading"/>
      </w:pPr>
      <w:r w:rsidRPr="00225830">
        <w:lastRenderedPageBreak/>
        <w:t>Contents</w:t>
      </w:r>
    </w:p>
    <w:p w14:paraId="0BD9F151" w14:textId="676BE602" w:rsidR="00A329A5" w:rsidRDefault="00775F57">
      <w:pPr>
        <w:pStyle w:val="TOC1"/>
        <w:rPr>
          <w:rFonts w:asciiTheme="minorHAnsi" w:eastAsiaTheme="minorEastAsia" w:hAnsiTheme="minorHAnsi" w:cstheme="minorBid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95731382" w:history="1">
        <w:r w:rsidR="00A329A5" w:rsidRPr="00A86B0B">
          <w:rPr>
            <w:rStyle w:val="Hyperlink"/>
            <w:noProof/>
          </w:rPr>
          <w:t>Tables</w:t>
        </w:r>
        <w:r w:rsidR="00A329A5">
          <w:rPr>
            <w:noProof/>
            <w:webHidden/>
          </w:rPr>
          <w:tab/>
        </w:r>
        <w:r w:rsidR="00A329A5">
          <w:rPr>
            <w:noProof/>
            <w:webHidden/>
          </w:rPr>
          <w:fldChar w:fldCharType="begin"/>
        </w:r>
        <w:r w:rsidR="00A329A5">
          <w:rPr>
            <w:noProof/>
            <w:webHidden/>
          </w:rPr>
          <w:instrText xml:space="preserve"> PAGEREF _Toc95731382 \h </w:instrText>
        </w:r>
        <w:r w:rsidR="00A329A5">
          <w:rPr>
            <w:noProof/>
            <w:webHidden/>
          </w:rPr>
        </w:r>
        <w:r w:rsidR="00A329A5">
          <w:rPr>
            <w:noProof/>
            <w:webHidden/>
          </w:rPr>
          <w:fldChar w:fldCharType="separate"/>
        </w:r>
        <w:r w:rsidR="00A329A5">
          <w:rPr>
            <w:noProof/>
            <w:webHidden/>
          </w:rPr>
          <w:t>3</w:t>
        </w:r>
        <w:r w:rsidR="00A329A5">
          <w:rPr>
            <w:noProof/>
            <w:webHidden/>
          </w:rPr>
          <w:fldChar w:fldCharType="end"/>
        </w:r>
      </w:hyperlink>
    </w:p>
    <w:p w14:paraId="430B591D" w14:textId="368C879D" w:rsidR="00A329A5" w:rsidRDefault="009B0BA7">
      <w:pPr>
        <w:pStyle w:val="TOC1"/>
        <w:rPr>
          <w:rFonts w:asciiTheme="minorHAnsi" w:eastAsiaTheme="minorEastAsia" w:hAnsiTheme="minorHAnsi" w:cstheme="minorBidi"/>
          <w:noProof/>
        </w:rPr>
      </w:pPr>
      <w:hyperlink w:anchor="_Toc95731383" w:history="1">
        <w:r w:rsidR="00A329A5" w:rsidRPr="00A86B0B">
          <w:rPr>
            <w:rStyle w:val="Hyperlink"/>
            <w:noProof/>
          </w:rPr>
          <w:t>Introduction</w:t>
        </w:r>
        <w:r w:rsidR="00A329A5">
          <w:rPr>
            <w:noProof/>
            <w:webHidden/>
          </w:rPr>
          <w:tab/>
        </w:r>
        <w:r w:rsidR="00A329A5">
          <w:rPr>
            <w:noProof/>
            <w:webHidden/>
          </w:rPr>
          <w:fldChar w:fldCharType="begin"/>
        </w:r>
        <w:r w:rsidR="00A329A5">
          <w:rPr>
            <w:noProof/>
            <w:webHidden/>
          </w:rPr>
          <w:instrText xml:space="preserve"> PAGEREF _Toc95731383 \h </w:instrText>
        </w:r>
        <w:r w:rsidR="00A329A5">
          <w:rPr>
            <w:noProof/>
            <w:webHidden/>
          </w:rPr>
        </w:r>
        <w:r w:rsidR="00A329A5">
          <w:rPr>
            <w:noProof/>
            <w:webHidden/>
          </w:rPr>
          <w:fldChar w:fldCharType="separate"/>
        </w:r>
        <w:r w:rsidR="00A329A5">
          <w:rPr>
            <w:noProof/>
            <w:webHidden/>
          </w:rPr>
          <w:t>4</w:t>
        </w:r>
        <w:r w:rsidR="00A329A5">
          <w:rPr>
            <w:noProof/>
            <w:webHidden/>
          </w:rPr>
          <w:fldChar w:fldCharType="end"/>
        </w:r>
      </w:hyperlink>
    </w:p>
    <w:p w14:paraId="25667937" w14:textId="3813D09A" w:rsidR="00A329A5" w:rsidRDefault="009B0BA7">
      <w:pPr>
        <w:pStyle w:val="TOC2"/>
        <w:rPr>
          <w:rFonts w:asciiTheme="minorHAnsi" w:eastAsiaTheme="minorEastAsia" w:hAnsiTheme="minorHAnsi" w:cstheme="minorBidi"/>
          <w:noProof/>
        </w:rPr>
      </w:pPr>
      <w:hyperlink w:anchor="_Toc95731384" w:history="1">
        <w:r w:rsidR="00A329A5" w:rsidRPr="00A86B0B">
          <w:rPr>
            <w:rStyle w:val="Hyperlink"/>
            <w:noProof/>
          </w:rPr>
          <w:t>Background to industrial allocation policy</w:t>
        </w:r>
        <w:r w:rsidR="00A329A5">
          <w:rPr>
            <w:noProof/>
            <w:webHidden/>
          </w:rPr>
          <w:tab/>
        </w:r>
        <w:r w:rsidR="00A329A5">
          <w:rPr>
            <w:noProof/>
            <w:webHidden/>
          </w:rPr>
          <w:fldChar w:fldCharType="begin"/>
        </w:r>
        <w:r w:rsidR="00A329A5">
          <w:rPr>
            <w:noProof/>
            <w:webHidden/>
          </w:rPr>
          <w:instrText xml:space="preserve"> PAGEREF _Toc95731384 \h </w:instrText>
        </w:r>
        <w:r w:rsidR="00A329A5">
          <w:rPr>
            <w:noProof/>
            <w:webHidden/>
          </w:rPr>
        </w:r>
        <w:r w:rsidR="00A329A5">
          <w:rPr>
            <w:noProof/>
            <w:webHidden/>
          </w:rPr>
          <w:fldChar w:fldCharType="separate"/>
        </w:r>
        <w:r w:rsidR="00A329A5">
          <w:rPr>
            <w:noProof/>
            <w:webHidden/>
          </w:rPr>
          <w:t>4</w:t>
        </w:r>
        <w:r w:rsidR="00A329A5">
          <w:rPr>
            <w:noProof/>
            <w:webHidden/>
          </w:rPr>
          <w:fldChar w:fldCharType="end"/>
        </w:r>
      </w:hyperlink>
    </w:p>
    <w:p w14:paraId="6744F7FD" w14:textId="287150DE" w:rsidR="00A329A5" w:rsidRDefault="009B0BA7">
      <w:pPr>
        <w:pStyle w:val="TOC2"/>
        <w:rPr>
          <w:rFonts w:asciiTheme="minorHAnsi" w:eastAsiaTheme="minorEastAsia" w:hAnsiTheme="minorHAnsi" w:cstheme="minorBidi"/>
          <w:noProof/>
        </w:rPr>
      </w:pPr>
      <w:hyperlink w:anchor="_Toc95731385" w:history="1">
        <w:r w:rsidR="00A329A5" w:rsidRPr="00A86B0B">
          <w:rPr>
            <w:rStyle w:val="Hyperlink"/>
            <w:noProof/>
          </w:rPr>
          <w:t>The review of industrial allocation</w:t>
        </w:r>
        <w:r w:rsidR="00A329A5">
          <w:rPr>
            <w:noProof/>
            <w:webHidden/>
          </w:rPr>
          <w:tab/>
        </w:r>
        <w:r w:rsidR="00A329A5">
          <w:rPr>
            <w:noProof/>
            <w:webHidden/>
          </w:rPr>
          <w:fldChar w:fldCharType="begin"/>
        </w:r>
        <w:r w:rsidR="00A329A5">
          <w:rPr>
            <w:noProof/>
            <w:webHidden/>
          </w:rPr>
          <w:instrText xml:space="preserve"> PAGEREF _Toc95731385 \h </w:instrText>
        </w:r>
        <w:r w:rsidR="00A329A5">
          <w:rPr>
            <w:noProof/>
            <w:webHidden/>
          </w:rPr>
        </w:r>
        <w:r w:rsidR="00A329A5">
          <w:rPr>
            <w:noProof/>
            <w:webHidden/>
          </w:rPr>
          <w:fldChar w:fldCharType="separate"/>
        </w:r>
        <w:r w:rsidR="00A329A5">
          <w:rPr>
            <w:noProof/>
            <w:webHidden/>
          </w:rPr>
          <w:t>4</w:t>
        </w:r>
        <w:r w:rsidR="00A329A5">
          <w:rPr>
            <w:noProof/>
            <w:webHidden/>
          </w:rPr>
          <w:fldChar w:fldCharType="end"/>
        </w:r>
      </w:hyperlink>
    </w:p>
    <w:p w14:paraId="5BEA89EA" w14:textId="4555F25E" w:rsidR="00A329A5" w:rsidRDefault="009B0BA7">
      <w:pPr>
        <w:pStyle w:val="TOC2"/>
        <w:rPr>
          <w:rFonts w:asciiTheme="minorHAnsi" w:eastAsiaTheme="minorEastAsia" w:hAnsiTheme="minorHAnsi" w:cstheme="minorBidi"/>
          <w:noProof/>
        </w:rPr>
      </w:pPr>
      <w:hyperlink w:anchor="_Toc95731386" w:history="1">
        <w:r w:rsidR="00A329A5" w:rsidRPr="00A86B0B">
          <w:rPr>
            <w:rStyle w:val="Hyperlink"/>
            <w:noProof/>
          </w:rPr>
          <w:t>Purpose of consultation</w:t>
        </w:r>
        <w:r w:rsidR="00A329A5">
          <w:rPr>
            <w:noProof/>
            <w:webHidden/>
          </w:rPr>
          <w:tab/>
        </w:r>
        <w:r w:rsidR="00A329A5">
          <w:rPr>
            <w:noProof/>
            <w:webHidden/>
          </w:rPr>
          <w:fldChar w:fldCharType="begin"/>
        </w:r>
        <w:r w:rsidR="00A329A5">
          <w:rPr>
            <w:noProof/>
            <w:webHidden/>
          </w:rPr>
          <w:instrText xml:space="preserve"> PAGEREF _Toc95731386 \h </w:instrText>
        </w:r>
        <w:r w:rsidR="00A329A5">
          <w:rPr>
            <w:noProof/>
            <w:webHidden/>
          </w:rPr>
        </w:r>
        <w:r w:rsidR="00A329A5">
          <w:rPr>
            <w:noProof/>
            <w:webHidden/>
          </w:rPr>
          <w:fldChar w:fldCharType="separate"/>
        </w:r>
        <w:r w:rsidR="00A329A5">
          <w:rPr>
            <w:noProof/>
            <w:webHidden/>
          </w:rPr>
          <w:t>5</w:t>
        </w:r>
        <w:r w:rsidR="00A329A5">
          <w:rPr>
            <w:noProof/>
            <w:webHidden/>
          </w:rPr>
          <w:fldChar w:fldCharType="end"/>
        </w:r>
      </w:hyperlink>
    </w:p>
    <w:p w14:paraId="4FB9AA27" w14:textId="7E84558E" w:rsidR="00A329A5" w:rsidRDefault="009B0BA7">
      <w:pPr>
        <w:pStyle w:val="TOC2"/>
        <w:rPr>
          <w:rFonts w:asciiTheme="minorHAnsi" w:eastAsiaTheme="minorEastAsia" w:hAnsiTheme="minorHAnsi" w:cstheme="minorBidi"/>
          <w:noProof/>
        </w:rPr>
      </w:pPr>
      <w:hyperlink w:anchor="_Toc95731387" w:history="1">
        <w:r w:rsidR="00A329A5" w:rsidRPr="00A86B0B">
          <w:rPr>
            <w:rStyle w:val="Hyperlink"/>
            <w:noProof/>
          </w:rPr>
          <w:t>Who responded to the consultation</w:t>
        </w:r>
        <w:r w:rsidR="00A329A5">
          <w:rPr>
            <w:noProof/>
            <w:webHidden/>
          </w:rPr>
          <w:tab/>
        </w:r>
        <w:r w:rsidR="00A329A5">
          <w:rPr>
            <w:noProof/>
            <w:webHidden/>
          </w:rPr>
          <w:fldChar w:fldCharType="begin"/>
        </w:r>
        <w:r w:rsidR="00A329A5">
          <w:rPr>
            <w:noProof/>
            <w:webHidden/>
          </w:rPr>
          <w:instrText xml:space="preserve"> PAGEREF _Toc95731387 \h </w:instrText>
        </w:r>
        <w:r w:rsidR="00A329A5">
          <w:rPr>
            <w:noProof/>
            <w:webHidden/>
          </w:rPr>
        </w:r>
        <w:r w:rsidR="00A329A5">
          <w:rPr>
            <w:noProof/>
            <w:webHidden/>
          </w:rPr>
          <w:fldChar w:fldCharType="separate"/>
        </w:r>
        <w:r w:rsidR="00A329A5">
          <w:rPr>
            <w:noProof/>
            <w:webHidden/>
          </w:rPr>
          <w:t>5</w:t>
        </w:r>
        <w:r w:rsidR="00A329A5">
          <w:rPr>
            <w:noProof/>
            <w:webHidden/>
          </w:rPr>
          <w:fldChar w:fldCharType="end"/>
        </w:r>
      </w:hyperlink>
    </w:p>
    <w:p w14:paraId="20C17356" w14:textId="38C8623D" w:rsidR="00A329A5" w:rsidRDefault="009B0BA7">
      <w:pPr>
        <w:pStyle w:val="TOC1"/>
        <w:rPr>
          <w:rFonts w:asciiTheme="minorHAnsi" w:eastAsiaTheme="minorEastAsia" w:hAnsiTheme="minorHAnsi" w:cstheme="minorBidi"/>
          <w:noProof/>
        </w:rPr>
      </w:pPr>
      <w:hyperlink w:anchor="_Toc95731388" w:history="1">
        <w:r w:rsidR="00A329A5" w:rsidRPr="00A86B0B">
          <w:rPr>
            <w:rStyle w:val="Hyperlink"/>
            <w:noProof/>
          </w:rPr>
          <w:t>Criteria assessment</w:t>
        </w:r>
        <w:r w:rsidR="00A329A5">
          <w:rPr>
            <w:noProof/>
            <w:webHidden/>
          </w:rPr>
          <w:tab/>
        </w:r>
        <w:r w:rsidR="00A329A5">
          <w:rPr>
            <w:noProof/>
            <w:webHidden/>
          </w:rPr>
          <w:fldChar w:fldCharType="begin"/>
        </w:r>
        <w:r w:rsidR="00A329A5">
          <w:rPr>
            <w:noProof/>
            <w:webHidden/>
          </w:rPr>
          <w:instrText xml:space="preserve"> PAGEREF _Toc95731388 \h </w:instrText>
        </w:r>
        <w:r w:rsidR="00A329A5">
          <w:rPr>
            <w:noProof/>
            <w:webHidden/>
          </w:rPr>
        </w:r>
        <w:r w:rsidR="00A329A5">
          <w:rPr>
            <w:noProof/>
            <w:webHidden/>
          </w:rPr>
          <w:fldChar w:fldCharType="separate"/>
        </w:r>
        <w:r w:rsidR="00A329A5">
          <w:rPr>
            <w:noProof/>
            <w:webHidden/>
          </w:rPr>
          <w:t>6</w:t>
        </w:r>
        <w:r w:rsidR="00A329A5">
          <w:rPr>
            <w:noProof/>
            <w:webHidden/>
          </w:rPr>
          <w:fldChar w:fldCharType="end"/>
        </w:r>
      </w:hyperlink>
    </w:p>
    <w:p w14:paraId="38726390" w14:textId="7EBDF04C" w:rsidR="00A329A5" w:rsidRDefault="009B0BA7">
      <w:pPr>
        <w:pStyle w:val="TOC1"/>
        <w:rPr>
          <w:rFonts w:asciiTheme="minorHAnsi" w:eastAsiaTheme="minorEastAsia" w:hAnsiTheme="minorHAnsi" w:cstheme="minorBidi"/>
          <w:noProof/>
        </w:rPr>
      </w:pPr>
      <w:hyperlink w:anchor="_Toc95731389" w:history="1">
        <w:r w:rsidR="00A329A5" w:rsidRPr="00A86B0B">
          <w:rPr>
            <w:rStyle w:val="Hyperlink"/>
            <w:noProof/>
          </w:rPr>
          <w:t>Allocation calculations</w:t>
        </w:r>
        <w:r w:rsidR="00A329A5">
          <w:rPr>
            <w:noProof/>
            <w:webHidden/>
          </w:rPr>
          <w:tab/>
        </w:r>
        <w:r w:rsidR="00A329A5">
          <w:rPr>
            <w:noProof/>
            <w:webHidden/>
          </w:rPr>
          <w:fldChar w:fldCharType="begin"/>
        </w:r>
        <w:r w:rsidR="00A329A5">
          <w:rPr>
            <w:noProof/>
            <w:webHidden/>
          </w:rPr>
          <w:instrText xml:space="preserve"> PAGEREF _Toc95731389 \h </w:instrText>
        </w:r>
        <w:r w:rsidR="00A329A5">
          <w:rPr>
            <w:noProof/>
            <w:webHidden/>
          </w:rPr>
        </w:r>
        <w:r w:rsidR="00A329A5">
          <w:rPr>
            <w:noProof/>
            <w:webHidden/>
          </w:rPr>
          <w:fldChar w:fldCharType="separate"/>
        </w:r>
        <w:r w:rsidR="00A329A5">
          <w:rPr>
            <w:noProof/>
            <w:webHidden/>
          </w:rPr>
          <w:t>8</w:t>
        </w:r>
        <w:r w:rsidR="00A329A5">
          <w:rPr>
            <w:noProof/>
            <w:webHidden/>
          </w:rPr>
          <w:fldChar w:fldCharType="end"/>
        </w:r>
      </w:hyperlink>
    </w:p>
    <w:p w14:paraId="1762636E" w14:textId="2BF6212B" w:rsidR="00A329A5" w:rsidRDefault="009B0BA7">
      <w:pPr>
        <w:pStyle w:val="TOC1"/>
        <w:rPr>
          <w:rFonts w:asciiTheme="minorHAnsi" w:eastAsiaTheme="minorEastAsia" w:hAnsiTheme="minorHAnsi" w:cstheme="minorBidi"/>
          <w:noProof/>
        </w:rPr>
      </w:pPr>
      <w:hyperlink w:anchor="_Toc95731390" w:history="1">
        <w:r w:rsidR="00A329A5" w:rsidRPr="00A86B0B">
          <w:rPr>
            <w:rStyle w:val="Hyperlink"/>
            <w:noProof/>
          </w:rPr>
          <w:t>Broader options to reform industrial allocation</w:t>
        </w:r>
        <w:r w:rsidR="00A329A5">
          <w:rPr>
            <w:noProof/>
            <w:webHidden/>
          </w:rPr>
          <w:tab/>
        </w:r>
        <w:r w:rsidR="00A329A5">
          <w:rPr>
            <w:noProof/>
            <w:webHidden/>
          </w:rPr>
          <w:fldChar w:fldCharType="begin"/>
        </w:r>
        <w:r w:rsidR="00A329A5">
          <w:rPr>
            <w:noProof/>
            <w:webHidden/>
          </w:rPr>
          <w:instrText xml:space="preserve"> PAGEREF _Toc95731390 \h </w:instrText>
        </w:r>
        <w:r w:rsidR="00A329A5">
          <w:rPr>
            <w:noProof/>
            <w:webHidden/>
          </w:rPr>
        </w:r>
        <w:r w:rsidR="00A329A5">
          <w:rPr>
            <w:noProof/>
            <w:webHidden/>
          </w:rPr>
          <w:fldChar w:fldCharType="separate"/>
        </w:r>
        <w:r w:rsidR="00A329A5">
          <w:rPr>
            <w:noProof/>
            <w:webHidden/>
          </w:rPr>
          <w:t>14</w:t>
        </w:r>
        <w:r w:rsidR="00A329A5">
          <w:rPr>
            <w:noProof/>
            <w:webHidden/>
          </w:rPr>
          <w:fldChar w:fldCharType="end"/>
        </w:r>
      </w:hyperlink>
    </w:p>
    <w:p w14:paraId="348D3DD1" w14:textId="0B9776E6" w:rsidR="00A329A5" w:rsidRDefault="009B0BA7">
      <w:pPr>
        <w:pStyle w:val="TOC2"/>
        <w:rPr>
          <w:rFonts w:asciiTheme="minorHAnsi" w:eastAsiaTheme="minorEastAsia" w:hAnsiTheme="minorHAnsi" w:cstheme="minorBidi"/>
          <w:noProof/>
        </w:rPr>
      </w:pPr>
      <w:hyperlink w:anchor="_Toc95731391" w:history="1">
        <w:r w:rsidR="00A329A5" w:rsidRPr="00A86B0B">
          <w:rPr>
            <w:rStyle w:val="Hyperlink"/>
            <w:noProof/>
          </w:rPr>
          <w:t>New activities</w:t>
        </w:r>
        <w:r w:rsidR="00A329A5">
          <w:rPr>
            <w:noProof/>
            <w:webHidden/>
          </w:rPr>
          <w:tab/>
        </w:r>
        <w:r w:rsidR="00A329A5">
          <w:rPr>
            <w:noProof/>
            <w:webHidden/>
          </w:rPr>
          <w:fldChar w:fldCharType="begin"/>
        </w:r>
        <w:r w:rsidR="00A329A5">
          <w:rPr>
            <w:noProof/>
            <w:webHidden/>
          </w:rPr>
          <w:instrText xml:space="preserve"> PAGEREF _Toc95731391 \h </w:instrText>
        </w:r>
        <w:r w:rsidR="00A329A5">
          <w:rPr>
            <w:noProof/>
            <w:webHidden/>
          </w:rPr>
        </w:r>
        <w:r w:rsidR="00A329A5">
          <w:rPr>
            <w:noProof/>
            <w:webHidden/>
          </w:rPr>
          <w:fldChar w:fldCharType="separate"/>
        </w:r>
        <w:r w:rsidR="00A329A5">
          <w:rPr>
            <w:noProof/>
            <w:webHidden/>
          </w:rPr>
          <w:t>14</w:t>
        </w:r>
        <w:r w:rsidR="00A329A5">
          <w:rPr>
            <w:noProof/>
            <w:webHidden/>
          </w:rPr>
          <w:fldChar w:fldCharType="end"/>
        </w:r>
      </w:hyperlink>
    </w:p>
    <w:p w14:paraId="29894003" w14:textId="58509102" w:rsidR="00A329A5" w:rsidRDefault="009B0BA7">
      <w:pPr>
        <w:pStyle w:val="TOC2"/>
        <w:rPr>
          <w:rFonts w:asciiTheme="minorHAnsi" w:eastAsiaTheme="minorEastAsia" w:hAnsiTheme="minorHAnsi" w:cstheme="minorBidi"/>
          <w:noProof/>
        </w:rPr>
      </w:pPr>
      <w:hyperlink w:anchor="_Toc95731392" w:history="1">
        <w:r w:rsidR="00A329A5" w:rsidRPr="00A86B0B">
          <w:rPr>
            <w:rStyle w:val="Hyperlink"/>
            <w:noProof/>
          </w:rPr>
          <w:t>Data reporting requirements</w:t>
        </w:r>
        <w:r w:rsidR="00A329A5">
          <w:rPr>
            <w:noProof/>
            <w:webHidden/>
          </w:rPr>
          <w:tab/>
        </w:r>
        <w:r w:rsidR="00A329A5">
          <w:rPr>
            <w:noProof/>
            <w:webHidden/>
          </w:rPr>
          <w:fldChar w:fldCharType="begin"/>
        </w:r>
        <w:r w:rsidR="00A329A5">
          <w:rPr>
            <w:noProof/>
            <w:webHidden/>
          </w:rPr>
          <w:instrText xml:space="preserve"> PAGEREF _Toc95731392 \h </w:instrText>
        </w:r>
        <w:r w:rsidR="00A329A5">
          <w:rPr>
            <w:noProof/>
            <w:webHidden/>
          </w:rPr>
        </w:r>
        <w:r w:rsidR="00A329A5">
          <w:rPr>
            <w:noProof/>
            <w:webHidden/>
          </w:rPr>
          <w:fldChar w:fldCharType="separate"/>
        </w:r>
        <w:r w:rsidR="00A329A5">
          <w:rPr>
            <w:noProof/>
            <w:webHidden/>
          </w:rPr>
          <w:t>15</w:t>
        </w:r>
        <w:r w:rsidR="00A329A5">
          <w:rPr>
            <w:noProof/>
            <w:webHidden/>
          </w:rPr>
          <w:fldChar w:fldCharType="end"/>
        </w:r>
      </w:hyperlink>
    </w:p>
    <w:p w14:paraId="116978B4" w14:textId="67DEED68" w:rsidR="00A329A5" w:rsidRDefault="009B0BA7">
      <w:pPr>
        <w:pStyle w:val="TOC1"/>
        <w:rPr>
          <w:rFonts w:asciiTheme="minorHAnsi" w:eastAsiaTheme="minorEastAsia" w:hAnsiTheme="minorHAnsi" w:cstheme="minorBidi"/>
          <w:noProof/>
        </w:rPr>
      </w:pPr>
      <w:hyperlink w:anchor="_Toc95731393" w:history="1">
        <w:r w:rsidR="00A329A5" w:rsidRPr="00A86B0B">
          <w:rPr>
            <w:rStyle w:val="Hyperlink"/>
            <w:noProof/>
          </w:rPr>
          <w:t>Future of IA policy</w:t>
        </w:r>
        <w:r w:rsidR="00A329A5">
          <w:rPr>
            <w:noProof/>
            <w:webHidden/>
          </w:rPr>
          <w:tab/>
        </w:r>
        <w:r w:rsidR="00A329A5">
          <w:rPr>
            <w:noProof/>
            <w:webHidden/>
          </w:rPr>
          <w:fldChar w:fldCharType="begin"/>
        </w:r>
        <w:r w:rsidR="00A329A5">
          <w:rPr>
            <w:noProof/>
            <w:webHidden/>
          </w:rPr>
          <w:instrText xml:space="preserve"> PAGEREF _Toc95731393 \h </w:instrText>
        </w:r>
        <w:r w:rsidR="00A329A5">
          <w:rPr>
            <w:noProof/>
            <w:webHidden/>
          </w:rPr>
        </w:r>
        <w:r w:rsidR="00A329A5">
          <w:rPr>
            <w:noProof/>
            <w:webHidden/>
          </w:rPr>
          <w:fldChar w:fldCharType="separate"/>
        </w:r>
        <w:r w:rsidR="00A329A5">
          <w:rPr>
            <w:noProof/>
            <w:webHidden/>
          </w:rPr>
          <w:t>17</w:t>
        </w:r>
        <w:r w:rsidR="00A329A5">
          <w:rPr>
            <w:noProof/>
            <w:webHidden/>
          </w:rPr>
          <w:fldChar w:fldCharType="end"/>
        </w:r>
      </w:hyperlink>
    </w:p>
    <w:p w14:paraId="16483B0E" w14:textId="356A81AE" w:rsidR="00A329A5" w:rsidRDefault="009B0BA7">
      <w:pPr>
        <w:pStyle w:val="TOC2"/>
        <w:rPr>
          <w:rFonts w:asciiTheme="minorHAnsi" w:eastAsiaTheme="minorEastAsia" w:hAnsiTheme="minorHAnsi" w:cstheme="minorBidi"/>
          <w:noProof/>
        </w:rPr>
      </w:pPr>
      <w:hyperlink w:anchor="_Toc95731394" w:history="1">
        <w:r w:rsidR="00A329A5" w:rsidRPr="00A86B0B">
          <w:rPr>
            <w:rStyle w:val="Hyperlink"/>
            <w:noProof/>
          </w:rPr>
          <w:t>Alternative mechanisms to industrial allocation</w:t>
        </w:r>
        <w:r w:rsidR="00A329A5">
          <w:rPr>
            <w:noProof/>
            <w:webHidden/>
          </w:rPr>
          <w:tab/>
        </w:r>
        <w:r w:rsidR="00A329A5">
          <w:rPr>
            <w:noProof/>
            <w:webHidden/>
          </w:rPr>
          <w:fldChar w:fldCharType="begin"/>
        </w:r>
        <w:r w:rsidR="00A329A5">
          <w:rPr>
            <w:noProof/>
            <w:webHidden/>
          </w:rPr>
          <w:instrText xml:space="preserve"> PAGEREF _Toc95731394 \h </w:instrText>
        </w:r>
        <w:r w:rsidR="00A329A5">
          <w:rPr>
            <w:noProof/>
            <w:webHidden/>
          </w:rPr>
        </w:r>
        <w:r w:rsidR="00A329A5">
          <w:rPr>
            <w:noProof/>
            <w:webHidden/>
          </w:rPr>
          <w:fldChar w:fldCharType="separate"/>
        </w:r>
        <w:r w:rsidR="00A329A5">
          <w:rPr>
            <w:noProof/>
            <w:webHidden/>
          </w:rPr>
          <w:t>17</w:t>
        </w:r>
        <w:r w:rsidR="00A329A5">
          <w:rPr>
            <w:noProof/>
            <w:webHidden/>
          </w:rPr>
          <w:fldChar w:fldCharType="end"/>
        </w:r>
      </w:hyperlink>
    </w:p>
    <w:p w14:paraId="6C0E3B42" w14:textId="7068552F" w:rsidR="00A329A5" w:rsidRDefault="009B0BA7">
      <w:pPr>
        <w:pStyle w:val="TOC2"/>
        <w:rPr>
          <w:rFonts w:asciiTheme="minorHAnsi" w:eastAsiaTheme="minorEastAsia" w:hAnsiTheme="minorHAnsi" w:cstheme="minorBidi"/>
          <w:noProof/>
        </w:rPr>
      </w:pPr>
      <w:hyperlink w:anchor="_Toc95731395" w:history="1">
        <w:r w:rsidR="00A329A5" w:rsidRPr="00A86B0B">
          <w:rPr>
            <w:rStyle w:val="Hyperlink"/>
            <w:noProof/>
          </w:rPr>
          <w:t>Encouraging emissions reductions</w:t>
        </w:r>
        <w:r w:rsidR="00A329A5">
          <w:rPr>
            <w:noProof/>
            <w:webHidden/>
          </w:rPr>
          <w:tab/>
        </w:r>
        <w:r w:rsidR="00A329A5">
          <w:rPr>
            <w:noProof/>
            <w:webHidden/>
          </w:rPr>
          <w:fldChar w:fldCharType="begin"/>
        </w:r>
        <w:r w:rsidR="00A329A5">
          <w:rPr>
            <w:noProof/>
            <w:webHidden/>
          </w:rPr>
          <w:instrText xml:space="preserve"> PAGEREF _Toc95731395 \h </w:instrText>
        </w:r>
        <w:r w:rsidR="00A329A5">
          <w:rPr>
            <w:noProof/>
            <w:webHidden/>
          </w:rPr>
        </w:r>
        <w:r w:rsidR="00A329A5">
          <w:rPr>
            <w:noProof/>
            <w:webHidden/>
          </w:rPr>
          <w:fldChar w:fldCharType="separate"/>
        </w:r>
        <w:r w:rsidR="00A329A5">
          <w:rPr>
            <w:noProof/>
            <w:webHidden/>
          </w:rPr>
          <w:t>18</w:t>
        </w:r>
        <w:r w:rsidR="00A329A5">
          <w:rPr>
            <w:noProof/>
            <w:webHidden/>
          </w:rPr>
          <w:fldChar w:fldCharType="end"/>
        </w:r>
      </w:hyperlink>
    </w:p>
    <w:p w14:paraId="79045580" w14:textId="739097B0" w:rsidR="00A329A5" w:rsidRDefault="009B0BA7">
      <w:pPr>
        <w:pStyle w:val="TOC2"/>
        <w:rPr>
          <w:rFonts w:asciiTheme="minorHAnsi" w:eastAsiaTheme="minorEastAsia" w:hAnsiTheme="minorHAnsi" w:cstheme="minorBidi"/>
          <w:noProof/>
        </w:rPr>
      </w:pPr>
      <w:hyperlink w:anchor="_Toc95731396" w:history="1">
        <w:r w:rsidR="00A329A5" w:rsidRPr="00A86B0B">
          <w:rPr>
            <w:rStyle w:val="Hyperlink"/>
            <w:noProof/>
          </w:rPr>
          <w:t>Wider considerations</w:t>
        </w:r>
        <w:r w:rsidR="00A329A5">
          <w:rPr>
            <w:noProof/>
            <w:webHidden/>
          </w:rPr>
          <w:tab/>
        </w:r>
        <w:r w:rsidR="00A329A5">
          <w:rPr>
            <w:noProof/>
            <w:webHidden/>
          </w:rPr>
          <w:fldChar w:fldCharType="begin"/>
        </w:r>
        <w:r w:rsidR="00A329A5">
          <w:rPr>
            <w:noProof/>
            <w:webHidden/>
          </w:rPr>
          <w:instrText xml:space="preserve"> PAGEREF _Toc95731396 \h </w:instrText>
        </w:r>
        <w:r w:rsidR="00A329A5">
          <w:rPr>
            <w:noProof/>
            <w:webHidden/>
          </w:rPr>
        </w:r>
        <w:r w:rsidR="00A329A5">
          <w:rPr>
            <w:noProof/>
            <w:webHidden/>
          </w:rPr>
          <w:fldChar w:fldCharType="separate"/>
        </w:r>
        <w:r w:rsidR="00A329A5">
          <w:rPr>
            <w:noProof/>
            <w:webHidden/>
          </w:rPr>
          <w:t>19</w:t>
        </w:r>
        <w:r w:rsidR="00A329A5">
          <w:rPr>
            <w:noProof/>
            <w:webHidden/>
          </w:rPr>
          <w:fldChar w:fldCharType="end"/>
        </w:r>
      </w:hyperlink>
    </w:p>
    <w:p w14:paraId="3650F986" w14:textId="1EDF472F" w:rsidR="00A329A5" w:rsidRDefault="009B0BA7">
      <w:pPr>
        <w:pStyle w:val="TOC1"/>
        <w:rPr>
          <w:rFonts w:asciiTheme="minorHAnsi" w:eastAsiaTheme="minorEastAsia" w:hAnsiTheme="minorHAnsi" w:cstheme="minorBidi"/>
          <w:noProof/>
        </w:rPr>
      </w:pPr>
      <w:hyperlink w:anchor="_Toc95731397" w:history="1">
        <w:r w:rsidR="00A329A5" w:rsidRPr="00A86B0B">
          <w:rPr>
            <w:rStyle w:val="Hyperlink"/>
            <w:noProof/>
          </w:rPr>
          <w:t>Other comments</w:t>
        </w:r>
        <w:r w:rsidR="00A329A5">
          <w:rPr>
            <w:noProof/>
            <w:webHidden/>
          </w:rPr>
          <w:tab/>
        </w:r>
        <w:r w:rsidR="00A329A5">
          <w:rPr>
            <w:noProof/>
            <w:webHidden/>
          </w:rPr>
          <w:fldChar w:fldCharType="begin"/>
        </w:r>
        <w:r w:rsidR="00A329A5">
          <w:rPr>
            <w:noProof/>
            <w:webHidden/>
          </w:rPr>
          <w:instrText xml:space="preserve"> PAGEREF _Toc95731397 \h </w:instrText>
        </w:r>
        <w:r w:rsidR="00A329A5">
          <w:rPr>
            <w:noProof/>
            <w:webHidden/>
          </w:rPr>
        </w:r>
        <w:r w:rsidR="00A329A5">
          <w:rPr>
            <w:noProof/>
            <w:webHidden/>
          </w:rPr>
          <w:fldChar w:fldCharType="separate"/>
        </w:r>
        <w:r w:rsidR="00A329A5">
          <w:rPr>
            <w:noProof/>
            <w:webHidden/>
          </w:rPr>
          <w:t>21</w:t>
        </w:r>
        <w:r w:rsidR="00A329A5">
          <w:rPr>
            <w:noProof/>
            <w:webHidden/>
          </w:rPr>
          <w:fldChar w:fldCharType="end"/>
        </w:r>
      </w:hyperlink>
    </w:p>
    <w:p w14:paraId="3EC3FE62" w14:textId="5B81646B" w:rsidR="0080531E" w:rsidRPr="006B77BB" w:rsidRDefault="00775F57" w:rsidP="002B4778">
      <w:pPr>
        <w:pStyle w:val="Glossary"/>
      </w:pPr>
      <w:r w:rsidRPr="006B77BB">
        <w:rPr>
          <w:color w:val="0092CF"/>
        </w:rPr>
        <w:fldChar w:fldCharType="end"/>
      </w:r>
    </w:p>
    <w:p w14:paraId="179850C6" w14:textId="77777777" w:rsidR="00C4338C" w:rsidRDefault="00C4338C" w:rsidP="00554B30"/>
    <w:p w14:paraId="2B350843" w14:textId="77777777" w:rsidR="00C4338C" w:rsidRPr="006B77BB" w:rsidRDefault="00C4338C" w:rsidP="00C4338C">
      <w:pPr>
        <w:pStyle w:val="Heading1"/>
      </w:pPr>
      <w:bookmarkStart w:id="1" w:name="_Toc90557037"/>
      <w:bookmarkStart w:id="2" w:name="_Toc95731382"/>
      <w:r w:rsidRPr="006B77BB">
        <w:t>Tables</w:t>
      </w:r>
      <w:bookmarkEnd w:id="1"/>
      <w:bookmarkEnd w:id="2"/>
    </w:p>
    <w:p w14:paraId="2D1A0E89" w14:textId="40870E27" w:rsidR="00412303" w:rsidRDefault="00C4338C" w:rsidP="00655AE6">
      <w:pPr>
        <w:pStyle w:val="TableofFigures"/>
        <w:tabs>
          <w:tab w:val="right" w:pos="7938"/>
          <w:tab w:val="right" w:pos="8494"/>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94535600" w:history="1">
        <w:r w:rsidR="00412303" w:rsidRPr="007766CE">
          <w:rPr>
            <w:rStyle w:val="Hyperlink"/>
            <w:noProof/>
          </w:rPr>
          <w:t>Table 1:</w:t>
        </w:r>
        <w:r w:rsidR="00412303">
          <w:rPr>
            <w:rFonts w:asciiTheme="minorHAnsi" w:eastAsiaTheme="minorEastAsia" w:hAnsiTheme="minorHAnsi" w:cstheme="minorBidi"/>
            <w:noProof/>
          </w:rPr>
          <w:tab/>
        </w:r>
        <w:r w:rsidR="00412303" w:rsidRPr="007766CE">
          <w:rPr>
            <w:rStyle w:val="Hyperlink"/>
            <w:noProof/>
          </w:rPr>
          <w:t>Number of submissions by submitter group</w:t>
        </w:r>
        <w:r w:rsidR="00412303">
          <w:rPr>
            <w:noProof/>
            <w:webHidden/>
          </w:rPr>
          <w:tab/>
        </w:r>
        <w:r w:rsidR="00412303">
          <w:rPr>
            <w:noProof/>
            <w:webHidden/>
          </w:rPr>
          <w:fldChar w:fldCharType="begin"/>
        </w:r>
        <w:r w:rsidR="00412303">
          <w:rPr>
            <w:noProof/>
            <w:webHidden/>
          </w:rPr>
          <w:instrText xml:space="preserve"> PAGEREF _Toc94535600 \h </w:instrText>
        </w:r>
        <w:r w:rsidR="00412303">
          <w:rPr>
            <w:noProof/>
            <w:webHidden/>
          </w:rPr>
        </w:r>
        <w:r w:rsidR="00412303">
          <w:rPr>
            <w:noProof/>
            <w:webHidden/>
          </w:rPr>
          <w:fldChar w:fldCharType="separate"/>
        </w:r>
        <w:r w:rsidR="00412303">
          <w:rPr>
            <w:noProof/>
            <w:webHidden/>
          </w:rPr>
          <w:t>5</w:t>
        </w:r>
        <w:r w:rsidR="00412303">
          <w:rPr>
            <w:noProof/>
            <w:webHidden/>
          </w:rPr>
          <w:fldChar w:fldCharType="end"/>
        </w:r>
      </w:hyperlink>
    </w:p>
    <w:p w14:paraId="68F05FC3" w14:textId="5BAC5C2F" w:rsidR="00796A6F" w:rsidRPr="00554B30" w:rsidRDefault="00C4338C" w:rsidP="00914790">
      <w:pPr>
        <w:pStyle w:val="Heading1"/>
      </w:pPr>
      <w:r>
        <w:fldChar w:fldCharType="end"/>
      </w:r>
      <w:r w:rsidR="00796A6F" w:rsidRPr="00554B30">
        <w:br w:type="page"/>
      </w:r>
    </w:p>
    <w:p w14:paraId="50C05A3C" w14:textId="6DC5721F" w:rsidR="0080531E" w:rsidRDefault="00C96749" w:rsidP="00A338DE">
      <w:pPr>
        <w:rPr>
          <w:rStyle w:val="Heading1Char"/>
          <w:b w:val="0"/>
          <w:bCs w:val="0"/>
        </w:rPr>
      </w:pPr>
      <w:bookmarkStart w:id="3" w:name="_Toc95731383"/>
      <w:r>
        <w:rPr>
          <w:rStyle w:val="Heading1Char"/>
        </w:rPr>
        <w:lastRenderedPageBreak/>
        <w:t>Introduction</w:t>
      </w:r>
      <w:bookmarkEnd w:id="3"/>
      <w:r>
        <w:rPr>
          <w:rStyle w:val="Heading1Char"/>
        </w:rPr>
        <w:t xml:space="preserve"> </w:t>
      </w:r>
    </w:p>
    <w:p w14:paraId="5D2F8590" w14:textId="78D84868" w:rsidR="008C3E82" w:rsidRDefault="008C3E82" w:rsidP="008C3E82">
      <w:pPr>
        <w:pStyle w:val="BodyText"/>
      </w:pPr>
      <w:r>
        <w:t xml:space="preserve">From 8 July to 17 September 2021, the Ministry for the Environment (the Ministry) consulted on a range of options to improve industrial allocation </w:t>
      </w:r>
      <w:r w:rsidR="00DD5D67">
        <w:t xml:space="preserve">(IA) </w:t>
      </w:r>
      <w:r w:rsidR="00561C8D">
        <w:t>policy</w:t>
      </w:r>
      <w:r>
        <w:t xml:space="preserve"> in the New Zealand Emissions Trading Scheme (NZ ETS). </w:t>
      </w:r>
    </w:p>
    <w:p w14:paraId="47907A31" w14:textId="1C5EAD5A" w:rsidR="00F4643D" w:rsidRDefault="008C3E82" w:rsidP="00981243">
      <w:pPr>
        <w:pStyle w:val="BodyText"/>
      </w:pPr>
      <w:r>
        <w:t xml:space="preserve">This report summarises the views expressed in </w:t>
      </w:r>
      <w:r w:rsidR="002F1CDC">
        <w:t xml:space="preserve">response to the consultation document – </w:t>
      </w:r>
      <w:r w:rsidR="002F1CDC" w:rsidRPr="001B0CE9">
        <w:rPr>
          <w:i/>
          <w:iCs/>
        </w:rPr>
        <w:t>Reforming industrial allocation in the New Zealand Emissions Trading Scheme</w:t>
      </w:r>
      <w:r w:rsidR="002F1CDC">
        <w:t xml:space="preserve">. </w:t>
      </w:r>
      <w:r w:rsidR="00981243">
        <w:t xml:space="preserve">It does not provide an analysis of those views, or recommendations in response to them. Any recommendations in response to these submissions will be made through policy development and advice to the </w:t>
      </w:r>
      <w:r w:rsidR="00DD5D67">
        <w:t>G</w:t>
      </w:r>
      <w:r w:rsidR="00981243">
        <w:t>overnment.</w:t>
      </w:r>
      <w:r w:rsidR="007E1047">
        <w:t xml:space="preserve"> </w:t>
      </w:r>
    </w:p>
    <w:p w14:paraId="6E410E40" w14:textId="6233F838" w:rsidR="00FB70FA" w:rsidRDefault="00FB70FA" w:rsidP="00D84E90">
      <w:pPr>
        <w:pStyle w:val="Heading2"/>
      </w:pPr>
      <w:bookmarkStart w:id="4" w:name="_Toc95731384"/>
      <w:r>
        <w:t>Background to industrial allocation polic</w:t>
      </w:r>
      <w:r w:rsidR="00D84E90">
        <w:t>y</w:t>
      </w:r>
      <w:bookmarkEnd w:id="4"/>
    </w:p>
    <w:p w14:paraId="7867D78F" w14:textId="6DE68CF4" w:rsidR="00AE1212" w:rsidRDefault="005C35B6" w:rsidP="00AE1212">
      <w:pPr>
        <w:pStyle w:val="BodyText"/>
      </w:pPr>
      <w:r>
        <w:t>IA</w:t>
      </w:r>
      <w:r w:rsidR="00AE1212">
        <w:t xml:space="preserve"> is the provision of free emissions units (New Zealand Units or NZUs) to industries considered emissions-intensive and trade-exposed (EITE)</w:t>
      </w:r>
      <w:r w:rsidR="0041681C">
        <w:rPr>
          <w:rStyle w:val="FootnoteReference"/>
        </w:rPr>
        <w:footnoteReference w:id="2"/>
      </w:r>
      <w:r w:rsidR="00AE1212">
        <w:t xml:space="preserve">. </w:t>
      </w:r>
    </w:p>
    <w:p w14:paraId="7EC66A7C" w14:textId="4C04F8F5" w:rsidR="00D84E90" w:rsidRDefault="00290D8C" w:rsidP="00AE1212">
      <w:pPr>
        <w:pStyle w:val="BodyText"/>
      </w:pPr>
      <w:r>
        <w:t>IA</w:t>
      </w:r>
      <w:r w:rsidR="00AE1212">
        <w:t xml:space="preserve"> reduces the cost</w:t>
      </w:r>
      <w:r w:rsidR="00317259">
        <w:t xml:space="preserve"> impact</w:t>
      </w:r>
      <w:r w:rsidR="00AE1212">
        <w:t xml:space="preserve"> of the NZ ETS for</w:t>
      </w:r>
      <w:r w:rsidR="00317259">
        <w:t xml:space="preserve"> EITE</w:t>
      </w:r>
      <w:r w:rsidR="00AE1212">
        <w:t xml:space="preserve"> industry</w:t>
      </w:r>
      <w:r w:rsidR="0095282C">
        <w:t xml:space="preserve"> with the </w:t>
      </w:r>
      <w:r w:rsidR="00AE1212">
        <w:t xml:space="preserve">purpose </w:t>
      </w:r>
      <w:r w:rsidR="00317259">
        <w:t>of reducing</w:t>
      </w:r>
      <w:r w:rsidR="00AE1212">
        <w:t xml:space="preserve"> </w:t>
      </w:r>
      <w:r w:rsidR="00ED1252">
        <w:t xml:space="preserve">competitiveness </w:t>
      </w:r>
      <w:r w:rsidR="0095282C">
        <w:t xml:space="preserve">issues with </w:t>
      </w:r>
      <w:r w:rsidR="00A54F4E">
        <w:t xml:space="preserve">offshore firms subject to weaker climate policy. </w:t>
      </w:r>
      <w:r w:rsidR="00BF055E">
        <w:t xml:space="preserve">Asymmetrical climate policy </w:t>
      </w:r>
      <w:r w:rsidR="00190B01">
        <w:t>could</w:t>
      </w:r>
      <w:r w:rsidR="001B374B">
        <w:t xml:space="preserve"> risk</w:t>
      </w:r>
      <w:r w:rsidR="00AE1212">
        <w:t xml:space="preserve"> driving EITE firms, </w:t>
      </w:r>
      <w:proofErr w:type="gramStart"/>
      <w:r w:rsidR="001B374B">
        <w:t>production</w:t>
      </w:r>
      <w:proofErr w:type="gramEnd"/>
      <w:r w:rsidR="00AE1212">
        <w:t xml:space="preserve"> and the associated emissions overseas</w:t>
      </w:r>
      <w:r w:rsidR="00CE6C0F">
        <w:t>,</w:t>
      </w:r>
      <w:r w:rsidR="004136BC">
        <w:t xml:space="preserve"> </w:t>
      </w:r>
      <w:r w:rsidR="00AE1212">
        <w:t xml:space="preserve">which could increase global emissions. This risk is known as </w:t>
      </w:r>
      <w:r w:rsidR="00DD5D67">
        <w:t>‘</w:t>
      </w:r>
      <w:r w:rsidR="00AE1212">
        <w:t>emissions leakage</w:t>
      </w:r>
      <w:r w:rsidR="00DD5D67">
        <w:t>’</w:t>
      </w:r>
      <w:r w:rsidR="00AE1212">
        <w:t>.</w:t>
      </w:r>
    </w:p>
    <w:p w14:paraId="45142A3D" w14:textId="75CFA146" w:rsidR="004F7D07" w:rsidRPr="00D84E90" w:rsidRDefault="00290D8C" w:rsidP="00AE1212">
      <w:pPr>
        <w:pStyle w:val="BodyText"/>
      </w:pPr>
      <w:r>
        <w:t>IA</w:t>
      </w:r>
      <w:r w:rsidR="00A338DE">
        <w:t xml:space="preserve"> </w:t>
      </w:r>
      <w:r w:rsidR="004F7D07">
        <w:t xml:space="preserve">was first introduced </w:t>
      </w:r>
      <w:r w:rsidR="00F82F63">
        <w:t xml:space="preserve">to the </w:t>
      </w:r>
      <w:r w:rsidR="00926570">
        <w:t>Climate Change Response</w:t>
      </w:r>
      <w:r w:rsidR="00F82F63">
        <w:t xml:space="preserve"> Act</w:t>
      </w:r>
      <w:r w:rsidR="00926570">
        <w:t xml:space="preserve"> 2002 (the Act)</w:t>
      </w:r>
      <w:r w:rsidR="00F82F63">
        <w:t xml:space="preserve"> </w:t>
      </w:r>
      <w:r w:rsidR="004F7D07">
        <w:t xml:space="preserve">in </w:t>
      </w:r>
      <w:r w:rsidR="00F82F63">
        <w:t>2009</w:t>
      </w:r>
      <w:r w:rsidR="004F7D07">
        <w:t xml:space="preserve"> </w:t>
      </w:r>
      <w:r w:rsidR="00262C63">
        <w:t xml:space="preserve">in advance of </w:t>
      </w:r>
      <w:r w:rsidR="004F7D07">
        <w:t xml:space="preserve">industrial activities </w:t>
      </w:r>
      <w:r w:rsidR="006D4477">
        <w:t>being</w:t>
      </w:r>
      <w:r w:rsidR="004F7D07">
        <w:t xml:space="preserve"> brought into the NZ ETS</w:t>
      </w:r>
      <w:r w:rsidR="00F82F63">
        <w:t xml:space="preserve"> in mid-2010</w:t>
      </w:r>
      <w:r w:rsidR="004F7D07">
        <w:t xml:space="preserve">. </w:t>
      </w:r>
      <w:r w:rsidR="00561B24">
        <w:t>It is provided annual</w:t>
      </w:r>
      <w:r w:rsidR="0080056F">
        <w:t>ly</w:t>
      </w:r>
      <w:r w:rsidR="00133B73">
        <w:t xml:space="preserve"> on a production basis</w:t>
      </w:r>
      <w:r w:rsidR="00561B24">
        <w:t xml:space="preserve"> to</w:t>
      </w:r>
      <w:r w:rsidR="00F52222">
        <w:t xml:space="preserve"> firms who carry out any of the </w:t>
      </w:r>
      <w:r w:rsidR="00CE6C0F">
        <w:t>26</w:t>
      </w:r>
      <w:r w:rsidR="00F52222">
        <w:t xml:space="preserve"> eligible activities</w:t>
      </w:r>
      <w:r w:rsidR="00A2641D">
        <w:rPr>
          <w:rStyle w:val="FootnoteReference"/>
        </w:rPr>
        <w:footnoteReference w:id="3"/>
      </w:r>
      <w:r w:rsidR="00F52222">
        <w:t xml:space="preserve">. </w:t>
      </w:r>
      <w:r w:rsidR="00DF258B">
        <w:t xml:space="preserve">Many </w:t>
      </w:r>
      <w:r w:rsidR="00681074">
        <w:t xml:space="preserve">international </w:t>
      </w:r>
      <w:r w:rsidR="00DF258B">
        <w:t xml:space="preserve">emissions trading schemes </w:t>
      </w:r>
      <w:r w:rsidR="00AB5EC3">
        <w:t xml:space="preserve">use allocation as a form of mitigating emissions leakage. </w:t>
      </w:r>
    </w:p>
    <w:p w14:paraId="7E528969" w14:textId="6CE27291" w:rsidR="0080531E" w:rsidRPr="00B73ABB" w:rsidRDefault="00D132B5" w:rsidP="00B73ABB">
      <w:pPr>
        <w:pStyle w:val="Heading2"/>
      </w:pPr>
      <w:bookmarkStart w:id="5" w:name="_Toc95731385"/>
      <w:r>
        <w:t>The review of industrial allocation</w:t>
      </w:r>
      <w:bookmarkEnd w:id="5"/>
      <w:r>
        <w:t xml:space="preserve"> </w:t>
      </w:r>
    </w:p>
    <w:p w14:paraId="68391EA8" w14:textId="3753F184" w:rsidR="00C33A78" w:rsidRDefault="00C33A78" w:rsidP="001C1B09">
      <w:pPr>
        <w:pStyle w:val="BodyText"/>
        <w:spacing w:before="100" w:after="100"/>
      </w:pPr>
      <w:r>
        <w:t xml:space="preserve">The Government called for a review of </w:t>
      </w:r>
      <w:r w:rsidR="00157A5E">
        <w:t>IA</w:t>
      </w:r>
      <w:r>
        <w:t xml:space="preserve"> policy in </w:t>
      </w:r>
      <w:r w:rsidR="00E84FEE">
        <w:t>2020</w:t>
      </w:r>
      <w:r>
        <w:t xml:space="preserve"> after </w:t>
      </w:r>
      <w:r w:rsidR="008C0EB0">
        <w:t xml:space="preserve">it was identified that </w:t>
      </w:r>
      <w:r w:rsidR="00B17CD2">
        <w:t xml:space="preserve">out-of-date settings </w:t>
      </w:r>
      <w:r w:rsidR="0057156A">
        <w:t xml:space="preserve">were </w:t>
      </w:r>
      <w:r w:rsidR="00EF650B">
        <w:t>causing</w:t>
      </w:r>
      <w:r w:rsidR="008C0EB0">
        <w:t xml:space="preserve"> </w:t>
      </w:r>
      <w:r w:rsidR="00E91F47">
        <w:t>wind</w:t>
      </w:r>
      <w:r w:rsidR="00130F9E">
        <w:t xml:space="preserve">fall gains to some industries due to the </w:t>
      </w:r>
      <w:r w:rsidR="00B17CD2">
        <w:t xml:space="preserve">over-allocation </w:t>
      </w:r>
      <w:r w:rsidR="00130F9E">
        <w:t>of NZUs.</w:t>
      </w:r>
      <w:r w:rsidR="008C0EB0">
        <w:t xml:space="preserve"> </w:t>
      </w:r>
    </w:p>
    <w:p w14:paraId="38F91F65" w14:textId="396AE534" w:rsidR="005F0924" w:rsidRDefault="005F0924" w:rsidP="001C1B09">
      <w:pPr>
        <w:pStyle w:val="BodyText"/>
        <w:spacing w:before="100" w:after="100"/>
      </w:pPr>
      <w:r>
        <w:t>A data collection was performed in mid-2020</w:t>
      </w:r>
      <w:r w:rsidR="00342A0D">
        <w:t>,</w:t>
      </w:r>
      <w:r>
        <w:t xml:space="preserve"> which collected revenue, </w:t>
      </w:r>
      <w:proofErr w:type="gramStart"/>
      <w:r>
        <w:t>production</w:t>
      </w:r>
      <w:proofErr w:type="gramEnd"/>
      <w:r>
        <w:t xml:space="preserve"> and emissions data from </w:t>
      </w:r>
      <w:r w:rsidR="001B4AB0">
        <w:t xml:space="preserve">a </w:t>
      </w:r>
      <w:r>
        <w:t>se</w:t>
      </w:r>
      <w:r w:rsidR="00EB73B4">
        <w:t xml:space="preserve">lection of </w:t>
      </w:r>
      <w:r w:rsidR="00C42004">
        <w:t xml:space="preserve">four </w:t>
      </w:r>
      <w:r w:rsidR="00EB73B4">
        <w:t xml:space="preserve">EITE </w:t>
      </w:r>
      <w:r w:rsidR="00176B80">
        <w:t>activities</w:t>
      </w:r>
      <w:r w:rsidR="00EB73B4">
        <w:t>. The resulting analysis determined that all four were over-allocated</w:t>
      </w:r>
      <w:r w:rsidR="003C7CC0">
        <w:t xml:space="preserve">; </w:t>
      </w:r>
      <w:r w:rsidR="00C72AAE">
        <w:t xml:space="preserve">and </w:t>
      </w:r>
      <w:r w:rsidR="003C7CC0">
        <w:t xml:space="preserve">three </w:t>
      </w:r>
      <w:r w:rsidR="00C72AAE">
        <w:t xml:space="preserve">of the activities </w:t>
      </w:r>
      <w:r w:rsidR="003C7CC0">
        <w:t>were receiv</w:t>
      </w:r>
      <w:r w:rsidR="00C72AAE">
        <w:t>ing</w:t>
      </w:r>
      <w:r w:rsidR="003C7CC0">
        <w:t xml:space="preserve"> more than 100 per cent of their emissions costs. </w:t>
      </w:r>
    </w:p>
    <w:p w14:paraId="27679860" w14:textId="784B2B16" w:rsidR="001C1B09" w:rsidRPr="00A03684" w:rsidRDefault="008651DD" w:rsidP="001C1B09">
      <w:pPr>
        <w:pStyle w:val="BodyText"/>
        <w:spacing w:before="100" w:after="100"/>
      </w:pPr>
      <w:r>
        <w:t xml:space="preserve">Since </w:t>
      </w:r>
      <w:r w:rsidR="00DF1EA2">
        <w:t>IA</w:t>
      </w:r>
      <w:r>
        <w:t xml:space="preserve"> was first </w:t>
      </w:r>
      <w:r w:rsidR="00492E09">
        <w:t>developed,</w:t>
      </w:r>
      <w:r w:rsidR="00C72AAE">
        <w:t xml:space="preserve"> </w:t>
      </w:r>
      <w:r w:rsidR="00650223">
        <w:t xml:space="preserve">New Zealand </w:t>
      </w:r>
      <w:r w:rsidR="00492E09">
        <w:t xml:space="preserve">has moved </w:t>
      </w:r>
      <w:r w:rsidR="00650223">
        <w:t>into a new era</w:t>
      </w:r>
      <w:r w:rsidR="0021390B">
        <w:t>,</w:t>
      </w:r>
      <w:r w:rsidR="00852FFA">
        <w:t xml:space="preserve"> putting climate change at the heart of government decision making. </w:t>
      </w:r>
      <w:r w:rsidR="00A72462">
        <w:t>IA</w:t>
      </w:r>
      <w:r w:rsidR="001C1B09" w:rsidRPr="00A03684">
        <w:t xml:space="preserve"> policy sits within a set of broader climate change objectives for New</w:t>
      </w:r>
      <w:r w:rsidR="001C1B09">
        <w:t> </w:t>
      </w:r>
      <w:r w:rsidR="001C1B09" w:rsidRPr="00A03684">
        <w:t>Zealand. The Government has committed to reducing emissions to meet domestic and</w:t>
      </w:r>
      <w:r w:rsidR="001C1B09">
        <w:t> </w:t>
      </w:r>
      <w:r w:rsidR="001C1B09" w:rsidRPr="00A03684">
        <w:t xml:space="preserve">international climate targets. Current levels of </w:t>
      </w:r>
      <w:r w:rsidR="00E6333E">
        <w:t>IA</w:t>
      </w:r>
      <w:r w:rsidR="00542D42">
        <w:t>,</w:t>
      </w:r>
      <w:r w:rsidR="00C72AAE">
        <w:t xml:space="preserve"> in combination with the likely over-allocation across</w:t>
      </w:r>
      <w:r w:rsidR="001C5210">
        <w:t xml:space="preserve"> many eligible</w:t>
      </w:r>
      <w:r w:rsidR="00C72AAE">
        <w:t xml:space="preserve"> </w:t>
      </w:r>
      <w:r w:rsidR="004D690B">
        <w:t>activities</w:t>
      </w:r>
      <w:r w:rsidR="00863A43">
        <w:t>,</w:t>
      </w:r>
      <w:r w:rsidR="004D690B">
        <w:t xml:space="preserve"> </w:t>
      </w:r>
      <w:r w:rsidR="001C1B09" w:rsidRPr="00A03684">
        <w:t>are unsustainable</w:t>
      </w:r>
      <w:r w:rsidR="001C1B09">
        <w:t> </w:t>
      </w:r>
      <w:r w:rsidR="00926A8E">
        <w:t>with</w:t>
      </w:r>
      <w:r w:rsidR="001C1B09" w:rsidRPr="00A03684">
        <w:t>in the context of New Zealand’s future emission budgets.</w:t>
      </w:r>
    </w:p>
    <w:p w14:paraId="4F1B33F5" w14:textId="42899A36" w:rsidR="00C02494" w:rsidRPr="00D132B5" w:rsidRDefault="00D132B5" w:rsidP="00C039CB">
      <w:pPr>
        <w:pStyle w:val="Heading2"/>
        <w:rPr>
          <w:b w:val="0"/>
          <w:bCs w:val="0"/>
        </w:rPr>
      </w:pPr>
      <w:bookmarkStart w:id="6" w:name="_Toc95731386"/>
      <w:r w:rsidRPr="00D132B5">
        <w:lastRenderedPageBreak/>
        <w:t>Purpose of consultation</w:t>
      </w:r>
      <w:bookmarkEnd w:id="6"/>
      <w:r w:rsidRPr="00D132B5">
        <w:t xml:space="preserve"> </w:t>
      </w:r>
    </w:p>
    <w:p w14:paraId="2EE8376B" w14:textId="05AB4716" w:rsidR="007F440B" w:rsidRDefault="00D132B5" w:rsidP="00C02494">
      <w:pPr>
        <w:pStyle w:val="BodyText"/>
        <w:spacing w:before="100" w:after="100"/>
      </w:pPr>
      <w:r>
        <w:t xml:space="preserve">The Government consulted on </w:t>
      </w:r>
      <w:r w:rsidR="00711CC7">
        <w:t>IA</w:t>
      </w:r>
      <w:r>
        <w:t xml:space="preserve"> from 8</w:t>
      </w:r>
      <w:r w:rsidR="007B1898">
        <w:t xml:space="preserve"> July</w:t>
      </w:r>
      <w:r w:rsidR="00A0677F">
        <w:t xml:space="preserve"> 2020 to 17 September 2020. The consultation document</w:t>
      </w:r>
      <w:r w:rsidR="0021390B">
        <w:t>,</w:t>
      </w:r>
      <w:r w:rsidR="00A0677F">
        <w:t xml:space="preserve"> </w:t>
      </w:r>
      <w:proofErr w:type="gramStart"/>
      <w:r w:rsidR="00A0677F" w:rsidRPr="009D0BC1">
        <w:rPr>
          <w:i/>
          <w:iCs/>
        </w:rPr>
        <w:t>Reforming</w:t>
      </w:r>
      <w:proofErr w:type="gramEnd"/>
      <w:r w:rsidR="00A0677F" w:rsidRPr="009D0BC1">
        <w:rPr>
          <w:i/>
          <w:iCs/>
        </w:rPr>
        <w:t xml:space="preserve"> industrial allocation policy in the New Zealand Emissions Trading Scheme</w:t>
      </w:r>
      <w:r w:rsidR="009D0BC1">
        <w:t xml:space="preserve">, </w:t>
      </w:r>
      <w:r w:rsidR="00CA517B">
        <w:t xml:space="preserve">explained the current issues with </w:t>
      </w:r>
      <w:r w:rsidR="00711CC7">
        <w:t>IA</w:t>
      </w:r>
      <w:r w:rsidR="00CA517B">
        <w:t xml:space="preserve"> and </w:t>
      </w:r>
      <w:r w:rsidR="009D0BC1">
        <w:t>sought</w:t>
      </w:r>
      <w:r w:rsidR="00CA517B">
        <w:t xml:space="preserve"> feedback from the public on a </w:t>
      </w:r>
      <w:r w:rsidR="00887EF7">
        <w:t>package</w:t>
      </w:r>
      <w:r w:rsidR="00CA517B">
        <w:t xml:space="preserve"> of options </w:t>
      </w:r>
      <w:r w:rsidR="009D0BC1">
        <w:t xml:space="preserve">to </w:t>
      </w:r>
      <w:r w:rsidR="00CA517B">
        <w:t xml:space="preserve">rectify these issues. </w:t>
      </w:r>
      <w:r w:rsidR="005079F3">
        <w:t>The Ministry is undertaking final policy analysis, which will consider submitters views. It is expected final policy decisions will be sought mid-2022.</w:t>
      </w:r>
    </w:p>
    <w:p w14:paraId="55C051D9" w14:textId="10628162" w:rsidR="00F6689C" w:rsidRDefault="00F6689C" w:rsidP="00522524">
      <w:pPr>
        <w:pStyle w:val="Heading2"/>
      </w:pPr>
      <w:bookmarkStart w:id="7" w:name="_Toc95731387"/>
      <w:r>
        <w:t xml:space="preserve">Who </w:t>
      </w:r>
      <w:r w:rsidR="000B651C">
        <w:t xml:space="preserve">responded to the </w:t>
      </w:r>
      <w:proofErr w:type="gramStart"/>
      <w:r w:rsidR="000B651C">
        <w:t>consultation</w:t>
      </w:r>
      <w:bookmarkEnd w:id="7"/>
      <w:proofErr w:type="gramEnd"/>
      <w:r w:rsidR="00522524">
        <w:t xml:space="preserve"> </w:t>
      </w:r>
    </w:p>
    <w:p w14:paraId="6F28FB71" w14:textId="59B21E1E" w:rsidR="00C4667D" w:rsidRDefault="000B651C" w:rsidP="006C79D6">
      <w:pPr>
        <w:jc w:val="left"/>
      </w:pPr>
      <w:r>
        <w:t xml:space="preserve">The Ministry received </w:t>
      </w:r>
      <w:r w:rsidR="00442D8E">
        <w:t xml:space="preserve">a total of </w:t>
      </w:r>
      <w:r w:rsidR="006C79D6">
        <w:t>190</w:t>
      </w:r>
      <w:r w:rsidR="006413CA">
        <w:t xml:space="preserve"> </w:t>
      </w:r>
      <w:r w:rsidR="00F8191C">
        <w:t>submissions</w:t>
      </w:r>
      <w:r w:rsidR="00442D8E">
        <w:t xml:space="preserve">. </w:t>
      </w:r>
      <w:r w:rsidR="006413CA">
        <w:t xml:space="preserve">These were either received through the Ministry’s </w:t>
      </w:r>
      <w:r w:rsidR="00CC6820">
        <w:t xml:space="preserve">consultation tool – Citizen Space, or via </w:t>
      </w:r>
      <w:r w:rsidR="001833BC">
        <w:t>email</w:t>
      </w:r>
      <w:r w:rsidR="00CC6820">
        <w:t xml:space="preserve">. </w:t>
      </w:r>
      <w:r w:rsidR="00EA035D">
        <w:t xml:space="preserve">The total number of unique submissions </w:t>
      </w:r>
      <w:r w:rsidR="005079F3">
        <w:t>was</w:t>
      </w:r>
      <w:r w:rsidR="00EA035D">
        <w:t xml:space="preserve"> </w:t>
      </w:r>
      <w:r w:rsidR="006C79D6">
        <w:t>181</w:t>
      </w:r>
      <w:r w:rsidR="004B264C">
        <w:t>.</w:t>
      </w:r>
    </w:p>
    <w:p w14:paraId="53FB5FAD" w14:textId="16A498FB" w:rsidR="00522524" w:rsidRDefault="004B264C" w:rsidP="006C79D6">
      <w:pPr>
        <w:jc w:val="left"/>
      </w:pPr>
      <w:proofErr w:type="gramStart"/>
      <w:r>
        <w:t>A large number of</w:t>
      </w:r>
      <w:proofErr w:type="gramEnd"/>
      <w:r>
        <w:t xml:space="preserve"> submissions from individuals were </w:t>
      </w:r>
      <w:r w:rsidR="00C4667D">
        <w:t xml:space="preserve">based on a similar template and largely </w:t>
      </w:r>
      <w:r w:rsidR="00A61227">
        <w:t xml:space="preserve">repeated the same four points. </w:t>
      </w:r>
      <w:r w:rsidR="005079F3">
        <w:t xml:space="preserve">Thirteen of the submissions were from </w:t>
      </w:r>
      <w:r w:rsidR="003E7059">
        <w:t xml:space="preserve">firms who are eligible to receive </w:t>
      </w:r>
      <w:r w:rsidR="004F540B">
        <w:t xml:space="preserve">IA. </w:t>
      </w:r>
    </w:p>
    <w:p w14:paraId="4E3ED913" w14:textId="79DA5923" w:rsidR="00A61227" w:rsidRDefault="00A61227" w:rsidP="006C79D6">
      <w:pPr>
        <w:jc w:val="left"/>
      </w:pPr>
      <w:r>
        <w:t xml:space="preserve">The </w:t>
      </w:r>
      <w:r w:rsidR="005B4205">
        <w:t>profile of submitter</w:t>
      </w:r>
      <w:r w:rsidR="003E473C">
        <w:t xml:space="preserve">s is </w:t>
      </w:r>
      <w:r w:rsidR="003D2277">
        <w:t xml:space="preserve">itemised below. </w:t>
      </w:r>
    </w:p>
    <w:p w14:paraId="2B5B4381" w14:textId="4E211A44" w:rsidR="00C4338C" w:rsidRDefault="00C4338C" w:rsidP="00C4338C">
      <w:pPr>
        <w:pStyle w:val="Tableheading"/>
      </w:pPr>
      <w:bookmarkStart w:id="8" w:name="_Toc94535600"/>
      <w:r>
        <w:t xml:space="preserve">Table </w:t>
      </w:r>
      <w:r>
        <w:fldChar w:fldCharType="begin"/>
      </w:r>
      <w:r>
        <w:instrText>SEQ Table \* ARABIC</w:instrText>
      </w:r>
      <w:r>
        <w:fldChar w:fldCharType="separate"/>
      </w:r>
      <w:r>
        <w:rPr>
          <w:noProof/>
        </w:rPr>
        <w:t>1</w:t>
      </w:r>
      <w:r>
        <w:fldChar w:fldCharType="end"/>
      </w:r>
      <w:r>
        <w:t>:</w:t>
      </w:r>
      <w:r w:rsidR="008A1AAE">
        <w:tab/>
      </w:r>
      <w:r>
        <w:t>Number of submissions by submitter group</w:t>
      </w:r>
      <w:bookmarkStart w:id="9" w:name="_Toc345760336"/>
      <w:bookmarkEnd w:id="8"/>
    </w:p>
    <w:tbl>
      <w:tblPr>
        <w:tblW w:w="8505" w:type="dxa"/>
        <w:tblInd w:w="113" w:type="dxa"/>
        <w:tblBorders>
          <w:bottom w:val="single" w:sz="4" w:space="0" w:color="1C556C"/>
          <w:insideH w:val="single" w:sz="4" w:space="0" w:color="1C556C"/>
          <w:insideV w:val="single" w:sz="4" w:space="0" w:color="1C556C"/>
        </w:tblBorders>
        <w:tblLook w:val="04A0" w:firstRow="1" w:lastRow="0" w:firstColumn="1" w:lastColumn="0" w:noHBand="0" w:noVBand="1"/>
      </w:tblPr>
      <w:tblGrid>
        <w:gridCol w:w="5807"/>
        <w:gridCol w:w="2698"/>
      </w:tblGrid>
      <w:tr w:rsidR="0081072C" w:rsidRPr="00A01420" w14:paraId="1D0C45D9" w14:textId="77777777" w:rsidTr="006C79D6">
        <w:trPr>
          <w:tblHeader/>
        </w:trPr>
        <w:tc>
          <w:tcPr>
            <w:tcW w:w="5807" w:type="dxa"/>
            <w:shd w:val="clear" w:color="auto" w:fill="1B556B"/>
          </w:tcPr>
          <w:p w14:paraId="0934CCF0" w14:textId="3AFFE80D" w:rsidR="0081072C" w:rsidRPr="00A01420" w:rsidRDefault="0081072C" w:rsidP="00544455">
            <w:pPr>
              <w:pStyle w:val="TableTextbold"/>
              <w:rPr>
                <w:color w:val="FFFFFF"/>
                <w:szCs w:val="20"/>
              </w:rPr>
            </w:pPr>
            <w:r>
              <w:rPr>
                <w:color w:val="FFFFFF"/>
                <w:szCs w:val="20"/>
              </w:rPr>
              <w:t>Submitter type</w:t>
            </w:r>
            <w:r w:rsidRPr="00A01420">
              <w:rPr>
                <w:color w:val="FFFFFF"/>
                <w:szCs w:val="20"/>
              </w:rPr>
              <w:t xml:space="preserve"> </w:t>
            </w:r>
          </w:p>
        </w:tc>
        <w:tc>
          <w:tcPr>
            <w:tcW w:w="2698" w:type="dxa"/>
            <w:shd w:val="clear" w:color="auto" w:fill="1B556B"/>
          </w:tcPr>
          <w:p w14:paraId="49A6BF78" w14:textId="11003336" w:rsidR="0081072C" w:rsidRPr="00A01420" w:rsidRDefault="00816E5B" w:rsidP="00544455">
            <w:pPr>
              <w:pStyle w:val="TableTextbold"/>
              <w:rPr>
                <w:color w:val="FFFFFF"/>
                <w:szCs w:val="20"/>
              </w:rPr>
            </w:pPr>
            <w:r>
              <w:rPr>
                <w:color w:val="FFFFFF"/>
                <w:szCs w:val="20"/>
              </w:rPr>
              <w:t xml:space="preserve">Number </w:t>
            </w:r>
          </w:p>
        </w:tc>
      </w:tr>
      <w:tr w:rsidR="0081072C" w:rsidRPr="00A01420" w14:paraId="795A220F" w14:textId="77777777" w:rsidTr="006C79D6">
        <w:tc>
          <w:tcPr>
            <w:tcW w:w="5807" w:type="dxa"/>
            <w:shd w:val="clear" w:color="auto" w:fill="auto"/>
            <w:vAlign w:val="bottom"/>
          </w:tcPr>
          <w:p w14:paraId="7AE054D8" w14:textId="311F4FDC" w:rsidR="0081072C" w:rsidRPr="00A01420" w:rsidRDefault="0081072C" w:rsidP="0081072C">
            <w:pPr>
              <w:pStyle w:val="TableText"/>
              <w:rPr>
                <w:szCs w:val="20"/>
              </w:rPr>
            </w:pPr>
            <w:r w:rsidRPr="00DA239B">
              <w:rPr>
                <w:szCs w:val="20"/>
              </w:rPr>
              <w:t>Individual</w:t>
            </w:r>
            <w:r w:rsidRPr="0081072C">
              <w:rPr>
                <w:szCs w:val="20"/>
              </w:rPr>
              <w:t>s</w:t>
            </w:r>
          </w:p>
        </w:tc>
        <w:tc>
          <w:tcPr>
            <w:tcW w:w="2698" w:type="dxa"/>
            <w:shd w:val="clear" w:color="auto" w:fill="auto"/>
            <w:vAlign w:val="bottom"/>
          </w:tcPr>
          <w:p w14:paraId="0B23D975" w14:textId="194773FB" w:rsidR="0081072C" w:rsidRPr="00A01420" w:rsidRDefault="0081072C" w:rsidP="0081072C">
            <w:pPr>
              <w:pStyle w:val="TableText"/>
              <w:rPr>
                <w:szCs w:val="20"/>
              </w:rPr>
            </w:pPr>
            <w:r w:rsidRPr="00DA239B">
              <w:rPr>
                <w:szCs w:val="20"/>
              </w:rPr>
              <w:t>138</w:t>
            </w:r>
          </w:p>
        </w:tc>
      </w:tr>
      <w:tr w:rsidR="0081072C" w:rsidRPr="00A01420" w14:paraId="4511D679" w14:textId="77777777" w:rsidTr="006C79D6">
        <w:tc>
          <w:tcPr>
            <w:tcW w:w="5807" w:type="dxa"/>
            <w:shd w:val="clear" w:color="auto" w:fill="auto"/>
            <w:vAlign w:val="bottom"/>
          </w:tcPr>
          <w:p w14:paraId="11D9A15F" w14:textId="65391B7B" w:rsidR="0081072C" w:rsidRPr="00A01420" w:rsidRDefault="0081072C" w:rsidP="0081072C">
            <w:pPr>
              <w:pStyle w:val="TableText"/>
              <w:rPr>
                <w:szCs w:val="20"/>
              </w:rPr>
            </w:pPr>
            <w:r w:rsidRPr="00DA239B">
              <w:rPr>
                <w:szCs w:val="20"/>
              </w:rPr>
              <w:t>Iwi</w:t>
            </w:r>
          </w:p>
        </w:tc>
        <w:tc>
          <w:tcPr>
            <w:tcW w:w="2698" w:type="dxa"/>
            <w:shd w:val="clear" w:color="auto" w:fill="auto"/>
            <w:vAlign w:val="bottom"/>
          </w:tcPr>
          <w:p w14:paraId="6510802B" w14:textId="5AE01978" w:rsidR="0081072C" w:rsidRPr="00A01420" w:rsidRDefault="0081072C" w:rsidP="0081072C">
            <w:pPr>
              <w:pStyle w:val="TableText"/>
              <w:rPr>
                <w:szCs w:val="20"/>
              </w:rPr>
            </w:pPr>
            <w:r w:rsidRPr="00DA239B">
              <w:rPr>
                <w:szCs w:val="20"/>
              </w:rPr>
              <w:t>1</w:t>
            </w:r>
          </w:p>
        </w:tc>
      </w:tr>
      <w:tr w:rsidR="0081072C" w:rsidRPr="00A01420" w14:paraId="358E72B6" w14:textId="77777777" w:rsidTr="006C79D6">
        <w:tc>
          <w:tcPr>
            <w:tcW w:w="5807" w:type="dxa"/>
            <w:shd w:val="clear" w:color="auto" w:fill="auto"/>
            <w:vAlign w:val="bottom"/>
          </w:tcPr>
          <w:p w14:paraId="585DCC87" w14:textId="722CE009" w:rsidR="0081072C" w:rsidRPr="00A01420" w:rsidRDefault="0081072C" w:rsidP="0081072C">
            <w:pPr>
              <w:pStyle w:val="TableText"/>
              <w:rPr>
                <w:szCs w:val="20"/>
              </w:rPr>
            </w:pPr>
            <w:r w:rsidRPr="0081072C">
              <w:rPr>
                <w:szCs w:val="20"/>
              </w:rPr>
              <w:t>Environmental N</w:t>
            </w:r>
            <w:r w:rsidR="005079F3">
              <w:rPr>
                <w:szCs w:val="20"/>
              </w:rPr>
              <w:t>GO</w:t>
            </w:r>
          </w:p>
        </w:tc>
        <w:tc>
          <w:tcPr>
            <w:tcW w:w="2698" w:type="dxa"/>
            <w:shd w:val="clear" w:color="auto" w:fill="auto"/>
            <w:vAlign w:val="bottom"/>
          </w:tcPr>
          <w:p w14:paraId="217C3874" w14:textId="7F45B43D" w:rsidR="0081072C" w:rsidRPr="00A01420" w:rsidRDefault="0081072C" w:rsidP="0081072C">
            <w:pPr>
              <w:pStyle w:val="TableText"/>
              <w:rPr>
                <w:szCs w:val="20"/>
              </w:rPr>
            </w:pPr>
            <w:r w:rsidRPr="00DA239B">
              <w:rPr>
                <w:szCs w:val="20"/>
              </w:rPr>
              <w:t>11</w:t>
            </w:r>
          </w:p>
        </w:tc>
      </w:tr>
      <w:tr w:rsidR="0081072C" w:rsidRPr="00A01420" w14:paraId="2C65272E" w14:textId="77777777" w:rsidTr="006C79D6">
        <w:tc>
          <w:tcPr>
            <w:tcW w:w="5807" w:type="dxa"/>
            <w:shd w:val="clear" w:color="auto" w:fill="auto"/>
            <w:vAlign w:val="bottom"/>
          </w:tcPr>
          <w:p w14:paraId="3D2F93C8" w14:textId="213A5059" w:rsidR="0081072C" w:rsidRPr="00A01420" w:rsidRDefault="0081072C" w:rsidP="0081072C">
            <w:pPr>
              <w:pStyle w:val="TableText"/>
              <w:rPr>
                <w:szCs w:val="20"/>
              </w:rPr>
            </w:pPr>
            <w:r w:rsidRPr="00DA239B">
              <w:rPr>
                <w:szCs w:val="20"/>
              </w:rPr>
              <w:t xml:space="preserve">Business </w:t>
            </w:r>
            <w:r w:rsidR="00DA1547">
              <w:rPr>
                <w:szCs w:val="20"/>
              </w:rPr>
              <w:t>g</w:t>
            </w:r>
            <w:r w:rsidRPr="00DA239B">
              <w:rPr>
                <w:szCs w:val="20"/>
              </w:rPr>
              <w:t>roup</w:t>
            </w:r>
          </w:p>
        </w:tc>
        <w:tc>
          <w:tcPr>
            <w:tcW w:w="2698" w:type="dxa"/>
            <w:shd w:val="clear" w:color="auto" w:fill="auto"/>
            <w:vAlign w:val="bottom"/>
          </w:tcPr>
          <w:p w14:paraId="65453DEA" w14:textId="6AD44CD6" w:rsidR="0081072C" w:rsidRPr="00A01420" w:rsidRDefault="0081072C" w:rsidP="0081072C">
            <w:pPr>
              <w:pStyle w:val="TableText"/>
              <w:rPr>
                <w:szCs w:val="20"/>
              </w:rPr>
            </w:pPr>
            <w:r w:rsidRPr="00DA239B">
              <w:rPr>
                <w:szCs w:val="20"/>
              </w:rPr>
              <w:t>8</w:t>
            </w:r>
          </w:p>
        </w:tc>
      </w:tr>
      <w:tr w:rsidR="0081072C" w:rsidRPr="00A01420" w14:paraId="066BFB28" w14:textId="77777777" w:rsidTr="006C79D6">
        <w:tc>
          <w:tcPr>
            <w:tcW w:w="5807" w:type="dxa"/>
            <w:shd w:val="clear" w:color="auto" w:fill="auto"/>
            <w:vAlign w:val="bottom"/>
          </w:tcPr>
          <w:p w14:paraId="3F9CDC23" w14:textId="6D94AF5E" w:rsidR="0081072C" w:rsidRPr="00A01420" w:rsidRDefault="0081072C" w:rsidP="0081072C">
            <w:pPr>
              <w:pStyle w:val="TableText"/>
              <w:rPr>
                <w:szCs w:val="20"/>
              </w:rPr>
            </w:pPr>
            <w:r w:rsidRPr="00DA239B">
              <w:rPr>
                <w:szCs w:val="20"/>
              </w:rPr>
              <w:t>Energy</w:t>
            </w:r>
            <w:r w:rsidRPr="0081072C">
              <w:rPr>
                <w:szCs w:val="20"/>
              </w:rPr>
              <w:t xml:space="preserve"> group </w:t>
            </w:r>
          </w:p>
        </w:tc>
        <w:tc>
          <w:tcPr>
            <w:tcW w:w="2698" w:type="dxa"/>
            <w:shd w:val="clear" w:color="auto" w:fill="auto"/>
            <w:vAlign w:val="bottom"/>
          </w:tcPr>
          <w:p w14:paraId="7FB60F0A" w14:textId="7C188C46" w:rsidR="0081072C" w:rsidRPr="00A01420" w:rsidRDefault="0081072C" w:rsidP="0081072C">
            <w:pPr>
              <w:pStyle w:val="TableText"/>
              <w:rPr>
                <w:szCs w:val="20"/>
              </w:rPr>
            </w:pPr>
            <w:r w:rsidRPr="00DA239B">
              <w:rPr>
                <w:szCs w:val="20"/>
              </w:rPr>
              <w:t>3</w:t>
            </w:r>
          </w:p>
        </w:tc>
      </w:tr>
      <w:tr w:rsidR="0081072C" w:rsidRPr="00A01420" w14:paraId="4505C438" w14:textId="77777777" w:rsidTr="006C79D6">
        <w:tc>
          <w:tcPr>
            <w:tcW w:w="5807" w:type="dxa"/>
            <w:shd w:val="clear" w:color="auto" w:fill="auto"/>
            <w:vAlign w:val="bottom"/>
          </w:tcPr>
          <w:p w14:paraId="778EDF35" w14:textId="54CA659F" w:rsidR="0081072C" w:rsidRPr="00A01420" w:rsidRDefault="0081072C" w:rsidP="0081072C">
            <w:pPr>
              <w:pStyle w:val="TableText"/>
              <w:rPr>
                <w:szCs w:val="20"/>
              </w:rPr>
            </w:pPr>
            <w:r w:rsidRPr="0081072C">
              <w:rPr>
                <w:szCs w:val="20"/>
              </w:rPr>
              <w:t xml:space="preserve">Allocation recipient </w:t>
            </w:r>
          </w:p>
        </w:tc>
        <w:tc>
          <w:tcPr>
            <w:tcW w:w="2698" w:type="dxa"/>
            <w:shd w:val="clear" w:color="auto" w:fill="auto"/>
            <w:vAlign w:val="bottom"/>
          </w:tcPr>
          <w:p w14:paraId="3F15DE81" w14:textId="73A958E7" w:rsidR="0081072C" w:rsidRPr="00A01420" w:rsidRDefault="0081072C" w:rsidP="0081072C">
            <w:pPr>
              <w:pStyle w:val="TableText"/>
              <w:rPr>
                <w:szCs w:val="20"/>
              </w:rPr>
            </w:pPr>
            <w:r w:rsidRPr="00DA239B">
              <w:rPr>
                <w:szCs w:val="20"/>
              </w:rPr>
              <w:t>13</w:t>
            </w:r>
          </w:p>
        </w:tc>
      </w:tr>
      <w:tr w:rsidR="0081072C" w:rsidRPr="00A01420" w14:paraId="1A6C903B" w14:textId="77777777" w:rsidTr="006C79D6">
        <w:tc>
          <w:tcPr>
            <w:tcW w:w="5807" w:type="dxa"/>
            <w:shd w:val="clear" w:color="auto" w:fill="auto"/>
            <w:vAlign w:val="bottom"/>
          </w:tcPr>
          <w:p w14:paraId="283E1682" w14:textId="55292BF0" w:rsidR="0081072C" w:rsidRPr="00A01420" w:rsidRDefault="0081072C" w:rsidP="0081072C">
            <w:pPr>
              <w:pStyle w:val="TableText"/>
              <w:rPr>
                <w:szCs w:val="20"/>
              </w:rPr>
            </w:pPr>
            <w:r w:rsidRPr="00DA239B">
              <w:rPr>
                <w:szCs w:val="20"/>
              </w:rPr>
              <w:t xml:space="preserve">Other </w:t>
            </w:r>
            <w:r w:rsidR="00DA1547">
              <w:rPr>
                <w:szCs w:val="20"/>
              </w:rPr>
              <w:t>i</w:t>
            </w:r>
            <w:r w:rsidRPr="00DA239B">
              <w:rPr>
                <w:szCs w:val="20"/>
              </w:rPr>
              <w:t>ndustrial</w:t>
            </w:r>
          </w:p>
        </w:tc>
        <w:tc>
          <w:tcPr>
            <w:tcW w:w="2698" w:type="dxa"/>
            <w:shd w:val="clear" w:color="auto" w:fill="auto"/>
            <w:vAlign w:val="bottom"/>
          </w:tcPr>
          <w:p w14:paraId="70F24C78" w14:textId="0AA61640" w:rsidR="0081072C" w:rsidRPr="00A01420" w:rsidRDefault="0081072C" w:rsidP="0081072C">
            <w:pPr>
              <w:pStyle w:val="TableText"/>
              <w:rPr>
                <w:szCs w:val="20"/>
              </w:rPr>
            </w:pPr>
            <w:r w:rsidRPr="00DA239B">
              <w:rPr>
                <w:szCs w:val="20"/>
              </w:rPr>
              <w:t>1</w:t>
            </w:r>
          </w:p>
        </w:tc>
      </w:tr>
      <w:tr w:rsidR="0081072C" w:rsidRPr="00A01420" w14:paraId="6D78C1E2" w14:textId="77777777" w:rsidTr="006C79D6">
        <w:tc>
          <w:tcPr>
            <w:tcW w:w="5807" w:type="dxa"/>
            <w:shd w:val="clear" w:color="auto" w:fill="auto"/>
            <w:vAlign w:val="bottom"/>
          </w:tcPr>
          <w:p w14:paraId="51E5EBFE" w14:textId="20B054F1" w:rsidR="0081072C" w:rsidRPr="00A01420" w:rsidRDefault="0081072C" w:rsidP="0081072C">
            <w:pPr>
              <w:pStyle w:val="TableText"/>
              <w:rPr>
                <w:szCs w:val="20"/>
              </w:rPr>
            </w:pPr>
            <w:r w:rsidRPr="00DA239B">
              <w:rPr>
                <w:szCs w:val="20"/>
              </w:rPr>
              <w:t>Other</w:t>
            </w:r>
          </w:p>
        </w:tc>
        <w:tc>
          <w:tcPr>
            <w:tcW w:w="2698" w:type="dxa"/>
            <w:shd w:val="clear" w:color="auto" w:fill="auto"/>
            <w:vAlign w:val="bottom"/>
          </w:tcPr>
          <w:p w14:paraId="7C9B50D4" w14:textId="27B7642A" w:rsidR="0081072C" w:rsidRPr="00A01420" w:rsidRDefault="0081072C" w:rsidP="0081072C">
            <w:pPr>
              <w:pStyle w:val="TableText"/>
              <w:rPr>
                <w:szCs w:val="20"/>
              </w:rPr>
            </w:pPr>
            <w:r w:rsidRPr="00F30ED9">
              <w:rPr>
                <w:szCs w:val="20"/>
              </w:rPr>
              <w:t>6</w:t>
            </w:r>
          </w:p>
        </w:tc>
      </w:tr>
      <w:tr w:rsidR="0081072C" w:rsidRPr="00A01420" w14:paraId="58A59B24" w14:textId="77777777" w:rsidTr="006C79D6">
        <w:tc>
          <w:tcPr>
            <w:tcW w:w="5807" w:type="dxa"/>
            <w:shd w:val="clear" w:color="auto" w:fill="auto"/>
            <w:vAlign w:val="bottom"/>
          </w:tcPr>
          <w:p w14:paraId="4CB2F875" w14:textId="418A6517" w:rsidR="0081072C" w:rsidRPr="00B62681" w:rsidRDefault="0081072C" w:rsidP="0081072C">
            <w:pPr>
              <w:pStyle w:val="TableText"/>
              <w:rPr>
                <w:b/>
                <w:szCs w:val="20"/>
              </w:rPr>
            </w:pPr>
            <w:r w:rsidRPr="00B62681">
              <w:rPr>
                <w:b/>
                <w:szCs w:val="20"/>
              </w:rPr>
              <w:t>Total</w:t>
            </w:r>
          </w:p>
        </w:tc>
        <w:tc>
          <w:tcPr>
            <w:tcW w:w="2698" w:type="dxa"/>
            <w:shd w:val="clear" w:color="auto" w:fill="auto"/>
            <w:vAlign w:val="bottom"/>
          </w:tcPr>
          <w:p w14:paraId="08F27600" w14:textId="75550848" w:rsidR="0081072C" w:rsidRPr="00B62681" w:rsidRDefault="0081072C" w:rsidP="0081072C">
            <w:pPr>
              <w:pStyle w:val="TableText"/>
              <w:rPr>
                <w:b/>
                <w:szCs w:val="20"/>
              </w:rPr>
            </w:pPr>
            <w:r w:rsidRPr="00B62681">
              <w:rPr>
                <w:b/>
                <w:szCs w:val="20"/>
              </w:rPr>
              <w:t>181</w:t>
            </w:r>
          </w:p>
        </w:tc>
      </w:tr>
      <w:bookmarkEnd w:id="9"/>
    </w:tbl>
    <w:p w14:paraId="2B59205D" w14:textId="04659A2E" w:rsidR="002F634E" w:rsidRDefault="00375C59" w:rsidP="002F634E">
      <w:pPr>
        <w:pStyle w:val="Heading1"/>
        <w:rPr>
          <w:rStyle w:val="Heading1Char"/>
          <w:b/>
          <w:bCs/>
        </w:rPr>
      </w:pPr>
      <w:r w:rsidRPr="006B77BB">
        <w:br w:type="page"/>
      </w:r>
      <w:bookmarkStart w:id="10" w:name="_Toc95731388"/>
      <w:r w:rsidR="001B0C4D">
        <w:rPr>
          <w:rStyle w:val="Heading1Char"/>
          <w:b/>
          <w:bCs/>
        </w:rPr>
        <w:lastRenderedPageBreak/>
        <w:t>C</w:t>
      </w:r>
      <w:r w:rsidR="00E508E1">
        <w:rPr>
          <w:rStyle w:val="Heading1Char"/>
          <w:b/>
          <w:bCs/>
        </w:rPr>
        <w:t xml:space="preserve">riteria </w:t>
      </w:r>
      <w:r w:rsidR="002B56D1">
        <w:rPr>
          <w:rStyle w:val="Heading1Char"/>
          <w:b/>
          <w:bCs/>
        </w:rPr>
        <w:t>assessment</w:t>
      </w:r>
      <w:bookmarkEnd w:id="10"/>
      <w:r w:rsidR="002B56D1">
        <w:rPr>
          <w:rStyle w:val="Heading1Char"/>
          <w:b/>
          <w:bCs/>
        </w:rPr>
        <w:t xml:space="preserve"> </w:t>
      </w:r>
    </w:p>
    <w:p w14:paraId="75FD5B07" w14:textId="7FAE69C7" w:rsidR="0002436F" w:rsidRDefault="002B56D1" w:rsidP="0002436F">
      <w:pPr>
        <w:pStyle w:val="BodyText"/>
      </w:pPr>
      <w:r>
        <w:t xml:space="preserve">The </w:t>
      </w:r>
      <w:r w:rsidR="00BD4942">
        <w:t>IA</w:t>
      </w:r>
      <w:r w:rsidR="001075CB">
        <w:t xml:space="preserve"> </w:t>
      </w:r>
      <w:r>
        <w:t>consultation document outline</w:t>
      </w:r>
      <w:r w:rsidR="00A725E0">
        <w:t>d</w:t>
      </w:r>
      <w:r>
        <w:t xml:space="preserve"> five criteria which each proposal </w:t>
      </w:r>
      <w:r w:rsidR="001B1145">
        <w:t>was</w:t>
      </w:r>
      <w:r>
        <w:t xml:space="preserve"> </w:t>
      </w:r>
      <w:r w:rsidR="00D12C51">
        <w:t>assessed against.</w:t>
      </w:r>
    </w:p>
    <w:p w14:paraId="2686A467" w14:textId="2574B49B" w:rsidR="00805354" w:rsidRDefault="00805354" w:rsidP="00805354">
      <w:pPr>
        <w:pStyle w:val="BodyText"/>
      </w:pPr>
      <w:r w:rsidRPr="00805354">
        <w:rPr>
          <w:b/>
          <w:bCs/>
        </w:rPr>
        <w:t>Supports the purpose of the NZ ETS</w:t>
      </w:r>
      <w:r>
        <w:t xml:space="preserve">. IA should drive mitigation in line with </w:t>
      </w:r>
      <w:proofErr w:type="gramStart"/>
      <w:r>
        <w:t>emissions budgets, and</w:t>
      </w:r>
      <w:proofErr w:type="gramEnd"/>
      <w:r>
        <w:t xml:space="preserve"> make a meaningful contribution to lowering global emissions. It should ensure an appropriate incentive is maintained for EITE firms to reduce emissions. </w:t>
      </w:r>
    </w:p>
    <w:p w14:paraId="165DCA14" w14:textId="6A91FEC2" w:rsidR="00805354" w:rsidRDefault="00805354" w:rsidP="00805354">
      <w:pPr>
        <w:pStyle w:val="BodyText"/>
      </w:pPr>
      <w:r w:rsidRPr="00805354">
        <w:rPr>
          <w:b/>
          <w:bCs/>
        </w:rPr>
        <w:t>Addresses over-allocation</w:t>
      </w:r>
      <w:r>
        <w:t xml:space="preserve">. IA should avoid unacceptable levels of over-allocation. </w:t>
      </w:r>
    </w:p>
    <w:p w14:paraId="271E1FC2" w14:textId="680524D1" w:rsidR="00805354" w:rsidRDefault="00805354" w:rsidP="00805354">
      <w:pPr>
        <w:pStyle w:val="BodyText"/>
      </w:pPr>
      <w:r w:rsidRPr="00805354">
        <w:rPr>
          <w:b/>
          <w:bCs/>
        </w:rPr>
        <w:t>Addresses the risk of emissions leakage</w:t>
      </w:r>
      <w:r>
        <w:t xml:space="preserve">. IA should continue to minimise the risk of leakage. It should mitigate the loss of competitiveness for EITE firms that face higher costs because of the </w:t>
      </w:r>
      <w:proofErr w:type="gramStart"/>
      <w:r>
        <w:t>NZ ETS, and</w:t>
      </w:r>
      <w:proofErr w:type="gramEnd"/>
      <w:r>
        <w:t xml:space="preserve"> prevent the export of domestic industries that increase global emissions. </w:t>
      </w:r>
    </w:p>
    <w:p w14:paraId="49B51BAF" w14:textId="41D152E2" w:rsidR="00805354" w:rsidRDefault="00805354" w:rsidP="00805354">
      <w:pPr>
        <w:pStyle w:val="BodyText"/>
      </w:pPr>
      <w:r w:rsidRPr="00805354">
        <w:rPr>
          <w:b/>
          <w:bCs/>
        </w:rPr>
        <w:t>Regulatory certainty and predictability</w:t>
      </w:r>
      <w:r>
        <w:t xml:space="preserve">. Changes to IA should give recipients certainty. Future allocation policy needs to be predictable over typical investment horizons. </w:t>
      </w:r>
    </w:p>
    <w:p w14:paraId="63D66639" w14:textId="2FF1EE33" w:rsidR="00D12C51" w:rsidRDefault="00805354" w:rsidP="00805354">
      <w:pPr>
        <w:pStyle w:val="BodyText"/>
      </w:pPr>
      <w:r w:rsidRPr="00805354">
        <w:rPr>
          <w:b/>
          <w:bCs/>
        </w:rPr>
        <w:t>Minimises administrative burden and complexity</w:t>
      </w:r>
      <w:r>
        <w:t>. IA should support an efficient NZ ETS, which minimises administrative costs, as well as compliance costs and burden for EITE firms.</w:t>
      </w:r>
    </w:p>
    <w:p w14:paraId="1649C7A1" w14:textId="37811D92" w:rsidR="00DF2968" w:rsidRPr="004B5961" w:rsidRDefault="005918EF" w:rsidP="004B5961">
      <w:pPr>
        <w:pStyle w:val="Bodytextbold"/>
      </w:pPr>
      <w:r w:rsidRPr="004B5961">
        <w:t xml:space="preserve">Question 1: </w:t>
      </w:r>
      <w:r w:rsidR="00DF2968" w:rsidRPr="004B5961">
        <w:t xml:space="preserve">Do you agree with the five criteria to assess the proposals in this consultation document? </w:t>
      </w:r>
    </w:p>
    <w:p w14:paraId="35D712BC" w14:textId="69B36821" w:rsidR="00A702FC" w:rsidRDefault="00C42D4C" w:rsidP="00A702FC">
      <w:pPr>
        <w:pStyle w:val="BodyText"/>
      </w:pPr>
      <w:r>
        <w:t>Fourteen</w:t>
      </w:r>
      <w:r w:rsidR="001C522C">
        <w:t xml:space="preserve"> </w:t>
      </w:r>
      <w:r w:rsidR="009F5A63">
        <w:t xml:space="preserve">per cent of submitters agreed with </w:t>
      </w:r>
      <w:r w:rsidR="006C3A44">
        <w:t>all</w:t>
      </w:r>
      <w:r w:rsidR="009F5A63">
        <w:t xml:space="preserve"> five assessment criteria. </w:t>
      </w:r>
      <w:r w:rsidR="004417FF">
        <w:t>Nine</w:t>
      </w:r>
      <w:r w:rsidR="009D3DC8">
        <w:t xml:space="preserve"> per cent of submitters </w:t>
      </w:r>
      <w:r w:rsidR="00845646">
        <w:t xml:space="preserve">disagreed and </w:t>
      </w:r>
      <w:r w:rsidR="008C499E">
        <w:t>76</w:t>
      </w:r>
      <w:r w:rsidR="00C94A28">
        <w:t xml:space="preserve"> </w:t>
      </w:r>
      <w:r w:rsidR="00845646">
        <w:t xml:space="preserve">per cent of submitters either didn’t answer or were not explicit </w:t>
      </w:r>
      <w:r w:rsidR="00C94A28">
        <w:t xml:space="preserve">on whether they agreed with the </w:t>
      </w:r>
      <w:r w:rsidR="00662253">
        <w:t xml:space="preserve">five </w:t>
      </w:r>
      <w:r w:rsidR="00C94A28">
        <w:t xml:space="preserve">assessment criteria. </w:t>
      </w:r>
      <w:r w:rsidR="00E71CBF">
        <w:t xml:space="preserve">Some </w:t>
      </w:r>
      <w:r w:rsidR="00235629">
        <w:t xml:space="preserve">submitters may have agreed with some of the criteria </w:t>
      </w:r>
      <w:r w:rsidR="00825CD8">
        <w:t xml:space="preserve">or </w:t>
      </w:r>
      <w:r w:rsidR="00ED0A5D">
        <w:t>suggested</w:t>
      </w:r>
      <w:r w:rsidR="00825CD8">
        <w:t xml:space="preserve"> caveats or changes to a particular criterion. </w:t>
      </w:r>
    </w:p>
    <w:p w14:paraId="3128C245" w14:textId="24F3520B" w:rsidR="003E73D3" w:rsidRDefault="003E73D3" w:rsidP="003E73D3">
      <w:pPr>
        <w:pStyle w:val="BodyText"/>
      </w:pPr>
      <w:proofErr w:type="gramStart"/>
      <w:r>
        <w:t xml:space="preserve">A large </w:t>
      </w:r>
      <w:r w:rsidR="00D25773">
        <w:t xml:space="preserve">number </w:t>
      </w:r>
      <w:r>
        <w:t>of</w:t>
      </w:r>
      <w:proofErr w:type="gramEnd"/>
      <w:r>
        <w:t xml:space="preserve"> submitters used this section to communicate views unrelated to the policy criteria. These covered issues such as removing the NZ ETS entirely, stopping allocation, capping IA, </w:t>
      </w:r>
      <w:r w:rsidR="00370A99">
        <w:t>and</w:t>
      </w:r>
      <w:r>
        <w:t xml:space="preserve"> only allowing IA for industries with emissions reduction plans.</w:t>
      </w:r>
    </w:p>
    <w:p w14:paraId="0DDB3678" w14:textId="22AE9C12" w:rsidR="001B2CAA" w:rsidRDefault="001B2CAA" w:rsidP="001B2CAA">
      <w:pPr>
        <w:pStyle w:val="BodyText"/>
      </w:pPr>
      <w:r>
        <w:t>Pan Pac Forest Products Limited</w:t>
      </w:r>
      <w:r w:rsidR="005E214A">
        <w:t xml:space="preserve"> (Pan Pac)</w:t>
      </w:r>
      <w:r>
        <w:t>, N</w:t>
      </w:r>
      <w:r w:rsidR="0062552E">
        <w:t xml:space="preserve">ew </w:t>
      </w:r>
      <w:r>
        <w:t>Z</w:t>
      </w:r>
      <w:r w:rsidR="0062552E">
        <w:t>ealand</w:t>
      </w:r>
      <w:r>
        <w:t xml:space="preserve"> Steel</w:t>
      </w:r>
      <w:r w:rsidR="0062552E">
        <w:t xml:space="preserve"> (NZ Steel)</w:t>
      </w:r>
      <w:r>
        <w:t>, Winstone Pulp International</w:t>
      </w:r>
      <w:r w:rsidR="00541F1E">
        <w:t xml:space="preserve"> (WPI)</w:t>
      </w:r>
      <w:r>
        <w:t>, Evonik Peroxide Limited</w:t>
      </w:r>
      <w:r w:rsidR="000E6B62">
        <w:t xml:space="preserve"> (Evonik Peroxide)</w:t>
      </w:r>
      <w:r>
        <w:t>, Ballance Agri-Nutrients</w:t>
      </w:r>
      <w:r w:rsidR="00E601D6">
        <w:t xml:space="preserve"> Limited (Ballance</w:t>
      </w:r>
      <w:r w:rsidR="00651BCC">
        <w:t xml:space="preserve"> Agri-Nutrients</w:t>
      </w:r>
      <w:r w:rsidR="00E601D6">
        <w:t>)</w:t>
      </w:r>
      <w:r>
        <w:t xml:space="preserve">, </w:t>
      </w:r>
      <w:r w:rsidR="00825CD8">
        <w:t xml:space="preserve">a </w:t>
      </w:r>
      <w:r>
        <w:t xml:space="preserve">group of reconstituted </w:t>
      </w:r>
      <w:r w:rsidR="00A1350D">
        <w:t>w</w:t>
      </w:r>
      <w:r>
        <w:t>ood</w:t>
      </w:r>
      <w:r w:rsidR="00A1350D">
        <w:t xml:space="preserve"> </w:t>
      </w:r>
      <w:r>
        <w:t xml:space="preserve">panel </w:t>
      </w:r>
      <w:r w:rsidR="00291E33">
        <w:t>businesses</w:t>
      </w:r>
      <w:r w:rsidR="00952440">
        <w:t xml:space="preserve"> (RW</w:t>
      </w:r>
      <w:r w:rsidR="00F04963">
        <w:t>P</w:t>
      </w:r>
      <w:r w:rsidR="00952440">
        <w:t>S)</w:t>
      </w:r>
      <w:r w:rsidR="00F50B12">
        <w:rPr>
          <w:rStyle w:val="FootnoteReference"/>
        </w:rPr>
        <w:footnoteReference w:id="4"/>
      </w:r>
      <w:r>
        <w:t xml:space="preserve">, the Wood Processors </w:t>
      </w:r>
      <w:r w:rsidR="00BD7AFD">
        <w:t xml:space="preserve">and Manufacturers </w:t>
      </w:r>
      <w:r>
        <w:t>Association of NZ</w:t>
      </w:r>
      <w:r w:rsidR="003A3CFB">
        <w:t xml:space="preserve"> (WPMA)</w:t>
      </w:r>
      <w:r>
        <w:t xml:space="preserve">, Golden Bay Cement, </w:t>
      </w:r>
      <w:r w:rsidR="00825CD8">
        <w:t xml:space="preserve">and </w:t>
      </w:r>
      <w:r>
        <w:t xml:space="preserve">Graymont </w:t>
      </w:r>
      <w:r w:rsidR="001A1AB8">
        <w:t xml:space="preserve">either cautioned </w:t>
      </w:r>
      <w:r w:rsidR="00010EE2">
        <w:t xml:space="preserve">against </w:t>
      </w:r>
      <w:r>
        <w:t>the definition of over-allocation</w:t>
      </w:r>
      <w:r w:rsidR="00010EE2">
        <w:t xml:space="preserve"> used</w:t>
      </w:r>
      <w:r w:rsidR="00EB58DE">
        <w:t xml:space="preserve"> in the consultation document</w:t>
      </w:r>
      <w:r w:rsidR="00010EE2">
        <w:t xml:space="preserve"> or disagreed outright</w:t>
      </w:r>
      <w:r>
        <w:t>. They either noted that defining over</w:t>
      </w:r>
      <w:r w:rsidR="004F540B">
        <w:t>-</w:t>
      </w:r>
      <w:r>
        <w:t xml:space="preserve">allocation as greater than intended under the </w:t>
      </w:r>
      <w:r w:rsidR="00B1741A">
        <w:t>A</w:t>
      </w:r>
      <w:r>
        <w:t>ct is a circular argument</w:t>
      </w:r>
      <w:r w:rsidR="00B1741A">
        <w:t>,</w:t>
      </w:r>
      <w:r>
        <w:t xml:space="preserve"> </w:t>
      </w:r>
      <w:r w:rsidR="00D74DE9">
        <w:t xml:space="preserve">or that over-allocation </w:t>
      </w:r>
      <w:r w:rsidR="000E033B">
        <w:t>should be considered</w:t>
      </w:r>
      <w:r w:rsidR="00D74DE9">
        <w:t xml:space="preserve"> a return on investments to reduce emissions. Some proposed th</w:t>
      </w:r>
      <w:r w:rsidR="00D051F6">
        <w:t>at over-allocation should be defined as m</w:t>
      </w:r>
      <w:r>
        <w:t>ore emissions units than the direct and indirect emissions from the activity</w:t>
      </w:r>
      <w:r w:rsidR="00D051F6">
        <w:t xml:space="preserve">. </w:t>
      </w:r>
    </w:p>
    <w:p w14:paraId="12BCB01D" w14:textId="0BC5CC35" w:rsidR="00A61CD9" w:rsidRDefault="001114EF" w:rsidP="00A702FC">
      <w:pPr>
        <w:pStyle w:val="BodyText"/>
      </w:pPr>
      <w:r>
        <w:t>Three per cent of</w:t>
      </w:r>
      <w:r w:rsidR="00A61CD9">
        <w:t xml:space="preserve"> submitters</w:t>
      </w:r>
      <w:r w:rsidR="00F862F8">
        <w:t xml:space="preserve"> (individuals and ENGOs)</w:t>
      </w:r>
      <w:r w:rsidR="00A61CD9">
        <w:t xml:space="preserve"> </w:t>
      </w:r>
      <w:r w:rsidR="00113F01">
        <w:t>disagreed</w:t>
      </w:r>
      <w:r w:rsidR="00A61CD9">
        <w:t xml:space="preserve"> </w:t>
      </w:r>
      <w:r w:rsidR="00760156">
        <w:t xml:space="preserve">that </w:t>
      </w:r>
      <w:r w:rsidR="000E033B">
        <w:t xml:space="preserve">emissions </w:t>
      </w:r>
      <w:r w:rsidR="00A61CD9">
        <w:t>leakage ris</w:t>
      </w:r>
      <w:r w:rsidR="002F393E">
        <w:t>k exists</w:t>
      </w:r>
      <w:r w:rsidR="00D54B84">
        <w:t xml:space="preserve"> </w:t>
      </w:r>
      <w:r w:rsidR="00113F01">
        <w:t xml:space="preserve">or </w:t>
      </w:r>
      <w:r w:rsidR="00025301">
        <w:t xml:space="preserve">suggested </w:t>
      </w:r>
      <w:r w:rsidR="00113F01">
        <w:t>that it is over-stated</w:t>
      </w:r>
      <w:r w:rsidR="00FF6E3A">
        <w:t xml:space="preserve">. </w:t>
      </w:r>
      <w:r w:rsidR="005C6E04">
        <w:t>Many more stated that as more countries increase their climate ambition</w:t>
      </w:r>
      <w:r w:rsidR="00025301">
        <w:t>,</w:t>
      </w:r>
      <w:r w:rsidR="005C6E04">
        <w:t xml:space="preserve"> the argument of leakage will become less plausible. </w:t>
      </w:r>
    </w:p>
    <w:p w14:paraId="002E9E88" w14:textId="1512D103" w:rsidR="005C6E04" w:rsidRDefault="008E26C0" w:rsidP="00A702FC">
      <w:pPr>
        <w:pStyle w:val="BodyText"/>
      </w:pPr>
      <w:r>
        <w:lastRenderedPageBreak/>
        <w:t xml:space="preserve">Some </w:t>
      </w:r>
      <w:r w:rsidR="005C6E04">
        <w:t>submitters</w:t>
      </w:r>
      <w:r w:rsidR="00E87F61">
        <w:t>,</w:t>
      </w:r>
      <w:r w:rsidR="00F07F01">
        <w:t xml:space="preserve"> including Parents for Climate Aotearoa and Southland Forest and Bird</w:t>
      </w:r>
      <w:r w:rsidR="00EE2C04">
        <w:t xml:space="preserve"> Committee</w:t>
      </w:r>
      <w:r w:rsidR="00207D16">
        <w:t>,</w:t>
      </w:r>
      <w:r w:rsidR="005C6E04">
        <w:t xml:space="preserve"> suggested there needs to be </w:t>
      </w:r>
      <w:r w:rsidR="008A28A8">
        <w:t>an additional criterion that address</w:t>
      </w:r>
      <w:r w:rsidR="00025301">
        <w:t>es</w:t>
      </w:r>
      <w:r w:rsidR="008A28A8">
        <w:t xml:space="preserve"> fairness and climate justice. </w:t>
      </w:r>
    </w:p>
    <w:p w14:paraId="1816D356" w14:textId="455E7212" w:rsidR="00BA1B27" w:rsidRDefault="00FA70A0" w:rsidP="00A702FC">
      <w:pPr>
        <w:pStyle w:val="BodyText"/>
      </w:pPr>
      <w:r>
        <w:t xml:space="preserve">Some </w:t>
      </w:r>
      <w:r w:rsidR="00207D16">
        <w:t xml:space="preserve">specific </w:t>
      </w:r>
      <w:r>
        <w:t xml:space="preserve">points raised were: </w:t>
      </w:r>
    </w:p>
    <w:p w14:paraId="7BC83AA7" w14:textId="1FA62F77" w:rsidR="0029763F" w:rsidRDefault="0029763F" w:rsidP="00C4338C">
      <w:pPr>
        <w:pStyle w:val="Bullet"/>
      </w:pPr>
      <w:r>
        <w:t>Pan Pac</w:t>
      </w:r>
      <w:r w:rsidR="00690A2B">
        <w:t xml:space="preserve"> </w:t>
      </w:r>
      <w:r w:rsidR="009E3079">
        <w:t xml:space="preserve">would like to see an additional criterion on the economic contribution of </w:t>
      </w:r>
      <w:r w:rsidR="005D29EF">
        <w:t xml:space="preserve">EITE </w:t>
      </w:r>
      <w:r w:rsidR="0072525E">
        <w:t xml:space="preserve">industry to be consistent with the </w:t>
      </w:r>
      <w:r w:rsidR="00926570">
        <w:t>Act</w:t>
      </w:r>
    </w:p>
    <w:p w14:paraId="01B9DC89" w14:textId="199A350C" w:rsidR="00424A43" w:rsidRDefault="00424A43" w:rsidP="00C4338C">
      <w:pPr>
        <w:pStyle w:val="Bullet"/>
      </w:pPr>
      <w:r>
        <w:t xml:space="preserve">Holcim </w:t>
      </w:r>
      <w:r w:rsidR="00CA7C96">
        <w:t xml:space="preserve">New Zealand Limited (Holcim) </w:t>
      </w:r>
      <w:r>
        <w:t>agree</w:t>
      </w:r>
      <w:r w:rsidR="000F616D">
        <w:t>d</w:t>
      </w:r>
      <w:r>
        <w:t xml:space="preserve"> with all five criteria but note</w:t>
      </w:r>
      <w:r w:rsidR="000F616D">
        <w:t>d</w:t>
      </w:r>
      <w:r>
        <w:t xml:space="preserve"> that </w:t>
      </w:r>
      <w:r w:rsidR="00B261D8">
        <w:t>IA</w:t>
      </w:r>
      <w:r>
        <w:t xml:space="preserve"> fails on all, and that policy changes</w:t>
      </w:r>
      <w:r w:rsidR="00A10FD7">
        <w:t xml:space="preserve"> to </w:t>
      </w:r>
      <w:r w:rsidR="00B261D8">
        <w:t>IA</w:t>
      </w:r>
      <w:r>
        <w:t xml:space="preserve"> would not sufficiently address </w:t>
      </w:r>
      <w:r w:rsidR="000E740D">
        <w:t>New Zealand’s decarbonisation goals</w:t>
      </w:r>
    </w:p>
    <w:p w14:paraId="7A791592" w14:textId="4BF1D55D" w:rsidR="0075676E" w:rsidRDefault="0075676E" w:rsidP="00C4338C">
      <w:pPr>
        <w:pStyle w:val="Bullet"/>
      </w:pPr>
      <w:r>
        <w:t>Horticulture</w:t>
      </w:r>
      <w:r w:rsidR="00061A91">
        <w:t xml:space="preserve"> N</w:t>
      </w:r>
      <w:r w:rsidR="00D457EA">
        <w:t>ew Zealand</w:t>
      </w:r>
      <w:r w:rsidR="00760B38">
        <w:t xml:space="preserve"> (Horticulture NZ)</w:t>
      </w:r>
      <w:r>
        <w:t xml:space="preserve"> would like to see a criterion on food security and feasibility of transitioning</w:t>
      </w:r>
    </w:p>
    <w:p w14:paraId="4B35426D" w14:textId="3C1E60B6" w:rsidR="0075676E" w:rsidRDefault="0075676E" w:rsidP="00C4338C">
      <w:pPr>
        <w:pStyle w:val="Bullet"/>
      </w:pPr>
      <w:r>
        <w:t xml:space="preserve">NZ Steel proposed an additional criterion </w:t>
      </w:r>
      <w:r w:rsidR="00061A91">
        <w:t>considering</w:t>
      </w:r>
      <w:r>
        <w:t xml:space="preserve"> the risks of unintended or irreversible consequences</w:t>
      </w:r>
      <w:r w:rsidR="008E62DE">
        <w:t>,</w:t>
      </w:r>
      <w:r>
        <w:t xml:space="preserve"> such as productivity of sectors, skills, and employment. </w:t>
      </w:r>
    </w:p>
    <w:p w14:paraId="170D71D7" w14:textId="32888715" w:rsidR="00E508E1" w:rsidRDefault="002F634E" w:rsidP="00E508E1">
      <w:pPr>
        <w:pStyle w:val="Heading1"/>
        <w:rPr>
          <w:rStyle w:val="Heading1Char"/>
          <w:b/>
          <w:bCs/>
        </w:rPr>
      </w:pPr>
      <w:r>
        <w:br w:type="page"/>
      </w:r>
      <w:bookmarkStart w:id="11" w:name="_Toc95731389"/>
      <w:r w:rsidR="00E508E1">
        <w:rPr>
          <w:rStyle w:val="Heading1Char"/>
          <w:b/>
          <w:bCs/>
        </w:rPr>
        <w:lastRenderedPageBreak/>
        <w:t>Allocation calculations</w:t>
      </w:r>
      <w:bookmarkEnd w:id="11"/>
    </w:p>
    <w:p w14:paraId="67C7DC70" w14:textId="17933FFB" w:rsidR="00AA0D9D" w:rsidRDefault="00AA0D9D" w:rsidP="00AA0D9D">
      <w:pPr>
        <w:pStyle w:val="BodyText"/>
      </w:pPr>
      <w:r>
        <w:t>The consultation document identifies allocative baselines derived from decade</w:t>
      </w:r>
      <w:r w:rsidR="00BC6F24">
        <w:t>-</w:t>
      </w:r>
      <w:r>
        <w:t xml:space="preserve">old data as the main cause of over-allocation. </w:t>
      </w:r>
      <w:r w:rsidR="00B235BC">
        <w:t>Feedback was sought on</w:t>
      </w:r>
      <w:r>
        <w:t xml:space="preserve"> whether these baselines should be updated to reflect</w:t>
      </w:r>
      <w:r w:rsidR="00B235BC">
        <w:t xml:space="preserve"> recent </w:t>
      </w:r>
      <w:r>
        <w:t>emissions intensit</w:t>
      </w:r>
      <w:r w:rsidR="001A2AF3">
        <w:t>y</w:t>
      </w:r>
      <w:r>
        <w:t xml:space="preserve"> </w:t>
      </w:r>
      <w:r w:rsidR="00B235BC">
        <w:t xml:space="preserve">trends. </w:t>
      </w:r>
      <w:r w:rsidR="0062421D">
        <w:t>Feedback was also sought on how often it would be appropriate</w:t>
      </w:r>
      <w:r w:rsidR="00112E0D">
        <w:t xml:space="preserve"> </w:t>
      </w:r>
      <w:r w:rsidR="00B235BC">
        <w:t>up</w:t>
      </w:r>
      <w:r w:rsidR="00157779">
        <w:t xml:space="preserve">date allocative baselines, and what </w:t>
      </w:r>
      <w:r w:rsidR="001A2AF3">
        <w:t xml:space="preserve">years </w:t>
      </w:r>
      <w:r w:rsidR="00157779">
        <w:t>would be</w:t>
      </w:r>
      <w:r w:rsidR="001A2AF3">
        <w:t xml:space="preserve"> most appropriate</w:t>
      </w:r>
      <w:r w:rsidR="002340FC">
        <w:t xml:space="preserve"> for a first update. </w:t>
      </w:r>
    </w:p>
    <w:p w14:paraId="7336F2A7" w14:textId="6ED8B653" w:rsidR="004D4FB2" w:rsidRPr="00EE3825" w:rsidRDefault="005918EF" w:rsidP="004B5961">
      <w:pPr>
        <w:pStyle w:val="Bodytextbold"/>
      </w:pPr>
      <w:r>
        <w:t xml:space="preserve">Question 2: </w:t>
      </w:r>
      <w:r w:rsidR="004D4FB2" w:rsidRPr="00EE3825">
        <w:t xml:space="preserve">Should allocative baselines be updated using new base years? </w:t>
      </w:r>
    </w:p>
    <w:p w14:paraId="3D614B90" w14:textId="2A2D907F" w:rsidR="00DF213A" w:rsidRDefault="003809B6" w:rsidP="008A3011">
      <w:pPr>
        <w:pStyle w:val="BodyText"/>
      </w:pPr>
      <w:r>
        <w:t>Thirty-two</w:t>
      </w:r>
      <w:r w:rsidR="009D6A6C">
        <w:t xml:space="preserve"> per cent of submitters </w:t>
      </w:r>
      <w:r w:rsidR="00583F0D">
        <w:t>agreed</w:t>
      </w:r>
      <w:r w:rsidR="009D6A6C">
        <w:t xml:space="preserve"> allocative baselines should be updated using new base years</w:t>
      </w:r>
      <w:r w:rsidR="005A6BFB">
        <w:t xml:space="preserve">. </w:t>
      </w:r>
      <w:r w:rsidR="00B9368C">
        <w:t>Some of</w:t>
      </w:r>
      <w:r w:rsidR="00AD79BD">
        <w:t xml:space="preserve"> these</w:t>
      </w:r>
      <w:r w:rsidR="005A6BFB">
        <w:t xml:space="preserve"> </w:t>
      </w:r>
      <w:r w:rsidR="00D3429B">
        <w:t>mentioned that if</w:t>
      </w:r>
      <w:r w:rsidR="00954E86">
        <w:t xml:space="preserve"> baselines </w:t>
      </w:r>
      <w:r w:rsidR="00D3429B">
        <w:t>were</w:t>
      </w:r>
      <w:r w:rsidR="00954E86">
        <w:t xml:space="preserve"> updated</w:t>
      </w:r>
      <w:r w:rsidR="0016513B">
        <w:t>,</w:t>
      </w:r>
      <w:r w:rsidR="007B2849">
        <w:t xml:space="preserve"> it </w:t>
      </w:r>
      <w:r w:rsidR="00B07D32">
        <w:t>is important to ensure investments are not undermined</w:t>
      </w:r>
      <w:r w:rsidR="009D6A6C">
        <w:t>.</w:t>
      </w:r>
      <w:r w:rsidR="00572859">
        <w:t xml:space="preserve"> </w:t>
      </w:r>
      <w:r w:rsidR="00036B74">
        <w:t>Seven</w:t>
      </w:r>
      <w:r w:rsidR="00572859">
        <w:t xml:space="preserve"> per cent thought </w:t>
      </w:r>
      <w:r w:rsidR="0034671A">
        <w:t>an update</w:t>
      </w:r>
      <w:r w:rsidR="00103C0B">
        <w:t xml:space="preserve"> should not occur</w:t>
      </w:r>
      <w:r w:rsidR="008F4911">
        <w:t xml:space="preserve"> </w:t>
      </w:r>
      <w:r w:rsidR="0034671A">
        <w:t>– p</w:t>
      </w:r>
      <w:r w:rsidR="00036B74">
        <w:t xml:space="preserve">redominantly because it would undermine investments already made </w:t>
      </w:r>
      <w:r w:rsidR="0034671A">
        <w:t>to reduce emissions</w:t>
      </w:r>
      <w:r w:rsidR="0016513B">
        <w:t>,</w:t>
      </w:r>
      <w:r w:rsidR="0034671A">
        <w:t xml:space="preserve"> </w:t>
      </w:r>
      <w:r w:rsidR="00036B74">
        <w:t xml:space="preserve">and </w:t>
      </w:r>
      <w:r w:rsidR="00F36EA1">
        <w:t>disincentivise future investments.</w:t>
      </w:r>
      <w:r w:rsidR="00B872D9">
        <w:t xml:space="preserve"> Some of these submitters were also concerned about the potential overlap </w:t>
      </w:r>
      <w:r w:rsidR="00EF796B">
        <w:t>of updating allocative baselines and</w:t>
      </w:r>
      <w:r w:rsidR="00633461">
        <w:t xml:space="preserve"> increases in </w:t>
      </w:r>
      <w:r w:rsidR="00EF796B">
        <w:t>the phase-out</w:t>
      </w:r>
      <w:r w:rsidR="00633461">
        <w:t xml:space="preserve"> rate which could be occur</w:t>
      </w:r>
      <w:r w:rsidR="0016513B">
        <w:t>ring</w:t>
      </w:r>
      <w:r w:rsidR="00633461">
        <w:t xml:space="preserve"> in the future</w:t>
      </w:r>
      <w:r w:rsidR="00EF796B">
        <w:t xml:space="preserve">. </w:t>
      </w:r>
    </w:p>
    <w:p w14:paraId="64037D9F" w14:textId="6F6E9241" w:rsidR="004E5997" w:rsidRDefault="003809B6" w:rsidP="008A3011">
      <w:pPr>
        <w:pStyle w:val="BodyText"/>
      </w:pPr>
      <w:r>
        <w:t>Sixty-one</w:t>
      </w:r>
      <w:r w:rsidR="00134D4D">
        <w:t xml:space="preserve"> per cent </w:t>
      </w:r>
      <w:r w:rsidR="00926CCA">
        <w:t xml:space="preserve">of submitters </w:t>
      </w:r>
      <w:r w:rsidR="00134D4D">
        <w:t xml:space="preserve">either didn’t answer or were not explicit </w:t>
      </w:r>
      <w:r w:rsidR="0016513B">
        <w:t xml:space="preserve">about </w:t>
      </w:r>
      <w:r w:rsidR="00596585">
        <w:t>whether they agreed baselines should be updated</w:t>
      </w:r>
      <w:r w:rsidR="00134D4D">
        <w:t xml:space="preserve">. </w:t>
      </w:r>
      <w:r w:rsidR="0033112D">
        <w:t xml:space="preserve">Of the </w:t>
      </w:r>
      <w:r w:rsidR="00B413F2">
        <w:t xml:space="preserve">submitters </w:t>
      </w:r>
      <w:r w:rsidR="00201BE8">
        <w:t>that</w:t>
      </w:r>
      <w:r w:rsidR="00B413F2">
        <w:t xml:space="preserve"> did not specif</w:t>
      </w:r>
      <w:r w:rsidR="00A97237">
        <w:t>ically</w:t>
      </w:r>
      <w:r w:rsidR="00B413F2">
        <w:t xml:space="preserve"> answer</w:t>
      </w:r>
      <w:r w:rsidR="00A97237">
        <w:t xml:space="preserve"> this question</w:t>
      </w:r>
      <w:r w:rsidR="0016513B">
        <w:t>,</w:t>
      </w:r>
      <w:r w:rsidR="00B413F2">
        <w:t xml:space="preserve"> the vast majority </w:t>
      </w:r>
      <w:r w:rsidR="00DF213A">
        <w:t xml:space="preserve">opposed </w:t>
      </w:r>
      <w:r w:rsidR="00B413F2">
        <w:t xml:space="preserve">allocations </w:t>
      </w:r>
      <w:r w:rsidR="00FE4411">
        <w:t>altogether</w:t>
      </w:r>
      <w:r w:rsidR="00C37432">
        <w:t xml:space="preserve"> or </w:t>
      </w:r>
      <w:r w:rsidR="00C8066A">
        <w:t>th</w:t>
      </w:r>
      <w:r w:rsidR="00110BC6">
        <w:t>ought</w:t>
      </w:r>
      <w:r w:rsidR="00C37432">
        <w:t xml:space="preserve"> that all allocations need to be phased out </w:t>
      </w:r>
      <w:r w:rsidR="00D216D2">
        <w:t>by 2030</w:t>
      </w:r>
      <w:r w:rsidR="00FE4411">
        <w:t xml:space="preserve">. </w:t>
      </w:r>
      <w:r w:rsidR="00E65146">
        <w:t xml:space="preserve">Many submitters </w:t>
      </w:r>
      <w:r w:rsidR="00475D3A">
        <w:t xml:space="preserve">agreed with the Ministry’s position that </w:t>
      </w:r>
      <w:r w:rsidR="00DF4538">
        <w:t>windfall gains to EITEs is inappropriate and t</w:t>
      </w:r>
      <w:r w:rsidR="007E48CC">
        <w:t xml:space="preserve">hat there is no evidence </w:t>
      </w:r>
      <w:r w:rsidR="001969A9">
        <w:t xml:space="preserve">that </w:t>
      </w:r>
      <w:r w:rsidR="007E48CC">
        <w:t>over-allocated industries have ‘specifically’ utilised allocation</w:t>
      </w:r>
      <w:r w:rsidR="00F02FA5">
        <w:t>s</w:t>
      </w:r>
      <w:r w:rsidR="007E48CC">
        <w:t xml:space="preserve"> to invest </w:t>
      </w:r>
      <w:r w:rsidR="0097304F">
        <w:t xml:space="preserve">in emissions reductions. </w:t>
      </w:r>
      <w:r w:rsidR="00852ED8">
        <w:t xml:space="preserve">Of the 12 </w:t>
      </w:r>
      <w:r w:rsidR="004C44DE">
        <w:t>EITE industries</w:t>
      </w:r>
      <w:r w:rsidR="00635BE0">
        <w:t xml:space="preserve"> that receive IA</w:t>
      </w:r>
      <w:r w:rsidR="004C44DE">
        <w:t xml:space="preserve"> </w:t>
      </w:r>
      <w:r w:rsidR="00635BE0">
        <w:t>and</w:t>
      </w:r>
      <w:r w:rsidR="00E04747">
        <w:t xml:space="preserve"> </w:t>
      </w:r>
      <w:r w:rsidR="00047B29">
        <w:t>submitted</w:t>
      </w:r>
      <w:r w:rsidR="0016513B">
        <w:t>,</w:t>
      </w:r>
      <w:r w:rsidR="00047B29">
        <w:t xml:space="preserve"> six of them agreed that allocative baselines should be updated with new base years</w:t>
      </w:r>
      <w:r w:rsidR="006B6F19">
        <w:t xml:space="preserve"> – including N</w:t>
      </w:r>
      <w:r w:rsidR="0062552E">
        <w:t>Z</w:t>
      </w:r>
      <w:r w:rsidR="006B6F19">
        <w:t xml:space="preserve"> Steel and Methanex</w:t>
      </w:r>
      <w:r w:rsidR="004B4F6D">
        <w:t>,</w:t>
      </w:r>
      <w:r w:rsidR="006B6F19">
        <w:t xml:space="preserve"> </w:t>
      </w:r>
      <w:r w:rsidR="00111B96">
        <w:t>wh</w:t>
      </w:r>
      <w:r w:rsidR="004B4F6D">
        <w:t>ich</w:t>
      </w:r>
      <w:r w:rsidR="00111B96">
        <w:t xml:space="preserve"> account for over 40 per cent of </w:t>
      </w:r>
      <w:r w:rsidR="0072101C">
        <w:t>allocations.</w:t>
      </w:r>
      <w:r w:rsidR="003D4904">
        <w:t xml:space="preserve"> </w:t>
      </w:r>
    </w:p>
    <w:p w14:paraId="7D57C324" w14:textId="0E52A84C" w:rsidR="00CA4B17" w:rsidRDefault="005918EF" w:rsidP="004B5961">
      <w:pPr>
        <w:pStyle w:val="Bodytextbold"/>
      </w:pPr>
      <w:bookmarkStart w:id="12" w:name="_Hlk94187823"/>
      <w:r>
        <w:t xml:space="preserve">Question </w:t>
      </w:r>
      <w:bookmarkEnd w:id="12"/>
      <w:r>
        <w:t xml:space="preserve">3: </w:t>
      </w:r>
      <w:r w:rsidR="00CA4B17" w:rsidRPr="00CA4B17">
        <w:t xml:space="preserve">Should the reassessment be a one-off update, or a periodic update? </w:t>
      </w:r>
    </w:p>
    <w:p w14:paraId="39BFFDF6" w14:textId="4537F75D" w:rsidR="005B38C4" w:rsidRDefault="00937891" w:rsidP="008A3011">
      <w:pPr>
        <w:pStyle w:val="BodyText"/>
      </w:pPr>
      <w:r w:rsidRPr="004136BC">
        <w:t>Many</w:t>
      </w:r>
      <w:r w:rsidR="003E58B7" w:rsidRPr="007F7A16">
        <w:t xml:space="preserve"> </w:t>
      </w:r>
      <w:r w:rsidR="002264A9" w:rsidRPr="007F7A16">
        <w:t>submitters</w:t>
      </w:r>
      <w:r w:rsidR="003E58B7" w:rsidRPr="007F7A16">
        <w:t xml:space="preserve"> (32 per cent) supported</w:t>
      </w:r>
      <w:r w:rsidR="003E58B7">
        <w:t xml:space="preserve"> periodic updates</w:t>
      </w:r>
      <w:r w:rsidR="00146F4F">
        <w:t xml:space="preserve"> of allocative baselines</w:t>
      </w:r>
      <w:r w:rsidR="003E58B7">
        <w:t xml:space="preserve">, </w:t>
      </w:r>
      <w:r w:rsidR="002264A9">
        <w:t>while</w:t>
      </w:r>
      <w:r w:rsidR="003E58B7">
        <w:t xml:space="preserve"> a small </w:t>
      </w:r>
      <w:r w:rsidR="002264A9">
        <w:t xml:space="preserve">minority favoured </w:t>
      </w:r>
      <w:r w:rsidR="007740CF">
        <w:t xml:space="preserve">a </w:t>
      </w:r>
      <w:r w:rsidR="002264A9">
        <w:t>one-off reassessment (</w:t>
      </w:r>
      <w:r w:rsidR="00D66702">
        <w:t>two</w:t>
      </w:r>
      <w:r w:rsidR="002264A9">
        <w:t xml:space="preserve"> per cent). </w:t>
      </w:r>
      <w:r w:rsidR="00D34EA1">
        <w:t xml:space="preserve">The remaining submitters either did not answer or were not explicit in their answer. </w:t>
      </w:r>
      <w:r w:rsidR="00525F8A">
        <w:t>Of the submitters who</w:t>
      </w:r>
      <w:r w:rsidR="00103BA9">
        <w:t xml:space="preserve"> favoured a</w:t>
      </w:r>
      <w:r w:rsidR="00525F8A">
        <w:t xml:space="preserve"> </w:t>
      </w:r>
      <w:r w:rsidR="00387274">
        <w:t>one-off</w:t>
      </w:r>
      <w:r w:rsidR="00525F8A">
        <w:t xml:space="preserve"> reassessment, the majority cited business certainty as the predominant </w:t>
      </w:r>
      <w:r w:rsidR="00103BA9">
        <w:t>factor</w:t>
      </w:r>
      <w:r w:rsidR="00D21E84">
        <w:t xml:space="preserve">. </w:t>
      </w:r>
      <w:r w:rsidR="009B0C0B">
        <w:t>A</w:t>
      </w:r>
      <w:r w:rsidR="00103BA9">
        <w:t xml:space="preserve"> couple of</w:t>
      </w:r>
      <w:r w:rsidR="00D21E84">
        <w:t xml:space="preserve"> submitter</w:t>
      </w:r>
      <w:r w:rsidR="00103BA9">
        <w:t>s</w:t>
      </w:r>
      <w:r w:rsidR="00D21E84">
        <w:t xml:space="preserve"> indicated that a one-off reassessment </w:t>
      </w:r>
      <w:r w:rsidR="00387274">
        <w:t xml:space="preserve">might </w:t>
      </w:r>
      <w:r w:rsidR="00D21E84">
        <w:t xml:space="preserve">cause even more uncertainty than </w:t>
      </w:r>
      <w:r w:rsidR="00864987">
        <w:t xml:space="preserve">a periodic reassessment as it </w:t>
      </w:r>
      <w:r w:rsidR="005203A7">
        <w:t>c</w:t>
      </w:r>
      <w:r w:rsidR="00864987">
        <w:t>ould lead to ad-hoc</w:t>
      </w:r>
      <w:r w:rsidR="00387274">
        <w:t xml:space="preserve"> </w:t>
      </w:r>
      <w:r w:rsidR="001416D4">
        <w:t>g</w:t>
      </w:r>
      <w:r w:rsidR="00387274">
        <w:t>overnment</w:t>
      </w:r>
      <w:r w:rsidR="00864987">
        <w:t xml:space="preserve"> interventions. </w:t>
      </w:r>
      <w:r w:rsidR="004B64FE">
        <w:t xml:space="preserve">The </w:t>
      </w:r>
      <w:r w:rsidR="008B23C8">
        <w:t>Carbon Shop</w:t>
      </w:r>
      <w:r w:rsidR="004B64FE">
        <w:t xml:space="preserve"> Ltd</w:t>
      </w:r>
      <w:r w:rsidR="008B23C8">
        <w:t xml:space="preserve"> indicated the </w:t>
      </w:r>
      <w:r w:rsidR="00832B5B">
        <w:t>need for periodic assessment due to changes in</w:t>
      </w:r>
      <w:r w:rsidR="0025190D">
        <w:t xml:space="preserve"> activity profile. </w:t>
      </w:r>
    </w:p>
    <w:p w14:paraId="7504B5C7" w14:textId="78395DC1" w:rsidR="00CA2169" w:rsidRDefault="005918EF" w:rsidP="004B5961">
      <w:pPr>
        <w:pStyle w:val="Bodytextbold"/>
      </w:pPr>
      <w:r>
        <w:t xml:space="preserve">Question 4: </w:t>
      </w:r>
      <w:r w:rsidR="00CA2169" w:rsidRPr="00CA2169">
        <w:t xml:space="preserve">If periodic reassessment is legislated, what would be an appropriate period – every year, 5 years, 10 years, or something else? </w:t>
      </w:r>
    </w:p>
    <w:p w14:paraId="13C2CB29" w14:textId="1AB03F7D" w:rsidR="00F734FF" w:rsidRDefault="00133743" w:rsidP="008A3011">
      <w:pPr>
        <w:pStyle w:val="BodyText"/>
      </w:pPr>
      <w:r>
        <w:t xml:space="preserve">If a periodic reassessment were to be legislated, </w:t>
      </w:r>
      <w:r w:rsidR="000E57A9">
        <w:t>20 per</w:t>
      </w:r>
      <w:r w:rsidR="00D96D2A">
        <w:t xml:space="preserve"> </w:t>
      </w:r>
      <w:r w:rsidR="000E57A9">
        <w:t xml:space="preserve">cent </w:t>
      </w:r>
      <w:r w:rsidR="00ED7686">
        <w:t xml:space="preserve">of submitters </w:t>
      </w:r>
      <w:r w:rsidR="000E57A9">
        <w:t>thought this should be</w:t>
      </w:r>
      <w:r w:rsidR="0033035F">
        <w:t xml:space="preserve"> </w:t>
      </w:r>
      <w:r w:rsidR="00103BA9">
        <w:t>undertaken</w:t>
      </w:r>
      <w:r w:rsidR="000E57A9">
        <w:t xml:space="preserve"> annually</w:t>
      </w:r>
      <w:r w:rsidR="000E173F">
        <w:t xml:space="preserve">. </w:t>
      </w:r>
      <w:r w:rsidR="0033035F">
        <w:t>Generally,</w:t>
      </w:r>
      <w:r w:rsidR="000E173F">
        <w:t xml:space="preserve"> these submitters wanted to see allocations completely phased out by 2030</w:t>
      </w:r>
      <w:r w:rsidR="006A694C">
        <w:t>. Six</w:t>
      </w:r>
      <w:r w:rsidR="000E57A9">
        <w:t xml:space="preserve"> percent though</w:t>
      </w:r>
      <w:r w:rsidR="00D951F0">
        <w:t>t</w:t>
      </w:r>
      <w:r w:rsidR="000E57A9">
        <w:t xml:space="preserve"> </w:t>
      </w:r>
      <w:r w:rsidR="0033035F">
        <w:t xml:space="preserve">a periodic update </w:t>
      </w:r>
      <w:r w:rsidR="00C652C6">
        <w:t xml:space="preserve">to the </w:t>
      </w:r>
      <w:r w:rsidR="00FE2F99">
        <w:t>baseline</w:t>
      </w:r>
      <w:r w:rsidR="00C652C6">
        <w:t xml:space="preserve"> years should be</w:t>
      </w:r>
      <w:r w:rsidR="000E57A9">
        <w:t xml:space="preserve"> </w:t>
      </w:r>
      <w:r w:rsidR="00D951F0">
        <w:t>ever</w:t>
      </w:r>
      <w:r w:rsidR="00C652C6">
        <w:t>y</w:t>
      </w:r>
      <w:r w:rsidR="00D951F0">
        <w:t xml:space="preserve"> </w:t>
      </w:r>
      <w:r w:rsidR="003B4485">
        <w:t>five</w:t>
      </w:r>
      <w:r w:rsidR="00D951F0">
        <w:t xml:space="preserve"> years</w:t>
      </w:r>
      <w:r w:rsidR="00447C0F">
        <w:t xml:space="preserve"> as this provide</w:t>
      </w:r>
      <w:r w:rsidR="00FE2F99">
        <w:t>s</w:t>
      </w:r>
      <w:r w:rsidR="00447C0F">
        <w:t xml:space="preserve"> a good balance between investment certainty</w:t>
      </w:r>
      <w:r w:rsidR="006468D7">
        <w:t xml:space="preserve"> and over-allocation risk.</w:t>
      </w:r>
      <w:r w:rsidR="00FE2F99">
        <w:t xml:space="preserve"> Others </w:t>
      </w:r>
      <w:r w:rsidR="00320082">
        <w:t xml:space="preserve">favoured a </w:t>
      </w:r>
      <w:r w:rsidR="00072DB0">
        <w:t>five-year</w:t>
      </w:r>
      <w:r w:rsidR="00320082">
        <w:t xml:space="preserve"> period as it</w:t>
      </w:r>
      <w:r w:rsidR="00B437B6">
        <w:t xml:space="preserve"> </w:t>
      </w:r>
      <w:r w:rsidR="009D1ACD">
        <w:t>balanced administration costs with the need for data accuracy</w:t>
      </w:r>
      <w:r w:rsidR="00612124">
        <w:t>. It was also observed</w:t>
      </w:r>
      <w:r w:rsidR="005A1E3D">
        <w:t xml:space="preserve"> by some submitters</w:t>
      </w:r>
      <w:r w:rsidR="00612124">
        <w:t xml:space="preserve"> that </w:t>
      </w:r>
      <w:r w:rsidR="00734E8F">
        <w:t xml:space="preserve">five years aligns with </w:t>
      </w:r>
      <w:r w:rsidR="001B11DE">
        <w:t xml:space="preserve">New Zealand’s </w:t>
      </w:r>
      <w:r w:rsidR="00734E8F">
        <w:t>emissions budgets</w:t>
      </w:r>
      <w:r w:rsidR="001B11DE">
        <w:t xml:space="preserve"> set under the Zero Carbon Act</w:t>
      </w:r>
      <w:r w:rsidR="00734E8F">
        <w:t xml:space="preserve">. </w:t>
      </w:r>
    </w:p>
    <w:p w14:paraId="154C49D1" w14:textId="76806776" w:rsidR="0042428B" w:rsidRDefault="009D1ACD" w:rsidP="008A3011">
      <w:pPr>
        <w:pStyle w:val="BodyText"/>
      </w:pPr>
      <w:r>
        <w:t>Five</w:t>
      </w:r>
      <w:r w:rsidR="00D951F0">
        <w:t xml:space="preserve"> per</w:t>
      </w:r>
      <w:r w:rsidR="00D96D2A">
        <w:t xml:space="preserve"> </w:t>
      </w:r>
      <w:r w:rsidR="00D951F0">
        <w:t xml:space="preserve">cent thought it should be </w:t>
      </w:r>
      <w:r w:rsidR="00B345AF">
        <w:t>every 10 years</w:t>
      </w:r>
      <w:r w:rsidR="00F734FF">
        <w:t>,</w:t>
      </w:r>
      <w:r w:rsidR="0011238C">
        <w:t xml:space="preserve"> cit</w:t>
      </w:r>
      <w:r w:rsidR="00F734FF">
        <w:t>ing</w:t>
      </w:r>
      <w:r w:rsidR="0011238C">
        <w:t xml:space="preserve"> the need for business investment certainty. </w:t>
      </w:r>
      <w:r w:rsidR="00F5160B">
        <w:t>Another f</w:t>
      </w:r>
      <w:r w:rsidR="0011238C">
        <w:t>ive</w:t>
      </w:r>
      <w:r w:rsidR="00B345AF">
        <w:t xml:space="preserve"> per cent though</w:t>
      </w:r>
      <w:r w:rsidR="00E220B8">
        <w:t>t</w:t>
      </w:r>
      <w:r w:rsidR="00B345AF">
        <w:t xml:space="preserve"> it should be some other period, </w:t>
      </w:r>
      <w:r w:rsidR="00F5160B">
        <w:t>while</w:t>
      </w:r>
      <w:r w:rsidR="00B345AF">
        <w:t xml:space="preserve"> 65 per cent </w:t>
      </w:r>
      <w:r w:rsidR="00B345AF">
        <w:lastRenderedPageBreak/>
        <w:t xml:space="preserve">either didn’t answer or </w:t>
      </w:r>
      <w:r w:rsidR="0042428B">
        <w:t xml:space="preserve">were not explicit in their answer. Of the submitters who indicated some </w:t>
      </w:r>
      <w:r w:rsidR="00734E8F">
        <w:t>‘</w:t>
      </w:r>
      <w:r w:rsidR="0042428B">
        <w:t>other period</w:t>
      </w:r>
      <w:r w:rsidR="00734E8F">
        <w:t>’</w:t>
      </w:r>
      <w:r w:rsidR="00486AF7">
        <w:t xml:space="preserve"> </w:t>
      </w:r>
      <w:r w:rsidR="006B44A3">
        <w:t xml:space="preserve">to update allocative baselines, </w:t>
      </w:r>
      <w:r w:rsidR="00734E8F">
        <w:t>the vast majority</w:t>
      </w:r>
      <w:r w:rsidR="00486AF7">
        <w:t xml:space="preserve"> though</w:t>
      </w:r>
      <w:r w:rsidR="00D216D2">
        <w:t>t</w:t>
      </w:r>
      <w:r w:rsidR="00486AF7">
        <w:t xml:space="preserve"> greater than </w:t>
      </w:r>
      <w:r w:rsidR="00B64D0A">
        <w:t xml:space="preserve">10 years was </w:t>
      </w:r>
      <w:r w:rsidR="00461552">
        <w:t>needed,</w:t>
      </w:r>
      <w:r w:rsidR="00B64D0A">
        <w:t xml:space="preserve"> and many said 15 </w:t>
      </w:r>
      <w:r w:rsidR="00734E8F">
        <w:t xml:space="preserve">years or more </w:t>
      </w:r>
      <w:r w:rsidR="00B64D0A">
        <w:t>would be appropriate</w:t>
      </w:r>
      <w:r w:rsidR="008E4C0B">
        <w:t xml:space="preserve"> as </w:t>
      </w:r>
      <w:r w:rsidR="005B1F14">
        <w:t xml:space="preserve">this </w:t>
      </w:r>
      <w:r w:rsidR="006B44A3">
        <w:t>longer timeframe</w:t>
      </w:r>
      <w:r w:rsidR="005B1F14">
        <w:t xml:space="preserve"> aligned with their investment cycles</w:t>
      </w:r>
      <w:r w:rsidR="00B64D0A">
        <w:t xml:space="preserve">. </w:t>
      </w:r>
      <w:r w:rsidR="001B7298">
        <w:t>Two submitters said that updat</w:t>
      </w:r>
      <w:r w:rsidR="00734E8F">
        <w:t>es</w:t>
      </w:r>
      <w:r w:rsidR="001B7298">
        <w:t xml:space="preserve"> should be every </w:t>
      </w:r>
      <w:r w:rsidR="007740CF">
        <w:t>two</w:t>
      </w:r>
      <w:r w:rsidR="001B7298">
        <w:t xml:space="preserve"> years. </w:t>
      </w:r>
    </w:p>
    <w:p w14:paraId="4633281A" w14:textId="370E1DE4" w:rsidR="00AE7CC4" w:rsidRDefault="00D11D35" w:rsidP="008A3011">
      <w:pPr>
        <w:pStyle w:val="BodyText"/>
      </w:pPr>
      <w:r>
        <w:t xml:space="preserve">A few submissions </w:t>
      </w:r>
      <w:r w:rsidR="00181AE3">
        <w:t xml:space="preserve">mentioned that some firms should be allowed to defer the periodic reassessment if it were to coincide with an investment </w:t>
      </w:r>
      <w:r w:rsidR="00266DBE">
        <w:t>decision</w:t>
      </w:r>
      <w:r w:rsidR="00D926ED">
        <w:t xml:space="preserve">. </w:t>
      </w:r>
      <w:r w:rsidR="00972917">
        <w:t>Additionally,</w:t>
      </w:r>
      <w:r w:rsidR="00D926ED">
        <w:t xml:space="preserve"> a few submitters were worried </w:t>
      </w:r>
      <w:r w:rsidR="00B02910">
        <w:t>that</w:t>
      </w:r>
      <w:r w:rsidR="00D926ED">
        <w:t xml:space="preserve"> </w:t>
      </w:r>
      <w:r w:rsidR="00266DBE">
        <w:t xml:space="preserve">periodic reassessments </w:t>
      </w:r>
      <w:r w:rsidR="00B02910">
        <w:t>of alloc</w:t>
      </w:r>
      <w:r w:rsidR="008D2A5E">
        <w:t xml:space="preserve">ative baselines </w:t>
      </w:r>
      <w:r w:rsidR="00266DBE">
        <w:t xml:space="preserve">and the Climate Change Commission’s ability to recommend increased phase-out rates might double </w:t>
      </w:r>
      <w:r w:rsidR="00605597">
        <w:t xml:space="preserve">up a reduction in allocation. </w:t>
      </w:r>
    </w:p>
    <w:p w14:paraId="0FDB35A2" w14:textId="7935C81F" w:rsidR="00461552" w:rsidRDefault="005918EF" w:rsidP="004B5961">
      <w:pPr>
        <w:pStyle w:val="Bodytextbold"/>
      </w:pPr>
      <w:r>
        <w:t xml:space="preserve">Question 5: </w:t>
      </w:r>
      <w:r w:rsidR="00461552" w:rsidRPr="00461552">
        <w:t xml:space="preserve">Do you agree the financial years 2016/17, 2017/18 and 2018/19 should be used as new base years to update allocative baselines? </w:t>
      </w:r>
    </w:p>
    <w:p w14:paraId="75D7D47A" w14:textId="47689C13" w:rsidR="00361E47" w:rsidRDefault="00944B51" w:rsidP="008A3011">
      <w:pPr>
        <w:pStyle w:val="BodyText"/>
      </w:pPr>
      <w:r>
        <w:t>Twenty</w:t>
      </w:r>
      <w:r w:rsidR="00E15DCF">
        <w:t>-two</w:t>
      </w:r>
      <w:r w:rsidR="00462612">
        <w:t xml:space="preserve"> per cent of submitters disagreed that the </w:t>
      </w:r>
      <w:r w:rsidR="00ED462E">
        <w:t>financial years 2016/17, 2017/18 and 2018/19 should be used as new base years</w:t>
      </w:r>
      <w:r w:rsidR="008E5BA3">
        <w:t xml:space="preserve"> to calculate allocative baselines. </w:t>
      </w:r>
      <w:r w:rsidR="004517C4">
        <w:t>Almost all these submitters</w:t>
      </w:r>
      <w:r w:rsidR="002A1537">
        <w:t xml:space="preserve"> reasoned that </w:t>
      </w:r>
      <w:r w:rsidR="0046598F">
        <w:t>by the time the new baselines c</w:t>
      </w:r>
      <w:r w:rsidR="00666077">
        <w:t>o</w:t>
      </w:r>
      <w:r w:rsidR="0046598F">
        <w:t>me into effect</w:t>
      </w:r>
      <w:r w:rsidR="005D5C09">
        <w:t>,</w:t>
      </w:r>
      <w:r w:rsidR="0046598F">
        <w:t xml:space="preserve"> they would </w:t>
      </w:r>
      <w:r w:rsidR="0083507E">
        <w:t xml:space="preserve">be out of date. </w:t>
      </w:r>
      <w:r w:rsidR="00E15DCF">
        <w:t>Eight</w:t>
      </w:r>
      <w:r w:rsidR="008E5BA3">
        <w:t xml:space="preserve"> per cent </w:t>
      </w:r>
      <w:r w:rsidR="003B5657">
        <w:t xml:space="preserve">agreed that these years would be appropriate, and </w:t>
      </w:r>
      <w:r w:rsidR="005D5C09">
        <w:t>71</w:t>
      </w:r>
      <w:r w:rsidR="00E15DCF">
        <w:t xml:space="preserve"> per cent</w:t>
      </w:r>
      <w:r w:rsidR="00E15DCF" w:rsidRPr="00E15DCF">
        <w:t xml:space="preserve"> </w:t>
      </w:r>
      <w:r w:rsidR="00E15DCF">
        <w:t xml:space="preserve">either did not answer or were not explicit in their answer. </w:t>
      </w:r>
      <w:r w:rsidR="0083507E">
        <w:t xml:space="preserve">Of the submitters who answered ‘no’, many said that baselines should be updated each year. </w:t>
      </w:r>
    </w:p>
    <w:p w14:paraId="3E1431F4" w14:textId="43C46B6B" w:rsidR="00FC7928" w:rsidRPr="00FC7928" w:rsidRDefault="005918EF" w:rsidP="004B5961">
      <w:pPr>
        <w:pStyle w:val="Bodytextbold"/>
      </w:pPr>
      <w:r>
        <w:t xml:space="preserve">Question 6: </w:t>
      </w:r>
      <w:r w:rsidR="00FC7928" w:rsidRPr="00FC7928">
        <w:t xml:space="preserve">Should the financial years 2019/20 and 2020/21 be included, but with a weighting provision? </w:t>
      </w:r>
    </w:p>
    <w:p w14:paraId="0C4B483A" w14:textId="13385D9F" w:rsidR="00325A69" w:rsidRDefault="00C30912" w:rsidP="00FC7928">
      <w:pPr>
        <w:pStyle w:val="BodyText"/>
      </w:pPr>
      <w:r>
        <w:t xml:space="preserve">Twenty-three per cent of submitters agreed that the financial years </w:t>
      </w:r>
      <w:r w:rsidR="00502BC9">
        <w:t>2019/20 and 2020/2021 should be used b</w:t>
      </w:r>
      <w:r w:rsidR="00954310">
        <w:t>ut</w:t>
      </w:r>
      <w:r w:rsidR="00502BC9">
        <w:t xml:space="preserve"> with a weighting provision</w:t>
      </w:r>
      <w:r w:rsidR="00954310">
        <w:t>.</w:t>
      </w:r>
      <w:r w:rsidR="000562DD">
        <w:t xml:space="preserve"> </w:t>
      </w:r>
      <w:r w:rsidR="00D53354">
        <w:t>Two large allocation recipients (Evonik</w:t>
      </w:r>
      <w:r w:rsidR="00E05EA4">
        <w:t xml:space="preserve"> Peroxide</w:t>
      </w:r>
      <w:r w:rsidR="00D53354">
        <w:t xml:space="preserve"> and Bal</w:t>
      </w:r>
      <w:r w:rsidR="002A5805">
        <w:t>l</w:t>
      </w:r>
      <w:r w:rsidR="00D53354">
        <w:t>ance Agri-Nutrients</w:t>
      </w:r>
      <w:r w:rsidR="00736A79">
        <w:t xml:space="preserve">) were comfortable using these base years as they were classed as an essential service and operated through COVID-19 lockdowns. </w:t>
      </w:r>
    </w:p>
    <w:p w14:paraId="3FED7753" w14:textId="746C52A2" w:rsidR="00BA0198" w:rsidRDefault="00441A40" w:rsidP="00E96DD5">
      <w:pPr>
        <w:pStyle w:val="BodyText"/>
        <w:rPr>
          <w:rStyle w:val="Heading1Char"/>
        </w:rPr>
      </w:pPr>
      <w:r>
        <w:t xml:space="preserve">Ballance Agri-Nutrients said the use of </w:t>
      </w:r>
      <w:r w:rsidR="008C2A4C">
        <w:t>c</w:t>
      </w:r>
      <w:r>
        <w:t xml:space="preserve">alendar years </w:t>
      </w:r>
      <w:r w:rsidR="008C2A4C">
        <w:t>should be considered</w:t>
      </w:r>
      <w:r w:rsidR="00DF5DC1">
        <w:t xml:space="preserve"> as th</w:t>
      </w:r>
      <w:r w:rsidR="008C2A4C">
        <w:t>ey</w:t>
      </w:r>
      <w:r w:rsidR="00DF5DC1">
        <w:t xml:space="preserve"> would align</w:t>
      </w:r>
      <w:r w:rsidR="008C2A4C">
        <w:t xml:space="preserve"> better</w:t>
      </w:r>
      <w:r w:rsidR="00DF5DC1">
        <w:t xml:space="preserve"> with </w:t>
      </w:r>
      <w:r w:rsidR="00006F03">
        <w:t>NZ ETS compliance and allocation periods</w:t>
      </w:r>
      <w:r>
        <w:t xml:space="preserve">. </w:t>
      </w:r>
      <w:r w:rsidR="000562DD">
        <w:t xml:space="preserve">One submitter said that different weightings might be needed for </w:t>
      </w:r>
      <w:r w:rsidR="0042600C">
        <w:t>each industry</w:t>
      </w:r>
      <w:r w:rsidR="004B114D">
        <w:t>,</w:t>
      </w:r>
      <w:r w:rsidR="003B27E8">
        <w:t xml:space="preserve"> as C</w:t>
      </w:r>
      <w:r w:rsidR="0042600C">
        <w:t>OVID-19</w:t>
      </w:r>
      <w:r w:rsidR="003B27E8">
        <w:t xml:space="preserve"> has </w:t>
      </w:r>
      <w:r w:rsidR="0051442B">
        <w:t>impacted businesses to differing levels.</w:t>
      </w:r>
      <w:r w:rsidR="00424C66">
        <w:t xml:space="preserve"> </w:t>
      </w:r>
      <w:r w:rsidR="00954310">
        <w:t xml:space="preserve">Six per cent disagreed, and </w:t>
      </w:r>
      <w:r w:rsidR="004B114D">
        <w:t>71</w:t>
      </w:r>
      <w:r w:rsidR="00954310">
        <w:t xml:space="preserve"> per cent either did not answer or were not explicit in their answer.</w:t>
      </w:r>
      <w:r w:rsidR="00E508E1">
        <w:br w:type="page"/>
      </w:r>
      <w:r w:rsidR="00E508E1">
        <w:rPr>
          <w:rStyle w:val="Heading1Char"/>
        </w:rPr>
        <w:lastRenderedPageBreak/>
        <w:t>Eligibilit</w:t>
      </w:r>
      <w:r w:rsidR="00324873">
        <w:rPr>
          <w:rStyle w:val="Heading1Char"/>
        </w:rPr>
        <w:t>y</w:t>
      </w:r>
    </w:p>
    <w:p w14:paraId="4B663ACA" w14:textId="666C53E7" w:rsidR="001344F9" w:rsidRDefault="005E4B9B" w:rsidP="00324873">
      <w:pPr>
        <w:pStyle w:val="BodyText"/>
        <w:rPr>
          <w:rStyle w:val="Heading3Char"/>
          <w:rFonts w:ascii="Calibri" w:hAnsi="Calibri"/>
          <w:b w:val="0"/>
          <w:bCs w:val="0"/>
          <w:sz w:val="22"/>
        </w:rPr>
      </w:pPr>
      <w:r>
        <w:rPr>
          <w:rStyle w:val="Heading3Char"/>
          <w:rFonts w:ascii="Calibri" w:hAnsi="Calibri"/>
          <w:b w:val="0"/>
          <w:bCs w:val="0"/>
          <w:sz w:val="22"/>
        </w:rPr>
        <w:t>T</w:t>
      </w:r>
      <w:r w:rsidR="00CA1F46">
        <w:rPr>
          <w:rStyle w:val="Heading3Char"/>
          <w:rFonts w:ascii="Calibri" w:hAnsi="Calibri"/>
          <w:b w:val="0"/>
          <w:bCs w:val="0"/>
          <w:sz w:val="22"/>
        </w:rPr>
        <w:t xml:space="preserve">he consultation document </w:t>
      </w:r>
      <w:r w:rsidR="002C3308">
        <w:rPr>
          <w:rStyle w:val="Heading3Char"/>
          <w:rFonts w:ascii="Calibri" w:hAnsi="Calibri"/>
          <w:b w:val="0"/>
          <w:bCs w:val="0"/>
          <w:sz w:val="22"/>
        </w:rPr>
        <w:t>discussed reforming</w:t>
      </w:r>
      <w:r w:rsidR="006B3AD6">
        <w:rPr>
          <w:rStyle w:val="Heading3Char"/>
          <w:rFonts w:ascii="Calibri" w:hAnsi="Calibri"/>
          <w:b w:val="0"/>
          <w:bCs w:val="0"/>
          <w:sz w:val="22"/>
        </w:rPr>
        <w:t xml:space="preserve"> </w:t>
      </w:r>
      <w:r w:rsidR="00495DF6">
        <w:rPr>
          <w:rStyle w:val="Heading3Char"/>
          <w:rFonts w:ascii="Calibri" w:hAnsi="Calibri"/>
          <w:b w:val="0"/>
          <w:bCs w:val="0"/>
          <w:sz w:val="22"/>
        </w:rPr>
        <w:t>the basis for</w:t>
      </w:r>
      <w:r w:rsidR="006B3AD6">
        <w:rPr>
          <w:rStyle w:val="Heading3Char"/>
          <w:rFonts w:ascii="Calibri" w:hAnsi="Calibri"/>
          <w:b w:val="0"/>
          <w:bCs w:val="0"/>
          <w:sz w:val="22"/>
        </w:rPr>
        <w:t xml:space="preserve"> </w:t>
      </w:r>
      <w:r w:rsidR="0078217F">
        <w:rPr>
          <w:rStyle w:val="Heading3Char"/>
          <w:rFonts w:ascii="Calibri" w:hAnsi="Calibri"/>
          <w:b w:val="0"/>
          <w:bCs w:val="0"/>
          <w:sz w:val="22"/>
        </w:rPr>
        <w:t>e</w:t>
      </w:r>
      <w:r w:rsidR="00282DEC">
        <w:rPr>
          <w:rStyle w:val="Heading3Char"/>
          <w:rFonts w:ascii="Calibri" w:hAnsi="Calibri"/>
          <w:b w:val="0"/>
          <w:bCs w:val="0"/>
          <w:sz w:val="22"/>
        </w:rPr>
        <w:t>ligi</w:t>
      </w:r>
      <w:r w:rsidR="0015191C">
        <w:rPr>
          <w:rStyle w:val="Heading3Char"/>
          <w:rFonts w:ascii="Calibri" w:hAnsi="Calibri"/>
          <w:b w:val="0"/>
          <w:bCs w:val="0"/>
          <w:sz w:val="22"/>
        </w:rPr>
        <w:t>bility</w:t>
      </w:r>
      <w:r w:rsidR="00277F64">
        <w:rPr>
          <w:rStyle w:val="Heading3Char"/>
          <w:rFonts w:ascii="Calibri" w:hAnsi="Calibri"/>
          <w:b w:val="0"/>
          <w:bCs w:val="0"/>
          <w:sz w:val="22"/>
        </w:rPr>
        <w:t xml:space="preserve"> of</w:t>
      </w:r>
      <w:r w:rsidR="005A6DC4">
        <w:rPr>
          <w:rStyle w:val="Heading3Char"/>
          <w:rFonts w:ascii="Calibri" w:hAnsi="Calibri"/>
          <w:b w:val="0"/>
          <w:bCs w:val="0"/>
          <w:sz w:val="22"/>
        </w:rPr>
        <w:t xml:space="preserve"> EITE activities</w:t>
      </w:r>
      <w:r w:rsidR="00277F64">
        <w:rPr>
          <w:rStyle w:val="Heading3Char"/>
          <w:rFonts w:ascii="Calibri" w:hAnsi="Calibri"/>
          <w:b w:val="0"/>
          <w:bCs w:val="0"/>
          <w:sz w:val="22"/>
        </w:rPr>
        <w:t xml:space="preserve"> to receive an allocation</w:t>
      </w:r>
      <w:r w:rsidR="00D410DC">
        <w:rPr>
          <w:rStyle w:val="Heading3Char"/>
          <w:rFonts w:ascii="Calibri" w:hAnsi="Calibri"/>
          <w:b w:val="0"/>
          <w:bCs w:val="0"/>
          <w:sz w:val="22"/>
        </w:rPr>
        <w:t xml:space="preserve">. </w:t>
      </w:r>
      <w:r w:rsidR="00D33DEE">
        <w:rPr>
          <w:rStyle w:val="Heading3Char"/>
          <w:rFonts w:ascii="Calibri" w:hAnsi="Calibri"/>
          <w:b w:val="0"/>
          <w:bCs w:val="0"/>
          <w:sz w:val="22"/>
        </w:rPr>
        <w:t>Feedback was sought on</w:t>
      </w:r>
      <w:r w:rsidR="00DC7DE8">
        <w:rPr>
          <w:rStyle w:val="Heading3Char"/>
          <w:rFonts w:ascii="Calibri" w:hAnsi="Calibri"/>
          <w:b w:val="0"/>
          <w:bCs w:val="0"/>
          <w:sz w:val="22"/>
        </w:rPr>
        <w:t xml:space="preserve"> the construction of the emissions intensity criteria, including </w:t>
      </w:r>
      <w:r w:rsidR="00A04773">
        <w:rPr>
          <w:rStyle w:val="Heading3Char"/>
          <w:rFonts w:ascii="Calibri" w:hAnsi="Calibri"/>
          <w:b w:val="0"/>
          <w:bCs w:val="0"/>
          <w:sz w:val="22"/>
        </w:rPr>
        <w:t>whether:</w:t>
      </w:r>
    </w:p>
    <w:p w14:paraId="2C7280CA" w14:textId="7AAB01B1" w:rsidR="001344F9" w:rsidRDefault="00D410DC" w:rsidP="00C4338C">
      <w:pPr>
        <w:pStyle w:val="Bullet"/>
        <w:rPr>
          <w:rStyle w:val="Heading3Char"/>
          <w:rFonts w:ascii="Calibri" w:hAnsi="Calibri"/>
          <w:b w:val="0"/>
          <w:bCs w:val="0"/>
          <w:sz w:val="22"/>
        </w:rPr>
      </w:pPr>
      <w:r>
        <w:rPr>
          <w:rStyle w:val="Heading3Char"/>
          <w:rFonts w:ascii="Calibri" w:hAnsi="Calibri"/>
          <w:b w:val="0"/>
          <w:bCs w:val="0"/>
          <w:sz w:val="22"/>
        </w:rPr>
        <w:t>the eligibility status of EITE activities should be updated with new baselines</w:t>
      </w:r>
      <w:r w:rsidR="00C45CA3">
        <w:rPr>
          <w:rStyle w:val="Heading3Char"/>
          <w:rFonts w:ascii="Calibri" w:hAnsi="Calibri"/>
          <w:b w:val="0"/>
          <w:bCs w:val="0"/>
          <w:sz w:val="22"/>
        </w:rPr>
        <w:t>’</w:t>
      </w:r>
      <w:r>
        <w:rPr>
          <w:rStyle w:val="Heading3Char"/>
          <w:rFonts w:ascii="Calibri" w:hAnsi="Calibri"/>
          <w:b w:val="0"/>
          <w:bCs w:val="0"/>
          <w:sz w:val="22"/>
        </w:rPr>
        <w:t xml:space="preserve"> years</w:t>
      </w:r>
    </w:p>
    <w:p w14:paraId="17850D96" w14:textId="22D13B19" w:rsidR="00A04773" w:rsidRDefault="004F7F69" w:rsidP="00C4338C">
      <w:pPr>
        <w:pStyle w:val="Bullet"/>
        <w:rPr>
          <w:rStyle w:val="Heading3Char"/>
          <w:rFonts w:ascii="Calibri" w:hAnsi="Calibri"/>
          <w:b w:val="0"/>
          <w:bCs w:val="0"/>
          <w:sz w:val="22"/>
        </w:rPr>
      </w:pPr>
      <w:r w:rsidRPr="001344F9">
        <w:rPr>
          <w:rStyle w:val="Heading3Char"/>
          <w:rFonts w:ascii="Calibri" w:hAnsi="Calibri"/>
          <w:b w:val="0"/>
          <w:bCs w:val="0"/>
          <w:sz w:val="22"/>
        </w:rPr>
        <w:t>New Zealand</w:t>
      </w:r>
      <w:r w:rsidR="00C45CA3">
        <w:rPr>
          <w:rStyle w:val="Heading3Char"/>
          <w:rFonts w:ascii="Calibri" w:hAnsi="Calibri"/>
          <w:b w:val="0"/>
          <w:bCs w:val="0"/>
          <w:sz w:val="22"/>
        </w:rPr>
        <w:t>-</w:t>
      </w:r>
      <w:r w:rsidRPr="001344F9">
        <w:rPr>
          <w:rStyle w:val="Heading3Char"/>
          <w:rFonts w:ascii="Calibri" w:hAnsi="Calibri"/>
          <w:b w:val="0"/>
          <w:bCs w:val="0"/>
          <w:sz w:val="22"/>
        </w:rPr>
        <w:t xml:space="preserve">specific eligibility thresholds </w:t>
      </w:r>
      <w:r w:rsidR="000E11B7" w:rsidRPr="001344F9">
        <w:rPr>
          <w:rStyle w:val="Heading3Char"/>
          <w:rFonts w:ascii="Calibri" w:hAnsi="Calibri"/>
          <w:b w:val="0"/>
          <w:bCs w:val="0"/>
          <w:sz w:val="22"/>
        </w:rPr>
        <w:t>should be developed</w:t>
      </w:r>
    </w:p>
    <w:p w14:paraId="3688B0C1" w14:textId="4FD4FAF5" w:rsidR="00A04773" w:rsidRDefault="000E11B7" w:rsidP="00C4338C">
      <w:pPr>
        <w:pStyle w:val="Bullet"/>
        <w:rPr>
          <w:rStyle w:val="Heading3Char"/>
          <w:rFonts w:ascii="Calibri" w:hAnsi="Calibri"/>
          <w:b w:val="0"/>
          <w:bCs w:val="0"/>
          <w:sz w:val="22"/>
        </w:rPr>
      </w:pPr>
      <w:r w:rsidRPr="001344F9">
        <w:rPr>
          <w:rStyle w:val="Heading3Char"/>
          <w:rFonts w:ascii="Calibri" w:hAnsi="Calibri"/>
          <w:b w:val="0"/>
          <w:bCs w:val="0"/>
          <w:sz w:val="22"/>
        </w:rPr>
        <w:t xml:space="preserve">additional </w:t>
      </w:r>
      <w:r w:rsidR="007E67B4" w:rsidRPr="001344F9">
        <w:rPr>
          <w:rStyle w:val="Heading3Char"/>
          <w:rFonts w:ascii="Calibri" w:hAnsi="Calibri"/>
          <w:b w:val="0"/>
          <w:bCs w:val="0"/>
          <w:sz w:val="22"/>
        </w:rPr>
        <w:t>thresholds</w:t>
      </w:r>
      <w:r w:rsidR="009D7C8D">
        <w:rPr>
          <w:rStyle w:val="Heading3Char"/>
          <w:rFonts w:ascii="Calibri" w:hAnsi="Calibri"/>
          <w:b w:val="0"/>
          <w:bCs w:val="0"/>
          <w:sz w:val="22"/>
        </w:rPr>
        <w:t xml:space="preserve"> or a sliding scale </w:t>
      </w:r>
      <w:r w:rsidR="00EB22BF">
        <w:rPr>
          <w:rStyle w:val="Heading3Char"/>
          <w:rFonts w:ascii="Calibri" w:hAnsi="Calibri"/>
          <w:b w:val="0"/>
          <w:bCs w:val="0"/>
          <w:sz w:val="22"/>
        </w:rPr>
        <w:t>system</w:t>
      </w:r>
      <w:r w:rsidR="007E67B4" w:rsidRPr="001344F9">
        <w:rPr>
          <w:rStyle w:val="Heading3Char"/>
          <w:rFonts w:ascii="Calibri" w:hAnsi="Calibri"/>
          <w:b w:val="0"/>
          <w:bCs w:val="0"/>
          <w:sz w:val="22"/>
        </w:rPr>
        <w:t xml:space="preserve"> </w:t>
      </w:r>
      <w:r w:rsidR="00A97982">
        <w:rPr>
          <w:rStyle w:val="Heading3Char"/>
          <w:rFonts w:ascii="Calibri" w:hAnsi="Calibri"/>
          <w:b w:val="0"/>
          <w:bCs w:val="0"/>
          <w:sz w:val="22"/>
        </w:rPr>
        <w:t>should be implemented</w:t>
      </w:r>
      <w:r w:rsidR="00DC04AF">
        <w:rPr>
          <w:rStyle w:val="Heading3Char"/>
          <w:rFonts w:ascii="Calibri" w:hAnsi="Calibri"/>
          <w:b w:val="0"/>
          <w:bCs w:val="0"/>
          <w:sz w:val="22"/>
        </w:rPr>
        <w:t xml:space="preserve"> to better target eligibility</w:t>
      </w:r>
    </w:p>
    <w:p w14:paraId="76953F2B" w14:textId="5D467457" w:rsidR="00895ED5" w:rsidRPr="001344F9" w:rsidRDefault="00393211" w:rsidP="00C4338C">
      <w:pPr>
        <w:pStyle w:val="Bullet"/>
        <w:rPr>
          <w:rStyle w:val="Heading3Char"/>
          <w:rFonts w:ascii="Calibri" w:hAnsi="Calibri"/>
          <w:b w:val="0"/>
          <w:bCs w:val="0"/>
          <w:sz w:val="22"/>
        </w:rPr>
      </w:pPr>
      <w:r w:rsidRPr="001344F9">
        <w:rPr>
          <w:rStyle w:val="Heading3Char"/>
          <w:rFonts w:ascii="Calibri" w:hAnsi="Calibri"/>
          <w:b w:val="0"/>
          <w:bCs w:val="0"/>
          <w:sz w:val="22"/>
        </w:rPr>
        <w:t xml:space="preserve">whether the New Zealand </w:t>
      </w:r>
      <w:r w:rsidR="0004140C">
        <w:rPr>
          <w:rStyle w:val="Heading3Char"/>
          <w:rFonts w:ascii="Calibri" w:hAnsi="Calibri"/>
          <w:b w:val="0"/>
          <w:bCs w:val="0"/>
          <w:sz w:val="22"/>
        </w:rPr>
        <w:t>e</w:t>
      </w:r>
      <w:r w:rsidR="00C45CA3">
        <w:rPr>
          <w:rStyle w:val="Heading3Char"/>
          <w:rFonts w:ascii="Calibri" w:hAnsi="Calibri"/>
          <w:b w:val="0"/>
          <w:bCs w:val="0"/>
          <w:sz w:val="22"/>
        </w:rPr>
        <w:t xml:space="preserve">lectricity </w:t>
      </w:r>
      <w:r w:rsidR="0004140C">
        <w:rPr>
          <w:rStyle w:val="Heading3Char"/>
          <w:rFonts w:ascii="Calibri" w:hAnsi="Calibri"/>
          <w:b w:val="0"/>
          <w:bCs w:val="0"/>
          <w:sz w:val="22"/>
        </w:rPr>
        <w:t>a</w:t>
      </w:r>
      <w:r w:rsidR="00C45CA3">
        <w:rPr>
          <w:rStyle w:val="Heading3Char"/>
          <w:rFonts w:ascii="Calibri" w:hAnsi="Calibri"/>
          <w:b w:val="0"/>
          <w:bCs w:val="0"/>
          <w:sz w:val="22"/>
        </w:rPr>
        <w:t xml:space="preserve">llocation </w:t>
      </w:r>
      <w:r w:rsidR="0004140C">
        <w:rPr>
          <w:rStyle w:val="Heading3Char"/>
          <w:rFonts w:ascii="Calibri" w:hAnsi="Calibri"/>
          <w:b w:val="0"/>
          <w:bCs w:val="0"/>
          <w:sz w:val="22"/>
        </w:rPr>
        <w:t>f</w:t>
      </w:r>
      <w:r w:rsidR="00C45CA3">
        <w:rPr>
          <w:rStyle w:val="Heading3Char"/>
          <w:rFonts w:ascii="Calibri" w:hAnsi="Calibri"/>
          <w:b w:val="0"/>
          <w:bCs w:val="0"/>
          <w:sz w:val="22"/>
        </w:rPr>
        <w:t>actor (</w:t>
      </w:r>
      <w:r w:rsidRPr="001344F9">
        <w:rPr>
          <w:rStyle w:val="Heading3Char"/>
          <w:rFonts w:ascii="Calibri" w:hAnsi="Calibri"/>
          <w:b w:val="0"/>
          <w:bCs w:val="0"/>
          <w:sz w:val="22"/>
        </w:rPr>
        <w:t>EAF</w:t>
      </w:r>
      <w:r w:rsidR="00C45CA3">
        <w:rPr>
          <w:rStyle w:val="Heading3Char"/>
          <w:rFonts w:ascii="Calibri" w:hAnsi="Calibri"/>
          <w:b w:val="0"/>
          <w:bCs w:val="0"/>
          <w:sz w:val="22"/>
        </w:rPr>
        <w:t>)</w:t>
      </w:r>
      <w:r w:rsidRPr="001344F9">
        <w:rPr>
          <w:rStyle w:val="Heading3Char"/>
          <w:rFonts w:ascii="Calibri" w:hAnsi="Calibri"/>
          <w:b w:val="0"/>
          <w:bCs w:val="0"/>
          <w:sz w:val="22"/>
        </w:rPr>
        <w:t xml:space="preserve"> should be used to determine an </w:t>
      </w:r>
      <w:r w:rsidR="00FE49C9" w:rsidRPr="001344F9">
        <w:rPr>
          <w:rStyle w:val="Heading3Char"/>
          <w:rFonts w:ascii="Calibri" w:hAnsi="Calibri"/>
          <w:b w:val="0"/>
          <w:bCs w:val="0"/>
          <w:sz w:val="22"/>
        </w:rPr>
        <w:t>activity</w:t>
      </w:r>
      <w:r w:rsidR="00FE49C9">
        <w:rPr>
          <w:rStyle w:val="Heading3Char"/>
          <w:rFonts w:ascii="Calibri" w:hAnsi="Calibri"/>
          <w:b w:val="0"/>
          <w:bCs w:val="0"/>
          <w:sz w:val="22"/>
        </w:rPr>
        <w:t>’s</w:t>
      </w:r>
      <w:r w:rsidRPr="001344F9">
        <w:rPr>
          <w:rStyle w:val="Heading3Char"/>
          <w:rFonts w:ascii="Calibri" w:hAnsi="Calibri"/>
          <w:b w:val="0"/>
          <w:bCs w:val="0"/>
          <w:sz w:val="22"/>
        </w:rPr>
        <w:t xml:space="preserve"> eligibility status rather than the Australian EAF</w:t>
      </w:r>
    </w:p>
    <w:p w14:paraId="4242208C" w14:textId="2EC47EF8" w:rsidR="00A56564" w:rsidRPr="00324873" w:rsidRDefault="00A56564" w:rsidP="00324873">
      <w:pPr>
        <w:pStyle w:val="BodyText"/>
        <w:rPr>
          <w:rStyle w:val="Heading3Char"/>
          <w:rFonts w:ascii="Calibri" w:hAnsi="Calibri"/>
          <w:b w:val="0"/>
          <w:bCs w:val="0"/>
          <w:sz w:val="22"/>
        </w:rPr>
      </w:pPr>
      <w:r>
        <w:rPr>
          <w:rStyle w:val="Heading3Char"/>
          <w:rFonts w:ascii="Calibri" w:hAnsi="Calibri"/>
          <w:b w:val="0"/>
          <w:bCs w:val="0"/>
          <w:sz w:val="22"/>
        </w:rPr>
        <w:t xml:space="preserve">The </w:t>
      </w:r>
      <w:r w:rsidR="004F516C">
        <w:rPr>
          <w:rStyle w:val="Heading3Char"/>
          <w:rFonts w:ascii="Calibri" w:hAnsi="Calibri"/>
          <w:b w:val="0"/>
          <w:bCs w:val="0"/>
          <w:sz w:val="22"/>
        </w:rPr>
        <w:t xml:space="preserve">consultation document also discussed the </w:t>
      </w:r>
      <w:r>
        <w:rPr>
          <w:rStyle w:val="Heading3Char"/>
          <w:rFonts w:ascii="Calibri" w:hAnsi="Calibri"/>
          <w:b w:val="0"/>
          <w:bCs w:val="0"/>
          <w:sz w:val="22"/>
        </w:rPr>
        <w:t>suitability of the current trade</w:t>
      </w:r>
      <w:r w:rsidR="004F516C">
        <w:rPr>
          <w:rStyle w:val="Heading3Char"/>
          <w:rFonts w:ascii="Calibri" w:hAnsi="Calibri"/>
          <w:b w:val="0"/>
          <w:bCs w:val="0"/>
          <w:sz w:val="22"/>
        </w:rPr>
        <w:t xml:space="preserve"> </w:t>
      </w:r>
      <w:r>
        <w:rPr>
          <w:rStyle w:val="Heading3Char"/>
          <w:rFonts w:ascii="Calibri" w:hAnsi="Calibri"/>
          <w:b w:val="0"/>
          <w:bCs w:val="0"/>
          <w:sz w:val="22"/>
        </w:rPr>
        <w:t xml:space="preserve">exposure </w:t>
      </w:r>
      <w:r w:rsidR="004F516C">
        <w:rPr>
          <w:rStyle w:val="Heading3Char"/>
          <w:rFonts w:ascii="Calibri" w:hAnsi="Calibri"/>
          <w:b w:val="0"/>
          <w:bCs w:val="0"/>
          <w:sz w:val="22"/>
        </w:rPr>
        <w:t>criterion</w:t>
      </w:r>
      <w:r>
        <w:rPr>
          <w:rStyle w:val="Heading3Char"/>
          <w:rFonts w:ascii="Calibri" w:hAnsi="Calibri"/>
          <w:b w:val="0"/>
          <w:bCs w:val="0"/>
          <w:sz w:val="22"/>
        </w:rPr>
        <w:t xml:space="preserve"> </w:t>
      </w:r>
      <w:r w:rsidR="00F31471">
        <w:rPr>
          <w:rStyle w:val="Heading3Char"/>
          <w:rFonts w:ascii="Calibri" w:hAnsi="Calibri"/>
          <w:b w:val="0"/>
          <w:bCs w:val="0"/>
          <w:sz w:val="22"/>
        </w:rPr>
        <w:t>to</w:t>
      </w:r>
      <w:r>
        <w:rPr>
          <w:rStyle w:val="Heading3Char"/>
          <w:rFonts w:ascii="Calibri" w:hAnsi="Calibri"/>
          <w:b w:val="0"/>
          <w:bCs w:val="0"/>
          <w:sz w:val="22"/>
        </w:rPr>
        <w:t xml:space="preserve"> </w:t>
      </w:r>
      <w:r w:rsidR="003876C5">
        <w:rPr>
          <w:rStyle w:val="Heading3Char"/>
          <w:rFonts w:ascii="Calibri" w:hAnsi="Calibri"/>
          <w:b w:val="0"/>
          <w:bCs w:val="0"/>
          <w:sz w:val="22"/>
        </w:rPr>
        <w:t xml:space="preserve">determine </w:t>
      </w:r>
      <w:r w:rsidR="00F31471">
        <w:rPr>
          <w:rStyle w:val="Heading3Char"/>
          <w:rFonts w:ascii="Calibri" w:hAnsi="Calibri"/>
          <w:b w:val="0"/>
          <w:bCs w:val="0"/>
          <w:sz w:val="22"/>
        </w:rPr>
        <w:t>an</w:t>
      </w:r>
      <w:r w:rsidR="003876C5">
        <w:rPr>
          <w:rStyle w:val="Heading3Char"/>
          <w:rFonts w:ascii="Calibri" w:hAnsi="Calibri"/>
          <w:b w:val="0"/>
          <w:bCs w:val="0"/>
          <w:sz w:val="22"/>
        </w:rPr>
        <w:t xml:space="preserve"> </w:t>
      </w:r>
      <w:r w:rsidR="00B05729">
        <w:rPr>
          <w:rStyle w:val="Heading3Char"/>
          <w:rFonts w:ascii="Calibri" w:hAnsi="Calibri"/>
          <w:b w:val="0"/>
          <w:bCs w:val="0"/>
          <w:sz w:val="22"/>
        </w:rPr>
        <w:t>industry’s</w:t>
      </w:r>
      <w:r w:rsidR="00F31471">
        <w:rPr>
          <w:rStyle w:val="Heading3Char"/>
          <w:rFonts w:ascii="Calibri" w:hAnsi="Calibri"/>
          <w:b w:val="0"/>
          <w:bCs w:val="0"/>
          <w:sz w:val="22"/>
        </w:rPr>
        <w:t xml:space="preserve"> ability </w:t>
      </w:r>
      <w:r w:rsidR="003876C5">
        <w:rPr>
          <w:rStyle w:val="Heading3Char"/>
          <w:rFonts w:ascii="Calibri" w:hAnsi="Calibri"/>
          <w:b w:val="0"/>
          <w:bCs w:val="0"/>
          <w:sz w:val="22"/>
        </w:rPr>
        <w:t>to pass on costs to consumers</w:t>
      </w:r>
      <w:r w:rsidR="004F516C">
        <w:rPr>
          <w:rStyle w:val="Heading3Char"/>
          <w:rFonts w:ascii="Calibri" w:hAnsi="Calibri"/>
          <w:b w:val="0"/>
          <w:bCs w:val="0"/>
          <w:sz w:val="22"/>
        </w:rPr>
        <w:t xml:space="preserve">. </w:t>
      </w:r>
    </w:p>
    <w:p w14:paraId="2E6EABB5" w14:textId="532101A0" w:rsidR="00BA0198" w:rsidRPr="004B5961" w:rsidRDefault="005918EF" w:rsidP="004B5961">
      <w:pPr>
        <w:pStyle w:val="Bodytextbold"/>
      </w:pPr>
      <w:r w:rsidRPr="004B5961">
        <w:t xml:space="preserve">Question 7: </w:t>
      </w:r>
      <w:r w:rsidR="003D3657" w:rsidRPr="004B5961">
        <w:t>Should eligibility be reassessed using new base years?</w:t>
      </w:r>
    </w:p>
    <w:p w14:paraId="002DD40D" w14:textId="30789022" w:rsidR="007B52F1" w:rsidRDefault="00070D90" w:rsidP="00E96DD5">
      <w:pPr>
        <w:pStyle w:val="BodyText"/>
      </w:pPr>
      <w:r>
        <w:t xml:space="preserve">Twenty-eight per cent of submitters agreed that </w:t>
      </w:r>
      <w:r w:rsidR="00605451">
        <w:t>eligibility should be reassessed using new base years</w:t>
      </w:r>
      <w:r w:rsidR="00311AE5">
        <w:t>,</w:t>
      </w:r>
      <w:r w:rsidR="00F51C46">
        <w:t xml:space="preserve"> with </w:t>
      </w:r>
      <w:r w:rsidR="00A84CB8">
        <w:t xml:space="preserve">some </w:t>
      </w:r>
      <w:r w:rsidR="00F150CB">
        <w:t>arguing</w:t>
      </w:r>
      <w:r w:rsidR="000D48C2">
        <w:t xml:space="preserve"> </w:t>
      </w:r>
      <w:r w:rsidR="00D1172D">
        <w:t xml:space="preserve">a need to remove as many </w:t>
      </w:r>
      <w:r w:rsidR="00A72462">
        <w:t xml:space="preserve">IA </w:t>
      </w:r>
      <w:r w:rsidR="00D1172D">
        <w:t xml:space="preserve">recipients as possible. </w:t>
      </w:r>
      <w:r w:rsidR="00A833E1">
        <w:t xml:space="preserve">Some large </w:t>
      </w:r>
      <w:r w:rsidR="00B037B1">
        <w:t>allocation recipients</w:t>
      </w:r>
      <w:r w:rsidR="00A833E1">
        <w:t xml:space="preserve"> </w:t>
      </w:r>
      <w:r w:rsidR="003C2D12">
        <w:t>(Methanex, Graymont,</w:t>
      </w:r>
      <w:r w:rsidR="00B037B1">
        <w:t xml:space="preserve"> and NZ Steel) agreed </w:t>
      </w:r>
      <w:r w:rsidR="00ED435C">
        <w:t xml:space="preserve">that </w:t>
      </w:r>
      <w:r w:rsidR="00393FE5">
        <w:t>eligibility should be reassessed</w:t>
      </w:r>
      <w:r w:rsidR="00DD7F29">
        <w:t xml:space="preserve">. </w:t>
      </w:r>
      <w:r w:rsidR="00CE1382">
        <w:t>Methanex</w:t>
      </w:r>
      <w:r w:rsidR="00DD7F29">
        <w:t xml:space="preserve"> </w:t>
      </w:r>
      <w:r w:rsidR="00647069">
        <w:t>caveat</w:t>
      </w:r>
      <w:r w:rsidR="00DD7F29">
        <w:t xml:space="preserve">ed </w:t>
      </w:r>
      <w:r w:rsidR="003C1246">
        <w:t xml:space="preserve">its </w:t>
      </w:r>
      <w:r w:rsidR="00DD7F29">
        <w:t>response</w:t>
      </w:r>
      <w:r w:rsidR="006F0C96">
        <w:t>,</w:t>
      </w:r>
      <w:r w:rsidR="00DD7F29">
        <w:t xml:space="preserve"> </w:t>
      </w:r>
      <w:r w:rsidR="006F0C96">
        <w:t>saying</w:t>
      </w:r>
      <w:r w:rsidR="00647069">
        <w:t xml:space="preserve"> </w:t>
      </w:r>
      <w:proofErr w:type="gramStart"/>
      <w:r w:rsidR="00647069">
        <w:t>as long as</w:t>
      </w:r>
      <w:proofErr w:type="gramEnd"/>
      <w:r w:rsidR="004D2C15">
        <w:t xml:space="preserve"> </w:t>
      </w:r>
      <w:r w:rsidR="004F1665">
        <w:t xml:space="preserve">the </w:t>
      </w:r>
      <w:r w:rsidR="00647069">
        <w:t xml:space="preserve">emissions intensity is based on </w:t>
      </w:r>
      <w:r w:rsidR="00587C4D">
        <w:t>an average over multiple years</w:t>
      </w:r>
      <w:r w:rsidR="00393FE5">
        <w:t xml:space="preserve">. </w:t>
      </w:r>
      <w:r w:rsidR="009B3E23">
        <w:t xml:space="preserve">Horticulture </w:t>
      </w:r>
      <w:r w:rsidR="00D47537">
        <w:t>NZ</w:t>
      </w:r>
      <w:r w:rsidR="009B3E23">
        <w:t xml:space="preserve"> </w:t>
      </w:r>
      <w:r w:rsidR="0015254E">
        <w:t xml:space="preserve">stated </w:t>
      </w:r>
      <w:r w:rsidR="003B4485">
        <w:t>it was</w:t>
      </w:r>
      <w:r w:rsidR="0015254E">
        <w:t xml:space="preserve"> not opposed to an update of </w:t>
      </w:r>
      <w:r w:rsidR="004F1665">
        <w:t>eligibility</w:t>
      </w:r>
      <w:r w:rsidR="00745891">
        <w:t xml:space="preserve"> </w:t>
      </w:r>
      <w:r w:rsidR="0015254E">
        <w:t>using</w:t>
      </w:r>
      <w:r w:rsidR="004F1665">
        <w:t xml:space="preserve"> new base years, </w:t>
      </w:r>
      <w:r w:rsidR="00745891">
        <w:t>but only if the benefit of doing so outweig</w:t>
      </w:r>
      <w:r w:rsidR="00B0676A">
        <w:t>hed</w:t>
      </w:r>
      <w:r w:rsidR="00745891">
        <w:t xml:space="preserve"> the cost</w:t>
      </w:r>
      <w:r w:rsidR="00B0676A">
        <w:t>s</w:t>
      </w:r>
      <w:r w:rsidR="002957A9">
        <w:t xml:space="preserve"> of implementing such a change</w:t>
      </w:r>
      <w:r w:rsidR="00745891">
        <w:t xml:space="preserve">. </w:t>
      </w:r>
    </w:p>
    <w:p w14:paraId="13F752CB" w14:textId="052B15FB" w:rsidR="00E96DD5" w:rsidRDefault="00605451" w:rsidP="00E96DD5">
      <w:pPr>
        <w:pStyle w:val="BodyText"/>
      </w:pPr>
      <w:r>
        <w:t>Six per cent disagreed</w:t>
      </w:r>
      <w:r w:rsidR="002B5A53">
        <w:t xml:space="preserve"> </w:t>
      </w:r>
      <w:r w:rsidR="00A02F2E">
        <w:t>with</w:t>
      </w:r>
      <w:r w:rsidR="00857E8B">
        <w:t xml:space="preserve"> </w:t>
      </w:r>
      <w:r w:rsidR="002B5A53">
        <w:t>reassessing eligibility with new base years</w:t>
      </w:r>
      <w:r w:rsidR="000224CD">
        <w:t xml:space="preserve">, </w:t>
      </w:r>
      <w:r w:rsidR="00CB71C2">
        <w:t>predominantly</w:t>
      </w:r>
      <w:r w:rsidR="000224CD">
        <w:t xml:space="preserve"> </w:t>
      </w:r>
      <w:r w:rsidR="00B11D25">
        <w:t>because</w:t>
      </w:r>
      <w:r w:rsidR="000224CD">
        <w:t xml:space="preserve"> this would penalise investments made to </w:t>
      </w:r>
      <w:r w:rsidR="00CB71C2">
        <w:t xml:space="preserve">reduce </w:t>
      </w:r>
      <w:proofErr w:type="gramStart"/>
      <w:r w:rsidR="00CB71C2">
        <w:t>emissions</w:t>
      </w:r>
      <w:r w:rsidR="00A02F2E">
        <w:t>,</w:t>
      </w:r>
      <w:r w:rsidR="00F02111">
        <w:t xml:space="preserve"> or</w:t>
      </w:r>
      <w:proofErr w:type="gramEnd"/>
      <w:r w:rsidR="00F02111">
        <w:t xml:space="preserve"> </w:t>
      </w:r>
      <w:r w:rsidR="00F6203D">
        <w:t>create uncertainty</w:t>
      </w:r>
      <w:r w:rsidR="00CB71C2">
        <w:t xml:space="preserve">. </w:t>
      </w:r>
      <w:r w:rsidR="00E13362">
        <w:t>Most</w:t>
      </w:r>
      <w:r w:rsidR="00D61047">
        <w:t xml:space="preserve"> submitters </w:t>
      </w:r>
      <w:r w:rsidR="003979EE">
        <w:t>that</w:t>
      </w:r>
      <w:r w:rsidR="00D61047">
        <w:t xml:space="preserve"> </w:t>
      </w:r>
      <w:r w:rsidR="002367A4">
        <w:t>disagreed were allocation recipients in the wood</w:t>
      </w:r>
      <w:r w:rsidR="00D6216B">
        <w:t xml:space="preserve"> and</w:t>
      </w:r>
      <w:r w:rsidR="002367A4">
        <w:t xml:space="preserve"> pulp sector</w:t>
      </w:r>
      <w:r w:rsidR="00E13362">
        <w:t xml:space="preserve">. </w:t>
      </w:r>
      <w:r w:rsidR="00CB71C2">
        <w:t>S</w:t>
      </w:r>
      <w:r>
        <w:t>ixty-six per cent either did not answer or were not explicit in their answer.</w:t>
      </w:r>
      <w:r w:rsidR="00CB71C2">
        <w:t xml:space="preserve"> </w:t>
      </w:r>
      <w:r w:rsidR="00541F1E">
        <w:t>WPI</w:t>
      </w:r>
      <w:r w:rsidR="00C0659B">
        <w:t xml:space="preserve"> – an allocation recipient – </w:t>
      </w:r>
      <w:r w:rsidR="00071C79">
        <w:t xml:space="preserve">suggested </w:t>
      </w:r>
      <w:r w:rsidR="001F5FA6">
        <w:t xml:space="preserve">an </w:t>
      </w:r>
      <w:r w:rsidR="005C3003">
        <w:t xml:space="preserve">assessment of </w:t>
      </w:r>
      <w:r w:rsidR="0092030F">
        <w:t>emissions intensity</w:t>
      </w:r>
      <w:r w:rsidR="0049463E">
        <w:t xml:space="preserve"> (</w:t>
      </w:r>
      <w:r w:rsidR="001F5FA6">
        <w:t>which determines eligibility)</w:t>
      </w:r>
      <w:r w:rsidR="0092030F">
        <w:t xml:space="preserve"> </w:t>
      </w:r>
      <w:r w:rsidR="0049463E">
        <w:t>should include</w:t>
      </w:r>
      <w:r w:rsidR="00AF617D">
        <w:t xml:space="preserve"> </w:t>
      </w:r>
      <w:r w:rsidR="00071C79">
        <w:t xml:space="preserve">a biomass allocation factor </w:t>
      </w:r>
      <w:r w:rsidR="00A53EC0">
        <w:t xml:space="preserve">to account for the NZ ETS price on </w:t>
      </w:r>
      <w:r w:rsidR="009B54B8">
        <w:t>feedstock</w:t>
      </w:r>
      <w:r w:rsidR="00994C64">
        <w:t xml:space="preserve"> and fuel</w:t>
      </w:r>
      <w:r w:rsidR="00071C79">
        <w:t xml:space="preserve">. </w:t>
      </w:r>
    </w:p>
    <w:p w14:paraId="26118F23" w14:textId="3B6F2BB2" w:rsidR="003D3657" w:rsidRDefault="005918EF" w:rsidP="004B5961">
      <w:pPr>
        <w:pStyle w:val="Bodytextbold"/>
      </w:pPr>
      <w:r>
        <w:t xml:space="preserve">Question 8: </w:t>
      </w:r>
      <w:r w:rsidR="003D3657" w:rsidRPr="003D3657">
        <w:t xml:space="preserve">Should new emissions intensity thresholds for New Zealand industry be developed? </w:t>
      </w:r>
    </w:p>
    <w:p w14:paraId="28E510D9" w14:textId="3E15662D" w:rsidR="00B90F62" w:rsidRDefault="00B101FA" w:rsidP="001F6B53">
      <w:pPr>
        <w:pStyle w:val="BodyText"/>
      </w:pPr>
      <w:r>
        <w:t xml:space="preserve">Twenty-six </w:t>
      </w:r>
      <w:r w:rsidR="000D10CF">
        <w:t xml:space="preserve">per cent of </w:t>
      </w:r>
      <w:r>
        <w:t xml:space="preserve">submitters agreed that </w:t>
      </w:r>
      <w:r w:rsidR="00EC2323">
        <w:t>New Zealand emissions intensity thresholds should be developed</w:t>
      </w:r>
      <w:r w:rsidR="00D3530C">
        <w:t>,</w:t>
      </w:r>
      <w:r w:rsidR="00A2382D">
        <w:t xml:space="preserve"> with </w:t>
      </w:r>
      <w:r w:rsidR="00C60BDE">
        <w:t xml:space="preserve">some </w:t>
      </w:r>
      <w:r w:rsidR="009F41B5">
        <w:t>reasoning that</w:t>
      </w:r>
      <w:r w:rsidR="00254795">
        <w:t xml:space="preserve"> thresholds based on the </w:t>
      </w:r>
      <w:r w:rsidR="00037CDE">
        <w:t>then</w:t>
      </w:r>
      <w:r w:rsidR="00A02F2E">
        <w:t>-</w:t>
      </w:r>
      <w:r w:rsidR="00254795">
        <w:t xml:space="preserve">proposed Australian </w:t>
      </w:r>
      <w:r w:rsidR="00755A22">
        <w:t xml:space="preserve">scheme </w:t>
      </w:r>
      <w:r w:rsidR="003F1F38">
        <w:t>is</w:t>
      </w:r>
      <w:r w:rsidR="00755A22">
        <w:t xml:space="preserve"> inappropriate</w:t>
      </w:r>
      <w:r w:rsidR="000122AE">
        <w:t xml:space="preserve"> and outdated</w:t>
      </w:r>
      <w:r w:rsidR="000D10CF">
        <w:t xml:space="preserve">. </w:t>
      </w:r>
    </w:p>
    <w:p w14:paraId="048EF750" w14:textId="2C43CC12" w:rsidR="001F6B53" w:rsidRDefault="000D10CF" w:rsidP="001F6B53">
      <w:pPr>
        <w:pStyle w:val="BodyText"/>
      </w:pPr>
      <w:r>
        <w:t xml:space="preserve">Three per cent </w:t>
      </w:r>
      <w:r w:rsidR="00416B25">
        <w:t xml:space="preserve">either </w:t>
      </w:r>
      <w:r>
        <w:t>disagreed</w:t>
      </w:r>
      <w:r w:rsidR="001F6B53">
        <w:t xml:space="preserve"> </w:t>
      </w:r>
      <w:bookmarkStart w:id="13" w:name="_Hlk94258984"/>
      <w:r w:rsidR="00FE44A7">
        <w:t>–</w:t>
      </w:r>
      <w:bookmarkEnd w:id="13"/>
      <w:r w:rsidR="00FE44A7">
        <w:t xml:space="preserve"> </w:t>
      </w:r>
      <w:r w:rsidR="00416B25">
        <w:t xml:space="preserve">including </w:t>
      </w:r>
      <w:r w:rsidR="001F6B53">
        <w:t>Graymont</w:t>
      </w:r>
      <w:r w:rsidR="00416B25">
        <w:t xml:space="preserve"> </w:t>
      </w:r>
      <w:r w:rsidR="001F6B53">
        <w:t>and Oji Fibre Solutions</w:t>
      </w:r>
      <w:r w:rsidR="0087213E">
        <w:t xml:space="preserve"> </w:t>
      </w:r>
      <w:r w:rsidR="00FB17BE">
        <w:t>NZ Limited (Oji Fibre Solutions</w:t>
      </w:r>
      <w:proofErr w:type="gramStart"/>
      <w:r w:rsidR="00FB17BE">
        <w:t>)</w:t>
      </w:r>
      <w:r w:rsidR="008343FF">
        <w:t>,</w:t>
      </w:r>
      <w:r w:rsidR="00FE44A7">
        <w:t xml:space="preserve"> or</w:t>
      </w:r>
      <w:proofErr w:type="gramEnd"/>
      <w:r w:rsidR="007F2622">
        <w:t xml:space="preserve"> were not opposed to the current </w:t>
      </w:r>
      <w:r w:rsidR="003E25EB">
        <w:t xml:space="preserve">thresholds </w:t>
      </w:r>
      <w:r w:rsidR="00FE44A7">
        <w:t xml:space="preserve">– </w:t>
      </w:r>
      <w:r w:rsidR="003E25EB">
        <w:t>including</w:t>
      </w:r>
      <w:r w:rsidR="00416B25">
        <w:t xml:space="preserve"> </w:t>
      </w:r>
      <w:r w:rsidR="00AF13FD">
        <w:t>NZ Steel</w:t>
      </w:r>
      <w:r w:rsidR="003E25EB">
        <w:t xml:space="preserve"> and</w:t>
      </w:r>
      <w:r w:rsidR="00AF13FD">
        <w:t xml:space="preserve"> Methanex</w:t>
      </w:r>
      <w:r w:rsidR="001F6B53">
        <w:t>. Graymont said there would be no discernible gain from developing New Zealand</w:t>
      </w:r>
      <w:r w:rsidR="008343FF">
        <w:t>-</w:t>
      </w:r>
      <w:r w:rsidR="001F6B53">
        <w:t>specific thresholds</w:t>
      </w:r>
      <w:r w:rsidR="0047560E">
        <w:t xml:space="preserve">, while Oji Fibre Solutions said that </w:t>
      </w:r>
      <w:r w:rsidR="00A73541">
        <w:t xml:space="preserve">emissions intensity </w:t>
      </w:r>
      <w:r w:rsidR="00FD51E9">
        <w:t xml:space="preserve">will always </w:t>
      </w:r>
      <w:r w:rsidR="00897786">
        <w:t xml:space="preserve">be </w:t>
      </w:r>
      <w:r w:rsidR="00FD51E9">
        <w:t>approximate</w:t>
      </w:r>
      <w:r w:rsidR="00897786">
        <w:t xml:space="preserve"> and </w:t>
      </w:r>
      <w:r w:rsidR="000839F0">
        <w:t xml:space="preserve">there is unlikely to be meaningful gain from </w:t>
      </w:r>
      <w:r w:rsidR="00B90F62">
        <w:t xml:space="preserve">alternative options. </w:t>
      </w:r>
    </w:p>
    <w:p w14:paraId="4A5DC76D" w14:textId="48A414E7" w:rsidR="004F1DEF" w:rsidRDefault="001F6B53" w:rsidP="00E96DD5">
      <w:pPr>
        <w:pStyle w:val="BodyText"/>
      </w:pPr>
      <w:r>
        <w:t>S</w:t>
      </w:r>
      <w:r w:rsidR="000D10CF">
        <w:t xml:space="preserve">eventy-one per cent either did not answer or were not explicit in their answer. </w:t>
      </w:r>
      <w:r w:rsidR="004F1DEF">
        <w:t>Pan</w:t>
      </w:r>
      <w:r w:rsidR="00FE44A7">
        <w:t xml:space="preserve"> </w:t>
      </w:r>
      <w:r w:rsidR="001A25BC">
        <w:t>P</w:t>
      </w:r>
      <w:r w:rsidR="004F1DEF">
        <w:t>ac</w:t>
      </w:r>
      <w:r w:rsidR="00C92FBD">
        <w:t xml:space="preserve">, </w:t>
      </w:r>
      <w:r w:rsidR="00541F1E">
        <w:t>WPI</w:t>
      </w:r>
      <w:r w:rsidR="00D60637">
        <w:t>,</w:t>
      </w:r>
      <w:r w:rsidR="000B778D">
        <w:t xml:space="preserve"> </w:t>
      </w:r>
      <w:r w:rsidR="00335CE9">
        <w:t>WPMA</w:t>
      </w:r>
      <w:r w:rsidR="00151E75">
        <w:t>,</w:t>
      </w:r>
      <w:r w:rsidR="001B63E6">
        <w:t xml:space="preserve"> Evonik Peroxide,</w:t>
      </w:r>
      <w:r w:rsidR="00151E75">
        <w:t xml:space="preserve"> and Ballance Agri-Nutrients</w:t>
      </w:r>
      <w:r w:rsidR="001B63E6">
        <w:t xml:space="preserve"> s</w:t>
      </w:r>
      <w:r w:rsidR="001A25BC">
        <w:t xml:space="preserve">aid that any new thresholds should consider </w:t>
      </w:r>
      <w:r w:rsidR="00D60637">
        <w:t>increas</w:t>
      </w:r>
      <w:r w:rsidR="0059769E">
        <w:t>es</w:t>
      </w:r>
      <w:r w:rsidR="001A25BC">
        <w:t xml:space="preserve"> </w:t>
      </w:r>
      <w:r w:rsidR="0059769E">
        <w:t xml:space="preserve">in </w:t>
      </w:r>
      <w:r w:rsidR="004575EE">
        <w:t xml:space="preserve">the </w:t>
      </w:r>
      <w:r w:rsidR="00D60637">
        <w:t>price of carbon.</w:t>
      </w:r>
      <w:r w:rsidR="001A25BC">
        <w:t xml:space="preserve"> </w:t>
      </w:r>
    </w:p>
    <w:p w14:paraId="6DA1F123" w14:textId="3FF894D2" w:rsidR="00324306" w:rsidRDefault="00324306" w:rsidP="00E96DD5">
      <w:pPr>
        <w:pStyle w:val="BodyText"/>
      </w:pPr>
      <w:r>
        <w:lastRenderedPageBreak/>
        <w:t>NZ Steel propose</w:t>
      </w:r>
      <w:r w:rsidR="00D73523">
        <w:t>d</w:t>
      </w:r>
      <w:r>
        <w:t xml:space="preserve"> a second test for activities</w:t>
      </w:r>
      <w:r w:rsidR="00A226F5">
        <w:t xml:space="preserve"> wh</w:t>
      </w:r>
      <w:r w:rsidR="00774585">
        <w:t>ich</w:t>
      </w:r>
      <w:r w:rsidR="00A226F5">
        <w:t xml:space="preserve"> become ineligible</w:t>
      </w:r>
      <w:r w:rsidR="005D0F3D">
        <w:t xml:space="preserve">. </w:t>
      </w:r>
      <w:r w:rsidR="0020577C">
        <w:t>At a minimum</w:t>
      </w:r>
      <w:r w:rsidR="00E974A6">
        <w:t>,</w:t>
      </w:r>
      <w:r w:rsidR="0020577C">
        <w:t xml:space="preserve"> </w:t>
      </w:r>
      <w:r w:rsidR="00E974A6">
        <w:t>it</w:t>
      </w:r>
      <w:r w:rsidR="0020577C">
        <w:t xml:space="preserve"> would like it to consider the prece</w:t>
      </w:r>
      <w:r w:rsidR="00202566">
        <w:t>dent of whether the activity is covered in other international schemes</w:t>
      </w:r>
      <w:r w:rsidR="00FF212D">
        <w:t xml:space="preserve">, and the potential for emissions leakage. </w:t>
      </w:r>
    </w:p>
    <w:p w14:paraId="787DA8AC" w14:textId="59C2B65C" w:rsidR="00FF212D" w:rsidRDefault="00FF212D" w:rsidP="00FF212D">
      <w:pPr>
        <w:pStyle w:val="BodyText"/>
      </w:pPr>
      <w:r>
        <w:t xml:space="preserve">Additionally, </w:t>
      </w:r>
      <w:r w:rsidR="00C60BDE">
        <w:t xml:space="preserve">some </w:t>
      </w:r>
      <w:r>
        <w:t xml:space="preserve">submitters </w:t>
      </w:r>
      <w:r w:rsidR="003A48B6">
        <w:t>(predominantly industr</w:t>
      </w:r>
      <w:r w:rsidR="00B64498">
        <w:t>y</w:t>
      </w:r>
      <w:r w:rsidR="003A48B6">
        <w:t xml:space="preserve">) </w:t>
      </w:r>
      <w:r>
        <w:t xml:space="preserve">would like to see the thresholds updated to consider the cost of carbon. </w:t>
      </w:r>
    </w:p>
    <w:p w14:paraId="73F98C4A" w14:textId="1E19ABBE" w:rsidR="0051518F" w:rsidRDefault="005918EF" w:rsidP="004B5961">
      <w:pPr>
        <w:pStyle w:val="Bodytextbold"/>
      </w:pPr>
      <w:r w:rsidRPr="00C039CB">
        <w:t xml:space="preserve">Question 9: </w:t>
      </w:r>
      <w:r w:rsidR="003D3657" w:rsidRPr="003D3657">
        <w:t>Should more thresholds be added into the eligibility criteria? How many would be appropriate?</w:t>
      </w:r>
    </w:p>
    <w:p w14:paraId="4BE04C89" w14:textId="3E7224AA" w:rsidR="00BE35E4" w:rsidRDefault="00A51364" w:rsidP="00E96DD5">
      <w:pPr>
        <w:pStyle w:val="BodyText"/>
      </w:pPr>
      <w:r>
        <w:t>Twenty-four per cent of submissions agreed that more thresholds should be added</w:t>
      </w:r>
      <w:r w:rsidR="00361109">
        <w:t xml:space="preserve">, </w:t>
      </w:r>
      <w:r w:rsidR="00BD654F">
        <w:t xml:space="preserve">with over half of these </w:t>
      </w:r>
      <w:r w:rsidR="009A6933">
        <w:t>stating that thresholds should only be added if it resulted in a reduction of over-allocation</w:t>
      </w:r>
      <w:r w:rsidR="002F30E0">
        <w:t xml:space="preserve"> (predominantly individuals)</w:t>
      </w:r>
      <w:r w:rsidR="009A6933">
        <w:t>.</w:t>
      </w:r>
      <w:r w:rsidR="00DE1E38">
        <w:t xml:space="preserve"> </w:t>
      </w:r>
      <w:r w:rsidR="00972E3B">
        <w:t>Submitters were not clear</w:t>
      </w:r>
      <w:r w:rsidR="00DE1E38">
        <w:t xml:space="preserve"> </w:t>
      </w:r>
      <w:r w:rsidR="00E974A6">
        <w:t xml:space="preserve">as to </w:t>
      </w:r>
      <w:r w:rsidR="00DE1E38">
        <w:t xml:space="preserve">how the addition of </w:t>
      </w:r>
      <w:r w:rsidR="003D1463">
        <w:t>new thresholds would reduce over-allocation.</w:t>
      </w:r>
      <w:r w:rsidR="009A6933">
        <w:t xml:space="preserve"> </w:t>
      </w:r>
      <w:r w:rsidR="00894B3C">
        <w:t>Two</w:t>
      </w:r>
      <w:r>
        <w:t xml:space="preserve"> per cent disagreed</w:t>
      </w:r>
      <w:r w:rsidR="00361109">
        <w:t>,</w:t>
      </w:r>
      <w:r w:rsidR="00C45CF4">
        <w:t xml:space="preserve"> including</w:t>
      </w:r>
      <w:r w:rsidR="001B27AB">
        <w:t xml:space="preserve"> </w:t>
      </w:r>
      <w:r w:rsidR="00045EFD">
        <w:t xml:space="preserve">Graymont </w:t>
      </w:r>
      <w:r w:rsidR="00C27570">
        <w:t>which</w:t>
      </w:r>
      <w:r w:rsidR="001B27AB">
        <w:t xml:space="preserve"> </w:t>
      </w:r>
      <w:r w:rsidR="00E32EFE">
        <w:t>oppose</w:t>
      </w:r>
      <w:r w:rsidR="003861FB">
        <w:t>d</w:t>
      </w:r>
      <w:r w:rsidR="00E32EFE">
        <w:t xml:space="preserve"> </w:t>
      </w:r>
      <w:r w:rsidR="003D1463">
        <w:t>additional thresholds</w:t>
      </w:r>
      <w:r w:rsidR="00E32EFE">
        <w:t xml:space="preserve"> due to the uncertainty and cost </w:t>
      </w:r>
      <w:r w:rsidR="003D1463">
        <w:t xml:space="preserve">created </w:t>
      </w:r>
      <w:r w:rsidR="00E32EFE">
        <w:t xml:space="preserve">for now obvious gain. </w:t>
      </w:r>
      <w:r w:rsidR="00255B7E">
        <w:t>S</w:t>
      </w:r>
      <w:r>
        <w:t>eventy-</w:t>
      </w:r>
      <w:r w:rsidR="00FF7450">
        <w:t>three per cent either did not answer or were not explicit in their answer.</w:t>
      </w:r>
    </w:p>
    <w:p w14:paraId="57874901" w14:textId="2715DFCB" w:rsidR="00C4267B" w:rsidRDefault="00B52ED8" w:rsidP="00E96DD5">
      <w:pPr>
        <w:pStyle w:val="BodyText"/>
      </w:pPr>
      <w:r>
        <w:t xml:space="preserve">Some submitters suggested </w:t>
      </w:r>
      <w:r w:rsidR="00236DD8">
        <w:t xml:space="preserve">additions or alterations that would soften </w:t>
      </w:r>
      <w:r w:rsidR="007C0CF7">
        <w:t xml:space="preserve">the treatment of eligibility. </w:t>
      </w:r>
    </w:p>
    <w:p w14:paraId="488BD3A7" w14:textId="450600DC" w:rsidR="00A5516B" w:rsidRDefault="00A5516B" w:rsidP="00C4338C">
      <w:pPr>
        <w:pStyle w:val="Bullet"/>
      </w:pPr>
      <w:r>
        <w:t>Essity Austr</w:t>
      </w:r>
      <w:r w:rsidR="002B2879">
        <w:t>alasia</w:t>
      </w:r>
      <w:r w:rsidR="0045015D">
        <w:t xml:space="preserve"> (Essity)</w:t>
      </w:r>
      <w:r>
        <w:t xml:space="preserve"> suggested that lower thresholds should be developed </w:t>
      </w:r>
      <w:r w:rsidR="001C70E3">
        <w:t>and that</w:t>
      </w:r>
      <w:r w:rsidR="00600828">
        <w:t xml:space="preserve"> </w:t>
      </w:r>
      <w:r w:rsidR="00D65103">
        <w:t xml:space="preserve">a tiered structure </w:t>
      </w:r>
      <w:r w:rsidR="009B7C4A">
        <w:t>would mitigate the impacts of falling below a threshold</w:t>
      </w:r>
      <w:r w:rsidR="003B2376">
        <w:t xml:space="preserve">. </w:t>
      </w:r>
    </w:p>
    <w:p w14:paraId="66F387BE" w14:textId="6A4C9680" w:rsidR="00160C10" w:rsidRDefault="00160C10" w:rsidP="00C4338C">
      <w:pPr>
        <w:pStyle w:val="Bullet"/>
      </w:pPr>
      <w:r>
        <w:t xml:space="preserve">Ballance Agri-Nutrients suggested that a secondary screening </w:t>
      </w:r>
      <w:r w:rsidR="005B5C8E">
        <w:t>is included</w:t>
      </w:r>
      <w:r>
        <w:t xml:space="preserve"> if an activity has a change in </w:t>
      </w:r>
      <w:r w:rsidR="00A36039">
        <w:t>eligibility</w:t>
      </w:r>
      <w:r>
        <w:t xml:space="preserve">. </w:t>
      </w:r>
    </w:p>
    <w:p w14:paraId="6FD2CD33" w14:textId="7FB5BFC8" w:rsidR="00517CC9" w:rsidRDefault="00517CC9" w:rsidP="00C4338C">
      <w:pPr>
        <w:pStyle w:val="Bullet"/>
      </w:pPr>
      <w:r>
        <w:t>Evonik Peroxide</w:t>
      </w:r>
      <w:r w:rsidR="00913BB9">
        <w:t>,</w:t>
      </w:r>
      <w:r w:rsidR="008C5AB8">
        <w:t xml:space="preserve"> Ballance Agri-Nutrients</w:t>
      </w:r>
      <w:r w:rsidR="00C27570">
        <w:t>,</w:t>
      </w:r>
      <w:r w:rsidR="008C5AB8">
        <w:t xml:space="preserve"> </w:t>
      </w:r>
      <w:r w:rsidR="00913BB9">
        <w:t xml:space="preserve">and Pan Pac </w:t>
      </w:r>
      <w:r>
        <w:t>suggested that if a</w:t>
      </w:r>
      <w:r w:rsidR="00396BD4">
        <w:t xml:space="preserve">n activity drops below a threshold, then </w:t>
      </w:r>
      <w:r w:rsidR="008922C3">
        <w:t>its</w:t>
      </w:r>
      <w:r w:rsidR="00396BD4">
        <w:t xml:space="preserve"> step change in allocation is moderated through </w:t>
      </w:r>
      <w:r w:rsidR="00DB7E24">
        <w:t xml:space="preserve">additional thresholds. </w:t>
      </w:r>
    </w:p>
    <w:p w14:paraId="35E8423E" w14:textId="3BF56892" w:rsidR="00A36039" w:rsidRDefault="00767963" w:rsidP="00C4338C">
      <w:pPr>
        <w:pStyle w:val="Bullet"/>
      </w:pPr>
      <w:r>
        <w:t>RWPS</w:t>
      </w:r>
      <w:r w:rsidR="00A36039">
        <w:t xml:space="preserve"> were concerned</w:t>
      </w:r>
      <w:r w:rsidR="005B5C8E">
        <w:t xml:space="preserve"> about</w:t>
      </w:r>
      <w:r w:rsidR="00A36039">
        <w:t xml:space="preserve"> falling </w:t>
      </w:r>
      <w:r w:rsidR="004040AC">
        <w:t>below</w:t>
      </w:r>
      <w:r w:rsidR="00A36039">
        <w:t xml:space="preserve"> a threshold and losing eligibility</w:t>
      </w:r>
      <w:r w:rsidR="005E6A82">
        <w:t xml:space="preserve">. </w:t>
      </w:r>
      <w:r w:rsidR="00E974A6">
        <w:t>It was</w:t>
      </w:r>
      <w:r w:rsidR="005E6A82">
        <w:t xml:space="preserve"> i</w:t>
      </w:r>
      <w:r w:rsidR="00F7071B">
        <w:t>n favour of additional thresholds</w:t>
      </w:r>
      <w:r w:rsidR="005E6A82">
        <w:t xml:space="preserve"> to mitigate this</w:t>
      </w:r>
      <w:r w:rsidR="00D83665">
        <w:t xml:space="preserve"> risk</w:t>
      </w:r>
      <w:r w:rsidR="00A36039">
        <w:t xml:space="preserve">. </w:t>
      </w:r>
    </w:p>
    <w:p w14:paraId="57D796CA" w14:textId="1AF1BC9A" w:rsidR="00405366" w:rsidRDefault="005918EF" w:rsidP="004B5961">
      <w:pPr>
        <w:pStyle w:val="Bodytextbold"/>
      </w:pPr>
      <w:r>
        <w:t xml:space="preserve">Question 10: </w:t>
      </w:r>
      <w:r w:rsidR="00405366" w:rsidRPr="00405366">
        <w:t xml:space="preserve">Would a sliding scale threshold system better target eligibility and assistance? </w:t>
      </w:r>
    </w:p>
    <w:p w14:paraId="60A4490C" w14:textId="4996F80A" w:rsidR="00C7188F" w:rsidRDefault="004115D1" w:rsidP="00C7188F">
      <w:pPr>
        <w:pStyle w:val="BodyText"/>
      </w:pPr>
      <w:r>
        <w:t>Twenty-two per cent of submitters agreed that a sliding scale threshold system</w:t>
      </w:r>
      <w:r w:rsidR="000A045C">
        <w:rPr>
          <w:rStyle w:val="FootnoteReference"/>
        </w:rPr>
        <w:footnoteReference w:id="5"/>
      </w:r>
      <w:r>
        <w:t xml:space="preserve"> would </w:t>
      </w:r>
      <w:r w:rsidR="00C7188F">
        <w:t>better target eligibility</w:t>
      </w:r>
      <w:r w:rsidR="002D6B62">
        <w:t xml:space="preserve"> (</w:t>
      </w:r>
      <w:r w:rsidR="003E737E">
        <w:t>Pan Pac, Essity, Coal Action Network, NZ Steel</w:t>
      </w:r>
      <w:r w:rsidR="00B265D0">
        <w:t>, Evonik Peroxide</w:t>
      </w:r>
      <w:r w:rsidR="00882F81">
        <w:t xml:space="preserve">, Ballance Agri-Nutrients, </w:t>
      </w:r>
      <w:r w:rsidR="00541F1E">
        <w:t>WPI</w:t>
      </w:r>
      <w:r w:rsidR="00DB3314">
        <w:t xml:space="preserve">, Golden Bay Cement, Horticulture NZ, </w:t>
      </w:r>
      <w:r w:rsidR="00767963">
        <w:t>RWPS</w:t>
      </w:r>
      <w:r w:rsidR="00DB3314">
        <w:t xml:space="preserve">, </w:t>
      </w:r>
      <w:r w:rsidR="00DB3314" w:rsidRPr="00EB7144">
        <w:t>individuals)</w:t>
      </w:r>
      <w:r w:rsidR="00F9573F" w:rsidRPr="00EB7144">
        <w:t xml:space="preserve">. </w:t>
      </w:r>
      <w:r w:rsidR="00EB7144" w:rsidRPr="004136BC">
        <w:t>A</w:t>
      </w:r>
      <w:r w:rsidR="00F9573F" w:rsidRPr="00EB7144">
        <w:t xml:space="preserve"> </w:t>
      </w:r>
      <w:r w:rsidR="00F9573F">
        <w:t>majority only supported additional thresholds if it</w:t>
      </w:r>
      <w:r w:rsidR="008949E3">
        <w:t xml:space="preserve"> reduced over-</w:t>
      </w:r>
      <w:r w:rsidR="00A424E3">
        <w:t>allocation</w:t>
      </w:r>
      <w:r w:rsidR="00C7188F">
        <w:t xml:space="preserve">. </w:t>
      </w:r>
      <w:r w:rsidR="004D0ABC">
        <w:t>Three</w:t>
      </w:r>
      <w:r w:rsidR="00C7188F">
        <w:t xml:space="preserve"> per cent disagreed</w:t>
      </w:r>
      <w:r w:rsidR="00D401CF">
        <w:t xml:space="preserve"> or were in favour of the status quo</w:t>
      </w:r>
      <w:r w:rsidR="00D51A9E">
        <w:t>,</w:t>
      </w:r>
      <w:r w:rsidR="00F04885">
        <w:t xml:space="preserve"> including Oji Fibre</w:t>
      </w:r>
      <w:r w:rsidR="008F56EC">
        <w:t xml:space="preserve"> Solutions</w:t>
      </w:r>
      <w:r w:rsidR="00F04885">
        <w:t>, Graymont</w:t>
      </w:r>
      <w:r w:rsidR="008F56EC">
        <w:t>, and</w:t>
      </w:r>
      <w:r w:rsidR="00F04885">
        <w:t xml:space="preserve"> Methanex</w:t>
      </w:r>
      <w:r w:rsidR="003E29F8">
        <w:t>. S</w:t>
      </w:r>
      <w:r w:rsidR="00C7188F">
        <w:t>eventy-f</w:t>
      </w:r>
      <w:r w:rsidR="004D0ABC">
        <w:t>ive</w:t>
      </w:r>
      <w:r w:rsidR="00C7188F">
        <w:t xml:space="preserve"> per cent either did not answer or were not explicit in their answer. </w:t>
      </w:r>
    </w:p>
    <w:p w14:paraId="4845E06B" w14:textId="458F8834" w:rsidR="00B07388" w:rsidRDefault="00A8786D" w:rsidP="00E96DD5">
      <w:pPr>
        <w:pStyle w:val="BodyText"/>
      </w:pPr>
      <w:r>
        <w:t>Horticulture</w:t>
      </w:r>
      <w:r w:rsidR="00FC0341">
        <w:t xml:space="preserve"> NZ, </w:t>
      </w:r>
      <w:r w:rsidR="00833FC6">
        <w:t>Golden Bay Cemen</w:t>
      </w:r>
      <w:r w:rsidR="00787FAD">
        <w:t>t</w:t>
      </w:r>
      <w:r w:rsidR="009D0BCD">
        <w:t>, Evonik Peroxide</w:t>
      </w:r>
      <w:r w:rsidR="00366EE2">
        <w:t>, Ballance Agri-Nutrients</w:t>
      </w:r>
      <w:r w:rsidR="00787FAD">
        <w:t>, Pan Pac,</w:t>
      </w:r>
      <w:r w:rsidR="003E1878">
        <w:t xml:space="preserve"> </w:t>
      </w:r>
      <w:r>
        <w:t xml:space="preserve">and </w:t>
      </w:r>
      <w:r w:rsidR="00767963">
        <w:t>RWPS</w:t>
      </w:r>
      <w:r>
        <w:t xml:space="preserve"> agreed that a sliding scale would be beneficial</w:t>
      </w:r>
      <w:r w:rsidR="00E90620">
        <w:t xml:space="preserve"> as it</w:t>
      </w:r>
      <w:r>
        <w:t xml:space="preserve"> </w:t>
      </w:r>
      <w:r w:rsidR="00E90620">
        <w:t xml:space="preserve">would </w:t>
      </w:r>
      <w:r>
        <w:t xml:space="preserve">either </w:t>
      </w:r>
      <w:r w:rsidR="00E90620">
        <w:t xml:space="preserve">provide better support to industries or would help </w:t>
      </w:r>
      <w:r>
        <w:t xml:space="preserve">reduce distortions if </w:t>
      </w:r>
      <w:r w:rsidR="00833FC6">
        <w:t xml:space="preserve">activities fall short of a threshold. </w:t>
      </w:r>
    </w:p>
    <w:p w14:paraId="180B66B9" w14:textId="3FD23436" w:rsidR="00432473" w:rsidRDefault="00AF3939" w:rsidP="00E96DD5">
      <w:pPr>
        <w:pStyle w:val="BodyText"/>
      </w:pPr>
      <w:r>
        <w:t xml:space="preserve">One individual </w:t>
      </w:r>
      <w:r w:rsidR="00A8622F">
        <w:t xml:space="preserve">mentioned that </w:t>
      </w:r>
      <w:r w:rsidR="00BA1BD4">
        <w:t xml:space="preserve">a sliding threshold </w:t>
      </w:r>
      <w:r>
        <w:t xml:space="preserve">could increase the risk of gaming the system. </w:t>
      </w:r>
      <w:r w:rsidR="003443AD">
        <w:t xml:space="preserve">Another said that </w:t>
      </w:r>
      <w:r w:rsidR="0007648B">
        <w:t xml:space="preserve">a sliding scale could cause uncertainty when a review occurs. </w:t>
      </w:r>
    </w:p>
    <w:p w14:paraId="7E29CF9C" w14:textId="77777777" w:rsidR="00D40C76" w:rsidRDefault="00D40C76" w:rsidP="00E96DD5">
      <w:pPr>
        <w:pStyle w:val="BodyText"/>
      </w:pPr>
    </w:p>
    <w:p w14:paraId="653AD715" w14:textId="3507F5D6" w:rsidR="00405366" w:rsidRDefault="005918EF" w:rsidP="004B5961">
      <w:pPr>
        <w:pStyle w:val="Bodytextbold"/>
      </w:pPr>
      <w:r>
        <w:lastRenderedPageBreak/>
        <w:t xml:space="preserve">Question 11: </w:t>
      </w:r>
      <w:r w:rsidR="00405366" w:rsidRPr="00405366">
        <w:t xml:space="preserve">Should the New Zealand EAF be used when determining eligibility? </w:t>
      </w:r>
    </w:p>
    <w:p w14:paraId="36C24B6C" w14:textId="3E27617B" w:rsidR="006E4CA3" w:rsidRDefault="006E4CA3" w:rsidP="00E96DD5">
      <w:pPr>
        <w:pStyle w:val="BodyText"/>
      </w:pPr>
      <w:r>
        <w:t>Twenty-five per cent</w:t>
      </w:r>
      <w:r w:rsidR="0082510F">
        <w:t xml:space="preserve"> of submitters agreed that a N</w:t>
      </w:r>
      <w:r w:rsidR="00212160">
        <w:t xml:space="preserve">ew </w:t>
      </w:r>
      <w:r w:rsidR="0082510F">
        <w:t>Z</w:t>
      </w:r>
      <w:r w:rsidR="00212160">
        <w:t>ealand</w:t>
      </w:r>
      <w:r w:rsidR="0082510F">
        <w:t xml:space="preserve"> EAF should be used when determining eligibility</w:t>
      </w:r>
      <w:r w:rsidR="004D792D">
        <w:t xml:space="preserve"> (Ngai Tahu, </w:t>
      </w:r>
      <w:r w:rsidR="00F93FBB">
        <w:t>Essity, individuals, various ENGOs)</w:t>
      </w:r>
      <w:r w:rsidR="00ED38D1">
        <w:t>.</w:t>
      </w:r>
      <w:r w:rsidR="0082510F">
        <w:t xml:space="preserve"> </w:t>
      </w:r>
      <w:r w:rsidR="00ED38D1">
        <w:t>S</w:t>
      </w:r>
      <w:r w:rsidR="0082510F">
        <w:t>ix per cent disagreed</w:t>
      </w:r>
      <w:r w:rsidR="001519C3">
        <w:t xml:space="preserve"> – almost all these submitters were allocation recipients</w:t>
      </w:r>
      <w:r w:rsidR="0082510F">
        <w:t xml:space="preserve">, and </w:t>
      </w:r>
      <w:r w:rsidR="00ED38D1">
        <w:t>69</w:t>
      </w:r>
      <w:r w:rsidR="0082510F">
        <w:t xml:space="preserve"> </w:t>
      </w:r>
      <w:r w:rsidR="00393E4C">
        <w:t>per cent either did not answer or were not explicit in their answer.</w:t>
      </w:r>
      <w:r w:rsidR="004926FB">
        <w:t xml:space="preserve"> A few submitters </w:t>
      </w:r>
      <w:r w:rsidR="00193003">
        <w:t>mentioned that if a N</w:t>
      </w:r>
      <w:r w:rsidR="00212160">
        <w:t xml:space="preserve">ew </w:t>
      </w:r>
      <w:r w:rsidR="00193003">
        <w:t>Z</w:t>
      </w:r>
      <w:r w:rsidR="00212160">
        <w:t>ealand</w:t>
      </w:r>
      <w:r w:rsidR="00193003">
        <w:t xml:space="preserve"> EAF were to be used</w:t>
      </w:r>
      <w:r w:rsidR="00800937">
        <w:t>,</w:t>
      </w:r>
      <w:r w:rsidR="00193003">
        <w:t xml:space="preserve"> the emissions intensity thresholds would require a corresponding adjustment. </w:t>
      </w:r>
    </w:p>
    <w:p w14:paraId="60327B38" w14:textId="65F83D7F" w:rsidR="008837C5" w:rsidRDefault="004949B9" w:rsidP="00E96DD5">
      <w:pPr>
        <w:pStyle w:val="BodyText"/>
      </w:pPr>
      <w:r>
        <w:t xml:space="preserve">Pan Pac </w:t>
      </w:r>
      <w:r w:rsidR="00761DAE">
        <w:t xml:space="preserve">considered that the </w:t>
      </w:r>
      <w:r w:rsidR="00800937">
        <w:t xml:space="preserve">current </w:t>
      </w:r>
      <w:r w:rsidR="00761DAE">
        <w:t xml:space="preserve">Australian EAF </w:t>
      </w:r>
      <w:r w:rsidR="008D0035">
        <w:t>is</w:t>
      </w:r>
      <w:r w:rsidR="00761DAE">
        <w:t xml:space="preserve"> better suited for </w:t>
      </w:r>
      <w:r w:rsidR="00193003">
        <w:t>eligibility</w:t>
      </w:r>
      <w:r w:rsidR="00761DAE">
        <w:t xml:space="preserve"> purposes </w:t>
      </w:r>
      <w:r w:rsidR="001519C3">
        <w:t xml:space="preserve">because </w:t>
      </w:r>
      <w:r w:rsidR="009D71A7">
        <w:t xml:space="preserve">it accounts for leakage risk from </w:t>
      </w:r>
      <w:r w:rsidR="00F32A7A">
        <w:t xml:space="preserve">competing </w:t>
      </w:r>
      <w:r w:rsidR="00B54BF9">
        <w:t>Australian production</w:t>
      </w:r>
      <w:r w:rsidR="00F32A7A">
        <w:t>.</w:t>
      </w:r>
      <w:r w:rsidR="009D71A7">
        <w:t xml:space="preserve"> </w:t>
      </w:r>
      <w:r w:rsidR="008837C5">
        <w:t xml:space="preserve">Golden Bay </w:t>
      </w:r>
      <w:r w:rsidR="00272154">
        <w:t>C</w:t>
      </w:r>
      <w:r w:rsidR="009D71A7">
        <w:t xml:space="preserve">ement </w:t>
      </w:r>
      <w:r w:rsidR="001B2697">
        <w:t xml:space="preserve">stated there would </w:t>
      </w:r>
      <w:r w:rsidR="006A62B9">
        <w:t>be</w:t>
      </w:r>
      <w:r w:rsidR="008837C5">
        <w:t xml:space="preserve"> an increase in leakage risk if the </w:t>
      </w:r>
      <w:r w:rsidR="001519C3">
        <w:t>N</w:t>
      </w:r>
      <w:r w:rsidR="00D77182">
        <w:t xml:space="preserve">ew </w:t>
      </w:r>
      <w:r w:rsidR="001519C3">
        <w:t>Z</w:t>
      </w:r>
      <w:r w:rsidR="00D77182">
        <w:t>ealand</w:t>
      </w:r>
      <w:r w:rsidR="001519C3">
        <w:t xml:space="preserve"> </w:t>
      </w:r>
      <w:r w:rsidR="008837C5">
        <w:t xml:space="preserve">EAF was </w:t>
      </w:r>
      <w:r w:rsidR="001519C3">
        <w:t>used to determine eligibility</w:t>
      </w:r>
      <w:r w:rsidR="009B74E2">
        <w:t xml:space="preserve"> because of low-cost thermal power offshore</w:t>
      </w:r>
      <w:r w:rsidR="001519C3">
        <w:t xml:space="preserve">. </w:t>
      </w:r>
    </w:p>
    <w:p w14:paraId="79A97B94" w14:textId="0EE8660E" w:rsidR="00910406" w:rsidRDefault="00910406" w:rsidP="00E96DD5">
      <w:pPr>
        <w:pStyle w:val="BodyText"/>
      </w:pPr>
      <w:r>
        <w:t>NZ Steel</w:t>
      </w:r>
      <w:r w:rsidR="00905564">
        <w:t>,</w:t>
      </w:r>
      <w:r>
        <w:t xml:space="preserve"> on net</w:t>
      </w:r>
      <w:r w:rsidR="00905564">
        <w:t>,</w:t>
      </w:r>
      <w:r>
        <w:t xml:space="preserve"> </w:t>
      </w:r>
      <w:r w:rsidR="00D475D4">
        <w:t>support</w:t>
      </w:r>
      <w:r w:rsidR="00905564">
        <w:t>ed</w:t>
      </w:r>
      <w:r w:rsidR="00D475D4">
        <w:t xml:space="preserve"> the retention of the existing Australian EAF. </w:t>
      </w:r>
      <w:r w:rsidR="00D51A9E">
        <w:t>It</w:t>
      </w:r>
      <w:r w:rsidR="004E0B34">
        <w:t xml:space="preserve"> mentioned that using the N</w:t>
      </w:r>
      <w:r w:rsidR="001F1EBE">
        <w:t xml:space="preserve">ew </w:t>
      </w:r>
      <w:r w:rsidR="004E0B34">
        <w:t>Z</w:t>
      </w:r>
      <w:r w:rsidR="001F1EBE">
        <w:t>ealand</w:t>
      </w:r>
      <w:r w:rsidR="004E0B34">
        <w:t xml:space="preserve"> EAF would result in substantial </w:t>
      </w:r>
      <w:r w:rsidR="00571777">
        <w:t>changes to eligibility and therefore the thresholds would require a reset</w:t>
      </w:r>
      <w:r w:rsidR="00F81A81">
        <w:t>,</w:t>
      </w:r>
      <w:r w:rsidR="00C54E1E">
        <w:t xml:space="preserve"> which would </w:t>
      </w:r>
      <w:r w:rsidR="00BA4710">
        <w:t>involve considerable effort</w:t>
      </w:r>
      <w:r w:rsidR="00953B28">
        <w:t xml:space="preserve">. </w:t>
      </w:r>
      <w:r w:rsidR="00D51A9E">
        <w:t>It</w:t>
      </w:r>
      <w:r w:rsidR="00B066FD">
        <w:t xml:space="preserve"> also</w:t>
      </w:r>
      <w:r w:rsidR="00117F26">
        <w:t xml:space="preserve"> said </w:t>
      </w:r>
      <w:r w:rsidR="001D5DDE">
        <w:t xml:space="preserve">additional complexity to </w:t>
      </w:r>
      <w:r w:rsidR="00117F26">
        <w:t xml:space="preserve">eligibility is </w:t>
      </w:r>
      <w:r w:rsidR="00787476">
        <w:t>not justified</w:t>
      </w:r>
      <w:r w:rsidR="006A5141">
        <w:t xml:space="preserve"> given the </w:t>
      </w:r>
      <w:r w:rsidR="007D26CB">
        <w:t xml:space="preserve">“blunt policy instrument” </w:t>
      </w:r>
      <w:r w:rsidR="006A5141">
        <w:t>of the phase-out</w:t>
      </w:r>
      <w:r w:rsidR="005C5951">
        <w:t xml:space="preserve"> of the level</w:t>
      </w:r>
      <w:r w:rsidR="000B2E78">
        <w:t>s</w:t>
      </w:r>
      <w:r w:rsidR="005C5951">
        <w:t xml:space="preserve"> of assistance</w:t>
      </w:r>
      <w:r w:rsidR="007D26CB">
        <w:t xml:space="preserve">. </w:t>
      </w:r>
    </w:p>
    <w:p w14:paraId="7969173D" w14:textId="3D021E0F" w:rsidR="00405366" w:rsidRDefault="005918EF" w:rsidP="004B5961">
      <w:pPr>
        <w:pStyle w:val="Bodytextbold"/>
      </w:pPr>
      <w:r>
        <w:t xml:space="preserve">Question 12: </w:t>
      </w:r>
      <w:r w:rsidR="00405366" w:rsidRPr="00405366">
        <w:t xml:space="preserve">Should periodic updates of the EAF trigger a recalculation of eligibility? </w:t>
      </w:r>
    </w:p>
    <w:p w14:paraId="33B5ADA0" w14:textId="049FD698" w:rsidR="0031156D" w:rsidRDefault="006A156D" w:rsidP="00E96DD5">
      <w:pPr>
        <w:pStyle w:val="BodyText"/>
      </w:pPr>
      <w:r>
        <w:t xml:space="preserve">Twenty-two per cent of submitters agreed that </w:t>
      </w:r>
      <w:r w:rsidR="004A4782">
        <w:t>eligibility should be reassessed if there is an update to the EAF</w:t>
      </w:r>
      <w:r w:rsidR="00BF361B">
        <w:t xml:space="preserve"> – the majority being individuals or </w:t>
      </w:r>
      <w:r w:rsidR="008E0779">
        <w:t>environmental groups</w:t>
      </w:r>
      <w:r w:rsidR="006A62B9">
        <w:t>.</w:t>
      </w:r>
      <w:r w:rsidR="004A4782">
        <w:t xml:space="preserve"> </w:t>
      </w:r>
      <w:r w:rsidR="006A62B9">
        <w:t>E</w:t>
      </w:r>
      <w:r w:rsidR="004A4782">
        <w:t xml:space="preserve">ight per cent disagreed </w:t>
      </w:r>
      <w:r w:rsidR="009C3902">
        <w:t>(</w:t>
      </w:r>
      <w:r w:rsidR="00D850E2">
        <w:t xml:space="preserve">predominantly industries) </w:t>
      </w:r>
      <w:r w:rsidR="004A4782">
        <w:t xml:space="preserve">and </w:t>
      </w:r>
      <w:r w:rsidR="00F93C0C">
        <w:t>71</w:t>
      </w:r>
      <w:r w:rsidR="004A4782">
        <w:t xml:space="preserve"> per cent either did not answer or were not explicit in their answer. </w:t>
      </w:r>
    </w:p>
    <w:p w14:paraId="27970911" w14:textId="02F83ED8" w:rsidR="00AD3F2B" w:rsidRDefault="003E7380" w:rsidP="00E96DD5">
      <w:pPr>
        <w:pStyle w:val="BodyText"/>
      </w:pPr>
      <w:r>
        <w:t>Ballance Agri-Nutrients,</w:t>
      </w:r>
      <w:r w:rsidR="00FF5107">
        <w:t xml:space="preserve"> Evonik</w:t>
      </w:r>
      <w:r w:rsidR="005A6194">
        <w:t xml:space="preserve"> Peroxide</w:t>
      </w:r>
      <w:r w:rsidR="00FF5107">
        <w:t xml:space="preserve">, </w:t>
      </w:r>
      <w:r w:rsidR="00767963">
        <w:t>RWPS</w:t>
      </w:r>
      <w:r w:rsidR="005D0E62">
        <w:t xml:space="preserve">, </w:t>
      </w:r>
      <w:r w:rsidR="000A24F7">
        <w:t xml:space="preserve">Golden Bay Cement, </w:t>
      </w:r>
      <w:r w:rsidR="004B7FC6">
        <w:t>and Essity</w:t>
      </w:r>
      <w:r w:rsidR="0045015D">
        <w:t xml:space="preserve"> </w:t>
      </w:r>
      <w:r w:rsidR="00377FF2">
        <w:t xml:space="preserve">noted that tying updates of the EAF to a reassessment of eligibility would cause too much uncertainty. </w:t>
      </w:r>
      <w:r w:rsidR="00AD3F2B">
        <w:t xml:space="preserve">NZ Steel said that </w:t>
      </w:r>
      <w:r w:rsidR="00BC3C72">
        <w:t xml:space="preserve">if </w:t>
      </w:r>
      <w:r w:rsidR="006B0230">
        <w:t xml:space="preserve">the </w:t>
      </w:r>
      <w:r w:rsidR="002F7109">
        <w:t xml:space="preserve">NZ </w:t>
      </w:r>
      <w:r w:rsidR="006B0230">
        <w:t xml:space="preserve">EAF </w:t>
      </w:r>
      <w:r w:rsidR="002F7109">
        <w:t>is used for the purpose of eligibility</w:t>
      </w:r>
      <w:r w:rsidR="00F93C0C">
        <w:t>,</w:t>
      </w:r>
      <w:r w:rsidR="00440FF8">
        <w:t xml:space="preserve"> any eligibility reassessment should occur at the same frequency as </w:t>
      </w:r>
      <w:r w:rsidR="00333A0C">
        <w:t xml:space="preserve">the </w:t>
      </w:r>
      <w:r w:rsidR="006B0230">
        <w:t>update</w:t>
      </w:r>
      <w:r w:rsidR="00440FF8">
        <w:t>s to</w:t>
      </w:r>
      <w:r w:rsidR="006B0230">
        <w:t xml:space="preserve"> allocative baselines</w:t>
      </w:r>
      <w:r w:rsidR="00440FF8">
        <w:t xml:space="preserve">. </w:t>
      </w:r>
    </w:p>
    <w:p w14:paraId="3087E53A" w14:textId="434F908A" w:rsidR="00405366" w:rsidRDefault="005918EF" w:rsidP="004B5961">
      <w:pPr>
        <w:pStyle w:val="Bodytextbold"/>
      </w:pPr>
      <w:r>
        <w:t xml:space="preserve">Question 13: </w:t>
      </w:r>
      <w:r w:rsidR="00405366" w:rsidRPr="00405366">
        <w:t>Should the trade exposure test be changed?</w:t>
      </w:r>
    </w:p>
    <w:p w14:paraId="5C3B58E0" w14:textId="75049637" w:rsidR="00B62681" w:rsidRDefault="00B62681" w:rsidP="004B5961">
      <w:pPr>
        <w:pStyle w:val="Bodytextbold"/>
      </w:pPr>
      <w:r>
        <w:t>Question 14: What would be a more appropriate method to determine trade exposure?</w:t>
      </w:r>
    </w:p>
    <w:p w14:paraId="455A3434" w14:textId="49CEF926" w:rsidR="00B62681" w:rsidRPr="002671A4" w:rsidRDefault="00B62681" w:rsidP="00B62681">
      <w:pPr>
        <w:pStyle w:val="BodyText"/>
      </w:pPr>
      <w:r>
        <w:t>Submitters tended to provide general and overlapping feedback on trade</w:t>
      </w:r>
      <w:r w:rsidR="00E35B5E">
        <w:t xml:space="preserve"> </w:t>
      </w:r>
      <w:r>
        <w:t xml:space="preserve">exposure. </w:t>
      </w:r>
    </w:p>
    <w:p w14:paraId="2AE1CB2A" w14:textId="05F065AC" w:rsidR="00ED1CD2" w:rsidRDefault="00ED1CD2" w:rsidP="00ED1CD2">
      <w:pPr>
        <w:pStyle w:val="BodyText"/>
      </w:pPr>
      <w:r>
        <w:t>Twenty-five per cent of submitters agreed that the trade exposure test should be updated</w:t>
      </w:r>
      <w:r w:rsidR="00CB5F32">
        <w:t xml:space="preserve"> (predominantly individuals and ENGOs</w:t>
      </w:r>
      <w:r w:rsidR="003213DB">
        <w:t>)</w:t>
      </w:r>
      <w:r w:rsidR="00151591">
        <w:t>.</w:t>
      </w:r>
      <w:r w:rsidR="002B6E37">
        <w:t xml:space="preserve"> </w:t>
      </w:r>
      <w:r w:rsidR="00151591">
        <w:t>T</w:t>
      </w:r>
      <w:r w:rsidR="002B6E37">
        <w:t>he majority reason</w:t>
      </w:r>
      <w:r w:rsidR="00151591">
        <w:t>ed</w:t>
      </w:r>
      <w:r w:rsidR="002B6E37">
        <w:t xml:space="preserve"> that the current </w:t>
      </w:r>
      <w:r w:rsidR="00151591">
        <w:t xml:space="preserve">trade exposure </w:t>
      </w:r>
      <w:r w:rsidR="002B6E37">
        <w:t xml:space="preserve">criterion </w:t>
      </w:r>
      <w:r w:rsidR="00151591">
        <w:t>was</w:t>
      </w:r>
      <w:r w:rsidR="002B6E37">
        <w:t xml:space="preserve"> too weak</w:t>
      </w:r>
      <w:r w:rsidR="004650CA">
        <w:t>.</w:t>
      </w:r>
      <w:r w:rsidR="0064611C">
        <w:t xml:space="preserve"> E</w:t>
      </w:r>
      <w:r>
        <w:t>ight per cent disagreed</w:t>
      </w:r>
      <w:r w:rsidR="00A027D7">
        <w:t xml:space="preserve"> that the trade</w:t>
      </w:r>
      <w:r w:rsidR="00362E55">
        <w:t xml:space="preserve"> </w:t>
      </w:r>
      <w:r w:rsidR="00A027D7">
        <w:t>exposure test should be updated</w:t>
      </w:r>
      <w:r>
        <w:t xml:space="preserve"> and </w:t>
      </w:r>
      <w:r w:rsidR="00F93C0C">
        <w:t>67</w:t>
      </w:r>
      <w:r>
        <w:t xml:space="preserve"> per cent either did not answer or were not explicit in their answer. </w:t>
      </w:r>
    </w:p>
    <w:p w14:paraId="3E4B19FF" w14:textId="72792EB2" w:rsidR="00842C9B" w:rsidRDefault="00B8505B" w:rsidP="0064611C">
      <w:pPr>
        <w:pStyle w:val="BodyText"/>
      </w:pPr>
      <w:r w:rsidRPr="004D6F81">
        <w:t xml:space="preserve">Almost all submitters </w:t>
      </w:r>
      <w:r w:rsidR="00E239A2">
        <w:t xml:space="preserve">that were </w:t>
      </w:r>
      <w:r w:rsidRPr="004D6F81">
        <w:t>against updating the trade</w:t>
      </w:r>
      <w:r w:rsidR="00D51A9E">
        <w:t xml:space="preserve"> </w:t>
      </w:r>
      <w:r w:rsidRPr="004D6F81">
        <w:t xml:space="preserve">exposure test were allocation recipients. </w:t>
      </w:r>
      <w:r w:rsidR="006D7F47" w:rsidRPr="004D6F81">
        <w:t>NZ Steel</w:t>
      </w:r>
      <w:r w:rsidR="006D55B1" w:rsidRPr="004D6F81">
        <w:t xml:space="preserve"> and</w:t>
      </w:r>
      <w:r w:rsidR="005B4EED" w:rsidRPr="004D6F81">
        <w:t xml:space="preserve"> Graymont </w:t>
      </w:r>
      <w:r w:rsidR="006D7F47" w:rsidRPr="004D6F81">
        <w:t xml:space="preserve">said there is little point </w:t>
      </w:r>
      <w:r w:rsidR="00EB6A45" w:rsidRPr="004D6F81">
        <w:t xml:space="preserve">in </w:t>
      </w:r>
      <w:r w:rsidR="00DA69D9" w:rsidRPr="004D6F81">
        <w:t xml:space="preserve">expanding or updating the trade exposure criteria </w:t>
      </w:r>
      <w:r w:rsidR="006D7F47" w:rsidRPr="004D6F81">
        <w:t xml:space="preserve">as </w:t>
      </w:r>
      <w:r w:rsidR="00DA69D9" w:rsidRPr="004D6F81">
        <w:t>they are clearly eligible</w:t>
      </w:r>
      <w:r w:rsidR="00621DB0" w:rsidRPr="004D6F81">
        <w:t xml:space="preserve">, or </w:t>
      </w:r>
      <w:r w:rsidR="004D6B1F" w:rsidRPr="004D6F81">
        <w:t xml:space="preserve">that </w:t>
      </w:r>
      <w:r w:rsidR="00621DB0" w:rsidRPr="004D6F81">
        <w:t xml:space="preserve">it would </w:t>
      </w:r>
      <w:r w:rsidR="00A32390" w:rsidRPr="004D6F81">
        <w:t>add unnecessary complexity</w:t>
      </w:r>
      <w:r w:rsidR="00AA09C0">
        <w:t>, while Evonik Pero</w:t>
      </w:r>
      <w:r w:rsidR="005A6194">
        <w:t>xide</w:t>
      </w:r>
      <w:r w:rsidR="00AA09C0">
        <w:t xml:space="preserve"> saw little benefit from doing so</w:t>
      </w:r>
      <w:r w:rsidR="00DA69D9" w:rsidRPr="004D6F81">
        <w:t xml:space="preserve">. </w:t>
      </w:r>
      <w:r w:rsidR="006D55B1" w:rsidRPr="004D6F81">
        <w:t>Ballance Agri-Nutrients</w:t>
      </w:r>
      <w:r w:rsidR="00911165" w:rsidRPr="004D6F81">
        <w:t xml:space="preserve"> said the current test is </w:t>
      </w:r>
      <w:r w:rsidR="00911165" w:rsidRPr="00F25DDD">
        <w:t>appropriate for urea production</w:t>
      </w:r>
      <w:r w:rsidR="00DF3991" w:rsidRPr="00F25DDD">
        <w:t xml:space="preserve">, but that </w:t>
      </w:r>
      <w:r w:rsidR="009A6AF8" w:rsidRPr="00F25DDD">
        <w:t xml:space="preserve">considering </w:t>
      </w:r>
      <w:r w:rsidR="00316E6C" w:rsidRPr="00F25DDD">
        <w:t xml:space="preserve">activities in other </w:t>
      </w:r>
      <w:r w:rsidR="00387D3E" w:rsidRPr="00F25DDD">
        <w:t>trading schemes</w:t>
      </w:r>
      <w:r w:rsidR="003C1852" w:rsidRPr="00F25DDD">
        <w:t xml:space="preserve"> </w:t>
      </w:r>
      <w:r w:rsidR="00316E6C" w:rsidRPr="00F25DDD">
        <w:t>could reaffirm trade exposure</w:t>
      </w:r>
      <w:r w:rsidR="00DF3991" w:rsidRPr="00F25DDD">
        <w:t xml:space="preserve">. </w:t>
      </w:r>
    </w:p>
    <w:p w14:paraId="6983F2E5" w14:textId="0B1ACA55" w:rsidR="00BD3C7C" w:rsidRDefault="00EE619B" w:rsidP="0064611C">
      <w:pPr>
        <w:pStyle w:val="BodyText"/>
      </w:pPr>
      <w:r>
        <w:t>Some</w:t>
      </w:r>
      <w:r w:rsidR="008D655E">
        <w:t xml:space="preserve"> submitters (14 per cent) said </w:t>
      </w:r>
      <w:r w:rsidR="000253C0">
        <w:t xml:space="preserve">the onus should be on businesses to prove they are </w:t>
      </w:r>
      <w:proofErr w:type="gramStart"/>
      <w:r w:rsidR="00221817">
        <w:t>trade</w:t>
      </w:r>
      <w:r w:rsidR="00E35B5E">
        <w:t>-</w:t>
      </w:r>
      <w:r w:rsidR="00221817">
        <w:t>exposed</w:t>
      </w:r>
      <w:proofErr w:type="gramEnd"/>
      <w:r w:rsidR="00956B5D">
        <w:t>. T</w:t>
      </w:r>
      <w:r w:rsidR="00F11D68">
        <w:t xml:space="preserve">he majority supporting this statement came </w:t>
      </w:r>
      <w:r w:rsidR="00582149">
        <w:t xml:space="preserve">from individual submitters. </w:t>
      </w:r>
    </w:p>
    <w:p w14:paraId="4A2815E9" w14:textId="0330C768" w:rsidR="00653DAB" w:rsidRDefault="00653DAB" w:rsidP="0064611C">
      <w:pPr>
        <w:pStyle w:val="BodyText"/>
      </w:pPr>
      <w:r>
        <w:lastRenderedPageBreak/>
        <w:t xml:space="preserve">Ecologic mentioned that </w:t>
      </w:r>
      <w:r w:rsidR="004E2997">
        <w:t xml:space="preserve">current </w:t>
      </w:r>
      <w:r>
        <w:t>trade</w:t>
      </w:r>
      <w:r w:rsidR="00362E55">
        <w:t xml:space="preserve"> </w:t>
      </w:r>
      <w:r>
        <w:t xml:space="preserve">exposure criteria (and emissions intensity criteria) do not </w:t>
      </w:r>
      <w:proofErr w:type="gramStart"/>
      <w:r>
        <w:t>take into account</w:t>
      </w:r>
      <w:proofErr w:type="gramEnd"/>
      <w:r>
        <w:t xml:space="preserve"> overseas policy</w:t>
      </w:r>
      <w:r w:rsidR="00600DCB">
        <w:t>,</w:t>
      </w:r>
      <w:r>
        <w:t xml:space="preserve"> which is a significant consideration in </w:t>
      </w:r>
      <w:r w:rsidR="004E2997">
        <w:t xml:space="preserve">determining leakage risk. </w:t>
      </w:r>
    </w:p>
    <w:p w14:paraId="2579C083" w14:textId="0C2755EB" w:rsidR="00B85BE4" w:rsidRDefault="00295273" w:rsidP="0064611C">
      <w:pPr>
        <w:pStyle w:val="BodyText"/>
      </w:pPr>
      <w:r>
        <w:t xml:space="preserve">Suggestions on updates to the trade exposure criterion were: </w:t>
      </w:r>
    </w:p>
    <w:p w14:paraId="772FDE73" w14:textId="015E9E60" w:rsidR="00295273" w:rsidRDefault="00CB7C85" w:rsidP="00C4338C">
      <w:pPr>
        <w:pStyle w:val="Bullet"/>
      </w:pPr>
      <w:r>
        <w:t xml:space="preserve">a refined </w:t>
      </w:r>
      <w:r w:rsidR="00E21062">
        <w:t xml:space="preserve">trade exposure test </w:t>
      </w:r>
      <w:r>
        <w:t xml:space="preserve">could be used </w:t>
      </w:r>
      <w:r w:rsidR="005C4C4D">
        <w:t>that</w:t>
      </w:r>
      <w:r>
        <w:t xml:space="preserve"> </w:t>
      </w:r>
      <w:r w:rsidR="0068550E">
        <w:t>considers</w:t>
      </w:r>
      <w:r>
        <w:t xml:space="preserve"> the amount of international and domestic trade</w:t>
      </w:r>
    </w:p>
    <w:p w14:paraId="60B3FB47" w14:textId="25EE8832" w:rsidR="00B85BE4" w:rsidRDefault="00DF0134" w:rsidP="00C4338C">
      <w:pPr>
        <w:pStyle w:val="Bullet"/>
      </w:pPr>
      <w:r>
        <w:t>test</w:t>
      </w:r>
      <w:r w:rsidR="00076C4A">
        <w:t>s</w:t>
      </w:r>
      <w:r>
        <w:t xml:space="preserve"> </w:t>
      </w:r>
      <w:proofErr w:type="gramStart"/>
      <w:r>
        <w:t>similar to</w:t>
      </w:r>
      <w:proofErr w:type="gramEnd"/>
      <w:r>
        <w:t xml:space="preserve"> </w:t>
      </w:r>
      <w:r w:rsidR="00076C4A">
        <w:t>th</w:t>
      </w:r>
      <w:r w:rsidR="00070B77">
        <w:t>ose used in</w:t>
      </w:r>
      <w:r w:rsidR="00076C4A">
        <w:t xml:space="preserve"> </w:t>
      </w:r>
      <w:r>
        <w:t>the California</w:t>
      </w:r>
      <w:r w:rsidR="005C4C4D">
        <w:t>n</w:t>
      </w:r>
      <w:r>
        <w:t xml:space="preserve"> or European Union </w:t>
      </w:r>
      <w:r w:rsidR="00070B77">
        <w:t>emissions trading schemes</w:t>
      </w:r>
    </w:p>
    <w:p w14:paraId="59D134DF" w14:textId="4BF03B0D" w:rsidR="004B481F" w:rsidRDefault="0068550E" w:rsidP="00C4338C">
      <w:pPr>
        <w:pStyle w:val="Bullet"/>
      </w:pPr>
      <w:r>
        <w:t xml:space="preserve">a </w:t>
      </w:r>
      <w:r w:rsidR="004B481F">
        <w:t>two-stage screening</w:t>
      </w:r>
      <w:r w:rsidR="00600DCB">
        <w:t>,</w:t>
      </w:r>
      <w:r w:rsidR="004B481F">
        <w:t xml:space="preserve"> which could be more effective at determining trade</w:t>
      </w:r>
      <w:r w:rsidR="00B04F29">
        <w:t xml:space="preserve"> </w:t>
      </w:r>
      <w:r w:rsidR="004B481F">
        <w:t>exposure (NZ Steel)</w:t>
      </w:r>
    </w:p>
    <w:p w14:paraId="611C7978" w14:textId="24001D94" w:rsidR="000A2538" w:rsidRDefault="0049588D" w:rsidP="00C4338C">
      <w:pPr>
        <w:pStyle w:val="Bullet"/>
      </w:pPr>
      <w:r>
        <w:t>EITE decisions in other</w:t>
      </w:r>
      <w:r w:rsidR="000A2538">
        <w:t xml:space="preserve"> jurisdictions could be used to determine trade</w:t>
      </w:r>
      <w:r w:rsidR="00B04F29">
        <w:t xml:space="preserve"> </w:t>
      </w:r>
      <w:r w:rsidR="000A2538">
        <w:t>exposure (Ballance Agri-Nutrients)</w:t>
      </w:r>
    </w:p>
    <w:p w14:paraId="64BC2B8C" w14:textId="337B7F26" w:rsidR="00A54723" w:rsidRDefault="00FC7607" w:rsidP="00147141">
      <w:pPr>
        <w:pStyle w:val="Bullet"/>
      </w:pPr>
      <w:r>
        <w:t>a more detailed analysis of trade</w:t>
      </w:r>
      <w:r w:rsidR="00B04F29">
        <w:t xml:space="preserve"> </w:t>
      </w:r>
      <w:r>
        <w:t>exposure could be conducted if no international precedent existed (</w:t>
      </w:r>
      <w:r w:rsidR="003A3CFB">
        <w:t>WPMA</w:t>
      </w:r>
      <w:r>
        <w:t xml:space="preserve"> and Evonik Peroxide)</w:t>
      </w:r>
      <w:r w:rsidR="000A2538">
        <w:t xml:space="preserve">. </w:t>
      </w:r>
    </w:p>
    <w:p w14:paraId="51B84C4D" w14:textId="2AD7D8B8" w:rsidR="0094707A" w:rsidRPr="00C039CB" w:rsidRDefault="00E508E1" w:rsidP="00C039CB">
      <w:pPr>
        <w:pStyle w:val="Heading1"/>
        <w:rPr>
          <w:rStyle w:val="Heading1Char"/>
          <w:b/>
        </w:rPr>
      </w:pPr>
      <w:r>
        <w:br w:type="page"/>
      </w:r>
      <w:bookmarkStart w:id="14" w:name="_Toc95731390"/>
      <w:r w:rsidRPr="00C039CB">
        <w:rPr>
          <w:rStyle w:val="Heading1Char"/>
          <w:b/>
        </w:rPr>
        <w:lastRenderedPageBreak/>
        <w:t xml:space="preserve">Broader options to reform </w:t>
      </w:r>
      <w:r w:rsidR="00B50666" w:rsidRPr="00C039CB">
        <w:rPr>
          <w:rStyle w:val="Heading1Char"/>
          <w:b/>
        </w:rPr>
        <w:t xml:space="preserve">industrial </w:t>
      </w:r>
      <w:r w:rsidRPr="00C039CB">
        <w:rPr>
          <w:rStyle w:val="Heading1Char"/>
          <w:b/>
        </w:rPr>
        <w:t>allocation</w:t>
      </w:r>
      <w:bookmarkEnd w:id="14"/>
      <w:r w:rsidRPr="00C039CB">
        <w:rPr>
          <w:rStyle w:val="Heading1Char"/>
          <w:b/>
        </w:rPr>
        <w:t xml:space="preserve"> </w:t>
      </w:r>
    </w:p>
    <w:p w14:paraId="024C1D46" w14:textId="23C99A1E" w:rsidR="00DC3ABB" w:rsidRDefault="00DC3ABB" w:rsidP="00946154">
      <w:pPr>
        <w:pStyle w:val="BodyText"/>
      </w:pPr>
      <w:r w:rsidRPr="00DC3ABB">
        <w:t xml:space="preserve">The </w:t>
      </w:r>
      <w:r>
        <w:t xml:space="preserve">consultation document also discussed </w:t>
      </w:r>
      <w:r w:rsidR="00B50666">
        <w:t>other options for reform</w:t>
      </w:r>
      <w:r w:rsidR="00D8298C">
        <w:t>ing</w:t>
      </w:r>
      <w:r w:rsidR="00B50666">
        <w:t xml:space="preserve"> industrial allocation. </w:t>
      </w:r>
      <w:r w:rsidR="00EE4D73">
        <w:t>The current policy framework was developed</w:t>
      </w:r>
      <w:r w:rsidR="00815748">
        <w:t xml:space="preserve"> over 2009</w:t>
      </w:r>
      <w:r w:rsidR="00D8298C">
        <w:t>–</w:t>
      </w:r>
      <w:r w:rsidR="00815748">
        <w:t>2010 and within the context o</w:t>
      </w:r>
      <w:r w:rsidR="00637A52">
        <w:t>f the</w:t>
      </w:r>
      <w:r w:rsidR="00440AAA">
        <w:t xml:space="preserve"> allocation system developed for the proposed Australian Climate </w:t>
      </w:r>
      <w:r w:rsidR="002F228F">
        <w:t>Pollution Reduction Scheme</w:t>
      </w:r>
      <w:r w:rsidR="00D8298C">
        <w:t>,</w:t>
      </w:r>
      <w:r w:rsidR="002F228F">
        <w:t xml:space="preserve"> and New Zealand</w:t>
      </w:r>
      <w:r w:rsidR="009A0AE9">
        <w:t>’s</w:t>
      </w:r>
      <w:r w:rsidR="002F228F">
        <w:t xml:space="preserve"> weaker climate ambition at the time. </w:t>
      </w:r>
    </w:p>
    <w:p w14:paraId="11B5BD44" w14:textId="0BF716FE" w:rsidR="009A0AE9" w:rsidRPr="00DC3ABB" w:rsidRDefault="00375F38" w:rsidP="00946154">
      <w:pPr>
        <w:pStyle w:val="BodyText"/>
      </w:pPr>
      <w:r>
        <w:t xml:space="preserve">Options </w:t>
      </w:r>
      <w:r w:rsidR="002F2571">
        <w:t xml:space="preserve">covering eligibility for new activities, data reporting, and </w:t>
      </w:r>
      <w:r w:rsidR="0096141C">
        <w:t>simp</w:t>
      </w:r>
      <w:r w:rsidR="003140C9">
        <w:t>lification</w:t>
      </w:r>
      <w:r w:rsidR="0070126D">
        <w:t xml:space="preserve"> of regular </w:t>
      </w:r>
      <w:r w:rsidR="004C72ED">
        <w:t xml:space="preserve">baseline updates are discussed. </w:t>
      </w:r>
    </w:p>
    <w:p w14:paraId="32930AD6" w14:textId="3F91658E" w:rsidR="00CF5EDE" w:rsidRDefault="005918EF" w:rsidP="004B5961">
      <w:pPr>
        <w:pStyle w:val="Bodytextbold"/>
      </w:pPr>
      <w:r>
        <w:t>Question 1</w:t>
      </w:r>
      <w:r w:rsidR="00AE7E51">
        <w:t>5</w:t>
      </w:r>
      <w:r>
        <w:t xml:space="preserve">: </w:t>
      </w:r>
      <w:r w:rsidR="00CF5EDE" w:rsidRPr="00CF5EDE">
        <w:t xml:space="preserve">Do you agree with the proposal to simplify the process to update allocative baselines, to reflect changes to emissions factors, EAF or other changes to methodology? </w:t>
      </w:r>
    </w:p>
    <w:p w14:paraId="2D6D9716" w14:textId="082A250D" w:rsidR="00946154" w:rsidRDefault="003E2490" w:rsidP="00946154">
      <w:pPr>
        <w:pStyle w:val="BodyText"/>
      </w:pPr>
      <w:r>
        <w:t xml:space="preserve">Twenty-four per cent of submitters agreed that </w:t>
      </w:r>
      <w:r w:rsidR="00B85024">
        <w:t xml:space="preserve">the process </w:t>
      </w:r>
      <w:r w:rsidR="00BB5318">
        <w:t>to</w:t>
      </w:r>
      <w:r w:rsidR="00B85024">
        <w:t xml:space="preserve"> </w:t>
      </w:r>
      <w:r w:rsidR="00BB5318">
        <w:t>regularly</w:t>
      </w:r>
      <w:r w:rsidR="00B85024">
        <w:t xml:space="preserve"> update</w:t>
      </w:r>
      <w:r w:rsidR="00BB5318">
        <w:t xml:space="preserve"> </w:t>
      </w:r>
      <w:r w:rsidR="00946154">
        <w:t>allocative baselines should be simplified</w:t>
      </w:r>
      <w:r w:rsidR="00C92915">
        <w:t xml:space="preserve"> (predominantly individuals but also some industries)</w:t>
      </w:r>
      <w:r w:rsidR="00946154">
        <w:t>.</w:t>
      </w:r>
      <w:r w:rsidR="001C4FDA">
        <w:t xml:space="preserve"> </w:t>
      </w:r>
      <w:r w:rsidR="00946154">
        <w:t xml:space="preserve">Two percent disagreed </w:t>
      </w:r>
      <w:r w:rsidR="006D6274">
        <w:t>including Golden Bay Cement who said this would create too much uncertainty for industries. S</w:t>
      </w:r>
      <w:r w:rsidR="00946154">
        <w:t xml:space="preserve">eventy-five per cent either did not answer or were not explicit in their answer. </w:t>
      </w:r>
    </w:p>
    <w:p w14:paraId="3929C39E" w14:textId="53DC2762" w:rsidR="00737ADF" w:rsidRDefault="00490834" w:rsidP="00946154">
      <w:pPr>
        <w:pStyle w:val="BodyText"/>
      </w:pPr>
      <w:r>
        <w:t>NZ Steel said that</w:t>
      </w:r>
      <w:r w:rsidR="00A05F0B">
        <w:t xml:space="preserve"> the</w:t>
      </w:r>
      <w:r>
        <w:t xml:space="preserve"> </w:t>
      </w:r>
      <w:r w:rsidR="00A05F0B">
        <w:t>parameters or criteria should have some constraints to provide a level of certainty</w:t>
      </w:r>
      <w:r w:rsidR="00576932">
        <w:t xml:space="preserve"> to industries</w:t>
      </w:r>
      <w:r w:rsidR="00A05F0B">
        <w:t>.</w:t>
      </w:r>
      <w:r w:rsidR="000A3056">
        <w:t xml:space="preserve"> </w:t>
      </w:r>
      <w:r w:rsidR="00737ADF">
        <w:t xml:space="preserve">Oji Fibre Solutions </w:t>
      </w:r>
      <w:r w:rsidR="0010752C">
        <w:t>agree</w:t>
      </w:r>
      <w:r w:rsidR="00D8298C">
        <w:t>d</w:t>
      </w:r>
      <w:r w:rsidR="0010752C">
        <w:t xml:space="preserve"> there is a need for simplicity but that ideally</w:t>
      </w:r>
      <w:r w:rsidR="00D8298C">
        <w:t>,</w:t>
      </w:r>
      <w:r w:rsidR="0010752C">
        <w:t xml:space="preserve"> a reduction in allocation should be linked to the overall </w:t>
      </w:r>
      <w:r w:rsidR="00533180">
        <w:t xml:space="preserve">NZ </w:t>
      </w:r>
      <w:r w:rsidR="006B4C2D">
        <w:t xml:space="preserve">ETS emissions cap. </w:t>
      </w:r>
    </w:p>
    <w:p w14:paraId="4DF3756C" w14:textId="150BFCEA" w:rsidR="00963CCF" w:rsidRDefault="00963CCF" w:rsidP="00946154">
      <w:pPr>
        <w:pStyle w:val="BodyText"/>
      </w:pPr>
      <w:r>
        <w:t>Pan Pac</w:t>
      </w:r>
      <w:r w:rsidR="0085778F">
        <w:t>,</w:t>
      </w:r>
      <w:r>
        <w:t xml:space="preserve"> Evonik Peroxide</w:t>
      </w:r>
      <w:r w:rsidR="00D8298C">
        <w:t>,</w:t>
      </w:r>
      <w:r w:rsidR="0085778F">
        <w:t xml:space="preserve"> and Ballance Agri-Nutrients</w:t>
      </w:r>
      <w:r>
        <w:t xml:space="preserve"> said that the updates should be limited to the EAF and emissions factors only. A few submitters said that this should only be allowed if it was predictable and provided stability and certainty to industry. </w:t>
      </w:r>
      <w:r w:rsidR="00D25773">
        <w:t>Some</w:t>
      </w:r>
      <w:r>
        <w:t xml:space="preserve"> said that it needed to be a straightforward process, with one submitter reasoning it should be implemented through a software package.</w:t>
      </w:r>
    </w:p>
    <w:p w14:paraId="0AA8D991" w14:textId="25E91035" w:rsidR="003079C7" w:rsidRDefault="005918EF" w:rsidP="004B5961">
      <w:pPr>
        <w:pStyle w:val="Bodytextbold"/>
      </w:pPr>
      <w:r>
        <w:t>Question 1</w:t>
      </w:r>
      <w:r w:rsidR="00AE7E51">
        <w:t>6</w:t>
      </w:r>
      <w:r>
        <w:t xml:space="preserve">: </w:t>
      </w:r>
      <w:r w:rsidR="003079C7" w:rsidRPr="003079C7">
        <w:t xml:space="preserve">Are there other changes to sections 161A-E of the Act that could better streamline IA processes? </w:t>
      </w:r>
    </w:p>
    <w:p w14:paraId="513E51CF" w14:textId="51627A2C" w:rsidR="00A14063" w:rsidRDefault="00D64D7F" w:rsidP="00FD6DCE">
      <w:pPr>
        <w:pStyle w:val="BodyText"/>
      </w:pPr>
      <w:r>
        <w:t>Four</w:t>
      </w:r>
      <w:r w:rsidR="006C2EF0">
        <w:t xml:space="preserve"> per cent of submitters agreed that the</w:t>
      </w:r>
      <w:r>
        <w:t xml:space="preserve">re are other changes that could better streamline </w:t>
      </w:r>
      <w:r w:rsidR="006B7A30">
        <w:t>IA</w:t>
      </w:r>
      <w:r w:rsidR="006C2EF0">
        <w:t>. Two percent disagreed</w:t>
      </w:r>
      <w:r w:rsidR="001A47CD">
        <w:t xml:space="preserve"> </w:t>
      </w:r>
      <w:r w:rsidR="00CA7A8A">
        <w:t xml:space="preserve">that </w:t>
      </w:r>
      <w:r w:rsidR="001A47CD">
        <w:t>other changes were needed</w:t>
      </w:r>
      <w:r w:rsidR="006C2EF0">
        <w:t xml:space="preserve"> and </w:t>
      </w:r>
      <w:r w:rsidR="001A47CD">
        <w:t>94</w:t>
      </w:r>
      <w:r w:rsidR="006C2EF0">
        <w:t xml:space="preserve"> per cent either did not answer or were not explicit in their answer. </w:t>
      </w:r>
      <w:r w:rsidR="00A14063">
        <w:t xml:space="preserve">Twenty-two submitters (almost all individuals) said that any changes to these sections of the Act should contribute to emissions reductions. </w:t>
      </w:r>
    </w:p>
    <w:p w14:paraId="1E361B9F" w14:textId="0317B9BA" w:rsidR="00D40C76" w:rsidRDefault="00A14063" w:rsidP="00FD6DCE">
      <w:pPr>
        <w:pStyle w:val="BodyText"/>
      </w:pPr>
      <w:r>
        <w:t>O</w:t>
      </w:r>
      <w:r w:rsidR="000725C9">
        <w:t>ji</w:t>
      </w:r>
      <w:r w:rsidR="00F9272D">
        <w:t xml:space="preserve"> Fibre Solutions</w:t>
      </w:r>
      <w:r w:rsidR="00FC3881">
        <w:t>,</w:t>
      </w:r>
      <w:r w:rsidR="00F9272D">
        <w:t xml:space="preserve"> </w:t>
      </w:r>
      <w:r w:rsidR="00541F1E">
        <w:t>WPI</w:t>
      </w:r>
      <w:r w:rsidR="00FC3881">
        <w:t xml:space="preserve">, </w:t>
      </w:r>
      <w:r w:rsidR="00C73488">
        <w:t xml:space="preserve">and </w:t>
      </w:r>
      <w:r w:rsidR="003A3CFB">
        <w:t>WPMA</w:t>
      </w:r>
      <w:r w:rsidR="00FC3881">
        <w:t xml:space="preserve"> </w:t>
      </w:r>
      <w:r w:rsidR="000725C9">
        <w:t xml:space="preserve">would like to see biofuels </w:t>
      </w:r>
      <w:r w:rsidR="0066025B">
        <w:t>added as</w:t>
      </w:r>
      <w:r w:rsidR="006E362F">
        <w:t xml:space="preserve"> a</w:t>
      </w:r>
      <w:r w:rsidR="0066025B">
        <w:t xml:space="preserve"> fuel source eligible for industrial allocation. Ballance Agri-Nutrients </w:t>
      </w:r>
      <w:r w:rsidR="005D53AB">
        <w:t>requested that</w:t>
      </w:r>
      <w:r w:rsidR="00B83E4B">
        <w:t xml:space="preserve"> the “direct use of carbon dioxide not produced as part of the activity”</w:t>
      </w:r>
      <w:r w:rsidR="009D2A20">
        <w:t xml:space="preserve"> </w:t>
      </w:r>
      <w:r w:rsidR="00D966E6">
        <w:t xml:space="preserve">is added </w:t>
      </w:r>
      <w:r w:rsidR="009D2A20">
        <w:t>as an emissions source eligible for allocation</w:t>
      </w:r>
      <w:r w:rsidR="00A23567">
        <w:t xml:space="preserve"> – and with retrospective effect back to 2016.</w:t>
      </w:r>
    </w:p>
    <w:p w14:paraId="0736E779" w14:textId="3B2EA050" w:rsidR="008B18E7" w:rsidRDefault="00A46EF2" w:rsidP="00AE7E51">
      <w:pPr>
        <w:pStyle w:val="Heading2"/>
      </w:pPr>
      <w:bookmarkStart w:id="15" w:name="_Toc95731391"/>
      <w:r>
        <w:t>New activities</w:t>
      </w:r>
      <w:bookmarkEnd w:id="15"/>
    </w:p>
    <w:p w14:paraId="69B5C560" w14:textId="1813B39D" w:rsidR="00B7384D" w:rsidRPr="009A350F" w:rsidRDefault="005918EF" w:rsidP="004B5961">
      <w:pPr>
        <w:pStyle w:val="Bodytextbold"/>
      </w:pPr>
      <w:r w:rsidRPr="009A350F">
        <w:t>Question 1</w:t>
      </w:r>
      <w:r w:rsidR="00AE7E51" w:rsidRPr="009A350F">
        <w:t>7</w:t>
      </w:r>
      <w:r w:rsidRPr="009A350F">
        <w:t xml:space="preserve">: </w:t>
      </w:r>
      <w:r w:rsidR="00B7384D" w:rsidRPr="009A350F">
        <w:t>Do you agree with the proposal to clarify the eligibility process for new activities? Why, or why not?</w:t>
      </w:r>
    </w:p>
    <w:p w14:paraId="7D61E9E2" w14:textId="5FA72C5B" w:rsidR="00B7384D" w:rsidRPr="00283F27" w:rsidRDefault="005918EF" w:rsidP="004B5961">
      <w:pPr>
        <w:pStyle w:val="Bodytextbold"/>
        <w:rPr>
          <w:sz w:val="24"/>
        </w:rPr>
      </w:pPr>
      <w:r w:rsidRPr="005918EF">
        <w:t xml:space="preserve">Question </w:t>
      </w:r>
      <w:r>
        <w:t>1</w:t>
      </w:r>
      <w:r w:rsidR="00AE7E51">
        <w:t>8</w:t>
      </w:r>
      <w:r>
        <w:t xml:space="preserve">: </w:t>
      </w:r>
      <w:r w:rsidR="00B7384D" w:rsidRPr="00283F27">
        <w:t>Should new activities be able to seek eligibility? Why, or why not?</w:t>
      </w:r>
    </w:p>
    <w:p w14:paraId="30568687" w14:textId="2318D7F2" w:rsidR="00B7384D" w:rsidRPr="00283F27" w:rsidRDefault="005918EF" w:rsidP="004B5961">
      <w:pPr>
        <w:pStyle w:val="Bodytextbold"/>
        <w:rPr>
          <w:sz w:val="24"/>
        </w:rPr>
      </w:pPr>
      <w:r w:rsidRPr="005918EF">
        <w:lastRenderedPageBreak/>
        <w:t xml:space="preserve">Question </w:t>
      </w:r>
      <w:r>
        <w:t>1</w:t>
      </w:r>
      <w:r w:rsidR="00AE7E51">
        <w:t>9</w:t>
      </w:r>
      <w:r>
        <w:t xml:space="preserve">: </w:t>
      </w:r>
      <w:r w:rsidR="00B7384D" w:rsidRPr="00283F27">
        <w:t>Should there be any caveats on new activities seeking eligibility, such as proof of environmental benefits compared to existing activities?</w:t>
      </w:r>
    </w:p>
    <w:p w14:paraId="3B1C434C" w14:textId="56EDCD74" w:rsidR="002671A4" w:rsidRPr="002671A4" w:rsidRDefault="00790663" w:rsidP="00130A1E">
      <w:pPr>
        <w:pStyle w:val="BodyText"/>
      </w:pPr>
      <w:r>
        <w:t xml:space="preserve">Submitters </w:t>
      </w:r>
      <w:r w:rsidR="00D45933">
        <w:t>tended to provide general and overlapping feedback on these questions</w:t>
      </w:r>
      <w:r w:rsidR="00A14DE3">
        <w:t xml:space="preserve">. </w:t>
      </w:r>
    </w:p>
    <w:p w14:paraId="605AC407" w14:textId="37063365" w:rsidR="008B18E7" w:rsidRDefault="00E768F1" w:rsidP="008B18E7">
      <w:pPr>
        <w:pStyle w:val="BodyText"/>
      </w:pPr>
      <w:r>
        <w:t xml:space="preserve">Seventeen </w:t>
      </w:r>
      <w:r w:rsidR="008B18E7">
        <w:t xml:space="preserve">per cent of submitters </w:t>
      </w:r>
      <w:r w:rsidR="00B17EE4">
        <w:t>(predominantly industri</w:t>
      </w:r>
      <w:r w:rsidR="00193538">
        <w:t>es</w:t>
      </w:r>
      <w:r w:rsidR="00B17EE4">
        <w:t xml:space="preserve">) </w:t>
      </w:r>
      <w:r w:rsidR="008B18E7">
        <w:t>agreed that</w:t>
      </w:r>
      <w:r w:rsidR="00EE1E3E">
        <w:t xml:space="preserve"> the process for new activities to seek eligibility should be clarified</w:t>
      </w:r>
      <w:r w:rsidR="001732E8">
        <w:t>.</w:t>
      </w:r>
      <w:r w:rsidR="00B17EE4" w:rsidRPr="00B17EE4">
        <w:t xml:space="preserve"> </w:t>
      </w:r>
      <w:r w:rsidR="00B17EE4">
        <w:t>Ngai Tahu and some environmental organisations also agreed but only if this were for activities with no fossil fuel use</w:t>
      </w:r>
      <w:r w:rsidR="00EC6184">
        <w:t xml:space="preserve"> or did not cause a rise in emissions</w:t>
      </w:r>
      <w:r w:rsidR="00B17EE4">
        <w:t>.</w:t>
      </w:r>
      <w:r w:rsidR="001732E8">
        <w:t xml:space="preserve"> Ten per cent disagreed </w:t>
      </w:r>
      <w:r w:rsidR="00DD1B31">
        <w:t xml:space="preserve">– the majority being </w:t>
      </w:r>
      <w:r w:rsidR="009B4255">
        <w:t>individuals</w:t>
      </w:r>
      <w:r w:rsidR="00D966E6">
        <w:t>,</w:t>
      </w:r>
      <w:r w:rsidR="009B4255">
        <w:t xml:space="preserve"> </w:t>
      </w:r>
      <w:r w:rsidR="00A16E1A">
        <w:t>and some</w:t>
      </w:r>
      <w:r w:rsidR="009B4255">
        <w:t xml:space="preserve"> environmental groups. </w:t>
      </w:r>
      <w:r w:rsidR="009F05F9">
        <w:t>T</w:t>
      </w:r>
      <w:r w:rsidR="00573DEE">
        <w:t xml:space="preserve">he </w:t>
      </w:r>
      <w:r w:rsidR="009F05F9">
        <w:t xml:space="preserve">apparent </w:t>
      </w:r>
      <w:r w:rsidR="004C1CEA">
        <w:t>reason</w:t>
      </w:r>
      <w:r w:rsidR="00747F3F">
        <w:t xml:space="preserve"> for not wanting eligibility provisions clarified was that they didn’t want to see any new activities </w:t>
      </w:r>
      <w:r w:rsidR="009F05F9">
        <w:t>able to</w:t>
      </w:r>
      <w:r w:rsidR="00747F3F">
        <w:t xml:space="preserve"> </w:t>
      </w:r>
      <w:r w:rsidR="000359FF">
        <w:t xml:space="preserve">seek eligibility. </w:t>
      </w:r>
      <w:r w:rsidR="009B4255">
        <w:t>Seventy-three</w:t>
      </w:r>
      <w:r w:rsidR="008B18E7">
        <w:t xml:space="preserve"> per cent either did not answer or were not explicit in their answer. </w:t>
      </w:r>
    </w:p>
    <w:p w14:paraId="19305F6A" w14:textId="03EE7C0B" w:rsidR="00524A5A" w:rsidRDefault="00DA4FCB" w:rsidP="00524A5A">
      <w:pPr>
        <w:pStyle w:val="BodyText"/>
      </w:pPr>
      <w:r>
        <w:t>Nineteen</w:t>
      </w:r>
      <w:r w:rsidR="00524A5A">
        <w:t xml:space="preserve"> per cent of submitters agreed that </w:t>
      </w:r>
      <w:r>
        <w:t>new activities should be allowed to seek eligibility</w:t>
      </w:r>
      <w:r w:rsidR="00D966E6">
        <w:t>,</w:t>
      </w:r>
      <w:r w:rsidR="00492698">
        <w:t xml:space="preserve"> with </w:t>
      </w:r>
      <w:r w:rsidR="00D703A3">
        <w:t>the majority supporting only if there was environmental benefit</w:t>
      </w:r>
      <w:r w:rsidR="00F45C48">
        <w:t>.</w:t>
      </w:r>
      <w:r w:rsidR="00FF3E04">
        <w:t xml:space="preserve"> </w:t>
      </w:r>
      <w:r w:rsidR="003A3CFB">
        <w:t>WPMA</w:t>
      </w:r>
      <w:r w:rsidR="00802BD1">
        <w:t xml:space="preserve"> </w:t>
      </w:r>
      <w:r w:rsidR="0072541B">
        <w:t xml:space="preserve">said that </w:t>
      </w:r>
      <w:r w:rsidR="006601AC">
        <w:t xml:space="preserve">new wood activities should be allowed to seek eligibility. </w:t>
      </w:r>
      <w:r>
        <w:t>Fourteen per cent</w:t>
      </w:r>
      <w:r w:rsidR="00F232DA">
        <w:t xml:space="preserve"> </w:t>
      </w:r>
      <w:r w:rsidR="00512FC0">
        <w:t>disagree</w:t>
      </w:r>
      <w:r w:rsidR="00D966E6">
        <w:t>d</w:t>
      </w:r>
      <w:r w:rsidR="00512FC0">
        <w:t xml:space="preserve">, and </w:t>
      </w:r>
      <w:r w:rsidR="00465C7C">
        <w:t>67</w:t>
      </w:r>
      <w:r w:rsidR="00512FC0">
        <w:t xml:space="preserve"> </w:t>
      </w:r>
      <w:r w:rsidR="00524A5A">
        <w:t xml:space="preserve">per cent either did not answer or were not explicit in their answer. </w:t>
      </w:r>
      <w:r w:rsidR="00360B54">
        <w:t xml:space="preserve">Energy Resources Aotearoa said that </w:t>
      </w:r>
      <w:r w:rsidR="001501D1">
        <w:t xml:space="preserve">new activities should not be able to seek eligibility as they are able to </w:t>
      </w:r>
      <w:r w:rsidR="00AC2767">
        <w:t>factor</w:t>
      </w:r>
      <w:r w:rsidR="0091605C">
        <w:t xml:space="preserve"> the </w:t>
      </w:r>
      <w:r w:rsidR="00264118">
        <w:t xml:space="preserve">NZ </w:t>
      </w:r>
      <w:r w:rsidR="0091605C">
        <w:t>ETS into their commercial plans</w:t>
      </w:r>
      <w:r w:rsidR="00AF1446">
        <w:t>.</w:t>
      </w:r>
    </w:p>
    <w:p w14:paraId="342F0CBC" w14:textId="3A2BDD97" w:rsidR="00AC3032" w:rsidRDefault="00625251" w:rsidP="00512FC0">
      <w:pPr>
        <w:pStyle w:val="BodyText"/>
      </w:pPr>
      <w:r w:rsidRPr="009F1EDC">
        <w:t>Fifteen</w:t>
      </w:r>
      <w:r w:rsidR="00512FC0" w:rsidRPr="009F1EDC">
        <w:t xml:space="preserve"> per cent of submitters agreed </w:t>
      </w:r>
      <w:r w:rsidRPr="009F1EDC">
        <w:t>there should be some form of caveat when a</w:t>
      </w:r>
      <w:r w:rsidR="00512FC0" w:rsidRPr="009F1EDC">
        <w:t xml:space="preserve"> new activi</w:t>
      </w:r>
      <w:r w:rsidRPr="009F1EDC">
        <w:t>ty seeks eligibility</w:t>
      </w:r>
      <w:r w:rsidR="00A20293">
        <w:t xml:space="preserve">. </w:t>
      </w:r>
      <w:r w:rsidR="00510C47">
        <w:t>Some</w:t>
      </w:r>
      <w:r w:rsidR="00A20293">
        <w:t xml:space="preserve"> </w:t>
      </w:r>
      <w:r w:rsidR="002C3AF4">
        <w:t xml:space="preserve">agreed </w:t>
      </w:r>
      <w:r w:rsidR="00667C29">
        <w:t xml:space="preserve">that </w:t>
      </w:r>
      <w:r w:rsidR="00024A29">
        <w:t xml:space="preserve">new activities should only be allowed </w:t>
      </w:r>
      <w:r w:rsidR="002C3AF4">
        <w:t>if they were replacing a higher</w:t>
      </w:r>
      <w:r w:rsidR="00465C7C">
        <w:t>-</w:t>
      </w:r>
      <w:r w:rsidR="002C3AF4">
        <w:t xml:space="preserve">emitting activity </w:t>
      </w:r>
      <w:r w:rsidR="00FA38AE">
        <w:t xml:space="preserve">(and subject to </w:t>
      </w:r>
      <w:r w:rsidR="00465C7C">
        <w:t>rigorous</w:t>
      </w:r>
      <w:r w:rsidR="00FA38AE">
        <w:t xml:space="preserve"> scrutiny). </w:t>
      </w:r>
      <w:r w:rsidR="0075755E">
        <w:t>Pan Pac</w:t>
      </w:r>
      <w:r w:rsidR="00D95DF1">
        <w:t>,</w:t>
      </w:r>
      <w:r w:rsidR="00642573">
        <w:t xml:space="preserve"> Evonik Peroxide</w:t>
      </w:r>
      <w:r w:rsidR="00D95DF1">
        <w:t>, Ballance Agri-Nutrients</w:t>
      </w:r>
      <w:r w:rsidR="008C236C">
        <w:t>,</w:t>
      </w:r>
      <w:r w:rsidR="00AC3032">
        <w:t xml:space="preserve"> </w:t>
      </w:r>
      <w:r w:rsidR="00E16F4D">
        <w:t>WPI</w:t>
      </w:r>
      <w:r w:rsidR="00465C7C">
        <w:t>,</w:t>
      </w:r>
      <w:r w:rsidR="008C236C">
        <w:t xml:space="preserve"> and </w:t>
      </w:r>
      <w:r w:rsidR="00767963">
        <w:t xml:space="preserve">RWPS </w:t>
      </w:r>
      <w:r w:rsidR="0075755E">
        <w:t xml:space="preserve">said an assessment </w:t>
      </w:r>
      <w:r w:rsidR="00AD42AB">
        <w:t xml:space="preserve">of </w:t>
      </w:r>
      <w:r w:rsidR="006667F7">
        <w:t xml:space="preserve">the benefit to global </w:t>
      </w:r>
      <w:r w:rsidR="00046571">
        <w:t>emissions</w:t>
      </w:r>
      <w:r w:rsidR="006667F7">
        <w:t xml:space="preserve"> would be appropriate. </w:t>
      </w:r>
      <w:r w:rsidR="00C17D0C" w:rsidRPr="009F1EDC">
        <w:t>Twelve</w:t>
      </w:r>
      <w:r w:rsidR="00512FC0" w:rsidRPr="009F1EDC">
        <w:t xml:space="preserve"> per cent disagree</w:t>
      </w:r>
      <w:r w:rsidR="009B6A1A">
        <w:t>d</w:t>
      </w:r>
      <w:r w:rsidR="00465C7C">
        <w:t>,</w:t>
      </w:r>
      <w:r w:rsidR="00A131E4">
        <w:t xml:space="preserve"> including Golden Bay Cement who said eligibility should be treated consistently. </w:t>
      </w:r>
      <w:r w:rsidR="00B65532">
        <w:t>One submitter</w:t>
      </w:r>
      <w:r w:rsidR="000D5080">
        <w:t xml:space="preserve"> from the energy industry</w:t>
      </w:r>
      <w:r w:rsidR="0072112E" w:rsidRPr="009F1EDC">
        <w:t xml:space="preserve"> disagreed and said that the process would be too subjective.</w:t>
      </w:r>
      <w:r w:rsidR="0072112E">
        <w:t xml:space="preserve"> </w:t>
      </w:r>
      <w:r w:rsidR="00A131E4">
        <w:t>S</w:t>
      </w:r>
      <w:r w:rsidR="00C17D0C" w:rsidRPr="009F1EDC">
        <w:t>eventy-three</w:t>
      </w:r>
      <w:r w:rsidR="00512FC0" w:rsidRPr="009F1EDC">
        <w:t xml:space="preserve"> per cent either did not answer or were not explicit in their answer. </w:t>
      </w:r>
    </w:p>
    <w:p w14:paraId="2F7F911A" w14:textId="45761608" w:rsidR="00B7384D" w:rsidRDefault="00B7384D" w:rsidP="00AE7E51">
      <w:pPr>
        <w:pStyle w:val="Heading2"/>
      </w:pPr>
      <w:bookmarkStart w:id="16" w:name="_Toc95731392"/>
      <w:r>
        <w:t>Data reporting requirements</w:t>
      </w:r>
      <w:bookmarkEnd w:id="16"/>
    </w:p>
    <w:p w14:paraId="1310B177" w14:textId="02A1F46E" w:rsidR="00B7384D" w:rsidRPr="00C70349" w:rsidRDefault="00AE7E51" w:rsidP="004B5961">
      <w:pPr>
        <w:pStyle w:val="Bodytextbold"/>
        <w:rPr>
          <w:sz w:val="24"/>
        </w:rPr>
      </w:pPr>
      <w:r>
        <w:t xml:space="preserve">Question 20: </w:t>
      </w:r>
      <w:r w:rsidR="003079C7" w:rsidRPr="00C70349">
        <w:t xml:space="preserve">Should firms that receive IA be required to report their emissions, </w:t>
      </w:r>
      <w:proofErr w:type="gramStart"/>
      <w:r w:rsidR="003079C7" w:rsidRPr="00C70349">
        <w:t>revenue</w:t>
      </w:r>
      <w:proofErr w:type="gramEnd"/>
      <w:r w:rsidR="003079C7" w:rsidRPr="00C70349">
        <w:t xml:space="preserve"> and production data annually? Why, or why not? </w:t>
      </w:r>
    </w:p>
    <w:p w14:paraId="25DAB76A" w14:textId="271E9B37" w:rsidR="003079C7" w:rsidRPr="00C70349" w:rsidRDefault="00AE7E51" w:rsidP="004B5961">
      <w:pPr>
        <w:pStyle w:val="Bodytextbold"/>
        <w:rPr>
          <w:sz w:val="24"/>
        </w:rPr>
      </w:pPr>
      <w:r>
        <w:t xml:space="preserve">Question 21: </w:t>
      </w:r>
      <w:r w:rsidR="003079C7" w:rsidRPr="00C70349">
        <w:t>Would voluntary reporting be more appropriate, and still provide some oversight of leakage and over-allocation risk? Why, or why not?</w:t>
      </w:r>
    </w:p>
    <w:p w14:paraId="1DB4437F" w14:textId="3C95781A" w:rsidR="00AF4AF9" w:rsidRDefault="009917D6" w:rsidP="00F149C2">
      <w:pPr>
        <w:pStyle w:val="BodyText"/>
      </w:pPr>
      <w:r>
        <w:t>Thirty</w:t>
      </w:r>
      <w:r w:rsidR="006F6E2F">
        <w:t>-two</w:t>
      </w:r>
      <w:r w:rsidR="00C17D0C">
        <w:t xml:space="preserve"> per cent of submitters agree</w:t>
      </w:r>
      <w:r w:rsidR="00EB08B8">
        <w:t>d</w:t>
      </w:r>
      <w:r w:rsidR="006F6E2F">
        <w:t xml:space="preserve"> that it should be mandatory for allocation recipients to </w:t>
      </w:r>
      <w:r w:rsidR="00F149C2">
        <w:t>report relevant data</w:t>
      </w:r>
      <w:r w:rsidR="005B7191">
        <w:t>. S</w:t>
      </w:r>
      <w:r w:rsidR="0085114A">
        <w:t xml:space="preserve">ome </w:t>
      </w:r>
      <w:r w:rsidR="005B7191">
        <w:t xml:space="preserve">submitters </w:t>
      </w:r>
      <w:r w:rsidR="0085114A">
        <w:t xml:space="preserve">qualified </w:t>
      </w:r>
      <w:r w:rsidR="00E82A3C">
        <w:t xml:space="preserve">this </w:t>
      </w:r>
      <w:r w:rsidR="0085114A">
        <w:t>with caveats</w:t>
      </w:r>
      <w:r w:rsidR="00D775D8">
        <w:t xml:space="preserve"> such as confidentiality provisions</w:t>
      </w:r>
      <w:r w:rsidR="005B7191">
        <w:t>,</w:t>
      </w:r>
      <w:r w:rsidR="006A6878">
        <w:t xml:space="preserve"> or</w:t>
      </w:r>
      <w:r w:rsidR="00E87BFA">
        <w:t xml:space="preserve"> no requirement to report revenue data. </w:t>
      </w:r>
      <w:r w:rsidR="00770166">
        <w:t xml:space="preserve">The primary justification </w:t>
      </w:r>
      <w:r w:rsidR="00AF4AF9">
        <w:t xml:space="preserve">for mandatory data reporting </w:t>
      </w:r>
      <w:r w:rsidR="00770166">
        <w:t>was a need for market transparency.</w:t>
      </w:r>
      <w:r w:rsidR="00F149C2">
        <w:t xml:space="preserve"> </w:t>
      </w:r>
    </w:p>
    <w:p w14:paraId="34093935" w14:textId="64308ABD" w:rsidR="00F149C2" w:rsidRDefault="00F149C2" w:rsidP="00F149C2">
      <w:pPr>
        <w:pStyle w:val="BodyText"/>
      </w:pPr>
      <w:r>
        <w:t>Three per cent disagreed</w:t>
      </w:r>
      <w:r w:rsidR="00AF4AF9">
        <w:t xml:space="preserve"> with the </w:t>
      </w:r>
      <w:r w:rsidR="00FF6F8B">
        <w:t>need for mandatory data reporting</w:t>
      </w:r>
      <w:r w:rsidR="00CB766A">
        <w:t xml:space="preserve"> (</w:t>
      </w:r>
      <w:r w:rsidR="00DD336F">
        <w:t xml:space="preserve">Essity, Graymont, </w:t>
      </w:r>
      <w:r w:rsidR="003A3CFB">
        <w:t>WPMA</w:t>
      </w:r>
      <w:r w:rsidR="00DD336F">
        <w:t xml:space="preserve">, </w:t>
      </w:r>
      <w:r w:rsidR="00541F1E">
        <w:t>WPI</w:t>
      </w:r>
      <w:r w:rsidR="00DD336F">
        <w:t>, Horticulture NZ, individuals</w:t>
      </w:r>
      <w:r w:rsidR="00B10F0F">
        <w:t xml:space="preserve">). </w:t>
      </w:r>
      <w:r w:rsidR="00E832A2">
        <w:t>Some of these cited confidentiality concerns</w:t>
      </w:r>
      <w:r w:rsidR="008C6183">
        <w:t>, or increased compliance</w:t>
      </w:r>
      <w:r w:rsidR="0013128D">
        <w:t>/administration</w:t>
      </w:r>
      <w:r w:rsidR="008C6183">
        <w:t xml:space="preserve"> costs. </w:t>
      </w:r>
      <w:r w:rsidR="00B10F0F">
        <w:t>S</w:t>
      </w:r>
      <w:r>
        <w:t>ixty-five</w:t>
      </w:r>
      <w:r w:rsidR="00C17D0C">
        <w:t xml:space="preserve"> </w:t>
      </w:r>
      <w:r>
        <w:t xml:space="preserve">per cent either did not answer or were not explicit in their answer. </w:t>
      </w:r>
    </w:p>
    <w:p w14:paraId="63EE9199" w14:textId="6DEF49DE" w:rsidR="004A5C9D" w:rsidRDefault="004A5C9D" w:rsidP="00F149C2">
      <w:pPr>
        <w:pStyle w:val="BodyText"/>
      </w:pPr>
      <w:r>
        <w:t xml:space="preserve">Some </w:t>
      </w:r>
      <w:r w:rsidR="00475CD7">
        <w:t xml:space="preserve">specific </w:t>
      </w:r>
      <w:r>
        <w:t xml:space="preserve">points from submitters were: </w:t>
      </w:r>
    </w:p>
    <w:p w14:paraId="205C6D10" w14:textId="3FE0B90E" w:rsidR="00995A3A" w:rsidRPr="009F6F40" w:rsidRDefault="00995A3A" w:rsidP="00C4338C">
      <w:pPr>
        <w:pStyle w:val="Bullet"/>
      </w:pPr>
      <w:r w:rsidRPr="009F6F40">
        <w:t>Evonik Peroxide</w:t>
      </w:r>
      <w:r>
        <w:t xml:space="preserve">, </w:t>
      </w:r>
      <w:r w:rsidRPr="009F6F40">
        <w:t>Ballance Agri-Nutrients</w:t>
      </w:r>
      <w:r w:rsidR="00E074D5">
        <w:t>,</w:t>
      </w:r>
      <w:r>
        <w:t xml:space="preserve"> and Pan Pac </w:t>
      </w:r>
      <w:r w:rsidRPr="009F6F40">
        <w:t>support</w:t>
      </w:r>
      <w:r w:rsidR="009A2E20">
        <w:t>ed</w:t>
      </w:r>
      <w:r w:rsidRPr="009F6F40">
        <w:t xml:space="preserve"> the reporting of production and revenue data and note</w:t>
      </w:r>
      <w:r w:rsidR="009A2E20">
        <w:t>d</w:t>
      </w:r>
      <w:r w:rsidRPr="009F6F40">
        <w:t xml:space="preserve"> that some of this is already disclosed. Both support the voluntary reporting of revenue data</w:t>
      </w:r>
      <w:r w:rsidR="00E074D5">
        <w:t>,</w:t>
      </w:r>
      <w:r w:rsidRPr="009F6F40">
        <w:t xml:space="preserve"> citing commercial sensitivity concerns</w:t>
      </w:r>
    </w:p>
    <w:p w14:paraId="575641EC" w14:textId="3E87E128" w:rsidR="008C6338" w:rsidRDefault="009A5220" w:rsidP="00C4338C">
      <w:pPr>
        <w:pStyle w:val="Bullet"/>
      </w:pPr>
      <w:r>
        <w:lastRenderedPageBreak/>
        <w:t xml:space="preserve">Oji Fibre Solutions </w:t>
      </w:r>
      <w:r w:rsidR="00FD2984">
        <w:t xml:space="preserve">said </w:t>
      </w:r>
      <w:r w:rsidR="00E31304">
        <w:t>it has</w:t>
      </w:r>
      <w:r w:rsidR="00FD2984">
        <w:t xml:space="preserve"> no issue with reporting data but t</w:t>
      </w:r>
      <w:r w:rsidR="005D4749">
        <w:t>hat it is not sufficient to use data on its own</w:t>
      </w:r>
      <w:r w:rsidR="00886246">
        <w:t xml:space="preserve"> to</w:t>
      </w:r>
      <w:r w:rsidR="002C7390">
        <w:t xml:space="preserve"> monitor </w:t>
      </w:r>
      <w:r w:rsidR="00D42605">
        <w:t>IA</w:t>
      </w:r>
      <w:r w:rsidR="003937EC">
        <w:t>. O</w:t>
      </w:r>
      <w:r w:rsidR="005D4749">
        <w:t>ther measures are needed to monitor international competition</w:t>
      </w:r>
    </w:p>
    <w:p w14:paraId="5177B2E9" w14:textId="7DD5A148" w:rsidR="00E82A3C" w:rsidRDefault="00E82A3C" w:rsidP="00C4338C">
      <w:pPr>
        <w:pStyle w:val="Bullet"/>
      </w:pPr>
      <w:r>
        <w:t>Graymont stated that production and emissions data could be provided to the Climate Change Commission</w:t>
      </w:r>
    </w:p>
    <w:p w14:paraId="13161FC2" w14:textId="1C6ABC28" w:rsidR="00CF1594" w:rsidRDefault="003A1FC1" w:rsidP="00C4338C">
      <w:pPr>
        <w:pStyle w:val="Bullet"/>
      </w:pPr>
      <w:r>
        <w:t xml:space="preserve">The Climate Change Commission made a special request that </w:t>
      </w:r>
      <w:r w:rsidR="00302236">
        <w:t xml:space="preserve">its </w:t>
      </w:r>
      <w:r>
        <w:t xml:space="preserve">role </w:t>
      </w:r>
      <w:r w:rsidR="00292E6D">
        <w:t xml:space="preserve">in providing advice to the </w:t>
      </w:r>
      <w:r w:rsidR="00E074D5">
        <w:t>G</w:t>
      </w:r>
      <w:r w:rsidR="00292E6D">
        <w:t>overnment</w:t>
      </w:r>
      <w:r w:rsidR="009A2E20">
        <w:t xml:space="preserve"> on IA</w:t>
      </w:r>
      <w:r w:rsidR="00292E6D">
        <w:t xml:space="preserve"> be considered when making decisions around data reporting requirements of </w:t>
      </w:r>
      <w:r w:rsidR="002B2357">
        <w:t>allocation recipients</w:t>
      </w:r>
    </w:p>
    <w:p w14:paraId="5795F00A" w14:textId="1A58A7D2" w:rsidR="00B10F0F" w:rsidRDefault="00BB2AA6" w:rsidP="00C4338C">
      <w:pPr>
        <w:pStyle w:val="Bullet"/>
      </w:pPr>
      <w:r>
        <w:t>s</w:t>
      </w:r>
      <w:r w:rsidR="00D328DB">
        <w:t>ome individual submitters</w:t>
      </w:r>
      <w:r w:rsidR="00B10F0F">
        <w:t xml:space="preserve"> said</w:t>
      </w:r>
      <w:r w:rsidR="006A6878">
        <w:t xml:space="preserve"> </w:t>
      </w:r>
      <w:r w:rsidR="00D328DB">
        <w:t xml:space="preserve">data </w:t>
      </w:r>
      <w:r w:rsidR="006A6878">
        <w:t xml:space="preserve">reporting </w:t>
      </w:r>
      <w:r w:rsidR="00B10F0F">
        <w:t>would require independent auditing</w:t>
      </w:r>
      <w:r w:rsidR="00931DBC">
        <w:t xml:space="preserve"> a</w:t>
      </w:r>
      <w:r w:rsidR="00A34CFB">
        <w:t>nd a</w:t>
      </w:r>
      <w:r w:rsidR="00B10F0F">
        <w:t xml:space="preserve"> few submitters said that profits and margins should also be reported</w:t>
      </w:r>
    </w:p>
    <w:p w14:paraId="675C2317" w14:textId="562AE048" w:rsidR="007F4B78" w:rsidRDefault="007F4B78" w:rsidP="00C4338C">
      <w:pPr>
        <w:pStyle w:val="Bullet"/>
      </w:pPr>
      <w:r>
        <w:t xml:space="preserve">Strattera said that small </w:t>
      </w:r>
      <w:r w:rsidR="00043295">
        <w:t xml:space="preserve">businesses </w:t>
      </w:r>
      <w:r>
        <w:t xml:space="preserve">should </w:t>
      </w:r>
      <w:r w:rsidR="00931DBC">
        <w:t xml:space="preserve">be </w:t>
      </w:r>
      <w:r>
        <w:t xml:space="preserve">exempt </w:t>
      </w:r>
      <w:r w:rsidR="00C96F05">
        <w:t>to minimise compliance costs</w:t>
      </w:r>
    </w:p>
    <w:p w14:paraId="6D10300D" w14:textId="45EAFE73" w:rsidR="00CF1594" w:rsidRDefault="00CF1594" w:rsidP="00C4338C">
      <w:pPr>
        <w:pStyle w:val="Bullet"/>
      </w:pPr>
      <w:r>
        <w:t xml:space="preserve">NZ Steel </w:t>
      </w:r>
      <w:r w:rsidR="007A095C">
        <w:t>agree</w:t>
      </w:r>
      <w:r w:rsidR="009A2E20">
        <w:t>d</w:t>
      </w:r>
      <w:r w:rsidR="007A095C">
        <w:t xml:space="preserve"> </w:t>
      </w:r>
      <w:r w:rsidR="00385261">
        <w:t xml:space="preserve">that </w:t>
      </w:r>
      <w:r w:rsidR="004D2666">
        <w:t>production and emissions data should be reported (mentioning this is already provided to the EPA)</w:t>
      </w:r>
      <w:r w:rsidR="00E82627">
        <w:t>;</w:t>
      </w:r>
      <w:r w:rsidR="004D2666">
        <w:t xml:space="preserve"> however</w:t>
      </w:r>
      <w:r w:rsidR="00E82627">
        <w:t>,</w:t>
      </w:r>
      <w:r w:rsidR="004D2666">
        <w:t xml:space="preserve"> </w:t>
      </w:r>
      <w:r w:rsidR="00E31304">
        <w:t xml:space="preserve">it </w:t>
      </w:r>
      <w:r>
        <w:t>oppose</w:t>
      </w:r>
      <w:r w:rsidR="00E31304">
        <w:t>s</w:t>
      </w:r>
      <w:r>
        <w:t xml:space="preserve"> reporting </w:t>
      </w:r>
      <w:r w:rsidR="004D2666">
        <w:t>revenue data</w:t>
      </w:r>
      <w:r w:rsidR="00385261">
        <w:t>,</w:t>
      </w:r>
      <w:r w:rsidR="004D2666">
        <w:t xml:space="preserve"> </w:t>
      </w:r>
      <w:r>
        <w:t xml:space="preserve">citing </w:t>
      </w:r>
      <w:r w:rsidR="000E167B">
        <w:t>volatility</w:t>
      </w:r>
      <w:r w:rsidR="00296C7C">
        <w:t>,</w:t>
      </w:r>
      <w:r w:rsidR="004D3860">
        <w:t xml:space="preserve"> uncertainty around which financial information standar</w:t>
      </w:r>
      <w:r w:rsidR="004A5C9D">
        <w:t>d</w:t>
      </w:r>
      <w:r w:rsidR="004D3860">
        <w:t>s would be used</w:t>
      </w:r>
      <w:r w:rsidR="00296C7C">
        <w:t xml:space="preserve">, </w:t>
      </w:r>
      <w:r w:rsidR="00E31304">
        <w:t xml:space="preserve">and </w:t>
      </w:r>
      <w:r w:rsidR="00620603">
        <w:t xml:space="preserve">incompatibility with </w:t>
      </w:r>
      <w:r w:rsidR="00926570">
        <w:t>the Act’s</w:t>
      </w:r>
      <w:r w:rsidR="00620603">
        <w:t xml:space="preserve"> reporting periods and financial years</w:t>
      </w:r>
      <w:r w:rsidR="004D3860">
        <w:t xml:space="preserve">. </w:t>
      </w:r>
    </w:p>
    <w:p w14:paraId="6B862CEB" w14:textId="12BA5BD6" w:rsidR="00C05ABD" w:rsidRDefault="00E16CF4" w:rsidP="00E16CF4">
      <w:pPr>
        <w:pStyle w:val="BodyText"/>
      </w:pPr>
      <w:r>
        <w:t xml:space="preserve">Two per cent of submitters </w:t>
      </w:r>
      <w:r w:rsidR="00A14B65">
        <w:t xml:space="preserve">thought </w:t>
      </w:r>
      <w:r>
        <w:t>that data reporting requirements should be voluntary</w:t>
      </w:r>
      <w:r w:rsidR="00B81F79">
        <w:t xml:space="preserve"> </w:t>
      </w:r>
      <w:r w:rsidR="006A3DF3">
        <w:t xml:space="preserve">(note that some of these submitters were also in favour of </w:t>
      </w:r>
      <w:r w:rsidR="00AA4E43">
        <w:t>partial mandatory reporting and partial voluntary reporting).</w:t>
      </w:r>
      <w:r w:rsidR="00B81F79">
        <w:t xml:space="preserve"> </w:t>
      </w:r>
    </w:p>
    <w:p w14:paraId="5DA91439" w14:textId="0D261ADE" w:rsidR="00E16CF4" w:rsidRDefault="00E16CF4" w:rsidP="00E16CF4">
      <w:pPr>
        <w:pStyle w:val="BodyText"/>
      </w:pPr>
      <w:r>
        <w:t>Twenty-nine per cent disagreed</w:t>
      </w:r>
      <w:r w:rsidR="000946CC">
        <w:t xml:space="preserve"> with voluntary reporting requirements</w:t>
      </w:r>
      <w:r w:rsidR="00FD3128">
        <w:t xml:space="preserve"> – these were predominantly individuals. These submitters commonly said that voluntary reporting could lead to gaming the system. Additionally, they said that allocation recipients must report against an emissions reduction plan.</w:t>
      </w:r>
      <w:r w:rsidR="00AA4E43">
        <w:t xml:space="preserve"> </w:t>
      </w:r>
      <w:r w:rsidR="00FD3128">
        <w:t>S</w:t>
      </w:r>
      <w:r>
        <w:t>ixty-nine per cent either did not answer or were not explicit in their answer</w:t>
      </w:r>
      <w:r w:rsidR="000946CC">
        <w:t xml:space="preserve"> on voluntary reporting</w:t>
      </w:r>
      <w:r>
        <w:t xml:space="preserve">. </w:t>
      </w:r>
    </w:p>
    <w:p w14:paraId="3A0D593C" w14:textId="0912BE3D" w:rsidR="00641405" w:rsidRDefault="00AE7E51" w:rsidP="004B5961">
      <w:pPr>
        <w:pStyle w:val="Bodytextbold"/>
      </w:pPr>
      <w:r w:rsidRPr="00AE7E51">
        <w:t xml:space="preserve">Question </w:t>
      </w:r>
      <w:r>
        <w:t xml:space="preserve">22: </w:t>
      </w:r>
      <w:r w:rsidR="003079C7" w:rsidRPr="004C1E0D">
        <w:t xml:space="preserve">Should the five-year transition period for changes in eligibility status remain, or be changed? </w:t>
      </w:r>
    </w:p>
    <w:p w14:paraId="4FA45B0C" w14:textId="633068E0" w:rsidR="003C5F76" w:rsidRDefault="004F4608" w:rsidP="00FD69F7">
      <w:pPr>
        <w:pStyle w:val="BodyText"/>
      </w:pPr>
      <w:r>
        <w:t xml:space="preserve">There </w:t>
      </w:r>
      <w:r w:rsidR="00197BE5">
        <w:t xml:space="preserve">were mixed views </w:t>
      </w:r>
      <w:r w:rsidR="00FF644E">
        <w:t xml:space="preserve">on </w:t>
      </w:r>
      <w:r w:rsidR="00197BE5">
        <w:t>whether the</w:t>
      </w:r>
      <w:r w:rsidR="00C36089">
        <w:t xml:space="preserve"> existing</w:t>
      </w:r>
      <w:r w:rsidR="00197BE5">
        <w:t xml:space="preserve"> five-year transition</w:t>
      </w:r>
      <w:r w:rsidR="00C36089">
        <w:t xml:space="preserve"> period for changes in eligibility status </w:t>
      </w:r>
      <w:r w:rsidR="00FF644E">
        <w:t>to take effect should remain.</w:t>
      </w:r>
      <w:r w:rsidR="00300A0E">
        <w:t xml:space="preserve"> Six per cent of submitters did not want the </w:t>
      </w:r>
      <w:r w:rsidR="00385261">
        <w:t>five</w:t>
      </w:r>
      <w:r w:rsidR="003C5F76">
        <w:t>-year</w:t>
      </w:r>
      <w:r w:rsidR="00300A0E">
        <w:t xml:space="preserve"> transition retained</w:t>
      </w:r>
      <w:r w:rsidR="00A00120">
        <w:t xml:space="preserve"> – these were predominantly ind</w:t>
      </w:r>
      <w:r w:rsidR="004508B4">
        <w:t>ividuals</w:t>
      </w:r>
      <w:r w:rsidR="00300A0E">
        <w:t xml:space="preserve">. </w:t>
      </w:r>
      <w:r w:rsidR="00CD64EA">
        <w:t>Reasons for removing the transition period included</w:t>
      </w:r>
      <w:r w:rsidR="00B74CC9">
        <w:t xml:space="preserve"> </w:t>
      </w:r>
      <w:r w:rsidR="005016D8">
        <w:t>allowing the</w:t>
      </w:r>
      <w:r w:rsidR="00B74CC9">
        <w:t xml:space="preserve"> </w:t>
      </w:r>
      <w:r w:rsidR="00AF6FF5">
        <w:t xml:space="preserve">timely implementation of these IA reforms </w:t>
      </w:r>
      <w:r w:rsidR="005016D8">
        <w:t>to address o</w:t>
      </w:r>
      <w:r w:rsidR="00CD64EA">
        <w:t>ver-allocation.</w:t>
      </w:r>
      <w:r w:rsidR="004508B4">
        <w:t xml:space="preserve"> Some submitters said</w:t>
      </w:r>
      <w:r w:rsidR="00833A87">
        <w:t xml:space="preserve"> </w:t>
      </w:r>
      <w:r w:rsidR="004508B4">
        <w:t>firms should be able to measure their own emissions intensity and plan accordingly to account for changes in their eligibility</w:t>
      </w:r>
      <w:r w:rsidR="00833A87">
        <w:t>,</w:t>
      </w:r>
      <w:r w:rsidR="00442A48">
        <w:t xml:space="preserve"> therefore removing the need for a transition period</w:t>
      </w:r>
      <w:r w:rsidR="00833A87">
        <w:t xml:space="preserve">. </w:t>
      </w:r>
    </w:p>
    <w:p w14:paraId="758D2F1E" w14:textId="5334572E" w:rsidR="003C5F76" w:rsidRDefault="003C5F76" w:rsidP="003C5F76">
      <w:pPr>
        <w:pStyle w:val="BodyText"/>
      </w:pPr>
      <w:r>
        <w:t xml:space="preserve">Seven per cent of submitters wanted the </w:t>
      </w:r>
      <w:r w:rsidR="00385261">
        <w:t>five</w:t>
      </w:r>
      <w:r>
        <w:t>-year transition period to remain</w:t>
      </w:r>
      <w:r w:rsidR="008D1342">
        <w:t xml:space="preserve"> (</w:t>
      </w:r>
      <w:r w:rsidR="004B4E2E">
        <w:t>these were all allocation recipients or entities related to industry</w:t>
      </w:r>
      <w:r w:rsidR="0083167A">
        <w:t>). S</w:t>
      </w:r>
      <w:r w:rsidR="00234DD6">
        <w:t>upporters argu</w:t>
      </w:r>
      <w:r w:rsidR="0083167A">
        <w:t>ed</w:t>
      </w:r>
      <w:r w:rsidR="00234DD6">
        <w:t xml:space="preserve"> </w:t>
      </w:r>
      <w:r w:rsidR="00CD64EA">
        <w:t>i</w:t>
      </w:r>
      <w:r>
        <w:t xml:space="preserve">t provides certainty for recipients and could mitigate disruptive impacts from eligibility changes. </w:t>
      </w:r>
      <w:r w:rsidR="00FB22E3">
        <w:t xml:space="preserve">Pan Pac </w:t>
      </w:r>
      <w:r>
        <w:t xml:space="preserve">recommended indefinitely extending the transition period until recipients had recovered the costs of investments funded through allocations. </w:t>
      </w:r>
    </w:p>
    <w:p w14:paraId="0088B2D2" w14:textId="6F2A66EC" w:rsidR="003C5F76" w:rsidRPr="00B96E83" w:rsidRDefault="003C5F76" w:rsidP="003C5F76">
      <w:pPr>
        <w:pStyle w:val="BodyText"/>
      </w:pPr>
      <w:r>
        <w:t>Seventeen per cent of submitters wanted the transition changed to one year</w:t>
      </w:r>
      <w:r w:rsidR="0040004B">
        <w:t xml:space="preserve"> (</w:t>
      </w:r>
      <w:r w:rsidR="00C060BB">
        <w:t>all individuals or ENGOs)</w:t>
      </w:r>
      <w:r>
        <w:t xml:space="preserve">, and </w:t>
      </w:r>
      <w:r w:rsidR="00385261">
        <w:t>two</w:t>
      </w:r>
      <w:r>
        <w:t xml:space="preserve"> per cent wanted some other transitio</w:t>
      </w:r>
      <w:r w:rsidR="00C45881">
        <w:t>n. Horticulture NZ</w:t>
      </w:r>
      <w:r>
        <w:t xml:space="preserve"> supported a longer </w:t>
      </w:r>
      <w:r w:rsidR="00385261">
        <w:t>10</w:t>
      </w:r>
      <w:r>
        <w:t>-year transition period to provide certainty to recipients, and</w:t>
      </w:r>
      <w:r w:rsidR="00144217">
        <w:t xml:space="preserve"> others supported somewhere between two and five years. </w:t>
      </w:r>
      <w:r w:rsidR="003F1F38" w:rsidRPr="003F1F38">
        <w:t>Sixty-nine per cent either did not answer or were not explicit in their answer.</w:t>
      </w:r>
    </w:p>
    <w:p w14:paraId="207CDB58" w14:textId="41A3764A" w:rsidR="00E508E1" w:rsidRDefault="00E508E1" w:rsidP="00130A1E">
      <w:pPr>
        <w:pStyle w:val="Heading3"/>
        <w:rPr>
          <w:rStyle w:val="Heading1Char"/>
          <w:b/>
          <w:bCs/>
        </w:rPr>
      </w:pPr>
      <w:r>
        <w:br w:type="page"/>
      </w:r>
      <w:bookmarkStart w:id="17" w:name="_Toc95731393"/>
      <w:r>
        <w:rPr>
          <w:rStyle w:val="Heading1Char"/>
          <w:b/>
          <w:bCs/>
        </w:rPr>
        <w:lastRenderedPageBreak/>
        <w:t>Future of IA policy</w:t>
      </w:r>
      <w:bookmarkEnd w:id="17"/>
      <w:r>
        <w:rPr>
          <w:rStyle w:val="Heading1Char"/>
          <w:b/>
          <w:bCs/>
        </w:rPr>
        <w:t xml:space="preserve"> </w:t>
      </w:r>
    </w:p>
    <w:p w14:paraId="5D569432" w14:textId="37A09501" w:rsidR="00021396" w:rsidRPr="00021396" w:rsidRDefault="00E43CDA" w:rsidP="00021396">
      <w:pPr>
        <w:pStyle w:val="BodyText"/>
      </w:pPr>
      <w:r>
        <w:t xml:space="preserve">The Government also sought feedback on the future direction of </w:t>
      </w:r>
      <w:r w:rsidR="00A72462">
        <w:t>IA</w:t>
      </w:r>
      <w:r w:rsidR="002F447D">
        <w:t xml:space="preserve"> </w:t>
      </w:r>
      <w:r w:rsidR="00B00FA5">
        <w:t>policy</w:t>
      </w:r>
      <w:r w:rsidR="00014FE4">
        <w:t>.</w:t>
      </w:r>
      <w:r w:rsidR="00B00FA5">
        <w:t xml:space="preserve"> </w:t>
      </w:r>
      <w:r w:rsidR="00153C20">
        <w:t>This was</w:t>
      </w:r>
      <w:r w:rsidR="006A6AB7">
        <w:t xml:space="preserve"> framed</w:t>
      </w:r>
      <w:r w:rsidR="00153C20">
        <w:t xml:space="preserve"> as a high</w:t>
      </w:r>
      <w:r w:rsidR="00C039CB">
        <w:t>-</w:t>
      </w:r>
      <w:r w:rsidR="00153C20">
        <w:t xml:space="preserve">level </w:t>
      </w:r>
      <w:r w:rsidR="006A6AB7">
        <w:t xml:space="preserve">discussion on </w:t>
      </w:r>
      <w:r w:rsidR="00B00FA5">
        <w:t>whether the</w:t>
      </w:r>
      <w:r w:rsidR="0004328F">
        <w:t xml:space="preserve"> phasing or replacement of the current system with </w:t>
      </w:r>
      <w:r w:rsidR="006A6AB7">
        <w:t xml:space="preserve">alternative </w:t>
      </w:r>
      <w:r w:rsidR="0004328F">
        <w:t xml:space="preserve">mechanisms </w:t>
      </w:r>
      <w:proofErr w:type="gramStart"/>
      <w:r w:rsidR="0004328F">
        <w:t xml:space="preserve">might better </w:t>
      </w:r>
      <w:r w:rsidR="00662641">
        <w:t>account for</w:t>
      </w:r>
      <w:proofErr w:type="gramEnd"/>
      <w:r w:rsidR="00662641">
        <w:t xml:space="preserve"> </w:t>
      </w:r>
      <w:r w:rsidR="0001524A">
        <w:t>growing international climate ambition and</w:t>
      </w:r>
      <w:r w:rsidR="00DB000B">
        <w:t xml:space="preserve"> the changing lands</w:t>
      </w:r>
      <w:r w:rsidR="004B24BF">
        <w:t xml:space="preserve">cape of competitiveness issues and emissions leakage. </w:t>
      </w:r>
    </w:p>
    <w:p w14:paraId="4FCC6FD2" w14:textId="27A719B4" w:rsidR="00854FB1" w:rsidRDefault="00854FB1" w:rsidP="00AE7E51">
      <w:pPr>
        <w:pStyle w:val="Heading2"/>
      </w:pPr>
      <w:bookmarkStart w:id="18" w:name="_Toc95731394"/>
      <w:r>
        <w:t>Alterna</w:t>
      </w:r>
      <w:r w:rsidR="00C82B5F">
        <w:t>tive mechanisms</w:t>
      </w:r>
      <w:r w:rsidR="004C1E0D">
        <w:t xml:space="preserve"> to industrial allocation</w:t>
      </w:r>
      <w:bookmarkEnd w:id="18"/>
    </w:p>
    <w:p w14:paraId="07CCB343" w14:textId="38F9A7B0" w:rsidR="005E4DAD" w:rsidRPr="006D319F" w:rsidRDefault="00AE7E51" w:rsidP="004B5961">
      <w:pPr>
        <w:pStyle w:val="Bodytextbold"/>
        <w:rPr>
          <w:sz w:val="24"/>
        </w:rPr>
      </w:pPr>
      <w:r>
        <w:t xml:space="preserve">Question 23: </w:t>
      </w:r>
      <w:r w:rsidR="005E4DAD" w:rsidRPr="006D319F">
        <w:t xml:space="preserve">Should we look at an alternative mechanism to address emissions leakage? </w:t>
      </w:r>
    </w:p>
    <w:p w14:paraId="16DAE1F3" w14:textId="2B90127B" w:rsidR="005E4DAD" w:rsidRPr="006D319F" w:rsidRDefault="00AE7E51" w:rsidP="004B5961">
      <w:pPr>
        <w:pStyle w:val="Bodytextbold"/>
        <w:rPr>
          <w:sz w:val="24"/>
        </w:rPr>
      </w:pPr>
      <w:r>
        <w:t xml:space="preserve">Question 24: </w:t>
      </w:r>
      <w:r w:rsidR="005E4DAD" w:rsidRPr="006D319F">
        <w:t>What alternative mechanisms to IA would better address the risk of emissions leakage, and support domestic and international emissions reduction targets?</w:t>
      </w:r>
    </w:p>
    <w:p w14:paraId="2A4D0FF6" w14:textId="268110B8" w:rsidR="00A93AAF" w:rsidRDefault="00A93AAF" w:rsidP="00A93AAF">
      <w:pPr>
        <w:pStyle w:val="BodyText"/>
      </w:pPr>
      <w:r>
        <w:t>Thirty</w:t>
      </w:r>
      <w:r w:rsidR="009971E9">
        <w:t xml:space="preserve">-one </w:t>
      </w:r>
      <w:r>
        <w:t xml:space="preserve">per cent of submitters agreed </w:t>
      </w:r>
      <w:r w:rsidR="00206382">
        <w:t>that</w:t>
      </w:r>
      <w:r>
        <w:t xml:space="preserve"> the government should look at alternative mechanisms to address emissions leakage</w:t>
      </w:r>
      <w:r w:rsidR="006D42D7">
        <w:t>. A</w:t>
      </w:r>
      <w:r w:rsidR="009D35E9">
        <w:t xml:space="preserve"> third of this group favoured the use of a </w:t>
      </w:r>
      <w:r w:rsidR="00272048">
        <w:t>carbon border adjustment mechanism (</w:t>
      </w:r>
      <w:r w:rsidR="009D35E9">
        <w:t>CBAM</w:t>
      </w:r>
      <w:r w:rsidR="00272048">
        <w:t>)</w:t>
      </w:r>
      <w:r w:rsidR="0015409F">
        <w:t xml:space="preserve"> and almost half favoured </w:t>
      </w:r>
      <w:r w:rsidR="00312ADB">
        <w:t xml:space="preserve">the </w:t>
      </w:r>
      <w:r w:rsidR="003F3BE6">
        <w:t>use</w:t>
      </w:r>
      <w:r w:rsidR="00312ADB">
        <w:t xml:space="preserve"> of funding</w:t>
      </w:r>
      <w:r>
        <w:t>. Three per cent disagreed</w:t>
      </w:r>
      <w:r w:rsidR="00871F95">
        <w:t xml:space="preserve"> </w:t>
      </w:r>
      <w:r w:rsidR="003F3BE6">
        <w:t>that</w:t>
      </w:r>
      <w:r w:rsidR="00871F95">
        <w:t xml:space="preserve"> the government should </w:t>
      </w:r>
      <w:r w:rsidR="001339AA">
        <w:t>look at alternative mechanisms</w:t>
      </w:r>
      <w:r w:rsidR="00C10BC7">
        <w:t>. S</w:t>
      </w:r>
      <w:r>
        <w:t xml:space="preserve">ixty-six per cent either did not answer or were not explicit in their answer. </w:t>
      </w:r>
    </w:p>
    <w:p w14:paraId="04AA8803" w14:textId="47A6BFB0" w:rsidR="00AE612D" w:rsidRDefault="00AE612D" w:rsidP="00AE612D">
      <w:pPr>
        <w:pStyle w:val="BodyText"/>
      </w:pPr>
      <w:r>
        <w:t xml:space="preserve">Some </w:t>
      </w:r>
      <w:r w:rsidR="00076218">
        <w:t xml:space="preserve">specific </w:t>
      </w:r>
      <w:r>
        <w:t xml:space="preserve">points from submitters were: </w:t>
      </w:r>
    </w:p>
    <w:p w14:paraId="34C04FE5" w14:textId="6C0402C1" w:rsidR="00C82B5F" w:rsidRDefault="00BB2AA6" w:rsidP="00C4338C">
      <w:pPr>
        <w:pStyle w:val="Bullet"/>
      </w:pPr>
      <w:r>
        <w:t>n</w:t>
      </w:r>
      <w:r w:rsidR="000D2B7B">
        <w:t>ine per cent of</w:t>
      </w:r>
      <w:r w:rsidR="00AE612D">
        <w:t xml:space="preserve"> submitters said that an alternative mechanism should</w:t>
      </w:r>
      <w:r w:rsidR="00F53441">
        <w:t xml:space="preserve"> support decarbonisation. These were predominantly indi</w:t>
      </w:r>
      <w:r w:rsidR="00A61061">
        <w:t>viduals</w:t>
      </w:r>
    </w:p>
    <w:p w14:paraId="17342A90" w14:textId="726340F8" w:rsidR="00A61061" w:rsidRDefault="00737783" w:rsidP="00C4338C">
      <w:pPr>
        <w:pStyle w:val="Bullet"/>
      </w:pPr>
      <w:r>
        <w:t xml:space="preserve">Oji Fibre Solutions </w:t>
      </w:r>
      <w:r w:rsidR="00F94B3F">
        <w:t xml:space="preserve">said </w:t>
      </w:r>
      <w:r w:rsidR="00373F0E">
        <w:t>alternative measures are needed to support at</w:t>
      </w:r>
      <w:r w:rsidR="003F3BE6">
        <w:t>-</w:t>
      </w:r>
      <w:r w:rsidR="00373F0E">
        <w:t>risk industry</w:t>
      </w:r>
      <w:r w:rsidR="00F94B3F">
        <w:t xml:space="preserve">, especially for the wood sector. </w:t>
      </w:r>
      <w:r w:rsidR="00FD08A5">
        <w:t>Policies should directly encourage emissions reductions</w:t>
      </w:r>
    </w:p>
    <w:p w14:paraId="270F742F" w14:textId="7215C4B2" w:rsidR="000067A7" w:rsidRDefault="000067A7" w:rsidP="00C4338C">
      <w:pPr>
        <w:pStyle w:val="Bullet"/>
      </w:pPr>
      <w:r>
        <w:t>Holcim favour</w:t>
      </w:r>
      <w:r w:rsidR="00B64B5C">
        <w:t>ed</w:t>
      </w:r>
      <w:r>
        <w:t xml:space="preserve"> removing </w:t>
      </w:r>
      <w:r w:rsidR="00A72462">
        <w:t xml:space="preserve">IA </w:t>
      </w:r>
      <w:r w:rsidR="002B0D90">
        <w:t>completely by</w:t>
      </w:r>
      <w:r>
        <w:t xml:space="preserve"> 2025 and repla</w:t>
      </w:r>
      <w:r w:rsidR="00342B19">
        <w:t>cing it</w:t>
      </w:r>
      <w:r>
        <w:t xml:space="preserve"> with a CBAM.</w:t>
      </w:r>
      <w:r w:rsidR="003247DD">
        <w:t xml:space="preserve"> </w:t>
      </w:r>
      <w:r w:rsidR="00DF7F2F">
        <w:t>It</w:t>
      </w:r>
      <w:r w:rsidR="00C8023F">
        <w:t xml:space="preserve"> stated there</w:t>
      </w:r>
      <w:r w:rsidR="0005612C">
        <w:t xml:space="preserve"> is no cost differential between high and low carbon intensity products because </w:t>
      </w:r>
      <w:r w:rsidR="00A72462">
        <w:t xml:space="preserve">IA </w:t>
      </w:r>
      <w:r w:rsidR="0005612C">
        <w:t>absorbs the impact.</w:t>
      </w:r>
      <w:r w:rsidR="000A005B">
        <w:t xml:space="preserve"> </w:t>
      </w:r>
      <w:r w:rsidR="00DF7F2F">
        <w:t>It</w:t>
      </w:r>
      <w:r w:rsidR="009F26E4">
        <w:t xml:space="preserve"> also stated</w:t>
      </w:r>
      <w:r w:rsidR="000A005B">
        <w:t xml:space="preserve"> that </w:t>
      </w:r>
      <w:r w:rsidR="00FB574B">
        <w:t>cement alternatives are available now</w:t>
      </w:r>
      <w:r w:rsidR="003F3BE6">
        <w:t>,</w:t>
      </w:r>
      <w:r w:rsidR="00FB574B">
        <w:t xml:space="preserve"> but the economic incentive to move to these alternatives is </w:t>
      </w:r>
      <w:r w:rsidR="002E4533">
        <w:t>muted</w:t>
      </w:r>
    </w:p>
    <w:p w14:paraId="0716A50B" w14:textId="4827DA0C" w:rsidR="00C957AA" w:rsidRDefault="00C957AA" w:rsidP="00C4338C">
      <w:pPr>
        <w:pStyle w:val="Bullet"/>
      </w:pPr>
      <w:r>
        <w:t xml:space="preserve">NZ Steel </w:t>
      </w:r>
      <w:r w:rsidR="00B64B5C">
        <w:t xml:space="preserve">were </w:t>
      </w:r>
      <w:r w:rsidR="00474E77">
        <w:t>no</w:t>
      </w:r>
      <w:r w:rsidR="00437964">
        <w:t xml:space="preserve">t wedded to any </w:t>
      </w:r>
      <w:r w:rsidR="00F70453">
        <w:t>mechanism</w:t>
      </w:r>
      <w:r w:rsidR="00437964">
        <w:t xml:space="preserve"> but indicate</w:t>
      </w:r>
      <w:r w:rsidR="00B64B5C">
        <w:t>d</w:t>
      </w:r>
      <w:r w:rsidR="00437964">
        <w:t xml:space="preserve"> that any </w:t>
      </w:r>
      <w:r>
        <w:t xml:space="preserve">new policy should protect against leakage, be simple and avoid </w:t>
      </w:r>
      <w:r w:rsidR="00327B5F">
        <w:t>unintended impacts</w:t>
      </w:r>
    </w:p>
    <w:p w14:paraId="69DE820A" w14:textId="3BE4E217" w:rsidR="00327B5F" w:rsidRDefault="003A3CFB" w:rsidP="00C4338C">
      <w:pPr>
        <w:pStyle w:val="Bullet"/>
      </w:pPr>
      <w:r>
        <w:t>WPMA</w:t>
      </w:r>
      <w:r w:rsidR="00B62B95">
        <w:t xml:space="preserve"> said that New Zealand’s </w:t>
      </w:r>
      <w:r w:rsidR="001C7C14">
        <w:t>greenhouse gas regulation</w:t>
      </w:r>
      <w:r w:rsidR="00B62B95">
        <w:t xml:space="preserve"> need</w:t>
      </w:r>
      <w:r w:rsidR="001C7C14">
        <w:t>s</w:t>
      </w:r>
      <w:r w:rsidR="00B62B95">
        <w:t xml:space="preserve"> to align with the European Union’s proposed CBAM</w:t>
      </w:r>
    </w:p>
    <w:p w14:paraId="2542723C" w14:textId="797B8D7B" w:rsidR="0066023B" w:rsidRDefault="0066023B" w:rsidP="00C4338C">
      <w:pPr>
        <w:pStyle w:val="Bullet"/>
      </w:pPr>
      <w:r>
        <w:t xml:space="preserve">Federated Farmers </w:t>
      </w:r>
      <w:r w:rsidR="007779F1">
        <w:t xml:space="preserve">submitted </w:t>
      </w:r>
      <w:r w:rsidR="00B92930">
        <w:t>that</w:t>
      </w:r>
      <w:r w:rsidR="00780ADD">
        <w:t xml:space="preserve"> an alternative </w:t>
      </w:r>
      <w:r w:rsidR="005C7E1F">
        <w:t xml:space="preserve">framework such as a CBAM </w:t>
      </w:r>
      <w:r w:rsidR="00780ADD">
        <w:t xml:space="preserve">would advantage </w:t>
      </w:r>
      <w:r w:rsidR="00B40108">
        <w:t xml:space="preserve">international </w:t>
      </w:r>
      <w:r w:rsidR="0094115C">
        <w:t>competitors</w:t>
      </w:r>
      <w:r w:rsidR="00B92930">
        <w:t xml:space="preserve">. </w:t>
      </w:r>
      <w:r w:rsidR="007648C7">
        <w:t>It</w:t>
      </w:r>
      <w:r w:rsidR="00DF7F2F">
        <w:t xml:space="preserve"> would</w:t>
      </w:r>
      <w:r w:rsidR="007648C7">
        <w:t xml:space="preserve"> p</w:t>
      </w:r>
      <w:r w:rsidR="00B92930">
        <w:t>refer</w:t>
      </w:r>
      <w:r w:rsidR="003F3BE6">
        <w:t xml:space="preserve"> for</w:t>
      </w:r>
      <w:r w:rsidR="00B92930">
        <w:t xml:space="preserve"> </w:t>
      </w:r>
      <w:r w:rsidR="007648C7">
        <w:t xml:space="preserve">the </w:t>
      </w:r>
      <w:r w:rsidR="00B92930">
        <w:t xml:space="preserve">current </w:t>
      </w:r>
      <w:r w:rsidR="002764C9">
        <w:t>IA</w:t>
      </w:r>
      <w:r w:rsidR="00F94518">
        <w:t xml:space="preserve"> system to be improved</w:t>
      </w:r>
    </w:p>
    <w:p w14:paraId="649180DA" w14:textId="72901597" w:rsidR="0099772B" w:rsidRDefault="0099772B" w:rsidP="00C4338C">
      <w:pPr>
        <w:pStyle w:val="Bullet"/>
      </w:pPr>
      <w:r>
        <w:t xml:space="preserve">Aluminium Extruders Association of New Zealand </w:t>
      </w:r>
      <w:r w:rsidR="00206382">
        <w:t>was</w:t>
      </w:r>
      <w:r w:rsidR="00B57268">
        <w:t xml:space="preserve"> concerned with</w:t>
      </w:r>
      <w:r>
        <w:t xml:space="preserve"> the import of </w:t>
      </w:r>
      <w:r w:rsidR="00B80E46">
        <w:t xml:space="preserve">aluminium products lacking a carbon price. </w:t>
      </w:r>
      <w:r w:rsidR="00CA1698">
        <w:t>It</w:t>
      </w:r>
      <w:r w:rsidR="0037676F">
        <w:t xml:space="preserve"> advocate</w:t>
      </w:r>
      <w:r w:rsidR="00B57268">
        <w:t>d</w:t>
      </w:r>
      <w:r w:rsidR="0037676F">
        <w:t xml:space="preserve"> for a CBAM on imported products that takes account</w:t>
      </w:r>
      <w:r w:rsidR="00B57268">
        <w:t xml:space="preserve"> </w:t>
      </w:r>
      <w:r w:rsidR="00195A24">
        <w:t>of</w:t>
      </w:r>
      <w:r w:rsidR="0037676F">
        <w:t xml:space="preserve"> the exporting nations emissions intensity</w:t>
      </w:r>
    </w:p>
    <w:p w14:paraId="701BDE6C" w14:textId="1C993CBE" w:rsidR="00C73CD2" w:rsidRDefault="00C73CD2" w:rsidP="00C4338C">
      <w:pPr>
        <w:pStyle w:val="Bullet"/>
      </w:pPr>
      <w:r>
        <w:t>Evonik Peroxide</w:t>
      </w:r>
      <w:r w:rsidR="00B32384">
        <w:t xml:space="preserve">, </w:t>
      </w:r>
      <w:r w:rsidR="00447ACC">
        <w:t>Pan Pac,</w:t>
      </w:r>
      <w:r w:rsidR="00ED1BA9">
        <w:t xml:space="preserve"> Ballance Agri-Nutrients, </w:t>
      </w:r>
      <w:r w:rsidR="003A3CFB">
        <w:t>WPMA</w:t>
      </w:r>
      <w:r w:rsidR="009636CF">
        <w:t xml:space="preserve">, and </w:t>
      </w:r>
      <w:r w:rsidR="00767963">
        <w:t>RWPS</w:t>
      </w:r>
      <w:r w:rsidR="001E3E81">
        <w:t xml:space="preserve"> stated that if</w:t>
      </w:r>
      <w:r>
        <w:t xml:space="preserve"> a</w:t>
      </w:r>
      <w:r w:rsidR="00726A7A">
        <w:t xml:space="preserve"> CBAM w</w:t>
      </w:r>
      <w:r w:rsidR="000054B4">
        <w:t>as</w:t>
      </w:r>
      <w:r w:rsidR="00726A7A">
        <w:t xml:space="preserve"> implemented</w:t>
      </w:r>
      <w:r w:rsidR="00195A24">
        <w:t>,</w:t>
      </w:r>
      <w:r w:rsidR="00726A7A">
        <w:t xml:space="preserve"> it should be well</w:t>
      </w:r>
      <w:r w:rsidR="00013A05">
        <w:t xml:space="preserve"> communicated</w:t>
      </w:r>
      <w:r w:rsidR="00DF7F2F">
        <w:t>,</w:t>
      </w:r>
      <w:r w:rsidR="00726A7A">
        <w:t xml:space="preserve"> and firms should be no worse off than under </w:t>
      </w:r>
      <w:r w:rsidR="004D7BCF">
        <w:t>IA</w:t>
      </w:r>
    </w:p>
    <w:p w14:paraId="4B8D7298" w14:textId="6E981F69" w:rsidR="00F700A1" w:rsidRDefault="00300E9B" w:rsidP="00C4338C">
      <w:pPr>
        <w:pStyle w:val="Bullet"/>
      </w:pPr>
      <w:r>
        <w:t xml:space="preserve">OMV New Zealand Limited </w:t>
      </w:r>
      <w:r w:rsidR="002E4740">
        <w:t xml:space="preserve">noted that </w:t>
      </w:r>
      <w:r w:rsidR="00C94102">
        <w:t xml:space="preserve">it is not </w:t>
      </w:r>
      <w:r w:rsidR="00012350">
        <w:t xml:space="preserve">obvious that an alternative to </w:t>
      </w:r>
      <w:r w:rsidR="004D7BCF">
        <w:t>IA</w:t>
      </w:r>
      <w:r w:rsidR="00012350">
        <w:t xml:space="preserve"> is needed</w:t>
      </w:r>
      <w:r w:rsidR="00B047FC">
        <w:t xml:space="preserve"> and that the current system </w:t>
      </w:r>
      <w:r w:rsidR="00F57202">
        <w:t xml:space="preserve">should be monitored </w:t>
      </w:r>
      <w:r w:rsidR="005212CA">
        <w:t>after updates to the allocative baselines</w:t>
      </w:r>
      <w:r w:rsidR="00012350">
        <w:t xml:space="preserve">. </w:t>
      </w:r>
      <w:r w:rsidR="00CA1698">
        <w:t>It</w:t>
      </w:r>
      <w:r w:rsidR="005212CA">
        <w:t xml:space="preserve"> also noted that </w:t>
      </w:r>
      <w:r w:rsidR="002E4740">
        <w:t xml:space="preserve">a CBAM </w:t>
      </w:r>
      <w:r w:rsidR="005212CA">
        <w:t xml:space="preserve">would not </w:t>
      </w:r>
      <w:r w:rsidR="002E4740">
        <w:t>apply to exports due to trade rule</w:t>
      </w:r>
      <w:r w:rsidR="005212CA">
        <w:t>s</w:t>
      </w:r>
    </w:p>
    <w:p w14:paraId="40670714" w14:textId="5CF9FF7F" w:rsidR="00CF244F" w:rsidRDefault="00CF244F" w:rsidP="00C4338C">
      <w:pPr>
        <w:pStyle w:val="Bullet"/>
      </w:pPr>
      <w:r>
        <w:lastRenderedPageBreak/>
        <w:t xml:space="preserve">Energy Resources Aotearoa </w:t>
      </w:r>
      <w:r w:rsidR="009251B7">
        <w:t>prefer</w:t>
      </w:r>
      <w:r w:rsidR="00AB09DB">
        <w:t>red</w:t>
      </w:r>
      <w:r w:rsidR="009251B7">
        <w:t xml:space="preserve"> </w:t>
      </w:r>
      <w:r w:rsidR="00B42496">
        <w:t>IA</w:t>
      </w:r>
      <w:r w:rsidR="009251B7">
        <w:t xml:space="preserve"> to remain but</w:t>
      </w:r>
      <w:r w:rsidR="00A86ECA">
        <w:t xml:space="preserve"> </w:t>
      </w:r>
      <w:r w:rsidR="00AB09DB">
        <w:t xml:space="preserve">expressed support for </w:t>
      </w:r>
      <w:r w:rsidR="009251B7">
        <w:t>a one</w:t>
      </w:r>
      <w:r w:rsidR="00AB09DB">
        <w:t>-</w:t>
      </w:r>
      <w:r w:rsidR="009251B7">
        <w:t>off payment over constant updates</w:t>
      </w:r>
      <w:r w:rsidR="00765DF7">
        <w:t xml:space="preserve"> to industrial allocation policy</w:t>
      </w:r>
      <w:r w:rsidR="009251B7">
        <w:t xml:space="preserve">. </w:t>
      </w:r>
      <w:r w:rsidR="00FF6C9E">
        <w:t>Additionally</w:t>
      </w:r>
      <w:r w:rsidR="00AB09DB">
        <w:t>, it</w:t>
      </w:r>
      <w:r w:rsidR="00FF6C9E">
        <w:t xml:space="preserve"> highlighted that a CBAM would be administratively difficult, not in the spirit of fair trade</w:t>
      </w:r>
      <w:r w:rsidR="00705ED8">
        <w:t>,</w:t>
      </w:r>
      <w:r w:rsidR="00250186">
        <w:t xml:space="preserve"> and wouldn’t solve export issues</w:t>
      </w:r>
    </w:p>
    <w:p w14:paraId="3880A443" w14:textId="7DCB8AD1" w:rsidR="0026671E" w:rsidRDefault="0026671E" w:rsidP="00C4338C">
      <w:pPr>
        <w:pStyle w:val="Bullet"/>
      </w:pPr>
      <w:r>
        <w:t>Graymont do</w:t>
      </w:r>
      <w:r w:rsidR="00DF7F2F">
        <w:t>es</w:t>
      </w:r>
      <w:r>
        <w:t xml:space="preserve"> not favour the use of a CBAM dues to its complexity</w:t>
      </w:r>
      <w:r w:rsidR="00DA72B1">
        <w:t xml:space="preserve"> and trade relation risk</w:t>
      </w:r>
      <w:r w:rsidR="008642BF">
        <w:t>s</w:t>
      </w:r>
    </w:p>
    <w:p w14:paraId="4B5CB80F" w14:textId="307459E2" w:rsidR="00A0108C" w:rsidRDefault="00A0108C" w:rsidP="00C4338C">
      <w:pPr>
        <w:pStyle w:val="Bullet"/>
      </w:pPr>
      <w:r>
        <w:t xml:space="preserve">Horticulture </w:t>
      </w:r>
      <w:r w:rsidR="00D47537">
        <w:t>NZ</w:t>
      </w:r>
      <w:r w:rsidR="00416626">
        <w:t xml:space="preserve"> </w:t>
      </w:r>
      <w:r w:rsidR="00CA1698">
        <w:t>was</w:t>
      </w:r>
      <w:r w:rsidR="00416626">
        <w:t xml:space="preserve"> concerned about imported products not subject to a carbon price displacing </w:t>
      </w:r>
      <w:r w:rsidR="00B578ED">
        <w:t xml:space="preserve">New Zealand production. </w:t>
      </w:r>
      <w:r w:rsidR="00CA1698">
        <w:t>It</w:t>
      </w:r>
      <w:r w:rsidR="001B5A07">
        <w:t xml:space="preserve"> </w:t>
      </w:r>
      <w:r w:rsidR="0018537F">
        <w:t>support</w:t>
      </w:r>
      <w:r w:rsidR="00A86ECA">
        <w:t>ed</w:t>
      </w:r>
      <w:r w:rsidR="0018537F">
        <w:t xml:space="preserve"> direct cash payments to </w:t>
      </w:r>
      <w:r w:rsidR="00BB1589">
        <w:t>EITE firms</w:t>
      </w:r>
      <w:r w:rsidR="00CA1698">
        <w:t>,</w:t>
      </w:r>
      <w:r w:rsidR="00BB1589">
        <w:t xml:space="preserve"> citing that it would be administratively efficient. </w:t>
      </w:r>
      <w:r w:rsidR="00206382">
        <w:t>It</w:t>
      </w:r>
      <w:r w:rsidR="00BB1589">
        <w:t xml:space="preserve"> d</w:t>
      </w:r>
      <w:r w:rsidR="00592927">
        <w:t>id</w:t>
      </w:r>
      <w:r w:rsidR="00BB1589">
        <w:t xml:space="preserve"> not support a partial exemption</w:t>
      </w:r>
      <w:r w:rsidR="00440646">
        <w:t xml:space="preserve"> </w:t>
      </w:r>
      <w:r w:rsidR="00CA1698">
        <w:t>because</w:t>
      </w:r>
      <w:r w:rsidR="00440646">
        <w:t xml:space="preserve"> it would provide limited assurance to growers as</w:t>
      </w:r>
      <w:r w:rsidR="00AB7420">
        <w:t xml:space="preserve"> they do not have direct surrender obligations. </w:t>
      </w:r>
      <w:r w:rsidR="00CA1698">
        <w:t>It</w:t>
      </w:r>
      <w:r w:rsidR="00AB7420">
        <w:t xml:space="preserve"> also note</w:t>
      </w:r>
      <w:r w:rsidR="00D164FC">
        <w:t>d</w:t>
      </w:r>
      <w:r w:rsidR="00AB7420">
        <w:t xml:space="preserve"> there are pros and cons to the use of a CBAM </w:t>
      </w:r>
      <w:r w:rsidR="00FE44F3">
        <w:t>and</w:t>
      </w:r>
      <w:r w:rsidR="00AB7420">
        <w:t xml:space="preserve"> </w:t>
      </w:r>
      <w:r w:rsidR="0037738E">
        <w:t>consider</w:t>
      </w:r>
      <w:r w:rsidR="00D164FC">
        <w:t>ed</w:t>
      </w:r>
      <w:r w:rsidR="0037738E">
        <w:t xml:space="preserve"> it would be better to </w:t>
      </w:r>
      <w:r w:rsidR="007515DC">
        <w:t xml:space="preserve">monitor international developments in this area before </w:t>
      </w:r>
      <w:r w:rsidR="00F211D2">
        <w:t>implementing such</w:t>
      </w:r>
      <w:r w:rsidR="00245B9B">
        <w:t xml:space="preserve"> a change</w:t>
      </w:r>
    </w:p>
    <w:p w14:paraId="4A08F096" w14:textId="406B41DB" w:rsidR="0078258C" w:rsidRDefault="002768EA" w:rsidP="00C4338C">
      <w:pPr>
        <w:pStyle w:val="Bullet"/>
      </w:pPr>
      <w:r w:rsidRPr="003B046F">
        <w:t>Ecologic support</w:t>
      </w:r>
      <w:r w:rsidR="0070456E" w:rsidRPr="003B046F">
        <w:t>ed</w:t>
      </w:r>
      <w:r w:rsidRPr="003B046F">
        <w:t xml:space="preserve"> the development of a </w:t>
      </w:r>
      <w:r w:rsidR="005F3970" w:rsidRPr="00D25773">
        <w:t>Climate Emissions Border Adjustment Mechanism</w:t>
      </w:r>
      <w:r w:rsidR="00AD5B1C">
        <w:t xml:space="preserve"> (CEBAM)</w:t>
      </w:r>
      <w:r w:rsidR="00BA03EA" w:rsidRPr="00D25773">
        <w:rPr>
          <w:rStyle w:val="FootnoteReference"/>
        </w:rPr>
        <w:footnoteReference w:id="6"/>
      </w:r>
      <w:r w:rsidR="00574EA2" w:rsidRPr="00D25773">
        <w:t>,</w:t>
      </w:r>
      <w:r w:rsidR="00427E59" w:rsidRPr="003B046F">
        <w:t xml:space="preserve"> </w:t>
      </w:r>
      <w:r w:rsidR="00205817" w:rsidRPr="003B046F">
        <w:t>as the</w:t>
      </w:r>
      <w:r w:rsidR="00205817">
        <w:t xml:space="preserve"> current system dampens the incentive to invest in greener production methods</w:t>
      </w:r>
      <w:r w:rsidR="006D1985">
        <w:t>,</w:t>
      </w:r>
      <w:r w:rsidR="005F3970">
        <w:t xml:space="preserve"> and </w:t>
      </w:r>
      <w:r w:rsidR="00427E59">
        <w:t xml:space="preserve">a CEBAM system that is </w:t>
      </w:r>
      <w:r w:rsidR="00CA1698">
        <w:t>Word Trade Organisation</w:t>
      </w:r>
      <w:r w:rsidR="00427E59">
        <w:t xml:space="preserve"> compliant would provide </w:t>
      </w:r>
      <w:r w:rsidR="00621A8C">
        <w:t>greater scrutiny to the rational for protection</w:t>
      </w:r>
      <w:r w:rsidR="00C53067">
        <w:t xml:space="preserve">. </w:t>
      </w:r>
      <w:r w:rsidR="006D1985">
        <w:t>It</w:t>
      </w:r>
      <w:r w:rsidR="00C23C4E">
        <w:t xml:space="preserve"> recommend</w:t>
      </w:r>
      <w:r w:rsidR="007A34C1">
        <w:t>ed</w:t>
      </w:r>
      <w:r w:rsidR="00C23C4E">
        <w:t xml:space="preserve"> that</w:t>
      </w:r>
      <w:r w:rsidR="0000556A">
        <w:t xml:space="preserve"> </w:t>
      </w:r>
      <w:r w:rsidR="000C28EF">
        <w:t xml:space="preserve">a </w:t>
      </w:r>
      <w:r w:rsidR="00C53067">
        <w:t>C</w:t>
      </w:r>
      <w:r w:rsidR="000C28EF">
        <w:t>E</w:t>
      </w:r>
      <w:r w:rsidR="00C53067">
        <w:t xml:space="preserve">BAM should be </w:t>
      </w:r>
      <w:r w:rsidR="000C28EF">
        <w:t>phased in</w:t>
      </w:r>
      <w:r w:rsidR="00C53067">
        <w:t xml:space="preserve"> no later than 2026.</w:t>
      </w:r>
    </w:p>
    <w:p w14:paraId="384516C8" w14:textId="0318E90F" w:rsidR="005E4DAD" w:rsidRPr="00B7384D" w:rsidRDefault="00B7384D" w:rsidP="00AE7E51">
      <w:pPr>
        <w:pStyle w:val="Heading2"/>
      </w:pPr>
      <w:bookmarkStart w:id="19" w:name="_Toc95731395"/>
      <w:r w:rsidRPr="00B7384D">
        <w:t>Encouraging emissions reductions</w:t>
      </w:r>
      <w:bookmarkEnd w:id="19"/>
    </w:p>
    <w:p w14:paraId="13621F18" w14:textId="505262DF" w:rsidR="005E4DAD" w:rsidRPr="007E170A" w:rsidRDefault="00A54723" w:rsidP="004B5961">
      <w:pPr>
        <w:pStyle w:val="Bodytextbold"/>
        <w:rPr>
          <w:sz w:val="24"/>
        </w:rPr>
      </w:pPr>
      <w:r>
        <w:t xml:space="preserve">Question 25: </w:t>
      </w:r>
      <w:r w:rsidR="005E4DAD" w:rsidRPr="007E170A">
        <w:t>Should IA policy or any alternative explicitly encourage firms to reduce emissions?</w:t>
      </w:r>
    </w:p>
    <w:p w14:paraId="07B44972" w14:textId="22E530AF" w:rsidR="005E4DAD" w:rsidRPr="007E170A" w:rsidRDefault="00A54723" w:rsidP="004B5961">
      <w:pPr>
        <w:pStyle w:val="Bodytextbold"/>
      </w:pPr>
      <w:r>
        <w:t xml:space="preserve">Question 26: </w:t>
      </w:r>
      <w:r w:rsidR="005E4DAD" w:rsidRPr="007E170A">
        <w:t>What method could be used to encourage emissions reductions?</w:t>
      </w:r>
    </w:p>
    <w:p w14:paraId="4BA6B5EE" w14:textId="2032D10C" w:rsidR="00E00F99" w:rsidRDefault="004448B6" w:rsidP="00E00F99">
      <w:pPr>
        <w:pStyle w:val="BodyText"/>
      </w:pPr>
      <w:r>
        <w:t>Twenty-three</w:t>
      </w:r>
      <w:r w:rsidR="00E00F99">
        <w:t xml:space="preserve"> per cent of submitters agreed</w:t>
      </w:r>
      <w:r w:rsidR="004845CA">
        <w:t xml:space="preserve"> that</w:t>
      </w:r>
      <w:r w:rsidR="00E00F99">
        <w:t xml:space="preserve"> </w:t>
      </w:r>
      <w:r w:rsidR="005D0BBE">
        <w:t>IA</w:t>
      </w:r>
      <w:r>
        <w:t xml:space="preserve"> or any alternative mechanism should explicitly encourage emissions reductions</w:t>
      </w:r>
      <w:r w:rsidR="002A4DDD">
        <w:t xml:space="preserve"> (mixture of allocation recipients, ENGOs and indiv</w:t>
      </w:r>
      <w:r w:rsidR="00AB13EA">
        <w:t>iduals)</w:t>
      </w:r>
      <w:r>
        <w:t>.</w:t>
      </w:r>
      <w:r w:rsidR="00E00F99">
        <w:t xml:space="preserve"> </w:t>
      </w:r>
      <w:r w:rsidR="00F7548A">
        <w:t>Four</w:t>
      </w:r>
      <w:r w:rsidR="00E00F99">
        <w:t xml:space="preserve"> per cent disagreed</w:t>
      </w:r>
      <w:r w:rsidR="0051180E">
        <w:t xml:space="preserve"> – with some noting that IA policy currently does this</w:t>
      </w:r>
      <w:r w:rsidR="00320AB6">
        <w:t xml:space="preserve">. </w:t>
      </w:r>
      <w:r w:rsidR="0051180E">
        <w:t xml:space="preserve">Others who disagreed said the best way to </w:t>
      </w:r>
      <w:r w:rsidR="000F36FD">
        <w:t xml:space="preserve">incentivise emissions reductions is to remove </w:t>
      </w:r>
      <w:r w:rsidR="00A72462">
        <w:t xml:space="preserve">IA </w:t>
      </w:r>
      <w:r w:rsidR="000F36FD">
        <w:t xml:space="preserve">completely. </w:t>
      </w:r>
      <w:r w:rsidR="00320AB6">
        <w:t>Seventy-three</w:t>
      </w:r>
      <w:r w:rsidR="00E00F99">
        <w:t xml:space="preserve"> per cent either did not answer or were not explicit in their answer. </w:t>
      </w:r>
    </w:p>
    <w:p w14:paraId="75C97268" w14:textId="4EA930FF" w:rsidR="00504A61" w:rsidRDefault="00087F86" w:rsidP="00844459">
      <w:pPr>
        <w:pStyle w:val="BodyText"/>
      </w:pPr>
      <w:r>
        <w:t xml:space="preserve">Oji Fibre Solutions </w:t>
      </w:r>
      <w:r w:rsidR="00EE4EEF">
        <w:t>w</w:t>
      </w:r>
      <w:r w:rsidR="00496BA2">
        <w:t>as</w:t>
      </w:r>
      <w:r w:rsidR="00EE4EEF">
        <w:t xml:space="preserve"> </w:t>
      </w:r>
      <w:r w:rsidR="00851FCD">
        <w:t xml:space="preserve">interested in </w:t>
      </w:r>
      <w:r w:rsidR="00E17CE4">
        <w:t>s</w:t>
      </w:r>
      <w:r w:rsidR="0003080D">
        <w:t>eeing</w:t>
      </w:r>
      <w:r w:rsidR="00E17CE4">
        <w:t xml:space="preserve"> </w:t>
      </w:r>
      <w:r w:rsidR="00834917">
        <w:t>incentives such as grants and tax rebates to balance out ‘</w:t>
      </w:r>
      <w:r w:rsidR="0003080D">
        <w:t>punitive</w:t>
      </w:r>
      <w:r w:rsidR="00834917">
        <w:t xml:space="preserve">’ measures </w:t>
      </w:r>
      <w:r w:rsidR="0014393C">
        <w:t xml:space="preserve">such as </w:t>
      </w:r>
      <w:r w:rsidR="00E852B8">
        <w:t>the carbon price and regulatory controls</w:t>
      </w:r>
      <w:r w:rsidR="0003080D">
        <w:t xml:space="preserve">. </w:t>
      </w:r>
      <w:r w:rsidR="00206382">
        <w:t>It</w:t>
      </w:r>
      <w:r w:rsidR="00A9450C">
        <w:t xml:space="preserve"> note</w:t>
      </w:r>
      <w:r w:rsidR="003109B6">
        <w:t>d</w:t>
      </w:r>
      <w:r w:rsidR="00A9450C">
        <w:t xml:space="preserve"> </w:t>
      </w:r>
      <w:r w:rsidR="006D1985">
        <w:t xml:space="preserve">that </w:t>
      </w:r>
      <w:r w:rsidR="00A9450C">
        <w:t xml:space="preserve">the limited </w:t>
      </w:r>
      <w:r w:rsidR="00144DFC">
        <w:t xml:space="preserve">direct </w:t>
      </w:r>
      <w:r w:rsidR="00A9450C">
        <w:t>support provided</w:t>
      </w:r>
      <w:r w:rsidR="00B6517D">
        <w:t xml:space="preserve"> to large </w:t>
      </w:r>
      <w:r w:rsidR="00834DF9">
        <w:t xml:space="preserve">industrials </w:t>
      </w:r>
      <w:r w:rsidR="00A9450C">
        <w:t xml:space="preserve">by the </w:t>
      </w:r>
      <w:r w:rsidR="008D4B54">
        <w:t xml:space="preserve">Government Investment for Decarbonising Industry and the Provincial Growth Fund </w:t>
      </w:r>
      <w:r w:rsidR="00834DF9">
        <w:t xml:space="preserve">are too small for </w:t>
      </w:r>
      <w:r w:rsidR="00F73321">
        <w:t xml:space="preserve">its </w:t>
      </w:r>
      <w:r w:rsidR="00A2322E">
        <w:t>possible</w:t>
      </w:r>
      <w:r w:rsidR="00834DF9">
        <w:t xml:space="preserve"> </w:t>
      </w:r>
      <w:r w:rsidR="009D17FC">
        <w:t xml:space="preserve">$600 million bio-energy project. </w:t>
      </w:r>
      <w:r w:rsidR="00940C07">
        <w:t>Additionally, m</w:t>
      </w:r>
      <w:r w:rsidR="00940C07" w:rsidRPr="00940C07">
        <w:t>any submitters indicated funding was necessary to encourage emissions reductions.</w:t>
      </w:r>
      <w:r w:rsidR="00504A61">
        <w:t xml:space="preserve"> Many</w:t>
      </w:r>
      <w:r w:rsidR="00EA79DA">
        <w:t xml:space="preserve"> submitters </w:t>
      </w:r>
      <w:r w:rsidR="00844459">
        <w:t>said the current system already provides an incentive to reduction emissions.</w:t>
      </w:r>
    </w:p>
    <w:p w14:paraId="1104F185" w14:textId="22CEE239" w:rsidR="00EA79DA" w:rsidRDefault="000E4CB3" w:rsidP="001B7A67">
      <w:pPr>
        <w:pStyle w:val="BodyText"/>
      </w:pPr>
      <w:r>
        <w:t xml:space="preserve">Some related points from submitters were: </w:t>
      </w:r>
    </w:p>
    <w:p w14:paraId="563CA160" w14:textId="5587262C" w:rsidR="00844459" w:rsidRDefault="0009545D" w:rsidP="00C4338C">
      <w:pPr>
        <w:pStyle w:val="Bullet"/>
      </w:pPr>
      <w:r>
        <w:t xml:space="preserve">The </w:t>
      </w:r>
      <w:r w:rsidR="0040028F">
        <w:t>Carbon Shop</w:t>
      </w:r>
      <w:r w:rsidR="00434AE4">
        <w:t xml:space="preserve"> Ltd</w:t>
      </w:r>
      <w:r w:rsidR="0040028F">
        <w:t xml:space="preserve"> said </w:t>
      </w:r>
      <w:r w:rsidR="00E1020C">
        <w:t xml:space="preserve">IA intrinsically encourages emissions reductions through </w:t>
      </w:r>
      <w:r w:rsidR="00CE374F">
        <w:t xml:space="preserve">static baselines but notes this is often not factored into project planning except for </w:t>
      </w:r>
      <w:r w:rsidR="00B72CD7">
        <w:t xml:space="preserve">in </w:t>
      </w:r>
      <w:r w:rsidR="00CE374F">
        <w:t xml:space="preserve">very large </w:t>
      </w:r>
      <w:r w:rsidR="002669C7">
        <w:t xml:space="preserve">projects. </w:t>
      </w:r>
      <w:r w:rsidR="00B72CD7">
        <w:t xml:space="preserve">It </w:t>
      </w:r>
      <w:r w:rsidR="002669C7">
        <w:t>note</w:t>
      </w:r>
      <w:r w:rsidR="00B72CD7">
        <w:t>d</w:t>
      </w:r>
      <w:r w:rsidR="002669C7">
        <w:t xml:space="preserve"> other tools and policies </w:t>
      </w:r>
      <w:r w:rsidR="00A862BE">
        <w:t>to e</w:t>
      </w:r>
      <w:r w:rsidR="006B1FBD">
        <w:t>xplicitly encourage emissions</w:t>
      </w:r>
      <w:r w:rsidR="00A862BE">
        <w:t xml:space="preserve"> </w:t>
      </w:r>
      <w:r w:rsidR="00316212">
        <w:t xml:space="preserve">reduction should </w:t>
      </w:r>
      <w:r w:rsidR="00A862BE">
        <w:t xml:space="preserve">be leveraged </w:t>
      </w:r>
      <w:proofErr w:type="gramStart"/>
      <w:r w:rsidR="00316212">
        <w:t>so as to</w:t>
      </w:r>
      <w:proofErr w:type="gramEnd"/>
      <w:r w:rsidR="00316212">
        <w:t xml:space="preserve"> not </w:t>
      </w:r>
      <w:r w:rsidR="00A862BE">
        <w:t>mak</w:t>
      </w:r>
      <w:r w:rsidR="00316212">
        <w:t>e</w:t>
      </w:r>
      <w:r w:rsidR="00A862BE">
        <w:t xml:space="preserve"> IA more complex</w:t>
      </w:r>
    </w:p>
    <w:p w14:paraId="5C530D9E" w14:textId="1B83BAF5" w:rsidR="00844459" w:rsidRDefault="00BB2AA6" w:rsidP="00C4338C">
      <w:pPr>
        <w:pStyle w:val="Bullet"/>
      </w:pPr>
      <w:r>
        <w:lastRenderedPageBreak/>
        <w:t>o</w:t>
      </w:r>
      <w:r w:rsidR="00862E0E">
        <w:t>ne submitter</w:t>
      </w:r>
      <w:r w:rsidR="00844459">
        <w:t xml:space="preserve"> </w:t>
      </w:r>
      <w:r w:rsidR="000E3694">
        <w:t>from the ener</w:t>
      </w:r>
      <w:r w:rsidR="006921BD">
        <w:t xml:space="preserve">gy industry </w:t>
      </w:r>
      <w:r w:rsidR="00844459">
        <w:t xml:space="preserve">said that </w:t>
      </w:r>
      <w:r w:rsidR="00A72462">
        <w:t xml:space="preserve">IA </w:t>
      </w:r>
      <w:r w:rsidR="00844459">
        <w:t>is not the right place to tackle emissions reductions and that a capped ETS linked to budgets is the best way to reduce emissions</w:t>
      </w:r>
    </w:p>
    <w:p w14:paraId="7559F742" w14:textId="27A808FF" w:rsidR="007E70DA" w:rsidRDefault="007E70DA" w:rsidP="00C4338C">
      <w:pPr>
        <w:pStyle w:val="Bullet"/>
      </w:pPr>
      <w:r>
        <w:t xml:space="preserve">Ballance Agri-Nutrients </w:t>
      </w:r>
      <w:r w:rsidR="00A130FE">
        <w:t xml:space="preserve">and Evonik Peroxide </w:t>
      </w:r>
      <w:r>
        <w:t xml:space="preserve">said </w:t>
      </w:r>
      <w:r w:rsidR="003F67E6">
        <w:t>the</w:t>
      </w:r>
      <w:r w:rsidR="00B25ACC">
        <w:t xml:space="preserve"> current output-based system already provides a clear incentive to reduce emissions intensity</w:t>
      </w:r>
      <w:r w:rsidR="003F67E6">
        <w:t xml:space="preserve"> </w:t>
      </w:r>
      <w:r w:rsidR="00B25ACC">
        <w:t xml:space="preserve">and </w:t>
      </w:r>
      <w:r w:rsidR="003F67E6">
        <w:t>w</w:t>
      </w:r>
      <w:r w:rsidR="00B25ACC">
        <w:t>ould</w:t>
      </w:r>
      <w:r w:rsidR="003F67E6">
        <w:t xml:space="preserve"> be undermined through </w:t>
      </w:r>
      <w:r w:rsidR="00D97235">
        <w:t>frequent updates</w:t>
      </w:r>
    </w:p>
    <w:p w14:paraId="40964F84" w14:textId="746DD6C1" w:rsidR="00FB4184" w:rsidRDefault="00A83D12" w:rsidP="00C4338C">
      <w:pPr>
        <w:pStyle w:val="Bullet"/>
      </w:pPr>
      <w:r>
        <w:t xml:space="preserve">Golden Bay Cement </w:t>
      </w:r>
      <w:r w:rsidR="00641C2B">
        <w:t xml:space="preserve">said that </w:t>
      </w:r>
      <w:r w:rsidR="00FF409F">
        <w:t xml:space="preserve">IA policy or any alternative should </w:t>
      </w:r>
      <w:r w:rsidR="004B5820">
        <w:t xml:space="preserve">explicitly encourage emissions reductions but not </w:t>
      </w:r>
      <w:r w:rsidR="00EE5409">
        <w:t xml:space="preserve">then penalise this </w:t>
      </w:r>
      <w:r w:rsidR="00FB4184">
        <w:t>by</w:t>
      </w:r>
      <w:r w:rsidR="00EE5409">
        <w:t xml:space="preserve"> </w:t>
      </w:r>
      <w:r w:rsidR="00FB4184">
        <w:t>updating baselines</w:t>
      </w:r>
    </w:p>
    <w:p w14:paraId="2229893A" w14:textId="5DDE93DD" w:rsidR="00AB0051" w:rsidRDefault="00BB2AA6" w:rsidP="00C4338C">
      <w:pPr>
        <w:pStyle w:val="Bullet"/>
      </w:pPr>
      <w:r>
        <w:t>m</w:t>
      </w:r>
      <w:r w:rsidR="001770DA">
        <w:t>any</w:t>
      </w:r>
      <w:r w:rsidR="00AB0051">
        <w:t xml:space="preserve"> submitters sa</w:t>
      </w:r>
      <w:r w:rsidR="00154BD5">
        <w:t>id</w:t>
      </w:r>
      <w:r w:rsidR="006C12CF">
        <w:t xml:space="preserve"> </w:t>
      </w:r>
      <w:r w:rsidR="00381714">
        <w:t xml:space="preserve">IA </w:t>
      </w:r>
      <w:r w:rsidR="006C12CF">
        <w:t xml:space="preserve">firms should be required to have a verifiable </w:t>
      </w:r>
      <w:r w:rsidR="001770DA">
        <w:t>decarbonisation</w:t>
      </w:r>
      <w:r w:rsidR="006C12CF">
        <w:t xml:space="preserve"> plan and regular review of meeting </w:t>
      </w:r>
      <w:r w:rsidR="001770DA">
        <w:t xml:space="preserve">their </w:t>
      </w:r>
      <w:r w:rsidR="00381714">
        <w:t>targets</w:t>
      </w:r>
      <w:r w:rsidR="001770DA">
        <w:t xml:space="preserve">. </w:t>
      </w:r>
      <w:r w:rsidR="00381714">
        <w:t>Additionally, they said a higher sh</w:t>
      </w:r>
      <w:r w:rsidR="00AB0051">
        <w:t xml:space="preserve">adow price should be used by the </w:t>
      </w:r>
      <w:r w:rsidR="00651807">
        <w:t>g</w:t>
      </w:r>
      <w:r w:rsidR="00AB0051">
        <w:t>overnment</w:t>
      </w:r>
      <w:r w:rsidR="003C05C6">
        <w:t xml:space="preserve"> – however</w:t>
      </w:r>
      <w:r w:rsidR="005372C1">
        <w:t>,</w:t>
      </w:r>
      <w:r w:rsidR="003C05C6">
        <w:t xml:space="preserve"> it was not made clear how this would achieve </w:t>
      </w:r>
      <w:r w:rsidR="009463EA">
        <w:t xml:space="preserve">the outcome of encouraging emissions reductions among EITE activities. </w:t>
      </w:r>
    </w:p>
    <w:p w14:paraId="69816031" w14:textId="070EBF8A" w:rsidR="00C170F8" w:rsidRPr="00E8258A" w:rsidRDefault="00E8258A" w:rsidP="00A54723">
      <w:pPr>
        <w:pStyle w:val="Heading2"/>
      </w:pPr>
      <w:bookmarkStart w:id="20" w:name="_Toc95731396"/>
      <w:r w:rsidRPr="00E8258A">
        <w:t>Wider considerations</w:t>
      </w:r>
      <w:bookmarkEnd w:id="20"/>
    </w:p>
    <w:p w14:paraId="14507477" w14:textId="18E313B2" w:rsidR="00BA46E5" w:rsidRPr="00B7384D" w:rsidRDefault="00A54723" w:rsidP="004B5961">
      <w:pPr>
        <w:pStyle w:val="Bodytextbold"/>
      </w:pPr>
      <w:r>
        <w:t xml:space="preserve">Question 27: </w:t>
      </w:r>
      <w:r w:rsidR="005E4DAD" w:rsidRPr="00B7384D">
        <w:t xml:space="preserve">Should IA decisions or any alternative include wider considerations – such as economic, social, </w:t>
      </w:r>
      <w:proofErr w:type="gramStart"/>
      <w:r w:rsidR="005E4DAD" w:rsidRPr="00B7384D">
        <w:t>cultural</w:t>
      </w:r>
      <w:proofErr w:type="gramEnd"/>
      <w:r w:rsidR="005E4DAD" w:rsidRPr="00B7384D">
        <w:t xml:space="preserve"> and environmental factors – when determining support for industry? </w:t>
      </w:r>
    </w:p>
    <w:p w14:paraId="61F3B0C9" w14:textId="007D771D" w:rsidR="00BA46E5" w:rsidRDefault="00A54723" w:rsidP="004B5961">
      <w:pPr>
        <w:pStyle w:val="Bodytextbold"/>
      </w:pPr>
      <w:r>
        <w:t xml:space="preserve">Question 28: </w:t>
      </w:r>
      <w:r w:rsidR="005E4DAD" w:rsidRPr="00B7384D">
        <w:t>How would these new considerations interact with the goal of reducing emissions leakage?</w:t>
      </w:r>
    </w:p>
    <w:p w14:paraId="7E8003BC" w14:textId="029AAC41" w:rsidR="005841FD" w:rsidRDefault="00667F81" w:rsidP="00725DE4">
      <w:pPr>
        <w:pStyle w:val="BodyText"/>
      </w:pPr>
      <w:r>
        <w:t>Twenty-</w:t>
      </w:r>
      <w:r w:rsidR="00FF4F71">
        <w:t>seven</w:t>
      </w:r>
      <w:r>
        <w:t xml:space="preserve"> per cent of submitters </w:t>
      </w:r>
      <w:r w:rsidR="000166A5">
        <w:t xml:space="preserve">agreed that IA policy or any alternative should </w:t>
      </w:r>
      <w:r w:rsidR="002D7152">
        <w:t>include wider considerations.</w:t>
      </w:r>
      <w:r w:rsidR="00930623">
        <w:t xml:space="preserve"> </w:t>
      </w:r>
      <w:r w:rsidR="002E7FFC">
        <w:t>Agreement came</w:t>
      </w:r>
      <w:r w:rsidR="00725DE4">
        <w:t xml:space="preserve"> across the board</w:t>
      </w:r>
      <w:r w:rsidR="002E7FFC">
        <w:t xml:space="preserve"> fro</w:t>
      </w:r>
      <w:r w:rsidR="001905B1">
        <w:t>m ENGOs, EITE industry</w:t>
      </w:r>
      <w:r w:rsidR="00456725">
        <w:t>,</w:t>
      </w:r>
      <w:r w:rsidR="001905B1">
        <w:t xml:space="preserve"> and individuals.</w:t>
      </w:r>
      <w:r w:rsidR="00591F6A">
        <w:t xml:space="preserve"> </w:t>
      </w:r>
      <w:r w:rsidR="0072096C">
        <w:t>Of those in agreement,</w:t>
      </w:r>
      <w:r w:rsidR="00591F6A">
        <w:t xml:space="preserve"> </w:t>
      </w:r>
      <w:r w:rsidR="005372C1">
        <w:t>45</w:t>
      </w:r>
      <w:r w:rsidR="005A1924">
        <w:t xml:space="preserve"> per cent </w:t>
      </w:r>
      <w:r w:rsidR="00676B49">
        <w:t>mentioned</w:t>
      </w:r>
      <w:r w:rsidR="00676B49" w:rsidRPr="00676B49">
        <w:t xml:space="preserve"> </w:t>
      </w:r>
      <w:r w:rsidR="00676B49">
        <w:t xml:space="preserve">Te Tiriti o Waitangi </w:t>
      </w:r>
      <w:r w:rsidR="00F03D2F">
        <w:t xml:space="preserve">as </w:t>
      </w:r>
      <w:r w:rsidR="00DA1766">
        <w:t>a consideration</w:t>
      </w:r>
      <w:r w:rsidR="00DC4A50">
        <w:t xml:space="preserve">. </w:t>
      </w:r>
    </w:p>
    <w:p w14:paraId="63474BE7" w14:textId="553B1151" w:rsidR="00725DE4" w:rsidRDefault="002D7152" w:rsidP="00725DE4">
      <w:pPr>
        <w:pStyle w:val="BodyText"/>
      </w:pPr>
      <w:r>
        <w:t>Two</w:t>
      </w:r>
      <w:r w:rsidR="006B0974">
        <w:t xml:space="preserve"> per cent </w:t>
      </w:r>
      <w:r w:rsidR="009578EE">
        <w:t>of sub</w:t>
      </w:r>
      <w:r w:rsidR="00364139">
        <w:t>mitters disagreed</w:t>
      </w:r>
      <w:r w:rsidR="00D92553">
        <w:t xml:space="preserve"> </w:t>
      </w:r>
      <w:r w:rsidR="005372C1">
        <w:t xml:space="preserve">that </w:t>
      </w:r>
      <w:r w:rsidR="00D92553">
        <w:t>wider considerations should be part</w:t>
      </w:r>
      <w:r w:rsidR="00153859">
        <w:t xml:space="preserve"> of IA or an alternative</w:t>
      </w:r>
      <w:r w:rsidR="00D92553">
        <w:t xml:space="preserve">. </w:t>
      </w:r>
      <w:r w:rsidR="000D5080">
        <w:t>One submitter from the energy industry</w:t>
      </w:r>
      <w:r w:rsidR="00963520">
        <w:t xml:space="preserve"> </w:t>
      </w:r>
      <w:r w:rsidR="00911B4F">
        <w:t>said IA</w:t>
      </w:r>
      <w:r w:rsidR="00C50910">
        <w:t xml:space="preserve"> was designed to prot</w:t>
      </w:r>
      <w:r w:rsidR="009114DA">
        <w:t xml:space="preserve">ect against carbon leakage and </w:t>
      </w:r>
      <w:r w:rsidR="005372C1">
        <w:t xml:space="preserve">was </w:t>
      </w:r>
      <w:r w:rsidR="009114DA">
        <w:t>not</w:t>
      </w:r>
      <w:r w:rsidR="005372C1">
        <w:t xml:space="preserve"> an</w:t>
      </w:r>
      <w:r w:rsidR="009114DA">
        <w:t xml:space="preserve"> </w:t>
      </w:r>
      <w:r w:rsidR="00911B4F">
        <w:t xml:space="preserve">appropriate place to tackle broader issues. </w:t>
      </w:r>
      <w:r w:rsidR="009114DA">
        <w:t>S</w:t>
      </w:r>
      <w:r w:rsidR="00364139">
        <w:t>eventy-</w:t>
      </w:r>
      <w:r w:rsidR="007002D6">
        <w:t>one</w:t>
      </w:r>
      <w:r w:rsidR="00364139">
        <w:t xml:space="preserve"> per cent either did not answer or were not explicit in their answer. </w:t>
      </w:r>
    </w:p>
    <w:p w14:paraId="7682406C" w14:textId="595BA6A8" w:rsidR="005841FD" w:rsidRDefault="008B0BF3" w:rsidP="005841FD">
      <w:pPr>
        <w:pStyle w:val="BodyText"/>
      </w:pPr>
      <w:r w:rsidRPr="008B0BF3">
        <w:t xml:space="preserve">Graymont said that current IA policy already implicitly includes wider considerations to protect economically important industries which keep jobs in New Zealand. </w:t>
      </w:r>
      <w:r w:rsidR="00456725">
        <w:t>It</w:t>
      </w:r>
      <w:r w:rsidR="00456725" w:rsidRPr="008B0BF3">
        <w:t xml:space="preserve"> </w:t>
      </w:r>
      <w:r w:rsidRPr="008B0BF3">
        <w:t>suggest</w:t>
      </w:r>
      <w:r w:rsidR="00456725">
        <w:t>ed</w:t>
      </w:r>
      <w:r w:rsidRPr="008B0BF3">
        <w:t xml:space="preserve"> other policy levers can be used to specifically tackle wider issues.</w:t>
      </w:r>
      <w:r w:rsidR="00725DE4" w:rsidRPr="00725DE4">
        <w:t xml:space="preserve"> </w:t>
      </w:r>
    </w:p>
    <w:p w14:paraId="5B8D21DF" w14:textId="613372F1" w:rsidR="00786B31" w:rsidRDefault="00725DE4" w:rsidP="005841FD">
      <w:pPr>
        <w:pStyle w:val="BodyText"/>
      </w:pPr>
      <w:r>
        <w:t>Evonik Peroxide and Ballance Agri-Nutrients argue</w:t>
      </w:r>
      <w:r w:rsidR="00456725">
        <w:t>d</w:t>
      </w:r>
      <w:r>
        <w:t xml:space="preserve"> that a singular focus on emissions leakage is out of step with international thinking and does not recognise the challenges facing hard</w:t>
      </w:r>
      <w:r w:rsidR="00A50480">
        <w:t>-</w:t>
      </w:r>
      <w:r>
        <w:t>to</w:t>
      </w:r>
      <w:r w:rsidR="00A50480">
        <w:t>-</w:t>
      </w:r>
      <w:r>
        <w:t>abate industries.</w:t>
      </w:r>
    </w:p>
    <w:p w14:paraId="54A669F9" w14:textId="30C41AFE" w:rsidR="00572B0D" w:rsidRDefault="00C62A06" w:rsidP="00364139">
      <w:pPr>
        <w:pStyle w:val="BodyText"/>
      </w:pPr>
      <w:r>
        <w:t xml:space="preserve">Some submitters voiced wider considerations such as: </w:t>
      </w:r>
    </w:p>
    <w:p w14:paraId="4F7B0FA3" w14:textId="3545B627" w:rsidR="00CA160C" w:rsidRDefault="00CA160C" w:rsidP="00C4338C">
      <w:pPr>
        <w:pStyle w:val="Bullet"/>
      </w:pPr>
      <w:r>
        <w:t xml:space="preserve">Pan Pac </w:t>
      </w:r>
      <w:r w:rsidR="00596CF7">
        <w:t>recommends</w:t>
      </w:r>
      <w:r>
        <w:t xml:space="preserve"> economic </w:t>
      </w:r>
      <w:r w:rsidR="00596CF7">
        <w:t>benefits are</w:t>
      </w:r>
      <w:r>
        <w:t xml:space="preserve"> considered</w:t>
      </w:r>
    </w:p>
    <w:p w14:paraId="0E614F8E" w14:textId="4E69C37E" w:rsidR="00067F3E" w:rsidRDefault="00E9485C" w:rsidP="00C4338C">
      <w:pPr>
        <w:pStyle w:val="Bullet"/>
      </w:pPr>
      <w:r>
        <w:t>Oji Fibre Solutions would like to see energy supply issues considered</w:t>
      </w:r>
    </w:p>
    <w:p w14:paraId="47A5A9B6" w14:textId="52B9597B" w:rsidR="0041500A" w:rsidRDefault="0041500A" w:rsidP="00C4338C">
      <w:pPr>
        <w:pStyle w:val="Bullet"/>
      </w:pPr>
      <w:r>
        <w:t xml:space="preserve">NZ Steel listed </w:t>
      </w:r>
      <w:proofErr w:type="gramStart"/>
      <w:r>
        <w:t xml:space="preserve">a </w:t>
      </w:r>
      <w:r w:rsidR="00456725">
        <w:t>number</w:t>
      </w:r>
      <w:r>
        <w:t xml:space="preserve"> of</w:t>
      </w:r>
      <w:proofErr w:type="gramEnd"/>
      <w:r>
        <w:t xml:space="preserve"> additional considerations</w:t>
      </w:r>
      <w:r w:rsidR="00A50480">
        <w:t>,</w:t>
      </w:r>
      <w:r>
        <w:t xml:space="preserve"> </w:t>
      </w:r>
      <w:r w:rsidR="00A50480">
        <w:t>including,</w:t>
      </w:r>
      <w:r>
        <w:t xml:space="preserve"> </w:t>
      </w:r>
      <w:r w:rsidR="00421F0F">
        <w:t xml:space="preserve">domestic </w:t>
      </w:r>
      <w:r w:rsidR="008500D4">
        <w:t xml:space="preserve">supply chain resilience, employment and wellbeing, </w:t>
      </w:r>
      <w:r w:rsidR="00DD5207">
        <w:t xml:space="preserve">and </w:t>
      </w:r>
      <w:r w:rsidR="008500D4">
        <w:t>education and job skills</w:t>
      </w:r>
    </w:p>
    <w:p w14:paraId="6E2B8CC8" w14:textId="30305D72" w:rsidR="003679B4" w:rsidRDefault="003A3CFB" w:rsidP="00C4338C">
      <w:pPr>
        <w:pStyle w:val="Bullet"/>
      </w:pPr>
      <w:r>
        <w:t>WPMA</w:t>
      </w:r>
      <w:r w:rsidR="00C14A21">
        <w:t xml:space="preserve"> indicated a comprehensive list</w:t>
      </w:r>
      <w:r w:rsidR="00A50480">
        <w:t>,</w:t>
      </w:r>
      <w:r w:rsidR="00C14A21">
        <w:t xml:space="preserve"> including </w:t>
      </w:r>
      <w:r w:rsidR="00B61B05">
        <w:t>least economic cost of climate policies</w:t>
      </w:r>
      <w:r w:rsidR="00A50480">
        <w:t xml:space="preserve"> and</w:t>
      </w:r>
      <w:r w:rsidR="00B61B05">
        <w:t xml:space="preserve"> protection to regional economies</w:t>
      </w:r>
    </w:p>
    <w:p w14:paraId="39E4A671" w14:textId="4A7DB242" w:rsidR="005A3BBC" w:rsidRDefault="005A3BBC" w:rsidP="00C4338C">
      <w:pPr>
        <w:pStyle w:val="Bullet"/>
      </w:pPr>
      <w:r>
        <w:lastRenderedPageBreak/>
        <w:t xml:space="preserve">Evonik Peroxide </w:t>
      </w:r>
      <w:r w:rsidR="00382AD0">
        <w:t>was in favour of wider considerations</w:t>
      </w:r>
      <w:r w:rsidR="00A50480">
        <w:t>,</w:t>
      </w:r>
      <w:r w:rsidR="00382AD0">
        <w:t xml:space="preserve"> including </w:t>
      </w:r>
      <w:r w:rsidR="000E5CBB">
        <w:t>supply security and</w:t>
      </w:r>
      <w:r w:rsidR="000D2744">
        <w:t xml:space="preserve"> the </w:t>
      </w:r>
      <w:r w:rsidR="00D711F2">
        <w:t xml:space="preserve">economic </w:t>
      </w:r>
      <w:r w:rsidR="000D2744">
        <w:t xml:space="preserve">benefits </w:t>
      </w:r>
      <w:r w:rsidR="00BF6788">
        <w:t>of retaining domestic production</w:t>
      </w:r>
    </w:p>
    <w:p w14:paraId="4586A262" w14:textId="644E8CA5" w:rsidR="00AD60EB" w:rsidRDefault="00541F1E" w:rsidP="00C4338C">
      <w:pPr>
        <w:pStyle w:val="Bullet"/>
      </w:pPr>
      <w:r>
        <w:t>WPI</w:t>
      </w:r>
      <w:r w:rsidR="00AD60EB">
        <w:t xml:space="preserve"> </w:t>
      </w:r>
      <w:r w:rsidR="00DC0CF8">
        <w:t xml:space="preserve">suggested that consideration </w:t>
      </w:r>
      <w:r w:rsidR="00E66185">
        <w:t>to broader national interests</w:t>
      </w:r>
      <w:r w:rsidR="00A50480">
        <w:t>,</w:t>
      </w:r>
      <w:r w:rsidR="00E66185">
        <w:t xml:space="preserve"> such</w:t>
      </w:r>
      <w:r w:rsidR="00797124">
        <w:t xml:space="preserve"> </w:t>
      </w:r>
      <w:r w:rsidR="00E66185">
        <w:t xml:space="preserve">as </w:t>
      </w:r>
      <w:r w:rsidR="00DC0CF8">
        <w:t>employment</w:t>
      </w:r>
      <w:r w:rsidR="00797124">
        <w:t xml:space="preserve">, regional </w:t>
      </w:r>
      <w:proofErr w:type="gramStart"/>
      <w:r w:rsidR="00797124">
        <w:t>economies</w:t>
      </w:r>
      <w:proofErr w:type="gramEnd"/>
      <w:r w:rsidR="0079518B">
        <w:t xml:space="preserve"> and</w:t>
      </w:r>
      <w:r w:rsidR="00797124">
        <w:t xml:space="preserve"> </w:t>
      </w:r>
      <w:r w:rsidR="00F73617">
        <w:t>least cost achievement of climate change goals</w:t>
      </w:r>
    </w:p>
    <w:p w14:paraId="2645BD4D" w14:textId="3476953F" w:rsidR="001035A7" w:rsidRDefault="001035A7" w:rsidP="00C4338C">
      <w:pPr>
        <w:pStyle w:val="Bullet"/>
      </w:pPr>
      <w:r>
        <w:t>Golden Bay Cement</w:t>
      </w:r>
      <w:r w:rsidR="00E128FC">
        <w:t xml:space="preserve"> said economic considerations and domestic supply reliability should</w:t>
      </w:r>
      <w:r w:rsidR="00790C91">
        <w:t xml:space="preserve"> </w:t>
      </w:r>
      <w:r w:rsidR="00E128FC">
        <w:t>be considered</w:t>
      </w:r>
    </w:p>
    <w:p w14:paraId="10EE266D" w14:textId="2717CA3D" w:rsidR="0079518B" w:rsidRDefault="0079518B" w:rsidP="00C4338C">
      <w:pPr>
        <w:pStyle w:val="Bullet"/>
      </w:pPr>
      <w:r>
        <w:t xml:space="preserve">Horticulture NZ </w:t>
      </w:r>
      <w:r w:rsidR="00BB2AA6">
        <w:t>suggest</w:t>
      </w:r>
      <w:r w:rsidR="00456725">
        <w:t>ed</w:t>
      </w:r>
      <w:r w:rsidR="001F389D">
        <w:t xml:space="preserve"> the purpose of </w:t>
      </w:r>
      <w:r w:rsidR="009D4C23">
        <w:t>IA should shift to maintaining food security and driving global emissions reductions</w:t>
      </w:r>
    </w:p>
    <w:p w14:paraId="22E3A622" w14:textId="2B23AD7A" w:rsidR="005708E7" w:rsidRDefault="00BB2AA6" w:rsidP="00C4338C">
      <w:pPr>
        <w:pStyle w:val="Bullet"/>
      </w:pPr>
      <w:r>
        <w:t>m</w:t>
      </w:r>
      <w:r w:rsidR="005708E7">
        <w:t xml:space="preserve">any </w:t>
      </w:r>
      <w:r w:rsidR="001B2E0C">
        <w:t xml:space="preserve">submissions said holistic thinking, </w:t>
      </w:r>
      <w:r w:rsidR="00EE1E96">
        <w:t xml:space="preserve">the </w:t>
      </w:r>
      <w:r w:rsidR="001B2E0C">
        <w:t>1.5</w:t>
      </w:r>
      <w:r>
        <w:t>-</w:t>
      </w:r>
      <w:r w:rsidR="001B2E0C">
        <w:t>degree climate goal</w:t>
      </w:r>
      <w:r w:rsidR="00EE1E96">
        <w:t>, just transition</w:t>
      </w:r>
      <w:r w:rsidR="001B2E0C">
        <w:t xml:space="preserve"> and </w:t>
      </w:r>
      <w:r w:rsidR="00C027F2">
        <w:t xml:space="preserve">Te Tiriti </w:t>
      </w:r>
      <w:r w:rsidR="00EF213B">
        <w:t>o Waitangi</w:t>
      </w:r>
      <w:r w:rsidR="001B2E0C">
        <w:t xml:space="preserve"> should all be considerations. These were </w:t>
      </w:r>
      <w:r w:rsidR="00B3210A">
        <w:t>predominantly</w:t>
      </w:r>
      <w:r w:rsidR="001B2E0C">
        <w:t xml:space="preserve"> from individuals and some </w:t>
      </w:r>
      <w:r w:rsidR="00B3210A">
        <w:t xml:space="preserve">ENGOs. </w:t>
      </w:r>
    </w:p>
    <w:p w14:paraId="3E4778B9" w14:textId="77777777" w:rsidR="00C4338C" w:rsidRDefault="00C4338C">
      <w:pPr>
        <w:spacing w:before="0" w:after="0" w:line="240" w:lineRule="auto"/>
        <w:jc w:val="left"/>
        <w:rPr>
          <w:rStyle w:val="Heading1Char"/>
        </w:rPr>
      </w:pPr>
      <w:r>
        <w:rPr>
          <w:rStyle w:val="Heading1Char"/>
          <w:b w:val="0"/>
          <w:bCs w:val="0"/>
        </w:rPr>
        <w:br w:type="page"/>
      </w:r>
    </w:p>
    <w:p w14:paraId="7A640B35" w14:textId="3CFC8357" w:rsidR="00375147" w:rsidRDefault="00DB00F2" w:rsidP="00E508E1">
      <w:pPr>
        <w:pStyle w:val="Heading1"/>
        <w:rPr>
          <w:rStyle w:val="Heading1Char"/>
          <w:b/>
          <w:bCs/>
        </w:rPr>
      </w:pPr>
      <w:bookmarkStart w:id="21" w:name="_Toc95731397"/>
      <w:r>
        <w:rPr>
          <w:rStyle w:val="Heading1Char"/>
          <w:b/>
          <w:bCs/>
        </w:rPr>
        <w:lastRenderedPageBreak/>
        <w:t>Other comment</w:t>
      </w:r>
      <w:r w:rsidR="00913CE0">
        <w:rPr>
          <w:rStyle w:val="Heading1Char"/>
          <w:b/>
          <w:bCs/>
        </w:rPr>
        <w:t>s</w:t>
      </w:r>
      <w:bookmarkEnd w:id="21"/>
      <w:r w:rsidR="00913CE0">
        <w:rPr>
          <w:rStyle w:val="Heading1Char"/>
          <w:b/>
          <w:bCs/>
        </w:rPr>
        <w:t xml:space="preserve"> </w:t>
      </w:r>
    </w:p>
    <w:p w14:paraId="575C7B8E" w14:textId="3E7AFDBC" w:rsidR="00913CE0" w:rsidRPr="00866B28" w:rsidRDefault="00A54723" w:rsidP="004B5961">
      <w:pPr>
        <w:pStyle w:val="Bodytextbold"/>
      </w:pPr>
      <w:r>
        <w:t xml:space="preserve">Question 29: </w:t>
      </w:r>
      <w:r w:rsidR="00913CE0" w:rsidRPr="00866B28">
        <w:t>Do you have any other comments, ideas or feedback that could help support the Government form final policy decisions?</w:t>
      </w:r>
    </w:p>
    <w:p w14:paraId="58DF120F" w14:textId="523A9EDD" w:rsidR="00913CE0" w:rsidRDefault="00422B08" w:rsidP="00913CE0">
      <w:pPr>
        <w:pStyle w:val="BodyText"/>
      </w:pPr>
      <w:r>
        <w:t>Many submitters used this opportunity to voice concerns and view</w:t>
      </w:r>
      <w:r w:rsidR="00BB2AA6">
        <w:t>s</w:t>
      </w:r>
      <w:r>
        <w:t xml:space="preserve"> unrelated to the consultation. These have not been accounted for</w:t>
      </w:r>
      <w:r w:rsidR="0009584F">
        <w:t xml:space="preserve"> in this report. </w:t>
      </w:r>
    </w:p>
    <w:p w14:paraId="275BED2A" w14:textId="125C0B84" w:rsidR="0009584F" w:rsidRDefault="0009584F" w:rsidP="00913CE0">
      <w:pPr>
        <w:pStyle w:val="BodyText"/>
      </w:pPr>
      <w:r>
        <w:t xml:space="preserve">Additional views relevant to the consultation were: </w:t>
      </w:r>
    </w:p>
    <w:p w14:paraId="5DE2A4DC" w14:textId="5DA5C001" w:rsidR="0009584F" w:rsidRDefault="00BB2AA6" w:rsidP="00BB2AA6">
      <w:pPr>
        <w:pStyle w:val="Bullet"/>
      </w:pPr>
      <w:r>
        <w:t>r</w:t>
      </w:r>
      <w:r w:rsidR="00E73EDF">
        <w:t>eductions in allocation should be removed from the emissions budget</w:t>
      </w:r>
    </w:p>
    <w:p w14:paraId="64543761" w14:textId="345BD2F1" w:rsidR="008B3E02" w:rsidRDefault="00BB2AA6" w:rsidP="00BB2AA6">
      <w:pPr>
        <w:pStyle w:val="Bullet"/>
      </w:pPr>
      <w:r>
        <w:t>s</w:t>
      </w:r>
      <w:r w:rsidR="00866B28">
        <w:t>ignificant</w:t>
      </w:r>
      <w:r w:rsidR="008B3E02">
        <w:t xml:space="preserve"> support for the removal of fossil fuel subsidies but the use of grants to aid a </w:t>
      </w:r>
      <w:r>
        <w:t>j</w:t>
      </w:r>
      <w:r w:rsidR="008B3E02">
        <w:t xml:space="preserve">ust </w:t>
      </w:r>
      <w:r>
        <w:t>t</w:t>
      </w:r>
      <w:r w:rsidR="008B3E02">
        <w:t>ransition</w:t>
      </w:r>
    </w:p>
    <w:p w14:paraId="7E1B45FB" w14:textId="1E70EA85" w:rsidR="0022613F" w:rsidRDefault="00BB2AA6" w:rsidP="00BB2AA6">
      <w:pPr>
        <w:pStyle w:val="Bullet"/>
      </w:pPr>
      <w:r>
        <w:t>c</w:t>
      </w:r>
      <w:r w:rsidR="0022613F">
        <w:t xml:space="preserve">oncern </w:t>
      </w:r>
      <w:r w:rsidR="00A507BA">
        <w:t>around energy</w:t>
      </w:r>
      <w:r w:rsidR="00866B28">
        <w:t xml:space="preserve"> supply</w:t>
      </w:r>
      <w:r w:rsidR="00A507BA">
        <w:t xml:space="preserve"> issues and the need for reliable low</w:t>
      </w:r>
      <w:r>
        <w:t>-</w:t>
      </w:r>
      <w:r w:rsidR="00A507BA">
        <w:t>emissions energy</w:t>
      </w:r>
    </w:p>
    <w:p w14:paraId="04ECAA31" w14:textId="27FC2CEB" w:rsidR="003E4D0A" w:rsidRDefault="00BB2AA6" w:rsidP="00BB2AA6">
      <w:pPr>
        <w:pStyle w:val="Bullet"/>
      </w:pPr>
      <w:r>
        <w:t>c</w:t>
      </w:r>
      <w:r w:rsidR="003E4D0A">
        <w:t>oncern around compounding impacts on business from other reforms</w:t>
      </w:r>
    </w:p>
    <w:p w14:paraId="515F7C57" w14:textId="02273254" w:rsidR="00EA6156" w:rsidRDefault="00BB2AA6" w:rsidP="00BB2AA6">
      <w:pPr>
        <w:pStyle w:val="Bullet"/>
      </w:pPr>
      <w:r>
        <w:t>c</w:t>
      </w:r>
      <w:r w:rsidR="00EA6156">
        <w:t>oncern around</w:t>
      </w:r>
      <w:r w:rsidR="00866B28">
        <w:t xml:space="preserve"> allocation reform</w:t>
      </w:r>
      <w:r w:rsidR="00EA6156">
        <w:t xml:space="preserve"> undermining investment cases</w:t>
      </w:r>
    </w:p>
    <w:p w14:paraId="0041BD11" w14:textId="24AED484" w:rsidR="003E4D0A" w:rsidRDefault="00BB2AA6" w:rsidP="00BB2AA6">
      <w:pPr>
        <w:pStyle w:val="Bullet"/>
      </w:pPr>
      <w:r>
        <w:t>a</w:t>
      </w:r>
      <w:r w:rsidR="00E274FF">
        <w:t xml:space="preserve">dministration costs </w:t>
      </w:r>
      <w:r w:rsidR="00163BC6">
        <w:t>related to IA</w:t>
      </w:r>
      <w:r w:rsidR="00E274FF">
        <w:t xml:space="preserve"> should be reduced through </w:t>
      </w:r>
      <w:r w:rsidR="000F42AB">
        <w:t>system-based</w:t>
      </w:r>
      <w:r w:rsidR="00E274FF">
        <w:t xml:space="preserve"> reporting which can also work as a method of </w:t>
      </w:r>
      <w:r w:rsidR="000F42AB">
        <w:t>monitoring</w:t>
      </w:r>
    </w:p>
    <w:p w14:paraId="1812F621" w14:textId="621B9708" w:rsidR="00AC7306" w:rsidRDefault="00AC7306" w:rsidP="00BB2AA6">
      <w:pPr>
        <w:pStyle w:val="Bullet"/>
      </w:pPr>
      <w:r>
        <w:t>IA reform needs to be in the context of the Emissions Reduction Plan</w:t>
      </w:r>
    </w:p>
    <w:p w14:paraId="45D3B7BE" w14:textId="14361BCE" w:rsidR="00703F2A" w:rsidRDefault="00BB2AA6" w:rsidP="00BB2AA6">
      <w:pPr>
        <w:pStyle w:val="Bullet"/>
      </w:pPr>
      <w:r>
        <w:t>t</w:t>
      </w:r>
      <w:r w:rsidR="00163BC6">
        <w:t>he a</w:t>
      </w:r>
      <w:r w:rsidR="00703F2A">
        <w:t xml:space="preserve">llocation calculation needs to have </w:t>
      </w:r>
      <w:r w:rsidR="00163BC6">
        <w:t xml:space="preserve">an </w:t>
      </w:r>
      <w:r w:rsidR="00C50354">
        <w:t>explicit link to carbon price</w:t>
      </w:r>
    </w:p>
    <w:p w14:paraId="509BAAB0" w14:textId="65B59ABC" w:rsidR="00C50354" w:rsidRDefault="00BB2AA6" w:rsidP="00BB2AA6">
      <w:pPr>
        <w:pStyle w:val="Bullet"/>
      </w:pPr>
      <w:r>
        <w:t>s</w:t>
      </w:r>
      <w:r w:rsidR="00C50354">
        <w:t>ignificant support for the requirement for allocation recipients to have decarbonisation plans and for these to be scrutinised</w:t>
      </w:r>
    </w:p>
    <w:p w14:paraId="56A37928" w14:textId="705B2DFD" w:rsidR="00D57436" w:rsidRDefault="00BB2AA6" w:rsidP="00BB2AA6">
      <w:pPr>
        <w:pStyle w:val="Bullet"/>
      </w:pPr>
      <w:r>
        <w:t>s</w:t>
      </w:r>
      <w:r w:rsidR="00CB1278">
        <w:t xml:space="preserve">trong preference for all </w:t>
      </w:r>
      <w:r w:rsidR="00A72462">
        <w:t xml:space="preserve">IA </w:t>
      </w:r>
      <w:r w:rsidR="00CB1278">
        <w:t>parameters to be looked at together</w:t>
      </w:r>
      <w:r w:rsidR="00163BC6">
        <w:t xml:space="preserve"> as a package,</w:t>
      </w:r>
      <w:r w:rsidR="006B4909">
        <w:t xml:space="preserve"> as well as concern around overlap between these reforms on </w:t>
      </w:r>
      <w:r w:rsidR="00A72462">
        <w:t xml:space="preserve">IA </w:t>
      </w:r>
      <w:r w:rsidR="006B4909">
        <w:t xml:space="preserve">and the ability for the Climate Change Commission to recommend changes to </w:t>
      </w:r>
      <w:r w:rsidR="004A75AB">
        <w:t>phase-out rates</w:t>
      </w:r>
    </w:p>
    <w:p w14:paraId="65ED79E5" w14:textId="75003253" w:rsidR="00AA6BF3" w:rsidRDefault="00BB2AA6" w:rsidP="00BB2AA6">
      <w:pPr>
        <w:pStyle w:val="Bullet"/>
      </w:pPr>
      <w:r>
        <w:t>s</w:t>
      </w:r>
      <w:r w:rsidR="00163BC6">
        <w:t xml:space="preserve">ome support for greater accountability around IA, as well as </w:t>
      </w:r>
      <w:r w:rsidR="00DC5D84">
        <w:t xml:space="preserve">concern around the validity that </w:t>
      </w:r>
      <w:r w:rsidR="00AC61B1">
        <w:t xml:space="preserve">emissions leakage really is a risk. </w:t>
      </w:r>
    </w:p>
    <w:bookmarkEnd w:id="0"/>
    <w:p w14:paraId="37C368EE" w14:textId="77777777" w:rsidR="003E4197" w:rsidRPr="003E4197" w:rsidRDefault="003E4197" w:rsidP="00B174CC">
      <w:pPr>
        <w:spacing w:before="0" w:after="0" w:line="240" w:lineRule="auto"/>
        <w:jc w:val="left"/>
      </w:pPr>
    </w:p>
    <w:sectPr w:rsidR="003E4197" w:rsidRPr="003E4197" w:rsidSect="00475D30">
      <w:footerReference w:type="even" r:id="rId24"/>
      <w:footerReference w:type="default" r:id="rId25"/>
      <w:pgSz w:w="11907" w:h="16840" w:code="9"/>
      <w:pgMar w:top="1134" w:right="1418" w:bottom="1134" w:left="1418"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720B" w14:textId="77777777" w:rsidR="00C96AAD" w:rsidRDefault="00C96AAD" w:rsidP="0080531E">
      <w:pPr>
        <w:spacing w:before="0" w:after="0" w:line="240" w:lineRule="auto"/>
      </w:pPr>
      <w:r>
        <w:separator/>
      </w:r>
    </w:p>
    <w:p w14:paraId="4AB2E989" w14:textId="77777777" w:rsidR="00C96AAD" w:rsidRDefault="00C96AAD"/>
  </w:endnote>
  <w:endnote w:type="continuationSeparator" w:id="0">
    <w:p w14:paraId="7E817C55" w14:textId="77777777" w:rsidR="00C96AAD" w:rsidRDefault="00C96AAD" w:rsidP="0080531E">
      <w:pPr>
        <w:spacing w:before="0" w:after="0" w:line="240" w:lineRule="auto"/>
      </w:pPr>
      <w:r>
        <w:continuationSeparator/>
      </w:r>
    </w:p>
    <w:p w14:paraId="488BBBF8" w14:textId="77777777" w:rsidR="00C96AAD" w:rsidRDefault="00C96AAD"/>
  </w:endnote>
  <w:endnote w:type="continuationNotice" w:id="1">
    <w:p w14:paraId="0C928C80" w14:textId="77777777" w:rsidR="00C96AAD" w:rsidRDefault="00C96A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B330" w14:textId="77777777" w:rsidR="00772B36" w:rsidRDefault="00772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54A" w14:textId="77777777" w:rsidR="00E5210B" w:rsidRDefault="00B73ABB" w:rsidP="00734B9A">
    <w:pPr>
      <w:spacing w:before="0" w:after="0" w:line="240" w:lineRule="auto"/>
      <w:ind w:left="-57"/>
      <w:jc w:val="left"/>
    </w:pPr>
    <w:r>
      <w:rPr>
        <w:b/>
        <w:bCs/>
        <w:noProof/>
      </w:rPr>
      <w:drawing>
        <wp:inline distT="0" distB="0" distL="0" distR="0" wp14:anchorId="20544B46" wp14:editId="5CD88C9A">
          <wp:extent cx="2314914" cy="538911"/>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FE9C" w14:textId="77777777" w:rsidR="00772B36" w:rsidRDefault="00772B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D08"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CA26"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17A" w14:textId="2947A7C9"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C4338C" w:rsidRPr="00C4338C">
      <w:t>Reforming industrial allocation in the New Zealand Emissions Trading Scheme: Summary of submissions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5D6" w14:textId="7B2F9C93" w:rsidR="00E453AB" w:rsidRDefault="00E5210B" w:rsidP="00CD25E1">
    <w:pPr>
      <w:pStyle w:val="Footerodd"/>
    </w:pPr>
    <w:r>
      <w:tab/>
    </w:r>
    <w:r w:rsidR="00C4338C" w:rsidRPr="00C4338C">
      <w:t>Reforming industrial allocation in the New Zealand Emissions Trading Scheme: Summary of submissions</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D2E" w14:textId="77777777" w:rsidR="00C96AAD" w:rsidRDefault="00C96AAD" w:rsidP="00CB5C5F">
      <w:pPr>
        <w:spacing w:before="0" w:after="80" w:line="240" w:lineRule="auto"/>
      </w:pPr>
      <w:r>
        <w:separator/>
      </w:r>
    </w:p>
  </w:footnote>
  <w:footnote w:type="continuationSeparator" w:id="0">
    <w:p w14:paraId="2E48C297" w14:textId="77777777" w:rsidR="00C96AAD" w:rsidRDefault="00C96AAD" w:rsidP="0080531E">
      <w:pPr>
        <w:spacing w:before="0" w:after="0" w:line="240" w:lineRule="auto"/>
      </w:pPr>
      <w:r>
        <w:continuationSeparator/>
      </w:r>
    </w:p>
    <w:p w14:paraId="385DD53A" w14:textId="77777777" w:rsidR="00C96AAD" w:rsidRDefault="00C96AAD"/>
  </w:footnote>
  <w:footnote w:type="continuationNotice" w:id="1">
    <w:p w14:paraId="14895C8E" w14:textId="77777777" w:rsidR="00C96AAD" w:rsidRDefault="00C96AAD">
      <w:pPr>
        <w:spacing w:before="0" w:after="0" w:line="240" w:lineRule="auto"/>
      </w:pPr>
    </w:p>
  </w:footnote>
  <w:footnote w:id="2">
    <w:p w14:paraId="6F784740" w14:textId="23979E41" w:rsidR="0041681C" w:rsidRDefault="0041681C" w:rsidP="00370A99">
      <w:pPr>
        <w:pStyle w:val="Note"/>
      </w:pPr>
      <w:r>
        <w:rPr>
          <w:rStyle w:val="FootnoteReference"/>
        </w:rPr>
        <w:footnoteRef/>
      </w:r>
      <w:r>
        <w:t xml:space="preserve"> Emissions-intensive – meaning a</w:t>
      </w:r>
      <w:r w:rsidR="00403E88">
        <w:t>n</w:t>
      </w:r>
      <w:r>
        <w:t xml:space="preserve"> </w:t>
      </w:r>
      <w:r w:rsidR="00056AC9">
        <w:t xml:space="preserve">activity produces a significant portion of emissions relative to </w:t>
      </w:r>
      <w:r w:rsidR="005202C9">
        <w:t>the revenue generated from the product, and trade-exposed – meaning the activity is exposed to international trade</w:t>
      </w:r>
      <w:r w:rsidR="00FC3461">
        <w:t xml:space="preserve">. A </w:t>
      </w:r>
      <w:r w:rsidR="00D358D4">
        <w:t>more detailed definition can be found in the consultation document.</w:t>
      </w:r>
      <w:r w:rsidR="00D6244F">
        <w:t xml:space="preserve"> </w:t>
      </w:r>
    </w:p>
  </w:footnote>
  <w:footnote w:id="3">
    <w:p w14:paraId="1039BE12" w14:textId="7DED623C" w:rsidR="00A2641D" w:rsidRDefault="00A2641D" w:rsidP="00370A99">
      <w:pPr>
        <w:pStyle w:val="Note"/>
      </w:pPr>
      <w:r>
        <w:rPr>
          <w:rStyle w:val="FootnoteReference"/>
        </w:rPr>
        <w:footnoteRef/>
      </w:r>
      <w:r>
        <w:t xml:space="preserve"> </w:t>
      </w:r>
      <w:r w:rsidRPr="00A2641D">
        <w:t>https://www.legislation.govt.nz/regulation/public/2010/0189/latest/DLM3075101.html</w:t>
      </w:r>
    </w:p>
  </w:footnote>
  <w:footnote w:id="4">
    <w:p w14:paraId="2FF135C4" w14:textId="5DFA62DC" w:rsidR="00F50B12" w:rsidRDefault="00F50B12" w:rsidP="00370A99">
      <w:pPr>
        <w:pStyle w:val="Note"/>
      </w:pPr>
      <w:r>
        <w:rPr>
          <w:rStyle w:val="FootnoteReference"/>
        </w:rPr>
        <w:footnoteRef/>
      </w:r>
      <w:r>
        <w:t xml:space="preserve"> This group</w:t>
      </w:r>
      <w:r w:rsidR="008A5D7C">
        <w:t xml:space="preserve"> submitted on behalf of the Reconstituted Wood Panels Sector and </w:t>
      </w:r>
      <w:r w:rsidR="00FB6876">
        <w:t>consisted</w:t>
      </w:r>
      <w:r>
        <w:t xml:space="preserve"> of </w:t>
      </w:r>
      <w:r w:rsidR="000D546A">
        <w:t xml:space="preserve">Nelson Pine Limited, Daiken New Zealand Limited, </w:t>
      </w:r>
      <w:r w:rsidR="00764288">
        <w:t>Daiken Southland Limited, and Juken New</w:t>
      </w:r>
      <w:r w:rsidR="008072B6">
        <w:t xml:space="preserve"> Zealand Limited). </w:t>
      </w:r>
      <w:r w:rsidR="00FB6876">
        <w:t xml:space="preserve">This group is referred to as </w:t>
      </w:r>
      <w:r w:rsidR="0082438F">
        <w:t>RW</w:t>
      </w:r>
      <w:r w:rsidR="00F04963">
        <w:t>P</w:t>
      </w:r>
      <w:r w:rsidR="0029211E">
        <w:t xml:space="preserve">S from </w:t>
      </w:r>
      <w:r w:rsidR="003A36F4">
        <w:t>the rest of this report</w:t>
      </w:r>
      <w:r w:rsidR="0029211E">
        <w:t xml:space="preserve">. </w:t>
      </w:r>
    </w:p>
  </w:footnote>
  <w:footnote w:id="5">
    <w:p w14:paraId="53191E62" w14:textId="235C5F1C" w:rsidR="000A045C" w:rsidRDefault="000A045C" w:rsidP="00370A99">
      <w:pPr>
        <w:pStyle w:val="Note"/>
      </w:pPr>
      <w:r>
        <w:rPr>
          <w:rStyle w:val="FootnoteReference"/>
        </w:rPr>
        <w:footnoteRef/>
      </w:r>
      <w:r>
        <w:t xml:space="preserve"> </w:t>
      </w:r>
      <w:r w:rsidR="006F695E">
        <w:t xml:space="preserve">Using a sliding scale would </w:t>
      </w:r>
      <w:r w:rsidR="001718BA">
        <w:t xml:space="preserve">create </w:t>
      </w:r>
      <w:r w:rsidR="00683448">
        <w:t xml:space="preserve">a bespoke level of assistance for each activity proportional to their emissions intensity. </w:t>
      </w:r>
    </w:p>
  </w:footnote>
  <w:footnote w:id="6">
    <w:p w14:paraId="500968CB" w14:textId="5D426869" w:rsidR="00BA03EA" w:rsidRDefault="00BA03EA" w:rsidP="00370A99">
      <w:pPr>
        <w:pStyle w:val="Note"/>
      </w:pPr>
      <w:r>
        <w:rPr>
          <w:rStyle w:val="FootnoteReference"/>
        </w:rPr>
        <w:footnoteRef/>
      </w:r>
      <w:r>
        <w:t xml:space="preserve"> </w:t>
      </w:r>
      <w:r w:rsidR="00CF21F9">
        <w:t xml:space="preserve">Ecologic use the term Climate Emissions Border Adjustment Mechanism </w:t>
      </w:r>
      <w:r w:rsidR="00E76EE6">
        <w:t>as non-carbon emissions dominate New Zealand’s emissions profile. It is</w:t>
      </w:r>
      <w:r w:rsidR="00CA1698">
        <w:t>,</w:t>
      </w:r>
      <w:r w:rsidR="00E76EE6">
        <w:t xml:space="preserve"> however</w:t>
      </w:r>
      <w:r w:rsidR="00CA1698">
        <w:t>,</w:t>
      </w:r>
      <w:r w:rsidR="00E76EE6">
        <w:t xml:space="preserve"> analogous to </w:t>
      </w:r>
      <w:r w:rsidR="003B046F">
        <w:t xml:space="preserve">a CBAM.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1876" w14:textId="77777777" w:rsidR="00772B36" w:rsidRDefault="0077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02CD" w14:textId="77777777" w:rsidR="00DE7BF8" w:rsidRPr="00DE7BF8" w:rsidRDefault="00225830" w:rsidP="00734B9A">
    <w:pPr>
      <w:pStyle w:val="Header"/>
      <w:ind w:left="-57"/>
      <w:jc w:val="left"/>
      <w:rPr>
        <w:rFonts w:ascii="Calibri" w:hAnsi="Calibri"/>
      </w:rPr>
    </w:pPr>
    <w:r>
      <w:rPr>
        <w:rFonts w:ascii="Calibri" w:hAnsi="Calibri"/>
        <w:noProof/>
      </w:rPr>
      <w:drawing>
        <wp:inline distT="0" distB="0" distL="0" distR="0" wp14:anchorId="145F6439" wp14:editId="2A948F90">
          <wp:extent cx="2190750"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A91" w14:textId="77777777" w:rsidR="00772B36" w:rsidRDefault="00772B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715A"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1EDB"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FA2CF9"/>
    <w:multiLevelType w:val="hybridMultilevel"/>
    <w:tmpl w:val="0A3CD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0E5A42D2"/>
    <w:multiLevelType w:val="hybridMultilevel"/>
    <w:tmpl w:val="6E46F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B06D25"/>
    <w:multiLevelType w:val="multilevel"/>
    <w:tmpl w:val="EF403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8" w15:restartNumberingAfterBreak="0">
    <w:nsid w:val="1D306C49"/>
    <w:multiLevelType w:val="hybridMultilevel"/>
    <w:tmpl w:val="E1309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B657D3"/>
    <w:multiLevelType w:val="multilevel"/>
    <w:tmpl w:val="0C1CC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4236BC"/>
    <w:multiLevelType w:val="hybridMultilevel"/>
    <w:tmpl w:val="8B5C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176CE3"/>
    <w:multiLevelType w:val="hybridMultilevel"/>
    <w:tmpl w:val="2E829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502785"/>
    <w:multiLevelType w:val="hybridMultilevel"/>
    <w:tmpl w:val="B2585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1" w15:restartNumberingAfterBreak="0">
    <w:nsid w:val="2E6F201E"/>
    <w:multiLevelType w:val="multilevel"/>
    <w:tmpl w:val="C7440BB4"/>
    <w:numStyleLink w:val="Style2"/>
  </w:abstractNum>
  <w:abstractNum w:abstractNumId="22" w15:restartNumberingAfterBreak="0">
    <w:nsid w:val="303515F1"/>
    <w:multiLevelType w:val="hybridMultilevel"/>
    <w:tmpl w:val="CB82B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4"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2"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C61785"/>
    <w:multiLevelType w:val="hybridMultilevel"/>
    <w:tmpl w:val="EE668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35" w15:restartNumberingAfterBreak="0">
    <w:nsid w:val="5766210E"/>
    <w:multiLevelType w:val="hybridMultilevel"/>
    <w:tmpl w:val="C1206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143D5B"/>
    <w:multiLevelType w:val="hybridMultilevel"/>
    <w:tmpl w:val="0D248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71B487D"/>
    <w:multiLevelType w:val="hybridMultilevel"/>
    <w:tmpl w:val="C9926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42"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042717"/>
    <w:multiLevelType w:val="multilevel"/>
    <w:tmpl w:val="DCDEB9D0"/>
    <w:numStyleLink w:val="Style1"/>
  </w:abstractNum>
  <w:abstractNum w:abstractNumId="4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6"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3F9625E"/>
    <w:multiLevelType w:val="multilevel"/>
    <w:tmpl w:val="D6A4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23"/>
  </w:num>
  <w:num w:numId="2">
    <w:abstractNumId w:val="34"/>
  </w:num>
  <w:num w:numId="3">
    <w:abstractNumId w:val="49"/>
  </w:num>
  <w:num w:numId="4">
    <w:abstractNumId w:val="28"/>
  </w:num>
  <w:num w:numId="5">
    <w:abstractNumId w:val="20"/>
  </w:num>
  <w:num w:numId="6">
    <w:abstractNumId w:val="11"/>
  </w:num>
  <w:num w:numId="7">
    <w:abstractNumId w:val="31"/>
  </w:num>
  <w:num w:numId="8">
    <w:abstractNumId w:val="30"/>
  </w:num>
  <w:num w:numId="9">
    <w:abstractNumId w:val="4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1"/>
  </w:num>
  <w:num w:numId="13">
    <w:abstractNumId w:val="19"/>
  </w:num>
  <w:num w:numId="14">
    <w:abstractNumId w:val="43"/>
  </w:num>
  <w:num w:numId="15">
    <w:abstractNumId w:val="29"/>
  </w:num>
  <w:num w:numId="16">
    <w:abstractNumId w:val="16"/>
  </w:num>
  <w:num w:numId="17">
    <w:abstractNumId w:val="42"/>
  </w:num>
  <w:num w:numId="18">
    <w:abstractNumId w:val="36"/>
  </w:num>
  <w:num w:numId="19">
    <w:abstractNumId w:val="44"/>
  </w:num>
  <w:num w:numId="20">
    <w:abstractNumId w:val="21"/>
  </w:num>
  <w:num w:numId="21">
    <w:abstractNumId w:val="37"/>
  </w:num>
  <w:num w:numId="22">
    <w:abstractNumId w:val="7"/>
  </w:num>
  <w:num w:numId="23">
    <w:abstractNumId w:val="32"/>
  </w:num>
  <w:num w:numId="24">
    <w:abstractNumId w:val="24"/>
  </w:num>
  <w:num w:numId="25">
    <w:abstractNumId w:val="46"/>
  </w:num>
  <w:num w:numId="26">
    <w:abstractNumId w:val="38"/>
  </w:num>
  <w:num w:numId="27">
    <w:abstractNumId w:val="0"/>
  </w:num>
  <w:num w:numId="28">
    <w:abstractNumId w:val="26"/>
  </w:num>
  <w:num w:numId="29">
    <w:abstractNumId w:val="12"/>
  </w:num>
  <w:num w:numId="30">
    <w:abstractNumId w:val="5"/>
  </w:num>
  <w:num w:numId="31">
    <w:abstractNumId w:val="3"/>
  </w:num>
  <w:num w:numId="32">
    <w:abstractNumId w:val="9"/>
  </w:num>
  <w:num w:numId="33">
    <w:abstractNumId w:val="14"/>
  </w:num>
  <w:num w:numId="34">
    <w:abstractNumId w:val="27"/>
  </w:num>
  <w:num w:numId="35">
    <w:abstractNumId w:val="25"/>
  </w:num>
  <w:num w:numId="36">
    <w:abstractNumId w:val="10"/>
  </w:num>
  <w:num w:numId="37">
    <w:abstractNumId w:val="45"/>
  </w:num>
  <w:num w:numId="38">
    <w:abstractNumId w:val="4"/>
  </w:num>
  <w:num w:numId="39">
    <w:abstractNumId w:val="17"/>
  </w:num>
  <w:num w:numId="40">
    <w:abstractNumId w:val="40"/>
  </w:num>
  <w:num w:numId="41">
    <w:abstractNumId w:val="8"/>
  </w:num>
  <w:num w:numId="42">
    <w:abstractNumId w:val="2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6"/>
  </w:num>
  <w:num w:numId="46">
    <w:abstractNumId w:val="13"/>
  </w:num>
  <w:num w:numId="47">
    <w:abstractNumId w:val="1"/>
  </w:num>
  <w:num w:numId="48">
    <w:abstractNumId w:val="18"/>
  </w:num>
  <w:num w:numId="49">
    <w:abstractNumId w:val="39"/>
  </w:num>
  <w:num w:numId="50">
    <w:abstractNumId w:val="35"/>
  </w:num>
  <w:num w:numId="51">
    <w:abstractNumId w:val="15"/>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22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5"/>
    <w:rsid w:val="00000792"/>
    <w:rsid w:val="00000F04"/>
    <w:rsid w:val="00001E1F"/>
    <w:rsid w:val="00003A8D"/>
    <w:rsid w:val="00003C4F"/>
    <w:rsid w:val="000041E4"/>
    <w:rsid w:val="00004E0A"/>
    <w:rsid w:val="00004FD3"/>
    <w:rsid w:val="000054B4"/>
    <w:rsid w:val="0000556A"/>
    <w:rsid w:val="000067A7"/>
    <w:rsid w:val="00006D01"/>
    <w:rsid w:val="00006DF5"/>
    <w:rsid w:val="00006F03"/>
    <w:rsid w:val="00006F95"/>
    <w:rsid w:val="00007023"/>
    <w:rsid w:val="0000709F"/>
    <w:rsid w:val="000071D6"/>
    <w:rsid w:val="00007F2D"/>
    <w:rsid w:val="00007FAC"/>
    <w:rsid w:val="0001048C"/>
    <w:rsid w:val="00010918"/>
    <w:rsid w:val="00010A9C"/>
    <w:rsid w:val="00010ABA"/>
    <w:rsid w:val="00010E15"/>
    <w:rsid w:val="00010EE2"/>
    <w:rsid w:val="00010F57"/>
    <w:rsid w:val="0001100C"/>
    <w:rsid w:val="000110DC"/>
    <w:rsid w:val="00011188"/>
    <w:rsid w:val="00011E46"/>
    <w:rsid w:val="000122AE"/>
    <w:rsid w:val="00012350"/>
    <w:rsid w:val="00012555"/>
    <w:rsid w:val="0001314F"/>
    <w:rsid w:val="00013598"/>
    <w:rsid w:val="00013A05"/>
    <w:rsid w:val="00014011"/>
    <w:rsid w:val="0001415F"/>
    <w:rsid w:val="00014236"/>
    <w:rsid w:val="000148F6"/>
    <w:rsid w:val="00014FE4"/>
    <w:rsid w:val="00015217"/>
    <w:rsid w:val="0001524A"/>
    <w:rsid w:val="000159D2"/>
    <w:rsid w:val="00015D44"/>
    <w:rsid w:val="0001615A"/>
    <w:rsid w:val="00016264"/>
    <w:rsid w:val="000166A5"/>
    <w:rsid w:val="00016993"/>
    <w:rsid w:val="00016CAB"/>
    <w:rsid w:val="00016E5B"/>
    <w:rsid w:val="0001749B"/>
    <w:rsid w:val="00017D75"/>
    <w:rsid w:val="00017FE5"/>
    <w:rsid w:val="000200C4"/>
    <w:rsid w:val="00020861"/>
    <w:rsid w:val="00021396"/>
    <w:rsid w:val="00021910"/>
    <w:rsid w:val="000224CD"/>
    <w:rsid w:val="00022E8D"/>
    <w:rsid w:val="0002348A"/>
    <w:rsid w:val="0002436F"/>
    <w:rsid w:val="00024708"/>
    <w:rsid w:val="00024A29"/>
    <w:rsid w:val="00024EE7"/>
    <w:rsid w:val="00025070"/>
    <w:rsid w:val="00025301"/>
    <w:rsid w:val="000253C0"/>
    <w:rsid w:val="000255A0"/>
    <w:rsid w:val="00025F96"/>
    <w:rsid w:val="00025FAB"/>
    <w:rsid w:val="00026E89"/>
    <w:rsid w:val="0002717A"/>
    <w:rsid w:val="000275A3"/>
    <w:rsid w:val="00030012"/>
    <w:rsid w:val="00030436"/>
    <w:rsid w:val="00030558"/>
    <w:rsid w:val="00030699"/>
    <w:rsid w:val="00030725"/>
    <w:rsid w:val="0003076C"/>
    <w:rsid w:val="0003080D"/>
    <w:rsid w:val="00030DB8"/>
    <w:rsid w:val="00031A83"/>
    <w:rsid w:val="0003213A"/>
    <w:rsid w:val="00032A81"/>
    <w:rsid w:val="000340D8"/>
    <w:rsid w:val="0003427D"/>
    <w:rsid w:val="0003481D"/>
    <w:rsid w:val="00034977"/>
    <w:rsid w:val="00034DFA"/>
    <w:rsid w:val="00035595"/>
    <w:rsid w:val="000357ED"/>
    <w:rsid w:val="000359FF"/>
    <w:rsid w:val="00035E15"/>
    <w:rsid w:val="0003640E"/>
    <w:rsid w:val="0003688A"/>
    <w:rsid w:val="000368FC"/>
    <w:rsid w:val="00036B74"/>
    <w:rsid w:val="00036DA3"/>
    <w:rsid w:val="00036E9F"/>
    <w:rsid w:val="000379BF"/>
    <w:rsid w:val="00037BEC"/>
    <w:rsid w:val="00037CDE"/>
    <w:rsid w:val="000400D9"/>
    <w:rsid w:val="0004035C"/>
    <w:rsid w:val="00040860"/>
    <w:rsid w:val="00040CED"/>
    <w:rsid w:val="00040EA1"/>
    <w:rsid w:val="0004140C"/>
    <w:rsid w:val="0004205F"/>
    <w:rsid w:val="0004226B"/>
    <w:rsid w:val="000423C6"/>
    <w:rsid w:val="000424FC"/>
    <w:rsid w:val="00042EDB"/>
    <w:rsid w:val="0004328F"/>
    <w:rsid w:val="00043295"/>
    <w:rsid w:val="00043445"/>
    <w:rsid w:val="00043470"/>
    <w:rsid w:val="0004471D"/>
    <w:rsid w:val="00044A50"/>
    <w:rsid w:val="00044B90"/>
    <w:rsid w:val="00044C65"/>
    <w:rsid w:val="000458C7"/>
    <w:rsid w:val="00045991"/>
    <w:rsid w:val="00045E5C"/>
    <w:rsid w:val="00045EFD"/>
    <w:rsid w:val="00046288"/>
    <w:rsid w:val="00046571"/>
    <w:rsid w:val="000475A8"/>
    <w:rsid w:val="00047941"/>
    <w:rsid w:val="00047B29"/>
    <w:rsid w:val="00050A22"/>
    <w:rsid w:val="00050D3B"/>
    <w:rsid w:val="00050E27"/>
    <w:rsid w:val="0005144F"/>
    <w:rsid w:val="00051AF1"/>
    <w:rsid w:val="00051D42"/>
    <w:rsid w:val="000538A1"/>
    <w:rsid w:val="00053C56"/>
    <w:rsid w:val="00054A57"/>
    <w:rsid w:val="00055375"/>
    <w:rsid w:val="00055BAB"/>
    <w:rsid w:val="0005612C"/>
    <w:rsid w:val="000562DD"/>
    <w:rsid w:val="00056319"/>
    <w:rsid w:val="000564E7"/>
    <w:rsid w:val="00056770"/>
    <w:rsid w:val="00056AC9"/>
    <w:rsid w:val="00057386"/>
    <w:rsid w:val="00057EEF"/>
    <w:rsid w:val="00060975"/>
    <w:rsid w:val="000619CB"/>
    <w:rsid w:val="00061A91"/>
    <w:rsid w:val="00062387"/>
    <w:rsid w:val="00062E17"/>
    <w:rsid w:val="00063C68"/>
    <w:rsid w:val="00063F0E"/>
    <w:rsid w:val="000640F0"/>
    <w:rsid w:val="0006434D"/>
    <w:rsid w:val="000643A1"/>
    <w:rsid w:val="00064679"/>
    <w:rsid w:val="00064A13"/>
    <w:rsid w:val="00064AF4"/>
    <w:rsid w:val="00064DB1"/>
    <w:rsid w:val="00065468"/>
    <w:rsid w:val="00065BA3"/>
    <w:rsid w:val="00065D3B"/>
    <w:rsid w:val="000660C0"/>
    <w:rsid w:val="000667E9"/>
    <w:rsid w:val="00067128"/>
    <w:rsid w:val="000675A8"/>
    <w:rsid w:val="000675CD"/>
    <w:rsid w:val="00067872"/>
    <w:rsid w:val="000678AC"/>
    <w:rsid w:val="00067C84"/>
    <w:rsid w:val="00067F3E"/>
    <w:rsid w:val="000703B2"/>
    <w:rsid w:val="00070B77"/>
    <w:rsid w:val="00070D41"/>
    <w:rsid w:val="00070D90"/>
    <w:rsid w:val="00070FBF"/>
    <w:rsid w:val="000711EE"/>
    <w:rsid w:val="0007180E"/>
    <w:rsid w:val="00071AE4"/>
    <w:rsid w:val="00071C79"/>
    <w:rsid w:val="00071CB5"/>
    <w:rsid w:val="00071CCB"/>
    <w:rsid w:val="00071D03"/>
    <w:rsid w:val="00071EF4"/>
    <w:rsid w:val="0007232B"/>
    <w:rsid w:val="00072384"/>
    <w:rsid w:val="000725C9"/>
    <w:rsid w:val="00072681"/>
    <w:rsid w:val="00072AB7"/>
    <w:rsid w:val="00072DB0"/>
    <w:rsid w:val="000730FA"/>
    <w:rsid w:val="000735A2"/>
    <w:rsid w:val="000737C3"/>
    <w:rsid w:val="00073C51"/>
    <w:rsid w:val="00074B47"/>
    <w:rsid w:val="0007517E"/>
    <w:rsid w:val="0007575B"/>
    <w:rsid w:val="00075EB9"/>
    <w:rsid w:val="00075FE1"/>
    <w:rsid w:val="00076218"/>
    <w:rsid w:val="0007648B"/>
    <w:rsid w:val="00076667"/>
    <w:rsid w:val="0007668D"/>
    <w:rsid w:val="00076C4A"/>
    <w:rsid w:val="00077473"/>
    <w:rsid w:val="00077481"/>
    <w:rsid w:val="000776F9"/>
    <w:rsid w:val="00077EE0"/>
    <w:rsid w:val="000802F9"/>
    <w:rsid w:val="00080CF2"/>
    <w:rsid w:val="0008145A"/>
    <w:rsid w:val="0008162D"/>
    <w:rsid w:val="00081CA8"/>
    <w:rsid w:val="000831C8"/>
    <w:rsid w:val="00083658"/>
    <w:rsid w:val="000836DB"/>
    <w:rsid w:val="000839F0"/>
    <w:rsid w:val="00083BFF"/>
    <w:rsid w:val="00083F5E"/>
    <w:rsid w:val="0008412E"/>
    <w:rsid w:val="00084FDB"/>
    <w:rsid w:val="0008505C"/>
    <w:rsid w:val="00085614"/>
    <w:rsid w:val="00085C46"/>
    <w:rsid w:val="0008686A"/>
    <w:rsid w:val="00087175"/>
    <w:rsid w:val="00087D35"/>
    <w:rsid w:val="00087F86"/>
    <w:rsid w:val="00091796"/>
    <w:rsid w:val="00091BA2"/>
    <w:rsid w:val="00091CB0"/>
    <w:rsid w:val="000927D0"/>
    <w:rsid w:val="00092D38"/>
    <w:rsid w:val="00094344"/>
    <w:rsid w:val="000946CC"/>
    <w:rsid w:val="00094ACD"/>
    <w:rsid w:val="000953C6"/>
    <w:rsid w:val="000953F4"/>
    <w:rsid w:val="0009545D"/>
    <w:rsid w:val="000954D5"/>
    <w:rsid w:val="0009584F"/>
    <w:rsid w:val="0009590C"/>
    <w:rsid w:val="000959E7"/>
    <w:rsid w:val="00095E7D"/>
    <w:rsid w:val="000962C4"/>
    <w:rsid w:val="000964DE"/>
    <w:rsid w:val="000972AB"/>
    <w:rsid w:val="000975E7"/>
    <w:rsid w:val="00097B40"/>
    <w:rsid w:val="00097D0E"/>
    <w:rsid w:val="000A005B"/>
    <w:rsid w:val="000A045C"/>
    <w:rsid w:val="000A0573"/>
    <w:rsid w:val="000A17EA"/>
    <w:rsid w:val="000A1C7A"/>
    <w:rsid w:val="000A2345"/>
    <w:rsid w:val="000A2394"/>
    <w:rsid w:val="000A24F7"/>
    <w:rsid w:val="000A2538"/>
    <w:rsid w:val="000A3056"/>
    <w:rsid w:val="000A31C1"/>
    <w:rsid w:val="000A32C5"/>
    <w:rsid w:val="000A3411"/>
    <w:rsid w:val="000A34CA"/>
    <w:rsid w:val="000A416C"/>
    <w:rsid w:val="000A426F"/>
    <w:rsid w:val="000A451E"/>
    <w:rsid w:val="000A4559"/>
    <w:rsid w:val="000A45FD"/>
    <w:rsid w:val="000A477B"/>
    <w:rsid w:val="000A558D"/>
    <w:rsid w:val="000A5611"/>
    <w:rsid w:val="000A563C"/>
    <w:rsid w:val="000A59C5"/>
    <w:rsid w:val="000A5DEA"/>
    <w:rsid w:val="000A5EBD"/>
    <w:rsid w:val="000A66EA"/>
    <w:rsid w:val="000A7658"/>
    <w:rsid w:val="000A7F0F"/>
    <w:rsid w:val="000A7F4C"/>
    <w:rsid w:val="000B006B"/>
    <w:rsid w:val="000B02AA"/>
    <w:rsid w:val="000B02BC"/>
    <w:rsid w:val="000B0498"/>
    <w:rsid w:val="000B0F36"/>
    <w:rsid w:val="000B1919"/>
    <w:rsid w:val="000B1942"/>
    <w:rsid w:val="000B1BED"/>
    <w:rsid w:val="000B2240"/>
    <w:rsid w:val="000B2477"/>
    <w:rsid w:val="000B2600"/>
    <w:rsid w:val="000B2E78"/>
    <w:rsid w:val="000B36F9"/>
    <w:rsid w:val="000B4074"/>
    <w:rsid w:val="000B4732"/>
    <w:rsid w:val="000B4BCD"/>
    <w:rsid w:val="000B651C"/>
    <w:rsid w:val="000B66DC"/>
    <w:rsid w:val="000B6D1F"/>
    <w:rsid w:val="000B778D"/>
    <w:rsid w:val="000B786D"/>
    <w:rsid w:val="000B7C7E"/>
    <w:rsid w:val="000C062F"/>
    <w:rsid w:val="000C11A8"/>
    <w:rsid w:val="000C17E7"/>
    <w:rsid w:val="000C1F23"/>
    <w:rsid w:val="000C28EF"/>
    <w:rsid w:val="000C3270"/>
    <w:rsid w:val="000C3AF8"/>
    <w:rsid w:val="000C410C"/>
    <w:rsid w:val="000C4F35"/>
    <w:rsid w:val="000C52A3"/>
    <w:rsid w:val="000C577E"/>
    <w:rsid w:val="000C59CA"/>
    <w:rsid w:val="000C5B72"/>
    <w:rsid w:val="000C7137"/>
    <w:rsid w:val="000D04BA"/>
    <w:rsid w:val="000D0B6E"/>
    <w:rsid w:val="000D0D65"/>
    <w:rsid w:val="000D10CF"/>
    <w:rsid w:val="000D12E0"/>
    <w:rsid w:val="000D1944"/>
    <w:rsid w:val="000D1DD9"/>
    <w:rsid w:val="000D2172"/>
    <w:rsid w:val="000D2744"/>
    <w:rsid w:val="000D293C"/>
    <w:rsid w:val="000D2B7B"/>
    <w:rsid w:val="000D2BC1"/>
    <w:rsid w:val="000D337B"/>
    <w:rsid w:val="000D385A"/>
    <w:rsid w:val="000D38C2"/>
    <w:rsid w:val="000D3CA7"/>
    <w:rsid w:val="000D48C2"/>
    <w:rsid w:val="000D5080"/>
    <w:rsid w:val="000D5281"/>
    <w:rsid w:val="000D546A"/>
    <w:rsid w:val="000D5B16"/>
    <w:rsid w:val="000D5ED4"/>
    <w:rsid w:val="000D5FD6"/>
    <w:rsid w:val="000D6201"/>
    <w:rsid w:val="000D6488"/>
    <w:rsid w:val="000D704F"/>
    <w:rsid w:val="000D7088"/>
    <w:rsid w:val="000D73A5"/>
    <w:rsid w:val="000D74B6"/>
    <w:rsid w:val="000D770B"/>
    <w:rsid w:val="000D788E"/>
    <w:rsid w:val="000E033B"/>
    <w:rsid w:val="000E0916"/>
    <w:rsid w:val="000E11B7"/>
    <w:rsid w:val="000E12B0"/>
    <w:rsid w:val="000E167B"/>
    <w:rsid w:val="000E173F"/>
    <w:rsid w:val="000E1BC8"/>
    <w:rsid w:val="000E1D32"/>
    <w:rsid w:val="000E26D8"/>
    <w:rsid w:val="000E27F5"/>
    <w:rsid w:val="000E2B94"/>
    <w:rsid w:val="000E3156"/>
    <w:rsid w:val="000E35B6"/>
    <w:rsid w:val="000E3694"/>
    <w:rsid w:val="000E3BB8"/>
    <w:rsid w:val="000E3D9B"/>
    <w:rsid w:val="000E3DFD"/>
    <w:rsid w:val="000E4261"/>
    <w:rsid w:val="000E4697"/>
    <w:rsid w:val="000E4CB3"/>
    <w:rsid w:val="000E4D6D"/>
    <w:rsid w:val="000E57A9"/>
    <w:rsid w:val="000E58C5"/>
    <w:rsid w:val="000E5CBB"/>
    <w:rsid w:val="000E6203"/>
    <w:rsid w:val="000E64CB"/>
    <w:rsid w:val="000E6B62"/>
    <w:rsid w:val="000E722C"/>
    <w:rsid w:val="000E740D"/>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2D80"/>
    <w:rsid w:val="000F348D"/>
    <w:rsid w:val="000F369A"/>
    <w:rsid w:val="000F36FD"/>
    <w:rsid w:val="000F42AB"/>
    <w:rsid w:val="000F4463"/>
    <w:rsid w:val="000F4520"/>
    <w:rsid w:val="000F5285"/>
    <w:rsid w:val="000F52E0"/>
    <w:rsid w:val="000F53A9"/>
    <w:rsid w:val="000F616D"/>
    <w:rsid w:val="000F6464"/>
    <w:rsid w:val="000F6628"/>
    <w:rsid w:val="000F6C25"/>
    <w:rsid w:val="000F76EB"/>
    <w:rsid w:val="000F78AE"/>
    <w:rsid w:val="000F7E25"/>
    <w:rsid w:val="000F7FFE"/>
    <w:rsid w:val="0010024E"/>
    <w:rsid w:val="001007EE"/>
    <w:rsid w:val="00100F5E"/>
    <w:rsid w:val="00100F76"/>
    <w:rsid w:val="0010148E"/>
    <w:rsid w:val="001014CC"/>
    <w:rsid w:val="00101DD8"/>
    <w:rsid w:val="0010253C"/>
    <w:rsid w:val="00102BD1"/>
    <w:rsid w:val="00103391"/>
    <w:rsid w:val="001035A7"/>
    <w:rsid w:val="00103BA9"/>
    <w:rsid w:val="00103C0B"/>
    <w:rsid w:val="00103FE0"/>
    <w:rsid w:val="0010486A"/>
    <w:rsid w:val="00104A8C"/>
    <w:rsid w:val="0010561C"/>
    <w:rsid w:val="00105B9E"/>
    <w:rsid w:val="00105C0F"/>
    <w:rsid w:val="00105E39"/>
    <w:rsid w:val="00106561"/>
    <w:rsid w:val="00106D63"/>
    <w:rsid w:val="001072AE"/>
    <w:rsid w:val="0010752C"/>
    <w:rsid w:val="001075CB"/>
    <w:rsid w:val="001075F3"/>
    <w:rsid w:val="00107A01"/>
    <w:rsid w:val="00107C23"/>
    <w:rsid w:val="00107ECD"/>
    <w:rsid w:val="00110307"/>
    <w:rsid w:val="00110BC6"/>
    <w:rsid w:val="00110C7F"/>
    <w:rsid w:val="00110EAB"/>
    <w:rsid w:val="00110EE2"/>
    <w:rsid w:val="00110F52"/>
    <w:rsid w:val="001114EF"/>
    <w:rsid w:val="00111A88"/>
    <w:rsid w:val="00111B96"/>
    <w:rsid w:val="0011221A"/>
    <w:rsid w:val="0011238C"/>
    <w:rsid w:val="00112E0D"/>
    <w:rsid w:val="00113283"/>
    <w:rsid w:val="001137AE"/>
    <w:rsid w:val="001137B0"/>
    <w:rsid w:val="00113B20"/>
    <w:rsid w:val="00113E71"/>
    <w:rsid w:val="00113F01"/>
    <w:rsid w:val="001147B3"/>
    <w:rsid w:val="001148F7"/>
    <w:rsid w:val="001149B2"/>
    <w:rsid w:val="00114C2D"/>
    <w:rsid w:val="00115125"/>
    <w:rsid w:val="001152F2"/>
    <w:rsid w:val="001157D7"/>
    <w:rsid w:val="00116382"/>
    <w:rsid w:val="00116484"/>
    <w:rsid w:val="00116ACF"/>
    <w:rsid w:val="00116D5C"/>
    <w:rsid w:val="001172B2"/>
    <w:rsid w:val="00117348"/>
    <w:rsid w:val="00117820"/>
    <w:rsid w:val="001179EA"/>
    <w:rsid w:val="00117F26"/>
    <w:rsid w:val="00117F9B"/>
    <w:rsid w:val="00121211"/>
    <w:rsid w:val="00121628"/>
    <w:rsid w:val="0012167D"/>
    <w:rsid w:val="00121B5C"/>
    <w:rsid w:val="00121BAF"/>
    <w:rsid w:val="00121FE0"/>
    <w:rsid w:val="00122189"/>
    <w:rsid w:val="00122280"/>
    <w:rsid w:val="00122D42"/>
    <w:rsid w:val="00123345"/>
    <w:rsid w:val="00123C46"/>
    <w:rsid w:val="0012470B"/>
    <w:rsid w:val="00124750"/>
    <w:rsid w:val="00124EF8"/>
    <w:rsid w:val="00125C75"/>
    <w:rsid w:val="00125C7E"/>
    <w:rsid w:val="00127945"/>
    <w:rsid w:val="00127AEC"/>
    <w:rsid w:val="00127D94"/>
    <w:rsid w:val="00127E90"/>
    <w:rsid w:val="001302C1"/>
    <w:rsid w:val="001306D3"/>
    <w:rsid w:val="00130A1E"/>
    <w:rsid w:val="00130B50"/>
    <w:rsid w:val="00130F9E"/>
    <w:rsid w:val="001310BF"/>
    <w:rsid w:val="0013128D"/>
    <w:rsid w:val="00131AF5"/>
    <w:rsid w:val="0013263B"/>
    <w:rsid w:val="00133743"/>
    <w:rsid w:val="001339AA"/>
    <w:rsid w:val="00133B73"/>
    <w:rsid w:val="00133E73"/>
    <w:rsid w:val="00133FDB"/>
    <w:rsid w:val="001344F9"/>
    <w:rsid w:val="00134D4D"/>
    <w:rsid w:val="00134F4A"/>
    <w:rsid w:val="001350EA"/>
    <w:rsid w:val="00135E4E"/>
    <w:rsid w:val="00136246"/>
    <w:rsid w:val="001364D4"/>
    <w:rsid w:val="001371C8"/>
    <w:rsid w:val="001372ED"/>
    <w:rsid w:val="001416D4"/>
    <w:rsid w:val="00142B50"/>
    <w:rsid w:val="00142EDD"/>
    <w:rsid w:val="0014311E"/>
    <w:rsid w:val="0014357E"/>
    <w:rsid w:val="00143873"/>
    <w:rsid w:val="0014393C"/>
    <w:rsid w:val="001439E9"/>
    <w:rsid w:val="00143C55"/>
    <w:rsid w:val="00143DB8"/>
    <w:rsid w:val="00144217"/>
    <w:rsid w:val="001443D9"/>
    <w:rsid w:val="0014459B"/>
    <w:rsid w:val="00144C6F"/>
    <w:rsid w:val="00144DFC"/>
    <w:rsid w:val="00145089"/>
    <w:rsid w:val="001451E7"/>
    <w:rsid w:val="001462E3"/>
    <w:rsid w:val="001462EA"/>
    <w:rsid w:val="00146F4F"/>
    <w:rsid w:val="00146FE7"/>
    <w:rsid w:val="00147141"/>
    <w:rsid w:val="0014720C"/>
    <w:rsid w:val="001472C2"/>
    <w:rsid w:val="0014739F"/>
    <w:rsid w:val="00147458"/>
    <w:rsid w:val="00147E21"/>
    <w:rsid w:val="001501D1"/>
    <w:rsid w:val="00150BA8"/>
    <w:rsid w:val="00150D19"/>
    <w:rsid w:val="00151591"/>
    <w:rsid w:val="0015181B"/>
    <w:rsid w:val="0015191C"/>
    <w:rsid w:val="001519C3"/>
    <w:rsid w:val="00151A9F"/>
    <w:rsid w:val="00151C0F"/>
    <w:rsid w:val="00151E75"/>
    <w:rsid w:val="00151EC5"/>
    <w:rsid w:val="00152243"/>
    <w:rsid w:val="0015254E"/>
    <w:rsid w:val="00152889"/>
    <w:rsid w:val="00152B1C"/>
    <w:rsid w:val="00152B87"/>
    <w:rsid w:val="00153859"/>
    <w:rsid w:val="00153863"/>
    <w:rsid w:val="00153A96"/>
    <w:rsid w:val="00153C20"/>
    <w:rsid w:val="00153D1C"/>
    <w:rsid w:val="0015409F"/>
    <w:rsid w:val="0015413F"/>
    <w:rsid w:val="001543E2"/>
    <w:rsid w:val="00154BD5"/>
    <w:rsid w:val="001555FC"/>
    <w:rsid w:val="00155B43"/>
    <w:rsid w:val="001565A2"/>
    <w:rsid w:val="001567C3"/>
    <w:rsid w:val="00156A12"/>
    <w:rsid w:val="001573AE"/>
    <w:rsid w:val="00157431"/>
    <w:rsid w:val="00157779"/>
    <w:rsid w:val="00157A5E"/>
    <w:rsid w:val="00157B3F"/>
    <w:rsid w:val="00157F8A"/>
    <w:rsid w:val="00160C10"/>
    <w:rsid w:val="00160C3D"/>
    <w:rsid w:val="00161B24"/>
    <w:rsid w:val="00161C41"/>
    <w:rsid w:val="00161C9B"/>
    <w:rsid w:val="00161DD5"/>
    <w:rsid w:val="001627A6"/>
    <w:rsid w:val="00163304"/>
    <w:rsid w:val="001633A4"/>
    <w:rsid w:val="001634D6"/>
    <w:rsid w:val="00163BC6"/>
    <w:rsid w:val="00163EF4"/>
    <w:rsid w:val="00164158"/>
    <w:rsid w:val="001648DD"/>
    <w:rsid w:val="0016513B"/>
    <w:rsid w:val="00165705"/>
    <w:rsid w:val="00166389"/>
    <w:rsid w:val="00166E03"/>
    <w:rsid w:val="00167292"/>
    <w:rsid w:val="00167E4C"/>
    <w:rsid w:val="001712F2"/>
    <w:rsid w:val="00171449"/>
    <w:rsid w:val="001718BA"/>
    <w:rsid w:val="0017199C"/>
    <w:rsid w:val="00171B79"/>
    <w:rsid w:val="00171C7E"/>
    <w:rsid w:val="00171F35"/>
    <w:rsid w:val="00172552"/>
    <w:rsid w:val="00172873"/>
    <w:rsid w:val="00172CF7"/>
    <w:rsid w:val="0017319E"/>
    <w:rsid w:val="001732E8"/>
    <w:rsid w:val="00173A1F"/>
    <w:rsid w:val="00173BC3"/>
    <w:rsid w:val="00174128"/>
    <w:rsid w:val="00174995"/>
    <w:rsid w:val="001754A5"/>
    <w:rsid w:val="00175C34"/>
    <w:rsid w:val="00175F9A"/>
    <w:rsid w:val="00176B80"/>
    <w:rsid w:val="00176E98"/>
    <w:rsid w:val="001770DA"/>
    <w:rsid w:val="001777E4"/>
    <w:rsid w:val="00177996"/>
    <w:rsid w:val="00180796"/>
    <w:rsid w:val="00180B3F"/>
    <w:rsid w:val="00180C83"/>
    <w:rsid w:val="00180CE5"/>
    <w:rsid w:val="00181449"/>
    <w:rsid w:val="0018175B"/>
    <w:rsid w:val="00181AE3"/>
    <w:rsid w:val="001820A3"/>
    <w:rsid w:val="0018332A"/>
    <w:rsid w:val="001833BC"/>
    <w:rsid w:val="00183D80"/>
    <w:rsid w:val="001842C8"/>
    <w:rsid w:val="00184427"/>
    <w:rsid w:val="00185044"/>
    <w:rsid w:val="00185045"/>
    <w:rsid w:val="001850DB"/>
    <w:rsid w:val="0018537F"/>
    <w:rsid w:val="00185645"/>
    <w:rsid w:val="0018599C"/>
    <w:rsid w:val="001861A3"/>
    <w:rsid w:val="001869EE"/>
    <w:rsid w:val="00186D00"/>
    <w:rsid w:val="0018743A"/>
    <w:rsid w:val="001905B1"/>
    <w:rsid w:val="00190A57"/>
    <w:rsid w:val="00190B01"/>
    <w:rsid w:val="00190B3F"/>
    <w:rsid w:val="0019122C"/>
    <w:rsid w:val="00191908"/>
    <w:rsid w:val="00192326"/>
    <w:rsid w:val="00192DF3"/>
    <w:rsid w:val="00193003"/>
    <w:rsid w:val="0019301F"/>
    <w:rsid w:val="00193286"/>
    <w:rsid w:val="00193538"/>
    <w:rsid w:val="001937B8"/>
    <w:rsid w:val="00193CC3"/>
    <w:rsid w:val="001944C1"/>
    <w:rsid w:val="00194BB7"/>
    <w:rsid w:val="00194CC5"/>
    <w:rsid w:val="001951B2"/>
    <w:rsid w:val="0019565D"/>
    <w:rsid w:val="00195A24"/>
    <w:rsid w:val="001969A9"/>
    <w:rsid w:val="00196F06"/>
    <w:rsid w:val="00197564"/>
    <w:rsid w:val="00197BE5"/>
    <w:rsid w:val="00197EC2"/>
    <w:rsid w:val="00197ECE"/>
    <w:rsid w:val="001A1AB8"/>
    <w:rsid w:val="001A1CED"/>
    <w:rsid w:val="001A25BC"/>
    <w:rsid w:val="001A279B"/>
    <w:rsid w:val="001A2AF3"/>
    <w:rsid w:val="001A2CDD"/>
    <w:rsid w:val="001A2DC3"/>
    <w:rsid w:val="001A2E87"/>
    <w:rsid w:val="001A3869"/>
    <w:rsid w:val="001A38C2"/>
    <w:rsid w:val="001A435A"/>
    <w:rsid w:val="001A47CD"/>
    <w:rsid w:val="001A62F5"/>
    <w:rsid w:val="001A65C8"/>
    <w:rsid w:val="001A732E"/>
    <w:rsid w:val="001A7F30"/>
    <w:rsid w:val="001B0232"/>
    <w:rsid w:val="001B06E2"/>
    <w:rsid w:val="001B0C4D"/>
    <w:rsid w:val="001B0CE9"/>
    <w:rsid w:val="001B103A"/>
    <w:rsid w:val="001B103D"/>
    <w:rsid w:val="001B1145"/>
    <w:rsid w:val="001B11DE"/>
    <w:rsid w:val="001B1513"/>
    <w:rsid w:val="001B1767"/>
    <w:rsid w:val="001B1F6A"/>
    <w:rsid w:val="001B2453"/>
    <w:rsid w:val="001B2697"/>
    <w:rsid w:val="001B27AB"/>
    <w:rsid w:val="001B2CAA"/>
    <w:rsid w:val="001B2E0C"/>
    <w:rsid w:val="001B2F6F"/>
    <w:rsid w:val="001B374B"/>
    <w:rsid w:val="001B3D48"/>
    <w:rsid w:val="001B495A"/>
    <w:rsid w:val="001B4AB0"/>
    <w:rsid w:val="001B51DF"/>
    <w:rsid w:val="001B5A07"/>
    <w:rsid w:val="001B5AF9"/>
    <w:rsid w:val="001B5B5B"/>
    <w:rsid w:val="001B63E6"/>
    <w:rsid w:val="001B6600"/>
    <w:rsid w:val="001B6B9B"/>
    <w:rsid w:val="001B6C27"/>
    <w:rsid w:val="001B7144"/>
    <w:rsid w:val="001B7298"/>
    <w:rsid w:val="001B7A67"/>
    <w:rsid w:val="001B7E91"/>
    <w:rsid w:val="001C048A"/>
    <w:rsid w:val="001C098C"/>
    <w:rsid w:val="001C0E38"/>
    <w:rsid w:val="001C147E"/>
    <w:rsid w:val="001C151B"/>
    <w:rsid w:val="001C19E5"/>
    <w:rsid w:val="001C1B09"/>
    <w:rsid w:val="001C3800"/>
    <w:rsid w:val="001C3C7B"/>
    <w:rsid w:val="001C4FDA"/>
    <w:rsid w:val="001C5210"/>
    <w:rsid w:val="001C522C"/>
    <w:rsid w:val="001C6122"/>
    <w:rsid w:val="001C6124"/>
    <w:rsid w:val="001C6587"/>
    <w:rsid w:val="001C69BE"/>
    <w:rsid w:val="001C6DB5"/>
    <w:rsid w:val="001C70E3"/>
    <w:rsid w:val="001C71AC"/>
    <w:rsid w:val="001C7316"/>
    <w:rsid w:val="001C7C14"/>
    <w:rsid w:val="001C7E5C"/>
    <w:rsid w:val="001D00CC"/>
    <w:rsid w:val="001D0186"/>
    <w:rsid w:val="001D0494"/>
    <w:rsid w:val="001D07B7"/>
    <w:rsid w:val="001D1719"/>
    <w:rsid w:val="001D171B"/>
    <w:rsid w:val="001D1732"/>
    <w:rsid w:val="001D195F"/>
    <w:rsid w:val="001D1E2E"/>
    <w:rsid w:val="001D1E71"/>
    <w:rsid w:val="001D2203"/>
    <w:rsid w:val="001D255C"/>
    <w:rsid w:val="001D2DEF"/>
    <w:rsid w:val="001D30BB"/>
    <w:rsid w:val="001D3CCD"/>
    <w:rsid w:val="001D488C"/>
    <w:rsid w:val="001D4AF5"/>
    <w:rsid w:val="001D4CDF"/>
    <w:rsid w:val="001D4E14"/>
    <w:rsid w:val="001D4F88"/>
    <w:rsid w:val="001D578D"/>
    <w:rsid w:val="001D5818"/>
    <w:rsid w:val="001D5C50"/>
    <w:rsid w:val="001D5DDE"/>
    <w:rsid w:val="001D653A"/>
    <w:rsid w:val="001D7DEE"/>
    <w:rsid w:val="001E02CB"/>
    <w:rsid w:val="001E0699"/>
    <w:rsid w:val="001E0D67"/>
    <w:rsid w:val="001E11AA"/>
    <w:rsid w:val="001E14FD"/>
    <w:rsid w:val="001E180F"/>
    <w:rsid w:val="001E1C64"/>
    <w:rsid w:val="001E1CEC"/>
    <w:rsid w:val="001E2ECB"/>
    <w:rsid w:val="001E3E81"/>
    <w:rsid w:val="001E41F6"/>
    <w:rsid w:val="001E4B64"/>
    <w:rsid w:val="001E552A"/>
    <w:rsid w:val="001E57B9"/>
    <w:rsid w:val="001E590F"/>
    <w:rsid w:val="001E6E8D"/>
    <w:rsid w:val="001E7283"/>
    <w:rsid w:val="001E7EE4"/>
    <w:rsid w:val="001E7F76"/>
    <w:rsid w:val="001F09AE"/>
    <w:rsid w:val="001F0FAF"/>
    <w:rsid w:val="001F1146"/>
    <w:rsid w:val="001F139F"/>
    <w:rsid w:val="001F1EBE"/>
    <w:rsid w:val="001F2805"/>
    <w:rsid w:val="001F2D52"/>
    <w:rsid w:val="001F2E79"/>
    <w:rsid w:val="001F2F07"/>
    <w:rsid w:val="001F3123"/>
    <w:rsid w:val="001F376D"/>
    <w:rsid w:val="001F389D"/>
    <w:rsid w:val="001F418C"/>
    <w:rsid w:val="001F4931"/>
    <w:rsid w:val="001F4B2D"/>
    <w:rsid w:val="001F4F40"/>
    <w:rsid w:val="001F50E0"/>
    <w:rsid w:val="001F594C"/>
    <w:rsid w:val="001F5FA6"/>
    <w:rsid w:val="001F6821"/>
    <w:rsid w:val="001F69FC"/>
    <w:rsid w:val="001F6B53"/>
    <w:rsid w:val="001F6D62"/>
    <w:rsid w:val="001F6D97"/>
    <w:rsid w:val="001F7675"/>
    <w:rsid w:val="001F7C35"/>
    <w:rsid w:val="002001EB"/>
    <w:rsid w:val="00200FAE"/>
    <w:rsid w:val="0020102D"/>
    <w:rsid w:val="002010E2"/>
    <w:rsid w:val="00201B73"/>
    <w:rsid w:val="00201BE8"/>
    <w:rsid w:val="002024F6"/>
    <w:rsid w:val="00202517"/>
    <w:rsid w:val="00202566"/>
    <w:rsid w:val="00202ADB"/>
    <w:rsid w:val="00202BB7"/>
    <w:rsid w:val="00202E5F"/>
    <w:rsid w:val="00203BB6"/>
    <w:rsid w:val="0020435B"/>
    <w:rsid w:val="00204533"/>
    <w:rsid w:val="00204F2D"/>
    <w:rsid w:val="00205566"/>
    <w:rsid w:val="0020577C"/>
    <w:rsid w:val="00205817"/>
    <w:rsid w:val="00206382"/>
    <w:rsid w:val="002063AA"/>
    <w:rsid w:val="00207B19"/>
    <w:rsid w:val="00207D16"/>
    <w:rsid w:val="00210549"/>
    <w:rsid w:val="0021069E"/>
    <w:rsid w:val="00210804"/>
    <w:rsid w:val="0021088F"/>
    <w:rsid w:val="002113FE"/>
    <w:rsid w:val="00211578"/>
    <w:rsid w:val="00211737"/>
    <w:rsid w:val="0021181B"/>
    <w:rsid w:val="00212160"/>
    <w:rsid w:val="0021230F"/>
    <w:rsid w:val="002125B0"/>
    <w:rsid w:val="0021274D"/>
    <w:rsid w:val="00212A82"/>
    <w:rsid w:val="00212CFA"/>
    <w:rsid w:val="0021371B"/>
    <w:rsid w:val="0021390B"/>
    <w:rsid w:val="00214EA2"/>
    <w:rsid w:val="00215CE1"/>
    <w:rsid w:val="002160FA"/>
    <w:rsid w:val="002166DD"/>
    <w:rsid w:val="002168A2"/>
    <w:rsid w:val="00217867"/>
    <w:rsid w:val="00217901"/>
    <w:rsid w:val="002205E4"/>
    <w:rsid w:val="00220D67"/>
    <w:rsid w:val="002215F8"/>
    <w:rsid w:val="00221817"/>
    <w:rsid w:val="00221F80"/>
    <w:rsid w:val="0022273A"/>
    <w:rsid w:val="00222D28"/>
    <w:rsid w:val="00223CF4"/>
    <w:rsid w:val="00224220"/>
    <w:rsid w:val="00224398"/>
    <w:rsid w:val="002247B6"/>
    <w:rsid w:val="00224A81"/>
    <w:rsid w:val="00224E91"/>
    <w:rsid w:val="00225830"/>
    <w:rsid w:val="00225B4C"/>
    <w:rsid w:val="00225E1E"/>
    <w:rsid w:val="00226032"/>
    <w:rsid w:val="00226129"/>
    <w:rsid w:val="0022613F"/>
    <w:rsid w:val="0022614D"/>
    <w:rsid w:val="002264A9"/>
    <w:rsid w:val="00226AA2"/>
    <w:rsid w:val="00226B0C"/>
    <w:rsid w:val="00227218"/>
    <w:rsid w:val="0022770A"/>
    <w:rsid w:val="00227BEE"/>
    <w:rsid w:val="00227FB4"/>
    <w:rsid w:val="0023057E"/>
    <w:rsid w:val="00230750"/>
    <w:rsid w:val="00230FAE"/>
    <w:rsid w:val="002312BC"/>
    <w:rsid w:val="002323A9"/>
    <w:rsid w:val="002337E5"/>
    <w:rsid w:val="00233A37"/>
    <w:rsid w:val="00233C06"/>
    <w:rsid w:val="00233F24"/>
    <w:rsid w:val="002340FC"/>
    <w:rsid w:val="00234BBB"/>
    <w:rsid w:val="00234DD6"/>
    <w:rsid w:val="00235629"/>
    <w:rsid w:val="002356F4"/>
    <w:rsid w:val="00235761"/>
    <w:rsid w:val="00235CE4"/>
    <w:rsid w:val="00235F02"/>
    <w:rsid w:val="002367A4"/>
    <w:rsid w:val="00236D28"/>
    <w:rsid w:val="00236DD8"/>
    <w:rsid w:val="00237FE4"/>
    <w:rsid w:val="00240656"/>
    <w:rsid w:val="00241610"/>
    <w:rsid w:val="00241AED"/>
    <w:rsid w:val="0024252C"/>
    <w:rsid w:val="00242E86"/>
    <w:rsid w:val="00243182"/>
    <w:rsid w:val="002436F1"/>
    <w:rsid w:val="00243928"/>
    <w:rsid w:val="00243946"/>
    <w:rsid w:val="00243BC5"/>
    <w:rsid w:val="00243C7D"/>
    <w:rsid w:val="00243E9A"/>
    <w:rsid w:val="00244371"/>
    <w:rsid w:val="00244AF8"/>
    <w:rsid w:val="00244BC5"/>
    <w:rsid w:val="00244E68"/>
    <w:rsid w:val="002456C5"/>
    <w:rsid w:val="00245ABE"/>
    <w:rsid w:val="00245B9B"/>
    <w:rsid w:val="00245C0B"/>
    <w:rsid w:val="00245CDD"/>
    <w:rsid w:val="00246EAE"/>
    <w:rsid w:val="00246F8E"/>
    <w:rsid w:val="00247116"/>
    <w:rsid w:val="002471E5"/>
    <w:rsid w:val="00250186"/>
    <w:rsid w:val="0025134C"/>
    <w:rsid w:val="002517A8"/>
    <w:rsid w:val="0025190D"/>
    <w:rsid w:val="00251EEE"/>
    <w:rsid w:val="00252ACC"/>
    <w:rsid w:val="00253177"/>
    <w:rsid w:val="002538B8"/>
    <w:rsid w:val="0025396F"/>
    <w:rsid w:val="00254319"/>
    <w:rsid w:val="00254795"/>
    <w:rsid w:val="0025539F"/>
    <w:rsid w:val="00255B7E"/>
    <w:rsid w:val="00256388"/>
    <w:rsid w:val="00256B49"/>
    <w:rsid w:val="00256E44"/>
    <w:rsid w:val="00260097"/>
    <w:rsid w:val="002603AC"/>
    <w:rsid w:val="00260760"/>
    <w:rsid w:val="00260919"/>
    <w:rsid w:val="00260AE6"/>
    <w:rsid w:val="002612FD"/>
    <w:rsid w:val="002613DC"/>
    <w:rsid w:val="00261605"/>
    <w:rsid w:val="002616E8"/>
    <w:rsid w:val="00261755"/>
    <w:rsid w:val="00261AAA"/>
    <w:rsid w:val="00261E8A"/>
    <w:rsid w:val="00262097"/>
    <w:rsid w:val="00262C63"/>
    <w:rsid w:val="00262D20"/>
    <w:rsid w:val="002634AB"/>
    <w:rsid w:val="002638E0"/>
    <w:rsid w:val="00263B09"/>
    <w:rsid w:val="00263C19"/>
    <w:rsid w:val="00263E9F"/>
    <w:rsid w:val="00264118"/>
    <w:rsid w:val="00264F03"/>
    <w:rsid w:val="00264F8F"/>
    <w:rsid w:val="002655AE"/>
    <w:rsid w:val="0026591F"/>
    <w:rsid w:val="00265A65"/>
    <w:rsid w:val="002660F0"/>
    <w:rsid w:val="0026671E"/>
    <w:rsid w:val="0026681D"/>
    <w:rsid w:val="002669C7"/>
    <w:rsid w:val="00266DBE"/>
    <w:rsid w:val="002671A4"/>
    <w:rsid w:val="002675B6"/>
    <w:rsid w:val="00267A99"/>
    <w:rsid w:val="00270271"/>
    <w:rsid w:val="00270C1F"/>
    <w:rsid w:val="00270EB1"/>
    <w:rsid w:val="0027118E"/>
    <w:rsid w:val="00272048"/>
    <w:rsid w:val="00272154"/>
    <w:rsid w:val="00272174"/>
    <w:rsid w:val="002721A6"/>
    <w:rsid w:val="002722E0"/>
    <w:rsid w:val="002730EC"/>
    <w:rsid w:val="00273100"/>
    <w:rsid w:val="002735CC"/>
    <w:rsid w:val="00274588"/>
    <w:rsid w:val="00274A67"/>
    <w:rsid w:val="00274AA2"/>
    <w:rsid w:val="00274E29"/>
    <w:rsid w:val="002756EF"/>
    <w:rsid w:val="00275708"/>
    <w:rsid w:val="002764C9"/>
    <w:rsid w:val="00276712"/>
    <w:rsid w:val="002768CF"/>
    <w:rsid w:val="002768EA"/>
    <w:rsid w:val="00276F82"/>
    <w:rsid w:val="00277F64"/>
    <w:rsid w:val="002805DF"/>
    <w:rsid w:val="0028092D"/>
    <w:rsid w:val="0028151B"/>
    <w:rsid w:val="002815D9"/>
    <w:rsid w:val="00281F68"/>
    <w:rsid w:val="00282317"/>
    <w:rsid w:val="00282D25"/>
    <w:rsid w:val="00282DEC"/>
    <w:rsid w:val="00282DF9"/>
    <w:rsid w:val="002837F7"/>
    <w:rsid w:val="00283A44"/>
    <w:rsid w:val="00283F27"/>
    <w:rsid w:val="00284540"/>
    <w:rsid w:val="00284915"/>
    <w:rsid w:val="00284DEB"/>
    <w:rsid w:val="00284E09"/>
    <w:rsid w:val="0028529F"/>
    <w:rsid w:val="00285687"/>
    <w:rsid w:val="00287649"/>
    <w:rsid w:val="00287DAB"/>
    <w:rsid w:val="00287FB6"/>
    <w:rsid w:val="002900C5"/>
    <w:rsid w:val="002901E0"/>
    <w:rsid w:val="0029075B"/>
    <w:rsid w:val="00290BB1"/>
    <w:rsid w:val="00290D8C"/>
    <w:rsid w:val="00291BC1"/>
    <w:rsid w:val="00291E33"/>
    <w:rsid w:val="0029211E"/>
    <w:rsid w:val="00292397"/>
    <w:rsid w:val="00292E6D"/>
    <w:rsid w:val="002933CA"/>
    <w:rsid w:val="00293A8F"/>
    <w:rsid w:val="00295116"/>
    <w:rsid w:val="00295155"/>
    <w:rsid w:val="00295273"/>
    <w:rsid w:val="002957A9"/>
    <w:rsid w:val="00295D51"/>
    <w:rsid w:val="00296203"/>
    <w:rsid w:val="002962C1"/>
    <w:rsid w:val="00296428"/>
    <w:rsid w:val="0029643D"/>
    <w:rsid w:val="002966E4"/>
    <w:rsid w:val="00296965"/>
    <w:rsid w:val="00296C7C"/>
    <w:rsid w:val="0029706A"/>
    <w:rsid w:val="002971D5"/>
    <w:rsid w:val="002972EE"/>
    <w:rsid w:val="0029763F"/>
    <w:rsid w:val="00297A3B"/>
    <w:rsid w:val="00297F01"/>
    <w:rsid w:val="002A052D"/>
    <w:rsid w:val="002A0DF8"/>
    <w:rsid w:val="002A1537"/>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DDD"/>
    <w:rsid w:val="002A4FFF"/>
    <w:rsid w:val="002A533C"/>
    <w:rsid w:val="002A56E1"/>
    <w:rsid w:val="002A5805"/>
    <w:rsid w:val="002A59BD"/>
    <w:rsid w:val="002A60CC"/>
    <w:rsid w:val="002A75CA"/>
    <w:rsid w:val="002A7889"/>
    <w:rsid w:val="002A799A"/>
    <w:rsid w:val="002A7DD7"/>
    <w:rsid w:val="002B097D"/>
    <w:rsid w:val="002B0D90"/>
    <w:rsid w:val="002B11B2"/>
    <w:rsid w:val="002B1366"/>
    <w:rsid w:val="002B14DE"/>
    <w:rsid w:val="002B18F7"/>
    <w:rsid w:val="002B2357"/>
    <w:rsid w:val="002B2879"/>
    <w:rsid w:val="002B2C85"/>
    <w:rsid w:val="002B3ED7"/>
    <w:rsid w:val="002B4185"/>
    <w:rsid w:val="002B4778"/>
    <w:rsid w:val="002B56D1"/>
    <w:rsid w:val="002B5A53"/>
    <w:rsid w:val="002B6E37"/>
    <w:rsid w:val="002B70AA"/>
    <w:rsid w:val="002B75B2"/>
    <w:rsid w:val="002B79B7"/>
    <w:rsid w:val="002C0338"/>
    <w:rsid w:val="002C12CE"/>
    <w:rsid w:val="002C141D"/>
    <w:rsid w:val="002C19C0"/>
    <w:rsid w:val="002C2485"/>
    <w:rsid w:val="002C25E0"/>
    <w:rsid w:val="002C2A2D"/>
    <w:rsid w:val="002C2E3F"/>
    <w:rsid w:val="002C3308"/>
    <w:rsid w:val="002C36C0"/>
    <w:rsid w:val="002C3928"/>
    <w:rsid w:val="002C3AF4"/>
    <w:rsid w:val="002C3B33"/>
    <w:rsid w:val="002C3FA5"/>
    <w:rsid w:val="002C435E"/>
    <w:rsid w:val="002C43BB"/>
    <w:rsid w:val="002C44AB"/>
    <w:rsid w:val="002C5E39"/>
    <w:rsid w:val="002C5FA2"/>
    <w:rsid w:val="002C6EBA"/>
    <w:rsid w:val="002C7186"/>
    <w:rsid w:val="002C7390"/>
    <w:rsid w:val="002C7A02"/>
    <w:rsid w:val="002C7BD4"/>
    <w:rsid w:val="002D0107"/>
    <w:rsid w:val="002D062E"/>
    <w:rsid w:val="002D0D43"/>
    <w:rsid w:val="002D0EB5"/>
    <w:rsid w:val="002D15C2"/>
    <w:rsid w:val="002D2B10"/>
    <w:rsid w:val="002D30D2"/>
    <w:rsid w:val="002D386A"/>
    <w:rsid w:val="002D4100"/>
    <w:rsid w:val="002D477F"/>
    <w:rsid w:val="002D4F48"/>
    <w:rsid w:val="002D519B"/>
    <w:rsid w:val="002D621E"/>
    <w:rsid w:val="002D66DA"/>
    <w:rsid w:val="002D6B62"/>
    <w:rsid w:val="002D7027"/>
    <w:rsid w:val="002D70DC"/>
    <w:rsid w:val="002D7152"/>
    <w:rsid w:val="002D758B"/>
    <w:rsid w:val="002D75A9"/>
    <w:rsid w:val="002D7953"/>
    <w:rsid w:val="002D79BC"/>
    <w:rsid w:val="002D7E58"/>
    <w:rsid w:val="002E0D31"/>
    <w:rsid w:val="002E0EFA"/>
    <w:rsid w:val="002E1073"/>
    <w:rsid w:val="002E12EC"/>
    <w:rsid w:val="002E146D"/>
    <w:rsid w:val="002E1A04"/>
    <w:rsid w:val="002E272B"/>
    <w:rsid w:val="002E29F8"/>
    <w:rsid w:val="002E2C52"/>
    <w:rsid w:val="002E342B"/>
    <w:rsid w:val="002E38BF"/>
    <w:rsid w:val="002E3B81"/>
    <w:rsid w:val="002E3D08"/>
    <w:rsid w:val="002E3E1D"/>
    <w:rsid w:val="002E3EEA"/>
    <w:rsid w:val="002E4533"/>
    <w:rsid w:val="002E4740"/>
    <w:rsid w:val="002E4D08"/>
    <w:rsid w:val="002E4DA5"/>
    <w:rsid w:val="002E52B8"/>
    <w:rsid w:val="002E5DBF"/>
    <w:rsid w:val="002E5E01"/>
    <w:rsid w:val="002E60F5"/>
    <w:rsid w:val="002E6536"/>
    <w:rsid w:val="002E69F5"/>
    <w:rsid w:val="002E6CAA"/>
    <w:rsid w:val="002E73EC"/>
    <w:rsid w:val="002E7469"/>
    <w:rsid w:val="002E7FFC"/>
    <w:rsid w:val="002F023D"/>
    <w:rsid w:val="002F033F"/>
    <w:rsid w:val="002F10EC"/>
    <w:rsid w:val="002F1136"/>
    <w:rsid w:val="002F1231"/>
    <w:rsid w:val="002F1521"/>
    <w:rsid w:val="002F15EE"/>
    <w:rsid w:val="002F1CDC"/>
    <w:rsid w:val="002F2110"/>
    <w:rsid w:val="002F228F"/>
    <w:rsid w:val="002F2385"/>
    <w:rsid w:val="002F2571"/>
    <w:rsid w:val="002F30E0"/>
    <w:rsid w:val="002F3283"/>
    <w:rsid w:val="002F3632"/>
    <w:rsid w:val="002F393E"/>
    <w:rsid w:val="002F3AFB"/>
    <w:rsid w:val="002F3C41"/>
    <w:rsid w:val="002F447D"/>
    <w:rsid w:val="002F4C8E"/>
    <w:rsid w:val="002F5076"/>
    <w:rsid w:val="002F5839"/>
    <w:rsid w:val="002F634E"/>
    <w:rsid w:val="002F64D9"/>
    <w:rsid w:val="002F651D"/>
    <w:rsid w:val="002F6648"/>
    <w:rsid w:val="002F6E44"/>
    <w:rsid w:val="002F7109"/>
    <w:rsid w:val="002F7481"/>
    <w:rsid w:val="002F74FD"/>
    <w:rsid w:val="002F75CC"/>
    <w:rsid w:val="002F787B"/>
    <w:rsid w:val="002F7974"/>
    <w:rsid w:val="002F7D01"/>
    <w:rsid w:val="0030005C"/>
    <w:rsid w:val="00300369"/>
    <w:rsid w:val="00300A0E"/>
    <w:rsid w:val="00300E9B"/>
    <w:rsid w:val="00301B0E"/>
    <w:rsid w:val="00301D0A"/>
    <w:rsid w:val="00302236"/>
    <w:rsid w:val="003026EB"/>
    <w:rsid w:val="003027B8"/>
    <w:rsid w:val="0030293F"/>
    <w:rsid w:val="00302947"/>
    <w:rsid w:val="00302C50"/>
    <w:rsid w:val="003031C2"/>
    <w:rsid w:val="00303861"/>
    <w:rsid w:val="00304C90"/>
    <w:rsid w:val="00304FFF"/>
    <w:rsid w:val="003050F3"/>
    <w:rsid w:val="00305557"/>
    <w:rsid w:val="0030561F"/>
    <w:rsid w:val="00305CA3"/>
    <w:rsid w:val="00306E5C"/>
    <w:rsid w:val="003079C7"/>
    <w:rsid w:val="00307C19"/>
    <w:rsid w:val="00310732"/>
    <w:rsid w:val="003109B6"/>
    <w:rsid w:val="00310BC9"/>
    <w:rsid w:val="003112EB"/>
    <w:rsid w:val="0031156D"/>
    <w:rsid w:val="00311762"/>
    <w:rsid w:val="00311A0A"/>
    <w:rsid w:val="00311AE5"/>
    <w:rsid w:val="00311E98"/>
    <w:rsid w:val="00312215"/>
    <w:rsid w:val="0031249C"/>
    <w:rsid w:val="003125A5"/>
    <w:rsid w:val="003125C3"/>
    <w:rsid w:val="00312896"/>
    <w:rsid w:val="00312ADB"/>
    <w:rsid w:val="00313669"/>
    <w:rsid w:val="00313EAC"/>
    <w:rsid w:val="003140C9"/>
    <w:rsid w:val="003142F4"/>
    <w:rsid w:val="0031454E"/>
    <w:rsid w:val="0031611F"/>
    <w:rsid w:val="00316212"/>
    <w:rsid w:val="00316E6C"/>
    <w:rsid w:val="00317259"/>
    <w:rsid w:val="00317A33"/>
    <w:rsid w:val="00317CAC"/>
    <w:rsid w:val="00320082"/>
    <w:rsid w:val="00320168"/>
    <w:rsid w:val="00320339"/>
    <w:rsid w:val="00320AB6"/>
    <w:rsid w:val="00320D96"/>
    <w:rsid w:val="00320F51"/>
    <w:rsid w:val="00321214"/>
    <w:rsid w:val="003213D5"/>
    <w:rsid w:val="003213DB"/>
    <w:rsid w:val="00321972"/>
    <w:rsid w:val="00322EDE"/>
    <w:rsid w:val="00323737"/>
    <w:rsid w:val="00323AD6"/>
    <w:rsid w:val="00323F27"/>
    <w:rsid w:val="003242EF"/>
    <w:rsid w:val="00324306"/>
    <w:rsid w:val="00324657"/>
    <w:rsid w:val="003247DD"/>
    <w:rsid w:val="00324873"/>
    <w:rsid w:val="00325339"/>
    <w:rsid w:val="003255AA"/>
    <w:rsid w:val="00325A69"/>
    <w:rsid w:val="0032711B"/>
    <w:rsid w:val="00327B5F"/>
    <w:rsid w:val="0033035F"/>
    <w:rsid w:val="0033112D"/>
    <w:rsid w:val="003314B6"/>
    <w:rsid w:val="00331A20"/>
    <w:rsid w:val="00331E65"/>
    <w:rsid w:val="00333107"/>
    <w:rsid w:val="0033343B"/>
    <w:rsid w:val="0033393C"/>
    <w:rsid w:val="00333A0C"/>
    <w:rsid w:val="003341DC"/>
    <w:rsid w:val="0033517D"/>
    <w:rsid w:val="00335506"/>
    <w:rsid w:val="003355D5"/>
    <w:rsid w:val="003357EE"/>
    <w:rsid w:val="00335939"/>
    <w:rsid w:val="00335CE9"/>
    <w:rsid w:val="0033686D"/>
    <w:rsid w:val="003368BE"/>
    <w:rsid w:val="00337368"/>
    <w:rsid w:val="00337B4D"/>
    <w:rsid w:val="003407A9"/>
    <w:rsid w:val="00340BA3"/>
    <w:rsid w:val="00340BAF"/>
    <w:rsid w:val="00340C2B"/>
    <w:rsid w:val="00340F9A"/>
    <w:rsid w:val="00341018"/>
    <w:rsid w:val="003413AC"/>
    <w:rsid w:val="00341939"/>
    <w:rsid w:val="003420D9"/>
    <w:rsid w:val="003423E0"/>
    <w:rsid w:val="00342A0D"/>
    <w:rsid w:val="00342B19"/>
    <w:rsid w:val="0034301A"/>
    <w:rsid w:val="00343D76"/>
    <w:rsid w:val="003443AD"/>
    <w:rsid w:val="00344DFD"/>
    <w:rsid w:val="00344E6A"/>
    <w:rsid w:val="003451D3"/>
    <w:rsid w:val="00346631"/>
    <w:rsid w:val="0034671A"/>
    <w:rsid w:val="00346AAD"/>
    <w:rsid w:val="00346D96"/>
    <w:rsid w:val="0034736A"/>
    <w:rsid w:val="0034747C"/>
    <w:rsid w:val="00347B6C"/>
    <w:rsid w:val="00351405"/>
    <w:rsid w:val="003514CF"/>
    <w:rsid w:val="0035151C"/>
    <w:rsid w:val="00352254"/>
    <w:rsid w:val="003522A3"/>
    <w:rsid w:val="003522EC"/>
    <w:rsid w:val="00353331"/>
    <w:rsid w:val="00353929"/>
    <w:rsid w:val="00353F9E"/>
    <w:rsid w:val="003540D1"/>
    <w:rsid w:val="003545BF"/>
    <w:rsid w:val="0035586A"/>
    <w:rsid w:val="0035611A"/>
    <w:rsid w:val="00356C3D"/>
    <w:rsid w:val="003570C8"/>
    <w:rsid w:val="00360476"/>
    <w:rsid w:val="003607AE"/>
    <w:rsid w:val="00360B54"/>
    <w:rsid w:val="00360B75"/>
    <w:rsid w:val="00360C8D"/>
    <w:rsid w:val="00361109"/>
    <w:rsid w:val="0036151C"/>
    <w:rsid w:val="00361783"/>
    <w:rsid w:val="00361A9B"/>
    <w:rsid w:val="00361E47"/>
    <w:rsid w:val="00362325"/>
    <w:rsid w:val="00362CCF"/>
    <w:rsid w:val="00362E55"/>
    <w:rsid w:val="00362EC5"/>
    <w:rsid w:val="003631DB"/>
    <w:rsid w:val="00364139"/>
    <w:rsid w:val="00364524"/>
    <w:rsid w:val="0036513A"/>
    <w:rsid w:val="00365237"/>
    <w:rsid w:val="0036559C"/>
    <w:rsid w:val="0036587E"/>
    <w:rsid w:val="003660CD"/>
    <w:rsid w:val="003668F1"/>
    <w:rsid w:val="00366B08"/>
    <w:rsid w:val="00366EE2"/>
    <w:rsid w:val="00367285"/>
    <w:rsid w:val="00367496"/>
    <w:rsid w:val="003678BE"/>
    <w:rsid w:val="003679B4"/>
    <w:rsid w:val="003700F8"/>
    <w:rsid w:val="00370134"/>
    <w:rsid w:val="00370949"/>
    <w:rsid w:val="00370A99"/>
    <w:rsid w:val="00370CE7"/>
    <w:rsid w:val="0037198B"/>
    <w:rsid w:val="0037243B"/>
    <w:rsid w:val="0037251C"/>
    <w:rsid w:val="0037272C"/>
    <w:rsid w:val="00372A69"/>
    <w:rsid w:val="00372B9A"/>
    <w:rsid w:val="003731BF"/>
    <w:rsid w:val="003733F8"/>
    <w:rsid w:val="00373574"/>
    <w:rsid w:val="00373F0E"/>
    <w:rsid w:val="00375147"/>
    <w:rsid w:val="00375287"/>
    <w:rsid w:val="00375791"/>
    <w:rsid w:val="00375826"/>
    <w:rsid w:val="00375994"/>
    <w:rsid w:val="00375C59"/>
    <w:rsid w:val="00375E05"/>
    <w:rsid w:val="00375E4F"/>
    <w:rsid w:val="00375F38"/>
    <w:rsid w:val="0037676F"/>
    <w:rsid w:val="00376BB7"/>
    <w:rsid w:val="00376EEE"/>
    <w:rsid w:val="00377157"/>
    <w:rsid w:val="0037738E"/>
    <w:rsid w:val="0037776F"/>
    <w:rsid w:val="00377BA1"/>
    <w:rsid w:val="00377BA3"/>
    <w:rsid w:val="00377FF0"/>
    <w:rsid w:val="00377FF2"/>
    <w:rsid w:val="00380616"/>
    <w:rsid w:val="003809B6"/>
    <w:rsid w:val="00381022"/>
    <w:rsid w:val="003814B8"/>
    <w:rsid w:val="00381714"/>
    <w:rsid w:val="00382909"/>
    <w:rsid w:val="00382AD0"/>
    <w:rsid w:val="00382EE1"/>
    <w:rsid w:val="00383FF0"/>
    <w:rsid w:val="00384258"/>
    <w:rsid w:val="00385131"/>
    <w:rsid w:val="00385261"/>
    <w:rsid w:val="00385377"/>
    <w:rsid w:val="003861FB"/>
    <w:rsid w:val="0038620B"/>
    <w:rsid w:val="0038631D"/>
    <w:rsid w:val="00387274"/>
    <w:rsid w:val="00387647"/>
    <w:rsid w:val="003876C5"/>
    <w:rsid w:val="0038791A"/>
    <w:rsid w:val="00387D3E"/>
    <w:rsid w:val="00387D56"/>
    <w:rsid w:val="00390056"/>
    <w:rsid w:val="003900A6"/>
    <w:rsid w:val="0039055C"/>
    <w:rsid w:val="00390718"/>
    <w:rsid w:val="00390767"/>
    <w:rsid w:val="00390770"/>
    <w:rsid w:val="00390883"/>
    <w:rsid w:val="00391470"/>
    <w:rsid w:val="003917D7"/>
    <w:rsid w:val="003920C4"/>
    <w:rsid w:val="00392184"/>
    <w:rsid w:val="00392652"/>
    <w:rsid w:val="00392B41"/>
    <w:rsid w:val="00393211"/>
    <w:rsid w:val="0039351E"/>
    <w:rsid w:val="003937EC"/>
    <w:rsid w:val="00393E4C"/>
    <w:rsid w:val="00393FE5"/>
    <w:rsid w:val="0039456F"/>
    <w:rsid w:val="003945C8"/>
    <w:rsid w:val="0039461B"/>
    <w:rsid w:val="0039480D"/>
    <w:rsid w:val="00394AA8"/>
    <w:rsid w:val="00394B94"/>
    <w:rsid w:val="00395446"/>
    <w:rsid w:val="00396725"/>
    <w:rsid w:val="00396BD4"/>
    <w:rsid w:val="003979EE"/>
    <w:rsid w:val="00397A28"/>
    <w:rsid w:val="00397E94"/>
    <w:rsid w:val="00397F05"/>
    <w:rsid w:val="00397F59"/>
    <w:rsid w:val="003A0442"/>
    <w:rsid w:val="003A0726"/>
    <w:rsid w:val="003A0899"/>
    <w:rsid w:val="003A1512"/>
    <w:rsid w:val="003A1EB7"/>
    <w:rsid w:val="003A1FC1"/>
    <w:rsid w:val="003A23F3"/>
    <w:rsid w:val="003A2D82"/>
    <w:rsid w:val="003A337C"/>
    <w:rsid w:val="003A36DA"/>
    <w:rsid w:val="003A36F4"/>
    <w:rsid w:val="003A38F1"/>
    <w:rsid w:val="003A3CFB"/>
    <w:rsid w:val="003A3D1B"/>
    <w:rsid w:val="003A3F39"/>
    <w:rsid w:val="003A4123"/>
    <w:rsid w:val="003A4296"/>
    <w:rsid w:val="003A4549"/>
    <w:rsid w:val="003A48B6"/>
    <w:rsid w:val="003A49B3"/>
    <w:rsid w:val="003A4F73"/>
    <w:rsid w:val="003A537E"/>
    <w:rsid w:val="003A55B4"/>
    <w:rsid w:val="003A5FC8"/>
    <w:rsid w:val="003A61B6"/>
    <w:rsid w:val="003A623F"/>
    <w:rsid w:val="003A64AF"/>
    <w:rsid w:val="003A71AD"/>
    <w:rsid w:val="003A78DA"/>
    <w:rsid w:val="003A7D1D"/>
    <w:rsid w:val="003B046F"/>
    <w:rsid w:val="003B1688"/>
    <w:rsid w:val="003B1FA4"/>
    <w:rsid w:val="003B1FE6"/>
    <w:rsid w:val="003B2211"/>
    <w:rsid w:val="003B2376"/>
    <w:rsid w:val="003B27E8"/>
    <w:rsid w:val="003B2CC6"/>
    <w:rsid w:val="003B3106"/>
    <w:rsid w:val="003B3974"/>
    <w:rsid w:val="003B39E0"/>
    <w:rsid w:val="003B3DAB"/>
    <w:rsid w:val="003B404D"/>
    <w:rsid w:val="003B4485"/>
    <w:rsid w:val="003B46D2"/>
    <w:rsid w:val="003B4B34"/>
    <w:rsid w:val="003B4CDA"/>
    <w:rsid w:val="003B4F2D"/>
    <w:rsid w:val="003B5657"/>
    <w:rsid w:val="003B5BD9"/>
    <w:rsid w:val="003B62BC"/>
    <w:rsid w:val="003B64A3"/>
    <w:rsid w:val="003B6DB8"/>
    <w:rsid w:val="003B72B9"/>
    <w:rsid w:val="003C05C6"/>
    <w:rsid w:val="003C0887"/>
    <w:rsid w:val="003C08AF"/>
    <w:rsid w:val="003C1246"/>
    <w:rsid w:val="003C1852"/>
    <w:rsid w:val="003C1FC0"/>
    <w:rsid w:val="003C2D12"/>
    <w:rsid w:val="003C2EDD"/>
    <w:rsid w:val="003C3220"/>
    <w:rsid w:val="003C3A47"/>
    <w:rsid w:val="003C3A79"/>
    <w:rsid w:val="003C3EEF"/>
    <w:rsid w:val="003C48F2"/>
    <w:rsid w:val="003C50D0"/>
    <w:rsid w:val="003C5177"/>
    <w:rsid w:val="003C52B0"/>
    <w:rsid w:val="003C5911"/>
    <w:rsid w:val="003C595F"/>
    <w:rsid w:val="003C5B5E"/>
    <w:rsid w:val="003C5CB0"/>
    <w:rsid w:val="003C5CDB"/>
    <w:rsid w:val="003C5F76"/>
    <w:rsid w:val="003C6465"/>
    <w:rsid w:val="003C65E4"/>
    <w:rsid w:val="003C7712"/>
    <w:rsid w:val="003C7862"/>
    <w:rsid w:val="003C7CC0"/>
    <w:rsid w:val="003C7ECD"/>
    <w:rsid w:val="003D007D"/>
    <w:rsid w:val="003D01A1"/>
    <w:rsid w:val="003D04D6"/>
    <w:rsid w:val="003D04F6"/>
    <w:rsid w:val="003D1463"/>
    <w:rsid w:val="003D18CC"/>
    <w:rsid w:val="003D2277"/>
    <w:rsid w:val="003D3583"/>
    <w:rsid w:val="003D3657"/>
    <w:rsid w:val="003D391E"/>
    <w:rsid w:val="003D3B6F"/>
    <w:rsid w:val="003D40E8"/>
    <w:rsid w:val="003D455E"/>
    <w:rsid w:val="003D4904"/>
    <w:rsid w:val="003D547A"/>
    <w:rsid w:val="003D5785"/>
    <w:rsid w:val="003D5A2D"/>
    <w:rsid w:val="003D5A9D"/>
    <w:rsid w:val="003D62C0"/>
    <w:rsid w:val="003D65F6"/>
    <w:rsid w:val="003D6911"/>
    <w:rsid w:val="003D7818"/>
    <w:rsid w:val="003D7E4B"/>
    <w:rsid w:val="003E0035"/>
    <w:rsid w:val="003E05CE"/>
    <w:rsid w:val="003E0C14"/>
    <w:rsid w:val="003E0D6F"/>
    <w:rsid w:val="003E1591"/>
    <w:rsid w:val="003E1878"/>
    <w:rsid w:val="003E1ACF"/>
    <w:rsid w:val="003E216C"/>
    <w:rsid w:val="003E236E"/>
    <w:rsid w:val="003E2490"/>
    <w:rsid w:val="003E259D"/>
    <w:rsid w:val="003E25EB"/>
    <w:rsid w:val="003E26BA"/>
    <w:rsid w:val="003E2906"/>
    <w:rsid w:val="003E2969"/>
    <w:rsid w:val="003E29F8"/>
    <w:rsid w:val="003E2C1A"/>
    <w:rsid w:val="003E330F"/>
    <w:rsid w:val="003E3478"/>
    <w:rsid w:val="003E4197"/>
    <w:rsid w:val="003E4244"/>
    <w:rsid w:val="003E4354"/>
    <w:rsid w:val="003E45E4"/>
    <w:rsid w:val="003E473C"/>
    <w:rsid w:val="003E4D0A"/>
    <w:rsid w:val="003E4E74"/>
    <w:rsid w:val="003E58B7"/>
    <w:rsid w:val="003E5F7D"/>
    <w:rsid w:val="003E6520"/>
    <w:rsid w:val="003E67E7"/>
    <w:rsid w:val="003E6A44"/>
    <w:rsid w:val="003E6B3C"/>
    <w:rsid w:val="003E6B95"/>
    <w:rsid w:val="003E7059"/>
    <w:rsid w:val="003E70FF"/>
    <w:rsid w:val="003E737E"/>
    <w:rsid w:val="003E7380"/>
    <w:rsid w:val="003E73D3"/>
    <w:rsid w:val="003E7B0B"/>
    <w:rsid w:val="003E7C70"/>
    <w:rsid w:val="003E7F1B"/>
    <w:rsid w:val="003F0405"/>
    <w:rsid w:val="003F0B41"/>
    <w:rsid w:val="003F0BD7"/>
    <w:rsid w:val="003F1813"/>
    <w:rsid w:val="003F1B7C"/>
    <w:rsid w:val="003F1E39"/>
    <w:rsid w:val="003F1E63"/>
    <w:rsid w:val="003F1F38"/>
    <w:rsid w:val="003F229D"/>
    <w:rsid w:val="003F25F0"/>
    <w:rsid w:val="003F2D5B"/>
    <w:rsid w:val="003F397E"/>
    <w:rsid w:val="003F3BE6"/>
    <w:rsid w:val="003F5AD2"/>
    <w:rsid w:val="003F5CA4"/>
    <w:rsid w:val="003F5F4C"/>
    <w:rsid w:val="003F67E6"/>
    <w:rsid w:val="003F6950"/>
    <w:rsid w:val="003F6D50"/>
    <w:rsid w:val="003F7006"/>
    <w:rsid w:val="003F7507"/>
    <w:rsid w:val="003F7C72"/>
    <w:rsid w:val="003F7D10"/>
    <w:rsid w:val="0040004B"/>
    <w:rsid w:val="0040028F"/>
    <w:rsid w:val="00400867"/>
    <w:rsid w:val="00401000"/>
    <w:rsid w:val="004016C6"/>
    <w:rsid w:val="0040179A"/>
    <w:rsid w:val="00401856"/>
    <w:rsid w:val="004025E8"/>
    <w:rsid w:val="004028A2"/>
    <w:rsid w:val="00402FEB"/>
    <w:rsid w:val="004031B5"/>
    <w:rsid w:val="00403344"/>
    <w:rsid w:val="00403C82"/>
    <w:rsid w:val="00403E88"/>
    <w:rsid w:val="00403EAA"/>
    <w:rsid w:val="004040AC"/>
    <w:rsid w:val="00404C44"/>
    <w:rsid w:val="00404EE8"/>
    <w:rsid w:val="0040510D"/>
    <w:rsid w:val="0040512D"/>
    <w:rsid w:val="00405366"/>
    <w:rsid w:val="00405D01"/>
    <w:rsid w:val="0040602F"/>
    <w:rsid w:val="00406AFB"/>
    <w:rsid w:val="00407382"/>
    <w:rsid w:val="0040791B"/>
    <w:rsid w:val="004107D0"/>
    <w:rsid w:val="004115D1"/>
    <w:rsid w:val="00411958"/>
    <w:rsid w:val="00411B2A"/>
    <w:rsid w:val="00412303"/>
    <w:rsid w:val="00412973"/>
    <w:rsid w:val="00412D42"/>
    <w:rsid w:val="00412DA4"/>
    <w:rsid w:val="00412EB6"/>
    <w:rsid w:val="0041351F"/>
    <w:rsid w:val="004136BC"/>
    <w:rsid w:val="004137C8"/>
    <w:rsid w:val="00413BF9"/>
    <w:rsid w:val="00413C25"/>
    <w:rsid w:val="00414F60"/>
    <w:rsid w:val="0041500A"/>
    <w:rsid w:val="00415531"/>
    <w:rsid w:val="004156D4"/>
    <w:rsid w:val="00415C13"/>
    <w:rsid w:val="00416330"/>
    <w:rsid w:val="00416626"/>
    <w:rsid w:val="0041681C"/>
    <w:rsid w:val="0041688E"/>
    <w:rsid w:val="00416B25"/>
    <w:rsid w:val="00416B39"/>
    <w:rsid w:val="004176C7"/>
    <w:rsid w:val="00417877"/>
    <w:rsid w:val="00417D9F"/>
    <w:rsid w:val="00420229"/>
    <w:rsid w:val="00420DBA"/>
    <w:rsid w:val="00421311"/>
    <w:rsid w:val="00421572"/>
    <w:rsid w:val="00421F0F"/>
    <w:rsid w:val="00422B08"/>
    <w:rsid w:val="00422E13"/>
    <w:rsid w:val="0042350F"/>
    <w:rsid w:val="00423599"/>
    <w:rsid w:val="0042384C"/>
    <w:rsid w:val="00423893"/>
    <w:rsid w:val="00423BC9"/>
    <w:rsid w:val="0042428B"/>
    <w:rsid w:val="00424A43"/>
    <w:rsid w:val="00424C66"/>
    <w:rsid w:val="00425360"/>
    <w:rsid w:val="0042549B"/>
    <w:rsid w:val="004255B4"/>
    <w:rsid w:val="00425911"/>
    <w:rsid w:val="0042600C"/>
    <w:rsid w:val="00426125"/>
    <w:rsid w:val="00426766"/>
    <w:rsid w:val="004267D0"/>
    <w:rsid w:val="004267FD"/>
    <w:rsid w:val="004279CA"/>
    <w:rsid w:val="00427A82"/>
    <w:rsid w:val="00427E59"/>
    <w:rsid w:val="00427EA2"/>
    <w:rsid w:val="00430115"/>
    <w:rsid w:val="0043034E"/>
    <w:rsid w:val="00430A4B"/>
    <w:rsid w:val="0043106C"/>
    <w:rsid w:val="00431C46"/>
    <w:rsid w:val="00432473"/>
    <w:rsid w:val="004327E6"/>
    <w:rsid w:val="004329DC"/>
    <w:rsid w:val="00432AC6"/>
    <w:rsid w:val="00433780"/>
    <w:rsid w:val="00434183"/>
    <w:rsid w:val="00434AE4"/>
    <w:rsid w:val="00434C5E"/>
    <w:rsid w:val="00434F38"/>
    <w:rsid w:val="00435765"/>
    <w:rsid w:val="004360B6"/>
    <w:rsid w:val="004362E5"/>
    <w:rsid w:val="00436356"/>
    <w:rsid w:val="00437964"/>
    <w:rsid w:val="00440646"/>
    <w:rsid w:val="00440722"/>
    <w:rsid w:val="00440AAA"/>
    <w:rsid w:val="00440FF8"/>
    <w:rsid w:val="004417FF"/>
    <w:rsid w:val="00441A40"/>
    <w:rsid w:val="00441EA7"/>
    <w:rsid w:val="004425D9"/>
    <w:rsid w:val="00442A48"/>
    <w:rsid w:val="00442D8E"/>
    <w:rsid w:val="00442E27"/>
    <w:rsid w:val="00443244"/>
    <w:rsid w:val="004448B6"/>
    <w:rsid w:val="00444AF6"/>
    <w:rsid w:val="00444EEC"/>
    <w:rsid w:val="0044519D"/>
    <w:rsid w:val="00445544"/>
    <w:rsid w:val="00445C0B"/>
    <w:rsid w:val="00446195"/>
    <w:rsid w:val="004474ED"/>
    <w:rsid w:val="00447ACC"/>
    <w:rsid w:val="00447C0F"/>
    <w:rsid w:val="00447CD0"/>
    <w:rsid w:val="00447FC2"/>
    <w:rsid w:val="0045015D"/>
    <w:rsid w:val="004502F4"/>
    <w:rsid w:val="004506F4"/>
    <w:rsid w:val="004508B4"/>
    <w:rsid w:val="004509D1"/>
    <w:rsid w:val="00450A42"/>
    <w:rsid w:val="004513A5"/>
    <w:rsid w:val="004517C4"/>
    <w:rsid w:val="00451D50"/>
    <w:rsid w:val="00452EC4"/>
    <w:rsid w:val="00453340"/>
    <w:rsid w:val="00453775"/>
    <w:rsid w:val="00453787"/>
    <w:rsid w:val="00453890"/>
    <w:rsid w:val="00454349"/>
    <w:rsid w:val="00454380"/>
    <w:rsid w:val="0045470C"/>
    <w:rsid w:val="004552C8"/>
    <w:rsid w:val="0045536C"/>
    <w:rsid w:val="00455378"/>
    <w:rsid w:val="00455A07"/>
    <w:rsid w:val="00455AEB"/>
    <w:rsid w:val="00455DD5"/>
    <w:rsid w:val="0045603C"/>
    <w:rsid w:val="00456053"/>
    <w:rsid w:val="00456068"/>
    <w:rsid w:val="00456725"/>
    <w:rsid w:val="00456896"/>
    <w:rsid w:val="00456ADA"/>
    <w:rsid w:val="00456B0D"/>
    <w:rsid w:val="00456F11"/>
    <w:rsid w:val="004575EE"/>
    <w:rsid w:val="0045770D"/>
    <w:rsid w:val="0045790F"/>
    <w:rsid w:val="004579A5"/>
    <w:rsid w:val="00457D63"/>
    <w:rsid w:val="00457E21"/>
    <w:rsid w:val="0046007E"/>
    <w:rsid w:val="0046024B"/>
    <w:rsid w:val="004604F7"/>
    <w:rsid w:val="00460E36"/>
    <w:rsid w:val="004610E4"/>
    <w:rsid w:val="00461155"/>
    <w:rsid w:val="00461552"/>
    <w:rsid w:val="0046218C"/>
    <w:rsid w:val="004623D4"/>
    <w:rsid w:val="00462612"/>
    <w:rsid w:val="00463944"/>
    <w:rsid w:val="004641FA"/>
    <w:rsid w:val="00464918"/>
    <w:rsid w:val="004650CA"/>
    <w:rsid w:val="0046512A"/>
    <w:rsid w:val="00465234"/>
    <w:rsid w:val="0046598F"/>
    <w:rsid w:val="00465B24"/>
    <w:rsid w:val="00465C7C"/>
    <w:rsid w:val="00466858"/>
    <w:rsid w:val="00466D0F"/>
    <w:rsid w:val="00467291"/>
    <w:rsid w:val="00467544"/>
    <w:rsid w:val="004676BA"/>
    <w:rsid w:val="0046784C"/>
    <w:rsid w:val="00467ECB"/>
    <w:rsid w:val="00470EB7"/>
    <w:rsid w:val="004710C3"/>
    <w:rsid w:val="00471459"/>
    <w:rsid w:val="00472274"/>
    <w:rsid w:val="00472280"/>
    <w:rsid w:val="004722D4"/>
    <w:rsid w:val="00472D9C"/>
    <w:rsid w:val="00473B60"/>
    <w:rsid w:val="00474E77"/>
    <w:rsid w:val="0047560E"/>
    <w:rsid w:val="00475AFF"/>
    <w:rsid w:val="00475CD7"/>
    <w:rsid w:val="00475D30"/>
    <w:rsid w:val="00475D3A"/>
    <w:rsid w:val="004765F4"/>
    <w:rsid w:val="00476609"/>
    <w:rsid w:val="00476B4D"/>
    <w:rsid w:val="00476CBC"/>
    <w:rsid w:val="00476E6C"/>
    <w:rsid w:val="00477282"/>
    <w:rsid w:val="0047740D"/>
    <w:rsid w:val="00477947"/>
    <w:rsid w:val="004804AA"/>
    <w:rsid w:val="00480EB8"/>
    <w:rsid w:val="00480FA1"/>
    <w:rsid w:val="00481FD7"/>
    <w:rsid w:val="00482DE5"/>
    <w:rsid w:val="00482E5B"/>
    <w:rsid w:val="00483266"/>
    <w:rsid w:val="0048352E"/>
    <w:rsid w:val="004836A9"/>
    <w:rsid w:val="0048387B"/>
    <w:rsid w:val="00483B23"/>
    <w:rsid w:val="00483B40"/>
    <w:rsid w:val="004840D7"/>
    <w:rsid w:val="004845CA"/>
    <w:rsid w:val="004846F4"/>
    <w:rsid w:val="00484CC9"/>
    <w:rsid w:val="00485C26"/>
    <w:rsid w:val="00485E74"/>
    <w:rsid w:val="00485EC0"/>
    <w:rsid w:val="004865E8"/>
    <w:rsid w:val="00486AF7"/>
    <w:rsid w:val="004875E1"/>
    <w:rsid w:val="00487B37"/>
    <w:rsid w:val="004904D4"/>
    <w:rsid w:val="00490636"/>
    <w:rsid w:val="00490834"/>
    <w:rsid w:val="00490FF0"/>
    <w:rsid w:val="004910FE"/>
    <w:rsid w:val="00491198"/>
    <w:rsid w:val="004917E0"/>
    <w:rsid w:val="00491BF6"/>
    <w:rsid w:val="00491FED"/>
    <w:rsid w:val="0049257F"/>
    <w:rsid w:val="00492698"/>
    <w:rsid w:val="004926FB"/>
    <w:rsid w:val="00492B48"/>
    <w:rsid w:val="00492E09"/>
    <w:rsid w:val="00492F82"/>
    <w:rsid w:val="004943C2"/>
    <w:rsid w:val="0049463E"/>
    <w:rsid w:val="00494918"/>
    <w:rsid w:val="004949B9"/>
    <w:rsid w:val="00494C65"/>
    <w:rsid w:val="00494F0C"/>
    <w:rsid w:val="00495557"/>
    <w:rsid w:val="0049588D"/>
    <w:rsid w:val="00495DF6"/>
    <w:rsid w:val="0049618D"/>
    <w:rsid w:val="004965EF"/>
    <w:rsid w:val="00496BA2"/>
    <w:rsid w:val="0049719D"/>
    <w:rsid w:val="00497FCD"/>
    <w:rsid w:val="004A0D1E"/>
    <w:rsid w:val="004A0E66"/>
    <w:rsid w:val="004A0EEC"/>
    <w:rsid w:val="004A130F"/>
    <w:rsid w:val="004A17EF"/>
    <w:rsid w:val="004A1BDA"/>
    <w:rsid w:val="004A22DA"/>
    <w:rsid w:val="004A2700"/>
    <w:rsid w:val="004A272E"/>
    <w:rsid w:val="004A2956"/>
    <w:rsid w:val="004A36C8"/>
    <w:rsid w:val="004A3721"/>
    <w:rsid w:val="004A3742"/>
    <w:rsid w:val="004A37B8"/>
    <w:rsid w:val="004A37CB"/>
    <w:rsid w:val="004A3ED3"/>
    <w:rsid w:val="004A4782"/>
    <w:rsid w:val="004A47BC"/>
    <w:rsid w:val="004A4AC6"/>
    <w:rsid w:val="004A51B1"/>
    <w:rsid w:val="004A5C9D"/>
    <w:rsid w:val="004A75AB"/>
    <w:rsid w:val="004A7F77"/>
    <w:rsid w:val="004B114D"/>
    <w:rsid w:val="004B1199"/>
    <w:rsid w:val="004B16C4"/>
    <w:rsid w:val="004B1867"/>
    <w:rsid w:val="004B24BF"/>
    <w:rsid w:val="004B264C"/>
    <w:rsid w:val="004B2A64"/>
    <w:rsid w:val="004B302E"/>
    <w:rsid w:val="004B372A"/>
    <w:rsid w:val="004B41DA"/>
    <w:rsid w:val="004B470D"/>
    <w:rsid w:val="004B4764"/>
    <w:rsid w:val="004B481F"/>
    <w:rsid w:val="004B4846"/>
    <w:rsid w:val="004B4E2E"/>
    <w:rsid w:val="004B4F6D"/>
    <w:rsid w:val="004B5394"/>
    <w:rsid w:val="004B5820"/>
    <w:rsid w:val="004B5961"/>
    <w:rsid w:val="004B5BDD"/>
    <w:rsid w:val="004B6002"/>
    <w:rsid w:val="004B64FE"/>
    <w:rsid w:val="004B6E9E"/>
    <w:rsid w:val="004B6F83"/>
    <w:rsid w:val="004B7C29"/>
    <w:rsid w:val="004B7FC6"/>
    <w:rsid w:val="004C06E5"/>
    <w:rsid w:val="004C1B7D"/>
    <w:rsid w:val="004C1CEA"/>
    <w:rsid w:val="004C1E0D"/>
    <w:rsid w:val="004C1E3C"/>
    <w:rsid w:val="004C25F0"/>
    <w:rsid w:val="004C26DD"/>
    <w:rsid w:val="004C2B5D"/>
    <w:rsid w:val="004C2D68"/>
    <w:rsid w:val="004C2F56"/>
    <w:rsid w:val="004C30B6"/>
    <w:rsid w:val="004C339D"/>
    <w:rsid w:val="004C33E8"/>
    <w:rsid w:val="004C4307"/>
    <w:rsid w:val="004C4309"/>
    <w:rsid w:val="004C44DE"/>
    <w:rsid w:val="004C492A"/>
    <w:rsid w:val="004C49E3"/>
    <w:rsid w:val="004C4E8A"/>
    <w:rsid w:val="004C514A"/>
    <w:rsid w:val="004C6572"/>
    <w:rsid w:val="004C6872"/>
    <w:rsid w:val="004C6D4F"/>
    <w:rsid w:val="004C72ED"/>
    <w:rsid w:val="004C7541"/>
    <w:rsid w:val="004C771B"/>
    <w:rsid w:val="004CD2CD"/>
    <w:rsid w:val="004D01E8"/>
    <w:rsid w:val="004D0338"/>
    <w:rsid w:val="004D0ABC"/>
    <w:rsid w:val="004D1E71"/>
    <w:rsid w:val="004D1EFF"/>
    <w:rsid w:val="004D2666"/>
    <w:rsid w:val="004D2C15"/>
    <w:rsid w:val="004D2CDF"/>
    <w:rsid w:val="004D2FF8"/>
    <w:rsid w:val="004D33CE"/>
    <w:rsid w:val="004D3860"/>
    <w:rsid w:val="004D493E"/>
    <w:rsid w:val="004D4AAE"/>
    <w:rsid w:val="004D4FB2"/>
    <w:rsid w:val="004D531C"/>
    <w:rsid w:val="004D690B"/>
    <w:rsid w:val="004D6B1F"/>
    <w:rsid w:val="004D6D1F"/>
    <w:rsid w:val="004D6F81"/>
    <w:rsid w:val="004D710C"/>
    <w:rsid w:val="004D792D"/>
    <w:rsid w:val="004D7AF2"/>
    <w:rsid w:val="004D7BCF"/>
    <w:rsid w:val="004D7C86"/>
    <w:rsid w:val="004E0197"/>
    <w:rsid w:val="004E0B34"/>
    <w:rsid w:val="004E1122"/>
    <w:rsid w:val="004E1409"/>
    <w:rsid w:val="004E1A87"/>
    <w:rsid w:val="004E1BB0"/>
    <w:rsid w:val="004E2997"/>
    <w:rsid w:val="004E3030"/>
    <w:rsid w:val="004E3311"/>
    <w:rsid w:val="004E368A"/>
    <w:rsid w:val="004E38EC"/>
    <w:rsid w:val="004E3933"/>
    <w:rsid w:val="004E3D4D"/>
    <w:rsid w:val="004E4251"/>
    <w:rsid w:val="004E4549"/>
    <w:rsid w:val="004E4C83"/>
    <w:rsid w:val="004E4D53"/>
    <w:rsid w:val="004E4D84"/>
    <w:rsid w:val="004E4E12"/>
    <w:rsid w:val="004E4EBC"/>
    <w:rsid w:val="004E5104"/>
    <w:rsid w:val="004E5997"/>
    <w:rsid w:val="004E5B06"/>
    <w:rsid w:val="004E5FA8"/>
    <w:rsid w:val="004E5FB9"/>
    <w:rsid w:val="004E684C"/>
    <w:rsid w:val="004E6DF0"/>
    <w:rsid w:val="004E6FF1"/>
    <w:rsid w:val="004E72AE"/>
    <w:rsid w:val="004E76DB"/>
    <w:rsid w:val="004F10C0"/>
    <w:rsid w:val="004F1665"/>
    <w:rsid w:val="004F1DEF"/>
    <w:rsid w:val="004F1F90"/>
    <w:rsid w:val="004F2401"/>
    <w:rsid w:val="004F2A44"/>
    <w:rsid w:val="004F2DAD"/>
    <w:rsid w:val="004F2F35"/>
    <w:rsid w:val="004F34F7"/>
    <w:rsid w:val="004F3722"/>
    <w:rsid w:val="004F3BAE"/>
    <w:rsid w:val="004F449A"/>
    <w:rsid w:val="004F4608"/>
    <w:rsid w:val="004F4CDF"/>
    <w:rsid w:val="004F516C"/>
    <w:rsid w:val="004F540B"/>
    <w:rsid w:val="004F55D6"/>
    <w:rsid w:val="004F565A"/>
    <w:rsid w:val="004F5703"/>
    <w:rsid w:val="004F571B"/>
    <w:rsid w:val="004F64EB"/>
    <w:rsid w:val="004F7212"/>
    <w:rsid w:val="004F7A74"/>
    <w:rsid w:val="004F7D07"/>
    <w:rsid w:val="004F7F69"/>
    <w:rsid w:val="00500250"/>
    <w:rsid w:val="00500264"/>
    <w:rsid w:val="005007F4"/>
    <w:rsid w:val="00500824"/>
    <w:rsid w:val="00500DAB"/>
    <w:rsid w:val="00501120"/>
    <w:rsid w:val="00501144"/>
    <w:rsid w:val="005013EF"/>
    <w:rsid w:val="005016D8"/>
    <w:rsid w:val="005019E0"/>
    <w:rsid w:val="0050211F"/>
    <w:rsid w:val="005021D4"/>
    <w:rsid w:val="0050223E"/>
    <w:rsid w:val="005022E7"/>
    <w:rsid w:val="00502A93"/>
    <w:rsid w:val="00502BC9"/>
    <w:rsid w:val="005037F9"/>
    <w:rsid w:val="00504237"/>
    <w:rsid w:val="00504A61"/>
    <w:rsid w:val="00506083"/>
    <w:rsid w:val="005068D6"/>
    <w:rsid w:val="005069AD"/>
    <w:rsid w:val="00506B86"/>
    <w:rsid w:val="00506EEC"/>
    <w:rsid w:val="00506FD4"/>
    <w:rsid w:val="005079A7"/>
    <w:rsid w:val="005079F3"/>
    <w:rsid w:val="005107FF"/>
    <w:rsid w:val="00510C47"/>
    <w:rsid w:val="00510CBC"/>
    <w:rsid w:val="00510F1C"/>
    <w:rsid w:val="0051102D"/>
    <w:rsid w:val="005112A5"/>
    <w:rsid w:val="0051158B"/>
    <w:rsid w:val="0051180E"/>
    <w:rsid w:val="00511F48"/>
    <w:rsid w:val="00512448"/>
    <w:rsid w:val="0051253A"/>
    <w:rsid w:val="0051266C"/>
    <w:rsid w:val="00512FC0"/>
    <w:rsid w:val="005133DE"/>
    <w:rsid w:val="00513B72"/>
    <w:rsid w:val="0051442B"/>
    <w:rsid w:val="0051496A"/>
    <w:rsid w:val="0051518F"/>
    <w:rsid w:val="00515277"/>
    <w:rsid w:val="005158C2"/>
    <w:rsid w:val="005158E8"/>
    <w:rsid w:val="005169DE"/>
    <w:rsid w:val="005170D6"/>
    <w:rsid w:val="0051754D"/>
    <w:rsid w:val="0051785D"/>
    <w:rsid w:val="00517913"/>
    <w:rsid w:val="00517CC9"/>
    <w:rsid w:val="0052005F"/>
    <w:rsid w:val="00520200"/>
    <w:rsid w:val="005202C9"/>
    <w:rsid w:val="005203A7"/>
    <w:rsid w:val="00520E2D"/>
    <w:rsid w:val="00520F04"/>
    <w:rsid w:val="005212CA"/>
    <w:rsid w:val="00521717"/>
    <w:rsid w:val="0052228F"/>
    <w:rsid w:val="005224B2"/>
    <w:rsid w:val="00522524"/>
    <w:rsid w:val="00523B23"/>
    <w:rsid w:val="00523DFA"/>
    <w:rsid w:val="00523E97"/>
    <w:rsid w:val="00524A5A"/>
    <w:rsid w:val="005254BC"/>
    <w:rsid w:val="005256FC"/>
    <w:rsid w:val="00525F8A"/>
    <w:rsid w:val="00526A24"/>
    <w:rsid w:val="00526C27"/>
    <w:rsid w:val="00526DFF"/>
    <w:rsid w:val="00527123"/>
    <w:rsid w:val="00527473"/>
    <w:rsid w:val="00527EF9"/>
    <w:rsid w:val="005305FF"/>
    <w:rsid w:val="0053086F"/>
    <w:rsid w:val="00530C9B"/>
    <w:rsid w:val="00530D0D"/>
    <w:rsid w:val="00532334"/>
    <w:rsid w:val="005324AF"/>
    <w:rsid w:val="0053307D"/>
    <w:rsid w:val="00533180"/>
    <w:rsid w:val="0053402C"/>
    <w:rsid w:val="00534090"/>
    <w:rsid w:val="0053497E"/>
    <w:rsid w:val="00534ABA"/>
    <w:rsid w:val="00534DAA"/>
    <w:rsid w:val="00535FFF"/>
    <w:rsid w:val="0053616F"/>
    <w:rsid w:val="005368AD"/>
    <w:rsid w:val="00536DB7"/>
    <w:rsid w:val="005370BC"/>
    <w:rsid w:val="00537130"/>
    <w:rsid w:val="005372C1"/>
    <w:rsid w:val="00537B35"/>
    <w:rsid w:val="00537DE7"/>
    <w:rsid w:val="00537EC4"/>
    <w:rsid w:val="00537F94"/>
    <w:rsid w:val="00537FE4"/>
    <w:rsid w:val="0054027D"/>
    <w:rsid w:val="005406EE"/>
    <w:rsid w:val="005409EF"/>
    <w:rsid w:val="00541222"/>
    <w:rsid w:val="00541A8D"/>
    <w:rsid w:val="00541D4D"/>
    <w:rsid w:val="00541F1E"/>
    <w:rsid w:val="00542D42"/>
    <w:rsid w:val="00544455"/>
    <w:rsid w:val="00544DA0"/>
    <w:rsid w:val="005452A1"/>
    <w:rsid w:val="005454BD"/>
    <w:rsid w:val="005457E4"/>
    <w:rsid w:val="00546C49"/>
    <w:rsid w:val="0055010B"/>
    <w:rsid w:val="00550D59"/>
    <w:rsid w:val="00550DE1"/>
    <w:rsid w:val="0055110D"/>
    <w:rsid w:val="00551F81"/>
    <w:rsid w:val="0055210F"/>
    <w:rsid w:val="00552CD7"/>
    <w:rsid w:val="005533BE"/>
    <w:rsid w:val="005536D4"/>
    <w:rsid w:val="005538DB"/>
    <w:rsid w:val="00554122"/>
    <w:rsid w:val="00554917"/>
    <w:rsid w:val="00554B30"/>
    <w:rsid w:val="00554C4C"/>
    <w:rsid w:val="00554FFB"/>
    <w:rsid w:val="00555AAA"/>
    <w:rsid w:val="00555C2F"/>
    <w:rsid w:val="00556108"/>
    <w:rsid w:val="005568DE"/>
    <w:rsid w:val="00557358"/>
    <w:rsid w:val="005574F9"/>
    <w:rsid w:val="00557C50"/>
    <w:rsid w:val="005606B6"/>
    <w:rsid w:val="005608D6"/>
    <w:rsid w:val="00560E52"/>
    <w:rsid w:val="00560F19"/>
    <w:rsid w:val="00561226"/>
    <w:rsid w:val="00561B24"/>
    <w:rsid w:val="00561C8D"/>
    <w:rsid w:val="00561E6B"/>
    <w:rsid w:val="005621D2"/>
    <w:rsid w:val="005621E0"/>
    <w:rsid w:val="00562D90"/>
    <w:rsid w:val="00563A23"/>
    <w:rsid w:val="00563A5A"/>
    <w:rsid w:val="00563C61"/>
    <w:rsid w:val="00563D00"/>
    <w:rsid w:val="00563ECB"/>
    <w:rsid w:val="00563F47"/>
    <w:rsid w:val="005640BB"/>
    <w:rsid w:val="00564C23"/>
    <w:rsid w:val="00565406"/>
    <w:rsid w:val="00565570"/>
    <w:rsid w:val="005657DD"/>
    <w:rsid w:val="00565B29"/>
    <w:rsid w:val="005664CC"/>
    <w:rsid w:val="0056664B"/>
    <w:rsid w:val="00566B94"/>
    <w:rsid w:val="00567588"/>
    <w:rsid w:val="00567992"/>
    <w:rsid w:val="00567C3C"/>
    <w:rsid w:val="005702F8"/>
    <w:rsid w:val="005708E7"/>
    <w:rsid w:val="00571231"/>
    <w:rsid w:val="0057156A"/>
    <w:rsid w:val="00571767"/>
    <w:rsid w:val="00571770"/>
    <w:rsid w:val="00571777"/>
    <w:rsid w:val="00571E44"/>
    <w:rsid w:val="00571EEF"/>
    <w:rsid w:val="005723EB"/>
    <w:rsid w:val="00572859"/>
    <w:rsid w:val="00572B0D"/>
    <w:rsid w:val="00572EAA"/>
    <w:rsid w:val="00573DEE"/>
    <w:rsid w:val="00573E61"/>
    <w:rsid w:val="0057411B"/>
    <w:rsid w:val="00574525"/>
    <w:rsid w:val="00574778"/>
    <w:rsid w:val="0057498F"/>
    <w:rsid w:val="00574DE9"/>
    <w:rsid w:val="00574EA2"/>
    <w:rsid w:val="00575DF4"/>
    <w:rsid w:val="005762AB"/>
    <w:rsid w:val="00576932"/>
    <w:rsid w:val="00577274"/>
    <w:rsid w:val="0057765D"/>
    <w:rsid w:val="005777FC"/>
    <w:rsid w:val="00577924"/>
    <w:rsid w:val="005808EB"/>
    <w:rsid w:val="00580D37"/>
    <w:rsid w:val="00581FA0"/>
    <w:rsid w:val="00582149"/>
    <w:rsid w:val="00582B90"/>
    <w:rsid w:val="005831A7"/>
    <w:rsid w:val="00583321"/>
    <w:rsid w:val="0058341E"/>
    <w:rsid w:val="00583F0D"/>
    <w:rsid w:val="005841FD"/>
    <w:rsid w:val="00584F3A"/>
    <w:rsid w:val="005853AB"/>
    <w:rsid w:val="00585748"/>
    <w:rsid w:val="00585770"/>
    <w:rsid w:val="005859C5"/>
    <w:rsid w:val="00585C79"/>
    <w:rsid w:val="00585E27"/>
    <w:rsid w:val="00586144"/>
    <w:rsid w:val="005875AC"/>
    <w:rsid w:val="00587785"/>
    <w:rsid w:val="0058788D"/>
    <w:rsid w:val="00587AA8"/>
    <w:rsid w:val="00587C4D"/>
    <w:rsid w:val="00587E29"/>
    <w:rsid w:val="00587FE6"/>
    <w:rsid w:val="00591590"/>
    <w:rsid w:val="00591698"/>
    <w:rsid w:val="005918EF"/>
    <w:rsid w:val="00591F6A"/>
    <w:rsid w:val="005920AB"/>
    <w:rsid w:val="00592927"/>
    <w:rsid w:val="00593B87"/>
    <w:rsid w:val="00593C1C"/>
    <w:rsid w:val="00593E94"/>
    <w:rsid w:val="00594143"/>
    <w:rsid w:val="00594543"/>
    <w:rsid w:val="00594612"/>
    <w:rsid w:val="00595873"/>
    <w:rsid w:val="00595CDD"/>
    <w:rsid w:val="00595FA5"/>
    <w:rsid w:val="005964BB"/>
    <w:rsid w:val="00596585"/>
    <w:rsid w:val="00596A70"/>
    <w:rsid w:val="00596BD3"/>
    <w:rsid w:val="00596BE7"/>
    <w:rsid w:val="00596C3E"/>
    <w:rsid w:val="00596CF7"/>
    <w:rsid w:val="0059769E"/>
    <w:rsid w:val="005977DD"/>
    <w:rsid w:val="00597E22"/>
    <w:rsid w:val="005A04BD"/>
    <w:rsid w:val="005A0A3F"/>
    <w:rsid w:val="005A114F"/>
    <w:rsid w:val="005A1924"/>
    <w:rsid w:val="005A1E3D"/>
    <w:rsid w:val="005A1F49"/>
    <w:rsid w:val="005A235B"/>
    <w:rsid w:val="005A2362"/>
    <w:rsid w:val="005A2364"/>
    <w:rsid w:val="005A2480"/>
    <w:rsid w:val="005A279F"/>
    <w:rsid w:val="005A298C"/>
    <w:rsid w:val="005A2B2C"/>
    <w:rsid w:val="005A2D6B"/>
    <w:rsid w:val="005A3252"/>
    <w:rsid w:val="005A33F7"/>
    <w:rsid w:val="005A3BBC"/>
    <w:rsid w:val="005A40CF"/>
    <w:rsid w:val="005A4A9C"/>
    <w:rsid w:val="005A4BAE"/>
    <w:rsid w:val="005A4F39"/>
    <w:rsid w:val="005A574D"/>
    <w:rsid w:val="005A5B5C"/>
    <w:rsid w:val="005A5D7C"/>
    <w:rsid w:val="005A6194"/>
    <w:rsid w:val="005A6BFB"/>
    <w:rsid w:val="005A6DC4"/>
    <w:rsid w:val="005A6E93"/>
    <w:rsid w:val="005A6FDA"/>
    <w:rsid w:val="005A707A"/>
    <w:rsid w:val="005A7340"/>
    <w:rsid w:val="005A7E41"/>
    <w:rsid w:val="005A7F93"/>
    <w:rsid w:val="005B01FE"/>
    <w:rsid w:val="005B07EA"/>
    <w:rsid w:val="005B0B20"/>
    <w:rsid w:val="005B0BD6"/>
    <w:rsid w:val="005B0EFB"/>
    <w:rsid w:val="005B1060"/>
    <w:rsid w:val="005B12B9"/>
    <w:rsid w:val="005B17C1"/>
    <w:rsid w:val="005B19EC"/>
    <w:rsid w:val="005B1F14"/>
    <w:rsid w:val="005B2B06"/>
    <w:rsid w:val="005B3673"/>
    <w:rsid w:val="005B3737"/>
    <w:rsid w:val="005B38C4"/>
    <w:rsid w:val="005B3A42"/>
    <w:rsid w:val="005B4205"/>
    <w:rsid w:val="005B4C0A"/>
    <w:rsid w:val="005B4EED"/>
    <w:rsid w:val="005B5C8E"/>
    <w:rsid w:val="005B5D40"/>
    <w:rsid w:val="005B5EFC"/>
    <w:rsid w:val="005B6412"/>
    <w:rsid w:val="005B6698"/>
    <w:rsid w:val="005B68A7"/>
    <w:rsid w:val="005B6AC3"/>
    <w:rsid w:val="005B6E59"/>
    <w:rsid w:val="005B7191"/>
    <w:rsid w:val="005C055E"/>
    <w:rsid w:val="005C0A65"/>
    <w:rsid w:val="005C0FA1"/>
    <w:rsid w:val="005C14BE"/>
    <w:rsid w:val="005C1615"/>
    <w:rsid w:val="005C1D98"/>
    <w:rsid w:val="005C1DA5"/>
    <w:rsid w:val="005C2559"/>
    <w:rsid w:val="005C2873"/>
    <w:rsid w:val="005C28E7"/>
    <w:rsid w:val="005C3003"/>
    <w:rsid w:val="005C34FC"/>
    <w:rsid w:val="005C35B6"/>
    <w:rsid w:val="005C3B5C"/>
    <w:rsid w:val="005C3C7F"/>
    <w:rsid w:val="005C491F"/>
    <w:rsid w:val="005C4C4D"/>
    <w:rsid w:val="005C508E"/>
    <w:rsid w:val="005C5143"/>
    <w:rsid w:val="005C5639"/>
    <w:rsid w:val="005C5742"/>
    <w:rsid w:val="005C5951"/>
    <w:rsid w:val="005C5C92"/>
    <w:rsid w:val="005C6E04"/>
    <w:rsid w:val="005C75AD"/>
    <w:rsid w:val="005C760E"/>
    <w:rsid w:val="005C7E1F"/>
    <w:rsid w:val="005C7E9E"/>
    <w:rsid w:val="005C7EA5"/>
    <w:rsid w:val="005D0BBE"/>
    <w:rsid w:val="005D0E62"/>
    <w:rsid w:val="005D0F3D"/>
    <w:rsid w:val="005D18C9"/>
    <w:rsid w:val="005D1B72"/>
    <w:rsid w:val="005D218B"/>
    <w:rsid w:val="005D2471"/>
    <w:rsid w:val="005D25A3"/>
    <w:rsid w:val="005D2779"/>
    <w:rsid w:val="005D29EF"/>
    <w:rsid w:val="005D3242"/>
    <w:rsid w:val="005D41F2"/>
    <w:rsid w:val="005D4749"/>
    <w:rsid w:val="005D53AB"/>
    <w:rsid w:val="005D5C09"/>
    <w:rsid w:val="005D5ED1"/>
    <w:rsid w:val="005D610C"/>
    <w:rsid w:val="005D6EDE"/>
    <w:rsid w:val="005D74E7"/>
    <w:rsid w:val="005D76E6"/>
    <w:rsid w:val="005D7F7B"/>
    <w:rsid w:val="005E214A"/>
    <w:rsid w:val="005E273D"/>
    <w:rsid w:val="005E2B35"/>
    <w:rsid w:val="005E2DBC"/>
    <w:rsid w:val="005E3369"/>
    <w:rsid w:val="005E343C"/>
    <w:rsid w:val="005E3BCD"/>
    <w:rsid w:val="005E4A87"/>
    <w:rsid w:val="005E4B9B"/>
    <w:rsid w:val="005E4BC8"/>
    <w:rsid w:val="005E4DA5"/>
    <w:rsid w:val="005E4DAD"/>
    <w:rsid w:val="005E503E"/>
    <w:rsid w:val="005E57D1"/>
    <w:rsid w:val="005E59C7"/>
    <w:rsid w:val="005E5E7B"/>
    <w:rsid w:val="005E5F03"/>
    <w:rsid w:val="005E6095"/>
    <w:rsid w:val="005E6A3F"/>
    <w:rsid w:val="005E6A82"/>
    <w:rsid w:val="005E6DB8"/>
    <w:rsid w:val="005E7228"/>
    <w:rsid w:val="005E7284"/>
    <w:rsid w:val="005E7851"/>
    <w:rsid w:val="005E7BAC"/>
    <w:rsid w:val="005F0924"/>
    <w:rsid w:val="005F0E5C"/>
    <w:rsid w:val="005F0E65"/>
    <w:rsid w:val="005F134E"/>
    <w:rsid w:val="005F1365"/>
    <w:rsid w:val="005F2C1F"/>
    <w:rsid w:val="005F2E44"/>
    <w:rsid w:val="005F3690"/>
    <w:rsid w:val="005F3910"/>
    <w:rsid w:val="005F3970"/>
    <w:rsid w:val="005F3986"/>
    <w:rsid w:val="005F4C57"/>
    <w:rsid w:val="005F54E9"/>
    <w:rsid w:val="005F6774"/>
    <w:rsid w:val="005F6A2E"/>
    <w:rsid w:val="005F79AA"/>
    <w:rsid w:val="0060044B"/>
    <w:rsid w:val="00600828"/>
    <w:rsid w:val="00600BA1"/>
    <w:rsid w:val="00600DCB"/>
    <w:rsid w:val="006013D7"/>
    <w:rsid w:val="006014DB"/>
    <w:rsid w:val="00601587"/>
    <w:rsid w:val="00602079"/>
    <w:rsid w:val="006022F3"/>
    <w:rsid w:val="00602579"/>
    <w:rsid w:val="00602BA4"/>
    <w:rsid w:val="00602DA2"/>
    <w:rsid w:val="00602FF4"/>
    <w:rsid w:val="00603228"/>
    <w:rsid w:val="00604ACD"/>
    <w:rsid w:val="00604C15"/>
    <w:rsid w:val="00604DC2"/>
    <w:rsid w:val="00605451"/>
    <w:rsid w:val="006054EA"/>
    <w:rsid w:val="00605597"/>
    <w:rsid w:val="006060C4"/>
    <w:rsid w:val="00607C35"/>
    <w:rsid w:val="00610023"/>
    <w:rsid w:val="00610B76"/>
    <w:rsid w:val="00611777"/>
    <w:rsid w:val="0061189F"/>
    <w:rsid w:val="00612124"/>
    <w:rsid w:val="0061219B"/>
    <w:rsid w:val="00612636"/>
    <w:rsid w:val="00612D05"/>
    <w:rsid w:val="006132CF"/>
    <w:rsid w:val="00613607"/>
    <w:rsid w:val="006136CA"/>
    <w:rsid w:val="00613FB6"/>
    <w:rsid w:val="006140C6"/>
    <w:rsid w:val="00614134"/>
    <w:rsid w:val="00614241"/>
    <w:rsid w:val="0061428D"/>
    <w:rsid w:val="00614309"/>
    <w:rsid w:val="00615411"/>
    <w:rsid w:val="0061599E"/>
    <w:rsid w:val="00615AC7"/>
    <w:rsid w:val="006162E6"/>
    <w:rsid w:val="00616475"/>
    <w:rsid w:val="006171A5"/>
    <w:rsid w:val="00617B24"/>
    <w:rsid w:val="00617C28"/>
    <w:rsid w:val="00620309"/>
    <w:rsid w:val="00620603"/>
    <w:rsid w:val="0062159D"/>
    <w:rsid w:val="00621680"/>
    <w:rsid w:val="00621A8C"/>
    <w:rsid w:val="00621DB0"/>
    <w:rsid w:val="00621EC5"/>
    <w:rsid w:val="006223E0"/>
    <w:rsid w:val="006224D0"/>
    <w:rsid w:val="00622BCE"/>
    <w:rsid w:val="00622E29"/>
    <w:rsid w:val="006234D8"/>
    <w:rsid w:val="00623568"/>
    <w:rsid w:val="00623643"/>
    <w:rsid w:val="00624018"/>
    <w:rsid w:val="006240C4"/>
    <w:rsid w:val="0062421D"/>
    <w:rsid w:val="00624643"/>
    <w:rsid w:val="00625251"/>
    <w:rsid w:val="00625304"/>
    <w:rsid w:val="0062552E"/>
    <w:rsid w:val="0062581B"/>
    <w:rsid w:val="00625D32"/>
    <w:rsid w:val="006261F4"/>
    <w:rsid w:val="00630402"/>
    <w:rsid w:val="0063164E"/>
    <w:rsid w:val="0063191D"/>
    <w:rsid w:val="006320EC"/>
    <w:rsid w:val="0063235B"/>
    <w:rsid w:val="00633461"/>
    <w:rsid w:val="00633488"/>
    <w:rsid w:val="00633581"/>
    <w:rsid w:val="006339AF"/>
    <w:rsid w:val="00633C47"/>
    <w:rsid w:val="006348F7"/>
    <w:rsid w:val="0063512D"/>
    <w:rsid w:val="00635576"/>
    <w:rsid w:val="006358FB"/>
    <w:rsid w:val="00635AE2"/>
    <w:rsid w:val="00635BE0"/>
    <w:rsid w:val="00635E1E"/>
    <w:rsid w:val="00636008"/>
    <w:rsid w:val="0063677C"/>
    <w:rsid w:val="00636972"/>
    <w:rsid w:val="00636B69"/>
    <w:rsid w:val="00636BC2"/>
    <w:rsid w:val="00637A52"/>
    <w:rsid w:val="006404D1"/>
    <w:rsid w:val="00640F43"/>
    <w:rsid w:val="006412CA"/>
    <w:rsid w:val="006413CA"/>
    <w:rsid w:val="00641405"/>
    <w:rsid w:val="0064142D"/>
    <w:rsid w:val="00641C2B"/>
    <w:rsid w:val="00641DCD"/>
    <w:rsid w:val="006420DA"/>
    <w:rsid w:val="00642573"/>
    <w:rsid w:val="00642A0A"/>
    <w:rsid w:val="00642E74"/>
    <w:rsid w:val="00643AC1"/>
    <w:rsid w:val="00643BD7"/>
    <w:rsid w:val="00643D62"/>
    <w:rsid w:val="00644A5E"/>
    <w:rsid w:val="00644A6C"/>
    <w:rsid w:val="00644D69"/>
    <w:rsid w:val="006457A8"/>
    <w:rsid w:val="00645EA0"/>
    <w:rsid w:val="00645F76"/>
    <w:rsid w:val="0064611C"/>
    <w:rsid w:val="006468D7"/>
    <w:rsid w:val="00646EB0"/>
    <w:rsid w:val="00647069"/>
    <w:rsid w:val="0064714D"/>
    <w:rsid w:val="0064727D"/>
    <w:rsid w:val="00647B32"/>
    <w:rsid w:val="00647C27"/>
    <w:rsid w:val="00650223"/>
    <w:rsid w:val="00650D47"/>
    <w:rsid w:val="00651807"/>
    <w:rsid w:val="006519E6"/>
    <w:rsid w:val="00651BCC"/>
    <w:rsid w:val="00651CDE"/>
    <w:rsid w:val="00652326"/>
    <w:rsid w:val="00652907"/>
    <w:rsid w:val="0065295D"/>
    <w:rsid w:val="00652E06"/>
    <w:rsid w:val="00653DAB"/>
    <w:rsid w:val="00653FC4"/>
    <w:rsid w:val="00654F91"/>
    <w:rsid w:val="00655361"/>
    <w:rsid w:val="00655AE6"/>
    <w:rsid w:val="0065607C"/>
    <w:rsid w:val="00656253"/>
    <w:rsid w:val="0065651F"/>
    <w:rsid w:val="00656799"/>
    <w:rsid w:val="00656B77"/>
    <w:rsid w:val="00656E72"/>
    <w:rsid w:val="0065736B"/>
    <w:rsid w:val="006578A1"/>
    <w:rsid w:val="006601AC"/>
    <w:rsid w:val="0066023B"/>
    <w:rsid w:val="0066025B"/>
    <w:rsid w:val="00660864"/>
    <w:rsid w:val="006609E2"/>
    <w:rsid w:val="0066137B"/>
    <w:rsid w:val="0066174E"/>
    <w:rsid w:val="00661BBB"/>
    <w:rsid w:val="00661E57"/>
    <w:rsid w:val="00662253"/>
    <w:rsid w:val="00662641"/>
    <w:rsid w:val="006629E4"/>
    <w:rsid w:val="00662EA1"/>
    <w:rsid w:val="00663783"/>
    <w:rsid w:val="00663E47"/>
    <w:rsid w:val="006644A7"/>
    <w:rsid w:val="00664ACD"/>
    <w:rsid w:val="00664BDE"/>
    <w:rsid w:val="0066565B"/>
    <w:rsid w:val="00665C44"/>
    <w:rsid w:val="00665D54"/>
    <w:rsid w:val="00665E80"/>
    <w:rsid w:val="00666077"/>
    <w:rsid w:val="00666284"/>
    <w:rsid w:val="006667F3"/>
    <w:rsid w:val="006667F7"/>
    <w:rsid w:val="00666E93"/>
    <w:rsid w:val="0066788B"/>
    <w:rsid w:val="00667AEA"/>
    <w:rsid w:val="00667C29"/>
    <w:rsid w:val="00667DC7"/>
    <w:rsid w:val="00667F81"/>
    <w:rsid w:val="006704FA"/>
    <w:rsid w:val="00670687"/>
    <w:rsid w:val="00670BAC"/>
    <w:rsid w:val="00670CD0"/>
    <w:rsid w:val="00670DC5"/>
    <w:rsid w:val="00671652"/>
    <w:rsid w:val="00671FAA"/>
    <w:rsid w:val="00674A6F"/>
    <w:rsid w:val="00675DA5"/>
    <w:rsid w:val="00676B49"/>
    <w:rsid w:val="00680482"/>
    <w:rsid w:val="00680538"/>
    <w:rsid w:val="006808DC"/>
    <w:rsid w:val="00681074"/>
    <w:rsid w:val="006814F7"/>
    <w:rsid w:val="006816B6"/>
    <w:rsid w:val="00681ED4"/>
    <w:rsid w:val="006820EB"/>
    <w:rsid w:val="00682128"/>
    <w:rsid w:val="0068220C"/>
    <w:rsid w:val="00682AB1"/>
    <w:rsid w:val="00682E9F"/>
    <w:rsid w:val="00683252"/>
    <w:rsid w:val="0068343A"/>
    <w:rsid w:val="00683448"/>
    <w:rsid w:val="006834D4"/>
    <w:rsid w:val="00683716"/>
    <w:rsid w:val="0068413D"/>
    <w:rsid w:val="006844BA"/>
    <w:rsid w:val="006845A2"/>
    <w:rsid w:val="00684BF8"/>
    <w:rsid w:val="00684D9B"/>
    <w:rsid w:val="0068550E"/>
    <w:rsid w:val="006858AA"/>
    <w:rsid w:val="00685BCF"/>
    <w:rsid w:val="00685D0E"/>
    <w:rsid w:val="00686094"/>
    <w:rsid w:val="0068712F"/>
    <w:rsid w:val="006871D0"/>
    <w:rsid w:val="0068751F"/>
    <w:rsid w:val="006900D1"/>
    <w:rsid w:val="00690297"/>
    <w:rsid w:val="00690954"/>
    <w:rsid w:val="00690A2B"/>
    <w:rsid w:val="0069115A"/>
    <w:rsid w:val="006912F1"/>
    <w:rsid w:val="00691387"/>
    <w:rsid w:val="006917D0"/>
    <w:rsid w:val="00691E00"/>
    <w:rsid w:val="006921BD"/>
    <w:rsid w:val="006927F2"/>
    <w:rsid w:val="006931E1"/>
    <w:rsid w:val="00693345"/>
    <w:rsid w:val="00694310"/>
    <w:rsid w:val="00694700"/>
    <w:rsid w:val="00694803"/>
    <w:rsid w:val="00694CE8"/>
    <w:rsid w:val="0069569E"/>
    <w:rsid w:val="006956C6"/>
    <w:rsid w:val="0069636F"/>
    <w:rsid w:val="00696EE3"/>
    <w:rsid w:val="0069715D"/>
    <w:rsid w:val="00697392"/>
    <w:rsid w:val="006973E5"/>
    <w:rsid w:val="00697664"/>
    <w:rsid w:val="00697681"/>
    <w:rsid w:val="0069770C"/>
    <w:rsid w:val="00697ACD"/>
    <w:rsid w:val="006A08F2"/>
    <w:rsid w:val="006A151A"/>
    <w:rsid w:val="006A156D"/>
    <w:rsid w:val="006A1E62"/>
    <w:rsid w:val="006A2A12"/>
    <w:rsid w:val="006A2E9C"/>
    <w:rsid w:val="006A35E0"/>
    <w:rsid w:val="006A377F"/>
    <w:rsid w:val="006A384A"/>
    <w:rsid w:val="006A3875"/>
    <w:rsid w:val="006A3D40"/>
    <w:rsid w:val="006A3DF3"/>
    <w:rsid w:val="006A5141"/>
    <w:rsid w:val="006A561D"/>
    <w:rsid w:val="006A5A0C"/>
    <w:rsid w:val="006A5BA0"/>
    <w:rsid w:val="006A5BB1"/>
    <w:rsid w:val="006A5D57"/>
    <w:rsid w:val="006A5F88"/>
    <w:rsid w:val="006A62B9"/>
    <w:rsid w:val="006A6878"/>
    <w:rsid w:val="006A694C"/>
    <w:rsid w:val="006A6AB7"/>
    <w:rsid w:val="006A7D95"/>
    <w:rsid w:val="006B009B"/>
    <w:rsid w:val="006B0230"/>
    <w:rsid w:val="006B0974"/>
    <w:rsid w:val="006B120D"/>
    <w:rsid w:val="006B13C1"/>
    <w:rsid w:val="006B19C3"/>
    <w:rsid w:val="006B1B50"/>
    <w:rsid w:val="006B1FBD"/>
    <w:rsid w:val="006B2CC7"/>
    <w:rsid w:val="006B393E"/>
    <w:rsid w:val="006B3AD6"/>
    <w:rsid w:val="006B3AF9"/>
    <w:rsid w:val="006B3C6F"/>
    <w:rsid w:val="006B44A3"/>
    <w:rsid w:val="006B44C5"/>
    <w:rsid w:val="006B464E"/>
    <w:rsid w:val="006B4909"/>
    <w:rsid w:val="006B4C2D"/>
    <w:rsid w:val="006B555F"/>
    <w:rsid w:val="006B61B6"/>
    <w:rsid w:val="006B6242"/>
    <w:rsid w:val="006B686C"/>
    <w:rsid w:val="006B6C7C"/>
    <w:rsid w:val="006B6EA4"/>
    <w:rsid w:val="006B6F19"/>
    <w:rsid w:val="006B73C1"/>
    <w:rsid w:val="006B77BB"/>
    <w:rsid w:val="006B7A30"/>
    <w:rsid w:val="006B7F8F"/>
    <w:rsid w:val="006B7FC5"/>
    <w:rsid w:val="006C055E"/>
    <w:rsid w:val="006C0CCE"/>
    <w:rsid w:val="006C0D13"/>
    <w:rsid w:val="006C0DF2"/>
    <w:rsid w:val="006C12CF"/>
    <w:rsid w:val="006C187F"/>
    <w:rsid w:val="006C19BC"/>
    <w:rsid w:val="006C19D5"/>
    <w:rsid w:val="006C1B44"/>
    <w:rsid w:val="006C1F77"/>
    <w:rsid w:val="006C2211"/>
    <w:rsid w:val="006C2EF0"/>
    <w:rsid w:val="006C3031"/>
    <w:rsid w:val="006C3607"/>
    <w:rsid w:val="006C3990"/>
    <w:rsid w:val="006C3A44"/>
    <w:rsid w:val="006C3C8E"/>
    <w:rsid w:val="006C3ED2"/>
    <w:rsid w:val="006C4233"/>
    <w:rsid w:val="006C42E7"/>
    <w:rsid w:val="006C4422"/>
    <w:rsid w:val="006C4F95"/>
    <w:rsid w:val="006C5CCA"/>
    <w:rsid w:val="006C625F"/>
    <w:rsid w:val="006C717A"/>
    <w:rsid w:val="006C78A6"/>
    <w:rsid w:val="006C79D6"/>
    <w:rsid w:val="006C7AB4"/>
    <w:rsid w:val="006D006B"/>
    <w:rsid w:val="006D0FCF"/>
    <w:rsid w:val="006D105C"/>
    <w:rsid w:val="006D17BB"/>
    <w:rsid w:val="006D17E2"/>
    <w:rsid w:val="006D1985"/>
    <w:rsid w:val="006D2CD0"/>
    <w:rsid w:val="006D30E7"/>
    <w:rsid w:val="006D319F"/>
    <w:rsid w:val="006D3DD4"/>
    <w:rsid w:val="006D42D7"/>
    <w:rsid w:val="006D4477"/>
    <w:rsid w:val="006D4638"/>
    <w:rsid w:val="006D48E7"/>
    <w:rsid w:val="006D4947"/>
    <w:rsid w:val="006D55B1"/>
    <w:rsid w:val="006D5F16"/>
    <w:rsid w:val="006D60B6"/>
    <w:rsid w:val="006D6274"/>
    <w:rsid w:val="006D63AD"/>
    <w:rsid w:val="006D6764"/>
    <w:rsid w:val="006D67D9"/>
    <w:rsid w:val="006D68D3"/>
    <w:rsid w:val="006D6C93"/>
    <w:rsid w:val="006D7573"/>
    <w:rsid w:val="006D78AA"/>
    <w:rsid w:val="006D7F47"/>
    <w:rsid w:val="006E0340"/>
    <w:rsid w:val="006E06F9"/>
    <w:rsid w:val="006E07A9"/>
    <w:rsid w:val="006E0D91"/>
    <w:rsid w:val="006E1706"/>
    <w:rsid w:val="006E1B66"/>
    <w:rsid w:val="006E362F"/>
    <w:rsid w:val="006E3938"/>
    <w:rsid w:val="006E3CB2"/>
    <w:rsid w:val="006E3DA8"/>
    <w:rsid w:val="006E40F8"/>
    <w:rsid w:val="006E484E"/>
    <w:rsid w:val="006E4CA3"/>
    <w:rsid w:val="006E5DAA"/>
    <w:rsid w:val="006E6614"/>
    <w:rsid w:val="006E7006"/>
    <w:rsid w:val="006E7178"/>
    <w:rsid w:val="006E777F"/>
    <w:rsid w:val="006F00E7"/>
    <w:rsid w:val="006F0C96"/>
    <w:rsid w:val="006F0F6E"/>
    <w:rsid w:val="006F0FCF"/>
    <w:rsid w:val="006F1B22"/>
    <w:rsid w:val="006F1BA4"/>
    <w:rsid w:val="006F1DC0"/>
    <w:rsid w:val="006F2259"/>
    <w:rsid w:val="006F23E1"/>
    <w:rsid w:val="006F2C7C"/>
    <w:rsid w:val="006F2F8F"/>
    <w:rsid w:val="006F2FDA"/>
    <w:rsid w:val="006F2FE5"/>
    <w:rsid w:val="006F300B"/>
    <w:rsid w:val="006F3460"/>
    <w:rsid w:val="006F34FE"/>
    <w:rsid w:val="006F3615"/>
    <w:rsid w:val="006F36BE"/>
    <w:rsid w:val="006F3B34"/>
    <w:rsid w:val="006F3FA3"/>
    <w:rsid w:val="006F48BA"/>
    <w:rsid w:val="006F4AF9"/>
    <w:rsid w:val="006F50B6"/>
    <w:rsid w:val="006F54EB"/>
    <w:rsid w:val="006F5CC1"/>
    <w:rsid w:val="006F65C4"/>
    <w:rsid w:val="006F67A5"/>
    <w:rsid w:val="006F68AB"/>
    <w:rsid w:val="006F695E"/>
    <w:rsid w:val="006F6E2F"/>
    <w:rsid w:val="006F762D"/>
    <w:rsid w:val="007002D6"/>
    <w:rsid w:val="00700492"/>
    <w:rsid w:val="00700B35"/>
    <w:rsid w:val="0070126D"/>
    <w:rsid w:val="00701287"/>
    <w:rsid w:val="0070167E"/>
    <w:rsid w:val="00701E1B"/>
    <w:rsid w:val="00702169"/>
    <w:rsid w:val="00702ED0"/>
    <w:rsid w:val="00703C09"/>
    <w:rsid w:val="00703F2A"/>
    <w:rsid w:val="00704218"/>
    <w:rsid w:val="0070434A"/>
    <w:rsid w:val="0070456E"/>
    <w:rsid w:val="007048C4"/>
    <w:rsid w:val="00704B5F"/>
    <w:rsid w:val="00704CC4"/>
    <w:rsid w:val="00705320"/>
    <w:rsid w:val="00705345"/>
    <w:rsid w:val="007054A7"/>
    <w:rsid w:val="00705ED8"/>
    <w:rsid w:val="0070638D"/>
    <w:rsid w:val="00706DBF"/>
    <w:rsid w:val="00707A59"/>
    <w:rsid w:val="00707D5B"/>
    <w:rsid w:val="00707E81"/>
    <w:rsid w:val="0071046B"/>
    <w:rsid w:val="00710AC6"/>
    <w:rsid w:val="00710C1D"/>
    <w:rsid w:val="007110A3"/>
    <w:rsid w:val="00711108"/>
    <w:rsid w:val="00711213"/>
    <w:rsid w:val="007112A1"/>
    <w:rsid w:val="00711996"/>
    <w:rsid w:val="00711B3B"/>
    <w:rsid w:val="00711BA3"/>
    <w:rsid w:val="00711C9D"/>
    <w:rsid w:val="00711CC7"/>
    <w:rsid w:val="007121C5"/>
    <w:rsid w:val="007123E1"/>
    <w:rsid w:val="00712B71"/>
    <w:rsid w:val="00712E55"/>
    <w:rsid w:val="00713023"/>
    <w:rsid w:val="0071322C"/>
    <w:rsid w:val="00713779"/>
    <w:rsid w:val="00713989"/>
    <w:rsid w:val="00713DCF"/>
    <w:rsid w:val="00714004"/>
    <w:rsid w:val="0071458E"/>
    <w:rsid w:val="007145C9"/>
    <w:rsid w:val="00714631"/>
    <w:rsid w:val="00714B6E"/>
    <w:rsid w:val="0071512F"/>
    <w:rsid w:val="00716572"/>
    <w:rsid w:val="007169AC"/>
    <w:rsid w:val="007169DD"/>
    <w:rsid w:val="00717679"/>
    <w:rsid w:val="00717B67"/>
    <w:rsid w:val="007206A2"/>
    <w:rsid w:val="0072096C"/>
    <w:rsid w:val="00720B38"/>
    <w:rsid w:val="00720CA7"/>
    <w:rsid w:val="0072101C"/>
    <w:rsid w:val="0072112E"/>
    <w:rsid w:val="00721409"/>
    <w:rsid w:val="0072147B"/>
    <w:rsid w:val="0072181E"/>
    <w:rsid w:val="00722267"/>
    <w:rsid w:val="0072285E"/>
    <w:rsid w:val="00722C62"/>
    <w:rsid w:val="0072321F"/>
    <w:rsid w:val="00723295"/>
    <w:rsid w:val="007238E2"/>
    <w:rsid w:val="0072390B"/>
    <w:rsid w:val="007239B4"/>
    <w:rsid w:val="00723CC0"/>
    <w:rsid w:val="00724446"/>
    <w:rsid w:val="00724584"/>
    <w:rsid w:val="007246ED"/>
    <w:rsid w:val="00724AA1"/>
    <w:rsid w:val="00724D39"/>
    <w:rsid w:val="0072525E"/>
    <w:rsid w:val="0072541B"/>
    <w:rsid w:val="00725A19"/>
    <w:rsid w:val="00725DE4"/>
    <w:rsid w:val="00726356"/>
    <w:rsid w:val="007264F2"/>
    <w:rsid w:val="007268C7"/>
    <w:rsid w:val="00726A7A"/>
    <w:rsid w:val="00726AAB"/>
    <w:rsid w:val="00727077"/>
    <w:rsid w:val="00727776"/>
    <w:rsid w:val="00727AF8"/>
    <w:rsid w:val="00727BE8"/>
    <w:rsid w:val="00730EA6"/>
    <w:rsid w:val="00731C15"/>
    <w:rsid w:val="00731C61"/>
    <w:rsid w:val="00732045"/>
    <w:rsid w:val="007321E5"/>
    <w:rsid w:val="007322A0"/>
    <w:rsid w:val="00732C1A"/>
    <w:rsid w:val="00732CD5"/>
    <w:rsid w:val="00732FC1"/>
    <w:rsid w:val="00733CDC"/>
    <w:rsid w:val="0073433A"/>
    <w:rsid w:val="00734782"/>
    <w:rsid w:val="00734B9A"/>
    <w:rsid w:val="00734E8F"/>
    <w:rsid w:val="00734F81"/>
    <w:rsid w:val="00735695"/>
    <w:rsid w:val="007358FE"/>
    <w:rsid w:val="007360CB"/>
    <w:rsid w:val="00736A79"/>
    <w:rsid w:val="00737566"/>
    <w:rsid w:val="00737783"/>
    <w:rsid w:val="00737ADF"/>
    <w:rsid w:val="00740D7F"/>
    <w:rsid w:val="00740DF7"/>
    <w:rsid w:val="007410D5"/>
    <w:rsid w:val="007411F2"/>
    <w:rsid w:val="00741BA2"/>
    <w:rsid w:val="00741CF4"/>
    <w:rsid w:val="00741DCC"/>
    <w:rsid w:val="00741DE2"/>
    <w:rsid w:val="007421A1"/>
    <w:rsid w:val="007427FE"/>
    <w:rsid w:val="00742C51"/>
    <w:rsid w:val="00743445"/>
    <w:rsid w:val="00744552"/>
    <w:rsid w:val="0074498C"/>
    <w:rsid w:val="00744BFD"/>
    <w:rsid w:val="00744F3E"/>
    <w:rsid w:val="00745578"/>
    <w:rsid w:val="00745891"/>
    <w:rsid w:val="00745E01"/>
    <w:rsid w:val="0074666B"/>
    <w:rsid w:val="007468D6"/>
    <w:rsid w:val="00746BFF"/>
    <w:rsid w:val="007473E1"/>
    <w:rsid w:val="00747897"/>
    <w:rsid w:val="00747E47"/>
    <w:rsid w:val="00747F3F"/>
    <w:rsid w:val="00747F92"/>
    <w:rsid w:val="00750192"/>
    <w:rsid w:val="007504E1"/>
    <w:rsid w:val="00750544"/>
    <w:rsid w:val="00750804"/>
    <w:rsid w:val="007509AB"/>
    <w:rsid w:val="007515DC"/>
    <w:rsid w:val="00751689"/>
    <w:rsid w:val="007518E2"/>
    <w:rsid w:val="00751EDF"/>
    <w:rsid w:val="007524AA"/>
    <w:rsid w:val="00752A57"/>
    <w:rsid w:val="00752AF6"/>
    <w:rsid w:val="0075318B"/>
    <w:rsid w:val="00753213"/>
    <w:rsid w:val="0075321D"/>
    <w:rsid w:val="00753744"/>
    <w:rsid w:val="00753995"/>
    <w:rsid w:val="00753A93"/>
    <w:rsid w:val="00754F24"/>
    <w:rsid w:val="00755663"/>
    <w:rsid w:val="00755A22"/>
    <w:rsid w:val="00756386"/>
    <w:rsid w:val="00756477"/>
    <w:rsid w:val="00756603"/>
    <w:rsid w:val="0075676E"/>
    <w:rsid w:val="0075755E"/>
    <w:rsid w:val="007575C0"/>
    <w:rsid w:val="0075775B"/>
    <w:rsid w:val="00757D2F"/>
    <w:rsid w:val="0076000E"/>
    <w:rsid w:val="00760156"/>
    <w:rsid w:val="00760B38"/>
    <w:rsid w:val="00760C00"/>
    <w:rsid w:val="00760CD0"/>
    <w:rsid w:val="007610E9"/>
    <w:rsid w:val="00761728"/>
    <w:rsid w:val="00761C6C"/>
    <w:rsid w:val="00761DAE"/>
    <w:rsid w:val="00762B72"/>
    <w:rsid w:val="00762CA4"/>
    <w:rsid w:val="00763CCB"/>
    <w:rsid w:val="00764288"/>
    <w:rsid w:val="007642B4"/>
    <w:rsid w:val="007648C7"/>
    <w:rsid w:val="00764C45"/>
    <w:rsid w:val="00765582"/>
    <w:rsid w:val="00765DF7"/>
    <w:rsid w:val="00766277"/>
    <w:rsid w:val="0076644A"/>
    <w:rsid w:val="0076656A"/>
    <w:rsid w:val="00766701"/>
    <w:rsid w:val="00766911"/>
    <w:rsid w:val="00767793"/>
    <w:rsid w:val="007677B4"/>
    <w:rsid w:val="00767963"/>
    <w:rsid w:val="007679D8"/>
    <w:rsid w:val="00767B03"/>
    <w:rsid w:val="00770166"/>
    <w:rsid w:val="00770803"/>
    <w:rsid w:val="00771319"/>
    <w:rsid w:val="007713E8"/>
    <w:rsid w:val="00771794"/>
    <w:rsid w:val="007718B1"/>
    <w:rsid w:val="00771CCF"/>
    <w:rsid w:val="00771F7D"/>
    <w:rsid w:val="007722C6"/>
    <w:rsid w:val="00772B36"/>
    <w:rsid w:val="00772C3E"/>
    <w:rsid w:val="007731CD"/>
    <w:rsid w:val="00773269"/>
    <w:rsid w:val="007736E8"/>
    <w:rsid w:val="007740CF"/>
    <w:rsid w:val="00774585"/>
    <w:rsid w:val="00774ACE"/>
    <w:rsid w:val="00775823"/>
    <w:rsid w:val="00775F57"/>
    <w:rsid w:val="007761A9"/>
    <w:rsid w:val="00776584"/>
    <w:rsid w:val="007769EF"/>
    <w:rsid w:val="00776D4F"/>
    <w:rsid w:val="00776DDC"/>
    <w:rsid w:val="007770F9"/>
    <w:rsid w:val="00777179"/>
    <w:rsid w:val="00777945"/>
    <w:rsid w:val="007779F1"/>
    <w:rsid w:val="00777D40"/>
    <w:rsid w:val="007809F9"/>
    <w:rsid w:val="00780ADD"/>
    <w:rsid w:val="00780B8D"/>
    <w:rsid w:val="00780B8E"/>
    <w:rsid w:val="00780E9B"/>
    <w:rsid w:val="00781649"/>
    <w:rsid w:val="0078217F"/>
    <w:rsid w:val="007823D6"/>
    <w:rsid w:val="0078254E"/>
    <w:rsid w:val="0078258C"/>
    <w:rsid w:val="00782628"/>
    <w:rsid w:val="007826AB"/>
    <w:rsid w:val="007840E2"/>
    <w:rsid w:val="007845AD"/>
    <w:rsid w:val="0078493C"/>
    <w:rsid w:val="0078569F"/>
    <w:rsid w:val="00785803"/>
    <w:rsid w:val="00785E12"/>
    <w:rsid w:val="00785EB4"/>
    <w:rsid w:val="0078609A"/>
    <w:rsid w:val="00786435"/>
    <w:rsid w:val="0078648B"/>
    <w:rsid w:val="00786B31"/>
    <w:rsid w:val="00786F85"/>
    <w:rsid w:val="0078731A"/>
    <w:rsid w:val="00787476"/>
    <w:rsid w:val="00787487"/>
    <w:rsid w:val="00787FAD"/>
    <w:rsid w:val="00790549"/>
    <w:rsid w:val="00790663"/>
    <w:rsid w:val="007906F1"/>
    <w:rsid w:val="00790AD6"/>
    <w:rsid w:val="00790C91"/>
    <w:rsid w:val="00790EDA"/>
    <w:rsid w:val="00791349"/>
    <w:rsid w:val="00791D85"/>
    <w:rsid w:val="00791DAF"/>
    <w:rsid w:val="007924CA"/>
    <w:rsid w:val="00793782"/>
    <w:rsid w:val="00793FB9"/>
    <w:rsid w:val="0079453C"/>
    <w:rsid w:val="00794CBF"/>
    <w:rsid w:val="0079518B"/>
    <w:rsid w:val="00795365"/>
    <w:rsid w:val="0079567E"/>
    <w:rsid w:val="007961D5"/>
    <w:rsid w:val="00796A6F"/>
    <w:rsid w:val="00796AEB"/>
    <w:rsid w:val="00796C5D"/>
    <w:rsid w:val="00797124"/>
    <w:rsid w:val="00797B06"/>
    <w:rsid w:val="00797B9C"/>
    <w:rsid w:val="007A016B"/>
    <w:rsid w:val="007A0483"/>
    <w:rsid w:val="007A095C"/>
    <w:rsid w:val="007A0B25"/>
    <w:rsid w:val="007A1065"/>
    <w:rsid w:val="007A1D86"/>
    <w:rsid w:val="007A294C"/>
    <w:rsid w:val="007A2A97"/>
    <w:rsid w:val="007A2CDC"/>
    <w:rsid w:val="007A34C1"/>
    <w:rsid w:val="007A371B"/>
    <w:rsid w:val="007A3832"/>
    <w:rsid w:val="007A3A0F"/>
    <w:rsid w:val="007A3A6C"/>
    <w:rsid w:val="007A3D03"/>
    <w:rsid w:val="007A3E60"/>
    <w:rsid w:val="007A407D"/>
    <w:rsid w:val="007A464F"/>
    <w:rsid w:val="007A4F4B"/>
    <w:rsid w:val="007A6196"/>
    <w:rsid w:val="007A63D5"/>
    <w:rsid w:val="007A689A"/>
    <w:rsid w:val="007A68EA"/>
    <w:rsid w:val="007A6B7D"/>
    <w:rsid w:val="007A7629"/>
    <w:rsid w:val="007B05A3"/>
    <w:rsid w:val="007B1027"/>
    <w:rsid w:val="007B1691"/>
    <w:rsid w:val="007B174F"/>
    <w:rsid w:val="007B1863"/>
    <w:rsid w:val="007B1898"/>
    <w:rsid w:val="007B22E0"/>
    <w:rsid w:val="007B2849"/>
    <w:rsid w:val="007B28CA"/>
    <w:rsid w:val="007B358D"/>
    <w:rsid w:val="007B4F00"/>
    <w:rsid w:val="007B52F1"/>
    <w:rsid w:val="007B5401"/>
    <w:rsid w:val="007B5C00"/>
    <w:rsid w:val="007B5FB4"/>
    <w:rsid w:val="007B6B2B"/>
    <w:rsid w:val="007B6C3A"/>
    <w:rsid w:val="007B7949"/>
    <w:rsid w:val="007B7D30"/>
    <w:rsid w:val="007C0886"/>
    <w:rsid w:val="007C0CF7"/>
    <w:rsid w:val="007C0FA9"/>
    <w:rsid w:val="007C2413"/>
    <w:rsid w:val="007C2557"/>
    <w:rsid w:val="007C25AE"/>
    <w:rsid w:val="007C3152"/>
    <w:rsid w:val="007C333B"/>
    <w:rsid w:val="007C3914"/>
    <w:rsid w:val="007C3CEA"/>
    <w:rsid w:val="007C3D92"/>
    <w:rsid w:val="007C3E98"/>
    <w:rsid w:val="007C46F6"/>
    <w:rsid w:val="007C483F"/>
    <w:rsid w:val="007C5A8F"/>
    <w:rsid w:val="007C5B38"/>
    <w:rsid w:val="007C76E8"/>
    <w:rsid w:val="007C79F2"/>
    <w:rsid w:val="007D01E6"/>
    <w:rsid w:val="007D035E"/>
    <w:rsid w:val="007D0396"/>
    <w:rsid w:val="007D045F"/>
    <w:rsid w:val="007D0644"/>
    <w:rsid w:val="007D0FDE"/>
    <w:rsid w:val="007D1801"/>
    <w:rsid w:val="007D1C03"/>
    <w:rsid w:val="007D1FE0"/>
    <w:rsid w:val="007D20BB"/>
    <w:rsid w:val="007D261E"/>
    <w:rsid w:val="007D26CB"/>
    <w:rsid w:val="007D277D"/>
    <w:rsid w:val="007D2F61"/>
    <w:rsid w:val="007D3004"/>
    <w:rsid w:val="007D3D0E"/>
    <w:rsid w:val="007D3D33"/>
    <w:rsid w:val="007D41C2"/>
    <w:rsid w:val="007D4819"/>
    <w:rsid w:val="007D4F02"/>
    <w:rsid w:val="007D674C"/>
    <w:rsid w:val="007D6B7B"/>
    <w:rsid w:val="007D6CF1"/>
    <w:rsid w:val="007D7131"/>
    <w:rsid w:val="007D7BEC"/>
    <w:rsid w:val="007D7CE3"/>
    <w:rsid w:val="007E0133"/>
    <w:rsid w:val="007E051A"/>
    <w:rsid w:val="007E0798"/>
    <w:rsid w:val="007E1047"/>
    <w:rsid w:val="007E170A"/>
    <w:rsid w:val="007E1B72"/>
    <w:rsid w:val="007E3EE3"/>
    <w:rsid w:val="007E4289"/>
    <w:rsid w:val="007E46F0"/>
    <w:rsid w:val="007E48CC"/>
    <w:rsid w:val="007E57DE"/>
    <w:rsid w:val="007E5902"/>
    <w:rsid w:val="007E5CBD"/>
    <w:rsid w:val="007E6719"/>
    <w:rsid w:val="007E67B4"/>
    <w:rsid w:val="007E68ED"/>
    <w:rsid w:val="007E69ED"/>
    <w:rsid w:val="007E70DA"/>
    <w:rsid w:val="007E71F4"/>
    <w:rsid w:val="007E7868"/>
    <w:rsid w:val="007E7B2D"/>
    <w:rsid w:val="007F0221"/>
    <w:rsid w:val="007F0303"/>
    <w:rsid w:val="007F034B"/>
    <w:rsid w:val="007F06A3"/>
    <w:rsid w:val="007F07B9"/>
    <w:rsid w:val="007F0928"/>
    <w:rsid w:val="007F15CE"/>
    <w:rsid w:val="007F166C"/>
    <w:rsid w:val="007F1E88"/>
    <w:rsid w:val="007F2622"/>
    <w:rsid w:val="007F2CD7"/>
    <w:rsid w:val="007F3568"/>
    <w:rsid w:val="007F3EF6"/>
    <w:rsid w:val="007F422D"/>
    <w:rsid w:val="007F42E9"/>
    <w:rsid w:val="007F440B"/>
    <w:rsid w:val="007F4B78"/>
    <w:rsid w:val="007F4DBA"/>
    <w:rsid w:val="007F519C"/>
    <w:rsid w:val="007F534D"/>
    <w:rsid w:val="007F54A2"/>
    <w:rsid w:val="007F54FE"/>
    <w:rsid w:val="007F5535"/>
    <w:rsid w:val="007F5D32"/>
    <w:rsid w:val="007F7242"/>
    <w:rsid w:val="007F72DC"/>
    <w:rsid w:val="007F795F"/>
    <w:rsid w:val="007F7A16"/>
    <w:rsid w:val="0080056F"/>
    <w:rsid w:val="0080069C"/>
    <w:rsid w:val="008006FD"/>
    <w:rsid w:val="00800937"/>
    <w:rsid w:val="0080148D"/>
    <w:rsid w:val="0080156B"/>
    <w:rsid w:val="00801A3A"/>
    <w:rsid w:val="00802BD1"/>
    <w:rsid w:val="00803BAC"/>
    <w:rsid w:val="00804114"/>
    <w:rsid w:val="00804634"/>
    <w:rsid w:val="008047E8"/>
    <w:rsid w:val="00805028"/>
    <w:rsid w:val="0080531E"/>
    <w:rsid w:val="00805354"/>
    <w:rsid w:val="00805C3D"/>
    <w:rsid w:val="008066D2"/>
    <w:rsid w:val="00806E38"/>
    <w:rsid w:val="00806F1D"/>
    <w:rsid w:val="008072B6"/>
    <w:rsid w:val="008077ED"/>
    <w:rsid w:val="00807B6F"/>
    <w:rsid w:val="00807E93"/>
    <w:rsid w:val="00810172"/>
    <w:rsid w:val="0081072C"/>
    <w:rsid w:val="00810762"/>
    <w:rsid w:val="00810858"/>
    <w:rsid w:val="00810EFF"/>
    <w:rsid w:val="00811314"/>
    <w:rsid w:val="00811A39"/>
    <w:rsid w:val="0081291B"/>
    <w:rsid w:val="00812E26"/>
    <w:rsid w:val="00813622"/>
    <w:rsid w:val="00813DCF"/>
    <w:rsid w:val="00813FAB"/>
    <w:rsid w:val="00814192"/>
    <w:rsid w:val="0081498C"/>
    <w:rsid w:val="00814AE1"/>
    <w:rsid w:val="00814BE8"/>
    <w:rsid w:val="00815748"/>
    <w:rsid w:val="00815D31"/>
    <w:rsid w:val="0081601F"/>
    <w:rsid w:val="00816064"/>
    <w:rsid w:val="00816E5B"/>
    <w:rsid w:val="008174B2"/>
    <w:rsid w:val="00817CFF"/>
    <w:rsid w:val="0082000D"/>
    <w:rsid w:val="0082037E"/>
    <w:rsid w:val="00820432"/>
    <w:rsid w:val="00820C9C"/>
    <w:rsid w:val="00820F55"/>
    <w:rsid w:val="00821224"/>
    <w:rsid w:val="00821363"/>
    <w:rsid w:val="00821572"/>
    <w:rsid w:val="00822310"/>
    <w:rsid w:val="00822DC5"/>
    <w:rsid w:val="00823794"/>
    <w:rsid w:val="008237F4"/>
    <w:rsid w:val="00823F67"/>
    <w:rsid w:val="00824022"/>
    <w:rsid w:val="0082438F"/>
    <w:rsid w:val="0082483A"/>
    <w:rsid w:val="00824A81"/>
    <w:rsid w:val="0082510F"/>
    <w:rsid w:val="008257B8"/>
    <w:rsid w:val="00825CD8"/>
    <w:rsid w:val="008260ED"/>
    <w:rsid w:val="0082699D"/>
    <w:rsid w:val="00826E6B"/>
    <w:rsid w:val="008275FD"/>
    <w:rsid w:val="00830BA1"/>
    <w:rsid w:val="00830EB2"/>
    <w:rsid w:val="00830F52"/>
    <w:rsid w:val="0083132A"/>
    <w:rsid w:val="00831652"/>
    <w:rsid w:val="0083167A"/>
    <w:rsid w:val="0083202E"/>
    <w:rsid w:val="00832B5B"/>
    <w:rsid w:val="0083304F"/>
    <w:rsid w:val="00833241"/>
    <w:rsid w:val="008334C9"/>
    <w:rsid w:val="00833A87"/>
    <w:rsid w:val="00833B28"/>
    <w:rsid w:val="00833FC6"/>
    <w:rsid w:val="00834122"/>
    <w:rsid w:val="008343FF"/>
    <w:rsid w:val="00834917"/>
    <w:rsid w:val="00834DF9"/>
    <w:rsid w:val="0083507E"/>
    <w:rsid w:val="008352C5"/>
    <w:rsid w:val="00835746"/>
    <w:rsid w:val="008358A6"/>
    <w:rsid w:val="008359FB"/>
    <w:rsid w:val="00835C56"/>
    <w:rsid w:val="008360FC"/>
    <w:rsid w:val="00836E81"/>
    <w:rsid w:val="008377C1"/>
    <w:rsid w:val="00837C90"/>
    <w:rsid w:val="00837EB1"/>
    <w:rsid w:val="0084042B"/>
    <w:rsid w:val="008405E1"/>
    <w:rsid w:val="008409BB"/>
    <w:rsid w:val="0084184A"/>
    <w:rsid w:val="008423F2"/>
    <w:rsid w:val="00842A30"/>
    <w:rsid w:val="00842C9B"/>
    <w:rsid w:val="00842E97"/>
    <w:rsid w:val="00842F71"/>
    <w:rsid w:val="00843179"/>
    <w:rsid w:val="0084386A"/>
    <w:rsid w:val="00843E0E"/>
    <w:rsid w:val="008442EA"/>
    <w:rsid w:val="00844459"/>
    <w:rsid w:val="00844589"/>
    <w:rsid w:val="00844794"/>
    <w:rsid w:val="00844BFF"/>
    <w:rsid w:val="00844FE7"/>
    <w:rsid w:val="00845646"/>
    <w:rsid w:val="00845969"/>
    <w:rsid w:val="00845F37"/>
    <w:rsid w:val="00845FF5"/>
    <w:rsid w:val="00846001"/>
    <w:rsid w:val="008460EB"/>
    <w:rsid w:val="0084615D"/>
    <w:rsid w:val="0084642A"/>
    <w:rsid w:val="008465C4"/>
    <w:rsid w:val="00846710"/>
    <w:rsid w:val="008472E3"/>
    <w:rsid w:val="008478ED"/>
    <w:rsid w:val="008500D4"/>
    <w:rsid w:val="0085114A"/>
    <w:rsid w:val="00851728"/>
    <w:rsid w:val="00851A5E"/>
    <w:rsid w:val="00851DFF"/>
    <w:rsid w:val="00851F96"/>
    <w:rsid w:val="00851FCD"/>
    <w:rsid w:val="00852EB2"/>
    <w:rsid w:val="00852ED8"/>
    <w:rsid w:val="00852FFA"/>
    <w:rsid w:val="00853084"/>
    <w:rsid w:val="008530DD"/>
    <w:rsid w:val="00853142"/>
    <w:rsid w:val="008540A6"/>
    <w:rsid w:val="00854420"/>
    <w:rsid w:val="00854481"/>
    <w:rsid w:val="00854FB1"/>
    <w:rsid w:val="00857591"/>
    <w:rsid w:val="0085778F"/>
    <w:rsid w:val="00857E88"/>
    <w:rsid w:val="00857E8B"/>
    <w:rsid w:val="008605C4"/>
    <w:rsid w:val="008610B4"/>
    <w:rsid w:val="008612DB"/>
    <w:rsid w:val="00861B57"/>
    <w:rsid w:val="00862AC4"/>
    <w:rsid w:val="00862E0E"/>
    <w:rsid w:val="008633AC"/>
    <w:rsid w:val="008634E3"/>
    <w:rsid w:val="0086390F"/>
    <w:rsid w:val="00863A43"/>
    <w:rsid w:val="00863C94"/>
    <w:rsid w:val="008642BF"/>
    <w:rsid w:val="00864566"/>
    <w:rsid w:val="00864627"/>
    <w:rsid w:val="00864635"/>
    <w:rsid w:val="00864678"/>
    <w:rsid w:val="00864740"/>
    <w:rsid w:val="00864987"/>
    <w:rsid w:val="00864C1A"/>
    <w:rsid w:val="008651DD"/>
    <w:rsid w:val="00865217"/>
    <w:rsid w:val="008658AA"/>
    <w:rsid w:val="00865CBD"/>
    <w:rsid w:val="00866880"/>
    <w:rsid w:val="00866B28"/>
    <w:rsid w:val="00866E37"/>
    <w:rsid w:val="00866F9E"/>
    <w:rsid w:val="008672E2"/>
    <w:rsid w:val="00867854"/>
    <w:rsid w:val="0086793D"/>
    <w:rsid w:val="00867B1C"/>
    <w:rsid w:val="008713D6"/>
    <w:rsid w:val="00871643"/>
    <w:rsid w:val="00871BCB"/>
    <w:rsid w:val="00871F95"/>
    <w:rsid w:val="0087213E"/>
    <w:rsid w:val="0087281D"/>
    <w:rsid w:val="008732D8"/>
    <w:rsid w:val="00873377"/>
    <w:rsid w:val="00873577"/>
    <w:rsid w:val="008738C2"/>
    <w:rsid w:val="0087409F"/>
    <w:rsid w:val="008744DD"/>
    <w:rsid w:val="00874D58"/>
    <w:rsid w:val="008750D2"/>
    <w:rsid w:val="00875AB5"/>
    <w:rsid w:val="00875C91"/>
    <w:rsid w:val="00875F85"/>
    <w:rsid w:val="0087618C"/>
    <w:rsid w:val="00876A09"/>
    <w:rsid w:val="00876C6B"/>
    <w:rsid w:val="00876DC9"/>
    <w:rsid w:val="00876E7E"/>
    <w:rsid w:val="00877125"/>
    <w:rsid w:val="008777C2"/>
    <w:rsid w:val="00881511"/>
    <w:rsid w:val="00881D4E"/>
    <w:rsid w:val="00882448"/>
    <w:rsid w:val="00882476"/>
    <w:rsid w:val="008829DA"/>
    <w:rsid w:val="00882D7E"/>
    <w:rsid w:val="00882F1D"/>
    <w:rsid w:val="00882F81"/>
    <w:rsid w:val="008837C5"/>
    <w:rsid w:val="00883A4D"/>
    <w:rsid w:val="00883B21"/>
    <w:rsid w:val="00883F8F"/>
    <w:rsid w:val="00884235"/>
    <w:rsid w:val="00884C5F"/>
    <w:rsid w:val="00885285"/>
    <w:rsid w:val="00885985"/>
    <w:rsid w:val="00886246"/>
    <w:rsid w:val="0088658E"/>
    <w:rsid w:val="00886699"/>
    <w:rsid w:val="0088709A"/>
    <w:rsid w:val="00887EF7"/>
    <w:rsid w:val="00891306"/>
    <w:rsid w:val="0089199F"/>
    <w:rsid w:val="00891C32"/>
    <w:rsid w:val="00891D7F"/>
    <w:rsid w:val="00891EFE"/>
    <w:rsid w:val="00892170"/>
    <w:rsid w:val="00892265"/>
    <w:rsid w:val="008922C3"/>
    <w:rsid w:val="0089233E"/>
    <w:rsid w:val="0089330E"/>
    <w:rsid w:val="00893A8E"/>
    <w:rsid w:val="00893CB1"/>
    <w:rsid w:val="00893E27"/>
    <w:rsid w:val="008945F7"/>
    <w:rsid w:val="0089463D"/>
    <w:rsid w:val="008949E3"/>
    <w:rsid w:val="00894B3C"/>
    <w:rsid w:val="0089554F"/>
    <w:rsid w:val="008955E6"/>
    <w:rsid w:val="00895B5F"/>
    <w:rsid w:val="00895ED5"/>
    <w:rsid w:val="0089637C"/>
    <w:rsid w:val="00896712"/>
    <w:rsid w:val="00896870"/>
    <w:rsid w:val="008969BD"/>
    <w:rsid w:val="00897786"/>
    <w:rsid w:val="00897E65"/>
    <w:rsid w:val="008A13BD"/>
    <w:rsid w:val="008A1596"/>
    <w:rsid w:val="008A1AAE"/>
    <w:rsid w:val="008A1EDF"/>
    <w:rsid w:val="008A2695"/>
    <w:rsid w:val="008A28A8"/>
    <w:rsid w:val="008A2DC9"/>
    <w:rsid w:val="008A2DCB"/>
    <w:rsid w:val="008A2FF1"/>
    <w:rsid w:val="008A3011"/>
    <w:rsid w:val="008A32D4"/>
    <w:rsid w:val="008A367F"/>
    <w:rsid w:val="008A3758"/>
    <w:rsid w:val="008A37AF"/>
    <w:rsid w:val="008A3D62"/>
    <w:rsid w:val="008A448D"/>
    <w:rsid w:val="008A4A55"/>
    <w:rsid w:val="008A506F"/>
    <w:rsid w:val="008A528A"/>
    <w:rsid w:val="008A5298"/>
    <w:rsid w:val="008A535A"/>
    <w:rsid w:val="008A5D7C"/>
    <w:rsid w:val="008A720F"/>
    <w:rsid w:val="008A7C72"/>
    <w:rsid w:val="008B04F2"/>
    <w:rsid w:val="008B0BF3"/>
    <w:rsid w:val="008B0C27"/>
    <w:rsid w:val="008B0D0E"/>
    <w:rsid w:val="008B12BB"/>
    <w:rsid w:val="008B1411"/>
    <w:rsid w:val="008B17A2"/>
    <w:rsid w:val="008B18E7"/>
    <w:rsid w:val="008B23C8"/>
    <w:rsid w:val="008B25F2"/>
    <w:rsid w:val="008B2643"/>
    <w:rsid w:val="008B2C09"/>
    <w:rsid w:val="008B2FAE"/>
    <w:rsid w:val="008B3317"/>
    <w:rsid w:val="008B3E02"/>
    <w:rsid w:val="008B414B"/>
    <w:rsid w:val="008B4E0E"/>
    <w:rsid w:val="008B4FB9"/>
    <w:rsid w:val="008B511F"/>
    <w:rsid w:val="008B5715"/>
    <w:rsid w:val="008B5A2D"/>
    <w:rsid w:val="008B5BC2"/>
    <w:rsid w:val="008B60BB"/>
    <w:rsid w:val="008B6547"/>
    <w:rsid w:val="008B6732"/>
    <w:rsid w:val="008B68A0"/>
    <w:rsid w:val="008B68EC"/>
    <w:rsid w:val="008B711E"/>
    <w:rsid w:val="008C042F"/>
    <w:rsid w:val="008C057B"/>
    <w:rsid w:val="008C0CAC"/>
    <w:rsid w:val="008C0EB0"/>
    <w:rsid w:val="008C13B4"/>
    <w:rsid w:val="008C1557"/>
    <w:rsid w:val="008C1B8C"/>
    <w:rsid w:val="008C2306"/>
    <w:rsid w:val="008C236C"/>
    <w:rsid w:val="008C26D1"/>
    <w:rsid w:val="008C2A4C"/>
    <w:rsid w:val="008C2B7F"/>
    <w:rsid w:val="008C2DEF"/>
    <w:rsid w:val="008C3054"/>
    <w:rsid w:val="008C36AC"/>
    <w:rsid w:val="008C380B"/>
    <w:rsid w:val="008C3E82"/>
    <w:rsid w:val="008C4953"/>
    <w:rsid w:val="008C499E"/>
    <w:rsid w:val="008C4E44"/>
    <w:rsid w:val="008C5AB8"/>
    <w:rsid w:val="008C6183"/>
    <w:rsid w:val="008C6255"/>
    <w:rsid w:val="008C6338"/>
    <w:rsid w:val="008C670B"/>
    <w:rsid w:val="008C684B"/>
    <w:rsid w:val="008C69FA"/>
    <w:rsid w:val="008C6ABD"/>
    <w:rsid w:val="008C6F18"/>
    <w:rsid w:val="008C7685"/>
    <w:rsid w:val="008C7BAC"/>
    <w:rsid w:val="008C7C95"/>
    <w:rsid w:val="008C7EDE"/>
    <w:rsid w:val="008D0035"/>
    <w:rsid w:val="008D007A"/>
    <w:rsid w:val="008D07DE"/>
    <w:rsid w:val="008D0831"/>
    <w:rsid w:val="008D0E40"/>
    <w:rsid w:val="008D0FF0"/>
    <w:rsid w:val="008D1342"/>
    <w:rsid w:val="008D1A22"/>
    <w:rsid w:val="008D1E7F"/>
    <w:rsid w:val="008D2367"/>
    <w:rsid w:val="008D2A5E"/>
    <w:rsid w:val="008D39B2"/>
    <w:rsid w:val="008D427A"/>
    <w:rsid w:val="008D4B54"/>
    <w:rsid w:val="008D4DD5"/>
    <w:rsid w:val="008D5494"/>
    <w:rsid w:val="008D5657"/>
    <w:rsid w:val="008D592A"/>
    <w:rsid w:val="008D5B0C"/>
    <w:rsid w:val="008D655E"/>
    <w:rsid w:val="008D6752"/>
    <w:rsid w:val="008D69E7"/>
    <w:rsid w:val="008D6AB4"/>
    <w:rsid w:val="008D6FC1"/>
    <w:rsid w:val="008E0140"/>
    <w:rsid w:val="008E0688"/>
    <w:rsid w:val="008E0779"/>
    <w:rsid w:val="008E0BEF"/>
    <w:rsid w:val="008E266D"/>
    <w:rsid w:val="008E26C0"/>
    <w:rsid w:val="008E2DAD"/>
    <w:rsid w:val="008E2F0C"/>
    <w:rsid w:val="008E3E23"/>
    <w:rsid w:val="008E4C0B"/>
    <w:rsid w:val="008E547B"/>
    <w:rsid w:val="008E5AAE"/>
    <w:rsid w:val="008E5BA3"/>
    <w:rsid w:val="008E5DF8"/>
    <w:rsid w:val="008E616F"/>
    <w:rsid w:val="008E62DE"/>
    <w:rsid w:val="008E6DD7"/>
    <w:rsid w:val="008E7128"/>
    <w:rsid w:val="008E7F9F"/>
    <w:rsid w:val="008F0205"/>
    <w:rsid w:val="008F0250"/>
    <w:rsid w:val="008F11F4"/>
    <w:rsid w:val="008F16D7"/>
    <w:rsid w:val="008F1874"/>
    <w:rsid w:val="008F1952"/>
    <w:rsid w:val="008F254D"/>
    <w:rsid w:val="008F310B"/>
    <w:rsid w:val="008F322B"/>
    <w:rsid w:val="008F34CB"/>
    <w:rsid w:val="008F3519"/>
    <w:rsid w:val="008F3AD3"/>
    <w:rsid w:val="008F3CA7"/>
    <w:rsid w:val="008F443F"/>
    <w:rsid w:val="008F48FB"/>
    <w:rsid w:val="008F4911"/>
    <w:rsid w:val="008F50BF"/>
    <w:rsid w:val="008F5601"/>
    <w:rsid w:val="008F56EC"/>
    <w:rsid w:val="008F5DE5"/>
    <w:rsid w:val="008F5E42"/>
    <w:rsid w:val="008F63B1"/>
    <w:rsid w:val="008F6973"/>
    <w:rsid w:val="008F6E6A"/>
    <w:rsid w:val="008F7AA7"/>
    <w:rsid w:val="00900947"/>
    <w:rsid w:val="00900EB8"/>
    <w:rsid w:val="00900FBA"/>
    <w:rsid w:val="0090240A"/>
    <w:rsid w:val="00902E5B"/>
    <w:rsid w:val="00903754"/>
    <w:rsid w:val="00903FD9"/>
    <w:rsid w:val="00904CF5"/>
    <w:rsid w:val="00905259"/>
    <w:rsid w:val="00905564"/>
    <w:rsid w:val="0090556C"/>
    <w:rsid w:val="00905633"/>
    <w:rsid w:val="00905EAE"/>
    <w:rsid w:val="00905FEA"/>
    <w:rsid w:val="009060C4"/>
    <w:rsid w:val="00906C91"/>
    <w:rsid w:val="00906C95"/>
    <w:rsid w:val="00907656"/>
    <w:rsid w:val="009079C8"/>
    <w:rsid w:val="00907C7D"/>
    <w:rsid w:val="00907E47"/>
    <w:rsid w:val="0091026E"/>
    <w:rsid w:val="00910406"/>
    <w:rsid w:val="009109DB"/>
    <w:rsid w:val="00910C8A"/>
    <w:rsid w:val="00911165"/>
    <w:rsid w:val="00911391"/>
    <w:rsid w:val="009114DA"/>
    <w:rsid w:val="009115EF"/>
    <w:rsid w:val="009116DD"/>
    <w:rsid w:val="00911B4F"/>
    <w:rsid w:val="009124B1"/>
    <w:rsid w:val="00912D1C"/>
    <w:rsid w:val="00913019"/>
    <w:rsid w:val="0091319E"/>
    <w:rsid w:val="00913522"/>
    <w:rsid w:val="00913BB9"/>
    <w:rsid w:val="00913CE0"/>
    <w:rsid w:val="00913F1E"/>
    <w:rsid w:val="00913FB2"/>
    <w:rsid w:val="009140C4"/>
    <w:rsid w:val="0091441C"/>
    <w:rsid w:val="009144A9"/>
    <w:rsid w:val="0091468B"/>
    <w:rsid w:val="00914790"/>
    <w:rsid w:val="0091526F"/>
    <w:rsid w:val="009153D2"/>
    <w:rsid w:val="0091605C"/>
    <w:rsid w:val="00916286"/>
    <w:rsid w:val="00916595"/>
    <w:rsid w:val="00916C47"/>
    <w:rsid w:val="009171AD"/>
    <w:rsid w:val="00917569"/>
    <w:rsid w:val="00920011"/>
    <w:rsid w:val="00920174"/>
    <w:rsid w:val="0092030F"/>
    <w:rsid w:val="0092192B"/>
    <w:rsid w:val="009219D2"/>
    <w:rsid w:val="00921A4E"/>
    <w:rsid w:val="00921E37"/>
    <w:rsid w:val="00921E42"/>
    <w:rsid w:val="009223A6"/>
    <w:rsid w:val="00922511"/>
    <w:rsid w:val="00922F07"/>
    <w:rsid w:val="00922F3D"/>
    <w:rsid w:val="00923463"/>
    <w:rsid w:val="00923A1F"/>
    <w:rsid w:val="009251B7"/>
    <w:rsid w:val="00925238"/>
    <w:rsid w:val="00925ACF"/>
    <w:rsid w:val="0092615D"/>
    <w:rsid w:val="00926546"/>
    <w:rsid w:val="00926570"/>
    <w:rsid w:val="009265A1"/>
    <w:rsid w:val="00926A8E"/>
    <w:rsid w:val="00926CCA"/>
    <w:rsid w:val="00927700"/>
    <w:rsid w:val="00927847"/>
    <w:rsid w:val="00927E96"/>
    <w:rsid w:val="0093036E"/>
    <w:rsid w:val="00930623"/>
    <w:rsid w:val="00931224"/>
    <w:rsid w:val="00931DBC"/>
    <w:rsid w:val="00932614"/>
    <w:rsid w:val="00932800"/>
    <w:rsid w:val="0093288D"/>
    <w:rsid w:val="009333D3"/>
    <w:rsid w:val="009339B6"/>
    <w:rsid w:val="00933B4C"/>
    <w:rsid w:val="00933DC4"/>
    <w:rsid w:val="0093431B"/>
    <w:rsid w:val="009346D6"/>
    <w:rsid w:val="00934743"/>
    <w:rsid w:val="0093487E"/>
    <w:rsid w:val="00934FFE"/>
    <w:rsid w:val="009355B5"/>
    <w:rsid w:val="00935E4A"/>
    <w:rsid w:val="00935F52"/>
    <w:rsid w:val="00936405"/>
    <w:rsid w:val="00936B64"/>
    <w:rsid w:val="00937891"/>
    <w:rsid w:val="0093799C"/>
    <w:rsid w:val="009379C4"/>
    <w:rsid w:val="0094009A"/>
    <w:rsid w:val="0094041A"/>
    <w:rsid w:val="00940C07"/>
    <w:rsid w:val="00940C4B"/>
    <w:rsid w:val="00940CB1"/>
    <w:rsid w:val="00940D32"/>
    <w:rsid w:val="0094115C"/>
    <w:rsid w:val="009413A0"/>
    <w:rsid w:val="009413E9"/>
    <w:rsid w:val="0094190D"/>
    <w:rsid w:val="00942354"/>
    <w:rsid w:val="00942681"/>
    <w:rsid w:val="00943A7E"/>
    <w:rsid w:val="00943E42"/>
    <w:rsid w:val="00943E5D"/>
    <w:rsid w:val="00944728"/>
    <w:rsid w:val="00944B51"/>
    <w:rsid w:val="009453E8"/>
    <w:rsid w:val="00945664"/>
    <w:rsid w:val="00945AD1"/>
    <w:rsid w:val="00946154"/>
    <w:rsid w:val="009463EA"/>
    <w:rsid w:val="00946A8E"/>
    <w:rsid w:val="00946ECB"/>
    <w:rsid w:val="0094707A"/>
    <w:rsid w:val="00947268"/>
    <w:rsid w:val="0094750E"/>
    <w:rsid w:val="00947C94"/>
    <w:rsid w:val="009507C8"/>
    <w:rsid w:val="0095115E"/>
    <w:rsid w:val="0095118A"/>
    <w:rsid w:val="00952440"/>
    <w:rsid w:val="00952468"/>
    <w:rsid w:val="00952705"/>
    <w:rsid w:val="0095270B"/>
    <w:rsid w:val="0095282C"/>
    <w:rsid w:val="009533E1"/>
    <w:rsid w:val="009536CF"/>
    <w:rsid w:val="00953B28"/>
    <w:rsid w:val="00953B2A"/>
    <w:rsid w:val="0095409B"/>
    <w:rsid w:val="00954310"/>
    <w:rsid w:val="00954767"/>
    <w:rsid w:val="0095487A"/>
    <w:rsid w:val="009548FB"/>
    <w:rsid w:val="00954E86"/>
    <w:rsid w:val="00955193"/>
    <w:rsid w:val="0095538B"/>
    <w:rsid w:val="00955FF1"/>
    <w:rsid w:val="00956B5D"/>
    <w:rsid w:val="00957053"/>
    <w:rsid w:val="0095746F"/>
    <w:rsid w:val="009578EE"/>
    <w:rsid w:val="00957AF7"/>
    <w:rsid w:val="00957EE5"/>
    <w:rsid w:val="009600A4"/>
    <w:rsid w:val="00960ACA"/>
    <w:rsid w:val="00960C4F"/>
    <w:rsid w:val="0096141C"/>
    <w:rsid w:val="0096217C"/>
    <w:rsid w:val="00962441"/>
    <w:rsid w:val="00963277"/>
    <w:rsid w:val="00963520"/>
    <w:rsid w:val="009636CF"/>
    <w:rsid w:val="00963CCF"/>
    <w:rsid w:val="00964762"/>
    <w:rsid w:val="00964B53"/>
    <w:rsid w:val="00964C3F"/>
    <w:rsid w:val="00964C6C"/>
    <w:rsid w:val="00965176"/>
    <w:rsid w:val="00965240"/>
    <w:rsid w:val="00965847"/>
    <w:rsid w:val="00965A3E"/>
    <w:rsid w:val="00965C48"/>
    <w:rsid w:val="00965E10"/>
    <w:rsid w:val="00966308"/>
    <w:rsid w:val="00966D9D"/>
    <w:rsid w:val="00966E4A"/>
    <w:rsid w:val="00967041"/>
    <w:rsid w:val="009674BC"/>
    <w:rsid w:val="00967866"/>
    <w:rsid w:val="00967890"/>
    <w:rsid w:val="00970109"/>
    <w:rsid w:val="00970918"/>
    <w:rsid w:val="0097099E"/>
    <w:rsid w:val="00971358"/>
    <w:rsid w:val="00971761"/>
    <w:rsid w:val="0097216F"/>
    <w:rsid w:val="00972917"/>
    <w:rsid w:val="00972C3B"/>
    <w:rsid w:val="00972E3B"/>
    <w:rsid w:val="0097304F"/>
    <w:rsid w:val="00973057"/>
    <w:rsid w:val="009748E8"/>
    <w:rsid w:val="00974D50"/>
    <w:rsid w:val="009751AF"/>
    <w:rsid w:val="00975326"/>
    <w:rsid w:val="00975DEA"/>
    <w:rsid w:val="00976A9E"/>
    <w:rsid w:val="00977CDF"/>
    <w:rsid w:val="0098043F"/>
    <w:rsid w:val="00981038"/>
    <w:rsid w:val="0098106E"/>
    <w:rsid w:val="00981243"/>
    <w:rsid w:val="00981511"/>
    <w:rsid w:val="00981D1C"/>
    <w:rsid w:val="00981E1C"/>
    <w:rsid w:val="00981EA9"/>
    <w:rsid w:val="00982118"/>
    <w:rsid w:val="0098272A"/>
    <w:rsid w:val="00982C62"/>
    <w:rsid w:val="00982C91"/>
    <w:rsid w:val="00982F76"/>
    <w:rsid w:val="00982FA3"/>
    <w:rsid w:val="009840FD"/>
    <w:rsid w:val="00984701"/>
    <w:rsid w:val="00984847"/>
    <w:rsid w:val="009848A1"/>
    <w:rsid w:val="00984A8F"/>
    <w:rsid w:val="00984BEC"/>
    <w:rsid w:val="00985EB8"/>
    <w:rsid w:val="00985FB3"/>
    <w:rsid w:val="00986566"/>
    <w:rsid w:val="0098677F"/>
    <w:rsid w:val="00986CC1"/>
    <w:rsid w:val="00986F4E"/>
    <w:rsid w:val="00987191"/>
    <w:rsid w:val="00987A5A"/>
    <w:rsid w:val="00987CB4"/>
    <w:rsid w:val="0099097E"/>
    <w:rsid w:val="009917D6"/>
    <w:rsid w:val="00992076"/>
    <w:rsid w:val="009921FC"/>
    <w:rsid w:val="0099272B"/>
    <w:rsid w:val="00992A0E"/>
    <w:rsid w:val="009935C3"/>
    <w:rsid w:val="0099399E"/>
    <w:rsid w:val="0099413C"/>
    <w:rsid w:val="00994230"/>
    <w:rsid w:val="0099479E"/>
    <w:rsid w:val="00994C64"/>
    <w:rsid w:val="009951D8"/>
    <w:rsid w:val="00995355"/>
    <w:rsid w:val="0099586F"/>
    <w:rsid w:val="00995A3A"/>
    <w:rsid w:val="0099719E"/>
    <w:rsid w:val="009971E9"/>
    <w:rsid w:val="0099772B"/>
    <w:rsid w:val="009A0169"/>
    <w:rsid w:val="009A0AE9"/>
    <w:rsid w:val="009A1B56"/>
    <w:rsid w:val="009A2E20"/>
    <w:rsid w:val="009A30F8"/>
    <w:rsid w:val="009A350F"/>
    <w:rsid w:val="009A3C93"/>
    <w:rsid w:val="009A3DA5"/>
    <w:rsid w:val="009A3FD0"/>
    <w:rsid w:val="009A51C7"/>
    <w:rsid w:val="009A5220"/>
    <w:rsid w:val="009A52CF"/>
    <w:rsid w:val="009A59EC"/>
    <w:rsid w:val="009A5C56"/>
    <w:rsid w:val="009A5CA8"/>
    <w:rsid w:val="009A5FCF"/>
    <w:rsid w:val="009A6933"/>
    <w:rsid w:val="009A6AF8"/>
    <w:rsid w:val="009A6ED0"/>
    <w:rsid w:val="009A706A"/>
    <w:rsid w:val="009A71AB"/>
    <w:rsid w:val="009A7745"/>
    <w:rsid w:val="009A7C3D"/>
    <w:rsid w:val="009B0156"/>
    <w:rsid w:val="009B0295"/>
    <w:rsid w:val="009B05BA"/>
    <w:rsid w:val="009B065B"/>
    <w:rsid w:val="009B0BA7"/>
    <w:rsid w:val="009B0C0B"/>
    <w:rsid w:val="009B1B0E"/>
    <w:rsid w:val="009B2596"/>
    <w:rsid w:val="009B3BED"/>
    <w:rsid w:val="009B3E23"/>
    <w:rsid w:val="009B4255"/>
    <w:rsid w:val="009B42B6"/>
    <w:rsid w:val="009B42CC"/>
    <w:rsid w:val="009B43D6"/>
    <w:rsid w:val="009B5081"/>
    <w:rsid w:val="009B50F7"/>
    <w:rsid w:val="009B54B8"/>
    <w:rsid w:val="009B5B71"/>
    <w:rsid w:val="009B6985"/>
    <w:rsid w:val="009B69B3"/>
    <w:rsid w:val="009B6A1A"/>
    <w:rsid w:val="009B6E13"/>
    <w:rsid w:val="009B7011"/>
    <w:rsid w:val="009B71E4"/>
    <w:rsid w:val="009B74E2"/>
    <w:rsid w:val="009B7547"/>
    <w:rsid w:val="009B7A85"/>
    <w:rsid w:val="009B7C4A"/>
    <w:rsid w:val="009C0105"/>
    <w:rsid w:val="009C04EE"/>
    <w:rsid w:val="009C0CD4"/>
    <w:rsid w:val="009C15E7"/>
    <w:rsid w:val="009C17C8"/>
    <w:rsid w:val="009C2B10"/>
    <w:rsid w:val="009C385B"/>
    <w:rsid w:val="009C3902"/>
    <w:rsid w:val="009C3E3C"/>
    <w:rsid w:val="009C4353"/>
    <w:rsid w:val="009C49C2"/>
    <w:rsid w:val="009C4DBF"/>
    <w:rsid w:val="009C4E2D"/>
    <w:rsid w:val="009C6062"/>
    <w:rsid w:val="009C62C0"/>
    <w:rsid w:val="009C6A88"/>
    <w:rsid w:val="009C765D"/>
    <w:rsid w:val="009C790D"/>
    <w:rsid w:val="009C7ADA"/>
    <w:rsid w:val="009D000A"/>
    <w:rsid w:val="009D0BC1"/>
    <w:rsid w:val="009D0BCD"/>
    <w:rsid w:val="009D13B8"/>
    <w:rsid w:val="009D17FC"/>
    <w:rsid w:val="009D1A86"/>
    <w:rsid w:val="009D1ACD"/>
    <w:rsid w:val="009D1E12"/>
    <w:rsid w:val="009D27DC"/>
    <w:rsid w:val="009D2A20"/>
    <w:rsid w:val="009D2DA9"/>
    <w:rsid w:val="009D2E93"/>
    <w:rsid w:val="009D2EA9"/>
    <w:rsid w:val="009D3038"/>
    <w:rsid w:val="009D34C0"/>
    <w:rsid w:val="009D35E9"/>
    <w:rsid w:val="009D35FB"/>
    <w:rsid w:val="009D3DC8"/>
    <w:rsid w:val="009D4BBE"/>
    <w:rsid w:val="009D4C23"/>
    <w:rsid w:val="009D4E16"/>
    <w:rsid w:val="009D567E"/>
    <w:rsid w:val="009D5893"/>
    <w:rsid w:val="009D6620"/>
    <w:rsid w:val="009D6A6C"/>
    <w:rsid w:val="009D6C54"/>
    <w:rsid w:val="009D71A7"/>
    <w:rsid w:val="009D72B0"/>
    <w:rsid w:val="009D77CE"/>
    <w:rsid w:val="009D7C8D"/>
    <w:rsid w:val="009D7DE3"/>
    <w:rsid w:val="009E004A"/>
    <w:rsid w:val="009E066B"/>
    <w:rsid w:val="009E1515"/>
    <w:rsid w:val="009E1CFF"/>
    <w:rsid w:val="009E1FEE"/>
    <w:rsid w:val="009E23EA"/>
    <w:rsid w:val="009E2D24"/>
    <w:rsid w:val="009E2EA0"/>
    <w:rsid w:val="009E305F"/>
    <w:rsid w:val="009E3079"/>
    <w:rsid w:val="009E36FF"/>
    <w:rsid w:val="009E37D3"/>
    <w:rsid w:val="009E46E4"/>
    <w:rsid w:val="009E4D05"/>
    <w:rsid w:val="009E5028"/>
    <w:rsid w:val="009E50FB"/>
    <w:rsid w:val="009E5280"/>
    <w:rsid w:val="009E5386"/>
    <w:rsid w:val="009E5B8A"/>
    <w:rsid w:val="009E5DD1"/>
    <w:rsid w:val="009E60AD"/>
    <w:rsid w:val="009E61EF"/>
    <w:rsid w:val="009E68C8"/>
    <w:rsid w:val="009E698B"/>
    <w:rsid w:val="009E6AB5"/>
    <w:rsid w:val="009E6DAB"/>
    <w:rsid w:val="009E6F4B"/>
    <w:rsid w:val="009E703C"/>
    <w:rsid w:val="009E7E4C"/>
    <w:rsid w:val="009F05F9"/>
    <w:rsid w:val="009F08F5"/>
    <w:rsid w:val="009F0956"/>
    <w:rsid w:val="009F0EE5"/>
    <w:rsid w:val="009F1264"/>
    <w:rsid w:val="009F1EDC"/>
    <w:rsid w:val="009F211C"/>
    <w:rsid w:val="009F245B"/>
    <w:rsid w:val="009F246E"/>
    <w:rsid w:val="009F25E6"/>
    <w:rsid w:val="009F26E4"/>
    <w:rsid w:val="009F2BE8"/>
    <w:rsid w:val="009F2F09"/>
    <w:rsid w:val="009F2F29"/>
    <w:rsid w:val="009F39A7"/>
    <w:rsid w:val="009F40B7"/>
    <w:rsid w:val="009F4188"/>
    <w:rsid w:val="009F41B5"/>
    <w:rsid w:val="009F4302"/>
    <w:rsid w:val="009F4393"/>
    <w:rsid w:val="009F4BE9"/>
    <w:rsid w:val="009F51CB"/>
    <w:rsid w:val="009F558F"/>
    <w:rsid w:val="009F5A63"/>
    <w:rsid w:val="009F62D3"/>
    <w:rsid w:val="009F6C15"/>
    <w:rsid w:val="009F6DA2"/>
    <w:rsid w:val="009F6F40"/>
    <w:rsid w:val="009F7606"/>
    <w:rsid w:val="009F7C4C"/>
    <w:rsid w:val="00A00112"/>
    <w:rsid w:val="00A00120"/>
    <w:rsid w:val="00A008B5"/>
    <w:rsid w:val="00A00AC3"/>
    <w:rsid w:val="00A00D88"/>
    <w:rsid w:val="00A0108C"/>
    <w:rsid w:val="00A01420"/>
    <w:rsid w:val="00A017B4"/>
    <w:rsid w:val="00A01C53"/>
    <w:rsid w:val="00A01D38"/>
    <w:rsid w:val="00A0220A"/>
    <w:rsid w:val="00A02414"/>
    <w:rsid w:val="00A025B9"/>
    <w:rsid w:val="00A027D7"/>
    <w:rsid w:val="00A02F2E"/>
    <w:rsid w:val="00A0355C"/>
    <w:rsid w:val="00A03A13"/>
    <w:rsid w:val="00A040CD"/>
    <w:rsid w:val="00A040E3"/>
    <w:rsid w:val="00A04429"/>
    <w:rsid w:val="00A04773"/>
    <w:rsid w:val="00A05F0B"/>
    <w:rsid w:val="00A06446"/>
    <w:rsid w:val="00A0645B"/>
    <w:rsid w:val="00A06697"/>
    <w:rsid w:val="00A0677F"/>
    <w:rsid w:val="00A06C40"/>
    <w:rsid w:val="00A06E9E"/>
    <w:rsid w:val="00A101BE"/>
    <w:rsid w:val="00A10586"/>
    <w:rsid w:val="00A10A48"/>
    <w:rsid w:val="00A10FD7"/>
    <w:rsid w:val="00A110DA"/>
    <w:rsid w:val="00A1132B"/>
    <w:rsid w:val="00A1146A"/>
    <w:rsid w:val="00A11930"/>
    <w:rsid w:val="00A11B54"/>
    <w:rsid w:val="00A11CDC"/>
    <w:rsid w:val="00A1238C"/>
    <w:rsid w:val="00A1263D"/>
    <w:rsid w:val="00A12AF2"/>
    <w:rsid w:val="00A12D34"/>
    <w:rsid w:val="00A12D8A"/>
    <w:rsid w:val="00A12E6C"/>
    <w:rsid w:val="00A130FE"/>
    <w:rsid w:val="00A131E4"/>
    <w:rsid w:val="00A1350D"/>
    <w:rsid w:val="00A136D0"/>
    <w:rsid w:val="00A13D1A"/>
    <w:rsid w:val="00A14063"/>
    <w:rsid w:val="00A1424E"/>
    <w:rsid w:val="00A1489E"/>
    <w:rsid w:val="00A14B65"/>
    <w:rsid w:val="00A14DC2"/>
    <w:rsid w:val="00A14DD6"/>
    <w:rsid w:val="00A14DE3"/>
    <w:rsid w:val="00A15D5E"/>
    <w:rsid w:val="00A161F8"/>
    <w:rsid w:val="00A16480"/>
    <w:rsid w:val="00A169FA"/>
    <w:rsid w:val="00A16E1A"/>
    <w:rsid w:val="00A1766A"/>
    <w:rsid w:val="00A17ACA"/>
    <w:rsid w:val="00A200F4"/>
    <w:rsid w:val="00A20293"/>
    <w:rsid w:val="00A202BF"/>
    <w:rsid w:val="00A206C9"/>
    <w:rsid w:val="00A20C27"/>
    <w:rsid w:val="00A20E7D"/>
    <w:rsid w:val="00A216BC"/>
    <w:rsid w:val="00A226F5"/>
    <w:rsid w:val="00A2322E"/>
    <w:rsid w:val="00A23567"/>
    <w:rsid w:val="00A23728"/>
    <w:rsid w:val="00A2382D"/>
    <w:rsid w:val="00A23931"/>
    <w:rsid w:val="00A23FD6"/>
    <w:rsid w:val="00A250E9"/>
    <w:rsid w:val="00A25317"/>
    <w:rsid w:val="00A25706"/>
    <w:rsid w:val="00A25D84"/>
    <w:rsid w:val="00A26029"/>
    <w:rsid w:val="00A262E4"/>
    <w:rsid w:val="00A2641D"/>
    <w:rsid w:val="00A268EA"/>
    <w:rsid w:val="00A30337"/>
    <w:rsid w:val="00A31229"/>
    <w:rsid w:val="00A31CE0"/>
    <w:rsid w:val="00A31FA9"/>
    <w:rsid w:val="00A31FFF"/>
    <w:rsid w:val="00A32390"/>
    <w:rsid w:val="00A329A5"/>
    <w:rsid w:val="00A32A01"/>
    <w:rsid w:val="00A333BF"/>
    <w:rsid w:val="00A33825"/>
    <w:rsid w:val="00A338DE"/>
    <w:rsid w:val="00A3398F"/>
    <w:rsid w:val="00A3454B"/>
    <w:rsid w:val="00A34CFB"/>
    <w:rsid w:val="00A35120"/>
    <w:rsid w:val="00A353D4"/>
    <w:rsid w:val="00A35583"/>
    <w:rsid w:val="00A36039"/>
    <w:rsid w:val="00A362CE"/>
    <w:rsid w:val="00A36389"/>
    <w:rsid w:val="00A363EF"/>
    <w:rsid w:val="00A36CFA"/>
    <w:rsid w:val="00A36DFE"/>
    <w:rsid w:val="00A370FD"/>
    <w:rsid w:val="00A371B3"/>
    <w:rsid w:val="00A376E7"/>
    <w:rsid w:val="00A3798C"/>
    <w:rsid w:val="00A37DD9"/>
    <w:rsid w:val="00A40ED7"/>
    <w:rsid w:val="00A40F83"/>
    <w:rsid w:val="00A412BA"/>
    <w:rsid w:val="00A41416"/>
    <w:rsid w:val="00A414E8"/>
    <w:rsid w:val="00A4200D"/>
    <w:rsid w:val="00A424BF"/>
    <w:rsid w:val="00A424E3"/>
    <w:rsid w:val="00A4258E"/>
    <w:rsid w:val="00A42D0D"/>
    <w:rsid w:val="00A432D1"/>
    <w:rsid w:val="00A43716"/>
    <w:rsid w:val="00A442C5"/>
    <w:rsid w:val="00A44712"/>
    <w:rsid w:val="00A44AF5"/>
    <w:rsid w:val="00A44B8B"/>
    <w:rsid w:val="00A45EC4"/>
    <w:rsid w:val="00A46EF2"/>
    <w:rsid w:val="00A47212"/>
    <w:rsid w:val="00A47374"/>
    <w:rsid w:val="00A474EA"/>
    <w:rsid w:val="00A501B2"/>
    <w:rsid w:val="00A5034A"/>
    <w:rsid w:val="00A50480"/>
    <w:rsid w:val="00A507BA"/>
    <w:rsid w:val="00A50FFA"/>
    <w:rsid w:val="00A51364"/>
    <w:rsid w:val="00A53054"/>
    <w:rsid w:val="00A53653"/>
    <w:rsid w:val="00A539D1"/>
    <w:rsid w:val="00A53EC0"/>
    <w:rsid w:val="00A543E5"/>
    <w:rsid w:val="00A54723"/>
    <w:rsid w:val="00A54DAE"/>
    <w:rsid w:val="00A54F4E"/>
    <w:rsid w:val="00A5516B"/>
    <w:rsid w:val="00A56564"/>
    <w:rsid w:val="00A56D3B"/>
    <w:rsid w:val="00A56DF7"/>
    <w:rsid w:val="00A57450"/>
    <w:rsid w:val="00A57479"/>
    <w:rsid w:val="00A57C08"/>
    <w:rsid w:val="00A600D9"/>
    <w:rsid w:val="00A604CD"/>
    <w:rsid w:val="00A61061"/>
    <w:rsid w:val="00A61227"/>
    <w:rsid w:val="00A61CD9"/>
    <w:rsid w:val="00A628D4"/>
    <w:rsid w:val="00A637A0"/>
    <w:rsid w:val="00A63ECD"/>
    <w:rsid w:val="00A64093"/>
    <w:rsid w:val="00A640EB"/>
    <w:rsid w:val="00A64815"/>
    <w:rsid w:val="00A65043"/>
    <w:rsid w:val="00A651F5"/>
    <w:rsid w:val="00A65C80"/>
    <w:rsid w:val="00A65E2F"/>
    <w:rsid w:val="00A66589"/>
    <w:rsid w:val="00A66AB4"/>
    <w:rsid w:val="00A66DF9"/>
    <w:rsid w:val="00A702FC"/>
    <w:rsid w:val="00A704E4"/>
    <w:rsid w:val="00A70C42"/>
    <w:rsid w:val="00A712F0"/>
    <w:rsid w:val="00A7136A"/>
    <w:rsid w:val="00A71C44"/>
    <w:rsid w:val="00A72296"/>
    <w:rsid w:val="00A72462"/>
    <w:rsid w:val="00A725E0"/>
    <w:rsid w:val="00A733AF"/>
    <w:rsid w:val="00A73541"/>
    <w:rsid w:val="00A7388E"/>
    <w:rsid w:val="00A7444F"/>
    <w:rsid w:val="00A74544"/>
    <w:rsid w:val="00A74548"/>
    <w:rsid w:val="00A74DF2"/>
    <w:rsid w:val="00A74E4D"/>
    <w:rsid w:val="00A7582F"/>
    <w:rsid w:val="00A7592E"/>
    <w:rsid w:val="00A761D6"/>
    <w:rsid w:val="00A7691C"/>
    <w:rsid w:val="00A76C1F"/>
    <w:rsid w:val="00A774BB"/>
    <w:rsid w:val="00A77F6F"/>
    <w:rsid w:val="00A803FC"/>
    <w:rsid w:val="00A8071A"/>
    <w:rsid w:val="00A80DD9"/>
    <w:rsid w:val="00A80FCA"/>
    <w:rsid w:val="00A81CBC"/>
    <w:rsid w:val="00A82506"/>
    <w:rsid w:val="00A82A47"/>
    <w:rsid w:val="00A833E1"/>
    <w:rsid w:val="00A837CE"/>
    <w:rsid w:val="00A83D12"/>
    <w:rsid w:val="00A83DB5"/>
    <w:rsid w:val="00A83FBA"/>
    <w:rsid w:val="00A84636"/>
    <w:rsid w:val="00A846F7"/>
    <w:rsid w:val="00A84CB8"/>
    <w:rsid w:val="00A84FE1"/>
    <w:rsid w:val="00A85080"/>
    <w:rsid w:val="00A8622F"/>
    <w:rsid w:val="00A862BE"/>
    <w:rsid w:val="00A86406"/>
    <w:rsid w:val="00A86853"/>
    <w:rsid w:val="00A86B75"/>
    <w:rsid w:val="00A86E75"/>
    <w:rsid w:val="00A86ECA"/>
    <w:rsid w:val="00A86F33"/>
    <w:rsid w:val="00A8786D"/>
    <w:rsid w:val="00A903BA"/>
    <w:rsid w:val="00A9065F"/>
    <w:rsid w:val="00A90685"/>
    <w:rsid w:val="00A90B0E"/>
    <w:rsid w:val="00A9106D"/>
    <w:rsid w:val="00A91173"/>
    <w:rsid w:val="00A915B3"/>
    <w:rsid w:val="00A9182E"/>
    <w:rsid w:val="00A91AA1"/>
    <w:rsid w:val="00A91C8C"/>
    <w:rsid w:val="00A91F0D"/>
    <w:rsid w:val="00A9235A"/>
    <w:rsid w:val="00A9286B"/>
    <w:rsid w:val="00A92A45"/>
    <w:rsid w:val="00A92FF7"/>
    <w:rsid w:val="00A93069"/>
    <w:rsid w:val="00A93AAF"/>
    <w:rsid w:val="00A9450C"/>
    <w:rsid w:val="00A9468F"/>
    <w:rsid w:val="00A9498D"/>
    <w:rsid w:val="00A94BE6"/>
    <w:rsid w:val="00A95335"/>
    <w:rsid w:val="00A9566B"/>
    <w:rsid w:val="00A9657F"/>
    <w:rsid w:val="00A97237"/>
    <w:rsid w:val="00A9797D"/>
    <w:rsid w:val="00A97982"/>
    <w:rsid w:val="00A97A80"/>
    <w:rsid w:val="00AA015F"/>
    <w:rsid w:val="00AA0707"/>
    <w:rsid w:val="00AA09C0"/>
    <w:rsid w:val="00AA0AD1"/>
    <w:rsid w:val="00AA0C3A"/>
    <w:rsid w:val="00AA0D9D"/>
    <w:rsid w:val="00AA1290"/>
    <w:rsid w:val="00AA1723"/>
    <w:rsid w:val="00AA190D"/>
    <w:rsid w:val="00AA1CAA"/>
    <w:rsid w:val="00AA1FDD"/>
    <w:rsid w:val="00AA22C3"/>
    <w:rsid w:val="00AA230D"/>
    <w:rsid w:val="00AA28DF"/>
    <w:rsid w:val="00AA2CFA"/>
    <w:rsid w:val="00AA3549"/>
    <w:rsid w:val="00AA4941"/>
    <w:rsid w:val="00AA49E9"/>
    <w:rsid w:val="00AA4E43"/>
    <w:rsid w:val="00AA5475"/>
    <w:rsid w:val="00AA5876"/>
    <w:rsid w:val="00AA67C8"/>
    <w:rsid w:val="00AA6A8A"/>
    <w:rsid w:val="00AA6BF3"/>
    <w:rsid w:val="00AA6DD8"/>
    <w:rsid w:val="00AA6FA3"/>
    <w:rsid w:val="00AA70BB"/>
    <w:rsid w:val="00AA757C"/>
    <w:rsid w:val="00AA7F10"/>
    <w:rsid w:val="00AB0051"/>
    <w:rsid w:val="00AB0391"/>
    <w:rsid w:val="00AB09DB"/>
    <w:rsid w:val="00AB13EA"/>
    <w:rsid w:val="00AB209A"/>
    <w:rsid w:val="00AB2151"/>
    <w:rsid w:val="00AB2C59"/>
    <w:rsid w:val="00AB2C8A"/>
    <w:rsid w:val="00AB42B6"/>
    <w:rsid w:val="00AB4419"/>
    <w:rsid w:val="00AB46F6"/>
    <w:rsid w:val="00AB47B3"/>
    <w:rsid w:val="00AB4D67"/>
    <w:rsid w:val="00AB545D"/>
    <w:rsid w:val="00AB54D7"/>
    <w:rsid w:val="00AB57D3"/>
    <w:rsid w:val="00AB5877"/>
    <w:rsid w:val="00AB5EC3"/>
    <w:rsid w:val="00AB60CA"/>
    <w:rsid w:val="00AB6886"/>
    <w:rsid w:val="00AB6AE4"/>
    <w:rsid w:val="00AB6E00"/>
    <w:rsid w:val="00AB6F37"/>
    <w:rsid w:val="00AB7420"/>
    <w:rsid w:val="00AB769E"/>
    <w:rsid w:val="00AB793A"/>
    <w:rsid w:val="00AB7D55"/>
    <w:rsid w:val="00AC0681"/>
    <w:rsid w:val="00AC154B"/>
    <w:rsid w:val="00AC1A46"/>
    <w:rsid w:val="00AC1B72"/>
    <w:rsid w:val="00AC2292"/>
    <w:rsid w:val="00AC26FE"/>
    <w:rsid w:val="00AC2767"/>
    <w:rsid w:val="00AC3032"/>
    <w:rsid w:val="00AC350D"/>
    <w:rsid w:val="00AC3568"/>
    <w:rsid w:val="00AC3CF2"/>
    <w:rsid w:val="00AC47EC"/>
    <w:rsid w:val="00AC4D6F"/>
    <w:rsid w:val="00AC4E5D"/>
    <w:rsid w:val="00AC5ABA"/>
    <w:rsid w:val="00AC5ECA"/>
    <w:rsid w:val="00AC615B"/>
    <w:rsid w:val="00AC61B1"/>
    <w:rsid w:val="00AC6C53"/>
    <w:rsid w:val="00AC6DD2"/>
    <w:rsid w:val="00AC6E85"/>
    <w:rsid w:val="00AC707F"/>
    <w:rsid w:val="00AC7284"/>
    <w:rsid w:val="00AC7306"/>
    <w:rsid w:val="00AC764E"/>
    <w:rsid w:val="00AC7CE6"/>
    <w:rsid w:val="00AD03AA"/>
    <w:rsid w:val="00AD0448"/>
    <w:rsid w:val="00AD0828"/>
    <w:rsid w:val="00AD0B13"/>
    <w:rsid w:val="00AD0E69"/>
    <w:rsid w:val="00AD103D"/>
    <w:rsid w:val="00AD159C"/>
    <w:rsid w:val="00AD17FA"/>
    <w:rsid w:val="00AD19EC"/>
    <w:rsid w:val="00AD23C4"/>
    <w:rsid w:val="00AD2717"/>
    <w:rsid w:val="00AD3DC4"/>
    <w:rsid w:val="00AD3F2B"/>
    <w:rsid w:val="00AD42AB"/>
    <w:rsid w:val="00AD4E8C"/>
    <w:rsid w:val="00AD4FF4"/>
    <w:rsid w:val="00AD531D"/>
    <w:rsid w:val="00AD5A2F"/>
    <w:rsid w:val="00AD5B1C"/>
    <w:rsid w:val="00AD600C"/>
    <w:rsid w:val="00AD60EB"/>
    <w:rsid w:val="00AD63D6"/>
    <w:rsid w:val="00AD64DA"/>
    <w:rsid w:val="00AD6CD5"/>
    <w:rsid w:val="00AD733B"/>
    <w:rsid w:val="00AD79BD"/>
    <w:rsid w:val="00AD7CA7"/>
    <w:rsid w:val="00AE0040"/>
    <w:rsid w:val="00AE1212"/>
    <w:rsid w:val="00AE184D"/>
    <w:rsid w:val="00AE1C03"/>
    <w:rsid w:val="00AE23E3"/>
    <w:rsid w:val="00AE2F65"/>
    <w:rsid w:val="00AE317E"/>
    <w:rsid w:val="00AE35A5"/>
    <w:rsid w:val="00AE4E2A"/>
    <w:rsid w:val="00AE5CF9"/>
    <w:rsid w:val="00AE5DB6"/>
    <w:rsid w:val="00AE612D"/>
    <w:rsid w:val="00AE69E9"/>
    <w:rsid w:val="00AE6C2A"/>
    <w:rsid w:val="00AE6C3C"/>
    <w:rsid w:val="00AE702E"/>
    <w:rsid w:val="00AE73E0"/>
    <w:rsid w:val="00AE7CC4"/>
    <w:rsid w:val="00AE7E51"/>
    <w:rsid w:val="00AF03C0"/>
    <w:rsid w:val="00AF082D"/>
    <w:rsid w:val="00AF125B"/>
    <w:rsid w:val="00AF13FD"/>
    <w:rsid w:val="00AF1446"/>
    <w:rsid w:val="00AF166F"/>
    <w:rsid w:val="00AF1C03"/>
    <w:rsid w:val="00AF3939"/>
    <w:rsid w:val="00AF39AF"/>
    <w:rsid w:val="00AF3E3B"/>
    <w:rsid w:val="00AF3E5A"/>
    <w:rsid w:val="00AF3F68"/>
    <w:rsid w:val="00AF46FE"/>
    <w:rsid w:val="00AF486F"/>
    <w:rsid w:val="00AF4AF9"/>
    <w:rsid w:val="00AF548B"/>
    <w:rsid w:val="00AF55E0"/>
    <w:rsid w:val="00AF5666"/>
    <w:rsid w:val="00AF5870"/>
    <w:rsid w:val="00AF5A85"/>
    <w:rsid w:val="00AF617D"/>
    <w:rsid w:val="00AF6619"/>
    <w:rsid w:val="00AF6AF2"/>
    <w:rsid w:val="00AF6CFD"/>
    <w:rsid w:val="00AF6FF5"/>
    <w:rsid w:val="00AF7511"/>
    <w:rsid w:val="00AF7DC1"/>
    <w:rsid w:val="00B000AE"/>
    <w:rsid w:val="00B0040B"/>
    <w:rsid w:val="00B00830"/>
    <w:rsid w:val="00B00AB5"/>
    <w:rsid w:val="00B00CC0"/>
    <w:rsid w:val="00B00F5C"/>
    <w:rsid w:val="00B00FA5"/>
    <w:rsid w:val="00B019C1"/>
    <w:rsid w:val="00B0236E"/>
    <w:rsid w:val="00B02506"/>
    <w:rsid w:val="00B02910"/>
    <w:rsid w:val="00B02ACE"/>
    <w:rsid w:val="00B02F7A"/>
    <w:rsid w:val="00B037B1"/>
    <w:rsid w:val="00B03913"/>
    <w:rsid w:val="00B047FC"/>
    <w:rsid w:val="00B04CEA"/>
    <w:rsid w:val="00B04F29"/>
    <w:rsid w:val="00B05607"/>
    <w:rsid w:val="00B05729"/>
    <w:rsid w:val="00B05A08"/>
    <w:rsid w:val="00B05F14"/>
    <w:rsid w:val="00B066FD"/>
    <w:rsid w:val="00B06737"/>
    <w:rsid w:val="00B0676A"/>
    <w:rsid w:val="00B06B00"/>
    <w:rsid w:val="00B07388"/>
    <w:rsid w:val="00B0784C"/>
    <w:rsid w:val="00B07CE9"/>
    <w:rsid w:val="00B07D32"/>
    <w:rsid w:val="00B101D5"/>
    <w:rsid w:val="00B101FA"/>
    <w:rsid w:val="00B10633"/>
    <w:rsid w:val="00B10B08"/>
    <w:rsid w:val="00B10F0F"/>
    <w:rsid w:val="00B11A78"/>
    <w:rsid w:val="00B11CFB"/>
    <w:rsid w:val="00B11D25"/>
    <w:rsid w:val="00B12111"/>
    <w:rsid w:val="00B13E18"/>
    <w:rsid w:val="00B14109"/>
    <w:rsid w:val="00B14410"/>
    <w:rsid w:val="00B1486D"/>
    <w:rsid w:val="00B150D6"/>
    <w:rsid w:val="00B15373"/>
    <w:rsid w:val="00B15639"/>
    <w:rsid w:val="00B15D15"/>
    <w:rsid w:val="00B15E42"/>
    <w:rsid w:val="00B15EEE"/>
    <w:rsid w:val="00B16198"/>
    <w:rsid w:val="00B16937"/>
    <w:rsid w:val="00B16A2C"/>
    <w:rsid w:val="00B16E9B"/>
    <w:rsid w:val="00B16FB6"/>
    <w:rsid w:val="00B17022"/>
    <w:rsid w:val="00B1741A"/>
    <w:rsid w:val="00B174CC"/>
    <w:rsid w:val="00B176E8"/>
    <w:rsid w:val="00B17923"/>
    <w:rsid w:val="00B17CD2"/>
    <w:rsid w:val="00B17EE4"/>
    <w:rsid w:val="00B21736"/>
    <w:rsid w:val="00B218B1"/>
    <w:rsid w:val="00B21A33"/>
    <w:rsid w:val="00B224AA"/>
    <w:rsid w:val="00B227E6"/>
    <w:rsid w:val="00B22998"/>
    <w:rsid w:val="00B229FE"/>
    <w:rsid w:val="00B22EB6"/>
    <w:rsid w:val="00B2302B"/>
    <w:rsid w:val="00B235BC"/>
    <w:rsid w:val="00B24339"/>
    <w:rsid w:val="00B24363"/>
    <w:rsid w:val="00B2456E"/>
    <w:rsid w:val="00B24979"/>
    <w:rsid w:val="00B250A5"/>
    <w:rsid w:val="00B25556"/>
    <w:rsid w:val="00B25651"/>
    <w:rsid w:val="00B25ACC"/>
    <w:rsid w:val="00B261D8"/>
    <w:rsid w:val="00B265D0"/>
    <w:rsid w:val="00B26937"/>
    <w:rsid w:val="00B26D9A"/>
    <w:rsid w:val="00B30243"/>
    <w:rsid w:val="00B30421"/>
    <w:rsid w:val="00B30DC8"/>
    <w:rsid w:val="00B315BB"/>
    <w:rsid w:val="00B31977"/>
    <w:rsid w:val="00B31B7D"/>
    <w:rsid w:val="00B31C86"/>
    <w:rsid w:val="00B31E15"/>
    <w:rsid w:val="00B3210A"/>
    <w:rsid w:val="00B3235A"/>
    <w:rsid w:val="00B32384"/>
    <w:rsid w:val="00B32B21"/>
    <w:rsid w:val="00B333FE"/>
    <w:rsid w:val="00B3382B"/>
    <w:rsid w:val="00B340FF"/>
    <w:rsid w:val="00B345AF"/>
    <w:rsid w:val="00B35094"/>
    <w:rsid w:val="00B350F0"/>
    <w:rsid w:val="00B357AC"/>
    <w:rsid w:val="00B35992"/>
    <w:rsid w:val="00B35E4B"/>
    <w:rsid w:val="00B35FCC"/>
    <w:rsid w:val="00B36518"/>
    <w:rsid w:val="00B3703F"/>
    <w:rsid w:val="00B378CC"/>
    <w:rsid w:val="00B37CC3"/>
    <w:rsid w:val="00B37E9F"/>
    <w:rsid w:val="00B37FB1"/>
    <w:rsid w:val="00B40108"/>
    <w:rsid w:val="00B413F2"/>
    <w:rsid w:val="00B41538"/>
    <w:rsid w:val="00B41615"/>
    <w:rsid w:val="00B419E1"/>
    <w:rsid w:val="00B41FD8"/>
    <w:rsid w:val="00B420DF"/>
    <w:rsid w:val="00B42496"/>
    <w:rsid w:val="00B428E2"/>
    <w:rsid w:val="00B42A2C"/>
    <w:rsid w:val="00B42A5C"/>
    <w:rsid w:val="00B42A98"/>
    <w:rsid w:val="00B42C64"/>
    <w:rsid w:val="00B437B6"/>
    <w:rsid w:val="00B43AF8"/>
    <w:rsid w:val="00B448EF"/>
    <w:rsid w:val="00B47493"/>
    <w:rsid w:val="00B474C8"/>
    <w:rsid w:val="00B474DF"/>
    <w:rsid w:val="00B47915"/>
    <w:rsid w:val="00B50666"/>
    <w:rsid w:val="00B50E18"/>
    <w:rsid w:val="00B513A9"/>
    <w:rsid w:val="00B51568"/>
    <w:rsid w:val="00B51610"/>
    <w:rsid w:val="00B51652"/>
    <w:rsid w:val="00B5167B"/>
    <w:rsid w:val="00B520E3"/>
    <w:rsid w:val="00B52132"/>
    <w:rsid w:val="00B52336"/>
    <w:rsid w:val="00B52687"/>
    <w:rsid w:val="00B529F1"/>
    <w:rsid w:val="00B52ED8"/>
    <w:rsid w:val="00B531D9"/>
    <w:rsid w:val="00B5388C"/>
    <w:rsid w:val="00B54BF9"/>
    <w:rsid w:val="00B55CED"/>
    <w:rsid w:val="00B55D40"/>
    <w:rsid w:val="00B55D57"/>
    <w:rsid w:val="00B55F80"/>
    <w:rsid w:val="00B56480"/>
    <w:rsid w:val="00B565D6"/>
    <w:rsid w:val="00B57268"/>
    <w:rsid w:val="00B576A4"/>
    <w:rsid w:val="00B578ED"/>
    <w:rsid w:val="00B57998"/>
    <w:rsid w:val="00B57CD0"/>
    <w:rsid w:val="00B57DA9"/>
    <w:rsid w:val="00B60177"/>
    <w:rsid w:val="00B60639"/>
    <w:rsid w:val="00B61B05"/>
    <w:rsid w:val="00B621D5"/>
    <w:rsid w:val="00B622D6"/>
    <w:rsid w:val="00B62681"/>
    <w:rsid w:val="00B62B95"/>
    <w:rsid w:val="00B62F62"/>
    <w:rsid w:val="00B6308E"/>
    <w:rsid w:val="00B63574"/>
    <w:rsid w:val="00B63D58"/>
    <w:rsid w:val="00B64498"/>
    <w:rsid w:val="00B646B5"/>
    <w:rsid w:val="00B64B5C"/>
    <w:rsid w:val="00B64D0A"/>
    <w:rsid w:val="00B64D4F"/>
    <w:rsid w:val="00B64E8A"/>
    <w:rsid w:val="00B6517D"/>
    <w:rsid w:val="00B65532"/>
    <w:rsid w:val="00B65588"/>
    <w:rsid w:val="00B6574D"/>
    <w:rsid w:val="00B658D1"/>
    <w:rsid w:val="00B66064"/>
    <w:rsid w:val="00B66995"/>
    <w:rsid w:val="00B66BA6"/>
    <w:rsid w:val="00B671A1"/>
    <w:rsid w:val="00B675A6"/>
    <w:rsid w:val="00B6794D"/>
    <w:rsid w:val="00B67B55"/>
    <w:rsid w:val="00B67C6C"/>
    <w:rsid w:val="00B70C61"/>
    <w:rsid w:val="00B70E5A"/>
    <w:rsid w:val="00B715BB"/>
    <w:rsid w:val="00B7220D"/>
    <w:rsid w:val="00B72CD7"/>
    <w:rsid w:val="00B7329C"/>
    <w:rsid w:val="00B7384D"/>
    <w:rsid w:val="00B73ABB"/>
    <w:rsid w:val="00B749B6"/>
    <w:rsid w:val="00B74CC9"/>
    <w:rsid w:val="00B74FAB"/>
    <w:rsid w:val="00B74FB5"/>
    <w:rsid w:val="00B7509A"/>
    <w:rsid w:val="00B7613E"/>
    <w:rsid w:val="00B764E9"/>
    <w:rsid w:val="00B766C1"/>
    <w:rsid w:val="00B76966"/>
    <w:rsid w:val="00B76B96"/>
    <w:rsid w:val="00B76E49"/>
    <w:rsid w:val="00B76EFB"/>
    <w:rsid w:val="00B77129"/>
    <w:rsid w:val="00B77C37"/>
    <w:rsid w:val="00B807BF"/>
    <w:rsid w:val="00B809B1"/>
    <w:rsid w:val="00B80E46"/>
    <w:rsid w:val="00B81876"/>
    <w:rsid w:val="00B81F79"/>
    <w:rsid w:val="00B82542"/>
    <w:rsid w:val="00B82543"/>
    <w:rsid w:val="00B82583"/>
    <w:rsid w:val="00B82979"/>
    <w:rsid w:val="00B82998"/>
    <w:rsid w:val="00B834B0"/>
    <w:rsid w:val="00B837F6"/>
    <w:rsid w:val="00B83DAE"/>
    <w:rsid w:val="00B83E4B"/>
    <w:rsid w:val="00B84B2C"/>
    <w:rsid w:val="00B84FB4"/>
    <w:rsid w:val="00B85024"/>
    <w:rsid w:val="00B8505B"/>
    <w:rsid w:val="00B85518"/>
    <w:rsid w:val="00B85BE4"/>
    <w:rsid w:val="00B86727"/>
    <w:rsid w:val="00B872D9"/>
    <w:rsid w:val="00B87302"/>
    <w:rsid w:val="00B8756E"/>
    <w:rsid w:val="00B87DF9"/>
    <w:rsid w:val="00B87F60"/>
    <w:rsid w:val="00B904CF"/>
    <w:rsid w:val="00B90F62"/>
    <w:rsid w:val="00B91951"/>
    <w:rsid w:val="00B91A58"/>
    <w:rsid w:val="00B91EAD"/>
    <w:rsid w:val="00B920B9"/>
    <w:rsid w:val="00B92930"/>
    <w:rsid w:val="00B92FB9"/>
    <w:rsid w:val="00B930D2"/>
    <w:rsid w:val="00B9368C"/>
    <w:rsid w:val="00B937CD"/>
    <w:rsid w:val="00B938BC"/>
    <w:rsid w:val="00B93997"/>
    <w:rsid w:val="00B93C98"/>
    <w:rsid w:val="00B94C19"/>
    <w:rsid w:val="00B95039"/>
    <w:rsid w:val="00B96567"/>
    <w:rsid w:val="00B96AA3"/>
    <w:rsid w:val="00B96E83"/>
    <w:rsid w:val="00B976BB"/>
    <w:rsid w:val="00BA0198"/>
    <w:rsid w:val="00BA01A7"/>
    <w:rsid w:val="00BA0224"/>
    <w:rsid w:val="00BA03EA"/>
    <w:rsid w:val="00BA05C8"/>
    <w:rsid w:val="00BA07F5"/>
    <w:rsid w:val="00BA09AA"/>
    <w:rsid w:val="00BA0AD5"/>
    <w:rsid w:val="00BA0CA0"/>
    <w:rsid w:val="00BA0E3C"/>
    <w:rsid w:val="00BA1B27"/>
    <w:rsid w:val="00BA1BD4"/>
    <w:rsid w:val="00BA1F74"/>
    <w:rsid w:val="00BA1FE7"/>
    <w:rsid w:val="00BA25B1"/>
    <w:rsid w:val="00BA2B1D"/>
    <w:rsid w:val="00BA3D14"/>
    <w:rsid w:val="00BA435A"/>
    <w:rsid w:val="00BA46E5"/>
    <w:rsid w:val="00BA4710"/>
    <w:rsid w:val="00BA48C2"/>
    <w:rsid w:val="00BA49DC"/>
    <w:rsid w:val="00BA4C0B"/>
    <w:rsid w:val="00BA54BA"/>
    <w:rsid w:val="00BA5603"/>
    <w:rsid w:val="00BA56D9"/>
    <w:rsid w:val="00BA6194"/>
    <w:rsid w:val="00BA6FCC"/>
    <w:rsid w:val="00BA74F0"/>
    <w:rsid w:val="00BA7EEE"/>
    <w:rsid w:val="00BB0989"/>
    <w:rsid w:val="00BB1589"/>
    <w:rsid w:val="00BB2008"/>
    <w:rsid w:val="00BB2739"/>
    <w:rsid w:val="00BB29DF"/>
    <w:rsid w:val="00BB2AA6"/>
    <w:rsid w:val="00BB2CFC"/>
    <w:rsid w:val="00BB34DC"/>
    <w:rsid w:val="00BB35D0"/>
    <w:rsid w:val="00BB3736"/>
    <w:rsid w:val="00BB3AC4"/>
    <w:rsid w:val="00BB4999"/>
    <w:rsid w:val="00BB4BCD"/>
    <w:rsid w:val="00BB5318"/>
    <w:rsid w:val="00BB56C7"/>
    <w:rsid w:val="00BB5B62"/>
    <w:rsid w:val="00BB5C22"/>
    <w:rsid w:val="00BB6502"/>
    <w:rsid w:val="00BB6BCD"/>
    <w:rsid w:val="00BB70F9"/>
    <w:rsid w:val="00BB75C6"/>
    <w:rsid w:val="00BB7C9B"/>
    <w:rsid w:val="00BC0FA4"/>
    <w:rsid w:val="00BC1527"/>
    <w:rsid w:val="00BC18F9"/>
    <w:rsid w:val="00BC2306"/>
    <w:rsid w:val="00BC2F31"/>
    <w:rsid w:val="00BC3C72"/>
    <w:rsid w:val="00BC4036"/>
    <w:rsid w:val="00BC4DEC"/>
    <w:rsid w:val="00BC4F0A"/>
    <w:rsid w:val="00BC509F"/>
    <w:rsid w:val="00BC51D2"/>
    <w:rsid w:val="00BC64BE"/>
    <w:rsid w:val="00BC66FF"/>
    <w:rsid w:val="00BC6F24"/>
    <w:rsid w:val="00BC7155"/>
    <w:rsid w:val="00BC7550"/>
    <w:rsid w:val="00BD0001"/>
    <w:rsid w:val="00BD00D2"/>
    <w:rsid w:val="00BD0B72"/>
    <w:rsid w:val="00BD1210"/>
    <w:rsid w:val="00BD2550"/>
    <w:rsid w:val="00BD2668"/>
    <w:rsid w:val="00BD3272"/>
    <w:rsid w:val="00BD3924"/>
    <w:rsid w:val="00BD3C7C"/>
    <w:rsid w:val="00BD450F"/>
    <w:rsid w:val="00BD4512"/>
    <w:rsid w:val="00BD4942"/>
    <w:rsid w:val="00BD52AA"/>
    <w:rsid w:val="00BD654F"/>
    <w:rsid w:val="00BD7AFD"/>
    <w:rsid w:val="00BE1061"/>
    <w:rsid w:val="00BE1321"/>
    <w:rsid w:val="00BE1457"/>
    <w:rsid w:val="00BE22A6"/>
    <w:rsid w:val="00BE2893"/>
    <w:rsid w:val="00BE2EB4"/>
    <w:rsid w:val="00BE2F5A"/>
    <w:rsid w:val="00BE35E4"/>
    <w:rsid w:val="00BE37D3"/>
    <w:rsid w:val="00BE3D11"/>
    <w:rsid w:val="00BE4F5F"/>
    <w:rsid w:val="00BE522A"/>
    <w:rsid w:val="00BE54C5"/>
    <w:rsid w:val="00BE57B5"/>
    <w:rsid w:val="00BE7A7C"/>
    <w:rsid w:val="00BF055E"/>
    <w:rsid w:val="00BF0877"/>
    <w:rsid w:val="00BF0A44"/>
    <w:rsid w:val="00BF0CEC"/>
    <w:rsid w:val="00BF0D10"/>
    <w:rsid w:val="00BF1A44"/>
    <w:rsid w:val="00BF1D51"/>
    <w:rsid w:val="00BF1EDF"/>
    <w:rsid w:val="00BF1EF0"/>
    <w:rsid w:val="00BF361B"/>
    <w:rsid w:val="00BF3FB7"/>
    <w:rsid w:val="00BF4D3D"/>
    <w:rsid w:val="00BF5B8C"/>
    <w:rsid w:val="00BF5CEB"/>
    <w:rsid w:val="00BF5EE3"/>
    <w:rsid w:val="00BF66B7"/>
    <w:rsid w:val="00BF6788"/>
    <w:rsid w:val="00BF6A68"/>
    <w:rsid w:val="00BF6E5A"/>
    <w:rsid w:val="00BF7152"/>
    <w:rsid w:val="00BF7221"/>
    <w:rsid w:val="00BF73C4"/>
    <w:rsid w:val="00BF73F0"/>
    <w:rsid w:val="00BF75B1"/>
    <w:rsid w:val="00BF75C9"/>
    <w:rsid w:val="00BF7BD3"/>
    <w:rsid w:val="00BF7F7C"/>
    <w:rsid w:val="00C00352"/>
    <w:rsid w:val="00C0058C"/>
    <w:rsid w:val="00C007CE"/>
    <w:rsid w:val="00C0085B"/>
    <w:rsid w:val="00C00A22"/>
    <w:rsid w:val="00C00F18"/>
    <w:rsid w:val="00C01B32"/>
    <w:rsid w:val="00C01D39"/>
    <w:rsid w:val="00C0200C"/>
    <w:rsid w:val="00C020A8"/>
    <w:rsid w:val="00C02494"/>
    <w:rsid w:val="00C027F2"/>
    <w:rsid w:val="00C034A4"/>
    <w:rsid w:val="00C039CB"/>
    <w:rsid w:val="00C03BE5"/>
    <w:rsid w:val="00C03DD0"/>
    <w:rsid w:val="00C04033"/>
    <w:rsid w:val="00C04445"/>
    <w:rsid w:val="00C04705"/>
    <w:rsid w:val="00C04A7F"/>
    <w:rsid w:val="00C04E2B"/>
    <w:rsid w:val="00C0515A"/>
    <w:rsid w:val="00C051AA"/>
    <w:rsid w:val="00C055BB"/>
    <w:rsid w:val="00C05ABD"/>
    <w:rsid w:val="00C060A0"/>
    <w:rsid w:val="00C060BB"/>
    <w:rsid w:val="00C0659B"/>
    <w:rsid w:val="00C07187"/>
    <w:rsid w:val="00C075C9"/>
    <w:rsid w:val="00C07D6F"/>
    <w:rsid w:val="00C07FAD"/>
    <w:rsid w:val="00C106C4"/>
    <w:rsid w:val="00C10BC7"/>
    <w:rsid w:val="00C111EA"/>
    <w:rsid w:val="00C119AD"/>
    <w:rsid w:val="00C1228D"/>
    <w:rsid w:val="00C13DF4"/>
    <w:rsid w:val="00C13FED"/>
    <w:rsid w:val="00C14A21"/>
    <w:rsid w:val="00C14E7D"/>
    <w:rsid w:val="00C15505"/>
    <w:rsid w:val="00C15722"/>
    <w:rsid w:val="00C1583F"/>
    <w:rsid w:val="00C16897"/>
    <w:rsid w:val="00C170F8"/>
    <w:rsid w:val="00C17D0C"/>
    <w:rsid w:val="00C200C9"/>
    <w:rsid w:val="00C20B53"/>
    <w:rsid w:val="00C21076"/>
    <w:rsid w:val="00C21D8E"/>
    <w:rsid w:val="00C21DCD"/>
    <w:rsid w:val="00C22525"/>
    <w:rsid w:val="00C234D7"/>
    <w:rsid w:val="00C23C4E"/>
    <w:rsid w:val="00C23DBB"/>
    <w:rsid w:val="00C23FE1"/>
    <w:rsid w:val="00C240EC"/>
    <w:rsid w:val="00C2410D"/>
    <w:rsid w:val="00C24BAF"/>
    <w:rsid w:val="00C25F8B"/>
    <w:rsid w:val="00C265C0"/>
    <w:rsid w:val="00C26B9E"/>
    <w:rsid w:val="00C272EF"/>
    <w:rsid w:val="00C2732B"/>
    <w:rsid w:val="00C2753F"/>
    <w:rsid w:val="00C27570"/>
    <w:rsid w:val="00C276A8"/>
    <w:rsid w:val="00C27975"/>
    <w:rsid w:val="00C27F01"/>
    <w:rsid w:val="00C300BC"/>
    <w:rsid w:val="00C30485"/>
    <w:rsid w:val="00C30912"/>
    <w:rsid w:val="00C3143A"/>
    <w:rsid w:val="00C318F7"/>
    <w:rsid w:val="00C319D2"/>
    <w:rsid w:val="00C31F85"/>
    <w:rsid w:val="00C32534"/>
    <w:rsid w:val="00C326EE"/>
    <w:rsid w:val="00C32951"/>
    <w:rsid w:val="00C32C02"/>
    <w:rsid w:val="00C32E38"/>
    <w:rsid w:val="00C33235"/>
    <w:rsid w:val="00C33677"/>
    <w:rsid w:val="00C33A78"/>
    <w:rsid w:val="00C34137"/>
    <w:rsid w:val="00C3445D"/>
    <w:rsid w:val="00C3476B"/>
    <w:rsid w:val="00C349BA"/>
    <w:rsid w:val="00C35240"/>
    <w:rsid w:val="00C35788"/>
    <w:rsid w:val="00C36089"/>
    <w:rsid w:val="00C365F3"/>
    <w:rsid w:val="00C36717"/>
    <w:rsid w:val="00C368B3"/>
    <w:rsid w:val="00C36F07"/>
    <w:rsid w:val="00C37214"/>
    <w:rsid w:val="00C372E8"/>
    <w:rsid w:val="00C37432"/>
    <w:rsid w:val="00C37E9B"/>
    <w:rsid w:val="00C409DC"/>
    <w:rsid w:val="00C40B1B"/>
    <w:rsid w:val="00C40E88"/>
    <w:rsid w:val="00C416A3"/>
    <w:rsid w:val="00C41785"/>
    <w:rsid w:val="00C41D0A"/>
    <w:rsid w:val="00C41FC1"/>
    <w:rsid w:val="00C42004"/>
    <w:rsid w:val="00C4267B"/>
    <w:rsid w:val="00C42CDC"/>
    <w:rsid w:val="00C42D4C"/>
    <w:rsid w:val="00C4338C"/>
    <w:rsid w:val="00C434C2"/>
    <w:rsid w:val="00C43940"/>
    <w:rsid w:val="00C44342"/>
    <w:rsid w:val="00C4457E"/>
    <w:rsid w:val="00C44694"/>
    <w:rsid w:val="00C44744"/>
    <w:rsid w:val="00C45179"/>
    <w:rsid w:val="00C457C1"/>
    <w:rsid w:val="00C45881"/>
    <w:rsid w:val="00C45CA3"/>
    <w:rsid w:val="00C45CF4"/>
    <w:rsid w:val="00C46625"/>
    <w:rsid w:val="00C4667D"/>
    <w:rsid w:val="00C467FF"/>
    <w:rsid w:val="00C46870"/>
    <w:rsid w:val="00C47545"/>
    <w:rsid w:val="00C47593"/>
    <w:rsid w:val="00C50354"/>
    <w:rsid w:val="00C5044B"/>
    <w:rsid w:val="00C506BD"/>
    <w:rsid w:val="00C50825"/>
    <w:rsid w:val="00C50910"/>
    <w:rsid w:val="00C50E55"/>
    <w:rsid w:val="00C51148"/>
    <w:rsid w:val="00C51426"/>
    <w:rsid w:val="00C51622"/>
    <w:rsid w:val="00C51FB3"/>
    <w:rsid w:val="00C5223C"/>
    <w:rsid w:val="00C52A35"/>
    <w:rsid w:val="00C53067"/>
    <w:rsid w:val="00C530AC"/>
    <w:rsid w:val="00C53213"/>
    <w:rsid w:val="00C53917"/>
    <w:rsid w:val="00C541DE"/>
    <w:rsid w:val="00C54450"/>
    <w:rsid w:val="00C54C11"/>
    <w:rsid w:val="00C54C67"/>
    <w:rsid w:val="00C54E1E"/>
    <w:rsid w:val="00C54E65"/>
    <w:rsid w:val="00C54F5C"/>
    <w:rsid w:val="00C553D7"/>
    <w:rsid w:val="00C56324"/>
    <w:rsid w:val="00C5653B"/>
    <w:rsid w:val="00C565A3"/>
    <w:rsid w:val="00C57328"/>
    <w:rsid w:val="00C577F7"/>
    <w:rsid w:val="00C57EC7"/>
    <w:rsid w:val="00C60050"/>
    <w:rsid w:val="00C60667"/>
    <w:rsid w:val="00C60BDE"/>
    <w:rsid w:val="00C61AB9"/>
    <w:rsid w:val="00C61F4A"/>
    <w:rsid w:val="00C61F84"/>
    <w:rsid w:val="00C62A06"/>
    <w:rsid w:val="00C62A31"/>
    <w:rsid w:val="00C62FF7"/>
    <w:rsid w:val="00C63135"/>
    <w:rsid w:val="00C63705"/>
    <w:rsid w:val="00C637DC"/>
    <w:rsid w:val="00C63EE8"/>
    <w:rsid w:val="00C6432E"/>
    <w:rsid w:val="00C652C6"/>
    <w:rsid w:val="00C65718"/>
    <w:rsid w:val="00C65C81"/>
    <w:rsid w:val="00C66772"/>
    <w:rsid w:val="00C66828"/>
    <w:rsid w:val="00C66D2B"/>
    <w:rsid w:val="00C67580"/>
    <w:rsid w:val="00C6781C"/>
    <w:rsid w:val="00C67EA1"/>
    <w:rsid w:val="00C70349"/>
    <w:rsid w:val="00C70AEE"/>
    <w:rsid w:val="00C7188F"/>
    <w:rsid w:val="00C71D15"/>
    <w:rsid w:val="00C7234D"/>
    <w:rsid w:val="00C7244E"/>
    <w:rsid w:val="00C726C9"/>
    <w:rsid w:val="00C7277A"/>
    <w:rsid w:val="00C72801"/>
    <w:rsid w:val="00C72AAE"/>
    <w:rsid w:val="00C72C0A"/>
    <w:rsid w:val="00C73115"/>
    <w:rsid w:val="00C73488"/>
    <w:rsid w:val="00C73CD2"/>
    <w:rsid w:val="00C73E67"/>
    <w:rsid w:val="00C73FAD"/>
    <w:rsid w:val="00C74AE1"/>
    <w:rsid w:val="00C757B8"/>
    <w:rsid w:val="00C75F79"/>
    <w:rsid w:val="00C765E8"/>
    <w:rsid w:val="00C76906"/>
    <w:rsid w:val="00C76B7C"/>
    <w:rsid w:val="00C76CC7"/>
    <w:rsid w:val="00C76F81"/>
    <w:rsid w:val="00C76FAD"/>
    <w:rsid w:val="00C776A4"/>
    <w:rsid w:val="00C800DD"/>
    <w:rsid w:val="00C8023F"/>
    <w:rsid w:val="00C804FF"/>
    <w:rsid w:val="00C8066A"/>
    <w:rsid w:val="00C80920"/>
    <w:rsid w:val="00C80B03"/>
    <w:rsid w:val="00C8243F"/>
    <w:rsid w:val="00C8289B"/>
    <w:rsid w:val="00C82B5F"/>
    <w:rsid w:val="00C82D54"/>
    <w:rsid w:val="00C82E2B"/>
    <w:rsid w:val="00C82F3B"/>
    <w:rsid w:val="00C837C4"/>
    <w:rsid w:val="00C83829"/>
    <w:rsid w:val="00C83EA2"/>
    <w:rsid w:val="00C83EDD"/>
    <w:rsid w:val="00C84BF1"/>
    <w:rsid w:val="00C84CA2"/>
    <w:rsid w:val="00C84D06"/>
    <w:rsid w:val="00C85A36"/>
    <w:rsid w:val="00C85ACC"/>
    <w:rsid w:val="00C85CD1"/>
    <w:rsid w:val="00C85E1C"/>
    <w:rsid w:val="00C86C56"/>
    <w:rsid w:val="00C8773E"/>
    <w:rsid w:val="00C90601"/>
    <w:rsid w:val="00C90D16"/>
    <w:rsid w:val="00C9116A"/>
    <w:rsid w:val="00C9265D"/>
    <w:rsid w:val="00C92824"/>
    <w:rsid w:val="00C92915"/>
    <w:rsid w:val="00C92FBD"/>
    <w:rsid w:val="00C937BA"/>
    <w:rsid w:val="00C94102"/>
    <w:rsid w:val="00C94275"/>
    <w:rsid w:val="00C949FC"/>
    <w:rsid w:val="00C94A28"/>
    <w:rsid w:val="00C957AA"/>
    <w:rsid w:val="00C960CF"/>
    <w:rsid w:val="00C96672"/>
    <w:rsid w:val="00C96678"/>
    <w:rsid w:val="00C96749"/>
    <w:rsid w:val="00C96772"/>
    <w:rsid w:val="00C96AAD"/>
    <w:rsid w:val="00C96CFA"/>
    <w:rsid w:val="00C96E5A"/>
    <w:rsid w:val="00C96EB5"/>
    <w:rsid w:val="00C96F05"/>
    <w:rsid w:val="00CA0257"/>
    <w:rsid w:val="00CA03DC"/>
    <w:rsid w:val="00CA0917"/>
    <w:rsid w:val="00CA102B"/>
    <w:rsid w:val="00CA160C"/>
    <w:rsid w:val="00CA1698"/>
    <w:rsid w:val="00CA1CFF"/>
    <w:rsid w:val="00CA1F46"/>
    <w:rsid w:val="00CA2169"/>
    <w:rsid w:val="00CA2648"/>
    <w:rsid w:val="00CA283D"/>
    <w:rsid w:val="00CA29D1"/>
    <w:rsid w:val="00CA2DD6"/>
    <w:rsid w:val="00CA3247"/>
    <w:rsid w:val="00CA3752"/>
    <w:rsid w:val="00CA3999"/>
    <w:rsid w:val="00CA39C0"/>
    <w:rsid w:val="00CA4B17"/>
    <w:rsid w:val="00CA4FFD"/>
    <w:rsid w:val="00CA517B"/>
    <w:rsid w:val="00CA5AD3"/>
    <w:rsid w:val="00CA5C6D"/>
    <w:rsid w:val="00CA5D99"/>
    <w:rsid w:val="00CA5E2A"/>
    <w:rsid w:val="00CA62DD"/>
    <w:rsid w:val="00CA69BA"/>
    <w:rsid w:val="00CA6E16"/>
    <w:rsid w:val="00CA7A8A"/>
    <w:rsid w:val="00CA7C96"/>
    <w:rsid w:val="00CA7DE6"/>
    <w:rsid w:val="00CB0339"/>
    <w:rsid w:val="00CB0DA2"/>
    <w:rsid w:val="00CB110E"/>
    <w:rsid w:val="00CB11F8"/>
    <w:rsid w:val="00CB1278"/>
    <w:rsid w:val="00CB225B"/>
    <w:rsid w:val="00CB2EF5"/>
    <w:rsid w:val="00CB33E4"/>
    <w:rsid w:val="00CB4230"/>
    <w:rsid w:val="00CB431B"/>
    <w:rsid w:val="00CB464F"/>
    <w:rsid w:val="00CB4A77"/>
    <w:rsid w:val="00CB4EA5"/>
    <w:rsid w:val="00CB557F"/>
    <w:rsid w:val="00CB592B"/>
    <w:rsid w:val="00CB5BA9"/>
    <w:rsid w:val="00CB5C5F"/>
    <w:rsid w:val="00CB5F32"/>
    <w:rsid w:val="00CB600E"/>
    <w:rsid w:val="00CB65B8"/>
    <w:rsid w:val="00CB6CDF"/>
    <w:rsid w:val="00CB6D9A"/>
    <w:rsid w:val="00CB71C2"/>
    <w:rsid w:val="00CB7264"/>
    <w:rsid w:val="00CB730F"/>
    <w:rsid w:val="00CB761C"/>
    <w:rsid w:val="00CB766A"/>
    <w:rsid w:val="00CB76B5"/>
    <w:rsid w:val="00CB7AD6"/>
    <w:rsid w:val="00CB7C85"/>
    <w:rsid w:val="00CC0495"/>
    <w:rsid w:val="00CC0812"/>
    <w:rsid w:val="00CC110F"/>
    <w:rsid w:val="00CC11B8"/>
    <w:rsid w:val="00CC1AF9"/>
    <w:rsid w:val="00CC20E0"/>
    <w:rsid w:val="00CC26CA"/>
    <w:rsid w:val="00CC2818"/>
    <w:rsid w:val="00CC2C47"/>
    <w:rsid w:val="00CC2F7A"/>
    <w:rsid w:val="00CC3A70"/>
    <w:rsid w:val="00CC4033"/>
    <w:rsid w:val="00CC40B8"/>
    <w:rsid w:val="00CC4C96"/>
    <w:rsid w:val="00CC5444"/>
    <w:rsid w:val="00CC5631"/>
    <w:rsid w:val="00CC5D47"/>
    <w:rsid w:val="00CC61D6"/>
    <w:rsid w:val="00CC62A6"/>
    <w:rsid w:val="00CC676C"/>
    <w:rsid w:val="00CC6820"/>
    <w:rsid w:val="00CC71CC"/>
    <w:rsid w:val="00CC7A11"/>
    <w:rsid w:val="00CC7E25"/>
    <w:rsid w:val="00CD04A8"/>
    <w:rsid w:val="00CD051B"/>
    <w:rsid w:val="00CD1DB1"/>
    <w:rsid w:val="00CD22B5"/>
    <w:rsid w:val="00CD22F4"/>
    <w:rsid w:val="00CD25E1"/>
    <w:rsid w:val="00CD3212"/>
    <w:rsid w:val="00CD367C"/>
    <w:rsid w:val="00CD454A"/>
    <w:rsid w:val="00CD4905"/>
    <w:rsid w:val="00CD4F54"/>
    <w:rsid w:val="00CD4FFE"/>
    <w:rsid w:val="00CD57FA"/>
    <w:rsid w:val="00CD5A6E"/>
    <w:rsid w:val="00CD64B9"/>
    <w:rsid w:val="00CD64EA"/>
    <w:rsid w:val="00CD711F"/>
    <w:rsid w:val="00CD74A7"/>
    <w:rsid w:val="00CD79B2"/>
    <w:rsid w:val="00CE12FA"/>
    <w:rsid w:val="00CE1382"/>
    <w:rsid w:val="00CE157C"/>
    <w:rsid w:val="00CE1AF6"/>
    <w:rsid w:val="00CE2298"/>
    <w:rsid w:val="00CE2E5C"/>
    <w:rsid w:val="00CE3064"/>
    <w:rsid w:val="00CE374F"/>
    <w:rsid w:val="00CE39E4"/>
    <w:rsid w:val="00CE4282"/>
    <w:rsid w:val="00CE54E1"/>
    <w:rsid w:val="00CE55B6"/>
    <w:rsid w:val="00CE5856"/>
    <w:rsid w:val="00CE5BDE"/>
    <w:rsid w:val="00CE6A6D"/>
    <w:rsid w:val="00CE6C0F"/>
    <w:rsid w:val="00CE774C"/>
    <w:rsid w:val="00CF012E"/>
    <w:rsid w:val="00CF04D4"/>
    <w:rsid w:val="00CF0B4C"/>
    <w:rsid w:val="00CF1594"/>
    <w:rsid w:val="00CF1680"/>
    <w:rsid w:val="00CF1BD7"/>
    <w:rsid w:val="00CF21A5"/>
    <w:rsid w:val="00CF21F9"/>
    <w:rsid w:val="00CF244F"/>
    <w:rsid w:val="00CF2518"/>
    <w:rsid w:val="00CF2DDE"/>
    <w:rsid w:val="00CF2FA6"/>
    <w:rsid w:val="00CF3352"/>
    <w:rsid w:val="00CF344A"/>
    <w:rsid w:val="00CF39A0"/>
    <w:rsid w:val="00CF3D1C"/>
    <w:rsid w:val="00CF4713"/>
    <w:rsid w:val="00CF48BE"/>
    <w:rsid w:val="00CF4B12"/>
    <w:rsid w:val="00CF58FE"/>
    <w:rsid w:val="00CF5EBE"/>
    <w:rsid w:val="00CF5EDE"/>
    <w:rsid w:val="00CF7581"/>
    <w:rsid w:val="00CF783B"/>
    <w:rsid w:val="00CF7D97"/>
    <w:rsid w:val="00CF7E7C"/>
    <w:rsid w:val="00CF7EEC"/>
    <w:rsid w:val="00D001C2"/>
    <w:rsid w:val="00D00779"/>
    <w:rsid w:val="00D009D8"/>
    <w:rsid w:val="00D01105"/>
    <w:rsid w:val="00D012E1"/>
    <w:rsid w:val="00D01318"/>
    <w:rsid w:val="00D01665"/>
    <w:rsid w:val="00D01D1E"/>
    <w:rsid w:val="00D02363"/>
    <w:rsid w:val="00D02580"/>
    <w:rsid w:val="00D03BF7"/>
    <w:rsid w:val="00D03F03"/>
    <w:rsid w:val="00D03F1E"/>
    <w:rsid w:val="00D0428E"/>
    <w:rsid w:val="00D04426"/>
    <w:rsid w:val="00D0482F"/>
    <w:rsid w:val="00D04A33"/>
    <w:rsid w:val="00D051F6"/>
    <w:rsid w:val="00D05892"/>
    <w:rsid w:val="00D05940"/>
    <w:rsid w:val="00D05CAA"/>
    <w:rsid w:val="00D06824"/>
    <w:rsid w:val="00D06C03"/>
    <w:rsid w:val="00D072D8"/>
    <w:rsid w:val="00D100F5"/>
    <w:rsid w:val="00D101C4"/>
    <w:rsid w:val="00D1037A"/>
    <w:rsid w:val="00D10D09"/>
    <w:rsid w:val="00D1163E"/>
    <w:rsid w:val="00D1172D"/>
    <w:rsid w:val="00D11A03"/>
    <w:rsid w:val="00D11D35"/>
    <w:rsid w:val="00D12362"/>
    <w:rsid w:val="00D124F7"/>
    <w:rsid w:val="00D1299B"/>
    <w:rsid w:val="00D12A4F"/>
    <w:rsid w:val="00D12C51"/>
    <w:rsid w:val="00D132B5"/>
    <w:rsid w:val="00D139C5"/>
    <w:rsid w:val="00D13D92"/>
    <w:rsid w:val="00D149C3"/>
    <w:rsid w:val="00D14C0C"/>
    <w:rsid w:val="00D14C15"/>
    <w:rsid w:val="00D1595C"/>
    <w:rsid w:val="00D15CB3"/>
    <w:rsid w:val="00D15F51"/>
    <w:rsid w:val="00D164FC"/>
    <w:rsid w:val="00D16ED5"/>
    <w:rsid w:val="00D202B1"/>
    <w:rsid w:val="00D20662"/>
    <w:rsid w:val="00D20AF2"/>
    <w:rsid w:val="00D20CCE"/>
    <w:rsid w:val="00D21291"/>
    <w:rsid w:val="00D216D2"/>
    <w:rsid w:val="00D21C8A"/>
    <w:rsid w:val="00D21E84"/>
    <w:rsid w:val="00D2297E"/>
    <w:rsid w:val="00D22A88"/>
    <w:rsid w:val="00D22DE5"/>
    <w:rsid w:val="00D2334C"/>
    <w:rsid w:val="00D233BD"/>
    <w:rsid w:val="00D233D7"/>
    <w:rsid w:val="00D23CBB"/>
    <w:rsid w:val="00D250B0"/>
    <w:rsid w:val="00D25773"/>
    <w:rsid w:val="00D25806"/>
    <w:rsid w:val="00D259A3"/>
    <w:rsid w:val="00D25E9D"/>
    <w:rsid w:val="00D25F1C"/>
    <w:rsid w:val="00D26DE6"/>
    <w:rsid w:val="00D26EE7"/>
    <w:rsid w:val="00D271FB"/>
    <w:rsid w:val="00D30718"/>
    <w:rsid w:val="00D31843"/>
    <w:rsid w:val="00D318C9"/>
    <w:rsid w:val="00D322FB"/>
    <w:rsid w:val="00D32475"/>
    <w:rsid w:val="00D328DB"/>
    <w:rsid w:val="00D32EF4"/>
    <w:rsid w:val="00D337AC"/>
    <w:rsid w:val="00D33DEE"/>
    <w:rsid w:val="00D33F81"/>
    <w:rsid w:val="00D3406B"/>
    <w:rsid w:val="00D3429B"/>
    <w:rsid w:val="00D34561"/>
    <w:rsid w:val="00D34850"/>
    <w:rsid w:val="00D34867"/>
    <w:rsid w:val="00D34EA1"/>
    <w:rsid w:val="00D34FA8"/>
    <w:rsid w:val="00D35060"/>
    <w:rsid w:val="00D3530C"/>
    <w:rsid w:val="00D358D4"/>
    <w:rsid w:val="00D36507"/>
    <w:rsid w:val="00D369D4"/>
    <w:rsid w:val="00D36AD7"/>
    <w:rsid w:val="00D37222"/>
    <w:rsid w:val="00D373E9"/>
    <w:rsid w:val="00D379BF"/>
    <w:rsid w:val="00D37C61"/>
    <w:rsid w:val="00D401CF"/>
    <w:rsid w:val="00D403FF"/>
    <w:rsid w:val="00D404C4"/>
    <w:rsid w:val="00D40C76"/>
    <w:rsid w:val="00D40CE9"/>
    <w:rsid w:val="00D410DC"/>
    <w:rsid w:val="00D41ECF"/>
    <w:rsid w:val="00D42115"/>
    <w:rsid w:val="00D4258F"/>
    <w:rsid w:val="00D42605"/>
    <w:rsid w:val="00D42EFD"/>
    <w:rsid w:val="00D457D1"/>
    <w:rsid w:val="00D457EA"/>
    <w:rsid w:val="00D458AA"/>
    <w:rsid w:val="00D45933"/>
    <w:rsid w:val="00D46338"/>
    <w:rsid w:val="00D4646A"/>
    <w:rsid w:val="00D46BA2"/>
    <w:rsid w:val="00D47234"/>
    <w:rsid w:val="00D47281"/>
    <w:rsid w:val="00D47537"/>
    <w:rsid w:val="00D47581"/>
    <w:rsid w:val="00D475D4"/>
    <w:rsid w:val="00D50295"/>
    <w:rsid w:val="00D5069A"/>
    <w:rsid w:val="00D50E43"/>
    <w:rsid w:val="00D51469"/>
    <w:rsid w:val="00D51A9E"/>
    <w:rsid w:val="00D5215E"/>
    <w:rsid w:val="00D524B2"/>
    <w:rsid w:val="00D52B45"/>
    <w:rsid w:val="00D530EB"/>
    <w:rsid w:val="00D53354"/>
    <w:rsid w:val="00D53393"/>
    <w:rsid w:val="00D535B1"/>
    <w:rsid w:val="00D535B6"/>
    <w:rsid w:val="00D53696"/>
    <w:rsid w:val="00D54B84"/>
    <w:rsid w:val="00D55235"/>
    <w:rsid w:val="00D55CB0"/>
    <w:rsid w:val="00D55D78"/>
    <w:rsid w:val="00D56734"/>
    <w:rsid w:val="00D572B2"/>
    <w:rsid w:val="00D57436"/>
    <w:rsid w:val="00D57F53"/>
    <w:rsid w:val="00D60637"/>
    <w:rsid w:val="00D60CAB"/>
    <w:rsid w:val="00D61047"/>
    <w:rsid w:val="00D610FD"/>
    <w:rsid w:val="00D612AF"/>
    <w:rsid w:val="00D619F3"/>
    <w:rsid w:val="00D6216B"/>
    <w:rsid w:val="00D6244F"/>
    <w:rsid w:val="00D62A5B"/>
    <w:rsid w:val="00D62B43"/>
    <w:rsid w:val="00D62ECD"/>
    <w:rsid w:val="00D63748"/>
    <w:rsid w:val="00D639F0"/>
    <w:rsid w:val="00D63C1B"/>
    <w:rsid w:val="00D63D76"/>
    <w:rsid w:val="00D64BFF"/>
    <w:rsid w:val="00D64D7F"/>
    <w:rsid w:val="00D64DE1"/>
    <w:rsid w:val="00D64E3F"/>
    <w:rsid w:val="00D65103"/>
    <w:rsid w:val="00D653D0"/>
    <w:rsid w:val="00D66702"/>
    <w:rsid w:val="00D6692A"/>
    <w:rsid w:val="00D66C68"/>
    <w:rsid w:val="00D66E55"/>
    <w:rsid w:val="00D674E9"/>
    <w:rsid w:val="00D6799A"/>
    <w:rsid w:val="00D67A12"/>
    <w:rsid w:val="00D7009C"/>
    <w:rsid w:val="00D703A3"/>
    <w:rsid w:val="00D7096B"/>
    <w:rsid w:val="00D70F17"/>
    <w:rsid w:val="00D7101F"/>
    <w:rsid w:val="00D711F2"/>
    <w:rsid w:val="00D712DA"/>
    <w:rsid w:val="00D719EF"/>
    <w:rsid w:val="00D72327"/>
    <w:rsid w:val="00D72356"/>
    <w:rsid w:val="00D727E0"/>
    <w:rsid w:val="00D72B87"/>
    <w:rsid w:val="00D72C72"/>
    <w:rsid w:val="00D72E40"/>
    <w:rsid w:val="00D73260"/>
    <w:rsid w:val="00D73523"/>
    <w:rsid w:val="00D74160"/>
    <w:rsid w:val="00D74DE9"/>
    <w:rsid w:val="00D756CA"/>
    <w:rsid w:val="00D75D22"/>
    <w:rsid w:val="00D75DA5"/>
    <w:rsid w:val="00D76C58"/>
    <w:rsid w:val="00D76CF2"/>
    <w:rsid w:val="00D76E7C"/>
    <w:rsid w:val="00D77182"/>
    <w:rsid w:val="00D775D8"/>
    <w:rsid w:val="00D77720"/>
    <w:rsid w:val="00D77EBE"/>
    <w:rsid w:val="00D80B40"/>
    <w:rsid w:val="00D8155B"/>
    <w:rsid w:val="00D81D9A"/>
    <w:rsid w:val="00D81E79"/>
    <w:rsid w:val="00D825A5"/>
    <w:rsid w:val="00D825B7"/>
    <w:rsid w:val="00D8290E"/>
    <w:rsid w:val="00D8298C"/>
    <w:rsid w:val="00D82AD1"/>
    <w:rsid w:val="00D82E6E"/>
    <w:rsid w:val="00D83040"/>
    <w:rsid w:val="00D8323B"/>
    <w:rsid w:val="00D83489"/>
    <w:rsid w:val="00D83665"/>
    <w:rsid w:val="00D83D13"/>
    <w:rsid w:val="00D841AC"/>
    <w:rsid w:val="00D84B44"/>
    <w:rsid w:val="00D84E90"/>
    <w:rsid w:val="00D850E2"/>
    <w:rsid w:val="00D8589D"/>
    <w:rsid w:val="00D85A81"/>
    <w:rsid w:val="00D86466"/>
    <w:rsid w:val="00D870E8"/>
    <w:rsid w:val="00D87144"/>
    <w:rsid w:val="00D87423"/>
    <w:rsid w:val="00D87452"/>
    <w:rsid w:val="00D87485"/>
    <w:rsid w:val="00D907CB"/>
    <w:rsid w:val="00D908DC"/>
    <w:rsid w:val="00D90E6E"/>
    <w:rsid w:val="00D91BF2"/>
    <w:rsid w:val="00D92553"/>
    <w:rsid w:val="00D926ED"/>
    <w:rsid w:val="00D931C5"/>
    <w:rsid w:val="00D93C1C"/>
    <w:rsid w:val="00D94026"/>
    <w:rsid w:val="00D94120"/>
    <w:rsid w:val="00D94F00"/>
    <w:rsid w:val="00D951DD"/>
    <w:rsid w:val="00D951F0"/>
    <w:rsid w:val="00D952ED"/>
    <w:rsid w:val="00D9568C"/>
    <w:rsid w:val="00D957FA"/>
    <w:rsid w:val="00D95DF1"/>
    <w:rsid w:val="00D95E55"/>
    <w:rsid w:val="00D9664C"/>
    <w:rsid w:val="00D966E6"/>
    <w:rsid w:val="00D96D2A"/>
    <w:rsid w:val="00D97235"/>
    <w:rsid w:val="00D97404"/>
    <w:rsid w:val="00D975A3"/>
    <w:rsid w:val="00D979D0"/>
    <w:rsid w:val="00D97A24"/>
    <w:rsid w:val="00DA07D5"/>
    <w:rsid w:val="00DA08CA"/>
    <w:rsid w:val="00DA0F37"/>
    <w:rsid w:val="00DA101A"/>
    <w:rsid w:val="00DA122C"/>
    <w:rsid w:val="00DA1547"/>
    <w:rsid w:val="00DA1766"/>
    <w:rsid w:val="00DA2266"/>
    <w:rsid w:val="00DA239B"/>
    <w:rsid w:val="00DA2FD5"/>
    <w:rsid w:val="00DA446D"/>
    <w:rsid w:val="00DA4838"/>
    <w:rsid w:val="00DA4989"/>
    <w:rsid w:val="00DA4FCB"/>
    <w:rsid w:val="00DA52D7"/>
    <w:rsid w:val="00DA5721"/>
    <w:rsid w:val="00DA5C27"/>
    <w:rsid w:val="00DA5FA8"/>
    <w:rsid w:val="00DA6173"/>
    <w:rsid w:val="00DA693B"/>
    <w:rsid w:val="00DA69D9"/>
    <w:rsid w:val="00DA72B1"/>
    <w:rsid w:val="00DA7477"/>
    <w:rsid w:val="00DA7573"/>
    <w:rsid w:val="00DA7BD4"/>
    <w:rsid w:val="00DB000B"/>
    <w:rsid w:val="00DB00F2"/>
    <w:rsid w:val="00DB0191"/>
    <w:rsid w:val="00DB0359"/>
    <w:rsid w:val="00DB0EF6"/>
    <w:rsid w:val="00DB0F8A"/>
    <w:rsid w:val="00DB103A"/>
    <w:rsid w:val="00DB2073"/>
    <w:rsid w:val="00DB26A8"/>
    <w:rsid w:val="00DB27CF"/>
    <w:rsid w:val="00DB324C"/>
    <w:rsid w:val="00DB3314"/>
    <w:rsid w:val="00DB3512"/>
    <w:rsid w:val="00DB3FD3"/>
    <w:rsid w:val="00DB487F"/>
    <w:rsid w:val="00DB5F2A"/>
    <w:rsid w:val="00DB614F"/>
    <w:rsid w:val="00DB6F45"/>
    <w:rsid w:val="00DB72B7"/>
    <w:rsid w:val="00DB7546"/>
    <w:rsid w:val="00DB7D6D"/>
    <w:rsid w:val="00DB7DD5"/>
    <w:rsid w:val="00DB7E24"/>
    <w:rsid w:val="00DC04AF"/>
    <w:rsid w:val="00DC0624"/>
    <w:rsid w:val="00DC0628"/>
    <w:rsid w:val="00DC0984"/>
    <w:rsid w:val="00DC0CF8"/>
    <w:rsid w:val="00DC0FC3"/>
    <w:rsid w:val="00DC127F"/>
    <w:rsid w:val="00DC1A58"/>
    <w:rsid w:val="00DC1AC0"/>
    <w:rsid w:val="00DC1CDD"/>
    <w:rsid w:val="00DC1D8E"/>
    <w:rsid w:val="00DC20C3"/>
    <w:rsid w:val="00DC227A"/>
    <w:rsid w:val="00DC2360"/>
    <w:rsid w:val="00DC26E4"/>
    <w:rsid w:val="00DC2BAE"/>
    <w:rsid w:val="00DC2CEE"/>
    <w:rsid w:val="00DC3257"/>
    <w:rsid w:val="00DC3279"/>
    <w:rsid w:val="00DC3ABB"/>
    <w:rsid w:val="00DC3BF1"/>
    <w:rsid w:val="00DC42F1"/>
    <w:rsid w:val="00DC4A50"/>
    <w:rsid w:val="00DC4D1D"/>
    <w:rsid w:val="00DC4D87"/>
    <w:rsid w:val="00DC54EB"/>
    <w:rsid w:val="00DC580A"/>
    <w:rsid w:val="00DC5B50"/>
    <w:rsid w:val="00DC5D84"/>
    <w:rsid w:val="00DC5EDC"/>
    <w:rsid w:val="00DC6165"/>
    <w:rsid w:val="00DC66BC"/>
    <w:rsid w:val="00DC6788"/>
    <w:rsid w:val="00DC6932"/>
    <w:rsid w:val="00DC727F"/>
    <w:rsid w:val="00DC7DE8"/>
    <w:rsid w:val="00DC7E78"/>
    <w:rsid w:val="00DD0162"/>
    <w:rsid w:val="00DD0493"/>
    <w:rsid w:val="00DD0924"/>
    <w:rsid w:val="00DD0CBF"/>
    <w:rsid w:val="00DD1071"/>
    <w:rsid w:val="00DD12FD"/>
    <w:rsid w:val="00DD1576"/>
    <w:rsid w:val="00DD1B31"/>
    <w:rsid w:val="00DD1BE8"/>
    <w:rsid w:val="00DD2893"/>
    <w:rsid w:val="00DD336F"/>
    <w:rsid w:val="00DD3FA3"/>
    <w:rsid w:val="00DD4717"/>
    <w:rsid w:val="00DD4F74"/>
    <w:rsid w:val="00DD5207"/>
    <w:rsid w:val="00DD531F"/>
    <w:rsid w:val="00DD556C"/>
    <w:rsid w:val="00DD5737"/>
    <w:rsid w:val="00DD5BFA"/>
    <w:rsid w:val="00DD5D67"/>
    <w:rsid w:val="00DD5E81"/>
    <w:rsid w:val="00DD6C46"/>
    <w:rsid w:val="00DD6C7A"/>
    <w:rsid w:val="00DD6F44"/>
    <w:rsid w:val="00DD7A05"/>
    <w:rsid w:val="00DD7CCA"/>
    <w:rsid w:val="00DD7F29"/>
    <w:rsid w:val="00DE0BDE"/>
    <w:rsid w:val="00DE10CF"/>
    <w:rsid w:val="00DE1270"/>
    <w:rsid w:val="00DE19A7"/>
    <w:rsid w:val="00DE1E1E"/>
    <w:rsid w:val="00DE1E38"/>
    <w:rsid w:val="00DE223E"/>
    <w:rsid w:val="00DE2391"/>
    <w:rsid w:val="00DE2508"/>
    <w:rsid w:val="00DE2B92"/>
    <w:rsid w:val="00DE2C4A"/>
    <w:rsid w:val="00DE2D33"/>
    <w:rsid w:val="00DE34EB"/>
    <w:rsid w:val="00DE3592"/>
    <w:rsid w:val="00DE3E78"/>
    <w:rsid w:val="00DE41F8"/>
    <w:rsid w:val="00DE4257"/>
    <w:rsid w:val="00DE4B9D"/>
    <w:rsid w:val="00DE4FFF"/>
    <w:rsid w:val="00DE50EA"/>
    <w:rsid w:val="00DE545C"/>
    <w:rsid w:val="00DE5C9F"/>
    <w:rsid w:val="00DE734E"/>
    <w:rsid w:val="00DE7887"/>
    <w:rsid w:val="00DE7BF8"/>
    <w:rsid w:val="00DF0134"/>
    <w:rsid w:val="00DF0DC3"/>
    <w:rsid w:val="00DF14F9"/>
    <w:rsid w:val="00DF1C2D"/>
    <w:rsid w:val="00DF1EA2"/>
    <w:rsid w:val="00DF1FAE"/>
    <w:rsid w:val="00DF213A"/>
    <w:rsid w:val="00DF245A"/>
    <w:rsid w:val="00DF258B"/>
    <w:rsid w:val="00DF2968"/>
    <w:rsid w:val="00DF2AD9"/>
    <w:rsid w:val="00DF3991"/>
    <w:rsid w:val="00DF4384"/>
    <w:rsid w:val="00DF4538"/>
    <w:rsid w:val="00DF54D0"/>
    <w:rsid w:val="00DF580C"/>
    <w:rsid w:val="00DF5C1A"/>
    <w:rsid w:val="00DF5DC1"/>
    <w:rsid w:val="00DF6BCB"/>
    <w:rsid w:val="00DF6D45"/>
    <w:rsid w:val="00DF7042"/>
    <w:rsid w:val="00DF78FD"/>
    <w:rsid w:val="00DF7D21"/>
    <w:rsid w:val="00DF7EFE"/>
    <w:rsid w:val="00DF7F2F"/>
    <w:rsid w:val="00E00007"/>
    <w:rsid w:val="00E00E15"/>
    <w:rsid w:val="00E00F63"/>
    <w:rsid w:val="00E00F99"/>
    <w:rsid w:val="00E01210"/>
    <w:rsid w:val="00E01D50"/>
    <w:rsid w:val="00E02664"/>
    <w:rsid w:val="00E02C4D"/>
    <w:rsid w:val="00E031A5"/>
    <w:rsid w:val="00E0341B"/>
    <w:rsid w:val="00E0348F"/>
    <w:rsid w:val="00E035A6"/>
    <w:rsid w:val="00E038F5"/>
    <w:rsid w:val="00E03D67"/>
    <w:rsid w:val="00E04510"/>
    <w:rsid w:val="00E04747"/>
    <w:rsid w:val="00E04784"/>
    <w:rsid w:val="00E05569"/>
    <w:rsid w:val="00E05A6C"/>
    <w:rsid w:val="00E05EA4"/>
    <w:rsid w:val="00E05F59"/>
    <w:rsid w:val="00E0655D"/>
    <w:rsid w:val="00E074D5"/>
    <w:rsid w:val="00E1020C"/>
    <w:rsid w:val="00E1024A"/>
    <w:rsid w:val="00E103A1"/>
    <w:rsid w:val="00E10B17"/>
    <w:rsid w:val="00E10B67"/>
    <w:rsid w:val="00E10CD7"/>
    <w:rsid w:val="00E12742"/>
    <w:rsid w:val="00E128FC"/>
    <w:rsid w:val="00E12AB9"/>
    <w:rsid w:val="00E12B67"/>
    <w:rsid w:val="00E13362"/>
    <w:rsid w:val="00E13893"/>
    <w:rsid w:val="00E141D3"/>
    <w:rsid w:val="00E14941"/>
    <w:rsid w:val="00E1526B"/>
    <w:rsid w:val="00E1534B"/>
    <w:rsid w:val="00E15408"/>
    <w:rsid w:val="00E15743"/>
    <w:rsid w:val="00E15C52"/>
    <w:rsid w:val="00E15DCF"/>
    <w:rsid w:val="00E15EDA"/>
    <w:rsid w:val="00E15F0B"/>
    <w:rsid w:val="00E160E8"/>
    <w:rsid w:val="00E16199"/>
    <w:rsid w:val="00E16311"/>
    <w:rsid w:val="00E16A5B"/>
    <w:rsid w:val="00E16CF4"/>
    <w:rsid w:val="00E16F4D"/>
    <w:rsid w:val="00E1702C"/>
    <w:rsid w:val="00E177BB"/>
    <w:rsid w:val="00E17CE4"/>
    <w:rsid w:val="00E20CC5"/>
    <w:rsid w:val="00E21062"/>
    <w:rsid w:val="00E21ACA"/>
    <w:rsid w:val="00E220B8"/>
    <w:rsid w:val="00E22B80"/>
    <w:rsid w:val="00E22C0E"/>
    <w:rsid w:val="00E22CFF"/>
    <w:rsid w:val="00E231CD"/>
    <w:rsid w:val="00E231E1"/>
    <w:rsid w:val="00E23888"/>
    <w:rsid w:val="00E23908"/>
    <w:rsid w:val="00E239A2"/>
    <w:rsid w:val="00E23B9C"/>
    <w:rsid w:val="00E23CE3"/>
    <w:rsid w:val="00E23CF7"/>
    <w:rsid w:val="00E23E76"/>
    <w:rsid w:val="00E248B9"/>
    <w:rsid w:val="00E249DB"/>
    <w:rsid w:val="00E253A3"/>
    <w:rsid w:val="00E25402"/>
    <w:rsid w:val="00E259B0"/>
    <w:rsid w:val="00E25AF8"/>
    <w:rsid w:val="00E26AEC"/>
    <w:rsid w:val="00E274FF"/>
    <w:rsid w:val="00E2757B"/>
    <w:rsid w:val="00E2792D"/>
    <w:rsid w:val="00E27BC2"/>
    <w:rsid w:val="00E30828"/>
    <w:rsid w:val="00E30B37"/>
    <w:rsid w:val="00E3109C"/>
    <w:rsid w:val="00E311D1"/>
    <w:rsid w:val="00E31304"/>
    <w:rsid w:val="00E31C2D"/>
    <w:rsid w:val="00E32432"/>
    <w:rsid w:val="00E32EFE"/>
    <w:rsid w:val="00E338FA"/>
    <w:rsid w:val="00E33B1E"/>
    <w:rsid w:val="00E34277"/>
    <w:rsid w:val="00E34D81"/>
    <w:rsid w:val="00E34FFE"/>
    <w:rsid w:val="00E35B5E"/>
    <w:rsid w:val="00E3621B"/>
    <w:rsid w:val="00E36F43"/>
    <w:rsid w:val="00E37A66"/>
    <w:rsid w:val="00E37F0C"/>
    <w:rsid w:val="00E400E9"/>
    <w:rsid w:val="00E40ADF"/>
    <w:rsid w:val="00E4124E"/>
    <w:rsid w:val="00E418E3"/>
    <w:rsid w:val="00E423DE"/>
    <w:rsid w:val="00E42D44"/>
    <w:rsid w:val="00E42F07"/>
    <w:rsid w:val="00E4370F"/>
    <w:rsid w:val="00E43CDA"/>
    <w:rsid w:val="00E4441D"/>
    <w:rsid w:val="00E453AB"/>
    <w:rsid w:val="00E462E6"/>
    <w:rsid w:val="00E463A0"/>
    <w:rsid w:val="00E46FE3"/>
    <w:rsid w:val="00E47839"/>
    <w:rsid w:val="00E508E1"/>
    <w:rsid w:val="00E51CDE"/>
    <w:rsid w:val="00E5210B"/>
    <w:rsid w:val="00E52716"/>
    <w:rsid w:val="00E5359F"/>
    <w:rsid w:val="00E53631"/>
    <w:rsid w:val="00E5388F"/>
    <w:rsid w:val="00E54239"/>
    <w:rsid w:val="00E54272"/>
    <w:rsid w:val="00E542BC"/>
    <w:rsid w:val="00E54521"/>
    <w:rsid w:val="00E54617"/>
    <w:rsid w:val="00E5484B"/>
    <w:rsid w:val="00E56023"/>
    <w:rsid w:val="00E56D6E"/>
    <w:rsid w:val="00E56FEF"/>
    <w:rsid w:val="00E577F9"/>
    <w:rsid w:val="00E5782D"/>
    <w:rsid w:val="00E57FB5"/>
    <w:rsid w:val="00E60002"/>
    <w:rsid w:val="00E601D6"/>
    <w:rsid w:val="00E60F14"/>
    <w:rsid w:val="00E61B23"/>
    <w:rsid w:val="00E61CDD"/>
    <w:rsid w:val="00E625BE"/>
    <w:rsid w:val="00E6261F"/>
    <w:rsid w:val="00E6284B"/>
    <w:rsid w:val="00E62D07"/>
    <w:rsid w:val="00E62DF6"/>
    <w:rsid w:val="00E6333E"/>
    <w:rsid w:val="00E63A22"/>
    <w:rsid w:val="00E63B8F"/>
    <w:rsid w:val="00E63F15"/>
    <w:rsid w:val="00E646B5"/>
    <w:rsid w:val="00E65146"/>
    <w:rsid w:val="00E65427"/>
    <w:rsid w:val="00E6543F"/>
    <w:rsid w:val="00E65A14"/>
    <w:rsid w:val="00E66185"/>
    <w:rsid w:val="00E661C0"/>
    <w:rsid w:val="00E663F5"/>
    <w:rsid w:val="00E66D4E"/>
    <w:rsid w:val="00E66E97"/>
    <w:rsid w:val="00E70969"/>
    <w:rsid w:val="00E70BD6"/>
    <w:rsid w:val="00E71305"/>
    <w:rsid w:val="00E71637"/>
    <w:rsid w:val="00E71CBF"/>
    <w:rsid w:val="00E72383"/>
    <w:rsid w:val="00E724D2"/>
    <w:rsid w:val="00E72D9F"/>
    <w:rsid w:val="00E73C41"/>
    <w:rsid w:val="00E73EDF"/>
    <w:rsid w:val="00E74933"/>
    <w:rsid w:val="00E74EDC"/>
    <w:rsid w:val="00E75737"/>
    <w:rsid w:val="00E75875"/>
    <w:rsid w:val="00E75886"/>
    <w:rsid w:val="00E75D6E"/>
    <w:rsid w:val="00E76007"/>
    <w:rsid w:val="00E76181"/>
    <w:rsid w:val="00E761C3"/>
    <w:rsid w:val="00E768F1"/>
    <w:rsid w:val="00E76C56"/>
    <w:rsid w:val="00E76C91"/>
    <w:rsid w:val="00E76EE6"/>
    <w:rsid w:val="00E770F2"/>
    <w:rsid w:val="00E77382"/>
    <w:rsid w:val="00E774CC"/>
    <w:rsid w:val="00E77A51"/>
    <w:rsid w:val="00E77EAC"/>
    <w:rsid w:val="00E81069"/>
    <w:rsid w:val="00E817AD"/>
    <w:rsid w:val="00E817EF"/>
    <w:rsid w:val="00E8184F"/>
    <w:rsid w:val="00E81BF7"/>
    <w:rsid w:val="00E823BD"/>
    <w:rsid w:val="00E8258A"/>
    <w:rsid w:val="00E82627"/>
    <w:rsid w:val="00E828D5"/>
    <w:rsid w:val="00E82A3C"/>
    <w:rsid w:val="00E82D81"/>
    <w:rsid w:val="00E83259"/>
    <w:rsid w:val="00E832A2"/>
    <w:rsid w:val="00E839BE"/>
    <w:rsid w:val="00E83CAC"/>
    <w:rsid w:val="00E84C89"/>
    <w:rsid w:val="00E84FEE"/>
    <w:rsid w:val="00E85275"/>
    <w:rsid w:val="00E852B8"/>
    <w:rsid w:val="00E85E56"/>
    <w:rsid w:val="00E860DD"/>
    <w:rsid w:val="00E860F2"/>
    <w:rsid w:val="00E8713D"/>
    <w:rsid w:val="00E87BFA"/>
    <w:rsid w:val="00E87F61"/>
    <w:rsid w:val="00E9001E"/>
    <w:rsid w:val="00E90329"/>
    <w:rsid w:val="00E905A8"/>
    <w:rsid w:val="00E90620"/>
    <w:rsid w:val="00E910D5"/>
    <w:rsid w:val="00E91F47"/>
    <w:rsid w:val="00E922C4"/>
    <w:rsid w:val="00E92EB3"/>
    <w:rsid w:val="00E932D3"/>
    <w:rsid w:val="00E943AE"/>
    <w:rsid w:val="00E947B0"/>
    <w:rsid w:val="00E9485C"/>
    <w:rsid w:val="00E95D82"/>
    <w:rsid w:val="00E95F21"/>
    <w:rsid w:val="00E96273"/>
    <w:rsid w:val="00E96DD5"/>
    <w:rsid w:val="00E96E1C"/>
    <w:rsid w:val="00E96E97"/>
    <w:rsid w:val="00E974A6"/>
    <w:rsid w:val="00E97CED"/>
    <w:rsid w:val="00E97D49"/>
    <w:rsid w:val="00EA0251"/>
    <w:rsid w:val="00EA035D"/>
    <w:rsid w:val="00EA1065"/>
    <w:rsid w:val="00EA1434"/>
    <w:rsid w:val="00EA17BC"/>
    <w:rsid w:val="00EA213B"/>
    <w:rsid w:val="00EA2149"/>
    <w:rsid w:val="00EA242E"/>
    <w:rsid w:val="00EA3C3E"/>
    <w:rsid w:val="00EA4694"/>
    <w:rsid w:val="00EA48D3"/>
    <w:rsid w:val="00EA495C"/>
    <w:rsid w:val="00EA546B"/>
    <w:rsid w:val="00EA57C5"/>
    <w:rsid w:val="00EA5D7E"/>
    <w:rsid w:val="00EA5F31"/>
    <w:rsid w:val="00EA5F92"/>
    <w:rsid w:val="00EA6156"/>
    <w:rsid w:val="00EA647D"/>
    <w:rsid w:val="00EA64B4"/>
    <w:rsid w:val="00EA65F1"/>
    <w:rsid w:val="00EA6665"/>
    <w:rsid w:val="00EA6935"/>
    <w:rsid w:val="00EA6967"/>
    <w:rsid w:val="00EA6F44"/>
    <w:rsid w:val="00EA7613"/>
    <w:rsid w:val="00EA793B"/>
    <w:rsid w:val="00EA79DA"/>
    <w:rsid w:val="00EA7A7E"/>
    <w:rsid w:val="00EB05DA"/>
    <w:rsid w:val="00EB08B8"/>
    <w:rsid w:val="00EB190F"/>
    <w:rsid w:val="00EB22BF"/>
    <w:rsid w:val="00EB235B"/>
    <w:rsid w:val="00EB2953"/>
    <w:rsid w:val="00EB31A3"/>
    <w:rsid w:val="00EB325B"/>
    <w:rsid w:val="00EB3445"/>
    <w:rsid w:val="00EB3E22"/>
    <w:rsid w:val="00EB435E"/>
    <w:rsid w:val="00EB49AA"/>
    <w:rsid w:val="00EB58DE"/>
    <w:rsid w:val="00EB6561"/>
    <w:rsid w:val="00EB693B"/>
    <w:rsid w:val="00EB6A45"/>
    <w:rsid w:val="00EB7144"/>
    <w:rsid w:val="00EB73B4"/>
    <w:rsid w:val="00EB7BA9"/>
    <w:rsid w:val="00EB7D75"/>
    <w:rsid w:val="00EC0670"/>
    <w:rsid w:val="00EC0B20"/>
    <w:rsid w:val="00EC0EE7"/>
    <w:rsid w:val="00EC154A"/>
    <w:rsid w:val="00EC1C3A"/>
    <w:rsid w:val="00EC1F51"/>
    <w:rsid w:val="00EC2323"/>
    <w:rsid w:val="00EC2989"/>
    <w:rsid w:val="00EC2B1D"/>
    <w:rsid w:val="00EC4233"/>
    <w:rsid w:val="00EC4544"/>
    <w:rsid w:val="00EC46BB"/>
    <w:rsid w:val="00EC49E1"/>
    <w:rsid w:val="00EC4A85"/>
    <w:rsid w:val="00EC57B2"/>
    <w:rsid w:val="00EC58F4"/>
    <w:rsid w:val="00EC6184"/>
    <w:rsid w:val="00EC6280"/>
    <w:rsid w:val="00EC650B"/>
    <w:rsid w:val="00EC7276"/>
    <w:rsid w:val="00EC743B"/>
    <w:rsid w:val="00EC7699"/>
    <w:rsid w:val="00EC7808"/>
    <w:rsid w:val="00EC7BFA"/>
    <w:rsid w:val="00ED042E"/>
    <w:rsid w:val="00ED0A5D"/>
    <w:rsid w:val="00ED1252"/>
    <w:rsid w:val="00ED1295"/>
    <w:rsid w:val="00ED1AAF"/>
    <w:rsid w:val="00ED1BA9"/>
    <w:rsid w:val="00ED1CD2"/>
    <w:rsid w:val="00ED2725"/>
    <w:rsid w:val="00ED34D1"/>
    <w:rsid w:val="00ED34D2"/>
    <w:rsid w:val="00ED367F"/>
    <w:rsid w:val="00ED38D1"/>
    <w:rsid w:val="00ED3E76"/>
    <w:rsid w:val="00ED4206"/>
    <w:rsid w:val="00ED435C"/>
    <w:rsid w:val="00ED462E"/>
    <w:rsid w:val="00ED4DEC"/>
    <w:rsid w:val="00ED5052"/>
    <w:rsid w:val="00ED5603"/>
    <w:rsid w:val="00ED58A2"/>
    <w:rsid w:val="00ED58C3"/>
    <w:rsid w:val="00ED5C71"/>
    <w:rsid w:val="00ED5EEE"/>
    <w:rsid w:val="00ED6547"/>
    <w:rsid w:val="00ED667C"/>
    <w:rsid w:val="00ED7686"/>
    <w:rsid w:val="00ED7966"/>
    <w:rsid w:val="00EE01CC"/>
    <w:rsid w:val="00EE04EE"/>
    <w:rsid w:val="00EE1760"/>
    <w:rsid w:val="00EE1E3E"/>
    <w:rsid w:val="00EE1E96"/>
    <w:rsid w:val="00EE24C3"/>
    <w:rsid w:val="00EE287D"/>
    <w:rsid w:val="00EE2C04"/>
    <w:rsid w:val="00EE2E5C"/>
    <w:rsid w:val="00EE3825"/>
    <w:rsid w:val="00EE3A00"/>
    <w:rsid w:val="00EE3B32"/>
    <w:rsid w:val="00EE3CFF"/>
    <w:rsid w:val="00EE3F39"/>
    <w:rsid w:val="00EE414C"/>
    <w:rsid w:val="00EE43C3"/>
    <w:rsid w:val="00EE44FE"/>
    <w:rsid w:val="00EE4542"/>
    <w:rsid w:val="00EE4D73"/>
    <w:rsid w:val="00EE4EEF"/>
    <w:rsid w:val="00EE5406"/>
    <w:rsid w:val="00EE5409"/>
    <w:rsid w:val="00EE5E36"/>
    <w:rsid w:val="00EE5EF8"/>
    <w:rsid w:val="00EE60A5"/>
    <w:rsid w:val="00EE619B"/>
    <w:rsid w:val="00EE6710"/>
    <w:rsid w:val="00EE6964"/>
    <w:rsid w:val="00EE6A1D"/>
    <w:rsid w:val="00EE6D18"/>
    <w:rsid w:val="00EE7E7A"/>
    <w:rsid w:val="00EF023F"/>
    <w:rsid w:val="00EF1230"/>
    <w:rsid w:val="00EF213B"/>
    <w:rsid w:val="00EF223B"/>
    <w:rsid w:val="00EF29DE"/>
    <w:rsid w:val="00EF346A"/>
    <w:rsid w:val="00EF3978"/>
    <w:rsid w:val="00EF3AAC"/>
    <w:rsid w:val="00EF4D42"/>
    <w:rsid w:val="00EF4FD1"/>
    <w:rsid w:val="00EF5318"/>
    <w:rsid w:val="00EF650B"/>
    <w:rsid w:val="00EF708A"/>
    <w:rsid w:val="00EF72C3"/>
    <w:rsid w:val="00EF796B"/>
    <w:rsid w:val="00EF79CE"/>
    <w:rsid w:val="00F00152"/>
    <w:rsid w:val="00F00352"/>
    <w:rsid w:val="00F00B1B"/>
    <w:rsid w:val="00F00C75"/>
    <w:rsid w:val="00F00E37"/>
    <w:rsid w:val="00F010EE"/>
    <w:rsid w:val="00F01383"/>
    <w:rsid w:val="00F014DA"/>
    <w:rsid w:val="00F0167D"/>
    <w:rsid w:val="00F0177A"/>
    <w:rsid w:val="00F019D5"/>
    <w:rsid w:val="00F02111"/>
    <w:rsid w:val="00F02500"/>
    <w:rsid w:val="00F02FA5"/>
    <w:rsid w:val="00F032E2"/>
    <w:rsid w:val="00F035EF"/>
    <w:rsid w:val="00F037E3"/>
    <w:rsid w:val="00F03D2F"/>
    <w:rsid w:val="00F03FF2"/>
    <w:rsid w:val="00F04885"/>
    <w:rsid w:val="00F04963"/>
    <w:rsid w:val="00F04F9E"/>
    <w:rsid w:val="00F06A47"/>
    <w:rsid w:val="00F0717F"/>
    <w:rsid w:val="00F07207"/>
    <w:rsid w:val="00F0747A"/>
    <w:rsid w:val="00F07849"/>
    <w:rsid w:val="00F07882"/>
    <w:rsid w:val="00F07883"/>
    <w:rsid w:val="00F07F01"/>
    <w:rsid w:val="00F10177"/>
    <w:rsid w:val="00F10A37"/>
    <w:rsid w:val="00F10D83"/>
    <w:rsid w:val="00F1182B"/>
    <w:rsid w:val="00F1196B"/>
    <w:rsid w:val="00F11A6A"/>
    <w:rsid w:val="00F11D68"/>
    <w:rsid w:val="00F126BD"/>
    <w:rsid w:val="00F13433"/>
    <w:rsid w:val="00F134FC"/>
    <w:rsid w:val="00F1350E"/>
    <w:rsid w:val="00F14419"/>
    <w:rsid w:val="00F1470E"/>
    <w:rsid w:val="00F147A5"/>
    <w:rsid w:val="00F149C2"/>
    <w:rsid w:val="00F14A0B"/>
    <w:rsid w:val="00F14AA7"/>
    <w:rsid w:val="00F150B3"/>
    <w:rsid w:val="00F150CB"/>
    <w:rsid w:val="00F15884"/>
    <w:rsid w:val="00F15B8E"/>
    <w:rsid w:val="00F161E4"/>
    <w:rsid w:val="00F16665"/>
    <w:rsid w:val="00F16FB0"/>
    <w:rsid w:val="00F1733B"/>
    <w:rsid w:val="00F17474"/>
    <w:rsid w:val="00F17FBB"/>
    <w:rsid w:val="00F201CC"/>
    <w:rsid w:val="00F20487"/>
    <w:rsid w:val="00F20F65"/>
    <w:rsid w:val="00F2106D"/>
    <w:rsid w:val="00F211D2"/>
    <w:rsid w:val="00F22337"/>
    <w:rsid w:val="00F22A10"/>
    <w:rsid w:val="00F22D65"/>
    <w:rsid w:val="00F2300E"/>
    <w:rsid w:val="00F23142"/>
    <w:rsid w:val="00F23175"/>
    <w:rsid w:val="00F232DA"/>
    <w:rsid w:val="00F23FB0"/>
    <w:rsid w:val="00F2480A"/>
    <w:rsid w:val="00F24891"/>
    <w:rsid w:val="00F24A55"/>
    <w:rsid w:val="00F24B9F"/>
    <w:rsid w:val="00F24CA6"/>
    <w:rsid w:val="00F256AE"/>
    <w:rsid w:val="00F25773"/>
    <w:rsid w:val="00F257FA"/>
    <w:rsid w:val="00F25DDD"/>
    <w:rsid w:val="00F25F97"/>
    <w:rsid w:val="00F26004"/>
    <w:rsid w:val="00F270E8"/>
    <w:rsid w:val="00F27EF5"/>
    <w:rsid w:val="00F27FDB"/>
    <w:rsid w:val="00F30251"/>
    <w:rsid w:val="00F305CC"/>
    <w:rsid w:val="00F30ED9"/>
    <w:rsid w:val="00F31471"/>
    <w:rsid w:val="00F3179A"/>
    <w:rsid w:val="00F31D54"/>
    <w:rsid w:val="00F32357"/>
    <w:rsid w:val="00F32A7A"/>
    <w:rsid w:val="00F32C70"/>
    <w:rsid w:val="00F33255"/>
    <w:rsid w:val="00F34E02"/>
    <w:rsid w:val="00F3549E"/>
    <w:rsid w:val="00F35841"/>
    <w:rsid w:val="00F365A7"/>
    <w:rsid w:val="00F3681C"/>
    <w:rsid w:val="00F36EA1"/>
    <w:rsid w:val="00F3769D"/>
    <w:rsid w:val="00F404F4"/>
    <w:rsid w:val="00F40B30"/>
    <w:rsid w:val="00F40C47"/>
    <w:rsid w:val="00F4143E"/>
    <w:rsid w:val="00F41CC5"/>
    <w:rsid w:val="00F41D25"/>
    <w:rsid w:val="00F423C2"/>
    <w:rsid w:val="00F433F8"/>
    <w:rsid w:val="00F433FE"/>
    <w:rsid w:val="00F43627"/>
    <w:rsid w:val="00F43781"/>
    <w:rsid w:val="00F4463C"/>
    <w:rsid w:val="00F45C48"/>
    <w:rsid w:val="00F4643D"/>
    <w:rsid w:val="00F47197"/>
    <w:rsid w:val="00F473A5"/>
    <w:rsid w:val="00F473F3"/>
    <w:rsid w:val="00F474B8"/>
    <w:rsid w:val="00F478CA"/>
    <w:rsid w:val="00F47B47"/>
    <w:rsid w:val="00F47CE2"/>
    <w:rsid w:val="00F501F3"/>
    <w:rsid w:val="00F50A98"/>
    <w:rsid w:val="00F50B12"/>
    <w:rsid w:val="00F50E5F"/>
    <w:rsid w:val="00F5117C"/>
    <w:rsid w:val="00F51460"/>
    <w:rsid w:val="00F5160B"/>
    <w:rsid w:val="00F51667"/>
    <w:rsid w:val="00F51C46"/>
    <w:rsid w:val="00F521DC"/>
    <w:rsid w:val="00F52222"/>
    <w:rsid w:val="00F5233E"/>
    <w:rsid w:val="00F52402"/>
    <w:rsid w:val="00F53199"/>
    <w:rsid w:val="00F53441"/>
    <w:rsid w:val="00F541A1"/>
    <w:rsid w:val="00F54B09"/>
    <w:rsid w:val="00F54BEA"/>
    <w:rsid w:val="00F54E8A"/>
    <w:rsid w:val="00F559A8"/>
    <w:rsid w:val="00F55C21"/>
    <w:rsid w:val="00F55E5F"/>
    <w:rsid w:val="00F55F6D"/>
    <w:rsid w:val="00F56928"/>
    <w:rsid w:val="00F56CFA"/>
    <w:rsid w:val="00F57202"/>
    <w:rsid w:val="00F5736B"/>
    <w:rsid w:val="00F57880"/>
    <w:rsid w:val="00F604A1"/>
    <w:rsid w:val="00F608AB"/>
    <w:rsid w:val="00F60BE7"/>
    <w:rsid w:val="00F6159C"/>
    <w:rsid w:val="00F61714"/>
    <w:rsid w:val="00F6203D"/>
    <w:rsid w:val="00F6238F"/>
    <w:rsid w:val="00F63E59"/>
    <w:rsid w:val="00F6498F"/>
    <w:rsid w:val="00F64BE0"/>
    <w:rsid w:val="00F65B68"/>
    <w:rsid w:val="00F660B7"/>
    <w:rsid w:val="00F6689C"/>
    <w:rsid w:val="00F66BD0"/>
    <w:rsid w:val="00F67846"/>
    <w:rsid w:val="00F67B42"/>
    <w:rsid w:val="00F700A1"/>
    <w:rsid w:val="00F70453"/>
    <w:rsid w:val="00F7071B"/>
    <w:rsid w:val="00F70B72"/>
    <w:rsid w:val="00F70DEF"/>
    <w:rsid w:val="00F70EA3"/>
    <w:rsid w:val="00F71398"/>
    <w:rsid w:val="00F71C47"/>
    <w:rsid w:val="00F722E0"/>
    <w:rsid w:val="00F7294C"/>
    <w:rsid w:val="00F72C5F"/>
    <w:rsid w:val="00F73321"/>
    <w:rsid w:val="00F734FF"/>
    <w:rsid w:val="00F73549"/>
    <w:rsid w:val="00F73617"/>
    <w:rsid w:val="00F73E5D"/>
    <w:rsid w:val="00F74890"/>
    <w:rsid w:val="00F7548A"/>
    <w:rsid w:val="00F75782"/>
    <w:rsid w:val="00F7625F"/>
    <w:rsid w:val="00F801A8"/>
    <w:rsid w:val="00F80C1D"/>
    <w:rsid w:val="00F81130"/>
    <w:rsid w:val="00F818F7"/>
    <w:rsid w:val="00F8191C"/>
    <w:rsid w:val="00F81A81"/>
    <w:rsid w:val="00F823E2"/>
    <w:rsid w:val="00F8270D"/>
    <w:rsid w:val="00F82EC3"/>
    <w:rsid w:val="00F82F63"/>
    <w:rsid w:val="00F8325D"/>
    <w:rsid w:val="00F832A9"/>
    <w:rsid w:val="00F832B0"/>
    <w:rsid w:val="00F83307"/>
    <w:rsid w:val="00F833A5"/>
    <w:rsid w:val="00F83602"/>
    <w:rsid w:val="00F844D3"/>
    <w:rsid w:val="00F84629"/>
    <w:rsid w:val="00F84B71"/>
    <w:rsid w:val="00F84C39"/>
    <w:rsid w:val="00F84F0E"/>
    <w:rsid w:val="00F8519E"/>
    <w:rsid w:val="00F85FF5"/>
    <w:rsid w:val="00F862F8"/>
    <w:rsid w:val="00F86BB4"/>
    <w:rsid w:val="00F870F5"/>
    <w:rsid w:val="00F902D2"/>
    <w:rsid w:val="00F90B12"/>
    <w:rsid w:val="00F90CBD"/>
    <w:rsid w:val="00F9109E"/>
    <w:rsid w:val="00F9177E"/>
    <w:rsid w:val="00F91E4F"/>
    <w:rsid w:val="00F91EAD"/>
    <w:rsid w:val="00F91FDF"/>
    <w:rsid w:val="00F9272D"/>
    <w:rsid w:val="00F92AA1"/>
    <w:rsid w:val="00F92FDC"/>
    <w:rsid w:val="00F931D2"/>
    <w:rsid w:val="00F93431"/>
    <w:rsid w:val="00F93A4A"/>
    <w:rsid w:val="00F93C0C"/>
    <w:rsid w:val="00F93D27"/>
    <w:rsid w:val="00F93FBB"/>
    <w:rsid w:val="00F94518"/>
    <w:rsid w:val="00F94B3F"/>
    <w:rsid w:val="00F9573F"/>
    <w:rsid w:val="00F95DD6"/>
    <w:rsid w:val="00F96370"/>
    <w:rsid w:val="00F965ED"/>
    <w:rsid w:val="00F97940"/>
    <w:rsid w:val="00F97BA3"/>
    <w:rsid w:val="00F97EA2"/>
    <w:rsid w:val="00F97F0D"/>
    <w:rsid w:val="00FA034B"/>
    <w:rsid w:val="00FA0B0A"/>
    <w:rsid w:val="00FA121C"/>
    <w:rsid w:val="00FA1407"/>
    <w:rsid w:val="00FA1A68"/>
    <w:rsid w:val="00FA1B1A"/>
    <w:rsid w:val="00FA1CF4"/>
    <w:rsid w:val="00FA2747"/>
    <w:rsid w:val="00FA2A33"/>
    <w:rsid w:val="00FA2C8F"/>
    <w:rsid w:val="00FA2CF7"/>
    <w:rsid w:val="00FA2DA1"/>
    <w:rsid w:val="00FA3410"/>
    <w:rsid w:val="00FA360B"/>
    <w:rsid w:val="00FA3860"/>
    <w:rsid w:val="00FA38AE"/>
    <w:rsid w:val="00FA3A50"/>
    <w:rsid w:val="00FA4763"/>
    <w:rsid w:val="00FA4830"/>
    <w:rsid w:val="00FA5032"/>
    <w:rsid w:val="00FA56DD"/>
    <w:rsid w:val="00FA6178"/>
    <w:rsid w:val="00FA6980"/>
    <w:rsid w:val="00FA6ACB"/>
    <w:rsid w:val="00FA6CDF"/>
    <w:rsid w:val="00FA70A0"/>
    <w:rsid w:val="00FA7BB5"/>
    <w:rsid w:val="00FA7C85"/>
    <w:rsid w:val="00FA7EEF"/>
    <w:rsid w:val="00FB12D8"/>
    <w:rsid w:val="00FB1436"/>
    <w:rsid w:val="00FB176A"/>
    <w:rsid w:val="00FB17BE"/>
    <w:rsid w:val="00FB1A2B"/>
    <w:rsid w:val="00FB1CDC"/>
    <w:rsid w:val="00FB22E3"/>
    <w:rsid w:val="00FB238A"/>
    <w:rsid w:val="00FB2446"/>
    <w:rsid w:val="00FB2C81"/>
    <w:rsid w:val="00FB3BC4"/>
    <w:rsid w:val="00FB3F9C"/>
    <w:rsid w:val="00FB3FDE"/>
    <w:rsid w:val="00FB4184"/>
    <w:rsid w:val="00FB4676"/>
    <w:rsid w:val="00FB5552"/>
    <w:rsid w:val="00FB574B"/>
    <w:rsid w:val="00FB5789"/>
    <w:rsid w:val="00FB5F3A"/>
    <w:rsid w:val="00FB6876"/>
    <w:rsid w:val="00FB6AA9"/>
    <w:rsid w:val="00FB6AD4"/>
    <w:rsid w:val="00FB70FA"/>
    <w:rsid w:val="00FB76A8"/>
    <w:rsid w:val="00FB7F22"/>
    <w:rsid w:val="00FC00F3"/>
    <w:rsid w:val="00FC0341"/>
    <w:rsid w:val="00FC0A33"/>
    <w:rsid w:val="00FC0BD5"/>
    <w:rsid w:val="00FC1416"/>
    <w:rsid w:val="00FC14B2"/>
    <w:rsid w:val="00FC1823"/>
    <w:rsid w:val="00FC2198"/>
    <w:rsid w:val="00FC26A4"/>
    <w:rsid w:val="00FC2812"/>
    <w:rsid w:val="00FC2C93"/>
    <w:rsid w:val="00FC325A"/>
    <w:rsid w:val="00FC33ED"/>
    <w:rsid w:val="00FC3461"/>
    <w:rsid w:val="00FC3881"/>
    <w:rsid w:val="00FC3A02"/>
    <w:rsid w:val="00FC43AD"/>
    <w:rsid w:val="00FC5876"/>
    <w:rsid w:val="00FC62F5"/>
    <w:rsid w:val="00FC731E"/>
    <w:rsid w:val="00FC753D"/>
    <w:rsid w:val="00FC7607"/>
    <w:rsid w:val="00FC7928"/>
    <w:rsid w:val="00FC7E17"/>
    <w:rsid w:val="00FD035A"/>
    <w:rsid w:val="00FD08A5"/>
    <w:rsid w:val="00FD139E"/>
    <w:rsid w:val="00FD1918"/>
    <w:rsid w:val="00FD19F1"/>
    <w:rsid w:val="00FD1A7E"/>
    <w:rsid w:val="00FD2984"/>
    <w:rsid w:val="00FD2CC3"/>
    <w:rsid w:val="00FD3128"/>
    <w:rsid w:val="00FD31BF"/>
    <w:rsid w:val="00FD36EC"/>
    <w:rsid w:val="00FD38A1"/>
    <w:rsid w:val="00FD3CC7"/>
    <w:rsid w:val="00FD4148"/>
    <w:rsid w:val="00FD4853"/>
    <w:rsid w:val="00FD4D5B"/>
    <w:rsid w:val="00FD4D65"/>
    <w:rsid w:val="00FD51E9"/>
    <w:rsid w:val="00FD6453"/>
    <w:rsid w:val="00FD67FD"/>
    <w:rsid w:val="00FD69F7"/>
    <w:rsid w:val="00FD6DCE"/>
    <w:rsid w:val="00FD7CB2"/>
    <w:rsid w:val="00FD7D46"/>
    <w:rsid w:val="00FD7D8B"/>
    <w:rsid w:val="00FE0859"/>
    <w:rsid w:val="00FE0AF2"/>
    <w:rsid w:val="00FE1C47"/>
    <w:rsid w:val="00FE22DD"/>
    <w:rsid w:val="00FE2CFB"/>
    <w:rsid w:val="00FE2F99"/>
    <w:rsid w:val="00FE4411"/>
    <w:rsid w:val="00FE44A7"/>
    <w:rsid w:val="00FE44F3"/>
    <w:rsid w:val="00FE4530"/>
    <w:rsid w:val="00FE48D4"/>
    <w:rsid w:val="00FE49C9"/>
    <w:rsid w:val="00FE4A60"/>
    <w:rsid w:val="00FE54E0"/>
    <w:rsid w:val="00FE55F0"/>
    <w:rsid w:val="00FE6331"/>
    <w:rsid w:val="00FE685B"/>
    <w:rsid w:val="00FE6BD3"/>
    <w:rsid w:val="00FE6C12"/>
    <w:rsid w:val="00FE7894"/>
    <w:rsid w:val="00FF01FA"/>
    <w:rsid w:val="00FF1CEE"/>
    <w:rsid w:val="00FF212D"/>
    <w:rsid w:val="00FF21B5"/>
    <w:rsid w:val="00FF21C3"/>
    <w:rsid w:val="00FF2A11"/>
    <w:rsid w:val="00FF2AA0"/>
    <w:rsid w:val="00FF2F9D"/>
    <w:rsid w:val="00FF323A"/>
    <w:rsid w:val="00FF3E04"/>
    <w:rsid w:val="00FF3F6C"/>
    <w:rsid w:val="00FF409F"/>
    <w:rsid w:val="00FF4603"/>
    <w:rsid w:val="00FF497E"/>
    <w:rsid w:val="00FF4B07"/>
    <w:rsid w:val="00FF4BFC"/>
    <w:rsid w:val="00FF4C11"/>
    <w:rsid w:val="00FF4F71"/>
    <w:rsid w:val="00FF5107"/>
    <w:rsid w:val="00FF56B9"/>
    <w:rsid w:val="00FF57E8"/>
    <w:rsid w:val="00FF58C0"/>
    <w:rsid w:val="00FF5948"/>
    <w:rsid w:val="00FF644E"/>
    <w:rsid w:val="00FF6B71"/>
    <w:rsid w:val="00FF6C9E"/>
    <w:rsid w:val="00FF6E3A"/>
    <w:rsid w:val="00FF6EDF"/>
    <w:rsid w:val="00FF6EEA"/>
    <w:rsid w:val="00FF6F8B"/>
    <w:rsid w:val="00FF7450"/>
    <w:rsid w:val="00FF77DF"/>
    <w:rsid w:val="00FF7ABB"/>
    <w:rsid w:val="00FF7B99"/>
    <w:rsid w:val="0314FE33"/>
    <w:rsid w:val="168FF312"/>
    <w:rsid w:val="3806EF78"/>
    <w:rsid w:val="40DFD2EA"/>
    <w:rsid w:val="4120F99A"/>
    <w:rsid w:val="49890C79"/>
    <w:rsid w:val="5605434B"/>
    <w:rsid w:val="6AB10486"/>
    <w:rsid w:val="7FC539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9258"/>
  <w15:docId w15:val="{3A8BA053-0A5F-4E67-A59F-E74D448D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59"/>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786B31"/>
    <w:pPr>
      <w:keepNext/>
      <w:tabs>
        <w:tab w:val="left" w:pos="851"/>
      </w:tabs>
      <w:spacing w:before="24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uiPriority w:val="39"/>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quot;Courier New&quot;" w:eastAsia="Times New Roman" w:hAnsi="&quot;Courier New&quo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quot;Courier New&quot;" w:eastAsia="Times New Roman" w:hAnsi="&quot;Courier New&quo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quot;Courier New&quot;" w:eastAsia="Times New Roman" w:hAnsi="&quot;Courier New&quot;" w:cs="Times New Roman"/>
        <w:b/>
        <w:bCs/>
      </w:rPr>
    </w:tblStylePr>
    <w:tblStylePr w:type="lastCol">
      <w:rPr>
        <w:rFonts w:ascii="&quot;Courier New&quot;" w:eastAsia="Times New Roman" w:hAnsi="&quot;Courier New&quo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quot;Courier New&quot;" w:eastAsia="Times New Roman" w:hAnsi="&quot;Courier New&quot;"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quot;Courier New&quot;" w:eastAsia="Times New Roman" w:hAnsi="&quot;Courier New&quot;"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quot;Courier New&quot;" w:eastAsia="Times New Roman" w:hAnsi="&quot;Courier New&quot;" w:cs="Times New Roman"/>
        <w:b/>
        <w:bCs/>
      </w:rPr>
    </w:tblStylePr>
    <w:tblStylePr w:type="lastCol">
      <w:rPr>
        <w:rFonts w:ascii="&quot;Courier New&quot;" w:eastAsia="Times New Roman" w:hAnsi="&quot;Courier New&quo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37"/>
      </w:numPr>
      <w:spacing w:before="0"/>
      <w:ind w:left="1077" w:hanging="397"/>
    </w:pPr>
    <w:rPr>
      <w:bCs/>
      <w:color w:val="1B556B"/>
    </w:rPr>
  </w:style>
  <w:style w:type="character" w:styleId="UnresolvedMention">
    <w:name w:val="Unresolved Mention"/>
    <w:basedOn w:val="DefaultParagraphFont"/>
    <w:uiPriority w:val="99"/>
    <w:unhideWhenUsed/>
    <w:rsid w:val="00B73ABB"/>
    <w:rPr>
      <w:color w:val="605E5C"/>
      <w:shd w:val="clear" w:color="auto" w:fill="E1DFDD"/>
    </w:rPr>
  </w:style>
  <w:style w:type="paragraph" w:styleId="CommentText">
    <w:name w:val="annotation text"/>
    <w:basedOn w:val="Normal"/>
    <w:link w:val="CommentTextChar"/>
    <w:uiPriority w:val="99"/>
    <w:semiHidden/>
    <w:rsid w:val="003D4904"/>
    <w:pPr>
      <w:spacing w:line="240" w:lineRule="auto"/>
    </w:pPr>
    <w:rPr>
      <w:sz w:val="20"/>
      <w:szCs w:val="20"/>
    </w:rPr>
  </w:style>
  <w:style w:type="character" w:customStyle="1" w:styleId="CommentTextChar">
    <w:name w:val="Comment Text Char"/>
    <w:basedOn w:val="DefaultParagraphFont"/>
    <w:link w:val="CommentText"/>
    <w:uiPriority w:val="99"/>
    <w:semiHidden/>
    <w:rsid w:val="003D4904"/>
    <w:rPr>
      <w:rFonts w:eastAsia="Times New Roman"/>
    </w:rPr>
  </w:style>
  <w:style w:type="paragraph" w:customStyle="1" w:styleId="paragraph">
    <w:name w:val="paragraph"/>
    <w:basedOn w:val="Normal"/>
    <w:rsid w:val="003F1E63"/>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3F1E63"/>
  </w:style>
  <w:style w:type="character" w:customStyle="1" w:styleId="eop">
    <w:name w:val="eop"/>
    <w:basedOn w:val="DefaultParagraphFont"/>
    <w:rsid w:val="003F1E63"/>
  </w:style>
  <w:style w:type="character" w:styleId="Mention">
    <w:name w:val="Mention"/>
    <w:basedOn w:val="DefaultParagraphFont"/>
    <w:uiPriority w:val="99"/>
    <w:unhideWhenUsed/>
    <w:rsid w:val="001B7A67"/>
    <w:rPr>
      <w:color w:val="2B579A"/>
      <w:shd w:val="clear" w:color="auto" w:fill="E1DFDD"/>
    </w:rPr>
  </w:style>
  <w:style w:type="paragraph" w:styleId="TOCHeading">
    <w:name w:val="TOC Heading"/>
    <w:basedOn w:val="Heading1"/>
    <w:next w:val="Normal"/>
    <w:uiPriority w:val="39"/>
    <w:unhideWhenUsed/>
    <w:qFormat/>
    <w:rsid w:val="00F1182B"/>
    <w:pPr>
      <w:keepLines/>
      <w:tabs>
        <w:tab w:val="clear" w:pos="851"/>
      </w:tabs>
      <w:spacing w:before="240" w:after="0" w:line="259" w:lineRule="auto"/>
      <w:outlineLvl w:val="9"/>
    </w:pPr>
    <w:rPr>
      <w:rFonts w:asciiTheme="majorHAnsi" w:eastAsiaTheme="majorEastAsia" w:hAnsiTheme="majorHAnsi" w:cstheme="majorBidi"/>
      <w:b w:val="0"/>
      <w:bCs w:val="0"/>
      <w:color w:val="255F74" w:themeColor="accent1" w:themeShade="BF"/>
      <w:sz w:val="32"/>
      <w:szCs w:val="32"/>
      <w:lang w:val="en-US" w:eastAsia="en-US"/>
    </w:rPr>
  </w:style>
  <w:style w:type="paragraph" w:customStyle="1" w:styleId="Bodytextbold">
    <w:name w:val="Body text bold"/>
    <w:basedOn w:val="BodyText"/>
    <w:qFormat/>
    <w:rsid w:val="004B5961"/>
    <w:pPr>
      <w:spacing w:before="24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11524607">
      <w:bodyDiv w:val="1"/>
      <w:marLeft w:val="0"/>
      <w:marRight w:val="0"/>
      <w:marTop w:val="0"/>
      <w:marBottom w:val="0"/>
      <w:divBdr>
        <w:top w:val="none" w:sz="0" w:space="0" w:color="auto"/>
        <w:left w:val="none" w:sz="0" w:space="0" w:color="auto"/>
        <w:bottom w:val="none" w:sz="0" w:space="0" w:color="auto"/>
        <w:right w:val="none" w:sz="0" w:space="0" w:color="auto"/>
      </w:divBdr>
      <w:divsChild>
        <w:div w:id="1000355331">
          <w:marLeft w:val="0"/>
          <w:marRight w:val="0"/>
          <w:marTop w:val="0"/>
          <w:marBottom w:val="0"/>
          <w:divBdr>
            <w:top w:val="none" w:sz="0" w:space="0" w:color="auto"/>
            <w:left w:val="none" w:sz="0" w:space="0" w:color="auto"/>
            <w:bottom w:val="none" w:sz="0" w:space="0" w:color="auto"/>
            <w:right w:val="none" w:sz="0" w:space="0" w:color="auto"/>
          </w:divBdr>
          <w:divsChild>
            <w:div w:id="310839865">
              <w:marLeft w:val="0"/>
              <w:marRight w:val="0"/>
              <w:marTop w:val="0"/>
              <w:marBottom w:val="0"/>
              <w:divBdr>
                <w:top w:val="none" w:sz="0" w:space="0" w:color="auto"/>
                <w:left w:val="none" w:sz="0" w:space="0" w:color="auto"/>
                <w:bottom w:val="none" w:sz="0" w:space="0" w:color="auto"/>
                <w:right w:val="none" w:sz="0" w:space="0" w:color="auto"/>
              </w:divBdr>
            </w:div>
          </w:divsChild>
        </w:div>
        <w:div w:id="1375691734">
          <w:marLeft w:val="0"/>
          <w:marRight w:val="0"/>
          <w:marTop w:val="0"/>
          <w:marBottom w:val="0"/>
          <w:divBdr>
            <w:top w:val="none" w:sz="0" w:space="0" w:color="auto"/>
            <w:left w:val="none" w:sz="0" w:space="0" w:color="auto"/>
            <w:bottom w:val="none" w:sz="0" w:space="0" w:color="auto"/>
            <w:right w:val="none" w:sz="0" w:space="0" w:color="auto"/>
          </w:divBdr>
          <w:divsChild>
            <w:div w:id="700059275">
              <w:marLeft w:val="0"/>
              <w:marRight w:val="0"/>
              <w:marTop w:val="0"/>
              <w:marBottom w:val="0"/>
              <w:divBdr>
                <w:top w:val="none" w:sz="0" w:space="0" w:color="auto"/>
                <w:left w:val="none" w:sz="0" w:space="0" w:color="auto"/>
                <w:bottom w:val="none" w:sz="0" w:space="0" w:color="auto"/>
                <w:right w:val="none" w:sz="0" w:space="0" w:color="auto"/>
              </w:divBdr>
            </w:div>
            <w:div w:id="1202090691">
              <w:marLeft w:val="0"/>
              <w:marRight w:val="0"/>
              <w:marTop w:val="0"/>
              <w:marBottom w:val="0"/>
              <w:divBdr>
                <w:top w:val="none" w:sz="0" w:space="0" w:color="auto"/>
                <w:left w:val="none" w:sz="0" w:space="0" w:color="auto"/>
                <w:bottom w:val="none" w:sz="0" w:space="0" w:color="auto"/>
                <w:right w:val="none" w:sz="0" w:space="0" w:color="auto"/>
              </w:divBdr>
            </w:div>
            <w:div w:id="1504275294">
              <w:marLeft w:val="0"/>
              <w:marRight w:val="0"/>
              <w:marTop w:val="0"/>
              <w:marBottom w:val="0"/>
              <w:divBdr>
                <w:top w:val="none" w:sz="0" w:space="0" w:color="auto"/>
                <w:left w:val="none" w:sz="0" w:space="0" w:color="auto"/>
                <w:bottom w:val="none" w:sz="0" w:space="0" w:color="auto"/>
                <w:right w:val="none" w:sz="0" w:space="0" w:color="auto"/>
              </w:divBdr>
            </w:div>
            <w:div w:id="1688407749">
              <w:marLeft w:val="0"/>
              <w:marRight w:val="0"/>
              <w:marTop w:val="0"/>
              <w:marBottom w:val="0"/>
              <w:divBdr>
                <w:top w:val="none" w:sz="0" w:space="0" w:color="auto"/>
                <w:left w:val="none" w:sz="0" w:space="0" w:color="auto"/>
                <w:bottom w:val="none" w:sz="0" w:space="0" w:color="auto"/>
                <w:right w:val="none" w:sz="0" w:space="0" w:color="auto"/>
              </w:divBdr>
            </w:div>
          </w:divsChild>
        </w:div>
        <w:div w:id="1382561045">
          <w:marLeft w:val="0"/>
          <w:marRight w:val="0"/>
          <w:marTop w:val="0"/>
          <w:marBottom w:val="0"/>
          <w:divBdr>
            <w:top w:val="none" w:sz="0" w:space="0" w:color="auto"/>
            <w:left w:val="none" w:sz="0" w:space="0" w:color="auto"/>
            <w:bottom w:val="none" w:sz="0" w:space="0" w:color="auto"/>
            <w:right w:val="none" w:sz="0" w:space="0" w:color="auto"/>
          </w:divBdr>
          <w:divsChild>
            <w:div w:id="786965559">
              <w:marLeft w:val="0"/>
              <w:marRight w:val="0"/>
              <w:marTop w:val="0"/>
              <w:marBottom w:val="0"/>
              <w:divBdr>
                <w:top w:val="none" w:sz="0" w:space="0" w:color="auto"/>
                <w:left w:val="none" w:sz="0" w:space="0" w:color="auto"/>
                <w:bottom w:val="none" w:sz="0" w:space="0" w:color="auto"/>
                <w:right w:val="none" w:sz="0" w:space="0" w:color="auto"/>
              </w:divBdr>
            </w:div>
          </w:divsChild>
        </w:div>
        <w:div w:id="1701739913">
          <w:marLeft w:val="0"/>
          <w:marRight w:val="0"/>
          <w:marTop w:val="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2953">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ED631E09C5F47A877DCE13B9406DB" ma:contentTypeVersion="35" ma:contentTypeDescription="Create a new document." ma:contentTypeScope="" ma:versionID="3da549df1ce43677787b5c113fde8ca3">
  <xsd:schema xmlns:xsd="http://www.w3.org/2001/XMLSchema" xmlns:xs="http://www.w3.org/2001/XMLSchema" xmlns:p="http://schemas.microsoft.com/office/2006/metadata/properties" xmlns:ns1="http://schemas.microsoft.com/sharepoint/v3" xmlns:ns2="58a6f171-52cb-4404-b47d-af1c8daf8fd1" xmlns:ns3="0260602b-329e-45fc-b32d-889d2cd1ae59" xmlns:ns4="65e65512-4319-4e85-9548-8afb53a63346" targetNamespace="http://schemas.microsoft.com/office/2006/metadata/properties" ma:root="true" ma:fieldsID="38d149a3bdb2c843ee54cfba19fe4434" ns1:_="" ns2:_="" ns3:_="" ns4:_="">
    <xsd:import namespace="http://schemas.microsoft.com/sharepoint/v3"/>
    <xsd:import namespace="58a6f171-52cb-4404-b47d-af1c8daf8fd1"/>
    <xsd:import namespace="0260602b-329e-45fc-b32d-889d2cd1ae59"/>
    <xsd:import namespace="65e65512-4319-4e85-9548-8afb53a633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Supplemental_x0020_Markings"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Supplemental_x0020_Markings" ma:index="23" nillable="true" ma:displayName="Supplemental Markings" ma:description="" ma:internalName="Supplemental_x0020_Markings">
      <xsd:simpleType>
        <xsd:restriction base="dms:Note">
          <xsd:maxLength value="255"/>
        </xsd:restriction>
      </xsd:simpleType>
    </xsd:element>
    <xsd:element name="MTS_x0020_Type" ma:index="24" nillable="true" ma:displayName="MTS Type" ma:default="" ma:description="" ma:internalName="MTS_x0020_Type">
      <xsd:simpleType>
        <xsd:restriction base="dms:Note">
          <xsd:maxLength value="255"/>
        </xsd:restriction>
      </xsd:simpleType>
    </xsd:element>
    <xsd:element name="MTS_x0020_ID" ma:index="25" nillable="true" ma:displayName="MTS ID" ma:default="" ma:description="" ma:internalName="MTS_x0020_ID">
      <xsd:simpleType>
        <xsd:restriction base="dms:Text">
          <xsd:maxLength value="255"/>
        </xsd:restriction>
      </xsd:simpleType>
    </xsd:element>
    <xsd:element name="Library" ma:index="26" nillable="true" ma:displayName="Library" ma:default="" ma:description="" ma:internalName="Library">
      <xsd:simpleType>
        <xsd:restriction base="dms:Text">
          <xsd:maxLength value="255"/>
        </xsd:restriction>
      </xsd:simpleType>
    </xsd:element>
    <xsd:element name="Legacy_x0020_DocID" ma:index="27" nillable="true" ma:displayName="Legacy DocID" ma:decimals="-1" ma:default="" ma:description="" ma:internalName="Legacy_x0020_DocID">
      <xsd:simpleType>
        <xsd:restriction base="dms:Number"/>
      </xsd:simpleType>
    </xsd:element>
    <xsd:element name="Legacy_x0020_Version" ma:index="28" nillable="true" ma:displayName="Legacy Version" ma:default="" ma:description="" ma:internalName="Legacy_x0020_Version">
      <xsd:simpleType>
        <xsd:restriction base="dms:Text">
          <xsd:maxLength value="255"/>
        </xsd:restriction>
      </xsd:simpleType>
    </xsd:element>
    <xsd:element name="Class" ma:index="29" nillable="true" ma:displayName="Class" ma:default="" ma:description="" ma:internalName="Class">
      <xsd:simpleType>
        <xsd:restriction base="dms:Text">
          <xsd:maxLength value="255"/>
        </xsd:restriction>
      </xsd:simpleType>
    </xsd:element>
    <xsd:element name="Author0" ma:index="30" nillable="true" ma:displayName="Author" ma:default="" ma:description="" ma:internalName="Author0">
      <xsd:simpleType>
        <xsd:restriction base="dms:Text">
          <xsd:maxLength value="255"/>
        </xsd:restriction>
      </xsd:simpleType>
    </xsd:element>
    <xsd:element name="Status" ma:index="31" nillable="true" ma:displayName="Status" ma:default="" ma:description="" ma:internalName="Status">
      <xsd:simpleType>
        <xsd:restriction base="dms:Text">
          <xsd:maxLength value="255"/>
        </xsd:restriction>
      </xsd:simpleType>
    </xsd:element>
    <xsd:element name="Year" ma:index="32" nillable="true" ma:displayName="Year" ma:default="" ma:description="" ma:internalName="Year">
      <xsd:simpleType>
        <xsd:restriction base="dms:Text">
          <xsd:maxLength value="255"/>
        </xsd:restriction>
      </xsd:simpleType>
    </xsd:element>
    <xsd:element name="Other_x0020_Details" ma:index="33" nillable="true" ma:displayName="Other Details" ma:default="" ma:description="" ma:internalName="Other_x0020_Details">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65512-4319-4e85-9548-8afb53a63346"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58a6f171-52cb-4404-b47d-af1c8daf8fd1">ECM-1896812316-34739</_dlc_DocId>
    <_dlc_DocIdUrl xmlns="58a6f171-52cb-4404-b47d-af1c8daf8fd1">
      <Url>https://ministryforenvironment.sharepoint.com/sites/ECM-Pol-ETS/_layouts/15/DocIdRedir.aspx?ID=ECM-1896812316-34739</Url>
      <Description>ECM-1896812316-34739</Description>
    </_dlc_DocIdUrl>
    <Legacy_x0020_DocID xmlns="0260602b-329e-45fc-b32d-889d2cd1ae59" xsi:nil="true"/>
    <Year xmlns="0260602b-329e-45fc-b32d-889d2cd1ae59" xsi:nil="true"/>
    <Legacy_x0020_Version xmlns="0260602b-329e-45fc-b32d-889d2cd1ae59" xsi:nil="true"/>
    <Sender_x0020_Date xmlns="0260602b-329e-45fc-b32d-889d2cd1ae59" xsi:nil="true"/>
    <Library xmlns="0260602b-329e-45fc-b32d-889d2cd1ae59" xsi:nil="true"/>
    <Class xmlns="0260602b-329e-45fc-b32d-889d2cd1ae59" xsi:nil="true"/>
    <Sender xmlns="0260602b-329e-45fc-b32d-889d2cd1ae59" xsi:nil="true"/>
    <Other_x0020_Details xmlns="0260602b-329e-45fc-b32d-889d2cd1ae59" xsi:nil="true"/>
    <Carbon_x0020_Copy xmlns="0260602b-329e-45fc-b32d-889d2cd1ae59" xsi:nil="true"/>
    <Author0 xmlns="0260602b-329e-45fc-b32d-889d2cd1ae59" xsi:nil="true"/>
    <Email_x0020_Table xmlns="0260602b-329e-45fc-b32d-889d2cd1ae59" xsi:nil="true"/>
    <MTS_x0020_ID xmlns="0260602b-329e-45fc-b32d-889d2cd1ae59" xsi:nil="true"/>
    <MTS_x0020_Type xmlns="0260602b-329e-45fc-b32d-889d2cd1ae59" xsi:nil="true"/>
    <Receiver xmlns="0260602b-329e-45fc-b32d-889d2cd1ae59" xsi:nil="true"/>
    <Receiver_x0020_Date xmlns="0260602b-329e-45fc-b32d-889d2cd1ae59" xsi:nil="true"/>
    <Status xmlns="0260602b-329e-45fc-b32d-889d2cd1ae59" xsi:nil="true"/>
    <Document_x0020_Type xmlns="0260602b-329e-45fc-b32d-889d2cd1ae59" xsi:nil="true"/>
    <Supplemental_x0020_Markings xmlns="0260602b-329e-45fc-b32d-889d2cd1ae5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37F5448B-8825-4ABA-89DA-C3C55D959C25}">
  <ds:schemaRefs>
    <ds:schemaRef ds:uri="http://schemas.microsoft.com/sharepoint/v3/contenttype/forms"/>
  </ds:schemaRefs>
</ds:datastoreItem>
</file>

<file path=customXml/itemProps3.xml><?xml version="1.0" encoding="utf-8"?>
<ds:datastoreItem xmlns:ds="http://schemas.openxmlformats.org/officeDocument/2006/customXml" ds:itemID="{B82996AB-CD2D-4540-8FC3-1E3625BF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0260602b-329e-45fc-b32d-889d2cd1ae59"/>
    <ds:schemaRef ds:uri="65e65512-4319-4e85-9548-8afb53a63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783D4-912C-441D-BAD5-F7C2602BB184}">
  <ds:schemaRefs>
    <ds:schemaRef ds:uri="http://purl.org/dc/dcmitype/"/>
    <ds:schemaRef ds:uri="http://schemas.microsoft.com/office/2006/metadata/properties"/>
    <ds:schemaRef ds:uri="65e65512-4319-4e85-9548-8afb53a63346"/>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0260602b-329e-45fc-b32d-889d2cd1ae59"/>
    <ds:schemaRef ds:uri="http://schemas.openxmlformats.org/package/2006/metadata/core-properties"/>
    <ds:schemaRef ds:uri="58a6f171-52cb-4404-b47d-af1c8daf8fd1"/>
    <ds:schemaRef ds:uri="http://purl.org/dc/terms/"/>
  </ds:schemaRefs>
</ds:datastoreItem>
</file>

<file path=customXml/itemProps5.xml><?xml version="1.0" encoding="utf-8"?>
<ds:datastoreItem xmlns:ds="http://schemas.openxmlformats.org/officeDocument/2006/customXml" ds:itemID="{13DB9FFE-89FE-4C07-ADC1-3AC10D9CFA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6840</Words>
  <Characters>38989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45738</CharactersWithSpaces>
  <SharedDoc>false</SharedDoc>
  <HLinks>
    <vt:vector size="36" baseType="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7340128</vt:i4>
      </vt:variant>
      <vt:variant>
        <vt:i4>0</vt:i4>
      </vt:variant>
      <vt:variant>
        <vt:i4>0</vt:i4>
      </vt:variant>
      <vt:variant>
        <vt:i4>5</vt:i4>
      </vt:variant>
      <vt:variant>
        <vt:lpwstr>http://www.environment.govt.nz/</vt:lpwstr>
      </vt:variant>
      <vt:variant>
        <vt:lpwstr/>
      </vt:variant>
      <vt:variant>
        <vt:i4>2490478</vt:i4>
      </vt:variant>
      <vt:variant>
        <vt:i4>0</vt:i4>
      </vt:variant>
      <vt:variant>
        <vt:i4>0</vt:i4>
      </vt:variant>
      <vt:variant>
        <vt:i4>5</vt:i4>
      </vt:variant>
      <vt:variant>
        <vt:lpwstr>https://ministryforenvironment.sharepoint.com/:w:/r/sites/ECM-ER-Comms/Shared Documents/05 - Publications administration_107179/02 - Guidelines and protocols_107189/03 - Forms and templates_107192/MfE report template user instructions_7829950.docx?d=wc85c34d586fc4c7eafe4055f3c86fbfd&amp;csf=1&amp;web=1&amp;e=ro9zDA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Daisy Smith</cp:lastModifiedBy>
  <cp:revision>7</cp:revision>
  <dcterms:created xsi:type="dcterms:W3CDTF">2022-02-09T02:49:00Z</dcterms:created>
  <dcterms:modified xsi:type="dcterms:W3CDTF">2022-03-23T04:23:00Z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0x010100F01ED631E09C5F47A877DCE13B9406DB</vt:lpwstr>
  </property>
  <property fmtid="{D5CDD505-2E9C-101B-9397-08002B2CF9AE}" pid="10" name="_dlc_DocIdItemGuid">
    <vt:lpwstr>aa0e9eb6-dffc-4d9e-9aab-1c9b6d73f1e9</vt:lpwstr>
  </property>
</Properties>
</file>