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9F818" w14:textId="69C6FA8D" w:rsidR="0003640E" w:rsidRPr="00493A3B" w:rsidRDefault="00105928" w:rsidP="00D046E6">
      <w:pPr>
        <w:pStyle w:val="BodyText"/>
      </w:pPr>
      <w:r w:rsidRPr="00493A3B">
        <w:rPr>
          <w:noProof/>
        </w:rPr>
        <w:drawing>
          <wp:anchor distT="0" distB="0" distL="114300" distR="114300" simplePos="0" relativeHeight="251658240" behindDoc="0" locked="0" layoutInCell="1" allowOverlap="1" wp14:anchorId="02ABF017" wp14:editId="73A0E89E">
            <wp:simplePos x="0" y="0"/>
            <wp:positionH relativeFrom="page">
              <wp:posOffset>11875</wp:posOffset>
            </wp:positionH>
            <wp:positionV relativeFrom="paragraph">
              <wp:posOffset>-3707328</wp:posOffset>
            </wp:positionV>
            <wp:extent cx="7568418" cy="10783782"/>
            <wp:effectExtent l="0" t="0" r="0" b="0"/>
            <wp:wrapNone/>
            <wp:docPr id="850430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30092" name="Picture 1"/>
                    <pic:cNvPicPr/>
                  </pic:nvPicPr>
                  <pic:blipFill>
                    <a:blip r:embed="rId12"/>
                    <a:srcRect l="362" r="362"/>
                    <a:stretch>
                      <a:fillRect/>
                    </a:stretch>
                  </pic:blipFill>
                  <pic:spPr bwMode="auto">
                    <a:xfrm>
                      <a:off x="0" y="0"/>
                      <a:ext cx="7568418" cy="107837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3FA78F" w14:textId="0D073D4A" w:rsidR="0003640E" w:rsidRPr="00493A3B" w:rsidRDefault="0003640E" w:rsidP="0080531E">
      <w:pPr>
        <w:jc w:val="left"/>
        <w:rPr>
          <w:color w:val="FF0000"/>
        </w:rPr>
        <w:sectPr w:rsidR="0003640E" w:rsidRPr="00493A3B" w:rsidSect="001B0572">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510BCF92" w14:textId="77777777" w:rsidR="00452EC4" w:rsidRPr="00493A3B" w:rsidRDefault="00452EC4" w:rsidP="00775F57">
      <w:pPr>
        <w:pStyle w:val="Imprint"/>
        <w:spacing w:before="0" w:after="0"/>
        <w:rPr>
          <w:b/>
        </w:rPr>
      </w:pPr>
      <w:r w:rsidRPr="00493A3B">
        <w:rPr>
          <w:b/>
        </w:rPr>
        <w:lastRenderedPageBreak/>
        <w:t>Disclaimer</w:t>
      </w:r>
    </w:p>
    <w:p w14:paraId="6BE4E6DD" w14:textId="3A5EB923" w:rsidR="0059040D" w:rsidRPr="00493A3B" w:rsidRDefault="0059040D" w:rsidP="0059040D">
      <w:pPr>
        <w:pStyle w:val="Imprint"/>
      </w:pPr>
      <w:r w:rsidRPr="00493A3B">
        <w:t>The information in this publication is, according to the Ministry for the Environment’s best efforts, accurate at the time of publication. The Ministry will make every reasonable effort to</w:t>
      </w:r>
      <w:r w:rsidR="00CB07DB" w:rsidRPr="00493A3B">
        <w:t> </w:t>
      </w:r>
      <w:r w:rsidRPr="00493A3B">
        <w:t xml:space="preserve">keep it current and accurate. However, users of this publication are advised that: </w:t>
      </w:r>
    </w:p>
    <w:p w14:paraId="47798A3F" w14:textId="46945FB6" w:rsidR="0059040D" w:rsidRPr="00493A3B" w:rsidRDefault="0022012C" w:rsidP="00D01DD6">
      <w:pPr>
        <w:pStyle w:val="Bullet"/>
      </w:pPr>
      <w:r w:rsidRPr="00493A3B">
        <w:t>T</w:t>
      </w:r>
      <w:r w:rsidR="0059040D" w:rsidRPr="00493A3B">
        <w:t>he information does not alter the laws of New Zealand, other official guidelines, or requirements</w:t>
      </w:r>
      <w:r w:rsidRPr="00493A3B">
        <w:t>.</w:t>
      </w:r>
      <w:r w:rsidR="0059040D" w:rsidRPr="00493A3B">
        <w:t xml:space="preserve"> </w:t>
      </w:r>
    </w:p>
    <w:p w14:paraId="1CB96456" w14:textId="28BE923B" w:rsidR="0059040D" w:rsidRPr="00493A3B" w:rsidRDefault="0022012C" w:rsidP="00D01DD6">
      <w:pPr>
        <w:pStyle w:val="Bullet"/>
      </w:pPr>
      <w:r w:rsidRPr="00493A3B">
        <w:t>I</w:t>
      </w:r>
      <w:r w:rsidR="0059040D" w:rsidRPr="00493A3B">
        <w:t>t does not constitute legal advice, and users should take specific advice from qualified professionals before taking any action based on information in this publication</w:t>
      </w:r>
      <w:r w:rsidRPr="00493A3B">
        <w:t xml:space="preserve">. </w:t>
      </w:r>
    </w:p>
    <w:p w14:paraId="0F4AFBBB" w14:textId="330452E9" w:rsidR="0059040D" w:rsidRPr="00493A3B" w:rsidRDefault="0022012C" w:rsidP="00D01DD6">
      <w:pPr>
        <w:pStyle w:val="Bullet"/>
      </w:pPr>
      <w:r w:rsidRPr="00493A3B">
        <w:t>T</w:t>
      </w:r>
      <w:r w:rsidR="0059040D" w:rsidRPr="00493A3B">
        <w:t>he Ministry does not accept any responsibility or liability whatsoever whether in contract, tort, equity, or otherwise for any action taken as a result of reading, or reliance placed on this publication because of having read any part, or all, of the information in this</w:t>
      </w:r>
      <w:r w:rsidR="0043558E">
        <w:t> </w:t>
      </w:r>
      <w:r w:rsidR="0059040D" w:rsidRPr="00493A3B">
        <w:t>publication or for any error, or inadequacy, deficiency, flaw in, or omission from the information in this publication</w:t>
      </w:r>
      <w:r w:rsidRPr="00493A3B">
        <w:t>.</w:t>
      </w:r>
      <w:r w:rsidR="0059040D" w:rsidRPr="00493A3B">
        <w:t xml:space="preserve"> </w:t>
      </w:r>
    </w:p>
    <w:p w14:paraId="4AA7E929" w14:textId="405944EA" w:rsidR="00452EC4" w:rsidRPr="00493A3B" w:rsidRDefault="00CF15D5" w:rsidP="00D01DD6">
      <w:pPr>
        <w:pStyle w:val="Bullet"/>
      </w:pPr>
      <w:r w:rsidRPr="00493A3B">
        <w:t>A</w:t>
      </w:r>
      <w:r w:rsidR="0059040D" w:rsidRPr="00493A3B">
        <w:t>ll references to websites, organisations or people not within the Ministry are for convenience only and should not be taken as endorsement of those websites or information contained in those websites nor of organisations or people referred to.</w:t>
      </w:r>
    </w:p>
    <w:p w14:paraId="26A89486" w14:textId="4319E54E" w:rsidR="00452EC4" w:rsidRPr="00493A3B" w:rsidRDefault="00452EC4" w:rsidP="00775F57">
      <w:pPr>
        <w:pStyle w:val="Imprint"/>
        <w:spacing w:after="0"/>
        <w:rPr>
          <w:b/>
        </w:rPr>
      </w:pPr>
      <w:r w:rsidRPr="00493A3B">
        <w:rPr>
          <w:b/>
        </w:rPr>
        <w:t>Acknowledgements</w:t>
      </w:r>
    </w:p>
    <w:p w14:paraId="7E78B8EF" w14:textId="2751E9C4" w:rsidR="0059128F" w:rsidRPr="00493A3B" w:rsidRDefault="0059128F" w:rsidP="0059128F">
      <w:pPr>
        <w:pStyle w:val="Imprint"/>
      </w:pPr>
      <w:r w:rsidRPr="00493A3B">
        <w:t>The Ministry for the Environment would like to thank all those organisations and individuals that provided feedback to assist in the development of this guide.</w:t>
      </w:r>
    </w:p>
    <w:p w14:paraId="081DA621" w14:textId="77777777" w:rsidR="006755CB" w:rsidRPr="00493A3B" w:rsidRDefault="006755CB" w:rsidP="00452EC4">
      <w:pPr>
        <w:pStyle w:val="Imprint"/>
      </w:pPr>
    </w:p>
    <w:p w14:paraId="29BE8638" w14:textId="77777777" w:rsidR="006755CB" w:rsidRPr="00493A3B" w:rsidRDefault="006755CB" w:rsidP="00452EC4">
      <w:pPr>
        <w:pStyle w:val="Imprint"/>
      </w:pPr>
    </w:p>
    <w:p w14:paraId="7DD3B51B" w14:textId="11B1E47F" w:rsidR="00452EC4" w:rsidRPr="00493A3B" w:rsidRDefault="00452EC4" w:rsidP="00452EC4">
      <w:pPr>
        <w:pStyle w:val="Imprint"/>
      </w:pPr>
      <w:r w:rsidRPr="00493A3B">
        <w:t xml:space="preserve">This </w:t>
      </w:r>
      <w:r w:rsidR="00775F57" w:rsidRPr="00493A3B">
        <w:t>document</w:t>
      </w:r>
      <w:r w:rsidRPr="00493A3B">
        <w:t xml:space="preserve"> may be cited as:</w:t>
      </w:r>
      <w:r w:rsidR="00775F57" w:rsidRPr="00493A3B">
        <w:t xml:space="preserve"> Ministry for the Environment. </w:t>
      </w:r>
      <w:r w:rsidR="00B34FC7" w:rsidRPr="00493A3B">
        <w:t>2026</w:t>
      </w:r>
      <w:r w:rsidR="00775F57" w:rsidRPr="00493A3B">
        <w:t xml:space="preserve">. </w:t>
      </w:r>
      <w:r w:rsidR="00F920A3" w:rsidRPr="00493A3B">
        <w:rPr>
          <w:i/>
        </w:rPr>
        <w:t xml:space="preserve">National Policy Statement on Natural Hazards </w:t>
      </w:r>
      <w:r w:rsidR="00B34FC7" w:rsidRPr="00493A3B">
        <w:rPr>
          <w:i/>
        </w:rPr>
        <w:t>–</w:t>
      </w:r>
      <w:r w:rsidR="00F920A3" w:rsidRPr="00493A3B">
        <w:rPr>
          <w:i/>
        </w:rPr>
        <w:t xml:space="preserve"> </w:t>
      </w:r>
      <w:r w:rsidR="00B34FC7" w:rsidRPr="00493A3B">
        <w:rPr>
          <w:i/>
        </w:rPr>
        <w:t>I</w:t>
      </w:r>
      <w:r w:rsidR="00CF15D5" w:rsidRPr="00493A3B">
        <w:rPr>
          <w:i/>
        </w:rPr>
        <w:t>mplement</w:t>
      </w:r>
      <w:r w:rsidR="00F920A3" w:rsidRPr="00493A3B">
        <w:rPr>
          <w:i/>
        </w:rPr>
        <w:t>ation</w:t>
      </w:r>
      <w:r w:rsidR="00B34FC7" w:rsidRPr="00493A3B">
        <w:rPr>
          <w:i/>
        </w:rPr>
        <w:t xml:space="preserve"> Guide</w:t>
      </w:r>
      <w:r w:rsidR="00775F57" w:rsidRPr="00493A3B">
        <w:t>. Wellington: Ministry for the Environment.</w:t>
      </w:r>
    </w:p>
    <w:p w14:paraId="3DD7D747" w14:textId="3070A2F0" w:rsidR="00760C00" w:rsidRPr="00493A3B" w:rsidRDefault="00760C00" w:rsidP="0080531E">
      <w:pPr>
        <w:pStyle w:val="Imprint"/>
      </w:pPr>
    </w:p>
    <w:p w14:paraId="465DB9CC" w14:textId="77777777" w:rsidR="00D778E7" w:rsidRPr="00493A3B" w:rsidRDefault="00D778E7" w:rsidP="0080531E">
      <w:pPr>
        <w:pStyle w:val="Imprint"/>
      </w:pPr>
    </w:p>
    <w:p w14:paraId="0EA1DB02" w14:textId="77777777" w:rsidR="006755CB" w:rsidRPr="00493A3B" w:rsidRDefault="006755CB" w:rsidP="0080531E">
      <w:pPr>
        <w:pStyle w:val="Imprint"/>
      </w:pPr>
    </w:p>
    <w:p w14:paraId="66F224B3" w14:textId="77777777" w:rsidR="00130A41" w:rsidRPr="00493A3B" w:rsidRDefault="00130A41" w:rsidP="0080531E">
      <w:pPr>
        <w:pStyle w:val="Imprint"/>
      </w:pPr>
    </w:p>
    <w:p w14:paraId="61384B65" w14:textId="77777777" w:rsidR="00424CF1" w:rsidRPr="00493A3B" w:rsidRDefault="00424CF1" w:rsidP="0080531E">
      <w:pPr>
        <w:pStyle w:val="Imprint"/>
      </w:pPr>
    </w:p>
    <w:p w14:paraId="7276C2F6" w14:textId="77777777" w:rsidR="00457135" w:rsidRPr="00493A3B" w:rsidRDefault="00457135" w:rsidP="0080531E">
      <w:pPr>
        <w:pStyle w:val="Imprint"/>
      </w:pPr>
    </w:p>
    <w:p w14:paraId="6277ADCB" w14:textId="77777777" w:rsidR="00D778E7" w:rsidRPr="00493A3B" w:rsidRDefault="00D778E7" w:rsidP="00D778E7">
      <w:pPr>
        <w:pStyle w:val="Imprint"/>
        <w:spacing w:before="0" w:after="0"/>
      </w:pPr>
    </w:p>
    <w:p w14:paraId="512252B3" w14:textId="44F852D7" w:rsidR="0080531E" w:rsidRPr="00493A3B" w:rsidRDefault="0080531E" w:rsidP="0080531E">
      <w:pPr>
        <w:pStyle w:val="Imprint"/>
      </w:pPr>
      <w:r w:rsidRPr="00493A3B">
        <w:t xml:space="preserve">Published in </w:t>
      </w:r>
      <w:r w:rsidR="00271EA6" w:rsidRPr="00493A3B">
        <w:t>April</w:t>
      </w:r>
      <w:r w:rsidR="00775F57" w:rsidRPr="00493A3B">
        <w:t xml:space="preserve"> </w:t>
      </w:r>
      <w:r w:rsidR="006755CB" w:rsidRPr="00493A3B">
        <w:t>2026</w:t>
      </w:r>
      <w:r w:rsidRPr="00493A3B">
        <w:t xml:space="preserve"> by the</w:t>
      </w:r>
      <w:r w:rsidRPr="00493A3B">
        <w:br/>
        <w:t xml:space="preserve">Ministry for the Environment </w:t>
      </w:r>
      <w:r w:rsidRPr="00493A3B">
        <w:br/>
        <w:t xml:space="preserve">Manatū </w:t>
      </w:r>
      <w:r w:rsidR="001201AD" w:rsidRPr="00493A3B">
        <w:t>m</w:t>
      </w:r>
      <w:r w:rsidRPr="00493A3B">
        <w:t xml:space="preserve">ō </w:t>
      </w:r>
      <w:r w:rsidR="001201AD" w:rsidRPr="00493A3B">
        <w:t>t</w:t>
      </w:r>
      <w:r w:rsidRPr="00493A3B">
        <w:t>e Taiao</w:t>
      </w:r>
      <w:r w:rsidRPr="00493A3B">
        <w:br/>
        <w:t>PO Box 10362, Wellington 6143, New Zealand</w:t>
      </w:r>
      <w:r w:rsidR="00F27E5C" w:rsidRPr="00493A3B">
        <w:br/>
      </w:r>
      <w:hyperlink r:id="rId19" w:history="1">
        <w:r w:rsidR="00F27E5C" w:rsidRPr="00493A3B">
          <w:rPr>
            <w:rStyle w:val="Hyperlink"/>
          </w:rPr>
          <w:t>environment.govt.nz</w:t>
        </w:r>
      </w:hyperlink>
    </w:p>
    <w:p w14:paraId="1484F55C" w14:textId="57AD0E18" w:rsidR="0080531E" w:rsidRPr="00493A3B" w:rsidRDefault="0080531E" w:rsidP="006755CB">
      <w:pPr>
        <w:pStyle w:val="Imprint"/>
      </w:pPr>
      <w:r w:rsidRPr="00493A3B">
        <w:t xml:space="preserve">ISBN: </w:t>
      </w:r>
      <w:r w:rsidR="009D09FB" w:rsidRPr="009D09FB">
        <w:rPr>
          <w:lang w:val="en-US"/>
        </w:rPr>
        <w:t>978-1-991404-41-1</w:t>
      </w:r>
      <w:r w:rsidR="009D09FB" w:rsidRPr="009D09FB">
        <w:t> </w:t>
      </w:r>
      <w:r w:rsidR="006755CB" w:rsidRPr="00493A3B">
        <w:br/>
      </w:r>
      <w:r w:rsidRPr="00493A3B">
        <w:t xml:space="preserve">Publication number: ME </w:t>
      </w:r>
      <w:r w:rsidR="00FF1A51" w:rsidRPr="00493A3B">
        <w:t>1962</w:t>
      </w:r>
    </w:p>
    <w:p w14:paraId="4BC5780E" w14:textId="5AE94106" w:rsidR="0080531E" w:rsidRPr="00493A3B" w:rsidRDefault="0080531E" w:rsidP="00593E94">
      <w:pPr>
        <w:pStyle w:val="Imprint"/>
        <w:spacing w:after="80"/>
      </w:pPr>
      <w:r w:rsidRPr="00493A3B">
        <w:t xml:space="preserve">© Crown copyright New Zealand </w:t>
      </w:r>
      <w:r w:rsidR="006755CB" w:rsidRPr="00493A3B">
        <w:t>2026</w:t>
      </w:r>
    </w:p>
    <w:p w14:paraId="719B7C50" w14:textId="77777777" w:rsidR="0080531E" w:rsidRPr="00493A3B" w:rsidRDefault="0080531E" w:rsidP="00A84FE1">
      <w:pPr>
        <w:sectPr w:rsidR="0080531E" w:rsidRPr="00493A3B" w:rsidSect="001B0572">
          <w:headerReference w:type="even" r:id="rId20"/>
          <w:headerReference w:type="default" r:id="rId21"/>
          <w:footerReference w:type="even" r:id="rId22"/>
          <w:footerReference w:type="default" r:id="rId23"/>
          <w:headerReference w:type="first" r:id="rId24"/>
          <w:footerReference w:type="first" r:id="rId25"/>
          <w:pgSz w:w="11907" w:h="16840" w:code="9"/>
          <w:pgMar w:top="1134" w:right="1701" w:bottom="1134" w:left="1701" w:header="567" w:footer="567" w:gutter="0"/>
          <w:pgNumType w:fmt="lowerRoman"/>
          <w:cols w:space="720"/>
        </w:sectPr>
      </w:pPr>
    </w:p>
    <w:p w14:paraId="74FCF0FC" w14:textId="2462EA5D" w:rsidR="0080531E" w:rsidRPr="00493A3B" w:rsidRDefault="0080531E" w:rsidP="00585FD0">
      <w:pPr>
        <w:pStyle w:val="Heading"/>
      </w:pPr>
      <w:r w:rsidRPr="00493A3B">
        <w:lastRenderedPageBreak/>
        <w:t>Contents</w:t>
      </w:r>
    </w:p>
    <w:p w14:paraId="719F1DD5" w14:textId="42B50149" w:rsidR="000E432F" w:rsidRPr="00493A3B" w:rsidRDefault="00775F57">
      <w:pPr>
        <w:pStyle w:val="TOC1"/>
        <w:rPr>
          <w:rFonts w:asciiTheme="minorHAnsi" w:hAnsiTheme="minorHAnsi"/>
          <w:noProof/>
          <w:kern w:val="2"/>
          <w:sz w:val="24"/>
          <w:szCs w:val="24"/>
          <w14:ligatures w14:val="standardContextual"/>
        </w:rPr>
      </w:pPr>
      <w:r w:rsidRPr="00493A3B">
        <w:rPr>
          <w:color w:val="0092CF"/>
        </w:rPr>
        <w:fldChar w:fldCharType="begin"/>
      </w:r>
      <w:r w:rsidRPr="00493A3B">
        <w:rPr>
          <w:color w:val="0092CF"/>
        </w:rPr>
        <w:instrText xml:space="preserve"> TOC \h \z \t "Heading 1,1,Heading 2,2" </w:instrText>
      </w:r>
      <w:r w:rsidRPr="00493A3B">
        <w:rPr>
          <w:color w:val="0092CF"/>
        </w:rPr>
        <w:fldChar w:fldCharType="separate"/>
      </w:r>
      <w:hyperlink w:anchor="_Toc226291463" w:history="1">
        <w:r w:rsidR="000E432F" w:rsidRPr="00493A3B">
          <w:rPr>
            <w:rStyle w:val="Hyperlink"/>
            <w:noProof/>
          </w:rPr>
          <w:t>Part 1: Introduction</w:t>
        </w:r>
        <w:r w:rsidR="000E432F" w:rsidRPr="00493A3B">
          <w:rPr>
            <w:noProof/>
            <w:webHidden/>
          </w:rPr>
          <w:tab/>
        </w:r>
        <w:r w:rsidR="000E432F" w:rsidRPr="00493A3B">
          <w:rPr>
            <w:noProof/>
            <w:webHidden/>
          </w:rPr>
          <w:fldChar w:fldCharType="begin"/>
        </w:r>
        <w:r w:rsidR="000E432F" w:rsidRPr="00493A3B">
          <w:rPr>
            <w:noProof/>
            <w:webHidden/>
          </w:rPr>
          <w:instrText xml:space="preserve"> PAGEREF _Toc226291463 \h </w:instrText>
        </w:r>
        <w:r w:rsidR="000E432F" w:rsidRPr="00493A3B">
          <w:rPr>
            <w:noProof/>
            <w:webHidden/>
          </w:rPr>
        </w:r>
        <w:r w:rsidR="000E432F" w:rsidRPr="00493A3B">
          <w:rPr>
            <w:noProof/>
            <w:webHidden/>
          </w:rPr>
          <w:fldChar w:fldCharType="separate"/>
        </w:r>
        <w:r w:rsidR="00204E57">
          <w:rPr>
            <w:noProof/>
            <w:webHidden/>
          </w:rPr>
          <w:t>5</w:t>
        </w:r>
        <w:r w:rsidR="000E432F" w:rsidRPr="00493A3B">
          <w:rPr>
            <w:noProof/>
            <w:webHidden/>
          </w:rPr>
          <w:fldChar w:fldCharType="end"/>
        </w:r>
      </w:hyperlink>
    </w:p>
    <w:p w14:paraId="004865F9" w14:textId="211DF493" w:rsidR="000E432F" w:rsidRPr="00493A3B" w:rsidRDefault="000E432F">
      <w:pPr>
        <w:pStyle w:val="TOC2"/>
        <w:rPr>
          <w:rFonts w:asciiTheme="minorHAnsi" w:hAnsiTheme="minorHAnsi"/>
          <w:noProof/>
          <w:kern w:val="2"/>
          <w:sz w:val="24"/>
          <w:szCs w:val="24"/>
          <w14:ligatures w14:val="standardContextual"/>
        </w:rPr>
      </w:pPr>
      <w:hyperlink w:anchor="_Toc226291464" w:history="1">
        <w:r w:rsidRPr="00493A3B">
          <w:rPr>
            <w:rStyle w:val="Hyperlink"/>
            <w:noProof/>
          </w:rPr>
          <w:t>The NPS-NH is a temporary measure to address a gap in the RMA</w:t>
        </w:r>
        <w:r w:rsidRPr="00493A3B">
          <w:rPr>
            <w:noProof/>
            <w:webHidden/>
          </w:rPr>
          <w:tab/>
        </w:r>
        <w:r w:rsidRPr="00493A3B">
          <w:rPr>
            <w:noProof/>
            <w:webHidden/>
          </w:rPr>
          <w:fldChar w:fldCharType="begin"/>
        </w:r>
        <w:r w:rsidRPr="00493A3B">
          <w:rPr>
            <w:noProof/>
            <w:webHidden/>
          </w:rPr>
          <w:instrText xml:space="preserve"> PAGEREF _Toc226291464 \h </w:instrText>
        </w:r>
        <w:r w:rsidRPr="00493A3B">
          <w:rPr>
            <w:noProof/>
            <w:webHidden/>
          </w:rPr>
        </w:r>
        <w:r w:rsidRPr="00493A3B">
          <w:rPr>
            <w:noProof/>
            <w:webHidden/>
          </w:rPr>
          <w:fldChar w:fldCharType="separate"/>
        </w:r>
        <w:r w:rsidR="00204E57">
          <w:rPr>
            <w:noProof/>
            <w:webHidden/>
          </w:rPr>
          <w:t>5</w:t>
        </w:r>
        <w:r w:rsidRPr="00493A3B">
          <w:rPr>
            <w:noProof/>
            <w:webHidden/>
          </w:rPr>
          <w:fldChar w:fldCharType="end"/>
        </w:r>
      </w:hyperlink>
    </w:p>
    <w:p w14:paraId="747CC304" w14:textId="48EE0574" w:rsidR="000E432F" w:rsidRPr="00493A3B" w:rsidRDefault="000E432F">
      <w:pPr>
        <w:pStyle w:val="TOC2"/>
        <w:rPr>
          <w:rFonts w:asciiTheme="minorHAnsi" w:hAnsiTheme="minorHAnsi"/>
          <w:noProof/>
          <w:kern w:val="2"/>
          <w:sz w:val="24"/>
          <w:szCs w:val="24"/>
          <w14:ligatures w14:val="standardContextual"/>
        </w:rPr>
      </w:pPr>
      <w:hyperlink w:anchor="_Toc226291465" w:history="1">
        <w:r w:rsidRPr="00493A3B">
          <w:rPr>
            <w:rStyle w:val="Hyperlink"/>
            <w:noProof/>
          </w:rPr>
          <w:t>Purpose and scope of guide</w:t>
        </w:r>
        <w:r w:rsidRPr="00493A3B">
          <w:rPr>
            <w:noProof/>
            <w:webHidden/>
          </w:rPr>
          <w:tab/>
        </w:r>
        <w:r w:rsidRPr="00493A3B">
          <w:rPr>
            <w:noProof/>
            <w:webHidden/>
          </w:rPr>
          <w:fldChar w:fldCharType="begin"/>
        </w:r>
        <w:r w:rsidRPr="00493A3B">
          <w:rPr>
            <w:noProof/>
            <w:webHidden/>
          </w:rPr>
          <w:instrText xml:space="preserve"> PAGEREF _Toc226291465 \h </w:instrText>
        </w:r>
        <w:r w:rsidRPr="00493A3B">
          <w:rPr>
            <w:noProof/>
            <w:webHidden/>
          </w:rPr>
        </w:r>
        <w:r w:rsidRPr="00493A3B">
          <w:rPr>
            <w:noProof/>
            <w:webHidden/>
          </w:rPr>
          <w:fldChar w:fldCharType="separate"/>
        </w:r>
        <w:r w:rsidR="00204E57">
          <w:rPr>
            <w:noProof/>
            <w:webHidden/>
          </w:rPr>
          <w:t>5</w:t>
        </w:r>
        <w:r w:rsidRPr="00493A3B">
          <w:rPr>
            <w:noProof/>
            <w:webHidden/>
          </w:rPr>
          <w:fldChar w:fldCharType="end"/>
        </w:r>
      </w:hyperlink>
    </w:p>
    <w:p w14:paraId="71526E2E" w14:textId="27E1FD9C" w:rsidR="000E432F" w:rsidRPr="00493A3B" w:rsidRDefault="000E432F">
      <w:pPr>
        <w:pStyle w:val="TOC1"/>
        <w:rPr>
          <w:rFonts w:asciiTheme="minorHAnsi" w:hAnsiTheme="minorHAnsi"/>
          <w:noProof/>
          <w:kern w:val="2"/>
          <w:sz w:val="24"/>
          <w:szCs w:val="24"/>
          <w14:ligatures w14:val="standardContextual"/>
        </w:rPr>
      </w:pPr>
      <w:hyperlink w:anchor="_Toc226291466" w:history="1">
        <w:r w:rsidRPr="00493A3B">
          <w:rPr>
            <w:rStyle w:val="Hyperlink"/>
            <w:noProof/>
          </w:rPr>
          <w:t>Part 2: Objective and policies</w:t>
        </w:r>
        <w:r w:rsidRPr="00493A3B">
          <w:rPr>
            <w:noProof/>
            <w:webHidden/>
          </w:rPr>
          <w:tab/>
        </w:r>
        <w:r w:rsidRPr="00493A3B">
          <w:rPr>
            <w:noProof/>
            <w:webHidden/>
          </w:rPr>
          <w:fldChar w:fldCharType="begin"/>
        </w:r>
        <w:r w:rsidRPr="00493A3B">
          <w:rPr>
            <w:noProof/>
            <w:webHidden/>
          </w:rPr>
          <w:instrText xml:space="preserve"> PAGEREF _Toc226291466 \h </w:instrText>
        </w:r>
        <w:r w:rsidRPr="00493A3B">
          <w:rPr>
            <w:noProof/>
            <w:webHidden/>
          </w:rPr>
        </w:r>
        <w:r w:rsidRPr="00493A3B">
          <w:rPr>
            <w:noProof/>
            <w:webHidden/>
          </w:rPr>
          <w:fldChar w:fldCharType="separate"/>
        </w:r>
        <w:r w:rsidR="00204E57">
          <w:rPr>
            <w:noProof/>
            <w:webHidden/>
          </w:rPr>
          <w:t>7</w:t>
        </w:r>
        <w:r w:rsidRPr="00493A3B">
          <w:rPr>
            <w:noProof/>
            <w:webHidden/>
          </w:rPr>
          <w:fldChar w:fldCharType="end"/>
        </w:r>
      </w:hyperlink>
    </w:p>
    <w:p w14:paraId="0259E15C" w14:textId="40A006F9" w:rsidR="000E432F" w:rsidRPr="00493A3B" w:rsidRDefault="000E432F">
      <w:pPr>
        <w:pStyle w:val="TOC2"/>
        <w:rPr>
          <w:rFonts w:asciiTheme="minorHAnsi" w:hAnsiTheme="minorHAnsi"/>
          <w:noProof/>
          <w:kern w:val="2"/>
          <w:sz w:val="24"/>
          <w:szCs w:val="24"/>
          <w14:ligatures w14:val="standardContextual"/>
        </w:rPr>
      </w:pPr>
      <w:hyperlink w:anchor="_Toc226291467" w:history="1">
        <w:r w:rsidRPr="00493A3B">
          <w:rPr>
            <w:rStyle w:val="Hyperlink"/>
            <w:noProof/>
          </w:rPr>
          <w:t>The NPS-NH aims to improve decision</w:t>
        </w:r>
        <w:r w:rsidRPr="00493A3B">
          <w:rPr>
            <w:rStyle w:val="Hyperlink"/>
            <w:noProof/>
          </w:rPr>
          <w:noBreakHyphen/>
          <w:t>making</w:t>
        </w:r>
        <w:r w:rsidRPr="00493A3B">
          <w:rPr>
            <w:noProof/>
            <w:webHidden/>
          </w:rPr>
          <w:tab/>
        </w:r>
        <w:r w:rsidRPr="00493A3B">
          <w:rPr>
            <w:noProof/>
            <w:webHidden/>
          </w:rPr>
          <w:fldChar w:fldCharType="begin"/>
        </w:r>
        <w:r w:rsidRPr="00493A3B">
          <w:rPr>
            <w:noProof/>
            <w:webHidden/>
          </w:rPr>
          <w:instrText xml:space="preserve"> PAGEREF _Toc226291467 \h </w:instrText>
        </w:r>
        <w:r w:rsidRPr="00493A3B">
          <w:rPr>
            <w:noProof/>
            <w:webHidden/>
          </w:rPr>
        </w:r>
        <w:r w:rsidRPr="00493A3B">
          <w:rPr>
            <w:noProof/>
            <w:webHidden/>
          </w:rPr>
          <w:fldChar w:fldCharType="separate"/>
        </w:r>
        <w:r w:rsidR="00204E57">
          <w:rPr>
            <w:noProof/>
            <w:webHidden/>
          </w:rPr>
          <w:t>7</w:t>
        </w:r>
        <w:r w:rsidRPr="00493A3B">
          <w:rPr>
            <w:noProof/>
            <w:webHidden/>
          </w:rPr>
          <w:fldChar w:fldCharType="end"/>
        </w:r>
      </w:hyperlink>
    </w:p>
    <w:p w14:paraId="4D2749A2" w14:textId="49AEB825" w:rsidR="000E432F" w:rsidRPr="00493A3B" w:rsidRDefault="000E432F">
      <w:pPr>
        <w:pStyle w:val="TOC2"/>
        <w:rPr>
          <w:rFonts w:asciiTheme="minorHAnsi" w:hAnsiTheme="minorHAnsi"/>
          <w:noProof/>
          <w:kern w:val="2"/>
          <w:sz w:val="24"/>
          <w:szCs w:val="24"/>
          <w14:ligatures w14:val="standardContextual"/>
        </w:rPr>
      </w:pPr>
      <w:hyperlink w:anchor="_Toc226291468" w:history="1">
        <w:r w:rsidRPr="00493A3B">
          <w:rPr>
            <w:rStyle w:val="Hyperlink"/>
            <w:noProof/>
          </w:rPr>
          <w:t>The NPS-NH comprises six key policies</w:t>
        </w:r>
        <w:r w:rsidRPr="00493A3B">
          <w:rPr>
            <w:noProof/>
            <w:webHidden/>
          </w:rPr>
          <w:tab/>
        </w:r>
        <w:r w:rsidRPr="00493A3B">
          <w:rPr>
            <w:noProof/>
            <w:webHidden/>
          </w:rPr>
          <w:fldChar w:fldCharType="begin"/>
        </w:r>
        <w:r w:rsidRPr="00493A3B">
          <w:rPr>
            <w:noProof/>
            <w:webHidden/>
          </w:rPr>
          <w:instrText xml:space="preserve"> PAGEREF _Toc226291468 \h </w:instrText>
        </w:r>
        <w:r w:rsidRPr="00493A3B">
          <w:rPr>
            <w:noProof/>
            <w:webHidden/>
          </w:rPr>
        </w:r>
        <w:r w:rsidRPr="00493A3B">
          <w:rPr>
            <w:noProof/>
            <w:webHidden/>
          </w:rPr>
          <w:fldChar w:fldCharType="separate"/>
        </w:r>
        <w:r w:rsidR="00204E57">
          <w:rPr>
            <w:noProof/>
            <w:webHidden/>
          </w:rPr>
          <w:t>7</w:t>
        </w:r>
        <w:r w:rsidRPr="00493A3B">
          <w:rPr>
            <w:noProof/>
            <w:webHidden/>
          </w:rPr>
          <w:fldChar w:fldCharType="end"/>
        </w:r>
      </w:hyperlink>
    </w:p>
    <w:p w14:paraId="7740A311" w14:textId="4BDC040D" w:rsidR="000E432F" w:rsidRPr="00493A3B" w:rsidRDefault="000E432F">
      <w:pPr>
        <w:pStyle w:val="TOC1"/>
        <w:rPr>
          <w:rFonts w:asciiTheme="minorHAnsi" w:hAnsiTheme="minorHAnsi"/>
          <w:noProof/>
          <w:kern w:val="2"/>
          <w:sz w:val="24"/>
          <w:szCs w:val="24"/>
          <w14:ligatures w14:val="standardContextual"/>
        </w:rPr>
      </w:pPr>
      <w:hyperlink w:anchor="_Toc226291469" w:history="1">
        <w:r w:rsidRPr="00493A3B">
          <w:rPr>
            <w:rStyle w:val="Hyperlink"/>
            <w:noProof/>
          </w:rPr>
          <w:t>Part 3: Application</w:t>
        </w:r>
        <w:r w:rsidRPr="00493A3B">
          <w:rPr>
            <w:noProof/>
            <w:webHidden/>
          </w:rPr>
          <w:tab/>
        </w:r>
        <w:r w:rsidRPr="00493A3B">
          <w:rPr>
            <w:noProof/>
            <w:webHidden/>
          </w:rPr>
          <w:fldChar w:fldCharType="begin"/>
        </w:r>
        <w:r w:rsidRPr="00493A3B">
          <w:rPr>
            <w:noProof/>
            <w:webHidden/>
          </w:rPr>
          <w:instrText xml:space="preserve"> PAGEREF _Toc226291469 \h </w:instrText>
        </w:r>
        <w:r w:rsidRPr="00493A3B">
          <w:rPr>
            <w:noProof/>
            <w:webHidden/>
          </w:rPr>
        </w:r>
        <w:r w:rsidRPr="00493A3B">
          <w:rPr>
            <w:noProof/>
            <w:webHidden/>
          </w:rPr>
          <w:fldChar w:fldCharType="separate"/>
        </w:r>
        <w:r w:rsidR="00204E57">
          <w:rPr>
            <w:noProof/>
            <w:webHidden/>
          </w:rPr>
          <w:t>8</w:t>
        </w:r>
        <w:r w:rsidRPr="00493A3B">
          <w:rPr>
            <w:noProof/>
            <w:webHidden/>
          </w:rPr>
          <w:fldChar w:fldCharType="end"/>
        </w:r>
      </w:hyperlink>
    </w:p>
    <w:p w14:paraId="05BCC482" w14:textId="1E778F3A" w:rsidR="000E432F" w:rsidRPr="00493A3B" w:rsidRDefault="000E432F">
      <w:pPr>
        <w:pStyle w:val="TOC2"/>
        <w:rPr>
          <w:rFonts w:asciiTheme="minorHAnsi" w:hAnsiTheme="minorHAnsi"/>
          <w:noProof/>
          <w:kern w:val="2"/>
          <w:sz w:val="24"/>
          <w:szCs w:val="24"/>
          <w14:ligatures w14:val="standardContextual"/>
        </w:rPr>
      </w:pPr>
      <w:hyperlink w:anchor="_Toc226291470" w:history="1">
        <w:r w:rsidRPr="00493A3B">
          <w:rPr>
            <w:rStyle w:val="Hyperlink"/>
            <w:noProof/>
          </w:rPr>
          <w:t>The NPS-NH is designed to apply to resource consenting</w:t>
        </w:r>
        <w:r w:rsidRPr="00493A3B">
          <w:rPr>
            <w:noProof/>
            <w:webHidden/>
          </w:rPr>
          <w:tab/>
        </w:r>
        <w:r w:rsidRPr="00493A3B">
          <w:rPr>
            <w:noProof/>
            <w:webHidden/>
          </w:rPr>
          <w:fldChar w:fldCharType="begin"/>
        </w:r>
        <w:r w:rsidRPr="00493A3B">
          <w:rPr>
            <w:noProof/>
            <w:webHidden/>
          </w:rPr>
          <w:instrText xml:space="preserve"> PAGEREF _Toc226291470 \h </w:instrText>
        </w:r>
        <w:r w:rsidRPr="00493A3B">
          <w:rPr>
            <w:noProof/>
            <w:webHidden/>
          </w:rPr>
        </w:r>
        <w:r w:rsidRPr="00493A3B">
          <w:rPr>
            <w:noProof/>
            <w:webHidden/>
          </w:rPr>
          <w:fldChar w:fldCharType="separate"/>
        </w:r>
        <w:r w:rsidR="00204E57">
          <w:rPr>
            <w:noProof/>
            <w:webHidden/>
          </w:rPr>
          <w:t>8</w:t>
        </w:r>
        <w:r w:rsidRPr="00493A3B">
          <w:rPr>
            <w:noProof/>
            <w:webHidden/>
          </w:rPr>
          <w:fldChar w:fldCharType="end"/>
        </w:r>
      </w:hyperlink>
    </w:p>
    <w:p w14:paraId="35CB501F" w14:textId="00AA221B" w:rsidR="000E432F" w:rsidRPr="00493A3B" w:rsidRDefault="000E432F">
      <w:pPr>
        <w:pStyle w:val="TOC2"/>
        <w:rPr>
          <w:rFonts w:asciiTheme="minorHAnsi" w:hAnsiTheme="minorHAnsi"/>
          <w:noProof/>
          <w:kern w:val="2"/>
          <w:sz w:val="24"/>
          <w:szCs w:val="24"/>
          <w14:ligatures w14:val="standardContextual"/>
        </w:rPr>
      </w:pPr>
      <w:hyperlink w:anchor="_Toc226291471" w:history="1">
        <w:r w:rsidRPr="00493A3B">
          <w:rPr>
            <w:rStyle w:val="Hyperlink"/>
            <w:noProof/>
          </w:rPr>
          <w:t>The NPS-NH applies to specific natural hazards</w:t>
        </w:r>
        <w:r w:rsidRPr="00493A3B">
          <w:rPr>
            <w:noProof/>
            <w:webHidden/>
          </w:rPr>
          <w:tab/>
        </w:r>
        <w:r w:rsidRPr="00493A3B">
          <w:rPr>
            <w:noProof/>
            <w:webHidden/>
          </w:rPr>
          <w:fldChar w:fldCharType="begin"/>
        </w:r>
        <w:r w:rsidRPr="00493A3B">
          <w:rPr>
            <w:noProof/>
            <w:webHidden/>
          </w:rPr>
          <w:instrText xml:space="preserve"> PAGEREF _Toc226291471 \h </w:instrText>
        </w:r>
        <w:r w:rsidRPr="00493A3B">
          <w:rPr>
            <w:noProof/>
            <w:webHidden/>
          </w:rPr>
        </w:r>
        <w:r w:rsidRPr="00493A3B">
          <w:rPr>
            <w:noProof/>
            <w:webHidden/>
          </w:rPr>
          <w:fldChar w:fldCharType="separate"/>
        </w:r>
        <w:r w:rsidR="00204E57">
          <w:rPr>
            <w:noProof/>
            <w:webHidden/>
          </w:rPr>
          <w:t>8</w:t>
        </w:r>
        <w:r w:rsidRPr="00493A3B">
          <w:rPr>
            <w:noProof/>
            <w:webHidden/>
          </w:rPr>
          <w:fldChar w:fldCharType="end"/>
        </w:r>
      </w:hyperlink>
    </w:p>
    <w:p w14:paraId="53CD8522" w14:textId="683379DA" w:rsidR="000E432F" w:rsidRPr="00493A3B" w:rsidRDefault="000E432F">
      <w:pPr>
        <w:pStyle w:val="TOC2"/>
        <w:rPr>
          <w:rFonts w:asciiTheme="minorHAnsi" w:hAnsiTheme="minorHAnsi"/>
          <w:noProof/>
          <w:kern w:val="2"/>
          <w:sz w:val="24"/>
          <w:szCs w:val="24"/>
          <w14:ligatures w14:val="standardContextual"/>
        </w:rPr>
      </w:pPr>
      <w:hyperlink w:anchor="_Toc226291472" w:history="1">
        <w:r w:rsidRPr="00493A3B">
          <w:rPr>
            <w:rStyle w:val="Hyperlink"/>
            <w:noProof/>
          </w:rPr>
          <w:t>The NPS-NH applies to all activities except infrastructure and primary production</w:t>
        </w:r>
        <w:r w:rsidRPr="00493A3B">
          <w:rPr>
            <w:noProof/>
            <w:webHidden/>
          </w:rPr>
          <w:tab/>
        </w:r>
        <w:r w:rsidRPr="00493A3B">
          <w:rPr>
            <w:noProof/>
            <w:webHidden/>
          </w:rPr>
          <w:fldChar w:fldCharType="begin"/>
        </w:r>
        <w:r w:rsidRPr="00493A3B">
          <w:rPr>
            <w:noProof/>
            <w:webHidden/>
          </w:rPr>
          <w:instrText xml:space="preserve"> PAGEREF _Toc226291472 \h </w:instrText>
        </w:r>
        <w:r w:rsidRPr="00493A3B">
          <w:rPr>
            <w:noProof/>
            <w:webHidden/>
          </w:rPr>
        </w:r>
        <w:r w:rsidRPr="00493A3B">
          <w:rPr>
            <w:noProof/>
            <w:webHidden/>
          </w:rPr>
          <w:fldChar w:fldCharType="separate"/>
        </w:r>
        <w:r w:rsidR="00204E57">
          <w:rPr>
            <w:noProof/>
            <w:webHidden/>
          </w:rPr>
          <w:t>9</w:t>
        </w:r>
        <w:r w:rsidRPr="00493A3B">
          <w:rPr>
            <w:noProof/>
            <w:webHidden/>
          </w:rPr>
          <w:fldChar w:fldCharType="end"/>
        </w:r>
      </w:hyperlink>
    </w:p>
    <w:p w14:paraId="0E795B52" w14:textId="548607DF" w:rsidR="000E432F" w:rsidRPr="00493A3B" w:rsidRDefault="000E432F">
      <w:pPr>
        <w:pStyle w:val="TOC2"/>
        <w:rPr>
          <w:rFonts w:asciiTheme="minorHAnsi" w:hAnsiTheme="minorHAnsi"/>
          <w:noProof/>
          <w:kern w:val="2"/>
          <w:sz w:val="24"/>
          <w:szCs w:val="24"/>
          <w14:ligatures w14:val="standardContextual"/>
        </w:rPr>
      </w:pPr>
      <w:hyperlink w:anchor="_Toc226291473" w:history="1">
        <w:r w:rsidRPr="00493A3B">
          <w:rPr>
            <w:rStyle w:val="Hyperlink"/>
            <w:noProof/>
          </w:rPr>
          <w:t>The NPS-NH does not automatically override existing planning provisions</w:t>
        </w:r>
        <w:r w:rsidRPr="00493A3B">
          <w:rPr>
            <w:noProof/>
            <w:webHidden/>
          </w:rPr>
          <w:tab/>
        </w:r>
        <w:r w:rsidRPr="00493A3B">
          <w:rPr>
            <w:noProof/>
            <w:webHidden/>
          </w:rPr>
          <w:fldChar w:fldCharType="begin"/>
        </w:r>
        <w:r w:rsidRPr="00493A3B">
          <w:rPr>
            <w:noProof/>
            <w:webHidden/>
          </w:rPr>
          <w:instrText xml:space="preserve"> PAGEREF _Toc226291473 \h </w:instrText>
        </w:r>
        <w:r w:rsidRPr="00493A3B">
          <w:rPr>
            <w:noProof/>
            <w:webHidden/>
          </w:rPr>
        </w:r>
        <w:r w:rsidRPr="00493A3B">
          <w:rPr>
            <w:noProof/>
            <w:webHidden/>
          </w:rPr>
          <w:fldChar w:fldCharType="separate"/>
        </w:r>
        <w:r w:rsidR="00204E57">
          <w:rPr>
            <w:noProof/>
            <w:webHidden/>
          </w:rPr>
          <w:t>11</w:t>
        </w:r>
        <w:r w:rsidRPr="00493A3B">
          <w:rPr>
            <w:noProof/>
            <w:webHidden/>
          </w:rPr>
          <w:fldChar w:fldCharType="end"/>
        </w:r>
      </w:hyperlink>
    </w:p>
    <w:p w14:paraId="60B116D4" w14:textId="61893ABB" w:rsidR="000E432F" w:rsidRPr="00493A3B" w:rsidRDefault="000E432F">
      <w:pPr>
        <w:pStyle w:val="TOC1"/>
        <w:rPr>
          <w:rFonts w:asciiTheme="minorHAnsi" w:hAnsiTheme="minorHAnsi"/>
          <w:noProof/>
          <w:kern w:val="2"/>
          <w:sz w:val="24"/>
          <w:szCs w:val="24"/>
          <w14:ligatures w14:val="standardContextual"/>
        </w:rPr>
      </w:pPr>
      <w:hyperlink w:anchor="_Toc226291474" w:history="1">
        <w:r w:rsidRPr="00493A3B">
          <w:rPr>
            <w:rStyle w:val="Hyperlink"/>
            <w:noProof/>
          </w:rPr>
          <w:t>Part 4: Implementation clauses</w:t>
        </w:r>
        <w:r w:rsidRPr="00493A3B">
          <w:rPr>
            <w:noProof/>
            <w:webHidden/>
          </w:rPr>
          <w:tab/>
        </w:r>
        <w:r w:rsidRPr="00493A3B">
          <w:rPr>
            <w:noProof/>
            <w:webHidden/>
          </w:rPr>
          <w:fldChar w:fldCharType="begin"/>
        </w:r>
        <w:r w:rsidRPr="00493A3B">
          <w:rPr>
            <w:noProof/>
            <w:webHidden/>
          </w:rPr>
          <w:instrText xml:space="preserve"> PAGEREF _Toc226291474 \h </w:instrText>
        </w:r>
        <w:r w:rsidRPr="00493A3B">
          <w:rPr>
            <w:noProof/>
            <w:webHidden/>
          </w:rPr>
        </w:r>
        <w:r w:rsidRPr="00493A3B">
          <w:rPr>
            <w:noProof/>
            <w:webHidden/>
          </w:rPr>
          <w:fldChar w:fldCharType="separate"/>
        </w:r>
        <w:r w:rsidR="00204E57">
          <w:rPr>
            <w:noProof/>
            <w:webHidden/>
          </w:rPr>
          <w:t>12</w:t>
        </w:r>
        <w:r w:rsidRPr="00493A3B">
          <w:rPr>
            <w:noProof/>
            <w:webHidden/>
          </w:rPr>
          <w:fldChar w:fldCharType="end"/>
        </w:r>
      </w:hyperlink>
    </w:p>
    <w:p w14:paraId="04C5AC25" w14:textId="34BF49D4" w:rsidR="000E432F" w:rsidRPr="00493A3B" w:rsidRDefault="000E432F">
      <w:pPr>
        <w:pStyle w:val="TOC2"/>
        <w:rPr>
          <w:rFonts w:asciiTheme="minorHAnsi" w:hAnsiTheme="minorHAnsi"/>
          <w:noProof/>
          <w:kern w:val="2"/>
          <w:sz w:val="24"/>
          <w:szCs w:val="24"/>
          <w14:ligatures w14:val="standardContextual"/>
        </w:rPr>
      </w:pPr>
      <w:hyperlink w:anchor="_Toc226291475" w:history="1">
        <w:r w:rsidRPr="00493A3B">
          <w:rPr>
            <w:rStyle w:val="Hyperlink"/>
            <w:noProof/>
          </w:rPr>
          <w:t>Assess the risk</w:t>
        </w:r>
        <w:r w:rsidRPr="00493A3B">
          <w:rPr>
            <w:noProof/>
            <w:webHidden/>
          </w:rPr>
          <w:tab/>
        </w:r>
        <w:r w:rsidRPr="00493A3B">
          <w:rPr>
            <w:noProof/>
            <w:webHidden/>
          </w:rPr>
          <w:fldChar w:fldCharType="begin"/>
        </w:r>
        <w:r w:rsidRPr="00493A3B">
          <w:rPr>
            <w:noProof/>
            <w:webHidden/>
          </w:rPr>
          <w:instrText xml:space="preserve"> PAGEREF _Toc226291475 \h </w:instrText>
        </w:r>
        <w:r w:rsidRPr="00493A3B">
          <w:rPr>
            <w:noProof/>
            <w:webHidden/>
          </w:rPr>
        </w:r>
        <w:r w:rsidRPr="00493A3B">
          <w:rPr>
            <w:noProof/>
            <w:webHidden/>
          </w:rPr>
          <w:fldChar w:fldCharType="separate"/>
        </w:r>
        <w:r w:rsidR="00204E57">
          <w:rPr>
            <w:noProof/>
            <w:webHidden/>
          </w:rPr>
          <w:t>12</w:t>
        </w:r>
        <w:r w:rsidRPr="00493A3B">
          <w:rPr>
            <w:noProof/>
            <w:webHidden/>
          </w:rPr>
          <w:fldChar w:fldCharType="end"/>
        </w:r>
      </w:hyperlink>
    </w:p>
    <w:p w14:paraId="2E69B4D9" w14:textId="302685AF" w:rsidR="000E432F" w:rsidRPr="00493A3B" w:rsidRDefault="000E432F">
      <w:pPr>
        <w:pStyle w:val="TOC2"/>
        <w:rPr>
          <w:rFonts w:asciiTheme="minorHAnsi" w:hAnsiTheme="minorHAnsi"/>
          <w:noProof/>
          <w:kern w:val="2"/>
          <w:sz w:val="24"/>
          <w:szCs w:val="24"/>
          <w14:ligatures w14:val="standardContextual"/>
        </w:rPr>
      </w:pPr>
      <w:hyperlink w:anchor="_Toc226291476" w:history="1">
        <w:r w:rsidRPr="00493A3B">
          <w:rPr>
            <w:rStyle w:val="Hyperlink"/>
            <w:noProof/>
          </w:rPr>
          <w:t>Manage risk proportionately</w:t>
        </w:r>
        <w:r w:rsidRPr="00493A3B">
          <w:rPr>
            <w:noProof/>
            <w:webHidden/>
          </w:rPr>
          <w:tab/>
        </w:r>
        <w:r w:rsidRPr="00493A3B">
          <w:rPr>
            <w:noProof/>
            <w:webHidden/>
          </w:rPr>
          <w:fldChar w:fldCharType="begin"/>
        </w:r>
        <w:r w:rsidRPr="00493A3B">
          <w:rPr>
            <w:noProof/>
            <w:webHidden/>
          </w:rPr>
          <w:instrText xml:space="preserve"> PAGEREF _Toc226291476 \h </w:instrText>
        </w:r>
        <w:r w:rsidRPr="00493A3B">
          <w:rPr>
            <w:noProof/>
            <w:webHidden/>
          </w:rPr>
        </w:r>
        <w:r w:rsidRPr="00493A3B">
          <w:rPr>
            <w:noProof/>
            <w:webHidden/>
          </w:rPr>
          <w:fldChar w:fldCharType="separate"/>
        </w:r>
        <w:r w:rsidR="00204E57">
          <w:rPr>
            <w:noProof/>
            <w:webHidden/>
          </w:rPr>
          <w:t>15</w:t>
        </w:r>
        <w:r w:rsidRPr="00493A3B">
          <w:rPr>
            <w:noProof/>
            <w:webHidden/>
          </w:rPr>
          <w:fldChar w:fldCharType="end"/>
        </w:r>
      </w:hyperlink>
    </w:p>
    <w:p w14:paraId="284BC585" w14:textId="3F08C2C0" w:rsidR="000E432F" w:rsidRPr="00493A3B" w:rsidRDefault="000E432F">
      <w:pPr>
        <w:pStyle w:val="TOC2"/>
        <w:rPr>
          <w:rFonts w:asciiTheme="minorHAnsi" w:hAnsiTheme="minorHAnsi"/>
          <w:noProof/>
          <w:kern w:val="2"/>
          <w:sz w:val="24"/>
          <w:szCs w:val="24"/>
          <w14:ligatures w14:val="standardContextual"/>
        </w:rPr>
      </w:pPr>
      <w:hyperlink w:anchor="_Toc226291477" w:history="1">
        <w:r w:rsidRPr="00493A3B">
          <w:rPr>
            <w:rStyle w:val="Hyperlink"/>
            <w:noProof/>
          </w:rPr>
          <w:t>Best available information</w:t>
        </w:r>
        <w:r w:rsidRPr="00493A3B">
          <w:rPr>
            <w:noProof/>
            <w:webHidden/>
          </w:rPr>
          <w:tab/>
        </w:r>
        <w:r w:rsidRPr="00493A3B">
          <w:rPr>
            <w:noProof/>
            <w:webHidden/>
          </w:rPr>
          <w:fldChar w:fldCharType="begin"/>
        </w:r>
        <w:r w:rsidRPr="00493A3B">
          <w:rPr>
            <w:noProof/>
            <w:webHidden/>
          </w:rPr>
          <w:instrText xml:space="preserve"> PAGEREF _Toc226291477 \h </w:instrText>
        </w:r>
        <w:r w:rsidRPr="00493A3B">
          <w:rPr>
            <w:noProof/>
            <w:webHidden/>
          </w:rPr>
        </w:r>
        <w:r w:rsidRPr="00493A3B">
          <w:rPr>
            <w:noProof/>
            <w:webHidden/>
          </w:rPr>
          <w:fldChar w:fldCharType="separate"/>
        </w:r>
        <w:r w:rsidR="00204E57">
          <w:rPr>
            <w:noProof/>
            <w:webHidden/>
          </w:rPr>
          <w:t>17</w:t>
        </w:r>
        <w:r w:rsidRPr="00493A3B">
          <w:rPr>
            <w:noProof/>
            <w:webHidden/>
          </w:rPr>
          <w:fldChar w:fldCharType="end"/>
        </w:r>
      </w:hyperlink>
    </w:p>
    <w:p w14:paraId="7DE54D3D" w14:textId="56F42A30" w:rsidR="000E432F" w:rsidRPr="00493A3B" w:rsidRDefault="000E432F">
      <w:pPr>
        <w:pStyle w:val="TOC1"/>
        <w:rPr>
          <w:rFonts w:asciiTheme="minorHAnsi" w:hAnsiTheme="minorHAnsi"/>
          <w:noProof/>
          <w:kern w:val="2"/>
          <w:sz w:val="24"/>
          <w:szCs w:val="24"/>
          <w14:ligatures w14:val="standardContextual"/>
        </w:rPr>
      </w:pPr>
      <w:hyperlink w:anchor="_Toc226291478" w:history="1">
        <w:r w:rsidRPr="00493A3B">
          <w:rPr>
            <w:rStyle w:val="Hyperlink"/>
            <w:noProof/>
          </w:rPr>
          <w:t>Part 5: Interaction with other policies</w:t>
        </w:r>
        <w:r w:rsidRPr="00493A3B">
          <w:rPr>
            <w:noProof/>
            <w:webHidden/>
          </w:rPr>
          <w:tab/>
        </w:r>
        <w:r w:rsidRPr="00493A3B">
          <w:rPr>
            <w:noProof/>
            <w:webHidden/>
          </w:rPr>
          <w:fldChar w:fldCharType="begin"/>
        </w:r>
        <w:r w:rsidRPr="00493A3B">
          <w:rPr>
            <w:noProof/>
            <w:webHidden/>
          </w:rPr>
          <w:instrText xml:space="preserve"> PAGEREF _Toc226291478 \h </w:instrText>
        </w:r>
        <w:r w:rsidRPr="00493A3B">
          <w:rPr>
            <w:noProof/>
            <w:webHidden/>
          </w:rPr>
        </w:r>
        <w:r w:rsidRPr="00493A3B">
          <w:rPr>
            <w:noProof/>
            <w:webHidden/>
          </w:rPr>
          <w:fldChar w:fldCharType="separate"/>
        </w:r>
        <w:r w:rsidR="00204E57">
          <w:rPr>
            <w:noProof/>
            <w:webHidden/>
          </w:rPr>
          <w:t>19</w:t>
        </w:r>
        <w:r w:rsidRPr="00493A3B">
          <w:rPr>
            <w:noProof/>
            <w:webHidden/>
          </w:rPr>
          <w:fldChar w:fldCharType="end"/>
        </w:r>
      </w:hyperlink>
    </w:p>
    <w:p w14:paraId="60D119C4" w14:textId="4870BD35" w:rsidR="000E432F" w:rsidRPr="00493A3B" w:rsidRDefault="000E432F">
      <w:pPr>
        <w:pStyle w:val="TOC1"/>
        <w:rPr>
          <w:rFonts w:asciiTheme="minorHAnsi" w:hAnsiTheme="minorHAnsi"/>
          <w:noProof/>
          <w:kern w:val="2"/>
          <w:sz w:val="24"/>
          <w:szCs w:val="24"/>
          <w14:ligatures w14:val="standardContextual"/>
        </w:rPr>
      </w:pPr>
      <w:hyperlink w:anchor="_Toc226291479" w:history="1">
        <w:r w:rsidRPr="00493A3B">
          <w:rPr>
            <w:rStyle w:val="Hyperlink"/>
            <w:noProof/>
          </w:rPr>
          <w:t>Appendix 1 – Additional reference material</w:t>
        </w:r>
        <w:r w:rsidRPr="00493A3B">
          <w:rPr>
            <w:noProof/>
            <w:webHidden/>
          </w:rPr>
          <w:tab/>
        </w:r>
        <w:r w:rsidRPr="00493A3B">
          <w:rPr>
            <w:noProof/>
            <w:webHidden/>
          </w:rPr>
          <w:fldChar w:fldCharType="begin"/>
        </w:r>
        <w:r w:rsidRPr="00493A3B">
          <w:rPr>
            <w:noProof/>
            <w:webHidden/>
          </w:rPr>
          <w:instrText xml:space="preserve"> PAGEREF _Toc226291479 \h </w:instrText>
        </w:r>
        <w:r w:rsidRPr="00493A3B">
          <w:rPr>
            <w:noProof/>
            <w:webHidden/>
          </w:rPr>
        </w:r>
        <w:r w:rsidRPr="00493A3B">
          <w:rPr>
            <w:noProof/>
            <w:webHidden/>
          </w:rPr>
          <w:fldChar w:fldCharType="separate"/>
        </w:r>
        <w:r w:rsidR="00204E57">
          <w:rPr>
            <w:noProof/>
            <w:webHidden/>
          </w:rPr>
          <w:t>20</w:t>
        </w:r>
        <w:r w:rsidRPr="00493A3B">
          <w:rPr>
            <w:noProof/>
            <w:webHidden/>
          </w:rPr>
          <w:fldChar w:fldCharType="end"/>
        </w:r>
      </w:hyperlink>
    </w:p>
    <w:p w14:paraId="3C5C10B6" w14:textId="50D650BD" w:rsidR="00862B0C" w:rsidRPr="00493A3B" w:rsidRDefault="00775F57" w:rsidP="006755CB">
      <w:pPr>
        <w:pStyle w:val="Glossary"/>
      </w:pPr>
      <w:r w:rsidRPr="00493A3B">
        <w:rPr>
          <w:color w:val="0092CF"/>
        </w:rPr>
        <w:fldChar w:fldCharType="end"/>
      </w:r>
    </w:p>
    <w:p w14:paraId="12C82BFC" w14:textId="77777777" w:rsidR="00C25D21" w:rsidRPr="00493A3B" w:rsidRDefault="00C25D21">
      <w:pPr>
        <w:spacing w:before="0" w:after="200" w:line="276" w:lineRule="auto"/>
        <w:jc w:val="left"/>
      </w:pPr>
      <w:bookmarkStart w:id="0" w:name="_Toc215561202"/>
      <w:r w:rsidRPr="00493A3B">
        <w:br w:type="page"/>
      </w:r>
    </w:p>
    <w:p w14:paraId="7DD780ED" w14:textId="35633F32" w:rsidR="00C25D21" w:rsidRPr="00493A3B" w:rsidRDefault="00C25D21" w:rsidP="00C25D21">
      <w:pPr>
        <w:pStyle w:val="Heading"/>
      </w:pPr>
      <w:r w:rsidRPr="00493A3B">
        <w:lastRenderedPageBreak/>
        <w:t>Tables</w:t>
      </w:r>
    </w:p>
    <w:p w14:paraId="68624527" w14:textId="7A973AFF" w:rsidR="00C25D21" w:rsidRPr="00493A3B" w:rsidRDefault="00C25D21">
      <w:pPr>
        <w:pStyle w:val="TableofFigures"/>
        <w:tabs>
          <w:tab w:val="right" w:pos="8495"/>
        </w:tabs>
        <w:rPr>
          <w:rFonts w:asciiTheme="minorHAnsi" w:hAnsiTheme="minorHAnsi"/>
          <w:noProof/>
          <w:kern w:val="2"/>
          <w:sz w:val="24"/>
          <w:szCs w:val="24"/>
          <w14:ligatures w14:val="standardContextual"/>
        </w:rPr>
      </w:pPr>
      <w:r w:rsidRPr="00493A3B">
        <w:fldChar w:fldCharType="begin"/>
      </w:r>
      <w:r w:rsidRPr="00493A3B">
        <w:instrText xml:space="preserve"> TOC \h \z \t "Table heading" \c </w:instrText>
      </w:r>
      <w:r w:rsidRPr="00493A3B">
        <w:fldChar w:fldCharType="separate"/>
      </w:r>
      <w:hyperlink w:anchor="_Toc226291521" w:history="1">
        <w:r w:rsidRPr="00493A3B">
          <w:rPr>
            <w:rStyle w:val="Hyperlink"/>
            <w:noProof/>
          </w:rPr>
          <w:t>Table 1:</w:t>
        </w:r>
        <w:r w:rsidRPr="00493A3B">
          <w:rPr>
            <w:rFonts w:asciiTheme="minorHAnsi" w:hAnsiTheme="minorHAnsi"/>
            <w:noProof/>
            <w:kern w:val="2"/>
            <w:sz w:val="24"/>
            <w:szCs w:val="24"/>
            <w14:ligatures w14:val="standardContextual"/>
          </w:rPr>
          <w:tab/>
        </w:r>
        <w:r w:rsidRPr="00493A3B">
          <w:rPr>
            <w:rStyle w:val="Hyperlink"/>
            <w:noProof/>
          </w:rPr>
          <w:t>NPS-NH likelihood table</w:t>
        </w:r>
        <w:r w:rsidRPr="00493A3B">
          <w:rPr>
            <w:noProof/>
            <w:webHidden/>
          </w:rPr>
          <w:tab/>
        </w:r>
        <w:r w:rsidRPr="00493A3B">
          <w:rPr>
            <w:noProof/>
            <w:webHidden/>
          </w:rPr>
          <w:fldChar w:fldCharType="begin"/>
        </w:r>
        <w:r w:rsidRPr="00493A3B">
          <w:rPr>
            <w:noProof/>
            <w:webHidden/>
          </w:rPr>
          <w:instrText xml:space="preserve"> PAGEREF _Toc226291521 \h </w:instrText>
        </w:r>
        <w:r w:rsidRPr="00493A3B">
          <w:rPr>
            <w:noProof/>
            <w:webHidden/>
          </w:rPr>
        </w:r>
        <w:r w:rsidRPr="00493A3B">
          <w:rPr>
            <w:noProof/>
            <w:webHidden/>
          </w:rPr>
          <w:fldChar w:fldCharType="separate"/>
        </w:r>
        <w:r w:rsidR="00204E57">
          <w:rPr>
            <w:noProof/>
            <w:webHidden/>
          </w:rPr>
          <w:t>13</w:t>
        </w:r>
        <w:r w:rsidRPr="00493A3B">
          <w:rPr>
            <w:noProof/>
            <w:webHidden/>
          </w:rPr>
          <w:fldChar w:fldCharType="end"/>
        </w:r>
      </w:hyperlink>
    </w:p>
    <w:p w14:paraId="1D03E03B" w14:textId="3F973D1A" w:rsidR="00C25D21" w:rsidRPr="00493A3B" w:rsidRDefault="00C25D21">
      <w:pPr>
        <w:pStyle w:val="TableofFigures"/>
        <w:tabs>
          <w:tab w:val="right" w:pos="8495"/>
        </w:tabs>
        <w:rPr>
          <w:rFonts w:asciiTheme="minorHAnsi" w:hAnsiTheme="minorHAnsi"/>
          <w:noProof/>
          <w:kern w:val="2"/>
          <w:sz w:val="24"/>
          <w:szCs w:val="24"/>
          <w14:ligatures w14:val="standardContextual"/>
        </w:rPr>
      </w:pPr>
      <w:hyperlink w:anchor="_Toc226291522" w:history="1">
        <w:r w:rsidRPr="00493A3B">
          <w:rPr>
            <w:rStyle w:val="Hyperlink"/>
            <w:noProof/>
          </w:rPr>
          <w:t xml:space="preserve">Table 2: </w:t>
        </w:r>
        <w:r w:rsidRPr="00493A3B">
          <w:rPr>
            <w:rFonts w:asciiTheme="minorHAnsi" w:hAnsiTheme="minorHAnsi"/>
            <w:noProof/>
            <w:kern w:val="2"/>
            <w:sz w:val="24"/>
            <w:szCs w:val="24"/>
            <w14:ligatures w14:val="standardContextual"/>
          </w:rPr>
          <w:tab/>
        </w:r>
        <w:r w:rsidRPr="00493A3B">
          <w:rPr>
            <w:rStyle w:val="Hyperlink"/>
            <w:noProof/>
          </w:rPr>
          <w:t>NPS-NH consequence table</w:t>
        </w:r>
        <w:r w:rsidRPr="00493A3B">
          <w:rPr>
            <w:noProof/>
            <w:webHidden/>
          </w:rPr>
          <w:tab/>
        </w:r>
        <w:r w:rsidRPr="00493A3B">
          <w:rPr>
            <w:noProof/>
            <w:webHidden/>
          </w:rPr>
          <w:fldChar w:fldCharType="begin"/>
        </w:r>
        <w:r w:rsidRPr="00493A3B">
          <w:rPr>
            <w:noProof/>
            <w:webHidden/>
          </w:rPr>
          <w:instrText xml:space="preserve"> PAGEREF _Toc226291522 \h </w:instrText>
        </w:r>
        <w:r w:rsidRPr="00493A3B">
          <w:rPr>
            <w:noProof/>
            <w:webHidden/>
          </w:rPr>
        </w:r>
        <w:r w:rsidRPr="00493A3B">
          <w:rPr>
            <w:noProof/>
            <w:webHidden/>
          </w:rPr>
          <w:fldChar w:fldCharType="separate"/>
        </w:r>
        <w:r w:rsidR="00204E57">
          <w:rPr>
            <w:noProof/>
            <w:webHidden/>
          </w:rPr>
          <w:t>13</w:t>
        </w:r>
        <w:r w:rsidRPr="00493A3B">
          <w:rPr>
            <w:noProof/>
            <w:webHidden/>
          </w:rPr>
          <w:fldChar w:fldCharType="end"/>
        </w:r>
      </w:hyperlink>
    </w:p>
    <w:p w14:paraId="1748E698" w14:textId="38BE02F6" w:rsidR="00C25D21" w:rsidRPr="00493A3B" w:rsidRDefault="00C25D21" w:rsidP="00554B30">
      <w:r w:rsidRPr="00493A3B">
        <w:fldChar w:fldCharType="end"/>
      </w:r>
    </w:p>
    <w:p w14:paraId="70FD51A4" w14:textId="77777777" w:rsidR="00C25D21" w:rsidRPr="00493A3B" w:rsidRDefault="00C25D21" w:rsidP="00554B30"/>
    <w:p w14:paraId="332029D6" w14:textId="21D83214" w:rsidR="00DD70AB" w:rsidRPr="00493A3B" w:rsidRDefault="00DD70AB" w:rsidP="00DD70AB">
      <w:pPr>
        <w:pStyle w:val="Heading"/>
      </w:pPr>
      <w:r w:rsidRPr="00493A3B">
        <w:t>Figure</w:t>
      </w:r>
    </w:p>
    <w:p w14:paraId="0BB83D36" w14:textId="0529ABE0" w:rsidR="006B7000" w:rsidRDefault="00DD70AB">
      <w:pPr>
        <w:pStyle w:val="TableofFigures"/>
        <w:tabs>
          <w:tab w:val="right" w:pos="8495"/>
        </w:tabs>
        <w:rPr>
          <w:rFonts w:asciiTheme="minorHAnsi" w:hAnsiTheme="minorHAnsi"/>
          <w:noProof/>
          <w:kern w:val="2"/>
          <w:sz w:val="24"/>
          <w:szCs w:val="24"/>
          <w14:ligatures w14:val="standardContextual"/>
        </w:rPr>
      </w:pPr>
      <w:r w:rsidRPr="00493A3B">
        <w:fldChar w:fldCharType="begin"/>
      </w:r>
      <w:r w:rsidRPr="00493A3B">
        <w:instrText xml:space="preserve"> TOC \h \z \t "Figure heading" \c </w:instrText>
      </w:r>
      <w:r w:rsidRPr="00493A3B">
        <w:fldChar w:fldCharType="separate"/>
      </w:r>
      <w:hyperlink w:anchor="_Toc228969490" w:history="1">
        <w:r w:rsidR="006B7000" w:rsidRPr="004C2BD6">
          <w:rPr>
            <w:rStyle w:val="Hyperlink"/>
            <w:noProof/>
          </w:rPr>
          <w:t xml:space="preserve">Figure 1: </w:t>
        </w:r>
        <w:r w:rsidR="006B7000">
          <w:rPr>
            <w:rFonts w:asciiTheme="minorHAnsi" w:hAnsiTheme="minorHAnsi"/>
            <w:noProof/>
            <w:kern w:val="2"/>
            <w:sz w:val="24"/>
            <w:szCs w:val="24"/>
            <w14:ligatures w14:val="standardContextual"/>
          </w:rPr>
          <w:tab/>
        </w:r>
        <w:r w:rsidR="006B7000" w:rsidRPr="004C2BD6">
          <w:rPr>
            <w:rStyle w:val="Hyperlink"/>
            <w:noProof/>
          </w:rPr>
          <w:t>NPS-NH risk matrix</w:t>
        </w:r>
        <w:r w:rsidR="006B7000">
          <w:rPr>
            <w:noProof/>
            <w:webHidden/>
          </w:rPr>
          <w:tab/>
        </w:r>
        <w:r w:rsidR="006B7000">
          <w:rPr>
            <w:noProof/>
            <w:webHidden/>
          </w:rPr>
          <w:fldChar w:fldCharType="begin"/>
        </w:r>
        <w:r w:rsidR="006B7000">
          <w:rPr>
            <w:noProof/>
            <w:webHidden/>
          </w:rPr>
          <w:instrText xml:space="preserve"> PAGEREF _Toc228969490 \h </w:instrText>
        </w:r>
        <w:r w:rsidR="006B7000">
          <w:rPr>
            <w:noProof/>
            <w:webHidden/>
          </w:rPr>
        </w:r>
        <w:r w:rsidR="006B7000">
          <w:rPr>
            <w:noProof/>
            <w:webHidden/>
          </w:rPr>
          <w:fldChar w:fldCharType="separate"/>
        </w:r>
        <w:r w:rsidR="00204E57">
          <w:rPr>
            <w:noProof/>
            <w:webHidden/>
          </w:rPr>
          <w:t>14</w:t>
        </w:r>
        <w:r w:rsidR="006B7000">
          <w:rPr>
            <w:noProof/>
            <w:webHidden/>
          </w:rPr>
          <w:fldChar w:fldCharType="end"/>
        </w:r>
      </w:hyperlink>
    </w:p>
    <w:p w14:paraId="352F9798" w14:textId="3610E7A8" w:rsidR="00C25D21" w:rsidRPr="00493A3B" w:rsidRDefault="00DD70AB" w:rsidP="00554B30">
      <w:r w:rsidRPr="00493A3B">
        <w:fldChar w:fldCharType="end"/>
      </w:r>
    </w:p>
    <w:p w14:paraId="4EC25487" w14:textId="4131F923" w:rsidR="000A470D" w:rsidRPr="00493A3B" w:rsidRDefault="000A470D" w:rsidP="00554B30">
      <w:r w:rsidRPr="00493A3B">
        <w:br w:type="page"/>
      </w:r>
    </w:p>
    <w:p w14:paraId="42534264" w14:textId="57F8D3F1" w:rsidR="0080531E" w:rsidRPr="00493A3B" w:rsidRDefault="00895D8A" w:rsidP="00DC3CFC">
      <w:pPr>
        <w:pStyle w:val="Heading1"/>
        <w:rPr>
          <w:rStyle w:val="Heading1Char"/>
          <w:b/>
          <w:bCs/>
        </w:rPr>
      </w:pPr>
      <w:bookmarkStart w:id="1" w:name="_Toc226291463"/>
      <w:bookmarkStart w:id="2" w:name="_Toc345760336"/>
      <w:bookmarkEnd w:id="0"/>
      <w:r w:rsidRPr="00493A3B">
        <w:rPr>
          <w:rStyle w:val="Heading1Char"/>
          <w:b/>
          <w:bCs/>
        </w:rPr>
        <w:lastRenderedPageBreak/>
        <w:t xml:space="preserve">Part 1: </w:t>
      </w:r>
      <w:r w:rsidR="00DA3BF8" w:rsidRPr="00493A3B">
        <w:rPr>
          <w:rStyle w:val="Heading1Char"/>
          <w:b/>
          <w:bCs/>
        </w:rPr>
        <w:t>Introduction</w:t>
      </w:r>
      <w:bookmarkEnd w:id="1"/>
    </w:p>
    <w:p w14:paraId="1508CE4D" w14:textId="67A7CA64" w:rsidR="00895D8A" w:rsidRPr="00493A3B" w:rsidRDefault="00895D8A" w:rsidP="00D778E7">
      <w:pPr>
        <w:pStyle w:val="BodyText"/>
        <w:spacing w:before="100" w:after="100"/>
      </w:pPr>
      <w:r w:rsidRPr="00493A3B">
        <w:t xml:space="preserve">National </w:t>
      </w:r>
      <w:r w:rsidR="008702AB" w:rsidRPr="00493A3B">
        <w:t>p</w:t>
      </w:r>
      <w:r w:rsidRPr="00493A3B">
        <w:t xml:space="preserve">olicy </w:t>
      </w:r>
      <w:r w:rsidR="008702AB" w:rsidRPr="00493A3B">
        <w:t>s</w:t>
      </w:r>
      <w:r w:rsidRPr="00493A3B">
        <w:t xml:space="preserve">tatements allow </w:t>
      </w:r>
      <w:r w:rsidR="00FF2888" w:rsidRPr="00493A3B">
        <w:t xml:space="preserve">the </w:t>
      </w:r>
      <w:r w:rsidRPr="00493A3B">
        <w:t xml:space="preserve">government to prescribe objectives and policies for matters of national significance relevant to sustainable management under the Resource Management Act 1991 (RMA). </w:t>
      </w:r>
    </w:p>
    <w:p w14:paraId="0DDF1746" w14:textId="1B61EB54" w:rsidR="00895D8A" w:rsidRPr="00493A3B" w:rsidRDefault="00895D8A" w:rsidP="00D778E7">
      <w:pPr>
        <w:pStyle w:val="BodyText"/>
        <w:spacing w:before="100" w:after="100"/>
      </w:pPr>
      <w:r w:rsidRPr="00493A3B">
        <w:t xml:space="preserve">This guide provides a general overview of what the </w:t>
      </w:r>
      <w:hyperlink r:id="rId26" w:history="1">
        <w:r w:rsidR="00843D9B" w:rsidRPr="00493A3B">
          <w:rPr>
            <w:rStyle w:val="Hyperlink"/>
          </w:rPr>
          <w:t>National Policy Statement for Natural Hazards 2025</w:t>
        </w:r>
      </w:hyperlink>
      <w:r w:rsidRPr="00493A3B">
        <w:t xml:space="preserve"> (NPS-NH) intends to achieve</w:t>
      </w:r>
      <w:r w:rsidR="00D2504D" w:rsidRPr="00493A3B">
        <w:t>, along with</w:t>
      </w:r>
      <w:r w:rsidRPr="00493A3B">
        <w:t xml:space="preserve"> detail to support implementation.</w:t>
      </w:r>
    </w:p>
    <w:p w14:paraId="72DAF965" w14:textId="77777777" w:rsidR="00A62FAF" w:rsidRPr="00493A3B" w:rsidRDefault="00A62FAF" w:rsidP="00A62FAF">
      <w:pPr>
        <w:pStyle w:val="Heading2"/>
      </w:pPr>
      <w:bookmarkStart w:id="3" w:name="_Toc226291464"/>
      <w:r w:rsidRPr="00493A3B">
        <w:t>The NPS-NH is a temporary measure to address a gap in the RMA</w:t>
      </w:r>
      <w:bookmarkEnd w:id="3"/>
    </w:p>
    <w:p w14:paraId="559E8A1B" w14:textId="77777777" w:rsidR="00A62FAF" w:rsidRPr="00493A3B" w:rsidRDefault="00A62FAF" w:rsidP="00D778E7">
      <w:pPr>
        <w:pStyle w:val="BodyText"/>
        <w:spacing w:before="100" w:after="100"/>
      </w:pPr>
      <w:r w:rsidRPr="00493A3B">
        <w:t>Aotearoa New Zealand’s location and geography make it highly vulnerable to a range of natural hazards, many of which are being intensified by climate change. The RMA can manage these risks by guiding where and how development occurs. Although the RMA requires local authorities to manage significant risk from natural hazards when making plans and assessing resource consent applications, it does not provide a process to follow.</w:t>
      </w:r>
    </w:p>
    <w:p w14:paraId="3E2515BC" w14:textId="700067CC" w:rsidR="00A62FAF" w:rsidRPr="00493A3B" w:rsidRDefault="00A62FAF" w:rsidP="00D778E7">
      <w:pPr>
        <w:pStyle w:val="BodyText"/>
        <w:spacing w:before="100" w:after="100"/>
      </w:pPr>
      <w:r w:rsidRPr="00493A3B">
        <w:t>At the time of writing this guide, the Planning Bill and Natural Environment Bill are before the</w:t>
      </w:r>
      <w:r w:rsidR="00253B21" w:rsidRPr="00493A3B">
        <w:t> </w:t>
      </w:r>
      <w:r w:rsidRPr="00493A3B">
        <w:t>Environment Select Committee. These Bills are intended to</w:t>
      </w:r>
      <w:r w:rsidR="00D778E7" w:rsidRPr="00493A3B">
        <w:t xml:space="preserve"> </w:t>
      </w:r>
      <w:r w:rsidRPr="00493A3B">
        <w:t>establish</w:t>
      </w:r>
      <w:r w:rsidR="00D778E7" w:rsidRPr="00493A3B">
        <w:t xml:space="preserve"> </w:t>
      </w:r>
      <w:r w:rsidRPr="00493A3B">
        <w:t>a modern</w:t>
      </w:r>
      <w:r w:rsidR="00D778E7" w:rsidRPr="00493A3B">
        <w:t xml:space="preserve"> </w:t>
      </w:r>
      <w:r w:rsidRPr="00493A3B">
        <w:t>planning framework and include goals relating to the management of risk from natural hazards, and (if</w:t>
      </w:r>
      <w:r w:rsidR="00253B21" w:rsidRPr="00493A3B">
        <w:t> </w:t>
      </w:r>
      <w:r w:rsidRPr="00493A3B">
        <w:t>passed into law) will make up a new system to replace the RMA.</w:t>
      </w:r>
    </w:p>
    <w:p w14:paraId="2FBFA4AA" w14:textId="77777777" w:rsidR="00A62FAF" w:rsidRPr="00493A3B" w:rsidRDefault="00A62FAF" w:rsidP="00D778E7">
      <w:pPr>
        <w:pStyle w:val="BodyText"/>
        <w:spacing w:before="100" w:after="100"/>
      </w:pPr>
      <w:r w:rsidRPr="00493A3B">
        <w:rPr>
          <w:spacing w:val="-2"/>
        </w:rPr>
        <w:t>The NPS-NH came into force on 15 January 2026. The NPS-NH will operate during the transition to the new planning system and will be replaced by new national direction developed</w:t>
      </w:r>
      <w:r w:rsidRPr="00493A3B">
        <w:t xml:space="preserve"> under the Planning and Natural Environment Bills, should they be passed into law. The policy intent of the NPS-NH will be carried over into the new system, with refinement and restructuring to ensure alignment with the objectives and framework set by the Planning and Natural Environment Bills.</w:t>
      </w:r>
    </w:p>
    <w:p w14:paraId="661CDFA7" w14:textId="0490736F" w:rsidR="00A62FAF" w:rsidRPr="00493A3B" w:rsidRDefault="00A62FAF" w:rsidP="00D778E7">
      <w:pPr>
        <w:pStyle w:val="BodyText"/>
        <w:spacing w:before="100" w:after="100"/>
      </w:pPr>
      <w:r w:rsidRPr="00493A3B">
        <w:t>The NPS-NH is part of a suite of changes to national direction under the RMA that simplify the</w:t>
      </w:r>
      <w:r w:rsidR="00253B21" w:rsidRPr="00493A3B">
        <w:t> </w:t>
      </w:r>
      <w:r w:rsidRPr="00493A3B">
        <w:t xml:space="preserve">system and cut red tape. To deliver on this objective – and recognising that, ideally, local authorities should not have to undertake major plan development or change processes before the new system is introduced – the NPS-NH was designed to apply primarily to resource consenting decisions. </w:t>
      </w:r>
    </w:p>
    <w:p w14:paraId="0A332AE6" w14:textId="1E74E5E0" w:rsidR="00F114CF" w:rsidRPr="00493A3B" w:rsidRDefault="00A62FAF" w:rsidP="00F114CF">
      <w:pPr>
        <w:pStyle w:val="BodyText"/>
      </w:pPr>
      <w:r w:rsidRPr="00493A3B">
        <w:t>Local authorities must have regard to the NPS-NH when making consent decisions. Local authorities are not required to introduce a plan change in order to give effect to the NPS-NH, but they are expected to have regard to the NPS-NH requirements if they do develop plan changes related to natural hazards.</w:t>
      </w:r>
      <w:bookmarkStart w:id="4" w:name="_Toc455564072"/>
      <w:bookmarkStart w:id="5" w:name="_Toc208240830"/>
      <w:bookmarkStart w:id="6" w:name="_Toc208241229"/>
      <w:bookmarkStart w:id="7" w:name="_Toc224031618"/>
      <w:bookmarkStart w:id="8" w:name="_Toc224031973"/>
    </w:p>
    <w:p w14:paraId="0F26DDE2" w14:textId="639FF2D1" w:rsidR="0080531E" w:rsidRPr="00493A3B" w:rsidRDefault="00DA3BF8" w:rsidP="0066352E">
      <w:pPr>
        <w:pStyle w:val="Heading2"/>
      </w:pPr>
      <w:bookmarkStart w:id="9" w:name="_Toc226291465"/>
      <w:r w:rsidRPr="00493A3B">
        <w:t>Purpose</w:t>
      </w:r>
      <w:bookmarkEnd w:id="4"/>
      <w:bookmarkEnd w:id="5"/>
      <w:bookmarkEnd w:id="6"/>
      <w:r w:rsidR="00854FB1" w:rsidRPr="00493A3B">
        <w:t xml:space="preserve"> and </w:t>
      </w:r>
      <w:r w:rsidR="00EC1D16" w:rsidRPr="00493A3B">
        <w:t>s</w:t>
      </w:r>
      <w:r w:rsidR="00854FB1" w:rsidRPr="00493A3B">
        <w:t>cope</w:t>
      </w:r>
      <w:r w:rsidR="00895D8A" w:rsidRPr="00493A3B">
        <w:t xml:space="preserve"> of </w:t>
      </w:r>
      <w:r w:rsidR="00EC1D16" w:rsidRPr="00493A3B">
        <w:t>g</w:t>
      </w:r>
      <w:r w:rsidR="00895D8A" w:rsidRPr="00493A3B">
        <w:t>uide</w:t>
      </w:r>
      <w:bookmarkEnd w:id="7"/>
      <w:bookmarkEnd w:id="8"/>
      <w:bookmarkEnd w:id="9"/>
    </w:p>
    <w:p w14:paraId="771150AE" w14:textId="6A83FB94" w:rsidR="00CC33F7" w:rsidRPr="00493A3B" w:rsidRDefault="00CC33F7" w:rsidP="00D046E6">
      <w:pPr>
        <w:pStyle w:val="BodyText"/>
      </w:pPr>
      <w:r w:rsidRPr="00493A3B">
        <w:t xml:space="preserve">This guide has been developed to support </w:t>
      </w:r>
      <w:r w:rsidR="00324C6B" w:rsidRPr="00493A3B">
        <w:t>local</w:t>
      </w:r>
      <w:r w:rsidRPr="00493A3B">
        <w:t xml:space="preserve"> authorities in giving effect to the NPS-NH. </w:t>
      </w:r>
      <w:r w:rsidR="00EF5D92" w:rsidRPr="00493A3B">
        <w:t>Until it is replaced by more comprehensive national direction for national hazards, the</w:t>
      </w:r>
      <w:r w:rsidR="003C773F" w:rsidRPr="00493A3B">
        <w:t xml:space="preserve"> </w:t>
      </w:r>
      <w:r w:rsidRPr="00493A3B">
        <w:t xml:space="preserve">NPS-NH will have the most influence </w:t>
      </w:r>
      <w:r w:rsidR="003C773F" w:rsidRPr="00493A3B">
        <w:t xml:space="preserve">on </w:t>
      </w:r>
      <w:r w:rsidR="007B72DC" w:rsidRPr="00493A3B">
        <w:t xml:space="preserve">consenting </w:t>
      </w:r>
      <w:r w:rsidR="000E7FA4" w:rsidRPr="00493A3B">
        <w:t>for subdivision a</w:t>
      </w:r>
      <w:r w:rsidR="00E55FC8" w:rsidRPr="00493A3B">
        <w:t>nd land</w:t>
      </w:r>
      <w:r w:rsidR="00AA3B86">
        <w:t>-</w:t>
      </w:r>
      <w:r w:rsidR="00E55FC8" w:rsidRPr="00493A3B">
        <w:t>use</w:t>
      </w:r>
      <w:r w:rsidRPr="00493A3B">
        <w:t>.</w:t>
      </w:r>
      <w:r w:rsidR="007B72DC" w:rsidRPr="00493A3B">
        <w:t xml:space="preserve"> T</w:t>
      </w:r>
      <w:r w:rsidR="00EF5D92" w:rsidRPr="00493A3B">
        <w:t xml:space="preserve">his guide is </w:t>
      </w:r>
      <w:r w:rsidR="007B72DC" w:rsidRPr="00493A3B">
        <w:t xml:space="preserve">therefore </w:t>
      </w:r>
      <w:r w:rsidR="00EF5D92" w:rsidRPr="00493A3B">
        <w:t xml:space="preserve">focused on </w:t>
      </w:r>
      <w:r w:rsidR="007B72DC" w:rsidRPr="00493A3B">
        <w:t>these decision-making processes</w:t>
      </w:r>
      <w:r w:rsidR="00E84048" w:rsidRPr="00493A3B">
        <w:t xml:space="preserve">. It </w:t>
      </w:r>
      <w:r w:rsidR="00495AF0" w:rsidRPr="00493A3B">
        <w:t>may</w:t>
      </w:r>
      <w:r w:rsidR="00E84048" w:rsidRPr="00493A3B">
        <w:t xml:space="preserve"> be</w:t>
      </w:r>
      <w:r w:rsidR="00495AF0" w:rsidRPr="00493A3B">
        <w:t xml:space="preserve"> </w:t>
      </w:r>
      <w:r w:rsidRPr="00493A3B">
        <w:t xml:space="preserve">useful for property owners, resource consent applicants and consultant planners when considering the subdivision, use and development of land that is </w:t>
      </w:r>
      <w:r w:rsidR="00B350B8" w:rsidRPr="00493A3B">
        <w:t xml:space="preserve">exposed </w:t>
      </w:r>
      <w:r w:rsidRPr="00493A3B">
        <w:t>to natural hazard</w:t>
      </w:r>
      <w:r w:rsidR="00081302" w:rsidRPr="00493A3B">
        <w:t>s</w:t>
      </w:r>
      <w:r w:rsidRPr="00493A3B">
        <w:t xml:space="preserve">. </w:t>
      </w:r>
    </w:p>
    <w:p w14:paraId="7EA7A5A7" w14:textId="254B4D43" w:rsidR="00081302" w:rsidRPr="00493A3B" w:rsidRDefault="00081302" w:rsidP="00D046E6">
      <w:pPr>
        <w:pStyle w:val="BodyText"/>
      </w:pPr>
      <w:r w:rsidRPr="00493A3B">
        <w:lastRenderedPageBreak/>
        <w:t xml:space="preserve">This guide is not intended to comprehensively detail the process for managing natural hazard risks under </w:t>
      </w:r>
      <w:r w:rsidR="00E84048" w:rsidRPr="00493A3B">
        <w:t xml:space="preserve">the </w:t>
      </w:r>
      <w:r w:rsidRPr="00493A3B">
        <w:t>NPS-NH</w:t>
      </w:r>
      <w:r w:rsidR="00E84048" w:rsidRPr="00493A3B">
        <w:t xml:space="preserve"> and the RMA</w:t>
      </w:r>
      <w:r w:rsidRPr="00493A3B">
        <w:t>.</w:t>
      </w:r>
      <w:r w:rsidR="007751A8" w:rsidRPr="00493A3B">
        <w:t xml:space="preserve"> </w:t>
      </w:r>
      <w:r w:rsidR="002B7088" w:rsidRPr="00493A3B">
        <w:t>Rather, it a</w:t>
      </w:r>
      <w:r w:rsidR="007751A8" w:rsidRPr="00493A3B">
        <w:t xml:space="preserve">ims to clarify </w:t>
      </w:r>
      <w:r w:rsidRPr="00493A3B">
        <w:t>the intent of the policy and provid</w:t>
      </w:r>
      <w:r w:rsidR="00710DA8" w:rsidRPr="00493A3B">
        <w:t>e</w:t>
      </w:r>
      <w:r w:rsidRPr="00493A3B">
        <w:t xml:space="preserve"> high</w:t>
      </w:r>
      <w:r w:rsidR="00710DA8" w:rsidRPr="00493A3B">
        <w:t>-</w:t>
      </w:r>
      <w:r w:rsidRPr="00493A3B">
        <w:t xml:space="preserve">level recommendations on </w:t>
      </w:r>
      <w:r w:rsidR="00710DA8" w:rsidRPr="00493A3B">
        <w:t>implementing</w:t>
      </w:r>
      <w:r w:rsidRPr="00493A3B">
        <w:t xml:space="preserve"> particular aspects of the NPS-NH. </w:t>
      </w:r>
      <w:r w:rsidR="00C66DC5" w:rsidRPr="00493A3B">
        <w:t xml:space="preserve">Existing guidance documents are available that </w:t>
      </w:r>
      <w:r w:rsidR="00DE39F4" w:rsidRPr="00493A3B">
        <w:t>inform land</w:t>
      </w:r>
      <w:r w:rsidR="00C66DC5" w:rsidRPr="00493A3B">
        <w:t>-</w:t>
      </w:r>
      <w:r w:rsidR="00DE39F4" w:rsidRPr="00493A3B">
        <w:t>use planning practice for</w:t>
      </w:r>
      <w:r w:rsidRPr="00493A3B">
        <w:t xml:space="preserve"> the management of natural hazard risk, including for specific hazards (see </w:t>
      </w:r>
      <w:hyperlink w:anchor="_Appendix_1_–" w:history="1">
        <w:r w:rsidR="00C66DC5" w:rsidRPr="00493A3B">
          <w:rPr>
            <w:rStyle w:val="Hyperlink"/>
          </w:rPr>
          <w:t>a</w:t>
        </w:r>
        <w:r w:rsidR="00AC5C6E" w:rsidRPr="00493A3B">
          <w:rPr>
            <w:rStyle w:val="Hyperlink"/>
          </w:rPr>
          <w:t>ppendix 1</w:t>
        </w:r>
      </w:hyperlink>
      <w:r w:rsidRPr="00493A3B">
        <w:t xml:space="preserve">). </w:t>
      </w:r>
    </w:p>
    <w:p w14:paraId="008B0390" w14:textId="5FD530C9" w:rsidR="00081302" w:rsidRPr="00493A3B" w:rsidRDefault="00081302" w:rsidP="00D046E6">
      <w:pPr>
        <w:pStyle w:val="BodyText"/>
      </w:pPr>
      <w:r w:rsidRPr="00493A3B">
        <w:t>This guide is consistent with, and expands on, the policy intent behind the NPS-NH</w:t>
      </w:r>
      <w:r w:rsidR="00E329B5" w:rsidRPr="00493A3B">
        <w:t>,</w:t>
      </w:r>
      <w:r w:rsidRPr="00493A3B">
        <w:t xml:space="preserve"> but it is not</w:t>
      </w:r>
      <w:r w:rsidR="002D492D" w:rsidRPr="00493A3B">
        <w:t> </w:t>
      </w:r>
      <w:r w:rsidRPr="00493A3B">
        <w:t>part of the NPS-NH and is not legal advice. It should be read alongside the information available on the Ministry for the Environment’s website</w:t>
      </w:r>
      <w:r w:rsidR="00E329B5" w:rsidRPr="00493A3B">
        <w:t>.</w:t>
      </w:r>
      <w:r w:rsidRPr="00493A3B">
        <w:rPr>
          <w:rStyle w:val="FootnoteReference"/>
        </w:rPr>
        <w:footnoteReference w:id="2"/>
      </w:r>
    </w:p>
    <w:p w14:paraId="4C5F179E" w14:textId="3AF30E89" w:rsidR="00895D8A" w:rsidRPr="00493A3B" w:rsidRDefault="00895D8A" w:rsidP="00D046E6">
      <w:pPr>
        <w:pStyle w:val="BodyText"/>
      </w:pPr>
      <w:r w:rsidRPr="00493A3B">
        <w:t xml:space="preserve">This guide is split into </w:t>
      </w:r>
      <w:r w:rsidR="00242C2A">
        <w:t>five</w:t>
      </w:r>
      <w:r w:rsidR="00186525" w:rsidRPr="00493A3B">
        <w:t xml:space="preserve"> </w:t>
      </w:r>
      <w:r w:rsidRPr="00493A3B">
        <w:t>parts</w:t>
      </w:r>
      <w:r w:rsidR="00AB4ED5" w:rsidRPr="00493A3B">
        <w:t xml:space="preserve">. </w:t>
      </w:r>
    </w:p>
    <w:p w14:paraId="7719F8B7" w14:textId="19817A4F" w:rsidR="00895D8A" w:rsidRPr="00493A3B" w:rsidRDefault="00895D8A" w:rsidP="00D046E6">
      <w:pPr>
        <w:pStyle w:val="BodyText"/>
      </w:pPr>
      <w:r w:rsidRPr="00493A3B">
        <w:rPr>
          <w:b/>
          <w:iCs/>
        </w:rPr>
        <w:t xml:space="preserve">Part </w:t>
      </w:r>
      <w:r w:rsidR="004625E1" w:rsidRPr="00493A3B">
        <w:rPr>
          <w:b/>
          <w:iCs/>
        </w:rPr>
        <w:t>1</w:t>
      </w:r>
      <w:r w:rsidR="00186525" w:rsidRPr="00493A3B">
        <w:rPr>
          <w:b/>
          <w:iCs/>
        </w:rPr>
        <w:t>:</w:t>
      </w:r>
      <w:r w:rsidRPr="00493A3B">
        <w:rPr>
          <w:b/>
          <w:iCs/>
        </w:rPr>
        <w:t xml:space="preserve"> Introduction</w:t>
      </w:r>
      <w:r w:rsidRPr="00493A3B">
        <w:t xml:space="preserve"> –</w:t>
      </w:r>
      <w:r w:rsidR="00AB4ED5" w:rsidRPr="00493A3B">
        <w:t xml:space="preserve"> </w:t>
      </w:r>
      <w:r w:rsidRPr="00493A3B">
        <w:t>explains the context and scope for the guide</w:t>
      </w:r>
      <w:r w:rsidR="00242C2A">
        <w:t>.</w:t>
      </w:r>
    </w:p>
    <w:p w14:paraId="31710E1D" w14:textId="173DE8B1" w:rsidR="00895D8A" w:rsidRPr="00493A3B" w:rsidRDefault="00895D8A" w:rsidP="00D046E6">
      <w:pPr>
        <w:pStyle w:val="BodyText"/>
      </w:pPr>
      <w:r w:rsidRPr="00493A3B">
        <w:rPr>
          <w:b/>
          <w:iCs/>
        </w:rPr>
        <w:t xml:space="preserve">Part </w:t>
      </w:r>
      <w:r w:rsidR="004625E1" w:rsidRPr="00493A3B">
        <w:rPr>
          <w:b/>
          <w:iCs/>
        </w:rPr>
        <w:t>2</w:t>
      </w:r>
      <w:r w:rsidR="00186525" w:rsidRPr="00493A3B">
        <w:rPr>
          <w:b/>
          <w:iCs/>
        </w:rPr>
        <w:t>:</w:t>
      </w:r>
      <w:r w:rsidRPr="00493A3B">
        <w:rPr>
          <w:b/>
          <w:iCs/>
        </w:rPr>
        <w:t xml:space="preserve"> </w:t>
      </w:r>
      <w:r w:rsidR="00EC1D16" w:rsidRPr="00493A3B">
        <w:rPr>
          <w:b/>
          <w:iCs/>
        </w:rPr>
        <w:t>Objective and policies</w:t>
      </w:r>
      <w:r w:rsidR="00081302" w:rsidRPr="00493A3B">
        <w:rPr>
          <w:i/>
        </w:rPr>
        <w:t xml:space="preserve"> – </w:t>
      </w:r>
      <w:r w:rsidR="007328FE" w:rsidRPr="00493A3B">
        <w:t>outlines</w:t>
      </w:r>
      <w:r w:rsidR="009B77F9" w:rsidRPr="00493A3B">
        <w:t xml:space="preserve"> </w:t>
      </w:r>
      <w:r w:rsidR="00081302" w:rsidRPr="00493A3B">
        <w:t xml:space="preserve">the objective and </w:t>
      </w:r>
      <w:r w:rsidR="0065224F" w:rsidRPr="00493A3B">
        <w:t xml:space="preserve">policy </w:t>
      </w:r>
      <w:r w:rsidR="00081302" w:rsidRPr="00493A3B">
        <w:t xml:space="preserve">approach </w:t>
      </w:r>
      <w:r w:rsidR="007A7E04" w:rsidRPr="00493A3B">
        <w:t>of</w:t>
      </w:r>
      <w:r w:rsidR="00081302" w:rsidRPr="00493A3B">
        <w:t xml:space="preserve"> the NPS</w:t>
      </w:r>
      <w:r w:rsidR="0047089B" w:rsidRPr="00493A3B">
        <w:t>-</w:t>
      </w:r>
      <w:r w:rsidR="00081302" w:rsidRPr="00493A3B">
        <w:t>NH</w:t>
      </w:r>
      <w:r w:rsidR="00242C2A">
        <w:t>.</w:t>
      </w:r>
      <w:r w:rsidR="00081302" w:rsidRPr="00493A3B">
        <w:t xml:space="preserve"> </w:t>
      </w:r>
    </w:p>
    <w:p w14:paraId="2B9BFE6E" w14:textId="3D14866C" w:rsidR="00081302" w:rsidRPr="00493A3B" w:rsidRDefault="00895D8A" w:rsidP="00D046E6">
      <w:pPr>
        <w:pStyle w:val="BodyText"/>
      </w:pPr>
      <w:r w:rsidRPr="00493A3B">
        <w:rPr>
          <w:b/>
          <w:iCs/>
        </w:rPr>
        <w:t xml:space="preserve">Part </w:t>
      </w:r>
      <w:r w:rsidR="004625E1" w:rsidRPr="00493A3B">
        <w:rPr>
          <w:b/>
          <w:iCs/>
        </w:rPr>
        <w:t>3</w:t>
      </w:r>
      <w:r w:rsidR="00274D6E" w:rsidRPr="00493A3B">
        <w:rPr>
          <w:b/>
          <w:iCs/>
        </w:rPr>
        <w:t xml:space="preserve">: </w:t>
      </w:r>
      <w:r w:rsidR="00081302" w:rsidRPr="00493A3B">
        <w:rPr>
          <w:b/>
          <w:iCs/>
        </w:rPr>
        <w:t>Application</w:t>
      </w:r>
      <w:r w:rsidRPr="00493A3B">
        <w:rPr>
          <w:i/>
        </w:rPr>
        <w:t xml:space="preserve"> </w:t>
      </w:r>
      <w:r w:rsidRPr="00493A3B">
        <w:t xml:space="preserve">– </w:t>
      </w:r>
      <w:r w:rsidR="00081302" w:rsidRPr="00493A3B">
        <w:t xml:space="preserve">explains </w:t>
      </w:r>
      <w:r w:rsidR="00CE19A6" w:rsidRPr="00493A3B">
        <w:t xml:space="preserve">what planning processes, </w:t>
      </w:r>
      <w:r w:rsidR="00E82469" w:rsidRPr="00493A3B">
        <w:t xml:space="preserve">natural hazards and activities </w:t>
      </w:r>
      <w:r w:rsidR="00081302" w:rsidRPr="00493A3B">
        <w:t>the NPS</w:t>
      </w:r>
      <w:r w:rsidR="002D492D" w:rsidRPr="00493A3B">
        <w:noBreakHyphen/>
      </w:r>
      <w:r w:rsidR="00081302" w:rsidRPr="00493A3B">
        <w:t>NH appl</w:t>
      </w:r>
      <w:r w:rsidR="00835392" w:rsidRPr="00493A3B">
        <w:t>ies</w:t>
      </w:r>
      <w:r w:rsidR="00E82469" w:rsidRPr="00493A3B">
        <w:t xml:space="preserve"> to, as well as how it</w:t>
      </w:r>
      <w:r w:rsidR="00451402" w:rsidRPr="00493A3B">
        <w:t xml:space="preserve"> is intended to interact with existing planning provisions for</w:t>
      </w:r>
      <w:r w:rsidR="002D492D" w:rsidRPr="00493A3B">
        <w:t> </w:t>
      </w:r>
      <w:r w:rsidR="00451402" w:rsidRPr="00493A3B">
        <w:t>natural hazards</w:t>
      </w:r>
      <w:r w:rsidR="00242C2A">
        <w:t>.</w:t>
      </w:r>
    </w:p>
    <w:p w14:paraId="7E0F9A48" w14:textId="5775B8F2" w:rsidR="00090B7E" w:rsidRPr="00493A3B" w:rsidRDefault="00090B7E" w:rsidP="00D046E6">
      <w:pPr>
        <w:pStyle w:val="BodyText"/>
      </w:pPr>
      <w:r w:rsidRPr="00493A3B">
        <w:rPr>
          <w:b/>
        </w:rPr>
        <w:t xml:space="preserve">Part </w:t>
      </w:r>
      <w:r w:rsidR="004625E1" w:rsidRPr="00493A3B">
        <w:rPr>
          <w:b/>
        </w:rPr>
        <w:t>4</w:t>
      </w:r>
      <w:r w:rsidR="00274D6E" w:rsidRPr="00493A3B">
        <w:rPr>
          <w:b/>
        </w:rPr>
        <w:t xml:space="preserve">: </w:t>
      </w:r>
      <w:r w:rsidR="00C035DC" w:rsidRPr="00493A3B">
        <w:rPr>
          <w:b/>
        </w:rPr>
        <w:t>Implementation clauses</w:t>
      </w:r>
      <w:r w:rsidR="00C40745" w:rsidRPr="00493A3B">
        <w:rPr>
          <w:b/>
        </w:rPr>
        <w:t xml:space="preserve"> </w:t>
      </w:r>
      <w:r w:rsidR="00AF6FCA" w:rsidRPr="00493A3B">
        <w:t>–</w:t>
      </w:r>
      <w:r w:rsidR="00C40745" w:rsidRPr="00493A3B">
        <w:t xml:space="preserve"> </w:t>
      </w:r>
      <w:r w:rsidR="00685456" w:rsidRPr="00493A3B">
        <w:t xml:space="preserve">steps through </w:t>
      </w:r>
      <w:r w:rsidR="0065224F" w:rsidRPr="00493A3B">
        <w:t>each of the implementation clauses</w:t>
      </w:r>
      <w:r w:rsidR="00685456" w:rsidRPr="00493A3B">
        <w:t xml:space="preserve">, </w:t>
      </w:r>
      <w:r w:rsidR="003D00BF" w:rsidRPr="00493A3B">
        <w:t xml:space="preserve">explaining the components of a risk-based assessment, what the proportionate management of natural hazard risk </w:t>
      </w:r>
      <w:r w:rsidR="007D5860" w:rsidRPr="00493A3B">
        <w:t>means</w:t>
      </w:r>
      <w:r w:rsidR="003D00BF" w:rsidRPr="00493A3B">
        <w:t xml:space="preserve">, and what best available information </w:t>
      </w:r>
      <w:r w:rsidR="00A93D24" w:rsidRPr="00493A3B">
        <w:t>is</w:t>
      </w:r>
      <w:r w:rsidR="001E0C6A" w:rsidRPr="00493A3B">
        <w:t xml:space="preserve"> and how it can be used in the risk assessment process</w:t>
      </w:r>
      <w:r w:rsidR="00242C2A">
        <w:t>.</w:t>
      </w:r>
    </w:p>
    <w:p w14:paraId="2C354F1E" w14:textId="5A450257" w:rsidR="00895D8A" w:rsidRPr="00493A3B" w:rsidRDefault="00090B7E" w:rsidP="00D046E6">
      <w:pPr>
        <w:pStyle w:val="BodyText"/>
      </w:pPr>
      <w:r w:rsidRPr="00493A3B">
        <w:rPr>
          <w:b/>
          <w:iCs/>
        </w:rPr>
        <w:t xml:space="preserve">Part </w:t>
      </w:r>
      <w:r w:rsidR="007771A7" w:rsidRPr="00493A3B">
        <w:rPr>
          <w:b/>
          <w:iCs/>
        </w:rPr>
        <w:t>5</w:t>
      </w:r>
      <w:r w:rsidRPr="00493A3B">
        <w:rPr>
          <w:b/>
          <w:iCs/>
        </w:rPr>
        <w:t>:</w:t>
      </w:r>
      <w:r w:rsidR="00081302" w:rsidRPr="00493A3B">
        <w:rPr>
          <w:b/>
          <w:iCs/>
        </w:rPr>
        <w:t xml:space="preserve"> </w:t>
      </w:r>
      <w:r w:rsidR="00895D8A" w:rsidRPr="00493A3B">
        <w:rPr>
          <w:b/>
          <w:iCs/>
        </w:rPr>
        <w:t>Interaction with other policies</w:t>
      </w:r>
      <w:r w:rsidR="00895D8A" w:rsidRPr="00493A3B">
        <w:t xml:space="preserve"> </w:t>
      </w:r>
      <w:r w:rsidR="006632A2" w:rsidRPr="00493A3B">
        <w:t>–</w:t>
      </w:r>
      <w:r w:rsidR="00895D8A" w:rsidRPr="00493A3B">
        <w:t xml:space="preserve"> explains </w:t>
      </w:r>
      <w:r w:rsidR="00752D63" w:rsidRPr="00493A3B">
        <w:t>how the NPS-NH</w:t>
      </w:r>
      <w:r w:rsidR="00895D8A" w:rsidRPr="00493A3B">
        <w:t xml:space="preserve"> interacts with other relevant legislation</w:t>
      </w:r>
      <w:r w:rsidR="00242C2A">
        <w:t>.</w:t>
      </w:r>
    </w:p>
    <w:p w14:paraId="4B470A2E" w14:textId="77777777" w:rsidR="00081302" w:rsidRPr="00493A3B" w:rsidRDefault="00081302" w:rsidP="00D046E6">
      <w:pPr>
        <w:pStyle w:val="BodyText"/>
      </w:pPr>
    </w:p>
    <w:p w14:paraId="4CBF126E" w14:textId="77777777" w:rsidR="002D492D" w:rsidRPr="00493A3B" w:rsidRDefault="002D492D" w:rsidP="002D492D">
      <w:pPr>
        <w:pStyle w:val="BodyText"/>
      </w:pPr>
      <w:r w:rsidRPr="00493A3B">
        <w:br w:type="page"/>
      </w:r>
    </w:p>
    <w:p w14:paraId="52FCBF3F" w14:textId="245ADC38" w:rsidR="00081302" w:rsidRPr="00493A3B" w:rsidRDefault="00081302" w:rsidP="00081302">
      <w:pPr>
        <w:pStyle w:val="Heading1"/>
      </w:pPr>
      <w:bookmarkStart w:id="10" w:name="_Toc226291466"/>
      <w:r w:rsidRPr="00493A3B">
        <w:lastRenderedPageBreak/>
        <w:t xml:space="preserve">Part 2: </w:t>
      </w:r>
      <w:r w:rsidR="00EC1D16" w:rsidRPr="00493A3B">
        <w:t>Objective and p</w:t>
      </w:r>
      <w:r w:rsidRPr="00493A3B">
        <w:t>olicies</w:t>
      </w:r>
      <w:bookmarkEnd w:id="10"/>
    </w:p>
    <w:p w14:paraId="334B2175" w14:textId="730FE178" w:rsidR="00081302" w:rsidRPr="00493A3B" w:rsidRDefault="00081302" w:rsidP="00097A41">
      <w:pPr>
        <w:pStyle w:val="Heading2"/>
        <w:spacing w:before="120" w:after="120"/>
      </w:pPr>
      <w:bookmarkStart w:id="11" w:name="_Toc224031621"/>
      <w:bookmarkStart w:id="12" w:name="_Toc224031976"/>
      <w:bookmarkStart w:id="13" w:name="_Toc226291467"/>
      <w:bookmarkEnd w:id="2"/>
      <w:r w:rsidRPr="00493A3B">
        <w:t>The NPS</w:t>
      </w:r>
      <w:r w:rsidR="00C73D6C" w:rsidRPr="00493A3B">
        <w:t>-</w:t>
      </w:r>
      <w:r w:rsidRPr="00493A3B">
        <w:t>NH aims to improve decision</w:t>
      </w:r>
      <w:r w:rsidR="00826EFE" w:rsidRPr="00493A3B">
        <w:noBreakHyphen/>
      </w:r>
      <w:r w:rsidRPr="00493A3B">
        <w:t>making</w:t>
      </w:r>
      <w:bookmarkEnd w:id="11"/>
      <w:bookmarkEnd w:id="12"/>
      <w:bookmarkEnd w:id="13"/>
    </w:p>
    <w:tbl>
      <w:tblPr>
        <w:tblStyle w:val="TableGrid"/>
        <w:tblpPr w:leftFromText="180" w:rightFromText="180" w:vertAnchor="text" w:horzAnchor="margin" w:tblpY="188"/>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C1024" w:rsidRPr="00493A3B" w14:paraId="67F8AC6F" w14:textId="77777777" w:rsidTr="00372897">
        <w:tc>
          <w:tcPr>
            <w:tcW w:w="0" w:type="auto"/>
            <w:shd w:val="clear" w:color="auto" w:fill="D2DDE2"/>
          </w:tcPr>
          <w:p w14:paraId="61EA88F3" w14:textId="197AF5DF" w:rsidR="00FB5326" w:rsidRPr="00493A3B" w:rsidRDefault="00011A10" w:rsidP="00C0253B">
            <w:pPr>
              <w:pStyle w:val="Boxheading0"/>
              <w:ind w:left="681" w:hanging="397"/>
            </w:pPr>
            <w:r w:rsidRPr="00493A3B">
              <w:t xml:space="preserve">2.1 </w:t>
            </w:r>
            <w:r w:rsidR="00C0253B" w:rsidRPr="00493A3B">
              <w:tab/>
            </w:r>
            <w:r w:rsidRPr="00493A3B">
              <w:t>Objective</w:t>
            </w:r>
          </w:p>
          <w:p w14:paraId="6FE965F0" w14:textId="0DE46565" w:rsidR="00FB5326" w:rsidRPr="00493A3B" w:rsidRDefault="009B706A" w:rsidP="00C25D21">
            <w:pPr>
              <w:pStyle w:val="Boxtext"/>
              <w:numPr>
                <w:ilvl w:val="0"/>
                <w:numId w:val="56"/>
              </w:numPr>
              <w:spacing w:after="180"/>
              <w:ind w:left="681" w:hanging="397"/>
            </w:pPr>
            <w:r w:rsidRPr="00493A3B">
              <w:t xml:space="preserve">Natural hazard risk to people and property associated with subdivision use and development is managed using a risk-based proportionate approach. </w:t>
            </w:r>
          </w:p>
        </w:tc>
      </w:tr>
    </w:tbl>
    <w:p w14:paraId="24F6F4FB" w14:textId="2CF1CE52" w:rsidR="0084465D" w:rsidRPr="00493A3B" w:rsidRDefault="00C85295" w:rsidP="00826EFE">
      <w:pPr>
        <w:pStyle w:val="BodyText"/>
        <w:spacing w:before="240"/>
      </w:pPr>
      <w:r w:rsidRPr="00493A3B">
        <w:t>Th</w:t>
      </w:r>
      <w:r w:rsidR="007A4212" w:rsidRPr="00493A3B">
        <w:t>e</w:t>
      </w:r>
      <w:r w:rsidRPr="00493A3B">
        <w:t xml:space="preserve"> </w:t>
      </w:r>
      <w:r w:rsidR="00C816A1" w:rsidRPr="00493A3B">
        <w:t xml:space="preserve">aim of the </w:t>
      </w:r>
      <w:r w:rsidRPr="00493A3B">
        <w:t>NPS</w:t>
      </w:r>
      <w:r w:rsidR="007A4212" w:rsidRPr="00493A3B">
        <w:t>-</w:t>
      </w:r>
      <w:r w:rsidRPr="00493A3B">
        <w:t xml:space="preserve">NH </w:t>
      </w:r>
      <w:r w:rsidR="00C816A1" w:rsidRPr="00493A3B">
        <w:t xml:space="preserve">is </w:t>
      </w:r>
      <w:r w:rsidRPr="00493A3B">
        <w:t xml:space="preserve">to maximise development while minimising losses from natural </w:t>
      </w:r>
      <w:r w:rsidRPr="00493A3B">
        <w:rPr>
          <w:spacing w:val="-2"/>
        </w:rPr>
        <w:t>hazard events (in terms of injury, loss of life</w:t>
      </w:r>
      <w:r w:rsidR="00B424F3" w:rsidRPr="00493A3B">
        <w:rPr>
          <w:spacing w:val="-2"/>
        </w:rPr>
        <w:t>,</w:t>
      </w:r>
      <w:r w:rsidRPr="00493A3B">
        <w:rPr>
          <w:spacing w:val="-2"/>
        </w:rPr>
        <w:t xml:space="preserve"> and damage to land and buildings) by encouraging</w:t>
      </w:r>
      <w:r w:rsidRPr="00493A3B">
        <w:t xml:space="preserve"> the right kind of development in the right locations. </w:t>
      </w:r>
      <w:r w:rsidR="00886ADA" w:rsidRPr="00493A3B">
        <w:t>To</w:t>
      </w:r>
      <w:r w:rsidR="000F7704" w:rsidRPr="00493A3B">
        <w:t xml:space="preserve"> achieve this</w:t>
      </w:r>
      <w:r w:rsidR="00B424F3" w:rsidRPr="00493A3B">
        <w:t>,</w:t>
      </w:r>
      <w:r w:rsidR="000F7704" w:rsidRPr="00493A3B">
        <w:t xml:space="preserve"> the NPS</w:t>
      </w:r>
      <w:r w:rsidR="0084465D" w:rsidRPr="00493A3B">
        <w:t>-</w:t>
      </w:r>
      <w:r w:rsidR="000F7704" w:rsidRPr="00493A3B">
        <w:t>NH directs that a</w:t>
      </w:r>
      <w:r w:rsidR="00C0253B" w:rsidRPr="00493A3B">
        <w:t> </w:t>
      </w:r>
      <w:r w:rsidR="000F7704" w:rsidRPr="00493A3B">
        <w:t xml:space="preserve">risk-based proportionate approach be applied when managing the risk from natural hazards. This means </w:t>
      </w:r>
      <w:r w:rsidR="0015171B" w:rsidRPr="00493A3B">
        <w:t>first</w:t>
      </w:r>
      <w:r w:rsidR="009D0A4C" w:rsidRPr="00493A3B">
        <w:t xml:space="preserve"> considering</w:t>
      </w:r>
      <w:r w:rsidR="0015171B" w:rsidRPr="00493A3B">
        <w:t xml:space="preserve"> </w:t>
      </w:r>
      <w:r w:rsidR="000F7704" w:rsidRPr="00493A3B">
        <w:t>the likelihood</w:t>
      </w:r>
      <w:r w:rsidR="0017798D" w:rsidRPr="00493A3B">
        <w:t xml:space="preserve"> of a natural hazard event</w:t>
      </w:r>
      <w:r w:rsidR="000F7704" w:rsidRPr="00493A3B">
        <w:t xml:space="preserve"> and </w:t>
      </w:r>
      <w:r w:rsidR="0017798D" w:rsidRPr="00493A3B">
        <w:t xml:space="preserve">its </w:t>
      </w:r>
      <w:r w:rsidR="000F7704" w:rsidRPr="00493A3B">
        <w:t>potential consequences on people and property</w:t>
      </w:r>
      <w:r w:rsidR="00DB63CA" w:rsidRPr="00493A3B">
        <w:t xml:space="preserve"> (</w:t>
      </w:r>
      <w:r w:rsidR="000F7704" w:rsidRPr="00493A3B">
        <w:t>rather than just the presence of a hazard</w:t>
      </w:r>
      <w:r w:rsidR="00DB63CA" w:rsidRPr="00493A3B">
        <w:t>)</w:t>
      </w:r>
      <w:r w:rsidR="00AE15DF" w:rsidRPr="00493A3B">
        <w:t xml:space="preserve">, </w:t>
      </w:r>
      <w:r w:rsidR="000F7704" w:rsidRPr="00493A3B">
        <w:t xml:space="preserve">and then applying a management response </w:t>
      </w:r>
      <w:r w:rsidR="003E1DE5" w:rsidRPr="00493A3B">
        <w:t xml:space="preserve">that is </w:t>
      </w:r>
      <w:r w:rsidR="000F7704" w:rsidRPr="00493A3B">
        <w:t xml:space="preserve">proportionate to the level of risk posed. </w:t>
      </w:r>
    </w:p>
    <w:p w14:paraId="15508553" w14:textId="6D1CE82E" w:rsidR="00C73D6C" w:rsidRPr="00493A3B" w:rsidRDefault="00081302" w:rsidP="001E1A02">
      <w:pPr>
        <w:pStyle w:val="Heading2"/>
        <w:spacing w:before="280"/>
      </w:pPr>
      <w:bookmarkStart w:id="14" w:name="_Toc224031622"/>
      <w:bookmarkStart w:id="15" w:name="_Toc224031977"/>
      <w:bookmarkStart w:id="16" w:name="_Toc226291468"/>
      <w:r w:rsidRPr="00493A3B">
        <w:t>The NPS</w:t>
      </w:r>
      <w:r w:rsidR="00C73D6C" w:rsidRPr="00493A3B">
        <w:t>-</w:t>
      </w:r>
      <w:r w:rsidRPr="00493A3B">
        <w:t xml:space="preserve">NH comprises </w:t>
      </w:r>
      <w:r w:rsidR="00696ED6" w:rsidRPr="00493A3B">
        <w:t>six</w:t>
      </w:r>
      <w:r w:rsidRPr="00493A3B">
        <w:t xml:space="preserve"> key policies</w:t>
      </w:r>
      <w:bookmarkEnd w:id="14"/>
      <w:bookmarkEnd w:id="15"/>
      <w:bookmarkEnd w:id="16"/>
    </w:p>
    <w:p w14:paraId="650860C5" w14:textId="1FAF7344" w:rsidR="00C85295" w:rsidRPr="00493A3B" w:rsidRDefault="00C85295" w:rsidP="00C0253B">
      <w:pPr>
        <w:pStyle w:val="BodyText"/>
        <w:spacing w:after="240"/>
      </w:pPr>
      <w:r w:rsidRPr="00493A3B">
        <w:t xml:space="preserve">The </w:t>
      </w:r>
      <w:r w:rsidR="00A83299" w:rsidRPr="00493A3B">
        <w:t xml:space="preserve">six </w:t>
      </w:r>
      <w:r w:rsidRPr="00493A3B">
        <w:t>NPS</w:t>
      </w:r>
      <w:r w:rsidR="0047089B" w:rsidRPr="00493A3B">
        <w:t>-</w:t>
      </w:r>
      <w:r w:rsidRPr="00493A3B">
        <w:t>NH policies set out the core approaches for decision-making</w:t>
      </w:r>
      <w:r w:rsidR="00FD1156" w:rsidRPr="00493A3B">
        <w:t xml:space="preserve"> by consent authorities</w:t>
      </w:r>
      <w:r w:rsidRPr="00493A3B">
        <w:t>. These approaches</w:t>
      </w:r>
      <w:r w:rsidR="0026254A" w:rsidRPr="00493A3B">
        <w:t xml:space="preserve"> </w:t>
      </w:r>
      <w:r w:rsidRPr="00493A3B">
        <w:t xml:space="preserve">follow best practice and are designed to maximise safe development, </w:t>
      </w:r>
      <w:r w:rsidR="0026254A" w:rsidRPr="00493A3B">
        <w:t xml:space="preserve">and they </w:t>
      </w:r>
      <w:r w:rsidRPr="00493A3B">
        <w:t xml:space="preserve">are likely to be carried over into the new </w:t>
      </w:r>
      <w:r w:rsidR="000A127F" w:rsidRPr="00493A3B">
        <w:t>planning</w:t>
      </w:r>
      <w:r w:rsidRPr="00493A3B">
        <w:t xml:space="preserve"> system. </w:t>
      </w:r>
    </w:p>
    <w:tbl>
      <w:tblPr>
        <w:tblStyle w:val="TableGrid"/>
        <w:tblpPr w:leftFromText="180" w:rightFromText="180" w:vertAnchor="text" w:horzAnchor="margin" w:tblpY="88"/>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E06AD6" w:rsidRPr="00493A3B" w14:paraId="403F6BF4" w14:textId="77777777" w:rsidTr="00E06AD6">
        <w:tc>
          <w:tcPr>
            <w:tcW w:w="0" w:type="auto"/>
            <w:shd w:val="clear" w:color="auto" w:fill="D2DDE2"/>
          </w:tcPr>
          <w:p w14:paraId="682A3285" w14:textId="40D6F774" w:rsidR="00E06AD6" w:rsidRPr="00493A3B" w:rsidRDefault="00E06AD6" w:rsidP="00C0253B">
            <w:pPr>
              <w:pStyle w:val="Boxheading0"/>
              <w:ind w:left="681" w:hanging="397"/>
            </w:pPr>
            <w:r w:rsidRPr="00493A3B">
              <w:t xml:space="preserve">2.2 </w:t>
            </w:r>
            <w:r w:rsidR="00C0253B" w:rsidRPr="00493A3B">
              <w:tab/>
            </w:r>
            <w:r w:rsidRPr="00493A3B">
              <w:t>Policies</w:t>
            </w:r>
          </w:p>
          <w:p w14:paraId="35E113E0" w14:textId="77777777" w:rsidR="00E06AD6" w:rsidRPr="00493A3B" w:rsidRDefault="00E06AD6" w:rsidP="001E1A02">
            <w:pPr>
              <w:pStyle w:val="Boxtext"/>
              <w:spacing w:before="80" w:after="100"/>
            </w:pPr>
            <w:r w:rsidRPr="00493A3B">
              <w:rPr>
                <w:b/>
              </w:rPr>
              <w:t>Policy 1:</w:t>
            </w:r>
            <w:r w:rsidRPr="00493A3B">
              <w:t xml:space="preserve"> When considering natural hazard risk associated with subdivision, use or development, the risk level must be assessed using the risk matrix.</w:t>
            </w:r>
          </w:p>
          <w:p w14:paraId="16C44002" w14:textId="77777777" w:rsidR="00E06AD6" w:rsidRPr="00493A3B" w:rsidRDefault="00E06AD6" w:rsidP="001E1A02">
            <w:pPr>
              <w:pStyle w:val="Boxtext"/>
              <w:spacing w:before="80" w:after="100"/>
            </w:pPr>
            <w:r w:rsidRPr="00493A3B">
              <w:rPr>
                <w:b/>
              </w:rPr>
              <w:t>Policy 2:</w:t>
            </w:r>
            <w:r w:rsidRPr="00493A3B">
              <w:t xml:space="preserve"> Natural hazard risk associated with subdivision, use and development must be managed using an approach that is proportionate to the level of natural hazard risk.</w:t>
            </w:r>
          </w:p>
          <w:p w14:paraId="01D85915" w14:textId="612F1A83" w:rsidR="00E06AD6" w:rsidRPr="00493A3B" w:rsidRDefault="00E06AD6" w:rsidP="001E1A02">
            <w:pPr>
              <w:pStyle w:val="Boxtext"/>
              <w:spacing w:before="80" w:after="100"/>
            </w:pPr>
            <w:r w:rsidRPr="00493A3B">
              <w:rPr>
                <w:b/>
              </w:rPr>
              <w:t>Policy 3:</w:t>
            </w:r>
            <w:r w:rsidRPr="00493A3B">
              <w:t xml:space="preserve"> Where subdivision, use or development is assessed as having very high natural hazard</w:t>
            </w:r>
            <w:r w:rsidR="00C0253B" w:rsidRPr="00493A3B">
              <w:t> </w:t>
            </w:r>
            <w:r w:rsidRPr="00493A3B">
              <w:t>risk, that risk must be avoided.</w:t>
            </w:r>
          </w:p>
          <w:p w14:paraId="63DE31A0" w14:textId="1F246527" w:rsidR="00E06AD6" w:rsidRPr="00493A3B" w:rsidRDefault="00E06AD6" w:rsidP="001E1A02">
            <w:pPr>
              <w:pStyle w:val="Boxtext"/>
              <w:spacing w:before="80" w:after="100"/>
            </w:pPr>
            <w:r w:rsidRPr="00493A3B">
              <w:rPr>
                <w:b/>
                <w:spacing w:val="-2"/>
              </w:rPr>
              <w:t>Policy 4:</w:t>
            </w:r>
            <w:r w:rsidRPr="00493A3B">
              <w:rPr>
                <w:spacing w:val="-2"/>
              </w:rPr>
              <w:t xml:space="preserve"> Where subdivision, use or development, including any associated mitigation measures, will create or increase significant natural hazard risk on other sites, that risk must</w:t>
            </w:r>
            <w:r w:rsidR="00C0253B" w:rsidRPr="00493A3B">
              <w:rPr>
                <w:spacing w:val="-2"/>
              </w:rPr>
              <w:t> </w:t>
            </w:r>
            <w:r w:rsidRPr="00493A3B">
              <w:rPr>
                <w:spacing w:val="-2"/>
              </w:rPr>
              <w:t>be avoided or mitigated using an approach that is proportionate to the level of natural hazard risk</w:t>
            </w:r>
            <w:r w:rsidRPr="00493A3B">
              <w:t>.</w:t>
            </w:r>
          </w:p>
          <w:p w14:paraId="5E22AD67" w14:textId="77777777" w:rsidR="00E06AD6" w:rsidRPr="00493A3B" w:rsidRDefault="00E06AD6" w:rsidP="001E1A02">
            <w:pPr>
              <w:pStyle w:val="Boxtext"/>
              <w:spacing w:before="80" w:after="100"/>
            </w:pPr>
            <w:r w:rsidRPr="00493A3B">
              <w:rPr>
                <w:b/>
              </w:rPr>
              <w:t>Policy 5:</w:t>
            </w:r>
            <w:r w:rsidRPr="00493A3B">
              <w:t xml:space="preserve"> Natural hazard risk assessment and decisions must be based on the best available information and must be made even when that information is uncertain or incomplete.</w:t>
            </w:r>
          </w:p>
          <w:p w14:paraId="736336EF" w14:textId="77777777" w:rsidR="00E06AD6" w:rsidRPr="00493A3B" w:rsidRDefault="00E06AD6" w:rsidP="00C25D21">
            <w:pPr>
              <w:pStyle w:val="Boxtext"/>
              <w:spacing w:before="80" w:after="180"/>
            </w:pPr>
            <w:r w:rsidRPr="00493A3B">
              <w:rPr>
                <w:b/>
              </w:rPr>
              <w:t>Policy 6:</w:t>
            </w:r>
            <w:r w:rsidRPr="00493A3B">
              <w:t xml:space="preserve"> The potential impacts of climate change to at least 100 years into the future must be considered. </w:t>
            </w:r>
          </w:p>
        </w:tc>
      </w:tr>
    </w:tbl>
    <w:p w14:paraId="08C121F0" w14:textId="07CCF7A6" w:rsidR="00097A41" w:rsidRPr="00493A3B" w:rsidRDefault="00313170" w:rsidP="00097A41">
      <w:pPr>
        <w:pStyle w:val="BodyText"/>
        <w:spacing w:before="240"/>
      </w:pPr>
      <w:r w:rsidRPr="00493A3B">
        <w:t xml:space="preserve">The NPS-NH does not direct exact outcomes, aside from the avoidance of ‘very high’ risk. This </w:t>
      </w:r>
      <w:r w:rsidRPr="00493A3B">
        <w:rPr>
          <w:spacing w:val="-2"/>
        </w:rPr>
        <w:t>is because the management of risk from natural hazard is highly context specific – communities will have different risk exposure, social and economic drivers and tolerance to risk – and also because the primary opportunity to implement the NPS-NH is via resource consenting.</w:t>
      </w:r>
      <w:r w:rsidR="00097A41" w:rsidRPr="00493A3B">
        <w:rPr>
          <w:spacing w:val="-2"/>
        </w:rPr>
        <w:t xml:space="preserve"> </w:t>
      </w:r>
      <w:bookmarkStart w:id="17" w:name="_Part_3:_Application"/>
      <w:bookmarkEnd w:id="17"/>
      <w:r w:rsidR="00097A41" w:rsidRPr="00493A3B">
        <w:br w:type="page"/>
      </w:r>
    </w:p>
    <w:p w14:paraId="1156FDEF" w14:textId="67F04CD9" w:rsidR="00C85295" w:rsidRPr="00493A3B" w:rsidRDefault="00C85295" w:rsidP="00C85295">
      <w:pPr>
        <w:pStyle w:val="Heading1"/>
      </w:pPr>
      <w:bookmarkStart w:id="18" w:name="_Toc226291469"/>
      <w:r w:rsidRPr="00493A3B">
        <w:lastRenderedPageBreak/>
        <w:t>Part 3: Application</w:t>
      </w:r>
      <w:bookmarkEnd w:id="18"/>
      <w:r w:rsidRPr="00493A3B">
        <w:t xml:space="preserve"> </w:t>
      </w:r>
    </w:p>
    <w:p w14:paraId="634A63A9" w14:textId="48C926F9" w:rsidR="00895D8A" w:rsidRPr="00493A3B" w:rsidRDefault="00C85295" w:rsidP="00CA272F">
      <w:pPr>
        <w:pStyle w:val="Heading2"/>
        <w:spacing w:before="120"/>
      </w:pPr>
      <w:bookmarkStart w:id="19" w:name="_Toc226291470"/>
      <w:r w:rsidRPr="00493A3B">
        <w:t>The NPS</w:t>
      </w:r>
      <w:r w:rsidR="00C73D6C" w:rsidRPr="00493A3B">
        <w:t>-</w:t>
      </w:r>
      <w:r w:rsidRPr="00493A3B">
        <w:t>NH is designed to apply to r</w:t>
      </w:r>
      <w:r w:rsidR="00895D8A" w:rsidRPr="00493A3B">
        <w:t>esource</w:t>
      </w:r>
      <w:r w:rsidR="00B87EDE" w:rsidRPr="00493A3B">
        <w:t> </w:t>
      </w:r>
      <w:r w:rsidR="00895D8A" w:rsidRPr="00493A3B">
        <w:t>consenting</w:t>
      </w:r>
      <w:bookmarkEnd w:id="19"/>
      <w:r w:rsidR="00895D8A" w:rsidRPr="00493A3B">
        <w:t xml:space="preserve"> </w:t>
      </w:r>
    </w:p>
    <w:p w14:paraId="37DE3BC3" w14:textId="5DEFA141" w:rsidR="00895D8A" w:rsidRPr="00493A3B" w:rsidRDefault="00895D8A" w:rsidP="00CA272F">
      <w:pPr>
        <w:pStyle w:val="BodyText"/>
        <w:spacing w:before="100" w:after="100"/>
      </w:pPr>
      <w:hyperlink r:id="rId27" w:anchor="DLM234355" w:history="1">
        <w:r w:rsidRPr="00493A3B">
          <w:rPr>
            <w:rStyle w:val="Hyperlink"/>
          </w:rPr>
          <w:t>Section 104(1)(b)(iii)</w:t>
        </w:r>
      </w:hyperlink>
      <w:r w:rsidRPr="00493A3B">
        <w:t xml:space="preserve"> of the RMA requires decision-makers to have regard to any relevant </w:t>
      </w:r>
      <w:r w:rsidR="00C07195" w:rsidRPr="00493A3B">
        <w:t>national policy statements</w:t>
      </w:r>
      <w:r w:rsidRPr="00493A3B">
        <w:rPr>
          <w:rStyle w:val="FootnoteReference"/>
        </w:rPr>
        <w:footnoteReference w:id="3"/>
      </w:r>
      <w:r w:rsidR="00963E25" w:rsidRPr="00493A3B">
        <w:rPr>
          <w:vertAlign w:val="superscript"/>
        </w:rPr>
        <w:t>,</w:t>
      </w:r>
      <w:r w:rsidR="00B87EDE" w:rsidRPr="00493A3B">
        <w:rPr>
          <w:vertAlign w:val="superscript"/>
        </w:rPr>
        <w:t xml:space="preserve"> </w:t>
      </w:r>
      <w:r w:rsidRPr="00493A3B">
        <w:rPr>
          <w:rStyle w:val="FootnoteReference"/>
        </w:rPr>
        <w:footnoteReference w:id="4"/>
      </w:r>
      <w:r w:rsidRPr="00493A3B">
        <w:t xml:space="preserve"> when deciding a subdivision or land</w:t>
      </w:r>
      <w:r w:rsidR="00C07195" w:rsidRPr="00493A3B">
        <w:t>-</w:t>
      </w:r>
      <w:r w:rsidRPr="00493A3B">
        <w:t>use consent.</w:t>
      </w:r>
      <w:r w:rsidR="004078FF" w:rsidRPr="00493A3B">
        <w:t xml:space="preserve"> </w:t>
      </w:r>
      <w:r w:rsidRPr="00493A3B">
        <w:t>This applies until the decision is made, even if the consent application was lodged before the NPS</w:t>
      </w:r>
      <w:r w:rsidRPr="00493A3B">
        <w:noBreakHyphen/>
        <w:t>NH came into force. Whether the NPS-NH is considered relevant to a subdivision and land</w:t>
      </w:r>
      <w:r w:rsidR="002B3B15" w:rsidRPr="00493A3B">
        <w:t>-</w:t>
      </w:r>
      <w:r w:rsidRPr="00493A3B">
        <w:t>use decision</w:t>
      </w:r>
      <w:r w:rsidRPr="00493A3B" w:rsidDel="007067ED">
        <w:t xml:space="preserve"> </w:t>
      </w:r>
      <w:r w:rsidRPr="00493A3B">
        <w:t xml:space="preserve">under section 104 will depend on whether the </w:t>
      </w:r>
      <w:r w:rsidR="00B250DF" w:rsidRPr="00493A3B">
        <w:t>consent authority</w:t>
      </w:r>
      <w:r w:rsidRPr="00493A3B">
        <w:t xml:space="preserve"> has the discretion to consider natural hazards at the time the decision is being made. </w:t>
      </w:r>
    </w:p>
    <w:p w14:paraId="63A77ADC" w14:textId="745AB313" w:rsidR="00895D8A" w:rsidRPr="00493A3B" w:rsidRDefault="00895D8A" w:rsidP="00CA272F">
      <w:pPr>
        <w:pStyle w:val="BodyText"/>
        <w:spacing w:before="100" w:after="100"/>
      </w:pPr>
      <w:r w:rsidRPr="00493A3B">
        <w:t>For discretionary and non-complying activities</w:t>
      </w:r>
      <w:r w:rsidR="00DD5A1E" w:rsidRPr="00493A3B">
        <w:t>,</w:t>
      </w:r>
      <w:r w:rsidRPr="00493A3B">
        <w:t xml:space="preserve"> all relevant matters can be considered under </w:t>
      </w:r>
      <w:hyperlink r:id="rId28" w:anchor="DLM234366" w:history="1">
        <w:r w:rsidRPr="00493A3B">
          <w:rPr>
            <w:rStyle w:val="Hyperlink"/>
          </w:rPr>
          <w:t>section 104B</w:t>
        </w:r>
      </w:hyperlink>
      <w:r w:rsidR="00056DFB" w:rsidRPr="00493A3B">
        <w:t xml:space="preserve"> of the RMA</w:t>
      </w:r>
      <w:r w:rsidRPr="00493A3B">
        <w:t>. Therefore, consent authorities must have regard to any relevant provisions of the NPS-NH when considering whether to grant or refuse a discretionary or non</w:t>
      </w:r>
      <w:r w:rsidR="00CA272F" w:rsidRPr="00493A3B">
        <w:noBreakHyphen/>
      </w:r>
      <w:r w:rsidRPr="00493A3B">
        <w:t>complying resource consent application.</w:t>
      </w:r>
    </w:p>
    <w:p w14:paraId="2B212DA7" w14:textId="242D6E2F" w:rsidR="00895D8A" w:rsidRPr="00493A3B" w:rsidRDefault="007344E0" w:rsidP="00CA272F">
      <w:pPr>
        <w:pStyle w:val="BodyText"/>
        <w:spacing w:before="100" w:after="100"/>
      </w:pPr>
      <w:r w:rsidRPr="00493A3B">
        <w:t xml:space="preserve">Under </w:t>
      </w:r>
      <w:hyperlink r:id="rId29" w:anchor="DLM234363" w:history="1">
        <w:r w:rsidRPr="00493A3B">
          <w:rPr>
            <w:rStyle w:val="Hyperlink"/>
          </w:rPr>
          <w:t>section 104A</w:t>
        </w:r>
      </w:hyperlink>
      <w:r w:rsidRPr="00493A3B">
        <w:t xml:space="preserve"> (controlled activities) and </w:t>
      </w:r>
      <w:hyperlink r:id="rId30" w:anchor="DLM234368" w:history="1">
        <w:r w:rsidR="00A15D4F" w:rsidRPr="00493A3B">
          <w:rPr>
            <w:rStyle w:val="Hyperlink"/>
          </w:rPr>
          <w:t>section 104C</w:t>
        </w:r>
      </w:hyperlink>
      <w:r w:rsidR="00A15D4F" w:rsidRPr="00493A3B">
        <w:t xml:space="preserve"> (restricted discretionary activities)</w:t>
      </w:r>
      <w:r w:rsidR="00AD15B2" w:rsidRPr="00493A3B">
        <w:t xml:space="preserve"> of the RMA</w:t>
      </w:r>
      <w:r w:rsidR="00895D8A" w:rsidRPr="00493A3B">
        <w:t xml:space="preserve">, the </w:t>
      </w:r>
      <w:r w:rsidR="007C63FE" w:rsidRPr="00493A3B">
        <w:t>consent authority</w:t>
      </w:r>
      <w:r w:rsidR="00895D8A" w:rsidRPr="00493A3B">
        <w:t xml:space="preserve"> can only consider the NPS-NH if natural hazards are explicitly included in the matters over which it has restricted the exercise of its discretion or</w:t>
      </w:r>
      <w:r w:rsidR="00CA272F" w:rsidRPr="00493A3B">
        <w:t> </w:t>
      </w:r>
      <w:r w:rsidR="00895D8A" w:rsidRPr="00493A3B">
        <w:t>control in its plan or proposed plan</w:t>
      </w:r>
      <w:r w:rsidR="00E867C6" w:rsidRPr="00493A3B">
        <w:t>.</w:t>
      </w:r>
    </w:p>
    <w:p w14:paraId="32E13071" w14:textId="255069BA" w:rsidR="00895D8A" w:rsidRPr="00493A3B" w:rsidRDefault="00895D8A" w:rsidP="00CA272F">
      <w:pPr>
        <w:pStyle w:val="BodyText"/>
        <w:spacing w:before="100" w:after="100"/>
      </w:pPr>
      <w:r w:rsidRPr="00493A3B">
        <w:t xml:space="preserve">However, </w:t>
      </w:r>
      <w:hyperlink r:id="rId31" w:anchor="DLM234389" w:history="1">
        <w:r w:rsidRPr="00493A3B">
          <w:rPr>
            <w:rStyle w:val="Hyperlink"/>
          </w:rPr>
          <w:t>sections 106 and 106A</w:t>
        </w:r>
      </w:hyperlink>
      <w:r w:rsidRPr="00493A3B">
        <w:t xml:space="preserve"> </w:t>
      </w:r>
      <w:r w:rsidR="00963E25" w:rsidRPr="00493A3B">
        <w:t xml:space="preserve">of the RMA </w:t>
      </w:r>
      <w:r w:rsidRPr="00493A3B">
        <w:t xml:space="preserve">allow a consent authority to refuse to grant consent, or </w:t>
      </w:r>
      <w:r w:rsidR="004147B6" w:rsidRPr="00493A3B">
        <w:t xml:space="preserve">to </w:t>
      </w:r>
      <w:r w:rsidRPr="00493A3B">
        <w:t>grant consent subject to conditions, if it considers that there is a significant risk from natural hazards. Section</w:t>
      </w:r>
      <w:r w:rsidR="00D47EC8" w:rsidRPr="00493A3B">
        <w:t>s</w:t>
      </w:r>
      <w:r w:rsidRPr="00493A3B">
        <w:t xml:space="preserve"> 106 and 106A can be used to consider significant natural hazard risk for any consent type</w:t>
      </w:r>
      <w:r w:rsidR="00951BA6">
        <w:t>. This includes</w:t>
      </w:r>
      <w:r w:rsidRPr="00493A3B">
        <w:t xml:space="preserve"> </w:t>
      </w:r>
      <w:r w:rsidR="00D47EC8" w:rsidRPr="00493A3B">
        <w:t xml:space="preserve">controlled </w:t>
      </w:r>
      <w:r w:rsidRPr="00493A3B">
        <w:t xml:space="preserve">and restricted discretionary activities where natural hazards </w:t>
      </w:r>
      <w:r w:rsidR="0010185D">
        <w:t xml:space="preserve">are not </w:t>
      </w:r>
      <w:r w:rsidR="00951BA6">
        <w:t>a</w:t>
      </w:r>
      <w:r w:rsidRPr="00493A3B">
        <w:t xml:space="preserve"> matter over which </w:t>
      </w:r>
      <w:r w:rsidR="00311A41">
        <w:t>a consent authority</w:t>
      </w:r>
      <w:r w:rsidRPr="00493A3B">
        <w:t xml:space="preserve"> has restricted the exercise of its discretion or control in </w:t>
      </w:r>
      <w:r w:rsidR="00311A41">
        <w:t>a</w:t>
      </w:r>
      <w:r w:rsidRPr="00493A3B">
        <w:t xml:space="preserve"> plan</w:t>
      </w:r>
      <w:r w:rsidR="00F10F36" w:rsidRPr="00493A3B">
        <w:t>.</w:t>
      </w:r>
      <w:r w:rsidRPr="00493A3B">
        <w:rPr>
          <w:rStyle w:val="FootnoteReference"/>
        </w:rPr>
        <w:footnoteReference w:id="5"/>
      </w:r>
      <w:r w:rsidRPr="00493A3B">
        <w:t xml:space="preserve"> </w:t>
      </w:r>
    </w:p>
    <w:p w14:paraId="62D5A12C" w14:textId="5D24B16B" w:rsidR="00895D8A" w:rsidRPr="00493A3B" w:rsidRDefault="00895D8A" w:rsidP="00CA272F">
      <w:pPr>
        <w:pStyle w:val="BodyText"/>
        <w:spacing w:before="100" w:after="100"/>
      </w:pPr>
      <w:r w:rsidRPr="00493A3B">
        <w:t>The NPS-NH is a tool for decision</w:t>
      </w:r>
      <w:r w:rsidR="0031447C" w:rsidRPr="00493A3B">
        <w:t>-</w:t>
      </w:r>
      <w:r w:rsidRPr="00493A3B">
        <w:t xml:space="preserve">makers </w:t>
      </w:r>
      <w:r w:rsidR="00466E8F" w:rsidRPr="00493A3B">
        <w:t xml:space="preserve">to use </w:t>
      </w:r>
      <w:r w:rsidR="000F2BD2" w:rsidRPr="00493A3B">
        <w:t>when</w:t>
      </w:r>
      <w:r w:rsidRPr="00493A3B">
        <w:t xml:space="preserve"> determining whether and how they will </w:t>
      </w:r>
      <w:r w:rsidR="00796A24" w:rsidRPr="00493A3B">
        <w:t xml:space="preserve">use </w:t>
      </w:r>
      <w:r w:rsidRPr="00493A3B">
        <w:t>the</w:t>
      </w:r>
      <w:r w:rsidR="00DD1DF3" w:rsidRPr="00493A3B">
        <w:t xml:space="preserve"> section</w:t>
      </w:r>
      <w:r w:rsidRPr="00493A3B">
        <w:t xml:space="preserve"> 106 and 106A provisions of the RMA in deciding consent applications.</w:t>
      </w:r>
    </w:p>
    <w:p w14:paraId="2EE6D863" w14:textId="172F92C6" w:rsidR="00C85295" w:rsidRPr="00493A3B" w:rsidRDefault="00C85295" w:rsidP="00DE4235">
      <w:pPr>
        <w:pStyle w:val="Heading2"/>
      </w:pPr>
      <w:bookmarkStart w:id="20" w:name="_Toc226291471"/>
      <w:r w:rsidRPr="00493A3B">
        <w:t>The NPS</w:t>
      </w:r>
      <w:r w:rsidR="00DE4235" w:rsidRPr="00493A3B">
        <w:t>-</w:t>
      </w:r>
      <w:r w:rsidRPr="00493A3B">
        <w:t>NH applies to specific natural</w:t>
      </w:r>
      <w:r w:rsidR="00B87EDE" w:rsidRPr="00493A3B">
        <w:t> </w:t>
      </w:r>
      <w:r w:rsidRPr="00493A3B">
        <w:t>hazards</w:t>
      </w:r>
      <w:bookmarkEnd w:id="20"/>
    </w:p>
    <w:p w14:paraId="69081153" w14:textId="3AC4EA42" w:rsidR="00C85295" w:rsidRPr="00493A3B" w:rsidRDefault="00C85295" w:rsidP="00D046E6">
      <w:pPr>
        <w:pStyle w:val="BodyText"/>
      </w:pPr>
      <w:r w:rsidRPr="00493A3B">
        <w:t xml:space="preserve">Clause 1.3(1) </w:t>
      </w:r>
      <w:r w:rsidR="00624B94" w:rsidRPr="00493A3B">
        <w:t xml:space="preserve">of the NPS-NH </w:t>
      </w:r>
      <w:r w:rsidRPr="00493A3B">
        <w:t xml:space="preserve">identifies that </w:t>
      </w:r>
      <w:r w:rsidR="00824711" w:rsidRPr="00493A3B">
        <w:t xml:space="preserve">the NPS-NH </w:t>
      </w:r>
      <w:r w:rsidRPr="00493A3B">
        <w:t xml:space="preserve">applies to </w:t>
      </w:r>
      <w:r w:rsidR="00474C6D" w:rsidRPr="00493A3B">
        <w:t xml:space="preserve">the </w:t>
      </w:r>
      <w:r w:rsidRPr="00493A3B">
        <w:t xml:space="preserve">natural hazards </w:t>
      </w:r>
      <w:r w:rsidR="00474C6D" w:rsidRPr="00493A3B">
        <w:t xml:space="preserve">specified </w:t>
      </w:r>
      <w:r w:rsidRPr="00493A3B">
        <w:t xml:space="preserve">where relevant to a particular location. The natural hazards </w:t>
      </w:r>
      <w:r w:rsidR="00474C6D" w:rsidRPr="00493A3B">
        <w:t>specified</w:t>
      </w:r>
      <w:r w:rsidRPr="00493A3B">
        <w:t xml:space="preserve"> are </w:t>
      </w:r>
      <w:r w:rsidR="00B60FC5" w:rsidRPr="00493A3B">
        <w:t xml:space="preserve">those </w:t>
      </w:r>
      <w:r w:rsidR="00CC14A4" w:rsidRPr="00493A3B">
        <w:t>com</w:t>
      </w:r>
      <w:r w:rsidR="00DB3D1C" w:rsidRPr="00493A3B">
        <w:t>monly</w:t>
      </w:r>
      <w:r w:rsidR="00B60FC5" w:rsidRPr="00493A3B">
        <w:t xml:space="preserve"> </w:t>
      </w:r>
      <w:r w:rsidR="00855E82" w:rsidRPr="00493A3B">
        <w:t xml:space="preserve">managed </w:t>
      </w:r>
      <w:r w:rsidR="0035267F" w:rsidRPr="00493A3B">
        <w:t>by local authorities</w:t>
      </w:r>
      <w:r w:rsidR="004941F7" w:rsidRPr="00493A3B">
        <w:t xml:space="preserve"> – </w:t>
      </w:r>
      <w:r w:rsidR="001A1345" w:rsidRPr="00493A3B">
        <w:t>in</w:t>
      </w:r>
      <w:r w:rsidR="00776BB8" w:rsidRPr="00493A3B">
        <w:t xml:space="preserve"> a land</w:t>
      </w:r>
      <w:r w:rsidR="00885F01" w:rsidRPr="00493A3B">
        <w:t>-</w:t>
      </w:r>
      <w:r w:rsidR="00776BB8" w:rsidRPr="00493A3B">
        <w:t>use planning context</w:t>
      </w:r>
      <w:r w:rsidR="00885F01" w:rsidRPr="00493A3B">
        <w:t>, these are generally understood</w:t>
      </w:r>
      <w:r w:rsidR="009941C3" w:rsidRPr="00493A3B">
        <w:t xml:space="preserve"> to be</w:t>
      </w:r>
      <w:r w:rsidRPr="00493A3B">
        <w:t>:</w:t>
      </w:r>
    </w:p>
    <w:p w14:paraId="758D824D" w14:textId="61468B76" w:rsidR="00C85295" w:rsidRPr="00493A3B" w:rsidRDefault="00FF21E7" w:rsidP="00C85295">
      <w:pPr>
        <w:pStyle w:val="Bullet"/>
      </w:pPr>
      <w:r w:rsidRPr="00493A3B">
        <w:t>f</w:t>
      </w:r>
      <w:r w:rsidR="00C85295" w:rsidRPr="00493A3B">
        <w:t>looding</w:t>
      </w:r>
      <w:r w:rsidR="00AA12B0" w:rsidRPr="00493A3B">
        <w:t xml:space="preserve"> –</w:t>
      </w:r>
      <w:r w:rsidR="00110B24" w:rsidRPr="00493A3B">
        <w:t xml:space="preserve"> </w:t>
      </w:r>
      <w:r w:rsidR="003B4EE6" w:rsidRPr="00493A3B">
        <w:t>referring to</w:t>
      </w:r>
      <w:r w:rsidR="00110B24" w:rsidRPr="00493A3B">
        <w:t xml:space="preserve"> inundation of </w:t>
      </w:r>
      <w:r w:rsidR="00B0119A" w:rsidRPr="00493A3B">
        <w:t xml:space="preserve">land that is normally dry, </w:t>
      </w:r>
      <w:r w:rsidR="00C85295" w:rsidRPr="00493A3B">
        <w:t>including:</w:t>
      </w:r>
    </w:p>
    <w:p w14:paraId="50CCCC6B" w14:textId="50B7F37F" w:rsidR="00C85295" w:rsidRPr="00493A3B" w:rsidRDefault="00FF21E7" w:rsidP="00B87EDE">
      <w:pPr>
        <w:pStyle w:val="Sub-list"/>
      </w:pPr>
      <w:r w:rsidRPr="00493A3B">
        <w:t>f</w:t>
      </w:r>
      <w:r w:rsidR="00C85295" w:rsidRPr="00493A3B">
        <w:t>luvial flooding</w:t>
      </w:r>
      <w:r w:rsidRPr="00493A3B">
        <w:t>,</w:t>
      </w:r>
      <w:r w:rsidR="00C85295" w:rsidRPr="00493A3B">
        <w:t xml:space="preserve"> where waterways overflow their banks due to excess water</w:t>
      </w:r>
    </w:p>
    <w:p w14:paraId="5BCAF5DE" w14:textId="1E363325" w:rsidR="00C85295" w:rsidRPr="00493A3B" w:rsidRDefault="00FF21E7" w:rsidP="00844CFD">
      <w:pPr>
        <w:pStyle w:val="Sub-list"/>
      </w:pPr>
      <w:r w:rsidRPr="00493A3B">
        <w:t>p</w:t>
      </w:r>
      <w:r w:rsidR="00C85295" w:rsidRPr="00493A3B">
        <w:t>luvial flooding</w:t>
      </w:r>
      <w:r w:rsidRPr="00493A3B">
        <w:t>,</w:t>
      </w:r>
      <w:r w:rsidR="00C85295" w:rsidRPr="00493A3B">
        <w:t xml:space="preserve"> where intense rainfall exceeds drainage capacity or soil absorption</w:t>
      </w:r>
    </w:p>
    <w:p w14:paraId="14472D0D" w14:textId="1B7CEB7B" w:rsidR="00C85295" w:rsidRPr="00493A3B" w:rsidRDefault="00FF21E7" w:rsidP="00844CFD">
      <w:pPr>
        <w:pStyle w:val="Sub-list"/>
      </w:pPr>
      <w:r w:rsidRPr="00493A3B">
        <w:lastRenderedPageBreak/>
        <w:t>g</w:t>
      </w:r>
      <w:r w:rsidR="00C85295" w:rsidRPr="00493A3B">
        <w:t>roundwater flooding</w:t>
      </w:r>
      <w:r w:rsidR="004941F7" w:rsidRPr="00493A3B">
        <w:t>,</w:t>
      </w:r>
      <w:r w:rsidR="00C85295" w:rsidRPr="00493A3B">
        <w:t xml:space="preserve"> where the water table rises above the surface, often after prolonged rainfall</w:t>
      </w:r>
    </w:p>
    <w:p w14:paraId="099818AD" w14:textId="0694A995" w:rsidR="00C85295" w:rsidRPr="00493A3B" w:rsidRDefault="00751A50" w:rsidP="00C85295">
      <w:pPr>
        <w:pStyle w:val="Bullet"/>
      </w:pPr>
      <w:r w:rsidRPr="00493A3B">
        <w:t>l</w:t>
      </w:r>
      <w:r w:rsidR="00C85295" w:rsidRPr="00493A3B">
        <w:t>andslips</w:t>
      </w:r>
      <w:r w:rsidR="00AA12B0" w:rsidRPr="00493A3B">
        <w:t xml:space="preserve"> –</w:t>
      </w:r>
      <w:r w:rsidR="00C85295" w:rsidRPr="00493A3B">
        <w:t xml:space="preserve"> </w:t>
      </w:r>
      <w:r w:rsidR="003B4EE6" w:rsidRPr="00493A3B">
        <w:t>referring to</w:t>
      </w:r>
      <w:r w:rsidR="00A83F82" w:rsidRPr="00493A3B">
        <w:t xml:space="preserve"> the downhill movement of </w:t>
      </w:r>
      <w:r w:rsidR="00554B92" w:rsidRPr="00493A3B">
        <w:t>soil, rock or debris under gravity</w:t>
      </w:r>
      <w:r w:rsidRPr="00493A3B">
        <w:t>,</w:t>
      </w:r>
      <w:r w:rsidR="00554B92" w:rsidRPr="00493A3B">
        <w:t xml:space="preserve"> </w:t>
      </w:r>
      <w:r w:rsidR="0008674A" w:rsidRPr="00493A3B">
        <w:t>which may be</w:t>
      </w:r>
      <w:r w:rsidR="00EB61BF" w:rsidRPr="00493A3B">
        <w:t xml:space="preserve"> </w:t>
      </w:r>
      <w:r w:rsidR="00C85295" w:rsidRPr="00493A3B">
        <w:t>triggered by rainfall or earthquake shaking</w:t>
      </w:r>
      <w:r w:rsidRPr="00493A3B">
        <w:t xml:space="preserve"> (t</w:t>
      </w:r>
      <w:r w:rsidR="00C85295" w:rsidRPr="00493A3B">
        <w:t>erms such as landslide, slippage and falling debris may also be used</w:t>
      </w:r>
      <w:r w:rsidR="002E284E" w:rsidRPr="00493A3B">
        <w:t xml:space="preserve">; </w:t>
      </w:r>
      <w:r w:rsidR="00C85295" w:rsidRPr="00493A3B">
        <w:t>types of landslip include rockfalls, topples, slides, flows, and creep</w:t>
      </w:r>
      <w:r w:rsidRPr="00493A3B">
        <w:t>)</w:t>
      </w:r>
    </w:p>
    <w:p w14:paraId="2AF76D3B" w14:textId="24DE84ED" w:rsidR="00C85295" w:rsidRPr="00493A3B" w:rsidRDefault="002E284E" w:rsidP="00C85295">
      <w:pPr>
        <w:pStyle w:val="Bullet"/>
      </w:pPr>
      <w:r w:rsidRPr="00493A3B">
        <w:t>c</w:t>
      </w:r>
      <w:r w:rsidR="00C85295" w:rsidRPr="00493A3B">
        <w:t>oastal erosion</w:t>
      </w:r>
      <w:r w:rsidR="00AA12B0" w:rsidRPr="00493A3B">
        <w:t xml:space="preserve"> –</w:t>
      </w:r>
      <w:r w:rsidR="00C85295" w:rsidRPr="00493A3B">
        <w:t xml:space="preserve"> </w:t>
      </w:r>
      <w:r w:rsidR="003B4EE6" w:rsidRPr="00493A3B">
        <w:t>referring to</w:t>
      </w:r>
      <w:r w:rsidR="00C85295" w:rsidRPr="00493A3B">
        <w:t xml:space="preserve"> the retreat of the shoreline </w:t>
      </w:r>
      <w:r w:rsidR="0040258B" w:rsidRPr="00493A3B">
        <w:t>(</w:t>
      </w:r>
      <w:r w:rsidR="00C85295" w:rsidRPr="00493A3B">
        <w:t>either temporarily or permanently</w:t>
      </w:r>
      <w:r w:rsidR="0040258B" w:rsidRPr="00493A3B">
        <w:t>)</w:t>
      </w:r>
      <w:r w:rsidR="00C85295" w:rsidRPr="00493A3B">
        <w:t xml:space="preserve"> due to </w:t>
      </w:r>
      <w:r w:rsidR="00E9761D" w:rsidRPr="00493A3B">
        <w:t xml:space="preserve">tides and </w:t>
      </w:r>
      <w:r w:rsidR="00C85295" w:rsidRPr="00493A3B">
        <w:t>waves, including storm surges</w:t>
      </w:r>
    </w:p>
    <w:p w14:paraId="712635BD" w14:textId="6FB4AD59" w:rsidR="00C85295" w:rsidRPr="00493A3B" w:rsidRDefault="0040258B" w:rsidP="00C85295">
      <w:pPr>
        <w:pStyle w:val="Bullet"/>
      </w:pPr>
      <w:r w:rsidRPr="00493A3B">
        <w:t>c</w:t>
      </w:r>
      <w:r w:rsidR="00C85295" w:rsidRPr="00493A3B">
        <w:t>oastal inundation</w:t>
      </w:r>
      <w:r w:rsidR="00AA12B0" w:rsidRPr="00493A3B">
        <w:t xml:space="preserve"> –</w:t>
      </w:r>
      <w:r w:rsidR="00C85295" w:rsidRPr="00493A3B">
        <w:t xml:space="preserve"> </w:t>
      </w:r>
      <w:r w:rsidR="003B4EE6" w:rsidRPr="00493A3B">
        <w:t>referring to</w:t>
      </w:r>
      <w:r w:rsidR="00C85295" w:rsidRPr="00493A3B">
        <w:t xml:space="preserve"> inundation of land by seawater</w:t>
      </w:r>
      <w:r w:rsidR="00FE39F4" w:rsidRPr="00493A3B">
        <w:t xml:space="preserve"> (</w:t>
      </w:r>
      <w:r w:rsidR="00835B69" w:rsidRPr="00493A3B">
        <w:t>including</w:t>
      </w:r>
      <w:r w:rsidR="00C85295" w:rsidRPr="00493A3B">
        <w:t xml:space="preserve"> by storm surges and high tides</w:t>
      </w:r>
      <w:r w:rsidR="00FE39F4" w:rsidRPr="00493A3B">
        <w:t>)</w:t>
      </w:r>
    </w:p>
    <w:p w14:paraId="61E89489" w14:textId="2C202998" w:rsidR="00C85295" w:rsidRPr="00493A3B" w:rsidRDefault="00FE39F4" w:rsidP="00397C11">
      <w:pPr>
        <w:pStyle w:val="Bullet"/>
      </w:pPr>
      <w:r w:rsidRPr="00493A3B">
        <w:t>a</w:t>
      </w:r>
      <w:r w:rsidR="00C85295" w:rsidRPr="00493A3B">
        <w:t>ctive faults</w:t>
      </w:r>
      <w:r w:rsidR="00163A35" w:rsidRPr="00493A3B">
        <w:t xml:space="preserve"> –</w:t>
      </w:r>
      <w:r w:rsidR="00C85295" w:rsidRPr="00493A3B">
        <w:t xml:space="preserve"> </w:t>
      </w:r>
      <w:r w:rsidR="003B4EE6" w:rsidRPr="00493A3B">
        <w:t>referring to</w:t>
      </w:r>
      <w:r w:rsidR="00C85295" w:rsidRPr="00493A3B">
        <w:t xml:space="preserve"> those faults that have ruptured the surface in the past and as identified in the </w:t>
      </w:r>
      <w:hyperlink r:id="rId32" w:history="1">
        <w:r w:rsidR="00397C11" w:rsidRPr="00493A3B">
          <w:rPr>
            <w:rStyle w:val="Hyperlink"/>
          </w:rPr>
          <w:t xml:space="preserve">New Zealand </w:t>
        </w:r>
        <w:r w:rsidR="00C85295" w:rsidRPr="00493A3B">
          <w:rPr>
            <w:rStyle w:val="Hyperlink"/>
          </w:rPr>
          <w:t>Active Faults Database</w:t>
        </w:r>
      </w:hyperlink>
    </w:p>
    <w:p w14:paraId="329735CB" w14:textId="23C3E9DE" w:rsidR="00C85295" w:rsidRPr="00493A3B" w:rsidRDefault="00397C11" w:rsidP="00C85295">
      <w:pPr>
        <w:pStyle w:val="Bullet"/>
      </w:pPr>
      <w:r w:rsidRPr="00493A3B">
        <w:t>l</w:t>
      </w:r>
      <w:r w:rsidR="00C85295" w:rsidRPr="00493A3B">
        <w:t>iquefaction, including lateral spread</w:t>
      </w:r>
      <w:r w:rsidR="0004180E" w:rsidRPr="00493A3B">
        <w:t xml:space="preserve"> –</w:t>
      </w:r>
      <w:r w:rsidR="000F62ED" w:rsidRPr="00493A3B">
        <w:t xml:space="preserve"> </w:t>
      </w:r>
      <w:r w:rsidR="003B4EE6" w:rsidRPr="00493A3B">
        <w:t xml:space="preserve">referring to </w:t>
      </w:r>
      <w:r w:rsidR="00AD4F9E" w:rsidRPr="00493A3B">
        <w:t>where</w:t>
      </w:r>
      <w:r w:rsidR="007419BE" w:rsidRPr="00493A3B">
        <w:t xml:space="preserve"> loose, water-saturated soils</w:t>
      </w:r>
      <w:r w:rsidR="00AD4F9E" w:rsidRPr="00493A3B">
        <w:t xml:space="preserve"> lose strength due </w:t>
      </w:r>
      <w:r w:rsidR="00FE68B6" w:rsidRPr="00493A3B">
        <w:t>to earthquake</w:t>
      </w:r>
      <w:r w:rsidR="008148B2" w:rsidRPr="00493A3B">
        <w:t xml:space="preserve"> shaking</w:t>
      </w:r>
    </w:p>
    <w:p w14:paraId="6DF78768" w14:textId="5D150CEA" w:rsidR="00C85295" w:rsidRPr="00493A3B" w:rsidRDefault="0004180E" w:rsidP="00C85295">
      <w:pPr>
        <w:pStyle w:val="Bullet"/>
      </w:pPr>
      <w:r w:rsidRPr="00493A3B">
        <w:t>t</w:t>
      </w:r>
      <w:r w:rsidR="00C85295" w:rsidRPr="00493A3B">
        <w:t>sunami</w:t>
      </w:r>
      <w:r w:rsidRPr="00493A3B">
        <w:t xml:space="preserve"> –</w:t>
      </w:r>
      <w:r w:rsidR="00C85295" w:rsidRPr="00493A3B">
        <w:t xml:space="preserve"> </w:t>
      </w:r>
      <w:r w:rsidR="003B4EE6" w:rsidRPr="00493A3B">
        <w:t>referring to</w:t>
      </w:r>
      <w:r w:rsidR="00861F2F" w:rsidRPr="00493A3B">
        <w:t xml:space="preserve"> a series of long-period waves</w:t>
      </w:r>
      <w:r w:rsidR="00653460">
        <w:t>,</w:t>
      </w:r>
      <w:r w:rsidR="00805DDA" w:rsidRPr="00493A3B">
        <w:t xml:space="preserve"> </w:t>
      </w:r>
      <w:r w:rsidR="006D0A5B" w:rsidRPr="00493A3B">
        <w:t xml:space="preserve">primarily </w:t>
      </w:r>
      <w:r w:rsidR="00653460">
        <w:t xml:space="preserve">those </w:t>
      </w:r>
      <w:r w:rsidR="00FE68B6" w:rsidRPr="00493A3B">
        <w:t>generated</w:t>
      </w:r>
      <w:r w:rsidR="00C85295" w:rsidRPr="00493A3B">
        <w:t xml:space="preserve"> by </w:t>
      </w:r>
      <w:r w:rsidR="004C1D1E" w:rsidRPr="00493A3B">
        <w:t xml:space="preserve">underwater </w:t>
      </w:r>
      <w:r w:rsidR="00C85295" w:rsidRPr="00493A3B">
        <w:t>earthquake events</w:t>
      </w:r>
      <w:r w:rsidR="00EF1083" w:rsidRPr="00493A3B">
        <w:t xml:space="preserve"> from local, regional and distant sources</w:t>
      </w:r>
      <w:r w:rsidR="00C85295" w:rsidRPr="00493A3B">
        <w:t xml:space="preserve"> where there is significant displacement of the seafloor.</w:t>
      </w:r>
    </w:p>
    <w:p w14:paraId="007A8386" w14:textId="10B5B784" w:rsidR="00C85295" w:rsidRPr="00493A3B" w:rsidRDefault="00C85295" w:rsidP="00D046E6">
      <w:pPr>
        <w:pStyle w:val="BodyText"/>
      </w:pPr>
      <w:r w:rsidRPr="00493A3B">
        <w:t>These natural hazards have been specified based on the availability of consistent data to support a land</w:t>
      </w:r>
      <w:r w:rsidR="00885DE7" w:rsidRPr="00493A3B">
        <w:t>-</w:t>
      </w:r>
      <w:r w:rsidRPr="00493A3B">
        <w:t xml:space="preserve">use planning response to the risk </w:t>
      </w:r>
      <w:r w:rsidR="00885DE7" w:rsidRPr="00493A3B">
        <w:t xml:space="preserve">each natural hazard </w:t>
      </w:r>
      <w:r w:rsidRPr="00493A3B">
        <w:t>pose</w:t>
      </w:r>
      <w:r w:rsidR="00885DE7" w:rsidRPr="00493A3B">
        <w:t>s</w:t>
      </w:r>
      <w:r w:rsidRPr="00493A3B">
        <w:t>.</w:t>
      </w:r>
      <w:r w:rsidR="004078FF" w:rsidRPr="7057DF1D">
        <w:rPr>
          <w:rStyle w:val="Heading1Char"/>
          <w:rFonts w:ascii="Calibri" w:hAnsi="Calibri" w:cs="Calibri"/>
          <w:color w:val="000000" w:themeColor="text1"/>
          <w:sz w:val="18"/>
          <w:szCs w:val="18"/>
        </w:rPr>
        <w:t xml:space="preserve"> </w:t>
      </w:r>
      <w:r w:rsidRPr="00493A3B">
        <w:t xml:space="preserve">Other hazards – such as volcanic activity or geothermal risks </w:t>
      </w:r>
      <w:r w:rsidR="00841AB8" w:rsidRPr="00493A3B">
        <w:t>–</w:t>
      </w:r>
      <w:r w:rsidR="00A240D7" w:rsidRPr="00493A3B">
        <w:t xml:space="preserve"> </w:t>
      </w:r>
      <w:r w:rsidRPr="00493A3B">
        <w:t>were not included</w:t>
      </w:r>
      <w:r w:rsidR="00841AB8" w:rsidRPr="00493A3B">
        <w:t>,</w:t>
      </w:r>
      <w:r w:rsidRPr="00493A3B">
        <w:t xml:space="preserve"> because they require highly localised responses or are already addressed through other legislation (eg,</w:t>
      </w:r>
      <w:r w:rsidR="00844CFD" w:rsidRPr="00493A3B">
        <w:t xml:space="preserve"> </w:t>
      </w:r>
      <w:r w:rsidRPr="00493A3B">
        <w:t xml:space="preserve">the Building Act </w:t>
      </w:r>
      <w:r w:rsidR="00A75CAB" w:rsidRPr="00493A3B">
        <w:t>2004</w:t>
      </w:r>
      <w:r w:rsidRPr="00493A3B">
        <w:t>).</w:t>
      </w:r>
      <w:r w:rsidR="004078FF" w:rsidRPr="00493A3B">
        <w:t xml:space="preserve"> </w:t>
      </w:r>
      <w:r w:rsidR="2A07E4CB">
        <w:t>D</w:t>
      </w:r>
      <w:r>
        <w:t>ecision</w:t>
      </w:r>
      <w:r w:rsidR="00ED5F46" w:rsidRPr="00493A3B">
        <w:t>-</w:t>
      </w:r>
      <w:r w:rsidRPr="00493A3B">
        <w:t xml:space="preserve">makers may apply the approach set out in the NPS-NH to hazards </w:t>
      </w:r>
      <w:r w:rsidR="00A75CAB" w:rsidRPr="00493A3B">
        <w:t xml:space="preserve">that </w:t>
      </w:r>
      <w:r w:rsidRPr="00493A3B">
        <w:t>are not specified in the NPS-NH</w:t>
      </w:r>
      <w:r w:rsidR="6CD634A5">
        <w:t>, but are not required to</w:t>
      </w:r>
      <w:r w:rsidRPr="00493A3B">
        <w:t xml:space="preserve">. </w:t>
      </w:r>
    </w:p>
    <w:p w14:paraId="77145EA1" w14:textId="7B579967" w:rsidR="00C85295" w:rsidRPr="00493A3B" w:rsidRDefault="00C85295" w:rsidP="000B44C6">
      <w:pPr>
        <w:pStyle w:val="Heading2"/>
      </w:pPr>
      <w:bookmarkStart w:id="21" w:name="_Toc226291472"/>
      <w:r w:rsidRPr="00493A3B">
        <w:t>The NPS</w:t>
      </w:r>
      <w:r w:rsidR="0047089B" w:rsidRPr="00493A3B">
        <w:t>-</w:t>
      </w:r>
      <w:r w:rsidRPr="00493A3B">
        <w:t>NH applies to all activities except infrastructure and primary production</w:t>
      </w:r>
      <w:bookmarkEnd w:id="21"/>
    </w:p>
    <w:p w14:paraId="01D44698" w14:textId="4DDE27B0" w:rsidR="00FC68B8" w:rsidRPr="00493A3B" w:rsidRDefault="00C85295" w:rsidP="00D046E6">
      <w:pPr>
        <w:pStyle w:val="BodyText"/>
      </w:pPr>
      <w:r w:rsidRPr="00493A3B">
        <w:t xml:space="preserve">The NPS-NH applies to all activities managed under the RMA except infrastructure (as defined under </w:t>
      </w:r>
      <w:hyperlink r:id="rId33" w:anchor="DLM230272">
        <w:r w:rsidR="008F0B9E" w:rsidRPr="7057DF1D">
          <w:rPr>
            <w:rStyle w:val="Hyperlink"/>
          </w:rPr>
          <w:t>section 2(1)</w:t>
        </w:r>
      </w:hyperlink>
      <w:r w:rsidR="008F0B9E" w:rsidRPr="00493A3B">
        <w:t xml:space="preserve"> of </w:t>
      </w:r>
      <w:r w:rsidRPr="00493A3B">
        <w:t xml:space="preserve">the RMA) and primary production (as defined under the </w:t>
      </w:r>
      <w:r w:rsidR="00511AA3" w:rsidRPr="00493A3B">
        <w:t>National Planning Standards</w:t>
      </w:r>
      <w:r w:rsidR="00984269" w:rsidRPr="00493A3B">
        <w:rPr>
          <w:rStyle w:val="FootnoteReference"/>
        </w:rPr>
        <w:footnoteReference w:id="6"/>
      </w:r>
      <w:r w:rsidRPr="00493A3B">
        <w:t>)</w:t>
      </w:r>
      <w:r w:rsidR="0083408B" w:rsidRPr="00493A3B">
        <w:t xml:space="preserve">, </w:t>
      </w:r>
      <w:r w:rsidR="00801B4D" w:rsidRPr="00493A3B">
        <w:t xml:space="preserve">which are </w:t>
      </w:r>
      <w:r w:rsidR="00C31129" w:rsidRPr="00493A3B">
        <w:t>described</w:t>
      </w:r>
      <w:r w:rsidR="0083408B" w:rsidRPr="00493A3B">
        <w:t xml:space="preserve"> </w:t>
      </w:r>
      <w:r w:rsidR="0056518F" w:rsidRPr="00493A3B">
        <w:t xml:space="preserve">in the boxes </w:t>
      </w:r>
      <w:r w:rsidR="0083408B" w:rsidRPr="00493A3B">
        <w:t>below</w:t>
      </w:r>
      <w:r w:rsidRPr="00493A3B">
        <w:t xml:space="preserve">. </w:t>
      </w:r>
      <w:r w:rsidR="00583844" w:rsidRPr="00493A3B">
        <w:t xml:space="preserve">These </w:t>
      </w:r>
      <w:r w:rsidR="00801B4D" w:rsidRPr="00493A3B">
        <w:t xml:space="preserve">activities </w:t>
      </w:r>
      <w:r w:rsidR="00583844" w:rsidRPr="00493A3B">
        <w:t xml:space="preserve">have been excluded because </w:t>
      </w:r>
      <w:r w:rsidR="00E20ECC" w:rsidRPr="00493A3B">
        <w:t>the</w:t>
      </w:r>
      <w:r w:rsidR="00801B4D" w:rsidRPr="00493A3B">
        <w:t>y</w:t>
      </w:r>
      <w:r w:rsidR="00E20ECC" w:rsidRPr="00493A3B">
        <w:t xml:space="preserve"> require a more nuanced </w:t>
      </w:r>
      <w:r w:rsidR="00E773BA">
        <w:t xml:space="preserve">management </w:t>
      </w:r>
      <w:r w:rsidR="00E20ECC" w:rsidRPr="00493A3B">
        <w:t>approach</w:t>
      </w:r>
      <w:r w:rsidR="00FC68B8" w:rsidRPr="00493A3B">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C1024" w:rsidRPr="00493A3B" w14:paraId="74981295" w14:textId="77777777" w:rsidTr="00C30155">
        <w:tc>
          <w:tcPr>
            <w:tcW w:w="0" w:type="auto"/>
            <w:shd w:val="clear" w:color="auto" w:fill="D2DDE2"/>
          </w:tcPr>
          <w:p w14:paraId="61570B2A" w14:textId="1726EC59" w:rsidR="00DA7FD3" w:rsidRPr="00493A3B" w:rsidRDefault="00DA7FD3" w:rsidP="00844CFD">
            <w:pPr>
              <w:pStyle w:val="Boxheading0"/>
            </w:pPr>
            <w:bookmarkStart w:id="22" w:name="_Toc454963812"/>
            <w:r w:rsidRPr="00493A3B">
              <w:lastRenderedPageBreak/>
              <w:t>Definition of infrastructure (</w:t>
            </w:r>
            <w:r w:rsidR="00AB1E9E" w:rsidRPr="00493A3B">
              <w:t>section 2(1) of the RMA</w:t>
            </w:r>
            <w:r w:rsidRPr="00493A3B">
              <w:t>)</w:t>
            </w:r>
          </w:p>
          <w:p w14:paraId="5CFEDEFB" w14:textId="77777777" w:rsidR="00DA7FD3" w:rsidRPr="00493A3B" w:rsidRDefault="00DA7FD3" w:rsidP="00844CFD">
            <w:pPr>
              <w:pStyle w:val="Boxtext"/>
            </w:pPr>
            <w:r w:rsidRPr="00493A3B">
              <w:rPr>
                <w:b/>
                <w:bCs/>
              </w:rPr>
              <w:t>infrastructure</w:t>
            </w:r>
            <w:r w:rsidRPr="00493A3B">
              <w:t> means—</w:t>
            </w:r>
          </w:p>
          <w:p w14:paraId="38BD1AC7" w14:textId="40BC56EE" w:rsidR="00DA7FD3" w:rsidRPr="00493A3B" w:rsidRDefault="00DA7FD3" w:rsidP="00844CFD">
            <w:pPr>
              <w:pStyle w:val="Boxtext"/>
              <w:numPr>
                <w:ilvl w:val="0"/>
                <w:numId w:val="48"/>
              </w:numPr>
              <w:spacing w:before="0" w:after="80"/>
              <w:ind w:left="681" w:hanging="397"/>
            </w:pPr>
            <w:r w:rsidRPr="00493A3B">
              <w:t>pipelines that distribute or transmit natural or manufactured gas, petroleum, biofuel,</w:t>
            </w:r>
            <w:r w:rsidR="00C30155" w:rsidRPr="00493A3B">
              <w:t xml:space="preserve"> </w:t>
            </w:r>
            <w:r w:rsidRPr="00493A3B">
              <w:t>or</w:t>
            </w:r>
            <w:r w:rsidR="00C30155" w:rsidRPr="00493A3B">
              <w:t> </w:t>
            </w:r>
            <w:r w:rsidRPr="00493A3B">
              <w:t>geothermal energy:</w:t>
            </w:r>
          </w:p>
          <w:p w14:paraId="49B904BB" w14:textId="77777777" w:rsidR="00DA7FD3" w:rsidRPr="00493A3B" w:rsidRDefault="00DA7FD3" w:rsidP="00844CFD">
            <w:pPr>
              <w:pStyle w:val="Boxtext"/>
              <w:numPr>
                <w:ilvl w:val="0"/>
                <w:numId w:val="48"/>
              </w:numPr>
              <w:spacing w:before="0" w:after="80"/>
              <w:ind w:left="681" w:hanging="397"/>
            </w:pPr>
            <w:r w:rsidRPr="00493A3B">
              <w:t>a network for the purpose of telecommunication as defined in </w:t>
            </w:r>
            <w:hyperlink r:id="rId34" w:anchor="DLM124974" w:history="1">
              <w:r w:rsidRPr="00493A3B">
                <w:rPr>
                  <w:rStyle w:val="Hyperlink"/>
                </w:rPr>
                <w:t>section 5</w:t>
              </w:r>
            </w:hyperlink>
            <w:r w:rsidRPr="00493A3B">
              <w:t> of the Telecommunications Act 2001:</w:t>
            </w:r>
          </w:p>
          <w:p w14:paraId="59F75BDD" w14:textId="77777777" w:rsidR="00DA7FD3" w:rsidRPr="00493A3B" w:rsidRDefault="00DA7FD3" w:rsidP="00844CFD">
            <w:pPr>
              <w:pStyle w:val="Boxtext"/>
              <w:numPr>
                <w:ilvl w:val="0"/>
                <w:numId w:val="48"/>
              </w:numPr>
              <w:spacing w:before="0" w:after="80"/>
              <w:ind w:left="681" w:hanging="397"/>
            </w:pPr>
            <w:r w:rsidRPr="00493A3B">
              <w:t>a network for the purpose of radiocommunication as defined in </w:t>
            </w:r>
            <w:hyperlink r:id="rId35" w:anchor="DLM195581" w:history="1">
              <w:r w:rsidRPr="00493A3B">
                <w:rPr>
                  <w:rStyle w:val="Hyperlink"/>
                </w:rPr>
                <w:t>section 2(1)</w:t>
              </w:r>
            </w:hyperlink>
            <w:r w:rsidRPr="00493A3B">
              <w:t> of the Radiocommunications Act 1989:</w:t>
            </w:r>
          </w:p>
          <w:p w14:paraId="018C16A3" w14:textId="77777777" w:rsidR="00DA7FD3" w:rsidRPr="00493A3B" w:rsidRDefault="00DA7FD3" w:rsidP="00844CFD">
            <w:pPr>
              <w:pStyle w:val="Boxtext"/>
              <w:numPr>
                <w:ilvl w:val="0"/>
                <w:numId w:val="48"/>
              </w:numPr>
              <w:spacing w:before="0" w:after="80"/>
              <w:ind w:left="681" w:hanging="397"/>
            </w:pPr>
            <w:r w:rsidRPr="00493A3B">
              <w:t>facilities for the generation of electricity, lines used or intended to be used to convey electricity, and support structures for lines used or intended to be used to convey electricity, excluding facilities, lines, and support structures if a person—</w:t>
            </w:r>
          </w:p>
          <w:p w14:paraId="764D2D86" w14:textId="77777777" w:rsidR="00DA7FD3" w:rsidRPr="00493A3B" w:rsidRDefault="00DA7FD3" w:rsidP="00C30155">
            <w:pPr>
              <w:pStyle w:val="Boxtext"/>
              <w:numPr>
                <w:ilvl w:val="1"/>
                <w:numId w:val="48"/>
              </w:numPr>
              <w:spacing w:before="0" w:after="80"/>
              <w:ind w:left="1077" w:hanging="397"/>
            </w:pPr>
            <w:r w:rsidRPr="00493A3B">
              <w:t>uses them in connection with the generation of electricity for the person’s use; and</w:t>
            </w:r>
          </w:p>
          <w:p w14:paraId="09D8645F" w14:textId="77777777" w:rsidR="00DA7FD3" w:rsidRPr="00493A3B" w:rsidRDefault="00DA7FD3" w:rsidP="00C30155">
            <w:pPr>
              <w:pStyle w:val="Boxtext"/>
              <w:numPr>
                <w:ilvl w:val="1"/>
                <w:numId w:val="48"/>
              </w:numPr>
              <w:spacing w:before="0" w:after="80"/>
              <w:ind w:left="1077" w:hanging="397"/>
            </w:pPr>
            <w:r w:rsidRPr="00493A3B">
              <w:t>does not use them to generate any electricity for supply to any other person:</w:t>
            </w:r>
          </w:p>
          <w:p w14:paraId="4D8F44BC" w14:textId="77777777" w:rsidR="00DA7FD3" w:rsidRPr="00493A3B" w:rsidRDefault="00DA7FD3" w:rsidP="00C30155">
            <w:pPr>
              <w:pStyle w:val="Boxtext"/>
              <w:numPr>
                <w:ilvl w:val="0"/>
                <w:numId w:val="48"/>
              </w:numPr>
              <w:spacing w:before="0" w:after="80"/>
              <w:ind w:left="681" w:hanging="397"/>
            </w:pPr>
            <w:r w:rsidRPr="00493A3B">
              <w:t>a water supply distribution system, including a system for irrigation:</w:t>
            </w:r>
          </w:p>
          <w:p w14:paraId="0C4CD14B" w14:textId="77777777" w:rsidR="00DA7FD3" w:rsidRPr="00493A3B" w:rsidRDefault="00DA7FD3" w:rsidP="00C30155">
            <w:pPr>
              <w:pStyle w:val="Boxtext"/>
              <w:numPr>
                <w:ilvl w:val="0"/>
                <w:numId w:val="48"/>
              </w:numPr>
              <w:spacing w:before="0" w:after="80"/>
              <w:ind w:left="681" w:hanging="397"/>
            </w:pPr>
            <w:r w:rsidRPr="00493A3B">
              <w:t>a drainage or sewerage system:</w:t>
            </w:r>
          </w:p>
          <w:p w14:paraId="7A05DA6C" w14:textId="77777777" w:rsidR="00DA7FD3" w:rsidRPr="00493A3B" w:rsidRDefault="00DA7FD3" w:rsidP="00C30155">
            <w:pPr>
              <w:pStyle w:val="Boxtext"/>
              <w:numPr>
                <w:ilvl w:val="0"/>
                <w:numId w:val="48"/>
              </w:numPr>
              <w:spacing w:before="0" w:after="80"/>
              <w:ind w:left="681" w:hanging="397"/>
            </w:pPr>
            <w:r w:rsidRPr="00493A3B">
              <w:t>structures for transport on land by cycleways, rail, roads, walkways, or any other means:</w:t>
            </w:r>
          </w:p>
          <w:p w14:paraId="4D995992" w14:textId="77777777" w:rsidR="00DA7FD3" w:rsidRPr="00493A3B" w:rsidRDefault="00DA7FD3" w:rsidP="00C30155">
            <w:pPr>
              <w:pStyle w:val="Boxtext"/>
              <w:numPr>
                <w:ilvl w:val="0"/>
                <w:numId w:val="48"/>
              </w:numPr>
              <w:spacing w:before="0" w:after="80"/>
              <w:ind w:left="681" w:hanging="397"/>
            </w:pPr>
            <w:r w:rsidRPr="00493A3B">
              <w:t>facilities for the loading or unloading of cargo or passengers transported on land by any means:</w:t>
            </w:r>
          </w:p>
          <w:p w14:paraId="0F0E0517" w14:textId="77777777" w:rsidR="00DA7FD3" w:rsidRPr="00493A3B" w:rsidRDefault="00DA7FD3" w:rsidP="00C30155">
            <w:pPr>
              <w:pStyle w:val="Boxtext"/>
              <w:numPr>
                <w:ilvl w:val="0"/>
                <w:numId w:val="48"/>
              </w:numPr>
              <w:spacing w:before="0" w:after="80"/>
              <w:ind w:left="681" w:hanging="397"/>
            </w:pPr>
            <w:r w:rsidRPr="00493A3B">
              <w:t>an aerodrome as defined in </w:t>
            </w:r>
            <w:hyperlink r:id="rId36" w:anchor="LMS49500" w:history="1">
              <w:r w:rsidRPr="00493A3B">
                <w:rPr>
                  <w:rStyle w:val="Hyperlink"/>
                </w:rPr>
                <w:t>section 5</w:t>
              </w:r>
            </w:hyperlink>
            <w:r w:rsidRPr="00493A3B">
              <w:t> of the Civil Aviation Act 2023:</w:t>
            </w:r>
          </w:p>
          <w:p w14:paraId="27E60F09" w14:textId="77777777" w:rsidR="00DA7FD3" w:rsidRPr="00493A3B" w:rsidRDefault="00DA7FD3" w:rsidP="00C30155">
            <w:pPr>
              <w:pStyle w:val="Boxtext"/>
              <w:numPr>
                <w:ilvl w:val="0"/>
                <w:numId w:val="48"/>
              </w:numPr>
              <w:spacing w:before="0" w:after="80"/>
              <w:ind w:left="681" w:hanging="397"/>
            </w:pPr>
            <w:r w:rsidRPr="00493A3B">
              <w:t>a navigation installation as defined in </w:t>
            </w:r>
            <w:hyperlink r:id="rId37" w:anchor="LMS49500" w:history="1">
              <w:r w:rsidRPr="00493A3B">
                <w:rPr>
                  <w:rStyle w:val="Hyperlink"/>
                </w:rPr>
                <w:t>section 5</w:t>
              </w:r>
            </w:hyperlink>
            <w:r w:rsidRPr="00493A3B">
              <w:t> of the Civil Aviation Act 2023:</w:t>
            </w:r>
          </w:p>
          <w:p w14:paraId="3FDB9147" w14:textId="77777777" w:rsidR="00DA7FD3" w:rsidRPr="00493A3B" w:rsidRDefault="00DA7FD3" w:rsidP="00C30155">
            <w:pPr>
              <w:pStyle w:val="Boxtext"/>
              <w:numPr>
                <w:ilvl w:val="0"/>
                <w:numId w:val="48"/>
              </w:numPr>
              <w:spacing w:before="0" w:after="80"/>
              <w:ind w:left="681" w:hanging="397"/>
            </w:pPr>
            <w:r w:rsidRPr="00493A3B">
              <w:t>facilities for the loading or unloading of cargo or passengers carried by sea, including a port related commercial undertaking as defined in </w:t>
            </w:r>
            <w:hyperlink r:id="rId38" w:anchor="DLM131688" w:history="1">
              <w:r w:rsidRPr="00493A3B">
                <w:rPr>
                  <w:rStyle w:val="Hyperlink"/>
                </w:rPr>
                <w:t>section 2(1)</w:t>
              </w:r>
            </w:hyperlink>
            <w:r w:rsidRPr="00493A3B">
              <w:t> of the Port Companies Act 1988:</w:t>
            </w:r>
          </w:p>
          <w:p w14:paraId="04F98CB8" w14:textId="637B1289" w:rsidR="00DA7FD3" w:rsidRPr="00493A3B" w:rsidRDefault="00DA7FD3" w:rsidP="00C30155">
            <w:pPr>
              <w:pStyle w:val="Boxtext"/>
              <w:numPr>
                <w:ilvl w:val="0"/>
                <w:numId w:val="48"/>
              </w:numPr>
              <w:spacing w:before="0" w:after="240"/>
              <w:ind w:left="681" w:hanging="397"/>
            </w:pPr>
            <w:r w:rsidRPr="00493A3B">
              <w:t>anything described as a network utility operation in regulations made for the purposes of the definition of network utility operator in </w:t>
            </w:r>
            <w:hyperlink r:id="rId39" w:anchor="DLM236206" w:history="1">
              <w:r w:rsidRPr="00493A3B">
                <w:rPr>
                  <w:rStyle w:val="Hyperlink"/>
                </w:rPr>
                <w:t>section 166</w:t>
              </w:r>
            </w:hyperlink>
            <w:r w:rsidR="006A5B18">
              <w:t>.</w:t>
            </w:r>
          </w:p>
        </w:tc>
      </w:tr>
      <w:bookmarkEnd w:id="22"/>
    </w:tbl>
    <w:p w14:paraId="1DF7AABF" w14:textId="77777777" w:rsidR="000F7704" w:rsidRPr="00493A3B" w:rsidRDefault="000F7704" w:rsidP="00C30155">
      <w:pPr>
        <w:pStyle w:val="BodyText"/>
        <w:spacing w:after="0"/>
      </w:pP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C1024" w:rsidRPr="00493A3B" w14:paraId="42EBA8EE" w14:textId="77777777" w:rsidTr="00C30155">
        <w:tc>
          <w:tcPr>
            <w:tcW w:w="0" w:type="auto"/>
            <w:shd w:val="clear" w:color="auto" w:fill="D2DDE2"/>
          </w:tcPr>
          <w:p w14:paraId="7A11DA94" w14:textId="669DEA31" w:rsidR="001A3A3A" w:rsidRPr="00493A3B" w:rsidRDefault="001A3A3A" w:rsidP="00BD3930">
            <w:pPr>
              <w:pStyle w:val="Boxheading0"/>
              <w:spacing w:after="120"/>
            </w:pPr>
            <w:r w:rsidRPr="00493A3B">
              <w:t xml:space="preserve">Definition of primary production (as defined in the National Planning Standards) </w:t>
            </w:r>
          </w:p>
          <w:p w14:paraId="0EF5BD89" w14:textId="7FE4020C" w:rsidR="0035430F" w:rsidRPr="00493A3B" w:rsidRDefault="0035430F" w:rsidP="00C30155">
            <w:pPr>
              <w:pStyle w:val="Boxtext"/>
              <w:spacing w:before="0"/>
            </w:pPr>
            <w:r w:rsidRPr="00493A3B">
              <w:rPr>
                <w:b/>
                <w:bCs/>
              </w:rPr>
              <w:t>primary production</w:t>
            </w:r>
            <w:r w:rsidRPr="00493A3B">
              <w:t xml:space="preserve"> means:</w:t>
            </w:r>
            <w:r w:rsidR="004078FF" w:rsidRPr="00493A3B">
              <w:t xml:space="preserve"> </w:t>
            </w:r>
          </w:p>
          <w:p w14:paraId="3767F724" w14:textId="77777777" w:rsidR="0035430F" w:rsidRPr="00493A3B" w:rsidRDefault="0035430F" w:rsidP="00C30155">
            <w:pPr>
              <w:pStyle w:val="Boxtext"/>
              <w:numPr>
                <w:ilvl w:val="0"/>
                <w:numId w:val="57"/>
              </w:numPr>
              <w:spacing w:before="0" w:after="80"/>
              <w:ind w:left="623" w:hanging="357"/>
            </w:pPr>
            <w:r w:rsidRPr="00493A3B">
              <w:t xml:space="preserve">any aquaculture, agricultural, pastoral, horticultural, mining, quarrying or forestry activities; and </w:t>
            </w:r>
          </w:p>
          <w:p w14:paraId="3A793123" w14:textId="77777777" w:rsidR="0035430F" w:rsidRPr="00493A3B" w:rsidRDefault="0035430F" w:rsidP="00C30155">
            <w:pPr>
              <w:pStyle w:val="Boxtext"/>
              <w:numPr>
                <w:ilvl w:val="0"/>
                <w:numId w:val="57"/>
              </w:numPr>
              <w:spacing w:before="0" w:after="80"/>
              <w:ind w:left="623" w:hanging="357"/>
            </w:pPr>
            <w:r w:rsidRPr="00493A3B">
              <w:t>includes initial processing, as an ancillary activity, of commodities that result from the listed activities in a);</w:t>
            </w:r>
          </w:p>
          <w:p w14:paraId="76CD57FB" w14:textId="77777777" w:rsidR="0035430F" w:rsidRPr="00493A3B" w:rsidRDefault="0035430F" w:rsidP="00C30155">
            <w:pPr>
              <w:pStyle w:val="Boxtext"/>
              <w:numPr>
                <w:ilvl w:val="0"/>
                <w:numId w:val="57"/>
              </w:numPr>
              <w:spacing w:before="0" w:after="80"/>
              <w:ind w:left="623" w:hanging="357"/>
            </w:pPr>
            <w:r w:rsidRPr="00493A3B">
              <w:t xml:space="preserve">includes any land and buildings used for the production of the commodities from a) and used for the initial processing of the commodities in b); but </w:t>
            </w:r>
          </w:p>
          <w:p w14:paraId="43B647C2" w14:textId="1ECB42C6" w:rsidR="001A3A3A" w:rsidRPr="00493A3B" w:rsidRDefault="0035430F" w:rsidP="00C30155">
            <w:pPr>
              <w:pStyle w:val="Boxtext"/>
              <w:numPr>
                <w:ilvl w:val="0"/>
                <w:numId w:val="57"/>
              </w:numPr>
              <w:spacing w:before="0" w:after="240"/>
              <w:ind w:left="623" w:hanging="357"/>
            </w:pPr>
            <w:r w:rsidRPr="00493A3B">
              <w:t>excludes further processing of those commodities into a different product.</w:t>
            </w:r>
          </w:p>
        </w:tc>
      </w:tr>
    </w:tbl>
    <w:p w14:paraId="4B65A68E" w14:textId="63821569" w:rsidR="00372897" w:rsidRPr="00493A3B" w:rsidRDefault="00372897" w:rsidP="00C30155">
      <w:pPr>
        <w:pStyle w:val="BodyText"/>
        <w:spacing w:before="240"/>
      </w:pPr>
      <w:r w:rsidRPr="00493A3B">
        <w:t xml:space="preserve">Any infrastructure </w:t>
      </w:r>
      <w:r w:rsidR="00D0148E" w:rsidRPr="00493A3B">
        <w:t>not covered by</w:t>
      </w:r>
      <w:r w:rsidRPr="00493A3B">
        <w:t xml:space="preserve"> the RMA definition will be subject to the NPS-NH. </w:t>
      </w:r>
      <w:r w:rsidR="003B4800" w:rsidRPr="00493A3B">
        <w:t xml:space="preserve">Although the </w:t>
      </w:r>
      <w:hyperlink r:id="rId40" w:history="1">
        <w:r w:rsidRPr="00493A3B">
          <w:rPr>
            <w:rStyle w:val="Hyperlink"/>
          </w:rPr>
          <w:t>National Policy Statement for Infrastructure 2025</w:t>
        </w:r>
      </w:hyperlink>
      <w:r w:rsidRPr="00493A3B">
        <w:t xml:space="preserve"> provides a definition for infrastructure</w:t>
      </w:r>
      <w:r w:rsidR="003B4800" w:rsidRPr="00493A3B">
        <w:t>, that definition is</w:t>
      </w:r>
      <w:r w:rsidRPr="00493A3B">
        <w:t xml:space="preserve"> for the purpose of that instrument alone</w:t>
      </w:r>
      <w:r w:rsidR="003B4800" w:rsidRPr="00493A3B">
        <w:t xml:space="preserve"> and should </w:t>
      </w:r>
      <w:r w:rsidRPr="00493A3B">
        <w:t>not be adopted for the application of the NPS-NH.</w:t>
      </w:r>
    </w:p>
    <w:p w14:paraId="06F83554" w14:textId="15721C60" w:rsidR="00372897" w:rsidRPr="00493A3B" w:rsidRDefault="00372897" w:rsidP="00D046E6">
      <w:pPr>
        <w:pStyle w:val="BodyText"/>
      </w:pPr>
      <w:r w:rsidRPr="00493A3B">
        <w:t xml:space="preserve">Regardless, </w:t>
      </w:r>
      <w:r w:rsidR="00C24A54" w:rsidRPr="00493A3B">
        <w:t xml:space="preserve">the </w:t>
      </w:r>
      <w:r w:rsidRPr="00493A3B">
        <w:t xml:space="preserve">NPS-NH is not </w:t>
      </w:r>
      <w:r w:rsidR="006A11DB" w:rsidRPr="00493A3B">
        <w:t xml:space="preserve">intended to be </w:t>
      </w:r>
      <w:r w:rsidRPr="00493A3B">
        <w:t xml:space="preserve">limiting, </w:t>
      </w:r>
      <w:r w:rsidR="00243342" w:rsidRPr="00493A3B">
        <w:t xml:space="preserve">meaning </w:t>
      </w:r>
      <w:r w:rsidRPr="00493A3B">
        <w:t xml:space="preserve">local authorities </w:t>
      </w:r>
      <w:r w:rsidR="00C24A54" w:rsidRPr="00493A3B">
        <w:t>can</w:t>
      </w:r>
      <w:r w:rsidRPr="00493A3B">
        <w:t xml:space="preserve"> still apply an existing approac</w:t>
      </w:r>
      <w:r w:rsidR="00C24A54" w:rsidRPr="00493A3B">
        <w:t>h</w:t>
      </w:r>
      <w:r w:rsidRPr="00493A3B">
        <w:t xml:space="preserve"> </w:t>
      </w:r>
      <w:r w:rsidR="00FE196F" w:rsidRPr="00493A3B">
        <w:t>for</w:t>
      </w:r>
      <w:r w:rsidRPr="00493A3B">
        <w:t xml:space="preserve"> manag</w:t>
      </w:r>
      <w:r w:rsidR="00FE196F" w:rsidRPr="00493A3B">
        <w:t>ing</w:t>
      </w:r>
      <w:r w:rsidRPr="00493A3B">
        <w:t xml:space="preserve"> the risk of natural hazards to infrastructure and primary </w:t>
      </w:r>
      <w:r w:rsidR="00FD7CDF" w:rsidRPr="00493A3B">
        <w:t xml:space="preserve">production </w:t>
      </w:r>
      <w:r w:rsidRPr="00493A3B">
        <w:t>activities</w:t>
      </w:r>
      <w:r w:rsidR="00C20084" w:rsidRPr="00493A3B">
        <w:t>.</w:t>
      </w:r>
      <w:r w:rsidR="00FE196F" w:rsidRPr="00493A3B">
        <w:t xml:space="preserve"> </w:t>
      </w:r>
    </w:p>
    <w:p w14:paraId="1BF15B05" w14:textId="3690519C" w:rsidR="0050770D" w:rsidRPr="00493A3B" w:rsidRDefault="00081302" w:rsidP="000B44C6">
      <w:pPr>
        <w:pStyle w:val="Heading2"/>
      </w:pPr>
      <w:bookmarkStart w:id="23" w:name="_Toc226291473"/>
      <w:r w:rsidRPr="00493A3B">
        <w:lastRenderedPageBreak/>
        <w:t>The NPS</w:t>
      </w:r>
      <w:r w:rsidR="00701FEE" w:rsidRPr="00493A3B">
        <w:t>-</w:t>
      </w:r>
      <w:r w:rsidRPr="00493A3B">
        <w:t>NH does not automatically override existing planning provisions</w:t>
      </w:r>
      <w:bookmarkEnd w:id="23"/>
    </w:p>
    <w:p w14:paraId="5BCD39B3" w14:textId="6172AD0A" w:rsidR="00181609" w:rsidRPr="00493A3B" w:rsidRDefault="00181609" w:rsidP="00D046E6">
      <w:pPr>
        <w:pStyle w:val="BodyText"/>
        <w:rPr>
          <w:spacing w:val="-2"/>
        </w:rPr>
      </w:pPr>
      <w:r w:rsidRPr="00493A3B">
        <w:t xml:space="preserve">The NPS-NH sets a national baseline for managing natural hazard risk through land-use planning, to lift practice. </w:t>
      </w:r>
      <w:r w:rsidR="00592320" w:rsidRPr="00493A3B">
        <w:t>Many district plans include existing risk-based approaches that use</w:t>
      </w:r>
      <w:r w:rsidR="00C30155" w:rsidRPr="00493A3B">
        <w:t> </w:t>
      </w:r>
      <w:r w:rsidR="00592320" w:rsidRPr="00493A3B">
        <w:t xml:space="preserve">different likelihood thresholds, consequence measures and risk matrices. </w:t>
      </w:r>
      <w:r w:rsidR="004715BE" w:rsidRPr="00493A3B">
        <w:t>It does not seek to replace</w:t>
      </w:r>
      <w:r w:rsidR="00BB117F" w:rsidRPr="00493A3B">
        <w:t xml:space="preserve"> these </w:t>
      </w:r>
      <w:r w:rsidR="004715BE" w:rsidRPr="00493A3B">
        <w:t xml:space="preserve">approaches </w:t>
      </w:r>
      <w:r w:rsidR="00BB117F" w:rsidRPr="00493A3B">
        <w:t xml:space="preserve">where they are more conservative </w:t>
      </w:r>
      <w:r w:rsidR="004715BE" w:rsidRPr="00493A3B">
        <w:t>(clause 1.3(4)). This means that, where an approach under existing planning documents would prevent development that</w:t>
      </w:r>
      <w:r w:rsidR="00C30155" w:rsidRPr="00493A3B">
        <w:t> </w:t>
      </w:r>
      <w:r w:rsidR="004715BE" w:rsidRPr="00493A3B">
        <w:t xml:space="preserve">would be assessed against the NPS-NH risk matrix as being lower than ‘very high’ risk, </w:t>
      </w:r>
      <w:r w:rsidR="004715BE" w:rsidRPr="00493A3B">
        <w:rPr>
          <w:spacing w:val="-2"/>
        </w:rPr>
        <w:t>decision-makers may choose to apply those planning provisions</w:t>
      </w:r>
      <w:r w:rsidR="009F086F" w:rsidRPr="00493A3B">
        <w:rPr>
          <w:spacing w:val="-2"/>
        </w:rPr>
        <w:t xml:space="preserve"> </w:t>
      </w:r>
      <w:r w:rsidRPr="00493A3B">
        <w:rPr>
          <w:spacing w:val="-2"/>
        </w:rPr>
        <w:t>rather than follow the NPS-NH.</w:t>
      </w:r>
    </w:p>
    <w:p w14:paraId="519AB2ED" w14:textId="329B3448" w:rsidR="00906F0E" w:rsidRPr="00493A3B" w:rsidRDefault="00081302" w:rsidP="00D046E6">
      <w:pPr>
        <w:pStyle w:val="BodyText"/>
      </w:pPr>
      <w:r w:rsidRPr="00493A3B">
        <w:t>L</w:t>
      </w:r>
      <w:r w:rsidR="0050770D" w:rsidRPr="00493A3B">
        <w:t>ocal government planning documents are developed in consultation with local communities</w:t>
      </w:r>
      <w:r w:rsidR="00DC38D2" w:rsidRPr="00493A3B">
        <w:t>,</w:t>
      </w:r>
      <w:r w:rsidR="0050770D" w:rsidRPr="00493A3B">
        <w:t xml:space="preserve"> reflect</w:t>
      </w:r>
      <w:r w:rsidR="00DC38D2" w:rsidRPr="00493A3B">
        <w:t>ing</w:t>
      </w:r>
      <w:r w:rsidR="0050770D" w:rsidRPr="00493A3B">
        <w:t xml:space="preserve"> their circumstances and views</w:t>
      </w:r>
      <w:r w:rsidRPr="00493A3B">
        <w:t xml:space="preserve">, </w:t>
      </w:r>
      <w:r w:rsidR="00DC38D2" w:rsidRPr="00493A3B">
        <w:t xml:space="preserve">so </w:t>
      </w:r>
      <w:r w:rsidRPr="00493A3B">
        <w:t xml:space="preserve">it may be entirely appropriate </w:t>
      </w:r>
      <w:r w:rsidR="00DC38D2" w:rsidRPr="00493A3B">
        <w:t xml:space="preserve">to follow </w:t>
      </w:r>
      <w:r w:rsidRPr="00493A3B">
        <w:t xml:space="preserve">their more </w:t>
      </w:r>
      <w:r w:rsidRPr="00493A3B">
        <w:rPr>
          <w:spacing w:val="-2"/>
        </w:rPr>
        <w:t xml:space="preserve">conservative approach. </w:t>
      </w:r>
      <w:r w:rsidR="00AC08EC" w:rsidRPr="00493A3B">
        <w:rPr>
          <w:spacing w:val="-2"/>
        </w:rPr>
        <w:t xml:space="preserve">Where a </w:t>
      </w:r>
      <w:r w:rsidR="0077447C" w:rsidRPr="00493A3B">
        <w:rPr>
          <w:spacing w:val="-2"/>
        </w:rPr>
        <w:t>plan includes existing risk-based provisions for the management</w:t>
      </w:r>
      <w:r w:rsidR="0077447C" w:rsidRPr="00493A3B">
        <w:t xml:space="preserve"> of natural hazards, </w:t>
      </w:r>
      <w:r w:rsidR="0096068D" w:rsidRPr="00493A3B">
        <w:t xml:space="preserve">a first step should be </w:t>
      </w:r>
      <w:r w:rsidR="0077447C" w:rsidRPr="00493A3B">
        <w:t>asses</w:t>
      </w:r>
      <w:r w:rsidR="0096068D" w:rsidRPr="00493A3B">
        <w:t>sing these</w:t>
      </w:r>
      <w:r w:rsidR="0077447C" w:rsidRPr="00493A3B">
        <w:t xml:space="preserve"> a</w:t>
      </w:r>
      <w:r w:rsidR="000E3D51" w:rsidRPr="00493A3B">
        <w:t xml:space="preserve">gainst the NPS-NH </w:t>
      </w:r>
      <w:r w:rsidR="003B6BC8" w:rsidRPr="00493A3B">
        <w:t>approach</w:t>
      </w:r>
      <w:r w:rsidR="00D3534A" w:rsidRPr="00493A3B">
        <w:t xml:space="preserve"> to determine whether they are </w:t>
      </w:r>
      <w:r w:rsidR="000E3D51" w:rsidRPr="00493A3B">
        <w:t xml:space="preserve">more permissive, </w:t>
      </w:r>
      <w:r w:rsidR="004F063B" w:rsidRPr="00493A3B">
        <w:t>the same</w:t>
      </w:r>
      <w:r w:rsidR="009A0EAC" w:rsidRPr="00493A3B">
        <w:t>,</w:t>
      </w:r>
      <w:r w:rsidR="000E3D51" w:rsidRPr="00493A3B">
        <w:t xml:space="preserve"> or more conservative</w:t>
      </w:r>
      <w:r w:rsidR="00232428" w:rsidRPr="00493A3B">
        <w:t>.</w:t>
      </w:r>
      <w:r w:rsidR="000E3D51" w:rsidRPr="00493A3B">
        <w:t xml:space="preserve"> </w:t>
      </w:r>
    </w:p>
    <w:p w14:paraId="3240A1FB" w14:textId="443C7FE2" w:rsidR="0050770D" w:rsidRPr="00493A3B" w:rsidRDefault="00906F0E" w:rsidP="00906F0E">
      <w:pPr>
        <w:spacing w:before="0" w:after="200" w:line="276" w:lineRule="auto"/>
        <w:jc w:val="left"/>
      </w:pPr>
      <w:r w:rsidRPr="00493A3B">
        <w:br w:type="page"/>
      </w:r>
    </w:p>
    <w:p w14:paraId="0C044938" w14:textId="01516A1D" w:rsidR="00FC7D73" w:rsidRPr="00493A3B" w:rsidRDefault="00B83926" w:rsidP="00FC7D73">
      <w:pPr>
        <w:pStyle w:val="Heading1"/>
      </w:pPr>
      <w:bookmarkStart w:id="24" w:name="_Toc226291474"/>
      <w:r w:rsidRPr="00493A3B">
        <w:lastRenderedPageBreak/>
        <w:t xml:space="preserve">Part </w:t>
      </w:r>
      <w:r w:rsidR="000F7704" w:rsidRPr="00493A3B">
        <w:t>4</w:t>
      </w:r>
      <w:r w:rsidRPr="00493A3B">
        <w:t>:</w:t>
      </w:r>
      <w:r w:rsidR="00B23B61" w:rsidRPr="00493A3B" w:rsidDel="000F7704">
        <w:t xml:space="preserve"> </w:t>
      </w:r>
      <w:r w:rsidR="000F7704" w:rsidRPr="00493A3B">
        <w:t xml:space="preserve">Implementation </w:t>
      </w:r>
      <w:r w:rsidR="00C035DC" w:rsidRPr="00493A3B">
        <w:t>clauses</w:t>
      </w:r>
      <w:bookmarkEnd w:id="24"/>
    </w:p>
    <w:p w14:paraId="7851CC7D" w14:textId="06F4772E" w:rsidR="007E0BD0" w:rsidRPr="00493A3B" w:rsidRDefault="00BB322B" w:rsidP="008C56A5">
      <w:pPr>
        <w:pStyle w:val="Heading2"/>
        <w:spacing w:before="120"/>
      </w:pPr>
      <w:bookmarkStart w:id="25" w:name="_Toc226291475"/>
      <w:r w:rsidRPr="00493A3B">
        <w:t>A</w:t>
      </w:r>
      <w:r w:rsidR="00B350B8" w:rsidRPr="00493A3B">
        <w:t>ssess the risk</w:t>
      </w:r>
      <w:bookmarkEnd w:id="25"/>
    </w:p>
    <w:p w14:paraId="1F257A83" w14:textId="2A7796BC" w:rsidR="0050770D" w:rsidRPr="00493A3B" w:rsidRDefault="0050770D" w:rsidP="00233766">
      <w:pPr>
        <w:pStyle w:val="BodyText"/>
        <w:spacing w:before="100" w:after="100" w:line="276" w:lineRule="atLeast"/>
      </w:pPr>
      <w:r w:rsidRPr="00493A3B">
        <w:t xml:space="preserve">The NPS-NH directs local authorities to take a risk-based approach to </w:t>
      </w:r>
      <w:r w:rsidR="007955DA" w:rsidRPr="00493A3B">
        <w:t xml:space="preserve">subdivision, use or </w:t>
      </w:r>
      <w:r w:rsidRPr="00493A3B">
        <w:t xml:space="preserve">development – that is, assessing </w:t>
      </w:r>
      <w:r w:rsidR="00320EDA" w:rsidRPr="00493A3B">
        <w:t xml:space="preserve">the risk to </w:t>
      </w:r>
      <w:r w:rsidRPr="00493A3B">
        <w:t xml:space="preserve">a specific </w:t>
      </w:r>
      <w:r w:rsidR="001F13EA" w:rsidRPr="00493A3B">
        <w:t xml:space="preserve">activity </w:t>
      </w:r>
      <w:r w:rsidRPr="00493A3B">
        <w:t>from a specific natural hazard. This requires decision</w:t>
      </w:r>
      <w:r w:rsidR="00DD78A5" w:rsidRPr="00493A3B">
        <w:t>-</w:t>
      </w:r>
      <w:r w:rsidRPr="00493A3B">
        <w:t xml:space="preserve">makers to consider the location, type and design of the activity for which consent is sought. </w:t>
      </w:r>
    </w:p>
    <w:p w14:paraId="7BD9C928" w14:textId="349ADC65" w:rsidR="0050770D" w:rsidRPr="00493A3B" w:rsidRDefault="00E37E27" w:rsidP="00233766">
      <w:pPr>
        <w:pStyle w:val="BodyText"/>
        <w:spacing w:before="100" w:after="240" w:line="276" w:lineRule="atLeast"/>
      </w:pPr>
      <w:r w:rsidRPr="00493A3B">
        <w:t>Clause 3.2</w:t>
      </w:r>
      <w:r w:rsidR="0050770D" w:rsidRPr="00493A3B">
        <w:t xml:space="preserve"> </w:t>
      </w:r>
      <w:r w:rsidR="0066173B" w:rsidRPr="00493A3B">
        <w:t xml:space="preserve">of the NPS-NH </w:t>
      </w:r>
      <w:r w:rsidR="0050770D" w:rsidRPr="00493A3B">
        <w:t>identif</w:t>
      </w:r>
      <w:r w:rsidRPr="00493A3B">
        <w:t>ies</w:t>
      </w:r>
      <w:r w:rsidR="0050770D" w:rsidRPr="00493A3B">
        <w:t xml:space="preserve"> the key components required in a risk-based assessment</w:t>
      </w:r>
      <w:r w:rsidRPr="00493A3B">
        <w:t xml:space="preserve">, as </w:t>
      </w:r>
      <w:r w:rsidR="0056518F" w:rsidRPr="00493A3B">
        <w:t>detailed in the box below</w:t>
      </w:r>
      <w:r w:rsidR="00ED15CA" w:rsidRPr="00493A3B">
        <w:t>.</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DC1024" w:rsidRPr="00493A3B" w14:paraId="27DED95E" w14:textId="77777777" w:rsidTr="00C30155">
        <w:tc>
          <w:tcPr>
            <w:tcW w:w="0" w:type="auto"/>
            <w:shd w:val="clear" w:color="auto" w:fill="D2DDE2"/>
          </w:tcPr>
          <w:p w14:paraId="6D06EE00" w14:textId="54560F33" w:rsidR="0050770D" w:rsidRPr="00493A3B" w:rsidRDefault="0050770D" w:rsidP="008C56A5">
            <w:pPr>
              <w:pStyle w:val="Boxheading0"/>
              <w:spacing w:after="80"/>
            </w:pPr>
            <w:r w:rsidRPr="00493A3B">
              <w:t xml:space="preserve">Clause 3.2 </w:t>
            </w:r>
            <w:r w:rsidR="00C30155" w:rsidRPr="00493A3B">
              <w:t>–</w:t>
            </w:r>
            <w:r w:rsidRPr="00493A3B">
              <w:t xml:space="preserve"> Risk-based assessment </w:t>
            </w:r>
          </w:p>
          <w:p w14:paraId="3DE57A8C" w14:textId="77777777" w:rsidR="0050770D" w:rsidRPr="00493A3B" w:rsidRDefault="0050770D" w:rsidP="00233766">
            <w:pPr>
              <w:pStyle w:val="Boxtext"/>
              <w:numPr>
                <w:ilvl w:val="0"/>
                <w:numId w:val="52"/>
              </w:numPr>
              <w:spacing w:before="80" w:after="60" w:line="256" w:lineRule="atLeast"/>
              <w:ind w:left="681" w:hanging="397"/>
            </w:pPr>
            <w:r w:rsidRPr="00493A3B">
              <w:t xml:space="preserve">Natural hazard risk associated with subdivision, use or development must be assessed using: </w:t>
            </w:r>
          </w:p>
          <w:p w14:paraId="279B3323" w14:textId="18248B0F" w:rsidR="0050770D" w:rsidRPr="00493A3B" w:rsidRDefault="0050770D" w:rsidP="00233766">
            <w:pPr>
              <w:pStyle w:val="Boxtext"/>
              <w:numPr>
                <w:ilvl w:val="2"/>
                <w:numId w:val="17"/>
              </w:numPr>
              <w:spacing w:before="0" w:after="60" w:line="256" w:lineRule="atLeast"/>
              <w:ind w:left="1077" w:hanging="397"/>
            </w:pPr>
            <w:r w:rsidRPr="00493A3B">
              <w:t>the likelihood of a natural hazard event occurring</w:t>
            </w:r>
            <w:r w:rsidR="000B58B9" w:rsidRPr="00493A3B">
              <w:t>…</w:t>
            </w:r>
            <w:r w:rsidRPr="00493A3B">
              <w:t xml:space="preserve">; and </w:t>
            </w:r>
          </w:p>
          <w:p w14:paraId="08059D3C" w14:textId="4C787BA8" w:rsidR="0050770D" w:rsidRPr="00493A3B" w:rsidRDefault="0050770D" w:rsidP="00233766">
            <w:pPr>
              <w:pStyle w:val="Boxtext"/>
              <w:numPr>
                <w:ilvl w:val="2"/>
                <w:numId w:val="17"/>
              </w:numPr>
              <w:spacing w:before="0" w:after="60" w:line="256" w:lineRule="atLeast"/>
              <w:ind w:left="1077" w:hanging="397"/>
            </w:pPr>
            <w:r w:rsidRPr="00493A3B">
              <w:t>the consequence of a natural hazard event for life and property</w:t>
            </w:r>
            <w:r w:rsidR="000B58B9" w:rsidRPr="00493A3B">
              <w:t>…</w:t>
            </w:r>
            <w:r w:rsidRPr="00493A3B">
              <w:t xml:space="preserve">; </w:t>
            </w:r>
          </w:p>
          <w:p w14:paraId="5A6DC044" w14:textId="79FA190E" w:rsidR="0050770D" w:rsidRPr="00493A3B" w:rsidRDefault="0050770D" w:rsidP="00233766">
            <w:pPr>
              <w:pStyle w:val="Boxtext"/>
              <w:spacing w:before="80" w:after="60" w:line="256" w:lineRule="atLeast"/>
              <w:ind w:left="626"/>
            </w:pPr>
            <w:r w:rsidRPr="00493A3B">
              <w:t>to determine whether the level of natural hazard risk is low, medium, high or very high, in</w:t>
            </w:r>
            <w:r w:rsidR="004368D9" w:rsidRPr="00493A3B">
              <w:t> </w:t>
            </w:r>
            <w:r w:rsidRPr="00493A3B">
              <w:t xml:space="preserve">accordance with the risk matrix. </w:t>
            </w:r>
          </w:p>
          <w:p w14:paraId="3F75D6C1" w14:textId="77777777" w:rsidR="0050770D" w:rsidRPr="00493A3B" w:rsidRDefault="0050770D" w:rsidP="00233766">
            <w:pPr>
              <w:pStyle w:val="Boxtext"/>
              <w:numPr>
                <w:ilvl w:val="0"/>
                <w:numId w:val="52"/>
              </w:numPr>
              <w:spacing w:before="80" w:after="60" w:line="256" w:lineRule="atLeast"/>
              <w:ind w:left="681" w:hanging="397"/>
            </w:pPr>
            <w:r w:rsidRPr="00493A3B">
              <w:t xml:space="preserve">When assessing natural hazard risk, decision-makers must consider: </w:t>
            </w:r>
          </w:p>
          <w:p w14:paraId="26BC9317" w14:textId="77777777" w:rsidR="0050770D" w:rsidRPr="00493A3B" w:rsidRDefault="0050770D" w:rsidP="00233766">
            <w:pPr>
              <w:pStyle w:val="Boxtext"/>
              <w:numPr>
                <w:ilvl w:val="0"/>
                <w:numId w:val="53"/>
              </w:numPr>
              <w:spacing w:before="0" w:after="60" w:line="256" w:lineRule="atLeast"/>
              <w:ind w:left="1077" w:hanging="397"/>
            </w:pPr>
            <w:r w:rsidRPr="00493A3B">
              <w:t xml:space="preserve">existing and proposed mitigation measures; and </w:t>
            </w:r>
          </w:p>
          <w:p w14:paraId="2B639F31" w14:textId="77777777" w:rsidR="0050770D" w:rsidRPr="00493A3B" w:rsidRDefault="0050770D" w:rsidP="00233766">
            <w:pPr>
              <w:pStyle w:val="Boxtext"/>
              <w:numPr>
                <w:ilvl w:val="0"/>
                <w:numId w:val="53"/>
              </w:numPr>
              <w:spacing w:before="0" w:after="180" w:line="256" w:lineRule="atLeast"/>
              <w:ind w:left="1077" w:hanging="397"/>
            </w:pPr>
            <w:r w:rsidRPr="00493A3B">
              <w:t xml:space="preserve">residual risk that arises when design thresholds of any existing and proposed mitigation measures are exceeded. </w:t>
            </w:r>
          </w:p>
        </w:tc>
      </w:tr>
    </w:tbl>
    <w:p w14:paraId="0CC09614" w14:textId="0E5097A1" w:rsidR="00F36B50" w:rsidRPr="00493A3B" w:rsidRDefault="00F36B50" w:rsidP="004368D9">
      <w:pPr>
        <w:pStyle w:val="Heading3"/>
        <w:spacing w:before="440"/>
      </w:pPr>
      <w:r w:rsidRPr="00493A3B">
        <w:t>Likelihood</w:t>
      </w:r>
    </w:p>
    <w:p w14:paraId="234F06E4" w14:textId="54F81A8A" w:rsidR="00B2180B" w:rsidRPr="00493A3B" w:rsidRDefault="00B2180B" w:rsidP="00233766">
      <w:pPr>
        <w:pStyle w:val="BodyText"/>
        <w:spacing w:before="80" w:after="100" w:line="276" w:lineRule="atLeast"/>
      </w:pPr>
      <w:r w:rsidRPr="00493A3B">
        <w:t xml:space="preserve">Likelihood is the chance of something happening. When considering the likelihood of a natural </w:t>
      </w:r>
      <w:r w:rsidRPr="00493A3B">
        <w:rPr>
          <w:spacing w:val="-2"/>
        </w:rPr>
        <w:t>hazard event, the likelihood table in the NPS-NH</w:t>
      </w:r>
      <w:r w:rsidR="00792605" w:rsidRPr="00493A3B">
        <w:rPr>
          <w:spacing w:val="-2"/>
        </w:rPr>
        <w:t xml:space="preserve"> (reproduced here as </w:t>
      </w:r>
      <w:hyperlink w:anchor="tab1" w:history="1">
        <w:r w:rsidR="00792605" w:rsidRPr="00493A3B">
          <w:rPr>
            <w:rStyle w:val="Hyperlink"/>
            <w:spacing w:val="-2"/>
          </w:rPr>
          <w:t>table 1</w:t>
        </w:r>
      </w:hyperlink>
      <w:r w:rsidR="00792605" w:rsidRPr="00493A3B">
        <w:rPr>
          <w:spacing w:val="-2"/>
        </w:rPr>
        <w:t>)</w:t>
      </w:r>
      <w:r w:rsidRPr="00493A3B">
        <w:rPr>
          <w:spacing w:val="-2"/>
        </w:rPr>
        <w:t xml:space="preserve"> uses the following</w:t>
      </w:r>
      <w:r w:rsidRPr="00493A3B">
        <w:t xml:space="preserve"> measures:</w:t>
      </w:r>
    </w:p>
    <w:p w14:paraId="5A8BB14C" w14:textId="71E25FC2" w:rsidR="00D04568" w:rsidRPr="00493A3B" w:rsidRDefault="004A4EE9" w:rsidP="00233766">
      <w:pPr>
        <w:pStyle w:val="Bullet"/>
        <w:spacing w:after="80" w:line="276" w:lineRule="atLeast"/>
      </w:pPr>
      <w:r w:rsidRPr="00493A3B">
        <w:t>probability of exceedance – the probability that a natural hazard event of a certain size will occur, or be exceeded, in a given time period</w:t>
      </w:r>
      <w:r w:rsidR="008B3B86" w:rsidRPr="00493A3B">
        <w:t xml:space="preserve"> (i</w:t>
      </w:r>
      <w:r w:rsidRPr="00493A3B">
        <w:t>f the time period is one year, it is referred to as an annual exceedance probability (AEP)</w:t>
      </w:r>
      <w:r w:rsidR="008B3B86" w:rsidRPr="00493A3B">
        <w:t>)</w:t>
      </w:r>
    </w:p>
    <w:p w14:paraId="7DEF0CD6" w14:textId="67E8A6DD" w:rsidR="00B2180B" w:rsidRPr="00493A3B" w:rsidRDefault="00B2180B" w:rsidP="00233766">
      <w:pPr>
        <w:pStyle w:val="Bullet"/>
        <w:spacing w:after="100" w:line="276" w:lineRule="atLeast"/>
      </w:pPr>
      <w:r w:rsidRPr="00493A3B">
        <w:t>average recurrence interval (ARI) – the average period of time between hazard events of a</w:t>
      </w:r>
      <w:r w:rsidR="004368D9" w:rsidRPr="00493A3B">
        <w:t> </w:t>
      </w:r>
      <w:r w:rsidRPr="00493A3B">
        <w:t>given magnitude, often referred to as return period (eg</w:t>
      </w:r>
      <w:r w:rsidR="00C97FD4" w:rsidRPr="00493A3B">
        <w:t>,</w:t>
      </w:r>
      <w:r w:rsidRPr="00493A3B">
        <w:t xml:space="preserve"> a 1 in 100-year event).</w:t>
      </w:r>
    </w:p>
    <w:p w14:paraId="28188191" w14:textId="486928A2" w:rsidR="00B2180B" w:rsidRPr="00493A3B" w:rsidRDefault="0050770D" w:rsidP="00233766">
      <w:pPr>
        <w:pStyle w:val="BodyText"/>
        <w:spacing w:line="276" w:lineRule="atLeast"/>
      </w:pPr>
      <w:r w:rsidRPr="00493A3B">
        <w:t xml:space="preserve">The likelihood table includes seven levels based on the </w:t>
      </w:r>
      <w:r w:rsidR="00E83BB5" w:rsidRPr="00493A3B">
        <w:t xml:space="preserve">Intergovernmental Panel on Climate </w:t>
      </w:r>
      <w:r w:rsidR="00E83BB5" w:rsidRPr="00493A3B">
        <w:rPr>
          <w:spacing w:val="-2"/>
        </w:rPr>
        <w:t>Change (</w:t>
      </w:r>
      <w:r w:rsidRPr="00493A3B">
        <w:rPr>
          <w:spacing w:val="-2"/>
        </w:rPr>
        <w:t>IPCC</w:t>
      </w:r>
      <w:r w:rsidR="00E83BB5" w:rsidRPr="00493A3B">
        <w:rPr>
          <w:spacing w:val="-2"/>
        </w:rPr>
        <w:t>)</w:t>
      </w:r>
      <w:r w:rsidRPr="00493A3B">
        <w:rPr>
          <w:spacing w:val="-2"/>
        </w:rPr>
        <w:t xml:space="preserve"> likelihood scale</w:t>
      </w:r>
      <w:r w:rsidR="00A50A75" w:rsidRPr="00493A3B">
        <w:rPr>
          <w:spacing w:val="-2"/>
        </w:rPr>
        <w:t>,</w:t>
      </w:r>
      <w:r w:rsidR="00EE1C08" w:rsidRPr="00493A3B">
        <w:rPr>
          <w:rStyle w:val="FootnoteReference"/>
          <w:spacing w:val="-2"/>
        </w:rPr>
        <w:footnoteReference w:id="7"/>
      </w:r>
      <w:r w:rsidRPr="00493A3B">
        <w:rPr>
          <w:spacing w:val="-2"/>
        </w:rPr>
        <w:t xml:space="preserve"> adjusted for common natural hazards management terminology used in New Zealand. The likelihood levels allow for greater nuance in the management of events at the higher end of the likelihood scale and provide a common language for risk across both climate change</w:t>
      </w:r>
      <w:r w:rsidR="00DD5DB5" w:rsidRPr="00493A3B">
        <w:rPr>
          <w:spacing w:val="-2"/>
        </w:rPr>
        <w:t xml:space="preserve"> management</w:t>
      </w:r>
      <w:r w:rsidRPr="00493A3B">
        <w:rPr>
          <w:spacing w:val="-2"/>
        </w:rPr>
        <w:t xml:space="preserve"> and natural hazard risk management</w:t>
      </w:r>
      <w:r w:rsidRPr="00493A3B">
        <w:t xml:space="preserve">. </w:t>
      </w:r>
      <w:r w:rsidR="001638DA" w:rsidRPr="00493A3B">
        <w:t>Corresponding q</w:t>
      </w:r>
      <w:r w:rsidR="00B2180B" w:rsidRPr="00493A3B">
        <w:t xml:space="preserve">ualitative descriptors ranging from </w:t>
      </w:r>
      <w:r w:rsidR="00DD5DB5" w:rsidRPr="00493A3B">
        <w:t>‘</w:t>
      </w:r>
      <w:r w:rsidR="00B2180B" w:rsidRPr="00493A3B">
        <w:t>almost certain</w:t>
      </w:r>
      <w:r w:rsidR="00DD5DB5" w:rsidRPr="00493A3B">
        <w:t>’</w:t>
      </w:r>
      <w:r w:rsidR="00B2180B" w:rsidRPr="00493A3B">
        <w:t xml:space="preserve"> to </w:t>
      </w:r>
      <w:r w:rsidR="00DD5DB5" w:rsidRPr="00493A3B">
        <w:t>‘</w:t>
      </w:r>
      <w:r w:rsidR="00B2180B" w:rsidRPr="00493A3B">
        <w:t>very rare</w:t>
      </w:r>
      <w:r w:rsidR="00DD5DB5" w:rsidRPr="00493A3B">
        <w:t>’</w:t>
      </w:r>
      <w:r w:rsidR="00B2180B" w:rsidRPr="00493A3B">
        <w:t xml:space="preserve"> have been assigned to each</w:t>
      </w:r>
      <w:r w:rsidR="00233766" w:rsidRPr="00493A3B">
        <w:t> </w:t>
      </w:r>
      <w:r w:rsidR="001638DA" w:rsidRPr="00493A3B">
        <w:t>likelihood threshold</w:t>
      </w:r>
      <w:r w:rsidR="00DD5DB5" w:rsidRPr="00493A3B">
        <w:t>.</w:t>
      </w:r>
    </w:p>
    <w:p w14:paraId="773EB7BD" w14:textId="14E6507E" w:rsidR="00FB58B0" w:rsidRPr="00493A3B" w:rsidRDefault="00FB58B0" w:rsidP="00FB58B0">
      <w:pPr>
        <w:pStyle w:val="Tableheading"/>
      </w:pPr>
      <w:bookmarkStart w:id="26" w:name="tab1"/>
      <w:bookmarkStart w:id="27" w:name="_Toc226291521"/>
      <w:bookmarkStart w:id="28" w:name="_Toc454963834"/>
      <w:r w:rsidRPr="00493A3B">
        <w:lastRenderedPageBreak/>
        <w:t xml:space="preserve">Table </w:t>
      </w:r>
      <w:r w:rsidR="007D23D3" w:rsidRPr="00493A3B">
        <w:t>1</w:t>
      </w:r>
      <w:bookmarkEnd w:id="26"/>
      <w:r w:rsidRPr="00493A3B">
        <w:t>:</w:t>
      </w:r>
      <w:r w:rsidRPr="00493A3B">
        <w:tab/>
        <w:t>NPS-NH likelihood table</w:t>
      </w:r>
      <w:bookmarkEnd w:id="27"/>
    </w:p>
    <w:tbl>
      <w:tblPr>
        <w:tblStyle w:val="TableGrid"/>
        <w:tblW w:w="8505" w:type="dxa"/>
        <w:tblBorders>
          <w:top w:val="none" w:sz="0" w:space="0" w:color="auto"/>
          <w:left w:val="none" w:sz="0" w:space="0" w:color="auto"/>
          <w:bottom w:val="none" w:sz="0" w:space="0" w:color="auto"/>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418"/>
        <w:gridCol w:w="2977"/>
        <w:gridCol w:w="4110"/>
      </w:tblGrid>
      <w:tr w:rsidR="00372FD1" w:rsidRPr="00493A3B" w14:paraId="36614B6F" w14:textId="2FE148B3" w:rsidTr="00C21F5B">
        <w:trPr>
          <w:tblHeader/>
        </w:trPr>
        <w:tc>
          <w:tcPr>
            <w:tcW w:w="834" w:type="pct"/>
            <w:shd w:val="clear" w:color="auto" w:fill="1B556B"/>
            <w:vAlign w:val="bottom"/>
          </w:tcPr>
          <w:p w14:paraId="548CCFB6" w14:textId="6B8DBE9A" w:rsidR="00547A45" w:rsidRPr="00493A3B" w:rsidRDefault="00547A45">
            <w:pPr>
              <w:pStyle w:val="TableTextbold"/>
              <w:rPr>
                <w:color w:val="FFFFFF" w:themeColor="background1"/>
              </w:rPr>
            </w:pPr>
            <w:r w:rsidRPr="00493A3B">
              <w:rPr>
                <w:color w:val="FFFFFF" w:themeColor="background1"/>
              </w:rPr>
              <w:t>Likelihood level</w:t>
            </w:r>
          </w:p>
        </w:tc>
        <w:tc>
          <w:tcPr>
            <w:tcW w:w="1750" w:type="pct"/>
            <w:shd w:val="clear" w:color="auto" w:fill="1B556B"/>
            <w:vAlign w:val="bottom"/>
          </w:tcPr>
          <w:p w14:paraId="39095727" w14:textId="2C7C955E" w:rsidR="00547A45" w:rsidRPr="00493A3B" w:rsidRDefault="00547A45">
            <w:pPr>
              <w:pStyle w:val="TableTextbold"/>
              <w:rPr>
                <w:color w:val="FFFFFF" w:themeColor="background1"/>
              </w:rPr>
            </w:pPr>
            <w:r w:rsidRPr="00493A3B">
              <w:rPr>
                <w:color w:val="FFFFFF" w:themeColor="background1"/>
              </w:rPr>
              <w:t>Annual exceedance probability (AEP)</w:t>
            </w:r>
          </w:p>
        </w:tc>
        <w:tc>
          <w:tcPr>
            <w:tcW w:w="2416" w:type="pct"/>
            <w:shd w:val="clear" w:color="auto" w:fill="1B556B"/>
            <w:vAlign w:val="bottom"/>
          </w:tcPr>
          <w:p w14:paraId="70AED623" w14:textId="344398C7" w:rsidR="00547A45" w:rsidRPr="00493A3B" w:rsidRDefault="00547A45">
            <w:pPr>
              <w:pStyle w:val="TableTextbold"/>
              <w:rPr>
                <w:color w:val="FFFFFF" w:themeColor="background1"/>
              </w:rPr>
            </w:pPr>
            <w:r w:rsidRPr="00493A3B">
              <w:rPr>
                <w:color w:val="FFFFFF" w:themeColor="background1"/>
              </w:rPr>
              <w:t xml:space="preserve">Average recurrence interval (ARI) or ‘return period’ </w:t>
            </w:r>
          </w:p>
        </w:tc>
      </w:tr>
      <w:tr w:rsidR="00372FD1" w:rsidRPr="00493A3B" w14:paraId="35A0B862" w14:textId="32F30754" w:rsidTr="00C21F5B">
        <w:tc>
          <w:tcPr>
            <w:tcW w:w="834" w:type="pct"/>
          </w:tcPr>
          <w:p w14:paraId="4D97BA1D" w14:textId="164F21D8" w:rsidR="00547A45" w:rsidRPr="00493A3B" w:rsidRDefault="00547A45">
            <w:pPr>
              <w:pStyle w:val="TableText"/>
            </w:pPr>
            <w:r w:rsidRPr="00493A3B">
              <w:t>Almost certain</w:t>
            </w:r>
          </w:p>
        </w:tc>
        <w:tc>
          <w:tcPr>
            <w:tcW w:w="1750" w:type="pct"/>
          </w:tcPr>
          <w:p w14:paraId="50CBCDBD" w14:textId="46199153" w:rsidR="00547A45" w:rsidRPr="00493A3B" w:rsidRDefault="00547A45">
            <w:pPr>
              <w:pStyle w:val="TableText"/>
            </w:pPr>
            <w:r w:rsidRPr="00493A3B">
              <w:t>10%</w:t>
            </w:r>
            <w:r w:rsidR="00EA6CAC" w:rsidRPr="00493A3B">
              <w:t xml:space="preserve"> or more</w:t>
            </w:r>
          </w:p>
        </w:tc>
        <w:tc>
          <w:tcPr>
            <w:tcW w:w="2416" w:type="pct"/>
          </w:tcPr>
          <w:p w14:paraId="306D00FA" w14:textId="0E90193B" w:rsidR="00547A45" w:rsidRPr="00493A3B" w:rsidRDefault="00EA6CAC">
            <w:pPr>
              <w:pStyle w:val="TableText"/>
            </w:pPr>
            <w:r w:rsidRPr="00493A3B">
              <w:t>Up to and including 10 years</w:t>
            </w:r>
          </w:p>
        </w:tc>
      </w:tr>
      <w:tr w:rsidR="00372FD1" w:rsidRPr="00493A3B" w14:paraId="0B3B6A47" w14:textId="5409BB96" w:rsidTr="00C21F5B">
        <w:tc>
          <w:tcPr>
            <w:tcW w:w="834" w:type="pct"/>
          </w:tcPr>
          <w:p w14:paraId="71CE5094" w14:textId="09BA3FAC" w:rsidR="00547A45" w:rsidRPr="00493A3B" w:rsidRDefault="00EA6CAC">
            <w:pPr>
              <w:pStyle w:val="TableText"/>
            </w:pPr>
            <w:r w:rsidRPr="00493A3B">
              <w:t xml:space="preserve">Very likely </w:t>
            </w:r>
          </w:p>
        </w:tc>
        <w:tc>
          <w:tcPr>
            <w:tcW w:w="1750" w:type="pct"/>
          </w:tcPr>
          <w:p w14:paraId="12F63AD3" w14:textId="5EE15D2D" w:rsidR="00547A45" w:rsidRPr="00493A3B" w:rsidRDefault="00EA6CAC">
            <w:pPr>
              <w:pStyle w:val="TableText"/>
            </w:pPr>
            <w:r w:rsidRPr="00493A3B">
              <w:t>10% to 5%</w:t>
            </w:r>
          </w:p>
        </w:tc>
        <w:tc>
          <w:tcPr>
            <w:tcW w:w="2416" w:type="pct"/>
          </w:tcPr>
          <w:p w14:paraId="146E39BE" w14:textId="037A667B" w:rsidR="00547A45" w:rsidRPr="00493A3B" w:rsidRDefault="00EA6CAC">
            <w:pPr>
              <w:pStyle w:val="TableText"/>
            </w:pPr>
            <w:r w:rsidRPr="00493A3B">
              <w:t>Over 10 and up to and including 20 years</w:t>
            </w:r>
          </w:p>
        </w:tc>
      </w:tr>
      <w:tr w:rsidR="00372FD1" w:rsidRPr="00493A3B" w14:paraId="1634A8E0" w14:textId="35D5DA4F" w:rsidTr="00C21F5B">
        <w:tc>
          <w:tcPr>
            <w:tcW w:w="834" w:type="pct"/>
          </w:tcPr>
          <w:p w14:paraId="0168CD0F" w14:textId="2F9AAEAB" w:rsidR="00547A45" w:rsidRPr="00493A3B" w:rsidRDefault="00EA6CAC">
            <w:pPr>
              <w:pStyle w:val="TableText"/>
            </w:pPr>
            <w:r w:rsidRPr="00493A3B">
              <w:t>Likely</w:t>
            </w:r>
          </w:p>
        </w:tc>
        <w:tc>
          <w:tcPr>
            <w:tcW w:w="1750" w:type="pct"/>
          </w:tcPr>
          <w:p w14:paraId="2C8F72D2" w14:textId="08950A74" w:rsidR="00547A45" w:rsidRPr="00493A3B" w:rsidRDefault="00947B86">
            <w:pPr>
              <w:pStyle w:val="TableText"/>
            </w:pPr>
            <w:r w:rsidRPr="00493A3B">
              <w:t>5% to 2%</w:t>
            </w:r>
          </w:p>
        </w:tc>
        <w:tc>
          <w:tcPr>
            <w:tcW w:w="2416" w:type="pct"/>
          </w:tcPr>
          <w:p w14:paraId="6824CADC" w14:textId="22AD8448" w:rsidR="00547A45" w:rsidRPr="00493A3B" w:rsidRDefault="00947B86">
            <w:pPr>
              <w:pStyle w:val="TableText"/>
            </w:pPr>
            <w:r w:rsidRPr="00493A3B">
              <w:t>Over 20 and up to and including 50 years</w:t>
            </w:r>
          </w:p>
        </w:tc>
      </w:tr>
      <w:tr w:rsidR="00372FD1" w:rsidRPr="00493A3B" w14:paraId="291C480A" w14:textId="77777777" w:rsidTr="00C21F5B">
        <w:tc>
          <w:tcPr>
            <w:tcW w:w="834" w:type="pct"/>
          </w:tcPr>
          <w:p w14:paraId="1C7232F2" w14:textId="1F4AFCBB" w:rsidR="00EA6CAC" w:rsidRPr="00493A3B" w:rsidRDefault="00EA6CAC">
            <w:pPr>
              <w:pStyle w:val="TableText"/>
            </w:pPr>
            <w:r w:rsidRPr="00493A3B">
              <w:t>Possible</w:t>
            </w:r>
          </w:p>
        </w:tc>
        <w:tc>
          <w:tcPr>
            <w:tcW w:w="1750" w:type="pct"/>
          </w:tcPr>
          <w:p w14:paraId="64193372" w14:textId="3B36078F" w:rsidR="00EA6CAC" w:rsidRPr="00493A3B" w:rsidRDefault="00947B86">
            <w:pPr>
              <w:pStyle w:val="TableText"/>
            </w:pPr>
            <w:r w:rsidRPr="00493A3B">
              <w:t>2% to 1%</w:t>
            </w:r>
          </w:p>
        </w:tc>
        <w:tc>
          <w:tcPr>
            <w:tcW w:w="2416" w:type="pct"/>
          </w:tcPr>
          <w:p w14:paraId="35D78BD5" w14:textId="1EB67A33" w:rsidR="00EA6CAC" w:rsidRPr="00493A3B" w:rsidRDefault="00B837BD">
            <w:pPr>
              <w:pStyle w:val="TableText"/>
            </w:pPr>
            <w:r w:rsidRPr="00493A3B">
              <w:t>Over 50 and up to and including 100 years</w:t>
            </w:r>
          </w:p>
        </w:tc>
      </w:tr>
      <w:tr w:rsidR="00372FD1" w:rsidRPr="00493A3B" w14:paraId="2F82106C" w14:textId="77777777" w:rsidTr="00C21F5B">
        <w:tc>
          <w:tcPr>
            <w:tcW w:w="834" w:type="pct"/>
          </w:tcPr>
          <w:p w14:paraId="4DEA31AC" w14:textId="369D5250" w:rsidR="00EA6CAC" w:rsidRPr="00493A3B" w:rsidRDefault="00EA6CAC">
            <w:pPr>
              <w:pStyle w:val="TableText"/>
            </w:pPr>
            <w:r w:rsidRPr="00493A3B">
              <w:t>Unlikely</w:t>
            </w:r>
          </w:p>
        </w:tc>
        <w:tc>
          <w:tcPr>
            <w:tcW w:w="1750" w:type="pct"/>
          </w:tcPr>
          <w:p w14:paraId="2C8073EB" w14:textId="61BD5310" w:rsidR="00EA6CAC" w:rsidRPr="00493A3B" w:rsidRDefault="00B837BD">
            <w:pPr>
              <w:pStyle w:val="TableText"/>
            </w:pPr>
            <w:r w:rsidRPr="00493A3B">
              <w:t>1% to 0.2%</w:t>
            </w:r>
          </w:p>
        </w:tc>
        <w:tc>
          <w:tcPr>
            <w:tcW w:w="2416" w:type="pct"/>
          </w:tcPr>
          <w:p w14:paraId="56EBCF71" w14:textId="0BCAC545" w:rsidR="00EA6CAC" w:rsidRPr="00493A3B" w:rsidRDefault="00B837BD">
            <w:pPr>
              <w:pStyle w:val="TableText"/>
            </w:pPr>
            <w:r w:rsidRPr="00493A3B">
              <w:t>Over 100 and up to and including 500 years</w:t>
            </w:r>
            <w:r w:rsidR="004078FF" w:rsidRPr="00493A3B">
              <w:t xml:space="preserve"> </w:t>
            </w:r>
          </w:p>
        </w:tc>
      </w:tr>
      <w:tr w:rsidR="00372FD1" w:rsidRPr="00493A3B" w14:paraId="38288008" w14:textId="77777777" w:rsidTr="007D6E19">
        <w:tc>
          <w:tcPr>
            <w:tcW w:w="834" w:type="pct"/>
            <w:tcBorders>
              <w:bottom w:val="single" w:sz="4" w:space="0" w:color="1B556B" w:themeColor="text2"/>
            </w:tcBorders>
          </w:tcPr>
          <w:p w14:paraId="6DD4E69B" w14:textId="32C1354B" w:rsidR="00EA6CAC" w:rsidRPr="00493A3B" w:rsidRDefault="00EA6CAC">
            <w:pPr>
              <w:pStyle w:val="TableText"/>
            </w:pPr>
            <w:r w:rsidRPr="00493A3B">
              <w:t>Rare</w:t>
            </w:r>
          </w:p>
        </w:tc>
        <w:tc>
          <w:tcPr>
            <w:tcW w:w="1750" w:type="pct"/>
            <w:tcBorders>
              <w:bottom w:val="single" w:sz="4" w:space="0" w:color="1B556B" w:themeColor="text2"/>
            </w:tcBorders>
          </w:tcPr>
          <w:p w14:paraId="1B9FB9D4" w14:textId="07AE5125" w:rsidR="00EA6CAC" w:rsidRPr="00493A3B" w:rsidRDefault="00141310">
            <w:pPr>
              <w:pStyle w:val="TableText"/>
            </w:pPr>
            <w:r w:rsidRPr="00493A3B">
              <w:t>0.2% to 0.02%</w:t>
            </w:r>
          </w:p>
        </w:tc>
        <w:tc>
          <w:tcPr>
            <w:tcW w:w="2416" w:type="pct"/>
            <w:tcBorders>
              <w:bottom w:val="single" w:sz="4" w:space="0" w:color="1B556B" w:themeColor="text2"/>
            </w:tcBorders>
          </w:tcPr>
          <w:p w14:paraId="59A8B4AF" w14:textId="0490EECE" w:rsidR="00EA6CAC" w:rsidRPr="00493A3B" w:rsidRDefault="00141310">
            <w:pPr>
              <w:pStyle w:val="TableText"/>
            </w:pPr>
            <w:r w:rsidRPr="00493A3B">
              <w:t>Over 500 and up to and including 5,000 years</w:t>
            </w:r>
          </w:p>
        </w:tc>
      </w:tr>
      <w:tr w:rsidR="00372FD1" w:rsidRPr="00493A3B" w14:paraId="0CE33A5B" w14:textId="77777777" w:rsidTr="007D6E19">
        <w:tc>
          <w:tcPr>
            <w:tcW w:w="834" w:type="pct"/>
            <w:tcBorders>
              <w:top w:val="single" w:sz="4" w:space="0" w:color="1B556B" w:themeColor="text2"/>
              <w:bottom w:val="single" w:sz="4" w:space="0" w:color="1B556B" w:themeColor="text2"/>
            </w:tcBorders>
          </w:tcPr>
          <w:p w14:paraId="5C2B4E5E" w14:textId="67ABE9E0" w:rsidR="00EA6CAC" w:rsidRPr="00493A3B" w:rsidRDefault="00EA6CAC">
            <w:pPr>
              <w:pStyle w:val="TableText"/>
            </w:pPr>
            <w:r w:rsidRPr="00493A3B">
              <w:t>Very rare</w:t>
            </w:r>
          </w:p>
        </w:tc>
        <w:tc>
          <w:tcPr>
            <w:tcW w:w="1750" w:type="pct"/>
            <w:tcBorders>
              <w:top w:val="single" w:sz="4" w:space="0" w:color="1B556B" w:themeColor="text2"/>
              <w:bottom w:val="single" w:sz="4" w:space="0" w:color="1B556B" w:themeColor="text2"/>
            </w:tcBorders>
          </w:tcPr>
          <w:p w14:paraId="046A51C1" w14:textId="15A3974B" w:rsidR="00EA6CAC" w:rsidRPr="00493A3B" w:rsidRDefault="00141310">
            <w:pPr>
              <w:pStyle w:val="TableText"/>
            </w:pPr>
            <w:r w:rsidRPr="00493A3B">
              <w:t>Less than 0.02%</w:t>
            </w:r>
          </w:p>
        </w:tc>
        <w:tc>
          <w:tcPr>
            <w:tcW w:w="2416" w:type="pct"/>
            <w:tcBorders>
              <w:top w:val="single" w:sz="4" w:space="0" w:color="1B556B" w:themeColor="text2"/>
              <w:bottom w:val="single" w:sz="4" w:space="0" w:color="1B556B" w:themeColor="text2"/>
            </w:tcBorders>
          </w:tcPr>
          <w:p w14:paraId="7DCF1846" w14:textId="09813B3C" w:rsidR="00EA6CAC" w:rsidRPr="00493A3B" w:rsidRDefault="00141310">
            <w:pPr>
              <w:pStyle w:val="TableText"/>
            </w:pPr>
            <w:r w:rsidRPr="00493A3B">
              <w:t>More than 5,000 years</w:t>
            </w:r>
          </w:p>
        </w:tc>
      </w:tr>
    </w:tbl>
    <w:p w14:paraId="7469FEC2" w14:textId="37E1B55E" w:rsidR="00B350B8" w:rsidRPr="00493A3B" w:rsidRDefault="00242C2A" w:rsidP="008C56A5">
      <w:pPr>
        <w:pStyle w:val="BodyText"/>
        <w:spacing w:before="240"/>
      </w:pPr>
      <w:r>
        <w:t>D</w:t>
      </w:r>
      <w:r w:rsidR="00B350B8" w:rsidRPr="00493A3B">
        <w:t xml:space="preserve">istrict plans </w:t>
      </w:r>
      <w:r w:rsidR="00D1649B" w:rsidRPr="00493A3B">
        <w:t>often</w:t>
      </w:r>
      <w:r w:rsidR="00B350B8" w:rsidRPr="00493A3B">
        <w:t xml:space="preserve"> do not seek to manage events </w:t>
      </w:r>
      <w:r w:rsidR="00472BC7" w:rsidRPr="00493A3B">
        <w:t xml:space="preserve">with a likelihood </w:t>
      </w:r>
      <w:r w:rsidR="00A90BFE" w:rsidRPr="00493A3B">
        <w:t>more</w:t>
      </w:r>
      <w:r w:rsidR="00DC0232" w:rsidRPr="00493A3B">
        <w:t> </w:t>
      </w:r>
      <w:r w:rsidR="00A90BFE" w:rsidRPr="00493A3B">
        <w:t xml:space="preserve">frequent than </w:t>
      </w:r>
      <w:r w:rsidR="00B350B8" w:rsidRPr="00493A3B">
        <w:t>1% AEP</w:t>
      </w:r>
      <w:r w:rsidR="00A90BFE" w:rsidRPr="00493A3B">
        <w:t>,</w:t>
      </w:r>
      <w:r w:rsidR="00B350B8" w:rsidRPr="00493A3B">
        <w:t xml:space="preserve"> and </w:t>
      </w:r>
      <w:r w:rsidR="00A90BFE" w:rsidRPr="00493A3B">
        <w:t>councils may not hold</w:t>
      </w:r>
      <w:r w:rsidR="00B350B8" w:rsidRPr="00493A3B">
        <w:t xml:space="preserve"> data on these events. In these circumstances</w:t>
      </w:r>
      <w:r w:rsidR="00A90BFE" w:rsidRPr="00493A3B">
        <w:t>,</w:t>
      </w:r>
      <w:r w:rsidR="00B350B8" w:rsidRPr="00493A3B">
        <w:t xml:space="preserve"> the use of best available information may be relied upon. If </w:t>
      </w:r>
      <w:r w:rsidR="00DA73DE" w:rsidRPr="00493A3B">
        <w:t xml:space="preserve">a </w:t>
      </w:r>
      <w:r w:rsidR="00B350B8" w:rsidRPr="00493A3B">
        <w:t>council holds information for a particular natural hazard at a range of likelihoods, they</w:t>
      </w:r>
      <w:r w:rsidR="009C219D" w:rsidRPr="00493A3B">
        <w:t xml:space="preserve"> should</w:t>
      </w:r>
      <w:r w:rsidR="00B350B8" w:rsidRPr="00493A3B">
        <w:t xml:space="preserve"> manage the impacts </w:t>
      </w:r>
      <w:r w:rsidR="008A2D66">
        <w:t>of</w:t>
      </w:r>
      <w:r w:rsidR="009C219D" w:rsidRPr="00493A3B">
        <w:t xml:space="preserve"> the </w:t>
      </w:r>
      <w:r w:rsidR="00B350B8" w:rsidRPr="00493A3B">
        <w:t xml:space="preserve">likelihood </w:t>
      </w:r>
      <w:r w:rsidR="008A2D66">
        <w:t>event</w:t>
      </w:r>
      <w:r w:rsidR="009C219D" w:rsidRPr="00493A3B">
        <w:t xml:space="preserve"> </w:t>
      </w:r>
      <w:r w:rsidR="00B350B8" w:rsidRPr="00493A3B">
        <w:t xml:space="preserve">that results in the highest level of risk under the matrix. </w:t>
      </w:r>
    </w:p>
    <w:bookmarkEnd w:id="28"/>
    <w:p w14:paraId="2CBD1496" w14:textId="3F85BD31" w:rsidR="009308BC" w:rsidRPr="00493A3B" w:rsidRDefault="009308BC" w:rsidP="0042633E">
      <w:pPr>
        <w:pStyle w:val="Heading3"/>
      </w:pPr>
      <w:r w:rsidRPr="00493A3B">
        <w:t>Consequence</w:t>
      </w:r>
    </w:p>
    <w:p w14:paraId="6CCB84EC" w14:textId="7F6A5720" w:rsidR="009308BC" w:rsidRPr="00493A3B" w:rsidRDefault="00634BE4" w:rsidP="00D046E6">
      <w:pPr>
        <w:pStyle w:val="BodyText"/>
        <w:rPr>
          <w:spacing w:val="-2"/>
        </w:rPr>
      </w:pPr>
      <w:r w:rsidRPr="00493A3B">
        <w:rPr>
          <w:spacing w:val="-2"/>
        </w:rPr>
        <w:t>C</w:t>
      </w:r>
      <w:r w:rsidR="008D3683" w:rsidRPr="00493A3B">
        <w:rPr>
          <w:spacing w:val="-2"/>
        </w:rPr>
        <w:t xml:space="preserve">onsequence </w:t>
      </w:r>
      <w:r w:rsidR="00AC054E" w:rsidRPr="00493A3B">
        <w:rPr>
          <w:spacing w:val="-2"/>
        </w:rPr>
        <w:t xml:space="preserve">generally </w:t>
      </w:r>
      <w:r w:rsidR="008D3683" w:rsidRPr="00493A3B">
        <w:rPr>
          <w:spacing w:val="-2"/>
        </w:rPr>
        <w:t xml:space="preserve">refers to the </w:t>
      </w:r>
      <w:r w:rsidR="009308BC" w:rsidRPr="00493A3B">
        <w:rPr>
          <w:spacing w:val="-2"/>
        </w:rPr>
        <w:t xml:space="preserve">impact of a natural hazard </w:t>
      </w:r>
      <w:r w:rsidRPr="00493A3B">
        <w:rPr>
          <w:spacing w:val="-2"/>
        </w:rPr>
        <w:t xml:space="preserve">event </w:t>
      </w:r>
      <w:r w:rsidR="009308BC" w:rsidRPr="00493A3B">
        <w:rPr>
          <w:spacing w:val="-2"/>
        </w:rPr>
        <w:t>on the built</w:t>
      </w:r>
      <w:r w:rsidR="00A6515A" w:rsidRPr="00493A3B">
        <w:rPr>
          <w:spacing w:val="-2"/>
        </w:rPr>
        <w:t xml:space="preserve">, </w:t>
      </w:r>
      <w:r w:rsidR="009308BC" w:rsidRPr="00493A3B">
        <w:rPr>
          <w:spacing w:val="-2"/>
        </w:rPr>
        <w:t>social</w:t>
      </w:r>
      <w:r w:rsidR="00A6515A" w:rsidRPr="00493A3B">
        <w:rPr>
          <w:spacing w:val="-2"/>
        </w:rPr>
        <w:t>, economic or</w:t>
      </w:r>
      <w:r w:rsidR="009308BC" w:rsidRPr="00493A3B">
        <w:rPr>
          <w:spacing w:val="-2"/>
        </w:rPr>
        <w:t xml:space="preserve"> </w:t>
      </w:r>
      <w:r w:rsidR="00A6515A" w:rsidRPr="00493A3B">
        <w:rPr>
          <w:spacing w:val="-2"/>
        </w:rPr>
        <w:t xml:space="preserve">natural </w:t>
      </w:r>
      <w:r w:rsidR="009308BC" w:rsidRPr="00493A3B">
        <w:rPr>
          <w:spacing w:val="-2"/>
        </w:rPr>
        <w:t xml:space="preserve">environments. </w:t>
      </w:r>
      <w:r w:rsidR="00BF1DD3" w:rsidRPr="00493A3B">
        <w:rPr>
          <w:spacing w:val="-2"/>
        </w:rPr>
        <w:t xml:space="preserve">The NPS-NH </w:t>
      </w:r>
      <w:r w:rsidR="00D70666" w:rsidRPr="00493A3B">
        <w:rPr>
          <w:spacing w:val="-2"/>
        </w:rPr>
        <w:t>consequence table (</w:t>
      </w:r>
      <w:r w:rsidR="0031536F" w:rsidRPr="00493A3B">
        <w:rPr>
          <w:spacing w:val="-2"/>
        </w:rPr>
        <w:t xml:space="preserve">reproduced here as </w:t>
      </w:r>
      <w:hyperlink w:anchor="tab2" w:history="1">
        <w:r w:rsidR="0031536F" w:rsidRPr="00493A3B">
          <w:rPr>
            <w:rStyle w:val="Hyperlink"/>
            <w:spacing w:val="-2"/>
          </w:rPr>
          <w:t>table 2</w:t>
        </w:r>
      </w:hyperlink>
      <w:r w:rsidR="0031536F" w:rsidRPr="00493A3B">
        <w:rPr>
          <w:spacing w:val="-2"/>
        </w:rPr>
        <w:t xml:space="preserve">) </w:t>
      </w:r>
      <w:r w:rsidR="00BF1DD3" w:rsidRPr="00493A3B">
        <w:rPr>
          <w:spacing w:val="-2"/>
        </w:rPr>
        <w:t>focuses on the consequence</w:t>
      </w:r>
      <w:r w:rsidR="00294639" w:rsidRPr="00493A3B">
        <w:rPr>
          <w:spacing w:val="-2"/>
        </w:rPr>
        <w:t>s to</w:t>
      </w:r>
      <w:r w:rsidR="009035CC" w:rsidRPr="00493A3B">
        <w:rPr>
          <w:spacing w:val="-2"/>
        </w:rPr>
        <w:t xml:space="preserve"> property</w:t>
      </w:r>
      <w:r w:rsidR="00294639" w:rsidRPr="00493A3B">
        <w:rPr>
          <w:spacing w:val="-2"/>
        </w:rPr>
        <w:t xml:space="preserve"> </w:t>
      </w:r>
      <w:r w:rsidR="009035CC" w:rsidRPr="00493A3B">
        <w:rPr>
          <w:spacing w:val="-2"/>
        </w:rPr>
        <w:t>(</w:t>
      </w:r>
      <w:r w:rsidR="00294639" w:rsidRPr="00493A3B">
        <w:rPr>
          <w:spacing w:val="-2"/>
        </w:rPr>
        <w:t>buildings and land</w:t>
      </w:r>
      <w:r w:rsidR="009035CC" w:rsidRPr="00493A3B">
        <w:rPr>
          <w:spacing w:val="-2"/>
        </w:rPr>
        <w:t>)</w:t>
      </w:r>
      <w:r w:rsidR="009A11E4" w:rsidRPr="00493A3B">
        <w:rPr>
          <w:spacing w:val="-2"/>
        </w:rPr>
        <w:t xml:space="preserve"> and people</w:t>
      </w:r>
      <w:r w:rsidR="009035CC" w:rsidRPr="00493A3B">
        <w:rPr>
          <w:spacing w:val="-2"/>
        </w:rPr>
        <w:t xml:space="preserve"> (injuries or fatalities). </w:t>
      </w:r>
    </w:p>
    <w:p w14:paraId="40774759" w14:textId="0312893D" w:rsidR="00EB181C" w:rsidRPr="00493A3B" w:rsidRDefault="005C4528" w:rsidP="005C4528">
      <w:pPr>
        <w:pStyle w:val="Tableheading"/>
      </w:pPr>
      <w:bookmarkStart w:id="29" w:name="tab2"/>
      <w:bookmarkStart w:id="30" w:name="_Toc226291522"/>
      <w:r w:rsidRPr="00493A3B">
        <w:t xml:space="preserve">Table </w:t>
      </w:r>
      <w:r w:rsidR="007D23D3" w:rsidRPr="00493A3B">
        <w:t>2</w:t>
      </w:r>
      <w:bookmarkEnd w:id="29"/>
      <w:r w:rsidRPr="00493A3B">
        <w:t xml:space="preserve">: </w:t>
      </w:r>
      <w:r w:rsidR="002C06EE" w:rsidRPr="00493A3B">
        <w:tab/>
      </w:r>
      <w:r w:rsidRPr="00493A3B">
        <w:t>NPS-NH consequence table</w:t>
      </w:r>
      <w:bookmarkEnd w:id="30"/>
    </w:p>
    <w:tbl>
      <w:tblPr>
        <w:tblStyle w:val="TableGrid"/>
        <w:tblW w:w="8505"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1701"/>
        <w:gridCol w:w="3615"/>
        <w:gridCol w:w="3189"/>
      </w:tblGrid>
      <w:tr w:rsidR="00100F24" w:rsidRPr="00493A3B" w14:paraId="61CA1EA8" w14:textId="485EF1C6" w:rsidTr="002C06EE">
        <w:trPr>
          <w:tblHeader/>
        </w:trPr>
        <w:tc>
          <w:tcPr>
            <w:tcW w:w="1000" w:type="pct"/>
            <w:shd w:val="clear" w:color="auto" w:fill="1B556B"/>
          </w:tcPr>
          <w:p w14:paraId="6BA885AC" w14:textId="0DC10044" w:rsidR="00AA7B99" w:rsidRPr="00493A3B" w:rsidRDefault="00A25537">
            <w:pPr>
              <w:pStyle w:val="TableTextbold"/>
              <w:rPr>
                <w:color w:val="FFFFFF" w:themeColor="background1"/>
              </w:rPr>
            </w:pPr>
            <w:r w:rsidRPr="00493A3B">
              <w:rPr>
                <w:color w:val="FFFFFF" w:themeColor="background1"/>
              </w:rPr>
              <w:t>Consequence level</w:t>
            </w:r>
            <w:r w:rsidR="004078FF" w:rsidRPr="00493A3B">
              <w:rPr>
                <w:color w:val="FFFFFF" w:themeColor="background1"/>
              </w:rPr>
              <w:t xml:space="preserve"> </w:t>
            </w:r>
          </w:p>
        </w:tc>
        <w:tc>
          <w:tcPr>
            <w:tcW w:w="2125" w:type="pct"/>
            <w:shd w:val="clear" w:color="auto" w:fill="1B556B"/>
          </w:tcPr>
          <w:p w14:paraId="3B1CFAB1" w14:textId="631D59F5" w:rsidR="00AA7B99" w:rsidRPr="00493A3B" w:rsidRDefault="00A25537">
            <w:pPr>
              <w:pStyle w:val="TableTextbold"/>
              <w:rPr>
                <w:color w:val="FFFFFF" w:themeColor="background1"/>
              </w:rPr>
            </w:pPr>
            <w:r w:rsidRPr="00493A3B">
              <w:rPr>
                <w:color w:val="FFFFFF" w:themeColor="background1"/>
              </w:rPr>
              <w:t>Damage to property</w:t>
            </w:r>
          </w:p>
        </w:tc>
        <w:tc>
          <w:tcPr>
            <w:tcW w:w="1875" w:type="pct"/>
            <w:shd w:val="clear" w:color="auto" w:fill="1B556B"/>
          </w:tcPr>
          <w:p w14:paraId="7D6E1790" w14:textId="55FF08A7" w:rsidR="00AA7B99" w:rsidRPr="00493A3B" w:rsidRDefault="00A25537">
            <w:pPr>
              <w:pStyle w:val="TableTextbold"/>
              <w:rPr>
                <w:color w:val="FFFFFF" w:themeColor="background1"/>
              </w:rPr>
            </w:pPr>
            <w:r w:rsidRPr="00493A3B">
              <w:rPr>
                <w:color w:val="FFFFFF" w:themeColor="background1"/>
              </w:rPr>
              <w:t>Potential for injury or fatalities</w:t>
            </w:r>
          </w:p>
        </w:tc>
      </w:tr>
      <w:tr w:rsidR="00100F24" w:rsidRPr="00493A3B" w14:paraId="6076E195" w14:textId="4F764E2A" w:rsidTr="002C06EE">
        <w:tc>
          <w:tcPr>
            <w:tcW w:w="1000" w:type="pct"/>
          </w:tcPr>
          <w:p w14:paraId="22070260" w14:textId="32C7D944" w:rsidR="00AA7B99" w:rsidRPr="00493A3B" w:rsidRDefault="00A25537">
            <w:pPr>
              <w:pStyle w:val="TableText"/>
            </w:pPr>
            <w:r w:rsidRPr="00493A3B">
              <w:t>Catastrophic</w:t>
            </w:r>
          </w:p>
        </w:tc>
        <w:tc>
          <w:tcPr>
            <w:tcW w:w="2125" w:type="pct"/>
          </w:tcPr>
          <w:p w14:paraId="01F2F392" w14:textId="753941E9" w:rsidR="00AA7B99" w:rsidRPr="00493A3B" w:rsidRDefault="00AC5043">
            <w:pPr>
              <w:pStyle w:val="TableText"/>
            </w:pPr>
            <w:r w:rsidRPr="00493A3B">
              <w:t>Severe damage to land and building(s), potential for collapse or total destruction of structures. Building(s) need to be demolished, rebuilt or relocated.</w:t>
            </w:r>
          </w:p>
        </w:tc>
        <w:tc>
          <w:tcPr>
            <w:tcW w:w="1875" w:type="pct"/>
          </w:tcPr>
          <w:p w14:paraId="08A18FEF" w14:textId="3087DB4D" w:rsidR="00AA7B99" w:rsidRPr="00493A3B" w:rsidRDefault="00AC5043">
            <w:pPr>
              <w:pStyle w:val="TableText"/>
            </w:pPr>
            <w:r w:rsidRPr="00493A3B">
              <w:t>High threat to life safety, with probable fatalities and/or critical injuries.</w:t>
            </w:r>
          </w:p>
        </w:tc>
      </w:tr>
      <w:tr w:rsidR="00100F24" w:rsidRPr="00493A3B" w14:paraId="40627DE6" w14:textId="480F8CBB" w:rsidTr="002C06EE">
        <w:tc>
          <w:tcPr>
            <w:tcW w:w="1000" w:type="pct"/>
          </w:tcPr>
          <w:p w14:paraId="4BB8FE27" w14:textId="310D189A" w:rsidR="00AA7B99" w:rsidRPr="00493A3B" w:rsidRDefault="00AC5043">
            <w:pPr>
              <w:pStyle w:val="TableText"/>
            </w:pPr>
            <w:r w:rsidRPr="00493A3B">
              <w:t>Major</w:t>
            </w:r>
          </w:p>
        </w:tc>
        <w:tc>
          <w:tcPr>
            <w:tcW w:w="2125" w:type="pct"/>
          </w:tcPr>
          <w:p w14:paraId="12FAF3AA" w14:textId="1DA93270" w:rsidR="00AA7B99" w:rsidRPr="00493A3B" w:rsidRDefault="00AC5043">
            <w:pPr>
              <w:pStyle w:val="TableText"/>
            </w:pPr>
            <w:r w:rsidRPr="00493A3B">
              <w:t>Major damage to land and building(s), including structural damage. Loss of use and substantial repair required.</w:t>
            </w:r>
          </w:p>
        </w:tc>
        <w:tc>
          <w:tcPr>
            <w:tcW w:w="1875" w:type="pct"/>
          </w:tcPr>
          <w:p w14:paraId="1796ACCA" w14:textId="7B27FEB8" w:rsidR="00AA7B99" w:rsidRPr="00493A3B" w:rsidRDefault="00D11EAD">
            <w:pPr>
              <w:pStyle w:val="TableText"/>
            </w:pPr>
            <w:r w:rsidRPr="00493A3B">
              <w:t>Unsafe for people, with potential for many injuries, or critical injuries and/or fatalities.</w:t>
            </w:r>
          </w:p>
        </w:tc>
      </w:tr>
      <w:tr w:rsidR="00100F24" w:rsidRPr="00493A3B" w14:paraId="49D0CAEE" w14:textId="0764EDEB" w:rsidTr="002C06EE">
        <w:tc>
          <w:tcPr>
            <w:tcW w:w="1000" w:type="pct"/>
          </w:tcPr>
          <w:p w14:paraId="1D84C2CA" w14:textId="22B48B48" w:rsidR="00AA7B99" w:rsidRPr="00493A3B" w:rsidRDefault="00D11EAD">
            <w:pPr>
              <w:pStyle w:val="TableText"/>
            </w:pPr>
            <w:r w:rsidRPr="00493A3B">
              <w:t>Moderate</w:t>
            </w:r>
          </w:p>
        </w:tc>
        <w:tc>
          <w:tcPr>
            <w:tcW w:w="2125" w:type="pct"/>
          </w:tcPr>
          <w:p w14:paraId="093177E2" w14:textId="7B7F254A" w:rsidR="00AA7B99" w:rsidRPr="00493A3B" w:rsidRDefault="00D11EAD">
            <w:pPr>
              <w:pStyle w:val="TableText"/>
            </w:pPr>
            <w:r w:rsidRPr="00493A3B">
              <w:t>Some damage to land and non-structural damage to building(s). Limited loss of use, repairs required.</w:t>
            </w:r>
          </w:p>
        </w:tc>
        <w:tc>
          <w:tcPr>
            <w:tcW w:w="1875" w:type="pct"/>
          </w:tcPr>
          <w:p w14:paraId="4608038C" w14:textId="2B2047F6" w:rsidR="00AA7B99" w:rsidRPr="00493A3B" w:rsidRDefault="00C24674">
            <w:pPr>
              <w:pStyle w:val="TableText"/>
            </w:pPr>
            <w:r w:rsidRPr="00493A3B">
              <w:t>Unsafe for people, with potential for injuries, although expected to be minor.</w:t>
            </w:r>
          </w:p>
        </w:tc>
      </w:tr>
      <w:tr w:rsidR="00100F24" w:rsidRPr="00493A3B" w14:paraId="2E7B0D60" w14:textId="77777777" w:rsidTr="002C06EE">
        <w:tc>
          <w:tcPr>
            <w:tcW w:w="1000" w:type="pct"/>
          </w:tcPr>
          <w:p w14:paraId="7196A799" w14:textId="33707646" w:rsidR="00A25537" w:rsidRPr="00493A3B" w:rsidRDefault="00C24674">
            <w:pPr>
              <w:pStyle w:val="TableText"/>
            </w:pPr>
            <w:r w:rsidRPr="00493A3B">
              <w:t>Minor</w:t>
            </w:r>
          </w:p>
        </w:tc>
        <w:tc>
          <w:tcPr>
            <w:tcW w:w="2125" w:type="pct"/>
          </w:tcPr>
          <w:p w14:paraId="3BA89A49" w14:textId="5F2DA913" w:rsidR="00A25537" w:rsidRPr="00493A3B" w:rsidRDefault="00C24674">
            <w:pPr>
              <w:pStyle w:val="TableText"/>
            </w:pPr>
            <w:r w:rsidRPr="00493A3B">
              <w:t>Minor damage to land and building(s). No loss of use, minimal repairs required.</w:t>
            </w:r>
          </w:p>
        </w:tc>
        <w:tc>
          <w:tcPr>
            <w:tcW w:w="1875" w:type="pct"/>
          </w:tcPr>
          <w:p w14:paraId="4E33A62E" w14:textId="2516C143" w:rsidR="00A25537" w:rsidRPr="00493A3B" w:rsidRDefault="00433254" w:rsidP="00433254">
            <w:pPr>
              <w:pStyle w:val="TableText"/>
            </w:pPr>
            <w:r w:rsidRPr="00493A3B">
              <w:t>Isolated minor injuries possible.</w:t>
            </w:r>
          </w:p>
        </w:tc>
      </w:tr>
      <w:tr w:rsidR="00100F24" w:rsidRPr="00493A3B" w14:paraId="352500A3" w14:textId="77777777" w:rsidTr="002C06EE">
        <w:tc>
          <w:tcPr>
            <w:tcW w:w="1000" w:type="pct"/>
          </w:tcPr>
          <w:p w14:paraId="0D3A10F5" w14:textId="099022F1" w:rsidR="00A25537" w:rsidRPr="00493A3B" w:rsidRDefault="00433254">
            <w:pPr>
              <w:pStyle w:val="TableText"/>
            </w:pPr>
            <w:r w:rsidRPr="00493A3B">
              <w:t>Negligible</w:t>
            </w:r>
          </w:p>
        </w:tc>
        <w:tc>
          <w:tcPr>
            <w:tcW w:w="2125" w:type="pct"/>
          </w:tcPr>
          <w:p w14:paraId="07A938FC" w14:textId="075E0613" w:rsidR="00A25537" w:rsidRPr="00493A3B" w:rsidRDefault="00433254">
            <w:pPr>
              <w:pStyle w:val="TableText"/>
            </w:pPr>
            <w:r w:rsidRPr="00493A3B">
              <w:t>No loss of use, no building repairs required.</w:t>
            </w:r>
          </w:p>
        </w:tc>
        <w:tc>
          <w:tcPr>
            <w:tcW w:w="1875" w:type="pct"/>
          </w:tcPr>
          <w:p w14:paraId="01FBD4F2" w14:textId="56A4A0E2" w:rsidR="00A25537" w:rsidRPr="00493A3B" w:rsidRDefault="00433254">
            <w:pPr>
              <w:pStyle w:val="TableText"/>
            </w:pPr>
            <w:r w:rsidRPr="00493A3B">
              <w:t>No injuries</w:t>
            </w:r>
            <w:r w:rsidR="001A201E" w:rsidRPr="00493A3B">
              <w:t>.</w:t>
            </w:r>
          </w:p>
        </w:tc>
      </w:tr>
    </w:tbl>
    <w:p w14:paraId="5053C701" w14:textId="7282C1C0" w:rsidR="009308BC" w:rsidRPr="00493A3B" w:rsidRDefault="000B3720" w:rsidP="0002361B">
      <w:pPr>
        <w:pStyle w:val="BodyText"/>
        <w:spacing w:before="240" w:after="100"/>
      </w:pPr>
      <w:r w:rsidRPr="00493A3B">
        <w:t xml:space="preserve">The severity of </w:t>
      </w:r>
      <w:r w:rsidR="007E3D2E" w:rsidRPr="00493A3B">
        <w:t xml:space="preserve">the </w:t>
      </w:r>
      <w:r w:rsidRPr="00493A3B">
        <w:t>conse</w:t>
      </w:r>
      <w:r w:rsidR="001C5758" w:rsidRPr="00493A3B">
        <w:t>quence</w:t>
      </w:r>
      <w:r w:rsidR="007E3D2E" w:rsidRPr="00493A3B">
        <w:t>s</w:t>
      </w:r>
      <w:r w:rsidR="00E725FD" w:rsidRPr="00493A3B">
        <w:t xml:space="preserve"> from a natural hazard</w:t>
      </w:r>
      <w:r w:rsidR="001C5758" w:rsidRPr="00493A3B">
        <w:t xml:space="preserve"> is a function of</w:t>
      </w:r>
      <w:r w:rsidR="00242C2A">
        <w:t xml:space="preserve"> the</w:t>
      </w:r>
      <w:r w:rsidR="001C5758" w:rsidRPr="00493A3B">
        <w:t>:</w:t>
      </w:r>
    </w:p>
    <w:p w14:paraId="5753A79E" w14:textId="1D4FE1AE" w:rsidR="001C5758" w:rsidRPr="00493A3B" w:rsidRDefault="001C5758" w:rsidP="0002361B">
      <w:pPr>
        <w:pStyle w:val="Bullet"/>
        <w:spacing w:after="100"/>
      </w:pPr>
      <w:r w:rsidRPr="00493A3B">
        <w:t>characteristics of the hazard</w:t>
      </w:r>
      <w:r w:rsidR="00F1043D" w:rsidRPr="00493A3B">
        <w:t xml:space="preserve"> (eg</w:t>
      </w:r>
      <w:r w:rsidR="00BE505A" w:rsidRPr="00493A3B">
        <w:t>,</w:t>
      </w:r>
      <w:r w:rsidR="00F1043D" w:rsidRPr="00493A3B">
        <w:t xml:space="preserve"> magnitude</w:t>
      </w:r>
      <w:r w:rsidR="006A7968" w:rsidRPr="00493A3B">
        <w:t>, duration</w:t>
      </w:r>
      <w:r w:rsidR="00F1043D" w:rsidRPr="00493A3B">
        <w:t>)</w:t>
      </w:r>
    </w:p>
    <w:p w14:paraId="6A7132DB" w14:textId="1C919EAA" w:rsidR="005564F0" w:rsidRPr="00493A3B" w:rsidRDefault="005564F0" w:rsidP="0002361B">
      <w:pPr>
        <w:pStyle w:val="Bullet"/>
        <w:spacing w:after="100"/>
      </w:pPr>
      <w:r w:rsidRPr="00493A3B">
        <w:t xml:space="preserve">exposure of elements at risk </w:t>
      </w:r>
      <w:r w:rsidR="005E0DB2" w:rsidRPr="00493A3B">
        <w:t>(</w:t>
      </w:r>
      <w:r w:rsidR="0038419C" w:rsidRPr="00493A3B">
        <w:t>ie</w:t>
      </w:r>
      <w:r w:rsidR="00BE505A" w:rsidRPr="00493A3B">
        <w:t>,</w:t>
      </w:r>
      <w:r w:rsidR="005E0DB2" w:rsidRPr="00493A3B">
        <w:t xml:space="preserve"> what</w:t>
      </w:r>
      <w:r w:rsidR="0038419C" w:rsidRPr="00493A3B">
        <w:t xml:space="preserve"> is </w:t>
      </w:r>
      <w:r w:rsidR="005E0DB2" w:rsidRPr="00493A3B">
        <w:t>in the way)</w:t>
      </w:r>
    </w:p>
    <w:p w14:paraId="32E3AF35" w14:textId="19809A0E" w:rsidR="00B350B8" w:rsidRPr="00493A3B" w:rsidRDefault="009308BC" w:rsidP="00F91CA7">
      <w:pPr>
        <w:pStyle w:val="Bullet"/>
      </w:pPr>
      <w:r w:rsidRPr="00493A3B">
        <w:t xml:space="preserve">vulnerability of elements at risk </w:t>
      </w:r>
      <w:r w:rsidR="005E0DB2" w:rsidRPr="00493A3B">
        <w:t>(e</w:t>
      </w:r>
      <w:r w:rsidR="0038419C" w:rsidRPr="00493A3B">
        <w:t xml:space="preserve">g, </w:t>
      </w:r>
      <w:r w:rsidR="005E0DB2" w:rsidRPr="00493A3B">
        <w:t xml:space="preserve">building design, </w:t>
      </w:r>
      <w:r w:rsidR="00E0100A" w:rsidRPr="00493A3B">
        <w:t>age of individual</w:t>
      </w:r>
      <w:r w:rsidR="005E0DB2" w:rsidRPr="00493A3B">
        <w:t>)</w:t>
      </w:r>
      <w:r w:rsidR="00F2085E" w:rsidRPr="00493A3B">
        <w:t>.</w:t>
      </w:r>
    </w:p>
    <w:p w14:paraId="63C54357" w14:textId="426124EF" w:rsidR="00B350B8" w:rsidRPr="00493A3B" w:rsidRDefault="00B350B8" w:rsidP="00D046E6">
      <w:pPr>
        <w:pStyle w:val="BodyText"/>
      </w:pPr>
      <w:r w:rsidRPr="00493A3B">
        <w:t xml:space="preserve">When assessing the consequences of a natural hazard event, if a different consequence level results for each column, </w:t>
      </w:r>
      <w:r w:rsidR="00F53A6E" w:rsidRPr="00493A3B">
        <w:t xml:space="preserve">the level of risk should be determined by applying </w:t>
      </w:r>
      <w:r w:rsidRPr="00493A3B">
        <w:t xml:space="preserve">the highest consequence level </w:t>
      </w:r>
      <w:r w:rsidR="00F53A6E" w:rsidRPr="00493A3B">
        <w:t>in the risk matrix</w:t>
      </w:r>
      <w:r w:rsidRPr="00493A3B">
        <w:t xml:space="preserve">. </w:t>
      </w:r>
    </w:p>
    <w:p w14:paraId="5FF9B8DC" w14:textId="5F692075" w:rsidR="00723BEE" w:rsidRPr="00493A3B" w:rsidRDefault="00723BEE" w:rsidP="0042633E">
      <w:pPr>
        <w:pStyle w:val="Heading3"/>
      </w:pPr>
      <w:r w:rsidRPr="00493A3B">
        <w:lastRenderedPageBreak/>
        <w:t xml:space="preserve">Risk </w:t>
      </w:r>
      <w:r w:rsidR="009748D1" w:rsidRPr="00493A3B">
        <w:t>l</w:t>
      </w:r>
      <w:r w:rsidRPr="00493A3B">
        <w:t>evel</w:t>
      </w:r>
    </w:p>
    <w:p w14:paraId="7FDA72BB" w14:textId="2C11B5EC" w:rsidR="00071536" w:rsidRDefault="00071536" w:rsidP="00D046E6">
      <w:pPr>
        <w:pStyle w:val="BodyText"/>
      </w:pPr>
      <w:r w:rsidRPr="00493A3B">
        <w:t>Policy 1 of the NPS-NH directs that when considering the natural hazard risk associated with subdivision, use or development, the risk level must be assessed using the risk matrix</w:t>
      </w:r>
      <w:r w:rsidR="004551BD" w:rsidRPr="00493A3B">
        <w:t xml:space="preserve"> (as reproduced in </w:t>
      </w:r>
      <w:hyperlink w:anchor="fig1" w:history="1">
        <w:r w:rsidR="004551BD" w:rsidRPr="00493A3B">
          <w:rPr>
            <w:rStyle w:val="Hyperlink"/>
          </w:rPr>
          <w:t>figure 1</w:t>
        </w:r>
      </w:hyperlink>
      <w:r w:rsidR="004551BD" w:rsidRPr="00493A3B">
        <w:t>)</w:t>
      </w:r>
      <w:r w:rsidR="005C750F" w:rsidRPr="00493A3B">
        <w:t>.</w:t>
      </w:r>
      <w:r w:rsidRPr="00493A3B">
        <w:t xml:space="preserve"> </w:t>
      </w:r>
      <w:r w:rsidR="005C750F" w:rsidRPr="00493A3B">
        <w:t xml:space="preserve">This </w:t>
      </w:r>
      <w:r w:rsidRPr="00493A3B">
        <w:t xml:space="preserve">combines the </w:t>
      </w:r>
      <w:r w:rsidR="009923C4" w:rsidRPr="00493A3B">
        <w:t xml:space="preserve">likelihood and </w:t>
      </w:r>
      <w:r w:rsidRPr="00493A3B">
        <w:t xml:space="preserve">consequences of a </w:t>
      </w:r>
      <w:r w:rsidR="009923C4" w:rsidRPr="00493A3B">
        <w:t xml:space="preserve">particular </w:t>
      </w:r>
      <w:r w:rsidRPr="00493A3B">
        <w:t>natural hazard event</w:t>
      </w:r>
      <w:r w:rsidR="005C750F" w:rsidRPr="00493A3B">
        <w:t xml:space="preserve"> to determine whether </w:t>
      </w:r>
      <w:r w:rsidR="000B1737" w:rsidRPr="00493A3B">
        <w:t xml:space="preserve">the level of natural hazard </w:t>
      </w:r>
      <w:r w:rsidR="005C750F" w:rsidRPr="00493A3B">
        <w:t>risk is ‘low’</w:t>
      </w:r>
      <w:r w:rsidR="000B1737" w:rsidRPr="00493A3B">
        <w:t>, ‘medium’, ‘high’, or ‘very high’</w:t>
      </w:r>
      <w:r w:rsidR="004551BD" w:rsidRPr="00493A3B">
        <w:t xml:space="preserve">. </w:t>
      </w:r>
    </w:p>
    <w:p w14:paraId="5C769543" w14:textId="77777777" w:rsidR="0012049C" w:rsidRPr="006B7000" w:rsidRDefault="0012049C" w:rsidP="006B7000">
      <w:pPr>
        <w:pStyle w:val="Figureheading"/>
      </w:pPr>
      <w:bookmarkStart w:id="31" w:name="_Toc228969490"/>
      <w:r w:rsidRPr="006B7000">
        <w:t xml:space="preserve">Figure 1: </w:t>
      </w:r>
      <w:r w:rsidRPr="006B7000">
        <w:tab/>
        <w:t>NPS-NH risk matrix</w:t>
      </w:r>
      <w:bookmarkEnd w:id="31"/>
    </w:p>
    <w:tbl>
      <w:tblPr>
        <w:tblStyle w:val="TableGrid"/>
        <w:tblW w:w="8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950"/>
        <w:gridCol w:w="1100"/>
        <w:gridCol w:w="992"/>
        <w:gridCol w:w="992"/>
        <w:gridCol w:w="851"/>
        <w:gridCol w:w="850"/>
        <w:gridCol w:w="1011"/>
        <w:gridCol w:w="1006"/>
        <w:gridCol w:w="9"/>
      </w:tblGrid>
      <w:tr w:rsidR="0012049C" w:rsidRPr="007C7494" w14:paraId="181508D7" w14:textId="77777777" w:rsidTr="001862E2">
        <w:trPr>
          <w:trHeight w:val="283"/>
        </w:trPr>
        <w:tc>
          <w:tcPr>
            <w:tcW w:w="502" w:type="dxa"/>
          </w:tcPr>
          <w:p w14:paraId="4C4923F9" w14:textId="77777777" w:rsidR="0012049C" w:rsidRPr="007C7494" w:rsidRDefault="0012049C" w:rsidP="001862E2">
            <w:pPr>
              <w:tabs>
                <w:tab w:val="left" w:pos="1418"/>
              </w:tabs>
              <w:spacing w:before="0" w:after="0"/>
              <w:rPr>
                <w:sz w:val="14"/>
                <w:szCs w:val="14"/>
              </w:rPr>
            </w:pPr>
          </w:p>
        </w:tc>
        <w:tc>
          <w:tcPr>
            <w:tcW w:w="950" w:type="dxa"/>
          </w:tcPr>
          <w:p w14:paraId="2CF5F23B" w14:textId="77777777" w:rsidR="0012049C" w:rsidRPr="007C7494" w:rsidRDefault="0012049C" w:rsidP="001862E2">
            <w:pPr>
              <w:tabs>
                <w:tab w:val="left" w:pos="1418"/>
              </w:tabs>
              <w:spacing w:before="0" w:after="0"/>
              <w:rPr>
                <w:sz w:val="14"/>
                <w:szCs w:val="14"/>
              </w:rPr>
            </w:pPr>
          </w:p>
        </w:tc>
        <w:tc>
          <w:tcPr>
            <w:tcW w:w="6811" w:type="dxa"/>
            <w:gridSpan w:val="8"/>
          </w:tcPr>
          <w:p w14:paraId="725A950D" w14:textId="77777777" w:rsidR="0012049C" w:rsidRPr="007C7494" w:rsidRDefault="0012049C" w:rsidP="001862E2">
            <w:pPr>
              <w:tabs>
                <w:tab w:val="left" w:pos="1418"/>
              </w:tabs>
              <w:spacing w:before="0" w:after="0"/>
              <w:jc w:val="center"/>
              <w:rPr>
                <w:sz w:val="14"/>
                <w:szCs w:val="14"/>
              </w:rPr>
            </w:pPr>
            <w:r w:rsidRPr="007C7494">
              <w:rPr>
                <w:b/>
                <w:bCs/>
                <w:sz w:val="14"/>
                <w:szCs w:val="14"/>
              </w:rPr>
              <w:t>Likelihood Level</w:t>
            </w:r>
          </w:p>
        </w:tc>
      </w:tr>
      <w:tr w:rsidR="0012049C" w:rsidRPr="007C7494" w14:paraId="12A897C2" w14:textId="77777777" w:rsidTr="001862E2">
        <w:trPr>
          <w:gridAfter w:val="1"/>
          <w:wAfter w:w="9" w:type="dxa"/>
          <w:trHeight w:val="283"/>
        </w:trPr>
        <w:tc>
          <w:tcPr>
            <w:tcW w:w="502" w:type="dxa"/>
          </w:tcPr>
          <w:p w14:paraId="7A00CFFB" w14:textId="77777777" w:rsidR="0012049C" w:rsidRPr="007C7494" w:rsidRDefault="0012049C" w:rsidP="001862E2">
            <w:pPr>
              <w:tabs>
                <w:tab w:val="left" w:pos="1418"/>
              </w:tabs>
              <w:spacing w:before="0" w:after="0"/>
              <w:rPr>
                <w:sz w:val="14"/>
                <w:szCs w:val="14"/>
              </w:rPr>
            </w:pPr>
          </w:p>
        </w:tc>
        <w:tc>
          <w:tcPr>
            <w:tcW w:w="950" w:type="dxa"/>
          </w:tcPr>
          <w:p w14:paraId="0C37D303" w14:textId="77777777" w:rsidR="0012049C" w:rsidRPr="007C7494" w:rsidRDefault="0012049C" w:rsidP="001862E2">
            <w:pPr>
              <w:tabs>
                <w:tab w:val="left" w:pos="1418"/>
              </w:tabs>
              <w:spacing w:before="0" w:after="0"/>
              <w:rPr>
                <w:sz w:val="14"/>
                <w:szCs w:val="14"/>
              </w:rPr>
            </w:pPr>
          </w:p>
        </w:tc>
        <w:tc>
          <w:tcPr>
            <w:tcW w:w="1100" w:type="dxa"/>
            <w:shd w:val="clear" w:color="auto" w:fill="BFBFBF" w:themeFill="background1" w:themeFillShade="BF"/>
          </w:tcPr>
          <w:p w14:paraId="54A6D342" w14:textId="77777777" w:rsidR="0012049C" w:rsidRPr="007C7494" w:rsidRDefault="0012049C" w:rsidP="001862E2">
            <w:pPr>
              <w:tabs>
                <w:tab w:val="left" w:pos="1418"/>
              </w:tabs>
              <w:spacing w:before="0" w:after="0"/>
              <w:jc w:val="left"/>
              <w:rPr>
                <w:b/>
                <w:bCs/>
                <w:sz w:val="14"/>
                <w:szCs w:val="14"/>
              </w:rPr>
            </w:pPr>
            <w:r w:rsidRPr="007C7494">
              <w:rPr>
                <w:b/>
                <w:bCs/>
                <w:sz w:val="14"/>
                <w:szCs w:val="14"/>
              </w:rPr>
              <w:t>Almost certain</w:t>
            </w:r>
          </w:p>
        </w:tc>
        <w:tc>
          <w:tcPr>
            <w:tcW w:w="992" w:type="dxa"/>
            <w:shd w:val="clear" w:color="auto" w:fill="BFBFBF" w:themeFill="background1" w:themeFillShade="BF"/>
          </w:tcPr>
          <w:p w14:paraId="1F037B85"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Very Likely</w:t>
            </w:r>
          </w:p>
        </w:tc>
        <w:tc>
          <w:tcPr>
            <w:tcW w:w="992" w:type="dxa"/>
            <w:shd w:val="clear" w:color="auto" w:fill="BFBFBF" w:themeFill="background1" w:themeFillShade="BF"/>
          </w:tcPr>
          <w:p w14:paraId="63A67069"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Likely</w:t>
            </w:r>
          </w:p>
        </w:tc>
        <w:tc>
          <w:tcPr>
            <w:tcW w:w="851" w:type="dxa"/>
            <w:shd w:val="clear" w:color="auto" w:fill="BFBFBF" w:themeFill="background1" w:themeFillShade="BF"/>
          </w:tcPr>
          <w:p w14:paraId="033356D9"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Possible</w:t>
            </w:r>
          </w:p>
        </w:tc>
        <w:tc>
          <w:tcPr>
            <w:tcW w:w="850" w:type="dxa"/>
            <w:shd w:val="clear" w:color="auto" w:fill="BFBFBF" w:themeFill="background1" w:themeFillShade="BF"/>
          </w:tcPr>
          <w:p w14:paraId="6397691E"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Unlikely</w:t>
            </w:r>
          </w:p>
        </w:tc>
        <w:tc>
          <w:tcPr>
            <w:tcW w:w="1011" w:type="dxa"/>
            <w:shd w:val="clear" w:color="auto" w:fill="BFBFBF" w:themeFill="background1" w:themeFillShade="BF"/>
          </w:tcPr>
          <w:p w14:paraId="42A89D23"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Rare</w:t>
            </w:r>
          </w:p>
        </w:tc>
        <w:tc>
          <w:tcPr>
            <w:tcW w:w="1006" w:type="dxa"/>
            <w:shd w:val="clear" w:color="auto" w:fill="BFBFBF" w:themeFill="background1" w:themeFillShade="BF"/>
          </w:tcPr>
          <w:p w14:paraId="59A10E25"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Very Rare</w:t>
            </w:r>
          </w:p>
        </w:tc>
      </w:tr>
      <w:tr w:rsidR="0012049C" w:rsidRPr="007C7494" w14:paraId="4D78DDA8" w14:textId="77777777" w:rsidTr="001862E2">
        <w:trPr>
          <w:gridAfter w:val="1"/>
          <w:wAfter w:w="9" w:type="dxa"/>
          <w:cantSplit/>
          <w:trHeight w:val="227"/>
        </w:trPr>
        <w:tc>
          <w:tcPr>
            <w:tcW w:w="502" w:type="dxa"/>
            <w:vMerge w:val="restart"/>
            <w:textDirection w:val="btLr"/>
          </w:tcPr>
          <w:p w14:paraId="68D299AF" w14:textId="77777777" w:rsidR="0012049C" w:rsidRPr="007C7494" w:rsidRDefault="0012049C" w:rsidP="001862E2">
            <w:pPr>
              <w:tabs>
                <w:tab w:val="left" w:pos="1418"/>
              </w:tabs>
              <w:spacing w:before="0" w:after="0"/>
              <w:ind w:left="113" w:right="113"/>
              <w:jc w:val="center"/>
              <w:rPr>
                <w:sz w:val="14"/>
                <w:szCs w:val="14"/>
              </w:rPr>
            </w:pPr>
            <w:r w:rsidRPr="007C7494">
              <w:rPr>
                <w:b/>
                <w:bCs/>
                <w:sz w:val="14"/>
                <w:szCs w:val="14"/>
              </w:rPr>
              <w:t>Consequence Level</w:t>
            </w:r>
          </w:p>
        </w:tc>
        <w:tc>
          <w:tcPr>
            <w:tcW w:w="950" w:type="dxa"/>
            <w:shd w:val="clear" w:color="auto" w:fill="BFBFBF" w:themeFill="background1" w:themeFillShade="BF"/>
          </w:tcPr>
          <w:p w14:paraId="725EAEDB"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ARI (years)</w:t>
            </w:r>
          </w:p>
        </w:tc>
        <w:tc>
          <w:tcPr>
            <w:tcW w:w="1100" w:type="dxa"/>
            <w:shd w:val="clear" w:color="auto" w:fill="BFBFBF" w:themeFill="background1" w:themeFillShade="BF"/>
          </w:tcPr>
          <w:p w14:paraId="3566F10F" w14:textId="77777777" w:rsidR="0012049C" w:rsidRPr="007C7494" w:rsidRDefault="0012049C" w:rsidP="001862E2">
            <w:pPr>
              <w:tabs>
                <w:tab w:val="left" w:pos="1418"/>
              </w:tabs>
              <w:spacing w:before="0" w:after="0"/>
              <w:jc w:val="center"/>
              <w:rPr>
                <w:sz w:val="14"/>
                <w:szCs w:val="14"/>
              </w:rPr>
            </w:pPr>
            <w:r w:rsidRPr="007C7494">
              <w:rPr>
                <w:sz w:val="14"/>
                <w:szCs w:val="14"/>
              </w:rPr>
              <w:t>Up to 10</w:t>
            </w:r>
          </w:p>
        </w:tc>
        <w:tc>
          <w:tcPr>
            <w:tcW w:w="992" w:type="dxa"/>
            <w:shd w:val="clear" w:color="auto" w:fill="BFBFBF" w:themeFill="background1" w:themeFillShade="BF"/>
          </w:tcPr>
          <w:p w14:paraId="493A9CB2" w14:textId="77777777" w:rsidR="0012049C" w:rsidRPr="007C7494" w:rsidRDefault="0012049C" w:rsidP="001862E2">
            <w:pPr>
              <w:tabs>
                <w:tab w:val="left" w:pos="1418"/>
              </w:tabs>
              <w:spacing w:before="0" w:after="0"/>
              <w:jc w:val="center"/>
              <w:rPr>
                <w:sz w:val="14"/>
                <w:szCs w:val="14"/>
              </w:rPr>
            </w:pPr>
            <w:r w:rsidRPr="007C7494">
              <w:rPr>
                <w:sz w:val="14"/>
                <w:szCs w:val="14"/>
              </w:rPr>
              <w:t>10-20</w:t>
            </w:r>
          </w:p>
        </w:tc>
        <w:tc>
          <w:tcPr>
            <w:tcW w:w="992" w:type="dxa"/>
            <w:shd w:val="clear" w:color="auto" w:fill="BFBFBF" w:themeFill="background1" w:themeFillShade="BF"/>
          </w:tcPr>
          <w:p w14:paraId="689A471B" w14:textId="77777777" w:rsidR="0012049C" w:rsidRPr="007C7494" w:rsidRDefault="0012049C" w:rsidP="001862E2">
            <w:pPr>
              <w:tabs>
                <w:tab w:val="left" w:pos="1418"/>
              </w:tabs>
              <w:spacing w:before="0" w:after="0"/>
              <w:jc w:val="center"/>
              <w:rPr>
                <w:sz w:val="14"/>
                <w:szCs w:val="14"/>
              </w:rPr>
            </w:pPr>
            <w:r w:rsidRPr="007C7494">
              <w:rPr>
                <w:sz w:val="14"/>
                <w:szCs w:val="14"/>
              </w:rPr>
              <w:t>20-50</w:t>
            </w:r>
          </w:p>
        </w:tc>
        <w:tc>
          <w:tcPr>
            <w:tcW w:w="851" w:type="dxa"/>
            <w:shd w:val="clear" w:color="auto" w:fill="BFBFBF" w:themeFill="background1" w:themeFillShade="BF"/>
          </w:tcPr>
          <w:p w14:paraId="01A6CCFA" w14:textId="77777777" w:rsidR="0012049C" w:rsidRPr="007C7494" w:rsidRDefault="0012049C" w:rsidP="001862E2">
            <w:pPr>
              <w:tabs>
                <w:tab w:val="left" w:pos="1418"/>
              </w:tabs>
              <w:spacing w:before="0" w:after="0"/>
              <w:jc w:val="center"/>
              <w:rPr>
                <w:sz w:val="14"/>
                <w:szCs w:val="14"/>
              </w:rPr>
            </w:pPr>
            <w:r w:rsidRPr="007C7494">
              <w:rPr>
                <w:sz w:val="14"/>
                <w:szCs w:val="14"/>
              </w:rPr>
              <w:t>50-100</w:t>
            </w:r>
          </w:p>
        </w:tc>
        <w:tc>
          <w:tcPr>
            <w:tcW w:w="850" w:type="dxa"/>
            <w:shd w:val="clear" w:color="auto" w:fill="BFBFBF" w:themeFill="background1" w:themeFillShade="BF"/>
          </w:tcPr>
          <w:p w14:paraId="77123117" w14:textId="77777777" w:rsidR="0012049C" w:rsidRPr="007C7494" w:rsidRDefault="0012049C" w:rsidP="001862E2">
            <w:pPr>
              <w:tabs>
                <w:tab w:val="left" w:pos="1418"/>
              </w:tabs>
              <w:spacing w:before="0" w:after="0"/>
              <w:jc w:val="center"/>
              <w:rPr>
                <w:sz w:val="14"/>
                <w:szCs w:val="14"/>
              </w:rPr>
            </w:pPr>
            <w:r w:rsidRPr="007C7494">
              <w:rPr>
                <w:sz w:val="14"/>
                <w:szCs w:val="14"/>
              </w:rPr>
              <w:t>100-500</w:t>
            </w:r>
          </w:p>
        </w:tc>
        <w:tc>
          <w:tcPr>
            <w:tcW w:w="1011" w:type="dxa"/>
            <w:shd w:val="clear" w:color="auto" w:fill="BFBFBF" w:themeFill="background1" w:themeFillShade="BF"/>
          </w:tcPr>
          <w:p w14:paraId="0FF227E3" w14:textId="77777777" w:rsidR="0012049C" w:rsidRPr="007C7494" w:rsidRDefault="0012049C" w:rsidP="001862E2">
            <w:pPr>
              <w:tabs>
                <w:tab w:val="left" w:pos="1418"/>
              </w:tabs>
              <w:spacing w:before="0" w:after="0"/>
              <w:jc w:val="center"/>
              <w:rPr>
                <w:sz w:val="14"/>
                <w:szCs w:val="14"/>
              </w:rPr>
            </w:pPr>
            <w:r w:rsidRPr="007C7494">
              <w:rPr>
                <w:sz w:val="14"/>
                <w:szCs w:val="14"/>
              </w:rPr>
              <w:t>500-5000</w:t>
            </w:r>
          </w:p>
        </w:tc>
        <w:tc>
          <w:tcPr>
            <w:tcW w:w="1006" w:type="dxa"/>
            <w:shd w:val="clear" w:color="auto" w:fill="BFBFBF" w:themeFill="background1" w:themeFillShade="BF"/>
          </w:tcPr>
          <w:p w14:paraId="57F0D71A" w14:textId="77777777" w:rsidR="0012049C" w:rsidRPr="007C7494" w:rsidRDefault="0012049C" w:rsidP="001862E2">
            <w:pPr>
              <w:tabs>
                <w:tab w:val="left" w:pos="1418"/>
              </w:tabs>
              <w:spacing w:before="0" w:after="0"/>
              <w:jc w:val="center"/>
              <w:rPr>
                <w:sz w:val="14"/>
                <w:szCs w:val="14"/>
              </w:rPr>
            </w:pPr>
            <w:r w:rsidRPr="007C7494">
              <w:rPr>
                <w:sz w:val="14"/>
                <w:szCs w:val="14"/>
              </w:rPr>
              <w:t>&gt; 5000</w:t>
            </w:r>
          </w:p>
        </w:tc>
      </w:tr>
      <w:tr w:rsidR="0012049C" w:rsidRPr="007C7494" w14:paraId="12B3EAA1" w14:textId="77777777" w:rsidTr="001862E2">
        <w:trPr>
          <w:gridAfter w:val="1"/>
          <w:wAfter w:w="9" w:type="dxa"/>
          <w:trHeight w:val="283"/>
        </w:trPr>
        <w:tc>
          <w:tcPr>
            <w:tcW w:w="502" w:type="dxa"/>
            <w:vMerge/>
          </w:tcPr>
          <w:p w14:paraId="30DC4E5F" w14:textId="77777777" w:rsidR="0012049C" w:rsidRPr="007C7494" w:rsidRDefault="0012049C" w:rsidP="001862E2">
            <w:pPr>
              <w:tabs>
                <w:tab w:val="left" w:pos="1418"/>
              </w:tabs>
              <w:spacing w:before="0" w:after="0"/>
              <w:ind w:left="113" w:right="113"/>
              <w:jc w:val="center"/>
              <w:rPr>
                <w:sz w:val="14"/>
                <w:szCs w:val="14"/>
              </w:rPr>
            </w:pPr>
          </w:p>
        </w:tc>
        <w:tc>
          <w:tcPr>
            <w:tcW w:w="950" w:type="dxa"/>
            <w:shd w:val="clear" w:color="auto" w:fill="BFBFBF" w:themeFill="background1" w:themeFillShade="BF"/>
          </w:tcPr>
          <w:p w14:paraId="0EB77246" w14:textId="77777777" w:rsidR="0012049C" w:rsidRPr="007C7494" w:rsidRDefault="0012049C" w:rsidP="001862E2">
            <w:pPr>
              <w:tabs>
                <w:tab w:val="left" w:pos="1418"/>
              </w:tabs>
              <w:spacing w:before="0" w:after="0"/>
              <w:jc w:val="center"/>
              <w:rPr>
                <w:b/>
                <w:bCs/>
                <w:sz w:val="14"/>
                <w:szCs w:val="14"/>
              </w:rPr>
            </w:pPr>
            <w:r w:rsidRPr="007C7494">
              <w:rPr>
                <w:b/>
                <w:bCs/>
                <w:sz w:val="14"/>
                <w:szCs w:val="14"/>
              </w:rPr>
              <w:t>AEP</w:t>
            </w:r>
          </w:p>
        </w:tc>
        <w:tc>
          <w:tcPr>
            <w:tcW w:w="1100" w:type="dxa"/>
            <w:shd w:val="clear" w:color="auto" w:fill="BFBFBF" w:themeFill="background1" w:themeFillShade="BF"/>
          </w:tcPr>
          <w:p w14:paraId="2EA7A027" w14:textId="77777777" w:rsidR="0012049C" w:rsidRPr="007C7494" w:rsidRDefault="0012049C" w:rsidP="001862E2">
            <w:pPr>
              <w:tabs>
                <w:tab w:val="left" w:pos="1418"/>
              </w:tabs>
              <w:spacing w:before="0" w:after="0"/>
              <w:jc w:val="center"/>
              <w:rPr>
                <w:sz w:val="14"/>
                <w:szCs w:val="14"/>
              </w:rPr>
            </w:pPr>
            <w:r w:rsidRPr="007C7494">
              <w:rPr>
                <w:bCs/>
                <w:sz w:val="14"/>
                <w:szCs w:val="14"/>
              </w:rPr>
              <w:t>10% or more</w:t>
            </w:r>
          </w:p>
        </w:tc>
        <w:tc>
          <w:tcPr>
            <w:tcW w:w="992" w:type="dxa"/>
            <w:shd w:val="clear" w:color="auto" w:fill="BFBFBF" w:themeFill="background1" w:themeFillShade="BF"/>
          </w:tcPr>
          <w:p w14:paraId="6FB7BEE6" w14:textId="77777777" w:rsidR="0012049C" w:rsidRPr="007C7494" w:rsidRDefault="0012049C" w:rsidP="001862E2">
            <w:pPr>
              <w:tabs>
                <w:tab w:val="left" w:pos="1418"/>
              </w:tabs>
              <w:spacing w:before="0" w:after="0"/>
              <w:jc w:val="center"/>
              <w:rPr>
                <w:sz w:val="14"/>
                <w:szCs w:val="14"/>
              </w:rPr>
            </w:pPr>
            <w:r w:rsidRPr="007C7494">
              <w:rPr>
                <w:bCs/>
                <w:sz w:val="14"/>
                <w:szCs w:val="14"/>
              </w:rPr>
              <w:t>10% to 5%</w:t>
            </w:r>
          </w:p>
        </w:tc>
        <w:tc>
          <w:tcPr>
            <w:tcW w:w="992" w:type="dxa"/>
            <w:shd w:val="clear" w:color="auto" w:fill="BFBFBF" w:themeFill="background1" w:themeFillShade="BF"/>
          </w:tcPr>
          <w:p w14:paraId="77236960" w14:textId="77777777" w:rsidR="0012049C" w:rsidRPr="007C7494" w:rsidRDefault="0012049C" w:rsidP="001862E2">
            <w:pPr>
              <w:tabs>
                <w:tab w:val="left" w:pos="1418"/>
              </w:tabs>
              <w:spacing w:before="0" w:after="0"/>
              <w:jc w:val="center"/>
              <w:rPr>
                <w:sz w:val="14"/>
                <w:szCs w:val="14"/>
              </w:rPr>
            </w:pPr>
            <w:r w:rsidRPr="007C7494">
              <w:rPr>
                <w:bCs/>
                <w:sz w:val="14"/>
                <w:szCs w:val="14"/>
              </w:rPr>
              <w:t>5% to 2%</w:t>
            </w:r>
          </w:p>
        </w:tc>
        <w:tc>
          <w:tcPr>
            <w:tcW w:w="851" w:type="dxa"/>
            <w:shd w:val="clear" w:color="auto" w:fill="BFBFBF" w:themeFill="background1" w:themeFillShade="BF"/>
          </w:tcPr>
          <w:p w14:paraId="248E7067" w14:textId="77777777" w:rsidR="0012049C" w:rsidRPr="007C7494" w:rsidRDefault="0012049C" w:rsidP="001862E2">
            <w:pPr>
              <w:tabs>
                <w:tab w:val="left" w:pos="1418"/>
              </w:tabs>
              <w:spacing w:before="0" w:after="0"/>
              <w:jc w:val="center"/>
              <w:rPr>
                <w:sz w:val="14"/>
                <w:szCs w:val="14"/>
              </w:rPr>
            </w:pPr>
            <w:r w:rsidRPr="007C7494">
              <w:rPr>
                <w:bCs/>
                <w:sz w:val="14"/>
                <w:szCs w:val="14"/>
              </w:rPr>
              <w:t>2% to 1%</w:t>
            </w:r>
          </w:p>
        </w:tc>
        <w:tc>
          <w:tcPr>
            <w:tcW w:w="850" w:type="dxa"/>
            <w:shd w:val="clear" w:color="auto" w:fill="BFBFBF" w:themeFill="background1" w:themeFillShade="BF"/>
          </w:tcPr>
          <w:p w14:paraId="077AE1E2" w14:textId="77777777" w:rsidR="0012049C" w:rsidRPr="007C7494" w:rsidRDefault="0012049C" w:rsidP="001862E2">
            <w:pPr>
              <w:tabs>
                <w:tab w:val="left" w:pos="1418"/>
              </w:tabs>
              <w:spacing w:before="0" w:after="0"/>
              <w:jc w:val="center"/>
              <w:rPr>
                <w:sz w:val="14"/>
                <w:szCs w:val="14"/>
              </w:rPr>
            </w:pPr>
            <w:r w:rsidRPr="007C7494">
              <w:rPr>
                <w:bCs/>
                <w:sz w:val="14"/>
                <w:szCs w:val="14"/>
              </w:rPr>
              <w:t>1% to 0.2%</w:t>
            </w:r>
          </w:p>
        </w:tc>
        <w:tc>
          <w:tcPr>
            <w:tcW w:w="1011" w:type="dxa"/>
            <w:shd w:val="clear" w:color="auto" w:fill="BFBFBF" w:themeFill="background1" w:themeFillShade="BF"/>
          </w:tcPr>
          <w:p w14:paraId="10385300" w14:textId="77777777" w:rsidR="0012049C" w:rsidRPr="007C7494" w:rsidRDefault="0012049C" w:rsidP="001862E2">
            <w:pPr>
              <w:tabs>
                <w:tab w:val="left" w:pos="1418"/>
              </w:tabs>
              <w:spacing w:before="0" w:after="0"/>
              <w:rPr>
                <w:sz w:val="14"/>
                <w:szCs w:val="14"/>
              </w:rPr>
            </w:pPr>
            <w:r w:rsidRPr="007C7494">
              <w:rPr>
                <w:bCs/>
                <w:sz w:val="14"/>
                <w:szCs w:val="14"/>
              </w:rPr>
              <w:t>0.2% to 0.02%</w:t>
            </w:r>
          </w:p>
        </w:tc>
        <w:tc>
          <w:tcPr>
            <w:tcW w:w="1006" w:type="dxa"/>
            <w:shd w:val="clear" w:color="auto" w:fill="BFBFBF" w:themeFill="background1" w:themeFillShade="BF"/>
          </w:tcPr>
          <w:p w14:paraId="5BD4EDCE" w14:textId="77777777" w:rsidR="0012049C" w:rsidRPr="007C7494" w:rsidRDefault="0012049C" w:rsidP="001862E2">
            <w:pPr>
              <w:tabs>
                <w:tab w:val="left" w:pos="1418"/>
              </w:tabs>
              <w:spacing w:before="0" w:after="0"/>
              <w:jc w:val="center"/>
              <w:rPr>
                <w:sz w:val="14"/>
                <w:szCs w:val="14"/>
              </w:rPr>
            </w:pPr>
            <w:r w:rsidRPr="007C7494">
              <w:rPr>
                <w:bCs/>
                <w:sz w:val="14"/>
                <w:szCs w:val="14"/>
              </w:rPr>
              <w:t>&lt; 0.02%</w:t>
            </w:r>
          </w:p>
        </w:tc>
      </w:tr>
      <w:tr w:rsidR="0012049C" w:rsidRPr="007C7494" w14:paraId="4E34B2BB" w14:textId="77777777" w:rsidTr="001862E2">
        <w:trPr>
          <w:gridAfter w:val="1"/>
          <w:wAfter w:w="9" w:type="dxa"/>
          <w:trHeight w:val="283"/>
        </w:trPr>
        <w:tc>
          <w:tcPr>
            <w:tcW w:w="502" w:type="dxa"/>
            <w:vMerge/>
          </w:tcPr>
          <w:p w14:paraId="1B3CE075" w14:textId="77777777" w:rsidR="0012049C" w:rsidRPr="007C7494" w:rsidRDefault="0012049C" w:rsidP="001862E2">
            <w:pPr>
              <w:tabs>
                <w:tab w:val="left" w:pos="1418"/>
              </w:tabs>
              <w:spacing w:before="0" w:after="0"/>
              <w:ind w:left="113" w:right="113"/>
              <w:jc w:val="center"/>
              <w:rPr>
                <w:sz w:val="14"/>
                <w:szCs w:val="14"/>
              </w:rPr>
            </w:pPr>
          </w:p>
        </w:tc>
        <w:tc>
          <w:tcPr>
            <w:tcW w:w="950" w:type="dxa"/>
            <w:shd w:val="clear" w:color="auto" w:fill="BFBFBF" w:themeFill="background1" w:themeFillShade="BF"/>
          </w:tcPr>
          <w:p w14:paraId="097BA44D" w14:textId="77777777" w:rsidR="0012049C" w:rsidRPr="007C7494" w:rsidRDefault="0012049C" w:rsidP="001862E2">
            <w:pPr>
              <w:tabs>
                <w:tab w:val="left" w:pos="1418"/>
              </w:tabs>
              <w:spacing w:before="80" w:after="80"/>
              <w:jc w:val="center"/>
              <w:rPr>
                <w:b/>
                <w:bCs/>
                <w:sz w:val="14"/>
                <w:szCs w:val="14"/>
              </w:rPr>
            </w:pPr>
            <w:r w:rsidRPr="007C7494">
              <w:rPr>
                <w:b/>
                <w:bCs/>
                <w:sz w:val="14"/>
                <w:szCs w:val="14"/>
              </w:rPr>
              <w:t>Catastrophic</w:t>
            </w:r>
          </w:p>
        </w:tc>
        <w:tc>
          <w:tcPr>
            <w:tcW w:w="1100" w:type="dxa"/>
            <w:shd w:val="clear" w:color="auto" w:fill="C00000"/>
          </w:tcPr>
          <w:p w14:paraId="675ACF80"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Very High</w:t>
            </w:r>
          </w:p>
        </w:tc>
        <w:tc>
          <w:tcPr>
            <w:tcW w:w="992" w:type="dxa"/>
            <w:shd w:val="clear" w:color="auto" w:fill="C00000"/>
          </w:tcPr>
          <w:p w14:paraId="21D73DD0"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Very High</w:t>
            </w:r>
          </w:p>
        </w:tc>
        <w:tc>
          <w:tcPr>
            <w:tcW w:w="992" w:type="dxa"/>
            <w:shd w:val="clear" w:color="auto" w:fill="C00000"/>
          </w:tcPr>
          <w:p w14:paraId="596B2602"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Very High</w:t>
            </w:r>
          </w:p>
        </w:tc>
        <w:tc>
          <w:tcPr>
            <w:tcW w:w="851" w:type="dxa"/>
            <w:shd w:val="clear" w:color="auto" w:fill="FF0000"/>
          </w:tcPr>
          <w:p w14:paraId="7E9E0592"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850" w:type="dxa"/>
            <w:shd w:val="clear" w:color="auto" w:fill="FFC000"/>
          </w:tcPr>
          <w:p w14:paraId="0F48B2FE"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1011" w:type="dxa"/>
            <w:shd w:val="clear" w:color="auto" w:fill="FFC000"/>
          </w:tcPr>
          <w:p w14:paraId="730784F9"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1006" w:type="dxa"/>
            <w:shd w:val="clear" w:color="auto" w:fill="FFC000"/>
          </w:tcPr>
          <w:p w14:paraId="02854856"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r>
      <w:tr w:rsidR="0012049C" w:rsidRPr="007C7494" w14:paraId="7DDE1F41" w14:textId="77777777" w:rsidTr="001862E2">
        <w:trPr>
          <w:gridAfter w:val="1"/>
          <w:wAfter w:w="9" w:type="dxa"/>
          <w:cantSplit/>
          <w:trHeight w:val="283"/>
        </w:trPr>
        <w:tc>
          <w:tcPr>
            <w:tcW w:w="502" w:type="dxa"/>
            <w:vMerge/>
            <w:textDirection w:val="btLr"/>
          </w:tcPr>
          <w:p w14:paraId="56B97F36" w14:textId="77777777" w:rsidR="0012049C" w:rsidRPr="007C7494" w:rsidRDefault="0012049C" w:rsidP="001862E2">
            <w:pPr>
              <w:tabs>
                <w:tab w:val="left" w:pos="1418"/>
              </w:tabs>
              <w:spacing w:before="0" w:after="0"/>
              <w:ind w:left="113" w:right="113"/>
              <w:jc w:val="center"/>
              <w:rPr>
                <w:b/>
                <w:bCs/>
                <w:sz w:val="14"/>
                <w:szCs w:val="14"/>
              </w:rPr>
            </w:pPr>
          </w:p>
        </w:tc>
        <w:tc>
          <w:tcPr>
            <w:tcW w:w="950" w:type="dxa"/>
            <w:shd w:val="clear" w:color="auto" w:fill="BFBFBF" w:themeFill="background1" w:themeFillShade="BF"/>
          </w:tcPr>
          <w:p w14:paraId="25520BD7" w14:textId="77777777" w:rsidR="0012049C" w:rsidRPr="007C7494" w:rsidRDefault="0012049C" w:rsidP="001862E2">
            <w:pPr>
              <w:tabs>
                <w:tab w:val="left" w:pos="1418"/>
              </w:tabs>
              <w:spacing w:before="80" w:after="80"/>
              <w:jc w:val="center"/>
              <w:rPr>
                <w:b/>
                <w:bCs/>
                <w:sz w:val="14"/>
                <w:szCs w:val="14"/>
              </w:rPr>
            </w:pPr>
            <w:r w:rsidRPr="007C7494">
              <w:rPr>
                <w:b/>
                <w:bCs/>
                <w:sz w:val="14"/>
                <w:szCs w:val="14"/>
              </w:rPr>
              <w:t>Major</w:t>
            </w:r>
          </w:p>
        </w:tc>
        <w:tc>
          <w:tcPr>
            <w:tcW w:w="1100" w:type="dxa"/>
            <w:shd w:val="clear" w:color="auto" w:fill="C00000"/>
          </w:tcPr>
          <w:p w14:paraId="579D0D0C"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Very High</w:t>
            </w:r>
          </w:p>
        </w:tc>
        <w:tc>
          <w:tcPr>
            <w:tcW w:w="992" w:type="dxa"/>
            <w:shd w:val="clear" w:color="auto" w:fill="C00000"/>
          </w:tcPr>
          <w:p w14:paraId="3F0A6C50"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Very High</w:t>
            </w:r>
          </w:p>
        </w:tc>
        <w:tc>
          <w:tcPr>
            <w:tcW w:w="992" w:type="dxa"/>
            <w:shd w:val="clear" w:color="auto" w:fill="FF0000"/>
          </w:tcPr>
          <w:p w14:paraId="0DEA0292"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851" w:type="dxa"/>
            <w:shd w:val="clear" w:color="auto" w:fill="FF0000"/>
          </w:tcPr>
          <w:p w14:paraId="657155C8"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850" w:type="dxa"/>
            <w:shd w:val="clear" w:color="auto" w:fill="FFC000"/>
          </w:tcPr>
          <w:p w14:paraId="47F4C315"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1011" w:type="dxa"/>
            <w:shd w:val="clear" w:color="auto" w:fill="FFC000"/>
          </w:tcPr>
          <w:p w14:paraId="13ECC5E9"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1006" w:type="dxa"/>
            <w:shd w:val="clear" w:color="auto" w:fill="FFC000"/>
          </w:tcPr>
          <w:p w14:paraId="7D7147D8"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r>
      <w:tr w:rsidR="0012049C" w:rsidRPr="007C7494" w14:paraId="28527B3C" w14:textId="77777777" w:rsidTr="001862E2">
        <w:trPr>
          <w:gridAfter w:val="1"/>
          <w:wAfter w:w="9" w:type="dxa"/>
          <w:trHeight w:val="283"/>
        </w:trPr>
        <w:tc>
          <w:tcPr>
            <w:tcW w:w="502" w:type="dxa"/>
            <w:vMerge/>
          </w:tcPr>
          <w:p w14:paraId="4D61EF22" w14:textId="77777777" w:rsidR="0012049C" w:rsidRPr="007C7494" w:rsidRDefault="0012049C" w:rsidP="001862E2">
            <w:pPr>
              <w:tabs>
                <w:tab w:val="left" w:pos="1418"/>
              </w:tabs>
              <w:spacing w:before="0" w:after="0"/>
              <w:rPr>
                <w:sz w:val="14"/>
                <w:szCs w:val="14"/>
              </w:rPr>
            </w:pPr>
          </w:p>
        </w:tc>
        <w:tc>
          <w:tcPr>
            <w:tcW w:w="950" w:type="dxa"/>
            <w:shd w:val="clear" w:color="auto" w:fill="BFBFBF" w:themeFill="background1" w:themeFillShade="BF"/>
          </w:tcPr>
          <w:p w14:paraId="411FC232" w14:textId="77777777" w:rsidR="0012049C" w:rsidRPr="007C7494" w:rsidRDefault="0012049C" w:rsidP="001862E2">
            <w:pPr>
              <w:tabs>
                <w:tab w:val="left" w:pos="1418"/>
              </w:tabs>
              <w:spacing w:before="80" w:after="80"/>
              <w:jc w:val="center"/>
              <w:rPr>
                <w:b/>
                <w:bCs/>
                <w:sz w:val="14"/>
                <w:szCs w:val="14"/>
              </w:rPr>
            </w:pPr>
            <w:r w:rsidRPr="007C7494">
              <w:rPr>
                <w:b/>
                <w:bCs/>
                <w:sz w:val="14"/>
                <w:szCs w:val="14"/>
              </w:rPr>
              <w:t>Moderate</w:t>
            </w:r>
          </w:p>
        </w:tc>
        <w:tc>
          <w:tcPr>
            <w:tcW w:w="1100" w:type="dxa"/>
            <w:shd w:val="clear" w:color="auto" w:fill="FF0000"/>
          </w:tcPr>
          <w:p w14:paraId="7A69BFA4"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992" w:type="dxa"/>
            <w:shd w:val="clear" w:color="auto" w:fill="FF0000"/>
          </w:tcPr>
          <w:p w14:paraId="45EA01B8"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992" w:type="dxa"/>
            <w:shd w:val="clear" w:color="auto" w:fill="FF0000"/>
          </w:tcPr>
          <w:p w14:paraId="3D50D586"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High</w:t>
            </w:r>
          </w:p>
        </w:tc>
        <w:tc>
          <w:tcPr>
            <w:tcW w:w="851" w:type="dxa"/>
            <w:shd w:val="clear" w:color="auto" w:fill="FFC000"/>
          </w:tcPr>
          <w:p w14:paraId="611C3BD0"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850" w:type="dxa"/>
            <w:shd w:val="clear" w:color="auto" w:fill="FFC000"/>
          </w:tcPr>
          <w:p w14:paraId="132F7501"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1011" w:type="dxa"/>
            <w:shd w:val="clear" w:color="auto" w:fill="00B050"/>
          </w:tcPr>
          <w:p w14:paraId="1EA8640F"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Low</w:t>
            </w:r>
          </w:p>
        </w:tc>
        <w:tc>
          <w:tcPr>
            <w:tcW w:w="1006" w:type="dxa"/>
            <w:shd w:val="clear" w:color="auto" w:fill="00B050"/>
          </w:tcPr>
          <w:p w14:paraId="3D134BDF"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Low</w:t>
            </w:r>
          </w:p>
        </w:tc>
      </w:tr>
      <w:tr w:rsidR="0012049C" w:rsidRPr="007C7494" w14:paraId="45BEB2AC" w14:textId="77777777" w:rsidTr="001862E2">
        <w:trPr>
          <w:gridAfter w:val="1"/>
          <w:wAfter w:w="9" w:type="dxa"/>
          <w:trHeight w:val="283"/>
        </w:trPr>
        <w:tc>
          <w:tcPr>
            <w:tcW w:w="502" w:type="dxa"/>
            <w:vMerge/>
          </w:tcPr>
          <w:p w14:paraId="7F4E82BC" w14:textId="77777777" w:rsidR="0012049C" w:rsidRPr="007C7494" w:rsidRDefault="0012049C" w:rsidP="001862E2">
            <w:pPr>
              <w:tabs>
                <w:tab w:val="left" w:pos="1418"/>
              </w:tabs>
              <w:spacing w:before="0" w:after="0"/>
              <w:rPr>
                <w:sz w:val="14"/>
                <w:szCs w:val="14"/>
              </w:rPr>
            </w:pPr>
          </w:p>
        </w:tc>
        <w:tc>
          <w:tcPr>
            <w:tcW w:w="950" w:type="dxa"/>
            <w:shd w:val="clear" w:color="auto" w:fill="BFBFBF" w:themeFill="background1" w:themeFillShade="BF"/>
          </w:tcPr>
          <w:p w14:paraId="01FA739E" w14:textId="77777777" w:rsidR="0012049C" w:rsidRPr="007C7494" w:rsidRDefault="0012049C" w:rsidP="001862E2">
            <w:pPr>
              <w:tabs>
                <w:tab w:val="left" w:pos="1418"/>
              </w:tabs>
              <w:spacing w:before="80" w:after="80"/>
              <w:jc w:val="center"/>
              <w:rPr>
                <w:b/>
                <w:bCs/>
                <w:sz w:val="14"/>
                <w:szCs w:val="14"/>
              </w:rPr>
            </w:pPr>
            <w:r w:rsidRPr="007C7494">
              <w:rPr>
                <w:b/>
                <w:bCs/>
                <w:sz w:val="14"/>
                <w:szCs w:val="14"/>
              </w:rPr>
              <w:t>Minor</w:t>
            </w:r>
          </w:p>
        </w:tc>
        <w:tc>
          <w:tcPr>
            <w:tcW w:w="1100" w:type="dxa"/>
            <w:shd w:val="clear" w:color="auto" w:fill="FFC000"/>
          </w:tcPr>
          <w:p w14:paraId="003217B2"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992" w:type="dxa"/>
            <w:shd w:val="clear" w:color="auto" w:fill="FFC000"/>
          </w:tcPr>
          <w:p w14:paraId="1CC3A9FC"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992" w:type="dxa"/>
            <w:shd w:val="clear" w:color="auto" w:fill="FFC000"/>
          </w:tcPr>
          <w:p w14:paraId="195CFA5E"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851" w:type="dxa"/>
            <w:shd w:val="clear" w:color="auto" w:fill="FFC000"/>
          </w:tcPr>
          <w:p w14:paraId="1EFD98DB" w14:textId="77777777" w:rsidR="0012049C" w:rsidRPr="007C7494" w:rsidRDefault="0012049C" w:rsidP="001862E2">
            <w:pPr>
              <w:tabs>
                <w:tab w:val="left" w:pos="1418"/>
              </w:tabs>
              <w:spacing w:before="80" w:after="80"/>
              <w:jc w:val="center"/>
              <w:rPr>
                <w:color w:val="FFFFFF" w:themeColor="background1"/>
                <w:sz w:val="14"/>
                <w:szCs w:val="14"/>
              </w:rPr>
            </w:pPr>
            <w:r w:rsidRPr="007C7494">
              <w:rPr>
                <w:bCs/>
                <w:color w:val="FFFFFF" w:themeColor="background1"/>
                <w:sz w:val="14"/>
                <w:szCs w:val="14"/>
              </w:rPr>
              <w:t>Medium</w:t>
            </w:r>
          </w:p>
        </w:tc>
        <w:tc>
          <w:tcPr>
            <w:tcW w:w="850" w:type="dxa"/>
            <w:shd w:val="clear" w:color="auto" w:fill="00B050"/>
          </w:tcPr>
          <w:p w14:paraId="01DDBF96"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1011" w:type="dxa"/>
            <w:shd w:val="clear" w:color="auto" w:fill="00B050"/>
          </w:tcPr>
          <w:p w14:paraId="330B8F8C"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1006" w:type="dxa"/>
            <w:shd w:val="clear" w:color="auto" w:fill="00B050"/>
          </w:tcPr>
          <w:p w14:paraId="5D8EAE39"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r>
      <w:tr w:rsidR="0012049C" w:rsidRPr="007C7494" w14:paraId="0A3C662F" w14:textId="77777777" w:rsidTr="001862E2">
        <w:trPr>
          <w:gridAfter w:val="1"/>
          <w:wAfter w:w="9" w:type="dxa"/>
          <w:trHeight w:val="283"/>
        </w:trPr>
        <w:tc>
          <w:tcPr>
            <w:tcW w:w="502" w:type="dxa"/>
            <w:vMerge/>
          </w:tcPr>
          <w:p w14:paraId="3FD954E3" w14:textId="77777777" w:rsidR="0012049C" w:rsidRPr="007C7494" w:rsidRDefault="0012049C" w:rsidP="001862E2">
            <w:pPr>
              <w:tabs>
                <w:tab w:val="left" w:pos="1418"/>
              </w:tabs>
              <w:spacing w:before="0" w:after="0"/>
              <w:rPr>
                <w:sz w:val="14"/>
                <w:szCs w:val="14"/>
              </w:rPr>
            </w:pPr>
          </w:p>
        </w:tc>
        <w:tc>
          <w:tcPr>
            <w:tcW w:w="950" w:type="dxa"/>
            <w:shd w:val="clear" w:color="auto" w:fill="BFBFBF" w:themeFill="background1" w:themeFillShade="BF"/>
          </w:tcPr>
          <w:p w14:paraId="0F9A7198" w14:textId="77777777" w:rsidR="0012049C" w:rsidRPr="007C7494" w:rsidRDefault="0012049C" w:rsidP="001862E2">
            <w:pPr>
              <w:tabs>
                <w:tab w:val="left" w:pos="1418"/>
              </w:tabs>
              <w:spacing w:before="80" w:after="80"/>
              <w:jc w:val="center"/>
              <w:rPr>
                <w:b/>
                <w:bCs/>
                <w:sz w:val="14"/>
                <w:szCs w:val="14"/>
              </w:rPr>
            </w:pPr>
            <w:r w:rsidRPr="007C7494">
              <w:rPr>
                <w:b/>
                <w:bCs/>
                <w:sz w:val="14"/>
                <w:szCs w:val="14"/>
              </w:rPr>
              <w:t>Negligible</w:t>
            </w:r>
          </w:p>
        </w:tc>
        <w:tc>
          <w:tcPr>
            <w:tcW w:w="1100" w:type="dxa"/>
            <w:shd w:val="clear" w:color="auto" w:fill="00B050"/>
          </w:tcPr>
          <w:p w14:paraId="330481A0"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992" w:type="dxa"/>
            <w:shd w:val="clear" w:color="auto" w:fill="00B050"/>
          </w:tcPr>
          <w:p w14:paraId="4EEDB3D0"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992" w:type="dxa"/>
            <w:shd w:val="clear" w:color="auto" w:fill="00B050"/>
          </w:tcPr>
          <w:p w14:paraId="1018007E"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851" w:type="dxa"/>
            <w:shd w:val="clear" w:color="auto" w:fill="00B050"/>
          </w:tcPr>
          <w:p w14:paraId="03D791A8"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850" w:type="dxa"/>
            <w:shd w:val="clear" w:color="auto" w:fill="00B050"/>
          </w:tcPr>
          <w:p w14:paraId="7FFB9020"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1011" w:type="dxa"/>
            <w:shd w:val="clear" w:color="auto" w:fill="00B050"/>
          </w:tcPr>
          <w:p w14:paraId="70D5215F"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c>
          <w:tcPr>
            <w:tcW w:w="1006" w:type="dxa"/>
            <w:shd w:val="clear" w:color="auto" w:fill="00B050"/>
          </w:tcPr>
          <w:p w14:paraId="3B6E1C31" w14:textId="77777777" w:rsidR="0012049C" w:rsidRPr="007C7494" w:rsidRDefault="0012049C" w:rsidP="001862E2">
            <w:pPr>
              <w:tabs>
                <w:tab w:val="left" w:pos="1418"/>
              </w:tabs>
              <w:spacing w:before="80" w:after="80"/>
              <w:jc w:val="center"/>
              <w:rPr>
                <w:color w:val="FFFFFF" w:themeColor="background1"/>
                <w:sz w:val="14"/>
                <w:szCs w:val="14"/>
              </w:rPr>
            </w:pPr>
            <w:r w:rsidRPr="007C7494">
              <w:rPr>
                <w:color w:val="FFFFFF" w:themeColor="background1"/>
                <w:sz w:val="14"/>
                <w:szCs w:val="14"/>
              </w:rPr>
              <w:t>Low</w:t>
            </w:r>
          </w:p>
        </w:tc>
      </w:tr>
    </w:tbl>
    <w:p w14:paraId="387AD933" w14:textId="678517AA" w:rsidR="00B350B8" w:rsidRPr="00493A3B" w:rsidRDefault="00B350B8" w:rsidP="00B350B8">
      <w:pPr>
        <w:pStyle w:val="Heading3"/>
      </w:pPr>
      <w:r w:rsidRPr="00493A3B">
        <w:t>Mitigation measures</w:t>
      </w:r>
    </w:p>
    <w:p w14:paraId="5BEB534A" w14:textId="6D72A564" w:rsidR="00B350B8" w:rsidRPr="00493A3B" w:rsidRDefault="00B350B8" w:rsidP="00D046E6">
      <w:pPr>
        <w:pStyle w:val="BodyText"/>
      </w:pPr>
      <w:r w:rsidRPr="00493A3B">
        <w:t>Clause 3.2(2)</w:t>
      </w:r>
      <w:r w:rsidR="00D67394" w:rsidRPr="00493A3B">
        <w:t>(a</w:t>
      </w:r>
      <w:r w:rsidRPr="00493A3B">
        <w:t xml:space="preserve">) of the NPS-NH directs that an assessment of natural hazard risk must consider the impact of existing and proposed mitigation measures. This is to ensure the risk </w:t>
      </w:r>
      <w:r w:rsidRPr="00493A3B">
        <w:rPr>
          <w:rStyle w:val="BodyTextChar"/>
        </w:rPr>
        <w:t xml:space="preserve">assessment fully considers the proposal, and to encourage </w:t>
      </w:r>
      <w:r w:rsidR="00175614">
        <w:rPr>
          <w:rStyle w:val="BodyTextChar"/>
        </w:rPr>
        <w:t>p</w:t>
      </w:r>
      <w:r w:rsidRPr="00493A3B">
        <w:rPr>
          <w:rStyle w:val="BodyTextChar"/>
        </w:rPr>
        <w:t xml:space="preserve">roponents of development </w:t>
      </w:r>
      <w:r w:rsidRPr="00493A3B">
        <w:t>to consider including site</w:t>
      </w:r>
      <w:r w:rsidR="007A5D81" w:rsidRPr="00493A3B">
        <w:t>-</w:t>
      </w:r>
      <w:r w:rsidRPr="00493A3B">
        <w:t xml:space="preserve">level </w:t>
      </w:r>
      <w:r w:rsidR="00175614">
        <w:t>mitigation</w:t>
      </w:r>
      <w:r w:rsidRPr="00493A3B">
        <w:t xml:space="preserve"> </w:t>
      </w:r>
      <w:r w:rsidR="00175614">
        <w:t>measures</w:t>
      </w:r>
      <w:r w:rsidRPr="00493A3B">
        <w:t xml:space="preserve"> where those will reduce the </w:t>
      </w:r>
      <w:r w:rsidR="00C33882">
        <w:t>risk from</w:t>
      </w:r>
      <w:r w:rsidRPr="00493A3B">
        <w:t xml:space="preserve"> natural hazard</w:t>
      </w:r>
      <w:r w:rsidR="008C2099">
        <w:t>s</w:t>
      </w:r>
      <w:r w:rsidRPr="00493A3B">
        <w:t>.</w:t>
      </w:r>
    </w:p>
    <w:p w14:paraId="443D1C8B" w14:textId="5F0EFFF2" w:rsidR="00956E57" w:rsidRPr="00493A3B" w:rsidRDefault="0049169E" w:rsidP="0042633E">
      <w:pPr>
        <w:pStyle w:val="Heading3"/>
      </w:pPr>
      <w:r w:rsidRPr="00493A3B">
        <w:t>Residual risk</w:t>
      </w:r>
    </w:p>
    <w:p w14:paraId="1FECF7A6" w14:textId="7C2A9731" w:rsidR="00E73E19" w:rsidRPr="00493A3B" w:rsidRDefault="00E73E19" w:rsidP="00D046E6">
      <w:pPr>
        <w:pStyle w:val="BodyText"/>
      </w:pPr>
      <w:r w:rsidRPr="00493A3B">
        <w:rPr>
          <w:spacing w:val="-2"/>
        </w:rPr>
        <w:t>Clause 3.2(2)</w:t>
      </w:r>
      <w:r w:rsidR="00D67394" w:rsidRPr="00493A3B">
        <w:rPr>
          <w:spacing w:val="-2"/>
        </w:rPr>
        <w:t>(b</w:t>
      </w:r>
      <w:r w:rsidRPr="00493A3B">
        <w:rPr>
          <w:spacing w:val="-2"/>
        </w:rPr>
        <w:t xml:space="preserve">) of the NPS-NH requires decision-makers </w:t>
      </w:r>
      <w:r w:rsidR="006F272F" w:rsidRPr="00493A3B">
        <w:rPr>
          <w:spacing w:val="-2"/>
        </w:rPr>
        <w:t xml:space="preserve">to </w:t>
      </w:r>
      <w:r w:rsidRPr="00493A3B">
        <w:rPr>
          <w:spacing w:val="-2"/>
        </w:rPr>
        <w:t>consider the residual risk associated with any existing or proposed mitigation measures when assessing natural hazard risk.</w:t>
      </w:r>
      <w:r w:rsidRPr="00493A3B">
        <w:t xml:space="preserve"> </w:t>
      </w:r>
      <w:r w:rsidR="00EA74FF" w:rsidRPr="00493A3B">
        <w:t>Residual risk is the risk that remains after risk treatment measures (</w:t>
      </w:r>
      <w:r w:rsidR="00F836ED" w:rsidRPr="00493A3B">
        <w:t>ie,</w:t>
      </w:r>
      <w:r w:rsidR="00EA74FF" w:rsidRPr="00493A3B">
        <w:t xml:space="preserve"> avoidance</w:t>
      </w:r>
      <w:r w:rsidR="00E80AE8">
        <w:t xml:space="preserve"> or</w:t>
      </w:r>
      <w:r w:rsidR="00EA74FF" w:rsidRPr="00493A3B">
        <w:t xml:space="preserve"> mitigation</w:t>
      </w:r>
      <w:r w:rsidR="00E80AE8">
        <w:t>)</w:t>
      </w:r>
      <w:r w:rsidR="00EA74FF" w:rsidRPr="00493A3B">
        <w:t xml:space="preserve"> have been applied.</w:t>
      </w:r>
      <w:r w:rsidR="004D4763">
        <w:t xml:space="preserve"> This is because any </w:t>
      </w:r>
      <w:r w:rsidR="00995986">
        <w:t xml:space="preserve">new </w:t>
      </w:r>
      <w:r w:rsidR="004D4763">
        <w:t>development in hazard prone areas</w:t>
      </w:r>
      <w:r w:rsidR="003D1DB9">
        <w:t>, even with mitigation measures,</w:t>
      </w:r>
      <w:r w:rsidR="004D4763">
        <w:t xml:space="preserve"> will result in an increase</w:t>
      </w:r>
      <w:r w:rsidR="003D1DB9">
        <w:t xml:space="preserve"> in </w:t>
      </w:r>
      <w:r w:rsidR="00AD4C0F">
        <w:t xml:space="preserve">exposure and an increase in overall </w:t>
      </w:r>
      <w:r w:rsidR="003D1DB9">
        <w:t>risk</w:t>
      </w:r>
      <w:r w:rsidR="00AD4C0F">
        <w:t>.</w:t>
      </w:r>
    </w:p>
    <w:p w14:paraId="65C65AF5" w14:textId="5DAEEF65" w:rsidR="002E7AF2" w:rsidRPr="00493A3B" w:rsidRDefault="00E73E19" w:rsidP="00D046E6">
      <w:pPr>
        <w:pStyle w:val="BodyText"/>
      </w:pPr>
      <w:r w:rsidRPr="00493A3B">
        <w:t xml:space="preserve">At the consenting scale, it is most often hard structural </w:t>
      </w:r>
      <w:r w:rsidR="00A80ACE" w:rsidRPr="00493A3B">
        <w:t xml:space="preserve">measures </w:t>
      </w:r>
      <w:r w:rsidR="00257748" w:rsidRPr="00493A3B">
        <w:t>(eg</w:t>
      </w:r>
      <w:r w:rsidR="00A80ACE" w:rsidRPr="00493A3B">
        <w:t>,</w:t>
      </w:r>
      <w:r w:rsidR="00257748" w:rsidRPr="00493A3B">
        <w:t xml:space="preserve"> catch nets for slope instability) </w:t>
      </w:r>
      <w:r w:rsidR="008F5CCA" w:rsidRPr="00493A3B">
        <w:t xml:space="preserve">or design </w:t>
      </w:r>
      <w:r w:rsidRPr="00493A3B">
        <w:t xml:space="preserve">measures </w:t>
      </w:r>
      <w:r w:rsidR="00257748" w:rsidRPr="00493A3B">
        <w:t>(eg</w:t>
      </w:r>
      <w:r w:rsidR="00A80ACE" w:rsidRPr="00493A3B">
        <w:t>,</w:t>
      </w:r>
      <w:r w:rsidR="00257748" w:rsidRPr="00493A3B">
        <w:t xml:space="preserve"> minimum floor levels for flooding) </w:t>
      </w:r>
      <w:r w:rsidRPr="00493A3B">
        <w:t>that are proposed to mitigate the risk from natural hazar</w:t>
      </w:r>
      <w:r w:rsidR="007C43D2" w:rsidRPr="00493A3B">
        <w:t>ds</w:t>
      </w:r>
      <w:r w:rsidRPr="00493A3B">
        <w:t xml:space="preserve">. These are designed to protect against a </w:t>
      </w:r>
      <w:r w:rsidR="001965B9" w:rsidRPr="00493A3B">
        <w:t xml:space="preserve">particular </w:t>
      </w:r>
      <w:r w:rsidRPr="00493A3B">
        <w:t>likelihood event, and residual risk arises from the potential</w:t>
      </w:r>
      <w:r w:rsidR="00F65123" w:rsidRPr="00493A3B">
        <w:t xml:space="preserve"> occurrence</w:t>
      </w:r>
      <w:r w:rsidRPr="00493A3B">
        <w:t xml:space="preserve"> </w:t>
      </w:r>
      <w:r w:rsidR="00F65123" w:rsidRPr="00493A3B">
        <w:t xml:space="preserve">of </w:t>
      </w:r>
      <w:r w:rsidRPr="00493A3B">
        <w:t xml:space="preserve">a natural hazard event </w:t>
      </w:r>
      <w:r w:rsidR="00611EEC" w:rsidRPr="00493A3B">
        <w:t>that is</w:t>
      </w:r>
      <w:r w:rsidR="00AD71EA" w:rsidRPr="00493A3B">
        <w:t xml:space="preserve"> </w:t>
      </w:r>
      <w:r w:rsidRPr="00493A3B">
        <w:t xml:space="preserve">beyond the design </w:t>
      </w:r>
      <w:r w:rsidR="007F0F74" w:rsidRPr="00493A3B">
        <w:t>threshold</w:t>
      </w:r>
      <w:r w:rsidRPr="00493A3B">
        <w:t xml:space="preserve"> of the </w:t>
      </w:r>
      <w:r w:rsidR="001C13C7" w:rsidRPr="00493A3B">
        <w:t>mitigation measure</w:t>
      </w:r>
      <w:r w:rsidRPr="00493A3B">
        <w:t>.</w:t>
      </w:r>
      <w:r w:rsidR="00B350B8" w:rsidRPr="00493A3B">
        <w:t xml:space="preserve"> </w:t>
      </w:r>
    </w:p>
    <w:p w14:paraId="4A94F642" w14:textId="51AF5C70" w:rsidR="003D54F3" w:rsidRPr="00493A3B" w:rsidRDefault="00B350B8" w:rsidP="00B432F2">
      <w:pPr>
        <w:pStyle w:val="BodyText"/>
        <w:keepLines/>
      </w:pPr>
      <w:r w:rsidRPr="00493A3B">
        <w:t>Decision</w:t>
      </w:r>
      <w:r w:rsidR="00DD78A5" w:rsidRPr="00493A3B">
        <w:t>-</w:t>
      </w:r>
      <w:r w:rsidRPr="00493A3B">
        <w:t xml:space="preserve">makers </w:t>
      </w:r>
      <w:r w:rsidR="003C45FB" w:rsidRPr="00493A3B">
        <w:t xml:space="preserve">should </w:t>
      </w:r>
      <w:r w:rsidRPr="00493A3B">
        <w:t xml:space="preserve">be aware that extreme events </w:t>
      </w:r>
      <w:r w:rsidR="002966E9" w:rsidRPr="00493A3B">
        <w:t xml:space="preserve">that </w:t>
      </w:r>
      <w:r w:rsidRPr="00493A3B">
        <w:t xml:space="preserve">exceed design thresholds are possible, and </w:t>
      </w:r>
      <w:r w:rsidR="003C45FB" w:rsidRPr="00493A3B">
        <w:t xml:space="preserve">they </w:t>
      </w:r>
      <w:r w:rsidR="00720DDD" w:rsidRPr="00493A3B">
        <w:t xml:space="preserve">may need to </w:t>
      </w:r>
      <w:r w:rsidR="003C45FB" w:rsidRPr="00493A3B">
        <w:t xml:space="preserve">prepare </w:t>
      </w:r>
      <w:r w:rsidRPr="00493A3B">
        <w:t xml:space="preserve">emergency management plans and other </w:t>
      </w:r>
      <w:r w:rsidR="003C45FB" w:rsidRPr="00493A3B">
        <w:t xml:space="preserve">response </w:t>
      </w:r>
      <w:r w:rsidRPr="00493A3B">
        <w:t>strategies. Actions such as intensifying housing in areas protected from flooding by hard structures may increase risk to life in an extreme event which overtops defences, and local authorities should ensure they have planned to manage such events.</w:t>
      </w:r>
      <w:r w:rsidR="00705755" w:rsidRPr="00493A3B">
        <w:t xml:space="preserve"> </w:t>
      </w:r>
    </w:p>
    <w:p w14:paraId="13CF44D0" w14:textId="77777777" w:rsidR="00F06572" w:rsidRPr="00493A3B" w:rsidRDefault="00F06572" w:rsidP="00F06572">
      <w:pPr>
        <w:pStyle w:val="Heading3"/>
      </w:pPr>
      <w:r w:rsidRPr="00493A3B">
        <w:lastRenderedPageBreak/>
        <w:t>Impacts of climate change</w:t>
      </w:r>
    </w:p>
    <w:p w14:paraId="118FA0FA" w14:textId="3E7A87AC" w:rsidR="00F06572" w:rsidRDefault="00F06572" w:rsidP="00A30D6A">
      <w:pPr>
        <w:pStyle w:val="BodyText"/>
        <w:spacing w:before="80" w:after="100"/>
      </w:pPr>
      <w:r w:rsidRPr="00493A3B">
        <w:t>Policy 6</w:t>
      </w:r>
      <w:r w:rsidR="003A0C6C" w:rsidRPr="00493A3B">
        <w:t xml:space="preserve"> of the NPS-NH</w:t>
      </w:r>
      <w:r w:rsidRPr="00493A3B">
        <w:t xml:space="preserve"> requires </w:t>
      </w:r>
      <w:r w:rsidR="005049E9" w:rsidRPr="00493A3B">
        <w:t xml:space="preserve">a risk assessment to consider </w:t>
      </w:r>
      <w:r w:rsidRPr="00493A3B">
        <w:t xml:space="preserve">the potential impacts of climate change to at least 100 years into the future. The 100-year timeframe will apply when using </w:t>
      </w:r>
      <w:r w:rsidRPr="00493A3B">
        <w:rPr>
          <w:spacing w:val="-2"/>
        </w:rPr>
        <w:t xml:space="preserve">existing hazard data and information for use in the risk assessment process. If </w:t>
      </w:r>
      <w:r w:rsidR="001B3138" w:rsidRPr="00493A3B">
        <w:rPr>
          <w:spacing w:val="-2"/>
        </w:rPr>
        <w:t>information that includes</w:t>
      </w:r>
      <w:r w:rsidR="00750AB1" w:rsidRPr="00493A3B">
        <w:rPr>
          <w:spacing w:val="-2"/>
        </w:rPr>
        <w:t xml:space="preserve"> climate change over</w:t>
      </w:r>
      <w:r w:rsidR="001B3138" w:rsidRPr="00493A3B">
        <w:rPr>
          <w:spacing w:val="-2"/>
        </w:rPr>
        <w:t xml:space="preserve"> </w:t>
      </w:r>
      <w:r w:rsidRPr="00493A3B">
        <w:rPr>
          <w:spacing w:val="-2"/>
        </w:rPr>
        <w:t xml:space="preserve">the 100-year timeframe is not </w:t>
      </w:r>
      <w:r w:rsidR="00E83A6C" w:rsidRPr="00493A3B">
        <w:rPr>
          <w:spacing w:val="-2"/>
        </w:rPr>
        <w:t xml:space="preserve">available or </w:t>
      </w:r>
      <w:r w:rsidRPr="00493A3B">
        <w:rPr>
          <w:spacing w:val="-2"/>
        </w:rPr>
        <w:t>applicable</w:t>
      </w:r>
      <w:r w:rsidR="008D1A67" w:rsidRPr="00493A3B">
        <w:rPr>
          <w:spacing w:val="-2"/>
        </w:rPr>
        <w:t>, p</w:t>
      </w:r>
      <w:r w:rsidRPr="00493A3B">
        <w:rPr>
          <w:spacing w:val="-2"/>
        </w:rPr>
        <w:t xml:space="preserve">olicy 5 </w:t>
      </w:r>
      <w:r w:rsidR="006E63D4" w:rsidRPr="00493A3B">
        <w:rPr>
          <w:spacing w:val="-2"/>
        </w:rPr>
        <w:t>(assessment and decisions must be based on the best available i</w:t>
      </w:r>
      <w:r w:rsidRPr="00493A3B">
        <w:rPr>
          <w:spacing w:val="-2"/>
        </w:rPr>
        <w:t>nformation) would apply.</w:t>
      </w:r>
    </w:p>
    <w:p w14:paraId="3C02AD18" w14:textId="4BFE892B" w:rsidR="00184BE9" w:rsidRPr="00493A3B" w:rsidRDefault="00184BE9" w:rsidP="00184BE9">
      <w:pPr>
        <w:pStyle w:val="BodyText"/>
        <w:spacing w:before="80" w:after="100"/>
      </w:pPr>
      <w:r>
        <w:rPr>
          <w:spacing w:val="-2"/>
        </w:rPr>
        <w:t xml:space="preserve">The climate change scenarios </w:t>
      </w:r>
      <w:r w:rsidR="002957E5">
        <w:rPr>
          <w:spacing w:val="-2"/>
        </w:rPr>
        <w:t>and projections</w:t>
      </w:r>
      <w:r>
        <w:rPr>
          <w:spacing w:val="-2"/>
        </w:rPr>
        <w:t xml:space="preserve"> that are used in a risk assessment should reflect the decision-making process they are informing (e.g., spatial planning, zoning, consenting). </w:t>
      </w:r>
      <w:r w:rsidR="00E639B2">
        <w:rPr>
          <w:spacing w:val="-2"/>
        </w:rPr>
        <w:t xml:space="preserve">This is consistent with a risk based, proportionate approach. </w:t>
      </w:r>
    </w:p>
    <w:p w14:paraId="1427E6CC" w14:textId="344B7832" w:rsidR="00F666BE" w:rsidRPr="00F666BE" w:rsidRDefault="00E639B2" w:rsidP="110441CC">
      <w:pPr>
        <w:pStyle w:val="BodyText"/>
        <w:spacing w:before="80" w:after="100"/>
      </w:pPr>
      <w:r>
        <w:rPr>
          <w:spacing w:val="-2"/>
        </w:rPr>
        <w:t>T</w:t>
      </w:r>
      <w:r w:rsidR="00F97F4F">
        <w:rPr>
          <w:spacing w:val="-2"/>
        </w:rPr>
        <w:t>here is no single statutory requirement mandating the use of a specific</w:t>
      </w:r>
      <w:r w:rsidR="01E08D90">
        <w:rPr>
          <w:spacing w:val="-2"/>
        </w:rPr>
        <w:t xml:space="preserve"> future </w:t>
      </w:r>
      <w:r w:rsidR="00F97F4F">
        <w:rPr>
          <w:spacing w:val="-2"/>
        </w:rPr>
        <w:t>projection</w:t>
      </w:r>
      <w:r>
        <w:rPr>
          <w:spacing w:val="-2"/>
        </w:rPr>
        <w:t xml:space="preserve"> when assessing the risk from natural hazards impacted by climate change</w:t>
      </w:r>
      <w:r w:rsidR="00F97F4F">
        <w:rPr>
          <w:spacing w:val="-2"/>
        </w:rPr>
        <w:t xml:space="preserve">. </w:t>
      </w:r>
      <w:r w:rsidR="00F666BE" w:rsidRPr="00F666BE">
        <w:rPr>
          <w:spacing w:val="-2"/>
        </w:rPr>
        <w:t xml:space="preserve">Current expectations are set through national guidance and policy frameworks, including </w:t>
      </w:r>
      <w:r w:rsidR="00F666BE" w:rsidRPr="00D952F9">
        <w:rPr>
          <w:spacing w:val="-2"/>
        </w:rPr>
        <w:t xml:space="preserve">the </w:t>
      </w:r>
      <w:r w:rsidR="00D952F9" w:rsidRPr="00823D9E">
        <w:t>national adaptation plan (NA</w:t>
      </w:r>
      <w:r w:rsidR="001A4727">
        <w:t>P</w:t>
      </w:r>
      <w:r w:rsidR="00823D9E">
        <w:t>)</w:t>
      </w:r>
      <w:r w:rsidR="00184BE9">
        <w:t>.</w:t>
      </w:r>
    </w:p>
    <w:p w14:paraId="6AE991B2" w14:textId="57AF1F69" w:rsidR="001A4727" w:rsidRPr="00F666BE" w:rsidRDefault="00F247C6" w:rsidP="001A4727">
      <w:pPr>
        <w:pStyle w:val="BodyText"/>
        <w:spacing w:before="80" w:after="100"/>
      </w:pPr>
      <w:r>
        <w:rPr>
          <w:spacing w:val="-2"/>
        </w:rPr>
        <w:t>The NAP</w:t>
      </w:r>
      <w:r w:rsidR="00F666BE" w:rsidRPr="00F666BE">
        <w:rPr>
          <w:spacing w:val="-2"/>
        </w:rPr>
        <w:t xml:space="preserve"> is principles</w:t>
      </w:r>
      <w:r w:rsidR="00F666BE" w:rsidRPr="00F666BE">
        <w:rPr>
          <w:spacing w:val="-2"/>
        </w:rPr>
        <w:noBreakHyphen/>
        <w:t>based rather than prescriptive, leaving judgement to decision</w:t>
      </w:r>
      <w:r w:rsidR="00F666BE" w:rsidRPr="00F666BE">
        <w:rPr>
          <w:spacing w:val="-2"/>
        </w:rPr>
        <w:noBreakHyphen/>
        <w:t>makers, who use this science for different purposes. </w:t>
      </w:r>
      <w:r w:rsidR="001A4727">
        <w:rPr>
          <w:spacing w:val="-2"/>
        </w:rPr>
        <w:t xml:space="preserve">The NAP </w:t>
      </w:r>
      <w:r w:rsidR="5631CE41">
        <w:rPr>
          <w:spacing w:val="-2"/>
        </w:rPr>
        <w:t>recommends</w:t>
      </w:r>
      <w:r w:rsidR="001A4727">
        <w:rPr>
          <w:spacing w:val="-2"/>
        </w:rPr>
        <w:t>:</w:t>
      </w:r>
    </w:p>
    <w:p w14:paraId="1D87414B" w14:textId="77777777" w:rsidR="001A4727" w:rsidRPr="00F666BE" w:rsidRDefault="001A4727" w:rsidP="001A4727">
      <w:pPr>
        <w:pStyle w:val="Bullet"/>
      </w:pPr>
      <w:r w:rsidRPr="00F666BE">
        <w:rPr>
          <w:rFonts w:eastAsiaTheme="majorEastAsia"/>
        </w:rPr>
        <w:t>consideration of a range of plausible future conditions; and </w:t>
      </w:r>
    </w:p>
    <w:p w14:paraId="5EE676C5" w14:textId="1266C52D" w:rsidR="001A4727" w:rsidRPr="002A1A62" w:rsidRDefault="00716243" w:rsidP="002A1A62">
      <w:pPr>
        <w:pStyle w:val="Bullet"/>
        <w:rPr>
          <w:rFonts w:eastAsiaTheme="majorEastAsia"/>
        </w:rPr>
      </w:pPr>
      <w:r w:rsidRPr="110441CC">
        <w:rPr>
          <w:rFonts w:eastAsiaTheme="majorEastAsia"/>
        </w:rPr>
        <w:t xml:space="preserve">tailoring the </w:t>
      </w:r>
      <w:r w:rsidR="00890FBA" w:rsidRPr="110441CC">
        <w:rPr>
          <w:rFonts w:eastAsiaTheme="majorEastAsia"/>
        </w:rPr>
        <w:t xml:space="preserve">scenario used to suit the </w:t>
      </w:r>
      <w:r w:rsidR="00AF10D4" w:rsidRPr="110441CC">
        <w:rPr>
          <w:rFonts w:eastAsiaTheme="majorEastAsia"/>
        </w:rPr>
        <w:t>longevity and significance of the activity</w:t>
      </w:r>
      <w:r w:rsidR="00890FBA" w:rsidRPr="110441CC">
        <w:rPr>
          <w:rFonts w:eastAsiaTheme="majorEastAsia"/>
        </w:rPr>
        <w:t xml:space="preserve"> being consider</w:t>
      </w:r>
      <w:r w:rsidR="00AF10D4" w:rsidRPr="110441CC">
        <w:rPr>
          <w:rFonts w:eastAsiaTheme="majorEastAsia"/>
        </w:rPr>
        <w:t>ed.</w:t>
      </w:r>
    </w:p>
    <w:p w14:paraId="15FECD7A" w14:textId="61CA8697" w:rsidR="00BB4726" w:rsidRPr="00493A3B" w:rsidRDefault="2A405D59" w:rsidP="003531C0">
      <w:pPr>
        <w:pStyle w:val="BodyText"/>
        <w:spacing w:before="240"/>
      </w:pPr>
      <w:r>
        <w:t>T</w:t>
      </w:r>
      <w:r w:rsidR="00BB4726">
        <w:t>he impacts of climate change will increase the likelihood of climate-sensitive hazards such as flooding and rainfall</w:t>
      </w:r>
      <w:r w:rsidR="005B7DC6">
        <w:t>-</w:t>
      </w:r>
      <w:r w:rsidR="00BB4726">
        <w:t>induced landslips</w:t>
      </w:r>
      <w:r w:rsidR="005B7DC6">
        <w:t>. This means</w:t>
      </w:r>
      <w:r w:rsidR="00BB4726">
        <w:t xml:space="preserve"> that what is currently a 1</w:t>
      </w:r>
      <w:r w:rsidR="005B7DC6">
        <w:t xml:space="preserve"> percent</w:t>
      </w:r>
      <w:r w:rsidR="00A268D1">
        <w:t> </w:t>
      </w:r>
      <w:r w:rsidR="00BB4726">
        <w:t>AEP event may in the future become a 2</w:t>
      </w:r>
      <w:r w:rsidR="00CE0525">
        <w:t xml:space="preserve"> percent</w:t>
      </w:r>
      <w:r w:rsidR="00BB4726">
        <w:t xml:space="preserve"> AEP event, and at the same time </w:t>
      </w:r>
      <w:r w:rsidR="000112DC">
        <w:t xml:space="preserve">have </w:t>
      </w:r>
      <w:r w:rsidR="00BB4726">
        <w:t>increase</w:t>
      </w:r>
      <w:r w:rsidR="000112DC">
        <w:t>d</w:t>
      </w:r>
      <w:r w:rsidR="00BB4726">
        <w:t xml:space="preserve"> consequences</w:t>
      </w:r>
      <w:r w:rsidR="00E630BA">
        <w:t xml:space="preserve"> – so </w:t>
      </w:r>
      <w:r w:rsidR="003C6043">
        <w:t>w</w:t>
      </w:r>
      <w:r w:rsidR="00BB4726">
        <w:t>hat might be a low risk now might become a high risk in the future.</w:t>
      </w:r>
    </w:p>
    <w:p w14:paraId="1E8294AB" w14:textId="37BB894D" w:rsidR="007B4AE9" w:rsidRPr="00493A3B" w:rsidRDefault="007B4AE9" w:rsidP="00D046E6">
      <w:pPr>
        <w:pStyle w:val="BodyText"/>
      </w:pPr>
      <w:r w:rsidRPr="00493A3B">
        <w:t>Changes to the</w:t>
      </w:r>
      <w:r w:rsidR="008A1607" w:rsidRPr="00493A3B">
        <w:t xml:space="preserve"> risk profile of a hazard event under different climate change scenarios</w:t>
      </w:r>
      <w:r w:rsidR="00466041" w:rsidRPr="00493A3B">
        <w:t xml:space="preserve"> </w:t>
      </w:r>
      <w:r w:rsidRPr="00493A3B">
        <w:t xml:space="preserve">can be assessed by using the risk matrix </w:t>
      </w:r>
      <w:r w:rsidR="00466041" w:rsidRPr="00493A3B">
        <w:t>in two ways</w:t>
      </w:r>
      <w:r w:rsidR="003C6043" w:rsidRPr="00493A3B">
        <w:t xml:space="preserve"> – that is</w:t>
      </w:r>
      <w:r w:rsidR="00466041" w:rsidRPr="00493A3B">
        <w:t xml:space="preserve">: </w:t>
      </w:r>
    </w:p>
    <w:p w14:paraId="6267AD5D" w14:textId="1813DC80" w:rsidR="00E630BA" w:rsidRPr="00493A3B" w:rsidRDefault="008A1607" w:rsidP="007B4AE9">
      <w:pPr>
        <w:pStyle w:val="Bullet"/>
      </w:pPr>
      <w:r w:rsidRPr="00493A3B">
        <w:t>by holding the event likelihood constant (</w:t>
      </w:r>
      <w:r w:rsidR="00E630BA" w:rsidRPr="00493A3B">
        <w:t>eg</w:t>
      </w:r>
      <w:r w:rsidRPr="00493A3B">
        <w:t>, a 1</w:t>
      </w:r>
      <w:r w:rsidR="00E630BA" w:rsidRPr="00493A3B">
        <w:t xml:space="preserve"> percent</w:t>
      </w:r>
      <w:r w:rsidRPr="00493A3B">
        <w:t xml:space="preserve"> AEP event) and adjusting the consequence rating to reflect increased impacts under different climate scenarios (</w:t>
      </w:r>
      <w:r w:rsidR="00E630BA" w:rsidRPr="00493A3B">
        <w:t>ie</w:t>
      </w:r>
      <w:r w:rsidRPr="00493A3B">
        <w:t xml:space="preserve">, a more severe flood associated with the same AEP in </w:t>
      </w:r>
      <w:r w:rsidR="00BA5EB6">
        <w:t xml:space="preserve">the </w:t>
      </w:r>
      <w:r w:rsidRPr="00493A3B">
        <w:t>future)</w:t>
      </w:r>
    </w:p>
    <w:p w14:paraId="0C0C1E25" w14:textId="70A62789" w:rsidR="008A1607" w:rsidRPr="00493A3B" w:rsidRDefault="008A1607" w:rsidP="0092713B">
      <w:pPr>
        <w:pStyle w:val="Bullet"/>
      </w:pPr>
      <w:r w:rsidRPr="00493A3B">
        <w:t>by assessing how a hazard event of a given magnitude may increase in likelihood over time, such that an event currently defined as a 1</w:t>
      </w:r>
      <w:r w:rsidR="00E630BA" w:rsidRPr="00493A3B">
        <w:t xml:space="preserve"> percent</w:t>
      </w:r>
      <w:r w:rsidRPr="00493A3B">
        <w:t xml:space="preserve"> AEP may become more frequent (</w:t>
      </w:r>
      <w:r w:rsidR="00E630BA" w:rsidRPr="00493A3B">
        <w:t>eg</w:t>
      </w:r>
      <w:r w:rsidRPr="00493A3B">
        <w:t xml:space="preserve">, </w:t>
      </w:r>
      <w:r w:rsidR="00E630BA" w:rsidRPr="00493A3B">
        <w:t xml:space="preserve">becoming a </w:t>
      </w:r>
      <w:r w:rsidRPr="00493A3B">
        <w:t>2</w:t>
      </w:r>
      <w:r w:rsidR="00E630BA" w:rsidRPr="00493A3B">
        <w:t xml:space="preserve"> percent</w:t>
      </w:r>
      <w:r w:rsidRPr="00493A3B">
        <w:t xml:space="preserve"> AEP event).</w:t>
      </w:r>
    </w:p>
    <w:p w14:paraId="78E3DF3F" w14:textId="59D4352B" w:rsidR="00E36240" w:rsidRPr="00493A3B" w:rsidRDefault="00BB322B" w:rsidP="0042633E">
      <w:pPr>
        <w:pStyle w:val="Heading2"/>
      </w:pPr>
      <w:bookmarkStart w:id="32" w:name="_Toc226291476"/>
      <w:bookmarkStart w:id="33" w:name="_Toc224031626"/>
      <w:bookmarkStart w:id="34" w:name="_Toc224031981"/>
      <w:r w:rsidRPr="00493A3B">
        <w:t>M</w:t>
      </w:r>
      <w:r w:rsidR="007E0BD0" w:rsidRPr="00493A3B">
        <w:t xml:space="preserve">anage </w:t>
      </w:r>
      <w:r w:rsidR="00971BF4" w:rsidRPr="00493A3B">
        <w:t xml:space="preserve">risk </w:t>
      </w:r>
      <w:r w:rsidR="007E0BD0" w:rsidRPr="00493A3B">
        <w:t>proportionately</w:t>
      </w:r>
      <w:bookmarkEnd w:id="32"/>
      <w:r w:rsidR="007E0BD0" w:rsidRPr="00493A3B">
        <w:t xml:space="preserve"> </w:t>
      </w:r>
      <w:bookmarkEnd w:id="33"/>
      <w:bookmarkEnd w:id="34"/>
    </w:p>
    <w:p w14:paraId="64930487" w14:textId="00733A1D" w:rsidR="003C43F2" w:rsidRPr="00493A3B" w:rsidRDefault="003459A4" w:rsidP="00D046E6">
      <w:pPr>
        <w:pStyle w:val="BodyText"/>
      </w:pPr>
      <w:r w:rsidRPr="00493A3B">
        <w:t>The NPS-NH directs decision</w:t>
      </w:r>
      <w:r w:rsidR="00672F90" w:rsidRPr="00493A3B">
        <w:t>-</w:t>
      </w:r>
      <w:r w:rsidRPr="00493A3B">
        <w:t xml:space="preserve">makers to respond proportionately to natural hazard risk, meaning that when risk is higher, stronger constraints on development are appropriate. Conversely, when risk is low, development should be enabled. The </w:t>
      </w:r>
      <w:r w:rsidR="52ED866E" w:rsidRPr="00493A3B">
        <w:t xml:space="preserve">intended outcome </w:t>
      </w:r>
      <w:r w:rsidRPr="00493A3B">
        <w:t xml:space="preserve">of the proportionate approach is </w:t>
      </w:r>
      <w:r w:rsidR="001A24D2" w:rsidRPr="00493A3B">
        <w:t xml:space="preserve">that </w:t>
      </w:r>
      <w:r w:rsidRPr="00493A3B">
        <w:t xml:space="preserve">new development likely to be badly damaged by natural hazards </w:t>
      </w:r>
      <w:r w:rsidR="001A24D2" w:rsidRPr="00493A3B">
        <w:t xml:space="preserve">does </w:t>
      </w:r>
      <w:r w:rsidRPr="00493A3B">
        <w:t xml:space="preserve">not progress, </w:t>
      </w:r>
      <w:r w:rsidR="00AF6EB8" w:rsidRPr="00493A3B">
        <w:t xml:space="preserve">and </w:t>
      </w:r>
      <w:r w:rsidRPr="00493A3B">
        <w:t xml:space="preserve">that any limitation </w:t>
      </w:r>
      <w:r w:rsidR="008833C2" w:rsidRPr="00493A3B">
        <w:t>on</w:t>
      </w:r>
      <w:r w:rsidR="0062614C">
        <w:t xml:space="preserve"> </w:t>
      </w:r>
      <w:r w:rsidR="4116E5EF" w:rsidRPr="00493A3B">
        <w:t xml:space="preserve">or </w:t>
      </w:r>
      <w:r w:rsidR="00D46B96" w:rsidRPr="00493A3B">
        <w:t xml:space="preserve">required </w:t>
      </w:r>
      <w:r w:rsidR="4116E5EF" w:rsidRPr="00493A3B">
        <w:t>mitigation</w:t>
      </w:r>
      <w:r w:rsidR="00AF6EB8" w:rsidRPr="00493A3B">
        <w:t xml:space="preserve"> measure</w:t>
      </w:r>
      <w:r w:rsidR="4116E5EF" w:rsidRPr="00493A3B">
        <w:t>s</w:t>
      </w:r>
      <w:r w:rsidRPr="00493A3B">
        <w:t xml:space="preserve"> </w:t>
      </w:r>
      <w:r w:rsidR="008833C2" w:rsidRPr="00493A3B">
        <w:t>for</w:t>
      </w:r>
      <w:r w:rsidRPr="00493A3B">
        <w:t xml:space="preserve"> new development is justified. </w:t>
      </w:r>
    </w:p>
    <w:p w14:paraId="0A9FD0FF" w14:textId="231F35F5" w:rsidR="00B82BC0" w:rsidRPr="00493A3B" w:rsidRDefault="00B82BC0" w:rsidP="00F9124A">
      <w:pPr>
        <w:pStyle w:val="BodyText"/>
        <w:spacing w:after="240"/>
      </w:pPr>
      <w:r w:rsidRPr="00493A3B">
        <w:t>Clause 3.3(2) of the NPS-NH provides a framework for proportionate management under the NPS-NH, as detailed in the box below.</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0D6187" w:rsidRPr="00493A3B" w14:paraId="0C0D85A3" w14:textId="77777777" w:rsidTr="00F9124A">
        <w:tc>
          <w:tcPr>
            <w:tcW w:w="0" w:type="auto"/>
            <w:shd w:val="clear" w:color="auto" w:fill="D2DDE2"/>
          </w:tcPr>
          <w:p w14:paraId="7202D7FD" w14:textId="73444EE4" w:rsidR="008F5086" w:rsidRPr="00493A3B" w:rsidRDefault="000E37A7" w:rsidP="00F9124A">
            <w:pPr>
              <w:pStyle w:val="Boxheading0"/>
              <w:spacing w:after="120"/>
            </w:pPr>
            <w:r w:rsidRPr="00493A3B">
              <w:lastRenderedPageBreak/>
              <w:t xml:space="preserve">Clause 3.3: </w:t>
            </w:r>
            <w:r w:rsidR="0005210C" w:rsidRPr="00493A3B">
              <w:t>Proportionate management of natural hazard risk</w:t>
            </w:r>
          </w:p>
          <w:p w14:paraId="36C13672" w14:textId="77777777" w:rsidR="00FB3D77" w:rsidRPr="00493A3B" w:rsidRDefault="00FB3D77" w:rsidP="00F9124A">
            <w:pPr>
              <w:pStyle w:val="Boxtext"/>
              <w:numPr>
                <w:ilvl w:val="0"/>
                <w:numId w:val="58"/>
              </w:numPr>
              <w:spacing w:before="0" w:after="80"/>
              <w:ind w:left="681" w:hanging="397"/>
            </w:pPr>
            <w:r w:rsidRPr="00493A3B">
              <w:t xml:space="preserve">Decision-makers must consider the scale and detail of information necessary to assess the risk by having regard to the anticipated level of risk. </w:t>
            </w:r>
          </w:p>
          <w:p w14:paraId="4267A200" w14:textId="401483E4" w:rsidR="00FB3D77" w:rsidRPr="00493A3B" w:rsidRDefault="00FB3D77" w:rsidP="00F9124A">
            <w:pPr>
              <w:pStyle w:val="Boxtext"/>
              <w:numPr>
                <w:ilvl w:val="0"/>
                <w:numId w:val="58"/>
              </w:numPr>
              <w:spacing w:before="0" w:after="80"/>
              <w:ind w:left="681" w:hanging="397"/>
            </w:pPr>
            <w:r w:rsidRPr="00493A3B">
              <w:t>When managing natural hazard risk associated with subdivision, use and development, decision-makers must apply mitigation measures, including location and design, for the purposes of ensuring that:</w:t>
            </w:r>
          </w:p>
          <w:p w14:paraId="445F88DA" w14:textId="77777777" w:rsidR="002B495E" w:rsidRPr="00493A3B" w:rsidRDefault="002B495E" w:rsidP="00F9124A">
            <w:pPr>
              <w:pStyle w:val="Boxsub-bullet"/>
              <w:numPr>
                <w:ilvl w:val="0"/>
                <w:numId w:val="59"/>
              </w:numPr>
              <w:spacing w:after="80"/>
              <w:ind w:left="1077" w:hanging="397"/>
            </w:pPr>
            <w:r w:rsidRPr="00493A3B">
              <w:t xml:space="preserve">very high natural hazard risk is avoided; </w:t>
            </w:r>
          </w:p>
          <w:p w14:paraId="56F64F0B" w14:textId="4A943862" w:rsidR="002B495E" w:rsidRPr="00493A3B" w:rsidRDefault="001A57A2" w:rsidP="00F9124A">
            <w:pPr>
              <w:pStyle w:val="Boxsub-bullet"/>
              <w:numPr>
                <w:ilvl w:val="0"/>
                <w:numId w:val="59"/>
              </w:numPr>
              <w:spacing w:after="80"/>
              <w:ind w:left="1077" w:hanging="397"/>
            </w:pPr>
            <w:r w:rsidRPr="00493A3B">
              <w:t>high or medium natural hazard risk is avoided or mitigated proportionate to the level of risk; and</w:t>
            </w:r>
          </w:p>
          <w:p w14:paraId="6944B62B" w14:textId="0969A09B" w:rsidR="008F5086" w:rsidRPr="00493A3B" w:rsidRDefault="003460AA" w:rsidP="00F9124A">
            <w:pPr>
              <w:pStyle w:val="Boxsub-bullet"/>
              <w:numPr>
                <w:ilvl w:val="0"/>
                <w:numId w:val="59"/>
              </w:numPr>
              <w:spacing w:after="80"/>
              <w:ind w:left="1077" w:hanging="397"/>
            </w:pPr>
            <w:r w:rsidRPr="00493A3B">
              <w:t>any creation of, or increase in, significant natural hazard risk on other sites is avoided or mitigated proportionate to the level of natural hazard risk.</w:t>
            </w:r>
          </w:p>
        </w:tc>
      </w:tr>
      <w:tr w:rsidR="000D6187" w:rsidRPr="00493A3B" w14:paraId="127253BA" w14:textId="77777777" w:rsidTr="00F9124A">
        <w:tc>
          <w:tcPr>
            <w:tcW w:w="0" w:type="auto"/>
            <w:shd w:val="clear" w:color="auto" w:fill="D2DDE2"/>
          </w:tcPr>
          <w:p w14:paraId="0D01A061" w14:textId="45E865B7" w:rsidR="000E37A7" w:rsidRPr="00493A3B" w:rsidRDefault="002F2D41" w:rsidP="00F9124A">
            <w:pPr>
              <w:pStyle w:val="Boxbullet0"/>
              <w:numPr>
                <w:ilvl w:val="0"/>
                <w:numId w:val="58"/>
              </w:numPr>
              <w:spacing w:after="180"/>
              <w:ind w:left="681" w:hanging="397"/>
            </w:pPr>
            <w:r w:rsidRPr="00493A3B">
              <w:t xml:space="preserve">When applying the proportionate approach required by 2(b) and 2(c), decision-makers must take into account the cost effectiveness of mitigation measures relative to the level of anticipated risk. </w:t>
            </w:r>
          </w:p>
        </w:tc>
      </w:tr>
    </w:tbl>
    <w:p w14:paraId="2E9A7CC1" w14:textId="7EEEBB10" w:rsidR="004D65BE" w:rsidRPr="00493A3B" w:rsidRDefault="004D65BE" w:rsidP="00F9124A">
      <w:pPr>
        <w:pStyle w:val="BodyText"/>
        <w:spacing w:before="240" w:after="100"/>
      </w:pPr>
      <w:r w:rsidRPr="00493A3B">
        <w:t xml:space="preserve">The NPS-NH is not intended to limit the way </w:t>
      </w:r>
      <w:r w:rsidR="00116724" w:rsidRPr="00493A3B">
        <w:t>decision</w:t>
      </w:r>
      <w:r w:rsidR="00672F90" w:rsidRPr="00493A3B">
        <w:t>-</w:t>
      </w:r>
      <w:r w:rsidR="00116724" w:rsidRPr="00493A3B">
        <w:t>makers</w:t>
      </w:r>
      <w:r w:rsidRPr="00493A3B">
        <w:t xml:space="preserve"> manage risks below the ‘very high’ threshold. Policies and rules in existing plans </w:t>
      </w:r>
      <w:r w:rsidR="00D532C7" w:rsidRPr="00493A3B">
        <w:t xml:space="preserve">that </w:t>
      </w:r>
      <w:r w:rsidRPr="00493A3B">
        <w:t xml:space="preserve">avoid new development at a risk level below the </w:t>
      </w:r>
      <w:r w:rsidR="00D36F49" w:rsidRPr="00493A3B">
        <w:t>‘</w:t>
      </w:r>
      <w:r w:rsidRPr="00493A3B">
        <w:t>very high</w:t>
      </w:r>
      <w:r w:rsidR="00D36F49" w:rsidRPr="00493A3B">
        <w:t>’</w:t>
      </w:r>
      <w:r w:rsidRPr="00493A3B">
        <w:t xml:space="preserve"> threshold will continue to apply. </w:t>
      </w:r>
      <w:r w:rsidR="00231156" w:rsidRPr="00493A3B">
        <w:t xml:space="preserve">When </w:t>
      </w:r>
      <w:r w:rsidR="00EE270A" w:rsidRPr="00493A3B">
        <w:t>deciding consents</w:t>
      </w:r>
      <w:r w:rsidR="00231156" w:rsidRPr="00493A3B">
        <w:t xml:space="preserve">, </w:t>
      </w:r>
      <w:r w:rsidR="00EE270A" w:rsidRPr="00493A3B">
        <w:t>d</w:t>
      </w:r>
      <w:r w:rsidRPr="00493A3B">
        <w:t>ecision</w:t>
      </w:r>
      <w:r w:rsidR="007B4F53" w:rsidRPr="00493A3B">
        <w:t>-</w:t>
      </w:r>
      <w:r w:rsidRPr="00493A3B">
        <w:t>makers will need to have regard to the NPS-NH policies (in particular</w:t>
      </w:r>
      <w:r w:rsidR="00231156" w:rsidRPr="00493A3B">
        <w:t>,</w:t>
      </w:r>
      <w:r w:rsidRPr="00493A3B">
        <w:t xml:space="preserve"> the proportionate management approach of </w:t>
      </w:r>
      <w:r w:rsidR="00A87863" w:rsidRPr="00493A3B">
        <w:t>p</w:t>
      </w:r>
      <w:r w:rsidRPr="00493A3B">
        <w:t>olicy</w:t>
      </w:r>
      <w:r w:rsidR="00B150F0" w:rsidRPr="00493A3B">
        <w:t> </w:t>
      </w:r>
      <w:r w:rsidRPr="00493A3B">
        <w:t>2)</w:t>
      </w:r>
      <w:r w:rsidR="00B150F0" w:rsidRPr="00493A3B">
        <w:t>,</w:t>
      </w:r>
      <w:r w:rsidRPr="00493A3B">
        <w:t xml:space="preserve"> as well as policies in existing plans </w:t>
      </w:r>
      <w:r w:rsidR="00231156" w:rsidRPr="00493A3B">
        <w:t xml:space="preserve">(as provided in </w:t>
      </w:r>
      <w:hyperlink r:id="rId41" w:anchor="DLM234355" w:history="1">
        <w:r w:rsidRPr="00493A3B">
          <w:rPr>
            <w:rStyle w:val="Hyperlink"/>
          </w:rPr>
          <w:t>section 104(1)(b)</w:t>
        </w:r>
      </w:hyperlink>
      <w:r w:rsidRPr="00493A3B">
        <w:t xml:space="preserve"> </w:t>
      </w:r>
      <w:r w:rsidR="00EE270A" w:rsidRPr="00493A3B">
        <w:t xml:space="preserve">of the RMA). </w:t>
      </w:r>
    </w:p>
    <w:p w14:paraId="78211C9D" w14:textId="699B80EA" w:rsidR="007E0BD0" w:rsidRPr="00493A3B" w:rsidRDefault="007E0BD0" w:rsidP="00F9124A">
      <w:pPr>
        <w:pStyle w:val="Heading3"/>
        <w:spacing w:before="240"/>
      </w:pPr>
      <w:r w:rsidRPr="00493A3B">
        <w:t>Managing risk on other sites</w:t>
      </w:r>
    </w:p>
    <w:p w14:paraId="2C13C3E0" w14:textId="0DFAAFE1" w:rsidR="007E0BD0" w:rsidRPr="00493A3B" w:rsidRDefault="007E0BD0" w:rsidP="00F9124A">
      <w:pPr>
        <w:pStyle w:val="BodyText"/>
        <w:spacing w:before="100" w:after="240"/>
      </w:pPr>
      <w:r w:rsidRPr="00493A3B">
        <w:t>Cl</w:t>
      </w:r>
      <w:r w:rsidR="000A05CA" w:rsidRPr="00493A3B">
        <w:t>ause</w:t>
      </w:r>
      <w:r w:rsidRPr="00493A3B">
        <w:t xml:space="preserve"> 3.3(2)(c)</w:t>
      </w:r>
      <w:r w:rsidR="00B82BC0" w:rsidRPr="00493A3B">
        <w:t xml:space="preserve"> of the NPS-NH</w:t>
      </w:r>
      <w:r w:rsidRPr="00493A3B">
        <w:t xml:space="preserve"> requires that subdivision, use or development </w:t>
      </w:r>
      <w:r w:rsidR="002A4D96" w:rsidRPr="00493A3B">
        <w:t>(</w:t>
      </w:r>
      <w:r w:rsidRPr="00493A3B">
        <w:t>including any associated mitigation measures</w:t>
      </w:r>
      <w:r w:rsidR="002A4D96" w:rsidRPr="00493A3B">
        <w:t>)</w:t>
      </w:r>
      <w:r w:rsidRPr="00493A3B">
        <w:t xml:space="preserve"> needs to avoid or mitigate the creation of, or increase in, significant risk on other sites. Whether this risk is to be avoided or mitigated depends on what approach is a proportionate response to the level of risk posed.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138E6" w:rsidRPr="00493A3B" w14:paraId="78B98302" w14:textId="77777777" w:rsidTr="00F9124A">
        <w:tc>
          <w:tcPr>
            <w:tcW w:w="0" w:type="auto"/>
            <w:shd w:val="clear" w:color="auto" w:fill="D2DDE2"/>
          </w:tcPr>
          <w:p w14:paraId="04916F3D" w14:textId="7F57C813" w:rsidR="00F138E6" w:rsidRPr="00493A3B" w:rsidRDefault="00F138E6" w:rsidP="00F9124A">
            <w:pPr>
              <w:pStyle w:val="Boxheading0"/>
            </w:pPr>
            <w:r w:rsidRPr="00493A3B">
              <w:t>Significant</w:t>
            </w:r>
            <w:r w:rsidR="003A4D1F" w:rsidRPr="00493A3B">
              <w:t xml:space="preserve"> natural hazard</w:t>
            </w:r>
            <w:r w:rsidRPr="00493A3B">
              <w:t xml:space="preserve"> risk </w:t>
            </w:r>
          </w:p>
          <w:p w14:paraId="5A653BF1" w14:textId="4D590DDD" w:rsidR="00F138E6" w:rsidRPr="00493A3B" w:rsidRDefault="00F138E6" w:rsidP="00F9124A">
            <w:pPr>
              <w:pStyle w:val="Boxtext"/>
              <w:spacing w:before="80" w:after="180"/>
            </w:pPr>
            <w:r w:rsidRPr="00493A3B">
              <w:t xml:space="preserve">Significant </w:t>
            </w:r>
            <w:r w:rsidR="003A4D1F" w:rsidRPr="00493A3B">
              <w:t xml:space="preserve">natural hazard </w:t>
            </w:r>
            <w:r w:rsidRPr="00493A3B">
              <w:t>risk is defined for the purposes of the NPS-NH as being natural hazard risk assessed as ‘medium’, ‘high’ and ‘very high’ using the risk matrix. This definition is based on a common understanding of significance – that is, something large or important enough to warrant attention. A significant risk from natural hazards is therefore one requiring some form of management response, including avoidance or mitigation.</w:t>
            </w:r>
            <w:r w:rsidR="004078FF" w:rsidRPr="00493A3B">
              <w:t xml:space="preserve"> </w:t>
            </w:r>
          </w:p>
        </w:tc>
      </w:tr>
    </w:tbl>
    <w:p w14:paraId="399A24A9" w14:textId="77777777" w:rsidR="00084BEF" w:rsidRPr="00493A3B" w:rsidRDefault="00084BEF" w:rsidP="00D11113">
      <w:pPr>
        <w:pStyle w:val="Heading3"/>
        <w:spacing w:before="400"/>
      </w:pPr>
      <w:r w:rsidRPr="00493A3B">
        <w:t>Cost effectiveness of mitigation measures</w:t>
      </w:r>
    </w:p>
    <w:p w14:paraId="3E2AA719" w14:textId="67204693" w:rsidR="00707CF3" w:rsidRPr="00493A3B" w:rsidRDefault="00DE7F25" w:rsidP="00F9124A">
      <w:pPr>
        <w:pStyle w:val="BodyText"/>
        <w:spacing w:before="80" w:after="100"/>
      </w:pPr>
      <w:r w:rsidRPr="00493A3B">
        <w:t xml:space="preserve">Clause 3.3(3) of the NPS-NH </w:t>
      </w:r>
      <w:r w:rsidR="00EA6E94" w:rsidRPr="00493A3B">
        <w:t>requires decision-makers</w:t>
      </w:r>
      <w:r w:rsidR="008948B6" w:rsidRPr="00493A3B">
        <w:t xml:space="preserve">, </w:t>
      </w:r>
      <w:r w:rsidR="00EA6E94" w:rsidRPr="00493A3B">
        <w:t xml:space="preserve">in determining </w:t>
      </w:r>
      <w:r w:rsidR="008948B6" w:rsidRPr="00493A3B">
        <w:t xml:space="preserve">whether mitigation measures are a proportionate response to the risk posed, to consider </w:t>
      </w:r>
      <w:r w:rsidR="00084BEF" w:rsidRPr="00493A3B">
        <w:t>the</w:t>
      </w:r>
      <w:r w:rsidR="00707CF3" w:rsidRPr="00493A3B">
        <w:t>ir</w:t>
      </w:r>
      <w:r w:rsidR="00084BEF" w:rsidRPr="00493A3B">
        <w:t xml:space="preserve"> cost</w:t>
      </w:r>
      <w:r w:rsidR="003C0C5A" w:rsidRPr="00493A3B">
        <w:t xml:space="preserve"> </w:t>
      </w:r>
      <w:r w:rsidR="00084BEF" w:rsidRPr="00493A3B">
        <w:t>effectiveness</w:t>
      </w:r>
      <w:r w:rsidR="002165D8" w:rsidRPr="00493A3B">
        <w:t>.</w:t>
      </w:r>
      <w:r w:rsidR="00084BEF" w:rsidRPr="00493A3B">
        <w:t xml:space="preserve"> </w:t>
      </w:r>
      <w:r w:rsidR="002165D8" w:rsidRPr="00493A3B">
        <w:t xml:space="preserve">This may </w:t>
      </w:r>
      <w:r w:rsidR="00084BEF" w:rsidRPr="00493A3B">
        <w:t>includ</w:t>
      </w:r>
      <w:r w:rsidR="002165D8" w:rsidRPr="00493A3B">
        <w:t>e consideration of</w:t>
      </w:r>
      <w:r w:rsidR="00707CF3" w:rsidRPr="00493A3B">
        <w:t>:</w:t>
      </w:r>
    </w:p>
    <w:p w14:paraId="36968AFE" w14:textId="179D6587" w:rsidR="00707CF3" w:rsidRPr="00493A3B" w:rsidRDefault="00084BEF" w:rsidP="00F9124A">
      <w:pPr>
        <w:pStyle w:val="Bullet"/>
        <w:spacing w:after="100"/>
      </w:pPr>
      <w:r w:rsidRPr="00493A3B">
        <w:t>technical feasibility</w:t>
      </w:r>
      <w:r w:rsidR="001A63AC" w:rsidRPr="00493A3B">
        <w:t xml:space="preserve"> of the mitigation measures</w:t>
      </w:r>
    </w:p>
    <w:p w14:paraId="362F2045" w14:textId="6A9649A8" w:rsidR="00707CF3" w:rsidRPr="00493A3B" w:rsidRDefault="00084BEF" w:rsidP="00F9124A">
      <w:pPr>
        <w:pStyle w:val="Bullet"/>
        <w:spacing w:after="100"/>
      </w:pPr>
      <w:r w:rsidRPr="00493A3B">
        <w:t xml:space="preserve">longevity </w:t>
      </w:r>
      <w:r w:rsidR="001A63AC" w:rsidRPr="00493A3B">
        <w:t xml:space="preserve">of the measures </w:t>
      </w:r>
      <w:r w:rsidRPr="00493A3B">
        <w:t>(and the level of service provided over time)</w:t>
      </w:r>
    </w:p>
    <w:p w14:paraId="697D37CA" w14:textId="7F519D9B" w:rsidR="00084BEF" w:rsidRPr="00493A3B" w:rsidRDefault="00084BEF" w:rsidP="00B74B43">
      <w:pPr>
        <w:pStyle w:val="Bullet"/>
      </w:pPr>
      <w:r w:rsidRPr="00493A3B">
        <w:t xml:space="preserve">any ongoing maintenance or monitoring requirements. </w:t>
      </w:r>
    </w:p>
    <w:p w14:paraId="4D3AB4C5" w14:textId="35CD2D54" w:rsidR="00830955" w:rsidRPr="00493A3B" w:rsidRDefault="00830955" w:rsidP="00D11113">
      <w:pPr>
        <w:pStyle w:val="Heading3"/>
        <w:spacing w:before="280"/>
      </w:pPr>
      <w:r w:rsidRPr="00493A3B">
        <w:lastRenderedPageBreak/>
        <w:t xml:space="preserve">Requirement for a </w:t>
      </w:r>
      <w:r w:rsidR="00E95399" w:rsidRPr="00493A3B">
        <w:t xml:space="preserve">detailed </w:t>
      </w:r>
      <w:r w:rsidRPr="00493A3B">
        <w:t>risk assessment</w:t>
      </w:r>
    </w:p>
    <w:p w14:paraId="6035D2FD" w14:textId="5DC7C715" w:rsidR="00830955" w:rsidRPr="00493A3B" w:rsidRDefault="001B7647" w:rsidP="00D11113">
      <w:pPr>
        <w:pStyle w:val="BodyText"/>
        <w:spacing w:before="80" w:after="100"/>
      </w:pPr>
      <w:r w:rsidRPr="00493A3B">
        <w:t xml:space="preserve">Under clause </w:t>
      </w:r>
      <w:r w:rsidR="00686D33" w:rsidRPr="00493A3B">
        <w:t>3.3(1)</w:t>
      </w:r>
      <w:r w:rsidR="001A63AC" w:rsidRPr="00493A3B">
        <w:t xml:space="preserve"> of the NPS-NH,</w:t>
      </w:r>
      <w:r w:rsidR="00686D33" w:rsidRPr="00493A3B">
        <w:t xml:space="preserve"> decision-makers must </w:t>
      </w:r>
      <w:r w:rsidR="00204143" w:rsidRPr="00493A3B">
        <w:t xml:space="preserve">have regard to the anticipated level of </w:t>
      </w:r>
      <w:r w:rsidR="00BD5CEC" w:rsidRPr="00493A3B">
        <w:t xml:space="preserve">a </w:t>
      </w:r>
      <w:r w:rsidR="00204143" w:rsidRPr="00493A3B">
        <w:t xml:space="preserve">risk when </w:t>
      </w:r>
      <w:r w:rsidR="00686D33" w:rsidRPr="00493A3B">
        <w:t>consider</w:t>
      </w:r>
      <w:r w:rsidR="00204143" w:rsidRPr="00493A3B">
        <w:t>ing</w:t>
      </w:r>
      <w:r w:rsidR="00686D33" w:rsidRPr="00493A3B">
        <w:t xml:space="preserve"> the scale and detail of </w:t>
      </w:r>
      <w:r w:rsidR="003D344E" w:rsidRPr="00493A3B">
        <w:t xml:space="preserve">necessary </w:t>
      </w:r>
      <w:r w:rsidR="00686D33" w:rsidRPr="00493A3B">
        <w:t>information</w:t>
      </w:r>
      <w:r w:rsidR="00BD5CEC" w:rsidRPr="00493A3B">
        <w:t>.</w:t>
      </w:r>
      <w:r w:rsidR="00686D33" w:rsidRPr="00493A3B">
        <w:t xml:space="preserve"> </w:t>
      </w:r>
      <w:r w:rsidR="000F137E" w:rsidRPr="00493A3B">
        <w:t>In general,</w:t>
      </w:r>
      <w:r w:rsidR="00BE6304" w:rsidRPr="00493A3B">
        <w:t xml:space="preserve"> m</w:t>
      </w:r>
      <w:r w:rsidR="00830955" w:rsidRPr="00493A3B">
        <w:t xml:space="preserve">ost natural hazard data held by </w:t>
      </w:r>
      <w:r w:rsidR="004A2960" w:rsidRPr="00493A3B">
        <w:t>a local authority</w:t>
      </w:r>
      <w:r w:rsidR="00830955" w:rsidRPr="00493A3B">
        <w:t xml:space="preserve"> is at a region</w:t>
      </w:r>
      <w:r w:rsidR="003D344E" w:rsidRPr="00493A3B">
        <w:t>-</w:t>
      </w:r>
      <w:r w:rsidR="00830955" w:rsidRPr="00493A3B">
        <w:t xml:space="preserve"> or district</w:t>
      </w:r>
      <w:r w:rsidR="003D344E" w:rsidRPr="00493A3B">
        <w:t>-</w:t>
      </w:r>
      <w:r w:rsidR="00830955" w:rsidRPr="00493A3B">
        <w:t xml:space="preserve">wide scale and is either susceptibility or hazard information. This </w:t>
      </w:r>
      <w:r w:rsidR="007E025A" w:rsidRPr="00493A3B">
        <w:t xml:space="preserve">type of information </w:t>
      </w:r>
      <w:r w:rsidR="008F2669" w:rsidRPr="00493A3B">
        <w:t>can be</w:t>
      </w:r>
      <w:r w:rsidR="00830955" w:rsidRPr="00493A3B">
        <w:t xml:space="preserve"> used to indicate where an</w:t>
      </w:r>
      <w:r w:rsidR="00EE0B5A" w:rsidRPr="00493A3B">
        <w:t> </w:t>
      </w:r>
      <w:r w:rsidR="00830955" w:rsidRPr="00493A3B">
        <w:t>area is likely to be impacted by a natural hazard</w:t>
      </w:r>
      <w:r w:rsidR="00C508C3" w:rsidRPr="00493A3B">
        <w:t>,</w:t>
      </w:r>
      <w:r w:rsidR="00830955" w:rsidRPr="00493A3B">
        <w:t xml:space="preserve"> and where</w:t>
      </w:r>
      <w:r w:rsidR="0002097F" w:rsidRPr="00493A3B">
        <w:t xml:space="preserve"> </w:t>
      </w:r>
      <w:r w:rsidR="00C162A9">
        <w:t>making a decis</w:t>
      </w:r>
      <w:r w:rsidR="002E0EA7">
        <w:t>ion on</w:t>
      </w:r>
      <w:r w:rsidR="00C508C3" w:rsidRPr="00493A3B">
        <w:t xml:space="preserve"> an application may require </w:t>
      </w:r>
      <w:r w:rsidR="0002097F" w:rsidRPr="00493A3B">
        <w:t xml:space="preserve">a request </w:t>
      </w:r>
      <w:r w:rsidR="008D309F" w:rsidRPr="00493A3B">
        <w:t xml:space="preserve">to an applicant </w:t>
      </w:r>
      <w:r w:rsidR="0002097F" w:rsidRPr="00493A3B">
        <w:t>for</w:t>
      </w:r>
      <w:r w:rsidR="008D309F" w:rsidRPr="00493A3B">
        <w:t xml:space="preserve"> a</w:t>
      </w:r>
      <w:r w:rsidR="00830955" w:rsidRPr="00493A3B">
        <w:t xml:space="preserve"> further </w:t>
      </w:r>
      <w:r w:rsidR="00E95399" w:rsidRPr="00493A3B">
        <w:t xml:space="preserve">detailed </w:t>
      </w:r>
      <w:r w:rsidR="00830955" w:rsidRPr="00493A3B">
        <w:t xml:space="preserve">assessment of the risk </w:t>
      </w:r>
      <w:r w:rsidR="00E95399" w:rsidRPr="00493A3B">
        <w:t>by a suitably qualified and experienced person</w:t>
      </w:r>
      <w:r w:rsidR="008E148F" w:rsidRPr="00493A3B">
        <w:t xml:space="preserve"> (SQEP)</w:t>
      </w:r>
      <w:r w:rsidR="005937C1" w:rsidRPr="00493A3B">
        <w:t>.</w:t>
      </w:r>
      <w:r w:rsidR="004078FF" w:rsidRPr="00493A3B">
        <w:t xml:space="preserve"> </w:t>
      </w:r>
    </w:p>
    <w:p w14:paraId="40B90B3C" w14:textId="4AD76060" w:rsidR="00830955" w:rsidRPr="00493A3B" w:rsidRDefault="00830955" w:rsidP="00D11113">
      <w:pPr>
        <w:pStyle w:val="BodyText"/>
        <w:spacing w:before="100" w:after="100"/>
      </w:pPr>
      <w:r w:rsidRPr="00493A3B">
        <w:t>Risk assessment methodologies vary and have often been developed for specific natural hazards. Variations include the use of qualitative or quantitative data, the level of certainty reached in an assessment, the use of assumptions and the extent of area being analysed.</w:t>
      </w:r>
      <w:r w:rsidR="00156F34" w:rsidRPr="00493A3B">
        <w:t xml:space="preserve"> </w:t>
      </w:r>
      <w:r w:rsidR="00DD7DFD" w:rsidRPr="00493A3B">
        <w:t>However, any risk assessment prepared by a</w:t>
      </w:r>
      <w:r w:rsidR="007C3514" w:rsidRPr="00493A3B">
        <w:t>n</w:t>
      </w:r>
      <w:r w:rsidR="00DD7DFD" w:rsidRPr="00493A3B">
        <w:t xml:space="preserve"> SQEP to support a consent application should align with the NPS-NH framework. </w:t>
      </w:r>
      <w:r w:rsidRPr="00493A3B">
        <w:t xml:space="preserve">Depending on the level of risk posed, it may </w:t>
      </w:r>
      <w:r w:rsidR="008E148F" w:rsidRPr="00493A3B">
        <w:t xml:space="preserve">also </w:t>
      </w:r>
      <w:r w:rsidRPr="00493A3B">
        <w:t xml:space="preserve">be appropriate </w:t>
      </w:r>
      <w:r w:rsidR="00277D1F" w:rsidRPr="00493A3B">
        <w:t xml:space="preserve">for the consent authority </w:t>
      </w:r>
      <w:r w:rsidRPr="00493A3B">
        <w:t>to have the applicant’s risk assessment peer reviewed by a</w:t>
      </w:r>
      <w:r w:rsidR="00463BFF" w:rsidRPr="00493A3B">
        <w:t>n</w:t>
      </w:r>
      <w:r w:rsidRPr="00493A3B">
        <w:t xml:space="preserve"> SQEP prior to making a decision on the consent application.</w:t>
      </w:r>
      <w:r w:rsidR="004078FF" w:rsidRPr="00493A3B">
        <w:t xml:space="preserve"> </w:t>
      </w:r>
    </w:p>
    <w:p w14:paraId="518132BE" w14:textId="0A4C10B8" w:rsidR="00830955" w:rsidRPr="00493A3B" w:rsidRDefault="007B5A85" w:rsidP="00D11113">
      <w:pPr>
        <w:pStyle w:val="BodyText"/>
        <w:spacing w:before="100" w:after="80"/>
      </w:pPr>
      <w:r w:rsidRPr="00493A3B">
        <w:t>As</w:t>
      </w:r>
      <w:r w:rsidR="00830955" w:rsidRPr="00493A3B">
        <w:t xml:space="preserve"> a general guide, a</w:t>
      </w:r>
      <w:r w:rsidR="00463BFF" w:rsidRPr="00493A3B">
        <w:t>n</w:t>
      </w:r>
      <w:r w:rsidR="00830955" w:rsidRPr="00493A3B">
        <w:t xml:space="preserve"> SQEP is a person </w:t>
      </w:r>
      <w:r w:rsidR="00463BFF" w:rsidRPr="00493A3B">
        <w:t>who</w:t>
      </w:r>
      <w:r w:rsidR="00830955" w:rsidRPr="00493A3B">
        <w:t>:</w:t>
      </w:r>
    </w:p>
    <w:p w14:paraId="64848255" w14:textId="77777777" w:rsidR="00830955" w:rsidRPr="00493A3B" w:rsidRDefault="00830955" w:rsidP="00D11113">
      <w:pPr>
        <w:pStyle w:val="Bullet"/>
        <w:spacing w:after="80"/>
      </w:pPr>
      <w:r w:rsidRPr="00493A3B">
        <w:rPr>
          <w:rFonts w:eastAsiaTheme="majorEastAsia"/>
        </w:rPr>
        <w:t>is independent</w:t>
      </w:r>
      <w:r w:rsidRPr="00493A3B">
        <w:t> </w:t>
      </w:r>
    </w:p>
    <w:p w14:paraId="58531970" w14:textId="5F7ECF9D" w:rsidR="009F22D9" w:rsidRPr="00493A3B" w:rsidRDefault="009F22D9" w:rsidP="00D11113">
      <w:pPr>
        <w:pStyle w:val="Bullet"/>
        <w:spacing w:after="80"/>
      </w:pPr>
      <w:r w:rsidRPr="00493A3B">
        <w:t>has a relevant professional registration (eg</w:t>
      </w:r>
      <w:r w:rsidR="00463BFF" w:rsidRPr="00493A3B">
        <w:t>,</w:t>
      </w:r>
      <w:r w:rsidRPr="00493A3B">
        <w:t xml:space="preserve"> chartered professional engineer)</w:t>
      </w:r>
    </w:p>
    <w:p w14:paraId="4A88D284" w14:textId="0D3B1976" w:rsidR="00830955" w:rsidRPr="00493A3B" w:rsidRDefault="00830955" w:rsidP="00D11113">
      <w:pPr>
        <w:pStyle w:val="Bullet"/>
        <w:spacing w:after="80"/>
      </w:pPr>
      <w:r w:rsidRPr="00493A3B">
        <w:rPr>
          <w:rFonts w:eastAsiaTheme="majorEastAsia"/>
        </w:rPr>
        <w:t>applies good professional practice</w:t>
      </w:r>
      <w:r w:rsidR="004078FF" w:rsidRPr="00493A3B">
        <w:rPr>
          <w:rFonts w:eastAsiaTheme="majorEastAsia"/>
        </w:rPr>
        <w:t xml:space="preserve"> </w:t>
      </w:r>
    </w:p>
    <w:p w14:paraId="7E00F169" w14:textId="6F73CF04" w:rsidR="00830955" w:rsidRPr="00493A3B" w:rsidRDefault="00830955" w:rsidP="00D11113">
      <w:pPr>
        <w:pStyle w:val="Bullet"/>
        <w:spacing w:after="80"/>
      </w:pPr>
      <w:r w:rsidRPr="00493A3B">
        <w:rPr>
          <w:rFonts w:eastAsiaTheme="majorEastAsia"/>
        </w:rPr>
        <w:t>undertake</w:t>
      </w:r>
      <w:r w:rsidR="00463BFF" w:rsidRPr="00493A3B">
        <w:rPr>
          <w:rFonts w:eastAsiaTheme="majorEastAsia"/>
        </w:rPr>
        <w:t>s</w:t>
      </w:r>
      <w:r w:rsidRPr="00493A3B">
        <w:rPr>
          <w:rFonts w:eastAsiaTheme="majorEastAsia"/>
        </w:rPr>
        <w:t xml:space="preserve"> a risk assessment in accordance with accepted industry practice and guidelines</w:t>
      </w:r>
      <w:r w:rsidRPr="00493A3B">
        <w:t> </w:t>
      </w:r>
    </w:p>
    <w:p w14:paraId="053A32B9" w14:textId="263D84D4" w:rsidR="00830955" w:rsidRPr="00493A3B" w:rsidRDefault="00463BFF" w:rsidP="00245067">
      <w:pPr>
        <w:pStyle w:val="Bullet"/>
      </w:pPr>
      <w:r w:rsidRPr="00493A3B">
        <w:rPr>
          <w:rFonts w:eastAsiaTheme="majorEastAsia"/>
        </w:rPr>
        <w:t xml:space="preserve">is </w:t>
      </w:r>
      <w:r w:rsidR="00830955" w:rsidRPr="00493A3B">
        <w:rPr>
          <w:rFonts w:eastAsiaTheme="majorEastAsia"/>
        </w:rPr>
        <w:t>willing to certify and stand by the conclusions of the report (eg</w:t>
      </w:r>
      <w:r w:rsidR="00384012" w:rsidRPr="00493A3B">
        <w:rPr>
          <w:rFonts w:eastAsiaTheme="majorEastAsia"/>
        </w:rPr>
        <w:t>,</w:t>
      </w:r>
      <w:r w:rsidR="00830955" w:rsidRPr="00493A3B">
        <w:rPr>
          <w:rFonts w:eastAsiaTheme="majorEastAsia"/>
        </w:rPr>
        <w:t xml:space="preserve"> in the Environment Court).</w:t>
      </w:r>
      <w:r w:rsidR="004078FF" w:rsidRPr="00493A3B">
        <w:rPr>
          <w:rFonts w:eastAsiaTheme="majorEastAsia"/>
        </w:rPr>
        <w:t xml:space="preserve"> </w:t>
      </w:r>
    </w:p>
    <w:p w14:paraId="54791584" w14:textId="623A1BED" w:rsidR="00F80BBB" w:rsidRPr="00493A3B" w:rsidRDefault="0053254C" w:rsidP="00302079">
      <w:pPr>
        <w:pStyle w:val="Heading2"/>
      </w:pPr>
      <w:bookmarkStart w:id="35" w:name="_Toc226291477"/>
      <w:r w:rsidRPr="00493A3B">
        <w:t xml:space="preserve">Best </w:t>
      </w:r>
      <w:r w:rsidR="009748D1" w:rsidRPr="00493A3B">
        <w:t>a</w:t>
      </w:r>
      <w:r w:rsidRPr="00493A3B">
        <w:t xml:space="preserve">vailable </w:t>
      </w:r>
      <w:r w:rsidR="009748D1" w:rsidRPr="00493A3B">
        <w:t>i</w:t>
      </w:r>
      <w:r w:rsidR="00F80BBB" w:rsidRPr="00493A3B">
        <w:t>nformation</w:t>
      </w:r>
      <w:bookmarkEnd w:id="35"/>
    </w:p>
    <w:p w14:paraId="7001B7A1" w14:textId="69C161DF" w:rsidR="0062144D" w:rsidRPr="00493A3B" w:rsidRDefault="007E0BD0" w:rsidP="00EE0B5A">
      <w:pPr>
        <w:pStyle w:val="BodyText"/>
        <w:spacing w:after="240"/>
      </w:pPr>
      <w:r w:rsidRPr="00493A3B">
        <w:t>Cl</w:t>
      </w:r>
      <w:r w:rsidR="00D925DC" w:rsidRPr="00493A3B">
        <w:t>ause</w:t>
      </w:r>
      <w:r w:rsidRPr="00493A3B">
        <w:t xml:space="preserve"> 3.4</w:t>
      </w:r>
      <w:r w:rsidR="004061FE" w:rsidRPr="00493A3B">
        <w:t xml:space="preserve"> </w:t>
      </w:r>
      <w:r w:rsidR="00384012" w:rsidRPr="00493A3B">
        <w:t xml:space="preserve">of the NPS-NH </w:t>
      </w:r>
      <w:r w:rsidR="004061FE" w:rsidRPr="00493A3B">
        <w:t>seeks to ensure decision</w:t>
      </w:r>
      <w:r w:rsidR="009A6006" w:rsidRPr="00493A3B">
        <w:t>-</w:t>
      </w:r>
      <w:r w:rsidR="004061FE" w:rsidRPr="00493A3B">
        <w:t>making is based on the best information available at the time</w:t>
      </w:r>
      <w:r w:rsidR="0062144D" w:rsidRPr="00493A3B">
        <w:t>, as detailed in the box below</w:t>
      </w:r>
      <w:r w:rsidR="00384012" w:rsidRPr="00493A3B">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62144D" w:rsidRPr="00493A3B" w14:paraId="798AA813" w14:textId="77777777" w:rsidTr="00EE0B5A">
        <w:tc>
          <w:tcPr>
            <w:tcW w:w="0" w:type="auto"/>
            <w:shd w:val="clear" w:color="auto" w:fill="D2DDE2"/>
          </w:tcPr>
          <w:p w14:paraId="58D63BC7" w14:textId="0D10EDE6" w:rsidR="0062144D" w:rsidRPr="00493A3B" w:rsidRDefault="0062144D">
            <w:pPr>
              <w:pStyle w:val="Boxheading0"/>
            </w:pPr>
            <w:r w:rsidRPr="00493A3B">
              <w:t>Clause 3.4: Best available information</w:t>
            </w:r>
          </w:p>
          <w:p w14:paraId="3B319E17" w14:textId="74DC8FBD" w:rsidR="0062144D" w:rsidRPr="00493A3B" w:rsidRDefault="006647BC" w:rsidP="00EE0B5A">
            <w:pPr>
              <w:pStyle w:val="Boxtext"/>
              <w:numPr>
                <w:ilvl w:val="0"/>
                <w:numId w:val="62"/>
              </w:numPr>
              <w:spacing w:after="80"/>
              <w:ind w:left="681" w:hanging="397"/>
            </w:pPr>
            <w:r w:rsidRPr="00493A3B">
              <w:t xml:space="preserve">When undertaking risk assessments and making decisions for the purposes of managing natural hazard risk, decision-makers must use the best information available at the time of making the assessment or decision. </w:t>
            </w:r>
          </w:p>
        </w:tc>
      </w:tr>
      <w:tr w:rsidR="0062144D" w:rsidRPr="00493A3B" w14:paraId="6F7588F7" w14:textId="77777777" w:rsidTr="00EE0B5A">
        <w:tc>
          <w:tcPr>
            <w:tcW w:w="0" w:type="auto"/>
            <w:shd w:val="clear" w:color="auto" w:fill="D2DDE2"/>
          </w:tcPr>
          <w:p w14:paraId="575EEB4B" w14:textId="34365204" w:rsidR="0062144D" w:rsidRPr="00493A3B" w:rsidRDefault="008813FE" w:rsidP="00EE0B5A">
            <w:pPr>
              <w:pStyle w:val="Boxbullet0"/>
              <w:numPr>
                <w:ilvl w:val="0"/>
                <w:numId w:val="62"/>
              </w:numPr>
              <w:spacing w:after="180"/>
              <w:ind w:left="681" w:hanging="397"/>
            </w:pPr>
            <w:r w:rsidRPr="00493A3B">
              <w:t>When information is uncertain or incomplete, decision-makers must continue to undertake risk assessments and make decisions using the best available information and not delay making decisions solely because of uncertainty about the quality or quantity of the information available.</w:t>
            </w:r>
          </w:p>
        </w:tc>
      </w:tr>
    </w:tbl>
    <w:p w14:paraId="48FC5398" w14:textId="0C0A8357" w:rsidR="009C3010" w:rsidRPr="00493A3B" w:rsidRDefault="00384012" w:rsidP="00EE0B5A">
      <w:pPr>
        <w:pStyle w:val="BodyText"/>
        <w:spacing w:before="240"/>
      </w:pPr>
      <w:r>
        <w:t xml:space="preserve">This </w:t>
      </w:r>
      <w:r w:rsidR="0068014B">
        <w:t xml:space="preserve">means </w:t>
      </w:r>
      <w:r w:rsidR="00621426">
        <w:t>using complete and scientifically robust data where possible</w:t>
      </w:r>
      <w:r w:rsidR="007D05C6">
        <w:t xml:space="preserve">, </w:t>
      </w:r>
      <w:r>
        <w:t xml:space="preserve">but it does not preclude using </w:t>
      </w:r>
      <w:r w:rsidR="009D3528">
        <w:t xml:space="preserve">information </w:t>
      </w:r>
      <w:r w:rsidR="008506B8">
        <w:t>that is uncertain or incomplete.</w:t>
      </w:r>
      <w:r w:rsidR="004061FE">
        <w:t xml:space="preserve"> </w:t>
      </w:r>
    </w:p>
    <w:p w14:paraId="11598A5B" w14:textId="7F936BA3" w:rsidR="009C3010" w:rsidRPr="00493A3B" w:rsidRDefault="001249DB" w:rsidP="00EE0B5A">
      <w:pPr>
        <w:pStyle w:val="BodyText"/>
        <w:spacing w:before="240"/>
      </w:pPr>
      <w:r>
        <w:t xml:space="preserve">This </w:t>
      </w:r>
      <w:r w:rsidR="00384012">
        <w:t>approach recognises</w:t>
      </w:r>
      <w:r>
        <w:t xml:space="preserve"> that natural hazard information is continuously changing and improving</w:t>
      </w:r>
      <w:r w:rsidR="00384012">
        <w:t xml:space="preserve">, as well as recognising </w:t>
      </w:r>
      <w:r w:rsidR="00727199">
        <w:t>that</w:t>
      </w:r>
      <w:r>
        <w:t xml:space="preserve"> some local authorities</w:t>
      </w:r>
      <w:r w:rsidR="00727199">
        <w:t xml:space="preserve"> </w:t>
      </w:r>
      <w:r w:rsidR="00D06ADF">
        <w:t xml:space="preserve">will have different levels of risk </w:t>
      </w:r>
      <w:r w:rsidR="00601882">
        <w:t>information</w:t>
      </w:r>
      <w:r w:rsidR="00D06ADF">
        <w:t xml:space="preserve"> available</w:t>
      </w:r>
      <w:r w:rsidR="00601882">
        <w:t>.</w:t>
      </w:r>
      <w:r>
        <w:t xml:space="preserve"> </w:t>
      </w:r>
      <w:r w:rsidR="009C3010">
        <w:t xml:space="preserve">The </w:t>
      </w:r>
      <w:r w:rsidR="00594B34">
        <w:t xml:space="preserve">direction to </w:t>
      </w:r>
      <w:r w:rsidR="009C3010">
        <w:t xml:space="preserve">use </w:t>
      </w:r>
      <w:r w:rsidR="00594B34">
        <w:t>the</w:t>
      </w:r>
      <w:r w:rsidR="009C3010">
        <w:t xml:space="preserve"> best available information </w:t>
      </w:r>
      <w:r w:rsidR="5161D740">
        <w:t>allows decision</w:t>
      </w:r>
      <w:r w:rsidR="00672F90">
        <w:t>-</w:t>
      </w:r>
      <w:r w:rsidR="5161D740">
        <w:t>makers</w:t>
      </w:r>
      <w:r w:rsidR="0031709E">
        <w:t xml:space="preserve"> to </w:t>
      </w:r>
      <w:r w:rsidR="5161D740">
        <w:t xml:space="preserve">actively manage risks, even when the information </w:t>
      </w:r>
      <w:r w:rsidR="00B20929">
        <w:t xml:space="preserve">is not </w:t>
      </w:r>
      <w:r w:rsidR="5161D740">
        <w:t xml:space="preserve">perfect. </w:t>
      </w:r>
      <w:r w:rsidR="00B20929">
        <w:t xml:space="preserve">The alternative – </w:t>
      </w:r>
      <w:r w:rsidR="00B20929">
        <w:lastRenderedPageBreak/>
        <w:t>d</w:t>
      </w:r>
      <w:r w:rsidR="5161D740">
        <w:t>elaying actions to manage</w:t>
      </w:r>
      <w:r w:rsidR="0031709E">
        <w:t xml:space="preserve"> risk </w:t>
      </w:r>
      <w:r w:rsidR="5161D740">
        <w:t>because</w:t>
      </w:r>
      <w:r w:rsidR="008C5F6A">
        <w:t xml:space="preserve"> of</w:t>
      </w:r>
      <w:r w:rsidR="0031709E">
        <w:t xml:space="preserve"> </w:t>
      </w:r>
      <w:r w:rsidR="5161D740">
        <w:t>uncertainty</w:t>
      </w:r>
      <w:r w:rsidR="0031709E">
        <w:t xml:space="preserve"> about </w:t>
      </w:r>
      <w:r w:rsidR="5161D740">
        <w:t>the exact</w:t>
      </w:r>
      <w:r w:rsidR="0031709E">
        <w:t xml:space="preserve"> risk </w:t>
      </w:r>
      <w:r w:rsidR="5161D740">
        <w:t>profile or trajectory</w:t>
      </w:r>
      <w:r w:rsidR="000943A7">
        <w:t xml:space="preserve"> –</w:t>
      </w:r>
      <w:r w:rsidR="5161D740">
        <w:t xml:space="preserve"> </w:t>
      </w:r>
      <w:r w:rsidR="10F23456">
        <w:t>means people and property stay at risk</w:t>
      </w:r>
      <w:r w:rsidR="00DE1720">
        <w:t xml:space="preserve">. </w:t>
      </w:r>
    </w:p>
    <w:p w14:paraId="2DE531ED" w14:textId="197631D5" w:rsidR="00C00DE4" w:rsidRPr="00493A3B" w:rsidRDefault="3FC3B1E9" w:rsidP="00D046E6">
      <w:pPr>
        <w:pStyle w:val="BodyText"/>
      </w:pPr>
      <w:r>
        <w:t>Valid</w:t>
      </w:r>
      <w:r w:rsidR="00C00DE4" w:rsidRPr="00493A3B">
        <w:t xml:space="preserve"> information does not necessarily have to be publicly available and may be held within a</w:t>
      </w:r>
      <w:r w:rsidR="00EE0B5A" w:rsidRPr="00493A3B">
        <w:t> </w:t>
      </w:r>
      <w:r w:rsidR="00C00DE4" w:rsidRPr="00493A3B">
        <w:t xml:space="preserve">local authority’s own internal </w:t>
      </w:r>
      <w:r w:rsidR="000943A7" w:rsidRPr="00493A3B">
        <w:t xml:space="preserve">geographic information </w:t>
      </w:r>
      <w:r w:rsidR="00C00DE4" w:rsidRPr="00493A3B">
        <w:t xml:space="preserve">system. This accords with recent amendments to the Local Government Official Meetings and Information Act </w:t>
      </w:r>
      <w:r w:rsidR="00797718" w:rsidRPr="00493A3B">
        <w:t xml:space="preserve">1987 </w:t>
      </w:r>
      <w:r w:rsidR="00C00DE4" w:rsidRPr="00493A3B">
        <w:t xml:space="preserve">requiring councils </w:t>
      </w:r>
      <w:r w:rsidR="000F73C4" w:rsidRPr="00493A3B">
        <w:t xml:space="preserve">to </w:t>
      </w:r>
      <w:r w:rsidR="00C00DE4" w:rsidRPr="00493A3B">
        <w:t>disclose all known natural hazard information on Land Information Memoranda</w:t>
      </w:r>
      <w:r w:rsidR="0062417E" w:rsidRPr="00493A3B">
        <w:t xml:space="preserve"> (LIM)</w:t>
      </w:r>
      <w:r w:rsidR="00C00DE4" w:rsidRPr="00493A3B">
        <w:t>, whether publicly available or not.</w:t>
      </w:r>
    </w:p>
    <w:p w14:paraId="454119FC" w14:textId="5D92F027" w:rsidR="00E37433" w:rsidRPr="00493A3B" w:rsidRDefault="00E922E0" w:rsidP="00D046E6">
      <w:pPr>
        <w:pStyle w:val="BodyText"/>
      </w:pPr>
      <w:r w:rsidRPr="00493A3B">
        <w:t xml:space="preserve">As a guide, applying best information available </w:t>
      </w:r>
      <w:r w:rsidR="00E519AD" w:rsidRPr="00493A3B">
        <w:t>involves the following</w:t>
      </w:r>
      <w:r w:rsidR="002C49AE">
        <w:t>:</w:t>
      </w:r>
      <w:r w:rsidRPr="00493A3B">
        <w:t xml:space="preserve"> </w:t>
      </w:r>
    </w:p>
    <w:p w14:paraId="060BCCB4" w14:textId="5B1A56B9" w:rsidR="00891660" w:rsidRPr="00493A3B" w:rsidRDefault="002D66D4" w:rsidP="007F5386">
      <w:pPr>
        <w:pStyle w:val="Bullet"/>
      </w:pPr>
      <w:r w:rsidRPr="00493A3B">
        <w:t>U</w:t>
      </w:r>
      <w:r w:rsidR="007D4E6E" w:rsidRPr="00493A3B">
        <w:t>se complete and scientifically robust data where possible</w:t>
      </w:r>
      <w:r w:rsidR="00C565EE" w:rsidRPr="00493A3B">
        <w:t>.</w:t>
      </w:r>
    </w:p>
    <w:p w14:paraId="313AB797" w14:textId="14DFDF21" w:rsidR="00C565EE" w:rsidRPr="00493A3B" w:rsidRDefault="00803171" w:rsidP="0E9BDCCC">
      <w:pPr>
        <w:pStyle w:val="Bullet"/>
        <w:rPr>
          <w:i/>
          <w:iCs/>
        </w:rPr>
      </w:pPr>
      <w:r w:rsidRPr="00493A3B">
        <w:t>B</w:t>
      </w:r>
      <w:r w:rsidR="00604F12" w:rsidRPr="00493A3B">
        <w:t xml:space="preserve">est </w:t>
      </w:r>
      <w:r w:rsidR="00116724" w:rsidRPr="00493A3B">
        <w:t xml:space="preserve">available </w:t>
      </w:r>
      <w:r w:rsidR="00604F12" w:rsidRPr="00493A3B">
        <w:t xml:space="preserve">information may </w:t>
      </w:r>
      <w:r w:rsidR="00116724" w:rsidRPr="00493A3B">
        <w:t xml:space="preserve">also </w:t>
      </w:r>
      <w:r w:rsidR="00604F12" w:rsidRPr="00493A3B">
        <w:t xml:space="preserve">include </w:t>
      </w:r>
      <w:r w:rsidR="00790347" w:rsidRPr="00493A3B">
        <w:t>information obtained from modelling, as well as partial data</w:t>
      </w:r>
      <w:r w:rsidR="00305ABA" w:rsidRPr="00493A3B">
        <w:t xml:space="preserve"> </w:t>
      </w:r>
      <w:r w:rsidR="00790347" w:rsidRPr="00493A3B">
        <w:t>and</w:t>
      </w:r>
      <w:r w:rsidR="00604F12" w:rsidRPr="00493A3B">
        <w:t xml:space="preserve"> </w:t>
      </w:r>
      <w:r w:rsidR="00790347" w:rsidRPr="00493A3B">
        <w:t>information obtained from other sources</w:t>
      </w:r>
      <w:r w:rsidR="00C565EE" w:rsidRPr="00493A3B">
        <w:t>.</w:t>
      </w:r>
    </w:p>
    <w:p w14:paraId="2672D7D0" w14:textId="01EC4EA7" w:rsidR="00C565EE" w:rsidRPr="00493A3B" w:rsidRDefault="00803171" w:rsidP="007F5386">
      <w:pPr>
        <w:pStyle w:val="Bullet"/>
      </w:pPr>
      <w:r w:rsidRPr="00493A3B">
        <w:t>W</w:t>
      </w:r>
      <w:r w:rsidR="00C565EE" w:rsidRPr="00493A3B">
        <w:t xml:space="preserve">hen using information that is uncertain or incomplete, </w:t>
      </w:r>
      <w:r w:rsidR="00F037DE" w:rsidRPr="00493A3B">
        <w:t>give preference to sources of information that provide the greatest level of certainty</w:t>
      </w:r>
      <w:r w:rsidRPr="00493A3B">
        <w:t>,</w:t>
      </w:r>
      <w:r w:rsidR="00F037DE" w:rsidRPr="00493A3B">
        <w:t xml:space="preserve"> while taking all practicable steps to reduce uncertainty</w:t>
      </w:r>
      <w:r w:rsidR="00412EFE" w:rsidRPr="00493A3B">
        <w:t>.</w:t>
      </w:r>
    </w:p>
    <w:p w14:paraId="7D06997C" w14:textId="3562A8CC" w:rsidR="00786C65" w:rsidRPr="00493A3B" w:rsidRDefault="00803171" w:rsidP="007F5386">
      <w:pPr>
        <w:pStyle w:val="Bullet"/>
      </w:pPr>
      <w:r w:rsidRPr="00493A3B">
        <w:t>I</w:t>
      </w:r>
      <w:r w:rsidR="00786C65" w:rsidRPr="00493A3B">
        <w:t>f the information is uncertain,</w:t>
      </w:r>
      <w:r w:rsidR="00B30FD5">
        <w:t xml:space="preserve"> including when considering future conditions under climate change,</w:t>
      </w:r>
      <w:r w:rsidR="00786C65" w:rsidRPr="00493A3B">
        <w:t xml:space="preserve"> interpret </w:t>
      </w:r>
      <w:r w:rsidR="006D4AB1" w:rsidRPr="00493A3B">
        <w:t xml:space="preserve">it </w:t>
      </w:r>
      <w:r w:rsidR="00786C65" w:rsidRPr="00493A3B">
        <w:t xml:space="preserve">in a way that gives effect to the proportionate </w:t>
      </w:r>
      <w:r w:rsidR="004204D8" w:rsidRPr="00493A3B">
        <w:t>risk-based</w:t>
      </w:r>
      <w:r w:rsidR="00786C65" w:rsidRPr="00493A3B">
        <w:t xml:space="preserve"> approach </w:t>
      </w:r>
      <w:r w:rsidRPr="00493A3B">
        <w:t>required by</w:t>
      </w:r>
      <w:r w:rsidR="00786C65" w:rsidRPr="00493A3B">
        <w:t xml:space="preserve"> the NPS-NH.</w:t>
      </w:r>
    </w:p>
    <w:p w14:paraId="4F4FC0B8" w14:textId="6A2F684E" w:rsidR="00774556" w:rsidRPr="00493A3B" w:rsidRDefault="00803171" w:rsidP="00E6189A">
      <w:pPr>
        <w:pStyle w:val="BodyText"/>
        <w:keepNext/>
      </w:pPr>
      <w:r w:rsidRPr="00493A3B">
        <w:t>L</w:t>
      </w:r>
      <w:r w:rsidR="00C761B4" w:rsidRPr="00493A3B">
        <w:t>ocal authori</w:t>
      </w:r>
      <w:r w:rsidR="004F2DB7" w:rsidRPr="00493A3B">
        <w:t xml:space="preserve">ties </w:t>
      </w:r>
      <w:r w:rsidRPr="00493A3B">
        <w:t>should de</w:t>
      </w:r>
      <w:r w:rsidR="00165CB9" w:rsidRPr="00493A3B">
        <w:t>velop</w:t>
      </w:r>
      <w:r w:rsidR="00C761B4" w:rsidRPr="00493A3B">
        <w:t xml:space="preserve"> their own c</w:t>
      </w:r>
      <w:r w:rsidR="00F83A08" w:rsidRPr="00493A3B">
        <w:t xml:space="preserve">riteria for evaluating </w:t>
      </w:r>
      <w:r w:rsidR="00244C35" w:rsidRPr="00493A3B">
        <w:t xml:space="preserve">the </w:t>
      </w:r>
      <w:r w:rsidR="00F83A08" w:rsidRPr="00493A3B">
        <w:t>suitability of information</w:t>
      </w:r>
      <w:r w:rsidR="004012E0" w:rsidRPr="00493A3B">
        <w:t xml:space="preserve"> for </w:t>
      </w:r>
      <w:r w:rsidR="004F2DB7" w:rsidRPr="00493A3B">
        <w:t>consenting</w:t>
      </w:r>
      <w:r w:rsidR="00F976C7" w:rsidRPr="00493A3B">
        <w:t xml:space="preserve"> – </w:t>
      </w:r>
      <w:r w:rsidR="00F83A08" w:rsidRPr="00493A3B">
        <w:t>for example</w:t>
      </w:r>
      <w:r w:rsidR="00774556" w:rsidRPr="00493A3B">
        <w:t>:</w:t>
      </w:r>
    </w:p>
    <w:p w14:paraId="47934892" w14:textId="4E07DAD0" w:rsidR="00774556" w:rsidRPr="00493A3B" w:rsidRDefault="00244C35" w:rsidP="00E6189A">
      <w:pPr>
        <w:pStyle w:val="Bullet"/>
        <w:keepNext/>
      </w:pPr>
      <w:r w:rsidRPr="00493A3B">
        <w:t xml:space="preserve">the </w:t>
      </w:r>
      <w:r w:rsidR="00F83A08" w:rsidRPr="00493A3B">
        <w:t xml:space="preserve">age of </w:t>
      </w:r>
      <w:r w:rsidRPr="00493A3B">
        <w:t xml:space="preserve">the </w:t>
      </w:r>
      <w:r w:rsidR="00F83A08" w:rsidRPr="00493A3B">
        <w:t>information</w:t>
      </w:r>
    </w:p>
    <w:p w14:paraId="49492A73" w14:textId="678D1000" w:rsidR="00774556" w:rsidRPr="00493A3B" w:rsidRDefault="00F83A08" w:rsidP="007F5386">
      <w:pPr>
        <w:pStyle w:val="Bullet"/>
      </w:pPr>
      <w:r w:rsidRPr="00493A3B">
        <w:t>advances in science or changes in the environment that have occurred since publication</w:t>
      </w:r>
    </w:p>
    <w:p w14:paraId="1C9EA11C" w14:textId="61DC434F" w:rsidR="00774556" w:rsidRPr="00493A3B" w:rsidRDefault="00574437" w:rsidP="007F5386">
      <w:pPr>
        <w:pStyle w:val="Bullet"/>
      </w:pPr>
      <w:r w:rsidRPr="00493A3B">
        <w:t>the qualifications and experience of the person who</w:t>
      </w:r>
      <w:r w:rsidR="00F83A08" w:rsidRPr="00493A3B">
        <w:t xml:space="preserve"> authored the information</w:t>
      </w:r>
    </w:p>
    <w:p w14:paraId="70342CE7" w14:textId="4CAA87EC" w:rsidR="00774556" w:rsidRPr="00493A3B" w:rsidRDefault="00F83A08" w:rsidP="007F5386">
      <w:pPr>
        <w:pStyle w:val="Bullet"/>
      </w:pPr>
      <w:r w:rsidRPr="00493A3B">
        <w:t>whether it was peer reviewed</w:t>
      </w:r>
    </w:p>
    <w:p w14:paraId="157E4B3F" w14:textId="44D653F5" w:rsidR="00774556" w:rsidRPr="00493A3B" w:rsidRDefault="00F83A08" w:rsidP="007F5386">
      <w:pPr>
        <w:pStyle w:val="Bullet"/>
      </w:pPr>
      <w:r w:rsidRPr="00493A3B">
        <w:t xml:space="preserve">whether it follows </w:t>
      </w:r>
      <w:r w:rsidR="00574437" w:rsidRPr="00493A3B">
        <w:t>best</w:t>
      </w:r>
      <w:r w:rsidRPr="00493A3B">
        <w:t xml:space="preserve"> practice methods</w:t>
      </w:r>
    </w:p>
    <w:p w14:paraId="008D694C" w14:textId="1E623A7A" w:rsidR="00774556" w:rsidRPr="00493A3B" w:rsidRDefault="00F83A08" w:rsidP="007F5386">
      <w:pPr>
        <w:pStyle w:val="Bullet"/>
      </w:pPr>
      <w:r w:rsidRPr="00493A3B">
        <w:t>whether it remains consistent with good practice</w:t>
      </w:r>
    </w:p>
    <w:p w14:paraId="00042E8F" w14:textId="175705FD" w:rsidR="00A4163F" w:rsidRPr="00493A3B" w:rsidRDefault="00F83A08" w:rsidP="007F5386">
      <w:pPr>
        <w:pStyle w:val="Bullet"/>
      </w:pPr>
      <w:r w:rsidRPr="00493A3B">
        <w:t>whether uncertainties and limitations are well documented.</w:t>
      </w:r>
    </w:p>
    <w:p w14:paraId="5C3E40A0" w14:textId="55616E9F" w:rsidR="00E33848" w:rsidRPr="00493A3B" w:rsidRDefault="001435EE" w:rsidP="00F92DDC">
      <w:pPr>
        <w:pStyle w:val="BodyText"/>
      </w:pPr>
      <w:r w:rsidRPr="00493A3B">
        <w:t xml:space="preserve">As such, the proportionate approach also relates to the inputs into the risk </w:t>
      </w:r>
      <w:r w:rsidR="003479C4" w:rsidRPr="00493A3B">
        <w:t>assessment</w:t>
      </w:r>
      <w:r w:rsidRPr="00493A3B">
        <w:t>, such as</w:t>
      </w:r>
      <w:r w:rsidR="00EE0B5A" w:rsidRPr="00493A3B">
        <w:t> </w:t>
      </w:r>
      <w:r w:rsidRPr="00493A3B">
        <w:t>the robustness or completeness of the information that is being used. The existing hazard</w:t>
      </w:r>
      <w:r w:rsidR="00242C2A">
        <w:noBreakHyphen/>
      </w:r>
      <w:r w:rsidRPr="00493A3B">
        <w:t>specific guidance (</w:t>
      </w:r>
      <w:r w:rsidR="00F976C7" w:rsidRPr="00493A3B">
        <w:t xml:space="preserve">see </w:t>
      </w:r>
      <w:hyperlink w:anchor="_Appendix_1_–" w:history="1">
        <w:r w:rsidR="00F976C7" w:rsidRPr="00493A3B">
          <w:rPr>
            <w:rStyle w:val="Hyperlink"/>
          </w:rPr>
          <w:t>a</w:t>
        </w:r>
        <w:r w:rsidRPr="00493A3B">
          <w:rPr>
            <w:rStyle w:val="Hyperlink"/>
          </w:rPr>
          <w:t xml:space="preserve">ppendix </w:t>
        </w:r>
        <w:r w:rsidR="006964B3" w:rsidRPr="00493A3B">
          <w:rPr>
            <w:rStyle w:val="Hyperlink"/>
          </w:rPr>
          <w:t>1</w:t>
        </w:r>
      </w:hyperlink>
      <w:r w:rsidRPr="00493A3B">
        <w:t>) offer</w:t>
      </w:r>
      <w:r w:rsidR="00F976C7" w:rsidRPr="00493A3B">
        <w:t>s</w:t>
      </w:r>
      <w:r w:rsidRPr="00493A3B">
        <w:t xml:space="preserve"> insights into the suitability of natural hazard information for different land</w:t>
      </w:r>
      <w:r w:rsidR="00F976C7" w:rsidRPr="00493A3B">
        <w:t>-</w:t>
      </w:r>
      <w:r w:rsidRPr="00493A3B">
        <w:t xml:space="preserve">use planning purposes. </w:t>
      </w:r>
    </w:p>
    <w:p w14:paraId="5993F0C9" w14:textId="5CF91200" w:rsidR="001435EE" w:rsidRPr="00493A3B" w:rsidRDefault="00E33848" w:rsidP="00ED4303">
      <w:pPr>
        <w:spacing w:before="0" w:after="200" w:line="276" w:lineRule="auto"/>
        <w:jc w:val="left"/>
      </w:pPr>
      <w:r w:rsidRPr="00493A3B">
        <w:br w:type="page"/>
      </w:r>
    </w:p>
    <w:p w14:paraId="497C787F" w14:textId="2B2A7921" w:rsidR="0069754C" w:rsidRPr="00493A3B" w:rsidRDefault="002E2D37" w:rsidP="0069754C">
      <w:pPr>
        <w:pStyle w:val="Heading1"/>
      </w:pPr>
      <w:bookmarkStart w:id="36" w:name="_Toc226291478"/>
      <w:r w:rsidRPr="00493A3B">
        <w:lastRenderedPageBreak/>
        <w:t xml:space="preserve">Part </w:t>
      </w:r>
      <w:r w:rsidR="007404D5" w:rsidRPr="00493A3B">
        <w:t>5</w:t>
      </w:r>
      <w:r w:rsidRPr="00493A3B">
        <w:t>:</w:t>
      </w:r>
      <w:r w:rsidR="0069754C" w:rsidRPr="00493A3B">
        <w:t xml:space="preserve"> </w:t>
      </w:r>
      <w:r w:rsidR="00090B7E" w:rsidRPr="00493A3B">
        <w:t>Interaction with other</w:t>
      </w:r>
      <w:r w:rsidR="00EE0B5A" w:rsidRPr="00493A3B">
        <w:t> </w:t>
      </w:r>
      <w:r w:rsidR="00090B7E" w:rsidRPr="00493A3B">
        <w:t>policies</w:t>
      </w:r>
      <w:bookmarkEnd w:id="36"/>
    </w:p>
    <w:p w14:paraId="7325F6AF" w14:textId="1A25CC10" w:rsidR="00E51842" w:rsidRPr="00493A3B" w:rsidRDefault="0069754C" w:rsidP="00D046E6">
      <w:pPr>
        <w:pStyle w:val="BodyText"/>
      </w:pPr>
      <w:r w:rsidRPr="00493A3B">
        <w:t>In New Zealand</w:t>
      </w:r>
      <w:r w:rsidR="003D2239" w:rsidRPr="00493A3B">
        <w:t>,</w:t>
      </w:r>
      <w:r w:rsidRPr="00493A3B">
        <w:t xml:space="preserve"> the management of natural hazard risk is addressed through a range of legislation, regulations, policies and plans</w:t>
      </w:r>
      <w:r w:rsidR="00E51842" w:rsidRPr="00493A3B">
        <w:t xml:space="preserve"> – b</w:t>
      </w:r>
      <w:r w:rsidRPr="00493A3B">
        <w:t>riefly</w:t>
      </w:r>
      <w:r w:rsidR="00E51842" w:rsidRPr="00493A3B">
        <w:t xml:space="preserve">: </w:t>
      </w:r>
    </w:p>
    <w:p w14:paraId="613A9AB3" w14:textId="0A64BBE7" w:rsidR="00E51842" w:rsidRPr="00493A3B" w:rsidRDefault="0069754C" w:rsidP="00E51842">
      <w:pPr>
        <w:pStyle w:val="Bullet"/>
      </w:pPr>
      <w:r w:rsidRPr="00493A3B">
        <w:t xml:space="preserve">the Building Act 2004 addresses building requirements through the Building Code and related </w:t>
      </w:r>
      <w:r w:rsidR="00FC0F8A" w:rsidRPr="00493A3B">
        <w:t>compliance pathways</w:t>
      </w:r>
      <w:r w:rsidRPr="00493A3B">
        <w:t xml:space="preserve"> </w:t>
      </w:r>
    </w:p>
    <w:p w14:paraId="3800D0AB" w14:textId="073FE656" w:rsidR="00E51842" w:rsidRPr="00493A3B" w:rsidRDefault="00E51842" w:rsidP="00E51842">
      <w:pPr>
        <w:pStyle w:val="Bullet"/>
      </w:pPr>
      <w:r w:rsidRPr="00493A3B">
        <w:t>t</w:t>
      </w:r>
      <w:r w:rsidR="0069754C" w:rsidRPr="00493A3B">
        <w:t>he Civil Defence Emergency Management Act 2002 focuses on preparing for, responding to and recovering from natural hazard events</w:t>
      </w:r>
    </w:p>
    <w:p w14:paraId="50A77BAE" w14:textId="128A82D2" w:rsidR="0069754C" w:rsidRPr="00493A3B" w:rsidRDefault="0062417E" w:rsidP="003F5D16">
      <w:pPr>
        <w:pStyle w:val="Bullet"/>
      </w:pPr>
      <w:r w:rsidRPr="00493A3B">
        <w:t>t</w:t>
      </w:r>
      <w:r w:rsidR="0069754C" w:rsidRPr="00493A3B">
        <w:t xml:space="preserve">he </w:t>
      </w:r>
      <w:r w:rsidR="007D2DE3" w:rsidRPr="00493A3B">
        <w:t xml:space="preserve">Local Government Official Meetings and Information Act 1987 </w:t>
      </w:r>
      <w:r w:rsidR="0069754C" w:rsidRPr="00493A3B">
        <w:t xml:space="preserve">requires </w:t>
      </w:r>
      <w:r w:rsidRPr="00493A3B">
        <w:t xml:space="preserve">all known </w:t>
      </w:r>
      <w:r w:rsidR="0069754C" w:rsidRPr="00493A3B">
        <w:t>information on natural hazards</w:t>
      </w:r>
      <w:r w:rsidR="003C7AD7">
        <w:t xml:space="preserve"> held by a council</w:t>
      </w:r>
      <w:r w:rsidR="0069754C" w:rsidRPr="00493A3B">
        <w:t xml:space="preserve"> </w:t>
      </w:r>
      <w:r w:rsidR="007D2DE3" w:rsidRPr="00493A3B">
        <w:t xml:space="preserve">to </w:t>
      </w:r>
      <w:r w:rsidR="0069754C" w:rsidRPr="00493A3B">
        <w:t>be included on LIM</w:t>
      </w:r>
      <w:r w:rsidR="00F244EC" w:rsidRPr="00493A3B">
        <w:t>s</w:t>
      </w:r>
      <w:r w:rsidR="0069754C" w:rsidRPr="00493A3B">
        <w:t>.</w:t>
      </w:r>
    </w:p>
    <w:p w14:paraId="3BD8BE62" w14:textId="77777777" w:rsidR="00AF00DD" w:rsidRPr="00493A3B" w:rsidRDefault="0069754C" w:rsidP="00D046E6">
      <w:pPr>
        <w:pStyle w:val="BodyText"/>
      </w:pPr>
      <w:r w:rsidRPr="00493A3B">
        <w:t>The management of natural hazards also intersects with other national direction instruments, including</w:t>
      </w:r>
      <w:r w:rsidR="00AF00DD" w:rsidRPr="00493A3B">
        <w:t>:</w:t>
      </w:r>
    </w:p>
    <w:p w14:paraId="51946860" w14:textId="71A314E5" w:rsidR="00AF00DD" w:rsidRPr="00493A3B" w:rsidRDefault="0069754C" w:rsidP="00AF00DD">
      <w:pPr>
        <w:pStyle w:val="Bullet"/>
      </w:pPr>
      <w:r w:rsidRPr="00493A3B">
        <w:t xml:space="preserve">the </w:t>
      </w:r>
      <w:hyperlink r:id="rId42" w:history="1">
        <w:r w:rsidRPr="00493A3B">
          <w:rPr>
            <w:rStyle w:val="Hyperlink"/>
          </w:rPr>
          <w:t xml:space="preserve">New Zealand Coastal Policy Statement </w:t>
        </w:r>
        <w:r w:rsidR="000D52A8" w:rsidRPr="00493A3B">
          <w:rPr>
            <w:rStyle w:val="Hyperlink"/>
          </w:rPr>
          <w:t>2010</w:t>
        </w:r>
      </w:hyperlink>
      <w:r w:rsidR="000D52A8" w:rsidRPr="00493A3B">
        <w:t xml:space="preserve"> </w:t>
      </w:r>
      <w:r w:rsidRPr="00493A3B">
        <w:t>(NZCPS)</w:t>
      </w:r>
    </w:p>
    <w:p w14:paraId="7C50FBC4" w14:textId="731FF6F6" w:rsidR="004A30FD" w:rsidRPr="00493A3B" w:rsidRDefault="004A30FD" w:rsidP="00AF00DD">
      <w:pPr>
        <w:pStyle w:val="Bullet"/>
      </w:pPr>
      <w:r w:rsidRPr="00493A3B">
        <w:t xml:space="preserve">the </w:t>
      </w:r>
      <w:hyperlink r:id="rId43" w:history="1">
        <w:r w:rsidRPr="00493A3B">
          <w:rPr>
            <w:rStyle w:val="Hyperlink"/>
          </w:rPr>
          <w:t xml:space="preserve">National Policy Statement for Infrastructure </w:t>
        </w:r>
        <w:r w:rsidR="0028311A" w:rsidRPr="00493A3B">
          <w:rPr>
            <w:rStyle w:val="Hyperlink"/>
          </w:rPr>
          <w:t>2025</w:t>
        </w:r>
      </w:hyperlink>
      <w:r w:rsidR="0028311A" w:rsidRPr="00493A3B">
        <w:t xml:space="preserve"> </w:t>
      </w:r>
      <w:r w:rsidRPr="00493A3B">
        <w:t>(</w:t>
      </w:r>
      <w:r w:rsidR="0069754C" w:rsidRPr="00493A3B">
        <w:t>NPS-I</w:t>
      </w:r>
      <w:r w:rsidRPr="00493A3B">
        <w:t>)</w:t>
      </w:r>
    </w:p>
    <w:p w14:paraId="506CF3B8" w14:textId="2F0E3768" w:rsidR="004A30FD" w:rsidRPr="00493A3B" w:rsidRDefault="004A30FD" w:rsidP="00AF00DD">
      <w:pPr>
        <w:pStyle w:val="Bullet"/>
      </w:pPr>
      <w:r w:rsidRPr="00493A3B">
        <w:t xml:space="preserve">the </w:t>
      </w:r>
      <w:hyperlink r:id="rId44" w:history="1">
        <w:r w:rsidR="0069754C" w:rsidRPr="00493A3B">
          <w:rPr>
            <w:rStyle w:val="Hyperlink"/>
          </w:rPr>
          <w:t>National Policy Statement on Urban Development 2020</w:t>
        </w:r>
      </w:hyperlink>
      <w:r w:rsidR="0069754C" w:rsidRPr="00493A3B">
        <w:t xml:space="preserve"> (NPS-UD)</w:t>
      </w:r>
    </w:p>
    <w:p w14:paraId="2C46E6A9" w14:textId="17BEC15E" w:rsidR="004A30FD" w:rsidRPr="00493A3B" w:rsidRDefault="004A30FD" w:rsidP="00AF00DD">
      <w:pPr>
        <w:pStyle w:val="Bullet"/>
      </w:pPr>
      <w:r w:rsidRPr="00493A3B">
        <w:t xml:space="preserve">the </w:t>
      </w:r>
      <w:hyperlink r:id="rId45" w:history="1">
        <w:r w:rsidR="0069754C" w:rsidRPr="00493A3B">
          <w:rPr>
            <w:rStyle w:val="Hyperlink"/>
          </w:rPr>
          <w:t>National Environmental Standards for Detached Minor Residential Units 2025</w:t>
        </w:r>
      </w:hyperlink>
      <w:r w:rsidR="0069754C" w:rsidRPr="00493A3B">
        <w:t xml:space="preserve"> (NES</w:t>
      </w:r>
      <w:r w:rsidR="00EE0B5A" w:rsidRPr="00493A3B">
        <w:noBreakHyphen/>
      </w:r>
      <w:r w:rsidR="0069754C" w:rsidRPr="00493A3B">
        <w:t>DMRU)</w:t>
      </w:r>
    </w:p>
    <w:p w14:paraId="4440AEA2" w14:textId="790B5BB4" w:rsidR="0069754C" w:rsidRPr="00493A3B" w:rsidRDefault="0069754C" w:rsidP="0052478B">
      <w:pPr>
        <w:pStyle w:val="Bullet"/>
      </w:pPr>
      <w:r w:rsidRPr="00493A3B">
        <w:t xml:space="preserve">the </w:t>
      </w:r>
      <w:hyperlink r:id="rId46" w:history="1">
        <w:r w:rsidRPr="00493A3B">
          <w:rPr>
            <w:rStyle w:val="Hyperlink"/>
          </w:rPr>
          <w:t>proposed National Environmental Standards for Papakāinga</w:t>
        </w:r>
      </w:hyperlink>
      <w:r w:rsidRPr="00493A3B">
        <w:t xml:space="preserve"> (NES-P). </w:t>
      </w:r>
    </w:p>
    <w:p w14:paraId="00785053" w14:textId="224EBBA9" w:rsidR="0069754C" w:rsidRPr="00493A3B" w:rsidRDefault="002B5381" w:rsidP="00D046E6">
      <w:pPr>
        <w:pStyle w:val="BodyText"/>
      </w:pPr>
      <w:r w:rsidRPr="00493A3B">
        <w:t>Clause 1.3(3)</w:t>
      </w:r>
      <w:r w:rsidR="001F5A35" w:rsidRPr="00493A3B">
        <w:t xml:space="preserve"> of t</w:t>
      </w:r>
      <w:r w:rsidR="0069754C" w:rsidRPr="00493A3B">
        <w:t>he NPS-NH specifically directs that the NZCPS prevails where there is inconsistency in policy direction with regards to managing natural hazard risk in the coastal environment. This is because</w:t>
      </w:r>
      <w:r w:rsidR="00883C69" w:rsidRPr="00493A3B">
        <w:t>,</w:t>
      </w:r>
      <w:r w:rsidR="0069754C" w:rsidRPr="00493A3B">
        <w:t xml:space="preserve"> in most cases</w:t>
      </w:r>
      <w:r w:rsidR="00883C69" w:rsidRPr="00493A3B">
        <w:t>,</w:t>
      </w:r>
      <w:r w:rsidR="0069754C" w:rsidRPr="00493A3B">
        <w:t xml:space="preserve"> the NZCPS would provide a more specific policy direction for identifying, assessing and managing natural hazard risk for coastal environments.</w:t>
      </w:r>
      <w:r w:rsidR="00D0023A" w:rsidRPr="00493A3B">
        <w:t xml:space="preserve"> </w:t>
      </w:r>
      <w:r w:rsidR="00D0023A" w:rsidRPr="006A4AA0">
        <w:rPr>
          <w:spacing w:val="-2"/>
        </w:rPr>
        <w:t>A more comprehensive review of management of natural hazard risks in the coastal environment</w:t>
      </w:r>
      <w:r w:rsidR="00D0023A" w:rsidRPr="00493A3B">
        <w:t xml:space="preserve"> is planned as part of the next phase of </w:t>
      </w:r>
      <w:r w:rsidR="00E693A8" w:rsidRPr="00493A3B">
        <w:t>the planning system</w:t>
      </w:r>
      <w:r w:rsidR="00D0023A" w:rsidRPr="00493A3B">
        <w:t xml:space="preserve"> reform.</w:t>
      </w:r>
    </w:p>
    <w:p w14:paraId="3EAE5D40" w14:textId="3E4D3720" w:rsidR="00C57F66" w:rsidRPr="00493A3B" w:rsidRDefault="00C57F66" w:rsidP="00D046E6">
      <w:pPr>
        <w:pStyle w:val="BodyText"/>
      </w:pPr>
      <w:r w:rsidRPr="00493A3B">
        <w:t>Given that infrastructure is exempted from consideration under the NPS-NH, th</w:t>
      </w:r>
      <w:r w:rsidR="00FF3813" w:rsidRPr="00493A3B">
        <w:t>e NPS-I</w:t>
      </w:r>
      <w:r w:rsidRPr="00493A3B">
        <w:t xml:space="preserve"> will only apply when making a decision on a resource consent application for infrastructure that is not as defined in the RMA (</w:t>
      </w:r>
      <w:r w:rsidR="00D9182E" w:rsidRPr="00493A3B">
        <w:t>ie, for</w:t>
      </w:r>
      <w:r w:rsidRPr="00493A3B">
        <w:t xml:space="preserve"> additional infrastructure as defined in the NPS-I)</w:t>
      </w:r>
      <w:r w:rsidR="00D9182E" w:rsidRPr="00493A3B">
        <w:t>,</w:t>
      </w:r>
      <w:r w:rsidRPr="00493A3B">
        <w:t xml:space="preserve"> or where existing planning provisions seek to manage infrastructure in areas subject to natural hazards. </w:t>
      </w:r>
    </w:p>
    <w:p w14:paraId="1A1FED2D" w14:textId="0AB78FCE" w:rsidR="00F30BAD" w:rsidRPr="00493A3B" w:rsidRDefault="004E584B" w:rsidP="00D046E6">
      <w:pPr>
        <w:pStyle w:val="BodyText"/>
      </w:pPr>
      <w:r w:rsidRPr="00493A3B">
        <w:t xml:space="preserve">The NPS-NH does not </w:t>
      </w:r>
      <w:r w:rsidR="00E841D3" w:rsidRPr="00493A3B">
        <w:t>have precedence over</w:t>
      </w:r>
      <w:r w:rsidRPr="00493A3B">
        <w:t xml:space="preserve"> the NPS-UD</w:t>
      </w:r>
      <w:r w:rsidR="006B5391" w:rsidRPr="00493A3B">
        <w:t>. In the decision-making process, b</w:t>
      </w:r>
      <w:r w:rsidRPr="00493A3B">
        <w:t>oth must be considered</w:t>
      </w:r>
      <w:r w:rsidR="006B5391" w:rsidRPr="00493A3B">
        <w:t>,</w:t>
      </w:r>
      <w:r w:rsidRPr="00493A3B">
        <w:t xml:space="preserve"> and the outcomes sought by each </w:t>
      </w:r>
      <w:r w:rsidR="006B5391" w:rsidRPr="00493A3B">
        <w:t xml:space="preserve">must be </w:t>
      </w:r>
      <w:r w:rsidRPr="00493A3B">
        <w:t>balanced.</w:t>
      </w:r>
      <w:r w:rsidR="007C55EF" w:rsidRPr="00493A3B">
        <w:t xml:space="preserve"> </w:t>
      </w:r>
      <w:r w:rsidR="00F30BAD" w:rsidRPr="00493A3B">
        <w:t xml:space="preserve">In relation to the NES-DMRU and </w:t>
      </w:r>
      <w:r w:rsidR="000D52A8" w:rsidRPr="00493A3B">
        <w:t xml:space="preserve">the proposed </w:t>
      </w:r>
      <w:r w:rsidR="00F30BAD" w:rsidRPr="00493A3B">
        <w:t>NES-P, the NPS-NH will only apply where resource consent is required</w:t>
      </w:r>
      <w:r w:rsidR="005E2CB6" w:rsidRPr="00493A3B">
        <w:t xml:space="preserve"> </w:t>
      </w:r>
      <w:r w:rsidR="00F30BAD" w:rsidRPr="00493A3B">
        <w:t>and</w:t>
      </w:r>
      <w:r w:rsidR="005E2CB6" w:rsidRPr="00493A3B">
        <w:t>,</w:t>
      </w:r>
      <w:r w:rsidR="00F30BAD" w:rsidRPr="00493A3B">
        <w:t xml:space="preserve"> in these situations</w:t>
      </w:r>
      <w:r w:rsidR="005E2CB6" w:rsidRPr="00493A3B">
        <w:t>,</w:t>
      </w:r>
      <w:r w:rsidR="00F30BAD" w:rsidRPr="00493A3B">
        <w:t xml:space="preserve"> will guide decision-making as identified in </w:t>
      </w:r>
      <w:hyperlink w:anchor="_Part_3:_Application" w:history="1">
        <w:r w:rsidR="005E2CB6" w:rsidRPr="00493A3B">
          <w:rPr>
            <w:rStyle w:val="Hyperlink"/>
          </w:rPr>
          <w:t>p</w:t>
        </w:r>
        <w:r w:rsidR="00F30BAD" w:rsidRPr="00493A3B">
          <w:rPr>
            <w:rStyle w:val="Hyperlink"/>
          </w:rPr>
          <w:t xml:space="preserve">art </w:t>
        </w:r>
        <w:r w:rsidR="005442E7" w:rsidRPr="00493A3B">
          <w:rPr>
            <w:rStyle w:val="Hyperlink"/>
          </w:rPr>
          <w:t>3</w:t>
        </w:r>
      </w:hyperlink>
      <w:r w:rsidR="00F30BAD" w:rsidRPr="00493A3B">
        <w:t xml:space="preserve"> above. </w:t>
      </w:r>
    </w:p>
    <w:p w14:paraId="6FCCAF98" w14:textId="77777777" w:rsidR="000761E1" w:rsidRPr="00493A3B" w:rsidRDefault="000761E1" w:rsidP="00D046E6">
      <w:pPr>
        <w:pStyle w:val="BodyText"/>
      </w:pPr>
      <w:r w:rsidRPr="00493A3B">
        <w:br w:type="page"/>
      </w:r>
    </w:p>
    <w:p w14:paraId="3C6604FA" w14:textId="55E15623" w:rsidR="004302AC" w:rsidRPr="00493A3B" w:rsidRDefault="009F1BD3" w:rsidP="00A5239F">
      <w:pPr>
        <w:pStyle w:val="Heading1"/>
      </w:pPr>
      <w:bookmarkStart w:id="37" w:name="_Appendix_1_–"/>
      <w:bookmarkStart w:id="38" w:name="_Toc226291479"/>
      <w:bookmarkEnd w:id="37"/>
      <w:r w:rsidRPr="00493A3B">
        <w:lastRenderedPageBreak/>
        <w:t xml:space="preserve">Appendix </w:t>
      </w:r>
      <w:r w:rsidR="00D14955" w:rsidRPr="00493A3B">
        <w:t>1</w:t>
      </w:r>
      <w:r w:rsidR="004744DA" w:rsidRPr="00493A3B">
        <w:t xml:space="preserve"> </w:t>
      </w:r>
      <w:r w:rsidRPr="00493A3B">
        <w:t xml:space="preserve">– </w:t>
      </w:r>
      <w:r w:rsidR="005346F4" w:rsidRPr="00493A3B">
        <w:t>Additional</w:t>
      </w:r>
      <w:r w:rsidR="004744DA" w:rsidRPr="00493A3B">
        <w:t xml:space="preserve"> </w:t>
      </w:r>
      <w:r w:rsidR="00311021" w:rsidRPr="00493A3B">
        <w:t>reference</w:t>
      </w:r>
      <w:r w:rsidR="00BE039A" w:rsidRPr="00493A3B">
        <w:t> </w:t>
      </w:r>
      <w:r w:rsidR="00874C0F" w:rsidRPr="00493A3B">
        <w:t>material</w:t>
      </w:r>
      <w:bookmarkEnd w:id="38"/>
    </w:p>
    <w:p w14:paraId="074A14C1" w14:textId="6D5E1E6B" w:rsidR="00467152" w:rsidRPr="00493A3B" w:rsidRDefault="00467152" w:rsidP="00D046E6">
      <w:pPr>
        <w:pStyle w:val="BodyText"/>
      </w:pPr>
      <w:r w:rsidRPr="00493A3B">
        <w:t>The follo</w:t>
      </w:r>
      <w:r w:rsidR="005346F4" w:rsidRPr="00493A3B">
        <w:t xml:space="preserve">wing </w:t>
      </w:r>
      <w:r w:rsidR="00E52FC7" w:rsidRPr="00493A3B">
        <w:t xml:space="preserve">non-statutory </w:t>
      </w:r>
      <w:r w:rsidR="005346F4" w:rsidRPr="00493A3B">
        <w:t>documents</w:t>
      </w:r>
      <w:r w:rsidR="00A756D5" w:rsidRPr="00493A3B">
        <w:t xml:space="preserve"> are current at the time of this guide being published</w:t>
      </w:r>
      <w:r w:rsidR="004B59C8" w:rsidRPr="00493A3B">
        <w:t>. They</w:t>
      </w:r>
      <w:r w:rsidR="00A756D5" w:rsidRPr="00493A3B">
        <w:t xml:space="preserve"> </w:t>
      </w:r>
      <w:r w:rsidR="0048709C" w:rsidRPr="00493A3B">
        <w:t>provide</w:t>
      </w:r>
      <w:r w:rsidR="005346F4" w:rsidRPr="00493A3B">
        <w:t xml:space="preserve"> additional information on </w:t>
      </w:r>
      <w:r w:rsidR="00706E1A" w:rsidRPr="00493A3B">
        <w:t>the risk-based planning approach and land</w:t>
      </w:r>
      <w:r w:rsidR="004B59C8" w:rsidRPr="00493A3B">
        <w:t>-</w:t>
      </w:r>
      <w:r w:rsidR="00706E1A" w:rsidRPr="00493A3B">
        <w:t>use planning for different hazards</w:t>
      </w:r>
      <w:r w:rsidR="00A756D5" w:rsidRPr="00493A3B">
        <w:t xml:space="preserve">. </w:t>
      </w:r>
      <w:r w:rsidR="004B59C8" w:rsidRPr="00493A3B">
        <w:t xml:space="preserve">Although </w:t>
      </w:r>
      <w:r w:rsidR="00A756D5" w:rsidRPr="00493A3B">
        <w:t>some require updating and may include</w:t>
      </w:r>
      <w:r w:rsidR="0008566E" w:rsidRPr="00493A3B">
        <w:t xml:space="preserve"> information that has been superseded by evolving best practice, they may still provide </w:t>
      </w:r>
      <w:r w:rsidR="005A7520" w:rsidRPr="00493A3B">
        <w:t xml:space="preserve">useful </w:t>
      </w:r>
      <w:r w:rsidR="0008566E" w:rsidRPr="00493A3B">
        <w:t xml:space="preserve">context </w:t>
      </w:r>
      <w:r w:rsidR="005A7520" w:rsidRPr="00493A3B">
        <w:t xml:space="preserve">when </w:t>
      </w:r>
      <w:r w:rsidR="0008566E" w:rsidRPr="00493A3B">
        <w:t xml:space="preserve">viewed with discretion to assist </w:t>
      </w:r>
      <w:r w:rsidR="00FB1969" w:rsidRPr="00493A3B">
        <w:t>in</w:t>
      </w:r>
      <w:r w:rsidR="0008566E" w:rsidRPr="00493A3B">
        <w:t xml:space="preserve"> </w:t>
      </w:r>
      <w:r w:rsidR="005A7520" w:rsidRPr="00493A3B">
        <w:t xml:space="preserve">implementing the </w:t>
      </w:r>
      <w:r w:rsidR="00A57F9E" w:rsidRPr="00493A3B">
        <w:t>NPS-NH</w:t>
      </w:r>
      <w:r w:rsidR="004B59C8" w:rsidRPr="00493A3B">
        <w:t>.</w:t>
      </w:r>
    </w:p>
    <w:p w14:paraId="0CADAEC4" w14:textId="77777777" w:rsidR="00ED7BA3" w:rsidRPr="00493A3B" w:rsidRDefault="00ED7BA3" w:rsidP="00ED7BA3">
      <w:pPr>
        <w:pStyle w:val="Bullet"/>
      </w:pPr>
      <w:r w:rsidRPr="00493A3B">
        <w:t xml:space="preserve">Beban J, Gunnell S, Saunders WSA. 2019. </w:t>
      </w:r>
      <w:hyperlink r:id="rId47" w:history="1">
        <w:r w:rsidRPr="00493A3B">
          <w:rPr>
            <w:rStyle w:val="Hyperlink"/>
            <w:i/>
            <w:iCs/>
          </w:rPr>
          <w:t>Integrating tsunami inundation modelling into risk-based land-use planning: An update of guidance</w:t>
        </w:r>
      </w:hyperlink>
      <w:r w:rsidRPr="00493A3B">
        <w:t>. GNS Science miscellaneous series 132. Lower Hutt: GNS Science.</w:t>
      </w:r>
    </w:p>
    <w:p w14:paraId="4E9191BB" w14:textId="77777777" w:rsidR="00ED7BA3" w:rsidRPr="00493A3B" w:rsidRDefault="00ED7BA3" w:rsidP="00ED7BA3">
      <w:pPr>
        <w:pStyle w:val="Bullet"/>
      </w:pPr>
      <w:r w:rsidRPr="00493A3B">
        <w:t xml:space="preserve">de Vilder SJ, Kelly SD, Buxton RB, Allan S, Glassey PJ. 2024. </w:t>
      </w:r>
      <w:hyperlink r:id="rId48" w:history="1">
        <w:r w:rsidRPr="00493A3B">
          <w:rPr>
            <w:rStyle w:val="Hyperlink"/>
            <w:i/>
            <w:iCs/>
          </w:rPr>
          <w:t>Landslide planning guidance: reducing landslide risk through land‑use planning</w:t>
        </w:r>
      </w:hyperlink>
      <w:r w:rsidRPr="00493A3B">
        <w:t xml:space="preserve">. GNS science miscellaneous series 144. Lower Hutt: GNS Science. </w:t>
      </w:r>
    </w:p>
    <w:p w14:paraId="5CBE28A0" w14:textId="696C7DAC" w:rsidR="00ED7BA3" w:rsidRPr="00493A3B" w:rsidRDefault="00ED7BA3" w:rsidP="00ED7BA3">
      <w:pPr>
        <w:pStyle w:val="Bullet"/>
        <w:rPr>
          <w:rStyle w:val="Hyperlink"/>
        </w:rPr>
      </w:pPr>
      <w:r w:rsidRPr="00493A3B">
        <w:t>International Standard AS/NZS ISO 31000:20</w:t>
      </w:r>
      <w:r w:rsidR="001A5B3D" w:rsidRPr="00493A3B">
        <w:t>18</w:t>
      </w:r>
      <w:r w:rsidRPr="00493A3B">
        <w:t>. 20</w:t>
      </w:r>
      <w:r w:rsidR="001A5B3D" w:rsidRPr="00493A3B">
        <w:t>23</w:t>
      </w:r>
      <w:r w:rsidRPr="00493A3B">
        <w:t xml:space="preserve">. </w:t>
      </w:r>
      <w:r w:rsidR="0071451A" w:rsidRPr="00493A3B">
        <w:rPr>
          <w:i/>
          <w:iCs/>
        </w:rPr>
        <w:fldChar w:fldCharType="begin"/>
      </w:r>
      <w:r w:rsidR="0071451A" w:rsidRPr="00493A3B">
        <w:rPr>
          <w:i/>
          <w:iCs/>
        </w:rPr>
        <w:instrText>HYPERLINK "https://www.iso.org/standard/65694.html"</w:instrText>
      </w:r>
      <w:r w:rsidR="0071451A" w:rsidRPr="00493A3B">
        <w:rPr>
          <w:i/>
          <w:iCs/>
        </w:rPr>
      </w:r>
      <w:r w:rsidR="0071451A" w:rsidRPr="00493A3B">
        <w:rPr>
          <w:i/>
          <w:iCs/>
        </w:rPr>
        <w:fldChar w:fldCharType="separate"/>
      </w:r>
      <w:r w:rsidRPr="00493A3B">
        <w:rPr>
          <w:rStyle w:val="Hyperlink"/>
          <w:i/>
          <w:iCs/>
        </w:rPr>
        <w:t>Risk Management – Principles and guidelines</w:t>
      </w:r>
      <w:r w:rsidRPr="00493A3B">
        <w:rPr>
          <w:rStyle w:val="Hyperlink"/>
        </w:rPr>
        <w:t xml:space="preserve">. </w:t>
      </w:r>
    </w:p>
    <w:p w14:paraId="66E37F9A" w14:textId="6B583B56" w:rsidR="00A57F9E" w:rsidRPr="00493A3B" w:rsidRDefault="0071451A" w:rsidP="000761E1">
      <w:pPr>
        <w:pStyle w:val="Bullet"/>
      </w:pPr>
      <w:r w:rsidRPr="00493A3B">
        <w:rPr>
          <w:i/>
          <w:iCs/>
        </w:rPr>
        <w:fldChar w:fldCharType="end"/>
      </w:r>
      <w:r w:rsidR="000D7F1D" w:rsidRPr="00493A3B">
        <w:rPr>
          <w:spacing w:val="-2"/>
        </w:rPr>
        <w:t xml:space="preserve">Kerr J, Nathan S, Van Dissen R, Webb P, Brunsdon D, King A. 2003. </w:t>
      </w:r>
      <w:hyperlink r:id="rId49" w:history="1">
        <w:r w:rsidR="00467152" w:rsidRPr="00493A3B">
          <w:rPr>
            <w:rStyle w:val="Hyperlink"/>
            <w:i/>
            <w:iCs/>
            <w:spacing w:val="-2"/>
          </w:rPr>
          <w:t xml:space="preserve">Planning for development of land on or close to active faults: </w:t>
        </w:r>
        <w:r w:rsidR="000D7F1D" w:rsidRPr="00493A3B">
          <w:rPr>
            <w:rStyle w:val="Hyperlink"/>
            <w:i/>
            <w:iCs/>
            <w:spacing w:val="-2"/>
          </w:rPr>
          <w:t>A</w:t>
        </w:r>
        <w:r w:rsidR="00467152" w:rsidRPr="00493A3B">
          <w:rPr>
            <w:rStyle w:val="Hyperlink"/>
            <w:i/>
            <w:iCs/>
            <w:spacing w:val="-2"/>
          </w:rPr>
          <w:t xml:space="preserve"> guideline to assist resource management planners in New Zealand</w:t>
        </w:r>
      </w:hyperlink>
      <w:r w:rsidR="000D7F1D" w:rsidRPr="00493A3B">
        <w:t>.</w:t>
      </w:r>
      <w:r w:rsidR="00704D07" w:rsidRPr="00493A3B">
        <w:t xml:space="preserve"> </w:t>
      </w:r>
      <w:r w:rsidR="009E750D" w:rsidRPr="00493A3B">
        <w:t xml:space="preserve">Client report 2002/124. </w:t>
      </w:r>
      <w:r w:rsidR="00163898" w:rsidRPr="00493A3B">
        <w:t xml:space="preserve">Prepared for the Ministry for the Environment by </w:t>
      </w:r>
      <w:r w:rsidR="00163898" w:rsidRPr="00493A3B">
        <w:rPr>
          <w:spacing w:val="-2"/>
        </w:rPr>
        <w:t>the Institute of Geological and Nuclear Sciences. Wellington: Ministry for the Environment</w:t>
      </w:r>
      <w:r w:rsidR="00163898" w:rsidRPr="00493A3B">
        <w:t>.</w:t>
      </w:r>
    </w:p>
    <w:p w14:paraId="0CD4C373" w14:textId="77777777" w:rsidR="00ED7BA3" w:rsidRPr="00493A3B" w:rsidRDefault="00ED7BA3" w:rsidP="00ED7BA3">
      <w:pPr>
        <w:pStyle w:val="Bullet"/>
      </w:pPr>
      <w:r w:rsidRPr="00493A3B">
        <w:t xml:space="preserve">Ministry of Business, Innovation and Employment, Ministry for the Environment. 2017. </w:t>
      </w:r>
      <w:hyperlink r:id="rId50" w:history="1">
        <w:r w:rsidRPr="00493A3B">
          <w:rPr>
            <w:rStyle w:val="Hyperlink"/>
            <w:i/>
            <w:iCs/>
          </w:rPr>
          <w:t>Planning and engineering guidance for potentially liquefaction-prone land: Resource Management Act and Building Act aspects</w:t>
        </w:r>
      </w:hyperlink>
      <w:r w:rsidRPr="00493A3B">
        <w:t>. Wellington: Ministry of Business, Innovation and Employment.</w:t>
      </w:r>
    </w:p>
    <w:p w14:paraId="3EAACB30" w14:textId="576BF2FA" w:rsidR="00A57F9E" w:rsidRPr="00493A3B" w:rsidRDefault="00557A6C" w:rsidP="000761E1">
      <w:pPr>
        <w:pStyle w:val="Bullet"/>
      </w:pPr>
      <w:r w:rsidRPr="00493A3B">
        <w:t xml:space="preserve">Ministry for the Environment. 2010. </w:t>
      </w:r>
      <w:hyperlink r:id="rId51" w:history="1">
        <w:r w:rsidR="00467152" w:rsidRPr="00493A3B">
          <w:rPr>
            <w:rStyle w:val="Hyperlink"/>
            <w:i/>
            <w:iCs/>
          </w:rPr>
          <w:t xml:space="preserve">Preparing for future flooding: </w:t>
        </w:r>
        <w:r w:rsidRPr="00493A3B">
          <w:rPr>
            <w:rStyle w:val="Hyperlink"/>
            <w:i/>
            <w:iCs/>
          </w:rPr>
          <w:t>A</w:t>
        </w:r>
        <w:r w:rsidR="00467152" w:rsidRPr="00493A3B">
          <w:rPr>
            <w:rStyle w:val="Hyperlink"/>
            <w:i/>
            <w:iCs/>
          </w:rPr>
          <w:t xml:space="preserve"> guide for local government in New Zealand</w:t>
        </w:r>
      </w:hyperlink>
      <w:r w:rsidRPr="00493A3B">
        <w:t xml:space="preserve">. Wellington: </w:t>
      </w:r>
      <w:r w:rsidR="00467152" w:rsidRPr="00493A3B">
        <w:t>Ministry for the Environment</w:t>
      </w:r>
      <w:r w:rsidRPr="00493A3B">
        <w:t>.</w:t>
      </w:r>
    </w:p>
    <w:p w14:paraId="2E6632A0" w14:textId="7E0D54A0" w:rsidR="00A57F9E" w:rsidRPr="00493A3B" w:rsidRDefault="00A33C09" w:rsidP="000761E1">
      <w:pPr>
        <w:pStyle w:val="Bullet"/>
      </w:pPr>
      <w:r w:rsidRPr="00493A3B">
        <w:t xml:space="preserve">Ministry for the Environment. 2024. </w:t>
      </w:r>
      <w:hyperlink r:id="rId52" w:history="1">
        <w:r w:rsidR="00467152" w:rsidRPr="00493A3B">
          <w:rPr>
            <w:rStyle w:val="Hyperlink"/>
            <w:i/>
            <w:iCs/>
          </w:rPr>
          <w:t>Coastal hazards and climate change guidance</w:t>
        </w:r>
      </w:hyperlink>
      <w:r w:rsidRPr="00493A3B">
        <w:t xml:space="preserve">. Wellington: </w:t>
      </w:r>
      <w:r w:rsidR="00467152" w:rsidRPr="00493A3B">
        <w:t>Ministry for the Environment 2024</w:t>
      </w:r>
      <w:r w:rsidR="00440B91" w:rsidRPr="00493A3B">
        <w:t>.</w:t>
      </w:r>
      <w:r w:rsidR="00467152" w:rsidRPr="00493A3B">
        <w:t xml:space="preserve"> </w:t>
      </w:r>
    </w:p>
    <w:p w14:paraId="735C0707" w14:textId="57F1346B" w:rsidR="00A57F9E" w:rsidRPr="00493A3B" w:rsidRDefault="00CC3558">
      <w:pPr>
        <w:pStyle w:val="Bullet"/>
      </w:pPr>
      <w:r w:rsidRPr="00493A3B">
        <w:t xml:space="preserve">Saunders WSA, Beban JG, Kilvington M. 2013. </w:t>
      </w:r>
      <w:hyperlink r:id="rId53" w:history="1">
        <w:r w:rsidR="00467152" w:rsidRPr="00493A3B">
          <w:rPr>
            <w:rStyle w:val="Hyperlink"/>
            <w:i/>
            <w:iCs/>
          </w:rPr>
          <w:t>Risk-based land-use planning for natural hazard risk reduction</w:t>
        </w:r>
      </w:hyperlink>
      <w:r w:rsidR="00C56EE2" w:rsidRPr="00493A3B">
        <w:rPr>
          <w:i/>
          <w:iCs/>
        </w:rPr>
        <w:t xml:space="preserve">. </w:t>
      </w:r>
      <w:r w:rsidR="00C56EE2" w:rsidRPr="00493A3B">
        <w:t>GNS Science miscellaneous series 67</w:t>
      </w:r>
      <w:r w:rsidR="00260A4C" w:rsidRPr="00493A3B">
        <w:t xml:space="preserve">. Lower Hutt: GNS Science. </w:t>
      </w:r>
    </w:p>
    <w:p w14:paraId="0A223306" w14:textId="41F7F6BA" w:rsidR="000A470D" w:rsidRPr="00493A3B" w:rsidRDefault="001E6852" w:rsidP="00586546">
      <w:pPr>
        <w:pStyle w:val="Bullet"/>
      </w:pPr>
      <w:r w:rsidRPr="00493A3B">
        <w:t>Walker B, Davies W, Wilson G</w:t>
      </w:r>
      <w:r w:rsidR="00430E7A" w:rsidRPr="00493A3B">
        <w:t>. 2007.</w:t>
      </w:r>
      <w:r w:rsidRPr="00493A3B">
        <w:t xml:space="preserve"> </w:t>
      </w:r>
      <w:hyperlink r:id="rId54" w:history="1">
        <w:r w:rsidR="00CE3F60" w:rsidRPr="00493A3B">
          <w:rPr>
            <w:rStyle w:val="Hyperlink"/>
          </w:rPr>
          <w:t xml:space="preserve">Practice Note Guidelines for Landslide Risk Management </w:t>
        </w:r>
        <w:r w:rsidR="00E21DC4" w:rsidRPr="00493A3B">
          <w:rPr>
            <w:rStyle w:val="Hyperlink"/>
          </w:rPr>
          <w:t>2007</w:t>
        </w:r>
      </w:hyperlink>
      <w:r w:rsidR="00440B91" w:rsidRPr="00493A3B">
        <w:t>.</w:t>
      </w:r>
      <w:r w:rsidR="0062089F" w:rsidRPr="00493A3B">
        <w:t xml:space="preserve"> </w:t>
      </w:r>
      <w:r w:rsidR="00430E7A" w:rsidRPr="00493A3B">
        <w:rPr>
          <w:i/>
          <w:iCs/>
        </w:rPr>
        <w:t xml:space="preserve">Australian Geomechanics </w:t>
      </w:r>
      <w:r w:rsidR="00B172D6" w:rsidRPr="00493A3B">
        <w:t>42(1): 63–114.</w:t>
      </w:r>
    </w:p>
    <w:sectPr w:rsidR="000A470D" w:rsidRPr="00493A3B" w:rsidSect="00963821">
      <w:headerReference w:type="even" r:id="rId55"/>
      <w:headerReference w:type="default" r:id="rId56"/>
      <w:footerReference w:type="even" r:id="rId57"/>
      <w:footerReference w:type="default" r:id="rId58"/>
      <w:headerReference w:type="first" r:id="rId59"/>
      <w:footerReference w:type="first" r:id="rId6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313C4" w14:textId="77777777" w:rsidR="003968B8" w:rsidRDefault="003968B8" w:rsidP="0080531E">
      <w:pPr>
        <w:spacing w:before="0" w:after="0" w:line="240" w:lineRule="auto"/>
      </w:pPr>
      <w:r>
        <w:separator/>
      </w:r>
    </w:p>
    <w:p w14:paraId="2B39FAF4" w14:textId="77777777" w:rsidR="003968B8" w:rsidRDefault="003968B8"/>
  </w:endnote>
  <w:endnote w:type="continuationSeparator" w:id="0">
    <w:p w14:paraId="152E14A3" w14:textId="77777777" w:rsidR="003968B8" w:rsidRDefault="003968B8" w:rsidP="0080531E">
      <w:pPr>
        <w:spacing w:before="0" w:after="0" w:line="240" w:lineRule="auto"/>
      </w:pPr>
      <w:r>
        <w:continuationSeparator/>
      </w:r>
    </w:p>
    <w:p w14:paraId="23DA5F73" w14:textId="77777777" w:rsidR="003968B8" w:rsidRDefault="003968B8"/>
  </w:endnote>
  <w:endnote w:type="continuationNotice" w:id="1">
    <w:p w14:paraId="26725480" w14:textId="77777777" w:rsidR="003968B8" w:rsidRDefault="003968B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775A4" w14:textId="1F12D215" w:rsidR="002438E5" w:rsidRDefault="002438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D9931" w14:textId="2F06485D"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91E05" w14:textId="2CC8D0FD" w:rsidR="002438E5" w:rsidRDefault="002438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F5E7" w14:textId="2ECB42DC"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B0B5B" w14:textId="5F99DD3A"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4B60" w14:textId="075B9618" w:rsidR="007603DE" w:rsidRDefault="007603D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C05BB" w14:textId="198DFCFB"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963821">
      <w:t xml:space="preserve">National Policy Statement </w:t>
    </w:r>
    <w:r w:rsidR="004B0C2D">
      <w:t>for</w:t>
    </w:r>
    <w:r w:rsidR="00963821">
      <w:t xml:space="preserve"> Natural Hazards – Implementation</w:t>
    </w:r>
    <w:r w:rsidR="00A37EBA">
      <w:t xml:space="preserve"> Guide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92417" w14:textId="5CB063B3" w:rsidR="00E453AB" w:rsidRDefault="00E5210B" w:rsidP="00CD25E1">
    <w:pPr>
      <w:pStyle w:val="Footerodd"/>
    </w:pPr>
    <w:r>
      <w:tab/>
    </w:r>
    <w:r w:rsidR="00AF5B73">
      <w:t xml:space="preserve">National Policy Statement </w:t>
    </w:r>
    <w:r w:rsidR="004B0C2D">
      <w:t>for</w:t>
    </w:r>
    <w:r w:rsidR="00AF5B73">
      <w:t xml:space="preserve"> Natural Hazards – Implementation</w:t>
    </w:r>
    <w:r w:rsidR="00A37EBA">
      <w:t xml:space="preserve"> Guide</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10D67" w14:textId="30960C1E" w:rsidR="007603DE" w:rsidRDefault="007603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6381C" w14:textId="77777777" w:rsidR="003968B8" w:rsidRDefault="003968B8" w:rsidP="00CB5C5F">
      <w:pPr>
        <w:spacing w:before="0" w:after="80" w:line="240" w:lineRule="auto"/>
      </w:pPr>
      <w:r>
        <w:separator/>
      </w:r>
    </w:p>
  </w:footnote>
  <w:footnote w:type="continuationSeparator" w:id="0">
    <w:p w14:paraId="2B79BAE8" w14:textId="77777777" w:rsidR="003968B8" w:rsidRDefault="003968B8" w:rsidP="0080531E">
      <w:pPr>
        <w:spacing w:before="0" w:after="0" w:line="240" w:lineRule="auto"/>
      </w:pPr>
      <w:r>
        <w:continuationSeparator/>
      </w:r>
    </w:p>
    <w:p w14:paraId="78041717" w14:textId="77777777" w:rsidR="003968B8" w:rsidRDefault="003968B8"/>
  </w:footnote>
  <w:footnote w:type="continuationNotice" w:id="1">
    <w:p w14:paraId="4AE810BB" w14:textId="77777777" w:rsidR="003968B8" w:rsidRDefault="003968B8">
      <w:pPr>
        <w:spacing w:before="0" w:after="0" w:line="240" w:lineRule="auto"/>
      </w:pPr>
    </w:p>
  </w:footnote>
  <w:footnote w:id="2">
    <w:p w14:paraId="70146395" w14:textId="5932E7BE" w:rsidR="00081302" w:rsidRPr="00ED1E6B" w:rsidRDefault="00081302" w:rsidP="00CA272F">
      <w:pPr>
        <w:pStyle w:val="FootnoteText"/>
        <w:tabs>
          <w:tab w:val="left" w:pos="8222"/>
        </w:tabs>
        <w:rPr>
          <w:lang w:val="en-GB"/>
        </w:rPr>
      </w:pPr>
      <w:r>
        <w:rPr>
          <w:rStyle w:val="FootnoteReference"/>
        </w:rPr>
        <w:footnoteRef/>
      </w:r>
      <w:r>
        <w:t xml:space="preserve"> </w:t>
      </w:r>
      <w:r w:rsidR="002D492D">
        <w:tab/>
      </w:r>
      <w:r w:rsidR="00977277" w:rsidRPr="00CA272F">
        <w:rPr>
          <w:spacing w:val="-2"/>
        </w:rPr>
        <w:t xml:space="preserve">Ministry for the Environment. </w:t>
      </w:r>
      <w:hyperlink r:id="rId1" w:history="1">
        <w:r w:rsidR="00977277" w:rsidRPr="00CA272F">
          <w:rPr>
            <w:rStyle w:val="Hyperlink"/>
            <w:i/>
            <w:iCs/>
            <w:spacing w:val="-2"/>
          </w:rPr>
          <w:t>National Policy Statement for Natural Hazards 2025</w:t>
        </w:r>
      </w:hyperlink>
      <w:r w:rsidR="0072786F" w:rsidRPr="00CA272F">
        <w:rPr>
          <w:spacing w:val="-2"/>
        </w:rPr>
        <w:t>. Retrieved 30 March 2026.</w:t>
      </w:r>
      <w:r w:rsidRPr="00CA272F">
        <w:rPr>
          <w:spacing w:val="-2"/>
        </w:rPr>
        <w:t xml:space="preserve"> </w:t>
      </w:r>
    </w:p>
  </w:footnote>
  <w:footnote w:id="3">
    <w:p w14:paraId="7ECB9F4D" w14:textId="171E61B1" w:rsidR="00895D8A" w:rsidRDefault="00895D8A" w:rsidP="00895D8A">
      <w:pPr>
        <w:pStyle w:val="FootnoteText"/>
      </w:pPr>
      <w:r>
        <w:rPr>
          <w:rStyle w:val="FootnoteReference"/>
        </w:rPr>
        <w:footnoteRef/>
      </w:r>
      <w:r>
        <w:t xml:space="preserve"> </w:t>
      </w:r>
      <w:r w:rsidR="00B87EDE">
        <w:tab/>
      </w:r>
      <w:r w:rsidR="00157D59">
        <w:t xml:space="preserve">Bishop </w:t>
      </w:r>
      <w:r w:rsidR="00E47F05">
        <w:t xml:space="preserve">C. 2024. </w:t>
      </w:r>
      <w:hyperlink r:id="rId2" w:history="1">
        <w:r w:rsidR="00E47F05">
          <w:rPr>
            <w:rStyle w:val="Hyperlink"/>
          </w:rPr>
          <w:t>RMA Reform Phase Two priorities and plan</w:t>
        </w:r>
      </w:hyperlink>
      <w:r w:rsidR="00E47F05">
        <w:t xml:space="preserve">. </w:t>
      </w:r>
      <w:r w:rsidR="00A037AB" w:rsidRPr="00BB2A72">
        <w:rPr>
          <w:i/>
          <w:iCs/>
        </w:rPr>
        <w:t>Beehive.govt.nz</w:t>
      </w:r>
      <w:r w:rsidR="00A037AB">
        <w:t xml:space="preserve"> 22 August. </w:t>
      </w:r>
    </w:p>
  </w:footnote>
  <w:footnote w:id="4">
    <w:p w14:paraId="64AB49F3" w14:textId="039679C7" w:rsidR="00895D8A" w:rsidRDefault="00895D8A" w:rsidP="00895D8A">
      <w:pPr>
        <w:pStyle w:val="FootnoteText"/>
      </w:pPr>
      <w:r>
        <w:rPr>
          <w:rStyle w:val="FootnoteReference"/>
        </w:rPr>
        <w:footnoteRef/>
      </w:r>
      <w:r>
        <w:t xml:space="preserve"> </w:t>
      </w:r>
      <w:r w:rsidR="00B87EDE">
        <w:tab/>
      </w:r>
      <w:r>
        <w:t>As one of several matters that need to be considered</w:t>
      </w:r>
      <w:r w:rsidR="00591DEE">
        <w:t>.</w:t>
      </w:r>
    </w:p>
  </w:footnote>
  <w:footnote w:id="5">
    <w:p w14:paraId="480D94E8" w14:textId="3ECA7CCB" w:rsidR="00895D8A" w:rsidRDefault="00895D8A" w:rsidP="00895D8A">
      <w:pPr>
        <w:pStyle w:val="FootnoteText"/>
      </w:pPr>
      <w:r>
        <w:rPr>
          <w:rStyle w:val="FootnoteReference"/>
        </w:rPr>
        <w:footnoteRef/>
      </w:r>
      <w:r>
        <w:t xml:space="preserve"> </w:t>
      </w:r>
      <w:r w:rsidR="00B87EDE">
        <w:tab/>
      </w:r>
      <w:hyperlink r:id="rId3" w:anchor="DLM2414711" w:history="1">
        <w:r w:rsidRPr="00943CA2">
          <w:rPr>
            <w:rStyle w:val="Hyperlink"/>
          </w:rPr>
          <w:t>Section 87A(2)(a)</w:t>
        </w:r>
      </w:hyperlink>
      <w:r>
        <w:t xml:space="preserve"> of the RMA provides an override of the section 104A requirement for a consent authority to grant consent for controlled activities where s</w:t>
      </w:r>
      <w:r w:rsidRPr="001C1B04">
        <w:t xml:space="preserve">ections 106 </w:t>
      </w:r>
      <w:r>
        <w:t>or</w:t>
      </w:r>
      <w:r w:rsidRPr="001C1B04">
        <w:t xml:space="preserve"> 106A </w:t>
      </w:r>
      <w:r>
        <w:t>apply.</w:t>
      </w:r>
    </w:p>
  </w:footnote>
  <w:footnote w:id="6">
    <w:p w14:paraId="2DB5AB81" w14:textId="5D2BF59C" w:rsidR="00984269" w:rsidRPr="00521726" w:rsidRDefault="00984269">
      <w:pPr>
        <w:pStyle w:val="FootnoteText"/>
      </w:pPr>
      <w:r>
        <w:rPr>
          <w:rStyle w:val="FootnoteReference"/>
        </w:rPr>
        <w:footnoteRef/>
      </w:r>
      <w:r>
        <w:t xml:space="preserve"> </w:t>
      </w:r>
      <w:r w:rsidR="00844CFD">
        <w:tab/>
      </w:r>
      <w:r>
        <w:t xml:space="preserve">Ministry for the Environment. </w:t>
      </w:r>
      <w:r w:rsidR="00521726">
        <w:t xml:space="preserve">2019. </w:t>
      </w:r>
      <w:hyperlink r:id="rId4" w:history="1">
        <w:r w:rsidR="00521726" w:rsidRPr="00511AA3">
          <w:rPr>
            <w:rStyle w:val="Hyperlink"/>
            <w:i/>
            <w:iCs/>
          </w:rPr>
          <w:t>National Planning Standards</w:t>
        </w:r>
      </w:hyperlink>
      <w:r w:rsidR="00521726">
        <w:t>. Wellington: Ministry for the Environment. p 62.</w:t>
      </w:r>
    </w:p>
  </w:footnote>
  <w:footnote w:id="7">
    <w:p w14:paraId="12BA0CD4" w14:textId="2477A90F" w:rsidR="00EE1C08" w:rsidRDefault="00EE1C08" w:rsidP="00233766">
      <w:pPr>
        <w:pStyle w:val="FootnoteText"/>
        <w:spacing w:after="0"/>
      </w:pPr>
      <w:r>
        <w:rPr>
          <w:rStyle w:val="FootnoteReference"/>
        </w:rPr>
        <w:footnoteRef/>
      </w:r>
      <w:r>
        <w:t xml:space="preserve"> </w:t>
      </w:r>
      <w:r w:rsidR="004368D9">
        <w:tab/>
      </w:r>
      <w:r>
        <w:t>Mastrandrea MD</w:t>
      </w:r>
      <w:r w:rsidR="00624180">
        <w:t>,</w:t>
      </w:r>
      <w:r>
        <w:t xml:space="preserve"> Field </w:t>
      </w:r>
      <w:r w:rsidR="00624180">
        <w:t xml:space="preserve">CB, </w:t>
      </w:r>
      <w:r>
        <w:t xml:space="preserve">Stocker </w:t>
      </w:r>
      <w:r w:rsidR="00624180">
        <w:t xml:space="preserve">TF, </w:t>
      </w:r>
      <w:r>
        <w:t xml:space="preserve">Edenhofer </w:t>
      </w:r>
      <w:r w:rsidR="00624180">
        <w:t xml:space="preserve">O, </w:t>
      </w:r>
      <w:r>
        <w:t xml:space="preserve">Ebi </w:t>
      </w:r>
      <w:r w:rsidR="00D8758C">
        <w:t xml:space="preserve">KL, </w:t>
      </w:r>
      <w:r>
        <w:t xml:space="preserve">Frame </w:t>
      </w:r>
      <w:r w:rsidR="00D8758C">
        <w:t xml:space="preserve">DJ, </w:t>
      </w:r>
      <w:r>
        <w:t xml:space="preserve">Held </w:t>
      </w:r>
      <w:r w:rsidR="00D8758C">
        <w:t xml:space="preserve">H, </w:t>
      </w:r>
      <w:r>
        <w:t xml:space="preserve">Kriegler </w:t>
      </w:r>
      <w:r w:rsidR="00D8758C">
        <w:t xml:space="preserve">E, </w:t>
      </w:r>
      <w:r>
        <w:t xml:space="preserve">Mach </w:t>
      </w:r>
      <w:r w:rsidR="00D8758C">
        <w:t xml:space="preserve">KJ, </w:t>
      </w:r>
      <w:r>
        <w:t xml:space="preserve">Matschoss </w:t>
      </w:r>
      <w:r w:rsidR="00D8758C">
        <w:t xml:space="preserve">PR, </w:t>
      </w:r>
      <w:r>
        <w:t xml:space="preserve">Plattner </w:t>
      </w:r>
      <w:r w:rsidR="00D8758C">
        <w:t xml:space="preserve">G-K, </w:t>
      </w:r>
      <w:r>
        <w:t xml:space="preserve">Yohe </w:t>
      </w:r>
      <w:r w:rsidR="00D8758C">
        <w:t xml:space="preserve">GW, </w:t>
      </w:r>
      <w:r>
        <w:t xml:space="preserve">Zwiers </w:t>
      </w:r>
      <w:r w:rsidR="003327D3">
        <w:t xml:space="preserve">FW. </w:t>
      </w:r>
      <w:r>
        <w:t xml:space="preserve">2010. </w:t>
      </w:r>
      <w:hyperlink r:id="rId5" w:history="1">
        <w:r w:rsidRPr="001473BE">
          <w:rPr>
            <w:rStyle w:val="Hyperlink"/>
            <w:i/>
            <w:iCs/>
          </w:rPr>
          <w:t>Guidance Note for Lead Authors of the IPCC Fifth</w:t>
        </w:r>
        <w:r w:rsidR="008C56A5">
          <w:rPr>
            <w:rStyle w:val="Hyperlink"/>
            <w:i/>
            <w:iCs/>
          </w:rPr>
          <w:t> </w:t>
        </w:r>
        <w:r w:rsidRPr="001473BE">
          <w:rPr>
            <w:rStyle w:val="Hyperlink"/>
            <w:i/>
            <w:iCs/>
          </w:rPr>
          <w:t>Assessment Report on Consistent Treatment of Uncertainties</w:t>
        </w:r>
      </w:hyperlink>
      <w:r>
        <w:t xml:space="preserve">. </w:t>
      </w:r>
      <w:r w:rsidR="004B60CB">
        <w:t xml:space="preserve">Geneva: </w:t>
      </w:r>
      <w:r>
        <w:t>Intergovernmental Panel on Climate Change</w:t>
      </w:r>
      <w:r w:rsidR="00A50A75">
        <w:t>. Table 1, p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62DD6" w14:textId="0CF510E6" w:rsidR="002438E5" w:rsidRDefault="00243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3DCE7" w14:textId="3247F0FE"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49279" w14:textId="5085A641" w:rsidR="002438E5" w:rsidRDefault="002438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3DC47" w14:textId="76C90AD1"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D2266" w14:textId="7929B806" w:rsidR="00E5210B" w:rsidRDefault="00E521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EAEF8" w14:textId="7090AC2A" w:rsidR="007603DE" w:rsidRDefault="007603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8BB8" w14:textId="129D01D9" w:rsidR="007603DE" w:rsidRDefault="007603D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72AA9" w14:textId="6FBC8251" w:rsidR="007603DE" w:rsidRDefault="007603D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C4636" w14:textId="68AA83D7" w:rsidR="007603DE" w:rsidRDefault="007603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544B"/>
    <w:multiLevelType w:val="hybridMultilevel"/>
    <w:tmpl w:val="9030F144"/>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 w15:restartNumberingAfterBreak="0">
    <w:nsid w:val="0874711A"/>
    <w:multiLevelType w:val="hybridMultilevel"/>
    <w:tmpl w:val="7D3C0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8777CEF"/>
    <w:multiLevelType w:val="hybridMultilevel"/>
    <w:tmpl w:val="462ED60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0B3B7726"/>
    <w:multiLevelType w:val="hybridMultilevel"/>
    <w:tmpl w:val="5EF660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BCA694D"/>
    <w:multiLevelType w:val="hybridMultilevel"/>
    <w:tmpl w:val="1BD03C3E"/>
    <w:lvl w:ilvl="0" w:tplc="14090019">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7" w15:restartNumberingAfterBreak="0">
    <w:nsid w:val="0D3275E6"/>
    <w:multiLevelType w:val="hybridMultilevel"/>
    <w:tmpl w:val="B55E55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FF844AC"/>
    <w:multiLevelType w:val="hybridMultilevel"/>
    <w:tmpl w:val="9030F144"/>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9" w15:restartNumberingAfterBreak="0">
    <w:nsid w:val="13D61F7E"/>
    <w:multiLevelType w:val="multilevel"/>
    <w:tmpl w:val="BA7CD314"/>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400505"/>
    <w:multiLevelType w:val="hybridMultilevel"/>
    <w:tmpl w:val="977299E8"/>
    <w:lvl w:ilvl="0" w:tplc="61AC8F04">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17D02906"/>
    <w:multiLevelType w:val="hybridMultilevel"/>
    <w:tmpl w:val="12D0FA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C565492"/>
    <w:multiLevelType w:val="hybridMultilevel"/>
    <w:tmpl w:val="C89819E6"/>
    <w:lvl w:ilvl="0" w:tplc="0B724E38">
      <w:start w:val="1"/>
      <w:numFmt w:val="lowerLetter"/>
      <w:lvlText w:val="%1)"/>
      <w:lvlJc w:val="left"/>
      <w:pPr>
        <w:ind w:left="757" w:hanging="360"/>
      </w:pPr>
      <w:rPr>
        <w:rFonts w:hint="default"/>
        <w:b w:val="0"/>
        <w:i/>
        <w:i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1E1E25E3"/>
    <w:multiLevelType w:val="hybridMultilevel"/>
    <w:tmpl w:val="5DAA96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9445546"/>
    <w:multiLevelType w:val="multilevel"/>
    <w:tmpl w:val="6FDC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1" w15:restartNumberingAfterBreak="0">
    <w:nsid w:val="363260D4"/>
    <w:multiLevelType w:val="hybridMultilevel"/>
    <w:tmpl w:val="040C8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A7E2CD0"/>
    <w:multiLevelType w:val="hybridMultilevel"/>
    <w:tmpl w:val="01BE2D50"/>
    <w:lvl w:ilvl="0" w:tplc="61AC8F04">
      <w:start w:val="1"/>
      <w:numFmt w:val="lowerLetter"/>
      <w:lvlText w:val="(%1)"/>
      <w:lvlJc w:val="left"/>
      <w:pPr>
        <w:ind w:left="757" w:hanging="360"/>
      </w:pPr>
      <w:rPr>
        <w:rFonts w:hint="default"/>
      </w:rPr>
    </w:lvl>
    <w:lvl w:ilvl="1" w:tplc="14090019" w:tentative="1">
      <w:start w:val="1"/>
      <w:numFmt w:val="lowerLetter"/>
      <w:lvlText w:val="%2."/>
      <w:lvlJc w:val="left"/>
      <w:pPr>
        <w:ind w:left="1477" w:hanging="360"/>
      </w:pPr>
    </w:lvl>
    <w:lvl w:ilvl="2" w:tplc="1409001B" w:tentative="1">
      <w:start w:val="1"/>
      <w:numFmt w:val="lowerRoman"/>
      <w:lvlText w:val="%3."/>
      <w:lvlJc w:val="right"/>
      <w:pPr>
        <w:ind w:left="2197" w:hanging="180"/>
      </w:pPr>
    </w:lvl>
    <w:lvl w:ilvl="3" w:tplc="1409000F" w:tentative="1">
      <w:start w:val="1"/>
      <w:numFmt w:val="decimal"/>
      <w:lvlText w:val="%4."/>
      <w:lvlJc w:val="left"/>
      <w:pPr>
        <w:ind w:left="2917" w:hanging="360"/>
      </w:pPr>
    </w:lvl>
    <w:lvl w:ilvl="4" w:tplc="14090019" w:tentative="1">
      <w:start w:val="1"/>
      <w:numFmt w:val="lowerLetter"/>
      <w:lvlText w:val="%5."/>
      <w:lvlJc w:val="left"/>
      <w:pPr>
        <w:ind w:left="3637" w:hanging="360"/>
      </w:pPr>
    </w:lvl>
    <w:lvl w:ilvl="5" w:tplc="1409001B" w:tentative="1">
      <w:start w:val="1"/>
      <w:numFmt w:val="lowerRoman"/>
      <w:lvlText w:val="%6."/>
      <w:lvlJc w:val="right"/>
      <w:pPr>
        <w:ind w:left="4357" w:hanging="180"/>
      </w:pPr>
    </w:lvl>
    <w:lvl w:ilvl="6" w:tplc="1409000F" w:tentative="1">
      <w:start w:val="1"/>
      <w:numFmt w:val="decimal"/>
      <w:lvlText w:val="%7."/>
      <w:lvlJc w:val="left"/>
      <w:pPr>
        <w:ind w:left="5077" w:hanging="360"/>
      </w:pPr>
    </w:lvl>
    <w:lvl w:ilvl="7" w:tplc="14090019" w:tentative="1">
      <w:start w:val="1"/>
      <w:numFmt w:val="lowerLetter"/>
      <w:lvlText w:val="%8."/>
      <w:lvlJc w:val="left"/>
      <w:pPr>
        <w:ind w:left="5797" w:hanging="360"/>
      </w:pPr>
    </w:lvl>
    <w:lvl w:ilvl="8" w:tplc="1409001B" w:tentative="1">
      <w:start w:val="1"/>
      <w:numFmt w:val="lowerRoman"/>
      <w:lvlText w:val="%9."/>
      <w:lvlJc w:val="right"/>
      <w:pPr>
        <w:ind w:left="6517" w:hanging="180"/>
      </w:pPr>
    </w:lvl>
  </w:abstractNum>
  <w:abstractNum w:abstractNumId="23" w15:restartNumberingAfterBreak="0">
    <w:nsid w:val="3A9C41E4"/>
    <w:multiLevelType w:val="hybridMultilevel"/>
    <w:tmpl w:val="5F8008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B444F79"/>
    <w:multiLevelType w:val="multilevel"/>
    <w:tmpl w:val="346A2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1800490"/>
    <w:multiLevelType w:val="multilevel"/>
    <w:tmpl w:val="1B7A59AA"/>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numFmt w:val="bullet"/>
      <w:lvlText w:val=""/>
      <w:lvlJc w:val="left"/>
      <w:pPr>
        <w:ind w:left="2880" w:hanging="360"/>
      </w:pPr>
      <w:rPr>
        <w:rFonts w:asciiTheme="minorHAnsi" w:eastAsiaTheme="minorEastAsia" w:hAnsiTheme="minorHAnsi" w:cstheme="minorHAnsi" w:hint="default"/>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FC4A88"/>
    <w:multiLevelType w:val="hybridMultilevel"/>
    <w:tmpl w:val="EF30C6EA"/>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2" w15:restartNumberingAfterBreak="0">
    <w:nsid w:val="47F37DD5"/>
    <w:multiLevelType w:val="hybridMultilevel"/>
    <w:tmpl w:val="08EA3E36"/>
    <w:lvl w:ilvl="0" w:tplc="45DA27FA">
      <w:start w:val="1"/>
      <w:numFmt w:val="lowerLetter"/>
      <w:lvlText w:val="(%1)"/>
      <w:lvlJc w:val="left"/>
      <w:pPr>
        <w:ind w:left="1364" w:hanging="360"/>
      </w:pPr>
      <w:rPr>
        <w:rFonts w:hint="default"/>
      </w:rPr>
    </w:lvl>
    <w:lvl w:ilvl="1" w:tplc="14090019" w:tentative="1">
      <w:start w:val="1"/>
      <w:numFmt w:val="lowerLetter"/>
      <w:lvlText w:val="%2."/>
      <w:lvlJc w:val="left"/>
      <w:pPr>
        <w:ind w:left="2084" w:hanging="360"/>
      </w:pPr>
    </w:lvl>
    <w:lvl w:ilvl="2" w:tplc="1409001B" w:tentative="1">
      <w:start w:val="1"/>
      <w:numFmt w:val="lowerRoman"/>
      <w:lvlText w:val="%3."/>
      <w:lvlJc w:val="right"/>
      <w:pPr>
        <w:ind w:left="2804" w:hanging="180"/>
      </w:pPr>
    </w:lvl>
    <w:lvl w:ilvl="3" w:tplc="1409000F" w:tentative="1">
      <w:start w:val="1"/>
      <w:numFmt w:val="decimal"/>
      <w:lvlText w:val="%4."/>
      <w:lvlJc w:val="left"/>
      <w:pPr>
        <w:ind w:left="3524" w:hanging="360"/>
      </w:pPr>
    </w:lvl>
    <w:lvl w:ilvl="4" w:tplc="14090019" w:tentative="1">
      <w:start w:val="1"/>
      <w:numFmt w:val="lowerLetter"/>
      <w:lvlText w:val="%5."/>
      <w:lvlJc w:val="left"/>
      <w:pPr>
        <w:ind w:left="4244" w:hanging="360"/>
      </w:pPr>
    </w:lvl>
    <w:lvl w:ilvl="5" w:tplc="1409001B" w:tentative="1">
      <w:start w:val="1"/>
      <w:numFmt w:val="lowerRoman"/>
      <w:lvlText w:val="%6."/>
      <w:lvlJc w:val="right"/>
      <w:pPr>
        <w:ind w:left="4964" w:hanging="180"/>
      </w:pPr>
    </w:lvl>
    <w:lvl w:ilvl="6" w:tplc="1409000F" w:tentative="1">
      <w:start w:val="1"/>
      <w:numFmt w:val="decimal"/>
      <w:lvlText w:val="%7."/>
      <w:lvlJc w:val="left"/>
      <w:pPr>
        <w:ind w:left="5684" w:hanging="360"/>
      </w:pPr>
    </w:lvl>
    <w:lvl w:ilvl="7" w:tplc="14090019" w:tentative="1">
      <w:start w:val="1"/>
      <w:numFmt w:val="lowerLetter"/>
      <w:lvlText w:val="%8."/>
      <w:lvlJc w:val="left"/>
      <w:pPr>
        <w:ind w:left="6404" w:hanging="360"/>
      </w:pPr>
    </w:lvl>
    <w:lvl w:ilvl="8" w:tplc="1409001B" w:tentative="1">
      <w:start w:val="1"/>
      <w:numFmt w:val="lowerRoman"/>
      <w:lvlText w:val="%9."/>
      <w:lvlJc w:val="right"/>
      <w:pPr>
        <w:ind w:left="7124" w:hanging="180"/>
      </w:pPr>
    </w:lvl>
  </w:abstractNum>
  <w:abstractNum w:abstractNumId="33" w15:restartNumberingAfterBreak="0">
    <w:nsid w:val="4F803616"/>
    <w:multiLevelType w:val="hybridMultilevel"/>
    <w:tmpl w:val="687E1D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12B25DD"/>
    <w:multiLevelType w:val="hybridMultilevel"/>
    <w:tmpl w:val="AC1C3792"/>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35" w15:restartNumberingAfterBreak="0">
    <w:nsid w:val="53535234"/>
    <w:multiLevelType w:val="singleLevel"/>
    <w:tmpl w:val="542474A4"/>
    <w:lvl w:ilvl="0">
      <w:start w:val="1"/>
      <w:numFmt w:val="decimal"/>
      <w:lvlText w:val="%1."/>
      <w:lvlJc w:val="left"/>
      <w:pPr>
        <w:ind w:left="644" w:hanging="360"/>
      </w:pPr>
      <w:rPr>
        <w:rFonts w:hint="default"/>
        <w:color w:val="1B556B"/>
        <w:sz w:val="20"/>
        <w:szCs w:val="24"/>
      </w:rPr>
    </w:lvl>
  </w:abstractNum>
  <w:abstractNum w:abstractNumId="36" w15:restartNumberingAfterBreak="0">
    <w:nsid w:val="53B04820"/>
    <w:multiLevelType w:val="hybridMultilevel"/>
    <w:tmpl w:val="6A6E6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3F820A6"/>
    <w:multiLevelType w:val="hybridMultilevel"/>
    <w:tmpl w:val="62B04E60"/>
    <w:lvl w:ilvl="0" w:tplc="14090001">
      <w:start w:val="1"/>
      <w:numFmt w:val="bullet"/>
      <w:lvlText w:val=""/>
      <w:lvlJc w:val="left"/>
      <w:pPr>
        <w:ind w:left="1050" w:hanging="360"/>
      </w:pPr>
      <w:rPr>
        <w:rFonts w:ascii="Symbol" w:hAnsi="Symbol" w:hint="default"/>
      </w:rPr>
    </w:lvl>
    <w:lvl w:ilvl="1" w:tplc="14090003" w:tentative="1">
      <w:start w:val="1"/>
      <w:numFmt w:val="bullet"/>
      <w:lvlText w:val="o"/>
      <w:lvlJc w:val="left"/>
      <w:pPr>
        <w:ind w:left="1770" w:hanging="360"/>
      </w:pPr>
      <w:rPr>
        <w:rFonts w:ascii="Courier New" w:hAnsi="Courier New" w:cs="Courier New" w:hint="default"/>
      </w:rPr>
    </w:lvl>
    <w:lvl w:ilvl="2" w:tplc="14090005" w:tentative="1">
      <w:start w:val="1"/>
      <w:numFmt w:val="bullet"/>
      <w:lvlText w:val=""/>
      <w:lvlJc w:val="left"/>
      <w:pPr>
        <w:ind w:left="2490" w:hanging="360"/>
      </w:pPr>
      <w:rPr>
        <w:rFonts w:ascii="Wingdings" w:hAnsi="Wingdings" w:hint="default"/>
      </w:rPr>
    </w:lvl>
    <w:lvl w:ilvl="3" w:tplc="14090001" w:tentative="1">
      <w:start w:val="1"/>
      <w:numFmt w:val="bullet"/>
      <w:lvlText w:val=""/>
      <w:lvlJc w:val="left"/>
      <w:pPr>
        <w:ind w:left="3210" w:hanging="360"/>
      </w:pPr>
      <w:rPr>
        <w:rFonts w:ascii="Symbol" w:hAnsi="Symbol" w:hint="default"/>
      </w:rPr>
    </w:lvl>
    <w:lvl w:ilvl="4" w:tplc="14090003" w:tentative="1">
      <w:start w:val="1"/>
      <w:numFmt w:val="bullet"/>
      <w:lvlText w:val="o"/>
      <w:lvlJc w:val="left"/>
      <w:pPr>
        <w:ind w:left="3930" w:hanging="360"/>
      </w:pPr>
      <w:rPr>
        <w:rFonts w:ascii="Courier New" w:hAnsi="Courier New" w:cs="Courier New" w:hint="default"/>
      </w:rPr>
    </w:lvl>
    <w:lvl w:ilvl="5" w:tplc="14090005" w:tentative="1">
      <w:start w:val="1"/>
      <w:numFmt w:val="bullet"/>
      <w:lvlText w:val=""/>
      <w:lvlJc w:val="left"/>
      <w:pPr>
        <w:ind w:left="4650" w:hanging="360"/>
      </w:pPr>
      <w:rPr>
        <w:rFonts w:ascii="Wingdings" w:hAnsi="Wingdings" w:hint="default"/>
      </w:rPr>
    </w:lvl>
    <w:lvl w:ilvl="6" w:tplc="14090001" w:tentative="1">
      <w:start w:val="1"/>
      <w:numFmt w:val="bullet"/>
      <w:lvlText w:val=""/>
      <w:lvlJc w:val="left"/>
      <w:pPr>
        <w:ind w:left="5370" w:hanging="360"/>
      </w:pPr>
      <w:rPr>
        <w:rFonts w:ascii="Symbol" w:hAnsi="Symbol" w:hint="default"/>
      </w:rPr>
    </w:lvl>
    <w:lvl w:ilvl="7" w:tplc="14090003" w:tentative="1">
      <w:start w:val="1"/>
      <w:numFmt w:val="bullet"/>
      <w:lvlText w:val="o"/>
      <w:lvlJc w:val="left"/>
      <w:pPr>
        <w:ind w:left="6090" w:hanging="360"/>
      </w:pPr>
      <w:rPr>
        <w:rFonts w:ascii="Courier New" w:hAnsi="Courier New" w:cs="Courier New" w:hint="default"/>
      </w:rPr>
    </w:lvl>
    <w:lvl w:ilvl="8" w:tplc="14090005" w:tentative="1">
      <w:start w:val="1"/>
      <w:numFmt w:val="bullet"/>
      <w:lvlText w:val=""/>
      <w:lvlJc w:val="left"/>
      <w:pPr>
        <w:ind w:left="6810" w:hanging="360"/>
      </w:pPr>
      <w:rPr>
        <w:rFonts w:ascii="Wingdings" w:hAnsi="Wingdings" w:hint="default"/>
      </w:rPr>
    </w:lvl>
  </w:abstractNum>
  <w:abstractNum w:abstractNumId="38" w15:restartNumberingAfterBreak="0">
    <w:nsid w:val="55DE6BED"/>
    <w:multiLevelType w:val="multilevel"/>
    <w:tmpl w:val="76E84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7367930"/>
    <w:multiLevelType w:val="hybridMultilevel"/>
    <w:tmpl w:val="04602A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B127853"/>
    <w:multiLevelType w:val="hybridMultilevel"/>
    <w:tmpl w:val="D64E08DC"/>
    <w:lvl w:ilvl="0" w:tplc="14090003">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6075223D"/>
    <w:multiLevelType w:val="hybridMultilevel"/>
    <w:tmpl w:val="7898C2A8"/>
    <w:lvl w:ilvl="0" w:tplc="1409000F">
      <w:start w:val="1"/>
      <w:numFmt w:val="decimal"/>
      <w:lvlText w:val="%1."/>
      <w:lvlJc w:val="left"/>
      <w:pPr>
        <w:ind w:left="1004" w:hanging="360"/>
      </w:p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abstractNum w:abstractNumId="42" w15:restartNumberingAfterBreak="0">
    <w:nsid w:val="61AA142F"/>
    <w:multiLevelType w:val="hybridMultilevel"/>
    <w:tmpl w:val="D66EEE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2FB0775"/>
    <w:multiLevelType w:val="multilevel"/>
    <w:tmpl w:val="37A41618"/>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31F5"/>
    <w:multiLevelType w:val="hybridMultilevel"/>
    <w:tmpl w:val="706C4E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65A54350"/>
    <w:multiLevelType w:val="hybridMultilevel"/>
    <w:tmpl w:val="FE4C41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671B4285"/>
    <w:multiLevelType w:val="multilevel"/>
    <w:tmpl w:val="9E186ABC"/>
    <w:lvl w:ilvl="0">
      <w:start w:val="1"/>
      <w:numFmt w:val="decimal"/>
      <w:lvlText w:val="%1."/>
      <w:lvlJc w:val="left"/>
      <w:pPr>
        <w:tabs>
          <w:tab w:val="num" w:pos="720"/>
        </w:tabs>
        <w:ind w:left="720" w:hanging="360"/>
      </w:pPr>
      <w:rPr>
        <w:rFonts w:hint="default"/>
        <w:sz w:val="20"/>
      </w:rPr>
    </w:lvl>
    <w:lvl w:ilvl="1">
      <w:numFmt w:val="bullet"/>
      <w:lvlText w:val="•"/>
      <w:lvlJc w:val="left"/>
      <w:pPr>
        <w:ind w:left="1470" w:hanging="390"/>
      </w:pPr>
      <w:rPr>
        <w:rFonts w:ascii="Calibri" w:eastAsiaTheme="minorEastAsia" w:hAnsi="Calibri" w:cs="Calibri" w:hint="default"/>
      </w:rPr>
    </w:lvl>
    <w:lvl w:ilvl="2">
      <w:start w:val="1"/>
      <w:numFmt w:val="decimal"/>
      <w:lvlText w:val="(%3)"/>
      <w:lvlJc w:val="left"/>
      <w:pPr>
        <w:ind w:left="2160" w:hanging="360"/>
      </w:pPr>
      <w:rPr>
        <w:rFonts w:hint="default"/>
        <w:i/>
      </w:rPr>
    </w:lvl>
    <w:lvl w:ilvl="3">
      <w:start w:val="1"/>
      <w:numFmt w:val="bullet"/>
      <w:lvlText w:val="o"/>
      <w:lvlJc w:val="left"/>
      <w:pPr>
        <w:tabs>
          <w:tab w:val="num" w:pos="2880"/>
        </w:tabs>
        <w:ind w:left="2880" w:hanging="360"/>
      </w:pPr>
      <w:rPr>
        <w:rFonts w:ascii="Courier New" w:hAnsi="Courier New" w:hint="default"/>
        <w:sz w:val="20"/>
      </w:rPr>
    </w:lvl>
    <w:lvl w:ilvl="4">
      <w:start w:val="1"/>
      <w:numFmt w:val="lowerLetter"/>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lowerLetter"/>
      <w:lvlText w:val="%7."/>
      <w:lvlJc w:val="left"/>
      <w:pPr>
        <w:ind w:left="5040" w:hanging="360"/>
      </w:pPr>
      <w:rPr>
        <w:rFonts w:hint="default"/>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67B72F74"/>
    <w:multiLevelType w:val="hybridMultilevel"/>
    <w:tmpl w:val="6C9E431E"/>
    <w:lvl w:ilvl="0" w:tplc="47B413F8">
      <w:start w:val="1"/>
      <w:numFmt w:val="lowerLetter"/>
      <w:lvlText w:val="(%1)"/>
      <w:lvlJc w:val="left"/>
      <w:pPr>
        <w:tabs>
          <w:tab w:val="num" w:pos="397"/>
        </w:tabs>
        <w:ind w:left="397" w:firstLine="0"/>
      </w:pPr>
      <w:rPr>
        <w:rFonts w:hint="default"/>
        <w:b w:val="0"/>
        <w:i/>
        <w:iCs w:val="0"/>
        <w:sz w:val="18"/>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C40A5C"/>
    <w:multiLevelType w:val="hybridMultilevel"/>
    <w:tmpl w:val="59E061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69204518"/>
    <w:multiLevelType w:val="hybridMultilevel"/>
    <w:tmpl w:val="E6A4AD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6C042717"/>
    <w:multiLevelType w:val="multilevel"/>
    <w:tmpl w:val="DCDEB9D0"/>
    <w:numStyleLink w:val="Style1"/>
  </w:abstractNum>
  <w:abstractNum w:abstractNumId="51" w15:restartNumberingAfterBreak="0">
    <w:nsid w:val="6D465F52"/>
    <w:multiLevelType w:val="hybridMultilevel"/>
    <w:tmpl w:val="35208A2A"/>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52" w15:restartNumberingAfterBreak="0">
    <w:nsid w:val="6E492AE9"/>
    <w:multiLevelType w:val="multilevel"/>
    <w:tmpl w:val="C3C04032"/>
    <w:lvl w:ilvl="0">
      <w:start w:val="1"/>
      <w:numFmt w:val="lowerLetter"/>
      <w:lvlText w:val="%1."/>
      <w:lvlJc w:val="left"/>
      <w:pPr>
        <w:tabs>
          <w:tab w:val="num" w:pos="397"/>
        </w:tabs>
        <w:ind w:left="397" w:hanging="397"/>
      </w:pPr>
      <w:rPr>
        <w:rFonts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EB143DE"/>
    <w:multiLevelType w:val="multilevel"/>
    <w:tmpl w:val="BFBE64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FC63C93"/>
    <w:multiLevelType w:val="hybridMultilevel"/>
    <w:tmpl w:val="323A3D02"/>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5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6753ABD"/>
    <w:multiLevelType w:val="hybridMultilevel"/>
    <w:tmpl w:val="C1B60B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79200F33"/>
    <w:multiLevelType w:val="hybridMultilevel"/>
    <w:tmpl w:val="B39268A0"/>
    <w:lvl w:ilvl="0" w:tplc="61AC8F04">
      <w:start w:val="1"/>
      <w:numFmt w:val="lowerLetter"/>
      <w:lvlText w:val="(%1)"/>
      <w:lvlJc w:val="left"/>
      <w:pPr>
        <w:ind w:left="1400" w:hanging="360"/>
      </w:pPr>
      <w:rPr>
        <w:rFonts w:hint="default"/>
      </w:rPr>
    </w:lvl>
    <w:lvl w:ilvl="1" w:tplc="14090019" w:tentative="1">
      <w:start w:val="1"/>
      <w:numFmt w:val="lowerLetter"/>
      <w:lvlText w:val="%2."/>
      <w:lvlJc w:val="left"/>
      <w:pPr>
        <w:ind w:left="2120" w:hanging="360"/>
      </w:pPr>
    </w:lvl>
    <w:lvl w:ilvl="2" w:tplc="1409001B" w:tentative="1">
      <w:start w:val="1"/>
      <w:numFmt w:val="lowerRoman"/>
      <w:lvlText w:val="%3."/>
      <w:lvlJc w:val="right"/>
      <w:pPr>
        <w:ind w:left="2840" w:hanging="180"/>
      </w:pPr>
    </w:lvl>
    <w:lvl w:ilvl="3" w:tplc="1409000F" w:tentative="1">
      <w:start w:val="1"/>
      <w:numFmt w:val="decimal"/>
      <w:lvlText w:val="%4."/>
      <w:lvlJc w:val="left"/>
      <w:pPr>
        <w:ind w:left="3560" w:hanging="360"/>
      </w:pPr>
    </w:lvl>
    <w:lvl w:ilvl="4" w:tplc="14090019" w:tentative="1">
      <w:start w:val="1"/>
      <w:numFmt w:val="lowerLetter"/>
      <w:lvlText w:val="%5."/>
      <w:lvlJc w:val="left"/>
      <w:pPr>
        <w:ind w:left="4280" w:hanging="360"/>
      </w:pPr>
    </w:lvl>
    <w:lvl w:ilvl="5" w:tplc="1409001B" w:tentative="1">
      <w:start w:val="1"/>
      <w:numFmt w:val="lowerRoman"/>
      <w:lvlText w:val="%6."/>
      <w:lvlJc w:val="right"/>
      <w:pPr>
        <w:ind w:left="5000" w:hanging="180"/>
      </w:pPr>
    </w:lvl>
    <w:lvl w:ilvl="6" w:tplc="1409000F" w:tentative="1">
      <w:start w:val="1"/>
      <w:numFmt w:val="decimal"/>
      <w:lvlText w:val="%7."/>
      <w:lvlJc w:val="left"/>
      <w:pPr>
        <w:ind w:left="5720" w:hanging="360"/>
      </w:pPr>
    </w:lvl>
    <w:lvl w:ilvl="7" w:tplc="14090019" w:tentative="1">
      <w:start w:val="1"/>
      <w:numFmt w:val="lowerLetter"/>
      <w:lvlText w:val="%8."/>
      <w:lvlJc w:val="left"/>
      <w:pPr>
        <w:ind w:left="6440" w:hanging="360"/>
      </w:pPr>
    </w:lvl>
    <w:lvl w:ilvl="8" w:tplc="1409001B" w:tentative="1">
      <w:start w:val="1"/>
      <w:numFmt w:val="lowerRoman"/>
      <w:lvlText w:val="%9."/>
      <w:lvlJc w:val="right"/>
      <w:pPr>
        <w:ind w:left="7160" w:hanging="180"/>
      </w:pPr>
    </w:lvl>
  </w:abstractNum>
  <w:abstractNum w:abstractNumId="60" w15:restartNumberingAfterBreak="0">
    <w:nsid w:val="7B0D6296"/>
    <w:multiLevelType w:val="multilevel"/>
    <w:tmpl w:val="57724150"/>
    <w:lvl w:ilvl="0">
      <w:start w:val="1"/>
      <w:numFmt w:val="lowerLetter"/>
      <w:lvlText w:val="(%1)"/>
      <w:lvlJc w:val="left"/>
      <w:pPr>
        <w:ind w:left="720" w:hanging="360"/>
      </w:pPr>
      <w:rPr>
        <w:rFonts w:hint="default"/>
      </w:rPr>
    </w:lvl>
    <w:lvl w:ilvl="1">
      <w:start w:val="1"/>
      <w:numFmt w:val="low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abstractNum w:abstractNumId="62" w15:restartNumberingAfterBreak="0">
    <w:nsid w:val="7EDA3586"/>
    <w:multiLevelType w:val="hybridMultilevel"/>
    <w:tmpl w:val="149C00C6"/>
    <w:lvl w:ilvl="0" w:tplc="61AC8F04">
      <w:start w:val="1"/>
      <w:numFmt w:val="lowerLetter"/>
      <w:lvlText w:val="(%1)"/>
      <w:lvlJc w:val="left"/>
      <w:pPr>
        <w:ind w:left="1004" w:hanging="360"/>
      </w:pPr>
      <w:rPr>
        <w:rFonts w:hint="default"/>
      </w:rPr>
    </w:lvl>
    <w:lvl w:ilvl="1" w:tplc="14090019" w:tentative="1">
      <w:start w:val="1"/>
      <w:numFmt w:val="lowerLetter"/>
      <w:lvlText w:val="%2."/>
      <w:lvlJc w:val="left"/>
      <w:pPr>
        <w:ind w:left="1724" w:hanging="360"/>
      </w:pPr>
    </w:lvl>
    <w:lvl w:ilvl="2" w:tplc="1409001B" w:tentative="1">
      <w:start w:val="1"/>
      <w:numFmt w:val="lowerRoman"/>
      <w:lvlText w:val="%3."/>
      <w:lvlJc w:val="right"/>
      <w:pPr>
        <w:ind w:left="2444" w:hanging="180"/>
      </w:pPr>
    </w:lvl>
    <w:lvl w:ilvl="3" w:tplc="1409000F" w:tentative="1">
      <w:start w:val="1"/>
      <w:numFmt w:val="decimal"/>
      <w:lvlText w:val="%4."/>
      <w:lvlJc w:val="left"/>
      <w:pPr>
        <w:ind w:left="3164" w:hanging="360"/>
      </w:pPr>
    </w:lvl>
    <w:lvl w:ilvl="4" w:tplc="14090019" w:tentative="1">
      <w:start w:val="1"/>
      <w:numFmt w:val="lowerLetter"/>
      <w:lvlText w:val="%5."/>
      <w:lvlJc w:val="left"/>
      <w:pPr>
        <w:ind w:left="3884" w:hanging="360"/>
      </w:pPr>
    </w:lvl>
    <w:lvl w:ilvl="5" w:tplc="1409001B" w:tentative="1">
      <w:start w:val="1"/>
      <w:numFmt w:val="lowerRoman"/>
      <w:lvlText w:val="%6."/>
      <w:lvlJc w:val="right"/>
      <w:pPr>
        <w:ind w:left="4604" w:hanging="180"/>
      </w:pPr>
    </w:lvl>
    <w:lvl w:ilvl="6" w:tplc="1409000F" w:tentative="1">
      <w:start w:val="1"/>
      <w:numFmt w:val="decimal"/>
      <w:lvlText w:val="%7."/>
      <w:lvlJc w:val="left"/>
      <w:pPr>
        <w:ind w:left="5324" w:hanging="360"/>
      </w:pPr>
    </w:lvl>
    <w:lvl w:ilvl="7" w:tplc="14090019" w:tentative="1">
      <w:start w:val="1"/>
      <w:numFmt w:val="lowerLetter"/>
      <w:lvlText w:val="%8."/>
      <w:lvlJc w:val="left"/>
      <w:pPr>
        <w:ind w:left="6044" w:hanging="360"/>
      </w:pPr>
    </w:lvl>
    <w:lvl w:ilvl="8" w:tplc="1409001B" w:tentative="1">
      <w:start w:val="1"/>
      <w:numFmt w:val="lowerRoman"/>
      <w:lvlText w:val="%9."/>
      <w:lvlJc w:val="right"/>
      <w:pPr>
        <w:ind w:left="6764" w:hanging="180"/>
      </w:pPr>
    </w:lvl>
  </w:abstractNum>
  <w:num w:numId="1" w16cid:durableId="848715540">
    <w:abstractNumId w:val="20"/>
  </w:num>
  <w:num w:numId="2" w16cid:durableId="1287734805">
    <w:abstractNumId w:val="35"/>
  </w:num>
  <w:num w:numId="3" w16cid:durableId="550508225">
    <w:abstractNumId w:val="27"/>
  </w:num>
  <w:num w:numId="4" w16cid:durableId="745567648">
    <w:abstractNumId w:val="19"/>
  </w:num>
  <w:num w:numId="5" w16cid:durableId="2076933510">
    <w:abstractNumId w:val="15"/>
  </w:num>
  <w:num w:numId="6" w16cid:durableId="1899433097">
    <w:abstractNumId w:val="31"/>
  </w:num>
  <w:num w:numId="7" w16cid:durableId="1088233813">
    <w:abstractNumId w:val="29"/>
  </w:num>
  <w:num w:numId="8" w16cid:durableId="394550804">
    <w:abstractNumId w:val="57"/>
  </w:num>
  <w:num w:numId="9" w16cid:durableId="17093806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97454537">
    <w:abstractNumId w:val="18"/>
  </w:num>
  <w:num w:numId="11" w16cid:durableId="1465346826">
    <w:abstractNumId w:val="54"/>
  </w:num>
  <w:num w:numId="12" w16cid:durableId="180439593">
    <w:abstractNumId w:val="4"/>
  </w:num>
  <w:num w:numId="13" w16cid:durableId="1951621493">
    <w:abstractNumId w:val="16"/>
  </w:num>
  <w:num w:numId="14" w16cid:durableId="1425766684">
    <w:abstractNumId w:val="25"/>
  </w:num>
  <w:num w:numId="15" w16cid:durableId="1911882459">
    <w:abstractNumId w:val="14"/>
  </w:num>
  <w:num w:numId="16" w16cid:durableId="1044714646">
    <w:abstractNumId w:val="56"/>
  </w:num>
  <w:num w:numId="17" w16cid:durableId="120541471">
    <w:abstractNumId w:val="26"/>
  </w:num>
  <w:num w:numId="18" w16cid:durableId="527254988">
    <w:abstractNumId w:val="53"/>
  </w:num>
  <w:num w:numId="19" w16cid:durableId="1719083148">
    <w:abstractNumId w:val="9"/>
  </w:num>
  <w:num w:numId="20" w16cid:durableId="1755321283">
    <w:abstractNumId w:val="52"/>
  </w:num>
  <w:num w:numId="21" w16cid:durableId="1148550055">
    <w:abstractNumId w:val="43"/>
  </w:num>
  <w:num w:numId="22" w16cid:durableId="867836360">
    <w:abstractNumId w:val="46"/>
  </w:num>
  <w:num w:numId="23" w16cid:durableId="2108646880">
    <w:abstractNumId w:val="6"/>
  </w:num>
  <w:num w:numId="24" w16cid:durableId="2017803818">
    <w:abstractNumId w:val="1"/>
  </w:num>
  <w:num w:numId="25" w16cid:durableId="1538541818">
    <w:abstractNumId w:val="61"/>
  </w:num>
  <w:num w:numId="26" w16cid:durableId="284310654">
    <w:abstractNumId w:val="50"/>
  </w:num>
  <w:num w:numId="27" w16cid:durableId="1750997305">
    <w:abstractNumId w:val="45"/>
  </w:num>
  <w:num w:numId="28" w16cid:durableId="658268381">
    <w:abstractNumId w:val="23"/>
  </w:num>
  <w:num w:numId="29" w16cid:durableId="1722634114">
    <w:abstractNumId w:val="55"/>
  </w:num>
  <w:num w:numId="30" w16cid:durableId="888565514">
    <w:abstractNumId w:val="13"/>
  </w:num>
  <w:num w:numId="31" w16cid:durableId="1561134056">
    <w:abstractNumId w:val="5"/>
  </w:num>
  <w:num w:numId="32" w16cid:durableId="1165703396">
    <w:abstractNumId w:val="21"/>
  </w:num>
  <w:num w:numId="33" w16cid:durableId="32120773">
    <w:abstractNumId w:val="7"/>
  </w:num>
  <w:num w:numId="34" w16cid:durableId="844133059">
    <w:abstractNumId w:val="49"/>
  </w:num>
  <w:num w:numId="35" w16cid:durableId="1447383252">
    <w:abstractNumId w:val="3"/>
  </w:num>
  <w:num w:numId="36" w16cid:durableId="398943697">
    <w:abstractNumId w:val="33"/>
  </w:num>
  <w:num w:numId="37" w16cid:durableId="1287079218">
    <w:abstractNumId w:val="36"/>
  </w:num>
  <w:num w:numId="38" w16cid:durableId="1079525672">
    <w:abstractNumId w:val="42"/>
  </w:num>
  <w:num w:numId="39" w16cid:durableId="388117025">
    <w:abstractNumId w:val="48"/>
  </w:num>
  <w:num w:numId="40" w16cid:durableId="193080024">
    <w:abstractNumId w:val="40"/>
  </w:num>
  <w:num w:numId="41" w16cid:durableId="254553558">
    <w:abstractNumId w:val="22"/>
  </w:num>
  <w:num w:numId="42" w16cid:durableId="1051150094">
    <w:abstractNumId w:val="11"/>
  </w:num>
  <w:num w:numId="43" w16cid:durableId="756290829">
    <w:abstractNumId w:val="37"/>
  </w:num>
  <w:num w:numId="44" w16cid:durableId="1351681883">
    <w:abstractNumId w:val="39"/>
  </w:num>
  <w:num w:numId="45" w16cid:durableId="665328086">
    <w:abstractNumId w:val="12"/>
  </w:num>
  <w:num w:numId="46" w16cid:durableId="601256306">
    <w:abstractNumId w:val="47"/>
  </w:num>
  <w:num w:numId="47" w16cid:durableId="922421021">
    <w:abstractNumId w:val="10"/>
  </w:num>
  <w:num w:numId="48" w16cid:durableId="1978366583">
    <w:abstractNumId w:val="60"/>
  </w:num>
  <w:num w:numId="49" w16cid:durableId="1483886463">
    <w:abstractNumId w:val="2"/>
  </w:num>
  <w:num w:numId="50" w16cid:durableId="1400445058">
    <w:abstractNumId w:val="44"/>
  </w:num>
  <w:num w:numId="51" w16cid:durableId="202837491">
    <w:abstractNumId w:val="24"/>
  </w:num>
  <w:num w:numId="52" w16cid:durableId="1080635734">
    <w:abstractNumId w:val="41"/>
  </w:num>
  <w:num w:numId="53" w16cid:durableId="406996767">
    <w:abstractNumId w:val="32"/>
  </w:num>
  <w:num w:numId="54" w16cid:durableId="1819420646">
    <w:abstractNumId w:val="28"/>
  </w:num>
  <w:num w:numId="55" w16cid:durableId="1167789278">
    <w:abstractNumId w:val="30"/>
  </w:num>
  <w:num w:numId="56" w16cid:durableId="815805398">
    <w:abstractNumId w:val="34"/>
  </w:num>
  <w:num w:numId="57" w16cid:durableId="1807044773">
    <w:abstractNumId w:val="62"/>
  </w:num>
  <w:num w:numId="58" w16cid:durableId="1107119102">
    <w:abstractNumId w:val="8"/>
  </w:num>
  <w:num w:numId="59" w16cid:durableId="691147576">
    <w:abstractNumId w:val="59"/>
  </w:num>
  <w:num w:numId="60" w16cid:durableId="276908206">
    <w:abstractNumId w:val="51"/>
  </w:num>
  <w:num w:numId="61" w16cid:durableId="2075618600">
    <w:abstractNumId w:val="58"/>
  </w:num>
  <w:num w:numId="62" w16cid:durableId="165480516">
    <w:abstractNumId w:val="0"/>
  </w:num>
  <w:num w:numId="63" w16cid:durableId="462311169">
    <w:abstractNumId w:val="38"/>
  </w:num>
  <w:num w:numId="64" w16cid:durableId="1297830557">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BF8"/>
    <w:rsid w:val="000006C6"/>
    <w:rsid w:val="00000792"/>
    <w:rsid w:val="00000ACC"/>
    <w:rsid w:val="00000F04"/>
    <w:rsid w:val="0000174C"/>
    <w:rsid w:val="00001A3B"/>
    <w:rsid w:val="00001B45"/>
    <w:rsid w:val="00002348"/>
    <w:rsid w:val="000023B7"/>
    <w:rsid w:val="00002694"/>
    <w:rsid w:val="00002A2A"/>
    <w:rsid w:val="00002B07"/>
    <w:rsid w:val="00002C12"/>
    <w:rsid w:val="00002CB2"/>
    <w:rsid w:val="00003652"/>
    <w:rsid w:val="00003769"/>
    <w:rsid w:val="00003AE5"/>
    <w:rsid w:val="00003C4F"/>
    <w:rsid w:val="00004006"/>
    <w:rsid w:val="00004E0A"/>
    <w:rsid w:val="00004FCA"/>
    <w:rsid w:val="00004FD3"/>
    <w:rsid w:val="000055DD"/>
    <w:rsid w:val="000059EA"/>
    <w:rsid w:val="00005BAB"/>
    <w:rsid w:val="00005C4B"/>
    <w:rsid w:val="00005E1E"/>
    <w:rsid w:val="00006403"/>
    <w:rsid w:val="000064B6"/>
    <w:rsid w:val="0000681B"/>
    <w:rsid w:val="00006AFC"/>
    <w:rsid w:val="00006DAA"/>
    <w:rsid w:val="00006DF5"/>
    <w:rsid w:val="00006F95"/>
    <w:rsid w:val="00007023"/>
    <w:rsid w:val="0000709F"/>
    <w:rsid w:val="000071D6"/>
    <w:rsid w:val="00007F2D"/>
    <w:rsid w:val="00007FAC"/>
    <w:rsid w:val="000102A3"/>
    <w:rsid w:val="000108E7"/>
    <w:rsid w:val="000109DD"/>
    <w:rsid w:val="00010A9C"/>
    <w:rsid w:val="00010ABA"/>
    <w:rsid w:val="00010E15"/>
    <w:rsid w:val="00010F57"/>
    <w:rsid w:val="0001100C"/>
    <w:rsid w:val="00011188"/>
    <w:rsid w:val="000112DC"/>
    <w:rsid w:val="000114DE"/>
    <w:rsid w:val="000115BF"/>
    <w:rsid w:val="00011A10"/>
    <w:rsid w:val="00011F19"/>
    <w:rsid w:val="00011FE7"/>
    <w:rsid w:val="0001235E"/>
    <w:rsid w:val="00012555"/>
    <w:rsid w:val="00012C39"/>
    <w:rsid w:val="0001303C"/>
    <w:rsid w:val="000130D8"/>
    <w:rsid w:val="00013107"/>
    <w:rsid w:val="00013180"/>
    <w:rsid w:val="000133C9"/>
    <w:rsid w:val="00013FEE"/>
    <w:rsid w:val="00014122"/>
    <w:rsid w:val="00014236"/>
    <w:rsid w:val="000148F6"/>
    <w:rsid w:val="00014B65"/>
    <w:rsid w:val="00014D2D"/>
    <w:rsid w:val="00015217"/>
    <w:rsid w:val="00015453"/>
    <w:rsid w:val="000158C9"/>
    <w:rsid w:val="00015961"/>
    <w:rsid w:val="000159D2"/>
    <w:rsid w:val="00015CD0"/>
    <w:rsid w:val="00016264"/>
    <w:rsid w:val="00016269"/>
    <w:rsid w:val="0001630A"/>
    <w:rsid w:val="000166A7"/>
    <w:rsid w:val="00016846"/>
    <w:rsid w:val="00016993"/>
    <w:rsid w:val="00016CAB"/>
    <w:rsid w:val="00016CB1"/>
    <w:rsid w:val="00016E5B"/>
    <w:rsid w:val="00016EFF"/>
    <w:rsid w:val="000170B4"/>
    <w:rsid w:val="0001749B"/>
    <w:rsid w:val="000179FD"/>
    <w:rsid w:val="00017AA5"/>
    <w:rsid w:val="00017D75"/>
    <w:rsid w:val="00017FE5"/>
    <w:rsid w:val="0002097F"/>
    <w:rsid w:val="00020989"/>
    <w:rsid w:val="000213F9"/>
    <w:rsid w:val="00021910"/>
    <w:rsid w:val="000219A9"/>
    <w:rsid w:val="0002258F"/>
    <w:rsid w:val="0002262F"/>
    <w:rsid w:val="00022E8D"/>
    <w:rsid w:val="0002308A"/>
    <w:rsid w:val="0002348A"/>
    <w:rsid w:val="0002357F"/>
    <w:rsid w:val="000235B5"/>
    <w:rsid w:val="000235B8"/>
    <w:rsid w:val="0002361B"/>
    <w:rsid w:val="000237D4"/>
    <w:rsid w:val="00023BDA"/>
    <w:rsid w:val="00023E6D"/>
    <w:rsid w:val="00023F83"/>
    <w:rsid w:val="00024632"/>
    <w:rsid w:val="00024708"/>
    <w:rsid w:val="0002478C"/>
    <w:rsid w:val="000249E7"/>
    <w:rsid w:val="00024EE7"/>
    <w:rsid w:val="000250FE"/>
    <w:rsid w:val="00025A5D"/>
    <w:rsid w:val="00025A8D"/>
    <w:rsid w:val="00025AF7"/>
    <w:rsid w:val="00025F96"/>
    <w:rsid w:val="00025FAB"/>
    <w:rsid w:val="00026102"/>
    <w:rsid w:val="000264BF"/>
    <w:rsid w:val="00026BA3"/>
    <w:rsid w:val="00026E89"/>
    <w:rsid w:val="000273A5"/>
    <w:rsid w:val="000275A3"/>
    <w:rsid w:val="00027FE5"/>
    <w:rsid w:val="00030558"/>
    <w:rsid w:val="000305D5"/>
    <w:rsid w:val="00030699"/>
    <w:rsid w:val="00030725"/>
    <w:rsid w:val="00030DB8"/>
    <w:rsid w:val="00030F7D"/>
    <w:rsid w:val="00031557"/>
    <w:rsid w:val="00031700"/>
    <w:rsid w:val="00031879"/>
    <w:rsid w:val="00031A83"/>
    <w:rsid w:val="00031D9D"/>
    <w:rsid w:val="0003213A"/>
    <w:rsid w:val="00032628"/>
    <w:rsid w:val="000327F3"/>
    <w:rsid w:val="0003293F"/>
    <w:rsid w:val="00032948"/>
    <w:rsid w:val="00032A81"/>
    <w:rsid w:val="00032D99"/>
    <w:rsid w:val="00032E6E"/>
    <w:rsid w:val="00033265"/>
    <w:rsid w:val="00033528"/>
    <w:rsid w:val="000337DD"/>
    <w:rsid w:val="00033A02"/>
    <w:rsid w:val="00033A81"/>
    <w:rsid w:val="000340D8"/>
    <w:rsid w:val="0003427D"/>
    <w:rsid w:val="00034DB1"/>
    <w:rsid w:val="00034DFA"/>
    <w:rsid w:val="000354AB"/>
    <w:rsid w:val="000354B4"/>
    <w:rsid w:val="0003561C"/>
    <w:rsid w:val="000356EA"/>
    <w:rsid w:val="000357ED"/>
    <w:rsid w:val="000358A3"/>
    <w:rsid w:val="00035BA6"/>
    <w:rsid w:val="00035CEF"/>
    <w:rsid w:val="00035E15"/>
    <w:rsid w:val="0003627B"/>
    <w:rsid w:val="0003640E"/>
    <w:rsid w:val="0003653B"/>
    <w:rsid w:val="000365CD"/>
    <w:rsid w:val="0003688A"/>
    <w:rsid w:val="000368FC"/>
    <w:rsid w:val="00036A0D"/>
    <w:rsid w:val="00036DA3"/>
    <w:rsid w:val="00037901"/>
    <w:rsid w:val="000379BF"/>
    <w:rsid w:val="00037BEC"/>
    <w:rsid w:val="00037E75"/>
    <w:rsid w:val="000400D9"/>
    <w:rsid w:val="0004035C"/>
    <w:rsid w:val="00040860"/>
    <w:rsid w:val="00040CED"/>
    <w:rsid w:val="00040EA1"/>
    <w:rsid w:val="00041000"/>
    <w:rsid w:val="0004150C"/>
    <w:rsid w:val="0004180E"/>
    <w:rsid w:val="00041A40"/>
    <w:rsid w:val="0004205F"/>
    <w:rsid w:val="000423C6"/>
    <w:rsid w:val="000425D6"/>
    <w:rsid w:val="00042875"/>
    <w:rsid w:val="00042CE1"/>
    <w:rsid w:val="00042EDB"/>
    <w:rsid w:val="00042FEC"/>
    <w:rsid w:val="0004349B"/>
    <w:rsid w:val="0004419D"/>
    <w:rsid w:val="00044981"/>
    <w:rsid w:val="00044A50"/>
    <w:rsid w:val="00044C65"/>
    <w:rsid w:val="00044F4D"/>
    <w:rsid w:val="00045392"/>
    <w:rsid w:val="000457B9"/>
    <w:rsid w:val="000457F2"/>
    <w:rsid w:val="000457FB"/>
    <w:rsid w:val="000458C7"/>
    <w:rsid w:val="0004598E"/>
    <w:rsid w:val="00045991"/>
    <w:rsid w:val="00045D50"/>
    <w:rsid w:val="00045E5C"/>
    <w:rsid w:val="00046095"/>
    <w:rsid w:val="00046110"/>
    <w:rsid w:val="00046288"/>
    <w:rsid w:val="00046C5E"/>
    <w:rsid w:val="00046D13"/>
    <w:rsid w:val="00046DE5"/>
    <w:rsid w:val="00046E6C"/>
    <w:rsid w:val="000470C4"/>
    <w:rsid w:val="000471DF"/>
    <w:rsid w:val="000474E4"/>
    <w:rsid w:val="00047941"/>
    <w:rsid w:val="000504E4"/>
    <w:rsid w:val="00050566"/>
    <w:rsid w:val="00050A22"/>
    <w:rsid w:val="00050E27"/>
    <w:rsid w:val="0005144F"/>
    <w:rsid w:val="000516D8"/>
    <w:rsid w:val="000518F6"/>
    <w:rsid w:val="00051AF1"/>
    <w:rsid w:val="00051D42"/>
    <w:rsid w:val="00051DB4"/>
    <w:rsid w:val="0005210C"/>
    <w:rsid w:val="00052BBE"/>
    <w:rsid w:val="00052CAD"/>
    <w:rsid w:val="00053417"/>
    <w:rsid w:val="0005354F"/>
    <w:rsid w:val="00053630"/>
    <w:rsid w:val="000536E1"/>
    <w:rsid w:val="000538A1"/>
    <w:rsid w:val="000539EE"/>
    <w:rsid w:val="00053BEE"/>
    <w:rsid w:val="0005414A"/>
    <w:rsid w:val="00054463"/>
    <w:rsid w:val="0005475E"/>
    <w:rsid w:val="00054D87"/>
    <w:rsid w:val="000550EC"/>
    <w:rsid w:val="00055375"/>
    <w:rsid w:val="0005564B"/>
    <w:rsid w:val="000558D8"/>
    <w:rsid w:val="00055C2A"/>
    <w:rsid w:val="00055DE0"/>
    <w:rsid w:val="00055EF6"/>
    <w:rsid w:val="00056319"/>
    <w:rsid w:val="000564E7"/>
    <w:rsid w:val="00056597"/>
    <w:rsid w:val="00056770"/>
    <w:rsid w:val="00056881"/>
    <w:rsid w:val="0005690E"/>
    <w:rsid w:val="00056DFB"/>
    <w:rsid w:val="00056EEB"/>
    <w:rsid w:val="00057067"/>
    <w:rsid w:val="00057116"/>
    <w:rsid w:val="00057386"/>
    <w:rsid w:val="0005767B"/>
    <w:rsid w:val="00057EEF"/>
    <w:rsid w:val="0006042C"/>
    <w:rsid w:val="00060696"/>
    <w:rsid w:val="00061025"/>
    <w:rsid w:val="000619CB"/>
    <w:rsid w:val="000619EF"/>
    <w:rsid w:val="00061EF6"/>
    <w:rsid w:val="00062387"/>
    <w:rsid w:val="00062DD1"/>
    <w:rsid w:val="00063211"/>
    <w:rsid w:val="00063779"/>
    <w:rsid w:val="0006393A"/>
    <w:rsid w:val="000640F0"/>
    <w:rsid w:val="0006434D"/>
    <w:rsid w:val="000643A1"/>
    <w:rsid w:val="00064481"/>
    <w:rsid w:val="00064679"/>
    <w:rsid w:val="00064898"/>
    <w:rsid w:val="00064A13"/>
    <w:rsid w:val="00064AF4"/>
    <w:rsid w:val="00064DB1"/>
    <w:rsid w:val="00064DB5"/>
    <w:rsid w:val="000655BA"/>
    <w:rsid w:val="00065656"/>
    <w:rsid w:val="00065AFF"/>
    <w:rsid w:val="00065BA3"/>
    <w:rsid w:val="00065D3B"/>
    <w:rsid w:val="00066133"/>
    <w:rsid w:val="000667E9"/>
    <w:rsid w:val="000669E5"/>
    <w:rsid w:val="00066BE8"/>
    <w:rsid w:val="00067128"/>
    <w:rsid w:val="000673A2"/>
    <w:rsid w:val="000675CD"/>
    <w:rsid w:val="00067872"/>
    <w:rsid w:val="000678AC"/>
    <w:rsid w:val="00067D04"/>
    <w:rsid w:val="00067E8C"/>
    <w:rsid w:val="0007023A"/>
    <w:rsid w:val="000703B2"/>
    <w:rsid w:val="00070F6B"/>
    <w:rsid w:val="00070FBF"/>
    <w:rsid w:val="000711EE"/>
    <w:rsid w:val="00071536"/>
    <w:rsid w:val="0007180E"/>
    <w:rsid w:val="000719F9"/>
    <w:rsid w:val="00071AE4"/>
    <w:rsid w:val="00071CB5"/>
    <w:rsid w:val="00071CCB"/>
    <w:rsid w:val="00071D03"/>
    <w:rsid w:val="00071E57"/>
    <w:rsid w:val="0007232B"/>
    <w:rsid w:val="00072A4E"/>
    <w:rsid w:val="00072B87"/>
    <w:rsid w:val="00072D1A"/>
    <w:rsid w:val="00073118"/>
    <w:rsid w:val="000735A2"/>
    <w:rsid w:val="00073640"/>
    <w:rsid w:val="0007385D"/>
    <w:rsid w:val="000738EE"/>
    <w:rsid w:val="00073AB9"/>
    <w:rsid w:val="00073E4A"/>
    <w:rsid w:val="00073F29"/>
    <w:rsid w:val="00073FD6"/>
    <w:rsid w:val="00074072"/>
    <w:rsid w:val="000743AF"/>
    <w:rsid w:val="000745A3"/>
    <w:rsid w:val="0007466B"/>
    <w:rsid w:val="0007482B"/>
    <w:rsid w:val="00074F83"/>
    <w:rsid w:val="0007517E"/>
    <w:rsid w:val="00075FE1"/>
    <w:rsid w:val="000761E1"/>
    <w:rsid w:val="00076629"/>
    <w:rsid w:val="00076667"/>
    <w:rsid w:val="000769B9"/>
    <w:rsid w:val="0007708C"/>
    <w:rsid w:val="00077409"/>
    <w:rsid w:val="00077473"/>
    <w:rsid w:val="00077481"/>
    <w:rsid w:val="00077658"/>
    <w:rsid w:val="000776F9"/>
    <w:rsid w:val="00077739"/>
    <w:rsid w:val="00077A32"/>
    <w:rsid w:val="00077B3B"/>
    <w:rsid w:val="00077D1F"/>
    <w:rsid w:val="00077EE0"/>
    <w:rsid w:val="000802F9"/>
    <w:rsid w:val="0008091A"/>
    <w:rsid w:val="00080CA2"/>
    <w:rsid w:val="00080EA0"/>
    <w:rsid w:val="00081302"/>
    <w:rsid w:val="0008145A"/>
    <w:rsid w:val="00081483"/>
    <w:rsid w:val="0008162D"/>
    <w:rsid w:val="00082227"/>
    <w:rsid w:val="0008227A"/>
    <w:rsid w:val="0008237A"/>
    <w:rsid w:val="0008292A"/>
    <w:rsid w:val="00082D34"/>
    <w:rsid w:val="00082DDF"/>
    <w:rsid w:val="00083022"/>
    <w:rsid w:val="000831C8"/>
    <w:rsid w:val="000832BF"/>
    <w:rsid w:val="00083C62"/>
    <w:rsid w:val="00083F5E"/>
    <w:rsid w:val="00084A85"/>
    <w:rsid w:val="00084BEF"/>
    <w:rsid w:val="00084C07"/>
    <w:rsid w:val="00084C65"/>
    <w:rsid w:val="00084E06"/>
    <w:rsid w:val="00084FDB"/>
    <w:rsid w:val="0008505C"/>
    <w:rsid w:val="0008536C"/>
    <w:rsid w:val="0008557E"/>
    <w:rsid w:val="0008560F"/>
    <w:rsid w:val="0008566E"/>
    <w:rsid w:val="000858F1"/>
    <w:rsid w:val="00085C46"/>
    <w:rsid w:val="00086428"/>
    <w:rsid w:val="0008674A"/>
    <w:rsid w:val="0008686A"/>
    <w:rsid w:val="00086C78"/>
    <w:rsid w:val="00087175"/>
    <w:rsid w:val="00087573"/>
    <w:rsid w:val="00087616"/>
    <w:rsid w:val="00087A8F"/>
    <w:rsid w:val="00087D35"/>
    <w:rsid w:val="00087D4B"/>
    <w:rsid w:val="00087E1C"/>
    <w:rsid w:val="00090162"/>
    <w:rsid w:val="00090206"/>
    <w:rsid w:val="000902B8"/>
    <w:rsid w:val="00090A2A"/>
    <w:rsid w:val="00090A6E"/>
    <w:rsid w:val="00090A8C"/>
    <w:rsid w:val="00090B7E"/>
    <w:rsid w:val="0009132D"/>
    <w:rsid w:val="00091796"/>
    <w:rsid w:val="00091905"/>
    <w:rsid w:val="00091A06"/>
    <w:rsid w:val="00091A7B"/>
    <w:rsid w:val="00091BA2"/>
    <w:rsid w:val="00091CB0"/>
    <w:rsid w:val="00091DF9"/>
    <w:rsid w:val="00091EBD"/>
    <w:rsid w:val="00092D18"/>
    <w:rsid w:val="00093170"/>
    <w:rsid w:val="000931B8"/>
    <w:rsid w:val="000938AA"/>
    <w:rsid w:val="00093CD6"/>
    <w:rsid w:val="000941E9"/>
    <w:rsid w:val="000942C2"/>
    <w:rsid w:val="00094344"/>
    <w:rsid w:val="000943A7"/>
    <w:rsid w:val="0009472E"/>
    <w:rsid w:val="000949FF"/>
    <w:rsid w:val="000953C6"/>
    <w:rsid w:val="000953F4"/>
    <w:rsid w:val="00095725"/>
    <w:rsid w:val="0009590C"/>
    <w:rsid w:val="00095965"/>
    <w:rsid w:val="000959E7"/>
    <w:rsid w:val="00095C45"/>
    <w:rsid w:val="00095E7D"/>
    <w:rsid w:val="000964DE"/>
    <w:rsid w:val="00096A0B"/>
    <w:rsid w:val="00096ACB"/>
    <w:rsid w:val="00096C0B"/>
    <w:rsid w:val="000972AB"/>
    <w:rsid w:val="000974D0"/>
    <w:rsid w:val="00097A2E"/>
    <w:rsid w:val="00097A41"/>
    <w:rsid w:val="00097B40"/>
    <w:rsid w:val="00097C93"/>
    <w:rsid w:val="00097D0E"/>
    <w:rsid w:val="00097E03"/>
    <w:rsid w:val="000A05CA"/>
    <w:rsid w:val="000A077B"/>
    <w:rsid w:val="000A0C80"/>
    <w:rsid w:val="000A0DC9"/>
    <w:rsid w:val="000A109B"/>
    <w:rsid w:val="000A127F"/>
    <w:rsid w:val="000A1481"/>
    <w:rsid w:val="000A17EA"/>
    <w:rsid w:val="000A182B"/>
    <w:rsid w:val="000A1B68"/>
    <w:rsid w:val="000A1C7A"/>
    <w:rsid w:val="000A1F01"/>
    <w:rsid w:val="000A21A5"/>
    <w:rsid w:val="000A2345"/>
    <w:rsid w:val="000A2394"/>
    <w:rsid w:val="000A31C1"/>
    <w:rsid w:val="000A322F"/>
    <w:rsid w:val="000A32C5"/>
    <w:rsid w:val="000A3411"/>
    <w:rsid w:val="000A34CA"/>
    <w:rsid w:val="000A36CD"/>
    <w:rsid w:val="000A381E"/>
    <w:rsid w:val="000A38D6"/>
    <w:rsid w:val="000A3D42"/>
    <w:rsid w:val="000A3EDF"/>
    <w:rsid w:val="000A4018"/>
    <w:rsid w:val="000A426F"/>
    <w:rsid w:val="000A42A7"/>
    <w:rsid w:val="000A432F"/>
    <w:rsid w:val="000A4559"/>
    <w:rsid w:val="000A45FD"/>
    <w:rsid w:val="000A470D"/>
    <w:rsid w:val="000A477B"/>
    <w:rsid w:val="000A4847"/>
    <w:rsid w:val="000A48FB"/>
    <w:rsid w:val="000A49B7"/>
    <w:rsid w:val="000A4DB5"/>
    <w:rsid w:val="000A558D"/>
    <w:rsid w:val="000A5611"/>
    <w:rsid w:val="000A563C"/>
    <w:rsid w:val="000A59C5"/>
    <w:rsid w:val="000A5DEA"/>
    <w:rsid w:val="000A5EBD"/>
    <w:rsid w:val="000A601E"/>
    <w:rsid w:val="000A6B4E"/>
    <w:rsid w:val="000A7501"/>
    <w:rsid w:val="000A7631"/>
    <w:rsid w:val="000A7658"/>
    <w:rsid w:val="000A77DF"/>
    <w:rsid w:val="000A7F0F"/>
    <w:rsid w:val="000A7F4C"/>
    <w:rsid w:val="000B0032"/>
    <w:rsid w:val="000B01FA"/>
    <w:rsid w:val="000B02BC"/>
    <w:rsid w:val="000B0498"/>
    <w:rsid w:val="000B06DB"/>
    <w:rsid w:val="000B0B54"/>
    <w:rsid w:val="000B0F36"/>
    <w:rsid w:val="000B164E"/>
    <w:rsid w:val="000B1737"/>
    <w:rsid w:val="000B1942"/>
    <w:rsid w:val="000B1BED"/>
    <w:rsid w:val="000B1C00"/>
    <w:rsid w:val="000B2240"/>
    <w:rsid w:val="000B22C2"/>
    <w:rsid w:val="000B2477"/>
    <w:rsid w:val="000B25F8"/>
    <w:rsid w:val="000B2600"/>
    <w:rsid w:val="000B2753"/>
    <w:rsid w:val="000B2BBF"/>
    <w:rsid w:val="000B2D51"/>
    <w:rsid w:val="000B2E2F"/>
    <w:rsid w:val="000B36F9"/>
    <w:rsid w:val="000B3720"/>
    <w:rsid w:val="000B3AF2"/>
    <w:rsid w:val="000B3C88"/>
    <w:rsid w:val="000B3CDB"/>
    <w:rsid w:val="000B4074"/>
    <w:rsid w:val="000B44C6"/>
    <w:rsid w:val="000B4732"/>
    <w:rsid w:val="000B4BCD"/>
    <w:rsid w:val="000B4DAD"/>
    <w:rsid w:val="000B50B7"/>
    <w:rsid w:val="000B58B9"/>
    <w:rsid w:val="000B5A26"/>
    <w:rsid w:val="000B64A1"/>
    <w:rsid w:val="000B653B"/>
    <w:rsid w:val="000B66DC"/>
    <w:rsid w:val="000B6BE7"/>
    <w:rsid w:val="000B6D1F"/>
    <w:rsid w:val="000B6FA7"/>
    <w:rsid w:val="000B73D4"/>
    <w:rsid w:val="000B78A3"/>
    <w:rsid w:val="000B7C9A"/>
    <w:rsid w:val="000B7D9C"/>
    <w:rsid w:val="000C02AD"/>
    <w:rsid w:val="000C062F"/>
    <w:rsid w:val="000C17E7"/>
    <w:rsid w:val="000C1B6A"/>
    <w:rsid w:val="000C1FEA"/>
    <w:rsid w:val="000C205E"/>
    <w:rsid w:val="000C2D7C"/>
    <w:rsid w:val="000C3270"/>
    <w:rsid w:val="000C3D03"/>
    <w:rsid w:val="000C3D8A"/>
    <w:rsid w:val="000C41D8"/>
    <w:rsid w:val="000C433B"/>
    <w:rsid w:val="000C4475"/>
    <w:rsid w:val="000C48FE"/>
    <w:rsid w:val="000C4CC9"/>
    <w:rsid w:val="000C4CCF"/>
    <w:rsid w:val="000C4FFE"/>
    <w:rsid w:val="000C54AF"/>
    <w:rsid w:val="000C577E"/>
    <w:rsid w:val="000C5A08"/>
    <w:rsid w:val="000C5D5B"/>
    <w:rsid w:val="000C5F95"/>
    <w:rsid w:val="000C64BD"/>
    <w:rsid w:val="000C66B1"/>
    <w:rsid w:val="000C7711"/>
    <w:rsid w:val="000C7E2C"/>
    <w:rsid w:val="000D0317"/>
    <w:rsid w:val="000D04BA"/>
    <w:rsid w:val="000D07D6"/>
    <w:rsid w:val="000D0AB1"/>
    <w:rsid w:val="000D0B6E"/>
    <w:rsid w:val="000D0D65"/>
    <w:rsid w:val="000D110E"/>
    <w:rsid w:val="000D11C3"/>
    <w:rsid w:val="000D12E0"/>
    <w:rsid w:val="000D1944"/>
    <w:rsid w:val="000D1DD9"/>
    <w:rsid w:val="000D1F79"/>
    <w:rsid w:val="000D2172"/>
    <w:rsid w:val="000D21C2"/>
    <w:rsid w:val="000D223C"/>
    <w:rsid w:val="000D2270"/>
    <w:rsid w:val="000D2291"/>
    <w:rsid w:val="000D244C"/>
    <w:rsid w:val="000D293C"/>
    <w:rsid w:val="000D2BC1"/>
    <w:rsid w:val="000D317D"/>
    <w:rsid w:val="000D337B"/>
    <w:rsid w:val="000D385A"/>
    <w:rsid w:val="000D38C2"/>
    <w:rsid w:val="000D3CA7"/>
    <w:rsid w:val="000D4126"/>
    <w:rsid w:val="000D425A"/>
    <w:rsid w:val="000D4358"/>
    <w:rsid w:val="000D494A"/>
    <w:rsid w:val="000D52A8"/>
    <w:rsid w:val="000D576C"/>
    <w:rsid w:val="000D57FB"/>
    <w:rsid w:val="000D5B16"/>
    <w:rsid w:val="000D5F89"/>
    <w:rsid w:val="000D5FD6"/>
    <w:rsid w:val="000D612F"/>
    <w:rsid w:val="000D6187"/>
    <w:rsid w:val="000D6201"/>
    <w:rsid w:val="000D6488"/>
    <w:rsid w:val="000D6502"/>
    <w:rsid w:val="000D65EE"/>
    <w:rsid w:val="000D6832"/>
    <w:rsid w:val="000D6CFA"/>
    <w:rsid w:val="000D6FDD"/>
    <w:rsid w:val="000D6FED"/>
    <w:rsid w:val="000D7088"/>
    <w:rsid w:val="000D7100"/>
    <w:rsid w:val="000D7203"/>
    <w:rsid w:val="000D7608"/>
    <w:rsid w:val="000D770B"/>
    <w:rsid w:val="000D788E"/>
    <w:rsid w:val="000D78CD"/>
    <w:rsid w:val="000D7C75"/>
    <w:rsid w:val="000D7E72"/>
    <w:rsid w:val="000D7F1D"/>
    <w:rsid w:val="000E00A0"/>
    <w:rsid w:val="000E0271"/>
    <w:rsid w:val="000E0762"/>
    <w:rsid w:val="000E0993"/>
    <w:rsid w:val="000E0BAF"/>
    <w:rsid w:val="000E0DBE"/>
    <w:rsid w:val="000E12B0"/>
    <w:rsid w:val="000E14AF"/>
    <w:rsid w:val="000E15AE"/>
    <w:rsid w:val="000E1BC8"/>
    <w:rsid w:val="000E1D32"/>
    <w:rsid w:val="000E201F"/>
    <w:rsid w:val="000E26D8"/>
    <w:rsid w:val="000E286A"/>
    <w:rsid w:val="000E2B94"/>
    <w:rsid w:val="000E3156"/>
    <w:rsid w:val="000E35B6"/>
    <w:rsid w:val="000E3747"/>
    <w:rsid w:val="000E37A7"/>
    <w:rsid w:val="000E3BB8"/>
    <w:rsid w:val="000E3D51"/>
    <w:rsid w:val="000E3D9B"/>
    <w:rsid w:val="000E3DF8"/>
    <w:rsid w:val="000E3DFD"/>
    <w:rsid w:val="000E4031"/>
    <w:rsid w:val="000E4261"/>
    <w:rsid w:val="000E428B"/>
    <w:rsid w:val="000E42DB"/>
    <w:rsid w:val="000E432F"/>
    <w:rsid w:val="000E4599"/>
    <w:rsid w:val="000E4697"/>
    <w:rsid w:val="000E472C"/>
    <w:rsid w:val="000E4B88"/>
    <w:rsid w:val="000E4BCE"/>
    <w:rsid w:val="000E56B6"/>
    <w:rsid w:val="000E58C5"/>
    <w:rsid w:val="000E5D0A"/>
    <w:rsid w:val="000E6116"/>
    <w:rsid w:val="000E6203"/>
    <w:rsid w:val="000E64CB"/>
    <w:rsid w:val="000E66EE"/>
    <w:rsid w:val="000E686B"/>
    <w:rsid w:val="000E6B0C"/>
    <w:rsid w:val="000E70EC"/>
    <w:rsid w:val="000E722C"/>
    <w:rsid w:val="000E7371"/>
    <w:rsid w:val="000E755B"/>
    <w:rsid w:val="000E7825"/>
    <w:rsid w:val="000E786F"/>
    <w:rsid w:val="000E7A16"/>
    <w:rsid w:val="000E7DA7"/>
    <w:rsid w:val="000E7FA0"/>
    <w:rsid w:val="000E7FA4"/>
    <w:rsid w:val="000F00BA"/>
    <w:rsid w:val="000F0287"/>
    <w:rsid w:val="000F02F8"/>
    <w:rsid w:val="000F0399"/>
    <w:rsid w:val="000F0409"/>
    <w:rsid w:val="000F049F"/>
    <w:rsid w:val="000F0642"/>
    <w:rsid w:val="000F07BA"/>
    <w:rsid w:val="000F07FA"/>
    <w:rsid w:val="000F086B"/>
    <w:rsid w:val="000F0964"/>
    <w:rsid w:val="000F0A17"/>
    <w:rsid w:val="000F0B5E"/>
    <w:rsid w:val="000F106F"/>
    <w:rsid w:val="000F10FC"/>
    <w:rsid w:val="000F137E"/>
    <w:rsid w:val="000F153F"/>
    <w:rsid w:val="000F1D43"/>
    <w:rsid w:val="000F1FB1"/>
    <w:rsid w:val="000F1FFF"/>
    <w:rsid w:val="000F20AA"/>
    <w:rsid w:val="000F2393"/>
    <w:rsid w:val="000F2651"/>
    <w:rsid w:val="000F2941"/>
    <w:rsid w:val="000F2BD2"/>
    <w:rsid w:val="000F2C78"/>
    <w:rsid w:val="000F2DC6"/>
    <w:rsid w:val="000F2E20"/>
    <w:rsid w:val="000F2FA5"/>
    <w:rsid w:val="000F30CF"/>
    <w:rsid w:val="000F348D"/>
    <w:rsid w:val="000F3693"/>
    <w:rsid w:val="000F369A"/>
    <w:rsid w:val="000F3EDA"/>
    <w:rsid w:val="000F40E2"/>
    <w:rsid w:val="000F4181"/>
    <w:rsid w:val="000F4463"/>
    <w:rsid w:val="000F46EF"/>
    <w:rsid w:val="000F47D1"/>
    <w:rsid w:val="000F5285"/>
    <w:rsid w:val="000F52E0"/>
    <w:rsid w:val="000F53A9"/>
    <w:rsid w:val="000F56A7"/>
    <w:rsid w:val="000F62ED"/>
    <w:rsid w:val="000F6464"/>
    <w:rsid w:val="000F6628"/>
    <w:rsid w:val="000F677A"/>
    <w:rsid w:val="000F6B86"/>
    <w:rsid w:val="000F6C25"/>
    <w:rsid w:val="000F6CA2"/>
    <w:rsid w:val="000F7229"/>
    <w:rsid w:val="000F73C4"/>
    <w:rsid w:val="000F76EB"/>
    <w:rsid w:val="000F7704"/>
    <w:rsid w:val="000F78AE"/>
    <w:rsid w:val="000F79BD"/>
    <w:rsid w:val="000F7AE4"/>
    <w:rsid w:val="000F7C6C"/>
    <w:rsid w:val="000F7E25"/>
    <w:rsid w:val="000F7EB4"/>
    <w:rsid w:val="0010033D"/>
    <w:rsid w:val="001006C6"/>
    <w:rsid w:val="001007EE"/>
    <w:rsid w:val="00100BD1"/>
    <w:rsid w:val="00100D13"/>
    <w:rsid w:val="00100F24"/>
    <w:rsid w:val="00100F76"/>
    <w:rsid w:val="0010148E"/>
    <w:rsid w:val="0010185D"/>
    <w:rsid w:val="001018BB"/>
    <w:rsid w:val="00101A31"/>
    <w:rsid w:val="00101C2A"/>
    <w:rsid w:val="0010253C"/>
    <w:rsid w:val="0010288A"/>
    <w:rsid w:val="00102BD1"/>
    <w:rsid w:val="00103038"/>
    <w:rsid w:val="001031A6"/>
    <w:rsid w:val="001038BF"/>
    <w:rsid w:val="0010403D"/>
    <w:rsid w:val="001042F0"/>
    <w:rsid w:val="0010486A"/>
    <w:rsid w:val="00104C82"/>
    <w:rsid w:val="001052D9"/>
    <w:rsid w:val="0010561C"/>
    <w:rsid w:val="00105688"/>
    <w:rsid w:val="00105928"/>
    <w:rsid w:val="00105C0F"/>
    <w:rsid w:val="00105D90"/>
    <w:rsid w:val="00105E39"/>
    <w:rsid w:val="00106212"/>
    <w:rsid w:val="00106561"/>
    <w:rsid w:val="0010692F"/>
    <w:rsid w:val="00106D63"/>
    <w:rsid w:val="00106DB0"/>
    <w:rsid w:val="00107443"/>
    <w:rsid w:val="0010746B"/>
    <w:rsid w:val="001075F3"/>
    <w:rsid w:val="00107741"/>
    <w:rsid w:val="001079AF"/>
    <w:rsid w:val="00107A01"/>
    <w:rsid w:val="00107C23"/>
    <w:rsid w:val="00107F1B"/>
    <w:rsid w:val="001102B5"/>
    <w:rsid w:val="00110307"/>
    <w:rsid w:val="0011070F"/>
    <w:rsid w:val="001107D7"/>
    <w:rsid w:val="001108AE"/>
    <w:rsid w:val="00110B24"/>
    <w:rsid w:val="00110C50"/>
    <w:rsid w:val="00110C7F"/>
    <w:rsid w:val="00110D9A"/>
    <w:rsid w:val="00110EE2"/>
    <w:rsid w:val="00111A7A"/>
    <w:rsid w:val="00111A88"/>
    <w:rsid w:val="00111E17"/>
    <w:rsid w:val="00111F2B"/>
    <w:rsid w:val="0011219A"/>
    <w:rsid w:val="0011221A"/>
    <w:rsid w:val="00112B2E"/>
    <w:rsid w:val="00113283"/>
    <w:rsid w:val="001137AE"/>
    <w:rsid w:val="0011392C"/>
    <w:rsid w:val="00113B20"/>
    <w:rsid w:val="00113DA7"/>
    <w:rsid w:val="001147B3"/>
    <w:rsid w:val="001148F7"/>
    <w:rsid w:val="001149B2"/>
    <w:rsid w:val="00114C2D"/>
    <w:rsid w:val="00115125"/>
    <w:rsid w:val="001152F2"/>
    <w:rsid w:val="00115602"/>
    <w:rsid w:val="001157D7"/>
    <w:rsid w:val="00115BB2"/>
    <w:rsid w:val="00115EAE"/>
    <w:rsid w:val="00115EFA"/>
    <w:rsid w:val="00116382"/>
    <w:rsid w:val="00116484"/>
    <w:rsid w:val="00116724"/>
    <w:rsid w:val="00116ACF"/>
    <w:rsid w:val="00116D5C"/>
    <w:rsid w:val="00116D6F"/>
    <w:rsid w:val="001172B2"/>
    <w:rsid w:val="00117479"/>
    <w:rsid w:val="001174C2"/>
    <w:rsid w:val="00117F9B"/>
    <w:rsid w:val="001201AD"/>
    <w:rsid w:val="0012049C"/>
    <w:rsid w:val="001205A9"/>
    <w:rsid w:val="00121190"/>
    <w:rsid w:val="00121211"/>
    <w:rsid w:val="00121628"/>
    <w:rsid w:val="0012167D"/>
    <w:rsid w:val="001219F7"/>
    <w:rsid w:val="00121E18"/>
    <w:rsid w:val="00121FDB"/>
    <w:rsid w:val="00122189"/>
    <w:rsid w:val="00122280"/>
    <w:rsid w:val="001225E0"/>
    <w:rsid w:val="00122D42"/>
    <w:rsid w:val="00123345"/>
    <w:rsid w:val="001236CC"/>
    <w:rsid w:val="00123C46"/>
    <w:rsid w:val="00124064"/>
    <w:rsid w:val="00124247"/>
    <w:rsid w:val="00124282"/>
    <w:rsid w:val="0012470B"/>
    <w:rsid w:val="001249DB"/>
    <w:rsid w:val="00124A7A"/>
    <w:rsid w:val="001254D2"/>
    <w:rsid w:val="00125739"/>
    <w:rsid w:val="00125825"/>
    <w:rsid w:val="00125AD3"/>
    <w:rsid w:val="00125C75"/>
    <w:rsid w:val="00125C7E"/>
    <w:rsid w:val="00126E2A"/>
    <w:rsid w:val="0012721F"/>
    <w:rsid w:val="00127945"/>
    <w:rsid w:val="00127D94"/>
    <w:rsid w:val="00127E90"/>
    <w:rsid w:val="001302C1"/>
    <w:rsid w:val="001306D3"/>
    <w:rsid w:val="0013077A"/>
    <w:rsid w:val="00130A41"/>
    <w:rsid w:val="00130B64"/>
    <w:rsid w:val="00130BF2"/>
    <w:rsid w:val="001310BF"/>
    <w:rsid w:val="001324E1"/>
    <w:rsid w:val="001327C9"/>
    <w:rsid w:val="00132EF6"/>
    <w:rsid w:val="0013337C"/>
    <w:rsid w:val="0013344A"/>
    <w:rsid w:val="00133E73"/>
    <w:rsid w:val="00133FDB"/>
    <w:rsid w:val="00134F4A"/>
    <w:rsid w:val="001351CB"/>
    <w:rsid w:val="001353FC"/>
    <w:rsid w:val="00135546"/>
    <w:rsid w:val="00135E4E"/>
    <w:rsid w:val="00135E68"/>
    <w:rsid w:val="00135E95"/>
    <w:rsid w:val="0013615D"/>
    <w:rsid w:val="00136246"/>
    <w:rsid w:val="001364D4"/>
    <w:rsid w:val="0013651A"/>
    <w:rsid w:val="00136A19"/>
    <w:rsid w:val="001371C8"/>
    <w:rsid w:val="001372ED"/>
    <w:rsid w:val="001379C1"/>
    <w:rsid w:val="00137E94"/>
    <w:rsid w:val="00140133"/>
    <w:rsid w:val="001406F3"/>
    <w:rsid w:val="00140BD4"/>
    <w:rsid w:val="00140FEF"/>
    <w:rsid w:val="00141310"/>
    <w:rsid w:val="00141474"/>
    <w:rsid w:val="00141B6D"/>
    <w:rsid w:val="00141EAD"/>
    <w:rsid w:val="0014238A"/>
    <w:rsid w:val="0014244F"/>
    <w:rsid w:val="001427F0"/>
    <w:rsid w:val="00142988"/>
    <w:rsid w:val="00142B50"/>
    <w:rsid w:val="001435EE"/>
    <w:rsid w:val="0014367A"/>
    <w:rsid w:val="00143761"/>
    <w:rsid w:val="00143873"/>
    <w:rsid w:val="001439E9"/>
    <w:rsid w:val="00143AA4"/>
    <w:rsid w:val="00143C55"/>
    <w:rsid w:val="00143E8A"/>
    <w:rsid w:val="001442E3"/>
    <w:rsid w:val="001443FE"/>
    <w:rsid w:val="001447D5"/>
    <w:rsid w:val="00144AA7"/>
    <w:rsid w:val="00144C6F"/>
    <w:rsid w:val="00145089"/>
    <w:rsid w:val="001451E7"/>
    <w:rsid w:val="0014572D"/>
    <w:rsid w:val="0014574E"/>
    <w:rsid w:val="0014583F"/>
    <w:rsid w:val="0014586C"/>
    <w:rsid w:val="00145E7A"/>
    <w:rsid w:val="001462E3"/>
    <w:rsid w:val="0014642D"/>
    <w:rsid w:val="00146F16"/>
    <w:rsid w:val="0014720C"/>
    <w:rsid w:val="001472C2"/>
    <w:rsid w:val="001473BE"/>
    <w:rsid w:val="00147458"/>
    <w:rsid w:val="001476A9"/>
    <w:rsid w:val="001478E8"/>
    <w:rsid w:val="00147A9C"/>
    <w:rsid w:val="00147E21"/>
    <w:rsid w:val="00150BA8"/>
    <w:rsid w:val="00150C33"/>
    <w:rsid w:val="00150D19"/>
    <w:rsid w:val="00151234"/>
    <w:rsid w:val="00151471"/>
    <w:rsid w:val="0015171B"/>
    <w:rsid w:val="0015181A"/>
    <w:rsid w:val="0015181B"/>
    <w:rsid w:val="00151849"/>
    <w:rsid w:val="00151A9F"/>
    <w:rsid w:val="00151CA3"/>
    <w:rsid w:val="00152399"/>
    <w:rsid w:val="001524EB"/>
    <w:rsid w:val="00152622"/>
    <w:rsid w:val="00152B87"/>
    <w:rsid w:val="00152F62"/>
    <w:rsid w:val="0015336D"/>
    <w:rsid w:val="001534A9"/>
    <w:rsid w:val="00153A96"/>
    <w:rsid w:val="00153D1C"/>
    <w:rsid w:val="00153D72"/>
    <w:rsid w:val="00153D88"/>
    <w:rsid w:val="00153FA7"/>
    <w:rsid w:val="001543E2"/>
    <w:rsid w:val="001545CB"/>
    <w:rsid w:val="00154BAE"/>
    <w:rsid w:val="00155172"/>
    <w:rsid w:val="001551E5"/>
    <w:rsid w:val="001554EF"/>
    <w:rsid w:val="00155B43"/>
    <w:rsid w:val="001563B6"/>
    <w:rsid w:val="001565A2"/>
    <w:rsid w:val="001567C3"/>
    <w:rsid w:val="00156A12"/>
    <w:rsid w:val="00156A3C"/>
    <w:rsid w:val="00156D62"/>
    <w:rsid w:val="00156DD0"/>
    <w:rsid w:val="00156F34"/>
    <w:rsid w:val="0015791C"/>
    <w:rsid w:val="00157B3F"/>
    <w:rsid w:val="00157D10"/>
    <w:rsid w:val="00157D59"/>
    <w:rsid w:val="00157DEB"/>
    <w:rsid w:val="00157E93"/>
    <w:rsid w:val="00157F8A"/>
    <w:rsid w:val="001603FC"/>
    <w:rsid w:val="00160A0C"/>
    <w:rsid w:val="00160C11"/>
    <w:rsid w:val="00160C3D"/>
    <w:rsid w:val="00160E7C"/>
    <w:rsid w:val="00160EDA"/>
    <w:rsid w:val="001612A0"/>
    <w:rsid w:val="00161867"/>
    <w:rsid w:val="001618C1"/>
    <w:rsid w:val="00161A8B"/>
    <w:rsid w:val="00161B24"/>
    <w:rsid w:val="00161C41"/>
    <w:rsid w:val="00161DD5"/>
    <w:rsid w:val="00162E9A"/>
    <w:rsid w:val="001633A4"/>
    <w:rsid w:val="001634D6"/>
    <w:rsid w:val="001637B4"/>
    <w:rsid w:val="00163831"/>
    <w:rsid w:val="00163898"/>
    <w:rsid w:val="001638DA"/>
    <w:rsid w:val="00163A35"/>
    <w:rsid w:val="0016442D"/>
    <w:rsid w:val="001644FE"/>
    <w:rsid w:val="001648DD"/>
    <w:rsid w:val="001650AB"/>
    <w:rsid w:val="00165705"/>
    <w:rsid w:val="00165CB9"/>
    <w:rsid w:val="00165FBE"/>
    <w:rsid w:val="00166389"/>
    <w:rsid w:val="001666EA"/>
    <w:rsid w:val="001667D6"/>
    <w:rsid w:val="00166E03"/>
    <w:rsid w:val="00167114"/>
    <w:rsid w:val="001675B3"/>
    <w:rsid w:val="001676B8"/>
    <w:rsid w:val="00167721"/>
    <w:rsid w:val="00167E4C"/>
    <w:rsid w:val="00167E7F"/>
    <w:rsid w:val="00171449"/>
    <w:rsid w:val="0017199C"/>
    <w:rsid w:val="00171C7E"/>
    <w:rsid w:val="00171F35"/>
    <w:rsid w:val="001721C7"/>
    <w:rsid w:val="001722F3"/>
    <w:rsid w:val="00172552"/>
    <w:rsid w:val="00172873"/>
    <w:rsid w:val="0017287B"/>
    <w:rsid w:val="00172CF7"/>
    <w:rsid w:val="0017319E"/>
    <w:rsid w:val="001733D2"/>
    <w:rsid w:val="001735FF"/>
    <w:rsid w:val="001738F9"/>
    <w:rsid w:val="00173A1F"/>
    <w:rsid w:val="00173BC3"/>
    <w:rsid w:val="00173D14"/>
    <w:rsid w:val="00173D8D"/>
    <w:rsid w:val="00174128"/>
    <w:rsid w:val="00175589"/>
    <w:rsid w:val="00175614"/>
    <w:rsid w:val="00175C34"/>
    <w:rsid w:val="00175F9A"/>
    <w:rsid w:val="00176368"/>
    <w:rsid w:val="00176738"/>
    <w:rsid w:val="00176BA0"/>
    <w:rsid w:val="00176CE3"/>
    <w:rsid w:val="00176E98"/>
    <w:rsid w:val="00176FB0"/>
    <w:rsid w:val="00177147"/>
    <w:rsid w:val="001774F8"/>
    <w:rsid w:val="00177535"/>
    <w:rsid w:val="0017798D"/>
    <w:rsid w:val="00177996"/>
    <w:rsid w:val="00177F56"/>
    <w:rsid w:val="00180B3F"/>
    <w:rsid w:val="00180C83"/>
    <w:rsid w:val="00180CE5"/>
    <w:rsid w:val="00180DFA"/>
    <w:rsid w:val="00180EE3"/>
    <w:rsid w:val="0018118C"/>
    <w:rsid w:val="001813F8"/>
    <w:rsid w:val="001814E7"/>
    <w:rsid w:val="00181609"/>
    <w:rsid w:val="0018175B"/>
    <w:rsid w:val="0018187B"/>
    <w:rsid w:val="001818C3"/>
    <w:rsid w:val="00181E02"/>
    <w:rsid w:val="00181F60"/>
    <w:rsid w:val="001820A3"/>
    <w:rsid w:val="001825FF"/>
    <w:rsid w:val="00182640"/>
    <w:rsid w:val="00182774"/>
    <w:rsid w:val="0018332A"/>
    <w:rsid w:val="00183C08"/>
    <w:rsid w:val="00183D80"/>
    <w:rsid w:val="001842C8"/>
    <w:rsid w:val="00184BE9"/>
    <w:rsid w:val="00185044"/>
    <w:rsid w:val="001850DB"/>
    <w:rsid w:val="001852F6"/>
    <w:rsid w:val="001852F8"/>
    <w:rsid w:val="00185525"/>
    <w:rsid w:val="001855A0"/>
    <w:rsid w:val="00185617"/>
    <w:rsid w:val="0018599C"/>
    <w:rsid w:val="00185E64"/>
    <w:rsid w:val="00186525"/>
    <w:rsid w:val="0018662C"/>
    <w:rsid w:val="001869EE"/>
    <w:rsid w:val="00186D00"/>
    <w:rsid w:val="0018743A"/>
    <w:rsid w:val="0018745B"/>
    <w:rsid w:val="00187D92"/>
    <w:rsid w:val="0019045D"/>
    <w:rsid w:val="00190A57"/>
    <w:rsid w:val="00190A82"/>
    <w:rsid w:val="00190B3F"/>
    <w:rsid w:val="00190C37"/>
    <w:rsid w:val="00190C59"/>
    <w:rsid w:val="00190D16"/>
    <w:rsid w:val="0019122C"/>
    <w:rsid w:val="00191908"/>
    <w:rsid w:val="001919C3"/>
    <w:rsid w:val="00191EB2"/>
    <w:rsid w:val="0019209D"/>
    <w:rsid w:val="001929F8"/>
    <w:rsid w:val="00192C29"/>
    <w:rsid w:val="00192DF3"/>
    <w:rsid w:val="0019301F"/>
    <w:rsid w:val="00193286"/>
    <w:rsid w:val="00193770"/>
    <w:rsid w:val="001937B8"/>
    <w:rsid w:val="00193CF1"/>
    <w:rsid w:val="00193E4B"/>
    <w:rsid w:val="00193EEA"/>
    <w:rsid w:val="00194091"/>
    <w:rsid w:val="001949EB"/>
    <w:rsid w:val="00194BB7"/>
    <w:rsid w:val="00194CC5"/>
    <w:rsid w:val="001951B2"/>
    <w:rsid w:val="001953C9"/>
    <w:rsid w:val="0019565D"/>
    <w:rsid w:val="00195A51"/>
    <w:rsid w:val="00195F58"/>
    <w:rsid w:val="00196358"/>
    <w:rsid w:val="0019654E"/>
    <w:rsid w:val="001965B9"/>
    <w:rsid w:val="00197564"/>
    <w:rsid w:val="001976E7"/>
    <w:rsid w:val="001979F8"/>
    <w:rsid w:val="00197C89"/>
    <w:rsid w:val="00197EC2"/>
    <w:rsid w:val="00197ECE"/>
    <w:rsid w:val="001A01A4"/>
    <w:rsid w:val="001A128B"/>
    <w:rsid w:val="001A1345"/>
    <w:rsid w:val="001A17A4"/>
    <w:rsid w:val="001A1849"/>
    <w:rsid w:val="001A19CB"/>
    <w:rsid w:val="001A1A17"/>
    <w:rsid w:val="001A1C8F"/>
    <w:rsid w:val="001A1CED"/>
    <w:rsid w:val="001A2004"/>
    <w:rsid w:val="001A201E"/>
    <w:rsid w:val="001A2326"/>
    <w:rsid w:val="001A24D2"/>
    <w:rsid w:val="001A2730"/>
    <w:rsid w:val="001A279B"/>
    <w:rsid w:val="001A2B6F"/>
    <w:rsid w:val="001A2BB5"/>
    <w:rsid w:val="001A2DC3"/>
    <w:rsid w:val="001A2E87"/>
    <w:rsid w:val="001A300A"/>
    <w:rsid w:val="001A33F8"/>
    <w:rsid w:val="001A3869"/>
    <w:rsid w:val="001A38C2"/>
    <w:rsid w:val="001A3A3A"/>
    <w:rsid w:val="001A40BA"/>
    <w:rsid w:val="001A423E"/>
    <w:rsid w:val="001A4290"/>
    <w:rsid w:val="001A4428"/>
    <w:rsid w:val="001A444D"/>
    <w:rsid w:val="001A457D"/>
    <w:rsid w:val="001A46A7"/>
    <w:rsid w:val="001A4727"/>
    <w:rsid w:val="001A4CE6"/>
    <w:rsid w:val="001A50A2"/>
    <w:rsid w:val="001A512B"/>
    <w:rsid w:val="001A5501"/>
    <w:rsid w:val="001A57A2"/>
    <w:rsid w:val="001A5B3D"/>
    <w:rsid w:val="001A5B98"/>
    <w:rsid w:val="001A60D7"/>
    <w:rsid w:val="001A6306"/>
    <w:rsid w:val="001A6339"/>
    <w:rsid w:val="001A63AC"/>
    <w:rsid w:val="001A65C8"/>
    <w:rsid w:val="001A6F34"/>
    <w:rsid w:val="001A732E"/>
    <w:rsid w:val="001A734D"/>
    <w:rsid w:val="001A78C9"/>
    <w:rsid w:val="001A7D4D"/>
    <w:rsid w:val="001A7F30"/>
    <w:rsid w:val="001B02D0"/>
    <w:rsid w:val="001B0572"/>
    <w:rsid w:val="001B06E2"/>
    <w:rsid w:val="001B07E7"/>
    <w:rsid w:val="001B0C2C"/>
    <w:rsid w:val="001B0E71"/>
    <w:rsid w:val="001B0F83"/>
    <w:rsid w:val="001B103A"/>
    <w:rsid w:val="001B103D"/>
    <w:rsid w:val="001B10ED"/>
    <w:rsid w:val="001B1513"/>
    <w:rsid w:val="001B1767"/>
    <w:rsid w:val="001B21B8"/>
    <w:rsid w:val="001B2453"/>
    <w:rsid w:val="001B25F4"/>
    <w:rsid w:val="001B3138"/>
    <w:rsid w:val="001B3CB3"/>
    <w:rsid w:val="001B3D48"/>
    <w:rsid w:val="001B3FDB"/>
    <w:rsid w:val="001B41C2"/>
    <w:rsid w:val="001B43DD"/>
    <w:rsid w:val="001B4672"/>
    <w:rsid w:val="001B48D4"/>
    <w:rsid w:val="001B496C"/>
    <w:rsid w:val="001B5A9D"/>
    <w:rsid w:val="001B5AF9"/>
    <w:rsid w:val="001B62E4"/>
    <w:rsid w:val="001B6600"/>
    <w:rsid w:val="001B684A"/>
    <w:rsid w:val="001B6B9B"/>
    <w:rsid w:val="001B6C27"/>
    <w:rsid w:val="001B7144"/>
    <w:rsid w:val="001B7292"/>
    <w:rsid w:val="001B7647"/>
    <w:rsid w:val="001B767F"/>
    <w:rsid w:val="001B7E91"/>
    <w:rsid w:val="001B7F57"/>
    <w:rsid w:val="001C0964"/>
    <w:rsid w:val="001C0E99"/>
    <w:rsid w:val="001C10A1"/>
    <w:rsid w:val="001C1396"/>
    <w:rsid w:val="001C13C7"/>
    <w:rsid w:val="001C147E"/>
    <w:rsid w:val="001C151B"/>
    <w:rsid w:val="001C1549"/>
    <w:rsid w:val="001C15CB"/>
    <w:rsid w:val="001C19E5"/>
    <w:rsid w:val="001C1AF7"/>
    <w:rsid w:val="001C1DBC"/>
    <w:rsid w:val="001C21D8"/>
    <w:rsid w:val="001C2694"/>
    <w:rsid w:val="001C283D"/>
    <w:rsid w:val="001C2CB5"/>
    <w:rsid w:val="001C321A"/>
    <w:rsid w:val="001C3666"/>
    <w:rsid w:val="001C3800"/>
    <w:rsid w:val="001C3C7B"/>
    <w:rsid w:val="001C47AE"/>
    <w:rsid w:val="001C48B2"/>
    <w:rsid w:val="001C4C75"/>
    <w:rsid w:val="001C4F09"/>
    <w:rsid w:val="001C4FAA"/>
    <w:rsid w:val="001C5758"/>
    <w:rsid w:val="001C6030"/>
    <w:rsid w:val="001C6122"/>
    <w:rsid w:val="001C63D4"/>
    <w:rsid w:val="001C6587"/>
    <w:rsid w:val="001C663C"/>
    <w:rsid w:val="001C69BE"/>
    <w:rsid w:val="001C6D3F"/>
    <w:rsid w:val="001C6D90"/>
    <w:rsid w:val="001C6DB5"/>
    <w:rsid w:val="001C6F08"/>
    <w:rsid w:val="001C71AC"/>
    <w:rsid w:val="001C728D"/>
    <w:rsid w:val="001C7316"/>
    <w:rsid w:val="001C74D6"/>
    <w:rsid w:val="001C772B"/>
    <w:rsid w:val="001C786D"/>
    <w:rsid w:val="001C7E5C"/>
    <w:rsid w:val="001C7EB8"/>
    <w:rsid w:val="001D00CC"/>
    <w:rsid w:val="001D02B8"/>
    <w:rsid w:val="001D0494"/>
    <w:rsid w:val="001D07B7"/>
    <w:rsid w:val="001D0BF4"/>
    <w:rsid w:val="001D1719"/>
    <w:rsid w:val="001D171B"/>
    <w:rsid w:val="001D1732"/>
    <w:rsid w:val="001D1979"/>
    <w:rsid w:val="001D1E2E"/>
    <w:rsid w:val="001D1E8D"/>
    <w:rsid w:val="001D2203"/>
    <w:rsid w:val="001D255C"/>
    <w:rsid w:val="001D2788"/>
    <w:rsid w:val="001D27A7"/>
    <w:rsid w:val="001D2971"/>
    <w:rsid w:val="001D2D8F"/>
    <w:rsid w:val="001D2DEF"/>
    <w:rsid w:val="001D30BB"/>
    <w:rsid w:val="001D32D6"/>
    <w:rsid w:val="001D358A"/>
    <w:rsid w:val="001D425C"/>
    <w:rsid w:val="001D477C"/>
    <w:rsid w:val="001D488C"/>
    <w:rsid w:val="001D4CDF"/>
    <w:rsid w:val="001D4F88"/>
    <w:rsid w:val="001D513B"/>
    <w:rsid w:val="001D525A"/>
    <w:rsid w:val="001D578D"/>
    <w:rsid w:val="001D5818"/>
    <w:rsid w:val="001D5A6E"/>
    <w:rsid w:val="001D5B43"/>
    <w:rsid w:val="001D5C3B"/>
    <w:rsid w:val="001D6288"/>
    <w:rsid w:val="001D653A"/>
    <w:rsid w:val="001D676F"/>
    <w:rsid w:val="001D6A11"/>
    <w:rsid w:val="001D6BC5"/>
    <w:rsid w:val="001D6D89"/>
    <w:rsid w:val="001D6F38"/>
    <w:rsid w:val="001D7793"/>
    <w:rsid w:val="001D7DBA"/>
    <w:rsid w:val="001D7DEE"/>
    <w:rsid w:val="001D7F5D"/>
    <w:rsid w:val="001E02CB"/>
    <w:rsid w:val="001E0876"/>
    <w:rsid w:val="001E0C6A"/>
    <w:rsid w:val="001E0F22"/>
    <w:rsid w:val="001E14FD"/>
    <w:rsid w:val="001E180F"/>
    <w:rsid w:val="001E1A02"/>
    <w:rsid w:val="001E1BFD"/>
    <w:rsid w:val="001E1C64"/>
    <w:rsid w:val="001E1CEC"/>
    <w:rsid w:val="001E1E18"/>
    <w:rsid w:val="001E2319"/>
    <w:rsid w:val="001E2852"/>
    <w:rsid w:val="001E2ECB"/>
    <w:rsid w:val="001E2F5C"/>
    <w:rsid w:val="001E3543"/>
    <w:rsid w:val="001E3985"/>
    <w:rsid w:val="001E3A7A"/>
    <w:rsid w:val="001E3BCC"/>
    <w:rsid w:val="001E3ECB"/>
    <w:rsid w:val="001E3F89"/>
    <w:rsid w:val="001E4A79"/>
    <w:rsid w:val="001E4B64"/>
    <w:rsid w:val="001E4BCD"/>
    <w:rsid w:val="001E5088"/>
    <w:rsid w:val="001E5263"/>
    <w:rsid w:val="001E5403"/>
    <w:rsid w:val="001E5512"/>
    <w:rsid w:val="001E552A"/>
    <w:rsid w:val="001E55E4"/>
    <w:rsid w:val="001E56DB"/>
    <w:rsid w:val="001E57B9"/>
    <w:rsid w:val="001E58FE"/>
    <w:rsid w:val="001E5A3D"/>
    <w:rsid w:val="001E5A8B"/>
    <w:rsid w:val="001E5AC2"/>
    <w:rsid w:val="001E5FF3"/>
    <w:rsid w:val="001E6321"/>
    <w:rsid w:val="001E6336"/>
    <w:rsid w:val="001E6852"/>
    <w:rsid w:val="001E6E8D"/>
    <w:rsid w:val="001E7637"/>
    <w:rsid w:val="001E79FC"/>
    <w:rsid w:val="001E7D25"/>
    <w:rsid w:val="001E7EE4"/>
    <w:rsid w:val="001E7F2C"/>
    <w:rsid w:val="001E7F76"/>
    <w:rsid w:val="001F00D3"/>
    <w:rsid w:val="001F0676"/>
    <w:rsid w:val="001F0E65"/>
    <w:rsid w:val="001F0E9F"/>
    <w:rsid w:val="001F0FAF"/>
    <w:rsid w:val="001F139F"/>
    <w:rsid w:val="001F13EA"/>
    <w:rsid w:val="001F1638"/>
    <w:rsid w:val="001F1789"/>
    <w:rsid w:val="001F1C1D"/>
    <w:rsid w:val="001F1F72"/>
    <w:rsid w:val="001F21F4"/>
    <w:rsid w:val="001F2805"/>
    <w:rsid w:val="001F2813"/>
    <w:rsid w:val="001F2870"/>
    <w:rsid w:val="001F2B77"/>
    <w:rsid w:val="001F2E79"/>
    <w:rsid w:val="001F2F07"/>
    <w:rsid w:val="001F3123"/>
    <w:rsid w:val="001F376D"/>
    <w:rsid w:val="001F3A09"/>
    <w:rsid w:val="001F3A1B"/>
    <w:rsid w:val="001F3C52"/>
    <w:rsid w:val="001F418C"/>
    <w:rsid w:val="001F45AA"/>
    <w:rsid w:val="001F473A"/>
    <w:rsid w:val="001F4B2D"/>
    <w:rsid w:val="001F4BEC"/>
    <w:rsid w:val="001F4F40"/>
    <w:rsid w:val="001F4FA7"/>
    <w:rsid w:val="001F50E0"/>
    <w:rsid w:val="001F594C"/>
    <w:rsid w:val="001F5966"/>
    <w:rsid w:val="001F5A35"/>
    <w:rsid w:val="001F5E2D"/>
    <w:rsid w:val="001F6486"/>
    <w:rsid w:val="001F68A0"/>
    <w:rsid w:val="001F69FC"/>
    <w:rsid w:val="001F6C65"/>
    <w:rsid w:val="001F6C6F"/>
    <w:rsid w:val="001F6D62"/>
    <w:rsid w:val="001F7180"/>
    <w:rsid w:val="001F762A"/>
    <w:rsid w:val="001F7675"/>
    <w:rsid w:val="001F78C3"/>
    <w:rsid w:val="001F7B99"/>
    <w:rsid w:val="0020021F"/>
    <w:rsid w:val="002004CF"/>
    <w:rsid w:val="0020061F"/>
    <w:rsid w:val="0020073C"/>
    <w:rsid w:val="0020076D"/>
    <w:rsid w:val="00200FAE"/>
    <w:rsid w:val="0020102D"/>
    <w:rsid w:val="002010E2"/>
    <w:rsid w:val="002014E9"/>
    <w:rsid w:val="002018BE"/>
    <w:rsid w:val="00201B73"/>
    <w:rsid w:val="00202228"/>
    <w:rsid w:val="002022D8"/>
    <w:rsid w:val="002024FE"/>
    <w:rsid w:val="00202517"/>
    <w:rsid w:val="00202ADB"/>
    <w:rsid w:val="00202BB7"/>
    <w:rsid w:val="00202F11"/>
    <w:rsid w:val="00203D87"/>
    <w:rsid w:val="00203F90"/>
    <w:rsid w:val="00204143"/>
    <w:rsid w:val="0020435B"/>
    <w:rsid w:val="00204366"/>
    <w:rsid w:val="00204533"/>
    <w:rsid w:val="00204698"/>
    <w:rsid w:val="002048F7"/>
    <w:rsid w:val="0020498B"/>
    <w:rsid w:val="0020498E"/>
    <w:rsid w:val="002049C7"/>
    <w:rsid w:val="00204D1D"/>
    <w:rsid w:val="00204E57"/>
    <w:rsid w:val="00204F2D"/>
    <w:rsid w:val="00205267"/>
    <w:rsid w:val="00205566"/>
    <w:rsid w:val="00205AE6"/>
    <w:rsid w:val="00205D9B"/>
    <w:rsid w:val="002063AA"/>
    <w:rsid w:val="002066D1"/>
    <w:rsid w:val="002067E3"/>
    <w:rsid w:val="00206E29"/>
    <w:rsid w:val="00206F06"/>
    <w:rsid w:val="00207139"/>
    <w:rsid w:val="002079A8"/>
    <w:rsid w:val="00207AEF"/>
    <w:rsid w:val="00207B11"/>
    <w:rsid w:val="00207EAD"/>
    <w:rsid w:val="00207F7A"/>
    <w:rsid w:val="0021039C"/>
    <w:rsid w:val="002104F2"/>
    <w:rsid w:val="00210549"/>
    <w:rsid w:val="0021069E"/>
    <w:rsid w:val="00210804"/>
    <w:rsid w:val="0021088F"/>
    <w:rsid w:val="00210F0A"/>
    <w:rsid w:val="002113FE"/>
    <w:rsid w:val="00211737"/>
    <w:rsid w:val="0021181B"/>
    <w:rsid w:val="00211DD1"/>
    <w:rsid w:val="00211FD0"/>
    <w:rsid w:val="0021230F"/>
    <w:rsid w:val="002123DC"/>
    <w:rsid w:val="002125B0"/>
    <w:rsid w:val="002125F6"/>
    <w:rsid w:val="002127E0"/>
    <w:rsid w:val="00212A82"/>
    <w:rsid w:val="00212A8C"/>
    <w:rsid w:val="00213410"/>
    <w:rsid w:val="0021387F"/>
    <w:rsid w:val="00214B1C"/>
    <w:rsid w:val="00214E2F"/>
    <w:rsid w:val="00214EA2"/>
    <w:rsid w:val="002152A0"/>
    <w:rsid w:val="002153DA"/>
    <w:rsid w:val="002160FA"/>
    <w:rsid w:val="0021618C"/>
    <w:rsid w:val="002165D8"/>
    <w:rsid w:val="00216638"/>
    <w:rsid w:val="002166DD"/>
    <w:rsid w:val="002168A2"/>
    <w:rsid w:val="00216AC3"/>
    <w:rsid w:val="00216CAE"/>
    <w:rsid w:val="002174BF"/>
    <w:rsid w:val="00217867"/>
    <w:rsid w:val="00217C77"/>
    <w:rsid w:val="00217EB5"/>
    <w:rsid w:val="0022000F"/>
    <w:rsid w:val="0022012C"/>
    <w:rsid w:val="002205E4"/>
    <w:rsid w:val="00220D67"/>
    <w:rsid w:val="00220DB8"/>
    <w:rsid w:val="00221063"/>
    <w:rsid w:val="002215F8"/>
    <w:rsid w:val="0022165E"/>
    <w:rsid w:val="00221DF9"/>
    <w:rsid w:val="00221F80"/>
    <w:rsid w:val="0022223B"/>
    <w:rsid w:val="0022245C"/>
    <w:rsid w:val="00222476"/>
    <w:rsid w:val="0022273A"/>
    <w:rsid w:val="002228D9"/>
    <w:rsid w:val="00222D28"/>
    <w:rsid w:val="0022321F"/>
    <w:rsid w:val="00223BF8"/>
    <w:rsid w:val="00223CF4"/>
    <w:rsid w:val="00224220"/>
    <w:rsid w:val="00224398"/>
    <w:rsid w:val="00224400"/>
    <w:rsid w:val="002244CE"/>
    <w:rsid w:val="00224A81"/>
    <w:rsid w:val="00224ADA"/>
    <w:rsid w:val="00224BFA"/>
    <w:rsid w:val="00224E91"/>
    <w:rsid w:val="00225094"/>
    <w:rsid w:val="00225494"/>
    <w:rsid w:val="00225B4C"/>
    <w:rsid w:val="00225E1E"/>
    <w:rsid w:val="002260D7"/>
    <w:rsid w:val="00226129"/>
    <w:rsid w:val="0022614D"/>
    <w:rsid w:val="002266DD"/>
    <w:rsid w:val="002267C9"/>
    <w:rsid w:val="00226A33"/>
    <w:rsid w:val="00226AA2"/>
    <w:rsid w:val="00227218"/>
    <w:rsid w:val="0022770A"/>
    <w:rsid w:val="00227BEE"/>
    <w:rsid w:val="00227FB4"/>
    <w:rsid w:val="0023039F"/>
    <w:rsid w:val="002304D4"/>
    <w:rsid w:val="0023057E"/>
    <w:rsid w:val="00231156"/>
    <w:rsid w:val="002311ED"/>
    <w:rsid w:val="002312BC"/>
    <w:rsid w:val="00231459"/>
    <w:rsid w:val="00231474"/>
    <w:rsid w:val="00231E2C"/>
    <w:rsid w:val="00231F4A"/>
    <w:rsid w:val="00232120"/>
    <w:rsid w:val="00232173"/>
    <w:rsid w:val="00232428"/>
    <w:rsid w:val="0023258C"/>
    <w:rsid w:val="0023298C"/>
    <w:rsid w:val="00232999"/>
    <w:rsid w:val="00232F10"/>
    <w:rsid w:val="00233031"/>
    <w:rsid w:val="0023311D"/>
    <w:rsid w:val="002334EB"/>
    <w:rsid w:val="00233766"/>
    <w:rsid w:val="002337E5"/>
    <w:rsid w:val="00233C06"/>
    <w:rsid w:val="00233F24"/>
    <w:rsid w:val="002345DB"/>
    <w:rsid w:val="00234BBB"/>
    <w:rsid w:val="002353CA"/>
    <w:rsid w:val="002356F4"/>
    <w:rsid w:val="00235A6A"/>
    <w:rsid w:val="00235ECC"/>
    <w:rsid w:val="00235F02"/>
    <w:rsid w:val="0023639B"/>
    <w:rsid w:val="00236D28"/>
    <w:rsid w:val="00236D2C"/>
    <w:rsid w:val="00236E3F"/>
    <w:rsid w:val="002372B3"/>
    <w:rsid w:val="00237469"/>
    <w:rsid w:val="00237949"/>
    <w:rsid w:val="00237FE4"/>
    <w:rsid w:val="00240656"/>
    <w:rsid w:val="00240790"/>
    <w:rsid w:val="002407FD"/>
    <w:rsid w:val="0024082D"/>
    <w:rsid w:val="00240A4A"/>
    <w:rsid w:val="00240CE8"/>
    <w:rsid w:val="00241610"/>
    <w:rsid w:val="00241AED"/>
    <w:rsid w:val="00241C26"/>
    <w:rsid w:val="00241F6E"/>
    <w:rsid w:val="00241FE0"/>
    <w:rsid w:val="002420A9"/>
    <w:rsid w:val="00242157"/>
    <w:rsid w:val="002426EC"/>
    <w:rsid w:val="00242B96"/>
    <w:rsid w:val="00242C22"/>
    <w:rsid w:val="00242C2A"/>
    <w:rsid w:val="00243182"/>
    <w:rsid w:val="00243342"/>
    <w:rsid w:val="00243507"/>
    <w:rsid w:val="00243527"/>
    <w:rsid w:val="002438E5"/>
    <w:rsid w:val="00243928"/>
    <w:rsid w:val="00243946"/>
    <w:rsid w:val="00243BC5"/>
    <w:rsid w:val="00243C7D"/>
    <w:rsid w:val="00243E9A"/>
    <w:rsid w:val="002440C3"/>
    <w:rsid w:val="00244371"/>
    <w:rsid w:val="002447D5"/>
    <w:rsid w:val="0024492B"/>
    <w:rsid w:val="00244AF8"/>
    <w:rsid w:val="00244BC5"/>
    <w:rsid w:val="00244C35"/>
    <w:rsid w:val="00244C38"/>
    <w:rsid w:val="00244E68"/>
    <w:rsid w:val="00245067"/>
    <w:rsid w:val="002456C5"/>
    <w:rsid w:val="00245ABE"/>
    <w:rsid w:val="00245C0B"/>
    <w:rsid w:val="00246064"/>
    <w:rsid w:val="00246955"/>
    <w:rsid w:val="00246A9E"/>
    <w:rsid w:val="00246EAE"/>
    <w:rsid w:val="00247116"/>
    <w:rsid w:val="002471E5"/>
    <w:rsid w:val="00247492"/>
    <w:rsid w:val="00247C8C"/>
    <w:rsid w:val="00247E88"/>
    <w:rsid w:val="00250B16"/>
    <w:rsid w:val="00250E43"/>
    <w:rsid w:val="00251223"/>
    <w:rsid w:val="002516A7"/>
    <w:rsid w:val="002517A8"/>
    <w:rsid w:val="00251B4C"/>
    <w:rsid w:val="00251EAE"/>
    <w:rsid w:val="00251EEE"/>
    <w:rsid w:val="0025232F"/>
    <w:rsid w:val="00252875"/>
    <w:rsid w:val="00252994"/>
    <w:rsid w:val="00252B4E"/>
    <w:rsid w:val="00252D12"/>
    <w:rsid w:val="00252F87"/>
    <w:rsid w:val="00253177"/>
    <w:rsid w:val="002538B8"/>
    <w:rsid w:val="0025396F"/>
    <w:rsid w:val="00253B21"/>
    <w:rsid w:val="0025408E"/>
    <w:rsid w:val="00254319"/>
    <w:rsid w:val="002546A4"/>
    <w:rsid w:val="002546F9"/>
    <w:rsid w:val="002548B7"/>
    <w:rsid w:val="002549E3"/>
    <w:rsid w:val="00254F14"/>
    <w:rsid w:val="0025539F"/>
    <w:rsid w:val="00255501"/>
    <w:rsid w:val="002558F4"/>
    <w:rsid w:val="00255E96"/>
    <w:rsid w:val="00256388"/>
    <w:rsid w:val="00256E44"/>
    <w:rsid w:val="00257109"/>
    <w:rsid w:val="00257426"/>
    <w:rsid w:val="00257748"/>
    <w:rsid w:val="00257863"/>
    <w:rsid w:val="00257C99"/>
    <w:rsid w:val="00257D4A"/>
    <w:rsid w:val="00257D8A"/>
    <w:rsid w:val="002601A6"/>
    <w:rsid w:val="002605BF"/>
    <w:rsid w:val="00260919"/>
    <w:rsid w:val="00260A4C"/>
    <w:rsid w:val="00260BA6"/>
    <w:rsid w:val="00260E0C"/>
    <w:rsid w:val="002612FD"/>
    <w:rsid w:val="002613DC"/>
    <w:rsid w:val="00261571"/>
    <w:rsid w:val="00261613"/>
    <w:rsid w:val="00261755"/>
    <w:rsid w:val="002617BB"/>
    <w:rsid w:val="002619B5"/>
    <w:rsid w:val="00261AAA"/>
    <w:rsid w:val="00261F81"/>
    <w:rsid w:val="00262036"/>
    <w:rsid w:val="00262097"/>
    <w:rsid w:val="00262099"/>
    <w:rsid w:val="002622F0"/>
    <w:rsid w:val="0026254A"/>
    <w:rsid w:val="0026276F"/>
    <w:rsid w:val="00262D20"/>
    <w:rsid w:val="0026329F"/>
    <w:rsid w:val="002634AB"/>
    <w:rsid w:val="002638E0"/>
    <w:rsid w:val="00263A06"/>
    <w:rsid w:val="00263C19"/>
    <w:rsid w:val="00263C95"/>
    <w:rsid w:val="00263E9F"/>
    <w:rsid w:val="002647CE"/>
    <w:rsid w:val="00264B8C"/>
    <w:rsid w:val="00264F03"/>
    <w:rsid w:val="00264F8F"/>
    <w:rsid w:val="002655AE"/>
    <w:rsid w:val="00265629"/>
    <w:rsid w:val="0026571C"/>
    <w:rsid w:val="0026591F"/>
    <w:rsid w:val="00265A65"/>
    <w:rsid w:val="002660F0"/>
    <w:rsid w:val="00266376"/>
    <w:rsid w:val="00266388"/>
    <w:rsid w:val="002665E2"/>
    <w:rsid w:val="0026683E"/>
    <w:rsid w:val="002673AF"/>
    <w:rsid w:val="002675B6"/>
    <w:rsid w:val="00267A99"/>
    <w:rsid w:val="00267F15"/>
    <w:rsid w:val="0027017B"/>
    <w:rsid w:val="00270271"/>
    <w:rsid w:val="00270646"/>
    <w:rsid w:val="002706D8"/>
    <w:rsid w:val="00271D15"/>
    <w:rsid w:val="00271EA6"/>
    <w:rsid w:val="00272174"/>
    <w:rsid w:val="002721A6"/>
    <w:rsid w:val="002722E0"/>
    <w:rsid w:val="00272BB5"/>
    <w:rsid w:val="002730EC"/>
    <w:rsid w:val="00273100"/>
    <w:rsid w:val="0027353E"/>
    <w:rsid w:val="002735CC"/>
    <w:rsid w:val="002738A5"/>
    <w:rsid w:val="0027390A"/>
    <w:rsid w:val="00274588"/>
    <w:rsid w:val="00274744"/>
    <w:rsid w:val="0027483E"/>
    <w:rsid w:val="00274A67"/>
    <w:rsid w:val="00274AA2"/>
    <w:rsid w:val="00274C59"/>
    <w:rsid w:val="00274D6E"/>
    <w:rsid w:val="00275317"/>
    <w:rsid w:val="002756C3"/>
    <w:rsid w:val="002756EF"/>
    <w:rsid w:val="00275708"/>
    <w:rsid w:val="00275DD2"/>
    <w:rsid w:val="00275DEB"/>
    <w:rsid w:val="00275E76"/>
    <w:rsid w:val="00275FBC"/>
    <w:rsid w:val="00276442"/>
    <w:rsid w:val="002764D1"/>
    <w:rsid w:val="002768CF"/>
    <w:rsid w:val="00276F82"/>
    <w:rsid w:val="002771B4"/>
    <w:rsid w:val="00277293"/>
    <w:rsid w:val="00277404"/>
    <w:rsid w:val="00277C52"/>
    <w:rsid w:val="00277D1F"/>
    <w:rsid w:val="00280150"/>
    <w:rsid w:val="00280335"/>
    <w:rsid w:val="002804F7"/>
    <w:rsid w:val="002805DF"/>
    <w:rsid w:val="002806FE"/>
    <w:rsid w:val="0028079A"/>
    <w:rsid w:val="0028084C"/>
    <w:rsid w:val="0028092D"/>
    <w:rsid w:val="002815D9"/>
    <w:rsid w:val="002821C2"/>
    <w:rsid w:val="00282317"/>
    <w:rsid w:val="002824B9"/>
    <w:rsid w:val="002825D4"/>
    <w:rsid w:val="00282A10"/>
    <w:rsid w:val="00282CBC"/>
    <w:rsid w:val="00282D25"/>
    <w:rsid w:val="00282DF9"/>
    <w:rsid w:val="0028311A"/>
    <w:rsid w:val="00283A44"/>
    <w:rsid w:val="00283B7F"/>
    <w:rsid w:val="00284106"/>
    <w:rsid w:val="0028452B"/>
    <w:rsid w:val="00284636"/>
    <w:rsid w:val="0028488F"/>
    <w:rsid w:val="00284949"/>
    <w:rsid w:val="00284AD6"/>
    <w:rsid w:val="00284B0B"/>
    <w:rsid w:val="00284D31"/>
    <w:rsid w:val="00285093"/>
    <w:rsid w:val="0028529F"/>
    <w:rsid w:val="00285687"/>
    <w:rsid w:val="00285E36"/>
    <w:rsid w:val="00286053"/>
    <w:rsid w:val="0028687F"/>
    <w:rsid w:val="00286896"/>
    <w:rsid w:val="00286997"/>
    <w:rsid w:val="00286B82"/>
    <w:rsid w:val="002872E1"/>
    <w:rsid w:val="00287649"/>
    <w:rsid w:val="00287867"/>
    <w:rsid w:val="00287BF1"/>
    <w:rsid w:val="00287DAB"/>
    <w:rsid w:val="00287FB6"/>
    <w:rsid w:val="00290086"/>
    <w:rsid w:val="002900C5"/>
    <w:rsid w:val="002901E0"/>
    <w:rsid w:val="0029073D"/>
    <w:rsid w:val="0029075B"/>
    <w:rsid w:val="00290BB1"/>
    <w:rsid w:val="00290DEF"/>
    <w:rsid w:val="00291BC1"/>
    <w:rsid w:val="00292A38"/>
    <w:rsid w:val="002932FE"/>
    <w:rsid w:val="002933CA"/>
    <w:rsid w:val="00293A8F"/>
    <w:rsid w:val="00294468"/>
    <w:rsid w:val="00294639"/>
    <w:rsid w:val="00294898"/>
    <w:rsid w:val="00295155"/>
    <w:rsid w:val="002954CA"/>
    <w:rsid w:val="002957E5"/>
    <w:rsid w:val="002958BD"/>
    <w:rsid w:val="00295929"/>
    <w:rsid w:val="00295B0E"/>
    <w:rsid w:val="00295D51"/>
    <w:rsid w:val="00296203"/>
    <w:rsid w:val="00296428"/>
    <w:rsid w:val="0029643D"/>
    <w:rsid w:val="002966E9"/>
    <w:rsid w:val="002969AF"/>
    <w:rsid w:val="0029706A"/>
    <w:rsid w:val="002972EE"/>
    <w:rsid w:val="002979A2"/>
    <w:rsid w:val="00297D58"/>
    <w:rsid w:val="00297F01"/>
    <w:rsid w:val="002A0036"/>
    <w:rsid w:val="002A0233"/>
    <w:rsid w:val="002A0287"/>
    <w:rsid w:val="002A052D"/>
    <w:rsid w:val="002A096B"/>
    <w:rsid w:val="002A0AF7"/>
    <w:rsid w:val="002A0DF8"/>
    <w:rsid w:val="002A1282"/>
    <w:rsid w:val="002A1508"/>
    <w:rsid w:val="002A1928"/>
    <w:rsid w:val="002A1A62"/>
    <w:rsid w:val="002A1BFA"/>
    <w:rsid w:val="002A1F1F"/>
    <w:rsid w:val="002A21B5"/>
    <w:rsid w:val="002A2631"/>
    <w:rsid w:val="002A285D"/>
    <w:rsid w:val="002A2A0C"/>
    <w:rsid w:val="002A2BB6"/>
    <w:rsid w:val="002A2E4B"/>
    <w:rsid w:val="002A30E0"/>
    <w:rsid w:val="002A310C"/>
    <w:rsid w:val="002A3521"/>
    <w:rsid w:val="002A357B"/>
    <w:rsid w:val="002A35C5"/>
    <w:rsid w:val="002A35E1"/>
    <w:rsid w:val="002A37D5"/>
    <w:rsid w:val="002A37E1"/>
    <w:rsid w:val="002A3B61"/>
    <w:rsid w:val="002A3B6F"/>
    <w:rsid w:val="002A402A"/>
    <w:rsid w:val="002A4047"/>
    <w:rsid w:val="002A4315"/>
    <w:rsid w:val="002A45AA"/>
    <w:rsid w:val="002A494E"/>
    <w:rsid w:val="002A4B0B"/>
    <w:rsid w:val="002A4B6F"/>
    <w:rsid w:val="002A4D96"/>
    <w:rsid w:val="002A4FFF"/>
    <w:rsid w:val="002A533C"/>
    <w:rsid w:val="002A53FF"/>
    <w:rsid w:val="002A56A4"/>
    <w:rsid w:val="002A56E1"/>
    <w:rsid w:val="002A59BD"/>
    <w:rsid w:val="002A5BCB"/>
    <w:rsid w:val="002A5DD1"/>
    <w:rsid w:val="002A6304"/>
    <w:rsid w:val="002A65F8"/>
    <w:rsid w:val="002A75CA"/>
    <w:rsid w:val="002A7691"/>
    <w:rsid w:val="002A7889"/>
    <w:rsid w:val="002A799A"/>
    <w:rsid w:val="002A7A56"/>
    <w:rsid w:val="002B0059"/>
    <w:rsid w:val="002B0065"/>
    <w:rsid w:val="002B097D"/>
    <w:rsid w:val="002B0BC7"/>
    <w:rsid w:val="002B0C14"/>
    <w:rsid w:val="002B0CE4"/>
    <w:rsid w:val="002B0CF9"/>
    <w:rsid w:val="002B0D41"/>
    <w:rsid w:val="002B11B2"/>
    <w:rsid w:val="002B18F7"/>
    <w:rsid w:val="002B287F"/>
    <w:rsid w:val="002B28EF"/>
    <w:rsid w:val="002B2F3C"/>
    <w:rsid w:val="002B31CF"/>
    <w:rsid w:val="002B368E"/>
    <w:rsid w:val="002B3B15"/>
    <w:rsid w:val="002B3B84"/>
    <w:rsid w:val="002B3C22"/>
    <w:rsid w:val="002B3D5D"/>
    <w:rsid w:val="002B3E8A"/>
    <w:rsid w:val="002B3ED7"/>
    <w:rsid w:val="002B3F5F"/>
    <w:rsid w:val="002B4778"/>
    <w:rsid w:val="002B4916"/>
    <w:rsid w:val="002B495E"/>
    <w:rsid w:val="002B4E41"/>
    <w:rsid w:val="002B52BE"/>
    <w:rsid w:val="002B5381"/>
    <w:rsid w:val="002B5700"/>
    <w:rsid w:val="002B5C13"/>
    <w:rsid w:val="002B5F86"/>
    <w:rsid w:val="002B5FA8"/>
    <w:rsid w:val="002B6AE0"/>
    <w:rsid w:val="002B7088"/>
    <w:rsid w:val="002B71EB"/>
    <w:rsid w:val="002B723C"/>
    <w:rsid w:val="002B74C6"/>
    <w:rsid w:val="002B75B2"/>
    <w:rsid w:val="002B76B5"/>
    <w:rsid w:val="002B79B7"/>
    <w:rsid w:val="002C06EE"/>
    <w:rsid w:val="002C0CA7"/>
    <w:rsid w:val="002C0CE7"/>
    <w:rsid w:val="002C13AD"/>
    <w:rsid w:val="002C141D"/>
    <w:rsid w:val="002C1778"/>
    <w:rsid w:val="002C1836"/>
    <w:rsid w:val="002C19C0"/>
    <w:rsid w:val="002C19DD"/>
    <w:rsid w:val="002C1EC5"/>
    <w:rsid w:val="002C2485"/>
    <w:rsid w:val="002C2581"/>
    <w:rsid w:val="002C25E0"/>
    <w:rsid w:val="002C2A2D"/>
    <w:rsid w:val="002C2BD9"/>
    <w:rsid w:val="002C2DA0"/>
    <w:rsid w:val="002C2EC4"/>
    <w:rsid w:val="002C300E"/>
    <w:rsid w:val="002C36C0"/>
    <w:rsid w:val="002C390F"/>
    <w:rsid w:val="002C3928"/>
    <w:rsid w:val="002C3B2B"/>
    <w:rsid w:val="002C3B33"/>
    <w:rsid w:val="002C3E78"/>
    <w:rsid w:val="002C3F9D"/>
    <w:rsid w:val="002C4158"/>
    <w:rsid w:val="002C435E"/>
    <w:rsid w:val="002C43BB"/>
    <w:rsid w:val="002C44AB"/>
    <w:rsid w:val="002C4689"/>
    <w:rsid w:val="002C49AE"/>
    <w:rsid w:val="002C4A0E"/>
    <w:rsid w:val="002C4DD5"/>
    <w:rsid w:val="002C5275"/>
    <w:rsid w:val="002C5B57"/>
    <w:rsid w:val="002C5E39"/>
    <w:rsid w:val="002C5E7D"/>
    <w:rsid w:val="002C5FA2"/>
    <w:rsid w:val="002C6754"/>
    <w:rsid w:val="002C6F56"/>
    <w:rsid w:val="002C6FF3"/>
    <w:rsid w:val="002C733A"/>
    <w:rsid w:val="002C7A02"/>
    <w:rsid w:val="002C7BD4"/>
    <w:rsid w:val="002C7DE5"/>
    <w:rsid w:val="002D00E4"/>
    <w:rsid w:val="002D0107"/>
    <w:rsid w:val="002D0165"/>
    <w:rsid w:val="002D0277"/>
    <w:rsid w:val="002D05DC"/>
    <w:rsid w:val="002D062E"/>
    <w:rsid w:val="002D0BA1"/>
    <w:rsid w:val="002D0D43"/>
    <w:rsid w:val="002D1100"/>
    <w:rsid w:val="002D15C2"/>
    <w:rsid w:val="002D2838"/>
    <w:rsid w:val="002D29CA"/>
    <w:rsid w:val="002D2B10"/>
    <w:rsid w:val="002D2D08"/>
    <w:rsid w:val="002D2D27"/>
    <w:rsid w:val="002D3331"/>
    <w:rsid w:val="002D3699"/>
    <w:rsid w:val="002D375B"/>
    <w:rsid w:val="002D3842"/>
    <w:rsid w:val="002D386A"/>
    <w:rsid w:val="002D3A65"/>
    <w:rsid w:val="002D4100"/>
    <w:rsid w:val="002D4255"/>
    <w:rsid w:val="002D4421"/>
    <w:rsid w:val="002D477F"/>
    <w:rsid w:val="002D492D"/>
    <w:rsid w:val="002D4EAE"/>
    <w:rsid w:val="002D4F48"/>
    <w:rsid w:val="002D4F74"/>
    <w:rsid w:val="002D505E"/>
    <w:rsid w:val="002D519B"/>
    <w:rsid w:val="002D5326"/>
    <w:rsid w:val="002D5F90"/>
    <w:rsid w:val="002D621E"/>
    <w:rsid w:val="002D629C"/>
    <w:rsid w:val="002D66D4"/>
    <w:rsid w:val="002D66DA"/>
    <w:rsid w:val="002D6A01"/>
    <w:rsid w:val="002D6BC2"/>
    <w:rsid w:val="002D6C26"/>
    <w:rsid w:val="002D6DB9"/>
    <w:rsid w:val="002D6F13"/>
    <w:rsid w:val="002D7027"/>
    <w:rsid w:val="002D70DC"/>
    <w:rsid w:val="002D70EC"/>
    <w:rsid w:val="002D70F4"/>
    <w:rsid w:val="002D758B"/>
    <w:rsid w:val="002D7717"/>
    <w:rsid w:val="002D79BC"/>
    <w:rsid w:val="002D7E58"/>
    <w:rsid w:val="002E0135"/>
    <w:rsid w:val="002E025D"/>
    <w:rsid w:val="002E06A6"/>
    <w:rsid w:val="002E0CE6"/>
    <w:rsid w:val="002E0D31"/>
    <w:rsid w:val="002E0EA7"/>
    <w:rsid w:val="002E0EFA"/>
    <w:rsid w:val="002E1073"/>
    <w:rsid w:val="002E11E7"/>
    <w:rsid w:val="002E12EC"/>
    <w:rsid w:val="002E146D"/>
    <w:rsid w:val="002E1803"/>
    <w:rsid w:val="002E1A8A"/>
    <w:rsid w:val="002E1AB2"/>
    <w:rsid w:val="002E1E9E"/>
    <w:rsid w:val="002E2361"/>
    <w:rsid w:val="002E24CC"/>
    <w:rsid w:val="002E272B"/>
    <w:rsid w:val="002E284E"/>
    <w:rsid w:val="002E29F8"/>
    <w:rsid w:val="002E2B1B"/>
    <w:rsid w:val="002E2C52"/>
    <w:rsid w:val="002E2D37"/>
    <w:rsid w:val="002E342B"/>
    <w:rsid w:val="002E3883"/>
    <w:rsid w:val="002E3923"/>
    <w:rsid w:val="002E3B81"/>
    <w:rsid w:val="002E3D08"/>
    <w:rsid w:val="002E3E1D"/>
    <w:rsid w:val="002E3EEA"/>
    <w:rsid w:val="002E4010"/>
    <w:rsid w:val="002E405D"/>
    <w:rsid w:val="002E4659"/>
    <w:rsid w:val="002E497D"/>
    <w:rsid w:val="002E4D08"/>
    <w:rsid w:val="002E4DA5"/>
    <w:rsid w:val="002E50C1"/>
    <w:rsid w:val="002E52B8"/>
    <w:rsid w:val="002E5323"/>
    <w:rsid w:val="002E5DBF"/>
    <w:rsid w:val="002E5E01"/>
    <w:rsid w:val="002E60F5"/>
    <w:rsid w:val="002E6176"/>
    <w:rsid w:val="002E6536"/>
    <w:rsid w:val="002E6643"/>
    <w:rsid w:val="002E6687"/>
    <w:rsid w:val="002E6992"/>
    <w:rsid w:val="002E69F5"/>
    <w:rsid w:val="002E69FC"/>
    <w:rsid w:val="002E6CAA"/>
    <w:rsid w:val="002E6F55"/>
    <w:rsid w:val="002E7133"/>
    <w:rsid w:val="002E72D4"/>
    <w:rsid w:val="002E732D"/>
    <w:rsid w:val="002E73EC"/>
    <w:rsid w:val="002E74E4"/>
    <w:rsid w:val="002E75B2"/>
    <w:rsid w:val="002E78B2"/>
    <w:rsid w:val="002E7AF2"/>
    <w:rsid w:val="002F023D"/>
    <w:rsid w:val="002F03FC"/>
    <w:rsid w:val="002F098D"/>
    <w:rsid w:val="002F0DC7"/>
    <w:rsid w:val="002F10EC"/>
    <w:rsid w:val="002F1118"/>
    <w:rsid w:val="002F1136"/>
    <w:rsid w:val="002F1231"/>
    <w:rsid w:val="002F13FF"/>
    <w:rsid w:val="002F1521"/>
    <w:rsid w:val="002F15EE"/>
    <w:rsid w:val="002F2C78"/>
    <w:rsid w:val="002F2D41"/>
    <w:rsid w:val="002F3343"/>
    <w:rsid w:val="002F353A"/>
    <w:rsid w:val="002F3632"/>
    <w:rsid w:val="002F39DB"/>
    <w:rsid w:val="002F3AFB"/>
    <w:rsid w:val="002F3C41"/>
    <w:rsid w:val="002F479E"/>
    <w:rsid w:val="002F4C8E"/>
    <w:rsid w:val="002F5076"/>
    <w:rsid w:val="002F5839"/>
    <w:rsid w:val="002F5B6F"/>
    <w:rsid w:val="002F5C29"/>
    <w:rsid w:val="002F5E4E"/>
    <w:rsid w:val="002F63BF"/>
    <w:rsid w:val="002F64D9"/>
    <w:rsid w:val="002F651D"/>
    <w:rsid w:val="002F6578"/>
    <w:rsid w:val="002F6648"/>
    <w:rsid w:val="002F67F7"/>
    <w:rsid w:val="002F6BDC"/>
    <w:rsid w:val="002F6E44"/>
    <w:rsid w:val="002F7297"/>
    <w:rsid w:val="002F74FD"/>
    <w:rsid w:val="002F787B"/>
    <w:rsid w:val="002F7974"/>
    <w:rsid w:val="002F7B74"/>
    <w:rsid w:val="002F7D01"/>
    <w:rsid w:val="0030005C"/>
    <w:rsid w:val="0030012C"/>
    <w:rsid w:val="00300369"/>
    <w:rsid w:val="0030061F"/>
    <w:rsid w:val="00300764"/>
    <w:rsid w:val="003011A7"/>
    <w:rsid w:val="003018DB"/>
    <w:rsid w:val="00301971"/>
    <w:rsid w:val="00301A2A"/>
    <w:rsid w:val="00301D0A"/>
    <w:rsid w:val="00301D51"/>
    <w:rsid w:val="00302072"/>
    <w:rsid w:val="00302079"/>
    <w:rsid w:val="0030247D"/>
    <w:rsid w:val="00302529"/>
    <w:rsid w:val="00302629"/>
    <w:rsid w:val="003027B8"/>
    <w:rsid w:val="00302803"/>
    <w:rsid w:val="00302858"/>
    <w:rsid w:val="0030293F"/>
    <w:rsid w:val="00302947"/>
    <w:rsid w:val="00302B2F"/>
    <w:rsid w:val="00302C50"/>
    <w:rsid w:val="003031C2"/>
    <w:rsid w:val="00303523"/>
    <w:rsid w:val="0030354F"/>
    <w:rsid w:val="00303680"/>
    <w:rsid w:val="00303861"/>
    <w:rsid w:val="003039C3"/>
    <w:rsid w:val="00303BE0"/>
    <w:rsid w:val="00303C21"/>
    <w:rsid w:val="00303CA6"/>
    <w:rsid w:val="00303E41"/>
    <w:rsid w:val="003049B1"/>
    <w:rsid w:val="003049E1"/>
    <w:rsid w:val="00304FB8"/>
    <w:rsid w:val="00304FFF"/>
    <w:rsid w:val="00305112"/>
    <w:rsid w:val="0030545F"/>
    <w:rsid w:val="00305557"/>
    <w:rsid w:val="0030561F"/>
    <w:rsid w:val="00305767"/>
    <w:rsid w:val="00305ABA"/>
    <w:rsid w:val="00305CA3"/>
    <w:rsid w:val="00305DA4"/>
    <w:rsid w:val="00306205"/>
    <w:rsid w:val="003063AE"/>
    <w:rsid w:val="00306788"/>
    <w:rsid w:val="00306B27"/>
    <w:rsid w:val="00306E5C"/>
    <w:rsid w:val="00307474"/>
    <w:rsid w:val="00307737"/>
    <w:rsid w:val="00307AF5"/>
    <w:rsid w:val="00307C0A"/>
    <w:rsid w:val="00307C19"/>
    <w:rsid w:val="00307DC8"/>
    <w:rsid w:val="00307E8B"/>
    <w:rsid w:val="003106B9"/>
    <w:rsid w:val="00310732"/>
    <w:rsid w:val="00310907"/>
    <w:rsid w:val="00310A67"/>
    <w:rsid w:val="00310BC9"/>
    <w:rsid w:val="00310D38"/>
    <w:rsid w:val="00310DEB"/>
    <w:rsid w:val="00311021"/>
    <w:rsid w:val="00311762"/>
    <w:rsid w:val="00311A41"/>
    <w:rsid w:val="00311C0F"/>
    <w:rsid w:val="00311C34"/>
    <w:rsid w:val="00311E98"/>
    <w:rsid w:val="00312097"/>
    <w:rsid w:val="00312215"/>
    <w:rsid w:val="0031249C"/>
    <w:rsid w:val="003125C3"/>
    <w:rsid w:val="00312896"/>
    <w:rsid w:val="00312DB8"/>
    <w:rsid w:val="00313170"/>
    <w:rsid w:val="0031378E"/>
    <w:rsid w:val="00313EAC"/>
    <w:rsid w:val="003142F4"/>
    <w:rsid w:val="003143C4"/>
    <w:rsid w:val="0031447C"/>
    <w:rsid w:val="0031454E"/>
    <w:rsid w:val="00315136"/>
    <w:rsid w:val="0031536F"/>
    <w:rsid w:val="003158BD"/>
    <w:rsid w:val="00315C14"/>
    <w:rsid w:val="0031611F"/>
    <w:rsid w:val="003166AB"/>
    <w:rsid w:val="003167FD"/>
    <w:rsid w:val="00316EF4"/>
    <w:rsid w:val="0031709E"/>
    <w:rsid w:val="003173EB"/>
    <w:rsid w:val="00317A33"/>
    <w:rsid w:val="00320339"/>
    <w:rsid w:val="00320637"/>
    <w:rsid w:val="00320C13"/>
    <w:rsid w:val="00320DD5"/>
    <w:rsid w:val="00320EDA"/>
    <w:rsid w:val="00320F21"/>
    <w:rsid w:val="003210EC"/>
    <w:rsid w:val="00321214"/>
    <w:rsid w:val="003213D5"/>
    <w:rsid w:val="0032147A"/>
    <w:rsid w:val="00321E88"/>
    <w:rsid w:val="00321EDB"/>
    <w:rsid w:val="00322371"/>
    <w:rsid w:val="00322457"/>
    <w:rsid w:val="003224DA"/>
    <w:rsid w:val="00322573"/>
    <w:rsid w:val="00322727"/>
    <w:rsid w:val="00322EC4"/>
    <w:rsid w:val="00323223"/>
    <w:rsid w:val="003234F9"/>
    <w:rsid w:val="00323737"/>
    <w:rsid w:val="00323AD6"/>
    <w:rsid w:val="00323BC0"/>
    <w:rsid w:val="00323F27"/>
    <w:rsid w:val="003242EF"/>
    <w:rsid w:val="00324555"/>
    <w:rsid w:val="00324BB2"/>
    <w:rsid w:val="00324C6B"/>
    <w:rsid w:val="003250CC"/>
    <w:rsid w:val="00325339"/>
    <w:rsid w:val="003255AA"/>
    <w:rsid w:val="00325780"/>
    <w:rsid w:val="00325FD2"/>
    <w:rsid w:val="00326BBB"/>
    <w:rsid w:val="00326DF4"/>
    <w:rsid w:val="0032703A"/>
    <w:rsid w:val="00327DE4"/>
    <w:rsid w:val="003314B6"/>
    <w:rsid w:val="003317B0"/>
    <w:rsid w:val="00331819"/>
    <w:rsid w:val="003318FA"/>
    <w:rsid w:val="00331A20"/>
    <w:rsid w:val="00331A23"/>
    <w:rsid w:val="00331E65"/>
    <w:rsid w:val="003321BA"/>
    <w:rsid w:val="003327D3"/>
    <w:rsid w:val="003330B0"/>
    <w:rsid w:val="00333107"/>
    <w:rsid w:val="0033343B"/>
    <w:rsid w:val="0033393C"/>
    <w:rsid w:val="0033410F"/>
    <w:rsid w:val="00334311"/>
    <w:rsid w:val="00334ABB"/>
    <w:rsid w:val="003351AC"/>
    <w:rsid w:val="00335357"/>
    <w:rsid w:val="0033543F"/>
    <w:rsid w:val="0033550E"/>
    <w:rsid w:val="003355B4"/>
    <w:rsid w:val="003357EE"/>
    <w:rsid w:val="00335A28"/>
    <w:rsid w:val="00336459"/>
    <w:rsid w:val="003371C8"/>
    <w:rsid w:val="00337368"/>
    <w:rsid w:val="0033788B"/>
    <w:rsid w:val="00337B4D"/>
    <w:rsid w:val="00337B79"/>
    <w:rsid w:val="00337CB3"/>
    <w:rsid w:val="00340382"/>
    <w:rsid w:val="003407A9"/>
    <w:rsid w:val="00340BA3"/>
    <w:rsid w:val="00340BAF"/>
    <w:rsid w:val="00340C2B"/>
    <w:rsid w:val="00340F9A"/>
    <w:rsid w:val="00341018"/>
    <w:rsid w:val="00341723"/>
    <w:rsid w:val="00341BA6"/>
    <w:rsid w:val="00341C8B"/>
    <w:rsid w:val="00341ED0"/>
    <w:rsid w:val="003420D9"/>
    <w:rsid w:val="003421D4"/>
    <w:rsid w:val="003423E0"/>
    <w:rsid w:val="003426C0"/>
    <w:rsid w:val="0034283C"/>
    <w:rsid w:val="0034301A"/>
    <w:rsid w:val="003435DB"/>
    <w:rsid w:val="00343713"/>
    <w:rsid w:val="00343797"/>
    <w:rsid w:val="00343D76"/>
    <w:rsid w:val="003440B6"/>
    <w:rsid w:val="00344DFD"/>
    <w:rsid w:val="003451D3"/>
    <w:rsid w:val="0034528B"/>
    <w:rsid w:val="003453A5"/>
    <w:rsid w:val="0034572C"/>
    <w:rsid w:val="003459A4"/>
    <w:rsid w:val="00345B64"/>
    <w:rsid w:val="00345FE7"/>
    <w:rsid w:val="003460AA"/>
    <w:rsid w:val="00346155"/>
    <w:rsid w:val="00346631"/>
    <w:rsid w:val="00346AAD"/>
    <w:rsid w:val="00346D96"/>
    <w:rsid w:val="00346E48"/>
    <w:rsid w:val="00346FC8"/>
    <w:rsid w:val="0034702D"/>
    <w:rsid w:val="00347076"/>
    <w:rsid w:val="0034736A"/>
    <w:rsid w:val="0034747C"/>
    <w:rsid w:val="003479C4"/>
    <w:rsid w:val="00347A40"/>
    <w:rsid w:val="00347A9F"/>
    <w:rsid w:val="00347B6C"/>
    <w:rsid w:val="00347C8A"/>
    <w:rsid w:val="00347F3C"/>
    <w:rsid w:val="00347F7F"/>
    <w:rsid w:val="00350101"/>
    <w:rsid w:val="00350E14"/>
    <w:rsid w:val="00350FC8"/>
    <w:rsid w:val="003513E1"/>
    <w:rsid w:val="0035151C"/>
    <w:rsid w:val="00351FB4"/>
    <w:rsid w:val="00352254"/>
    <w:rsid w:val="003522A3"/>
    <w:rsid w:val="003525EA"/>
    <w:rsid w:val="0035267F"/>
    <w:rsid w:val="0035293E"/>
    <w:rsid w:val="00352E11"/>
    <w:rsid w:val="00353054"/>
    <w:rsid w:val="003531C0"/>
    <w:rsid w:val="00353420"/>
    <w:rsid w:val="00353717"/>
    <w:rsid w:val="00353929"/>
    <w:rsid w:val="00353A18"/>
    <w:rsid w:val="00353C9A"/>
    <w:rsid w:val="00353D2D"/>
    <w:rsid w:val="00353F9E"/>
    <w:rsid w:val="003540D1"/>
    <w:rsid w:val="0035430F"/>
    <w:rsid w:val="003545BF"/>
    <w:rsid w:val="00354778"/>
    <w:rsid w:val="00354A07"/>
    <w:rsid w:val="00354BA0"/>
    <w:rsid w:val="00354C41"/>
    <w:rsid w:val="00354DD8"/>
    <w:rsid w:val="003557E6"/>
    <w:rsid w:val="0035586A"/>
    <w:rsid w:val="00355D4E"/>
    <w:rsid w:val="00355EFB"/>
    <w:rsid w:val="00356093"/>
    <w:rsid w:val="0035611A"/>
    <w:rsid w:val="0035630E"/>
    <w:rsid w:val="00356399"/>
    <w:rsid w:val="003567C3"/>
    <w:rsid w:val="00356C3D"/>
    <w:rsid w:val="00356D8D"/>
    <w:rsid w:val="00356D8E"/>
    <w:rsid w:val="003574B9"/>
    <w:rsid w:val="0035770E"/>
    <w:rsid w:val="003578C1"/>
    <w:rsid w:val="00357F60"/>
    <w:rsid w:val="00360009"/>
    <w:rsid w:val="003602C6"/>
    <w:rsid w:val="00360B75"/>
    <w:rsid w:val="00361180"/>
    <w:rsid w:val="00361233"/>
    <w:rsid w:val="0036151C"/>
    <w:rsid w:val="00361A9B"/>
    <w:rsid w:val="00362A4E"/>
    <w:rsid w:val="00362BD6"/>
    <w:rsid w:val="00362CCF"/>
    <w:rsid w:val="003631DB"/>
    <w:rsid w:val="003632A9"/>
    <w:rsid w:val="00363561"/>
    <w:rsid w:val="00364084"/>
    <w:rsid w:val="00364116"/>
    <w:rsid w:val="00364222"/>
    <w:rsid w:val="00364524"/>
    <w:rsid w:val="00364A4B"/>
    <w:rsid w:val="00364E07"/>
    <w:rsid w:val="0036513A"/>
    <w:rsid w:val="00365237"/>
    <w:rsid w:val="003653ED"/>
    <w:rsid w:val="0036559C"/>
    <w:rsid w:val="0036587E"/>
    <w:rsid w:val="00365C09"/>
    <w:rsid w:val="003660CD"/>
    <w:rsid w:val="0036663D"/>
    <w:rsid w:val="00366AC2"/>
    <w:rsid w:val="00366B08"/>
    <w:rsid w:val="00366E03"/>
    <w:rsid w:val="00367496"/>
    <w:rsid w:val="003674EC"/>
    <w:rsid w:val="0036769D"/>
    <w:rsid w:val="003677CF"/>
    <w:rsid w:val="003678BE"/>
    <w:rsid w:val="00367947"/>
    <w:rsid w:val="00367B24"/>
    <w:rsid w:val="00367B88"/>
    <w:rsid w:val="00367C74"/>
    <w:rsid w:val="00367CCB"/>
    <w:rsid w:val="00367CEA"/>
    <w:rsid w:val="003700F8"/>
    <w:rsid w:val="003704B7"/>
    <w:rsid w:val="00370900"/>
    <w:rsid w:val="00370949"/>
    <w:rsid w:val="003709E7"/>
    <w:rsid w:val="00370B46"/>
    <w:rsid w:val="00371864"/>
    <w:rsid w:val="0037243B"/>
    <w:rsid w:val="0037251C"/>
    <w:rsid w:val="0037272C"/>
    <w:rsid w:val="00372897"/>
    <w:rsid w:val="00372B9A"/>
    <w:rsid w:val="00372FBD"/>
    <w:rsid w:val="00372FD1"/>
    <w:rsid w:val="00373165"/>
    <w:rsid w:val="003731BF"/>
    <w:rsid w:val="00373297"/>
    <w:rsid w:val="00373428"/>
    <w:rsid w:val="00373780"/>
    <w:rsid w:val="00373C9B"/>
    <w:rsid w:val="003748E8"/>
    <w:rsid w:val="0037498E"/>
    <w:rsid w:val="00375287"/>
    <w:rsid w:val="00375791"/>
    <w:rsid w:val="00375826"/>
    <w:rsid w:val="00375994"/>
    <w:rsid w:val="00375A53"/>
    <w:rsid w:val="00375C59"/>
    <w:rsid w:val="00375E05"/>
    <w:rsid w:val="003762E4"/>
    <w:rsid w:val="0037654A"/>
    <w:rsid w:val="00376613"/>
    <w:rsid w:val="00376755"/>
    <w:rsid w:val="003767DB"/>
    <w:rsid w:val="00376827"/>
    <w:rsid w:val="003769F4"/>
    <w:rsid w:val="00376BB7"/>
    <w:rsid w:val="00376D99"/>
    <w:rsid w:val="00376EEE"/>
    <w:rsid w:val="003777A5"/>
    <w:rsid w:val="00377A34"/>
    <w:rsid w:val="00377BA1"/>
    <w:rsid w:val="00377FF0"/>
    <w:rsid w:val="00380245"/>
    <w:rsid w:val="00380616"/>
    <w:rsid w:val="00381022"/>
    <w:rsid w:val="003814B8"/>
    <w:rsid w:val="00381AA3"/>
    <w:rsid w:val="00382909"/>
    <w:rsid w:val="00382EE1"/>
    <w:rsid w:val="00383028"/>
    <w:rsid w:val="00383130"/>
    <w:rsid w:val="00383270"/>
    <w:rsid w:val="0038353B"/>
    <w:rsid w:val="0038356A"/>
    <w:rsid w:val="00384012"/>
    <w:rsid w:val="0038419C"/>
    <w:rsid w:val="00384258"/>
    <w:rsid w:val="00384405"/>
    <w:rsid w:val="00384883"/>
    <w:rsid w:val="00384ABE"/>
    <w:rsid w:val="00385131"/>
    <w:rsid w:val="00385636"/>
    <w:rsid w:val="003858F7"/>
    <w:rsid w:val="00385A3F"/>
    <w:rsid w:val="0038620B"/>
    <w:rsid w:val="003864C3"/>
    <w:rsid w:val="0038659C"/>
    <w:rsid w:val="003866C0"/>
    <w:rsid w:val="00386AA5"/>
    <w:rsid w:val="00386ACF"/>
    <w:rsid w:val="00387094"/>
    <w:rsid w:val="00387647"/>
    <w:rsid w:val="00387834"/>
    <w:rsid w:val="003878CA"/>
    <w:rsid w:val="0038791A"/>
    <w:rsid w:val="00387923"/>
    <w:rsid w:val="00387B94"/>
    <w:rsid w:val="00387D52"/>
    <w:rsid w:val="00387FE2"/>
    <w:rsid w:val="00390056"/>
    <w:rsid w:val="0039055C"/>
    <w:rsid w:val="00390649"/>
    <w:rsid w:val="00390718"/>
    <w:rsid w:val="00390767"/>
    <w:rsid w:val="00390883"/>
    <w:rsid w:val="00390AED"/>
    <w:rsid w:val="00390DA2"/>
    <w:rsid w:val="00390EFC"/>
    <w:rsid w:val="00390F6B"/>
    <w:rsid w:val="00391470"/>
    <w:rsid w:val="00391F69"/>
    <w:rsid w:val="003920C4"/>
    <w:rsid w:val="00392124"/>
    <w:rsid w:val="00392184"/>
    <w:rsid w:val="00392215"/>
    <w:rsid w:val="00392403"/>
    <w:rsid w:val="0039240E"/>
    <w:rsid w:val="003924D2"/>
    <w:rsid w:val="00392652"/>
    <w:rsid w:val="00392671"/>
    <w:rsid w:val="00392B41"/>
    <w:rsid w:val="00392ED5"/>
    <w:rsid w:val="0039307D"/>
    <w:rsid w:val="0039456F"/>
    <w:rsid w:val="003945C8"/>
    <w:rsid w:val="00394637"/>
    <w:rsid w:val="003947C5"/>
    <w:rsid w:val="0039480D"/>
    <w:rsid w:val="00394B76"/>
    <w:rsid w:val="00394C9D"/>
    <w:rsid w:val="003950D6"/>
    <w:rsid w:val="00395446"/>
    <w:rsid w:val="00395D5F"/>
    <w:rsid w:val="00395DB0"/>
    <w:rsid w:val="00395F3B"/>
    <w:rsid w:val="00396725"/>
    <w:rsid w:val="003968B8"/>
    <w:rsid w:val="00396B6C"/>
    <w:rsid w:val="00397096"/>
    <w:rsid w:val="00397419"/>
    <w:rsid w:val="00397772"/>
    <w:rsid w:val="00397A28"/>
    <w:rsid w:val="00397C11"/>
    <w:rsid w:val="00397C2C"/>
    <w:rsid w:val="00397E94"/>
    <w:rsid w:val="00397F05"/>
    <w:rsid w:val="003A01B1"/>
    <w:rsid w:val="003A0442"/>
    <w:rsid w:val="003A05F8"/>
    <w:rsid w:val="003A0899"/>
    <w:rsid w:val="003A0B44"/>
    <w:rsid w:val="003A0C6C"/>
    <w:rsid w:val="003A1512"/>
    <w:rsid w:val="003A1A59"/>
    <w:rsid w:val="003A1D8C"/>
    <w:rsid w:val="003A1E49"/>
    <w:rsid w:val="003A1EB7"/>
    <w:rsid w:val="003A23F3"/>
    <w:rsid w:val="003A28DE"/>
    <w:rsid w:val="003A2D82"/>
    <w:rsid w:val="003A2F84"/>
    <w:rsid w:val="003A325D"/>
    <w:rsid w:val="003A3377"/>
    <w:rsid w:val="003A337C"/>
    <w:rsid w:val="003A3543"/>
    <w:rsid w:val="003A36DA"/>
    <w:rsid w:val="003A37C6"/>
    <w:rsid w:val="003A38F1"/>
    <w:rsid w:val="003A39D1"/>
    <w:rsid w:val="003A3D1B"/>
    <w:rsid w:val="003A3F39"/>
    <w:rsid w:val="003A40AD"/>
    <w:rsid w:val="003A4296"/>
    <w:rsid w:val="003A4549"/>
    <w:rsid w:val="003A4928"/>
    <w:rsid w:val="003A49B3"/>
    <w:rsid w:val="003A4BC8"/>
    <w:rsid w:val="003A4D1F"/>
    <w:rsid w:val="003A516F"/>
    <w:rsid w:val="003A55B4"/>
    <w:rsid w:val="003A583C"/>
    <w:rsid w:val="003A58A2"/>
    <w:rsid w:val="003A5FF8"/>
    <w:rsid w:val="003A61B6"/>
    <w:rsid w:val="003A623F"/>
    <w:rsid w:val="003A6468"/>
    <w:rsid w:val="003A7113"/>
    <w:rsid w:val="003A71AD"/>
    <w:rsid w:val="003A7D1D"/>
    <w:rsid w:val="003A7E2B"/>
    <w:rsid w:val="003B04FF"/>
    <w:rsid w:val="003B07E9"/>
    <w:rsid w:val="003B0C1F"/>
    <w:rsid w:val="003B109B"/>
    <w:rsid w:val="003B1133"/>
    <w:rsid w:val="003B1688"/>
    <w:rsid w:val="003B1834"/>
    <w:rsid w:val="003B1843"/>
    <w:rsid w:val="003B1FA4"/>
    <w:rsid w:val="003B1FAA"/>
    <w:rsid w:val="003B1FE6"/>
    <w:rsid w:val="003B20EB"/>
    <w:rsid w:val="003B20F8"/>
    <w:rsid w:val="003B2553"/>
    <w:rsid w:val="003B2AC8"/>
    <w:rsid w:val="003B3106"/>
    <w:rsid w:val="003B3630"/>
    <w:rsid w:val="003B3974"/>
    <w:rsid w:val="003B39E0"/>
    <w:rsid w:val="003B3DAB"/>
    <w:rsid w:val="003B404D"/>
    <w:rsid w:val="003B432C"/>
    <w:rsid w:val="003B4580"/>
    <w:rsid w:val="003B45CB"/>
    <w:rsid w:val="003B4800"/>
    <w:rsid w:val="003B4A96"/>
    <w:rsid w:val="003B4B34"/>
    <w:rsid w:val="003B4CDA"/>
    <w:rsid w:val="003B4DEE"/>
    <w:rsid w:val="003B4EE6"/>
    <w:rsid w:val="003B4F2D"/>
    <w:rsid w:val="003B597D"/>
    <w:rsid w:val="003B5BD9"/>
    <w:rsid w:val="003B5CF5"/>
    <w:rsid w:val="003B6394"/>
    <w:rsid w:val="003B64A3"/>
    <w:rsid w:val="003B676D"/>
    <w:rsid w:val="003B68BB"/>
    <w:rsid w:val="003B6B99"/>
    <w:rsid w:val="003B6BC8"/>
    <w:rsid w:val="003B6DB8"/>
    <w:rsid w:val="003B6DCB"/>
    <w:rsid w:val="003B6EE1"/>
    <w:rsid w:val="003B72B9"/>
    <w:rsid w:val="003B7723"/>
    <w:rsid w:val="003C07ED"/>
    <w:rsid w:val="003C0887"/>
    <w:rsid w:val="003C08AF"/>
    <w:rsid w:val="003C0C5A"/>
    <w:rsid w:val="003C0D8C"/>
    <w:rsid w:val="003C0E7E"/>
    <w:rsid w:val="003C114E"/>
    <w:rsid w:val="003C295B"/>
    <w:rsid w:val="003C2EDD"/>
    <w:rsid w:val="003C3220"/>
    <w:rsid w:val="003C34A5"/>
    <w:rsid w:val="003C351C"/>
    <w:rsid w:val="003C3A47"/>
    <w:rsid w:val="003C3A79"/>
    <w:rsid w:val="003C3CBD"/>
    <w:rsid w:val="003C43F2"/>
    <w:rsid w:val="003C45FB"/>
    <w:rsid w:val="003C48F2"/>
    <w:rsid w:val="003C4C4A"/>
    <w:rsid w:val="003C5177"/>
    <w:rsid w:val="003C52B0"/>
    <w:rsid w:val="003C53A5"/>
    <w:rsid w:val="003C57BE"/>
    <w:rsid w:val="003C5911"/>
    <w:rsid w:val="003C59D1"/>
    <w:rsid w:val="003C5CDB"/>
    <w:rsid w:val="003C5DF4"/>
    <w:rsid w:val="003C5E20"/>
    <w:rsid w:val="003C5E55"/>
    <w:rsid w:val="003C6043"/>
    <w:rsid w:val="003C63E8"/>
    <w:rsid w:val="003C6430"/>
    <w:rsid w:val="003C6465"/>
    <w:rsid w:val="003C659B"/>
    <w:rsid w:val="003C65E4"/>
    <w:rsid w:val="003C7051"/>
    <w:rsid w:val="003C7300"/>
    <w:rsid w:val="003C7499"/>
    <w:rsid w:val="003C7712"/>
    <w:rsid w:val="003C773F"/>
    <w:rsid w:val="003C7862"/>
    <w:rsid w:val="003C79C5"/>
    <w:rsid w:val="003C7AD7"/>
    <w:rsid w:val="003C7ECD"/>
    <w:rsid w:val="003D007D"/>
    <w:rsid w:val="003D00BF"/>
    <w:rsid w:val="003D01A1"/>
    <w:rsid w:val="003D042A"/>
    <w:rsid w:val="003D04D6"/>
    <w:rsid w:val="003D04F6"/>
    <w:rsid w:val="003D0792"/>
    <w:rsid w:val="003D0867"/>
    <w:rsid w:val="003D0A25"/>
    <w:rsid w:val="003D139C"/>
    <w:rsid w:val="003D15F8"/>
    <w:rsid w:val="003D179A"/>
    <w:rsid w:val="003D18CC"/>
    <w:rsid w:val="003D1DB9"/>
    <w:rsid w:val="003D20F8"/>
    <w:rsid w:val="003D2239"/>
    <w:rsid w:val="003D2427"/>
    <w:rsid w:val="003D2630"/>
    <w:rsid w:val="003D2BAD"/>
    <w:rsid w:val="003D2D22"/>
    <w:rsid w:val="003D2FFF"/>
    <w:rsid w:val="003D313D"/>
    <w:rsid w:val="003D3398"/>
    <w:rsid w:val="003D344E"/>
    <w:rsid w:val="003D3583"/>
    <w:rsid w:val="003D3730"/>
    <w:rsid w:val="003D391E"/>
    <w:rsid w:val="003D3AF6"/>
    <w:rsid w:val="003D3B6F"/>
    <w:rsid w:val="003D3BED"/>
    <w:rsid w:val="003D3D48"/>
    <w:rsid w:val="003D40E8"/>
    <w:rsid w:val="003D455E"/>
    <w:rsid w:val="003D4A6E"/>
    <w:rsid w:val="003D5008"/>
    <w:rsid w:val="003D53FA"/>
    <w:rsid w:val="003D542F"/>
    <w:rsid w:val="003D54F3"/>
    <w:rsid w:val="003D5785"/>
    <w:rsid w:val="003D5A2D"/>
    <w:rsid w:val="003D5A9D"/>
    <w:rsid w:val="003D60BE"/>
    <w:rsid w:val="003D6169"/>
    <w:rsid w:val="003D6210"/>
    <w:rsid w:val="003D62C0"/>
    <w:rsid w:val="003D65F6"/>
    <w:rsid w:val="003D6911"/>
    <w:rsid w:val="003D6F63"/>
    <w:rsid w:val="003D71B1"/>
    <w:rsid w:val="003D7792"/>
    <w:rsid w:val="003D7834"/>
    <w:rsid w:val="003D7E4B"/>
    <w:rsid w:val="003E0035"/>
    <w:rsid w:val="003E0156"/>
    <w:rsid w:val="003E07A7"/>
    <w:rsid w:val="003E0BB3"/>
    <w:rsid w:val="003E0C0E"/>
    <w:rsid w:val="003E0C14"/>
    <w:rsid w:val="003E0D6F"/>
    <w:rsid w:val="003E1005"/>
    <w:rsid w:val="003E10D3"/>
    <w:rsid w:val="003E1591"/>
    <w:rsid w:val="003E1702"/>
    <w:rsid w:val="003E1ACF"/>
    <w:rsid w:val="003E1B0E"/>
    <w:rsid w:val="003E1DE5"/>
    <w:rsid w:val="003E1DFE"/>
    <w:rsid w:val="003E1F22"/>
    <w:rsid w:val="003E216C"/>
    <w:rsid w:val="003E236E"/>
    <w:rsid w:val="003E240B"/>
    <w:rsid w:val="003E259D"/>
    <w:rsid w:val="003E25EF"/>
    <w:rsid w:val="003E26BA"/>
    <w:rsid w:val="003E2906"/>
    <w:rsid w:val="003E2969"/>
    <w:rsid w:val="003E2BF4"/>
    <w:rsid w:val="003E2C1A"/>
    <w:rsid w:val="003E2C26"/>
    <w:rsid w:val="003E2DC1"/>
    <w:rsid w:val="003E2FD3"/>
    <w:rsid w:val="003E330F"/>
    <w:rsid w:val="003E3478"/>
    <w:rsid w:val="003E3635"/>
    <w:rsid w:val="003E37C2"/>
    <w:rsid w:val="003E3C85"/>
    <w:rsid w:val="003E4339"/>
    <w:rsid w:val="003E4697"/>
    <w:rsid w:val="003E4A12"/>
    <w:rsid w:val="003E4A7C"/>
    <w:rsid w:val="003E4E38"/>
    <w:rsid w:val="003E4E74"/>
    <w:rsid w:val="003E509D"/>
    <w:rsid w:val="003E54F4"/>
    <w:rsid w:val="003E5DDD"/>
    <w:rsid w:val="003E5F7D"/>
    <w:rsid w:val="003E6520"/>
    <w:rsid w:val="003E67E7"/>
    <w:rsid w:val="003E6B25"/>
    <w:rsid w:val="003E6B3C"/>
    <w:rsid w:val="003E6B95"/>
    <w:rsid w:val="003E70FF"/>
    <w:rsid w:val="003E71E5"/>
    <w:rsid w:val="003E7D9E"/>
    <w:rsid w:val="003E7DE0"/>
    <w:rsid w:val="003E7E92"/>
    <w:rsid w:val="003E7F1B"/>
    <w:rsid w:val="003F0456"/>
    <w:rsid w:val="003F0A1B"/>
    <w:rsid w:val="003F0B41"/>
    <w:rsid w:val="003F0E03"/>
    <w:rsid w:val="003F1150"/>
    <w:rsid w:val="003F118C"/>
    <w:rsid w:val="003F11E6"/>
    <w:rsid w:val="003F1249"/>
    <w:rsid w:val="003F1C15"/>
    <w:rsid w:val="003F1E39"/>
    <w:rsid w:val="003F21AA"/>
    <w:rsid w:val="003F229D"/>
    <w:rsid w:val="003F25F0"/>
    <w:rsid w:val="003F2C7A"/>
    <w:rsid w:val="003F2D5B"/>
    <w:rsid w:val="003F2DAF"/>
    <w:rsid w:val="003F3128"/>
    <w:rsid w:val="003F3286"/>
    <w:rsid w:val="003F37E0"/>
    <w:rsid w:val="003F4078"/>
    <w:rsid w:val="003F422F"/>
    <w:rsid w:val="003F43DB"/>
    <w:rsid w:val="003F4C97"/>
    <w:rsid w:val="003F50A7"/>
    <w:rsid w:val="003F531E"/>
    <w:rsid w:val="003F537B"/>
    <w:rsid w:val="003F583B"/>
    <w:rsid w:val="003F5AD2"/>
    <w:rsid w:val="003F5CA4"/>
    <w:rsid w:val="003F5D16"/>
    <w:rsid w:val="003F5F15"/>
    <w:rsid w:val="003F6581"/>
    <w:rsid w:val="003F6593"/>
    <w:rsid w:val="003F6D50"/>
    <w:rsid w:val="003F7006"/>
    <w:rsid w:val="003F7507"/>
    <w:rsid w:val="003F7A87"/>
    <w:rsid w:val="003F7C72"/>
    <w:rsid w:val="003F7D10"/>
    <w:rsid w:val="003F7E8E"/>
    <w:rsid w:val="00400152"/>
    <w:rsid w:val="00400FA2"/>
    <w:rsid w:val="00401000"/>
    <w:rsid w:val="004012E0"/>
    <w:rsid w:val="004016C6"/>
    <w:rsid w:val="0040179A"/>
    <w:rsid w:val="00401856"/>
    <w:rsid w:val="00401A47"/>
    <w:rsid w:val="00401F2C"/>
    <w:rsid w:val="004021F2"/>
    <w:rsid w:val="00402450"/>
    <w:rsid w:val="0040258B"/>
    <w:rsid w:val="004028A2"/>
    <w:rsid w:val="00402C32"/>
    <w:rsid w:val="00402FEB"/>
    <w:rsid w:val="00403190"/>
    <w:rsid w:val="00403300"/>
    <w:rsid w:val="00403330"/>
    <w:rsid w:val="00403344"/>
    <w:rsid w:val="0040336C"/>
    <w:rsid w:val="0040343B"/>
    <w:rsid w:val="004034B7"/>
    <w:rsid w:val="00403633"/>
    <w:rsid w:val="00403C82"/>
    <w:rsid w:val="00404157"/>
    <w:rsid w:val="004042AE"/>
    <w:rsid w:val="00404C44"/>
    <w:rsid w:val="00404D60"/>
    <w:rsid w:val="00404EE8"/>
    <w:rsid w:val="0040510D"/>
    <w:rsid w:val="0040512D"/>
    <w:rsid w:val="0040602F"/>
    <w:rsid w:val="004061FE"/>
    <w:rsid w:val="0040644A"/>
    <w:rsid w:val="00406788"/>
    <w:rsid w:val="00406AFB"/>
    <w:rsid w:val="00406B38"/>
    <w:rsid w:val="00406D62"/>
    <w:rsid w:val="00407382"/>
    <w:rsid w:val="00407780"/>
    <w:rsid w:val="004078FF"/>
    <w:rsid w:val="0040791B"/>
    <w:rsid w:val="004102B1"/>
    <w:rsid w:val="004106B8"/>
    <w:rsid w:val="0041078D"/>
    <w:rsid w:val="004107B7"/>
    <w:rsid w:val="00410D0B"/>
    <w:rsid w:val="00411137"/>
    <w:rsid w:val="00411958"/>
    <w:rsid w:val="00411B2A"/>
    <w:rsid w:val="004122E5"/>
    <w:rsid w:val="00412973"/>
    <w:rsid w:val="00412B13"/>
    <w:rsid w:val="00412D42"/>
    <w:rsid w:val="00412DA4"/>
    <w:rsid w:val="00412EB6"/>
    <w:rsid w:val="00412EFE"/>
    <w:rsid w:val="0041351F"/>
    <w:rsid w:val="004137C8"/>
    <w:rsid w:val="00413BF9"/>
    <w:rsid w:val="00413C25"/>
    <w:rsid w:val="004141DC"/>
    <w:rsid w:val="004147B6"/>
    <w:rsid w:val="004148E6"/>
    <w:rsid w:val="00414B95"/>
    <w:rsid w:val="00414BF8"/>
    <w:rsid w:val="00415245"/>
    <w:rsid w:val="00415531"/>
    <w:rsid w:val="00415600"/>
    <w:rsid w:val="00415F24"/>
    <w:rsid w:val="00416330"/>
    <w:rsid w:val="00416B69"/>
    <w:rsid w:val="004176C7"/>
    <w:rsid w:val="00417877"/>
    <w:rsid w:val="00417D9F"/>
    <w:rsid w:val="00417FDE"/>
    <w:rsid w:val="00420229"/>
    <w:rsid w:val="004204D8"/>
    <w:rsid w:val="00420DBA"/>
    <w:rsid w:val="0042122A"/>
    <w:rsid w:val="00421311"/>
    <w:rsid w:val="00421320"/>
    <w:rsid w:val="00422141"/>
    <w:rsid w:val="0042244B"/>
    <w:rsid w:val="00422BAC"/>
    <w:rsid w:val="00422E13"/>
    <w:rsid w:val="0042348F"/>
    <w:rsid w:val="0042350F"/>
    <w:rsid w:val="00423599"/>
    <w:rsid w:val="00423638"/>
    <w:rsid w:val="0042384C"/>
    <w:rsid w:val="00423893"/>
    <w:rsid w:val="00423BC9"/>
    <w:rsid w:val="004242D9"/>
    <w:rsid w:val="00424A20"/>
    <w:rsid w:val="00424CF1"/>
    <w:rsid w:val="00425143"/>
    <w:rsid w:val="00425277"/>
    <w:rsid w:val="004253A2"/>
    <w:rsid w:val="004255B4"/>
    <w:rsid w:val="0042599D"/>
    <w:rsid w:val="00425D22"/>
    <w:rsid w:val="00425D77"/>
    <w:rsid w:val="00425FE3"/>
    <w:rsid w:val="0042608A"/>
    <w:rsid w:val="00426134"/>
    <w:rsid w:val="0042633E"/>
    <w:rsid w:val="00426766"/>
    <w:rsid w:val="004267D0"/>
    <w:rsid w:val="0042695A"/>
    <w:rsid w:val="00426B93"/>
    <w:rsid w:val="00426F29"/>
    <w:rsid w:val="004279CA"/>
    <w:rsid w:val="00427A82"/>
    <w:rsid w:val="00427EA2"/>
    <w:rsid w:val="004300DF"/>
    <w:rsid w:val="00430115"/>
    <w:rsid w:val="004302AC"/>
    <w:rsid w:val="00430647"/>
    <w:rsid w:val="004306FD"/>
    <w:rsid w:val="00430A4B"/>
    <w:rsid w:val="00430E7A"/>
    <w:rsid w:val="004311E1"/>
    <w:rsid w:val="0043163D"/>
    <w:rsid w:val="00431C46"/>
    <w:rsid w:val="00431FFC"/>
    <w:rsid w:val="004321E1"/>
    <w:rsid w:val="00432594"/>
    <w:rsid w:val="004327E6"/>
    <w:rsid w:val="004329DC"/>
    <w:rsid w:val="00432AC6"/>
    <w:rsid w:val="00432C6C"/>
    <w:rsid w:val="00433254"/>
    <w:rsid w:val="0043338A"/>
    <w:rsid w:val="004334A1"/>
    <w:rsid w:val="00433F46"/>
    <w:rsid w:val="00433F5C"/>
    <w:rsid w:val="004341C6"/>
    <w:rsid w:val="00434439"/>
    <w:rsid w:val="00434697"/>
    <w:rsid w:val="00434C1E"/>
    <w:rsid w:val="00434C5E"/>
    <w:rsid w:val="00434E2C"/>
    <w:rsid w:val="00434F87"/>
    <w:rsid w:val="00435081"/>
    <w:rsid w:val="0043558E"/>
    <w:rsid w:val="004355DE"/>
    <w:rsid w:val="00435765"/>
    <w:rsid w:val="004359B2"/>
    <w:rsid w:val="004360B6"/>
    <w:rsid w:val="004361D1"/>
    <w:rsid w:val="004362E5"/>
    <w:rsid w:val="00436356"/>
    <w:rsid w:val="00436801"/>
    <w:rsid w:val="004368D9"/>
    <w:rsid w:val="004370F8"/>
    <w:rsid w:val="004372F4"/>
    <w:rsid w:val="00437341"/>
    <w:rsid w:val="0043747C"/>
    <w:rsid w:val="00437A5D"/>
    <w:rsid w:val="00437E99"/>
    <w:rsid w:val="00437F1C"/>
    <w:rsid w:val="00437F7B"/>
    <w:rsid w:val="004401F4"/>
    <w:rsid w:val="00440340"/>
    <w:rsid w:val="004403F5"/>
    <w:rsid w:val="00440722"/>
    <w:rsid w:val="004407A3"/>
    <w:rsid w:val="00440B91"/>
    <w:rsid w:val="00441192"/>
    <w:rsid w:val="004411B3"/>
    <w:rsid w:val="00442008"/>
    <w:rsid w:val="004425D9"/>
    <w:rsid w:val="00442B5F"/>
    <w:rsid w:val="00442C4F"/>
    <w:rsid w:val="00442E84"/>
    <w:rsid w:val="00442ED5"/>
    <w:rsid w:val="00442FBA"/>
    <w:rsid w:val="00443244"/>
    <w:rsid w:val="004433CE"/>
    <w:rsid w:val="004439C1"/>
    <w:rsid w:val="00443F95"/>
    <w:rsid w:val="0044406C"/>
    <w:rsid w:val="00444420"/>
    <w:rsid w:val="00444A42"/>
    <w:rsid w:val="00444AF6"/>
    <w:rsid w:val="0044519D"/>
    <w:rsid w:val="00445544"/>
    <w:rsid w:val="00445C0B"/>
    <w:rsid w:val="004460F5"/>
    <w:rsid w:val="00446195"/>
    <w:rsid w:val="00447119"/>
    <w:rsid w:val="0044782C"/>
    <w:rsid w:val="00447A8E"/>
    <w:rsid w:val="00447C0C"/>
    <w:rsid w:val="00447CD0"/>
    <w:rsid w:val="00447FC2"/>
    <w:rsid w:val="00450209"/>
    <w:rsid w:val="004502F4"/>
    <w:rsid w:val="004506F4"/>
    <w:rsid w:val="004506FA"/>
    <w:rsid w:val="004509D1"/>
    <w:rsid w:val="00450A42"/>
    <w:rsid w:val="00450E98"/>
    <w:rsid w:val="00450FE1"/>
    <w:rsid w:val="0045135A"/>
    <w:rsid w:val="0045139A"/>
    <w:rsid w:val="004513A5"/>
    <w:rsid w:val="00451402"/>
    <w:rsid w:val="00451AEE"/>
    <w:rsid w:val="00451D50"/>
    <w:rsid w:val="00451E80"/>
    <w:rsid w:val="00451F9D"/>
    <w:rsid w:val="004522EE"/>
    <w:rsid w:val="00452461"/>
    <w:rsid w:val="00452A84"/>
    <w:rsid w:val="00452EC4"/>
    <w:rsid w:val="00453192"/>
    <w:rsid w:val="00453340"/>
    <w:rsid w:val="0045336E"/>
    <w:rsid w:val="00453775"/>
    <w:rsid w:val="00453890"/>
    <w:rsid w:val="004542A5"/>
    <w:rsid w:val="00454380"/>
    <w:rsid w:val="00454604"/>
    <w:rsid w:val="0045470C"/>
    <w:rsid w:val="0045497D"/>
    <w:rsid w:val="004551BD"/>
    <w:rsid w:val="00455284"/>
    <w:rsid w:val="004552C8"/>
    <w:rsid w:val="0045536C"/>
    <w:rsid w:val="004554D0"/>
    <w:rsid w:val="00455A07"/>
    <w:rsid w:val="00455AEB"/>
    <w:rsid w:val="00455D7B"/>
    <w:rsid w:val="00456001"/>
    <w:rsid w:val="00456024"/>
    <w:rsid w:val="0045603C"/>
    <w:rsid w:val="00456053"/>
    <w:rsid w:val="00456068"/>
    <w:rsid w:val="00456896"/>
    <w:rsid w:val="00456ADA"/>
    <w:rsid w:val="00456B0D"/>
    <w:rsid w:val="00456C93"/>
    <w:rsid w:val="00456CA7"/>
    <w:rsid w:val="00456D88"/>
    <w:rsid w:val="00456E90"/>
    <w:rsid w:val="00456F5C"/>
    <w:rsid w:val="00457135"/>
    <w:rsid w:val="0045713C"/>
    <w:rsid w:val="0045770D"/>
    <w:rsid w:val="0045790F"/>
    <w:rsid w:val="00457979"/>
    <w:rsid w:val="00457D63"/>
    <w:rsid w:val="00457DB0"/>
    <w:rsid w:val="00457E21"/>
    <w:rsid w:val="00460006"/>
    <w:rsid w:val="0046007E"/>
    <w:rsid w:val="0046024B"/>
    <w:rsid w:val="004606FC"/>
    <w:rsid w:val="00460A8D"/>
    <w:rsid w:val="00460CDE"/>
    <w:rsid w:val="00460E36"/>
    <w:rsid w:val="00461155"/>
    <w:rsid w:val="00461453"/>
    <w:rsid w:val="00461530"/>
    <w:rsid w:val="00461A10"/>
    <w:rsid w:val="0046218C"/>
    <w:rsid w:val="004623D4"/>
    <w:rsid w:val="00462565"/>
    <w:rsid w:val="004625E1"/>
    <w:rsid w:val="00462724"/>
    <w:rsid w:val="00462D88"/>
    <w:rsid w:val="00463401"/>
    <w:rsid w:val="0046341C"/>
    <w:rsid w:val="00463519"/>
    <w:rsid w:val="0046377D"/>
    <w:rsid w:val="0046393A"/>
    <w:rsid w:val="00463944"/>
    <w:rsid w:val="004639EE"/>
    <w:rsid w:val="00463BFF"/>
    <w:rsid w:val="00464557"/>
    <w:rsid w:val="00464739"/>
    <w:rsid w:val="004648F1"/>
    <w:rsid w:val="00464A21"/>
    <w:rsid w:val="00464C5A"/>
    <w:rsid w:val="00464E8C"/>
    <w:rsid w:val="0046509F"/>
    <w:rsid w:val="0046512A"/>
    <w:rsid w:val="00465234"/>
    <w:rsid w:val="004655B5"/>
    <w:rsid w:val="004658C0"/>
    <w:rsid w:val="00465B24"/>
    <w:rsid w:val="00466041"/>
    <w:rsid w:val="00466858"/>
    <w:rsid w:val="00466D0F"/>
    <w:rsid w:val="00466E8F"/>
    <w:rsid w:val="00467152"/>
    <w:rsid w:val="00467444"/>
    <w:rsid w:val="00467544"/>
    <w:rsid w:val="004676BA"/>
    <w:rsid w:val="00467816"/>
    <w:rsid w:val="0046784C"/>
    <w:rsid w:val="004678D9"/>
    <w:rsid w:val="00467D38"/>
    <w:rsid w:val="00467ECB"/>
    <w:rsid w:val="00470605"/>
    <w:rsid w:val="004707FF"/>
    <w:rsid w:val="00470874"/>
    <w:rsid w:val="0047089B"/>
    <w:rsid w:val="00470DA2"/>
    <w:rsid w:val="00470EF9"/>
    <w:rsid w:val="00470F01"/>
    <w:rsid w:val="004710C3"/>
    <w:rsid w:val="00471459"/>
    <w:rsid w:val="004715BE"/>
    <w:rsid w:val="00471997"/>
    <w:rsid w:val="00472274"/>
    <w:rsid w:val="00472297"/>
    <w:rsid w:val="004722D4"/>
    <w:rsid w:val="0047230C"/>
    <w:rsid w:val="00472AD0"/>
    <w:rsid w:val="00472AF8"/>
    <w:rsid w:val="00472BC7"/>
    <w:rsid w:val="00472D9C"/>
    <w:rsid w:val="00473060"/>
    <w:rsid w:val="004736B9"/>
    <w:rsid w:val="00473AD2"/>
    <w:rsid w:val="00473B60"/>
    <w:rsid w:val="00473CE4"/>
    <w:rsid w:val="004744DA"/>
    <w:rsid w:val="00474C6D"/>
    <w:rsid w:val="00474D48"/>
    <w:rsid w:val="00474FC6"/>
    <w:rsid w:val="00475499"/>
    <w:rsid w:val="00475772"/>
    <w:rsid w:val="00475AFF"/>
    <w:rsid w:val="00475D30"/>
    <w:rsid w:val="00475D6F"/>
    <w:rsid w:val="004765F4"/>
    <w:rsid w:val="004768C6"/>
    <w:rsid w:val="00476B4D"/>
    <w:rsid w:val="00476CBC"/>
    <w:rsid w:val="00476CC1"/>
    <w:rsid w:val="00476E6C"/>
    <w:rsid w:val="004770E2"/>
    <w:rsid w:val="00477282"/>
    <w:rsid w:val="0047760E"/>
    <w:rsid w:val="00477947"/>
    <w:rsid w:val="00477D60"/>
    <w:rsid w:val="00477D64"/>
    <w:rsid w:val="004804EA"/>
    <w:rsid w:val="004805F3"/>
    <w:rsid w:val="00480604"/>
    <w:rsid w:val="00480A9F"/>
    <w:rsid w:val="00480FA1"/>
    <w:rsid w:val="004812B2"/>
    <w:rsid w:val="00481A67"/>
    <w:rsid w:val="00481B3F"/>
    <w:rsid w:val="00481B4D"/>
    <w:rsid w:val="00481FD7"/>
    <w:rsid w:val="004825E9"/>
    <w:rsid w:val="00482DE5"/>
    <w:rsid w:val="00482F2E"/>
    <w:rsid w:val="00483266"/>
    <w:rsid w:val="004834FA"/>
    <w:rsid w:val="0048352E"/>
    <w:rsid w:val="0048353B"/>
    <w:rsid w:val="004836A9"/>
    <w:rsid w:val="004837FA"/>
    <w:rsid w:val="00483B23"/>
    <w:rsid w:val="00483EDB"/>
    <w:rsid w:val="004840D7"/>
    <w:rsid w:val="004846AB"/>
    <w:rsid w:val="004846F4"/>
    <w:rsid w:val="00485134"/>
    <w:rsid w:val="0048541A"/>
    <w:rsid w:val="00485813"/>
    <w:rsid w:val="00485C26"/>
    <w:rsid w:val="00485EC0"/>
    <w:rsid w:val="004861E2"/>
    <w:rsid w:val="00486A51"/>
    <w:rsid w:val="0048709C"/>
    <w:rsid w:val="004871AF"/>
    <w:rsid w:val="004875E1"/>
    <w:rsid w:val="004878E4"/>
    <w:rsid w:val="00487B37"/>
    <w:rsid w:val="00487C27"/>
    <w:rsid w:val="00490380"/>
    <w:rsid w:val="00490636"/>
    <w:rsid w:val="00490909"/>
    <w:rsid w:val="00490FF0"/>
    <w:rsid w:val="00491034"/>
    <w:rsid w:val="004910FE"/>
    <w:rsid w:val="0049111A"/>
    <w:rsid w:val="00491198"/>
    <w:rsid w:val="00491564"/>
    <w:rsid w:val="0049169E"/>
    <w:rsid w:val="004917E0"/>
    <w:rsid w:val="00491841"/>
    <w:rsid w:val="004919F4"/>
    <w:rsid w:val="00491BF6"/>
    <w:rsid w:val="00491FED"/>
    <w:rsid w:val="0049286A"/>
    <w:rsid w:val="004928A9"/>
    <w:rsid w:val="00492AF3"/>
    <w:rsid w:val="00492B67"/>
    <w:rsid w:val="00492D5C"/>
    <w:rsid w:val="00492D5D"/>
    <w:rsid w:val="00492ED7"/>
    <w:rsid w:val="00492F82"/>
    <w:rsid w:val="0049302E"/>
    <w:rsid w:val="00493644"/>
    <w:rsid w:val="0049389D"/>
    <w:rsid w:val="00493A3B"/>
    <w:rsid w:val="004941AA"/>
    <w:rsid w:val="004941F7"/>
    <w:rsid w:val="0049420D"/>
    <w:rsid w:val="004943C2"/>
    <w:rsid w:val="004947D9"/>
    <w:rsid w:val="004947F7"/>
    <w:rsid w:val="004948CE"/>
    <w:rsid w:val="00494918"/>
    <w:rsid w:val="00494A02"/>
    <w:rsid w:val="00494C65"/>
    <w:rsid w:val="00494F0C"/>
    <w:rsid w:val="00494F8F"/>
    <w:rsid w:val="004954F3"/>
    <w:rsid w:val="00495557"/>
    <w:rsid w:val="004957DD"/>
    <w:rsid w:val="00495AF0"/>
    <w:rsid w:val="00495FB5"/>
    <w:rsid w:val="0049610F"/>
    <w:rsid w:val="0049618D"/>
    <w:rsid w:val="0049631C"/>
    <w:rsid w:val="004963A6"/>
    <w:rsid w:val="004965EF"/>
    <w:rsid w:val="0049719D"/>
    <w:rsid w:val="00497846"/>
    <w:rsid w:val="00497FCD"/>
    <w:rsid w:val="004A095C"/>
    <w:rsid w:val="004A0CBB"/>
    <w:rsid w:val="004A0D1E"/>
    <w:rsid w:val="004A0E66"/>
    <w:rsid w:val="004A0EEC"/>
    <w:rsid w:val="004A12B8"/>
    <w:rsid w:val="004A130F"/>
    <w:rsid w:val="004A17EF"/>
    <w:rsid w:val="004A1BD8"/>
    <w:rsid w:val="004A1BDA"/>
    <w:rsid w:val="004A1F44"/>
    <w:rsid w:val="004A22DA"/>
    <w:rsid w:val="004A23CF"/>
    <w:rsid w:val="004A26AF"/>
    <w:rsid w:val="004A2700"/>
    <w:rsid w:val="004A2960"/>
    <w:rsid w:val="004A2E16"/>
    <w:rsid w:val="004A30FD"/>
    <w:rsid w:val="004A36C8"/>
    <w:rsid w:val="004A3721"/>
    <w:rsid w:val="004A3742"/>
    <w:rsid w:val="004A37B8"/>
    <w:rsid w:val="004A3CC2"/>
    <w:rsid w:val="004A3ED3"/>
    <w:rsid w:val="004A402E"/>
    <w:rsid w:val="004A4230"/>
    <w:rsid w:val="004A4766"/>
    <w:rsid w:val="004A47BC"/>
    <w:rsid w:val="004A4AC6"/>
    <w:rsid w:val="004A4EE9"/>
    <w:rsid w:val="004A53D4"/>
    <w:rsid w:val="004A5BEC"/>
    <w:rsid w:val="004A5F85"/>
    <w:rsid w:val="004A5FD1"/>
    <w:rsid w:val="004A6022"/>
    <w:rsid w:val="004A6D46"/>
    <w:rsid w:val="004A6F1D"/>
    <w:rsid w:val="004A71FA"/>
    <w:rsid w:val="004A79C5"/>
    <w:rsid w:val="004A7A56"/>
    <w:rsid w:val="004B0120"/>
    <w:rsid w:val="004B0260"/>
    <w:rsid w:val="004B09DE"/>
    <w:rsid w:val="004B0B14"/>
    <w:rsid w:val="004B0B4A"/>
    <w:rsid w:val="004B0C2D"/>
    <w:rsid w:val="004B1159"/>
    <w:rsid w:val="004B1199"/>
    <w:rsid w:val="004B16C4"/>
    <w:rsid w:val="004B1786"/>
    <w:rsid w:val="004B1867"/>
    <w:rsid w:val="004B1988"/>
    <w:rsid w:val="004B1DD0"/>
    <w:rsid w:val="004B1FD4"/>
    <w:rsid w:val="004B20AC"/>
    <w:rsid w:val="004B236A"/>
    <w:rsid w:val="004B29B2"/>
    <w:rsid w:val="004B2A64"/>
    <w:rsid w:val="004B3216"/>
    <w:rsid w:val="004B356A"/>
    <w:rsid w:val="004B359F"/>
    <w:rsid w:val="004B3684"/>
    <w:rsid w:val="004B3A70"/>
    <w:rsid w:val="004B3B28"/>
    <w:rsid w:val="004B3EED"/>
    <w:rsid w:val="004B41DA"/>
    <w:rsid w:val="004B470D"/>
    <w:rsid w:val="004B4764"/>
    <w:rsid w:val="004B4846"/>
    <w:rsid w:val="004B4A39"/>
    <w:rsid w:val="004B4E02"/>
    <w:rsid w:val="004B50AD"/>
    <w:rsid w:val="004B5394"/>
    <w:rsid w:val="004B55FE"/>
    <w:rsid w:val="004B59C8"/>
    <w:rsid w:val="004B5BDD"/>
    <w:rsid w:val="004B5BF2"/>
    <w:rsid w:val="004B60CB"/>
    <w:rsid w:val="004B612C"/>
    <w:rsid w:val="004B6162"/>
    <w:rsid w:val="004B640C"/>
    <w:rsid w:val="004B6726"/>
    <w:rsid w:val="004B674E"/>
    <w:rsid w:val="004B6E9E"/>
    <w:rsid w:val="004B6F72"/>
    <w:rsid w:val="004B6F83"/>
    <w:rsid w:val="004B73D4"/>
    <w:rsid w:val="004B7C29"/>
    <w:rsid w:val="004C0047"/>
    <w:rsid w:val="004C031B"/>
    <w:rsid w:val="004C06E5"/>
    <w:rsid w:val="004C0FD5"/>
    <w:rsid w:val="004C115D"/>
    <w:rsid w:val="004C14C4"/>
    <w:rsid w:val="004C182C"/>
    <w:rsid w:val="004C19E8"/>
    <w:rsid w:val="004C1B7D"/>
    <w:rsid w:val="004C1D1E"/>
    <w:rsid w:val="004C1E3C"/>
    <w:rsid w:val="004C2525"/>
    <w:rsid w:val="004C25F0"/>
    <w:rsid w:val="004C26DD"/>
    <w:rsid w:val="004C2762"/>
    <w:rsid w:val="004C288D"/>
    <w:rsid w:val="004C2B5D"/>
    <w:rsid w:val="004C2B7C"/>
    <w:rsid w:val="004C2D68"/>
    <w:rsid w:val="004C2F56"/>
    <w:rsid w:val="004C339D"/>
    <w:rsid w:val="004C33E8"/>
    <w:rsid w:val="004C37EA"/>
    <w:rsid w:val="004C4307"/>
    <w:rsid w:val="004C4309"/>
    <w:rsid w:val="004C49E3"/>
    <w:rsid w:val="004C4B06"/>
    <w:rsid w:val="004C4C30"/>
    <w:rsid w:val="004C4E8A"/>
    <w:rsid w:val="004C4F1B"/>
    <w:rsid w:val="004C4FAF"/>
    <w:rsid w:val="004C514A"/>
    <w:rsid w:val="004C594B"/>
    <w:rsid w:val="004C5A75"/>
    <w:rsid w:val="004C5EB7"/>
    <w:rsid w:val="004C615D"/>
    <w:rsid w:val="004C645A"/>
    <w:rsid w:val="004C64A3"/>
    <w:rsid w:val="004C6572"/>
    <w:rsid w:val="004C6D4F"/>
    <w:rsid w:val="004C7257"/>
    <w:rsid w:val="004C7541"/>
    <w:rsid w:val="004C760E"/>
    <w:rsid w:val="004C79DC"/>
    <w:rsid w:val="004C7FDF"/>
    <w:rsid w:val="004D0274"/>
    <w:rsid w:val="004D06A2"/>
    <w:rsid w:val="004D08CE"/>
    <w:rsid w:val="004D16FC"/>
    <w:rsid w:val="004D1E71"/>
    <w:rsid w:val="004D204B"/>
    <w:rsid w:val="004D28E0"/>
    <w:rsid w:val="004D2CDF"/>
    <w:rsid w:val="004D2FEC"/>
    <w:rsid w:val="004D33CE"/>
    <w:rsid w:val="004D38F5"/>
    <w:rsid w:val="004D3DEF"/>
    <w:rsid w:val="004D4083"/>
    <w:rsid w:val="004D413B"/>
    <w:rsid w:val="004D4645"/>
    <w:rsid w:val="004D475C"/>
    <w:rsid w:val="004D4763"/>
    <w:rsid w:val="004D4AAE"/>
    <w:rsid w:val="004D4BAB"/>
    <w:rsid w:val="004D535D"/>
    <w:rsid w:val="004D55CC"/>
    <w:rsid w:val="004D62CE"/>
    <w:rsid w:val="004D65BE"/>
    <w:rsid w:val="004D669E"/>
    <w:rsid w:val="004D699E"/>
    <w:rsid w:val="004D69BA"/>
    <w:rsid w:val="004D73F4"/>
    <w:rsid w:val="004D7C86"/>
    <w:rsid w:val="004D7D34"/>
    <w:rsid w:val="004E0096"/>
    <w:rsid w:val="004E0197"/>
    <w:rsid w:val="004E08C6"/>
    <w:rsid w:val="004E0940"/>
    <w:rsid w:val="004E098D"/>
    <w:rsid w:val="004E0EF4"/>
    <w:rsid w:val="004E1122"/>
    <w:rsid w:val="004E1409"/>
    <w:rsid w:val="004E140B"/>
    <w:rsid w:val="004E1599"/>
    <w:rsid w:val="004E1828"/>
    <w:rsid w:val="004E1A87"/>
    <w:rsid w:val="004E1BB0"/>
    <w:rsid w:val="004E200B"/>
    <w:rsid w:val="004E2286"/>
    <w:rsid w:val="004E28A9"/>
    <w:rsid w:val="004E2AFD"/>
    <w:rsid w:val="004E3030"/>
    <w:rsid w:val="004E3311"/>
    <w:rsid w:val="004E34FD"/>
    <w:rsid w:val="004E38EC"/>
    <w:rsid w:val="004E3933"/>
    <w:rsid w:val="004E3DF7"/>
    <w:rsid w:val="004E404A"/>
    <w:rsid w:val="004E415F"/>
    <w:rsid w:val="004E4549"/>
    <w:rsid w:val="004E45D8"/>
    <w:rsid w:val="004E49E9"/>
    <w:rsid w:val="004E4C83"/>
    <w:rsid w:val="004E4CEA"/>
    <w:rsid w:val="004E4D53"/>
    <w:rsid w:val="004E4D84"/>
    <w:rsid w:val="004E4EBC"/>
    <w:rsid w:val="004E4EF3"/>
    <w:rsid w:val="004E50FD"/>
    <w:rsid w:val="004E5104"/>
    <w:rsid w:val="004E5712"/>
    <w:rsid w:val="004E584B"/>
    <w:rsid w:val="004E5B06"/>
    <w:rsid w:val="004E5D5B"/>
    <w:rsid w:val="004E5FA8"/>
    <w:rsid w:val="004E636A"/>
    <w:rsid w:val="004E6580"/>
    <w:rsid w:val="004E684C"/>
    <w:rsid w:val="004E6A82"/>
    <w:rsid w:val="004E6FF1"/>
    <w:rsid w:val="004E72BD"/>
    <w:rsid w:val="004E736D"/>
    <w:rsid w:val="004E76DB"/>
    <w:rsid w:val="004E78FD"/>
    <w:rsid w:val="004E7C86"/>
    <w:rsid w:val="004E7CDA"/>
    <w:rsid w:val="004F063B"/>
    <w:rsid w:val="004F1041"/>
    <w:rsid w:val="004F1097"/>
    <w:rsid w:val="004F17F8"/>
    <w:rsid w:val="004F1940"/>
    <w:rsid w:val="004F19A1"/>
    <w:rsid w:val="004F1F90"/>
    <w:rsid w:val="004F20C3"/>
    <w:rsid w:val="004F2185"/>
    <w:rsid w:val="004F2235"/>
    <w:rsid w:val="004F2401"/>
    <w:rsid w:val="004F241B"/>
    <w:rsid w:val="004F28F8"/>
    <w:rsid w:val="004F2A44"/>
    <w:rsid w:val="004F2DAD"/>
    <w:rsid w:val="004F2DB7"/>
    <w:rsid w:val="004F305B"/>
    <w:rsid w:val="004F34F7"/>
    <w:rsid w:val="004F393D"/>
    <w:rsid w:val="004F39D5"/>
    <w:rsid w:val="004F3CF0"/>
    <w:rsid w:val="004F3F18"/>
    <w:rsid w:val="004F498E"/>
    <w:rsid w:val="004F5358"/>
    <w:rsid w:val="004F55D6"/>
    <w:rsid w:val="004F565A"/>
    <w:rsid w:val="004F571B"/>
    <w:rsid w:val="004F577C"/>
    <w:rsid w:val="004F5922"/>
    <w:rsid w:val="004F5A9D"/>
    <w:rsid w:val="004F5D9E"/>
    <w:rsid w:val="004F6227"/>
    <w:rsid w:val="004F63D5"/>
    <w:rsid w:val="004F64EB"/>
    <w:rsid w:val="004F6501"/>
    <w:rsid w:val="004F715D"/>
    <w:rsid w:val="004F72DA"/>
    <w:rsid w:val="004F7477"/>
    <w:rsid w:val="004F7587"/>
    <w:rsid w:val="004F7A74"/>
    <w:rsid w:val="004F7FAE"/>
    <w:rsid w:val="00500250"/>
    <w:rsid w:val="00500264"/>
    <w:rsid w:val="0050065F"/>
    <w:rsid w:val="005007C6"/>
    <w:rsid w:val="00500824"/>
    <w:rsid w:val="005009BA"/>
    <w:rsid w:val="00500DAB"/>
    <w:rsid w:val="005010B5"/>
    <w:rsid w:val="00501144"/>
    <w:rsid w:val="005011B6"/>
    <w:rsid w:val="005012B4"/>
    <w:rsid w:val="005013EF"/>
    <w:rsid w:val="0050141C"/>
    <w:rsid w:val="005016CC"/>
    <w:rsid w:val="005019E0"/>
    <w:rsid w:val="00501C76"/>
    <w:rsid w:val="00501D4F"/>
    <w:rsid w:val="0050211F"/>
    <w:rsid w:val="005022E7"/>
    <w:rsid w:val="0050241C"/>
    <w:rsid w:val="0050260D"/>
    <w:rsid w:val="0050294E"/>
    <w:rsid w:val="00502A93"/>
    <w:rsid w:val="00502EFB"/>
    <w:rsid w:val="00503739"/>
    <w:rsid w:val="00503C2A"/>
    <w:rsid w:val="0050405D"/>
    <w:rsid w:val="0050439D"/>
    <w:rsid w:val="00504508"/>
    <w:rsid w:val="005046C8"/>
    <w:rsid w:val="005049E9"/>
    <w:rsid w:val="00504E10"/>
    <w:rsid w:val="00505C12"/>
    <w:rsid w:val="00505C8D"/>
    <w:rsid w:val="00506048"/>
    <w:rsid w:val="00506083"/>
    <w:rsid w:val="0050617A"/>
    <w:rsid w:val="00506403"/>
    <w:rsid w:val="005068D6"/>
    <w:rsid w:val="00506971"/>
    <w:rsid w:val="00506B86"/>
    <w:rsid w:val="00506C4B"/>
    <w:rsid w:val="00506EEC"/>
    <w:rsid w:val="00506FD4"/>
    <w:rsid w:val="00507539"/>
    <w:rsid w:val="0050770D"/>
    <w:rsid w:val="00507D84"/>
    <w:rsid w:val="005107BD"/>
    <w:rsid w:val="005107FF"/>
    <w:rsid w:val="00510993"/>
    <w:rsid w:val="0051099C"/>
    <w:rsid w:val="00510B97"/>
    <w:rsid w:val="00510CBC"/>
    <w:rsid w:val="0051102D"/>
    <w:rsid w:val="005111CD"/>
    <w:rsid w:val="005112A5"/>
    <w:rsid w:val="0051157B"/>
    <w:rsid w:val="005118ED"/>
    <w:rsid w:val="00511AA3"/>
    <w:rsid w:val="00511F48"/>
    <w:rsid w:val="00512448"/>
    <w:rsid w:val="0051253A"/>
    <w:rsid w:val="0051266C"/>
    <w:rsid w:val="0051268B"/>
    <w:rsid w:val="0051278B"/>
    <w:rsid w:val="00512DE2"/>
    <w:rsid w:val="0051305A"/>
    <w:rsid w:val="005132D0"/>
    <w:rsid w:val="00513341"/>
    <w:rsid w:val="005138D2"/>
    <w:rsid w:val="005138EF"/>
    <w:rsid w:val="00513B72"/>
    <w:rsid w:val="00513CA7"/>
    <w:rsid w:val="00513D6A"/>
    <w:rsid w:val="00514005"/>
    <w:rsid w:val="005143D8"/>
    <w:rsid w:val="00514A28"/>
    <w:rsid w:val="00514E06"/>
    <w:rsid w:val="00514E53"/>
    <w:rsid w:val="00514EB3"/>
    <w:rsid w:val="005151B1"/>
    <w:rsid w:val="00515277"/>
    <w:rsid w:val="00515297"/>
    <w:rsid w:val="005158C2"/>
    <w:rsid w:val="00515A09"/>
    <w:rsid w:val="00515BCB"/>
    <w:rsid w:val="005169DE"/>
    <w:rsid w:val="00516B56"/>
    <w:rsid w:val="00516D4E"/>
    <w:rsid w:val="00516E5F"/>
    <w:rsid w:val="00516E92"/>
    <w:rsid w:val="0051754D"/>
    <w:rsid w:val="0051785D"/>
    <w:rsid w:val="00517913"/>
    <w:rsid w:val="00517AD6"/>
    <w:rsid w:val="00517C47"/>
    <w:rsid w:val="00517EC1"/>
    <w:rsid w:val="0052005F"/>
    <w:rsid w:val="00520200"/>
    <w:rsid w:val="00520541"/>
    <w:rsid w:val="00520E2D"/>
    <w:rsid w:val="00520F04"/>
    <w:rsid w:val="00521717"/>
    <w:rsid w:val="00521726"/>
    <w:rsid w:val="00522155"/>
    <w:rsid w:val="005224B2"/>
    <w:rsid w:val="00523386"/>
    <w:rsid w:val="00523640"/>
    <w:rsid w:val="005236B2"/>
    <w:rsid w:val="005236D2"/>
    <w:rsid w:val="00523B23"/>
    <w:rsid w:val="00523CEF"/>
    <w:rsid w:val="00523DFA"/>
    <w:rsid w:val="00523E91"/>
    <w:rsid w:val="005242C6"/>
    <w:rsid w:val="005246F9"/>
    <w:rsid w:val="0052478B"/>
    <w:rsid w:val="00524C08"/>
    <w:rsid w:val="00524CCD"/>
    <w:rsid w:val="005254BC"/>
    <w:rsid w:val="005256FC"/>
    <w:rsid w:val="005269EA"/>
    <w:rsid w:val="00526C27"/>
    <w:rsid w:val="00526DFF"/>
    <w:rsid w:val="00527473"/>
    <w:rsid w:val="00527EF9"/>
    <w:rsid w:val="005305FE"/>
    <w:rsid w:val="005305FF"/>
    <w:rsid w:val="005309D6"/>
    <w:rsid w:val="00530C9B"/>
    <w:rsid w:val="00531125"/>
    <w:rsid w:val="005311D0"/>
    <w:rsid w:val="00532173"/>
    <w:rsid w:val="005321D0"/>
    <w:rsid w:val="00532334"/>
    <w:rsid w:val="005324AF"/>
    <w:rsid w:val="005324C0"/>
    <w:rsid w:val="0053254C"/>
    <w:rsid w:val="005327B1"/>
    <w:rsid w:val="00532F52"/>
    <w:rsid w:val="00533EEA"/>
    <w:rsid w:val="0053402C"/>
    <w:rsid w:val="00534090"/>
    <w:rsid w:val="00534551"/>
    <w:rsid w:val="005346F4"/>
    <w:rsid w:val="00534ABA"/>
    <w:rsid w:val="00534B83"/>
    <w:rsid w:val="00534F58"/>
    <w:rsid w:val="00534F8E"/>
    <w:rsid w:val="005354A0"/>
    <w:rsid w:val="0053555A"/>
    <w:rsid w:val="00535567"/>
    <w:rsid w:val="00535700"/>
    <w:rsid w:val="005357CD"/>
    <w:rsid w:val="00535FF2"/>
    <w:rsid w:val="00535FFF"/>
    <w:rsid w:val="0053616F"/>
    <w:rsid w:val="0053627C"/>
    <w:rsid w:val="005368AD"/>
    <w:rsid w:val="00536CFE"/>
    <w:rsid w:val="005370BC"/>
    <w:rsid w:val="00537391"/>
    <w:rsid w:val="0053765B"/>
    <w:rsid w:val="00537B35"/>
    <w:rsid w:val="00537BE3"/>
    <w:rsid w:val="00537DE7"/>
    <w:rsid w:val="00537EC4"/>
    <w:rsid w:val="00537F69"/>
    <w:rsid w:val="00537F94"/>
    <w:rsid w:val="00537FE0"/>
    <w:rsid w:val="00537FE4"/>
    <w:rsid w:val="0054011C"/>
    <w:rsid w:val="0054027D"/>
    <w:rsid w:val="005403F4"/>
    <w:rsid w:val="00540671"/>
    <w:rsid w:val="00540975"/>
    <w:rsid w:val="00541058"/>
    <w:rsid w:val="00541222"/>
    <w:rsid w:val="005418DF"/>
    <w:rsid w:val="0054194F"/>
    <w:rsid w:val="00541A35"/>
    <w:rsid w:val="00541A8D"/>
    <w:rsid w:val="005429FF"/>
    <w:rsid w:val="00543D40"/>
    <w:rsid w:val="00544134"/>
    <w:rsid w:val="005442E7"/>
    <w:rsid w:val="005447D6"/>
    <w:rsid w:val="00544DA0"/>
    <w:rsid w:val="0054509C"/>
    <w:rsid w:val="005450CE"/>
    <w:rsid w:val="005454BD"/>
    <w:rsid w:val="005457E4"/>
    <w:rsid w:val="00545D1E"/>
    <w:rsid w:val="005463E2"/>
    <w:rsid w:val="0054644F"/>
    <w:rsid w:val="005467B0"/>
    <w:rsid w:val="00546845"/>
    <w:rsid w:val="00546C49"/>
    <w:rsid w:val="00546D0B"/>
    <w:rsid w:val="00546E61"/>
    <w:rsid w:val="005472AF"/>
    <w:rsid w:val="005475CB"/>
    <w:rsid w:val="00547A45"/>
    <w:rsid w:val="00547F3C"/>
    <w:rsid w:val="00547F56"/>
    <w:rsid w:val="0055010B"/>
    <w:rsid w:val="005509D1"/>
    <w:rsid w:val="00550A36"/>
    <w:rsid w:val="00550CDC"/>
    <w:rsid w:val="00550D59"/>
    <w:rsid w:val="00550E92"/>
    <w:rsid w:val="0055109E"/>
    <w:rsid w:val="0055110D"/>
    <w:rsid w:val="00551311"/>
    <w:rsid w:val="00551327"/>
    <w:rsid w:val="005514B8"/>
    <w:rsid w:val="005514E2"/>
    <w:rsid w:val="00551D82"/>
    <w:rsid w:val="00551F81"/>
    <w:rsid w:val="0055210F"/>
    <w:rsid w:val="005524B4"/>
    <w:rsid w:val="005528DD"/>
    <w:rsid w:val="00552A8B"/>
    <w:rsid w:val="00552CD7"/>
    <w:rsid w:val="00552D92"/>
    <w:rsid w:val="005533BE"/>
    <w:rsid w:val="00553C98"/>
    <w:rsid w:val="00553D34"/>
    <w:rsid w:val="00553F34"/>
    <w:rsid w:val="00553F98"/>
    <w:rsid w:val="005540EB"/>
    <w:rsid w:val="0055451C"/>
    <w:rsid w:val="005546AF"/>
    <w:rsid w:val="00554807"/>
    <w:rsid w:val="00554B30"/>
    <w:rsid w:val="00554B92"/>
    <w:rsid w:val="00554FFB"/>
    <w:rsid w:val="005551F3"/>
    <w:rsid w:val="0055602D"/>
    <w:rsid w:val="005561E2"/>
    <w:rsid w:val="00556266"/>
    <w:rsid w:val="005564F0"/>
    <w:rsid w:val="005568A0"/>
    <w:rsid w:val="005568DE"/>
    <w:rsid w:val="00556988"/>
    <w:rsid w:val="00556D1D"/>
    <w:rsid w:val="005575E5"/>
    <w:rsid w:val="00557A6C"/>
    <w:rsid w:val="00557A83"/>
    <w:rsid w:val="00557C50"/>
    <w:rsid w:val="00557E1C"/>
    <w:rsid w:val="00560148"/>
    <w:rsid w:val="005606B6"/>
    <w:rsid w:val="005608D6"/>
    <w:rsid w:val="00560F19"/>
    <w:rsid w:val="0056118C"/>
    <w:rsid w:val="00561D2A"/>
    <w:rsid w:val="00561DDD"/>
    <w:rsid w:val="00561E6B"/>
    <w:rsid w:val="005621D2"/>
    <w:rsid w:val="005621E0"/>
    <w:rsid w:val="005625BB"/>
    <w:rsid w:val="00562812"/>
    <w:rsid w:val="00562A73"/>
    <w:rsid w:val="00562D90"/>
    <w:rsid w:val="00562E70"/>
    <w:rsid w:val="00563317"/>
    <w:rsid w:val="00563571"/>
    <w:rsid w:val="00563717"/>
    <w:rsid w:val="00563753"/>
    <w:rsid w:val="00563A23"/>
    <w:rsid w:val="00563A5A"/>
    <w:rsid w:val="00563C61"/>
    <w:rsid w:val="00563ECB"/>
    <w:rsid w:val="00563F47"/>
    <w:rsid w:val="005640BB"/>
    <w:rsid w:val="005644B8"/>
    <w:rsid w:val="00564C23"/>
    <w:rsid w:val="00564C7C"/>
    <w:rsid w:val="00564DCC"/>
    <w:rsid w:val="00565002"/>
    <w:rsid w:val="0056518F"/>
    <w:rsid w:val="005651C4"/>
    <w:rsid w:val="005652B8"/>
    <w:rsid w:val="00565406"/>
    <w:rsid w:val="00565570"/>
    <w:rsid w:val="005657DD"/>
    <w:rsid w:val="00565B29"/>
    <w:rsid w:val="005660CA"/>
    <w:rsid w:val="005664CC"/>
    <w:rsid w:val="0056664B"/>
    <w:rsid w:val="00566775"/>
    <w:rsid w:val="005670C9"/>
    <w:rsid w:val="00567191"/>
    <w:rsid w:val="00567588"/>
    <w:rsid w:val="00567599"/>
    <w:rsid w:val="00567762"/>
    <w:rsid w:val="005678A1"/>
    <w:rsid w:val="00567992"/>
    <w:rsid w:val="00567C3C"/>
    <w:rsid w:val="00570095"/>
    <w:rsid w:val="005702F8"/>
    <w:rsid w:val="005703FD"/>
    <w:rsid w:val="00570AE8"/>
    <w:rsid w:val="00570BEC"/>
    <w:rsid w:val="00570F49"/>
    <w:rsid w:val="00571231"/>
    <w:rsid w:val="00571260"/>
    <w:rsid w:val="00571767"/>
    <w:rsid w:val="00571AD6"/>
    <w:rsid w:val="00571B07"/>
    <w:rsid w:val="00571E44"/>
    <w:rsid w:val="0057227B"/>
    <w:rsid w:val="0057235C"/>
    <w:rsid w:val="005727F4"/>
    <w:rsid w:val="00572AE0"/>
    <w:rsid w:val="00573464"/>
    <w:rsid w:val="00573D22"/>
    <w:rsid w:val="00573E61"/>
    <w:rsid w:val="0057411B"/>
    <w:rsid w:val="00574437"/>
    <w:rsid w:val="00574525"/>
    <w:rsid w:val="005745C7"/>
    <w:rsid w:val="00574778"/>
    <w:rsid w:val="0057498F"/>
    <w:rsid w:val="00574DE9"/>
    <w:rsid w:val="0057556A"/>
    <w:rsid w:val="00575953"/>
    <w:rsid w:val="00575BBF"/>
    <w:rsid w:val="00575CE8"/>
    <w:rsid w:val="00575DF4"/>
    <w:rsid w:val="005760C3"/>
    <w:rsid w:val="0057610F"/>
    <w:rsid w:val="0057628B"/>
    <w:rsid w:val="0057629E"/>
    <w:rsid w:val="00577237"/>
    <w:rsid w:val="0057728C"/>
    <w:rsid w:val="0057765D"/>
    <w:rsid w:val="005777FC"/>
    <w:rsid w:val="00577868"/>
    <w:rsid w:val="00577910"/>
    <w:rsid w:val="00577EF4"/>
    <w:rsid w:val="0058081C"/>
    <w:rsid w:val="0058089D"/>
    <w:rsid w:val="005808EB"/>
    <w:rsid w:val="005809AE"/>
    <w:rsid w:val="00580D37"/>
    <w:rsid w:val="005811ED"/>
    <w:rsid w:val="0058136D"/>
    <w:rsid w:val="0058198E"/>
    <w:rsid w:val="00581E08"/>
    <w:rsid w:val="00581FA0"/>
    <w:rsid w:val="00581FB8"/>
    <w:rsid w:val="00582767"/>
    <w:rsid w:val="00582B55"/>
    <w:rsid w:val="00582B90"/>
    <w:rsid w:val="00583134"/>
    <w:rsid w:val="005831A7"/>
    <w:rsid w:val="005832E4"/>
    <w:rsid w:val="00583321"/>
    <w:rsid w:val="005833B6"/>
    <w:rsid w:val="0058341E"/>
    <w:rsid w:val="0058362B"/>
    <w:rsid w:val="0058371E"/>
    <w:rsid w:val="00583844"/>
    <w:rsid w:val="00583DD3"/>
    <w:rsid w:val="005841B6"/>
    <w:rsid w:val="0058496C"/>
    <w:rsid w:val="00584BFF"/>
    <w:rsid w:val="00584F3A"/>
    <w:rsid w:val="00584F89"/>
    <w:rsid w:val="0058506F"/>
    <w:rsid w:val="005853AB"/>
    <w:rsid w:val="00585748"/>
    <w:rsid w:val="005859C5"/>
    <w:rsid w:val="00585A03"/>
    <w:rsid w:val="00585C6C"/>
    <w:rsid w:val="00585C79"/>
    <w:rsid w:val="00585D5F"/>
    <w:rsid w:val="00585FD0"/>
    <w:rsid w:val="00586144"/>
    <w:rsid w:val="00586546"/>
    <w:rsid w:val="00586E3D"/>
    <w:rsid w:val="00587785"/>
    <w:rsid w:val="0058788D"/>
    <w:rsid w:val="00587BA9"/>
    <w:rsid w:val="00587E29"/>
    <w:rsid w:val="00587EBE"/>
    <w:rsid w:val="00587FE6"/>
    <w:rsid w:val="0059018B"/>
    <w:rsid w:val="0059040D"/>
    <w:rsid w:val="00590761"/>
    <w:rsid w:val="00590F54"/>
    <w:rsid w:val="0059128F"/>
    <w:rsid w:val="005915FD"/>
    <w:rsid w:val="00591698"/>
    <w:rsid w:val="005917D9"/>
    <w:rsid w:val="00591B39"/>
    <w:rsid w:val="00591C6F"/>
    <w:rsid w:val="00591DEE"/>
    <w:rsid w:val="005920F7"/>
    <w:rsid w:val="00592157"/>
    <w:rsid w:val="00592159"/>
    <w:rsid w:val="00592320"/>
    <w:rsid w:val="00593314"/>
    <w:rsid w:val="005937C1"/>
    <w:rsid w:val="00593A5F"/>
    <w:rsid w:val="00593B87"/>
    <w:rsid w:val="00593C1C"/>
    <w:rsid w:val="00593D82"/>
    <w:rsid w:val="00593E94"/>
    <w:rsid w:val="00594143"/>
    <w:rsid w:val="00594543"/>
    <w:rsid w:val="00594583"/>
    <w:rsid w:val="005945A2"/>
    <w:rsid w:val="00594612"/>
    <w:rsid w:val="00594B34"/>
    <w:rsid w:val="005954D7"/>
    <w:rsid w:val="00595873"/>
    <w:rsid w:val="00595A68"/>
    <w:rsid w:val="00595CDD"/>
    <w:rsid w:val="0059611D"/>
    <w:rsid w:val="005964BB"/>
    <w:rsid w:val="00596A70"/>
    <w:rsid w:val="00596BD3"/>
    <w:rsid w:val="00596BE7"/>
    <w:rsid w:val="00596C3E"/>
    <w:rsid w:val="00596FAB"/>
    <w:rsid w:val="005977DD"/>
    <w:rsid w:val="005A04BD"/>
    <w:rsid w:val="005A050E"/>
    <w:rsid w:val="005A0A3F"/>
    <w:rsid w:val="005A0BEF"/>
    <w:rsid w:val="005A0DAF"/>
    <w:rsid w:val="005A110F"/>
    <w:rsid w:val="005A114F"/>
    <w:rsid w:val="005A1690"/>
    <w:rsid w:val="005A1DC7"/>
    <w:rsid w:val="005A1F49"/>
    <w:rsid w:val="005A2364"/>
    <w:rsid w:val="005A2480"/>
    <w:rsid w:val="005A2488"/>
    <w:rsid w:val="005A26E6"/>
    <w:rsid w:val="005A2B2C"/>
    <w:rsid w:val="005A2B73"/>
    <w:rsid w:val="005A2D26"/>
    <w:rsid w:val="005A2D6B"/>
    <w:rsid w:val="005A2FF8"/>
    <w:rsid w:val="005A3252"/>
    <w:rsid w:val="005A33F7"/>
    <w:rsid w:val="005A37A7"/>
    <w:rsid w:val="005A3E8D"/>
    <w:rsid w:val="005A40CF"/>
    <w:rsid w:val="005A419C"/>
    <w:rsid w:val="005A49B6"/>
    <w:rsid w:val="005A4A9C"/>
    <w:rsid w:val="005A4B77"/>
    <w:rsid w:val="005A4BAE"/>
    <w:rsid w:val="005A4CA9"/>
    <w:rsid w:val="005A4F39"/>
    <w:rsid w:val="005A50B7"/>
    <w:rsid w:val="005A51A0"/>
    <w:rsid w:val="005A5485"/>
    <w:rsid w:val="005A574D"/>
    <w:rsid w:val="005A5ABE"/>
    <w:rsid w:val="005A5B5C"/>
    <w:rsid w:val="005A6007"/>
    <w:rsid w:val="005A6748"/>
    <w:rsid w:val="005A6989"/>
    <w:rsid w:val="005A6B05"/>
    <w:rsid w:val="005A6E93"/>
    <w:rsid w:val="005A707A"/>
    <w:rsid w:val="005A7340"/>
    <w:rsid w:val="005A7520"/>
    <w:rsid w:val="005A7F93"/>
    <w:rsid w:val="005B067E"/>
    <w:rsid w:val="005B0795"/>
    <w:rsid w:val="005B07EA"/>
    <w:rsid w:val="005B0B20"/>
    <w:rsid w:val="005B0BD6"/>
    <w:rsid w:val="005B0C43"/>
    <w:rsid w:val="005B0ECB"/>
    <w:rsid w:val="005B0EFB"/>
    <w:rsid w:val="005B1060"/>
    <w:rsid w:val="005B12B9"/>
    <w:rsid w:val="005B17C1"/>
    <w:rsid w:val="005B1C4A"/>
    <w:rsid w:val="005B1D37"/>
    <w:rsid w:val="005B1D5A"/>
    <w:rsid w:val="005B2ACD"/>
    <w:rsid w:val="005B2EB8"/>
    <w:rsid w:val="005B36CE"/>
    <w:rsid w:val="005B3737"/>
    <w:rsid w:val="005B3A42"/>
    <w:rsid w:val="005B3C67"/>
    <w:rsid w:val="005B3C95"/>
    <w:rsid w:val="005B401A"/>
    <w:rsid w:val="005B415E"/>
    <w:rsid w:val="005B43B1"/>
    <w:rsid w:val="005B4404"/>
    <w:rsid w:val="005B4DBE"/>
    <w:rsid w:val="005B5908"/>
    <w:rsid w:val="005B5B77"/>
    <w:rsid w:val="005B5B81"/>
    <w:rsid w:val="005B5D40"/>
    <w:rsid w:val="005B5EFC"/>
    <w:rsid w:val="005B6412"/>
    <w:rsid w:val="005B6698"/>
    <w:rsid w:val="005B6808"/>
    <w:rsid w:val="005B68A7"/>
    <w:rsid w:val="005B6AC3"/>
    <w:rsid w:val="005B6B4B"/>
    <w:rsid w:val="005B6B61"/>
    <w:rsid w:val="005B75AE"/>
    <w:rsid w:val="005B7ADB"/>
    <w:rsid w:val="005B7B31"/>
    <w:rsid w:val="005B7C2E"/>
    <w:rsid w:val="005B7C69"/>
    <w:rsid w:val="005B7DC6"/>
    <w:rsid w:val="005C0402"/>
    <w:rsid w:val="005C055E"/>
    <w:rsid w:val="005C0560"/>
    <w:rsid w:val="005C0A81"/>
    <w:rsid w:val="005C0B88"/>
    <w:rsid w:val="005C0D1B"/>
    <w:rsid w:val="005C0EA9"/>
    <w:rsid w:val="005C0EC0"/>
    <w:rsid w:val="005C0FA1"/>
    <w:rsid w:val="005C111C"/>
    <w:rsid w:val="005C14A6"/>
    <w:rsid w:val="005C1615"/>
    <w:rsid w:val="005C1D7A"/>
    <w:rsid w:val="005C1D98"/>
    <w:rsid w:val="005C1DA5"/>
    <w:rsid w:val="005C23A1"/>
    <w:rsid w:val="005C23F9"/>
    <w:rsid w:val="005C2559"/>
    <w:rsid w:val="005C26CF"/>
    <w:rsid w:val="005C277A"/>
    <w:rsid w:val="005C2873"/>
    <w:rsid w:val="005C34FC"/>
    <w:rsid w:val="005C3B5C"/>
    <w:rsid w:val="005C3BAB"/>
    <w:rsid w:val="005C3C7F"/>
    <w:rsid w:val="005C3CB2"/>
    <w:rsid w:val="005C43B4"/>
    <w:rsid w:val="005C4528"/>
    <w:rsid w:val="005C49D6"/>
    <w:rsid w:val="005C5143"/>
    <w:rsid w:val="005C5639"/>
    <w:rsid w:val="005C5742"/>
    <w:rsid w:val="005C5762"/>
    <w:rsid w:val="005C5A57"/>
    <w:rsid w:val="005C5E1B"/>
    <w:rsid w:val="005C5F17"/>
    <w:rsid w:val="005C601D"/>
    <w:rsid w:val="005C6CA5"/>
    <w:rsid w:val="005C6E5B"/>
    <w:rsid w:val="005C711D"/>
    <w:rsid w:val="005C732C"/>
    <w:rsid w:val="005C750F"/>
    <w:rsid w:val="005C760E"/>
    <w:rsid w:val="005C76CA"/>
    <w:rsid w:val="005C7ACF"/>
    <w:rsid w:val="005C7DDC"/>
    <w:rsid w:val="005C7E9E"/>
    <w:rsid w:val="005D0014"/>
    <w:rsid w:val="005D013D"/>
    <w:rsid w:val="005D074E"/>
    <w:rsid w:val="005D07E1"/>
    <w:rsid w:val="005D17C1"/>
    <w:rsid w:val="005D18C9"/>
    <w:rsid w:val="005D1B72"/>
    <w:rsid w:val="005D2192"/>
    <w:rsid w:val="005D2454"/>
    <w:rsid w:val="005D2471"/>
    <w:rsid w:val="005D25A3"/>
    <w:rsid w:val="005D2779"/>
    <w:rsid w:val="005D2C16"/>
    <w:rsid w:val="005D2C7A"/>
    <w:rsid w:val="005D2C8E"/>
    <w:rsid w:val="005D3242"/>
    <w:rsid w:val="005D35A7"/>
    <w:rsid w:val="005D3982"/>
    <w:rsid w:val="005D3A5E"/>
    <w:rsid w:val="005D3D9F"/>
    <w:rsid w:val="005D48B1"/>
    <w:rsid w:val="005D4E30"/>
    <w:rsid w:val="005D4F5C"/>
    <w:rsid w:val="005D5AB4"/>
    <w:rsid w:val="005D5FF5"/>
    <w:rsid w:val="005D610C"/>
    <w:rsid w:val="005D6BF8"/>
    <w:rsid w:val="005D6E02"/>
    <w:rsid w:val="005D6EA0"/>
    <w:rsid w:val="005D74E7"/>
    <w:rsid w:val="005D7B4A"/>
    <w:rsid w:val="005D7C64"/>
    <w:rsid w:val="005D7F7B"/>
    <w:rsid w:val="005E0243"/>
    <w:rsid w:val="005E06F1"/>
    <w:rsid w:val="005E0DB2"/>
    <w:rsid w:val="005E1266"/>
    <w:rsid w:val="005E1A51"/>
    <w:rsid w:val="005E2578"/>
    <w:rsid w:val="005E281D"/>
    <w:rsid w:val="005E2CB6"/>
    <w:rsid w:val="005E2EDB"/>
    <w:rsid w:val="005E38E0"/>
    <w:rsid w:val="005E3B67"/>
    <w:rsid w:val="005E3BCD"/>
    <w:rsid w:val="005E46A7"/>
    <w:rsid w:val="005E4A87"/>
    <w:rsid w:val="005E4DA5"/>
    <w:rsid w:val="005E503E"/>
    <w:rsid w:val="005E51AD"/>
    <w:rsid w:val="005E53DB"/>
    <w:rsid w:val="005E53F1"/>
    <w:rsid w:val="005E59C7"/>
    <w:rsid w:val="005E5A42"/>
    <w:rsid w:val="005E5D5C"/>
    <w:rsid w:val="005E5E7B"/>
    <w:rsid w:val="005E6095"/>
    <w:rsid w:val="005E644F"/>
    <w:rsid w:val="005E6738"/>
    <w:rsid w:val="005E6A3F"/>
    <w:rsid w:val="005E6DB8"/>
    <w:rsid w:val="005E7228"/>
    <w:rsid w:val="005E7284"/>
    <w:rsid w:val="005E74C0"/>
    <w:rsid w:val="005E757E"/>
    <w:rsid w:val="005E7BAC"/>
    <w:rsid w:val="005E7D0C"/>
    <w:rsid w:val="005F019B"/>
    <w:rsid w:val="005F0666"/>
    <w:rsid w:val="005F0886"/>
    <w:rsid w:val="005F0E5C"/>
    <w:rsid w:val="005F0FF9"/>
    <w:rsid w:val="005F134E"/>
    <w:rsid w:val="005F1365"/>
    <w:rsid w:val="005F185B"/>
    <w:rsid w:val="005F1E52"/>
    <w:rsid w:val="005F21B8"/>
    <w:rsid w:val="005F2C1F"/>
    <w:rsid w:val="005F2E44"/>
    <w:rsid w:val="005F2F29"/>
    <w:rsid w:val="005F2F93"/>
    <w:rsid w:val="005F3369"/>
    <w:rsid w:val="005F3690"/>
    <w:rsid w:val="005F3933"/>
    <w:rsid w:val="005F3986"/>
    <w:rsid w:val="005F4603"/>
    <w:rsid w:val="005F4C57"/>
    <w:rsid w:val="005F568C"/>
    <w:rsid w:val="005F56D2"/>
    <w:rsid w:val="005F5A80"/>
    <w:rsid w:val="005F6249"/>
    <w:rsid w:val="005F6774"/>
    <w:rsid w:val="005F7028"/>
    <w:rsid w:val="005F7228"/>
    <w:rsid w:val="005F75AF"/>
    <w:rsid w:val="005F79AA"/>
    <w:rsid w:val="005F7B7C"/>
    <w:rsid w:val="005F7FCC"/>
    <w:rsid w:val="0060044B"/>
    <w:rsid w:val="0060051F"/>
    <w:rsid w:val="00601187"/>
    <w:rsid w:val="006013D7"/>
    <w:rsid w:val="006014DB"/>
    <w:rsid w:val="00601544"/>
    <w:rsid w:val="00601587"/>
    <w:rsid w:val="00601628"/>
    <w:rsid w:val="00601788"/>
    <w:rsid w:val="00601882"/>
    <w:rsid w:val="00601B4B"/>
    <w:rsid w:val="00602079"/>
    <w:rsid w:val="006022F3"/>
    <w:rsid w:val="00602579"/>
    <w:rsid w:val="00602AFE"/>
    <w:rsid w:val="00602BA4"/>
    <w:rsid w:val="00602DA2"/>
    <w:rsid w:val="00602FF4"/>
    <w:rsid w:val="00603228"/>
    <w:rsid w:val="00604739"/>
    <w:rsid w:val="00604823"/>
    <w:rsid w:val="006049B2"/>
    <w:rsid w:val="00604A62"/>
    <w:rsid w:val="00604ACD"/>
    <w:rsid w:val="00604C15"/>
    <w:rsid w:val="00604DC2"/>
    <w:rsid w:val="00604F12"/>
    <w:rsid w:val="00604FED"/>
    <w:rsid w:val="0060559D"/>
    <w:rsid w:val="006060C4"/>
    <w:rsid w:val="006064F5"/>
    <w:rsid w:val="00606A78"/>
    <w:rsid w:val="00606F7F"/>
    <w:rsid w:val="00607300"/>
    <w:rsid w:val="00607AA6"/>
    <w:rsid w:val="00607C35"/>
    <w:rsid w:val="006101BE"/>
    <w:rsid w:val="0061053C"/>
    <w:rsid w:val="00610A43"/>
    <w:rsid w:val="00610BD0"/>
    <w:rsid w:val="00610DFF"/>
    <w:rsid w:val="00611777"/>
    <w:rsid w:val="0061189F"/>
    <w:rsid w:val="00611A74"/>
    <w:rsid w:val="00611EEC"/>
    <w:rsid w:val="0061219B"/>
    <w:rsid w:val="006127FF"/>
    <w:rsid w:val="00612AB2"/>
    <w:rsid w:val="00612D05"/>
    <w:rsid w:val="00612E21"/>
    <w:rsid w:val="0061300D"/>
    <w:rsid w:val="00613480"/>
    <w:rsid w:val="006135FB"/>
    <w:rsid w:val="00613967"/>
    <w:rsid w:val="00613FB6"/>
    <w:rsid w:val="006140C6"/>
    <w:rsid w:val="00614134"/>
    <w:rsid w:val="00614241"/>
    <w:rsid w:val="0061428D"/>
    <w:rsid w:val="006149A4"/>
    <w:rsid w:val="00614FAC"/>
    <w:rsid w:val="0061509C"/>
    <w:rsid w:val="00615411"/>
    <w:rsid w:val="0061545F"/>
    <w:rsid w:val="0061584B"/>
    <w:rsid w:val="0061599E"/>
    <w:rsid w:val="00615AC7"/>
    <w:rsid w:val="00615BFC"/>
    <w:rsid w:val="00615DAF"/>
    <w:rsid w:val="00615ED7"/>
    <w:rsid w:val="00616089"/>
    <w:rsid w:val="006162E6"/>
    <w:rsid w:val="00616490"/>
    <w:rsid w:val="0061674D"/>
    <w:rsid w:val="00616BE8"/>
    <w:rsid w:val="006171A5"/>
    <w:rsid w:val="00617A06"/>
    <w:rsid w:val="00620309"/>
    <w:rsid w:val="0062089F"/>
    <w:rsid w:val="00620B87"/>
    <w:rsid w:val="00620F03"/>
    <w:rsid w:val="00621131"/>
    <w:rsid w:val="00621189"/>
    <w:rsid w:val="0062128E"/>
    <w:rsid w:val="00621426"/>
    <w:rsid w:val="0062144D"/>
    <w:rsid w:val="0062159D"/>
    <w:rsid w:val="00621680"/>
    <w:rsid w:val="0062178C"/>
    <w:rsid w:val="00621AE9"/>
    <w:rsid w:val="00621EC5"/>
    <w:rsid w:val="00622062"/>
    <w:rsid w:val="0062212F"/>
    <w:rsid w:val="006223E0"/>
    <w:rsid w:val="006224D0"/>
    <w:rsid w:val="006225BF"/>
    <w:rsid w:val="006226A3"/>
    <w:rsid w:val="00622899"/>
    <w:rsid w:val="00622BCE"/>
    <w:rsid w:val="00622C83"/>
    <w:rsid w:val="00622E29"/>
    <w:rsid w:val="00623643"/>
    <w:rsid w:val="00623AFD"/>
    <w:rsid w:val="00623F42"/>
    <w:rsid w:val="00624018"/>
    <w:rsid w:val="006240C4"/>
    <w:rsid w:val="0062417E"/>
    <w:rsid w:val="00624180"/>
    <w:rsid w:val="00624768"/>
    <w:rsid w:val="00624A33"/>
    <w:rsid w:val="00624B3C"/>
    <w:rsid w:val="00624B94"/>
    <w:rsid w:val="00624BB6"/>
    <w:rsid w:val="00624C0B"/>
    <w:rsid w:val="00624E1E"/>
    <w:rsid w:val="006252C2"/>
    <w:rsid w:val="00625304"/>
    <w:rsid w:val="006256A0"/>
    <w:rsid w:val="0062581B"/>
    <w:rsid w:val="00625CEA"/>
    <w:rsid w:val="006260EE"/>
    <w:rsid w:val="0062614C"/>
    <w:rsid w:val="006261F4"/>
    <w:rsid w:val="00626204"/>
    <w:rsid w:val="0062644A"/>
    <w:rsid w:val="006268FE"/>
    <w:rsid w:val="00626A1D"/>
    <w:rsid w:val="00626DD4"/>
    <w:rsid w:val="00627646"/>
    <w:rsid w:val="006277DD"/>
    <w:rsid w:val="00627B1F"/>
    <w:rsid w:val="00627BC0"/>
    <w:rsid w:val="0063000A"/>
    <w:rsid w:val="006304B6"/>
    <w:rsid w:val="00630BDD"/>
    <w:rsid w:val="00630CBB"/>
    <w:rsid w:val="0063164E"/>
    <w:rsid w:val="0063179F"/>
    <w:rsid w:val="0063191D"/>
    <w:rsid w:val="00632063"/>
    <w:rsid w:val="0063224A"/>
    <w:rsid w:val="00632480"/>
    <w:rsid w:val="006332CA"/>
    <w:rsid w:val="00633488"/>
    <w:rsid w:val="0063350E"/>
    <w:rsid w:val="00633581"/>
    <w:rsid w:val="0063399F"/>
    <w:rsid w:val="006339AF"/>
    <w:rsid w:val="00633C47"/>
    <w:rsid w:val="0063459A"/>
    <w:rsid w:val="006347A4"/>
    <w:rsid w:val="006348F7"/>
    <w:rsid w:val="00634BE4"/>
    <w:rsid w:val="00634FCD"/>
    <w:rsid w:val="0063512D"/>
    <w:rsid w:val="00635371"/>
    <w:rsid w:val="00635406"/>
    <w:rsid w:val="006357E5"/>
    <w:rsid w:val="006358FB"/>
    <w:rsid w:val="00635AE2"/>
    <w:rsid w:val="00635DE2"/>
    <w:rsid w:val="00635E1E"/>
    <w:rsid w:val="00636395"/>
    <w:rsid w:val="0063677C"/>
    <w:rsid w:val="006368A4"/>
    <w:rsid w:val="00636972"/>
    <w:rsid w:val="00636B69"/>
    <w:rsid w:val="00636BC2"/>
    <w:rsid w:val="00636DEF"/>
    <w:rsid w:val="00637279"/>
    <w:rsid w:val="00637479"/>
    <w:rsid w:val="00640361"/>
    <w:rsid w:val="006404B1"/>
    <w:rsid w:val="006404D1"/>
    <w:rsid w:val="00640C85"/>
    <w:rsid w:val="00640E8D"/>
    <w:rsid w:val="00640EEB"/>
    <w:rsid w:val="00640F33"/>
    <w:rsid w:val="00640F43"/>
    <w:rsid w:val="00640FB1"/>
    <w:rsid w:val="00641200"/>
    <w:rsid w:val="006412CA"/>
    <w:rsid w:val="006415FC"/>
    <w:rsid w:val="006418F1"/>
    <w:rsid w:val="006419D9"/>
    <w:rsid w:val="00641A23"/>
    <w:rsid w:val="00641D34"/>
    <w:rsid w:val="006420DA"/>
    <w:rsid w:val="0064226E"/>
    <w:rsid w:val="006425DD"/>
    <w:rsid w:val="00642719"/>
    <w:rsid w:val="00642A0A"/>
    <w:rsid w:val="00643022"/>
    <w:rsid w:val="006432F7"/>
    <w:rsid w:val="006436A2"/>
    <w:rsid w:val="006438F2"/>
    <w:rsid w:val="00643AC1"/>
    <w:rsid w:val="00643D62"/>
    <w:rsid w:val="00644A5E"/>
    <w:rsid w:val="00644A6C"/>
    <w:rsid w:val="00644D69"/>
    <w:rsid w:val="00644E4F"/>
    <w:rsid w:val="006451E1"/>
    <w:rsid w:val="006457A8"/>
    <w:rsid w:val="006458FB"/>
    <w:rsid w:val="00645E9C"/>
    <w:rsid w:val="00645EA0"/>
    <w:rsid w:val="00645F76"/>
    <w:rsid w:val="00646E54"/>
    <w:rsid w:val="00646E72"/>
    <w:rsid w:val="00646EB0"/>
    <w:rsid w:val="0064714D"/>
    <w:rsid w:val="0064727D"/>
    <w:rsid w:val="006473CE"/>
    <w:rsid w:val="00647460"/>
    <w:rsid w:val="0064777F"/>
    <w:rsid w:val="006477CC"/>
    <w:rsid w:val="0064798C"/>
    <w:rsid w:val="00647B32"/>
    <w:rsid w:val="00647C27"/>
    <w:rsid w:val="00647E1D"/>
    <w:rsid w:val="00647FC9"/>
    <w:rsid w:val="00650240"/>
    <w:rsid w:val="00651388"/>
    <w:rsid w:val="0065192B"/>
    <w:rsid w:val="0065199B"/>
    <w:rsid w:val="006519A2"/>
    <w:rsid w:val="006519E6"/>
    <w:rsid w:val="006519F1"/>
    <w:rsid w:val="00651ACF"/>
    <w:rsid w:val="00651CDE"/>
    <w:rsid w:val="0065224F"/>
    <w:rsid w:val="00652326"/>
    <w:rsid w:val="006524F6"/>
    <w:rsid w:val="006526D9"/>
    <w:rsid w:val="00652793"/>
    <w:rsid w:val="00652907"/>
    <w:rsid w:val="00652A55"/>
    <w:rsid w:val="00652C2F"/>
    <w:rsid w:val="00652C32"/>
    <w:rsid w:val="00652E06"/>
    <w:rsid w:val="00652FD8"/>
    <w:rsid w:val="00653460"/>
    <w:rsid w:val="0065371F"/>
    <w:rsid w:val="00653D85"/>
    <w:rsid w:val="00653FC4"/>
    <w:rsid w:val="006541B7"/>
    <w:rsid w:val="00654F91"/>
    <w:rsid w:val="00655361"/>
    <w:rsid w:val="0065570A"/>
    <w:rsid w:val="006557A5"/>
    <w:rsid w:val="006561ED"/>
    <w:rsid w:val="00656253"/>
    <w:rsid w:val="00656799"/>
    <w:rsid w:val="00656B77"/>
    <w:rsid w:val="00656E63"/>
    <w:rsid w:val="00656E72"/>
    <w:rsid w:val="006578A1"/>
    <w:rsid w:val="0066040B"/>
    <w:rsid w:val="006605D3"/>
    <w:rsid w:val="0066137B"/>
    <w:rsid w:val="0066173B"/>
    <w:rsid w:val="0066174E"/>
    <w:rsid w:val="006617F9"/>
    <w:rsid w:val="00661BBB"/>
    <w:rsid w:val="00661E57"/>
    <w:rsid w:val="006624CE"/>
    <w:rsid w:val="006625F2"/>
    <w:rsid w:val="006629E4"/>
    <w:rsid w:val="00662B98"/>
    <w:rsid w:val="0066327B"/>
    <w:rsid w:val="006632A2"/>
    <w:rsid w:val="00663315"/>
    <w:rsid w:val="0066352E"/>
    <w:rsid w:val="0066367C"/>
    <w:rsid w:val="00663783"/>
    <w:rsid w:val="00663816"/>
    <w:rsid w:val="00663B58"/>
    <w:rsid w:val="00663E47"/>
    <w:rsid w:val="006643CD"/>
    <w:rsid w:val="006644A7"/>
    <w:rsid w:val="006647BC"/>
    <w:rsid w:val="00664859"/>
    <w:rsid w:val="00664BDE"/>
    <w:rsid w:val="00664E5E"/>
    <w:rsid w:val="0066565B"/>
    <w:rsid w:val="00665C44"/>
    <w:rsid w:val="00665E97"/>
    <w:rsid w:val="00666150"/>
    <w:rsid w:val="00666284"/>
    <w:rsid w:val="006664A0"/>
    <w:rsid w:val="0066671D"/>
    <w:rsid w:val="006667F3"/>
    <w:rsid w:val="0066681A"/>
    <w:rsid w:val="00666ADA"/>
    <w:rsid w:val="00667397"/>
    <w:rsid w:val="0066787F"/>
    <w:rsid w:val="00667AEA"/>
    <w:rsid w:val="00667DFF"/>
    <w:rsid w:val="0067001E"/>
    <w:rsid w:val="00670085"/>
    <w:rsid w:val="0067016E"/>
    <w:rsid w:val="00670252"/>
    <w:rsid w:val="00670467"/>
    <w:rsid w:val="006704E0"/>
    <w:rsid w:val="006704FA"/>
    <w:rsid w:val="00670687"/>
    <w:rsid w:val="006707A9"/>
    <w:rsid w:val="00670A2C"/>
    <w:rsid w:val="00670AE2"/>
    <w:rsid w:val="00670B9B"/>
    <w:rsid w:val="00670DC5"/>
    <w:rsid w:val="00670EAC"/>
    <w:rsid w:val="00670EC9"/>
    <w:rsid w:val="00671046"/>
    <w:rsid w:val="006714F6"/>
    <w:rsid w:val="00671652"/>
    <w:rsid w:val="006716F0"/>
    <w:rsid w:val="00671FAA"/>
    <w:rsid w:val="00672A18"/>
    <w:rsid w:val="00672CB3"/>
    <w:rsid w:val="00672F36"/>
    <w:rsid w:val="00672F90"/>
    <w:rsid w:val="00673106"/>
    <w:rsid w:val="0067312C"/>
    <w:rsid w:val="006739AC"/>
    <w:rsid w:val="00674EDD"/>
    <w:rsid w:val="00674EFA"/>
    <w:rsid w:val="00674F6C"/>
    <w:rsid w:val="006751FA"/>
    <w:rsid w:val="006755CB"/>
    <w:rsid w:val="00675827"/>
    <w:rsid w:val="00675DA5"/>
    <w:rsid w:val="00675FEF"/>
    <w:rsid w:val="00676527"/>
    <w:rsid w:val="00676E70"/>
    <w:rsid w:val="006778BF"/>
    <w:rsid w:val="006779DD"/>
    <w:rsid w:val="00677ACF"/>
    <w:rsid w:val="00677B70"/>
    <w:rsid w:val="0068014B"/>
    <w:rsid w:val="00680482"/>
    <w:rsid w:val="00680517"/>
    <w:rsid w:val="006805B2"/>
    <w:rsid w:val="00680831"/>
    <w:rsid w:val="006808DC"/>
    <w:rsid w:val="0068118C"/>
    <w:rsid w:val="006816B6"/>
    <w:rsid w:val="00681949"/>
    <w:rsid w:val="00681D06"/>
    <w:rsid w:val="00681FAA"/>
    <w:rsid w:val="006820EB"/>
    <w:rsid w:val="00682128"/>
    <w:rsid w:val="0068220C"/>
    <w:rsid w:val="00682AB1"/>
    <w:rsid w:val="00682E9F"/>
    <w:rsid w:val="00683252"/>
    <w:rsid w:val="0068343A"/>
    <w:rsid w:val="006834D4"/>
    <w:rsid w:val="00683B58"/>
    <w:rsid w:val="00684043"/>
    <w:rsid w:val="0068413D"/>
    <w:rsid w:val="006844BA"/>
    <w:rsid w:val="006845A2"/>
    <w:rsid w:val="00684BF8"/>
    <w:rsid w:val="00684C71"/>
    <w:rsid w:val="00684D2A"/>
    <w:rsid w:val="00684D9B"/>
    <w:rsid w:val="00684DDD"/>
    <w:rsid w:val="00684F2D"/>
    <w:rsid w:val="00684FA8"/>
    <w:rsid w:val="00685456"/>
    <w:rsid w:val="00685822"/>
    <w:rsid w:val="006858AA"/>
    <w:rsid w:val="00685A56"/>
    <w:rsid w:val="00685BCF"/>
    <w:rsid w:val="006864D2"/>
    <w:rsid w:val="00686C55"/>
    <w:rsid w:val="00686D33"/>
    <w:rsid w:val="00686F46"/>
    <w:rsid w:val="006871D0"/>
    <w:rsid w:val="0068751F"/>
    <w:rsid w:val="006877D0"/>
    <w:rsid w:val="006900D1"/>
    <w:rsid w:val="0069010F"/>
    <w:rsid w:val="00690260"/>
    <w:rsid w:val="00690297"/>
    <w:rsid w:val="00690710"/>
    <w:rsid w:val="00690FA4"/>
    <w:rsid w:val="0069115A"/>
    <w:rsid w:val="006912F1"/>
    <w:rsid w:val="00691367"/>
    <w:rsid w:val="00691387"/>
    <w:rsid w:val="00691447"/>
    <w:rsid w:val="00691A02"/>
    <w:rsid w:val="00691B4A"/>
    <w:rsid w:val="006922B1"/>
    <w:rsid w:val="00692537"/>
    <w:rsid w:val="0069260D"/>
    <w:rsid w:val="006927F2"/>
    <w:rsid w:val="00693000"/>
    <w:rsid w:val="0069312D"/>
    <w:rsid w:val="006931E1"/>
    <w:rsid w:val="0069339C"/>
    <w:rsid w:val="006937F1"/>
    <w:rsid w:val="00693E3A"/>
    <w:rsid w:val="0069429F"/>
    <w:rsid w:val="00694310"/>
    <w:rsid w:val="00694700"/>
    <w:rsid w:val="00694803"/>
    <w:rsid w:val="00694CE8"/>
    <w:rsid w:val="00694D26"/>
    <w:rsid w:val="00695405"/>
    <w:rsid w:val="006955ED"/>
    <w:rsid w:val="0069569E"/>
    <w:rsid w:val="006956A4"/>
    <w:rsid w:val="006956C6"/>
    <w:rsid w:val="00695705"/>
    <w:rsid w:val="00695749"/>
    <w:rsid w:val="006957BC"/>
    <w:rsid w:val="00695BCA"/>
    <w:rsid w:val="00695FAC"/>
    <w:rsid w:val="006964B3"/>
    <w:rsid w:val="00696ED6"/>
    <w:rsid w:val="00696EE3"/>
    <w:rsid w:val="0069715D"/>
    <w:rsid w:val="00697392"/>
    <w:rsid w:val="006973E5"/>
    <w:rsid w:val="0069754C"/>
    <w:rsid w:val="00697664"/>
    <w:rsid w:val="00697681"/>
    <w:rsid w:val="0069770A"/>
    <w:rsid w:val="0069770C"/>
    <w:rsid w:val="00697922"/>
    <w:rsid w:val="006A0148"/>
    <w:rsid w:val="006A0446"/>
    <w:rsid w:val="006A08F2"/>
    <w:rsid w:val="006A0F32"/>
    <w:rsid w:val="006A10DC"/>
    <w:rsid w:val="006A11DB"/>
    <w:rsid w:val="006A13C2"/>
    <w:rsid w:val="006A1450"/>
    <w:rsid w:val="006A151A"/>
    <w:rsid w:val="006A151E"/>
    <w:rsid w:val="006A1E62"/>
    <w:rsid w:val="006A2A12"/>
    <w:rsid w:val="006A2E9C"/>
    <w:rsid w:val="006A35E0"/>
    <w:rsid w:val="006A377F"/>
    <w:rsid w:val="006A384A"/>
    <w:rsid w:val="006A3875"/>
    <w:rsid w:val="006A3D40"/>
    <w:rsid w:val="006A4AA0"/>
    <w:rsid w:val="006A4EAD"/>
    <w:rsid w:val="006A4F3A"/>
    <w:rsid w:val="006A5048"/>
    <w:rsid w:val="006A5501"/>
    <w:rsid w:val="006A561D"/>
    <w:rsid w:val="006A5953"/>
    <w:rsid w:val="006A5A0C"/>
    <w:rsid w:val="006A5B18"/>
    <w:rsid w:val="006A5BA0"/>
    <w:rsid w:val="006A5BB1"/>
    <w:rsid w:val="006A5F28"/>
    <w:rsid w:val="006A5F88"/>
    <w:rsid w:val="006A7135"/>
    <w:rsid w:val="006A7594"/>
    <w:rsid w:val="006A7968"/>
    <w:rsid w:val="006A79E6"/>
    <w:rsid w:val="006A7D95"/>
    <w:rsid w:val="006A7FB5"/>
    <w:rsid w:val="006B01A4"/>
    <w:rsid w:val="006B01B7"/>
    <w:rsid w:val="006B0448"/>
    <w:rsid w:val="006B04EF"/>
    <w:rsid w:val="006B056B"/>
    <w:rsid w:val="006B0C6B"/>
    <w:rsid w:val="006B113A"/>
    <w:rsid w:val="006B120D"/>
    <w:rsid w:val="006B1262"/>
    <w:rsid w:val="006B13C1"/>
    <w:rsid w:val="006B15B7"/>
    <w:rsid w:val="006B1B14"/>
    <w:rsid w:val="006B2CC7"/>
    <w:rsid w:val="006B326D"/>
    <w:rsid w:val="006B34AC"/>
    <w:rsid w:val="006B37B1"/>
    <w:rsid w:val="006B37DF"/>
    <w:rsid w:val="006B3AF9"/>
    <w:rsid w:val="006B3DE9"/>
    <w:rsid w:val="006B43FF"/>
    <w:rsid w:val="006B44C5"/>
    <w:rsid w:val="006B45E3"/>
    <w:rsid w:val="006B4C9A"/>
    <w:rsid w:val="006B5391"/>
    <w:rsid w:val="006B54DE"/>
    <w:rsid w:val="006B555F"/>
    <w:rsid w:val="006B5779"/>
    <w:rsid w:val="006B595B"/>
    <w:rsid w:val="006B5A60"/>
    <w:rsid w:val="006B6242"/>
    <w:rsid w:val="006B62B8"/>
    <w:rsid w:val="006B6904"/>
    <w:rsid w:val="006B690C"/>
    <w:rsid w:val="006B6C7C"/>
    <w:rsid w:val="006B6D11"/>
    <w:rsid w:val="006B6EA4"/>
    <w:rsid w:val="006B7000"/>
    <w:rsid w:val="006B72A1"/>
    <w:rsid w:val="006B77BB"/>
    <w:rsid w:val="006B7A8B"/>
    <w:rsid w:val="006B7BD0"/>
    <w:rsid w:val="006B7EAB"/>
    <w:rsid w:val="006B7F8F"/>
    <w:rsid w:val="006B7FC5"/>
    <w:rsid w:val="006C0253"/>
    <w:rsid w:val="006C0498"/>
    <w:rsid w:val="006C055E"/>
    <w:rsid w:val="006C07A3"/>
    <w:rsid w:val="006C07AA"/>
    <w:rsid w:val="006C0AC7"/>
    <w:rsid w:val="006C0B8D"/>
    <w:rsid w:val="006C0BF4"/>
    <w:rsid w:val="006C0D13"/>
    <w:rsid w:val="006C1497"/>
    <w:rsid w:val="006C187F"/>
    <w:rsid w:val="006C19BC"/>
    <w:rsid w:val="006C19D5"/>
    <w:rsid w:val="006C1B44"/>
    <w:rsid w:val="006C1F77"/>
    <w:rsid w:val="006C2046"/>
    <w:rsid w:val="006C2211"/>
    <w:rsid w:val="006C286D"/>
    <w:rsid w:val="006C2B97"/>
    <w:rsid w:val="006C2D61"/>
    <w:rsid w:val="006C2E9A"/>
    <w:rsid w:val="006C2FCF"/>
    <w:rsid w:val="006C3031"/>
    <w:rsid w:val="006C3607"/>
    <w:rsid w:val="006C3990"/>
    <w:rsid w:val="006C3C6D"/>
    <w:rsid w:val="006C3EB4"/>
    <w:rsid w:val="006C3ECD"/>
    <w:rsid w:val="006C3ED2"/>
    <w:rsid w:val="006C40F3"/>
    <w:rsid w:val="006C4233"/>
    <w:rsid w:val="006C42E7"/>
    <w:rsid w:val="006C4422"/>
    <w:rsid w:val="006C4BA2"/>
    <w:rsid w:val="006C4E09"/>
    <w:rsid w:val="006C50C6"/>
    <w:rsid w:val="006C5CCA"/>
    <w:rsid w:val="006C5D08"/>
    <w:rsid w:val="006C5E87"/>
    <w:rsid w:val="006C625F"/>
    <w:rsid w:val="006C63E5"/>
    <w:rsid w:val="006C6C0C"/>
    <w:rsid w:val="006C6FD4"/>
    <w:rsid w:val="006C787F"/>
    <w:rsid w:val="006C78A6"/>
    <w:rsid w:val="006C7AB4"/>
    <w:rsid w:val="006C7CAE"/>
    <w:rsid w:val="006C7D5F"/>
    <w:rsid w:val="006C7E79"/>
    <w:rsid w:val="006D006B"/>
    <w:rsid w:val="006D00E4"/>
    <w:rsid w:val="006D0466"/>
    <w:rsid w:val="006D065C"/>
    <w:rsid w:val="006D0A5B"/>
    <w:rsid w:val="006D0FAF"/>
    <w:rsid w:val="006D105C"/>
    <w:rsid w:val="006D11DE"/>
    <w:rsid w:val="006D1230"/>
    <w:rsid w:val="006D1751"/>
    <w:rsid w:val="006D2AE6"/>
    <w:rsid w:val="006D2CD3"/>
    <w:rsid w:val="006D2E71"/>
    <w:rsid w:val="006D30E7"/>
    <w:rsid w:val="006D33CC"/>
    <w:rsid w:val="006D3A5E"/>
    <w:rsid w:val="006D3D59"/>
    <w:rsid w:val="006D4773"/>
    <w:rsid w:val="006D48E7"/>
    <w:rsid w:val="006D4947"/>
    <w:rsid w:val="006D4AB1"/>
    <w:rsid w:val="006D4B9E"/>
    <w:rsid w:val="006D52DE"/>
    <w:rsid w:val="006D5DCA"/>
    <w:rsid w:val="006D5F16"/>
    <w:rsid w:val="006D63AD"/>
    <w:rsid w:val="006D6764"/>
    <w:rsid w:val="006D67AB"/>
    <w:rsid w:val="006D67D9"/>
    <w:rsid w:val="006D68E9"/>
    <w:rsid w:val="006D6906"/>
    <w:rsid w:val="006D6990"/>
    <w:rsid w:val="006D6C4A"/>
    <w:rsid w:val="006D6C93"/>
    <w:rsid w:val="006D6EAB"/>
    <w:rsid w:val="006D70D3"/>
    <w:rsid w:val="006D755C"/>
    <w:rsid w:val="006D7573"/>
    <w:rsid w:val="006E0261"/>
    <w:rsid w:val="006E0340"/>
    <w:rsid w:val="006E06F9"/>
    <w:rsid w:val="006E07A9"/>
    <w:rsid w:val="006E08E6"/>
    <w:rsid w:val="006E0A63"/>
    <w:rsid w:val="006E0D91"/>
    <w:rsid w:val="006E14D1"/>
    <w:rsid w:val="006E150B"/>
    <w:rsid w:val="006E1706"/>
    <w:rsid w:val="006E1A73"/>
    <w:rsid w:val="006E1C97"/>
    <w:rsid w:val="006E22BD"/>
    <w:rsid w:val="006E25D7"/>
    <w:rsid w:val="006E32EB"/>
    <w:rsid w:val="006E34C4"/>
    <w:rsid w:val="006E3BD7"/>
    <w:rsid w:val="006E3CB2"/>
    <w:rsid w:val="006E3DA8"/>
    <w:rsid w:val="006E3E43"/>
    <w:rsid w:val="006E51A5"/>
    <w:rsid w:val="006E54C4"/>
    <w:rsid w:val="006E5DAA"/>
    <w:rsid w:val="006E5F73"/>
    <w:rsid w:val="006E6151"/>
    <w:rsid w:val="006E63A3"/>
    <w:rsid w:val="006E63D4"/>
    <w:rsid w:val="006E6BD0"/>
    <w:rsid w:val="006E7006"/>
    <w:rsid w:val="006E76CC"/>
    <w:rsid w:val="006E79BD"/>
    <w:rsid w:val="006E7F42"/>
    <w:rsid w:val="006F00E7"/>
    <w:rsid w:val="006F02C0"/>
    <w:rsid w:val="006F060D"/>
    <w:rsid w:val="006F0F6E"/>
    <w:rsid w:val="006F1428"/>
    <w:rsid w:val="006F16DF"/>
    <w:rsid w:val="006F1850"/>
    <w:rsid w:val="006F1B22"/>
    <w:rsid w:val="006F1BA4"/>
    <w:rsid w:val="006F1C26"/>
    <w:rsid w:val="006F1E2A"/>
    <w:rsid w:val="006F2259"/>
    <w:rsid w:val="006F22BF"/>
    <w:rsid w:val="006F23E1"/>
    <w:rsid w:val="006F272F"/>
    <w:rsid w:val="006F2A68"/>
    <w:rsid w:val="006F2EE5"/>
    <w:rsid w:val="006F2F8F"/>
    <w:rsid w:val="006F2FDA"/>
    <w:rsid w:val="006F2FE5"/>
    <w:rsid w:val="006F31AC"/>
    <w:rsid w:val="006F3460"/>
    <w:rsid w:val="006F34FE"/>
    <w:rsid w:val="006F3615"/>
    <w:rsid w:val="006F3A4A"/>
    <w:rsid w:val="006F3B15"/>
    <w:rsid w:val="006F3B72"/>
    <w:rsid w:val="006F3BD7"/>
    <w:rsid w:val="006F3E83"/>
    <w:rsid w:val="006F3FA3"/>
    <w:rsid w:val="006F4640"/>
    <w:rsid w:val="006F4699"/>
    <w:rsid w:val="006F48BA"/>
    <w:rsid w:val="006F4A37"/>
    <w:rsid w:val="006F4AF9"/>
    <w:rsid w:val="006F5086"/>
    <w:rsid w:val="006F52ED"/>
    <w:rsid w:val="006F54EB"/>
    <w:rsid w:val="006F55C8"/>
    <w:rsid w:val="006F5981"/>
    <w:rsid w:val="006F5CC1"/>
    <w:rsid w:val="006F5D78"/>
    <w:rsid w:val="006F5F68"/>
    <w:rsid w:val="006F6430"/>
    <w:rsid w:val="006F658C"/>
    <w:rsid w:val="006F67A5"/>
    <w:rsid w:val="006F6E4A"/>
    <w:rsid w:val="006F700D"/>
    <w:rsid w:val="006F7383"/>
    <w:rsid w:val="006F7621"/>
    <w:rsid w:val="006F762D"/>
    <w:rsid w:val="006F787E"/>
    <w:rsid w:val="006F7EC0"/>
    <w:rsid w:val="00700492"/>
    <w:rsid w:val="007009AC"/>
    <w:rsid w:val="00700A8A"/>
    <w:rsid w:val="00701002"/>
    <w:rsid w:val="00701085"/>
    <w:rsid w:val="0070167E"/>
    <w:rsid w:val="007016C8"/>
    <w:rsid w:val="00701812"/>
    <w:rsid w:val="00701E1B"/>
    <w:rsid w:val="00701FEB"/>
    <w:rsid w:val="00701FEE"/>
    <w:rsid w:val="00702C78"/>
    <w:rsid w:val="00702ED0"/>
    <w:rsid w:val="00703325"/>
    <w:rsid w:val="00703449"/>
    <w:rsid w:val="00703C09"/>
    <w:rsid w:val="0070434A"/>
    <w:rsid w:val="007043D9"/>
    <w:rsid w:val="007048C4"/>
    <w:rsid w:val="007048CD"/>
    <w:rsid w:val="00704CC4"/>
    <w:rsid w:val="00704D07"/>
    <w:rsid w:val="00704EC1"/>
    <w:rsid w:val="0070500C"/>
    <w:rsid w:val="00705345"/>
    <w:rsid w:val="007054D6"/>
    <w:rsid w:val="00705755"/>
    <w:rsid w:val="00705910"/>
    <w:rsid w:val="007059C8"/>
    <w:rsid w:val="0070603E"/>
    <w:rsid w:val="0070604C"/>
    <w:rsid w:val="00706354"/>
    <w:rsid w:val="0070638D"/>
    <w:rsid w:val="0070676B"/>
    <w:rsid w:val="00706996"/>
    <w:rsid w:val="007069AC"/>
    <w:rsid w:val="00706DBF"/>
    <w:rsid w:val="00706E1A"/>
    <w:rsid w:val="00707239"/>
    <w:rsid w:val="00707653"/>
    <w:rsid w:val="007077C0"/>
    <w:rsid w:val="00707A59"/>
    <w:rsid w:val="00707B1B"/>
    <w:rsid w:val="00707CF3"/>
    <w:rsid w:val="0071046B"/>
    <w:rsid w:val="00710567"/>
    <w:rsid w:val="00710747"/>
    <w:rsid w:val="00710AC6"/>
    <w:rsid w:val="00710C1D"/>
    <w:rsid w:val="00710DA8"/>
    <w:rsid w:val="00710F6D"/>
    <w:rsid w:val="007110A3"/>
    <w:rsid w:val="00711108"/>
    <w:rsid w:val="00711213"/>
    <w:rsid w:val="007112A1"/>
    <w:rsid w:val="00711996"/>
    <w:rsid w:val="00711B3B"/>
    <w:rsid w:val="00711BA3"/>
    <w:rsid w:val="00711C9D"/>
    <w:rsid w:val="00712243"/>
    <w:rsid w:val="00712A06"/>
    <w:rsid w:val="00712B71"/>
    <w:rsid w:val="00712E55"/>
    <w:rsid w:val="00713023"/>
    <w:rsid w:val="007130A9"/>
    <w:rsid w:val="0071322C"/>
    <w:rsid w:val="00713779"/>
    <w:rsid w:val="00713882"/>
    <w:rsid w:val="00713989"/>
    <w:rsid w:val="00713DCF"/>
    <w:rsid w:val="00713FFD"/>
    <w:rsid w:val="00714004"/>
    <w:rsid w:val="0071451A"/>
    <w:rsid w:val="0071458E"/>
    <w:rsid w:val="007145C9"/>
    <w:rsid w:val="00714631"/>
    <w:rsid w:val="007149E8"/>
    <w:rsid w:val="00714B6E"/>
    <w:rsid w:val="0071512F"/>
    <w:rsid w:val="007151B7"/>
    <w:rsid w:val="00715400"/>
    <w:rsid w:val="0071589D"/>
    <w:rsid w:val="007158C9"/>
    <w:rsid w:val="00715CCF"/>
    <w:rsid w:val="00715CDB"/>
    <w:rsid w:val="00716009"/>
    <w:rsid w:val="0071600B"/>
    <w:rsid w:val="00716167"/>
    <w:rsid w:val="00716243"/>
    <w:rsid w:val="007165D8"/>
    <w:rsid w:val="007169AC"/>
    <w:rsid w:val="007169DD"/>
    <w:rsid w:val="00716E7F"/>
    <w:rsid w:val="00717679"/>
    <w:rsid w:val="00717B67"/>
    <w:rsid w:val="0072029A"/>
    <w:rsid w:val="007204AE"/>
    <w:rsid w:val="00720538"/>
    <w:rsid w:val="007206A2"/>
    <w:rsid w:val="007206A3"/>
    <w:rsid w:val="0072090B"/>
    <w:rsid w:val="00720B38"/>
    <w:rsid w:val="00720C9E"/>
    <w:rsid w:val="00720CA7"/>
    <w:rsid w:val="00720DDD"/>
    <w:rsid w:val="00720E66"/>
    <w:rsid w:val="00720F43"/>
    <w:rsid w:val="00721407"/>
    <w:rsid w:val="0072147B"/>
    <w:rsid w:val="007214E6"/>
    <w:rsid w:val="0072181E"/>
    <w:rsid w:val="00722267"/>
    <w:rsid w:val="007224AB"/>
    <w:rsid w:val="0072260E"/>
    <w:rsid w:val="007226E4"/>
    <w:rsid w:val="0072285E"/>
    <w:rsid w:val="0072298D"/>
    <w:rsid w:val="007229BA"/>
    <w:rsid w:val="00722B1F"/>
    <w:rsid w:val="00722C62"/>
    <w:rsid w:val="00723079"/>
    <w:rsid w:val="0072307D"/>
    <w:rsid w:val="0072313E"/>
    <w:rsid w:val="007231D2"/>
    <w:rsid w:val="0072321F"/>
    <w:rsid w:val="00723295"/>
    <w:rsid w:val="007238E2"/>
    <w:rsid w:val="007239A6"/>
    <w:rsid w:val="007239B4"/>
    <w:rsid w:val="00723BEE"/>
    <w:rsid w:val="00723C40"/>
    <w:rsid w:val="00723CD9"/>
    <w:rsid w:val="0072409C"/>
    <w:rsid w:val="00724302"/>
    <w:rsid w:val="00724446"/>
    <w:rsid w:val="0072454B"/>
    <w:rsid w:val="00724584"/>
    <w:rsid w:val="00724AA1"/>
    <w:rsid w:val="00724D39"/>
    <w:rsid w:val="00725869"/>
    <w:rsid w:val="00725A19"/>
    <w:rsid w:val="00725FEF"/>
    <w:rsid w:val="00726356"/>
    <w:rsid w:val="007267E3"/>
    <w:rsid w:val="007268C7"/>
    <w:rsid w:val="00726AAB"/>
    <w:rsid w:val="00726DCA"/>
    <w:rsid w:val="00727005"/>
    <w:rsid w:val="00727077"/>
    <w:rsid w:val="00727199"/>
    <w:rsid w:val="0072786F"/>
    <w:rsid w:val="00727E29"/>
    <w:rsid w:val="007305D6"/>
    <w:rsid w:val="00730896"/>
    <w:rsid w:val="00730A12"/>
    <w:rsid w:val="00730EA6"/>
    <w:rsid w:val="0073136F"/>
    <w:rsid w:val="00731507"/>
    <w:rsid w:val="00731709"/>
    <w:rsid w:val="00731C15"/>
    <w:rsid w:val="00732045"/>
    <w:rsid w:val="007322A0"/>
    <w:rsid w:val="00732660"/>
    <w:rsid w:val="007327C2"/>
    <w:rsid w:val="007328FE"/>
    <w:rsid w:val="007329D5"/>
    <w:rsid w:val="00732C1A"/>
    <w:rsid w:val="00733CDC"/>
    <w:rsid w:val="007344E0"/>
    <w:rsid w:val="00734B9A"/>
    <w:rsid w:val="00734D69"/>
    <w:rsid w:val="0073522B"/>
    <w:rsid w:val="0073568C"/>
    <w:rsid w:val="00735695"/>
    <w:rsid w:val="00735927"/>
    <w:rsid w:val="007360C3"/>
    <w:rsid w:val="007360CB"/>
    <w:rsid w:val="0073623E"/>
    <w:rsid w:val="00736298"/>
    <w:rsid w:val="00736E9E"/>
    <w:rsid w:val="00737566"/>
    <w:rsid w:val="00737A9E"/>
    <w:rsid w:val="00737CE3"/>
    <w:rsid w:val="00737F54"/>
    <w:rsid w:val="007403BE"/>
    <w:rsid w:val="007404D5"/>
    <w:rsid w:val="0074067B"/>
    <w:rsid w:val="00740815"/>
    <w:rsid w:val="00740DE6"/>
    <w:rsid w:val="0074171E"/>
    <w:rsid w:val="007419BE"/>
    <w:rsid w:val="00741BA2"/>
    <w:rsid w:val="00741CF4"/>
    <w:rsid w:val="00741DCC"/>
    <w:rsid w:val="00741DE2"/>
    <w:rsid w:val="00741F9C"/>
    <w:rsid w:val="007420DB"/>
    <w:rsid w:val="007421A1"/>
    <w:rsid w:val="00742460"/>
    <w:rsid w:val="007424AE"/>
    <w:rsid w:val="0074267E"/>
    <w:rsid w:val="0074275F"/>
    <w:rsid w:val="007427FE"/>
    <w:rsid w:val="00742B42"/>
    <w:rsid w:val="00742C35"/>
    <w:rsid w:val="00742C51"/>
    <w:rsid w:val="00743445"/>
    <w:rsid w:val="007434BF"/>
    <w:rsid w:val="00743E20"/>
    <w:rsid w:val="00743F1A"/>
    <w:rsid w:val="007441B0"/>
    <w:rsid w:val="00744371"/>
    <w:rsid w:val="0074504C"/>
    <w:rsid w:val="00745469"/>
    <w:rsid w:val="00745698"/>
    <w:rsid w:val="007456A5"/>
    <w:rsid w:val="007457B4"/>
    <w:rsid w:val="00745E01"/>
    <w:rsid w:val="0074634F"/>
    <w:rsid w:val="00746666"/>
    <w:rsid w:val="0074666B"/>
    <w:rsid w:val="007468D6"/>
    <w:rsid w:val="00746BFF"/>
    <w:rsid w:val="00746E7F"/>
    <w:rsid w:val="00747108"/>
    <w:rsid w:val="007473E1"/>
    <w:rsid w:val="0074779A"/>
    <w:rsid w:val="00747897"/>
    <w:rsid w:val="007479A4"/>
    <w:rsid w:val="00747D3C"/>
    <w:rsid w:val="00747E47"/>
    <w:rsid w:val="00750192"/>
    <w:rsid w:val="00750213"/>
    <w:rsid w:val="00750318"/>
    <w:rsid w:val="007504E1"/>
    <w:rsid w:val="00750544"/>
    <w:rsid w:val="00750804"/>
    <w:rsid w:val="007509AB"/>
    <w:rsid w:val="00750AB1"/>
    <w:rsid w:val="00750BBC"/>
    <w:rsid w:val="00750F97"/>
    <w:rsid w:val="00751213"/>
    <w:rsid w:val="0075124B"/>
    <w:rsid w:val="007513B7"/>
    <w:rsid w:val="00751689"/>
    <w:rsid w:val="00751693"/>
    <w:rsid w:val="007518A1"/>
    <w:rsid w:val="00751A50"/>
    <w:rsid w:val="0075225B"/>
    <w:rsid w:val="007524AA"/>
    <w:rsid w:val="007526C1"/>
    <w:rsid w:val="007527AD"/>
    <w:rsid w:val="007527D8"/>
    <w:rsid w:val="00752C05"/>
    <w:rsid w:val="00752D63"/>
    <w:rsid w:val="00752F99"/>
    <w:rsid w:val="007532C1"/>
    <w:rsid w:val="007535B8"/>
    <w:rsid w:val="0075361A"/>
    <w:rsid w:val="00753744"/>
    <w:rsid w:val="007538E2"/>
    <w:rsid w:val="00753A93"/>
    <w:rsid w:val="00753C4A"/>
    <w:rsid w:val="00753F19"/>
    <w:rsid w:val="00754B57"/>
    <w:rsid w:val="007551F8"/>
    <w:rsid w:val="00755663"/>
    <w:rsid w:val="00755774"/>
    <w:rsid w:val="00755B30"/>
    <w:rsid w:val="00755F0B"/>
    <w:rsid w:val="00756386"/>
    <w:rsid w:val="00756603"/>
    <w:rsid w:val="007566DB"/>
    <w:rsid w:val="00756A5F"/>
    <w:rsid w:val="00756E2F"/>
    <w:rsid w:val="007574D3"/>
    <w:rsid w:val="007575C0"/>
    <w:rsid w:val="007577C4"/>
    <w:rsid w:val="007579DD"/>
    <w:rsid w:val="00757AB1"/>
    <w:rsid w:val="00757D2F"/>
    <w:rsid w:val="0076000E"/>
    <w:rsid w:val="0076011D"/>
    <w:rsid w:val="007603DE"/>
    <w:rsid w:val="00760C00"/>
    <w:rsid w:val="00760D37"/>
    <w:rsid w:val="00760F85"/>
    <w:rsid w:val="007610A0"/>
    <w:rsid w:val="007610E9"/>
    <w:rsid w:val="00761525"/>
    <w:rsid w:val="00761728"/>
    <w:rsid w:val="00761C6C"/>
    <w:rsid w:val="00761D45"/>
    <w:rsid w:val="00761F75"/>
    <w:rsid w:val="00762173"/>
    <w:rsid w:val="0076230E"/>
    <w:rsid w:val="00762948"/>
    <w:rsid w:val="00762A63"/>
    <w:rsid w:val="00762B72"/>
    <w:rsid w:val="007631CD"/>
    <w:rsid w:val="00763CCB"/>
    <w:rsid w:val="007641EF"/>
    <w:rsid w:val="007642B4"/>
    <w:rsid w:val="00764C45"/>
    <w:rsid w:val="00764C7F"/>
    <w:rsid w:val="00766277"/>
    <w:rsid w:val="007664F6"/>
    <w:rsid w:val="007664FD"/>
    <w:rsid w:val="0076656A"/>
    <w:rsid w:val="00766701"/>
    <w:rsid w:val="00766911"/>
    <w:rsid w:val="00767033"/>
    <w:rsid w:val="00767539"/>
    <w:rsid w:val="00767793"/>
    <w:rsid w:val="007679D8"/>
    <w:rsid w:val="00767D02"/>
    <w:rsid w:val="00767EBD"/>
    <w:rsid w:val="0077030A"/>
    <w:rsid w:val="00770803"/>
    <w:rsid w:val="00770891"/>
    <w:rsid w:val="00771319"/>
    <w:rsid w:val="007713E8"/>
    <w:rsid w:val="00771794"/>
    <w:rsid w:val="00771CCF"/>
    <w:rsid w:val="00771F7D"/>
    <w:rsid w:val="00772C3E"/>
    <w:rsid w:val="0077349A"/>
    <w:rsid w:val="007736E8"/>
    <w:rsid w:val="0077379B"/>
    <w:rsid w:val="007737F0"/>
    <w:rsid w:val="007739AB"/>
    <w:rsid w:val="00773F19"/>
    <w:rsid w:val="00774400"/>
    <w:rsid w:val="0077447C"/>
    <w:rsid w:val="00774493"/>
    <w:rsid w:val="00774556"/>
    <w:rsid w:val="007747BB"/>
    <w:rsid w:val="00774ACE"/>
    <w:rsid w:val="00774B12"/>
    <w:rsid w:val="00774CC7"/>
    <w:rsid w:val="0077511F"/>
    <w:rsid w:val="007751A8"/>
    <w:rsid w:val="007751DA"/>
    <w:rsid w:val="00775823"/>
    <w:rsid w:val="007758A7"/>
    <w:rsid w:val="00775E22"/>
    <w:rsid w:val="00775F57"/>
    <w:rsid w:val="0077602E"/>
    <w:rsid w:val="00776202"/>
    <w:rsid w:val="0077638E"/>
    <w:rsid w:val="00776584"/>
    <w:rsid w:val="00776850"/>
    <w:rsid w:val="007769EF"/>
    <w:rsid w:val="00776BB8"/>
    <w:rsid w:val="00776CCB"/>
    <w:rsid w:val="00776D4F"/>
    <w:rsid w:val="00776DDC"/>
    <w:rsid w:val="007770F9"/>
    <w:rsid w:val="00777179"/>
    <w:rsid w:val="007771A7"/>
    <w:rsid w:val="007773A6"/>
    <w:rsid w:val="00777810"/>
    <w:rsid w:val="00777945"/>
    <w:rsid w:val="00777B2A"/>
    <w:rsid w:val="00777BFB"/>
    <w:rsid w:val="00777C7D"/>
    <w:rsid w:val="00777D40"/>
    <w:rsid w:val="00777EFB"/>
    <w:rsid w:val="0078092A"/>
    <w:rsid w:val="00780B8D"/>
    <w:rsid w:val="00780B8E"/>
    <w:rsid w:val="00780E38"/>
    <w:rsid w:val="007812A9"/>
    <w:rsid w:val="007814A5"/>
    <w:rsid w:val="00781649"/>
    <w:rsid w:val="0078169D"/>
    <w:rsid w:val="00781779"/>
    <w:rsid w:val="0078181E"/>
    <w:rsid w:val="00781870"/>
    <w:rsid w:val="00782124"/>
    <w:rsid w:val="007823D6"/>
    <w:rsid w:val="0078254E"/>
    <w:rsid w:val="00782628"/>
    <w:rsid w:val="007826AB"/>
    <w:rsid w:val="00782C45"/>
    <w:rsid w:val="00782C69"/>
    <w:rsid w:val="00782FC3"/>
    <w:rsid w:val="00783747"/>
    <w:rsid w:val="00783EBD"/>
    <w:rsid w:val="007840E2"/>
    <w:rsid w:val="0078443F"/>
    <w:rsid w:val="00784445"/>
    <w:rsid w:val="00784488"/>
    <w:rsid w:val="0078481B"/>
    <w:rsid w:val="00784884"/>
    <w:rsid w:val="00784E59"/>
    <w:rsid w:val="00784E75"/>
    <w:rsid w:val="007850F9"/>
    <w:rsid w:val="00785370"/>
    <w:rsid w:val="0078569F"/>
    <w:rsid w:val="00785803"/>
    <w:rsid w:val="00785EB4"/>
    <w:rsid w:val="0078609A"/>
    <w:rsid w:val="00786788"/>
    <w:rsid w:val="0078685F"/>
    <w:rsid w:val="00786C65"/>
    <w:rsid w:val="00786E11"/>
    <w:rsid w:val="00786E17"/>
    <w:rsid w:val="00786F85"/>
    <w:rsid w:val="0078731A"/>
    <w:rsid w:val="00787487"/>
    <w:rsid w:val="00787D51"/>
    <w:rsid w:val="00787DCA"/>
    <w:rsid w:val="00787ED6"/>
    <w:rsid w:val="00790347"/>
    <w:rsid w:val="007906F1"/>
    <w:rsid w:val="00790EDA"/>
    <w:rsid w:val="00790F40"/>
    <w:rsid w:val="007912B6"/>
    <w:rsid w:val="00791349"/>
    <w:rsid w:val="00791D85"/>
    <w:rsid w:val="00791DAF"/>
    <w:rsid w:val="00792432"/>
    <w:rsid w:val="007924CA"/>
    <w:rsid w:val="00792605"/>
    <w:rsid w:val="00792882"/>
    <w:rsid w:val="00792AC0"/>
    <w:rsid w:val="00793E44"/>
    <w:rsid w:val="0079454E"/>
    <w:rsid w:val="007945F5"/>
    <w:rsid w:val="007949C4"/>
    <w:rsid w:val="00794CBF"/>
    <w:rsid w:val="00794FB2"/>
    <w:rsid w:val="00795365"/>
    <w:rsid w:val="007955DA"/>
    <w:rsid w:val="0079567E"/>
    <w:rsid w:val="00795B28"/>
    <w:rsid w:val="00795E9E"/>
    <w:rsid w:val="00795F28"/>
    <w:rsid w:val="007961D5"/>
    <w:rsid w:val="00796616"/>
    <w:rsid w:val="00796859"/>
    <w:rsid w:val="00796A24"/>
    <w:rsid w:val="00796A6F"/>
    <w:rsid w:val="00796C5D"/>
    <w:rsid w:val="00796D2A"/>
    <w:rsid w:val="00797205"/>
    <w:rsid w:val="0079724D"/>
    <w:rsid w:val="007974C8"/>
    <w:rsid w:val="00797718"/>
    <w:rsid w:val="00797A40"/>
    <w:rsid w:val="00797B06"/>
    <w:rsid w:val="00797B9C"/>
    <w:rsid w:val="00797E7C"/>
    <w:rsid w:val="007A0364"/>
    <w:rsid w:val="007A0483"/>
    <w:rsid w:val="007A0781"/>
    <w:rsid w:val="007A09C0"/>
    <w:rsid w:val="007A1065"/>
    <w:rsid w:val="007A14B2"/>
    <w:rsid w:val="007A155C"/>
    <w:rsid w:val="007A1595"/>
    <w:rsid w:val="007A1D86"/>
    <w:rsid w:val="007A1E6B"/>
    <w:rsid w:val="007A2014"/>
    <w:rsid w:val="007A223C"/>
    <w:rsid w:val="007A29AC"/>
    <w:rsid w:val="007A2A97"/>
    <w:rsid w:val="007A2CDC"/>
    <w:rsid w:val="007A2D50"/>
    <w:rsid w:val="007A2D61"/>
    <w:rsid w:val="007A2FDE"/>
    <w:rsid w:val="007A3195"/>
    <w:rsid w:val="007A33BE"/>
    <w:rsid w:val="007A36F1"/>
    <w:rsid w:val="007A371B"/>
    <w:rsid w:val="007A3832"/>
    <w:rsid w:val="007A3A0F"/>
    <w:rsid w:val="007A3CEE"/>
    <w:rsid w:val="007A3E60"/>
    <w:rsid w:val="007A407D"/>
    <w:rsid w:val="007A4212"/>
    <w:rsid w:val="007A42C3"/>
    <w:rsid w:val="007A464F"/>
    <w:rsid w:val="007A4F92"/>
    <w:rsid w:val="007A5173"/>
    <w:rsid w:val="007A543C"/>
    <w:rsid w:val="007A5D81"/>
    <w:rsid w:val="007A60CF"/>
    <w:rsid w:val="007A6196"/>
    <w:rsid w:val="007A6392"/>
    <w:rsid w:val="007A63D5"/>
    <w:rsid w:val="007A689A"/>
    <w:rsid w:val="007A68EA"/>
    <w:rsid w:val="007A6B7D"/>
    <w:rsid w:val="007A6BEA"/>
    <w:rsid w:val="007A6C6E"/>
    <w:rsid w:val="007A6E9F"/>
    <w:rsid w:val="007A6ED5"/>
    <w:rsid w:val="007A72C1"/>
    <w:rsid w:val="007A7629"/>
    <w:rsid w:val="007A7E04"/>
    <w:rsid w:val="007A7EC0"/>
    <w:rsid w:val="007B060E"/>
    <w:rsid w:val="007B0BF1"/>
    <w:rsid w:val="007B0FB7"/>
    <w:rsid w:val="007B1027"/>
    <w:rsid w:val="007B154E"/>
    <w:rsid w:val="007B1691"/>
    <w:rsid w:val="007B16FA"/>
    <w:rsid w:val="007B174F"/>
    <w:rsid w:val="007B1863"/>
    <w:rsid w:val="007B1E6C"/>
    <w:rsid w:val="007B22E0"/>
    <w:rsid w:val="007B22FB"/>
    <w:rsid w:val="007B24A7"/>
    <w:rsid w:val="007B25EB"/>
    <w:rsid w:val="007B28CA"/>
    <w:rsid w:val="007B2F36"/>
    <w:rsid w:val="007B31DE"/>
    <w:rsid w:val="007B339C"/>
    <w:rsid w:val="007B34A9"/>
    <w:rsid w:val="007B358D"/>
    <w:rsid w:val="007B3E51"/>
    <w:rsid w:val="007B4614"/>
    <w:rsid w:val="007B4AE9"/>
    <w:rsid w:val="007B4F10"/>
    <w:rsid w:val="007B4F53"/>
    <w:rsid w:val="007B5401"/>
    <w:rsid w:val="007B54D0"/>
    <w:rsid w:val="007B5586"/>
    <w:rsid w:val="007B563F"/>
    <w:rsid w:val="007B5A85"/>
    <w:rsid w:val="007B5FB4"/>
    <w:rsid w:val="007B63FB"/>
    <w:rsid w:val="007B6B2B"/>
    <w:rsid w:val="007B6CC4"/>
    <w:rsid w:val="007B72DC"/>
    <w:rsid w:val="007B733B"/>
    <w:rsid w:val="007B7949"/>
    <w:rsid w:val="007B7A3B"/>
    <w:rsid w:val="007B7ABE"/>
    <w:rsid w:val="007B7AFE"/>
    <w:rsid w:val="007B7B8C"/>
    <w:rsid w:val="007B7D30"/>
    <w:rsid w:val="007C0A69"/>
    <w:rsid w:val="007C0AED"/>
    <w:rsid w:val="007C0FA9"/>
    <w:rsid w:val="007C14C5"/>
    <w:rsid w:val="007C18D3"/>
    <w:rsid w:val="007C1B1A"/>
    <w:rsid w:val="007C1ECD"/>
    <w:rsid w:val="007C1F54"/>
    <w:rsid w:val="007C22E9"/>
    <w:rsid w:val="007C2413"/>
    <w:rsid w:val="007C25AE"/>
    <w:rsid w:val="007C3152"/>
    <w:rsid w:val="007C3261"/>
    <w:rsid w:val="007C333B"/>
    <w:rsid w:val="007C3514"/>
    <w:rsid w:val="007C3914"/>
    <w:rsid w:val="007C3944"/>
    <w:rsid w:val="007C3CEA"/>
    <w:rsid w:val="007C3D92"/>
    <w:rsid w:val="007C3E98"/>
    <w:rsid w:val="007C40CB"/>
    <w:rsid w:val="007C43D2"/>
    <w:rsid w:val="007C4B82"/>
    <w:rsid w:val="007C5186"/>
    <w:rsid w:val="007C5288"/>
    <w:rsid w:val="007C55EF"/>
    <w:rsid w:val="007C5A8F"/>
    <w:rsid w:val="007C5B38"/>
    <w:rsid w:val="007C5B8D"/>
    <w:rsid w:val="007C6079"/>
    <w:rsid w:val="007C61C8"/>
    <w:rsid w:val="007C61DE"/>
    <w:rsid w:val="007C6234"/>
    <w:rsid w:val="007C63FE"/>
    <w:rsid w:val="007C6AF7"/>
    <w:rsid w:val="007C6B00"/>
    <w:rsid w:val="007C6D32"/>
    <w:rsid w:val="007C6F27"/>
    <w:rsid w:val="007C73B0"/>
    <w:rsid w:val="007C7531"/>
    <w:rsid w:val="007C76E8"/>
    <w:rsid w:val="007C7E55"/>
    <w:rsid w:val="007D01E6"/>
    <w:rsid w:val="007D035E"/>
    <w:rsid w:val="007D0396"/>
    <w:rsid w:val="007D05C6"/>
    <w:rsid w:val="007D0644"/>
    <w:rsid w:val="007D07B8"/>
    <w:rsid w:val="007D088B"/>
    <w:rsid w:val="007D09EC"/>
    <w:rsid w:val="007D16EB"/>
    <w:rsid w:val="007D1801"/>
    <w:rsid w:val="007D1A50"/>
    <w:rsid w:val="007D1AA6"/>
    <w:rsid w:val="007D1BF9"/>
    <w:rsid w:val="007D1C5C"/>
    <w:rsid w:val="007D1FE0"/>
    <w:rsid w:val="007D20BB"/>
    <w:rsid w:val="007D211D"/>
    <w:rsid w:val="007D23B1"/>
    <w:rsid w:val="007D23D3"/>
    <w:rsid w:val="007D247A"/>
    <w:rsid w:val="007D261E"/>
    <w:rsid w:val="007D2DE3"/>
    <w:rsid w:val="007D2F61"/>
    <w:rsid w:val="007D3004"/>
    <w:rsid w:val="007D3D0E"/>
    <w:rsid w:val="007D3D33"/>
    <w:rsid w:val="007D3DE3"/>
    <w:rsid w:val="007D41C2"/>
    <w:rsid w:val="007D4DC8"/>
    <w:rsid w:val="007D4E6E"/>
    <w:rsid w:val="007D4F02"/>
    <w:rsid w:val="007D55DB"/>
    <w:rsid w:val="007D5860"/>
    <w:rsid w:val="007D5D3C"/>
    <w:rsid w:val="007D5E59"/>
    <w:rsid w:val="007D60A7"/>
    <w:rsid w:val="007D6103"/>
    <w:rsid w:val="007D6516"/>
    <w:rsid w:val="007D674C"/>
    <w:rsid w:val="007D6B7B"/>
    <w:rsid w:val="007D6CF1"/>
    <w:rsid w:val="007D6D5B"/>
    <w:rsid w:val="007D6E19"/>
    <w:rsid w:val="007D7131"/>
    <w:rsid w:val="007D724D"/>
    <w:rsid w:val="007D73F7"/>
    <w:rsid w:val="007D75FB"/>
    <w:rsid w:val="007D76BD"/>
    <w:rsid w:val="007D7BEC"/>
    <w:rsid w:val="007D7C09"/>
    <w:rsid w:val="007D7CE3"/>
    <w:rsid w:val="007E025A"/>
    <w:rsid w:val="007E051A"/>
    <w:rsid w:val="007E0798"/>
    <w:rsid w:val="007E093D"/>
    <w:rsid w:val="007E09AE"/>
    <w:rsid w:val="007E09C6"/>
    <w:rsid w:val="007E0A0E"/>
    <w:rsid w:val="007E0BD0"/>
    <w:rsid w:val="007E0EB4"/>
    <w:rsid w:val="007E1B5E"/>
    <w:rsid w:val="007E1B72"/>
    <w:rsid w:val="007E2D90"/>
    <w:rsid w:val="007E2E5A"/>
    <w:rsid w:val="007E30AE"/>
    <w:rsid w:val="007E3813"/>
    <w:rsid w:val="007E39E1"/>
    <w:rsid w:val="007E3D2E"/>
    <w:rsid w:val="007E3EE3"/>
    <w:rsid w:val="007E46B5"/>
    <w:rsid w:val="007E47DC"/>
    <w:rsid w:val="007E5620"/>
    <w:rsid w:val="007E562F"/>
    <w:rsid w:val="007E57DE"/>
    <w:rsid w:val="007E5902"/>
    <w:rsid w:val="007E5FA2"/>
    <w:rsid w:val="007E600F"/>
    <w:rsid w:val="007E6719"/>
    <w:rsid w:val="007E68ED"/>
    <w:rsid w:val="007E69ED"/>
    <w:rsid w:val="007E7488"/>
    <w:rsid w:val="007E754E"/>
    <w:rsid w:val="007E7688"/>
    <w:rsid w:val="007E7915"/>
    <w:rsid w:val="007E79B7"/>
    <w:rsid w:val="007E7B2D"/>
    <w:rsid w:val="007E7BDF"/>
    <w:rsid w:val="007E7D9A"/>
    <w:rsid w:val="007F0208"/>
    <w:rsid w:val="007F0221"/>
    <w:rsid w:val="007F034B"/>
    <w:rsid w:val="007F07B9"/>
    <w:rsid w:val="007F0928"/>
    <w:rsid w:val="007F0F27"/>
    <w:rsid w:val="007F0F74"/>
    <w:rsid w:val="007F15CE"/>
    <w:rsid w:val="007F1A6B"/>
    <w:rsid w:val="007F1BE5"/>
    <w:rsid w:val="007F1C7B"/>
    <w:rsid w:val="007F1E88"/>
    <w:rsid w:val="007F1F4B"/>
    <w:rsid w:val="007F23D1"/>
    <w:rsid w:val="007F26B7"/>
    <w:rsid w:val="007F27E2"/>
    <w:rsid w:val="007F285E"/>
    <w:rsid w:val="007F2C52"/>
    <w:rsid w:val="007F2CD7"/>
    <w:rsid w:val="007F3560"/>
    <w:rsid w:val="007F3568"/>
    <w:rsid w:val="007F39F7"/>
    <w:rsid w:val="007F3BF8"/>
    <w:rsid w:val="007F3CAB"/>
    <w:rsid w:val="007F408E"/>
    <w:rsid w:val="007F422D"/>
    <w:rsid w:val="007F42AA"/>
    <w:rsid w:val="007F4DBA"/>
    <w:rsid w:val="007F4E50"/>
    <w:rsid w:val="007F4EE2"/>
    <w:rsid w:val="007F519C"/>
    <w:rsid w:val="007F5245"/>
    <w:rsid w:val="007F534D"/>
    <w:rsid w:val="007F5386"/>
    <w:rsid w:val="007F54A2"/>
    <w:rsid w:val="007F54FE"/>
    <w:rsid w:val="007F5535"/>
    <w:rsid w:val="007F579E"/>
    <w:rsid w:val="007F5866"/>
    <w:rsid w:val="007F5A39"/>
    <w:rsid w:val="007F5D32"/>
    <w:rsid w:val="007F72DC"/>
    <w:rsid w:val="007F72ED"/>
    <w:rsid w:val="007F795F"/>
    <w:rsid w:val="007F7E0F"/>
    <w:rsid w:val="00800412"/>
    <w:rsid w:val="00800577"/>
    <w:rsid w:val="0080069C"/>
    <w:rsid w:val="008006FD"/>
    <w:rsid w:val="00800D82"/>
    <w:rsid w:val="008011EE"/>
    <w:rsid w:val="0080148D"/>
    <w:rsid w:val="0080156B"/>
    <w:rsid w:val="008016A1"/>
    <w:rsid w:val="00801A3A"/>
    <w:rsid w:val="00801B4D"/>
    <w:rsid w:val="0080231E"/>
    <w:rsid w:val="00802357"/>
    <w:rsid w:val="00802482"/>
    <w:rsid w:val="008024BD"/>
    <w:rsid w:val="0080257E"/>
    <w:rsid w:val="008025F8"/>
    <w:rsid w:val="00802BCF"/>
    <w:rsid w:val="00803171"/>
    <w:rsid w:val="008032A4"/>
    <w:rsid w:val="008033A0"/>
    <w:rsid w:val="00803953"/>
    <w:rsid w:val="00803A1F"/>
    <w:rsid w:val="00803DBE"/>
    <w:rsid w:val="00804114"/>
    <w:rsid w:val="008042E7"/>
    <w:rsid w:val="00804634"/>
    <w:rsid w:val="008047E8"/>
    <w:rsid w:val="008048C6"/>
    <w:rsid w:val="0080499C"/>
    <w:rsid w:val="00804A83"/>
    <w:rsid w:val="0080531E"/>
    <w:rsid w:val="0080589D"/>
    <w:rsid w:val="00805C3D"/>
    <w:rsid w:val="00805DDA"/>
    <w:rsid w:val="008066D3"/>
    <w:rsid w:val="00806F1D"/>
    <w:rsid w:val="00806FF4"/>
    <w:rsid w:val="0080738A"/>
    <w:rsid w:val="008076B7"/>
    <w:rsid w:val="00807780"/>
    <w:rsid w:val="008077ED"/>
    <w:rsid w:val="008079C6"/>
    <w:rsid w:val="00807A14"/>
    <w:rsid w:val="00807B43"/>
    <w:rsid w:val="00807B6F"/>
    <w:rsid w:val="00807BB4"/>
    <w:rsid w:val="00807D09"/>
    <w:rsid w:val="00807E93"/>
    <w:rsid w:val="00810172"/>
    <w:rsid w:val="00810523"/>
    <w:rsid w:val="00810762"/>
    <w:rsid w:val="00810858"/>
    <w:rsid w:val="00810EFF"/>
    <w:rsid w:val="0081104F"/>
    <w:rsid w:val="00811314"/>
    <w:rsid w:val="00811A39"/>
    <w:rsid w:val="00811A87"/>
    <w:rsid w:val="00811AE4"/>
    <w:rsid w:val="00812102"/>
    <w:rsid w:val="00812186"/>
    <w:rsid w:val="0081291B"/>
    <w:rsid w:val="008129F9"/>
    <w:rsid w:val="00812F26"/>
    <w:rsid w:val="0081357A"/>
    <w:rsid w:val="00813622"/>
    <w:rsid w:val="0081381A"/>
    <w:rsid w:val="00813DCF"/>
    <w:rsid w:val="00813FAB"/>
    <w:rsid w:val="00814044"/>
    <w:rsid w:val="00814199"/>
    <w:rsid w:val="008143F7"/>
    <w:rsid w:val="00814827"/>
    <w:rsid w:val="008148B2"/>
    <w:rsid w:val="0081498C"/>
    <w:rsid w:val="008149BA"/>
    <w:rsid w:val="00814AE1"/>
    <w:rsid w:val="00814B8F"/>
    <w:rsid w:val="00814D44"/>
    <w:rsid w:val="0081513B"/>
    <w:rsid w:val="00815234"/>
    <w:rsid w:val="00815988"/>
    <w:rsid w:val="00815D31"/>
    <w:rsid w:val="0081601F"/>
    <w:rsid w:val="00816064"/>
    <w:rsid w:val="008161B9"/>
    <w:rsid w:val="008163CB"/>
    <w:rsid w:val="00816501"/>
    <w:rsid w:val="008166EF"/>
    <w:rsid w:val="00817331"/>
    <w:rsid w:val="008174B2"/>
    <w:rsid w:val="0081755B"/>
    <w:rsid w:val="008178A7"/>
    <w:rsid w:val="00817A0B"/>
    <w:rsid w:val="00817CFF"/>
    <w:rsid w:val="00817D8F"/>
    <w:rsid w:val="0082000D"/>
    <w:rsid w:val="0082037E"/>
    <w:rsid w:val="00820397"/>
    <w:rsid w:val="008203E0"/>
    <w:rsid w:val="00820B3F"/>
    <w:rsid w:val="00820C9C"/>
    <w:rsid w:val="00820E29"/>
    <w:rsid w:val="00820F55"/>
    <w:rsid w:val="00821071"/>
    <w:rsid w:val="00821572"/>
    <w:rsid w:val="0082166D"/>
    <w:rsid w:val="00821A6A"/>
    <w:rsid w:val="00821D25"/>
    <w:rsid w:val="00822084"/>
    <w:rsid w:val="00822310"/>
    <w:rsid w:val="00822869"/>
    <w:rsid w:val="00823113"/>
    <w:rsid w:val="008232E0"/>
    <w:rsid w:val="00823794"/>
    <w:rsid w:val="008237F4"/>
    <w:rsid w:val="00823870"/>
    <w:rsid w:val="00823D9E"/>
    <w:rsid w:val="00823F67"/>
    <w:rsid w:val="00823F78"/>
    <w:rsid w:val="00824022"/>
    <w:rsid w:val="008244F2"/>
    <w:rsid w:val="00824711"/>
    <w:rsid w:val="00824766"/>
    <w:rsid w:val="0082483A"/>
    <w:rsid w:val="00824A81"/>
    <w:rsid w:val="00824B47"/>
    <w:rsid w:val="008257B8"/>
    <w:rsid w:val="00825B4D"/>
    <w:rsid w:val="00825DFA"/>
    <w:rsid w:val="008260ED"/>
    <w:rsid w:val="00826220"/>
    <w:rsid w:val="0082632B"/>
    <w:rsid w:val="008264C9"/>
    <w:rsid w:val="00826652"/>
    <w:rsid w:val="0082699D"/>
    <w:rsid w:val="00826A44"/>
    <w:rsid w:val="00826E6B"/>
    <w:rsid w:val="00826EFE"/>
    <w:rsid w:val="008270B5"/>
    <w:rsid w:val="00827505"/>
    <w:rsid w:val="008275FD"/>
    <w:rsid w:val="00827C02"/>
    <w:rsid w:val="00827DD9"/>
    <w:rsid w:val="00830293"/>
    <w:rsid w:val="0083051B"/>
    <w:rsid w:val="008308B8"/>
    <w:rsid w:val="00830955"/>
    <w:rsid w:val="00830BA1"/>
    <w:rsid w:val="00830EB2"/>
    <w:rsid w:val="008313F3"/>
    <w:rsid w:val="00831652"/>
    <w:rsid w:val="00831D96"/>
    <w:rsid w:val="0083202E"/>
    <w:rsid w:val="00832A87"/>
    <w:rsid w:val="00832E82"/>
    <w:rsid w:val="00833006"/>
    <w:rsid w:val="0083304F"/>
    <w:rsid w:val="008334C9"/>
    <w:rsid w:val="008336D0"/>
    <w:rsid w:val="00833865"/>
    <w:rsid w:val="00833A63"/>
    <w:rsid w:val="00833AE1"/>
    <w:rsid w:val="00833CA0"/>
    <w:rsid w:val="0083408B"/>
    <w:rsid w:val="00834122"/>
    <w:rsid w:val="0083419D"/>
    <w:rsid w:val="00834558"/>
    <w:rsid w:val="008352C5"/>
    <w:rsid w:val="0083531A"/>
    <w:rsid w:val="00835392"/>
    <w:rsid w:val="00835483"/>
    <w:rsid w:val="008358A6"/>
    <w:rsid w:val="008359FB"/>
    <w:rsid w:val="00835B69"/>
    <w:rsid w:val="00835C56"/>
    <w:rsid w:val="00835CB1"/>
    <w:rsid w:val="00835F40"/>
    <w:rsid w:val="00835FA3"/>
    <w:rsid w:val="00836074"/>
    <w:rsid w:val="008360FC"/>
    <w:rsid w:val="00836106"/>
    <w:rsid w:val="008361F7"/>
    <w:rsid w:val="00836755"/>
    <w:rsid w:val="0083694D"/>
    <w:rsid w:val="00836E81"/>
    <w:rsid w:val="00837117"/>
    <w:rsid w:val="008377C1"/>
    <w:rsid w:val="00837C90"/>
    <w:rsid w:val="00837E1D"/>
    <w:rsid w:val="00837EB1"/>
    <w:rsid w:val="00840285"/>
    <w:rsid w:val="0084042B"/>
    <w:rsid w:val="00840464"/>
    <w:rsid w:val="008405D0"/>
    <w:rsid w:val="008409BB"/>
    <w:rsid w:val="00840FCB"/>
    <w:rsid w:val="00841034"/>
    <w:rsid w:val="0084184A"/>
    <w:rsid w:val="00841AB8"/>
    <w:rsid w:val="00842337"/>
    <w:rsid w:val="008423F2"/>
    <w:rsid w:val="00842A30"/>
    <w:rsid w:val="00842C33"/>
    <w:rsid w:val="00842D91"/>
    <w:rsid w:val="00842ECF"/>
    <w:rsid w:val="00842F5D"/>
    <w:rsid w:val="00842F71"/>
    <w:rsid w:val="00843179"/>
    <w:rsid w:val="0084386A"/>
    <w:rsid w:val="00843885"/>
    <w:rsid w:val="00843D9B"/>
    <w:rsid w:val="00843E0E"/>
    <w:rsid w:val="00844151"/>
    <w:rsid w:val="0084418C"/>
    <w:rsid w:val="00844229"/>
    <w:rsid w:val="0084423B"/>
    <w:rsid w:val="008442EA"/>
    <w:rsid w:val="00844589"/>
    <w:rsid w:val="00844638"/>
    <w:rsid w:val="0084465D"/>
    <w:rsid w:val="00844773"/>
    <w:rsid w:val="00844794"/>
    <w:rsid w:val="00844CFD"/>
    <w:rsid w:val="00844DE9"/>
    <w:rsid w:val="00844FE7"/>
    <w:rsid w:val="00845103"/>
    <w:rsid w:val="00845969"/>
    <w:rsid w:val="00845DA5"/>
    <w:rsid w:val="00845F37"/>
    <w:rsid w:val="00845FF5"/>
    <w:rsid w:val="00846001"/>
    <w:rsid w:val="008460FF"/>
    <w:rsid w:val="0084615D"/>
    <w:rsid w:val="0084642A"/>
    <w:rsid w:val="008465C4"/>
    <w:rsid w:val="00846710"/>
    <w:rsid w:val="008478ED"/>
    <w:rsid w:val="00847A9B"/>
    <w:rsid w:val="00847F23"/>
    <w:rsid w:val="008506B8"/>
    <w:rsid w:val="0085087F"/>
    <w:rsid w:val="00850A64"/>
    <w:rsid w:val="0085125C"/>
    <w:rsid w:val="008512E0"/>
    <w:rsid w:val="00851539"/>
    <w:rsid w:val="00851728"/>
    <w:rsid w:val="00851AE1"/>
    <w:rsid w:val="00851C71"/>
    <w:rsid w:val="00851DFF"/>
    <w:rsid w:val="00851FDD"/>
    <w:rsid w:val="0085214F"/>
    <w:rsid w:val="00852B52"/>
    <w:rsid w:val="00852C90"/>
    <w:rsid w:val="00852F1A"/>
    <w:rsid w:val="00853084"/>
    <w:rsid w:val="00853142"/>
    <w:rsid w:val="00853AE6"/>
    <w:rsid w:val="00853D3F"/>
    <w:rsid w:val="008540A6"/>
    <w:rsid w:val="00854420"/>
    <w:rsid w:val="00854481"/>
    <w:rsid w:val="00854973"/>
    <w:rsid w:val="00854CDA"/>
    <w:rsid w:val="00854DB4"/>
    <w:rsid w:val="00854FB1"/>
    <w:rsid w:val="008550A2"/>
    <w:rsid w:val="008551E9"/>
    <w:rsid w:val="00855294"/>
    <w:rsid w:val="008555EF"/>
    <w:rsid w:val="00855E82"/>
    <w:rsid w:val="008567F0"/>
    <w:rsid w:val="00856A71"/>
    <w:rsid w:val="008570D5"/>
    <w:rsid w:val="00857470"/>
    <w:rsid w:val="00857591"/>
    <w:rsid w:val="008577BD"/>
    <w:rsid w:val="00857E88"/>
    <w:rsid w:val="0086062D"/>
    <w:rsid w:val="00860A75"/>
    <w:rsid w:val="008612DB"/>
    <w:rsid w:val="00861368"/>
    <w:rsid w:val="008614CB"/>
    <w:rsid w:val="00861A75"/>
    <w:rsid w:val="00861B57"/>
    <w:rsid w:val="00861C3F"/>
    <w:rsid w:val="00861F2F"/>
    <w:rsid w:val="00862990"/>
    <w:rsid w:val="00862AB4"/>
    <w:rsid w:val="00862AC4"/>
    <w:rsid w:val="00862B0C"/>
    <w:rsid w:val="00862CB9"/>
    <w:rsid w:val="00862FAC"/>
    <w:rsid w:val="008633AC"/>
    <w:rsid w:val="008634E3"/>
    <w:rsid w:val="00863594"/>
    <w:rsid w:val="00863DEB"/>
    <w:rsid w:val="008640B4"/>
    <w:rsid w:val="00864627"/>
    <w:rsid w:val="00864635"/>
    <w:rsid w:val="00864678"/>
    <w:rsid w:val="0086474B"/>
    <w:rsid w:val="0086487D"/>
    <w:rsid w:val="00864882"/>
    <w:rsid w:val="00864A35"/>
    <w:rsid w:val="00864C1A"/>
    <w:rsid w:val="00865217"/>
    <w:rsid w:val="00865749"/>
    <w:rsid w:val="008658AA"/>
    <w:rsid w:val="00865CBD"/>
    <w:rsid w:val="00865FD5"/>
    <w:rsid w:val="00866E37"/>
    <w:rsid w:val="00866F9E"/>
    <w:rsid w:val="008672E2"/>
    <w:rsid w:val="008673B1"/>
    <w:rsid w:val="008676C7"/>
    <w:rsid w:val="0086793D"/>
    <w:rsid w:val="00867B1C"/>
    <w:rsid w:val="008702AB"/>
    <w:rsid w:val="008702D3"/>
    <w:rsid w:val="00870539"/>
    <w:rsid w:val="008710AE"/>
    <w:rsid w:val="008713D6"/>
    <w:rsid w:val="00871643"/>
    <w:rsid w:val="00871B2E"/>
    <w:rsid w:val="00871C27"/>
    <w:rsid w:val="00871CE6"/>
    <w:rsid w:val="00871D9B"/>
    <w:rsid w:val="00871E85"/>
    <w:rsid w:val="00872363"/>
    <w:rsid w:val="0087281D"/>
    <w:rsid w:val="008730F5"/>
    <w:rsid w:val="008732D8"/>
    <w:rsid w:val="00873377"/>
    <w:rsid w:val="00873577"/>
    <w:rsid w:val="00873D1B"/>
    <w:rsid w:val="0087409F"/>
    <w:rsid w:val="008743AF"/>
    <w:rsid w:val="008746E5"/>
    <w:rsid w:val="008746E7"/>
    <w:rsid w:val="008748C8"/>
    <w:rsid w:val="00874B12"/>
    <w:rsid w:val="00874C0F"/>
    <w:rsid w:val="00874CD8"/>
    <w:rsid w:val="00874D58"/>
    <w:rsid w:val="008750D2"/>
    <w:rsid w:val="00875103"/>
    <w:rsid w:val="0087524B"/>
    <w:rsid w:val="00875382"/>
    <w:rsid w:val="008753FE"/>
    <w:rsid w:val="00875720"/>
    <w:rsid w:val="00875965"/>
    <w:rsid w:val="00875AB5"/>
    <w:rsid w:val="00875BA8"/>
    <w:rsid w:val="00875C91"/>
    <w:rsid w:val="00875F85"/>
    <w:rsid w:val="00876412"/>
    <w:rsid w:val="008768C9"/>
    <w:rsid w:val="00876C49"/>
    <w:rsid w:val="00876C6B"/>
    <w:rsid w:val="00876DC9"/>
    <w:rsid w:val="00876ECC"/>
    <w:rsid w:val="00876F65"/>
    <w:rsid w:val="00877125"/>
    <w:rsid w:val="0087718E"/>
    <w:rsid w:val="008777C2"/>
    <w:rsid w:val="00877819"/>
    <w:rsid w:val="00877979"/>
    <w:rsid w:val="00877B8B"/>
    <w:rsid w:val="0088053F"/>
    <w:rsid w:val="0088063B"/>
    <w:rsid w:val="008813FE"/>
    <w:rsid w:val="008814C1"/>
    <w:rsid w:val="00881511"/>
    <w:rsid w:val="008815BE"/>
    <w:rsid w:val="008820FF"/>
    <w:rsid w:val="00882448"/>
    <w:rsid w:val="008828EE"/>
    <w:rsid w:val="00882D21"/>
    <w:rsid w:val="00882F1D"/>
    <w:rsid w:val="008833C2"/>
    <w:rsid w:val="00883A4D"/>
    <w:rsid w:val="00883B21"/>
    <w:rsid w:val="00883C69"/>
    <w:rsid w:val="00883F8F"/>
    <w:rsid w:val="00884235"/>
    <w:rsid w:val="0088447B"/>
    <w:rsid w:val="00884790"/>
    <w:rsid w:val="008847C8"/>
    <w:rsid w:val="00884944"/>
    <w:rsid w:val="00884D7E"/>
    <w:rsid w:val="00884F0F"/>
    <w:rsid w:val="00884F40"/>
    <w:rsid w:val="0088517B"/>
    <w:rsid w:val="00885285"/>
    <w:rsid w:val="00885810"/>
    <w:rsid w:val="008858E2"/>
    <w:rsid w:val="00885945"/>
    <w:rsid w:val="00885985"/>
    <w:rsid w:val="00885AAD"/>
    <w:rsid w:val="00885DE7"/>
    <w:rsid w:val="00885F01"/>
    <w:rsid w:val="00885FCA"/>
    <w:rsid w:val="00886697"/>
    <w:rsid w:val="00886699"/>
    <w:rsid w:val="00886777"/>
    <w:rsid w:val="00886ADA"/>
    <w:rsid w:val="0088709A"/>
    <w:rsid w:val="0088754C"/>
    <w:rsid w:val="008876A0"/>
    <w:rsid w:val="0089058C"/>
    <w:rsid w:val="00890FBA"/>
    <w:rsid w:val="00890FDE"/>
    <w:rsid w:val="008911ED"/>
    <w:rsid w:val="008913AF"/>
    <w:rsid w:val="0089161D"/>
    <w:rsid w:val="00891660"/>
    <w:rsid w:val="00891956"/>
    <w:rsid w:val="0089199F"/>
    <w:rsid w:val="00891C32"/>
    <w:rsid w:val="00891D7F"/>
    <w:rsid w:val="00892021"/>
    <w:rsid w:val="00892265"/>
    <w:rsid w:val="0089233E"/>
    <w:rsid w:val="008925EA"/>
    <w:rsid w:val="00892CD2"/>
    <w:rsid w:val="0089330E"/>
    <w:rsid w:val="008933A6"/>
    <w:rsid w:val="00893A8E"/>
    <w:rsid w:val="00893DBD"/>
    <w:rsid w:val="00893E27"/>
    <w:rsid w:val="00893F00"/>
    <w:rsid w:val="0089438A"/>
    <w:rsid w:val="0089459D"/>
    <w:rsid w:val="008945F7"/>
    <w:rsid w:val="0089463D"/>
    <w:rsid w:val="008946FD"/>
    <w:rsid w:val="008948B6"/>
    <w:rsid w:val="0089505D"/>
    <w:rsid w:val="0089554F"/>
    <w:rsid w:val="008955E6"/>
    <w:rsid w:val="008957E0"/>
    <w:rsid w:val="00895B5F"/>
    <w:rsid w:val="00895C63"/>
    <w:rsid w:val="00895CFF"/>
    <w:rsid w:val="00895D8A"/>
    <w:rsid w:val="00896136"/>
    <w:rsid w:val="0089637C"/>
    <w:rsid w:val="00896565"/>
    <w:rsid w:val="00896712"/>
    <w:rsid w:val="00896870"/>
    <w:rsid w:val="008969BD"/>
    <w:rsid w:val="00896BAB"/>
    <w:rsid w:val="00896C94"/>
    <w:rsid w:val="008974DF"/>
    <w:rsid w:val="00897D2F"/>
    <w:rsid w:val="00897F88"/>
    <w:rsid w:val="008A026B"/>
    <w:rsid w:val="008A0364"/>
    <w:rsid w:val="008A047A"/>
    <w:rsid w:val="008A0A5B"/>
    <w:rsid w:val="008A0E5D"/>
    <w:rsid w:val="008A13BD"/>
    <w:rsid w:val="008A13CB"/>
    <w:rsid w:val="008A1596"/>
    <w:rsid w:val="008A1607"/>
    <w:rsid w:val="008A1CC8"/>
    <w:rsid w:val="008A1EDF"/>
    <w:rsid w:val="008A238A"/>
    <w:rsid w:val="008A25E4"/>
    <w:rsid w:val="008A2695"/>
    <w:rsid w:val="008A27F8"/>
    <w:rsid w:val="008A2AF1"/>
    <w:rsid w:val="008A2D66"/>
    <w:rsid w:val="008A2D72"/>
    <w:rsid w:val="008A2DC9"/>
    <w:rsid w:val="008A2FF1"/>
    <w:rsid w:val="008A316D"/>
    <w:rsid w:val="008A321F"/>
    <w:rsid w:val="008A32A4"/>
    <w:rsid w:val="008A32D4"/>
    <w:rsid w:val="008A367F"/>
    <w:rsid w:val="008A37AF"/>
    <w:rsid w:val="008A39CB"/>
    <w:rsid w:val="008A3D62"/>
    <w:rsid w:val="008A3DA5"/>
    <w:rsid w:val="008A3E89"/>
    <w:rsid w:val="008A4171"/>
    <w:rsid w:val="008A448D"/>
    <w:rsid w:val="008A49F5"/>
    <w:rsid w:val="008A4A55"/>
    <w:rsid w:val="008A4C99"/>
    <w:rsid w:val="008A506F"/>
    <w:rsid w:val="008A528A"/>
    <w:rsid w:val="008A5298"/>
    <w:rsid w:val="008A535A"/>
    <w:rsid w:val="008A540E"/>
    <w:rsid w:val="008A58DF"/>
    <w:rsid w:val="008A5A88"/>
    <w:rsid w:val="008A720F"/>
    <w:rsid w:val="008A726E"/>
    <w:rsid w:val="008A7498"/>
    <w:rsid w:val="008A7684"/>
    <w:rsid w:val="008A77AF"/>
    <w:rsid w:val="008A7A56"/>
    <w:rsid w:val="008A7C72"/>
    <w:rsid w:val="008B004B"/>
    <w:rsid w:val="008B04CB"/>
    <w:rsid w:val="008B04F2"/>
    <w:rsid w:val="008B0698"/>
    <w:rsid w:val="008B0747"/>
    <w:rsid w:val="008B0D0E"/>
    <w:rsid w:val="008B12BB"/>
    <w:rsid w:val="008B12CA"/>
    <w:rsid w:val="008B1411"/>
    <w:rsid w:val="008B17A2"/>
    <w:rsid w:val="008B181F"/>
    <w:rsid w:val="008B1E06"/>
    <w:rsid w:val="008B1E92"/>
    <w:rsid w:val="008B225A"/>
    <w:rsid w:val="008B25F2"/>
    <w:rsid w:val="008B2643"/>
    <w:rsid w:val="008B281D"/>
    <w:rsid w:val="008B2962"/>
    <w:rsid w:val="008B2DC6"/>
    <w:rsid w:val="008B2FAE"/>
    <w:rsid w:val="008B3317"/>
    <w:rsid w:val="008B3B86"/>
    <w:rsid w:val="008B40D1"/>
    <w:rsid w:val="008B414B"/>
    <w:rsid w:val="008B4431"/>
    <w:rsid w:val="008B451F"/>
    <w:rsid w:val="008B4AC7"/>
    <w:rsid w:val="008B4D66"/>
    <w:rsid w:val="008B4DDA"/>
    <w:rsid w:val="008B4E0E"/>
    <w:rsid w:val="008B4F90"/>
    <w:rsid w:val="008B4FB9"/>
    <w:rsid w:val="008B5521"/>
    <w:rsid w:val="008B5715"/>
    <w:rsid w:val="008B5A2D"/>
    <w:rsid w:val="008B5BC2"/>
    <w:rsid w:val="008B5D4A"/>
    <w:rsid w:val="008B5E54"/>
    <w:rsid w:val="008B5E76"/>
    <w:rsid w:val="008B5F30"/>
    <w:rsid w:val="008B60BB"/>
    <w:rsid w:val="008B60E6"/>
    <w:rsid w:val="008B619A"/>
    <w:rsid w:val="008B64AE"/>
    <w:rsid w:val="008B6609"/>
    <w:rsid w:val="008B6732"/>
    <w:rsid w:val="008B67BE"/>
    <w:rsid w:val="008B684B"/>
    <w:rsid w:val="008B68E6"/>
    <w:rsid w:val="008B68EC"/>
    <w:rsid w:val="008B6B00"/>
    <w:rsid w:val="008B711E"/>
    <w:rsid w:val="008B7660"/>
    <w:rsid w:val="008B78EA"/>
    <w:rsid w:val="008B7CA8"/>
    <w:rsid w:val="008B7E8D"/>
    <w:rsid w:val="008C02EB"/>
    <w:rsid w:val="008C042F"/>
    <w:rsid w:val="008C0484"/>
    <w:rsid w:val="008C057B"/>
    <w:rsid w:val="008C0CAC"/>
    <w:rsid w:val="008C12A1"/>
    <w:rsid w:val="008C13B4"/>
    <w:rsid w:val="008C1557"/>
    <w:rsid w:val="008C1721"/>
    <w:rsid w:val="008C1B8C"/>
    <w:rsid w:val="008C1C46"/>
    <w:rsid w:val="008C2099"/>
    <w:rsid w:val="008C2306"/>
    <w:rsid w:val="008C26D1"/>
    <w:rsid w:val="008C2B7F"/>
    <w:rsid w:val="008C3540"/>
    <w:rsid w:val="008C35EC"/>
    <w:rsid w:val="008C3609"/>
    <w:rsid w:val="008C36AC"/>
    <w:rsid w:val="008C425B"/>
    <w:rsid w:val="008C427E"/>
    <w:rsid w:val="008C486C"/>
    <w:rsid w:val="008C4953"/>
    <w:rsid w:val="008C4E44"/>
    <w:rsid w:val="008C547C"/>
    <w:rsid w:val="008C56A5"/>
    <w:rsid w:val="008C5805"/>
    <w:rsid w:val="008C5829"/>
    <w:rsid w:val="008C5F6A"/>
    <w:rsid w:val="008C6255"/>
    <w:rsid w:val="008C636D"/>
    <w:rsid w:val="008C684B"/>
    <w:rsid w:val="008C6ABD"/>
    <w:rsid w:val="008C6F18"/>
    <w:rsid w:val="008C757D"/>
    <w:rsid w:val="008C7685"/>
    <w:rsid w:val="008C7A85"/>
    <w:rsid w:val="008C7AD8"/>
    <w:rsid w:val="008C7F78"/>
    <w:rsid w:val="008D007A"/>
    <w:rsid w:val="008D0242"/>
    <w:rsid w:val="008D05B7"/>
    <w:rsid w:val="008D073A"/>
    <w:rsid w:val="008D07DE"/>
    <w:rsid w:val="008D0831"/>
    <w:rsid w:val="008D0E40"/>
    <w:rsid w:val="008D130D"/>
    <w:rsid w:val="008D13B6"/>
    <w:rsid w:val="008D1A67"/>
    <w:rsid w:val="008D1B3D"/>
    <w:rsid w:val="008D1E7F"/>
    <w:rsid w:val="008D1F58"/>
    <w:rsid w:val="008D2367"/>
    <w:rsid w:val="008D276A"/>
    <w:rsid w:val="008D309F"/>
    <w:rsid w:val="008D3248"/>
    <w:rsid w:val="008D341B"/>
    <w:rsid w:val="008D3683"/>
    <w:rsid w:val="008D37EF"/>
    <w:rsid w:val="008D3C09"/>
    <w:rsid w:val="008D3F89"/>
    <w:rsid w:val="008D427A"/>
    <w:rsid w:val="008D4DD5"/>
    <w:rsid w:val="008D4DD9"/>
    <w:rsid w:val="008D54BC"/>
    <w:rsid w:val="008D5657"/>
    <w:rsid w:val="008D5A51"/>
    <w:rsid w:val="008D63DB"/>
    <w:rsid w:val="008D670D"/>
    <w:rsid w:val="008D6752"/>
    <w:rsid w:val="008D68F7"/>
    <w:rsid w:val="008D697A"/>
    <w:rsid w:val="008D69E7"/>
    <w:rsid w:val="008D6ABA"/>
    <w:rsid w:val="008D6BD6"/>
    <w:rsid w:val="008D6E4D"/>
    <w:rsid w:val="008D6FC1"/>
    <w:rsid w:val="008D7553"/>
    <w:rsid w:val="008D770F"/>
    <w:rsid w:val="008D7714"/>
    <w:rsid w:val="008E0140"/>
    <w:rsid w:val="008E0688"/>
    <w:rsid w:val="008E0A2C"/>
    <w:rsid w:val="008E0BCF"/>
    <w:rsid w:val="008E0BEF"/>
    <w:rsid w:val="008E103C"/>
    <w:rsid w:val="008E148F"/>
    <w:rsid w:val="008E1514"/>
    <w:rsid w:val="008E18A3"/>
    <w:rsid w:val="008E1919"/>
    <w:rsid w:val="008E1E52"/>
    <w:rsid w:val="008E22F7"/>
    <w:rsid w:val="008E266D"/>
    <w:rsid w:val="008E26EF"/>
    <w:rsid w:val="008E2778"/>
    <w:rsid w:val="008E29E6"/>
    <w:rsid w:val="008E2AB4"/>
    <w:rsid w:val="008E2F0C"/>
    <w:rsid w:val="008E2F85"/>
    <w:rsid w:val="008E31BB"/>
    <w:rsid w:val="008E349D"/>
    <w:rsid w:val="008E3AEF"/>
    <w:rsid w:val="008E3C5E"/>
    <w:rsid w:val="008E3E23"/>
    <w:rsid w:val="008E41FB"/>
    <w:rsid w:val="008E426D"/>
    <w:rsid w:val="008E436B"/>
    <w:rsid w:val="008E534A"/>
    <w:rsid w:val="008E547B"/>
    <w:rsid w:val="008E57A2"/>
    <w:rsid w:val="008E5C6B"/>
    <w:rsid w:val="008E5DF8"/>
    <w:rsid w:val="008E5E0D"/>
    <w:rsid w:val="008E5FCD"/>
    <w:rsid w:val="008E6088"/>
    <w:rsid w:val="008E6A08"/>
    <w:rsid w:val="008E718D"/>
    <w:rsid w:val="008E7194"/>
    <w:rsid w:val="008E75AF"/>
    <w:rsid w:val="008E7B81"/>
    <w:rsid w:val="008E7C24"/>
    <w:rsid w:val="008E7D64"/>
    <w:rsid w:val="008E7DD9"/>
    <w:rsid w:val="008F0247"/>
    <w:rsid w:val="008F0250"/>
    <w:rsid w:val="008F03C2"/>
    <w:rsid w:val="008F0B9E"/>
    <w:rsid w:val="008F10C6"/>
    <w:rsid w:val="008F11F4"/>
    <w:rsid w:val="008F134F"/>
    <w:rsid w:val="008F13F5"/>
    <w:rsid w:val="008F1952"/>
    <w:rsid w:val="008F1AA9"/>
    <w:rsid w:val="008F1E1A"/>
    <w:rsid w:val="008F254D"/>
    <w:rsid w:val="008F2669"/>
    <w:rsid w:val="008F267F"/>
    <w:rsid w:val="008F2FAF"/>
    <w:rsid w:val="008F310B"/>
    <w:rsid w:val="008F322B"/>
    <w:rsid w:val="008F3277"/>
    <w:rsid w:val="008F328B"/>
    <w:rsid w:val="008F34CB"/>
    <w:rsid w:val="008F3519"/>
    <w:rsid w:val="008F3A17"/>
    <w:rsid w:val="008F3AD3"/>
    <w:rsid w:val="008F3CA7"/>
    <w:rsid w:val="008F4332"/>
    <w:rsid w:val="008F443F"/>
    <w:rsid w:val="008F5030"/>
    <w:rsid w:val="008F5086"/>
    <w:rsid w:val="008F5CCA"/>
    <w:rsid w:val="008F5DE5"/>
    <w:rsid w:val="008F5E42"/>
    <w:rsid w:val="008F61F3"/>
    <w:rsid w:val="008F6223"/>
    <w:rsid w:val="008F6383"/>
    <w:rsid w:val="008F63B1"/>
    <w:rsid w:val="008F6626"/>
    <w:rsid w:val="008F6781"/>
    <w:rsid w:val="008F67E3"/>
    <w:rsid w:val="008F68C9"/>
    <w:rsid w:val="008F6973"/>
    <w:rsid w:val="008F6E6A"/>
    <w:rsid w:val="008F71C6"/>
    <w:rsid w:val="008F7AA7"/>
    <w:rsid w:val="008F7F54"/>
    <w:rsid w:val="008F7F65"/>
    <w:rsid w:val="008F7F94"/>
    <w:rsid w:val="009000BB"/>
    <w:rsid w:val="0090055F"/>
    <w:rsid w:val="009005BE"/>
    <w:rsid w:val="009007FC"/>
    <w:rsid w:val="009008A4"/>
    <w:rsid w:val="00900947"/>
    <w:rsid w:val="00900EB7"/>
    <w:rsid w:val="00900EB8"/>
    <w:rsid w:val="00900F4E"/>
    <w:rsid w:val="00900FBA"/>
    <w:rsid w:val="0090119A"/>
    <w:rsid w:val="00901934"/>
    <w:rsid w:val="009020FD"/>
    <w:rsid w:val="0090240E"/>
    <w:rsid w:val="0090290C"/>
    <w:rsid w:val="0090294D"/>
    <w:rsid w:val="00902E5B"/>
    <w:rsid w:val="00903088"/>
    <w:rsid w:val="009035CC"/>
    <w:rsid w:val="00903807"/>
    <w:rsid w:val="00903FD9"/>
    <w:rsid w:val="009041D8"/>
    <w:rsid w:val="0090453E"/>
    <w:rsid w:val="00904637"/>
    <w:rsid w:val="009046A7"/>
    <w:rsid w:val="009046BB"/>
    <w:rsid w:val="00904CF5"/>
    <w:rsid w:val="00905259"/>
    <w:rsid w:val="00905296"/>
    <w:rsid w:val="0090556C"/>
    <w:rsid w:val="00905584"/>
    <w:rsid w:val="009055C6"/>
    <w:rsid w:val="00905633"/>
    <w:rsid w:val="0090567C"/>
    <w:rsid w:val="0090578A"/>
    <w:rsid w:val="00905EAE"/>
    <w:rsid w:val="009060C4"/>
    <w:rsid w:val="00906299"/>
    <w:rsid w:val="0090632E"/>
    <w:rsid w:val="00906C1E"/>
    <w:rsid w:val="00906C91"/>
    <w:rsid w:val="00906C95"/>
    <w:rsid w:val="00906F0E"/>
    <w:rsid w:val="00907656"/>
    <w:rsid w:val="00907CAE"/>
    <w:rsid w:val="00907CB3"/>
    <w:rsid w:val="00907E47"/>
    <w:rsid w:val="0091017B"/>
    <w:rsid w:val="0091022E"/>
    <w:rsid w:val="009103E2"/>
    <w:rsid w:val="009107FF"/>
    <w:rsid w:val="00910DF0"/>
    <w:rsid w:val="009115EF"/>
    <w:rsid w:val="009116DD"/>
    <w:rsid w:val="00911CD2"/>
    <w:rsid w:val="0091232C"/>
    <w:rsid w:val="00912410"/>
    <w:rsid w:val="009124CC"/>
    <w:rsid w:val="00912777"/>
    <w:rsid w:val="00912BE4"/>
    <w:rsid w:val="00912C88"/>
    <w:rsid w:val="00912D1C"/>
    <w:rsid w:val="00913019"/>
    <w:rsid w:val="009130AC"/>
    <w:rsid w:val="009136EE"/>
    <w:rsid w:val="00913F1E"/>
    <w:rsid w:val="00913FB2"/>
    <w:rsid w:val="009140C4"/>
    <w:rsid w:val="009141D0"/>
    <w:rsid w:val="009144A9"/>
    <w:rsid w:val="0091468B"/>
    <w:rsid w:val="0091471F"/>
    <w:rsid w:val="009151A0"/>
    <w:rsid w:val="0091526F"/>
    <w:rsid w:val="009153D2"/>
    <w:rsid w:val="00915530"/>
    <w:rsid w:val="00916286"/>
    <w:rsid w:val="00916595"/>
    <w:rsid w:val="0091675E"/>
    <w:rsid w:val="00916856"/>
    <w:rsid w:val="00916C47"/>
    <w:rsid w:val="00916D13"/>
    <w:rsid w:val="009171AD"/>
    <w:rsid w:val="009173C0"/>
    <w:rsid w:val="009174C6"/>
    <w:rsid w:val="00917525"/>
    <w:rsid w:val="00917569"/>
    <w:rsid w:val="009177C7"/>
    <w:rsid w:val="009179A4"/>
    <w:rsid w:val="00917BAD"/>
    <w:rsid w:val="00920061"/>
    <w:rsid w:val="00920174"/>
    <w:rsid w:val="009204FB"/>
    <w:rsid w:val="00920965"/>
    <w:rsid w:val="00920B26"/>
    <w:rsid w:val="00920D50"/>
    <w:rsid w:val="00920D9F"/>
    <w:rsid w:val="00920DC8"/>
    <w:rsid w:val="0092116A"/>
    <w:rsid w:val="009211FA"/>
    <w:rsid w:val="009212E0"/>
    <w:rsid w:val="009217C8"/>
    <w:rsid w:val="009219D2"/>
    <w:rsid w:val="00921A4E"/>
    <w:rsid w:val="00921AE7"/>
    <w:rsid w:val="00921D69"/>
    <w:rsid w:val="00921E37"/>
    <w:rsid w:val="00921F16"/>
    <w:rsid w:val="00921F7C"/>
    <w:rsid w:val="00922511"/>
    <w:rsid w:val="00922558"/>
    <w:rsid w:val="00922E4A"/>
    <w:rsid w:val="00922F07"/>
    <w:rsid w:val="00922FCC"/>
    <w:rsid w:val="00922FD1"/>
    <w:rsid w:val="009231AA"/>
    <w:rsid w:val="00923463"/>
    <w:rsid w:val="009239F7"/>
    <w:rsid w:val="00923D13"/>
    <w:rsid w:val="00923EC1"/>
    <w:rsid w:val="0092429C"/>
    <w:rsid w:val="00924E00"/>
    <w:rsid w:val="00925238"/>
    <w:rsid w:val="00925637"/>
    <w:rsid w:val="0092587C"/>
    <w:rsid w:val="00925ACF"/>
    <w:rsid w:val="00925AF0"/>
    <w:rsid w:val="00925CCE"/>
    <w:rsid w:val="00925CF6"/>
    <w:rsid w:val="00925EEA"/>
    <w:rsid w:val="0092615D"/>
    <w:rsid w:val="00926546"/>
    <w:rsid w:val="009265A1"/>
    <w:rsid w:val="00926663"/>
    <w:rsid w:val="0092674E"/>
    <w:rsid w:val="00926787"/>
    <w:rsid w:val="0092681F"/>
    <w:rsid w:val="009270BA"/>
    <w:rsid w:val="0092713B"/>
    <w:rsid w:val="00927700"/>
    <w:rsid w:val="00927705"/>
    <w:rsid w:val="00927901"/>
    <w:rsid w:val="00927B71"/>
    <w:rsid w:val="00930139"/>
    <w:rsid w:val="0093036E"/>
    <w:rsid w:val="009304E3"/>
    <w:rsid w:val="009308BC"/>
    <w:rsid w:val="00931018"/>
    <w:rsid w:val="00931224"/>
    <w:rsid w:val="00931417"/>
    <w:rsid w:val="00931694"/>
    <w:rsid w:val="009318C8"/>
    <w:rsid w:val="00931CF0"/>
    <w:rsid w:val="0093264C"/>
    <w:rsid w:val="00932BEA"/>
    <w:rsid w:val="00932E47"/>
    <w:rsid w:val="009333D3"/>
    <w:rsid w:val="009335AD"/>
    <w:rsid w:val="00933763"/>
    <w:rsid w:val="009339B6"/>
    <w:rsid w:val="00933B4C"/>
    <w:rsid w:val="00933D2C"/>
    <w:rsid w:val="00933DC4"/>
    <w:rsid w:val="0093420F"/>
    <w:rsid w:val="0093427E"/>
    <w:rsid w:val="0093431B"/>
    <w:rsid w:val="009346D6"/>
    <w:rsid w:val="00934743"/>
    <w:rsid w:val="0093487E"/>
    <w:rsid w:val="00934FFE"/>
    <w:rsid w:val="009351D8"/>
    <w:rsid w:val="00935A87"/>
    <w:rsid w:val="00935CD6"/>
    <w:rsid w:val="00935F06"/>
    <w:rsid w:val="00936405"/>
    <w:rsid w:val="0093655B"/>
    <w:rsid w:val="00936A14"/>
    <w:rsid w:val="00936B64"/>
    <w:rsid w:val="00937346"/>
    <w:rsid w:val="009376F3"/>
    <w:rsid w:val="009379C4"/>
    <w:rsid w:val="00937CB2"/>
    <w:rsid w:val="00937CD1"/>
    <w:rsid w:val="0094041A"/>
    <w:rsid w:val="00940864"/>
    <w:rsid w:val="009408EA"/>
    <w:rsid w:val="00940D32"/>
    <w:rsid w:val="009417BB"/>
    <w:rsid w:val="009418D8"/>
    <w:rsid w:val="0094190D"/>
    <w:rsid w:val="009419AD"/>
    <w:rsid w:val="00941B84"/>
    <w:rsid w:val="00941EB5"/>
    <w:rsid w:val="00941FED"/>
    <w:rsid w:val="00942354"/>
    <w:rsid w:val="0094254D"/>
    <w:rsid w:val="00942681"/>
    <w:rsid w:val="00943081"/>
    <w:rsid w:val="00943857"/>
    <w:rsid w:val="00943A7E"/>
    <w:rsid w:val="00943CA2"/>
    <w:rsid w:val="00943D1C"/>
    <w:rsid w:val="00943E03"/>
    <w:rsid w:val="00943E42"/>
    <w:rsid w:val="00943E5D"/>
    <w:rsid w:val="00943FD5"/>
    <w:rsid w:val="00944169"/>
    <w:rsid w:val="009444D3"/>
    <w:rsid w:val="00944728"/>
    <w:rsid w:val="00944D9A"/>
    <w:rsid w:val="00945358"/>
    <w:rsid w:val="009453E8"/>
    <w:rsid w:val="00945652"/>
    <w:rsid w:val="00945664"/>
    <w:rsid w:val="00945AD1"/>
    <w:rsid w:val="00945B06"/>
    <w:rsid w:val="00945B4C"/>
    <w:rsid w:val="00945B68"/>
    <w:rsid w:val="00946D32"/>
    <w:rsid w:val="00946ECB"/>
    <w:rsid w:val="00947217"/>
    <w:rsid w:val="00947268"/>
    <w:rsid w:val="0094730F"/>
    <w:rsid w:val="0094750E"/>
    <w:rsid w:val="009479AE"/>
    <w:rsid w:val="00947B86"/>
    <w:rsid w:val="00947C94"/>
    <w:rsid w:val="00947CA4"/>
    <w:rsid w:val="00950195"/>
    <w:rsid w:val="0095020D"/>
    <w:rsid w:val="00950337"/>
    <w:rsid w:val="00950621"/>
    <w:rsid w:val="009507C8"/>
    <w:rsid w:val="00950EA5"/>
    <w:rsid w:val="0095115E"/>
    <w:rsid w:val="0095118A"/>
    <w:rsid w:val="00951533"/>
    <w:rsid w:val="00951540"/>
    <w:rsid w:val="00951BA6"/>
    <w:rsid w:val="00951DD1"/>
    <w:rsid w:val="00951E27"/>
    <w:rsid w:val="00951F93"/>
    <w:rsid w:val="009523B4"/>
    <w:rsid w:val="00952468"/>
    <w:rsid w:val="00952580"/>
    <w:rsid w:val="00952E45"/>
    <w:rsid w:val="009537EA"/>
    <w:rsid w:val="00954767"/>
    <w:rsid w:val="0095487A"/>
    <w:rsid w:val="009548FB"/>
    <w:rsid w:val="00955022"/>
    <w:rsid w:val="00955129"/>
    <w:rsid w:val="0095538B"/>
    <w:rsid w:val="00955A4A"/>
    <w:rsid w:val="009560D6"/>
    <w:rsid w:val="009563EF"/>
    <w:rsid w:val="009564EB"/>
    <w:rsid w:val="009567E5"/>
    <w:rsid w:val="00956E57"/>
    <w:rsid w:val="0095729D"/>
    <w:rsid w:val="009574D9"/>
    <w:rsid w:val="009575B9"/>
    <w:rsid w:val="00957AF7"/>
    <w:rsid w:val="00957F0E"/>
    <w:rsid w:val="00960671"/>
    <w:rsid w:val="0096068D"/>
    <w:rsid w:val="00960ACA"/>
    <w:rsid w:val="00960B5E"/>
    <w:rsid w:val="00960C4F"/>
    <w:rsid w:val="00960C60"/>
    <w:rsid w:val="00960D32"/>
    <w:rsid w:val="00961526"/>
    <w:rsid w:val="009618E1"/>
    <w:rsid w:val="00961D2B"/>
    <w:rsid w:val="0096217C"/>
    <w:rsid w:val="00962441"/>
    <w:rsid w:val="0096278F"/>
    <w:rsid w:val="00963009"/>
    <w:rsid w:val="00963277"/>
    <w:rsid w:val="00963437"/>
    <w:rsid w:val="00963821"/>
    <w:rsid w:val="00963E25"/>
    <w:rsid w:val="009644C8"/>
    <w:rsid w:val="00964B53"/>
    <w:rsid w:val="00964C3F"/>
    <w:rsid w:val="00964C6C"/>
    <w:rsid w:val="00964E33"/>
    <w:rsid w:val="009650D3"/>
    <w:rsid w:val="00965176"/>
    <w:rsid w:val="0096521A"/>
    <w:rsid w:val="00965240"/>
    <w:rsid w:val="0096552C"/>
    <w:rsid w:val="00965847"/>
    <w:rsid w:val="00965A3E"/>
    <w:rsid w:val="00965C48"/>
    <w:rsid w:val="00965E4A"/>
    <w:rsid w:val="00966ABA"/>
    <w:rsid w:val="00966D9D"/>
    <w:rsid w:val="00966E4A"/>
    <w:rsid w:val="00967041"/>
    <w:rsid w:val="00967127"/>
    <w:rsid w:val="00967F38"/>
    <w:rsid w:val="00970138"/>
    <w:rsid w:val="00970918"/>
    <w:rsid w:val="0097099E"/>
    <w:rsid w:val="00970F08"/>
    <w:rsid w:val="009710B6"/>
    <w:rsid w:val="00971761"/>
    <w:rsid w:val="00971BF4"/>
    <w:rsid w:val="00971D28"/>
    <w:rsid w:val="00971E22"/>
    <w:rsid w:val="00972009"/>
    <w:rsid w:val="009720AC"/>
    <w:rsid w:val="0097216F"/>
    <w:rsid w:val="00972736"/>
    <w:rsid w:val="00972C3B"/>
    <w:rsid w:val="00972E2C"/>
    <w:rsid w:val="00973057"/>
    <w:rsid w:val="00973889"/>
    <w:rsid w:val="009738CD"/>
    <w:rsid w:val="009738D3"/>
    <w:rsid w:val="009748D1"/>
    <w:rsid w:val="009749FC"/>
    <w:rsid w:val="00974D50"/>
    <w:rsid w:val="0097511A"/>
    <w:rsid w:val="009751AF"/>
    <w:rsid w:val="00975326"/>
    <w:rsid w:val="00975BCC"/>
    <w:rsid w:val="00975DEA"/>
    <w:rsid w:val="009769C9"/>
    <w:rsid w:val="00977277"/>
    <w:rsid w:val="00977832"/>
    <w:rsid w:val="00977CDF"/>
    <w:rsid w:val="0098043F"/>
    <w:rsid w:val="009805DD"/>
    <w:rsid w:val="00980C2B"/>
    <w:rsid w:val="00980FB3"/>
    <w:rsid w:val="00981038"/>
    <w:rsid w:val="00981041"/>
    <w:rsid w:val="0098106E"/>
    <w:rsid w:val="009810B8"/>
    <w:rsid w:val="00981511"/>
    <w:rsid w:val="00981683"/>
    <w:rsid w:val="00981B92"/>
    <w:rsid w:val="00981D1C"/>
    <w:rsid w:val="00981E1C"/>
    <w:rsid w:val="00981F83"/>
    <w:rsid w:val="00982118"/>
    <w:rsid w:val="009821DF"/>
    <w:rsid w:val="009824E7"/>
    <w:rsid w:val="0098254F"/>
    <w:rsid w:val="00982AFA"/>
    <w:rsid w:val="00982C62"/>
    <w:rsid w:val="00982C69"/>
    <w:rsid w:val="00982C91"/>
    <w:rsid w:val="00982EFA"/>
    <w:rsid w:val="00982F76"/>
    <w:rsid w:val="00982FA3"/>
    <w:rsid w:val="00983009"/>
    <w:rsid w:val="009838DC"/>
    <w:rsid w:val="009840FD"/>
    <w:rsid w:val="00984269"/>
    <w:rsid w:val="00984701"/>
    <w:rsid w:val="00984847"/>
    <w:rsid w:val="00984BEC"/>
    <w:rsid w:val="00985406"/>
    <w:rsid w:val="00985520"/>
    <w:rsid w:val="009855FB"/>
    <w:rsid w:val="00985A93"/>
    <w:rsid w:val="00985EB8"/>
    <w:rsid w:val="00985FB3"/>
    <w:rsid w:val="00985FE1"/>
    <w:rsid w:val="0098647B"/>
    <w:rsid w:val="00986566"/>
    <w:rsid w:val="00986890"/>
    <w:rsid w:val="00986B0D"/>
    <w:rsid w:val="00986CC1"/>
    <w:rsid w:val="00986F4E"/>
    <w:rsid w:val="00987191"/>
    <w:rsid w:val="009871DC"/>
    <w:rsid w:val="009872AF"/>
    <w:rsid w:val="009874FE"/>
    <w:rsid w:val="00987920"/>
    <w:rsid w:val="0098792C"/>
    <w:rsid w:val="00987A5A"/>
    <w:rsid w:val="00987C01"/>
    <w:rsid w:val="00987CB4"/>
    <w:rsid w:val="00990350"/>
    <w:rsid w:val="0099097E"/>
    <w:rsid w:val="00990ABC"/>
    <w:rsid w:val="00990C03"/>
    <w:rsid w:val="00990FA0"/>
    <w:rsid w:val="00991D57"/>
    <w:rsid w:val="009921FC"/>
    <w:rsid w:val="009923C4"/>
    <w:rsid w:val="0099251F"/>
    <w:rsid w:val="0099272B"/>
    <w:rsid w:val="00992A0E"/>
    <w:rsid w:val="0099314C"/>
    <w:rsid w:val="009934FE"/>
    <w:rsid w:val="009938A7"/>
    <w:rsid w:val="0099399E"/>
    <w:rsid w:val="009939C6"/>
    <w:rsid w:val="00993CDC"/>
    <w:rsid w:val="00993FA6"/>
    <w:rsid w:val="0099413C"/>
    <w:rsid w:val="009941C3"/>
    <w:rsid w:val="00994230"/>
    <w:rsid w:val="00994507"/>
    <w:rsid w:val="00994572"/>
    <w:rsid w:val="0099479E"/>
    <w:rsid w:val="00994843"/>
    <w:rsid w:val="00994F06"/>
    <w:rsid w:val="00995073"/>
    <w:rsid w:val="009951D8"/>
    <w:rsid w:val="00995355"/>
    <w:rsid w:val="0099544B"/>
    <w:rsid w:val="009956AD"/>
    <w:rsid w:val="009956F1"/>
    <w:rsid w:val="0099586F"/>
    <w:rsid w:val="00995986"/>
    <w:rsid w:val="0099632B"/>
    <w:rsid w:val="009969CA"/>
    <w:rsid w:val="00996CB5"/>
    <w:rsid w:val="00996F64"/>
    <w:rsid w:val="0099719E"/>
    <w:rsid w:val="009972CB"/>
    <w:rsid w:val="00997C16"/>
    <w:rsid w:val="009A011C"/>
    <w:rsid w:val="009A0169"/>
    <w:rsid w:val="009A0EAC"/>
    <w:rsid w:val="009A11E4"/>
    <w:rsid w:val="009A1546"/>
    <w:rsid w:val="009A17B9"/>
    <w:rsid w:val="009A1B56"/>
    <w:rsid w:val="009A1CFB"/>
    <w:rsid w:val="009A2089"/>
    <w:rsid w:val="009A2111"/>
    <w:rsid w:val="009A2206"/>
    <w:rsid w:val="009A22A3"/>
    <w:rsid w:val="009A2427"/>
    <w:rsid w:val="009A2A8A"/>
    <w:rsid w:val="009A314F"/>
    <w:rsid w:val="009A32AE"/>
    <w:rsid w:val="009A343C"/>
    <w:rsid w:val="009A35AB"/>
    <w:rsid w:val="009A3C21"/>
    <w:rsid w:val="009A3C93"/>
    <w:rsid w:val="009A3FD0"/>
    <w:rsid w:val="009A41D6"/>
    <w:rsid w:val="009A422A"/>
    <w:rsid w:val="009A4320"/>
    <w:rsid w:val="009A438A"/>
    <w:rsid w:val="009A443A"/>
    <w:rsid w:val="009A49EE"/>
    <w:rsid w:val="009A4C21"/>
    <w:rsid w:val="009A51C7"/>
    <w:rsid w:val="009A5735"/>
    <w:rsid w:val="009A59EC"/>
    <w:rsid w:val="009A5C56"/>
    <w:rsid w:val="009A5CA8"/>
    <w:rsid w:val="009A6006"/>
    <w:rsid w:val="009A6016"/>
    <w:rsid w:val="009A6128"/>
    <w:rsid w:val="009A6ED0"/>
    <w:rsid w:val="009A706A"/>
    <w:rsid w:val="009A71AB"/>
    <w:rsid w:val="009A73FF"/>
    <w:rsid w:val="009A7538"/>
    <w:rsid w:val="009A7745"/>
    <w:rsid w:val="009A7AB0"/>
    <w:rsid w:val="009A7C3D"/>
    <w:rsid w:val="009B009D"/>
    <w:rsid w:val="009B00B2"/>
    <w:rsid w:val="009B0156"/>
    <w:rsid w:val="009B017F"/>
    <w:rsid w:val="009B0295"/>
    <w:rsid w:val="009B05BA"/>
    <w:rsid w:val="009B087C"/>
    <w:rsid w:val="009B1266"/>
    <w:rsid w:val="009B1459"/>
    <w:rsid w:val="009B1680"/>
    <w:rsid w:val="009B17AD"/>
    <w:rsid w:val="009B1B0E"/>
    <w:rsid w:val="009B1BEF"/>
    <w:rsid w:val="009B1EDD"/>
    <w:rsid w:val="009B2139"/>
    <w:rsid w:val="009B2186"/>
    <w:rsid w:val="009B24AD"/>
    <w:rsid w:val="009B24CA"/>
    <w:rsid w:val="009B2596"/>
    <w:rsid w:val="009B2941"/>
    <w:rsid w:val="009B3061"/>
    <w:rsid w:val="009B3348"/>
    <w:rsid w:val="009B3377"/>
    <w:rsid w:val="009B3D28"/>
    <w:rsid w:val="009B42B6"/>
    <w:rsid w:val="009B42CC"/>
    <w:rsid w:val="009B43D6"/>
    <w:rsid w:val="009B4B70"/>
    <w:rsid w:val="009B4F29"/>
    <w:rsid w:val="009B5081"/>
    <w:rsid w:val="009B50C6"/>
    <w:rsid w:val="009B513E"/>
    <w:rsid w:val="009B5374"/>
    <w:rsid w:val="009B54FD"/>
    <w:rsid w:val="009B5FFF"/>
    <w:rsid w:val="009B63A5"/>
    <w:rsid w:val="009B6985"/>
    <w:rsid w:val="009B69B3"/>
    <w:rsid w:val="009B7011"/>
    <w:rsid w:val="009B706A"/>
    <w:rsid w:val="009B71E4"/>
    <w:rsid w:val="009B7234"/>
    <w:rsid w:val="009B74DA"/>
    <w:rsid w:val="009B74E3"/>
    <w:rsid w:val="009B7508"/>
    <w:rsid w:val="009B77F9"/>
    <w:rsid w:val="009B7D45"/>
    <w:rsid w:val="009B7DAD"/>
    <w:rsid w:val="009B7E90"/>
    <w:rsid w:val="009C04EE"/>
    <w:rsid w:val="009C0CD4"/>
    <w:rsid w:val="009C1194"/>
    <w:rsid w:val="009C15E7"/>
    <w:rsid w:val="009C17A3"/>
    <w:rsid w:val="009C17C8"/>
    <w:rsid w:val="009C2137"/>
    <w:rsid w:val="009C219D"/>
    <w:rsid w:val="009C21E3"/>
    <w:rsid w:val="009C2DDC"/>
    <w:rsid w:val="009C3010"/>
    <w:rsid w:val="009C376B"/>
    <w:rsid w:val="009C385B"/>
    <w:rsid w:val="009C3B61"/>
    <w:rsid w:val="009C3E3C"/>
    <w:rsid w:val="009C4353"/>
    <w:rsid w:val="009C4605"/>
    <w:rsid w:val="009C49C2"/>
    <w:rsid w:val="009C4CEF"/>
    <w:rsid w:val="009C4D53"/>
    <w:rsid w:val="009C4E2D"/>
    <w:rsid w:val="009C5488"/>
    <w:rsid w:val="009C56B7"/>
    <w:rsid w:val="009C62C0"/>
    <w:rsid w:val="009C6A88"/>
    <w:rsid w:val="009C6C00"/>
    <w:rsid w:val="009C6F6E"/>
    <w:rsid w:val="009C765D"/>
    <w:rsid w:val="009C776F"/>
    <w:rsid w:val="009C7ADA"/>
    <w:rsid w:val="009D000A"/>
    <w:rsid w:val="009D09FB"/>
    <w:rsid w:val="009D0A4C"/>
    <w:rsid w:val="009D0D50"/>
    <w:rsid w:val="009D19E6"/>
    <w:rsid w:val="009D1A86"/>
    <w:rsid w:val="009D1B49"/>
    <w:rsid w:val="009D1E12"/>
    <w:rsid w:val="009D1E16"/>
    <w:rsid w:val="009D1E20"/>
    <w:rsid w:val="009D2198"/>
    <w:rsid w:val="009D278F"/>
    <w:rsid w:val="009D2DA9"/>
    <w:rsid w:val="009D2E23"/>
    <w:rsid w:val="009D2E93"/>
    <w:rsid w:val="009D2EA9"/>
    <w:rsid w:val="009D3038"/>
    <w:rsid w:val="009D33C5"/>
    <w:rsid w:val="009D34C0"/>
    <w:rsid w:val="009D3528"/>
    <w:rsid w:val="009D35FB"/>
    <w:rsid w:val="009D403A"/>
    <w:rsid w:val="009D42F7"/>
    <w:rsid w:val="009D43DF"/>
    <w:rsid w:val="009D451B"/>
    <w:rsid w:val="009D462E"/>
    <w:rsid w:val="009D4BBE"/>
    <w:rsid w:val="009D4D2F"/>
    <w:rsid w:val="009D4E16"/>
    <w:rsid w:val="009D5203"/>
    <w:rsid w:val="009D53C3"/>
    <w:rsid w:val="009D5822"/>
    <w:rsid w:val="009D5893"/>
    <w:rsid w:val="009D6620"/>
    <w:rsid w:val="009D67F1"/>
    <w:rsid w:val="009D6BD4"/>
    <w:rsid w:val="009D6C54"/>
    <w:rsid w:val="009D72B0"/>
    <w:rsid w:val="009D7302"/>
    <w:rsid w:val="009D77CE"/>
    <w:rsid w:val="009D7BEC"/>
    <w:rsid w:val="009D7CA5"/>
    <w:rsid w:val="009D7DE3"/>
    <w:rsid w:val="009E004A"/>
    <w:rsid w:val="009E066B"/>
    <w:rsid w:val="009E0A6B"/>
    <w:rsid w:val="009E0BF6"/>
    <w:rsid w:val="009E1515"/>
    <w:rsid w:val="009E15AF"/>
    <w:rsid w:val="009E1CFF"/>
    <w:rsid w:val="009E1FEE"/>
    <w:rsid w:val="009E2124"/>
    <w:rsid w:val="009E227E"/>
    <w:rsid w:val="009E23EA"/>
    <w:rsid w:val="009E2B66"/>
    <w:rsid w:val="009E2D24"/>
    <w:rsid w:val="009E2EA0"/>
    <w:rsid w:val="009E2F15"/>
    <w:rsid w:val="009E2FF1"/>
    <w:rsid w:val="009E305F"/>
    <w:rsid w:val="009E36B8"/>
    <w:rsid w:val="009E36FF"/>
    <w:rsid w:val="009E37D3"/>
    <w:rsid w:val="009E3EF7"/>
    <w:rsid w:val="009E4B2D"/>
    <w:rsid w:val="009E4B90"/>
    <w:rsid w:val="009E5028"/>
    <w:rsid w:val="009E50FB"/>
    <w:rsid w:val="009E5280"/>
    <w:rsid w:val="009E5386"/>
    <w:rsid w:val="009E553A"/>
    <w:rsid w:val="009E5DD1"/>
    <w:rsid w:val="009E6033"/>
    <w:rsid w:val="009E60AD"/>
    <w:rsid w:val="009E64F8"/>
    <w:rsid w:val="009E6659"/>
    <w:rsid w:val="009E67E6"/>
    <w:rsid w:val="009E68C8"/>
    <w:rsid w:val="009E6AB5"/>
    <w:rsid w:val="009E6CAB"/>
    <w:rsid w:val="009E6DAB"/>
    <w:rsid w:val="009E6F4B"/>
    <w:rsid w:val="009E703C"/>
    <w:rsid w:val="009E750D"/>
    <w:rsid w:val="009E77F1"/>
    <w:rsid w:val="009E7BAD"/>
    <w:rsid w:val="009E7E4C"/>
    <w:rsid w:val="009F086F"/>
    <w:rsid w:val="009F088B"/>
    <w:rsid w:val="009F08F5"/>
    <w:rsid w:val="009F0956"/>
    <w:rsid w:val="009F0B59"/>
    <w:rsid w:val="009F0BBD"/>
    <w:rsid w:val="009F0EE5"/>
    <w:rsid w:val="009F1264"/>
    <w:rsid w:val="009F1650"/>
    <w:rsid w:val="009F16F4"/>
    <w:rsid w:val="009F1BD3"/>
    <w:rsid w:val="009F1C1F"/>
    <w:rsid w:val="009F1D7F"/>
    <w:rsid w:val="009F2215"/>
    <w:rsid w:val="009F22D9"/>
    <w:rsid w:val="009F245B"/>
    <w:rsid w:val="009F25E6"/>
    <w:rsid w:val="009F29B1"/>
    <w:rsid w:val="009F2BE8"/>
    <w:rsid w:val="009F2EA3"/>
    <w:rsid w:val="009F2F09"/>
    <w:rsid w:val="009F336A"/>
    <w:rsid w:val="009F39A7"/>
    <w:rsid w:val="009F39A8"/>
    <w:rsid w:val="009F40B7"/>
    <w:rsid w:val="009F4188"/>
    <w:rsid w:val="009F4302"/>
    <w:rsid w:val="009F4393"/>
    <w:rsid w:val="009F49BA"/>
    <w:rsid w:val="009F4BE9"/>
    <w:rsid w:val="009F5333"/>
    <w:rsid w:val="009F5645"/>
    <w:rsid w:val="009F56B8"/>
    <w:rsid w:val="009F584D"/>
    <w:rsid w:val="009F5C33"/>
    <w:rsid w:val="009F5D69"/>
    <w:rsid w:val="009F5E05"/>
    <w:rsid w:val="009F5EDD"/>
    <w:rsid w:val="009F5EF8"/>
    <w:rsid w:val="009F62D3"/>
    <w:rsid w:val="009F660B"/>
    <w:rsid w:val="009F6998"/>
    <w:rsid w:val="009F6B27"/>
    <w:rsid w:val="009F6D04"/>
    <w:rsid w:val="009F77C8"/>
    <w:rsid w:val="009F7C1A"/>
    <w:rsid w:val="00A00112"/>
    <w:rsid w:val="00A005B2"/>
    <w:rsid w:val="00A00614"/>
    <w:rsid w:val="00A0084C"/>
    <w:rsid w:val="00A008B5"/>
    <w:rsid w:val="00A00B9A"/>
    <w:rsid w:val="00A00C31"/>
    <w:rsid w:val="00A00ED4"/>
    <w:rsid w:val="00A010FB"/>
    <w:rsid w:val="00A017B4"/>
    <w:rsid w:val="00A018DD"/>
    <w:rsid w:val="00A01AE6"/>
    <w:rsid w:val="00A01C53"/>
    <w:rsid w:val="00A01D02"/>
    <w:rsid w:val="00A01D38"/>
    <w:rsid w:val="00A020F2"/>
    <w:rsid w:val="00A02414"/>
    <w:rsid w:val="00A025B9"/>
    <w:rsid w:val="00A02C80"/>
    <w:rsid w:val="00A03361"/>
    <w:rsid w:val="00A0355C"/>
    <w:rsid w:val="00A037AB"/>
    <w:rsid w:val="00A03A13"/>
    <w:rsid w:val="00A03AE9"/>
    <w:rsid w:val="00A040CD"/>
    <w:rsid w:val="00A04267"/>
    <w:rsid w:val="00A04362"/>
    <w:rsid w:val="00A04429"/>
    <w:rsid w:val="00A04642"/>
    <w:rsid w:val="00A046F0"/>
    <w:rsid w:val="00A048E7"/>
    <w:rsid w:val="00A04D50"/>
    <w:rsid w:val="00A04E8E"/>
    <w:rsid w:val="00A04F7F"/>
    <w:rsid w:val="00A05D68"/>
    <w:rsid w:val="00A05E51"/>
    <w:rsid w:val="00A05F87"/>
    <w:rsid w:val="00A062AE"/>
    <w:rsid w:val="00A06446"/>
    <w:rsid w:val="00A06697"/>
    <w:rsid w:val="00A06843"/>
    <w:rsid w:val="00A0686C"/>
    <w:rsid w:val="00A06C40"/>
    <w:rsid w:val="00A072E4"/>
    <w:rsid w:val="00A07D0D"/>
    <w:rsid w:val="00A10586"/>
    <w:rsid w:val="00A10823"/>
    <w:rsid w:val="00A10A48"/>
    <w:rsid w:val="00A10CED"/>
    <w:rsid w:val="00A110DA"/>
    <w:rsid w:val="00A1132B"/>
    <w:rsid w:val="00A11930"/>
    <w:rsid w:val="00A11B54"/>
    <w:rsid w:val="00A11B6C"/>
    <w:rsid w:val="00A11CDC"/>
    <w:rsid w:val="00A12214"/>
    <w:rsid w:val="00A1238C"/>
    <w:rsid w:val="00A12399"/>
    <w:rsid w:val="00A1241E"/>
    <w:rsid w:val="00A1263D"/>
    <w:rsid w:val="00A12AF2"/>
    <w:rsid w:val="00A12D8A"/>
    <w:rsid w:val="00A12E2D"/>
    <w:rsid w:val="00A12E6C"/>
    <w:rsid w:val="00A1310D"/>
    <w:rsid w:val="00A134B2"/>
    <w:rsid w:val="00A136D0"/>
    <w:rsid w:val="00A13D1A"/>
    <w:rsid w:val="00A142B1"/>
    <w:rsid w:val="00A1447C"/>
    <w:rsid w:val="00A144BB"/>
    <w:rsid w:val="00A1466F"/>
    <w:rsid w:val="00A14980"/>
    <w:rsid w:val="00A14DC2"/>
    <w:rsid w:val="00A14DD6"/>
    <w:rsid w:val="00A14F9F"/>
    <w:rsid w:val="00A150D4"/>
    <w:rsid w:val="00A152E1"/>
    <w:rsid w:val="00A156C9"/>
    <w:rsid w:val="00A15A8B"/>
    <w:rsid w:val="00A15C17"/>
    <w:rsid w:val="00A15D4F"/>
    <w:rsid w:val="00A15D5E"/>
    <w:rsid w:val="00A15E92"/>
    <w:rsid w:val="00A15FD5"/>
    <w:rsid w:val="00A161F8"/>
    <w:rsid w:val="00A169FA"/>
    <w:rsid w:val="00A16BC8"/>
    <w:rsid w:val="00A16FE3"/>
    <w:rsid w:val="00A173ED"/>
    <w:rsid w:val="00A173F9"/>
    <w:rsid w:val="00A174F1"/>
    <w:rsid w:val="00A1766A"/>
    <w:rsid w:val="00A200E5"/>
    <w:rsid w:val="00A200F4"/>
    <w:rsid w:val="00A2027A"/>
    <w:rsid w:val="00A206C9"/>
    <w:rsid w:val="00A20C27"/>
    <w:rsid w:val="00A20C71"/>
    <w:rsid w:val="00A20E7D"/>
    <w:rsid w:val="00A216BC"/>
    <w:rsid w:val="00A219D4"/>
    <w:rsid w:val="00A21CBB"/>
    <w:rsid w:val="00A22457"/>
    <w:rsid w:val="00A22803"/>
    <w:rsid w:val="00A229D3"/>
    <w:rsid w:val="00A22A2D"/>
    <w:rsid w:val="00A23931"/>
    <w:rsid w:val="00A23ABC"/>
    <w:rsid w:val="00A23EC8"/>
    <w:rsid w:val="00A23FD6"/>
    <w:rsid w:val="00A240D7"/>
    <w:rsid w:val="00A245E0"/>
    <w:rsid w:val="00A24C0D"/>
    <w:rsid w:val="00A24FF3"/>
    <w:rsid w:val="00A2500A"/>
    <w:rsid w:val="00A25317"/>
    <w:rsid w:val="00A253C2"/>
    <w:rsid w:val="00A25537"/>
    <w:rsid w:val="00A255C4"/>
    <w:rsid w:val="00A25706"/>
    <w:rsid w:val="00A25D84"/>
    <w:rsid w:val="00A26029"/>
    <w:rsid w:val="00A2602B"/>
    <w:rsid w:val="00A262E4"/>
    <w:rsid w:val="00A268D1"/>
    <w:rsid w:val="00A268EA"/>
    <w:rsid w:val="00A27459"/>
    <w:rsid w:val="00A279D3"/>
    <w:rsid w:val="00A3013C"/>
    <w:rsid w:val="00A30514"/>
    <w:rsid w:val="00A30818"/>
    <w:rsid w:val="00A30D6A"/>
    <w:rsid w:val="00A31261"/>
    <w:rsid w:val="00A313F6"/>
    <w:rsid w:val="00A31605"/>
    <w:rsid w:val="00A31B0D"/>
    <w:rsid w:val="00A31CE0"/>
    <w:rsid w:val="00A31DBC"/>
    <w:rsid w:val="00A31ED1"/>
    <w:rsid w:val="00A31FA9"/>
    <w:rsid w:val="00A32662"/>
    <w:rsid w:val="00A3271F"/>
    <w:rsid w:val="00A329B6"/>
    <w:rsid w:val="00A32D54"/>
    <w:rsid w:val="00A3313D"/>
    <w:rsid w:val="00A333BF"/>
    <w:rsid w:val="00A33577"/>
    <w:rsid w:val="00A33710"/>
    <w:rsid w:val="00A33825"/>
    <w:rsid w:val="00A3398F"/>
    <w:rsid w:val="00A3399A"/>
    <w:rsid w:val="00A33C09"/>
    <w:rsid w:val="00A33E9C"/>
    <w:rsid w:val="00A3429A"/>
    <w:rsid w:val="00A3477D"/>
    <w:rsid w:val="00A35498"/>
    <w:rsid w:val="00A35583"/>
    <w:rsid w:val="00A355C1"/>
    <w:rsid w:val="00A3572D"/>
    <w:rsid w:val="00A35750"/>
    <w:rsid w:val="00A35B40"/>
    <w:rsid w:val="00A361FF"/>
    <w:rsid w:val="00A363EF"/>
    <w:rsid w:val="00A36596"/>
    <w:rsid w:val="00A36DC5"/>
    <w:rsid w:val="00A36DFE"/>
    <w:rsid w:val="00A36FA6"/>
    <w:rsid w:val="00A370FD"/>
    <w:rsid w:val="00A37194"/>
    <w:rsid w:val="00A37213"/>
    <w:rsid w:val="00A37822"/>
    <w:rsid w:val="00A37953"/>
    <w:rsid w:val="00A3798C"/>
    <w:rsid w:val="00A37A2F"/>
    <w:rsid w:val="00A37AB1"/>
    <w:rsid w:val="00A37B4F"/>
    <w:rsid w:val="00A37DD9"/>
    <w:rsid w:val="00A37DE4"/>
    <w:rsid w:val="00A37EBA"/>
    <w:rsid w:val="00A403FD"/>
    <w:rsid w:val="00A40ED7"/>
    <w:rsid w:val="00A40F83"/>
    <w:rsid w:val="00A412BA"/>
    <w:rsid w:val="00A41352"/>
    <w:rsid w:val="00A41416"/>
    <w:rsid w:val="00A41442"/>
    <w:rsid w:val="00A4163F"/>
    <w:rsid w:val="00A4173A"/>
    <w:rsid w:val="00A418AB"/>
    <w:rsid w:val="00A41945"/>
    <w:rsid w:val="00A4200D"/>
    <w:rsid w:val="00A424BF"/>
    <w:rsid w:val="00A42536"/>
    <w:rsid w:val="00A4258E"/>
    <w:rsid w:val="00A432D1"/>
    <w:rsid w:val="00A436C4"/>
    <w:rsid w:val="00A436FE"/>
    <w:rsid w:val="00A43716"/>
    <w:rsid w:val="00A43CD9"/>
    <w:rsid w:val="00A442C5"/>
    <w:rsid w:val="00A4445A"/>
    <w:rsid w:val="00A44712"/>
    <w:rsid w:val="00A44AF5"/>
    <w:rsid w:val="00A44B8B"/>
    <w:rsid w:val="00A44C18"/>
    <w:rsid w:val="00A44C9A"/>
    <w:rsid w:val="00A44E5C"/>
    <w:rsid w:val="00A45050"/>
    <w:rsid w:val="00A456FB"/>
    <w:rsid w:val="00A45773"/>
    <w:rsid w:val="00A45EC4"/>
    <w:rsid w:val="00A47212"/>
    <w:rsid w:val="00A474EA"/>
    <w:rsid w:val="00A4771C"/>
    <w:rsid w:val="00A479B3"/>
    <w:rsid w:val="00A47C5C"/>
    <w:rsid w:val="00A501B2"/>
    <w:rsid w:val="00A501E3"/>
    <w:rsid w:val="00A5034A"/>
    <w:rsid w:val="00A50779"/>
    <w:rsid w:val="00A507F7"/>
    <w:rsid w:val="00A50902"/>
    <w:rsid w:val="00A50A75"/>
    <w:rsid w:val="00A50E28"/>
    <w:rsid w:val="00A50ED1"/>
    <w:rsid w:val="00A50FFA"/>
    <w:rsid w:val="00A51055"/>
    <w:rsid w:val="00A51161"/>
    <w:rsid w:val="00A51191"/>
    <w:rsid w:val="00A51732"/>
    <w:rsid w:val="00A51C87"/>
    <w:rsid w:val="00A5239F"/>
    <w:rsid w:val="00A52672"/>
    <w:rsid w:val="00A529A8"/>
    <w:rsid w:val="00A52BE9"/>
    <w:rsid w:val="00A53279"/>
    <w:rsid w:val="00A539D1"/>
    <w:rsid w:val="00A53BD3"/>
    <w:rsid w:val="00A54663"/>
    <w:rsid w:val="00A54DAE"/>
    <w:rsid w:val="00A54E1C"/>
    <w:rsid w:val="00A54FC6"/>
    <w:rsid w:val="00A554D7"/>
    <w:rsid w:val="00A556DD"/>
    <w:rsid w:val="00A55814"/>
    <w:rsid w:val="00A56836"/>
    <w:rsid w:val="00A56D3B"/>
    <w:rsid w:val="00A56FF2"/>
    <w:rsid w:val="00A571BB"/>
    <w:rsid w:val="00A57450"/>
    <w:rsid w:val="00A57475"/>
    <w:rsid w:val="00A57479"/>
    <w:rsid w:val="00A57B93"/>
    <w:rsid w:val="00A57C08"/>
    <w:rsid w:val="00A57D6D"/>
    <w:rsid w:val="00A57F9E"/>
    <w:rsid w:val="00A600D9"/>
    <w:rsid w:val="00A603ED"/>
    <w:rsid w:val="00A604CD"/>
    <w:rsid w:val="00A608C3"/>
    <w:rsid w:val="00A60938"/>
    <w:rsid w:val="00A60BE4"/>
    <w:rsid w:val="00A60FCC"/>
    <w:rsid w:val="00A610F4"/>
    <w:rsid w:val="00A61599"/>
    <w:rsid w:val="00A61AF8"/>
    <w:rsid w:val="00A61C97"/>
    <w:rsid w:val="00A61D81"/>
    <w:rsid w:val="00A61E46"/>
    <w:rsid w:val="00A61FAB"/>
    <w:rsid w:val="00A6201B"/>
    <w:rsid w:val="00A6224B"/>
    <w:rsid w:val="00A6279D"/>
    <w:rsid w:val="00A627E4"/>
    <w:rsid w:val="00A62D4E"/>
    <w:rsid w:val="00A62FAF"/>
    <w:rsid w:val="00A63017"/>
    <w:rsid w:val="00A631FC"/>
    <w:rsid w:val="00A63790"/>
    <w:rsid w:val="00A637A0"/>
    <w:rsid w:val="00A63C0B"/>
    <w:rsid w:val="00A63D00"/>
    <w:rsid w:val="00A63ECD"/>
    <w:rsid w:val="00A63FBC"/>
    <w:rsid w:val="00A64093"/>
    <w:rsid w:val="00A640EB"/>
    <w:rsid w:val="00A64221"/>
    <w:rsid w:val="00A64815"/>
    <w:rsid w:val="00A64855"/>
    <w:rsid w:val="00A65043"/>
    <w:rsid w:val="00A6507F"/>
    <w:rsid w:val="00A6515A"/>
    <w:rsid w:val="00A65DB6"/>
    <w:rsid w:val="00A66116"/>
    <w:rsid w:val="00A66259"/>
    <w:rsid w:val="00A6646C"/>
    <w:rsid w:val="00A664D1"/>
    <w:rsid w:val="00A66525"/>
    <w:rsid w:val="00A665C9"/>
    <w:rsid w:val="00A66974"/>
    <w:rsid w:val="00A66A50"/>
    <w:rsid w:val="00A66DF9"/>
    <w:rsid w:val="00A67309"/>
    <w:rsid w:val="00A673D3"/>
    <w:rsid w:val="00A678C9"/>
    <w:rsid w:val="00A679F8"/>
    <w:rsid w:val="00A67AED"/>
    <w:rsid w:val="00A703F1"/>
    <w:rsid w:val="00A7044E"/>
    <w:rsid w:val="00A704E4"/>
    <w:rsid w:val="00A71325"/>
    <w:rsid w:val="00A7136A"/>
    <w:rsid w:val="00A715DF"/>
    <w:rsid w:val="00A71973"/>
    <w:rsid w:val="00A71C11"/>
    <w:rsid w:val="00A71C44"/>
    <w:rsid w:val="00A71C50"/>
    <w:rsid w:val="00A72296"/>
    <w:rsid w:val="00A724F0"/>
    <w:rsid w:val="00A733DE"/>
    <w:rsid w:val="00A7388E"/>
    <w:rsid w:val="00A74544"/>
    <w:rsid w:val="00A74548"/>
    <w:rsid w:val="00A74694"/>
    <w:rsid w:val="00A748D6"/>
    <w:rsid w:val="00A74A18"/>
    <w:rsid w:val="00A74DF2"/>
    <w:rsid w:val="00A74E4D"/>
    <w:rsid w:val="00A74F08"/>
    <w:rsid w:val="00A75016"/>
    <w:rsid w:val="00A753FB"/>
    <w:rsid w:val="00A755A3"/>
    <w:rsid w:val="00A75633"/>
    <w:rsid w:val="00A756D5"/>
    <w:rsid w:val="00A7592E"/>
    <w:rsid w:val="00A759D5"/>
    <w:rsid w:val="00A759EB"/>
    <w:rsid w:val="00A75CAB"/>
    <w:rsid w:val="00A75DA8"/>
    <w:rsid w:val="00A75F07"/>
    <w:rsid w:val="00A76330"/>
    <w:rsid w:val="00A767E3"/>
    <w:rsid w:val="00A76C1F"/>
    <w:rsid w:val="00A76C75"/>
    <w:rsid w:val="00A77402"/>
    <w:rsid w:val="00A775ED"/>
    <w:rsid w:val="00A77895"/>
    <w:rsid w:val="00A77C15"/>
    <w:rsid w:val="00A8028E"/>
    <w:rsid w:val="00A80345"/>
    <w:rsid w:val="00A8038A"/>
    <w:rsid w:val="00A803FC"/>
    <w:rsid w:val="00A80477"/>
    <w:rsid w:val="00A8071A"/>
    <w:rsid w:val="00A80824"/>
    <w:rsid w:val="00A8094E"/>
    <w:rsid w:val="00A80ACE"/>
    <w:rsid w:val="00A80B20"/>
    <w:rsid w:val="00A80DD9"/>
    <w:rsid w:val="00A80E2E"/>
    <w:rsid w:val="00A80E4A"/>
    <w:rsid w:val="00A80E92"/>
    <w:rsid w:val="00A80F05"/>
    <w:rsid w:val="00A80FCA"/>
    <w:rsid w:val="00A81473"/>
    <w:rsid w:val="00A81565"/>
    <w:rsid w:val="00A81CBC"/>
    <w:rsid w:val="00A81CDF"/>
    <w:rsid w:val="00A82264"/>
    <w:rsid w:val="00A82506"/>
    <w:rsid w:val="00A82C28"/>
    <w:rsid w:val="00A82D6A"/>
    <w:rsid w:val="00A83299"/>
    <w:rsid w:val="00A8341C"/>
    <w:rsid w:val="00A83440"/>
    <w:rsid w:val="00A8352C"/>
    <w:rsid w:val="00A836F4"/>
    <w:rsid w:val="00A837CE"/>
    <w:rsid w:val="00A83AEE"/>
    <w:rsid w:val="00A83CB8"/>
    <w:rsid w:val="00A83DB5"/>
    <w:rsid w:val="00A83F11"/>
    <w:rsid w:val="00A83F82"/>
    <w:rsid w:val="00A83FBA"/>
    <w:rsid w:val="00A84636"/>
    <w:rsid w:val="00A84FE1"/>
    <w:rsid w:val="00A85080"/>
    <w:rsid w:val="00A850AB"/>
    <w:rsid w:val="00A85337"/>
    <w:rsid w:val="00A85455"/>
    <w:rsid w:val="00A8626D"/>
    <w:rsid w:val="00A86406"/>
    <w:rsid w:val="00A8683A"/>
    <w:rsid w:val="00A86853"/>
    <w:rsid w:val="00A86B75"/>
    <w:rsid w:val="00A86E75"/>
    <w:rsid w:val="00A86EB9"/>
    <w:rsid w:val="00A86F33"/>
    <w:rsid w:val="00A87372"/>
    <w:rsid w:val="00A87579"/>
    <w:rsid w:val="00A877EC"/>
    <w:rsid w:val="00A87863"/>
    <w:rsid w:val="00A87A6D"/>
    <w:rsid w:val="00A87AF0"/>
    <w:rsid w:val="00A90049"/>
    <w:rsid w:val="00A9046D"/>
    <w:rsid w:val="00A9065F"/>
    <w:rsid w:val="00A90B0E"/>
    <w:rsid w:val="00A90BFE"/>
    <w:rsid w:val="00A91AA1"/>
    <w:rsid w:val="00A91C8C"/>
    <w:rsid w:val="00A91EA9"/>
    <w:rsid w:val="00A91F0D"/>
    <w:rsid w:val="00A9235A"/>
    <w:rsid w:val="00A92441"/>
    <w:rsid w:val="00A92777"/>
    <w:rsid w:val="00A928C5"/>
    <w:rsid w:val="00A92E5D"/>
    <w:rsid w:val="00A92FF7"/>
    <w:rsid w:val="00A93008"/>
    <w:rsid w:val="00A93069"/>
    <w:rsid w:val="00A9351D"/>
    <w:rsid w:val="00A938FC"/>
    <w:rsid w:val="00A93D24"/>
    <w:rsid w:val="00A940B9"/>
    <w:rsid w:val="00A9468F"/>
    <w:rsid w:val="00A9498D"/>
    <w:rsid w:val="00A94A4D"/>
    <w:rsid w:val="00A94E0C"/>
    <w:rsid w:val="00A951B6"/>
    <w:rsid w:val="00A95335"/>
    <w:rsid w:val="00A9566B"/>
    <w:rsid w:val="00A96314"/>
    <w:rsid w:val="00A9657F"/>
    <w:rsid w:val="00A96B25"/>
    <w:rsid w:val="00A96FA8"/>
    <w:rsid w:val="00A9769A"/>
    <w:rsid w:val="00A9797D"/>
    <w:rsid w:val="00AA015F"/>
    <w:rsid w:val="00AA0356"/>
    <w:rsid w:val="00AA036D"/>
    <w:rsid w:val="00AA06FF"/>
    <w:rsid w:val="00AA0A94"/>
    <w:rsid w:val="00AA0B3D"/>
    <w:rsid w:val="00AA0C3A"/>
    <w:rsid w:val="00AA0D27"/>
    <w:rsid w:val="00AA0DAE"/>
    <w:rsid w:val="00AA0E2D"/>
    <w:rsid w:val="00AA12B0"/>
    <w:rsid w:val="00AA1723"/>
    <w:rsid w:val="00AA190D"/>
    <w:rsid w:val="00AA1C1D"/>
    <w:rsid w:val="00AA1ED3"/>
    <w:rsid w:val="00AA1FDD"/>
    <w:rsid w:val="00AA2181"/>
    <w:rsid w:val="00AA2193"/>
    <w:rsid w:val="00AA22C3"/>
    <w:rsid w:val="00AA230D"/>
    <w:rsid w:val="00AA2532"/>
    <w:rsid w:val="00AA2718"/>
    <w:rsid w:val="00AA2B59"/>
    <w:rsid w:val="00AA2D2A"/>
    <w:rsid w:val="00AA3466"/>
    <w:rsid w:val="00AA3B86"/>
    <w:rsid w:val="00AA3CF5"/>
    <w:rsid w:val="00AA3FD5"/>
    <w:rsid w:val="00AA4374"/>
    <w:rsid w:val="00AA47BC"/>
    <w:rsid w:val="00AA4941"/>
    <w:rsid w:val="00AA49E9"/>
    <w:rsid w:val="00AA4A23"/>
    <w:rsid w:val="00AA50D8"/>
    <w:rsid w:val="00AA544D"/>
    <w:rsid w:val="00AA5475"/>
    <w:rsid w:val="00AA5876"/>
    <w:rsid w:val="00AA5995"/>
    <w:rsid w:val="00AA5D4C"/>
    <w:rsid w:val="00AA6128"/>
    <w:rsid w:val="00AA6964"/>
    <w:rsid w:val="00AA6A8A"/>
    <w:rsid w:val="00AA6DD8"/>
    <w:rsid w:val="00AA6FA3"/>
    <w:rsid w:val="00AA70BB"/>
    <w:rsid w:val="00AA757C"/>
    <w:rsid w:val="00AA7AE5"/>
    <w:rsid w:val="00AA7B99"/>
    <w:rsid w:val="00AA7F10"/>
    <w:rsid w:val="00AB01AA"/>
    <w:rsid w:val="00AB0391"/>
    <w:rsid w:val="00AB094C"/>
    <w:rsid w:val="00AB0FF3"/>
    <w:rsid w:val="00AB14A9"/>
    <w:rsid w:val="00AB16BD"/>
    <w:rsid w:val="00AB18F7"/>
    <w:rsid w:val="00AB1A3B"/>
    <w:rsid w:val="00AB1E9E"/>
    <w:rsid w:val="00AB1F01"/>
    <w:rsid w:val="00AB2151"/>
    <w:rsid w:val="00AB239C"/>
    <w:rsid w:val="00AB25E6"/>
    <w:rsid w:val="00AB2C59"/>
    <w:rsid w:val="00AB2C8A"/>
    <w:rsid w:val="00AB2DFD"/>
    <w:rsid w:val="00AB3715"/>
    <w:rsid w:val="00AB3FC9"/>
    <w:rsid w:val="00AB42B6"/>
    <w:rsid w:val="00AB49D3"/>
    <w:rsid w:val="00AB4D67"/>
    <w:rsid w:val="00AB4ED5"/>
    <w:rsid w:val="00AB50E9"/>
    <w:rsid w:val="00AB545D"/>
    <w:rsid w:val="00AB54D7"/>
    <w:rsid w:val="00AB57D3"/>
    <w:rsid w:val="00AB5F77"/>
    <w:rsid w:val="00AB60B7"/>
    <w:rsid w:val="00AB6886"/>
    <w:rsid w:val="00AB6AE4"/>
    <w:rsid w:val="00AB6AEA"/>
    <w:rsid w:val="00AB6E00"/>
    <w:rsid w:val="00AB6F37"/>
    <w:rsid w:val="00AB7047"/>
    <w:rsid w:val="00AB7543"/>
    <w:rsid w:val="00AB769E"/>
    <w:rsid w:val="00AB7CEC"/>
    <w:rsid w:val="00AB7D55"/>
    <w:rsid w:val="00AC00B4"/>
    <w:rsid w:val="00AC054E"/>
    <w:rsid w:val="00AC0681"/>
    <w:rsid w:val="00AC0712"/>
    <w:rsid w:val="00AC08EC"/>
    <w:rsid w:val="00AC0A2F"/>
    <w:rsid w:val="00AC154B"/>
    <w:rsid w:val="00AC1B72"/>
    <w:rsid w:val="00AC1B80"/>
    <w:rsid w:val="00AC1CC3"/>
    <w:rsid w:val="00AC1F72"/>
    <w:rsid w:val="00AC2086"/>
    <w:rsid w:val="00AC2165"/>
    <w:rsid w:val="00AC25D0"/>
    <w:rsid w:val="00AC26FE"/>
    <w:rsid w:val="00AC2C5D"/>
    <w:rsid w:val="00AC2E20"/>
    <w:rsid w:val="00AC2FF7"/>
    <w:rsid w:val="00AC322F"/>
    <w:rsid w:val="00AC350D"/>
    <w:rsid w:val="00AC3568"/>
    <w:rsid w:val="00AC3B66"/>
    <w:rsid w:val="00AC3CF2"/>
    <w:rsid w:val="00AC3D5C"/>
    <w:rsid w:val="00AC421A"/>
    <w:rsid w:val="00AC4617"/>
    <w:rsid w:val="00AC47EC"/>
    <w:rsid w:val="00AC487F"/>
    <w:rsid w:val="00AC4DB9"/>
    <w:rsid w:val="00AC4E5D"/>
    <w:rsid w:val="00AC5043"/>
    <w:rsid w:val="00AC5620"/>
    <w:rsid w:val="00AC5C69"/>
    <w:rsid w:val="00AC5C6E"/>
    <w:rsid w:val="00AC5FEC"/>
    <w:rsid w:val="00AC6090"/>
    <w:rsid w:val="00AC6C53"/>
    <w:rsid w:val="00AC6E85"/>
    <w:rsid w:val="00AC7145"/>
    <w:rsid w:val="00AC7284"/>
    <w:rsid w:val="00AC735E"/>
    <w:rsid w:val="00AC77AC"/>
    <w:rsid w:val="00AC7B52"/>
    <w:rsid w:val="00AC7C17"/>
    <w:rsid w:val="00AC7CE6"/>
    <w:rsid w:val="00AD001A"/>
    <w:rsid w:val="00AD051E"/>
    <w:rsid w:val="00AD0828"/>
    <w:rsid w:val="00AD0B13"/>
    <w:rsid w:val="00AD0C5A"/>
    <w:rsid w:val="00AD0E69"/>
    <w:rsid w:val="00AD103D"/>
    <w:rsid w:val="00AD1392"/>
    <w:rsid w:val="00AD14F0"/>
    <w:rsid w:val="00AD159C"/>
    <w:rsid w:val="00AD15B2"/>
    <w:rsid w:val="00AD17FA"/>
    <w:rsid w:val="00AD181C"/>
    <w:rsid w:val="00AD19EC"/>
    <w:rsid w:val="00AD2353"/>
    <w:rsid w:val="00AD258A"/>
    <w:rsid w:val="00AD26F2"/>
    <w:rsid w:val="00AD2717"/>
    <w:rsid w:val="00AD32EB"/>
    <w:rsid w:val="00AD3C48"/>
    <w:rsid w:val="00AD3DC4"/>
    <w:rsid w:val="00AD4147"/>
    <w:rsid w:val="00AD4774"/>
    <w:rsid w:val="00AD4BA1"/>
    <w:rsid w:val="00AD4C0F"/>
    <w:rsid w:val="00AD4F9E"/>
    <w:rsid w:val="00AD4FED"/>
    <w:rsid w:val="00AD4FF4"/>
    <w:rsid w:val="00AD508C"/>
    <w:rsid w:val="00AD52E3"/>
    <w:rsid w:val="00AD531D"/>
    <w:rsid w:val="00AD5849"/>
    <w:rsid w:val="00AD59C0"/>
    <w:rsid w:val="00AD600C"/>
    <w:rsid w:val="00AD63D6"/>
    <w:rsid w:val="00AD6532"/>
    <w:rsid w:val="00AD6CD5"/>
    <w:rsid w:val="00AD6EDF"/>
    <w:rsid w:val="00AD71EA"/>
    <w:rsid w:val="00AD733B"/>
    <w:rsid w:val="00AD7553"/>
    <w:rsid w:val="00AD75A0"/>
    <w:rsid w:val="00AD7671"/>
    <w:rsid w:val="00AD7A1D"/>
    <w:rsid w:val="00AD7CA7"/>
    <w:rsid w:val="00AD7F87"/>
    <w:rsid w:val="00AE0040"/>
    <w:rsid w:val="00AE0842"/>
    <w:rsid w:val="00AE0892"/>
    <w:rsid w:val="00AE0906"/>
    <w:rsid w:val="00AE0B04"/>
    <w:rsid w:val="00AE0BC1"/>
    <w:rsid w:val="00AE15DC"/>
    <w:rsid w:val="00AE15DF"/>
    <w:rsid w:val="00AE184D"/>
    <w:rsid w:val="00AE19C4"/>
    <w:rsid w:val="00AE1AB8"/>
    <w:rsid w:val="00AE1C03"/>
    <w:rsid w:val="00AE207A"/>
    <w:rsid w:val="00AE20C1"/>
    <w:rsid w:val="00AE22B4"/>
    <w:rsid w:val="00AE23E3"/>
    <w:rsid w:val="00AE2D90"/>
    <w:rsid w:val="00AE2EFC"/>
    <w:rsid w:val="00AE2F65"/>
    <w:rsid w:val="00AE317E"/>
    <w:rsid w:val="00AE35A5"/>
    <w:rsid w:val="00AE3D61"/>
    <w:rsid w:val="00AE4484"/>
    <w:rsid w:val="00AE45C0"/>
    <w:rsid w:val="00AE45D9"/>
    <w:rsid w:val="00AE4CC4"/>
    <w:rsid w:val="00AE4E2A"/>
    <w:rsid w:val="00AE5C94"/>
    <w:rsid w:val="00AE5CF9"/>
    <w:rsid w:val="00AE5DB6"/>
    <w:rsid w:val="00AE5F6A"/>
    <w:rsid w:val="00AE5FA6"/>
    <w:rsid w:val="00AE6389"/>
    <w:rsid w:val="00AE63E4"/>
    <w:rsid w:val="00AE6531"/>
    <w:rsid w:val="00AE6710"/>
    <w:rsid w:val="00AE6C3C"/>
    <w:rsid w:val="00AE702E"/>
    <w:rsid w:val="00AE70C6"/>
    <w:rsid w:val="00AE73E0"/>
    <w:rsid w:val="00AE7B7E"/>
    <w:rsid w:val="00AF00DD"/>
    <w:rsid w:val="00AF0106"/>
    <w:rsid w:val="00AF03C0"/>
    <w:rsid w:val="00AF0569"/>
    <w:rsid w:val="00AF0FE4"/>
    <w:rsid w:val="00AF10D4"/>
    <w:rsid w:val="00AF166F"/>
    <w:rsid w:val="00AF17C6"/>
    <w:rsid w:val="00AF1852"/>
    <w:rsid w:val="00AF187D"/>
    <w:rsid w:val="00AF1B84"/>
    <w:rsid w:val="00AF1C03"/>
    <w:rsid w:val="00AF1DBB"/>
    <w:rsid w:val="00AF2453"/>
    <w:rsid w:val="00AF26B5"/>
    <w:rsid w:val="00AF2859"/>
    <w:rsid w:val="00AF2C8B"/>
    <w:rsid w:val="00AF31E5"/>
    <w:rsid w:val="00AF34CE"/>
    <w:rsid w:val="00AF3965"/>
    <w:rsid w:val="00AF39AF"/>
    <w:rsid w:val="00AF3E3B"/>
    <w:rsid w:val="00AF3E5A"/>
    <w:rsid w:val="00AF43AE"/>
    <w:rsid w:val="00AF46FE"/>
    <w:rsid w:val="00AF486F"/>
    <w:rsid w:val="00AF4CD7"/>
    <w:rsid w:val="00AF4D97"/>
    <w:rsid w:val="00AF4E14"/>
    <w:rsid w:val="00AF4F12"/>
    <w:rsid w:val="00AF51BD"/>
    <w:rsid w:val="00AF53F3"/>
    <w:rsid w:val="00AF548B"/>
    <w:rsid w:val="00AF55E0"/>
    <w:rsid w:val="00AF5666"/>
    <w:rsid w:val="00AF56A4"/>
    <w:rsid w:val="00AF5870"/>
    <w:rsid w:val="00AF5999"/>
    <w:rsid w:val="00AF5B73"/>
    <w:rsid w:val="00AF5F4D"/>
    <w:rsid w:val="00AF6086"/>
    <w:rsid w:val="00AF618A"/>
    <w:rsid w:val="00AF6619"/>
    <w:rsid w:val="00AF69B2"/>
    <w:rsid w:val="00AF6AFF"/>
    <w:rsid w:val="00AF6CFD"/>
    <w:rsid w:val="00AF6EB8"/>
    <w:rsid w:val="00AF6F46"/>
    <w:rsid w:val="00AF6FCA"/>
    <w:rsid w:val="00AF72D9"/>
    <w:rsid w:val="00AF767C"/>
    <w:rsid w:val="00AF78E7"/>
    <w:rsid w:val="00AF7D2F"/>
    <w:rsid w:val="00AF7DC1"/>
    <w:rsid w:val="00AF7F31"/>
    <w:rsid w:val="00B000AE"/>
    <w:rsid w:val="00B00305"/>
    <w:rsid w:val="00B0040B"/>
    <w:rsid w:val="00B0057B"/>
    <w:rsid w:val="00B00830"/>
    <w:rsid w:val="00B00AB5"/>
    <w:rsid w:val="00B00CC0"/>
    <w:rsid w:val="00B00F5C"/>
    <w:rsid w:val="00B0119A"/>
    <w:rsid w:val="00B01947"/>
    <w:rsid w:val="00B019C1"/>
    <w:rsid w:val="00B01C46"/>
    <w:rsid w:val="00B01F86"/>
    <w:rsid w:val="00B0235C"/>
    <w:rsid w:val="00B0236E"/>
    <w:rsid w:val="00B02506"/>
    <w:rsid w:val="00B02ACE"/>
    <w:rsid w:val="00B033B6"/>
    <w:rsid w:val="00B03913"/>
    <w:rsid w:val="00B0432F"/>
    <w:rsid w:val="00B04440"/>
    <w:rsid w:val="00B04C31"/>
    <w:rsid w:val="00B04CEA"/>
    <w:rsid w:val="00B04D96"/>
    <w:rsid w:val="00B04DAE"/>
    <w:rsid w:val="00B05607"/>
    <w:rsid w:val="00B05980"/>
    <w:rsid w:val="00B05A08"/>
    <w:rsid w:val="00B05BBB"/>
    <w:rsid w:val="00B05F14"/>
    <w:rsid w:val="00B061AE"/>
    <w:rsid w:val="00B0643B"/>
    <w:rsid w:val="00B06737"/>
    <w:rsid w:val="00B06EB7"/>
    <w:rsid w:val="00B072C1"/>
    <w:rsid w:val="00B0784C"/>
    <w:rsid w:val="00B078BE"/>
    <w:rsid w:val="00B07B2F"/>
    <w:rsid w:val="00B07CE9"/>
    <w:rsid w:val="00B07E6A"/>
    <w:rsid w:val="00B101D5"/>
    <w:rsid w:val="00B10633"/>
    <w:rsid w:val="00B109DE"/>
    <w:rsid w:val="00B10B07"/>
    <w:rsid w:val="00B10B08"/>
    <w:rsid w:val="00B11014"/>
    <w:rsid w:val="00B11117"/>
    <w:rsid w:val="00B11178"/>
    <w:rsid w:val="00B111E8"/>
    <w:rsid w:val="00B11A78"/>
    <w:rsid w:val="00B11CFB"/>
    <w:rsid w:val="00B120FC"/>
    <w:rsid w:val="00B12111"/>
    <w:rsid w:val="00B1246E"/>
    <w:rsid w:val="00B12F9B"/>
    <w:rsid w:val="00B135D9"/>
    <w:rsid w:val="00B136E1"/>
    <w:rsid w:val="00B13D44"/>
    <w:rsid w:val="00B13E18"/>
    <w:rsid w:val="00B14109"/>
    <w:rsid w:val="00B14410"/>
    <w:rsid w:val="00B14645"/>
    <w:rsid w:val="00B1474E"/>
    <w:rsid w:val="00B1486D"/>
    <w:rsid w:val="00B14966"/>
    <w:rsid w:val="00B150D6"/>
    <w:rsid w:val="00B150F0"/>
    <w:rsid w:val="00B15373"/>
    <w:rsid w:val="00B15639"/>
    <w:rsid w:val="00B156C6"/>
    <w:rsid w:val="00B156FD"/>
    <w:rsid w:val="00B15730"/>
    <w:rsid w:val="00B158D2"/>
    <w:rsid w:val="00B15D15"/>
    <w:rsid w:val="00B15D1F"/>
    <w:rsid w:val="00B15E42"/>
    <w:rsid w:val="00B15EEE"/>
    <w:rsid w:val="00B16198"/>
    <w:rsid w:val="00B16A2C"/>
    <w:rsid w:val="00B16FB6"/>
    <w:rsid w:val="00B17022"/>
    <w:rsid w:val="00B17267"/>
    <w:rsid w:val="00B172D6"/>
    <w:rsid w:val="00B17AF7"/>
    <w:rsid w:val="00B20641"/>
    <w:rsid w:val="00B20867"/>
    <w:rsid w:val="00B20929"/>
    <w:rsid w:val="00B20A2D"/>
    <w:rsid w:val="00B20ACF"/>
    <w:rsid w:val="00B21736"/>
    <w:rsid w:val="00B21741"/>
    <w:rsid w:val="00B2180B"/>
    <w:rsid w:val="00B218B1"/>
    <w:rsid w:val="00B2197B"/>
    <w:rsid w:val="00B21A33"/>
    <w:rsid w:val="00B21E01"/>
    <w:rsid w:val="00B2213E"/>
    <w:rsid w:val="00B22245"/>
    <w:rsid w:val="00B22272"/>
    <w:rsid w:val="00B224AA"/>
    <w:rsid w:val="00B2251D"/>
    <w:rsid w:val="00B2272E"/>
    <w:rsid w:val="00B22998"/>
    <w:rsid w:val="00B229FE"/>
    <w:rsid w:val="00B2302B"/>
    <w:rsid w:val="00B2322F"/>
    <w:rsid w:val="00B23B61"/>
    <w:rsid w:val="00B23DC6"/>
    <w:rsid w:val="00B23DD1"/>
    <w:rsid w:val="00B23EED"/>
    <w:rsid w:val="00B24363"/>
    <w:rsid w:val="00B2456E"/>
    <w:rsid w:val="00B24979"/>
    <w:rsid w:val="00B250A5"/>
    <w:rsid w:val="00B250DF"/>
    <w:rsid w:val="00B25450"/>
    <w:rsid w:val="00B25504"/>
    <w:rsid w:val="00B25599"/>
    <w:rsid w:val="00B25651"/>
    <w:rsid w:val="00B25874"/>
    <w:rsid w:val="00B25D3B"/>
    <w:rsid w:val="00B26309"/>
    <w:rsid w:val="00B26424"/>
    <w:rsid w:val="00B26937"/>
    <w:rsid w:val="00B26AE8"/>
    <w:rsid w:val="00B270CB"/>
    <w:rsid w:val="00B27250"/>
    <w:rsid w:val="00B275A9"/>
    <w:rsid w:val="00B27BFF"/>
    <w:rsid w:val="00B27D79"/>
    <w:rsid w:val="00B30243"/>
    <w:rsid w:val="00B30421"/>
    <w:rsid w:val="00B30DC8"/>
    <w:rsid w:val="00B30F58"/>
    <w:rsid w:val="00B30FD5"/>
    <w:rsid w:val="00B3156A"/>
    <w:rsid w:val="00B315BB"/>
    <w:rsid w:val="00B31977"/>
    <w:rsid w:val="00B31A0F"/>
    <w:rsid w:val="00B31F76"/>
    <w:rsid w:val="00B31FFD"/>
    <w:rsid w:val="00B3235A"/>
    <w:rsid w:val="00B32BA7"/>
    <w:rsid w:val="00B32C87"/>
    <w:rsid w:val="00B32C93"/>
    <w:rsid w:val="00B3313B"/>
    <w:rsid w:val="00B333FE"/>
    <w:rsid w:val="00B33556"/>
    <w:rsid w:val="00B33819"/>
    <w:rsid w:val="00B3382B"/>
    <w:rsid w:val="00B33B26"/>
    <w:rsid w:val="00B346C5"/>
    <w:rsid w:val="00B34FC7"/>
    <w:rsid w:val="00B35094"/>
    <w:rsid w:val="00B350B8"/>
    <w:rsid w:val="00B350F0"/>
    <w:rsid w:val="00B357AC"/>
    <w:rsid w:val="00B35992"/>
    <w:rsid w:val="00B35C27"/>
    <w:rsid w:val="00B35E4B"/>
    <w:rsid w:val="00B35F74"/>
    <w:rsid w:val="00B35FCC"/>
    <w:rsid w:val="00B36518"/>
    <w:rsid w:val="00B370ED"/>
    <w:rsid w:val="00B378CC"/>
    <w:rsid w:val="00B37910"/>
    <w:rsid w:val="00B41327"/>
    <w:rsid w:val="00B41576"/>
    <w:rsid w:val="00B41615"/>
    <w:rsid w:val="00B41A31"/>
    <w:rsid w:val="00B41D70"/>
    <w:rsid w:val="00B41FD8"/>
    <w:rsid w:val="00B420DF"/>
    <w:rsid w:val="00B424F3"/>
    <w:rsid w:val="00B425CE"/>
    <w:rsid w:val="00B428E2"/>
    <w:rsid w:val="00B42A2C"/>
    <w:rsid w:val="00B42A5C"/>
    <w:rsid w:val="00B42A98"/>
    <w:rsid w:val="00B42BEB"/>
    <w:rsid w:val="00B42C64"/>
    <w:rsid w:val="00B42DC4"/>
    <w:rsid w:val="00B432F2"/>
    <w:rsid w:val="00B434A0"/>
    <w:rsid w:val="00B439B6"/>
    <w:rsid w:val="00B440E9"/>
    <w:rsid w:val="00B448EF"/>
    <w:rsid w:val="00B44CAE"/>
    <w:rsid w:val="00B4504A"/>
    <w:rsid w:val="00B450E9"/>
    <w:rsid w:val="00B4575D"/>
    <w:rsid w:val="00B45E0C"/>
    <w:rsid w:val="00B465DB"/>
    <w:rsid w:val="00B46826"/>
    <w:rsid w:val="00B46EE0"/>
    <w:rsid w:val="00B47037"/>
    <w:rsid w:val="00B4736A"/>
    <w:rsid w:val="00B47493"/>
    <w:rsid w:val="00B474C8"/>
    <w:rsid w:val="00B474DF"/>
    <w:rsid w:val="00B47915"/>
    <w:rsid w:val="00B47B2C"/>
    <w:rsid w:val="00B47F94"/>
    <w:rsid w:val="00B5044D"/>
    <w:rsid w:val="00B50881"/>
    <w:rsid w:val="00B50E18"/>
    <w:rsid w:val="00B51190"/>
    <w:rsid w:val="00B512EE"/>
    <w:rsid w:val="00B51331"/>
    <w:rsid w:val="00B513A9"/>
    <w:rsid w:val="00B513C8"/>
    <w:rsid w:val="00B51518"/>
    <w:rsid w:val="00B51568"/>
    <w:rsid w:val="00B51569"/>
    <w:rsid w:val="00B51610"/>
    <w:rsid w:val="00B5167B"/>
    <w:rsid w:val="00B51BD9"/>
    <w:rsid w:val="00B520E3"/>
    <w:rsid w:val="00B522C9"/>
    <w:rsid w:val="00B52336"/>
    <w:rsid w:val="00B52A04"/>
    <w:rsid w:val="00B534E1"/>
    <w:rsid w:val="00B5357C"/>
    <w:rsid w:val="00B5388C"/>
    <w:rsid w:val="00B53BF4"/>
    <w:rsid w:val="00B5432D"/>
    <w:rsid w:val="00B543DD"/>
    <w:rsid w:val="00B544CA"/>
    <w:rsid w:val="00B54DE4"/>
    <w:rsid w:val="00B551A4"/>
    <w:rsid w:val="00B55831"/>
    <w:rsid w:val="00B55CED"/>
    <w:rsid w:val="00B55D57"/>
    <w:rsid w:val="00B55E9D"/>
    <w:rsid w:val="00B55F80"/>
    <w:rsid w:val="00B5607F"/>
    <w:rsid w:val="00B561CD"/>
    <w:rsid w:val="00B56480"/>
    <w:rsid w:val="00B565D6"/>
    <w:rsid w:val="00B567C0"/>
    <w:rsid w:val="00B56951"/>
    <w:rsid w:val="00B56A59"/>
    <w:rsid w:val="00B56AE3"/>
    <w:rsid w:val="00B56DAE"/>
    <w:rsid w:val="00B56F32"/>
    <w:rsid w:val="00B571B3"/>
    <w:rsid w:val="00B576A4"/>
    <w:rsid w:val="00B57998"/>
    <w:rsid w:val="00B57BAB"/>
    <w:rsid w:val="00B57CD0"/>
    <w:rsid w:val="00B57DA9"/>
    <w:rsid w:val="00B57F3F"/>
    <w:rsid w:val="00B60177"/>
    <w:rsid w:val="00B601BA"/>
    <w:rsid w:val="00B604B4"/>
    <w:rsid w:val="00B60639"/>
    <w:rsid w:val="00B60646"/>
    <w:rsid w:val="00B6088A"/>
    <w:rsid w:val="00B60BFA"/>
    <w:rsid w:val="00B60E85"/>
    <w:rsid w:val="00B60FC5"/>
    <w:rsid w:val="00B6130A"/>
    <w:rsid w:val="00B61BBD"/>
    <w:rsid w:val="00B61F83"/>
    <w:rsid w:val="00B61FCE"/>
    <w:rsid w:val="00B62F69"/>
    <w:rsid w:val="00B62FDD"/>
    <w:rsid w:val="00B6308C"/>
    <w:rsid w:val="00B6308E"/>
    <w:rsid w:val="00B632CB"/>
    <w:rsid w:val="00B63D58"/>
    <w:rsid w:val="00B63DB3"/>
    <w:rsid w:val="00B6444B"/>
    <w:rsid w:val="00B64E8A"/>
    <w:rsid w:val="00B654CD"/>
    <w:rsid w:val="00B65588"/>
    <w:rsid w:val="00B658D1"/>
    <w:rsid w:val="00B659C3"/>
    <w:rsid w:val="00B65CB8"/>
    <w:rsid w:val="00B66064"/>
    <w:rsid w:val="00B66995"/>
    <w:rsid w:val="00B66C39"/>
    <w:rsid w:val="00B66E1B"/>
    <w:rsid w:val="00B671A1"/>
    <w:rsid w:val="00B675A6"/>
    <w:rsid w:val="00B677F9"/>
    <w:rsid w:val="00B6794D"/>
    <w:rsid w:val="00B67995"/>
    <w:rsid w:val="00B67A44"/>
    <w:rsid w:val="00B67B55"/>
    <w:rsid w:val="00B67C6C"/>
    <w:rsid w:val="00B67C73"/>
    <w:rsid w:val="00B67CA7"/>
    <w:rsid w:val="00B67F79"/>
    <w:rsid w:val="00B67F85"/>
    <w:rsid w:val="00B7017E"/>
    <w:rsid w:val="00B701B0"/>
    <w:rsid w:val="00B70C61"/>
    <w:rsid w:val="00B70E5A"/>
    <w:rsid w:val="00B7109A"/>
    <w:rsid w:val="00B71365"/>
    <w:rsid w:val="00B71976"/>
    <w:rsid w:val="00B71ED2"/>
    <w:rsid w:val="00B7220D"/>
    <w:rsid w:val="00B72265"/>
    <w:rsid w:val="00B7262C"/>
    <w:rsid w:val="00B72760"/>
    <w:rsid w:val="00B72813"/>
    <w:rsid w:val="00B731A4"/>
    <w:rsid w:val="00B73477"/>
    <w:rsid w:val="00B7367B"/>
    <w:rsid w:val="00B744AA"/>
    <w:rsid w:val="00B749B6"/>
    <w:rsid w:val="00B74B43"/>
    <w:rsid w:val="00B74C37"/>
    <w:rsid w:val="00B75055"/>
    <w:rsid w:val="00B7509A"/>
    <w:rsid w:val="00B75232"/>
    <w:rsid w:val="00B7530A"/>
    <w:rsid w:val="00B75FA7"/>
    <w:rsid w:val="00B7613E"/>
    <w:rsid w:val="00B766C1"/>
    <w:rsid w:val="00B76966"/>
    <w:rsid w:val="00B76B96"/>
    <w:rsid w:val="00B76EFB"/>
    <w:rsid w:val="00B77129"/>
    <w:rsid w:val="00B77266"/>
    <w:rsid w:val="00B772DA"/>
    <w:rsid w:val="00B77432"/>
    <w:rsid w:val="00B77698"/>
    <w:rsid w:val="00B77861"/>
    <w:rsid w:val="00B77C37"/>
    <w:rsid w:val="00B80424"/>
    <w:rsid w:val="00B807BF"/>
    <w:rsid w:val="00B809B1"/>
    <w:rsid w:val="00B80DF4"/>
    <w:rsid w:val="00B8139B"/>
    <w:rsid w:val="00B81C9C"/>
    <w:rsid w:val="00B81F17"/>
    <w:rsid w:val="00B8247A"/>
    <w:rsid w:val="00B82533"/>
    <w:rsid w:val="00B82543"/>
    <w:rsid w:val="00B826DB"/>
    <w:rsid w:val="00B82817"/>
    <w:rsid w:val="00B82998"/>
    <w:rsid w:val="00B82BC0"/>
    <w:rsid w:val="00B82FB7"/>
    <w:rsid w:val="00B833F1"/>
    <w:rsid w:val="00B8347B"/>
    <w:rsid w:val="00B834B0"/>
    <w:rsid w:val="00B837BD"/>
    <w:rsid w:val="00B837F6"/>
    <w:rsid w:val="00B83926"/>
    <w:rsid w:val="00B83DAE"/>
    <w:rsid w:val="00B84361"/>
    <w:rsid w:val="00B84FB4"/>
    <w:rsid w:val="00B850BE"/>
    <w:rsid w:val="00B854BD"/>
    <w:rsid w:val="00B855EF"/>
    <w:rsid w:val="00B86121"/>
    <w:rsid w:val="00B86A71"/>
    <w:rsid w:val="00B86F2A"/>
    <w:rsid w:val="00B86F49"/>
    <w:rsid w:val="00B87376"/>
    <w:rsid w:val="00B8756E"/>
    <w:rsid w:val="00B878D7"/>
    <w:rsid w:val="00B87B43"/>
    <w:rsid w:val="00B87C43"/>
    <w:rsid w:val="00B87DF9"/>
    <w:rsid w:val="00B87EDE"/>
    <w:rsid w:val="00B900A8"/>
    <w:rsid w:val="00B908D3"/>
    <w:rsid w:val="00B90B5F"/>
    <w:rsid w:val="00B91520"/>
    <w:rsid w:val="00B91615"/>
    <w:rsid w:val="00B91625"/>
    <w:rsid w:val="00B91951"/>
    <w:rsid w:val="00B91A58"/>
    <w:rsid w:val="00B91D08"/>
    <w:rsid w:val="00B91EAD"/>
    <w:rsid w:val="00B920B9"/>
    <w:rsid w:val="00B9236E"/>
    <w:rsid w:val="00B9266B"/>
    <w:rsid w:val="00B9299B"/>
    <w:rsid w:val="00B929FA"/>
    <w:rsid w:val="00B92AE8"/>
    <w:rsid w:val="00B92C8B"/>
    <w:rsid w:val="00B930D2"/>
    <w:rsid w:val="00B930D8"/>
    <w:rsid w:val="00B937CD"/>
    <w:rsid w:val="00B938BC"/>
    <w:rsid w:val="00B93997"/>
    <w:rsid w:val="00B93BC2"/>
    <w:rsid w:val="00B93C98"/>
    <w:rsid w:val="00B93D27"/>
    <w:rsid w:val="00B93DAA"/>
    <w:rsid w:val="00B93EC0"/>
    <w:rsid w:val="00B9432A"/>
    <w:rsid w:val="00B95180"/>
    <w:rsid w:val="00B9540E"/>
    <w:rsid w:val="00B958C9"/>
    <w:rsid w:val="00B95A93"/>
    <w:rsid w:val="00B95DBC"/>
    <w:rsid w:val="00B962E2"/>
    <w:rsid w:val="00B9710E"/>
    <w:rsid w:val="00B976BB"/>
    <w:rsid w:val="00B976C3"/>
    <w:rsid w:val="00B97867"/>
    <w:rsid w:val="00B9790D"/>
    <w:rsid w:val="00B97A51"/>
    <w:rsid w:val="00B97C00"/>
    <w:rsid w:val="00BA01A7"/>
    <w:rsid w:val="00BA0224"/>
    <w:rsid w:val="00BA05C8"/>
    <w:rsid w:val="00BA093D"/>
    <w:rsid w:val="00BA09AA"/>
    <w:rsid w:val="00BA0AD5"/>
    <w:rsid w:val="00BA0CA0"/>
    <w:rsid w:val="00BA0E3C"/>
    <w:rsid w:val="00BA1F74"/>
    <w:rsid w:val="00BA1FE7"/>
    <w:rsid w:val="00BA26EE"/>
    <w:rsid w:val="00BA27BD"/>
    <w:rsid w:val="00BA2B1D"/>
    <w:rsid w:val="00BA2BE9"/>
    <w:rsid w:val="00BA2F2D"/>
    <w:rsid w:val="00BA30B0"/>
    <w:rsid w:val="00BA3117"/>
    <w:rsid w:val="00BA386F"/>
    <w:rsid w:val="00BA392B"/>
    <w:rsid w:val="00BA3D14"/>
    <w:rsid w:val="00BA435A"/>
    <w:rsid w:val="00BA4E68"/>
    <w:rsid w:val="00BA54BA"/>
    <w:rsid w:val="00BA5603"/>
    <w:rsid w:val="00BA56D9"/>
    <w:rsid w:val="00BA5BFA"/>
    <w:rsid w:val="00BA5EB6"/>
    <w:rsid w:val="00BA6194"/>
    <w:rsid w:val="00BA62C6"/>
    <w:rsid w:val="00BA7B27"/>
    <w:rsid w:val="00BA7E2F"/>
    <w:rsid w:val="00BA7E48"/>
    <w:rsid w:val="00BA7EEE"/>
    <w:rsid w:val="00BB0220"/>
    <w:rsid w:val="00BB03EA"/>
    <w:rsid w:val="00BB116D"/>
    <w:rsid w:val="00BB117F"/>
    <w:rsid w:val="00BB1532"/>
    <w:rsid w:val="00BB1596"/>
    <w:rsid w:val="00BB1B2D"/>
    <w:rsid w:val="00BB2008"/>
    <w:rsid w:val="00BB238B"/>
    <w:rsid w:val="00BB29DF"/>
    <w:rsid w:val="00BB2A72"/>
    <w:rsid w:val="00BB2CFC"/>
    <w:rsid w:val="00BB2F93"/>
    <w:rsid w:val="00BB3077"/>
    <w:rsid w:val="00BB322B"/>
    <w:rsid w:val="00BB34DC"/>
    <w:rsid w:val="00BB35D0"/>
    <w:rsid w:val="00BB3A34"/>
    <w:rsid w:val="00BB3AC4"/>
    <w:rsid w:val="00BB3FF4"/>
    <w:rsid w:val="00BB4073"/>
    <w:rsid w:val="00BB4370"/>
    <w:rsid w:val="00BB4726"/>
    <w:rsid w:val="00BB4999"/>
    <w:rsid w:val="00BB4A39"/>
    <w:rsid w:val="00BB4A79"/>
    <w:rsid w:val="00BB4B87"/>
    <w:rsid w:val="00BB4BCD"/>
    <w:rsid w:val="00BB52EB"/>
    <w:rsid w:val="00BB56C7"/>
    <w:rsid w:val="00BB584C"/>
    <w:rsid w:val="00BB5B62"/>
    <w:rsid w:val="00BB5D40"/>
    <w:rsid w:val="00BB5E24"/>
    <w:rsid w:val="00BB5EC1"/>
    <w:rsid w:val="00BB5ED2"/>
    <w:rsid w:val="00BB5EFB"/>
    <w:rsid w:val="00BB5F46"/>
    <w:rsid w:val="00BB6200"/>
    <w:rsid w:val="00BB64C6"/>
    <w:rsid w:val="00BB6502"/>
    <w:rsid w:val="00BB6BCD"/>
    <w:rsid w:val="00BB70F9"/>
    <w:rsid w:val="00BB7562"/>
    <w:rsid w:val="00BB7C9B"/>
    <w:rsid w:val="00BB7E0C"/>
    <w:rsid w:val="00BC046A"/>
    <w:rsid w:val="00BC091C"/>
    <w:rsid w:val="00BC0CF5"/>
    <w:rsid w:val="00BC1097"/>
    <w:rsid w:val="00BC1126"/>
    <w:rsid w:val="00BC12EC"/>
    <w:rsid w:val="00BC1527"/>
    <w:rsid w:val="00BC16E1"/>
    <w:rsid w:val="00BC17EA"/>
    <w:rsid w:val="00BC1892"/>
    <w:rsid w:val="00BC19E0"/>
    <w:rsid w:val="00BC202A"/>
    <w:rsid w:val="00BC2306"/>
    <w:rsid w:val="00BC2783"/>
    <w:rsid w:val="00BC2812"/>
    <w:rsid w:val="00BC2A7D"/>
    <w:rsid w:val="00BC2D8A"/>
    <w:rsid w:val="00BC2F31"/>
    <w:rsid w:val="00BC35AF"/>
    <w:rsid w:val="00BC37C0"/>
    <w:rsid w:val="00BC3844"/>
    <w:rsid w:val="00BC39BC"/>
    <w:rsid w:val="00BC3E34"/>
    <w:rsid w:val="00BC3F68"/>
    <w:rsid w:val="00BC4036"/>
    <w:rsid w:val="00BC41A1"/>
    <w:rsid w:val="00BC4F0A"/>
    <w:rsid w:val="00BC509F"/>
    <w:rsid w:val="00BC51D2"/>
    <w:rsid w:val="00BC5289"/>
    <w:rsid w:val="00BC53CB"/>
    <w:rsid w:val="00BC5ACC"/>
    <w:rsid w:val="00BC5C50"/>
    <w:rsid w:val="00BC64BE"/>
    <w:rsid w:val="00BC64CC"/>
    <w:rsid w:val="00BC65AC"/>
    <w:rsid w:val="00BC6767"/>
    <w:rsid w:val="00BC6947"/>
    <w:rsid w:val="00BC6C51"/>
    <w:rsid w:val="00BC7155"/>
    <w:rsid w:val="00BC7550"/>
    <w:rsid w:val="00BC76D0"/>
    <w:rsid w:val="00BC77AD"/>
    <w:rsid w:val="00BC77E6"/>
    <w:rsid w:val="00BC77EC"/>
    <w:rsid w:val="00BC7BB3"/>
    <w:rsid w:val="00BC7CAD"/>
    <w:rsid w:val="00BD0238"/>
    <w:rsid w:val="00BD08A6"/>
    <w:rsid w:val="00BD0B72"/>
    <w:rsid w:val="00BD0B99"/>
    <w:rsid w:val="00BD0C95"/>
    <w:rsid w:val="00BD110D"/>
    <w:rsid w:val="00BD1674"/>
    <w:rsid w:val="00BD16F4"/>
    <w:rsid w:val="00BD223C"/>
    <w:rsid w:val="00BD2572"/>
    <w:rsid w:val="00BD2668"/>
    <w:rsid w:val="00BD388D"/>
    <w:rsid w:val="00BD3924"/>
    <w:rsid w:val="00BD3930"/>
    <w:rsid w:val="00BD3935"/>
    <w:rsid w:val="00BD3E22"/>
    <w:rsid w:val="00BD410C"/>
    <w:rsid w:val="00BD4116"/>
    <w:rsid w:val="00BD44EF"/>
    <w:rsid w:val="00BD450F"/>
    <w:rsid w:val="00BD4512"/>
    <w:rsid w:val="00BD45A2"/>
    <w:rsid w:val="00BD49DA"/>
    <w:rsid w:val="00BD4B30"/>
    <w:rsid w:val="00BD4D57"/>
    <w:rsid w:val="00BD5189"/>
    <w:rsid w:val="00BD52AA"/>
    <w:rsid w:val="00BD52BF"/>
    <w:rsid w:val="00BD55AF"/>
    <w:rsid w:val="00BD5977"/>
    <w:rsid w:val="00BD5CEC"/>
    <w:rsid w:val="00BD66AD"/>
    <w:rsid w:val="00BD6C7B"/>
    <w:rsid w:val="00BD777E"/>
    <w:rsid w:val="00BD79F2"/>
    <w:rsid w:val="00BD7F06"/>
    <w:rsid w:val="00BE039A"/>
    <w:rsid w:val="00BE03AF"/>
    <w:rsid w:val="00BE0BAA"/>
    <w:rsid w:val="00BE1061"/>
    <w:rsid w:val="00BE1321"/>
    <w:rsid w:val="00BE183E"/>
    <w:rsid w:val="00BE1E3B"/>
    <w:rsid w:val="00BE25F4"/>
    <w:rsid w:val="00BE2893"/>
    <w:rsid w:val="00BE2EB4"/>
    <w:rsid w:val="00BE2EC4"/>
    <w:rsid w:val="00BE2F5A"/>
    <w:rsid w:val="00BE3416"/>
    <w:rsid w:val="00BE36EE"/>
    <w:rsid w:val="00BE37D3"/>
    <w:rsid w:val="00BE3A8C"/>
    <w:rsid w:val="00BE3C4E"/>
    <w:rsid w:val="00BE3E18"/>
    <w:rsid w:val="00BE3F0A"/>
    <w:rsid w:val="00BE40AA"/>
    <w:rsid w:val="00BE417D"/>
    <w:rsid w:val="00BE46B7"/>
    <w:rsid w:val="00BE4C45"/>
    <w:rsid w:val="00BE505A"/>
    <w:rsid w:val="00BE522A"/>
    <w:rsid w:val="00BE57B5"/>
    <w:rsid w:val="00BE5AF3"/>
    <w:rsid w:val="00BE5D6B"/>
    <w:rsid w:val="00BE6304"/>
    <w:rsid w:val="00BE636A"/>
    <w:rsid w:val="00BE6523"/>
    <w:rsid w:val="00BE68B4"/>
    <w:rsid w:val="00BE6B99"/>
    <w:rsid w:val="00BE71BF"/>
    <w:rsid w:val="00BE749A"/>
    <w:rsid w:val="00BE7A7C"/>
    <w:rsid w:val="00BE7B06"/>
    <w:rsid w:val="00BF0A44"/>
    <w:rsid w:val="00BF0B07"/>
    <w:rsid w:val="00BF0CEC"/>
    <w:rsid w:val="00BF0D53"/>
    <w:rsid w:val="00BF0F89"/>
    <w:rsid w:val="00BF13BB"/>
    <w:rsid w:val="00BF168C"/>
    <w:rsid w:val="00BF17E2"/>
    <w:rsid w:val="00BF183E"/>
    <w:rsid w:val="00BF1850"/>
    <w:rsid w:val="00BF1A44"/>
    <w:rsid w:val="00BF1DD3"/>
    <w:rsid w:val="00BF1EDF"/>
    <w:rsid w:val="00BF299A"/>
    <w:rsid w:val="00BF2C77"/>
    <w:rsid w:val="00BF2D69"/>
    <w:rsid w:val="00BF2EAE"/>
    <w:rsid w:val="00BF3039"/>
    <w:rsid w:val="00BF325B"/>
    <w:rsid w:val="00BF3488"/>
    <w:rsid w:val="00BF4006"/>
    <w:rsid w:val="00BF487A"/>
    <w:rsid w:val="00BF4D3D"/>
    <w:rsid w:val="00BF536A"/>
    <w:rsid w:val="00BF54AF"/>
    <w:rsid w:val="00BF58E4"/>
    <w:rsid w:val="00BF5979"/>
    <w:rsid w:val="00BF5B8C"/>
    <w:rsid w:val="00BF5CD1"/>
    <w:rsid w:val="00BF5DAE"/>
    <w:rsid w:val="00BF5F10"/>
    <w:rsid w:val="00BF6041"/>
    <w:rsid w:val="00BF617A"/>
    <w:rsid w:val="00BF66B7"/>
    <w:rsid w:val="00BF6A68"/>
    <w:rsid w:val="00BF6BCE"/>
    <w:rsid w:val="00BF6D52"/>
    <w:rsid w:val="00BF6E21"/>
    <w:rsid w:val="00BF6EB8"/>
    <w:rsid w:val="00BF6FC6"/>
    <w:rsid w:val="00BF70EA"/>
    <w:rsid w:val="00BF7152"/>
    <w:rsid w:val="00BF73F0"/>
    <w:rsid w:val="00BF75B1"/>
    <w:rsid w:val="00BF75C9"/>
    <w:rsid w:val="00BF7700"/>
    <w:rsid w:val="00BF7BD3"/>
    <w:rsid w:val="00BF7DD0"/>
    <w:rsid w:val="00C00352"/>
    <w:rsid w:val="00C0045E"/>
    <w:rsid w:val="00C007CE"/>
    <w:rsid w:val="00C00A01"/>
    <w:rsid w:val="00C00A22"/>
    <w:rsid w:val="00C00DE4"/>
    <w:rsid w:val="00C00EFB"/>
    <w:rsid w:val="00C00F18"/>
    <w:rsid w:val="00C00FE8"/>
    <w:rsid w:val="00C015AE"/>
    <w:rsid w:val="00C01B4F"/>
    <w:rsid w:val="00C01D39"/>
    <w:rsid w:val="00C0200C"/>
    <w:rsid w:val="00C020A8"/>
    <w:rsid w:val="00C02115"/>
    <w:rsid w:val="00C0253B"/>
    <w:rsid w:val="00C02907"/>
    <w:rsid w:val="00C02A4D"/>
    <w:rsid w:val="00C02E36"/>
    <w:rsid w:val="00C031A2"/>
    <w:rsid w:val="00C034A4"/>
    <w:rsid w:val="00C035DC"/>
    <w:rsid w:val="00C03935"/>
    <w:rsid w:val="00C03DD0"/>
    <w:rsid w:val="00C0401F"/>
    <w:rsid w:val="00C04084"/>
    <w:rsid w:val="00C04445"/>
    <w:rsid w:val="00C04705"/>
    <w:rsid w:val="00C0492B"/>
    <w:rsid w:val="00C04A7F"/>
    <w:rsid w:val="00C04E2B"/>
    <w:rsid w:val="00C051AA"/>
    <w:rsid w:val="00C05324"/>
    <w:rsid w:val="00C058B7"/>
    <w:rsid w:val="00C05CDD"/>
    <w:rsid w:val="00C060A0"/>
    <w:rsid w:val="00C06450"/>
    <w:rsid w:val="00C066B2"/>
    <w:rsid w:val="00C066CF"/>
    <w:rsid w:val="00C067CB"/>
    <w:rsid w:val="00C06B65"/>
    <w:rsid w:val="00C07187"/>
    <w:rsid w:val="00C07195"/>
    <w:rsid w:val="00C075C9"/>
    <w:rsid w:val="00C07FAD"/>
    <w:rsid w:val="00C1017F"/>
    <w:rsid w:val="00C10238"/>
    <w:rsid w:val="00C1050F"/>
    <w:rsid w:val="00C106C4"/>
    <w:rsid w:val="00C10F93"/>
    <w:rsid w:val="00C111EA"/>
    <w:rsid w:val="00C117A1"/>
    <w:rsid w:val="00C117FC"/>
    <w:rsid w:val="00C119AD"/>
    <w:rsid w:val="00C11AE9"/>
    <w:rsid w:val="00C1228D"/>
    <w:rsid w:val="00C12AAA"/>
    <w:rsid w:val="00C12B25"/>
    <w:rsid w:val="00C1376C"/>
    <w:rsid w:val="00C137B2"/>
    <w:rsid w:val="00C13FED"/>
    <w:rsid w:val="00C140B3"/>
    <w:rsid w:val="00C14E7D"/>
    <w:rsid w:val="00C14F99"/>
    <w:rsid w:val="00C14FDF"/>
    <w:rsid w:val="00C150C7"/>
    <w:rsid w:val="00C15326"/>
    <w:rsid w:val="00C15722"/>
    <w:rsid w:val="00C1592B"/>
    <w:rsid w:val="00C159EA"/>
    <w:rsid w:val="00C15F9A"/>
    <w:rsid w:val="00C162A9"/>
    <w:rsid w:val="00C16762"/>
    <w:rsid w:val="00C16779"/>
    <w:rsid w:val="00C16897"/>
    <w:rsid w:val="00C16AA5"/>
    <w:rsid w:val="00C16E3D"/>
    <w:rsid w:val="00C17491"/>
    <w:rsid w:val="00C17666"/>
    <w:rsid w:val="00C20084"/>
    <w:rsid w:val="00C200C9"/>
    <w:rsid w:val="00C21489"/>
    <w:rsid w:val="00C21658"/>
    <w:rsid w:val="00C218FD"/>
    <w:rsid w:val="00C219BE"/>
    <w:rsid w:val="00C21BBC"/>
    <w:rsid w:val="00C21D8E"/>
    <w:rsid w:val="00C21DAC"/>
    <w:rsid w:val="00C21DC8"/>
    <w:rsid w:val="00C21F5B"/>
    <w:rsid w:val="00C22525"/>
    <w:rsid w:val="00C22692"/>
    <w:rsid w:val="00C2291C"/>
    <w:rsid w:val="00C23425"/>
    <w:rsid w:val="00C2396D"/>
    <w:rsid w:val="00C23DBB"/>
    <w:rsid w:val="00C23FE1"/>
    <w:rsid w:val="00C2410D"/>
    <w:rsid w:val="00C24674"/>
    <w:rsid w:val="00C24700"/>
    <w:rsid w:val="00C248FA"/>
    <w:rsid w:val="00C249DE"/>
    <w:rsid w:val="00C24A54"/>
    <w:rsid w:val="00C24BAF"/>
    <w:rsid w:val="00C24F1F"/>
    <w:rsid w:val="00C25442"/>
    <w:rsid w:val="00C25AD2"/>
    <w:rsid w:val="00C25D21"/>
    <w:rsid w:val="00C25E4A"/>
    <w:rsid w:val="00C25F8B"/>
    <w:rsid w:val="00C25FB5"/>
    <w:rsid w:val="00C265C0"/>
    <w:rsid w:val="00C266E0"/>
    <w:rsid w:val="00C2689D"/>
    <w:rsid w:val="00C26B9E"/>
    <w:rsid w:val="00C272EF"/>
    <w:rsid w:val="00C2732B"/>
    <w:rsid w:val="00C2753F"/>
    <w:rsid w:val="00C27546"/>
    <w:rsid w:val="00C276A8"/>
    <w:rsid w:val="00C2780E"/>
    <w:rsid w:val="00C27975"/>
    <w:rsid w:val="00C27D51"/>
    <w:rsid w:val="00C300BC"/>
    <w:rsid w:val="00C30155"/>
    <w:rsid w:val="00C30343"/>
    <w:rsid w:val="00C303D1"/>
    <w:rsid w:val="00C30484"/>
    <w:rsid w:val="00C307F7"/>
    <w:rsid w:val="00C31062"/>
    <w:rsid w:val="00C31129"/>
    <w:rsid w:val="00C318F7"/>
    <w:rsid w:val="00C319D2"/>
    <w:rsid w:val="00C31F5E"/>
    <w:rsid w:val="00C31F85"/>
    <w:rsid w:val="00C32081"/>
    <w:rsid w:val="00C322FC"/>
    <w:rsid w:val="00C32534"/>
    <w:rsid w:val="00C326CA"/>
    <w:rsid w:val="00C326EE"/>
    <w:rsid w:val="00C32951"/>
    <w:rsid w:val="00C32B1E"/>
    <w:rsid w:val="00C32C02"/>
    <w:rsid w:val="00C330E2"/>
    <w:rsid w:val="00C33231"/>
    <w:rsid w:val="00C33235"/>
    <w:rsid w:val="00C335F7"/>
    <w:rsid w:val="00C33677"/>
    <w:rsid w:val="00C33866"/>
    <w:rsid w:val="00C33882"/>
    <w:rsid w:val="00C33A3C"/>
    <w:rsid w:val="00C34137"/>
    <w:rsid w:val="00C34347"/>
    <w:rsid w:val="00C346B7"/>
    <w:rsid w:val="00C3476B"/>
    <w:rsid w:val="00C34883"/>
    <w:rsid w:val="00C34899"/>
    <w:rsid w:val="00C349B3"/>
    <w:rsid w:val="00C349C2"/>
    <w:rsid w:val="00C34C67"/>
    <w:rsid w:val="00C34EEB"/>
    <w:rsid w:val="00C34FD5"/>
    <w:rsid w:val="00C3514C"/>
    <w:rsid w:val="00C35240"/>
    <w:rsid w:val="00C35253"/>
    <w:rsid w:val="00C3582A"/>
    <w:rsid w:val="00C35F68"/>
    <w:rsid w:val="00C35FFF"/>
    <w:rsid w:val="00C36049"/>
    <w:rsid w:val="00C3687C"/>
    <w:rsid w:val="00C368B3"/>
    <w:rsid w:val="00C369E6"/>
    <w:rsid w:val="00C36DDF"/>
    <w:rsid w:val="00C36F07"/>
    <w:rsid w:val="00C37214"/>
    <w:rsid w:val="00C372E8"/>
    <w:rsid w:val="00C3732A"/>
    <w:rsid w:val="00C374BF"/>
    <w:rsid w:val="00C37D27"/>
    <w:rsid w:val="00C37DCB"/>
    <w:rsid w:val="00C37FC6"/>
    <w:rsid w:val="00C40256"/>
    <w:rsid w:val="00C40745"/>
    <w:rsid w:val="00C409DC"/>
    <w:rsid w:val="00C40B1B"/>
    <w:rsid w:val="00C40B88"/>
    <w:rsid w:val="00C40DBE"/>
    <w:rsid w:val="00C40E88"/>
    <w:rsid w:val="00C416A3"/>
    <w:rsid w:val="00C41785"/>
    <w:rsid w:val="00C41FC1"/>
    <w:rsid w:val="00C424E5"/>
    <w:rsid w:val="00C42FA7"/>
    <w:rsid w:val="00C433CC"/>
    <w:rsid w:val="00C434C2"/>
    <w:rsid w:val="00C43827"/>
    <w:rsid w:val="00C43940"/>
    <w:rsid w:val="00C44342"/>
    <w:rsid w:val="00C44694"/>
    <w:rsid w:val="00C44744"/>
    <w:rsid w:val="00C453FA"/>
    <w:rsid w:val="00C45506"/>
    <w:rsid w:val="00C45779"/>
    <w:rsid w:val="00C457C1"/>
    <w:rsid w:val="00C45868"/>
    <w:rsid w:val="00C45D41"/>
    <w:rsid w:val="00C46060"/>
    <w:rsid w:val="00C462F2"/>
    <w:rsid w:val="00C4653A"/>
    <w:rsid w:val="00C46625"/>
    <w:rsid w:val="00C46870"/>
    <w:rsid w:val="00C4688B"/>
    <w:rsid w:val="00C46BE8"/>
    <w:rsid w:val="00C471B2"/>
    <w:rsid w:val="00C4734C"/>
    <w:rsid w:val="00C4746A"/>
    <w:rsid w:val="00C47545"/>
    <w:rsid w:val="00C47593"/>
    <w:rsid w:val="00C47748"/>
    <w:rsid w:val="00C47A52"/>
    <w:rsid w:val="00C50148"/>
    <w:rsid w:val="00C5044B"/>
    <w:rsid w:val="00C5056A"/>
    <w:rsid w:val="00C506BD"/>
    <w:rsid w:val="00C508C3"/>
    <w:rsid w:val="00C50B04"/>
    <w:rsid w:val="00C50E55"/>
    <w:rsid w:val="00C51415"/>
    <w:rsid w:val="00C51426"/>
    <w:rsid w:val="00C51622"/>
    <w:rsid w:val="00C51648"/>
    <w:rsid w:val="00C51ACA"/>
    <w:rsid w:val="00C51FB3"/>
    <w:rsid w:val="00C5223C"/>
    <w:rsid w:val="00C529FB"/>
    <w:rsid w:val="00C52A35"/>
    <w:rsid w:val="00C52B95"/>
    <w:rsid w:val="00C52C4D"/>
    <w:rsid w:val="00C52E3D"/>
    <w:rsid w:val="00C52E8B"/>
    <w:rsid w:val="00C5310A"/>
    <w:rsid w:val="00C53112"/>
    <w:rsid w:val="00C53213"/>
    <w:rsid w:val="00C53498"/>
    <w:rsid w:val="00C53656"/>
    <w:rsid w:val="00C53917"/>
    <w:rsid w:val="00C53EAA"/>
    <w:rsid w:val="00C541DE"/>
    <w:rsid w:val="00C5472D"/>
    <w:rsid w:val="00C54C11"/>
    <w:rsid w:val="00C54C67"/>
    <w:rsid w:val="00C54E65"/>
    <w:rsid w:val="00C54FEC"/>
    <w:rsid w:val="00C550AD"/>
    <w:rsid w:val="00C555D5"/>
    <w:rsid w:val="00C560F4"/>
    <w:rsid w:val="00C56137"/>
    <w:rsid w:val="00C56324"/>
    <w:rsid w:val="00C5653B"/>
    <w:rsid w:val="00C565A3"/>
    <w:rsid w:val="00C565EE"/>
    <w:rsid w:val="00C568FD"/>
    <w:rsid w:val="00C56EE2"/>
    <w:rsid w:val="00C57100"/>
    <w:rsid w:val="00C571A5"/>
    <w:rsid w:val="00C572BC"/>
    <w:rsid w:val="00C577F7"/>
    <w:rsid w:val="00C57AA0"/>
    <w:rsid w:val="00C57F66"/>
    <w:rsid w:val="00C60445"/>
    <w:rsid w:val="00C60667"/>
    <w:rsid w:val="00C607A5"/>
    <w:rsid w:val="00C60A7B"/>
    <w:rsid w:val="00C60CBE"/>
    <w:rsid w:val="00C60D30"/>
    <w:rsid w:val="00C60D36"/>
    <w:rsid w:val="00C60EAF"/>
    <w:rsid w:val="00C60F40"/>
    <w:rsid w:val="00C61227"/>
    <w:rsid w:val="00C615F1"/>
    <w:rsid w:val="00C61669"/>
    <w:rsid w:val="00C61AB9"/>
    <w:rsid w:val="00C61BD8"/>
    <w:rsid w:val="00C61F84"/>
    <w:rsid w:val="00C621D6"/>
    <w:rsid w:val="00C625E3"/>
    <w:rsid w:val="00C62874"/>
    <w:rsid w:val="00C62CD3"/>
    <w:rsid w:val="00C62FF7"/>
    <w:rsid w:val="00C63135"/>
    <w:rsid w:val="00C6370A"/>
    <w:rsid w:val="00C637DC"/>
    <w:rsid w:val="00C63EE8"/>
    <w:rsid w:val="00C63F8B"/>
    <w:rsid w:val="00C6432E"/>
    <w:rsid w:val="00C6492B"/>
    <w:rsid w:val="00C65533"/>
    <w:rsid w:val="00C65718"/>
    <w:rsid w:val="00C65A67"/>
    <w:rsid w:val="00C65C81"/>
    <w:rsid w:val="00C65E75"/>
    <w:rsid w:val="00C66096"/>
    <w:rsid w:val="00C666DE"/>
    <w:rsid w:val="00C66772"/>
    <w:rsid w:val="00C66D2B"/>
    <w:rsid w:val="00C66DC5"/>
    <w:rsid w:val="00C66F49"/>
    <w:rsid w:val="00C67580"/>
    <w:rsid w:val="00C6781C"/>
    <w:rsid w:val="00C67A26"/>
    <w:rsid w:val="00C67AE7"/>
    <w:rsid w:val="00C67C74"/>
    <w:rsid w:val="00C67CD8"/>
    <w:rsid w:val="00C67E5E"/>
    <w:rsid w:val="00C67EA1"/>
    <w:rsid w:val="00C70AEE"/>
    <w:rsid w:val="00C711D9"/>
    <w:rsid w:val="00C71791"/>
    <w:rsid w:val="00C71811"/>
    <w:rsid w:val="00C71D15"/>
    <w:rsid w:val="00C72179"/>
    <w:rsid w:val="00C721EF"/>
    <w:rsid w:val="00C7234D"/>
    <w:rsid w:val="00C7244E"/>
    <w:rsid w:val="00C726C9"/>
    <w:rsid w:val="00C72801"/>
    <w:rsid w:val="00C72A48"/>
    <w:rsid w:val="00C72AF0"/>
    <w:rsid w:val="00C72BCC"/>
    <w:rsid w:val="00C72C0A"/>
    <w:rsid w:val="00C731DB"/>
    <w:rsid w:val="00C73860"/>
    <w:rsid w:val="00C73C49"/>
    <w:rsid w:val="00C73D6C"/>
    <w:rsid w:val="00C73E67"/>
    <w:rsid w:val="00C73FAD"/>
    <w:rsid w:val="00C73FBF"/>
    <w:rsid w:val="00C741D7"/>
    <w:rsid w:val="00C74471"/>
    <w:rsid w:val="00C744E3"/>
    <w:rsid w:val="00C74516"/>
    <w:rsid w:val="00C74528"/>
    <w:rsid w:val="00C74665"/>
    <w:rsid w:val="00C747CF"/>
    <w:rsid w:val="00C74AE1"/>
    <w:rsid w:val="00C74ED0"/>
    <w:rsid w:val="00C755A5"/>
    <w:rsid w:val="00C757B8"/>
    <w:rsid w:val="00C759AB"/>
    <w:rsid w:val="00C761B4"/>
    <w:rsid w:val="00C7636E"/>
    <w:rsid w:val="00C767E2"/>
    <w:rsid w:val="00C76906"/>
    <w:rsid w:val="00C76B7C"/>
    <w:rsid w:val="00C76CC7"/>
    <w:rsid w:val="00C76F62"/>
    <w:rsid w:val="00C76F81"/>
    <w:rsid w:val="00C77016"/>
    <w:rsid w:val="00C77417"/>
    <w:rsid w:val="00C776A4"/>
    <w:rsid w:val="00C77800"/>
    <w:rsid w:val="00C779ED"/>
    <w:rsid w:val="00C77A64"/>
    <w:rsid w:val="00C800DD"/>
    <w:rsid w:val="00C80920"/>
    <w:rsid w:val="00C80B03"/>
    <w:rsid w:val="00C80C9B"/>
    <w:rsid w:val="00C812EF"/>
    <w:rsid w:val="00C81355"/>
    <w:rsid w:val="00C814AA"/>
    <w:rsid w:val="00C816A1"/>
    <w:rsid w:val="00C81B6A"/>
    <w:rsid w:val="00C81B79"/>
    <w:rsid w:val="00C81C5B"/>
    <w:rsid w:val="00C81E29"/>
    <w:rsid w:val="00C8223E"/>
    <w:rsid w:val="00C8243F"/>
    <w:rsid w:val="00C8289B"/>
    <w:rsid w:val="00C828D8"/>
    <w:rsid w:val="00C82B5D"/>
    <w:rsid w:val="00C82D54"/>
    <w:rsid w:val="00C82F3B"/>
    <w:rsid w:val="00C83280"/>
    <w:rsid w:val="00C8353A"/>
    <w:rsid w:val="00C837C4"/>
    <w:rsid w:val="00C837E8"/>
    <w:rsid w:val="00C83829"/>
    <w:rsid w:val="00C83EDD"/>
    <w:rsid w:val="00C842C7"/>
    <w:rsid w:val="00C84BF1"/>
    <w:rsid w:val="00C84CA2"/>
    <w:rsid w:val="00C84DF8"/>
    <w:rsid w:val="00C85131"/>
    <w:rsid w:val="00C85295"/>
    <w:rsid w:val="00C85970"/>
    <w:rsid w:val="00C85A36"/>
    <w:rsid w:val="00C85C64"/>
    <w:rsid w:val="00C85CD1"/>
    <w:rsid w:val="00C85CE0"/>
    <w:rsid w:val="00C86051"/>
    <w:rsid w:val="00C861CA"/>
    <w:rsid w:val="00C862E3"/>
    <w:rsid w:val="00C8680A"/>
    <w:rsid w:val="00C86AE3"/>
    <w:rsid w:val="00C86C56"/>
    <w:rsid w:val="00C86CD9"/>
    <w:rsid w:val="00C86D48"/>
    <w:rsid w:val="00C87668"/>
    <w:rsid w:val="00C8773E"/>
    <w:rsid w:val="00C87EDA"/>
    <w:rsid w:val="00C904D7"/>
    <w:rsid w:val="00C90601"/>
    <w:rsid w:val="00C90A70"/>
    <w:rsid w:val="00C90B4C"/>
    <w:rsid w:val="00C90D16"/>
    <w:rsid w:val="00C90D62"/>
    <w:rsid w:val="00C90F4A"/>
    <w:rsid w:val="00C90FBB"/>
    <w:rsid w:val="00C9116A"/>
    <w:rsid w:val="00C91242"/>
    <w:rsid w:val="00C91516"/>
    <w:rsid w:val="00C91864"/>
    <w:rsid w:val="00C91D63"/>
    <w:rsid w:val="00C91EF4"/>
    <w:rsid w:val="00C9265D"/>
    <w:rsid w:val="00C92824"/>
    <w:rsid w:val="00C92C27"/>
    <w:rsid w:val="00C92DB7"/>
    <w:rsid w:val="00C934AA"/>
    <w:rsid w:val="00C93623"/>
    <w:rsid w:val="00C937BA"/>
    <w:rsid w:val="00C9397F"/>
    <w:rsid w:val="00C93F74"/>
    <w:rsid w:val="00C949FC"/>
    <w:rsid w:val="00C94D87"/>
    <w:rsid w:val="00C94F02"/>
    <w:rsid w:val="00C95602"/>
    <w:rsid w:val="00C957BA"/>
    <w:rsid w:val="00C9584B"/>
    <w:rsid w:val="00C960CF"/>
    <w:rsid w:val="00C962B5"/>
    <w:rsid w:val="00C96672"/>
    <w:rsid w:val="00C96678"/>
    <w:rsid w:val="00C96772"/>
    <w:rsid w:val="00C967B6"/>
    <w:rsid w:val="00C96CFA"/>
    <w:rsid w:val="00C96E5A"/>
    <w:rsid w:val="00C96EB5"/>
    <w:rsid w:val="00C97913"/>
    <w:rsid w:val="00C97D93"/>
    <w:rsid w:val="00C97EF4"/>
    <w:rsid w:val="00C97FD4"/>
    <w:rsid w:val="00CA0257"/>
    <w:rsid w:val="00CA05C7"/>
    <w:rsid w:val="00CA06E0"/>
    <w:rsid w:val="00CA0917"/>
    <w:rsid w:val="00CA0AFB"/>
    <w:rsid w:val="00CA0C17"/>
    <w:rsid w:val="00CA0FE5"/>
    <w:rsid w:val="00CA102B"/>
    <w:rsid w:val="00CA1381"/>
    <w:rsid w:val="00CA14B7"/>
    <w:rsid w:val="00CA16BF"/>
    <w:rsid w:val="00CA1726"/>
    <w:rsid w:val="00CA1873"/>
    <w:rsid w:val="00CA19D5"/>
    <w:rsid w:val="00CA1ADD"/>
    <w:rsid w:val="00CA2370"/>
    <w:rsid w:val="00CA249D"/>
    <w:rsid w:val="00CA272F"/>
    <w:rsid w:val="00CA283D"/>
    <w:rsid w:val="00CA29D1"/>
    <w:rsid w:val="00CA2D4D"/>
    <w:rsid w:val="00CA2DD6"/>
    <w:rsid w:val="00CA3247"/>
    <w:rsid w:val="00CA34C6"/>
    <w:rsid w:val="00CA36C2"/>
    <w:rsid w:val="00CA3752"/>
    <w:rsid w:val="00CA3999"/>
    <w:rsid w:val="00CA39C0"/>
    <w:rsid w:val="00CA3BE0"/>
    <w:rsid w:val="00CA4238"/>
    <w:rsid w:val="00CA42F0"/>
    <w:rsid w:val="00CA4A31"/>
    <w:rsid w:val="00CA4E40"/>
    <w:rsid w:val="00CA5AD3"/>
    <w:rsid w:val="00CA5C41"/>
    <w:rsid w:val="00CA5C62"/>
    <w:rsid w:val="00CA6263"/>
    <w:rsid w:val="00CA62DD"/>
    <w:rsid w:val="00CA6667"/>
    <w:rsid w:val="00CA66BD"/>
    <w:rsid w:val="00CA69BA"/>
    <w:rsid w:val="00CA7855"/>
    <w:rsid w:val="00CA78FD"/>
    <w:rsid w:val="00CA7DE6"/>
    <w:rsid w:val="00CA7E6B"/>
    <w:rsid w:val="00CB0339"/>
    <w:rsid w:val="00CB07DB"/>
    <w:rsid w:val="00CB0F6A"/>
    <w:rsid w:val="00CB110E"/>
    <w:rsid w:val="00CB1123"/>
    <w:rsid w:val="00CB11F8"/>
    <w:rsid w:val="00CB12CE"/>
    <w:rsid w:val="00CB1A42"/>
    <w:rsid w:val="00CB1AE1"/>
    <w:rsid w:val="00CB213D"/>
    <w:rsid w:val="00CB214A"/>
    <w:rsid w:val="00CB225B"/>
    <w:rsid w:val="00CB2EF5"/>
    <w:rsid w:val="00CB33E4"/>
    <w:rsid w:val="00CB4230"/>
    <w:rsid w:val="00CB431B"/>
    <w:rsid w:val="00CB45C5"/>
    <w:rsid w:val="00CB4A77"/>
    <w:rsid w:val="00CB4EA5"/>
    <w:rsid w:val="00CB52E8"/>
    <w:rsid w:val="00CB534E"/>
    <w:rsid w:val="00CB557F"/>
    <w:rsid w:val="00CB592B"/>
    <w:rsid w:val="00CB5BF7"/>
    <w:rsid w:val="00CB5C5F"/>
    <w:rsid w:val="00CB5FFE"/>
    <w:rsid w:val="00CB600E"/>
    <w:rsid w:val="00CB6526"/>
    <w:rsid w:val="00CB65B8"/>
    <w:rsid w:val="00CB6B0D"/>
    <w:rsid w:val="00CB6C3C"/>
    <w:rsid w:val="00CB6CDF"/>
    <w:rsid w:val="00CB7264"/>
    <w:rsid w:val="00CB730F"/>
    <w:rsid w:val="00CB761C"/>
    <w:rsid w:val="00CB76B5"/>
    <w:rsid w:val="00CB7883"/>
    <w:rsid w:val="00CB7A83"/>
    <w:rsid w:val="00CB7AD6"/>
    <w:rsid w:val="00CC0495"/>
    <w:rsid w:val="00CC0E8C"/>
    <w:rsid w:val="00CC110F"/>
    <w:rsid w:val="00CC11B8"/>
    <w:rsid w:val="00CC14A4"/>
    <w:rsid w:val="00CC1AF9"/>
    <w:rsid w:val="00CC1E36"/>
    <w:rsid w:val="00CC20E0"/>
    <w:rsid w:val="00CC2207"/>
    <w:rsid w:val="00CC24F7"/>
    <w:rsid w:val="00CC2818"/>
    <w:rsid w:val="00CC2F7A"/>
    <w:rsid w:val="00CC3231"/>
    <w:rsid w:val="00CC33F7"/>
    <w:rsid w:val="00CC3558"/>
    <w:rsid w:val="00CC3A70"/>
    <w:rsid w:val="00CC4033"/>
    <w:rsid w:val="00CC404C"/>
    <w:rsid w:val="00CC40B8"/>
    <w:rsid w:val="00CC4831"/>
    <w:rsid w:val="00CC4930"/>
    <w:rsid w:val="00CC4A13"/>
    <w:rsid w:val="00CC4B1F"/>
    <w:rsid w:val="00CC4B9A"/>
    <w:rsid w:val="00CC4FB2"/>
    <w:rsid w:val="00CC5152"/>
    <w:rsid w:val="00CC5444"/>
    <w:rsid w:val="00CC54F8"/>
    <w:rsid w:val="00CC5631"/>
    <w:rsid w:val="00CC5AF3"/>
    <w:rsid w:val="00CC5B19"/>
    <w:rsid w:val="00CC5EE3"/>
    <w:rsid w:val="00CC600A"/>
    <w:rsid w:val="00CC62A6"/>
    <w:rsid w:val="00CC6657"/>
    <w:rsid w:val="00CC676C"/>
    <w:rsid w:val="00CC6A2E"/>
    <w:rsid w:val="00CC6AB9"/>
    <w:rsid w:val="00CC6D75"/>
    <w:rsid w:val="00CC6E17"/>
    <w:rsid w:val="00CC78FB"/>
    <w:rsid w:val="00CC7A11"/>
    <w:rsid w:val="00CC7C30"/>
    <w:rsid w:val="00CC7EB4"/>
    <w:rsid w:val="00CC7F7A"/>
    <w:rsid w:val="00CD02B0"/>
    <w:rsid w:val="00CD02E7"/>
    <w:rsid w:val="00CD04A8"/>
    <w:rsid w:val="00CD051B"/>
    <w:rsid w:val="00CD0985"/>
    <w:rsid w:val="00CD0C6D"/>
    <w:rsid w:val="00CD0E4B"/>
    <w:rsid w:val="00CD19D1"/>
    <w:rsid w:val="00CD1A61"/>
    <w:rsid w:val="00CD1DB1"/>
    <w:rsid w:val="00CD22B5"/>
    <w:rsid w:val="00CD22F0"/>
    <w:rsid w:val="00CD22F4"/>
    <w:rsid w:val="00CD25E1"/>
    <w:rsid w:val="00CD26C7"/>
    <w:rsid w:val="00CD280B"/>
    <w:rsid w:val="00CD2ACD"/>
    <w:rsid w:val="00CD2EB2"/>
    <w:rsid w:val="00CD3100"/>
    <w:rsid w:val="00CD3164"/>
    <w:rsid w:val="00CD367C"/>
    <w:rsid w:val="00CD3847"/>
    <w:rsid w:val="00CD4524"/>
    <w:rsid w:val="00CD454A"/>
    <w:rsid w:val="00CD4AEA"/>
    <w:rsid w:val="00CD4CF1"/>
    <w:rsid w:val="00CD4EBE"/>
    <w:rsid w:val="00CD4F54"/>
    <w:rsid w:val="00CD4FFE"/>
    <w:rsid w:val="00CD525B"/>
    <w:rsid w:val="00CD574B"/>
    <w:rsid w:val="00CD57FA"/>
    <w:rsid w:val="00CD5A6E"/>
    <w:rsid w:val="00CD61F2"/>
    <w:rsid w:val="00CD711F"/>
    <w:rsid w:val="00CD74A7"/>
    <w:rsid w:val="00CD759F"/>
    <w:rsid w:val="00CD79B2"/>
    <w:rsid w:val="00CD7B28"/>
    <w:rsid w:val="00CD7B87"/>
    <w:rsid w:val="00CE006A"/>
    <w:rsid w:val="00CE0153"/>
    <w:rsid w:val="00CE0525"/>
    <w:rsid w:val="00CE05DC"/>
    <w:rsid w:val="00CE0AF5"/>
    <w:rsid w:val="00CE0F78"/>
    <w:rsid w:val="00CE1012"/>
    <w:rsid w:val="00CE134A"/>
    <w:rsid w:val="00CE157C"/>
    <w:rsid w:val="00CE19A6"/>
    <w:rsid w:val="00CE1AF6"/>
    <w:rsid w:val="00CE2298"/>
    <w:rsid w:val="00CE2323"/>
    <w:rsid w:val="00CE24A3"/>
    <w:rsid w:val="00CE2853"/>
    <w:rsid w:val="00CE2EFA"/>
    <w:rsid w:val="00CE2FCF"/>
    <w:rsid w:val="00CE3064"/>
    <w:rsid w:val="00CE31AC"/>
    <w:rsid w:val="00CE39E4"/>
    <w:rsid w:val="00CE3C1E"/>
    <w:rsid w:val="00CE3C6A"/>
    <w:rsid w:val="00CE3F60"/>
    <w:rsid w:val="00CE4282"/>
    <w:rsid w:val="00CE497C"/>
    <w:rsid w:val="00CE4B20"/>
    <w:rsid w:val="00CE4BB8"/>
    <w:rsid w:val="00CE4BBF"/>
    <w:rsid w:val="00CE4F7A"/>
    <w:rsid w:val="00CE54E1"/>
    <w:rsid w:val="00CE55B6"/>
    <w:rsid w:val="00CE5856"/>
    <w:rsid w:val="00CE59A6"/>
    <w:rsid w:val="00CE5B9B"/>
    <w:rsid w:val="00CE5BDE"/>
    <w:rsid w:val="00CE5CC5"/>
    <w:rsid w:val="00CE639D"/>
    <w:rsid w:val="00CE66E9"/>
    <w:rsid w:val="00CE68E0"/>
    <w:rsid w:val="00CE6A4F"/>
    <w:rsid w:val="00CE6A6D"/>
    <w:rsid w:val="00CE6EC9"/>
    <w:rsid w:val="00CE725E"/>
    <w:rsid w:val="00CE73EE"/>
    <w:rsid w:val="00CE774C"/>
    <w:rsid w:val="00CE7EB7"/>
    <w:rsid w:val="00CF012E"/>
    <w:rsid w:val="00CF04D4"/>
    <w:rsid w:val="00CF0B10"/>
    <w:rsid w:val="00CF0B30"/>
    <w:rsid w:val="00CF0B4C"/>
    <w:rsid w:val="00CF0CCF"/>
    <w:rsid w:val="00CF1151"/>
    <w:rsid w:val="00CF1355"/>
    <w:rsid w:val="00CF15D5"/>
    <w:rsid w:val="00CF1618"/>
    <w:rsid w:val="00CF1680"/>
    <w:rsid w:val="00CF1BD7"/>
    <w:rsid w:val="00CF1FE9"/>
    <w:rsid w:val="00CF21A5"/>
    <w:rsid w:val="00CF24AB"/>
    <w:rsid w:val="00CF24EE"/>
    <w:rsid w:val="00CF2518"/>
    <w:rsid w:val="00CF26CA"/>
    <w:rsid w:val="00CF281D"/>
    <w:rsid w:val="00CF2DDE"/>
    <w:rsid w:val="00CF2E0E"/>
    <w:rsid w:val="00CF303B"/>
    <w:rsid w:val="00CF3149"/>
    <w:rsid w:val="00CF32BF"/>
    <w:rsid w:val="00CF32CF"/>
    <w:rsid w:val="00CF340C"/>
    <w:rsid w:val="00CF344A"/>
    <w:rsid w:val="00CF3469"/>
    <w:rsid w:val="00CF39A0"/>
    <w:rsid w:val="00CF3D1C"/>
    <w:rsid w:val="00CF3DAE"/>
    <w:rsid w:val="00CF41BE"/>
    <w:rsid w:val="00CF4713"/>
    <w:rsid w:val="00CF48BB"/>
    <w:rsid w:val="00CF48D3"/>
    <w:rsid w:val="00CF498B"/>
    <w:rsid w:val="00CF4B12"/>
    <w:rsid w:val="00CF5158"/>
    <w:rsid w:val="00CF5353"/>
    <w:rsid w:val="00CF5681"/>
    <w:rsid w:val="00CF58FE"/>
    <w:rsid w:val="00CF5BEC"/>
    <w:rsid w:val="00CF5EBE"/>
    <w:rsid w:val="00CF5EFC"/>
    <w:rsid w:val="00CF62A5"/>
    <w:rsid w:val="00CF6548"/>
    <w:rsid w:val="00CF6A0B"/>
    <w:rsid w:val="00CF71D8"/>
    <w:rsid w:val="00CF783B"/>
    <w:rsid w:val="00CF787C"/>
    <w:rsid w:val="00CF7A78"/>
    <w:rsid w:val="00CF7D97"/>
    <w:rsid w:val="00CF7EEC"/>
    <w:rsid w:val="00D0005B"/>
    <w:rsid w:val="00D001C2"/>
    <w:rsid w:val="00D0023A"/>
    <w:rsid w:val="00D00779"/>
    <w:rsid w:val="00D0077B"/>
    <w:rsid w:val="00D008C5"/>
    <w:rsid w:val="00D009D8"/>
    <w:rsid w:val="00D00A6D"/>
    <w:rsid w:val="00D00CEF"/>
    <w:rsid w:val="00D0109D"/>
    <w:rsid w:val="00D010FC"/>
    <w:rsid w:val="00D01195"/>
    <w:rsid w:val="00D012E1"/>
    <w:rsid w:val="00D01318"/>
    <w:rsid w:val="00D0148E"/>
    <w:rsid w:val="00D01665"/>
    <w:rsid w:val="00D01C05"/>
    <w:rsid w:val="00D01D1E"/>
    <w:rsid w:val="00D01D24"/>
    <w:rsid w:val="00D01DD6"/>
    <w:rsid w:val="00D020D9"/>
    <w:rsid w:val="00D02580"/>
    <w:rsid w:val="00D026D6"/>
    <w:rsid w:val="00D02730"/>
    <w:rsid w:val="00D02A34"/>
    <w:rsid w:val="00D036D5"/>
    <w:rsid w:val="00D03BF7"/>
    <w:rsid w:val="00D03D2F"/>
    <w:rsid w:val="00D03F1E"/>
    <w:rsid w:val="00D04020"/>
    <w:rsid w:val="00D04028"/>
    <w:rsid w:val="00D0428E"/>
    <w:rsid w:val="00D04426"/>
    <w:rsid w:val="00D04568"/>
    <w:rsid w:val="00D046E6"/>
    <w:rsid w:val="00D0482F"/>
    <w:rsid w:val="00D04A33"/>
    <w:rsid w:val="00D05705"/>
    <w:rsid w:val="00D05892"/>
    <w:rsid w:val="00D059AD"/>
    <w:rsid w:val="00D059FE"/>
    <w:rsid w:val="00D0623E"/>
    <w:rsid w:val="00D06796"/>
    <w:rsid w:val="00D06824"/>
    <w:rsid w:val="00D06ADF"/>
    <w:rsid w:val="00D06C03"/>
    <w:rsid w:val="00D06F5B"/>
    <w:rsid w:val="00D071F8"/>
    <w:rsid w:val="00D07683"/>
    <w:rsid w:val="00D07B9F"/>
    <w:rsid w:val="00D10186"/>
    <w:rsid w:val="00D10258"/>
    <w:rsid w:val="00D1037A"/>
    <w:rsid w:val="00D10D09"/>
    <w:rsid w:val="00D10FE0"/>
    <w:rsid w:val="00D10FFA"/>
    <w:rsid w:val="00D11113"/>
    <w:rsid w:val="00D1163E"/>
    <w:rsid w:val="00D11EAD"/>
    <w:rsid w:val="00D12362"/>
    <w:rsid w:val="00D125EC"/>
    <w:rsid w:val="00D12619"/>
    <w:rsid w:val="00D1265A"/>
    <w:rsid w:val="00D1282F"/>
    <w:rsid w:val="00D12A4F"/>
    <w:rsid w:val="00D12D26"/>
    <w:rsid w:val="00D12FED"/>
    <w:rsid w:val="00D137EC"/>
    <w:rsid w:val="00D138CF"/>
    <w:rsid w:val="00D13F75"/>
    <w:rsid w:val="00D142BE"/>
    <w:rsid w:val="00D14955"/>
    <w:rsid w:val="00D14B61"/>
    <w:rsid w:val="00D14C15"/>
    <w:rsid w:val="00D14C87"/>
    <w:rsid w:val="00D14D0B"/>
    <w:rsid w:val="00D1535D"/>
    <w:rsid w:val="00D1548F"/>
    <w:rsid w:val="00D15759"/>
    <w:rsid w:val="00D15CB3"/>
    <w:rsid w:val="00D15F51"/>
    <w:rsid w:val="00D16237"/>
    <w:rsid w:val="00D1642D"/>
    <w:rsid w:val="00D1649B"/>
    <w:rsid w:val="00D166D5"/>
    <w:rsid w:val="00D1696D"/>
    <w:rsid w:val="00D16A62"/>
    <w:rsid w:val="00D16BE0"/>
    <w:rsid w:val="00D16E17"/>
    <w:rsid w:val="00D16ED5"/>
    <w:rsid w:val="00D174A4"/>
    <w:rsid w:val="00D175D2"/>
    <w:rsid w:val="00D178F8"/>
    <w:rsid w:val="00D17B24"/>
    <w:rsid w:val="00D17E9D"/>
    <w:rsid w:val="00D202B1"/>
    <w:rsid w:val="00D20662"/>
    <w:rsid w:val="00D20D27"/>
    <w:rsid w:val="00D21222"/>
    <w:rsid w:val="00D21291"/>
    <w:rsid w:val="00D21664"/>
    <w:rsid w:val="00D21752"/>
    <w:rsid w:val="00D217C4"/>
    <w:rsid w:val="00D21AEC"/>
    <w:rsid w:val="00D21C8A"/>
    <w:rsid w:val="00D221B8"/>
    <w:rsid w:val="00D226C4"/>
    <w:rsid w:val="00D2297E"/>
    <w:rsid w:val="00D22DA1"/>
    <w:rsid w:val="00D22DE5"/>
    <w:rsid w:val="00D233BD"/>
    <w:rsid w:val="00D233D7"/>
    <w:rsid w:val="00D2353F"/>
    <w:rsid w:val="00D23A52"/>
    <w:rsid w:val="00D23CBB"/>
    <w:rsid w:val="00D23E19"/>
    <w:rsid w:val="00D24638"/>
    <w:rsid w:val="00D249F9"/>
    <w:rsid w:val="00D24D27"/>
    <w:rsid w:val="00D2504D"/>
    <w:rsid w:val="00D2540D"/>
    <w:rsid w:val="00D2552C"/>
    <w:rsid w:val="00D25669"/>
    <w:rsid w:val="00D25806"/>
    <w:rsid w:val="00D25E8D"/>
    <w:rsid w:val="00D25E9D"/>
    <w:rsid w:val="00D25F1C"/>
    <w:rsid w:val="00D26485"/>
    <w:rsid w:val="00D266DD"/>
    <w:rsid w:val="00D26CA9"/>
    <w:rsid w:val="00D26DE6"/>
    <w:rsid w:val="00D26EE7"/>
    <w:rsid w:val="00D272EA"/>
    <w:rsid w:val="00D27536"/>
    <w:rsid w:val="00D27B1E"/>
    <w:rsid w:val="00D27BCD"/>
    <w:rsid w:val="00D27E5A"/>
    <w:rsid w:val="00D30073"/>
    <w:rsid w:val="00D30718"/>
    <w:rsid w:val="00D308C3"/>
    <w:rsid w:val="00D309A4"/>
    <w:rsid w:val="00D31071"/>
    <w:rsid w:val="00D3186B"/>
    <w:rsid w:val="00D318AE"/>
    <w:rsid w:val="00D31C9C"/>
    <w:rsid w:val="00D32207"/>
    <w:rsid w:val="00D322FB"/>
    <w:rsid w:val="00D32475"/>
    <w:rsid w:val="00D32853"/>
    <w:rsid w:val="00D32938"/>
    <w:rsid w:val="00D329B2"/>
    <w:rsid w:val="00D32D1F"/>
    <w:rsid w:val="00D32EF4"/>
    <w:rsid w:val="00D32F90"/>
    <w:rsid w:val="00D3310F"/>
    <w:rsid w:val="00D338E6"/>
    <w:rsid w:val="00D33A46"/>
    <w:rsid w:val="00D33F81"/>
    <w:rsid w:val="00D346B0"/>
    <w:rsid w:val="00D346D2"/>
    <w:rsid w:val="00D34719"/>
    <w:rsid w:val="00D34850"/>
    <w:rsid w:val="00D34852"/>
    <w:rsid w:val="00D35060"/>
    <w:rsid w:val="00D3534A"/>
    <w:rsid w:val="00D3538A"/>
    <w:rsid w:val="00D355B4"/>
    <w:rsid w:val="00D369D4"/>
    <w:rsid w:val="00D36AD7"/>
    <w:rsid w:val="00D36B67"/>
    <w:rsid w:val="00D36F49"/>
    <w:rsid w:val="00D36FCF"/>
    <w:rsid w:val="00D37256"/>
    <w:rsid w:val="00D373E9"/>
    <w:rsid w:val="00D37C61"/>
    <w:rsid w:val="00D40048"/>
    <w:rsid w:val="00D400E1"/>
    <w:rsid w:val="00D402F0"/>
    <w:rsid w:val="00D403FF"/>
    <w:rsid w:val="00D404C4"/>
    <w:rsid w:val="00D4052D"/>
    <w:rsid w:val="00D40567"/>
    <w:rsid w:val="00D40C02"/>
    <w:rsid w:val="00D40CE9"/>
    <w:rsid w:val="00D41156"/>
    <w:rsid w:val="00D417CC"/>
    <w:rsid w:val="00D419F1"/>
    <w:rsid w:val="00D41B94"/>
    <w:rsid w:val="00D42115"/>
    <w:rsid w:val="00D427AA"/>
    <w:rsid w:val="00D42EFD"/>
    <w:rsid w:val="00D430AE"/>
    <w:rsid w:val="00D43867"/>
    <w:rsid w:val="00D43C90"/>
    <w:rsid w:val="00D43D07"/>
    <w:rsid w:val="00D43E2D"/>
    <w:rsid w:val="00D4411A"/>
    <w:rsid w:val="00D44F3D"/>
    <w:rsid w:val="00D457D1"/>
    <w:rsid w:val="00D458AA"/>
    <w:rsid w:val="00D45A72"/>
    <w:rsid w:val="00D45E8D"/>
    <w:rsid w:val="00D46150"/>
    <w:rsid w:val="00D46338"/>
    <w:rsid w:val="00D46530"/>
    <w:rsid w:val="00D46548"/>
    <w:rsid w:val="00D46B96"/>
    <w:rsid w:val="00D46BA2"/>
    <w:rsid w:val="00D4720B"/>
    <w:rsid w:val="00D47234"/>
    <w:rsid w:val="00D47281"/>
    <w:rsid w:val="00D47359"/>
    <w:rsid w:val="00D47581"/>
    <w:rsid w:val="00D47A03"/>
    <w:rsid w:val="00D47E74"/>
    <w:rsid w:val="00D47EC8"/>
    <w:rsid w:val="00D50244"/>
    <w:rsid w:val="00D50295"/>
    <w:rsid w:val="00D5069A"/>
    <w:rsid w:val="00D5083F"/>
    <w:rsid w:val="00D50E43"/>
    <w:rsid w:val="00D50FBD"/>
    <w:rsid w:val="00D51469"/>
    <w:rsid w:val="00D5198A"/>
    <w:rsid w:val="00D51996"/>
    <w:rsid w:val="00D5209B"/>
    <w:rsid w:val="00D525E0"/>
    <w:rsid w:val="00D5284C"/>
    <w:rsid w:val="00D52A38"/>
    <w:rsid w:val="00D52AD8"/>
    <w:rsid w:val="00D52B45"/>
    <w:rsid w:val="00D53073"/>
    <w:rsid w:val="00D530EB"/>
    <w:rsid w:val="00D53170"/>
    <w:rsid w:val="00D532C7"/>
    <w:rsid w:val="00D53393"/>
    <w:rsid w:val="00D535B6"/>
    <w:rsid w:val="00D537CA"/>
    <w:rsid w:val="00D53F2C"/>
    <w:rsid w:val="00D54249"/>
    <w:rsid w:val="00D5458C"/>
    <w:rsid w:val="00D5476C"/>
    <w:rsid w:val="00D54E95"/>
    <w:rsid w:val="00D54FBA"/>
    <w:rsid w:val="00D55057"/>
    <w:rsid w:val="00D55235"/>
    <w:rsid w:val="00D55666"/>
    <w:rsid w:val="00D557BD"/>
    <w:rsid w:val="00D55AB4"/>
    <w:rsid w:val="00D55D78"/>
    <w:rsid w:val="00D560D0"/>
    <w:rsid w:val="00D56171"/>
    <w:rsid w:val="00D56475"/>
    <w:rsid w:val="00D5679F"/>
    <w:rsid w:val="00D56864"/>
    <w:rsid w:val="00D56916"/>
    <w:rsid w:val="00D56ED9"/>
    <w:rsid w:val="00D56F91"/>
    <w:rsid w:val="00D572B2"/>
    <w:rsid w:val="00D57CF0"/>
    <w:rsid w:val="00D57EB5"/>
    <w:rsid w:val="00D57F53"/>
    <w:rsid w:val="00D57FDB"/>
    <w:rsid w:val="00D60405"/>
    <w:rsid w:val="00D60B75"/>
    <w:rsid w:val="00D60BD0"/>
    <w:rsid w:val="00D60CAB"/>
    <w:rsid w:val="00D610FD"/>
    <w:rsid w:val="00D612AF"/>
    <w:rsid w:val="00D61809"/>
    <w:rsid w:val="00D619CF"/>
    <w:rsid w:val="00D619F3"/>
    <w:rsid w:val="00D62A5B"/>
    <w:rsid w:val="00D62B09"/>
    <w:rsid w:val="00D62B43"/>
    <w:rsid w:val="00D62DCF"/>
    <w:rsid w:val="00D62ECD"/>
    <w:rsid w:val="00D63302"/>
    <w:rsid w:val="00D63653"/>
    <w:rsid w:val="00D63748"/>
    <w:rsid w:val="00D638DD"/>
    <w:rsid w:val="00D639F0"/>
    <w:rsid w:val="00D63AA1"/>
    <w:rsid w:val="00D63C1B"/>
    <w:rsid w:val="00D63D76"/>
    <w:rsid w:val="00D63EFC"/>
    <w:rsid w:val="00D64BFF"/>
    <w:rsid w:val="00D64DE1"/>
    <w:rsid w:val="00D64E3F"/>
    <w:rsid w:val="00D64F05"/>
    <w:rsid w:val="00D6522E"/>
    <w:rsid w:val="00D653D0"/>
    <w:rsid w:val="00D65733"/>
    <w:rsid w:val="00D65915"/>
    <w:rsid w:val="00D65942"/>
    <w:rsid w:val="00D65D40"/>
    <w:rsid w:val="00D660B1"/>
    <w:rsid w:val="00D6673B"/>
    <w:rsid w:val="00D6692A"/>
    <w:rsid w:val="00D66C74"/>
    <w:rsid w:val="00D66D63"/>
    <w:rsid w:val="00D66E55"/>
    <w:rsid w:val="00D67394"/>
    <w:rsid w:val="00D674E9"/>
    <w:rsid w:val="00D675BD"/>
    <w:rsid w:val="00D6799A"/>
    <w:rsid w:val="00D67ADD"/>
    <w:rsid w:val="00D67B30"/>
    <w:rsid w:val="00D7009C"/>
    <w:rsid w:val="00D70666"/>
    <w:rsid w:val="00D70B15"/>
    <w:rsid w:val="00D70F17"/>
    <w:rsid w:val="00D712D5"/>
    <w:rsid w:val="00D712DA"/>
    <w:rsid w:val="00D719A4"/>
    <w:rsid w:val="00D719EF"/>
    <w:rsid w:val="00D720DC"/>
    <w:rsid w:val="00D72327"/>
    <w:rsid w:val="00D727E0"/>
    <w:rsid w:val="00D72B87"/>
    <w:rsid w:val="00D72C72"/>
    <w:rsid w:val="00D72C80"/>
    <w:rsid w:val="00D73312"/>
    <w:rsid w:val="00D74160"/>
    <w:rsid w:val="00D74225"/>
    <w:rsid w:val="00D742E6"/>
    <w:rsid w:val="00D7467C"/>
    <w:rsid w:val="00D7517B"/>
    <w:rsid w:val="00D75826"/>
    <w:rsid w:val="00D75D22"/>
    <w:rsid w:val="00D75DA5"/>
    <w:rsid w:val="00D75E8D"/>
    <w:rsid w:val="00D75FA1"/>
    <w:rsid w:val="00D7650A"/>
    <w:rsid w:val="00D76597"/>
    <w:rsid w:val="00D767F4"/>
    <w:rsid w:val="00D76C58"/>
    <w:rsid w:val="00D76CF2"/>
    <w:rsid w:val="00D76E7C"/>
    <w:rsid w:val="00D7715B"/>
    <w:rsid w:val="00D778E7"/>
    <w:rsid w:val="00D77974"/>
    <w:rsid w:val="00D80140"/>
    <w:rsid w:val="00D8020A"/>
    <w:rsid w:val="00D80775"/>
    <w:rsid w:val="00D80B40"/>
    <w:rsid w:val="00D8116F"/>
    <w:rsid w:val="00D81177"/>
    <w:rsid w:val="00D812AD"/>
    <w:rsid w:val="00D8155B"/>
    <w:rsid w:val="00D8162E"/>
    <w:rsid w:val="00D816D5"/>
    <w:rsid w:val="00D81E79"/>
    <w:rsid w:val="00D81FEA"/>
    <w:rsid w:val="00D825A5"/>
    <w:rsid w:val="00D825B7"/>
    <w:rsid w:val="00D8290E"/>
    <w:rsid w:val="00D82AD1"/>
    <w:rsid w:val="00D82D0C"/>
    <w:rsid w:val="00D82E6E"/>
    <w:rsid w:val="00D82EDF"/>
    <w:rsid w:val="00D83040"/>
    <w:rsid w:val="00D83072"/>
    <w:rsid w:val="00D8323B"/>
    <w:rsid w:val="00D83489"/>
    <w:rsid w:val="00D838F4"/>
    <w:rsid w:val="00D83C78"/>
    <w:rsid w:val="00D83D13"/>
    <w:rsid w:val="00D841AC"/>
    <w:rsid w:val="00D8437F"/>
    <w:rsid w:val="00D8451C"/>
    <w:rsid w:val="00D848F2"/>
    <w:rsid w:val="00D849C6"/>
    <w:rsid w:val="00D85816"/>
    <w:rsid w:val="00D8589D"/>
    <w:rsid w:val="00D85A06"/>
    <w:rsid w:val="00D85A81"/>
    <w:rsid w:val="00D85A83"/>
    <w:rsid w:val="00D85FF3"/>
    <w:rsid w:val="00D86427"/>
    <w:rsid w:val="00D86466"/>
    <w:rsid w:val="00D86922"/>
    <w:rsid w:val="00D86997"/>
    <w:rsid w:val="00D86AD6"/>
    <w:rsid w:val="00D86CC5"/>
    <w:rsid w:val="00D86D64"/>
    <w:rsid w:val="00D870E8"/>
    <w:rsid w:val="00D87423"/>
    <w:rsid w:val="00D87452"/>
    <w:rsid w:val="00D87485"/>
    <w:rsid w:val="00D8758C"/>
    <w:rsid w:val="00D879C3"/>
    <w:rsid w:val="00D9040B"/>
    <w:rsid w:val="00D907CB"/>
    <w:rsid w:val="00D90F53"/>
    <w:rsid w:val="00D913BA"/>
    <w:rsid w:val="00D9182E"/>
    <w:rsid w:val="00D91AF4"/>
    <w:rsid w:val="00D91BF2"/>
    <w:rsid w:val="00D91FC3"/>
    <w:rsid w:val="00D9220D"/>
    <w:rsid w:val="00D92279"/>
    <w:rsid w:val="00D922BF"/>
    <w:rsid w:val="00D92477"/>
    <w:rsid w:val="00D925DC"/>
    <w:rsid w:val="00D927AC"/>
    <w:rsid w:val="00D92866"/>
    <w:rsid w:val="00D928B4"/>
    <w:rsid w:val="00D92928"/>
    <w:rsid w:val="00D92F20"/>
    <w:rsid w:val="00D93146"/>
    <w:rsid w:val="00D93322"/>
    <w:rsid w:val="00D9378D"/>
    <w:rsid w:val="00D93862"/>
    <w:rsid w:val="00D93C1C"/>
    <w:rsid w:val="00D93F91"/>
    <w:rsid w:val="00D94026"/>
    <w:rsid w:val="00D94120"/>
    <w:rsid w:val="00D9456E"/>
    <w:rsid w:val="00D94F53"/>
    <w:rsid w:val="00D951DD"/>
    <w:rsid w:val="00D952ED"/>
    <w:rsid w:val="00D952F9"/>
    <w:rsid w:val="00D957E5"/>
    <w:rsid w:val="00D957FA"/>
    <w:rsid w:val="00D9595B"/>
    <w:rsid w:val="00D9664C"/>
    <w:rsid w:val="00D97404"/>
    <w:rsid w:val="00D975A3"/>
    <w:rsid w:val="00D979D0"/>
    <w:rsid w:val="00D97A8A"/>
    <w:rsid w:val="00D97B01"/>
    <w:rsid w:val="00D97D13"/>
    <w:rsid w:val="00D97FBD"/>
    <w:rsid w:val="00DA027E"/>
    <w:rsid w:val="00DA0307"/>
    <w:rsid w:val="00DA08CA"/>
    <w:rsid w:val="00DA0ED5"/>
    <w:rsid w:val="00DA0F37"/>
    <w:rsid w:val="00DA0FA6"/>
    <w:rsid w:val="00DA101A"/>
    <w:rsid w:val="00DA122C"/>
    <w:rsid w:val="00DA14B2"/>
    <w:rsid w:val="00DA189F"/>
    <w:rsid w:val="00DA19D6"/>
    <w:rsid w:val="00DA1A06"/>
    <w:rsid w:val="00DA1D24"/>
    <w:rsid w:val="00DA2009"/>
    <w:rsid w:val="00DA20AB"/>
    <w:rsid w:val="00DA235A"/>
    <w:rsid w:val="00DA2A5C"/>
    <w:rsid w:val="00DA2C6A"/>
    <w:rsid w:val="00DA2FD5"/>
    <w:rsid w:val="00DA3BF8"/>
    <w:rsid w:val="00DA3D7C"/>
    <w:rsid w:val="00DA3EC2"/>
    <w:rsid w:val="00DA4838"/>
    <w:rsid w:val="00DA4989"/>
    <w:rsid w:val="00DA49D6"/>
    <w:rsid w:val="00DA4A01"/>
    <w:rsid w:val="00DA4AEF"/>
    <w:rsid w:val="00DA4C0F"/>
    <w:rsid w:val="00DA4ED9"/>
    <w:rsid w:val="00DA5721"/>
    <w:rsid w:val="00DA5BEA"/>
    <w:rsid w:val="00DA6173"/>
    <w:rsid w:val="00DA6607"/>
    <w:rsid w:val="00DA6816"/>
    <w:rsid w:val="00DA6C67"/>
    <w:rsid w:val="00DA6F9B"/>
    <w:rsid w:val="00DA73DE"/>
    <w:rsid w:val="00DA7477"/>
    <w:rsid w:val="00DA7555"/>
    <w:rsid w:val="00DA7573"/>
    <w:rsid w:val="00DA7AE0"/>
    <w:rsid w:val="00DA7BD4"/>
    <w:rsid w:val="00DA7F97"/>
    <w:rsid w:val="00DA7FD3"/>
    <w:rsid w:val="00DB0191"/>
    <w:rsid w:val="00DB0359"/>
    <w:rsid w:val="00DB037D"/>
    <w:rsid w:val="00DB06AA"/>
    <w:rsid w:val="00DB06BD"/>
    <w:rsid w:val="00DB0EF6"/>
    <w:rsid w:val="00DB0F8A"/>
    <w:rsid w:val="00DB16ED"/>
    <w:rsid w:val="00DB1C47"/>
    <w:rsid w:val="00DB20FC"/>
    <w:rsid w:val="00DB26A8"/>
    <w:rsid w:val="00DB27CF"/>
    <w:rsid w:val="00DB2BA0"/>
    <w:rsid w:val="00DB2E34"/>
    <w:rsid w:val="00DB323C"/>
    <w:rsid w:val="00DB324C"/>
    <w:rsid w:val="00DB366D"/>
    <w:rsid w:val="00DB38F6"/>
    <w:rsid w:val="00DB393C"/>
    <w:rsid w:val="00DB3ABF"/>
    <w:rsid w:val="00DB3D1C"/>
    <w:rsid w:val="00DB3FD3"/>
    <w:rsid w:val="00DB4231"/>
    <w:rsid w:val="00DB56B4"/>
    <w:rsid w:val="00DB599F"/>
    <w:rsid w:val="00DB5B7B"/>
    <w:rsid w:val="00DB5F2A"/>
    <w:rsid w:val="00DB6085"/>
    <w:rsid w:val="00DB625A"/>
    <w:rsid w:val="00DB63CA"/>
    <w:rsid w:val="00DB6559"/>
    <w:rsid w:val="00DB6A2B"/>
    <w:rsid w:val="00DB6B5E"/>
    <w:rsid w:val="00DB6F45"/>
    <w:rsid w:val="00DB71FD"/>
    <w:rsid w:val="00DB72B7"/>
    <w:rsid w:val="00DB7546"/>
    <w:rsid w:val="00DB782D"/>
    <w:rsid w:val="00DC00F4"/>
    <w:rsid w:val="00DC0232"/>
    <w:rsid w:val="00DC056A"/>
    <w:rsid w:val="00DC0624"/>
    <w:rsid w:val="00DC06CF"/>
    <w:rsid w:val="00DC0FC3"/>
    <w:rsid w:val="00DC1024"/>
    <w:rsid w:val="00DC1583"/>
    <w:rsid w:val="00DC194D"/>
    <w:rsid w:val="00DC19E8"/>
    <w:rsid w:val="00DC1A58"/>
    <w:rsid w:val="00DC1A7E"/>
    <w:rsid w:val="00DC1AC0"/>
    <w:rsid w:val="00DC1CDD"/>
    <w:rsid w:val="00DC1D8E"/>
    <w:rsid w:val="00DC1F0C"/>
    <w:rsid w:val="00DC2018"/>
    <w:rsid w:val="00DC20C3"/>
    <w:rsid w:val="00DC227A"/>
    <w:rsid w:val="00DC2360"/>
    <w:rsid w:val="00DC23DD"/>
    <w:rsid w:val="00DC2437"/>
    <w:rsid w:val="00DC26E4"/>
    <w:rsid w:val="00DC28A6"/>
    <w:rsid w:val="00DC29BA"/>
    <w:rsid w:val="00DC2BAE"/>
    <w:rsid w:val="00DC2CEE"/>
    <w:rsid w:val="00DC3138"/>
    <w:rsid w:val="00DC3257"/>
    <w:rsid w:val="00DC3279"/>
    <w:rsid w:val="00DC34B7"/>
    <w:rsid w:val="00DC35A0"/>
    <w:rsid w:val="00DC366D"/>
    <w:rsid w:val="00DC38D2"/>
    <w:rsid w:val="00DC3BF1"/>
    <w:rsid w:val="00DC3CFC"/>
    <w:rsid w:val="00DC43C9"/>
    <w:rsid w:val="00DC4484"/>
    <w:rsid w:val="00DC4D1D"/>
    <w:rsid w:val="00DC4D87"/>
    <w:rsid w:val="00DC54EB"/>
    <w:rsid w:val="00DC56F2"/>
    <w:rsid w:val="00DC580A"/>
    <w:rsid w:val="00DC5B50"/>
    <w:rsid w:val="00DC5D6E"/>
    <w:rsid w:val="00DC66BC"/>
    <w:rsid w:val="00DC6727"/>
    <w:rsid w:val="00DC694C"/>
    <w:rsid w:val="00DC69B7"/>
    <w:rsid w:val="00DC6FDE"/>
    <w:rsid w:val="00DC70A1"/>
    <w:rsid w:val="00DC71BF"/>
    <w:rsid w:val="00DC727F"/>
    <w:rsid w:val="00DC773E"/>
    <w:rsid w:val="00DC7922"/>
    <w:rsid w:val="00DC7E78"/>
    <w:rsid w:val="00DD0493"/>
    <w:rsid w:val="00DD0812"/>
    <w:rsid w:val="00DD086F"/>
    <w:rsid w:val="00DD0924"/>
    <w:rsid w:val="00DD0959"/>
    <w:rsid w:val="00DD0CBF"/>
    <w:rsid w:val="00DD1033"/>
    <w:rsid w:val="00DD1071"/>
    <w:rsid w:val="00DD12FD"/>
    <w:rsid w:val="00DD1576"/>
    <w:rsid w:val="00DD1852"/>
    <w:rsid w:val="00DD1D31"/>
    <w:rsid w:val="00DD1D3A"/>
    <w:rsid w:val="00DD1DF3"/>
    <w:rsid w:val="00DD208B"/>
    <w:rsid w:val="00DD2106"/>
    <w:rsid w:val="00DD24E7"/>
    <w:rsid w:val="00DD2893"/>
    <w:rsid w:val="00DD3322"/>
    <w:rsid w:val="00DD382C"/>
    <w:rsid w:val="00DD38B1"/>
    <w:rsid w:val="00DD4717"/>
    <w:rsid w:val="00DD4F74"/>
    <w:rsid w:val="00DD52E5"/>
    <w:rsid w:val="00DD531F"/>
    <w:rsid w:val="00DD556C"/>
    <w:rsid w:val="00DD5737"/>
    <w:rsid w:val="00DD5A1E"/>
    <w:rsid w:val="00DD5DB5"/>
    <w:rsid w:val="00DD5E55"/>
    <w:rsid w:val="00DD5E81"/>
    <w:rsid w:val="00DD6474"/>
    <w:rsid w:val="00DD691C"/>
    <w:rsid w:val="00DD6C46"/>
    <w:rsid w:val="00DD6C7A"/>
    <w:rsid w:val="00DD6F44"/>
    <w:rsid w:val="00DD7049"/>
    <w:rsid w:val="00DD70AB"/>
    <w:rsid w:val="00DD7134"/>
    <w:rsid w:val="00DD714D"/>
    <w:rsid w:val="00DD77FD"/>
    <w:rsid w:val="00DD78A5"/>
    <w:rsid w:val="00DD7CCA"/>
    <w:rsid w:val="00DD7DFD"/>
    <w:rsid w:val="00DE0327"/>
    <w:rsid w:val="00DE03A9"/>
    <w:rsid w:val="00DE04B6"/>
    <w:rsid w:val="00DE05FF"/>
    <w:rsid w:val="00DE0669"/>
    <w:rsid w:val="00DE06DD"/>
    <w:rsid w:val="00DE0741"/>
    <w:rsid w:val="00DE0BDE"/>
    <w:rsid w:val="00DE0C12"/>
    <w:rsid w:val="00DE10CF"/>
    <w:rsid w:val="00DE1270"/>
    <w:rsid w:val="00DE1720"/>
    <w:rsid w:val="00DE19C2"/>
    <w:rsid w:val="00DE1E1E"/>
    <w:rsid w:val="00DE223E"/>
    <w:rsid w:val="00DE232D"/>
    <w:rsid w:val="00DE25C3"/>
    <w:rsid w:val="00DE2D33"/>
    <w:rsid w:val="00DE2E4D"/>
    <w:rsid w:val="00DE34EB"/>
    <w:rsid w:val="00DE3592"/>
    <w:rsid w:val="00DE364B"/>
    <w:rsid w:val="00DE3791"/>
    <w:rsid w:val="00DE3813"/>
    <w:rsid w:val="00DE39F4"/>
    <w:rsid w:val="00DE3AE2"/>
    <w:rsid w:val="00DE3C06"/>
    <w:rsid w:val="00DE3E78"/>
    <w:rsid w:val="00DE41F8"/>
    <w:rsid w:val="00DE4235"/>
    <w:rsid w:val="00DE49E6"/>
    <w:rsid w:val="00DE4B9D"/>
    <w:rsid w:val="00DE50EA"/>
    <w:rsid w:val="00DE5267"/>
    <w:rsid w:val="00DE5399"/>
    <w:rsid w:val="00DE545C"/>
    <w:rsid w:val="00DE591E"/>
    <w:rsid w:val="00DE5936"/>
    <w:rsid w:val="00DE5C9F"/>
    <w:rsid w:val="00DE5FBD"/>
    <w:rsid w:val="00DE613B"/>
    <w:rsid w:val="00DE6145"/>
    <w:rsid w:val="00DE61F5"/>
    <w:rsid w:val="00DE6274"/>
    <w:rsid w:val="00DE6BBE"/>
    <w:rsid w:val="00DE6E15"/>
    <w:rsid w:val="00DE734E"/>
    <w:rsid w:val="00DE7887"/>
    <w:rsid w:val="00DE7BE5"/>
    <w:rsid w:val="00DE7BF8"/>
    <w:rsid w:val="00DE7C9B"/>
    <w:rsid w:val="00DE7DAD"/>
    <w:rsid w:val="00DE7F25"/>
    <w:rsid w:val="00DF003F"/>
    <w:rsid w:val="00DF04BF"/>
    <w:rsid w:val="00DF09A0"/>
    <w:rsid w:val="00DF0C1F"/>
    <w:rsid w:val="00DF0DC3"/>
    <w:rsid w:val="00DF14F9"/>
    <w:rsid w:val="00DF1B4F"/>
    <w:rsid w:val="00DF1C2D"/>
    <w:rsid w:val="00DF1FAE"/>
    <w:rsid w:val="00DF2600"/>
    <w:rsid w:val="00DF298D"/>
    <w:rsid w:val="00DF2AD9"/>
    <w:rsid w:val="00DF2C54"/>
    <w:rsid w:val="00DF2D47"/>
    <w:rsid w:val="00DF3033"/>
    <w:rsid w:val="00DF3772"/>
    <w:rsid w:val="00DF37FD"/>
    <w:rsid w:val="00DF3B9F"/>
    <w:rsid w:val="00DF3BE5"/>
    <w:rsid w:val="00DF4380"/>
    <w:rsid w:val="00DF46AC"/>
    <w:rsid w:val="00DF4736"/>
    <w:rsid w:val="00DF4B0C"/>
    <w:rsid w:val="00DF5265"/>
    <w:rsid w:val="00DF540D"/>
    <w:rsid w:val="00DF54D0"/>
    <w:rsid w:val="00DF5590"/>
    <w:rsid w:val="00DF580C"/>
    <w:rsid w:val="00DF5C1A"/>
    <w:rsid w:val="00DF5CC3"/>
    <w:rsid w:val="00DF5DAD"/>
    <w:rsid w:val="00DF6BCB"/>
    <w:rsid w:val="00DF6D45"/>
    <w:rsid w:val="00DF7042"/>
    <w:rsid w:val="00DF759B"/>
    <w:rsid w:val="00DF78BB"/>
    <w:rsid w:val="00DF78FD"/>
    <w:rsid w:val="00DF7D04"/>
    <w:rsid w:val="00DF7EFE"/>
    <w:rsid w:val="00E00034"/>
    <w:rsid w:val="00E0066F"/>
    <w:rsid w:val="00E00E15"/>
    <w:rsid w:val="00E00F3C"/>
    <w:rsid w:val="00E00F63"/>
    <w:rsid w:val="00E00FE7"/>
    <w:rsid w:val="00E0100A"/>
    <w:rsid w:val="00E0110F"/>
    <w:rsid w:val="00E01210"/>
    <w:rsid w:val="00E0121E"/>
    <w:rsid w:val="00E0171C"/>
    <w:rsid w:val="00E01D50"/>
    <w:rsid w:val="00E02275"/>
    <w:rsid w:val="00E02664"/>
    <w:rsid w:val="00E02734"/>
    <w:rsid w:val="00E02C4D"/>
    <w:rsid w:val="00E02ECF"/>
    <w:rsid w:val="00E031A5"/>
    <w:rsid w:val="00E032C1"/>
    <w:rsid w:val="00E0341B"/>
    <w:rsid w:val="00E0348F"/>
    <w:rsid w:val="00E035A6"/>
    <w:rsid w:val="00E035C6"/>
    <w:rsid w:val="00E03815"/>
    <w:rsid w:val="00E038F5"/>
    <w:rsid w:val="00E03A4A"/>
    <w:rsid w:val="00E03D67"/>
    <w:rsid w:val="00E03EC9"/>
    <w:rsid w:val="00E0441C"/>
    <w:rsid w:val="00E04510"/>
    <w:rsid w:val="00E04784"/>
    <w:rsid w:val="00E04FD9"/>
    <w:rsid w:val="00E05569"/>
    <w:rsid w:val="00E05602"/>
    <w:rsid w:val="00E05717"/>
    <w:rsid w:val="00E05A6C"/>
    <w:rsid w:val="00E05F59"/>
    <w:rsid w:val="00E0655D"/>
    <w:rsid w:val="00E06611"/>
    <w:rsid w:val="00E06AAA"/>
    <w:rsid w:val="00E06AD6"/>
    <w:rsid w:val="00E1024A"/>
    <w:rsid w:val="00E10766"/>
    <w:rsid w:val="00E10B17"/>
    <w:rsid w:val="00E10B67"/>
    <w:rsid w:val="00E110C1"/>
    <w:rsid w:val="00E11B20"/>
    <w:rsid w:val="00E12742"/>
    <w:rsid w:val="00E12AB9"/>
    <w:rsid w:val="00E12B67"/>
    <w:rsid w:val="00E12B75"/>
    <w:rsid w:val="00E13537"/>
    <w:rsid w:val="00E141D3"/>
    <w:rsid w:val="00E14941"/>
    <w:rsid w:val="00E14E72"/>
    <w:rsid w:val="00E14F31"/>
    <w:rsid w:val="00E15001"/>
    <w:rsid w:val="00E1526B"/>
    <w:rsid w:val="00E15275"/>
    <w:rsid w:val="00E1534B"/>
    <w:rsid w:val="00E15408"/>
    <w:rsid w:val="00E15743"/>
    <w:rsid w:val="00E15923"/>
    <w:rsid w:val="00E15C0A"/>
    <w:rsid w:val="00E15C52"/>
    <w:rsid w:val="00E15ECA"/>
    <w:rsid w:val="00E15EDA"/>
    <w:rsid w:val="00E15F0B"/>
    <w:rsid w:val="00E160E8"/>
    <w:rsid w:val="00E16199"/>
    <w:rsid w:val="00E16311"/>
    <w:rsid w:val="00E1688F"/>
    <w:rsid w:val="00E16E93"/>
    <w:rsid w:val="00E1702C"/>
    <w:rsid w:val="00E178AF"/>
    <w:rsid w:val="00E17908"/>
    <w:rsid w:val="00E17D79"/>
    <w:rsid w:val="00E20380"/>
    <w:rsid w:val="00E20CC5"/>
    <w:rsid w:val="00E20ECC"/>
    <w:rsid w:val="00E21201"/>
    <w:rsid w:val="00E214CC"/>
    <w:rsid w:val="00E216F7"/>
    <w:rsid w:val="00E21ACA"/>
    <w:rsid w:val="00E21DC4"/>
    <w:rsid w:val="00E21F95"/>
    <w:rsid w:val="00E22009"/>
    <w:rsid w:val="00E227BE"/>
    <w:rsid w:val="00E22874"/>
    <w:rsid w:val="00E22A07"/>
    <w:rsid w:val="00E22B80"/>
    <w:rsid w:val="00E22C0E"/>
    <w:rsid w:val="00E22CFF"/>
    <w:rsid w:val="00E230E1"/>
    <w:rsid w:val="00E23172"/>
    <w:rsid w:val="00E231CD"/>
    <w:rsid w:val="00E231E1"/>
    <w:rsid w:val="00E2365D"/>
    <w:rsid w:val="00E23888"/>
    <w:rsid w:val="00E23A7F"/>
    <w:rsid w:val="00E23B9C"/>
    <w:rsid w:val="00E23CE3"/>
    <w:rsid w:val="00E23CF7"/>
    <w:rsid w:val="00E23E76"/>
    <w:rsid w:val="00E24095"/>
    <w:rsid w:val="00E249DB"/>
    <w:rsid w:val="00E24AE6"/>
    <w:rsid w:val="00E24D78"/>
    <w:rsid w:val="00E24F89"/>
    <w:rsid w:val="00E2535A"/>
    <w:rsid w:val="00E253A3"/>
    <w:rsid w:val="00E25402"/>
    <w:rsid w:val="00E259B0"/>
    <w:rsid w:val="00E25AF8"/>
    <w:rsid w:val="00E25F77"/>
    <w:rsid w:val="00E26AEC"/>
    <w:rsid w:val="00E26CEC"/>
    <w:rsid w:val="00E27004"/>
    <w:rsid w:val="00E2757B"/>
    <w:rsid w:val="00E276EE"/>
    <w:rsid w:val="00E2780B"/>
    <w:rsid w:val="00E2792D"/>
    <w:rsid w:val="00E300F5"/>
    <w:rsid w:val="00E301A3"/>
    <w:rsid w:val="00E301C8"/>
    <w:rsid w:val="00E30248"/>
    <w:rsid w:val="00E30828"/>
    <w:rsid w:val="00E30B1D"/>
    <w:rsid w:val="00E30B37"/>
    <w:rsid w:val="00E30F54"/>
    <w:rsid w:val="00E3109C"/>
    <w:rsid w:val="00E311D1"/>
    <w:rsid w:val="00E31C2D"/>
    <w:rsid w:val="00E31E65"/>
    <w:rsid w:val="00E31FAC"/>
    <w:rsid w:val="00E32432"/>
    <w:rsid w:val="00E329B5"/>
    <w:rsid w:val="00E32B06"/>
    <w:rsid w:val="00E331A2"/>
    <w:rsid w:val="00E337E8"/>
    <w:rsid w:val="00E33848"/>
    <w:rsid w:val="00E33B1E"/>
    <w:rsid w:val="00E34277"/>
    <w:rsid w:val="00E343A7"/>
    <w:rsid w:val="00E344EB"/>
    <w:rsid w:val="00E34AB2"/>
    <w:rsid w:val="00E3537A"/>
    <w:rsid w:val="00E3621B"/>
    <w:rsid w:val="00E36240"/>
    <w:rsid w:val="00E366BC"/>
    <w:rsid w:val="00E36F43"/>
    <w:rsid w:val="00E370DC"/>
    <w:rsid w:val="00E37433"/>
    <w:rsid w:val="00E376FC"/>
    <w:rsid w:val="00E37D26"/>
    <w:rsid w:val="00E37E27"/>
    <w:rsid w:val="00E37F0C"/>
    <w:rsid w:val="00E40ADF"/>
    <w:rsid w:val="00E40B8A"/>
    <w:rsid w:val="00E40D0B"/>
    <w:rsid w:val="00E40EBB"/>
    <w:rsid w:val="00E40FCB"/>
    <w:rsid w:val="00E41197"/>
    <w:rsid w:val="00E4161C"/>
    <w:rsid w:val="00E418E3"/>
    <w:rsid w:val="00E41970"/>
    <w:rsid w:val="00E41C77"/>
    <w:rsid w:val="00E41F1E"/>
    <w:rsid w:val="00E4210D"/>
    <w:rsid w:val="00E423DE"/>
    <w:rsid w:val="00E424B9"/>
    <w:rsid w:val="00E42616"/>
    <w:rsid w:val="00E42C62"/>
    <w:rsid w:val="00E42F07"/>
    <w:rsid w:val="00E4320A"/>
    <w:rsid w:val="00E4370F"/>
    <w:rsid w:val="00E43B05"/>
    <w:rsid w:val="00E4441D"/>
    <w:rsid w:val="00E44CEE"/>
    <w:rsid w:val="00E44F58"/>
    <w:rsid w:val="00E453AB"/>
    <w:rsid w:val="00E456D5"/>
    <w:rsid w:val="00E45DBB"/>
    <w:rsid w:val="00E45F8C"/>
    <w:rsid w:val="00E462E6"/>
    <w:rsid w:val="00E463A0"/>
    <w:rsid w:val="00E46AE9"/>
    <w:rsid w:val="00E46E24"/>
    <w:rsid w:val="00E4707B"/>
    <w:rsid w:val="00E47839"/>
    <w:rsid w:val="00E478A7"/>
    <w:rsid w:val="00E478C2"/>
    <w:rsid w:val="00E47F05"/>
    <w:rsid w:val="00E50655"/>
    <w:rsid w:val="00E50730"/>
    <w:rsid w:val="00E50BBE"/>
    <w:rsid w:val="00E51527"/>
    <w:rsid w:val="00E51842"/>
    <w:rsid w:val="00E519AD"/>
    <w:rsid w:val="00E51CDE"/>
    <w:rsid w:val="00E5210B"/>
    <w:rsid w:val="00E521C0"/>
    <w:rsid w:val="00E52A2D"/>
    <w:rsid w:val="00E52A48"/>
    <w:rsid w:val="00E52FC7"/>
    <w:rsid w:val="00E530A8"/>
    <w:rsid w:val="00E53631"/>
    <w:rsid w:val="00E5388F"/>
    <w:rsid w:val="00E5389A"/>
    <w:rsid w:val="00E53D8A"/>
    <w:rsid w:val="00E54239"/>
    <w:rsid w:val="00E54272"/>
    <w:rsid w:val="00E54274"/>
    <w:rsid w:val="00E542BC"/>
    <w:rsid w:val="00E544E6"/>
    <w:rsid w:val="00E54521"/>
    <w:rsid w:val="00E54617"/>
    <w:rsid w:val="00E54663"/>
    <w:rsid w:val="00E546E4"/>
    <w:rsid w:val="00E5484B"/>
    <w:rsid w:val="00E54B8B"/>
    <w:rsid w:val="00E54C6A"/>
    <w:rsid w:val="00E55485"/>
    <w:rsid w:val="00E558DD"/>
    <w:rsid w:val="00E55BAD"/>
    <w:rsid w:val="00E55FC8"/>
    <w:rsid w:val="00E56023"/>
    <w:rsid w:val="00E56657"/>
    <w:rsid w:val="00E567A2"/>
    <w:rsid w:val="00E56A32"/>
    <w:rsid w:val="00E56D6E"/>
    <w:rsid w:val="00E56EE2"/>
    <w:rsid w:val="00E56FEF"/>
    <w:rsid w:val="00E57334"/>
    <w:rsid w:val="00E57478"/>
    <w:rsid w:val="00E574C8"/>
    <w:rsid w:val="00E577F9"/>
    <w:rsid w:val="00E57D9B"/>
    <w:rsid w:val="00E57F84"/>
    <w:rsid w:val="00E57FB5"/>
    <w:rsid w:val="00E6003D"/>
    <w:rsid w:val="00E6022A"/>
    <w:rsid w:val="00E6049E"/>
    <w:rsid w:val="00E609FD"/>
    <w:rsid w:val="00E60E46"/>
    <w:rsid w:val="00E60F14"/>
    <w:rsid w:val="00E614B4"/>
    <w:rsid w:val="00E6189A"/>
    <w:rsid w:val="00E61B01"/>
    <w:rsid w:val="00E61B23"/>
    <w:rsid w:val="00E61D9A"/>
    <w:rsid w:val="00E61F53"/>
    <w:rsid w:val="00E625BE"/>
    <w:rsid w:val="00E62831"/>
    <w:rsid w:val="00E6284B"/>
    <w:rsid w:val="00E628C6"/>
    <w:rsid w:val="00E62917"/>
    <w:rsid w:val="00E62C3F"/>
    <w:rsid w:val="00E62CC7"/>
    <w:rsid w:val="00E62D07"/>
    <w:rsid w:val="00E62DF6"/>
    <w:rsid w:val="00E630BA"/>
    <w:rsid w:val="00E634BB"/>
    <w:rsid w:val="00E6394E"/>
    <w:rsid w:val="00E639B2"/>
    <w:rsid w:val="00E63A22"/>
    <w:rsid w:val="00E63B8F"/>
    <w:rsid w:val="00E64374"/>
    <w:rsid w:val="00E643D7"/>
    <w:rsid w:val="00E646A9"/>
    <w:rsid w:val="00E646B5"/>
    <w:rsid w:val="00E646EC"/>
    <w:rsid w:val="00E647D4"/>
    <w:rsid w:val="00E649AD"/>
    <w:rsid w:val="00E64C2E"/>
    <w:rsid w:val="00E65427"/>
    <w:rsid w:val="00E6543F"/>
    <w:rsid w:val="00E658BB"/>
    <w:rsid w:val="00E65D23"/>
    <w:rsid w:val="00E65E6E"/>
    <w:rsid w:val="00E65F12"/>
    <w:rsid w:val="00E661C0"/>
    <w:rsid w:val="00E663F5"/>
    <w:rsid w:val="00E6666F"/>
    <w:rsid w:val="00E66E11"/>
    <w:rsid w:val="00E66E97"/>
    <w:rsid w:val="00E67152"/>
    <w:rsid w:val="00E67423"/>
    <w:rsid w:val="00E67682"/>
    <w:rsid w:val="00E677FB"/>
    <w:rsid w:val="00E67BE6"/>
    <w:rsid w:val="00E693A8"/>
    <w:rsid w:val="00E700A8"/>
    <w:rsid w:val="00E70BD6"/>
    <w:rsid w:val="00E70C13"/>
    <w:rsid w:val="00E70F5A"/>
    <w:rsid w:val="00E7110B"/>
    <w:rsid w:val="00E71305"/>
    <w:rsid w:val="00E71350"/>
    <w:rsid w:val="00E71FAE"/>
    <w:rsid w:val="00E72179"/>
    <w:rsid w:val="00E721CB"/>
    <w:rsid w:val="00E721D8"/>
    <w:rsid w:val="00E721FA"/>
    <w:rsid w:val="00E72383"/>
    <w:rsid w:val="00E724D2"/>
    <w:rsid w:val="00E725FD"/>
    <w:rsid w:val="00E72D9F"/>
    <w:rsid w:val="00E72E39"/>
    <w:rsid w:val="00E73959"/>
    <w:rsid w:val="00E739B3"/>
    <w:rsid w:val="00E73B0B"/>
    <w:rsid w:val="00E73C41"/>
    <w:rsid w:val="00E73E19"/>
    <w:rsid w:val="00E73EB4"/>
    <w:rsid w:val="00E7416F"/>
    <w:rsid w:val="00E744A6"/>
    <w:rsid w:val="00E747C5"/>
    <w:rsid w:val="00E74933"/>
    <w:rsid w:val="00E74EDC"/>
    <w:rsid w:val="00E751AF"/>
    <w:rsid w:val="00E753AB"/>
    <w:rsid w:val="00E75651"/>
    <w:rsid w:val="00E75737"/>
    <w:rsid w:val="00E75851"/>
    <w:rsid w:val="00E75875"/>
    <w:rsid w:val="00E75886"/>
    <w:rsid w:val="00E75BB5"/>
    <w:rsid w:val="00E75D6E"/>
    <w:rsid w:val="00E75EF3"/>
    <w:rsid w:val="00E76007"/>
    <w:rsid w:val="00E76181"/>
    <w:rsid w:val="00E766F7"/>
    <w:rsid w:val="00E767D6"/>
    <w:rsid w:val="00E769A5"/>
    <w:rsid w:val="00E76A2B"/>
    <w:rsid w:val="00E76DB1"/>
    <w:rsid w:val="00E770F2"/>
    <w:rsid w:val="00E771A6"/>
    <w:rsid w:val="00E773BA"/>
    <w:rsid w:val="00E7774D"/>
    <w:rsid w:val="00E779B4"/>
    <w:rsid w:val="00E77A29"/>
    <w:rsid w:val="00E77EAC"/>
    <w:rsid w:val="00E804FD"/>
    <w:rsid w:val="00E80862"/>
    <w:rsid w:val="00E80AE8"/>
    <w:rsid w:val="00E80E42"/>
    <w:rsid w:val="00E81069"/>
    <w:rsid w:val="00E817AD"/>
    <w:rsid w:val="00E817EF"/>
    <w:rsid w:val="00E8184F"/>
    <w:rsid w:val="00E82469"/>
    <w:rsid w:val="00E824E3"/>
    <w:rsid w:val="00E82725"/>
    <w:rsid w:val="00E828D5"/>
    <w:rsid w:val="00E82CFE"/>
    <w:rsid w:val="00E82D81"/>
    <w:rsid w:val="00E83259"/>
    <w:rsid w:val="00E8377C"/>
    <w:rsid w:val="00E83851"/>
    <w:rsid w:val="00E839BE"/>
    <w:rsid w:val="00E83A6C"/>
    <w:rsid w:val="00E83BB5"/>
    <w:rsid w:val="00E83CAC"/>
    <w:rsid w:val="00E84048"/>
    <w:rsid w:val="00E8412A"/>
    <w:rsid w:val="00E841D3"/>
    <w:rsid w:val="00E84243"/>
    <w:rsid w:val="00E8488C"/>
    <w:rsid w:val="00E84C89"/>
    <w:rsid w:val="00E85341"/>
    <w:rsid w:val="00E85876"/>
    <w:rsid w:val="00E85E56"/>
    <w:rsid w:val="00E860DD"/>
    <w:rsid w:val="00E86754"/>
    <w:rsid w:val="00E867C6"/>
    <w:rsid w:val="00E867E5"/>
    <w:rsid w:val="00E867EE"/>
    <w:rsid w:val="00E86BB3"/>
    <w:rsid w:val="00E86D7C"/>
    <w:rsid w:val="00E8713D"/>
    <w:rsid w:val="00E876BE"/>
    <w:rsid w:val="00E90329"/>
    <w:rsid w:val="00E90700"/>
    <w:rsid w:val="00E908E7"/>
    <w:rsid w:val="00E910D5"/>
    <w:rsid w:val="00E91163"/>
    <w:rsid w:val="00E911CA"/>
    <w:rsid w:val="00E9120E"/>
    <w:rsid w:val="00E91749"/>
    <w:rsid w:val="00E9224D"/>
    <w:rsid w:val="00E922C4"/>
    <w:rsid w:val="00E922E0"/>
    <w:rsid w:val="00E92EB9"/>
    <w:rsid w:val="00E92F95"/>
    <w:rsid w:val="00E93581"/>
    <w:rsid w:val="00E9378A"/>
    <w:rsid w:val="00E93AEF"/>
    <w:rsid w:val="00E93C6A"/>
    <w:rsid w:val="00E943AE"/>
    <w:rsid w:val="00E94569"/>
    <w:rsid w:val="00E947B0"/>
    <w:rsid w:val="00E94B34"/>
    <w:rsid w:val="00E951C0"/>
    <w:rsid w:val="00E9528F"/>
    <w:rsid w:val="00E95399"/>
    <w:rsid w:val="00E959BF"/>
    <w:rsid w:val="00E95ADF"/>
    <w:rsid w:val="00E95D82"/>
    <w:rsid w:val="00E95E2A"/>
    <w:rsid w:val="00E95EAB"/>
    <w:rsid w:val="00E95F21"/>
    <w:rsid w:val="00E96273"/>
    <w:rsid w:val="00E964D1"/>
    <w:rsid w:val="00E9668E"/>
    <w:rsid w:val="00E968C6"/>
    <w:rsid w:val="00E96E97"/>
    <w:rsid w:val="00E96EB7"/>
    <w:rsid w:val="00E972FF"/>
    <w:rsid w:val="00E97343"/>
    <w:rsid w:val="00E975E3"/>
    <w:rsid w:val="00E9761D"/>
    <w:rsid w:val="00E97D49"/>
    <w:rsid w:val="00E97D7B"/>
    <w:rsid w:val="00EA0251"/>
    <w:rsid w:val="00EA078D"/>
    <w:rsid w:val="00EA0B69"/>
    <w:rsid w:val="00EA1065"/>
    <w:rsid w:val="00EA1434"/>
    <w:rsid w:val="00EA16EE"/>
    <w:rsid w:val="00EA1717"/>
    <w:rsid w:val="00EA1944"/>
    <w:rsid w:val="00EA2D42"/>
    <w:rsid w:val="00EA3153"/>
    <w:rsid w:val="00EA335A"/>
    <w:rsid w:val="00EA3410"/>
    <w:rsid w:val="00EA37F7"/>
    <w:rsid w:val="00EA3AF1"/>
    <w:rsid w:val="00EA3C3D"/>
    <w:rsid w:val="00EA3C3E"/>
    <w:rsid w:val="00EA3D38"/>
    <w:rsid w:val="00EA3D93"/>
    <w:rsid w:val="00EA3E6D"/>
    <w:rsid w:val="00EA4694"/>
    <w:rsid w:val="00EA48D3"/>
    <w:rsid w:val="00EA4B3C"/>
    <w:rsid w:val="00EA4D58"/>
    <w:rsid w:val="00EA546B"/>
    <w:rsid w:val="00EA5591"/>
    <w:rsid w:val="00EA5677"/>
    <w:rsid w:val="00EA57C5"/>
    <w:rsid w:val="00EA5AAF"/>
    <w:rsid w:val="00EA5D7E"/>
    <w:rsid w:val="00EA5F31"/>
    <w:rsid w:val="00EA5F92"/>
    <w:rsid w:val="00EA6200"/>
    <w:rsid w:val="00EA6487"/>
    <w:rsid w:val="00EA64B4"/>
    <w:rsid w:val="00EA65F1"/>
    <w:rsid w:val="00EA6665"/>
    <w:rsid w:val="00EA6935"/>
    <w:rsid w:val="00EA6967"/>
    <w:rsid w:val="00EA6CAC"/>
    <w:rsid w:val="00EA6E94"/>
    <w:rsid w:val="00EA6F44"/>
    <w:rsid w:val="00EA720D"/>
    <w:rsid w:val="00EA74FF"/>
    <w:rsid w:val="00EA7613"/>
    <w:rsid w:val="00EA7725"/>
    <w:rsid w:val="00EA7760"/>
    <w:rsid w:val="00EA793B"/>
    <w:rsid w:val="00EA7A7E"/>
    <w:rsid w:val="00EA7C1D"/>
    <w:rsid w:val="00EA7C5E"/>
    <w:rsid w:val="00EA7F4D"/>
    <w:rsid w:val="00EA7F85"/>
    <w:rsid w:val="00EB05DA"/>
    <w:rsid w:val="00EB0828"/>
    <w:rsid w:val="00EB1410"/>
    <w:rsid w:val="00EB1681"/>
    <w:rsid w:val="00EB181C"/>
    <w:rsid w:val="00EB190F"/>
    <w:rsid w:val="00EB1E66"/>
    <w:rsid w:val="00EB235B"/>
    <w:rsid w:val="00EB267C"/>
    <w:rsid w:val="00EB282C"/>
    <w:rsid w:val="00EB297E"/>
    <w:rsid w:val="00EB2DAC"/>
    <w:rsid w:val="00EB31A3"/>
    <w:rsid w:val="00EB325B"/>
    <w:rsid w:val="00EB35CF"/>
    <w:rsid w:val="00EB3E22"/>
    <w:rsid w:val="00EB47AF"/>
    <w:rsid w:val="00EB4BB2"/>
    <w:rsid w:val="00EB563F"/>
    <w:rsid w:val="00EB5AFB"/>
    <w:rsid w:val="00EB61BF"/>
    <w:rsid w:val="00EB685F"/>
    <w:rsid w:val="00EB693B"/>
    <w:rsid w:val="00EB69F2"/>
    <w:rsid w:val="00EB7154"/>
    <w:rsid w:val="00EB728A"/>
    <w:rsid w:val="00EB7798"/>
    <w:rsid w:val="00EB7BA9"/>
    <w:rsid w:val="00EB7D75"/>
    <w:rsid w:val="00EB7F39"/>
    <w:rsid w:val="00EC0527"/>
    <w:rsid w:val="00EC0652"/>
    <w:rsid w:val="00EC0792"/>
    <w:rsid w:val="00EC0B20"/>
    <w:rsid w:val="00EC0EE7"/>
    <w:rsid w:val="00EC1698"/>
    <w:rsid w:val="00EC1985"/>
    <w:rsid w:val="00EC199A"/>
    <w:rsid w:val="00EC1A54"/>
    <w:rsid w:val="00EC1BCA"/>
    <w:rsid w:val="00EC1C3A"/>
    <w:rsid w:val="00EC1CA9"/>
    <w:rsid w:val="00EC1CD7"/>
    <w:rsid w:val="00EC1D16"/>
    <w:rsid w:val="00EC1F51"/>
    <w:rsid w:val="00EC22EF"/>
    <w:rsid w:val="00EC246F"/>
    <w:rsid w:val="00EC2906"/>
    <w:rsid w:val="00EC2B1D"/>
    <w:rsid w:val="00EC2B69"/>
    <w:rsid w:val="00EC32FD"/>
    <w:rsid w:val="00EC3D17"/>
    <w:rsid w:val="00EC4233"/>
    <w:rsid w:val="00EC4544"/>
    <w:rsid w:val="00EC4622"/>
    <w:rsid w:val="00EC4A85"/>
    <w:rsid w:val="00EC4EFA"/>
    <w:rsid w:val="00EC5456"/>
    <w:rsid w:val="00EC57B2"/>
    <w:rsid w:val="00EC5897"/>
    <w:rsid w:val="00EC58F4"/>
    <w:rsid w:val="00EC5A24"/>
    <w:rsid w:val="00EC5BBF"/>
    <w:rsid w:val="00EC5E1E"/>
    <w:rsid w:val="00EC650B"/>
    <w:rsid w:val="00EC699C"/>
    <w:rsid w:val="00EC6CB9"/>
    <w:rsid w:val="00EC738B"/>
    <w:rsid w:val="00EC7808"/>
    <w:rsid w:val="00EC7AB4"/>
    <w:rsid w:val="00EC7BFA"/>
    <w:rsid w:val="00EC7F5C"/>
    <w:rsid w:val="00ED042E"/>
    <w:rsid w:val="00ED056D"/>
    <w:rsid w:val="00ED0989"/>
    <w:rsid w:val="00ED0A72"/>
    <w:rsid w:val="00ED0FC8"/>
    <w:rsid w:val="00ED1295"/>
    <w:rsid w:val="00ED15CA"/>
    <w:rsid w:val="00ED1E6B"/>
    <w:rsid w:val="00ED1F41"/>
    <w:rsid w:val="00ED2498"/>
    <w:rsid w:val="00ED2725"/>
    <w:rsid w:val="00ED2D29"/>
    <w:rsid w:val="00ED32B5"/>
    <w:rsid w:val="00ED34D1"/>
    <w:rsid w:val="00ED367F"/>
    <w:rsid w:val="00ED3C96"/>
    <w:rsid w:val="00ED3CCE"/>
    <w:rsid w:val="00ED3E69"/>
    <w:rsid w:val="00ED4206"/>
    <w:rsid w:val="00ED4303"/>
    <w:rsid w:val="00ED43C3"/>
    <w:rsid w:val="00ED471F"/>
    <w:rsid w:val="00ED490A"/>
    <w:rsid w:val="00ED4AA4"/>
    <w:rsid w:val="00ED4CD1"/>
    <w:rsid w:val="00ED58A2"/>
    <w:rsid w:val="00ED58C3"/>
    <w:rsid w:val="00ED5C1F"/>
    <w:rsid w:val="00ED5C71"/>
    <w:rsid w:val="00ED5EEE"/>
    <w:rsid w:val="00ED5F46"/>
    <w:rsid w:val="00ED636F"/>
    <w:rsid w:val="00ED667C"/>
    <w:rsid w:val="00ED6F3D"/>
    <w:rsid w:val="00ED717E"/>
    <w:rsid w:val="00ED74DB"/>
    <w:rsid w:val="00ED7691"/>
    <w:rsid w:val="00ED7966"/>
    <w:rsid w:val="00ED7BA3"/>
    <w:rsid w:val="00EE0088"/>
    <w:rsid w:val="00EE01CC"/>
    <w:rsid w:val="00EE025A"/>
    <w:rsid w:val="00EE04EE"/>
    <w:rsid w:val="00EE092F"/>
    <w:rsid w:val="00EE0B5A"/>
    <w:rsid w:val="00EE14CF"/>
    <w:rsid w:val="00EE161A"/>
    <w:rsid w:val="00EE1760"/>
    <w:rsid w:val="00EE1C08"/>
    <w:rsid w:val="00EE25D1"/>
    <w:rsid w:val="00EE270A"/>
    <w:rsid w:val="00EE287D"/>
    <w:rsid w:val="00EE30A4"/>
    <w:rsid w:val="00EE3311"/>
    <w:rsid w:val="00EE3704"/>
    <w:rsid w:val="00EE3843"/>
    <w:rsid w:val="00EE3B32"/>
    <w:rsid w:val="00EE3B5E"/>
    <w:rsid w:val="00EE3BC9"/>
    <w:rsid w:val="00EE3CFF"/>
    <w:rsid w:val="00EE3D9F"/>
    <w:rsid w:val="00EE3F39"/>
    <w:rsid w:val="00EE414C"/>
    <w:rsid w:val="00EE42AC"/>
    <w:rsid w:val="00EE43E8"/>
    <w:rsid w:val="00EE44FE"/>
    <w:rsid w:val="00EE4DC6"/>
    <w:rsid w:val="00EE51E1"/>
    <w:rsid w:val="00EE5406"/>
    <w:rsid w:val="00EE54CB"/>
    <w:rsid w:val="00EE5639"/>
    <w:rsid w:val="00EE5D68"/>
    <w:rsid w:val="00EE5EF8"/>
    <w:rsid w:val="00EE644A"/>
    <w:rsid w:val="00EE6671"/>
    <w:rsid w:val="00EE66B4"/>
    <w:rsid w:val="00EE681E"/>
    <w:rsid w:val="00EE695A"/>
    <w:rsid w:val="00EE6964"/>
    <w:rsid w:val="00EE6A1D"/>
    <w:rsid w:val="00EE6D18"/>
    <w:rsid w:val="00EE75A5"/>
    <w:rsid w:val="00EE7DAE"/>
    <w:rsid w:val="00EE7E7A"/>
    <w:rsid w:val="00EF1083"/>
    <w:rsid w:val="00EF1230"/>
    <w:rsid w:val="00EF133E"/>
    <w:rsid w:val="00EF1A0C"/>
    <w:rsid w:val="00EF1E91"/>
    <w:rsid w:val="00EF1EAB"/>
    <w:rsid w:val="00EF223B"/>
    <w:rsid w:val="00EF29DE"/>
    <w:rsid w:val="00EF2C3F"/>
    <w:rsid w:val="00EF2D9A"/>
    <w:rsid w:val="00EF2DB6"/>
    <w:rsid w:val="00EF3200"/>
    <w:rsid w:val="00EF3978"/>
    <w:rsid w:val="00EF3A9B"/>
    <w:rsid w:val="00EF3AAC"/>
    <w:rsid w:val="00EF3C47"/>
    <w:rsid w:val="00EF41C1"/>
    <w:rsid w:val="00EF4D42"/>
    <w:rsid w:val="00EF4FD1"/>
    <w:rsid w:val="00EF52CD"/>
    <w:rsid w:val="00EF5318"/>
    <w:rsid w:val="00EF5387"/>
    <w:rsid w:val="00EF5A2B"/>
    <w:rsid w:val="00EF5D52"/>
    <w:rsid w:val="00EF5D92"/>
    <w:rsid w:val="00EF708A"/>
    <w:rsid w:val="00EF71AE"/>
    <w:rsid w:val="00EF72C3"/>
    <w:rsid w:val="00EF79CE"/>
    <w:rsid w:val="00EF7B2D"/>
    <w:rsid w:val="00EF7BB1"/>
    <w:rsid w:val="00EF7E4B"/>
    <w:rsid w:val="00EF7EAC"/>
    <w:rsid w:val="00EF7F02"/>
    <w:rsid w:val="00F000B4"/>
    <w:rsid w:val="00F00152"/>
    <w:rsid w:val="00F00352"/>
    <w:rsid w:val="00F00B1B"/>
    <w:rsid w:val="00F00BB2"/>
    <w:rsid w:val="00F00DB4"/>
    <w:rsid w:val="00F00E37"/>
    <w:rsid w:val="00F010EE"/>
    <w:rsid w:val="00F0115F"/>
    <w:rsid w:val="00F01383"/>
    <w:rsid w:val="00F0167D"/>
    <w:rsid w:val="00F0177A"/>
    <w:rsid w:val="00F019D5"/>
    <w:rsid w:val="00F01A38"/>
    <w:rsid w:val="00F01C01"/>
    <w:rsid w:val="00F01D29"/>
    <w:rsid w:val="00F02005"/>
    <w:rsid w:val="00F023DF"/>
    <w:rsid w:val="00F02420"/>
    <w:rsid w:val="00F02454"/>
    <w:rsid w:val="00F02500"/>
    <w:rsid w:val="00F02959"/>
    <w:rsid w:val="00F032E2"/>
    <w:rsid w:val="00F037DE"/>
    <w:rsid w:val="00F037E3"/>
    <w:rsid w:val="00F03FF2"/>
    <w:rsid w:val="00F04037"/>
    <w:rsid w:val="00F04248"/>
    <w:rsid w:val="00F0430A"/>
    <w:rsid w:val="00F04655"/>
    <w:rsid w:val="00F04F9E"/>
    <w:rsid w:val="00F05353"/>
    <w:rsid w:val="00F05439"/>
    <w:rsid w:val="00F05455"/>
    <w:rsid w:val="00F06572"/>
    <w:rsid w:val="00F06801"/>
    <w:rsid w:val="00F0698F"/>
    <w:rsid w:val="00F06A47"/>
    <w:rsid w:val="00F06E0B"/>
    <w:rsid w:val="00F06E92"/>
    <w:rsid w:val="00F06F26"/>
    <w:rsid w:val="00F07029"/>
    <w:rsid w:val="00F07053"/>
    <w:rsid w:val="00F0717F"/>
    <w:rsid w:val="00F073F4"/>
    <w:rsid w:val="00F0747A"/>
    <w:rsid w:val="00F07628"/>
    <w:rsid w:val="00F07841"/>
    <w:rsid w:val="00F07849"/>
    <w:rsid w:val="00F07882"/>
    <w:rsid w:val="00F07883"/>
    <w:rsid w:val="00F07B51"/>
    <w:rsid w:val="00F07DAB"/>
    <w:rsid w:val="00F10177"/>
    <w:rsid w:val="00F1043D"/>
    <w:rsid w:val="00F10481"/>
    <w:rsid w:val="00F105D1"/>
    <w:rsid w:val="00F10BEE"/>
    <w:rsid w:val="00F10D83"/>
    <w:rsid w:val="00F10F36"/>
    <w:rsid w:val="00F114CF"/>
    <w:rsid w:val="00F1162C"/>
    <w:rsid w:val="00F116E5"/>
    <w:rsid w:val="00F1178C"/>
    <w:rsid w:val="00F11916"/>
    <w:rsid w:val="00F1196B"/>
    <w:rsid w:val="00F11A6A"/>
    <w:rsid w:val="00F122BF"/>
    <w:rsid w:val="00F126BD"/>
    <w:rsid w:val="00F127D8"/>
    <w:rsid w:val="00F12A4A"/>
    <w:rsid w:val="00F12D4C"/>
    <w:rsid w:val="00F12F9B"/>
    <w:rsid w:val="00F13433"/>
    <w:rsid w:val="00F134FC"/>
    <w:rsid w:val="00F1350E"/>
    <w:rsid w:val="00F13876"/>
    <w:rsid w:val="00F138E6"/>
    <w:rsid w:val="00F13A8B"/>
    <w:rsid w:val="00F13AAE"/>
    <w:rsid w:val="00F13AC7"/>
    <w:rsid w:val="00F14419"/>
    <w:rsid w:val="00F1470E"/>
    <w:rsid w:val="00F147A5"/>
    <w:rsid w:val="00F14889"/>
    <w:rsid w:val="00F14909"/>
    <w:rsid w:val="00F14AA7"/>
    <w:rsid w:val="00F15884"/>
    <w:rsid w:val="00F159F7"/>
    <w:rsid w:val="00F15B8E"/>
    <w:rsid w:val="00F15CDA"/>
    <w:rsid w:val="00F1661E"/>
    <w:rsid w:val="00F16665"/>
    <w:rsid w:val="00F16AA8"/>
    <w:rsid w:val="00F16B33"/>
    <w:rsid w:val="00F16DE6"/>
    <w:rsid w:val="00F16FB0"/>
    <w:rsid w:val="00F170A8"/>
    <w:rsid w:val="00F1733B"/>
    <w:rsid w:val="00F17474"/>
    <w:rsid w:val="00F17A36"/>
    <w:rsid w:val="00F17D44"/>
    <w:rsid w:val="00F17DA3"/>
    <w:rsid w:val="00F17F82"/>
    <w:rsid w:val="00F2004E"/>
    <w:rsid w:val="00F201CC"/>
    <w:rsid w:val="00F20487"/>
    <w:rsid w:val="00F204B5"/>
    <w:rsid w:val="00F206AC"/>
    <w:rsid w:val="00F2085E"/>
    <w:rsid w:val="00F20924"/>
    <w:rsid w:val="00F20F25"/>
    <w:rsid w:val="00F20F65"/>
    <w:rsid w:val="00F2106D"/>
    <w:rsid w:val="00F21311"/>
    <w:rsid w:val="00F21395"/>
    <w:rsid w:val="00F216A5"/>
    <w:rsid w:val="00F21CCF"/>
    <w:rsid w:val="00F22337"/>
    <w:rsid w:val="00F226F4"/>
    <w:rsid w:val="00F229F6"/>
    <w:rsid w:val="00F22C34"/>
    <w:rsid w:val="00F22D65"/>
    <w:rsid w:val="00F23175"/>
    <w:rsid w:val="00F23E6E"/>
    <w:rsid w:val="00F23FB0"/>
    <w:rsid w:val="00F244EC"/>
    <w:rsid w:val="00F247C6"/>
    <w:rsid w:val="00F2480A"/>
    <w:rsid w:val="00F24891"/>
    <w:rsid w:val="00F24AFB"/>
    <w:rsid w:val="00F24B9F"/>
    <w:rsid w:val="00F24CA6"/>
    <w:rsid w:val="00F24E1F"/>
    <w:rsid w:val="00F24E42"/>
    <w:rsid w:val="00F24FC8"/>
    <w:rsid w:val="00F255C2"/>
    <w:rsid w:val="00F256AE"/>
    <w:rsid w:val="00F25773"/>
    <w:rsid w:val="00F257FA"/>
    <w:rsid w:val="00F25D5C"/>
    <w:rsid w:val="00F26004"/>
    <w:rsid w:val="00F26614"/>
    <w:rsid w:val="00F266DD"/>
    <w:rsid w:val="00F26F23"/>
    <w:rsid w:val="00F270E8"/>
    <w:rsid w:val="00F27E5C"/>
    <w:rsid w:val="00F27EF5"/>
    <w:rsid w:val="00F27FDB"/>
    <w:rsid w:val="00F30251"/>
    <w:rsid w:val="00F302ED"/>
    <w:rsid w:val="00F305CC"/>
    <w:rsid w:val="00F30BAD"/>
    <w:rsid w:val="00F3115C"/>
    <w:rsid w:val="00F3179A"/>
    <w:rsid w:val="00F3190D"/>
    <w:rsid w:val="00F31D54"/>
    <w:rsid w:val="00F31E64"/>
    <w:rsid w:val="00F31EAC"/>
    <w:rsid w:val="00F32357"/>
    <w:rsid w:val="00F326E7"/>
    <w:rsid w:val="00F32C70"/>
    <w:rsid w:val="00F333FB"/>
    <w:rsid w:val="00F3363D"/>
    <w:rsid w:val="00F33B78"/>
    <w:rsid w:val="00F33BD3"/>
    <w:rsid w:val="00F340C2"/>
    <w:rsid w:val="00F34259"/>
    <w:rsid w:val="00F34380"/>
    <w:rsid w:val="00F34781"/>
    <w:rsid w:val="00F349D9"/>
    <w:rsid w:val="00F34C0E"/>
    <w:rsid w:val="00F34D1D"/>
    <w:rsid w:val="00F34E02"/>
    <w:rsid w:val="00F34F78"/>
    <w:rsid w:val="00F3549E"/>
    <w:rsid w:val="00F362CD"/>
    <w:rsid w:val="00F365A7"/>
    <w:rsid w:val="00F3681C"/>
    <w:rsid w:val="00F36B50"/>
    <w:rsid w:val="00F36B9E"/>
    <w:rsid w:val="00F370F8"/>
    <w:rsid w:val="00F3711A"/>
    <w:rsid w:val="00F3769D"/>
    <w:rsid w:val="00F37C03"/>
    <w:rsid w:val="00F37F4A"/>
    <w:rsid w:val="00F4004B"/>
    <w:rsid w:val="00F404F4"/>
    <w:rsid w:val="00F4051A"/>
    <w:rsid w:val="00F40A89"/>
    <w:rsid w:val="00F40CAF"/>
    <w:rsid w:val="00F41291"/>
    <w:rsid w:val="00F412C1"/>
    <w:rsid w:val="00F4143E"/>
    <w:rsid w:val="00F4178E"/>
    <w:rsid w:val="00F41CC5"/>
    <w:rsid w:val="00F41D25"/>
    <w:rsid w:val="00F42211"/>
    <w:rsid w:val="00F4224D"/>
    <w:rsid w:val="00F42307"/>
    <w:rsid w:val="00F423C2"/>
    <w:rsid w:val="00F426F9"/>
    <w:rsid w:val="00F42D3D"/>
    <w:rsid w:val="00F42F44"/>
    <w:rsid w:val="00F42F8D"/>
    <w:rsid w:val="00F43008"/>
    <w:rsid w:val="00F4329D"/>
    <w:rsid w:val="00F433F8"/>
    <w:rsid w:val="00F433FE"/>
    <w:rsid w:val="00F435CE"/>
    <w:rsid w:val="00F4360D"/>
    <w:rsid w:val="00F43627"/>
    <w:rsid w:val="00F43718"/>
    <w:rsid w:val="00F43781"/>
    <w:rsid w:val="00F437DE"/>
    <w:rsid w:val="00F43903"/>
    <w:rsid w:val="00F43C1D"/>
    <w:rsid w:val="00F4405E"/>
    <w:rsid w:val="00F44431"/>
    <w:rsid w:val="00F4463C"/>
    <w:rsid w:val="00F44976"/>
    <w:rsid w:val="00F44BED"/>
    <w:rsid w:val="00F44E45"/>
    <w:rsid w:val="00F4500B"/>
    <w:rsid w:val="00F45314"/>
    <w:rsid w:val="00F45412"/>
    <w:rsid w:val="00F454B7"/>
    <w:rsid w:val="00F4554E"/>
    <w:rsid w:val="00F45818"/>
    <w:rsid w:val="00F45CD1"/>
    <w:rsid w:val="00F4605E"/>
    <w:rsid w:val="00F465DB"/>
    <w:rsid w:val="00F46DF1"/>
    <w:rsid w:val="00F46F19"/>
    <w:rsid w:val="00F4705A"/>
    <w:rsid w:val="00F470A4"/>
    <w:rsid w:val="00F473A5"/>
    <w:rsid w:val="00F473F3"/>
    <w:rsid w:val="00F474B8"/>
    <w:rsid w:val="00F478CA"/>
    <w:rsid w:val="00F47A76"/>
    <w:rsid w:val="00F47AA6"/>
    <w:rsid w:val="00F47CE2"/>
    <w:rsid w:val="00F501F3"/>
    <w:rsid w:val="00F50278"/>
    <w:rsid w:val="00F5029C"/>
    <w:rsid w:val="00F50A98"/>
    <w:rsid w:val="00F50E5F"/>
    <w:rsid w:val="00F50E91"/>
    <w:rsid w:val="00F51460"/>
    <w:rsid w:val="00F514A5"/>
    <w:rsid w:val="00F51667"/>
    <w:rsid w:val="00F519A4"/>
    <w:rsid w:val="00F51BD7"/>
    <w:rsid w:val="00F521DC"/>
    <w:rsid w:val="00F5262F"/>
    <w:rsid w:val="00F526E3"/>
    <w:rsid w:val="00F52D6D"/>
    <w:rsid w:val="00F52EC4"/>
    <w:rsid w:val="00F53199"/>
    <w:rsid w:val="00F535CD"/>
    <w:rsid w:val="00F53A6E"/>
    <w:rsid w:val="00F541A1"/>
    <w:rsid w:val="00F541DC"/>
    <w:rsid w:val="00F5439E"/>
    <w:rsid w:val="00F544B7"/>
    <w:rsid w:val="00F549D5"/>
    <w:rsid w:val="00F54B09"/>
    <w:rsid w:val="00F54BEA"/>
    <w:rsid w:val="00F54E8A"/>
    <w:rsid w:val="00F553D3"/>
    <w:rsid w:val="00F55595"/>
    <w:rsid w:val="00F559A8"/>
    <w:rsid w:val="00F55C21"/>
    <w:rsid w:val="00F55E5F"/>
    <w:rsid w:val="00F55F6D"/>
    <w:rsid w:val="00F56336"/>
    <w:rsid w:val="00F567DD"/>
    <w:rsid w:val="00F56DA8"/>
    <w:rsid w:val="00F5736B"/>
    <w:rsid w:val="00F57880"/>
    <w:rsid w:val="00F57C11"/>
    <w:rsid w:val="00F57D92"/>
    <w:rsid w:val="00F57DB6"/>
    <w:rsid w:val="00F57E41"/>
    <w:rsid w:val="00F608AB"/>
    <w:rsid w:val="00F60A70"/>
    <w:rsid w:val="00F60BE7"/>
    <w:rsid w:val="00F60F1B"/>
    <w:rsid w:val="00F6141B"/>
    <w:rsid w:val="00F6159C"/>
    <w:rsid w:val="00F61714"/>
    <w:rsid w:val="00F61D6C"/>
    <w:rsid w:val="00F61DEE"/>
    <w:rsid w:val="00F61EF5"/>
    <w:rsid w:val="00F61F82"/>
    <w:rsid w:val="00F6201A"/>
    <w:rsid w:val="00F6238F"/>
    <w:rsid w:val="00F625D6"/>
    <w:rsid w:val="00F630CB"/>
    <w:rsid w:val="00F63505"/>
    <w:rsid w:val="00F63E17"/>
    <w:rsid w:val="00F63E59"/>
    <w:rsid w:val="00F64084"/>
    <w:rsid w:val="00F64113"/>
    <w:rsid w:val="00F64873"/>
    <w:rsid w:val="00F64BE0"/>
    <w:rsid w:val="00F64F35"/>
    <w:rsid w:val="00F65123"/>
    <w:rsid w:val="00F656AF"/>
    <w:rsid w:val="00F658ED"/>
    <w:rsid w:val="00F65B06"/>
    <w:rsid w:val="00F65B68"/>
    <w:rsid w:val="00F65D5D"/>
    <w:rsid w:val="00F662EB"/>
    <w:rsid w:val="00F6640D"/>
    <w:rsid w:val="00F664A3"/>
    <w:rsid w:val="00F666BE"/>
    <w:rsid w:val="00F66D9F"/>
    <w:rsid w:val="00F67279"/>
    <w:rsid w:val="00F6765F"/>
    <w:rsid w:val="00F67846"/>
    <w:rsid w:val="00F67B42"/>
    <w:rsid w:val="00F67B54"/>
    <w:rsid w:val="00F67EEE"/>
    <w:rsid w:val="00F70657"/>
    <w:rsid w:val="00F70683"/>
    <w:rsid w:val="00F70696"/>
    <w:rsid w:val="00F70989"/>
    <w:rsid w:val="00F70B72"/>
    <w:rsid w:val="00F70DEF"/>
    <w:rsid w:val="00F70EA3"/>
    <w:rsid w:val="00F71398"/>
    <w:rsid w:val="00F71C3F"/>
    <w:rsid w:val="00F71E8D"/>
    <w:rsid w:val="00F721DD"/>
    <w:rsid w:val="00F7294C"/>
    <w:rsid w:val="00F729A1"/>
    <w:rsid w:val="00F72C5F"/>
    <w:rsid w:val="00F73136"/>
    <w:rsid w:val="00F73549"/>
    <w:rsid w:val="00F7377B"/>
    <w:rsid w:val="00F73D1A"/>
    <w:rsid w:val="00F74C67"/>
    <w:rsid w:val="00F753B4"/>
    <w:rsid w:val="00F75497"/>
    <w:rsid w:val="00F75782"/>
    <w:rsid w:val="00F75BB8"/>
    <w:rsid w:val="00F75E2F"/>
    <w:rsid w:val="00F75FC0"/>
    <w:rsid w:val="00F76BDE"/>
    <w:rsid w:val="00F77347"/>
    <w:rsid w:val="00F775B3"/>
    <w:rsid w:val="00F77617"/>
    <w:rsid w:val="00F776D6"/>
    <w:rsid w:val="00F77861"/>
    <w:rsid w:val="00F77CE1"/>
    <w:rsid w:val="00F8033F"/>
    <w:rsid w:val="00F805C7"/>
    <w:rsid w:val="00F8091E"/>
    <w:rsid w:val="00F80BBB"/>
    <w:rsid w:val="00F80C1D"/>
    <w:rsid w:val="00F81130"/>
    <w:rsid w:val="00F818F7"/>
    <w:rsid w:val="00F81C5F"/>
    <w:rsid w:val="00F81FED"/>
    <w:rsid w:val="00F822CA"/>
    <w:rsid w:val="00F82BB2"/>
    <w:rsid w:val="00F8325D"/>
    <w:rsid w:val="00F832A9"/>
    <w:rsid w:val="00F832B0"/>
    <w:rsid w:val="00F83307"/>
    <w:rsid w:val="00F833A5"/>
    <w:rsid w:val="00F83469"/>
    <w:rsid w:val="00F836ED"/>
    <w:rsid w:val="00F83928"/>
    <w:rsid w:val="00F83A08"/>
    <w:rsid w:val="00F844D3"/>
    <w:rsid w:val="00F84629"/>
    <w:rsid w:val="00F84B71"/>
    <w:rsid w:val="00F84CAA"/>
    <w:rsid w:val="00F84F0E"/>
    <w:rsid w:val="00F85181"/>
    <w:rsid w:val="00F8519E"/>
    <w:rsid w:val="00F85DB9"/>
    <w:rsid w:val="00F85FF5"/>
    <w:rsid w:val="00F8646C"/>
    <w:rsid w:val="00F86BB4"/>
    <w:rsid w:val="00F870F5"/>
    <w:rsid w:val="00F87EB8"/>
    <w:rsid w:val="00F90000"/>
    <w:rsid w:val="00F902D2"/>
    <w:rsid w:val="00F9046A"/>
    <w:rsid w:val="00F90491"/>
    <w:rsid w:val="00F90B12"/>
    <w:rsid w:val="00F90CBD"/>
    <w:rsid w:val="00F9109E"/>
    <w:rsid w:val="00F910BD"/>
    <w:rsid w:val="00F9123C"/>
    <w:rsid w:val="00F9124A"/>
    <w:rsid w:val="00F9177E"/>
    <w:rsid w:val="00F919DD"/>
    <w:rsid w:val="00F91CA7"/>
    <w:rsid w:val="00F91E4F"/>
    <w:rsid w:val="00F91FDF"/>
    <w:rsid w:val="00F920A3"/>
    <w:rsid w:val="00F921E3"/>
    <w:rsid w:val="00F921FF"/>
    <w:rsid w:val="00F9273A"/>
    <w:rsid w:val="00F927C8"/>
    <w:rsid w:val="00F92AA1"/>
    <w:rsid w:val="00F92DDC"/>
    <w:rsid w:val="00F92ED5"/>
    <w:rsid w:val="00F92FDC"/>
    <w:rsid w:val="00F931D2"/>
    <w:rsid w:val="00F93431"/>
    <w:rsid w:val="00F93466"/>
    <w:rsid w:val="00F93A27"/>
    <w:rsid w:val="00F93A4A"/>
    <w:rsid w:val="00F93D27"/>
    <w:rsid w:val="00F9478C"/>
    <w:rsid w:val="00F94A1E"/>
    <w:rsid w:val="00F94C6B"/>
    <w:rsid w:val="00F94CBC"/>
    <w:rsid w:val="00F95C18"/>
    <w:rsid w:val="00F95DD6"/>
    <w:rsid w:val="00F961E2"/>
    <w:rsid w:val="00F96370"/>
    <w:rsid w:val="00F964D4"/>
    <w:rsid w:val="00F96E84"/>
    <w:rsid w:val="00F96F27"/>
    <w:rsid w:val="00F96F60"/>
    <w:rsid w:val="00F976C7"/>
    <w:rsid w:val="00F97940"/>
    <w:rsid w:val="00F97956"/>
    <w:rsid w:val="00F97AA1"/>
    <w:rsid w:val="00F97BA3"/>
    <w:rsid w:val="00F97EA2"/>
    <w:rsid w:val="00F97F0D"/>
    <w:rsid w:val="00F97F4F"/>
    <w:rsid w:val="00FA06BA"/>
    <w:rsid w:val="00FA0B0A"/>
    <w:rsid w:val="00FA0BCF"/>
    <w:rsid w:val="00FA0DA8"/>
    <w:rsid w:val="00FA0F92"/>
    <w:rsid w:val="00FA121C"/>
    <w:rsid w:val="00FA1407"/>
    <w:rsid w:val="00FA172D"/>
    <w:rsid w:val="00FA1A68"/>
    <w:rsid w:val="00FA1B1A"/>
    <w:rsid w:val="00FA1CF1"/>
    <w:rsid w:val="00FA1F35"/>
    <w:rsid w:val="00FA1FA3"/>
    <w:rsid w:val="00FA233A"/>
    <w:rsid w:val="00FA2628"/>
    <w:rsid w:val="00FA2747"/>
    <w:rsid w:val="00FA29EC"/>
    <w:rsid w:val="00FA2A33"/>
    <w:rsid w:val="00FA2C8F"/>
    <w:rsid w:val="00FA2CF7"/>
    <w:rsid w:val="00FA3174"/>
    <w:rsid w:val="00FA3410"/>
    <w:rsid w:val="00FA360B"/>
    <w:rsid w:val="00FA3630"/>
    <w:rsid w:val="00FA3860"/>
    <w:rsid w:val="00FA3A50"/>
    <w:rsid w:val="00FA3C23"/>
    <w:rsid w:val="00FA414A"/>
    <w:rsid w:val="00FA41DB"/>
    <w:rsid w:val="00FA4763"/>
    <w:rsid w:val="00FA4830"/>
    <w:rsid w:val="00FA4D8D"/>
    <w:rsid w:val="00FA5022"/>
    <w:rsid w:val="00FA5032"/>
    <w:rsid w:val="00FA50CB"/>
    <w:rsid w:val="00FA50E0"/>
    <w:rsid w:val="00FA55DC"/>
    <w:rsid w:val="00FA5FC2"/>
    <w:rsid w:val="00FA61D4"/>
    <w:rsid w:val="00FA655A"/>
    <w:rsid w:val="00FA6980"/>
    <w:rsid w:val="00FA6A21"/>
    <w:rsid w:val="00FA6C43"/>
    <w:rsid w:val="00FA6C74"/>
    <w:rsid w:val="00FA6CDF"/>
    <w:rsid w:val="00FA7192"/>
    <w:rsid w:val="00FA74C4"/>
    <w:rsid w:val="00FA7699"/>
    <w:rsid w:val="00FA79F5"/>
    <w:rsid w:val="00FA7BB5"/>
    <w:rsid w:val="00FA7BFA"/>
    <w:rsid w:val="00FA7C85"/>
    <w:rsid w:val="00FA7D4D"/>
    <w:rsid w:val="00FB078D"/>
    <w:rsid w:val="00FB0817"/>
    <w:rsid w:val="00FB0BE0"/>
    <w:rsid w:val="00FB0CF0"/>
    <w:rsid w:val="00FB0EB9"/>
    <w:rsid w:val="00FB12D8"/>
    <w:rsid w:val="00FB1531"/>
    <w:rsid w:val="00FB1554"/>
    <w:rsid w:val="00FB1721"/>
    <w:rsid w:val="00FB176A"/>
    <w:rsid w:val="00FB1969"/>
    <w:rsid w:val="00FB1B70"/>
    <w:rsid w:val="00FB1CDC"/>
    <w:rsid w:val="00FB2222"/>
    <w:rsid w:val="00FB238A"/>
    <w:rsid w:val="00FB2446"/>
    <w:rsid w:val="00FB271B"/>
    <w:rsid w:val="00FB2C81"/>
    <w:rsid w:val="00FB2D0B"/>
    <w:rsid w:val="00FB3075"/>
    <w:rsid w:val="00FB31EB"/>
    <w:rsid w:val="00FB35A6"/>
    <w:rsid w:val="00FB37F4"/>
    <w:rsid w:val="00FB3BC4"/>
    <w:rsid w:val="00FB3C33"/>
    <w:rsid w:val="00FB3D77"/>
    <w:rsid w:val="00FB3DE3"/>
    <w:rsid w:val="00FB3F9C"/>
    <w:rsid w:val="00FB3FDE"/>
    <w:rsid w:val="00FB4676"/>
    <w:rsid w:val="00FB4866"/>
    <w:rsid w:val="00FB4ACF"/>
    <w:rsid w:val="00FB52F5"/>
    <w:rsid w:val="00FB5326"/>
    <w:rsid w:val="00FB54FA"/>
    <w:rsid w:val="00FB5515"/>
    <w:rsid w:val="00FB5552"/>
    <w:rsid w:val="00FB55DA"/>
    <w:rsid w:val="00FB5789"/>
    <w:rsid w:val="00FB5813"/>
    <w:rsid w:val="00FB58B0"/>
    <w:rsid w:val="00FB5C60"/>
    <w:rsid w:val="00FB5F3A"/>
    <w:rsid w:val="00FB5F67"/>
    <w:rsid w:val="00FB60D4"/>
    <w:rsid w:val="00FB6272"/>
    <w:rsid w:val="00FB6382"/>
    <w:rsid w:val="00FB6AA9"/>
    <w:rsid w:val="00FB6AD4"/>
    <w:rsid w:val="00FB6E2C"/>
    <w:rsid w:val="00FB6E2F"/>
    <w:rsid w:val="00FB715F"/>
    <w:rsid w:val="00FB71ED"/>
    <w:rsid w:val="00FB7F02"/>
    <w:rsid w:val="00FB7F22"/>
    <w:rsid w:val="00FC00F3"/>
    <w:rsid w:val="00FC02F2"/>
    <w:rsid w:val="00FC0A33"/>
    <w:rsid w:val="00FC0B2A"/>
    <w:rsid w:val="00FC0F8A"/>
    <w:rsid w:val="00FC1416"/>
    <w:rsid w:val="00FC145B"/>
    <w:rsid w:val="00FC14B2"/>
    <w:rsid w:val="00FC153A"/>
    <w:rsid w:val="00FC158D"/>
    <w:rsid w:val="00FC1823"/>
    <w:rsid w:val="00FC1BD6"/>
    <w:rsid w:val="00FC2029"/>
    <w:rsid w:val="00FC2198"/>
    <w:rsid w:val="00FC26A4"/>
    <w:rsid w:val="00FC2851"/>
    <w:rsid w:val="00FC2C93"/>
    <w:rsid w:val="00FC2D3D"/>
    <w:rsid w:val="00FC325A"/>
    <w:rsid w:val="00FC33ED"/>
    <w:rsid w:val="00FC345B"/>
    <w:rsid w:val="00FC3854"/>
    <w:rsid w:val="00FC43AD"/>
    <w:rsid w:val="00FC478C"/>
    <w:rsid w:val="00FC4FB8"/>
    <w:rsid w:val="00FC5876"/>
    <w:rsid w:val="00FC5969"/>
    <w:rsid w:val="00FC62F5"/>
    <w:rsid w:val="00FC6577"/>
    <w:rsid w:val="00FC6815"/>
    <w:rsid w:val="00FC68B8"/>
    <w:rsid w:val="00FC6A7B"/>
    <w:rsid w:val="00FC6AE8"/>
    <w:rsid w:val="00FC731E"/>
    <w:rsid w:val="00FC74FB"/>
    <w:rsid w:val="00FC7868"/>
    <w:rsid w:val="00FC7A80"/>
    <w:rsid w:val="00FC7D73"/>
    <w:rsid w:val="00FD035A"/>
    <w:rsid w:val="00FD0524"/>
    <w:rsid w:val="00FD0E0E"/>
    <w:rsid w:val="00FD0FD3"/>
    <w:rsid w:val="00FD1156"/>
    <w:rsid w:val="00FD19F1"/>
    <w:rsid w:val="00FD1A7E"/>
    <w:rsid w:val="00FD1C5B"/>
    <w:rsid w:val="00FD28EF"/>
    <w:rsid w:val="00FD2C54"/>
    <w:rsid w:val="00FD2CC3"/>
    <w:rsid w:val="00FD31BF"/>
    <w:rsid w:val="00FD340D"/>
    <w:rsid w:val="00FD36DF"/>
    <w:rsid w:val="00FD3749"/>
    <w:rsid w:val="00FD3984"/>
    <w:rsid w:val="00FD3CC7"/>
    <w:rsid w:val="00FD4148"/>
    <w:rsid w:val="00FD45F5"/>
    <w:rsid w:val="00FD4B52"/>
    <w:rsid w:val="00FD4B6A"/>
    <w:rsid w:val="00FD4D5B"/>
    <w:rsid w:val="00FD4DCC"/>
    <w:rsid w:val="00FD5517"/>
    <w:rsid w:val="00FD55DD"/>
    <w:rsid w:val="00FD55FE"/>
    <w:rsid w:val="00FD575F"/>
    <w:rsid w:val="00FD5924"/>
    <w:rsid w:val="00FD5FBF"/>
    <w:rsid w:val="00FD6453"/>
    <w:rsid w:val="00FD67FD"/>
    <w:rsid w:val="00FD6EB3"/>
    <w:rsid w:val="00FD7163"/>
    <w:rsid w:val="00FD7CB2"/>
    <w:rsid w:val="00FD7CDF"/>
    <w:rsid w:val="00FD7D46"/>
    <w:rsid w:val="00FD7D8B"/>
    <w:rsid w:val="00FE0005"/>
    <w:rsid w:val="00FE0491"/>
    <w:rsid w:val="00FE0AA5"/>
    <w:rsid w:val="00FE0AF2"/>
    <w:rsid w:val="00FE12B7"/>
    <w:rsid w:val="00FE12DB"/>
    <w:rsid w:val="00FE196F"/>
    <w:rsid w:val="00FE1BEC"/>
    <w:rsid w:val="00FE1C47"/>
    <w:rsid w:val="00FE2039"/>
    <w:rsid w:val="00FE22DD"/>
    <w:rsid w:val="00FE293E"/>
    <w:rsid w:val="00FE2CFB"/>
    <w:rsid w:val="00FE3409"/>
    <w:rsid w:val="00FE386C"/>
    <w:rsid w:val="00FE39DC"/>
    <w:rsid w:val="00FE39F4"/>
    <w:rsid w:val="00FE4521"/>
    <w:rsid w:val="00FE48FD"/>
    <w:rsid w:val="00FE4997"/>
    <w:rsid w:val="00FE4A60"/>
    <w:rsid w:val="00FE4B22"/>
    <w:rsid w:val="00FE5208"/>
    <w:rsid w:val="00FE54E0"/>
    <w:rsid w:val="00FE55F0"/>
    <w:rsid w:val="00FE5E80"/>
    <w:rsid w:val="00FE5EBF"/>
    <w:rsid w:val="00FE5F72"/>
    <w:rsid w:val="00FE61B1"/>
    <w:rsid w:val="00FE6331"/>
    <w:rsid w:val="00FE6836"/>
    <w:rsid w:val="00FE685B"/>
    <w:rsid w:val="00FE68B6"/>
    <w:rsid w:val="00FE6A55"/>
    <w:rsid w:val="00FE6C12"/>
    <w:rsid w:val="00FE6D6F"/>
    <w:rsid w:val="00FE70EA"/>
    <w:rsid w:val="00FE73A4"/>
    <w:rsid w:val="00FE7862"/>
    <w:rsid w:val="00FE7894"/>
    <w:rsid w:val="00FE79EF"/>
    <w:rsid w:val="00FE7BAB"/>
    <w:rsid w:val="00FF00F5"/>
    <w:rsid w:val="00FF01FA"/>
    <w:rsid w:val="00FF0661"/>
    <w:rsid w:val="00FF075B"/>
    <w:rsid w:val="00FF0C7D"/>
    <w:rsid w:val="00FF0E74"/>
    <w:rsid w:val="00FF143D"/>
    <w:rsid w:val="00FF1666"/>
    <w:rsid w:val="00FF1A51"/>
    <w:rsid w:val="00FF1F0D"/>
    <w:rsid w:val="00FF21B5"/>
    <w:rsid w:val="00FF21C3"/>
    <w:rsid w:val="00FF21E7"/>
    <w:rsid w:val="00FF25F8"/>
    <w:rsid w:val="00FF2888"/>
    <w:rsid w:val="00FF2A11"/>
    <w:rsid w:val="00FF2AA0"/>
    <w:rsid w:val="00FF2C47"/>
    <w:rsid w:val="00FF3813"/>
    <w:rsid w:val="00FF3D05"/>
    <w:rsid w:val="00FF3E90"/>
    <w:rsid w:val="00FF3F6C"/>
    <w:rsid w:val="00FF4603"/>
    <w:rsid w:val="00FF4749"/>
    <w:rsid w:val="00FF4AA5"/>
    <w:rsid w:val="00FF4ABD"/>
    <w:rsid w:val="00FF4B07"/>
    <w:rsid w:val="00FF4BFC"/>
    <w:rsid w:val="00FF4C11"/>
    <w:rsid w:val="00FF56B9"/>
    <w:rsid w:val="00FF57E8"/>
    <w:rsid w:val="00FF58C0"/>
    <w:rsid w:val="00FF5948"/>
    <w:rsid w:val="00FF6363"/>
    <w:rsid w:val="00FF6AA1"/>
    <w:rsid w:val="00FF6B71"/>
    <w:rsid w:val="00FF6EDF"/>
    <w:rsid w:val="00FF6EEA"/>
    <w:rsid w:val="00FF77DF"/>
    <w:rsid w:val="00FF7A45"/>
    <w:rsid w:val="00FF7ABB"/>
    <w:rsid w:val="00FF7B99"/>
    <w:rsid w:val="01105424"/>
    <w:rsid w:val="012A9492"/>
    <w:rsid w:val="01D79D44"/>
    <w:rsid w:val="01E08D90"/>
    <w:rsid w:val="02BE9DC8"/>
    <w:rsid w:val="02CCE8BA"/>
    <w:rsid w:val="04809196"/>
    <w:rsid w:val="048D3112"/>
    <w:rsid w:val="04B24934"/>
    <w:rsid w:val="057DCEFE"/>
    <w:rsid w:val="06CF06FD"/>
    <w:rsid w:val="07C18390"/>
    <w:rsid w:val="091D4794"/>
    <w:rsid w:val="091D78CB"/>
    <w:rsid w:val="0A198096"/>
    <w:rsid w:val="0A2DC931"/>
    <w:rsid w:val="0A6BC2BF"/>
    <w:rsid w:val="0AB63F5B"/>
    <w:rsid w:val="0ADE68B6"/>
    <w:rsid w:val="0AEE754D"/>
    <w:rsid w:val="0B3BE905"/>
    <w:rsid w:val="0B3CC5FD"/>
    <w:rsid w:val="0BA319B6"/>
    <w:rsid w:val="0CEDDBD0"/>
    <w:rsid w:val="0CF43B63"/>
    <w:rsid w:val="0D462A75"/>
    <w:rsid w:val="0D79C616"/>
    <w:rsid w:val="0DCE654A"/>
    <w:rsid w:val="0E54DDBE"/>
    <w:rsid w:val="0E7C2B12"/>
    <w:rsid w:val="0E9BDCCC"/>
    <w:rsid w:val="0EAB6DAE"/>
    <w:rsid w:val="1039AE20"/>
    <w:rsid w:val="10F23456"/>
    <w:rsid w:val="10FF72CB"/>
    <w:rsid w:val="110441CC"/>
    <w:rsid w:val="1208D2E5"/>
    <w:rsid w:val="1258D62A"/>
    <w:rsid w:val="12808FA6"/>
    <w:rsid w:val="13CCC376"/>
    <w:rsid w:val="143226A3"/>
    <w:rsid w:val="14589E4F"/>
    <w:rsid w:val="14AF9318"/>
    <w:rsid w:val="14DE74DB"/>
    <w:rsid w:val="166B8F67"/>
    <w:rsid w:val="180F2C8E"/>
    <w:rsid w:val="1852535E"/>
    <w:rsid w:val="1886510B"/>
    <w:rsid w:val="18A951D6"/>
    <w:rsid w:val="1954C8B2"/>
    <w:rsid w:val="19F46F8B"/>
    <w:rsid w:val="1A0836F0"/>
    <w:rsid w:val="1BD9646B"/>
    <w:rsid w:val="1C949228"/>
    <w:rsid w:val="1D7744C8"/>
    <w:rsid w:val="1D9A78C8"/>
    <w:rsid w:val="1E245B82"/>
    <w:rsid w:val="1E6EAEA8"/>
    <w:rsid w:val="1E9ECB8E"/>
    <w:rsid w:val="1F4C6CAC"/>
    <w:rsid w:val="1F9147A4"/>
    <w:rsid w:val="1FCA231A"/>
    <w:rsid w:val="20338F2A"/>
    <w:rsid w:val="20817456"/>
    <w:rsid w:val="20A5F9FD"/>
    <w:rsid w:val="21ED24FA"/>
    <w:rsid w:val="234342AB"/>
    <w:rsid w:val="23E93CB0"/>
    <w:rsid w:val="256F8B29"/>
    <w:rsid w:val="25E720C0"/>
    <w:rsid w:val="261C32AD"/>
    <w:rsid w:val="265EDA49"/>
    <w:rsid w:val="272B789B"/>
    <w:rsid w:val="278898E7"/>
    <w:rsid w:val="27DE813D"/>
    <w:rsid w:val="2815BEC1"/>
    <w:rsid w:val="2872FA28"/>
    <w:rsid w:val="29C13D46"/>
    <w:rsid w:val="29C2EB0D"/>
    <w:rsid w:val="2A0509D7"/>
    <w:rsid w:val="2A07E4CB"/>
    <w:rsid w:val="2A405D59"/>
    <w:rsid w:val="2ACAEF74"/>
    <w:rsid w:val="2D00AA9D"/>
    <w:rsid w:val="2DB94835"/>
    <w:rsid w:val="2E1C199B"/>
    <w:rsid w:val="2FAA6F01"/>
    <w:rsid w:val="2FFF95CA"/>
    <w:rsid w:val="306F7CA1"/>
    <w:rsid w:val="30C1DC76"/>
    <w:rsid w:val="314ACB86"/>
    <w:rsid w:val="316B5B0C"/>
    <w:rsid w:val="32980EB5"/>
    <w:rsid w:val="33184CC0"/>
    <w:rsid w:val="33C1CC40"/>
    <w:rsid w:val="35268EAA"/>
    <w:rsid w:val="35CE408B"/>
    <w:rsid w:val="36AD7C84"/>
    <w:rsid w:val="37629BAF"/>
    <w:rsid w:val="37AF6519"/>
    <w:rsid w:val="37F97CD5"/>
    <w:rsid w:val="3848262C"/>
    <w:rsid w:val="38707FF9"/>
    <w:rsid w:val="38A4DEC0"/>
    <w:rsid w:val="38AAB32D"/>
    <w:rsid w:val="3973452E"/>
    <w:rsid w:val="39A3D0DF"/>
    <w:rsid w:val="39C36075"/>
    <w:rsid w:val="3A336E52"/>
    <w:rsid w:val="3A822283"/>
    <w:rsid w:val="3AAD5821"/>
    <w:rsid w:val="3ACA8437"/>
    <w:rsid w:val="3AD3CEFE"/>
    <w:rsid w:val="3B1AD9A4"/>
    <w:rsid w:val="3B47D958"/>
    <w:rsid w:val="3C807D71"/>
    <w:rsid w:val="3DA861BA"/>
    <w:rsid w:val="3F6D5207"/>
    <w:rsid w:val="3FA7EC7C"/>
    <w:rsid w:val="3FC3B1E9"/>
    <w:rsid w:val="406D0FC1"/>
    <w:rsid w:val="406E2746"/>
    <w:rsid w:val="4116E5EF"/>
    <w:rsid w:val="416B621F"/>
    <w:rsid w:val="426BA781"/>
    <w:rsid w:val="42B7AEF0"/>
    <w:rsid w:val="4558BE60"/>
    <w:rsid w:val="45A1874A"/>
    <w:rsid w:val="4601A03A"/>
    <w:rsid w:val="46A11318"/>
    <w:rsid w:val="479ADAB5"/>
    <w:rsid w:val="47CC4D34"/>
    <w:rsid w:val="48F1CF1A"/>
    <w:rsid w:val="4908912C"/>
    <w:rsid w:val="49BB268B"/>
    <w:rsid w:val="4A25C294"/>
    <w:rsid w:val="4B1428B7"/>
    <w:rsid w:val="4B1670B9"/>
    <w:rsid w:val="4BC8035D"/>
    <w:rsid w:val="4C804C1A"/>
    <w:rsid w:val="4D01518E"/>
    <w:rsid w:val="4D0F60ED"/>
    <w:rsid w:val="4DF238EC"/>
    <w:rsid w:val="4E3285BB"/>
    <w:rsid w:val="4F6387D6"/>
    <w:rsid w:val="506BC989"/>
    <w:rsid w:val="50B7CB66"/>
    <w:rsid w:val="50CE50EE"/>
    <w:rsid w:val="5123177E"/>
    <w:rsid w:val="515888B3"/>
    <w:rsid w:val="5161D740"/>
    <w:rsid w:val="5218ED35"/>
    <w:rsid w:val="526F2039"/>
    <w:rsid w:val="52CA7732"/>
    <w:rsid w:val="52ED866E"/>
    <w:rsid w:val="52F8904F"/>
    <w:rsid w:val="531B2108"/>
    <w:rsid w:val="54E3A377"/>
    <w:rsid w:val="553B0BFF"/>
    <w:rsid w:val="554EEB0A"/>
    <w:rsid w:val="5576D9D3"/>
    <w:rsid w:val="5631CE41"/>
    <w:rsid w:val="5681307B"/>
    <w:rsid w:val="56994EB5"/>
    <w:rsid w:val="57029375"/>
    <w:rsid w:val="57A3761B"/>
    <w:rsid w:val="5811364D"/>
    <w:rsid w:val="5894DDA1"/>
    <w:rsid w:val="5A0C558D"/>
    <w:rsid w:val="5A6BFFFE"/>
    <w:rsid w:val="5A8904CD"/>
    <w:rsid w:val="5AD643EC"/>
    <w:rsid w:val="5AFAE20B"/>
    <w:rsid w:val="5C02BA12"/>
    <w:rsid w:val="5C5476AC"/>
    <w:rsid w:val="5C74FF41"/>
    <w:rsid w:val="5CD3524F"/>
    <w:rsid w:val="5D6BCB91"/>
    <w:rsid w:val="5DE9EA27"/>
    <w:rsid w:val="5E268A04"/>
    <w:rsid w:val="5F952ED1"/>
    <w:rsid w:val="5FAF03DE"/>
    <w:rsid w:val="5FD649C9"/>
    <w:rsid w:val="5FDA83B2"/>
    <w:rsid w:val="600E5102"/>
    <w:rsid w:val="602B14A6"/>
    <w:rsid w:val="60B635F9"/>
    <w:rsid w:val="60D76935"/>
    <w:rsid w:val="6125E3A9"/>
    <w:rsid w:val="61755BE8"/>
    <w:rsid w:val="620F4014"/>
    <w:rsid w:val="622CD6CC"/>
    <w:rsid w:val="624ABE3E"/>
    <w:rsid w:val="63B8A2AE"/>
    <w:rsid w:val="63D7A882"/>
    <w:rsid w:val="644437EE"/>
    <w:rsid w:val="644BFBAD"/>
    <w:rsid w:val="6483504C"/>
    <w:rsid w:val="65055CDA"/>
    <w:rsid w:val="65B76861"/>
    <w:rsid w:val="65E70800"/>
    <w:rsid w:val="6791EB63"/>
    <w:rsid w:val="680134B2"/>
    <w:rsid w:val="686F0DE3"/>
    <w:rsid w:val="68975631"/>
    <w:rsid w:val="6941D20A"/>
    <w:rsid w:val="6999D219"/>
    <w:rsid w:val="6B0410CA"/>
    <w:rsid w:val="6C6B3883"/>
    <w:rsid w:val="6CD634A5"/>
    <w:rsid w:val="6CEFD813"/>
    <w:rsid w:val="6D062862"/>
    <w:rsid w:val="6D136BCD"/>
    <w:rsid w:val="6D27FCB8"/>
    <w:rsid w:val="6D3FC3C2"/>
    <w:rsid w:val="6DC16244"/>
    <w:rsid w:val="6E8DCA01"/>
    <w:rsid w:val="6EB5C317"/>
    <w:rsid w:val="6ED4146D"/>
    <w:rsid w:val="6F787B59"/>
    <w:rsid w:val="6F793A7C"/>
    <w:rsid w:val="6F8760FC"/>
    <w:rsid w:val="6FAD928A"/>
    <w:rsid w:val="7057DF1D"/>
    <w:rsid w:val="70F83837"/>
    <w:rsid w:val="7113993F"/>
    <w:rsid w:val="714A3DF3"/>
    <w:rsid w:val="71769F43"/>
    <w:rsid w:val="719DC3AE"/>
    <w:rsid w:val="72D049C0"/>
    <w:rsid w:val="730162C3"/>
    <w:rsid w:val="73945B9F"/>
    <w:rsid w:val="73EC872D"/>
    <w:rsid w:val="743E5C05"/>
    <w:rsid w:val="74457D7E"/>
    <w:rsid w:val="7598DD9B"/>
    <w:rsid w:val="75994808"/>
    <w:rsid w:val="77508857"/>
    <w:rsid w:val="77EE8104"/>
    <w:rsid w:val="78154D87"/>
    <w:rsid w:val="78D9BD0B"/>
    <w:rsid w:val="7915ADCE"/>
    <w:rsid w:val="796EB2F1"/>
    <w:rsid w:val="79DE0A8D"/>
    <w:rsid w:val="7ACF6320"/>
    <w:rsid w:val="7B348375"/>
    <w:rsid w:val="7CB55AAE"/>
    <w:rsid w:val="7D5AE8AB"/>
    <w:rsid w:val="7DA10C1D"/>
    <w:rsid w:val="7E0A55AC"/>
    <w:rsid w:val="7E24ED1A"/>
    <w:rsid w:val="7FAA6C0A"/>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8D789B"/>
  <w14:defaultImageDpi w14:val="330"/>
  <w15:docId w15:val="{73778079-4545-4FCE-972B-8DC89355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EFE"/>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5514B8"/>
    <w:pPr>
      <w:jc w:val="left"/>
    </w:pPr>
  </w:style>
  <w:style w:type="character" w:customStyle="1" w:styleId="BodyTextChar">
    <w:name w:val="Body Text Char"/>
    <w:basedOn w:val="DefaultParagraphFont"/>
    <w:link w:val="BodyText"/>
    <w:rsid w:val="005514B8"/>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1"/>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4A3CC2"/>
    <w:rPr>
      <w:rFonts w:ascii="Georgia" w:eastAsiaTheme="minorEastAsia" w:hAnsi="Georgia"/>
      <w:b/>
      <w:color w:val="1B556B"/>
      <w:sz w:val="56"/>
      <w:lang w:eastAsia="en-NZ"/>
    </w:rPr>
  </w:style>
  <w:style w:type="paragraph" w:styleId="Subtitle">
    <w:name w:val="Subtitle"/>
    <w:basedOn w:val="Title"/>
    <w:link w:val="SubtitleChar"/>
    <w:uiPriority w:val="2"/>
    <w:rsid w:val="004A3CC2"/>
    <w:pPr>
      <w:spacing w:before="600" w:line="240" w:lineRule="auto"/>
    </w:pPr>
    <w:rPr>
      <w:sz w:val="36"/>
      <w:szCs w:val="36"/>
    </w:rPr>
  </w:style>
  <w:style w:type="character" w:customStyle="1" w:styleId="SubtitleChar">
    <w:name w:val="Subtitle Char"/>
    <w:basedOn w:val="DefaultParagraphFont"/>
    <w:link w:val="Subtitle"/>
    <w:uiPriority w:val="2"/>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B556B" w:themeColor="accent1"/>
        <w:left w:val="single" w:sz="8" w:space="0" w:color="1B556B" w:themeColor="accent1"/>
        <w:bottom w:val="single" w:sz="8" w:space="0" w:color="1B556B" w:themeColor="accent1"/>
        <w:right w:val="single" w:sz="8" w:space="0" w:color="1B556B" w:themeColor="accent1"/>
        <w:insideH w:val="single" w:sz="8" w:space="0" w:color="1B556B" w:themeColor="accent1"/>
        <w:insideV w:val="single" w:sz="8" w:space="0" w:color="1B556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56B" w:themeColor="accent1"/>
          <w:left w:val="single" w:sz="8" w:space="0" w:color="1B556B" w:themeColor="accent1"/>
          <w:bottom w:val="single" w:sz="18" w:space="0" w:color="1B556B" w:themeColor="accent1"/>
          <w:right w:val="single" w:sz="8" w:space="0" w:color="1B556B" w:themeColor="accent1"/>
          <w:insideH w:val="nil"/>
          <w:insideV w:val="single" w:sz="8" w:space="0" w:color="1B556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56B" w:themeColor="accent1"/>
          <w:left w:val="single" w:sz="8" w:space="0" w:color="1B556B" w:themeColor="accent1"/>
          <w:bottom w:val="single" w:sz="8" w:space="0" w:color="1B556B" w:themeColor="accent1"/>
          <w:right w:val="single" w:sz="8" w:space="0" w:color="1B556B" w:themeColor="accent1"/>
          <w:insideH w:val="nil"/>
          <w:insideV w:val="single" w:sz="8" w:space="0" w:color="1B556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tblStylePr w:type="band1Vert">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shd w:val="clear" w:color="auto" w:fill="B4DCEC" w:themeFill="accent1" w:themeFillTint="3F"/>
      </w:tcPr>
    </w:tblStylePr>
    <w:tblStylePr w:type="band1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insideV w:val="single" w:sz="8" w:space="0" w:color="1B556B" w:themeColor="accent1"/>
        </w:tcBorders>
        <w:shd w:val="clear" w:color="auto" w:fill="B4DCEC" w:themeFill="accent1" w:themeFillTint="3F"/>
      </w:tcPr>
    </w:tblStylePr>
    <w:tblStylePr w:type="band2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insideV w:val="single" w:sz="8" w:space="0" w:color="1B556B"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43F50" w:themeColor="accent1" w:themeShade="BF"/>
    </w:rPr>
    <w:tblPr>
      <w:tblStyleRowBandSize w:val="1"/>
      <w:tblStyleColBandSize w:val="1"/>
      <w:tblBorders>
        <w:top w:val="single" w:sz="8" w:space="0" w:color="1B556B" w:themeColor="accent1"/>
        <w:bottom w:val="single" w:sz="8" w:space="0" w:color="1B556B" w:themeColor="accent1"/>
      </w:tblBorders>
    </w:tblPr>
    <w:tblStylePr w:type="fir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la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CEC" w:themeFill="accent1" w:themeFillTint="3F"/>
      </w:tcPr>
    </w:tblStylePr>
    <w:tblStylePr w:type="band1Horz">
      <w:tblPr/>
      <w:tcPr>
        <w:tcBorders>
          <w:left w:val="nil"/>
          <w:right w:val="nil"/>
          <w:insideH w:val="nil"/>
          <w:insideV w:val="nil"/>
        </w:tcBorders>
        <w:shd w:val="clear" w:color="auto" w:fill="B4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B556B" w:themeColor="accent1"/>
        <w:left w:val="single" w:sz="8" w:space="0" w:color="1B556B" w:themeColor="accent1"/>
        <w:bottom w:val="single" w:sz="8" w:space="0" w:color="1B556B" w:themeColor="accent1"/>
        <w:right w:val="single" w:sz="8" w:space="0" w:color="1B556B" w:themeColor="accent1"/>
      </w:tblBorders>
    </w:tblPr>
    <w:tblStylePr w:type="firstRow">
      <w:pPr>
        <w:spacing w:before="0" w:after="0" w:line="240" w:lineRule="auto"/>
      </w:pPr>
      <w:rPr>
        <w:b/>
        <w:bCs/>
        <w:color w:val="FFFFFF" w:themeColor="background1"/>
      </w:rPr>
      <w:tblPr/>
      <w:tcPr>
        <w:shd w:val="clear" w:color="auto" w:fill="1B556B" w:themeFill="accent1"/>
      </w:tcPr>
    </w:tblStylePr>
    <w:tblStylePr w:type="lastRow">
      <w:pPr>
        <w:spacing w:before="0" w:after="0" w:line="240" w:lineRule="auto"/>
      </w:pPr>
      <w:rPr>
        <w:b/>
        <w:bCs/>
      </w:rPr>
      <w:tblPr/>
      <w:tcPr>
        <w:tcBorders>
          <w:top w:val="double" w:sz="6" w:space="0" w:color="1B556B" w:themeColor="accent1"/>
          <w:left w:val="single" w:sz="8" w:space="0" w:color="1B556B" w:themeColor="accent1"/>
          <w:bottom w:val="single" w:sz="8" w:space="0" w:color="1B556B" w:themeColor="accent1"/>
          <w:right w:val="single" w:sz="8" w:space="0" w:color="1B556B" w:themeColor="accent1"/>
        </w:tcBorders>
      </w:tcPr>
    </w:tblStylePr>
    <w:tblStylePr w:type="firstCol">
      <w:rPr>
        <w:b/>
        <w:bCs/>
      </w:rPr>
    </w:tblStylePr>
    <w:tblStylePr w:type="lastCol">
      <w:rPr>
        <w:b/>
        <w:bCs/>
      </w:rPr>
    </w:tblStylePr>
    <w:tblStylePr w:type="band1Vert">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tblStylePr w:type="band1Horz">
      <w:tblPr/>
      <w:tcPr>
        <w:tcBorders>
          <w:top w:val="single" w:sz="8" w:space="0" w:color="1B556B" w:themeColor="accent1"/>
          <w:left w:val="single" w:sz="8" w:space="0" w:color="1B556B" w:themeColor="accent1"/>
          <w:bottom w:val="single" w:sz="8" w:space="0" w:color="1B556B" w:themeColor="accent1"/>
          <w:right w:val="single" w:sz="8" w:space="0" w:color="1B556B"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B556B"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43F50" w:themeColor="accent1" w:themeShade="BF"/>
      <w:lang w:val="en-US"/>
    </w:rPr>
    <w:tblPr>
      <w:tblStyleRowBandSize w:val="1"/>
      <w:tblStyleColBandSize w:val="1"/>
      <w:tblBorders>
        <w:top w:val="single" w:sz="8" w:space="0" w:color="1B556B" w:themeColor="accent1"/>
        <w:bottom w:val="single" w:sz="8" w:space="0" w:color="1B556B" w:themeColor="accent1"/>
      </w:tblBorders>
    </w:tblPr>
    <w:tblStylePr w:type="fir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lastRow">
      <w:pPr>
        <w:spacing w:before="0" w:after="0" w:line="240" w:lineRule="auto"/>
      </w:pPr>
      <w:rPr>
        <w:b/>
        <w:bCs/>
      </w:rPr>
      <w:tblPr/>
      <w:tcPr>
        <w:tcBorders>
          <w:top w:val="single" w:sz="8" w:space="0" w:color="1B556B" w:themeColor="accent1"/>
          <w:left w:val="nil"/>
          <w:bottom w:val="single" w:sz="8" w:space="0" w:color="1B556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4DCEC" w:themeFill="accent1" w:themeFillTint="3F"/>
      </w:tcPr>
    </w:tblStylePr>
    <w:tblStylePr w:type="band1Horz">
      <w:tblPr/>
      <w:tcPr>
        <w:tcBorders>
          <w:left w:val="nil"/>
          <w:right w:val="nil"/>
          <w:insideH w:val="nil"/>
          <w:insideV w:val="nil"/>
        </w:tcBorders>
        <w:shd w:val="clear" w:color="auto" w:fill="B4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0">
    <w:name w:val="Box bullet"/>
    <w:basedOn w:val="Boxtext"/>
    <w:uiPriority w:val="1"/>
    <w:qFormat/>
    <w:rsid w:val="005D3242"/>
    <w:pPr>
      <w:tabs>
        <w:tab w:val="left" w:pos="680"/>
      </w:tabs>
      <w:spacing w:before="0"/>
      <w:ind w:left="0"/>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FC6815"/>
    <w:rPr>
      <w:rFonts w:ascii="Calibri" w:eastAsiaTheme="minorEastAsia" w:hAnsi="Calibri"/>
      <w:sz w:val="20"/>
      <w:szCs w:val="20"/>
      <w:lang w:eastAsia="en-NZ"/>
    </w:rPr>
  </w:style>
  <w:style w:type="paragraph" w:customStyle="1" w:styleId="Default">
    <w:name w:val="Default"/>
    <w:semiHidden/>
    <w:rsid w:val="00F14909"/>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rsid w:val="0015184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184BE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9117">
      <w:bodyDiv w:val="1"/>
      <w:marLeft w:val="0"/>
      <w:marRight w:val="0"/>
      <w:marTop w:val="0"/>
      <w:marBottom w:val="0"/>
      <w:divBdr>
        <w:top w:val="none" w:sz="0" w:space="0" w:color="auto"/>
        <w:left w:val="none" w:sz="0" w:space="0" w:color="auto"/>
        <w:bottom w:val="none" w:sz="0" w:space="0" w:color="auto"/>
        <w:right w:val="none" w:sz="0" w:space="0" w:color="auto"/>
      </w:divBdr>
      <w:divsChild>
        <w:div w:id="601107062">
          <w:marLeft w:val="0"/>
          <w:marRight w:val="0"/>
          <w:marTop w:val="0"/>
          <w:marBottom w:val="0"/>
          <w:divBdr>
            <w:top w:val="none" w:sz="0" w:space="0" w:color="auto"/>
            <w:left w:val="none" w:sz="0" w:space="0" w:color="auto"/>
            <w:bottom w:val="none" w:sz="0" w:space="0" w:color="auto"/>
            <w:right w:val="none" w:sz="0" w:space="0" w:color="auto"/>
          </w:divBdr>
          <w:divsChild>
            <w:div w:id="485440628">
              <w:marLeft w:val="0"/>
              <w:marRight w:val="0"/>
              <w:marTop w:val="0"/>
              <w:marBottom w:val="0"/>
              <w:divBdr>
                <w:top w:val="none" w:sz="0" w:space="0" w:color="auto"/>
                <w:left w:val="none" w:sz="0" w:space="0" w:color="auto"/>
                <w:bottom w:val="none" w:sz="0" w:space="0" w:color="auto"/>
                <w:right w:val="none" w:sz="0" w:space="0" w:color="auto"/>
              </w:divBdr>
              <w:divsChild>
                <w:div w:id="499085908">
                  <w:marLeft w:val="0"/>
                  <w:marRight w:val="0"/>
                  <w:marTop w:val="0"/>
                  <w:marBottom w:val="0"/>
                  <w:divBdr>
                    <w:top w:val="none" w:sz="0" w:space="0" w:color="auto"/>
                    <w:left w:val="none" w:sz="0" w:space="0" w:color="auto"/>
                    <w:bottom w:val="none" w:sz="0" w:space="0" w:color="auto"/>
                    <w:right w:val="none" w:sz="0" w:space="0" w:color="auto"/>
                  </w:divBdr>
                </w:div>
              </w:divsChild>
            </w:div>
            <w:div w:id="521631743">
              <w:marLeft w:val="0"/>
              <w:marRight w:val="0"/>
              <w:marTop w:val="0"/>
              <w:marBottom w:val="0"/>
              <w:divBdr>
                <w:top w:val="none" w:sz="0" w:space="0" w:color="auto"/>
                <w:left w:val="none" w:sz="0" w:space="0" w:color="auto"/>
                <w:bottom w:val="none" w:sz="0" w:space="0" w:color="auto"/>
                <w:right w:val="none" w:sz="0" w:space="0" w:color="auto"/>
              </w:divBdr>
              <w:divsChild>
                <w:div w:id="722749035">
                  <w:marLeft w:val="0"/>
                  <w:marRight w:val="0"/>
                  <w:marTop w:val="0"/>
                  <w:marBottom w:val="0"/>
                  <w:divBdr>
                    <w:top w:val="none" w:sz="0" w:space="0" w:color="auto"/>
                    <w:left w:val="none" w:sz="0" w:space="0" w:color="auto"/>
                    <w:bottom w:val="none" w:sz="0" w:space="0" w:color="auto"/>
                    <w:right w:val="none" w:sz="0" w:space="0" w:color="auto"/>
                  </w:divBdr>
                </w:div>
              </w:divsChild>
            </w:div>
            <w:div w:id="689718254">
              <w:marLeft w:val="0"/>
              <w:marRight w:val="0"/>
              <w:marTop w:val="0"/>
              <w:marBottom w:val="0"/>
              <w:divBdr>
                <w:top w:val="none" w:sz="0" w:space="0" w:color="auto"/>
                <w:left w:val="none" w:sz="0" w:space="0" w:color="auto"/>
                <w:bottom w:val="none" w:sz="0" w:space="0" w:color="auto"/>
                <w:right w:val="none" w:sz="0" w:space="0" w:color="auto"/>
              </w:divBdr>
              <w:divsChild>
                <w:div w:id="186600871">
                  <w:marLeft w:val="0"/>
                  <w:marRight w:val="0"/>
                  <w:marTop w:val="0"/>
                  <w:marBottom w:val="0"/>
                  <w:divBdr>
                    <w:top w:val="none" w:sz="0" w:space="0" w:color="auto"/>
                    <w:left w:val="none" w:sz="0" w:space="0" w:color="auto"/>
                    <w:bottom w:val="none" w:sz="0" w:space="0" w:color="auto"/>
                    <w:right w:val="none" w:sz="0" w:space="0" w:color="auto"/>
                  </w:divBdr>
                </w:div>
              </w:divsChild>
            </w:div>
            <w:div w:id="1208419200">
              <w:marLeft w:val="0"/>
              <w:marRight w:val="0"/>
              <w:marTop w:val="0"/>
              <w:marBottom w:val="0"/>
              <w:divBdr>
                <w:top w:val="none" w:sz="0" w:space="0" w:color="auto"/>
                <w:left w:val="none" w:sz="0" w:space="0" w:color="auto"/>
                <w:bottom w:val="none" w:sz="0" w:space="0" w:color="auto"/>
                <w:right w:val="none" w:sz="0" w:space="0" w:color="auto"/>
              </w:divBdr>
              <w:divsChild>
                <w:div w:id="477965010">
                  <w:marLeft w:val="0"/>
                  <w:marRight w:val="0"/>
                  <w:marTop w:val="0"/>
                  <w:marBottom w:val="0"/>
                  <w:divBdr>
                    <w:top w:val="none" w:sz="0" w:space="0" w:color="auto"/>
                    <w:left w:val="none" w:sz="0" w:space="0" w:color="auto"/>
                    <w:bottom w:val="none" w:sz="0" w:space="0" w:color="auto"/>
                    <w:right w:val="none" w:sz="0" w:space="0" w:color="auto"/>
                  </w:divBdr>
                </w:div>
              </w:divsChild>
            </w:div>
            <w:div w:id="1325016047">
              <w:marLeft w:val="0"/>
              <w:marRight w:val="0"/>
              <w:marTop w:val="0"/>
              <w:marBottom w:val="0"/>
              <w:divBdr>
                <w:top w:val="none" w:sz="0" w:space="0" w:color="auto"/>
                <w:left w:val="none" w:sz="0" w:space="0" w:color="auto"/>
                <w:bottom w:val="none" w:sz="0" w:space="0" w:color="auto"/>
                <w:right w:val="none" w:sz="0" w:space="0" w:color="auto"/>
              </w:divBdr>
              <w:divsChild>
                <w:div w:id="2980887">
                  <w:marLeft w:val="0"/>
                  <w:marRight w:val="0"/>
                  <w:marTop w:val="0"/>
                  <w:marBottom w:val="0"/>
                  <w:divBdr>
                    <w:top w:val="none" w:sz="0" w:space="0" w:color="auto"/>
                    <w:left w:val="none" w:sz="0" w:space="0" w:color="auto"/>
                    <w:bottom w:val="none" w:sz="0" w:space="0" w:color="auto"/>
                    <w:right w:val="none" w:sz="0" w:space="0" w:color="auto"/>
                  </w:divBdr>
                </w:div>
                <w:div w:id="766265694">
                  <w:marLeft w:val="0"/>
                  <w:marRight w:val="0"/>
                  <w:marTop w:val="0"/>
                  <w:marBottom w:val="0"/>
                  <w:divBdr>
                    <w:top w:val="none" w:sz="0" w:space="0" w:color="auto"/>
                    <w:left w:val="none" w:sz="0" w:space="0" w:color="auto"/>
                    <w:bottom w:val="none" w:sz="0" w:space="0" w:color="auto"/>
                    <w:right w:val="none" w:sz="0" w:space="0" w:color="auto"/>
                  </w:divBdr>
                </w:div>
                <w:div w:id="1175075429">
                  <w:marLeft w:val="0"/>
                  <w:marRight w:val="0"/>
                  <w:marTop w:val="0"/>
                  <w:marBottom w:val="0"/>
                  <w:divBdr>
                    <w:top w:val="none" w:sz="0" w:space="0" w:color="auto"/>
                    <w:left w:val="none" w:sz="0" w:space="0" w:color="auto"/>
                    <w:bottom w:val="none" w:sz="0" w:space="0" w:color="auto"/>
                    <w:right w:val="none" w:sz="0" w:space="0" w:color="auto"/>
                  </w:divBdr>
                </w:div>
                <w:div w:id="1274166329">
                  <w:marLeft w:val="0"/>
                  <w:marRight w:val="0"/>
                  <w:marTop w:val="0"/>
                  <w:marBottom w:val="0"/>
                  <w:divBdr>
                    <w:top w:val="none" w:sz="0" w:space="0" w:color="auto"/>
                    <w:left w:val="none" w:sz="0" w:space="0" w:color="auto"/>
                    <w:bottom w:val="none" w:sz="0" w:space="0" w:color="auto"/>
                    <w:right w:val="none" w:sz="0" w:space="0" w:color="auto"/>
                  </w:divBdr>
                </w:div>
                <w:div w:id="1395931806">
                  <w:marLeft w:val="0"/>
                  <w:marRight w:val="0"/>
                  <w:marTop w:val="0"/>
                  <w:marBottom w:val="0"/>
                  <w:divBdr>
                    <w:top w:val="none" w:sz="0" w:space="0" w:color="auto"/>
                    <w:left w:val="none" w:sz="0" w:space="0" w:color="auto"/>
                    <w:bottom w:val="none" w:sz="0" w:space="0" w:color="auto"/>
                    <w:right w:val="none" w:sz="0" w:space="0" w:color="auto"/>
                  </w:divBdr>
                </w:div>
              </w:divsChild>
            </w:div>
            <w:div w:id="1363704942">
              <w:marLeft w:val="0"/>
              <w:marRight w:val="0"/>
              <w:marTop w:val="0"/>
              <w:marBottom w:val="0"/>
              <w:divBdr>
                <w:top w:val="none" w:sz="0" w:space="0" w:color="auto"/>
                <w:left w:val="none" w:sz="0" w:space="0" w:color="auto"/>
                <w:bottom w:val="none" w:sz="0" w:space="0" w:color="auto"/>
                <w:right w:val="none" w:sz="0" w:space="0" w:color="auto"/>
              </w:divBdr>
              <w:divsChild>
                <w:div w:id="1439370263">
                  <w:marLeft w:val="0"/>
                  <w:marRight w:val="0"/>
                  <w:marTop w:val="0"/>
                  <w:marBottom w:val="0"/>
                  <w:divBdr>
                    <w:top w:val="none" w:sz="0" w:space="0" w:color="auto"/>
                    <w:left w:val="none" w:sz="0" w:space="0" w:color="auto"/>
                    <w:bottom w:val="none" w:sz="0" w:space="0" w:color="auto"/>
                    <w:right w:val="none" w:sz="0" w:space="0" w:color="auto"/>
                  </w:divBdr>
                </w:div>
              </w:divsChild>
            </w:div>
            <w:div w:id="1495955613">
              <w:marLeft w:val="0"/>
              <w:marRight w:val="0"/>
              <w:marTop w:val="0"/>
              <w:marBottom w:val="0"/>
              <w:divBdr>
                <w:top w:val="none" w:sz="0" w:space="0" w:color="auto"/>
                <w:left w:val="none" w:sz="0" w:space="0" w:color="auto"/>
                <w:bottom w:val="none" w:sz="0" w:space="0" w:color="auto"/>
                <w:right w:val="none" w:sz="0" w:space="0" w:color="auto"/>
              </w:divBdr>
              <w:divsChild>
                <w:div w:id="1355500705">
                  <w:marLeft w:val="0"/>
                  <w:marRight w:val="0"/>
                  <w:marTop w:val="0"/>
                  <w:marBottom w:val="0"/>
                  <w:divBdr>
                    <w:top w:val="none" w:sz="0" w:space="0" w:color="auto"/>
                    <w:left w:val="none" w:sz="0" w:space="0" w:color="auto"/>
                    <w:bottom w:val="none" w:sz="0" w:space="0" w:color="auto"/>
                    <w:right w:val="none" w:sz="0" w:space="0" w:color="auto"/>
                  </w:divBdr>
                </w:div>
              </w:divsChild>
            </w:div>
            <w:div w:id="1758944293">
              <w:marLeft w:val="0"/>
              <w:marRight w:val="0"/>
              <w:marTop w:val="0"/>
              <w:marBottom w:val="0"/>
              <w:divBdr>
                <w:top w:val="none" w:sz="0" w:space="0" w:color="auto"/>
                <w:left w:val="none" w:sz="0" w:space="0" w:color="auto"/>
                <w:bottom w:val="none" w:sz="0" w:space="0" w:color="auto"/>
                <w:right w:val="none" w:sz="0" w:space="0" w:color="auto"/>
              </w:divBdr>
            </w:div>
            <w:div w:id="1966110197">
              <w:marLeft w:val="0"/>
              <w:marRight w:val="0"/>
              <w:marTop w:val="0"/>
              <w:marBottom w:val="0"/>
              <w:divBdr>
                <w:top w:val="none" w:sz="0" w:space="0" w:color="auto"/>
                <w:left w:val="none" w:sz="0" w:space="0" w:color="auto"/>
                <w:bottom w:val="none" w:sz="0" w:space="0" w:color="auto"/>
                <w:right w:val="none" w:sz="0" w:space="0" w:color="auto"/>
              </w:divBdr>
              <w:divsChild>
                <w:div w:id="29428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5453">
      <w:bodyDiv w:val="1"/>
      <w:marLeft w:val="0"/>
      <w:marRight w:val="0"/>
      <w:marTop w:val="0"/>
      <w:marBottom w:val="0"/>
      <w:divBdr>
        <w:top w:val="none" w:sz="0" w:space="0" w:color="auto"/>
        <w:left w:val="none" w:sz="0" w:space="0" w:color="auto"/>
        <w:bottom w:val="none" w:sz="0" w:space="0" w:color="auto"/>
        <w:right w:val="none" w:sz="0" w:space="0" w:color="auto"/>
      </w:divBdr>
      <w:divsChild>
        <w:div w:id="1990285215">
          <w:marLeft w:val="0"/>
          <w:marRight w:val="0"/>
          <w:marTop w:val="0"/>
          <w:marBottom w:val="0"/>
          <w:divBdr>
            <w:top w:val="none" w:sz="0" w:space="0" w:color="auto"/>
            <w:left w:val="none" w:sz="0" w:space="0" w:color="auto"/>
            <w:bottom w:val="none" w:sz="0" w:space="0" w:color="auto"/>
            <w:right w:val="none" w:sz="0" w:space="0" w:color="auto"/>
          </w:divBdr>
        </w:div>
      </w:divsChild>
    </w:div>
    <w:div w:id="53312422">
      <w:bodyDiv w:val="1"/>
      <w:marLeft w:val="0"/>
      <w:marRight w:val="0"/>
      <w:marTop w:val="0"/>
      <w:marBottom w:val="0"/>
      <w:divBdr>
        <w:top w:val="none" w:sz="0" w:space="0" w:color="auto"/>
        <w:left w:val="none" w:sz="0" w:space="0" w:color="auto"/>
        <w:bottom w:val="none" w:sz="0" w:space="0" w:color="auto"/>
        <w:right w:val="none" w:sz="0" w:space="0" w:color="auto"/>
      </w:divBdr>
      <w:divsChild>
        <w:div w:id="681080490">
          <w:marLeft w:val="0"/>
          <w:marRight w:val="0"/>
          <w:marTop w:val="0"/>
          <w:marBottom w:val="0"/>
          <w:divBdr>
            <w:top w:val="none" w:sz="0" w:space="0" w:color="auto"/>
            <w:left w:val="none" w:sz="0" w:space="0" w:color="auto"/>
            <w:bottom w:val="none" w:sz="0" w:space="0" w:color="auto"/>
            <w:right w:val="none" w:sz="0" w:space="0" w:color="auto"/>
          </w:divBdr>
        </w:div>
      </w:divsChild>
    </w:div>
    <w:div w:id="87508434">
      <w:bodyDiv w:val="1"/>
      <w:marLeft w:val="0"/>
      <w:marRight w:val="0"/>
      <w:marTop w:val="0"/>
      <w:marBottom w:val="0"/>
      <w:divBdr>
        <w:top w:val="none" w:sz="0" w:space="0" w:color="auto"/>
        <w:left w:val="none" w:sz="0" w:space="0" w:color="auto"/>
        <w:bottom w:val="none" w:sz="0" w:space="0" w:color="auto"/>
        <w:right w:val="none" w:sz="0" w:space="0" w:color="auto"/>
      </w:divBdr>
      <w:divsChild>
        <w:div w:id="19551312">
          <w:marLeft w:val="0"/>
          <w:marRight w:val="0"/>
          <w:marTop w:val="0"/>
          <w:marBottom w:val="0"/>
          <w:divBdr>
            <w:top w:val="none" w:sz="0" w:space="0" w:color="auto"/>
            <w:left w:val="none" w:sz="0" w:space="0" w:color="auto"/>
            <w:bottom w:val="none" w:sz="0" w:space="0" w:color="auto"/>
            <w:right w:val="none" w:sz="0" w:space="0" w:color="auto"/>
          </w:divBdr>
        </w:div>
        <w:div w:id="363864980">
          <w:marLeft w:val="0"/>
          <w:marRight w:val="0"/>
          <w:marTop w:val="0"/>
          <w:marBottom w:val="0"/>
          <w:divBdr>
            <w:top w:val="none" w:sz="0" w:space="0" w:color="auto"/>
            <w:left w:val="none" w:sz="0" w:space="0" w:color="auto"/>
            <w:bottom w:val="none" w:sz="0" w:space="0" w:color="auto"/>
            <w:right w:val="none" w:sz="0" w:space="0" w:color="auto"/>
          </w:divBdr>
        </w:div>
        <w:div w:id="796293402">
          <w:marLeft w:val="0"/>
          <w:marRight w:val="0"/>
          <w:marTop w:val="0"/>
          <w:marBottom w:val="0"/>
          <w:divBdr>
            <w:top w:val="none" w:sz="0" w:space="0" w:color="auto"/>
            <w:left w:val="none" w:sz="0" w:space="0" w:color="auto"/>
            <w:bottom w:val="none" w:sz="0" w:space="0" w:color="auto"/>
            <w:right w:val="none" w:sz="0" w:space="0" w:color="auto"/>
          </w:divBdr>
        </w:div>
      </w:divsChild>
    </w:div>
    <w:div w:id="95173171">
      <w:bodyDiv w:val="1"/>
      <w:marLeft w:val="0"/>
      <w:marRight w:val="0"/>
      <w:marTop w:val="0"/>
      <w:marBottom w:val="0"/>
      <w:divBdr>
        <w:top w:val="none" w:sz="0" w:space="0" w:color="auto"/>
        <w:left w:val="none" w:sz="0" w:space="0" w:color="auto"/>
        <w:bottom w:val="none" w:sz="0" w:space="0" w:color="auto"/>
        <w:right w:val="none" w:sz="0" w:space="0" w:color="auto"/>
      </w:divBdr>
      <w:divsChild>
        <w:div w:id="260991100">
          <w:marLeft w:val="0"/>
          <w:marRight w:val="0"/>
          <w:marTop w:val="0"/>
          <w:marBottom w:val="0"/>
          <w:divBdr>
            <w:top w:val="none" w:sz="0" w:space="0" w:color="auto"/>
            <w:left w:val="none" w:sz="0" w:space="0" w:color="auto"/>
            <w:bottom w:val="none" w:sz="0" w:space="0" w:color="auto"/>
            <w:right w:val="none" w:sz="0" w:space="0" w:color="auto"/>
          </w:divBdr>
        </w:div>
      </w:divsChild>
    </w:div>
    <w:div w:id="171729092">
      <w:bodyDiv w:val="1"/>
      <w:marLeft w:val="0"/>
      <w:marRight w:val="0"/>
      <w:marTop w:val="0"/>
      <w:marBottom w:val="0"/>
      <w:divBdr>
        <w:top w:val="none" w:sz="0" w:space="0" w:color="auto"/>
        <w:left w:val="none" w:sz="0" w:space="0" w:color="auto"/>
        <w:bottom w:val="none" w:sz="0" w:space="0" w:color="auto"/>
        <w:right w:val="none" w:sz="0" w:space="0" w:color="auto"/>
      </w:divBdr>
      <w:divsChild>
        <w:div w:id="1964968434">
          <w:marLeft w:val="0"/>
          <w:marRight w:val="0"/>
          <w:marTop w:val="0"/>
          <w:marBottom w:val="0"/>
          <w:divBdr>
            <w:top w:val="none" w:sz="0" w:space="0" w:color="auto"/>
            <w:left w:val="none" w:sz="0" w:space="0" w:color="auto"/>
            <w:bottom w:val="none" w:sz="0" w:space="0" w:color="auto"/>
            <w:right w:val="none" w:sz="0" w:space="0" w:color="auto"/>
          </w:divBdr>
        </w:div>
      </w:divsChild>
    </w:div>
    <w:div w:id="200748520">
      <w:bodyDiv w:val="1"/>
      <w:marLeft w:val="0"/>
      <w:marRight w:val="0"/>
      <w:marTop w:val="0"/>
      <w:marBottom w:val="0"/>
      <w:divBdr>
        <w:top w:val="none" w:sz="0" w:space="0" w:color="auto"/>
        <w:left w:val="none" w:sz="0" w:space="0" w:color="auto"/>
        <w:bottom w:val="none" w:sz="0" w:space="0" w:color="auto"/>
        <w:right w:val="none" w:sz="0" w:space="0" w:color="auto"/>
      </w:divBdr>
      <w:divsChild>
        <w:div w:id="56169018">
          <w:marLeft w:val="0"/>
          <w:marRight w:val="0"/>
          <w:marTop w:val="0"/>
          <w:marBottom w:val="0"/>
          <w:divBdr>
            <w:top w:val="none" w:sz="0" w:space="0" w:color="auto"/>
            <w:left w:val="none" w:sz="0" w:space="0" w:color="auto"/>
            <w:bottom w:val="none" w:sz="0" w:space="0" w:color="auto"/>
            <w:right w:val="none" w:sz="0" w:space="0" w:color="auto"/>
          </w:divBdr>
        </w:div>
        <w:div w:id="71440182">
          <w:marLeft w:val="0"/>
          <w:marRight w:val="0"/>
          <w:marTop w:val="0"/>
          <w:marBottom w:val="0"/>
          <w:divBdr>
            <w:top w:val="none" w:sz="0" w:space="0" w:color="auto"/>
            <w:left w:val="none" w:sz="0" w:space="0" w:color="auto"/>
            <w:bottom w:val="none" w:sz="0" w:space="0" w:color="auto"/>
            <w:right w:val="none" w:sz="0" w:space="0" w:color="auto"/>
          </w:divBdr>
        </w:div>
        <w:div w:id="311568248">
          <w:marLeft w:val="0"/>
          <w:marRight w:val="0"/>
          <w:marTop w:val="0"/>
          <w:marBottom w:val="0"/>
          <w:divBdr>
            <w:top w:val="none" w:sz="0" w:space="0" w:color="auto"/>
            <w:left w:val="none" w:sz="0" w:space="0" w:color="auto"/>
            <w:bottom w:val="none" w:sz="0" w:space="0" w:color="auto"/>
            <w:right w:val="none" w:sz="0" w:space="0" w:color="auto"/>
          </w:divBdr>
        </w:div>
        <w:div w:id="796724670">
          <w:marLeft w:val="0"/>
          <w:marRight w:val="0"/>
          <w:marTop w:val="0"/>
          <w:marBottom w:val="0"/>
          <w:divBdr>
            <w:top w:val="none" w:sz="0" w:space="0" w:color="auto"/>
            <w:left w:val="none" w:sz="0" w:space="0" w:color="auto"/>
            <w:bottom w:val="none" w:sz="0" w:space="0" w:color="auto"/>
            <w:right w:val="none" w:sz="0" w:space="0" w:color="auto"/>
          </w:divBdr>
        </w:div>
        <w:div w:id="1074739985">
          <w:marLeft w:val="0"/>
          <w:marRight w:val="0"/>
          <w:marTop w:val="0"/>
          <w:marBottom w:val="0"/>
          <w:divBdr>
            <w:top w:val="none" w:sz="0" w:space="0" w:color="auto"/>
            <w:left w:val="none" w:sz="0" w:space="0" w:color="auto"/>
            <w:bottom w:val="none" w:sz="0" w:space="0" w:color="auto"/>
            <w:right w:val="none" w:sz="0" w:space="0" w:color="auto"/>
          </w:divBdr>
        </w:div>
        <w:div w:id="1580945547">
          <w:marLeft w:val="0"/>
          <w:marRight w:val="0"/>
          <w:marTop w:val="0"/>
          <w:marBottom w:val="0"/>
          <w:divBdr>
            <w:top w:val="none" w:sz="0" w:space="0" w:color="auto"/>
            <w:left w:val="none" w:sz="0" w:space="0" w:color="auto"/>
            <w:bottom w:val="none" w:sz="0" w:space="0" w:color="auto"/>
            <w:right w:val="none" w:sz="0" w:space="0" w:color="auto"/>
          </w:divBdr>
        </w:div>
        <w:div w:id="1672876840">
          <w:marLeft w:val="0"/>
          <w:marRight w:val="0"/>
          <w:marTop w:val="0"/>
          <w:marBottom w:val="0"/>
          <w:divBdr>
            <w:top w:val="none" w:sz="0" w:space="0" w:color="auto"/>
            <w:left w:val="none" w:sz="0" w:space="0" w:color="auto"/>
            <w:bottom w:val="none" w:sz="0" w:space="0" w:color="auto"/>
            <w:right w:val="none" w:sz="0" w:space="0" w:color="auto"/>
          </w:divBdr>
        </w:div>
        <w:div w:id="1743595929">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02584527">
      <w:bodyDiv w:val="1"/>
      <w:marLeft w:val="0"/>
      <w:marRight w:val="0"/>
      <w:marTop w:val="0"/>
      <w:marBottom w:val="0"/>
      <w:divBdr>
        <w:top w:val="none" w:sz="0" w:space="0" w:color="auto"/>
        <w:left w:val="none" w:sz="0" w:space="0" w:color="auto"/>
        <w:bottom w:val="none" w:sz="0" w:space="0" w:color="auto"/>
        <w:right w:val="none" w:sz="0" w:space="0" w:color="auto"/>
      </w:divBdr>
      <w:divsChild>
        <w:div w:id="1974093622">
          <w:marLeft w:val="0"/>
          <w:marRight w:val="0"/>
          <w:marTop w:val="0"/>
          <w:marBottom w:val="0"/>
          <w:divBdr>
            <w:top w:val="none" w:sz="0" w:space="0" w:color="auto"/>
            <w:left w:val="none" w:sz="0" w:space="0" w:color="auto"/>
            <w:bottom w:val="none" w:sz="0" w:space="0" w:color="auto"/>
            <w:right w:val="none" w:sz="0" w:space="0" w:color="auto"/>
          </w:divBdr>
        </w:div>
      </w:divsChild>
    </w:div>
    <w:div w:id="306326466">
      <w:bodyDiv w:val="1"/>
      <w:marLeft w:val="0"/>
      <w:marRight w:val="0"/>
      <w:marTop w:val="0"/>
      <w:marBottom w:val="0"/>
      <w:divBdr>
        <w:top w:val="none" w:sz="0" w:space="0" w:color="auto"/>
        <w:left w:val="none" w:sz="0" w:space="0" w:color="auto"/>
        <w:bottom w:val="none" w:sz="0" w:space="0" w:color="auto"/>
        <w:right w:val="none" w:sz="0" w:space="0" w:color="auto"/>
      </w:divBdr>
      <w:divsChild>
        <w:div w:id="2033457137">
          <w:marLeft w:val="0"/>
          <w:marRight w:val="0"/>
          <w:marTop w:val="0"/>
          <w:marBottom w:val="0"/>
          <w:divBdr>
            <w:top w:val="none" w:sz="0" w:space="0" w:color="auto"/>
            <w:left w:val="none" w:sz="0" w:space="0" w:color="auto"/>
            <w:bottom w:val="none" w:sz="0" w:space="0" w:color="auto"/>
            <w:right w:val="none" w:sz="0" w:space="0" w:color="auto"/>
          </w:divBdr>
        </w:div>
      </w:divsChild>
    </w:div>
    <w:div w:id="333146689">
      <w:bodyDiv w:val="1"/>
      <w:marLeft w:val="0"/>
      <w:marRight w:val="0"/>
      <w:marTop w:val="0"/>
      <w:marBottom w:val="0"/>
      <w:divBdr>
        <w:top w:val="none" w:sz="0" w:space="0" w:color="auto"/>
        <w:left w:val="none" w:sz="0" w:space="0" w:color="auto"/>
        <w:bottom w:val="none" w:sz="0" w:space="0" w:color="auto"/>
        <w:right w:val="none" w:sz="0" w:space="0" w:color="auto"/>
      </w:divBdr>
    </w:div>
    <w:div w:id="351344265">
      <w:bodyDiv w:val="1"/>
      <w:marLeft w:val="0"/>
      <w:marRight w:val="0"/>
      <w:marTop w:val="0"/>
      <w:marBottom w:val="0"/>
      <w:divBdr>
        <w:top w:val="none" w:sz="0" w:space="0" w:color="auto"/>
        <w:left w:val="none" w:sz="0" w:space="0" w:color="auto"/>
        <w:bottom w:val="none" w:sz="0" w:space="0" w:color="auto"/>
        <w:right w:val="none" w:sz="0" w:space="0" w:color="auto"/>
      </w:divBdr>
      <w:divsChild>
        <w:div w:id="1950965810">
          <w:marLeft w:val="0"/>
          <w:marRight w:val="0"/>
          <w:marTop w:val="0"/>
          <w:marBottom w:val="0"/>
          <w:divBdr>
            <w:top w:val="none" w:sz="0" w:space="0" w:color="auto"/>
            <w:left w:val="none" w:sz="0" w:space="0" w:color="auto"/>
            <w:bottom w:val="none" w:sz="0" w:space="0" w:color="auto"/>
            <w:right w:val="none" w:sz="0" w:space="0" w:color="auto"/>
          </w:divBdr>
        </w:div>
      </w:divsChild>
    </w:div>
    <w:div w:id="351416168">
      <w:bodyDiv w:val="1"/>
      <w:marLeft w:val="0"/>
      <w:marRight w:val="0"/>
      <w:marTop w:val="0"/>
      <w:marBottom w:val="0"/>
      <w:divBdr>
        <w:top w:val="none" w:sz="0" w:space="0" w:color="auto"/>
        <w:left w:val="none" w:sz="0" w:space="0" w:color="auto"/>
        <w:bottom w:val="none" w:sz="0" w:space="0" w:color="auto"/>
        <w:right w:val="none" w:sz="0" w:space="0" w:color="auto"/>
      </w:divBdr>
      <w:divsChild>
        <w:div w:id="82075605">
          <w:marLeft w:val="0"/>
          <w:marRight w:val="0"/>
          <w:marTop w:val="0"/>
          <w:marBottom w:val="0"/>
          <w:divBdr>
            <w:top w:val="none" w:sz="0" w:space="0" w:color="auto"/>
            <w:left w:val="none" w:sz="0" w:space="0" w:color="auto"/>
            <w:bottom w:val="none" w:sz="0" w:space="0" w:color="auto"/>
            <w:right w:val="none" w:sz="0" w:space="0" w:color="auto"/>
          </w:divBdr>
        </w:div>
      </w:divsChild>
    </w:div>
    <w:div w:id="362292569">
      <w:bodyDiv w:val="1"/>
      <w:marLeft w:val="0"/>
      <w:marRight w:val="0"/>
      <w:marTop w:val="0"/>
      <w:marBottom w:val="0"/>
      <w:divBdr>
        <w:top w:val="none" w:sz="0" w:space="0" w:color="auto"/>
        <w:left w:val="none" w:sz="0" w:space="0" w:color="auto"/>
        <w:bottom w:val="none" w:sz="0" w:space="0" w:color="auto"/>
        <w:right w:val="none" w:sz="0" w:space="0" w:color="auto"/>
      </w:divBdr>
    </w:div>
    <w:div w:id="363135395">
      <w:bodyDiv w:val="1"/>
      <w:marLeft w:val="0"/>
      <w:marRight w:val="0"/>
      <w:marTop w:val="0"/>
      <w:marBottom w:val="0"/>
      <w:divBdr>
        <w:top w:val="none" w:sz="0" w:space="0" w:color="auto"/>
        <w:left w:val="none" w:sz="0" w:space="0" w:color="auto"/>
        <w:bottom w:val="none" w:sz="0" w:space="0" w:color="auto"/>
        <w:right w:val="none" w:sz="0" w:space="0" w:color="auto"/>
      </w:divBdr>
    </w:div>
    <w:div w:id="365445699">
      <w:bodyDiv w:val="1"/>
      <w:marLeft w:val="0"/>
      <w:marRight w:val="0"/>
      <w:marTop w:val="0"/>
      <w:marBottom w:val="0"/>
      <w:divBdr>
        <w:top w:val="none" w:sz="0" w:space="0" w:color="auto"/>
        <w:left w:val="none" w:sz="0" w:space="0" w:color="auto"/>
        <w:bottom w:val="none" w:sz="0" w:space="0" w:color="auto"/>
        <w:right w:val="none" w:sz="0" w:space="0" w:color="auto"/>
      </w:divBdr>
      <w:divsChild>
        <w:div w:id="772045471">
          <w:marLeft w:val="0"/>
          <w:marRight w:val="0"/>
          <w:marTop w:val="0"/>
          <w:marBottom w:val="0"/>
          <w:divBdr>
            <w:top w:val="none" w:sz="0" w:space="0" w:color="auto"/>
            <w:left w:val="none" w:sz="0" w:space="0" w:color="auto"/>
            <w:bottom w:val="none" w:sz="0" w:space="0" w:color="auto"/>
            <w:right w:val="none" w:sz="0" w:space="0" w:color="auto"/>
          </w:divBdr>
        </w:div>
        <w:div w:id="1393893105">
          <w:marLeft w:val="0"/>
          <w:marRight w:val="0"/>
          <w:marTop w:val="0"/>
          <w:marBottom w:val="0"/>
          <w:divBdr>
            <w:top w:val="none" w:sz="0" w:space="0" w:color="auto"/>
            <w:left w:val="none" w:sz="0" w:space="0" w:color="auto"/>
            <w:bottom w:val="none" w:sz="0" w:space="0" w:color="auto"/>
            <w:right w:val="none" w:sz="0" w:space="0" w:color="auto"/>
          </w:divBdr>
        </w:div>
        <w:div w:id="1587415942">
          <w:marLeft w:val="0"/>
          <w:marRight w:val="0"/>
          <w:marTop w:val="0"/>
          <w:marBottom w:val="0"/>
          <w:divBdr>
            <w:top w:val="none" w:sz="0" w:space="0" w:color="auto"/>
            <w:left w:val="none" w:sz="0" w:space="0" w:color="auto"/>
            <w:bottom w:val="none" w:sz="0" w:space="0" w:color="auto"/>
            <w:right w:val="none" w:sz="0" w:space="0" w:color="auto"/>
          </w:divBdr>
        </w:div>
        <w:div w:id="1590624360">
          <w:marLeft w:val="0"/>
          <w:marRight w:val="0"/>
          <w:marTop w:val="0"/>
          <w:marBottom w:val="0"/>
          <w:divBdr>
            <w:top w:val="none" w:sz="0" w:space="0" w:color="auto"/>
            <w:left w:val="none" w:sz="0" w:space="0" w:color="auto"/>
            <w:bottom w:val="none" w:sz="0" w:space="0" w:color="auto"/>
            <w:right w:val="none" w:sz="0" w:space="0" w:color="auto"/>
          </w:divBdr>
        </w:div>
        <w:div w:id="1702704105">
          <w:marLeft w:val="0"/>
          <w:marRight w:val="0"/>
          <w:marTop w:val="0"/>
          <w:marBottom w:val="0"/>
          <w:divBdr>
            <w:top w:val="none" w:sz="0" w:space="0" w:color="auto"/>
            <w:left w:val="none" w:sz="0" w:space="0" w:color="auto"/>
            <w:bottom w:val="none" w:sz="0" w:space="0" w:color="auto"/>
            <w:right w:val="none" w:sz="0" w:space="0" w:color="auto"/>
          </w:divBdr>
        </w:div>
        <w:div w:id="1813672178">
          <w:marLeft w:val="0"/>
          <w:marRight w:val="0"/>
          <w:marTop w:val="0"/>
          <w:marBottom w:val="0"/>
          <w:divBdr>
            <w:top w:val="none" w:sz="0" w:space="0" w:color="auto"/>
            <w:left w:val="none" w:sz="0" w:space="0" w:color="auto"/>
            <w:bottom w:val="none" w:sz="0" w:space="0" w:color="auto"/>
            <w:right w:val="none" w:sz="0" w:space="0" w:color="auto"/>
          </w:divBdr>
        </w:div>
      </w:divsChild>
    </w:div>
    <w:div w:id="435684410">
      <w:bodyDiv w:val="1"/>
      <w:marLeft w:val="0"/>
      <w:marRight w:val="0"/>
      <w:marTop w:val="0"/>
      <w:marBottom w:val="0"/>
      <w:divBdr>
        <w:top w:val="none" w:sz="0" w:space="0" w:color="auto"/>
        <w:left w:val="none" w:sz="0" w:space="0" w:color="auto"/>
        <w:bottom w:val="none" w:sz="0" w:space="0" w:color="auto"/>
        <w:right w:val="none" w:sz="0" w:space="0" w:color="auto"/>
      </w:divBdr>
      <w:divsChild>
        <w:div w:id="138498908">
          <w:marLeft w:val="0"/>
          <w:marRight w:val="0"/>
          <w:marTop w:val="0"/>
          <w:marBottom w:val="0"/>
          <w:divBdr>
            <w:top w:val="none" w:sz="0" w:space="0" w:color="auto"/>
            <w:left w:val="none" w:sz="0" w:space="0" w:color="auto"/>
            <w:bottom w:val="none" w:sz="0" w:space="0" w:color="auto"/>
            <w:right w:val="none" w:sz="0" w:space="0" w:color="auto"/>
          </w:divBdr>
        </w:div>
      </w:divsChild>
    </w:div>
    <w:div w:id="436095778">
      <w:bodyDiv w:val="1"/>
      <w:marLeft w:val="0"/>
      <w:marRight w:val="0"/>
      <w:marTop w:val="0"/>
      <w:marBottom w:val="0"/>
      <w:divBdr>
        <w:top w:val="none" w:sz="0" w:space="0" w:color="auto"/>
        <w:left w:val="none" w:sz="0" w:space="0" w:color="auto"/>
        <w:bottom w:val="none" w:sz="0" w:space="0" w:color="auto"/>
        <w:right w:val="none" w:sz="0" w:space="0" w:color="auto"/>
      </w:divBdr>
      <w:divsChild>
        <w:div w:id="1872184929">
          <w:marLeft w:val="0"/>
          <w:marRight w:val="0"/>
          <w:marTop w:val="0"/>
          <w:marBottom w:val="0"/>
          <w:divBdr>
            <w:top w:val="none" w:sz="0" w:space="0" w:color="auto"/>
            <w:left w:val="none" w:sz="0" w:space="0" w:color="auto"/>
            <w:bottom w:val="none" w:sz="0" w:space="0" w:color="auto"/>
            <w:right w:val="none" w:sz="0" w:space="0" w:color="auto"/>
          </w:divBdr>
        </w:div>
      </w:divsChild>
    </w:div>
    <w:div w:id="462625058">
      <w:bodyDiv w:val="1"/>
      <w:marLeft w:val="0"/>
      <w:marRight w:val="0"/>
      <w:marTop w:val="0"/>
      <w:marBottom w:val="0"/>
      <w:divBdr>
        <w:top w:val="none" w:sz="0" w:space="0" w:color="auto"/>
        <w:left w:val="none" w:sz="0" w:space="0" w:color="auto"/>
        <w:bottom w:val="none" w:sz="0" w:space="0" w:color="auto"/>
        <w:right w:val="none" w:sz="0" w:space="0" w:color="auto"/>
      </w:divBdr>
      <w:divsChild>
        <w:div w:id="165285505">
          <w:marLeft w:val="0"/>
          <w:marRight w:val="0"/>
          <w:marTop w:val="0"/>
          <w:marBottom w:val="0"/>
          <w:divBdr>
            <w:top w:val="none" w:sz="0" w:space="0" w:color="auto"/>
            <w:left w:val="none" w:sz="0" w:space="0" w:color="auto"/>
            <w:bottom w:val="none" w:sz="0" w:space="0" w:color="auto"/>
            <w:right w:val="none" w:sz="0" w:space="0" w:color="auto"/>
          </w:divBdr>
        </w:div>
        <w:div w:id="1220094366">
          <w:marLeft w:val="0"/>
          <w:marRight w:val="0"/>
          <w:marTop w:val="0"/>
          <w:marBottom w:val="0"/>
          <w:divBdr>
            <w:top w:val="none" w:sz="0" w:space="0" w:color="auto"/>
            <w:left w:val="none" w:sz="0" w:space="0" w:color="auto"/>
            <w:bottom w:val="none" w:sz="0" w:space="0" w:color="auto"/>
            <w:right w:val="none" w:sz="0" w:space="0" w:color="auto"/>
          </w:divBdr>
        </w:div>
        <w:div w:id="1795444546">
          <w:marLeft w:val="0"/>
          <w:marRight w:val="0"/>
          <w:marTop w:val="0"/>
          <w:marBottom w:val="0"/>
          <w:divBdr>
            <w:top w:val="none" w:sz="0" w:space="0" w:color="auto"/>
            <w:left w:val="none" w:sz="0" w:space="0" w:color="auto"/>
            <w:bottom w:val="none" w:sz="0" w:space="0" w:color="auto"/>
            <w:right w:val="none" w:sz="0" w:space="0" w:color="auto"/>
          </w:divBdr>
        </w:div>
      </w:divsChild>
    </w:div>
    <w:div w:id="558246036">
      <w:bodyDiv w:val="1"/>
      <w:marLeft w:val="0"/>
      <w:marRight w:val="0"/>
      <w:marTop w:val="0"/>
      <w:marBottom w:val="0"/>
      <w:divBdr>
        <w:top w:val="none" w:sz="0" w:space="0" w:color="auto"/>
        <w:left w:val="none" w:sz="0" w:space="0" w:color="auto"/>
        <w:bottom w:val="none" w:sz="0" w:space="0" w:color="auto"/>
        <w:right w:val="none" w:sz="0" w:space="0" w:color="auto"/>
      </w:divBdr>
      <w:divsChild>
        <w:div w:id="933706980">
          <w:marLeft w:val="0"/>
          <w:marRight w:val="0"/>
          <w:marTop w:val="0"/>
          <w:marBottom w:val="0"/>
          <w:divBdr>
            <w:top w:val="none" w:sz="0" w:space="0" w:color="auto"/>
            <w:left w:val="none" w:sz="0" w:space="0" w:color="auto"/>
            <w:bottom w:val="none" w:sz="0" w:space="0" w:color="auto"/>
            <w:right w:val="none" w:sz="0" w:space="0" w:color="auto"/>
          </w:divBdr>
        </w:div>
      </w:divsChild>
    </w:div>
    <w:div w:id="576520633">
      <w:bodyDiv w:val="1"/>
      <w:marLeft w:val="0"/>
      <w:marRight w:val="0"/>
      <w:marTop w:val="0"/>
      <w:marBottom w:val="0"/>
      <w:divBdr>
        <w:top w:val="none" w:sz="0" w:space="0" w:color="auto"/>
        <w:left w:val="none" w:sz="0" w:space="0" w:color="auto"/>
        <w:bottom w:val="none" w:sz="0" w:space="0" w:color="auto"/>
        <w:right w:val="none" w:sz="0" w:space="0" w:color="auto"/>
      </w:divBdr>
      <w:divsChild>
        <w:div w:id="1528057702">
          <w:marLeft w:val="0"/>
          <w:marRight w:val="0"/>
          <w:marTop w:val="0"/>
          <w:marBottom w:val="0"/>
          <w:divBdr>
            <w:top w:val="none" w:sz="0" w:space="0" w:color="auto"/>
            <w:left w:val="none" w:sz="0" w:space="0" w:color="auto"/>
            <w:bottom w:val="none" w:sz="0" w:space="0" w:color="auto"/>
            <w:right w:val="none" w:sz="0" w:space="0" w:color="auto"/>
          </w:divBdr>
        </w:div>
      </w:divsChild>
    </w:div>
    <w:div w:id="653950209">
      <w:bodyDiv w:val="1"/>
      <w:marLeft w:val="0"/>
      <w:marRight w:val="0"/>
      <w:marTop w:val="0"/>
      <w:marBottom w:val="0"/>
      <w:divBdr>
        <w:top w:val="none" w:sz="0" w:space="0" w:color="auto"/>
        <w:left w:val="none" w:sz="0" w:space="0" w:color="auto"/>
        <w:bottom w:val="none" w:sz="0" w:space="0" w:color="auto"/>
        <w:right w:val="none" w:sz="0" w:space="0" w:color="auto"/>
      </w:divBdr>
      <w:divsChild>
        <w:div w:id="614672351">
          <w:marLeft w:val="0"/>
          <w:marRight w:val="0"/>
          <w:marTop w:val="0"/>
          <w:marBottom w:val="0"/>
          <w:divBdr>
            <w:top w:val="none" w:sz="0" w:space="0" w:color="auto"/>
            <w:left w:val="none" w:sz="0" w:space="0" w:color="auto"/>
            <w:bottom w:val="none" w:sz="0" w:space="0" w:color="auto"/>
            <w:right w:val="none" w:sz="0" w:space="0" w:color="auto"/>
          </w:divBdr>
        </w:div>
      </w:divsChild>
    </w:div>
    <w:div w:id="681785822">
      <w:bodyDiv w:val="1"/>
      <w:marLeft w:val="0"/>
      <w:marRight w:val="0"/>
      <w:marTop w:val="0"/>
      <w:marBottom w:val="0"/>
      <w:divBdr>
        <w:top w:val="none" w:sz="0" w:space="0" w:color="auto"/>
        <w:left w:val="none" w:sz="0" w:space="0" w:color="auto"/>
        <w:bottom w:val="none" w:sz="0" w:space="0" w:color="auto"/>
        <w:right w:val="none" w:sz="0" w:space="0" w:color="auto"/>
      </w:divBdr>
    </w:div>
    <w:div w:id="683171183">
      <w:bodyDiv w:val="1"/>
      <w:marLeft w:val="0"/>
      <w:marRight w:val="0"/>
      <w:marTop w:val="0"/>
      <w:marBottom w:val="0"/>
      <w:divBdr>
        <w:top w:val="none" w:sz="0" w:space="0" w:color="auto"/>
        <w:left w:val="none" w:sz="0" w:space="0" w:color="auto"/>
        <w:bottom w:val="none" w:sz="0" w:space="0" w:color="auto"/>
        <w:right w:val="none" w:sz="0" w:space="0" w:color="auto"/>
      </w:divBdr>
      <w:divsChild>
        <w:div w:id="76101894">
          <w:marLeft w:val="0"/>
          <w:marRight w:val="0"/>
          <w:marTop w:val="0"/>
          <w:marBottom w:val="0"/>
          <w:divBdr>
            <w:top w:val="none" w:sz="0" w:space="0" w:color="auto"/>
            <w:left w:val="none" w:sz="0" w:space="0" w:color="auto"/>
            <w:bottom w:val="none" w:sz="0" w:space="0" w:color="auto"/>
            <w:right w:val="none" w:sz="0" w:space="0" w:color="auto"/>
          </w:divBdr>
        </w:div>
      </w:divsChild>
    </w:div>
    <w:div w:id="694967503">
      <w:bodyDiv w:val="1"/>
      <w:marLeft w:val="0"/>
      <w:marRight w:val="0"/>
      <w:marTop w:val="0"/>
      <w:marBottom w:val="0"/>
      <w:divBdr>
        <w:top w:val="none" w:sz="0" w:space="0" w:color="auto"/>
        <w:left w:val="none" w:sz="0" w:space="0" w:color="auto"/>
        <w:bottom w:val="none" w:sz="0" w:space="0" w:color="auto"/>
        <w:right w:val="none" w:sz="0" w:space="0" w:color="auto"/>
      </w:divBdr>
      <w:divsChild>
        <w:div w:id="865800558">
          <w:marLeft w:val="0"/>
          <w:marRight w:val="0"/>
          <w:marTop w:val="0"/>
          <w:marBottom w:val="0"/>
          <w:divBdr>
            <w:top w:val="none" w:sz="0" w:space="0" w:color="auto"/>
            <w:left w:val="none" w:sz="0" w:space="0" w:color="auto"/>
            <w:bottom w:val="none" w:sz="0" w:space="0" w:color="auto"/>
            <w:right w:val="none" w:sz="0" w:space="0" w:color="auto"/>
          </w:divBdr>
        </w:div>
      </w:divsChild>
    </w:div>
    <w:div w:id="715857610">
      <w:bodyDiv w:val="1"/>
      <w:marLeft w:val="0"/>
      <w:marRight w:val="0"/>
      <w:marTop w:val="0"/>
      <w:marBottom w:val="0"/>
      <w:divBdr>
        <w:top w:val="none" w:sz="0" w:space="0" w:color="auto"/>
        <w:left w:val="none" w:sz="0" w:space="0" w:color="auto"/>
        <w:bottom w:val="none" w:sz="0" w:space="0" w:color="auto"/>
        <w:right w:val="none" w:sz="0" w:space="0" w:color="auto"/>
      </w:divBdr>
      <w:divsChild>
        <w:div w:id="1208642372">
          <w:marLeft w:val="0"/>
          <w:marRight w:val="0"/>
          <w:marTop w:val="0"/>
          <w:marBottom w:val="0"/>
          <w:divBdr>
            <w:top w:val="none" w:sz="0" w:space="0" w:color="auto"/>
            <w:left w:val="none" w:sz="0" w:space="0" w:color="auto"/>
            <w:bottom w:val="none" w:sz="0" w:space="0" w:color="auto"/>
            <w:right w:val="none" w:sz="0" w:space="0" w:color="auto"/>
          </w:divBdr>
          <w:divsChild>
            <w:div w:id="135879557">
              <w:marLeft w:val="0"/>
              <w:marRight w:val="0"/>
              <w:marTop w:val="0"/>
              <w:marBottom w:val="0"/>
              <w:divBdr>
                <w:top w:val="none" w:sz="0" w:space="0" w:color="auto"/>
                <w:left w:val="none" w:sz="0" w:space="0" w:color="auto"/>
                <w:bottom w:val="none" w:sz="0" w:space="0" w:color="auto"/>
                <w:right w:val="none" w:sz="0" w:space="0" w:color="auto"/>
              </w:divBdr>
              <w:divsChild>
                <w:div w:id="71389286">
                  <w:marLeft w:val="0"/>
                  <w:marRight w:val="0"/>
                  <w:marTop w:val="0"/>
                  <w:marBottom w:val="0"/>
                  <w:divBdr>
                    <w:top w:val="none" w:sz="0" w:space="0" w:color="auto"/>
                    <w:left w:val="none" w:sz="0" w:space="0" w:color="auto"/>
                    <w:bottom w:val="none" w:sz="0" w:space="0" w:color="auto"/>
                    <w:right w:val="none" w:sz="0" w:space="0" w:color="auto"/>
                  </w:divBdr>
                </w:div>
              </w:divsChild>
            </w:div>
            <w:div w:id="777719633">
              <w:marLeft w:val="0"/>
              <w:marRight w:val="0"/>
              <w:marTop w:val="0"/>
              <w:marBottom w:val="0"/>
              <w:divBdr>
                <w:top w:val="none" w:sz="0" w:space="0" w:color="auto"/>
                <w:left w:val="none" w:sz="0" w:space="0" w:color="auto"/>
                <w:bottom w:val="none" w:sz="0" w:space="0" w:color="auto"/>
                <w:right w:val="none" w:sz="0" w:space="0" w:color="auto"/>
              </w:divBdr>
              <w:divsChild>
                <w:div w:id="1496144043">
                  <w:marLeft w:val="0"/>
                  <w:marRight w:val="0"/>
                  <w:marTop w:val="0"/>
                  <w:marBottom w:val="0"/>
                  <w:divBdr>
                    <w:top w:val="none" w:sz="0" w:space="0" w:color="auto"/>
                    <w:left w:val="none" w:sz="0" w:space="0" w:color="auto"/>
                    <w:bottom w:val="none" w:sz="0" w:space="0" w:color="auto"/>
                    <w:right w:val="none" w:sz="0" w:space="0" w:color="auto"/>
                  </w:divBdr>
                </w:div>
              </w:divsChild>
            </w:div>
            <w:div w:id="785658903">
              <w:marLeft w:val="0"/>
              <w:marRight w:val="0"/>
              <w:marTop w:val="0"/>
              <w:marBottom w:val="0"/>
              <w:divBdr>
                <w:top w:val="none" w:sz="0" w:space="0" w:color="auto"/>
                <w:left w:val="none" w:sz="0" w:space="0" w:color="auto"/>
                <w:bottom w:val="none" w:sz="0" w:space="0" w:color="auto"/>
                <w:right w:val="none" w:sz="0" w:space="0" w:color="auto"/>
              </w:divBdr>
              <w:divsChild>
                <w:div w:id="261651226">
                  <w:marLeft w:val="0"/>
                  <w:marRight w:val="0"/>
                  <w:marTop w:val="0"/>
                  <w:marBottom w:val="0"/>
                  <w:divBdr>
                    <w:top w:val="none" w:sz="0" w:space="0" w:color="auto"/>
                    <w:left w:val="none" w:sz="0" w:space="0" w:color="auto"/>
                    <w:bottom w:val="none" w:sz="0" w:space="0" w:color="auto"/>
                    <w:right w:val="none" w:sz="0" w:space="0" w:color="auto"/>
                  </w:divBdr>
                </w:div>
                <w:div w:id="265425651">
                  <w:marLeft w:val="0"/>
                  <w:marRight w:val="0"/>
                  <w:marTop w:val="0"/>
                  <w:marBottom w:val="0"/>
                  <w:divBdr>
                    <w:top w:val="none" w:sz="0" w:space="0" w:color="auto"/>
                    <w:left w:val="none" w:sz="0" w:space="0" w:color="auto"/>
                    <w:bottom w:val="none" w:sz="0" w:space="0" w:color="auto"/>
                    <w:right w:val="none" w:sz="0" w:space="0" w:color="auto"/>
                  </w:divBdr>
                </w:div>
                <w:div w:id="489250407">
                  <w:marLeft w:val="0"/>
                  <w:marRight w:val="0"/>
                  <w:marTop w:val="0"/>
                  <w:marBottom w:val="0"/>
                  <w:divBdr>
                    <w:top w:val="none" w:sz="0" w:space="0" w:color="auto"/>
                    <w:left w:val="none" w:sz="0" w:space="0" w:color="auto"/>
                    <w:bottom w:val="none" w:sz="0" w:space="0" w:color="auto"/>
                    <w:right w:val="none" w:sz="0" w:space="0" w:color="auto"/>
                  </w:divBdr>
                </w:div>
                <w:div w:id="596253405">
                  <w:marLeft w:val="0"/>
                  <w:marRight w:val="0"/>
                  <w:marTop w:val="0"/>
                  <w:marBottom w:val="0"/>
                  <w:divBdr>
                    <w:top w:val="none" w:sz="0" w:space="0" w:color="auto"/>
                    <w:left w:val="none" w:sz="0" w:space="0" w:color="auto"/>
                    <w:bottom w:val="none" w:sz="0" w:space="0" w:color="auto"/>
                    <w:right w:val="none" w:sz="0" w:space="0" w:color="auto"/>
                  </w:divBdr>
                </w:div>
                <w:div w:id="933246870">
                  <w:marLeft w:val="0"/>
                  <w:marRight w:val="0"/>
                  <w:marTop w:val="0"/>
                  <w:marBottom w:val="0"/>
                  <w:divBdr>
                    <w:top w:val="none" w:sz="0" w:space="0" w:color="auto"/>
                    <w:left w:val="none" w:sz="0" w:space="0" w:color="auto"/>
                    <w:bottom w:val="none" w:sz="0" w:space="0" w:color="auto"/>
                    <w:right w:val="none" w:sz="0" w:space="0" w:color="auto"/>
                  </w:divBdr>
                </w:div>
                <w:div w:id="1181745409">
                  <w:marLeft w:val="0"/>
                  <w:marRight w:val="0"/>
                  <w:marTop w:val="0"/>
                  <w:marBottom w:val="0"/>
                  <w:divBdr>
                    <w:top w:val="none" w:sz="0" w:space="0" w:color="auto"/>
                    <w:left w:val="none" w:sz="0" w:space="0" w:color="auto"/>
                    <w:bottom w:val="none" w:sz="0" w:space="0" w:color="auto"/>
                    <w:right w:val="none" w:sz="0" w:space="0" w:color="auto"/>
                  </w:divBdr>
                </w:div>
                <w:div w:id="1908879661">
                  <w:marLeft w:val="0"/>
                  <w:marRight w:val="0"/>
                  <w:marTop w:val="0"/>
                  <w:marBottom w:val="0"/>
                  <w:divBdr>
                    <w:top w:val="none" w:sz="0" w:space="0" w:color="auto"/>
                    <w:left w:val="none" w:sz="0" w:space="0" w:color="auto"/>
                    <w:bottom w:val="none" w:sz="0" w:space="0" w:color="auto"/>
                    <w:right w:val="none" w:sz="0" w:space="0" w:color="auto"/>
                  </w:divBdr>
                </w:div>
              </w:divsChild>
            </w:div>
            <w:div w:id="1001394535">
              <w:marLeft w:val="0"/>
              <w:marRight w:val="0"/>
              <w:marTop w:val="0"/>
              <w:marBottom w:val="0"/>
              <w:divBdr>
                <w:top w:val="none" w:sz="0" w:space="0" w:color="auto"/>
                <w:left w:val="none" w:sz="0" w:space="0" w:color="auto"/>
                <w:bottom w:val="none" w:sz="0" w:space="0" w:color="auto"/>
                <w:right w:val="none" w:sz="0" w:space="0" w:color="auto"/>
              </w:divBdr>
              <w:divsChild>
                <w:div w:id="2145192358">
                  <w:marLeft w:val="0"/>
                  <w:marRight w:val="0"/>
                  <w:marTop w:val="0"/>
                  <w:marBottom w:val="0"/>
                  <w:divBdr>
                    <w:top w:val="none" w:sz="0" w:space="0" w:color="auto"/>
                    <w:left w:val="none" w:sz="0" w:space="0" w:color="auto"/>
                    <w:bottom w:val="none" w:sz="0" w:space="0" w:color="auto"/>
                    <w:right w:val="none" w:sz="0" w:space="0" w:color="auto"/>
                  </w:divBdr>
                </w:div>
              </w:divsChild>
            </w:div>
            <w:div w:id="1042755991">
              <w:marLeft w:val="0"/>
              <w:marRight w:val="0"/>
              <w:marTop w:val="0"/>
              <w:marBottom w:val="0"/>
              <w:divBdr>
                <w:top w:val="none" w:sz="0" w:space="0" w:color="auto"/>
                <w:left w:val="none" w:sz="0" w:space="0" w:color="auto"/>
                <w:bottom w:val="none" w:sz="0" w:space="0" w:color="auto"/>
                <w:right w:val="none" w:sz="0" w:space="0" w:color="auto"/>
              </w:divBdr>
              <w:divsChild>
                <w:div w:id="640773419">
                  <w:marLeft w:val="0"/>
                  <w:marRight w:val="0"/>
                  <w:marTop w:val="0"/>
                  <w:marBottom w:val="0"/>
                  <w:divBdr>
                    <w:top w:val="none" w:sz="0" w:space="0" w:color="auto"/>
                    <w:left w:val="none" w:sz="0" w:space="0" w:color="auto"/>
                    <w:bottom w:val="none" w:sz="0" w:space="0" w:color="auto"/>
                    <w:right w:val="none" w:sz="0" w:space="0" w:color="auto"/>
                  </w:divBdr>
                </w:div>
              </w:divsChild>
            </w:div>
            <w:div w:id="1361853035">
              <w:marLeft w:val="0"/>
              <w:marRight w:val="0"/>
              <w:marTop w:val="0"/>
              <w:marBottom w:val="0"/>
              <w:divBdr>
                <w:top w:val="none" w:sz="0" w:space="0" w:color="auto"/>
                <w:left w:val="none" w:sz="0" w:space="0" w:color="auto"/>
                <w:bottom w:val="none" w:sz="0" w:space="0" w:color="auto"/>
                <w:right w:val="none" w:sz="0" w:space="0" w:color="auto"/>
              </w:divBdr>
              <w:divsChild>
                <w:div w:id="707951003">
                  <w:marLeft w:val="0"/>
                  <w:marRight w:val="0"/>
                  <w:marTop w:val="0"/>
                  <w:marBottom w:val="0"/>
                  <w:divBdr>
                    <w:top w:val="none" w:sz="0" w:space="0" w:color="auto"/>
                    <w:left w:val="none" w:sz="0" w:space="0" w:color="auto"/>
                    <w:bottom w:val="none" w:sz="0" w:space="0" w:color="auto"/>
                    <w:right w:val="none" w:sz="0" w:space="0" w:color="auto"/>
                  </w:divBdr>
                </w:div>
              </w:divsChild>
            </w:div>
            <w:div w:id="1452363854">
              <w:marLeft w:val="0"/>
              <w:marRight w:val="0"/>
              <w:marTop w:val="0"/>
              <w:marBottom w:val="0"/>
              <w:divBdr>
                <w:top w:val="none" w:sz="0" w:space="0" w:color="auto"/>
                <w:left w:val="none" w:sz="0" w:space="0" w:color="auto"/>
                <w:bottom w:val="none" w:sz="0" w:space="0" w:color="auto"/>
                <w:right w:val="none" w:sz="0" w:space="0" w:color="auto"/>
              </w:divBdr>
            </w:div>
            <w:div w:id="1739554175">
              <w:marLeft w:val="0"/>
              <w:marRight w:val="0"/>
              <w:marTop w:val="0"/>
              <w:marBottom w:val="0"/>
              <w:divBdr>
                <w:top w:val="none" w:sz="0" w:space="0" w:color="auto"/>
                <w:left w:val="none" w:sz="0" w:space="0" w:color="auto"/>
                <w:bottom w:val="none" w:sz="0" w:space="0" w:color="auto"/>
                <w:right w:val="none" w:sz="0" w:space="0" w:color="auto"/>
              </w:divBdr>
              <w:divsChild>
                <w:div w:id="930554315">
                  <w:marLeft w:val="0"/>
                  <w:marRight w:val="0"/>
                  <w:marTop w:val="0"/>
                  <w:marBottom w:val="0"/>
                  <w:divBdr>
                    <w:top w:val="none" w:sz="0" w:space="0" w:color="auto"/>
                    <w:left w:val="none" w:sz="0" w:space="0" w:color="auto"/>
                    <w:bottom w:val="none" w:sz="0" w:space="0" w:color="auto"/>
                    <w:right w:val="none" w:sz="0" w:space="0" w:color="auto"/>
                  </w:divBdr>
                </w:div>
              </w:divsChild>
            </w:div>
            <w:div w:id="1870530028">
              <w:marLeft w:val="0"/>
              <w:marRight w:val="0"/>
              <w:marTop w:val="0"/>
              <w:marBottom w:val="0"/>
              <w:divBdr>
                <w:top w:val="none" w:sz="0" w:space="0" w:color="auto"/>
                <w:left w:val="none" w:sz="0" w:space="0" w:color="auto"/>
                <w:bottom w:val="none" w:sz="0" w:space="0" w:color="auto"/>
                <w:right w:val="none" w:sz="0" w:space="0" w:color="auto"/>
              </w:divBdr>
              <w:divsChild>
                <w:div w:id="6994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862289">
      <w:bodyDiv w:val="1"/>
      <w:marLeft w:val="0"/>
      <w:marRight w:val="0"/>
      <w:marTop w:val="0"/>
      <w:marBottom w:val="0"/>
      <w:divBdr>
        <w:top w:val="none" w:sz="0" w:space="0" w:color="auto"/>
        <w:left w:val="none" w:sz="0" w:space="0" w:color="auto"/>
        <w:bottom w:val="none" w:sz="0" w:space="0" w:color="auto"/>
        <w:right w:val="none" w:sz="0" w:space="0" w:color="auto"/>
      </w:divBdr>
    </w:div>
    <w:div w:id="801728131">
      <w:bodyDiv w:val="1"/>
      <w:marLeft w:val="0"/>
      <w:marRight w:val="0"/>
      <w:marTop w:val="0"/>
      <w:marBottom w:val="0"/>
      <w:divBdr>
        <w:top w:val="none" w:sz="0" w:space="0" w:color="auto"/>
        <w:left w:val="none" w:sz="0" w:space="0" w:color="auto"/>
        <w:bottom w:val="none" w:sz="0" w:space="0" w:color="auto"/>
        <w:right w:val="none" w:sz="0" w:space="0" w:color="auto"/>
      </w:divBdr>
      <w:divsChild>
        <w:div w:id="1436555837">
          <w:marLeft w:val="0"/>
          <w:marRight w:val="0"/>
          <w:marTop w:val="0"/>
          <w:marBottom w:val="0"/>
          <w:divBdr>
            <w:top w:val="none" w:sz="0" w:space="0" w:color="auto"/>
            <w:left w:val="none" w:sz="0" w:space="0" w:color="auto"/>
            <w:bottom w:val="none" w:sz="0" w:space="0" w:color="auto"/>
            <w:right w:val="none" w:sz="0" w:space="0" w:color="auto"/>
          </w:divBdr>
        </w:div>
      </w:divsChild>
    </w:div>
    <w:div w:id="816074772">
      <w:bodyDiv w:val="1"/>
      <w:marLeft w:val="0"/>
      <w:marRight w:val="0"/>
      <w:marTop w:val="0"/>
      <w:marBottom w:val="0"/>
      <w:divBdr>
        <w:top w:val="none" w:sz="0" w:space="0" w:color="auto"/>
        <w:left w:val="none" w:sz="0" w:space="0" w:color="auto"/>
        <w:bottom w:val="none" w:sz="0" w:space="0" w:color="auto"/>
        <w:right w:val="none" w:sz="0" w:space="0" w:color="auto"/>
      </w:divBdr>
      <w:divsChild>
        <w:div w:id="698819751">
          <w:marLeft w:val="0"/>
          <w:marRight w:val="0"/>
          <w:marTop w:val="0"/>
          <w:marBottom w:val="0"/>
          <w:divBdr>
            <w:top w:val="none" w:sz="0" w:space="0" w:color="auto"/>
            <w:left w:val="none" w:sz="0" w:space="0" w:color="auto"/>
            <w:bottom w:val="none" w:sz="0" w:space="0" w:color="auto"/>
            <w:right w:val="none" w:sz="0" w:space="0" w:color="auto"/>
          </w:divBdr>
        </w:div>
      </w:divsChild>
    </w:div>
    <w:div w:id="819346758">
      <w:bodyDiv w:val="1"/>
      <w:marLeft w:val="0"/>
      <w:marRight w:val="0"/>
      <w:marTop w:val="0"/>
      <w:marBottom w:val="0"/>
      <w:divBdr>
        <w:top w:val="none" w:sz="0" w:space="0" w:color="auto"/>
        <w:left w:val="none" w:sz="0" w:space="0" w:color="auto"/>
        <w:bottom w:val="none" w:sz="0" w:space="0" w:color="auto"/>
        <w:right w:val="none" w:sz="0" w:space="0" w:color="auto"/>
      </w:divBdr>
      <w:divsChild>
        <w:div w:id="345326481">
          <w:marLeft w:val="0"/>
          <w:marRight w:val="0"/>
          <w:marTop w:val="0"/>
          <w:marBottom w:val="0"/>
          <w:divBdr>
            <w:top w:val="none" w:sz="0" w:space="0" w:color="auto"/>
            <w:left w:val="none" w:sz="0" w:space="0" w:color="auto"/>
            <w:bottom w:val="none" w:sz="0" w:space="0" w:color="auto"/>
            <w:right w:val="none" w:sz="0" w:space="0" w:color="auto"/>
          </w:divBdr>
        </w:div>
        <w:div w:id="932517933">
          <w:marLeft w:val="0"/>
          <w:marRight w:val="0"/>
          <w:marTop w:val="0"/>
          <w:marBottom w:val="0"/>
          <w:divBdr>
            <w:top w:val="none" w:sz="0" w:space="0" w:color="auto"/>
            <w:left w:val="none" w:sz="0" w:space="0" w:color="auto"/>
            <w:bottom w:val="none" w:sz="0" w:space="0" w:color="auto"/>
            <w:right w:val="none" w:sz="0" w:space="0" w:color="auto"/>
          </w:divBdr>
        </w:div>
        <w:div w:id="1893929443">
          <w:marLeft w:val="0"/>
          <w:marRight w:val="0"/>
          <w:marTop w:val="0"/>
          <w:marBottom w:val="0"/>
          <w:divBdr>
            <w:top w:val="none" w:sz="0" w:space="0" w:color="auto"/>
            <w:left w:val="none" w:sz="0" w:space="0" w:color="auto"/>
            <w:bottom w:val="none" w:sz="0" w:space="0" w:color="auto"/>
            <w:right w:val="none" w:sz="0" w:space="0" w:color="auto"/>
          </w:divBdr>
        </w:div>
      </w:divsChild>
    </w:div>
    <w:div w:id="851457204">
      <w:bodyDiv w:val="1"/>
      <w:marLeft w:val="0"/>
      <w:marRight w:val="0"/>
      <w:marTop w:val="0"/>
      <w:marBottom w:val="0"/>
      <w:divBdr>
        <w:top w:val="none" w:sz="0" w:space="0" w:color="auto"/>
        <w:left w:val="none" w:sz="0" w:space="0" w:color="auto"/>
        <w:bottom w:val="none" w:sz="0" w:space="0" w:color="auto"/>
        <w:right w:val="none" w:sz="0" w:space="0" w:color="auto"/>
      </w:divBdr>
      <w:divsChild>
        <w:div w:id="870193175">
          <w:marLeft w:val="0"/>
          <w:marRight w:val="0"/>
          <w:marTop w:val="0"/>
          <w:marBottom w:val="0"/>
          <w:divBdr>
            <w:top w:val="none" w:sz="0" w:space="0" w:color="auto"/>
            <w:left w:val="none" w:sz="0" w:space="0" w:color="auto"/>
            <w:bottom w:val="none" w:sz="0" w:space="0" w:color="auto"/>
            <w:right w:val="none" w:sz="0" w:space="0" w:color="auto"/>
          </w:divBdr>
        </w:div>
      </w:divsChild>
    </w:div>
    <w:div w:id="855650675">
      <w:bodyDiv w:val="1"/>
      <w:marLeft w:val="0"/>
      <w:marRight w:val="0"/>
      <w:marTop w:val="0"/>
      <w:marBottom w:val="0"/>
      <w:divBdr>
        <w:top w:val="none" w:sz="0" w:space="0" w:color="auto"/>
        <w:left w:val="none" w:sz="0" w:space="0" w:color="auto"/>
        <w:bottom w:val="none" w:sz="0" w:space="0" w:color="auto"/>
        <w:right w:val="none" w:sz="0" w:space="0" w:color="auto"/>
      </w:divBdr>
      <w:divsChild>
        <w:div w:id="1236672343">
          <w:marLeft w:val="0"/>
          <w:marRight w:val="0"/>
          <w:marTop w:val="0"/>
          <w:marBottom w:val="0"/>
          <w:divBdr>
            <w:top w:val="none" w:sz="0" w:space="0" w:color="auto"/>
            <w:left w:val="none" w:sz="0" w:space="0" w:color="auto"/>
            <w:bottom w:val="none" w:sz="0" w:space="0" w:color="auto"/>
            <w:right w:val="none" w:sz="0" w:space="0" w:color="auto"/>
          </w:divBdr>
        </w:div>
        <w:div w:id="1778333818">
          <w:marLeft w:val="0"/>
          <w:marRight w:val="0"/>
          <w:marTop w:val="0"/>
          <w:marBottom w:val="0"/>
          <w:divBdr>
            <w:top w:val="none" w:sz="0" w:space="0" w:color="auto"/>
            <w:left w:val="none" w:sz="0" w:space="0" w:color="auto"/>
            <w:bottom w:val="none" w:sz="0" w:space="0" w:color="auto"/>
            <w:right w:val="none" w:sz="0" w:space="0" w:color="auto"/>
          </w:divBdr>
        </w:div>
      </w:divsChild>
    </w:div>
    <w:div w:id="863325753">
      <w:bodyDiv w:val="1"/>
      <w:marLeft w:val="0"/>
      <w:marRight w:val="0"/>
      <w:marTop w:val="0"/>
      <w:marBottom w:val="0"/>
      <w:divBdr>
        <w:top w:val="none" w:sz="0" w:space="0" w:color="auto"/>
        <w:left w:val="none" w:sz="0" w:space="0" w:color="auto"/>
        <w:bottom w:val="none" w:sz="0" w:space="0" w:color="auto"/>
        <w:right w:val="none" w:sz="0" w:space="0" w:color="auto"/>
      </w:divBdr>
      <w:divsChild>
        <w:div w:id="77530550">
          <w:marLeft w:val="0"/>
          <w:marRight w:val="0"/>
          <w:marTop w:val="0"/>
          <w:marBottom w:val="0"/>
          <w:divBdr>
            <w:top w:val="none" w:sz="0" w:space="0" w:color="auto"/>
            <w:left w:val="none" w:sz="0" w:space="0" w:color="auto"/>
            <w:bottom w:val="none" w:sz="0" w:space="0" w:color="auto"/>
            <w:right w:val="none" w:sz="0" w:space="0" w:color="auto"/>
          </w:divBdr>
        </w:div>
        <w:div w:id="290332946">
          <w:marLeft w:val="0"/>
          <w:marRight w:val="0"/>
          <w:marTop w:val="0"/>
          <w:marBottom w:val="0"/>
          <w:divBdr>
            <w:top w:val="none" w:sz="0" w:space="0" w:color="auto"/>
            <w:left w:val="none" w:sz="0" w:space="0" w:color="auto"/>
            <w:bottom w:val="none" w:sz="0" w:space="0" w:color="auto"/>
            <w:right w:val="none" w:sz="0" w:space="0" w:color="auto"/>
          </w:divBdr>
        </w:div>
        <w:div w:id="325868044">
          <w:marLeft w:val="0"/>
          <w:marRight w:val="0"/>
          <w:marTop w:val="0"/>
          <w:marBottom w:val="0"/>
          <w:divBdr>
            <w:top w:val="none" w:sz="0" w:space="0" w:color="auto"/>
            <w:left w:val="none" w:sz="0" w:space="0" w:color="auto"/>
            <w:bottom w:val="none" w:sz="0" w:space="0" w:color="auto"/>
            <w:right w:val="none" w:sz="0" w:space="0" w:color="auto"/>
          </w:divBdr>
        </w:div>
        <w:div w:id="1174228387">
          <w:marLeft w:val="0"/>
          <w:marRight w:val="0"/>
          <w:marTop w:val="0"/>
          <w:marBottom w:val="0"/>
          <w:divBdr>
            <w:top w:val="none" w:sz="0" w:space="0" w:color="auto"/>
            <w:left w:val="none" w:sz="0" w:space="0" w:color="auto"/>
            <w:bottom w:val="none" w:sz="0" w:space="0" w:color="auto"/>
            <w:right w:val="none" w:sz="0" w:space="0" w:color="auto"/>
          </w:divBdr>
        </w:div>
        <w:div w:id="1247887862">
          <w:marLeft w:val="0"/>
          <w:marRight w:val="0"/>
          <w:marTop w:val="0"/>
          <w:marBottom w:val="0"/>
          <w:divBdr>
            <w:top w:val="none" w:sz="0" w:space="0" w:color="auto"/>
            <w:left w:val="none" w:sz="0" w:space="0" w:color="auto"/>
            <w:bottom w:val="none" w:sz="0" w:space="0" w:color="auto"/>
            <w:right w:val="none" w:sz="0" w:space="0" w:color="auto"/>
          </w:divBdr>
        </w:div>
        <w:div w:id="1533493660">
          <w:marLeft w:val="0"/>
          <w:marRight w:val="0"/>
          <w:marTop w:val="0"/>
          <w:marBottom w:val="0"/>
          <w:divBdr>
            <w:top w:val="none" w:sz="0" w:space="0" w:color="auto"/>
            <w:left w:val="none" w:sz="0" w:space="0" w:color="auto"/>
            <w:bottom w:val="none" w:sz="0" w:space="0" w:color="auto"/>
            <w:right w:val="none" w:sz="0" w:space="0" w:color="auto"/>
          </w:divBdr>
        </w:div>
      </w:divsChild>
    </w:div>
    <w:div w:id="872501915">
      <w:bodyDiv w:val="1"/>
      <w:marLeft w:val="0"/>
      <w:marRight w:val="0"/>
      <w:marTop w:val="0"/>
      <w:marBottom w:val="0"/>
      <w:divBdr>
        <w:top w:val="none" w:sz="0" w:space="0" w:color="auto"/>
        <w:left w:val="none" w:sz="0" w:space="0" w:color="auto"/>
        <w:bottom w:val="none" w:sz="0" w:space="0" w:color="auto"/>
        <w:right w:val="none" w:sz="0" w:space="0" w:color="auto"/>
      </w:divBdr>
      <w:divsChild>
        <w:div w:id="666597896">
          <w:marLeft w:val="0"/>
          <w:marRight w:val="0"/>
          <w:marTop w:val="0"/>
          <w:marBottom w:val="0"/>
          <w:divBdr>
            <w:top w:val="none" w:sz="0" w:space="0" w:color="auto"/>
            <w:left w:val="none" w:sz="0" w:space="0" w:color="auto"/>
            <w:bottom w:val="none" w:sz="0" w:space="0" w:color="auto"/>
            <w:right w:val="none" w:sz="0" w:space="0" w:color="auto"/>
          </w:divBdr>
        </w:div>
      </w:divsChild>
    </w:div>
    <w:div w:id="876937274">
      <w:bodyDiv w:val="1"/>
      <w:marLeft w:val="0"/>
      <w:marRight w:val="0"/>
      <w:marTop w:val="0"/>
      <w:marBottom w:val="0"/>
      <w:divBdr>
        <w:top w:val="none" w:sz="0" w:space="0" w:color="auto"/>
        <w:left w:val="none" w:sz="0" w:space="0" w:color="auto"/>
        <w:bottom w:val="none" w:sz="0" w:space="0" w:color="auto"/>
        <w:right w:val="none" w:sz="0" w:space="0" w:color="auto"/>
      </w:divBdr>
      <w:divsChild>
        <w:div w:id="522211512">
          <w:marLeft w:val="0"/>
          <w:marRight w:val="0"/>
          <w:marTop w:val="0"/>
          <w:marBottom w:val="0"/>
          <w:divBdr>
            <w:top w:val="none" w:sz="0" w:space="0" w:color="auto"/>
            <w:left w:val="none" w:sz="0" w:space="0" w:color="auto"/>
            <w:bottom w:val="none" w:sz="0" w:space="0" w:color="auto"/>
            <w:right w:val="none" w:sz="0" w:space="0" w:color="auto"/>
          </w:divBdr>
        </w:div>
      </w:divsChild>
    </w:div>
    <w:div w:id="894658887">
      <w:bodyDiv w:val="1"/>
      <w:marLeft w:val="0"/>
      <w:marRight w:val="0"/>
      <w:marTop w:val="0"/>
      <w:marBottom w:val="0"/>
      <w:divBdr>
        <w:top w:val="none" w:sz="0" w:space="0" w:color="auto"/>
        <w:left w:val="none" w:sz="0" w:space="0" w:color="auto"/>
        <w:bottom w:val="none" w:sz="0" w:space="0" w:color="auto"/>
        <w:right w:val="none" w:sz="0" w:space="0" w:color="auto"/>
      </w:divBdr>
    </w:div>
    <w:div w:id="913592363">
      <w:bodyDiv w:val="1"/>
      <w:marLeft w:val="0"/>
      <w:marRight w:val="0"/>
      <w:marTop w:val="0"/>
      <w:marBottom w:val="0"/>
      <w:divBdr>
        <w:top w:val="none" w:sz="0" w:space="0" w:color="auto"/>
        <w:left w:val="none" w:sz="0" w:space="0" w:color="auto"/>
        <w:bottom w:val="none" w:sz="0" w:space="0" w:color="auto"/>
        <w:right w:val="none" w:sz="0" w:space="0" w:color="auto"/>
      </w:divBdr>
      <w:divsChild>
        <w:div w:id="427236339">
          <w:marLeft w:val="0"/>
          <w:marRight w:val="0"/>
          <w:marTop w:val="0"/>
          <w:marBottom w:val="0"/>
          <w:divBdr>
            <w:top w:val="none" w:sz="0" w:space="0" w:color="auto"/>
            <w:left w:val="none" w:sz="0" w:space="0" w:color="auto"/>
            <w:bottom w:val="none" w:sz="0" w:space="0" w:color="auto"/>
            <w:right w:val="none" w:sz="0" w:space="0" w:color="auto"/>
          </w:divBdr>
        </w:div>
      </w:divsChild>
    </w:div>
    <w:div w:id="948200695">
      <w:bodyDiv w:val="1"/>
      <w:marLeft w:val="0"/>
      <w:marRight w:val="0"/>
      <w:marTop w:val="0"/>
      <w:marBottom w:val="0"/>
      <w:divBdr>
        <w:top w:val="none" w:sz="0" w:space="0" w:color="auto"/>
        <w:left w:val="none" w:sz="0" w:space="0" w:color="auto"/>
        <w:bottom w:val="none" w:sz="0" w:space="0" w:color="auto"/>
        <w:right w:val="none" w:sz="0" w:space="0" w:color="auto"/>
      </w:divBdr>
      <w:divsChild>
        <w:div w:id="1115442049">
          <w:marLeft w:val="0"/>
          <w:marRight w:val="0"/>
          <w:marTop w:val="0"/>
          <w:marBottom w:val="0"/>
          <w:divBdr>
            <w:top w:val="none" w:sz="0" w:space="0" w:color="auto"/>
            <w:left w:val="none" w:sz="0" w:space="0" w:color="auto"/>
            <w:bottom w:val="none" w:sz="0" w:space="0" w:color="auto"/>
            <w:right w:val="none" w:sz="0" w:space="0" w:color="auto"/>
          </w:divBdr>
        </w:div>
      </w:divsChild>
    </w:div>
    <w:div w:id="974334430">
      <w:bodyDiv w:val="1"/>
      <w:marLeft w:val="0"/>
      <w:marRight w:val="0"/>
      <w:marTop w:val="0"/>
      <w:marBottom w:val="0"/>
      <w:divBdr>
        <w:top w:val="none" w:sz="0" w:space="0" w:color="auto"/>
        <w:left w:val="none" w:sz="0" w:space="0" w:color="auto"/>
        <w:bottom w:val="none" w:sz="0" w:space="0" w:color="auto"/>
        <w:right w:val="none" w:sz="0" w:space="0" w:color="auto"/>
      </w:divBdr>
      <w:divsChild>
        <w:div w:id="868835059">
          <w:marLeft w:val="0"/>
          <w:marRight w:val="0"/>
          <w:marTop w:val="0"/>
          <w:marBottom w:val="0"/>
          <w:divBdr>
            <w:top w:val="none" w:sz="0" w:space="0" w:color="auto"/>
            <w:left w:val="none" w:sz="0" w:space="0" w:color="auto"/>
            <w:bottom w:val="none" w:sz="0" w:space="0" w:color="auto"/>
            <w:right w:val="none" w:sz="0" w:space="0" w:color="auto"/>
          </w:divBdr>
        </w:div>
      </w:divsChild>
    </w:div>
    <w:div w:id="991713043">
      <w:bodyDiv w:val="1"/>
      <w:marLeft w:val="0"/>
      <w:marRight w:val="0"/>
      <w:marTop w:val="0"/>
      <w:marBottom w:val="0"/>
      <w:divBdr>
        <w:top w:val="none" w:sz="0" w:space="0" w:color="auto"/>
        <w:left w:val="none" w:sz="0" w:space="0" w:color="auto"/>
        <w:bottom w:val="none" w:sz="0" w:space="0" w:color="auto"/>
        <w:right w:val="none" w:sz="0" w:space="0" w:color="auto"/>
      </w:divBdr>
      <w:divsChild>
        <w:div w:id="1909613013">
          <w:marLeft w:val="0"/>
          <w:marRight w:val="0"/>
          <w:marTop w:val="0"/>
          <w:marBottom w:val="0"/>
          <w:divBdr>
            <w:top w:val="none" w:sz="0" w:space="0" w:color="auto"/>
            <w:left w:val="none" w:sz="0" w:space="0" w:color="auto"/>
            <w:bottom w:val="none" w:sz="0" w:space="0" w:color="auto"/>
            <w:right w:val="none" w:sz="0" w:space="0" w:color="auto"/>
          </w:divBdr>
        </w:div>
      </w:divsChild>
    </w:div>
    <w:div w:id="1020472850">
      <w:bodyDiv w:val="1"/>
      <w:marLeft w:val="0"/>
      <w:marRight w:val="0"/>
      <w:marTop w:val="0"/>
      <w:marBottom w:val="0"/>
      <w:divBdr>
        <w:top w:val="none" w:sz="0" w:space="0" w:color="auto"/>
        <w:left w:val="none" w:sz="0" w:space="0" w:color="auto"/>
        <w:bottom w:val="none" w:sz="0" w:space="0" w:color="auto"/>
        <w:right w:val="none" w:sz="0" w:space="0" w:color="auto"/>
      </w:divBdr>
    </w:div>
    <w:div w:id="1041127510">
      <w:bodyDiv w:val="1"/>
      <w:marLeft w:val="0"/>
      <w:marRight w:val="0"/>
      <w:marTop w:val="0"/>
      <w:marBottom w:val="0"/>
      <w:divBdr>
        <w:top w:val="none" w:sz="0" w:space="0" w:color="auto"/>
        <w:left w:val="none" w:sz="0" w:space="0" w:color="auto"/>
        <w:bottom w:val="none" w:sz="0" w:space="0" w:color="auto"/>
        <w:right w:val="none" w:sz="0" w:space="0" w:color="auto"/>
      </w:divBdr>
      <w:divsChild>
        <w:div w:id="1597595379">
          <w:marLeft w:val="0"/>
          <w:marRight w:val="0"/>
          <w:marTop w:val="0"/>
          <w:marBottom w:val="0"/>
          <w:divBdr>
            <w:top w:val="none" w:sz="0" w:space="0" w:color="auto"/>
            <w:left w:val="none" w:sz="0" w:space="0" w:color="auto"/>
            <w:bottom w:val="none" w:sz="0" w:space="0" w:color="auto"/>
            <w:right w:val="none" w:sz="0" w:space="0" w:color="auto"/>
          </w:divBdr>
        </w:div>
      </w:divsChild>
    </w:div>
    <w:div w:id="1041907475">
      <w:bodyDiv w:val="1"/>
      <w:marLeft w:val="0"/>
      <w:marRight w:val="0"/>
      <w:marTop w:val="0"/>
      <w:marBottom w:val="0"/>
      <w:divBdr>
        <w:top w:val="none" w:sz="0" w:space="0" w:color="auto"/>
        <w:left w:val="none" w:sz="0" w:space="0" w:color="auto"/>
        <w:bottom w:val="none" w:sz="0" w:space="0" w:color="auto"/>
        <w:right w:val="none" w:sz="0" w:space="0" w:color="auto"/>
      </w:divBdr>
      <w:divsChild>
        <w:div w:id="1791900234">
          <w:marLeft w:val="0"/>
          <w:marRight w:val="0"/>
          <w:marTop w:val="0"/>
          <w:marBottom w:val="0"/>
          <w:divBdr>
            <w:top w:val="none" w:sz="0" w:space="0" w:color="auto"/>
            <w:left w:val="none" w:sz="0" w:space="0" w:color="auto"/>
            <w:bottom w:val="none" w:sz="0" w:space="0" w:color="auto"/>
            <w:right w:val="none" w:sz="0" w:space="0" w:color="auto"/>
          </w:divBdr>
        </w:div>
      </w:divsChild>
    </w:div>
    <w:div w:id="1042944063">
      <w:bodyDiv w:val="1"/>
      <w:marLeft w:val="0"/>
      <w:marRight w:val="0"/>
      <w:marTop w:val="0"/>
      <w:marBottom w:val="0"/>
      <w:divBdr>
        <w:top w:val="none" w:sz="0" w:space="0" w:color="auto"/>
        <w:left w:val="none" w:sz="0" w:space="0" w:color="auto"/>
        <w:bottom w:val="none" w:sz="0" w:space="0" w:color="auto"/>
        <w:right w:val="none" w:sz="0" w:space="0" w:color="auto"/>
      </w:divBdr>
      <w:divsChild>
        <w:div w:id="543182104">
          <w:marLeft w:val="0"/>
          <w:marRight w:val="0"/>
          <w:marTop w:val="0"/>
          <w:marBottom w:val="0"/>
          <w:divBdr>
            <w:top w:val="none" w:sz="0" w:space="0" w:color="auto"/>
            <w:left w:val="none" w:sz="0" w:space="0" w:color="auto"/>
            <w:bottom w:val="none" w:sz="0" w:space="0" w:color="auto"/>
            <w:right w:val="none" w:sz="0" w:space="0" w:color="auto"/>
          </w:divBdr>
        </w:div>
      </w:divsChild>
    </w:div>
    <w:div w:id="1082726377">
      <w:bodyDiv w:val="1"/>
      <w:marLeft w:val="0"/>
      <w:marRight w:val="0"/>
      <w:marTop w:val="0"/>
      <w:marBottom w:val="0"/>
      <w:divBdr>
        <w:top w:val="none" w:sz="0" w:space="0" w:color="auto"/>
        <w:left w:val="none" w:sz="0" w:space="0" w:color="auto"/>
        <w:bottom w:val="none" w:sz="0" w:space="0" w:color="auto"/>
        <w:right w:val="none" w:sz="0" w:space="0" w:color="auto"/>
      </w:divBdr>
      <w:divsChild>
        <w:div w:id="1870298619">
          <w:marLeft w:val="0"/>
          <w:marRight w:val="0"/>
          <w:marTop w:val="0"/>
          <w:marBottom w:val="0"/>
          <w:divBdr>
            <w:top w:val="none" w:sz="0" w:space="0" w:color="auto"/>
            <w:left w:val="none" w:sz="0" w:space="0" w:color="auto"/>
            <w:bottom w:val="none" w:sz="0" w:space="0" w:color="auto"/>
            <w:right w:val="none" w:sz="0" w:space="0" w:color="auto"/>
          </w:divBdr>
        </w:div>
      </w:divsChild>
    </w:div>
    <w:div w:id="1106389181">
      <w:bodyDiv w:val="1"/>
      <w:marLeft w:val="0"/>
      <w:marRight w:val="0"/>
      <w:marTop w:val="0"/>
      <w:marBottom w:val="0"/>
      <w:divBdr>
        <w:top w:val="none" w:sz="0" w:space="0" w:color="auto"/>
        <w:left w:val="none" w:sz="0" w:space="0" w:color="auto"/>
        <w:bottom w:val="none" w:sz="0" w:space="0" w:color="auto"/>
        <w:right w:val="none" w:sz="0" w:space="0" w:color="auto"/>
      </w:divBdr>
    </w:div>
    <w:div w:id="1148009154">
      <w:bodyDiv w:val="1"/>
      <w:marLeft w:val="0"/>
      <w:marRight w:val="0"/>
      <w:marTop w:val="0"/>
      <w:marBottom w:val="0"/>
      <w:divBdr>
        <w:top w:val="none" w:sz="0" w:space="0" w:color="auto"/>
        <w:left w:val="none" w:sz="0" w:space="0" w:color="auto"/>
        <w:bottom w:val="none" w:sz="0" w:space="0" w:color="auto"/>
        <w:right w:val="none" w:sz="0" w:space="0" w:color="auto"/>
      </w:divBdr>
      <w:divsChild>
        <w:div w:id="1016226991">
          <w:marLeft w:val="0"/>
          <w:marRight w:val="0"/>
          <w:marTop w:val="0"/>
          <w:marBottom w:val="0"/>
          <w:divBdr>
            <w:top w:val="none" w:sz="0" w:space="0" w:color="auto"/>
            <w:left w:val="none" w:sz="0" w:space="0" w:color="auto"/>
            <w:bottom w:val="none" w:sz="0" w:space="0" w:color="auto"/>
            <w:right w:val="none" w:sz="0" w:space="0" w:color="auto"/>
          </w:divBdr>
        </w:div>
      </w:divsChild>
    </w:div>
    <w:div w:id="1195734787">
      <w:bodyDiv w:val="1"/>
      <w:marLeft w:val="0"/>
      <w:marRight w:val="0"/>
      <w:marTop w:val="0"/>
      <w:marBottom w:val="0"/>
      <w:divBdr>
        <w:top w:val="none" w:sz="0" w:space="0" w:color="auto"/>
        <w:left w:val="none" w:sz="0" w:space="0" w:color="auto"/>
        <w:bottom w:val="none" w:sz="0" w:space="0" w:color="auto"/>
        <w:right w:val="none" w:sz="0" w:space="0" w:color="auto"/>
      </w:divBdr>
      <w:divsChild>
        <w:div w:id="487673039">
          <w:marLeft w:val="0"/>
          <w:marRight w:val="0"/>
          <w:marTop w:val="0"/>
          <w:marBottom w:val="0"/>
          <w:divBdr>
            <w:top w:val="none" w:sz="0" w:space="0" w:color="auto"/>
            <w:left w:val="none" w:sz="0" w:space="0" w:color="auto"/>
            <w:bottom w:val="none" w:sz="0" w:space="0" w:color="auto"/>
            <w:right w:val="none" w:sz="0" w:space="0" w:color="auto"/>
          </w:divBdr>
        </w:div>
      </w:divsChild>
    </w:div>
    <w:div w:id="1246920272">
      <w:bodyDiv w:val="1"/>
      <w:marLeft w:val="0"/>
      <w:marRight w:val="0"/>
      <w:marTop w:val="0"/>
      <w:marBottom w:val="0"/>
      <w:divBdr>
        <w:top w:val="none" w:sz="0" w:space="0" w:color="auto"/>
        <w:left w:val="none" w:sz="0" w:space="0" w:color="auto"/>
        <w:bottom w:val="none" w:sz="0" w:space="0" w:color="auto"/>
        <w:right w:val="none" w:sz="0" w:space="0" w:color="auto"/>
      </w:divBdr>
    </w:div>
    <w:div w:id="1285965699">
      <w:bodyDiv w:val="1"/>
      <w:marLeft w:val="0"/>
      <w:marRight w:val="0"/>
      <w:marTop w:val="0"/>
      <w:marBottom w:val="0"/>
      <w:divBdr>
        <w:top w:val="none" w:sz="0" w:space="0" w:color="auto"/>
        <w:left w:val="none" w:sz="0" w:space="0" w:color="auto"/>
        <w:bottom w:val="none" w:sz="0" w:space="0" w:color="auto"/>
        <w:right w:val="none" w:sz="0" w:space="0" w:color="auto"/>
      </w:divBdr>
      <w:divsChild>
        <w:div w:id="1449547100">
          <w:marLeft w:val="0"/>
          <w:marRight w:val="0"/>
          <w:marTop w:val="0"/>
          <w:marBottom w:val="0"/>
          <w:divBdr>
            <w:top w:val="none" w:sz="0" w:space="0" w:color="auto"/>
            <w:left w:val="none" w:sz="0" w:space="0" w:color="auto"/>
            <w:bottom w:val="none" w:sz="0" w:space="0" w:color="auto"/>
            <w:right w:val="none" w:sz="0" w:space="0" w:color="auto"/>
          </w:divBdr>
        </w:div>
      </w:divsChild>
    </w:div>
    <w:div w:id="1293246956">
      <w:bodyDiv w:val="1"/>
      <w:marLeft w:val="0"/>
      <w:marRight w:val="0"/>
      <w:marTop w:val="0"/>
      <w:marBottom w:val="0"/>
      <w:divBdr>
        <w:top w:val="none" w:sz="0" w:space="0" w:color="auto"/>
        <w:left w:val="none" w:sz="0" w:space="0" w:color="auto"/>
        <w:bottom w:val="none" w:sz="0" w:space="0" w:color="auto"/>
        <w:right w:val="none" w:sz="0" w:space="0" w:color="auto"/>
      </w:divBdr>
    </w:div>
    <w:div w:id="1326125850">
      <w:bodyDiv w:val="1"/>
      <w:marLeft w:val="0"/>
      <w:marRight w:val="0"/>
      <w:marTop w:val="0"/>
      <w:marBottom w:val="0"/>
      <w:divBdr>
        <w:top w:val="none" w:sz="0" w:space="0" w:color="auto"/>
        <w:left w:val="none" w:sz="0" w:space="0" w:color="auto"/>
        <w:bottom w:val="none" w:sz="0" w:space="0" w:color="auto"/>
        <w:right w:val="none" w:sz="0" w:space="0" w:color="auto"/>
      </w:divBdr>
      <w:divsChild>
        <w:div w:id="1789008726">
          <w:marLeft w:val="0"/>
          <w:marRight w:val="0"/>
          <w:marTop w:val="0"/>
          <w:marBottom w:val="0"/>
          <w:divBdr>
            <w:top w:val="none" w:sz="0" w:space="0" w:color="auto"/>
            <w:left w:val="none" w:sz="0" w:space="0" w:color="auto"/>
            <w:bottom w:val="none" w:sz="0" w:space="0" w:color="auto"/>
            <w:right w:val="none" w:sz="0" w:space="0" w:color="auto"/>
          </w:divBdr>
        </w:div>
      </w:divsChild>
    </w:div>
    <w:div w:id="1367027309">
      <w:bodyDiv w:val="1"/>
      <w:marLeft w:val="0"/>
      <w:marRight w:val="0"/>
      <w:marTop w:val="0"/>
      <w:marBottom w:val="0"/>
      <w:divBdr>
        <w:top w:val="none" w:sz="0" w:space="0" w:color="auto"/>
        <w:left w:val="none" w:sz="0" w:space="0" w:color="auto"/>
        <w:bottom w:val="none" w:sz="0" w:space="0" w:color="auto"/>
        <w:right w:val="none" w:sz="0" w:space="0" w:color="auto"/>
      </w:divBdr>
      <w:divsChild>
        <w:div w:id="1813986163">
          <w:marLeft w:val="0"/>
          <w:marRight w:val="0"/>
          <w:marTop w:val="0"/>
          <w:marBottom w:val="0"/>
          <w:divBdr>
            <w:top w:val="none" w:sz="0" w:space="0" w:color="auto"/>
            <w:left w:val="none" w:sz="0" w:space="0" w:color="auto"/>
            <w:bottom w:val="none" w:sz="0" w:space="0" w:color="auto"/>
            <w:right w:val="none" w:sz="0" w:space="0" w:color="auto"/>
          </w:divBdr>
        </w:div>
      </w:divsChild>
    </w:div>
    <w:div w:id="1381246876">
      <w:bodyDiv w:val="1"/>
      <w:marLeft w:val="0"/>
      <w:marRight w:val="0"/>
      <w:marTop w:val="0"/>
      <w:marBottom w:val="0"/>
      <w:divBdr>
        <w:top w:val="none" w:sz="0" w:space="0" w:color="auto"/>
        <w:left w:val="none" w:sz="0" w:space="0" w:color="auto"/>
        <w:bottom w:val="none" w:sz="0" w:space="0" w:color="auto"/>
        <w:right w:val="none" w:sz="0" w:space="0" w:color="auto"/>
      </w:divBdr>
    </w:div>
    <w:div w:id="1386834723">
      <w:bodyDiv w:val="1"/>
      <w:marLeft w:val="0"/>
      <w:marRight w:val="0"/>
      <w:marTop w:val="0"/>
      <w:marBottom w:val="0"/>
      <w:divBdr>
        <w:top w:val="none" w:sz="0" w:space="0" w:color="auto"/>
        <w:left w:val="none" w:sz="0" w:space="0" w:color="auto"/>
        <w:bottom w:val="none" w:sz="0" w:space="0" w:color="auto"/>
        <w:right w:val="none" w:sz="0" w:space="0" w:color="auto"/>
      </w:divBdr>
      <w:divsChild>
        <w:div w:id="1654144318">
          <w:marLeft w:val="0"/>
          <w:marRight w:val="0"/>
          <w:marTop w:val="83"/>
          <w:marBottom w:val="0"/>
          <w:divBdr>
            <w:top w:val="none" w:sz="0" w:space="0" w:color="auto"/>
            <w:left w:val="none" w:sz="0" w:space="0" w:color="auto"/>
            <w:bottom w:val="none" w:sz="0" w:space="0" w:color="auto"/>
            <w:right w:val="none" w:sz="0" w:space="0" w:color="auto"/>
          </w:divBdr>
        </w:div>
        <w:div w:id="1673872822">
          <w:marLeft w:val="0"/>
          <w:marRight w:val="0"/>
          <w:marTop w:val="83"/>
          <w:marBottom w:val="0"/>
          <w:divBdr>
            <w:top w:val="none" w:sz="0" w:space="0" w:color="auto"/>
            <w:left w:val="none" w:sz="0" w:space="0" w:color="auto"/>
            <w:bottom w:val="none" w:sz="0" w:space="0" w:color="auto"/>
            <w:right w:val="none" w:sz="0" w:space="0" w:color="auto"/>
          </w:divBdr>
        </w:div>
        <w:div w:id="1849632836">
          <w:marLeft w:val="0"/>
          <w:marRight w:val="0"/>
          <w:marTop w:val="83"/>
          <w:marBottom w:val="0"/>
          <w:divBdr>
            <w:top w:val="none" w:sz="0" w:space="0" w:color="auto"/>
            <w:left w:val="none" w:sz="0" w:space="0" w:color="auto"/>
            <w:bottom w:val="none" w:sz="0" w:space="0" w:color="auto"/>
            <w:right w:val="none" w:sz="0" w:space="0" w:color="auto"/>
          </w:divBdr>
        </w:div>
        <w:div w:id="2059208857">
          <w:marLeft w:val="0"/>
          <w:marRight w:val="0"/>
          <w:marTop w:val="83"/>
          <w:marBottom w:val="0"/>
          <w:divBdr>
            <w:top w:val="none" w:sz="0" w:space="0" w:color="auto"/>
            <w:left w:val="none" w:sz="0" w:space="0" w:color="auto"/>
            <w:bottom w:val="none" w:sz="0" w:space="0" w:color="auto"/>
            <w:right w:val="none" w:sz="0" w:space="0" w:color="auto"/>
          </w:divBdr>
        </w:div>
      </w:divsChild>
    </w:div>
    <w:div w:id="1401560906">
      <w:bodyDiv w:val="1"/>
      <w:marLeft w:val="0"/>
      <w:marRight w:val="0"/>
      <w:marTop w:val="0"/>
      <w:marBottom w:val="0"/>
      <w:divBdr>
        <w:top w:val="none" w:sz="0" w:space="0" w:color="auto"/>
        <w:left w:val="none" w:sz="0" w:space="0" w:color="auto"/>
        <w:bottom w:val="none" w:sz="0" w:space="0" w:color="auto"/>
        <w:right w:val="none" w:sz="0" w:space="0" w:color="auto"/>
      </w:divBdr>
      <w:divsChild>
        <w:div w:id="1034035364">
          <w:marLeft w:val="0"/>
          <w:marRight w:val="0"/>
          <w:marTop w:val="0"/>
          <w:marBottom w:val="0"/>
          <w:divBdr>
            <w:top w:val="none" w:sz="0" w:space="0" w:color="auto"/>
            <w:left w:val="none" w:sz="0" w:space="0" w:color="auto"/>
            <w:bottom w:val="none" w:sz="0" w:space="0" w:color="auto"/>
            <w:right w:val="none" w:sz="0" w:space="0" w:color="auto"/>
          </w:divBdr>
        </w:div>
      </w:divsChild>
    </w:div>
    <w:div w:id="1431318156">
      <w:bodyDiv w:val="1"/>
      <w:marLeft w:val="0"/>
      <w:marRight w:val="0"/>
      <w:marTop w:val="0"/>
      <w:marBottom w:val="0"/>
      <w:divBdr>
        <w:top w:val="none" w:sz="0" w:space="0" w:color="auto"/>
        <w:left w:val="none" w:sz="0" w:space="0" w:color="auto"/>
        <w:bottom w:val="none" w:sz="0" w:space="0" w:color="auto"/>
        <w:right w:val="none" w:sz="0" w:space="0" w:color="auto"/>
      </w:divBdr>
      <w:divsChild>
        <w:div w:id="681931533">
          <w:marLeft w:val="0"/>
          <w:marRight w:val="0"/>
          <w:marTop w:val="0"/>
          <w:marBottom w:val="0"/>
          <w:divBdr>
            <w:top w:val="none" w:sz="0" w:space="0" w:color="auto"/>
            <w:left w:val="none" w:sz="0" w:space="0" w:color="auto"/>
            <w:bottom w:val="none" w:sz="0" w:space="0" w:color="auto"/>
            <w:right w:val="none" w:sz="0" w:space="0" w:color="auto"/>
          </w:divBdr>
        </w:div>
      </w:divsChild>
    </w:div>
    <w:div w:id="1438909442">
      <w:bodyDiv w:val="1"/>
      <w:marLeft w:val="0"/>
      <w:marRight w:val="0"/>
      <w:marTop w:val="0"/>
      <w:marBottom w:val="0"/>
      <w:divBdr>
        <w:top w:val="none" w:sz="0" w:space="0" w:color="auto"/>
        <w:left w:val="none" w:sz="0" w:space="0" w:color="auto"/>
        <w:bottom w:val="none" w:sz="0" w:space="0" w:color="auto"/>
        <w:right w:val="none" w:sz="0" w:space="0" w:color="auto"/>
      </w:divBdr>
      <w:divsChild>
        <w:div w:id="720177752">
          <w:marLeft w:val="0"/>
          <w:marRight w:val="0"/>
          <w:marTop w:val="0"/>
          <w:marBottom w:val="0"/>
          <w:divBdr>
            <w:top w:val="none" w:sz="0" w:space="0" w:color="auto"/>
            <w:left w:val="none" w:sz="0" w:space="0" w:color="auto"/>
            <w:bottom w:val="none" w:sz="0" w:space="0" w:color="auto"/>
            <w:right w:val="none" w:sz="0" w:space="0" w:color="auto"/>
          </w:divBdr>
        </w:div>
      </w:divsChild>
    </w:div>
    <w:div w:id="1453670152">
      <w:bodyDiv w:val="1"/>
      <w:marLeft w:val="0"/>
      <w:marRight w:val="0"/>
      <w:marTop w:val="0"/>
      <w:marBottom w:val="0"/>
      <w:divBdr>
        <w:top w:val="none" w:sz="0" w:space="0" w:color="auto"/>
        <w:left w:val="none" w:sz="0" w:space="0" w:color="auto"/>
        <w:bottom w:val="none" w:sz="0" w:space="0" w:color="auto"/>
        <w:right w:val="none" w:sz="0" w:space="0" w:color="auto"/>
      </w:divBdr>
      <w:divsChild>
        <w:div w:id="39400171">
          <w:marLeft w:val="0"/>
          <w:marRight w:val="0"/>
          <w:marTop w:val="0"/>
          <w:marBottom w:val="0"/>
          <w:divBdr>
            <w:top w:val="none" w:sz="0" w:space="0" w:color="auto"/>
            <w:left w:val="none" w:sz="0" w:space="0" w:color="auto"/>
            <w:bottom w:val="none" w:sz="0" w:space="0" w:color="auto"/>
            <w:right w:val="none" w:sz="0" w:space="0" w:color="auto"/>
          </w:divBdr>
        </w:div>
        <w:div w:id="332416213">
          <w:marLeft w:val="0"/>
          <w:marRight w:val="0"/>
          <w:marTop w:val="0"/>
          <w:marBottom w:val="0"/>
          <w:divBdr>
            <w:top w:val="none" w:sz="0" w:space="0" w:color="auto"/>
            <w:left w:val="none" w:sz="0" w:space="0" w:color="auto"/>
            <w:bottom w:val="none" w:sz="0" w:space="0" w:color="auto"/>
            <w:right w:val="none" w:sz="0" w:space="0" w:color="auto"/>
          </w:divBdr>
        </w:div>
        <w:div w:id="1022634463">
          <w:marLeft w:val="0"/>
          <w:marRight w:val="0"/>
          <w:marTop w:val="0"/>
          <w:marBottom w:val="0"/>
          <w:divBdr>
            <w:top w:val="none" w:sz="0" w:space="0" w:color="auto"/>
            <w:left w:val="none" w:sz="0" w:space="0" w:color="auto"/>
            <w:bottom w:val="none" w:sz="0" w:space="0" w:color="auto"/>
            <w:right w:val="none" w:sz="0" w:space="0" w:color="auto"/>
          </w:divBdr>
        </w:div>
        <w:div w:id="1191842584">
          <w:marLeft w:val="0"/>
          <w:marRight w:val="0"/>
          <w:marTop w:val="0"/>
          <w:marBottom w:val="0"/>
          <w:divBdr>
            <w:top w:val="none" w:sz="0" w:space="0" w:color="auto"/>
            <w:left w:val="none" w:sz="0" w:space="0" w:color="auto"/>
            <w:bottom w:val="none" w:sz="0" w:space="0" w:color="auto"/>
            <w:right w:val="none" w:sz="0" w:space="0" w:color="auto"/>
          </w:divBdr>
        </w:div>
        <w:div w:id="1460412927">
          <w:marLeft w:val="0"/>
          <w:marRight w:val="0"/>
          <w:marTop w:val="0"/>
          <w:marBottom w:val="0"/>
          <w:divBdr>
            <w:top w:val="none" w:sz="0" w:space="0" w:color="auto"/>
            <w:left w:val="none" w:sz="0" w:space="0" w:color="auto"/>
            <w:bottom w:val="none" w:sz="0" w:space="0" w:color="auto"/>
            <w:right w:val="none" w:sz="0" w:space="0" w:color="auto"/>
          </w:divBdr>
        </w:div>
        <w:div w:id="1546674089">
          <w:marLeft w:val="0"/>
          <w:marRight w:val="0"/>
          <w:marTop w:val="0"/>
          <w:marBottom w:val="0"/>
          <w:divBdr>
            <w:top w:val="none" w:sz="0" w:space="0" w:color="auto"/>
            <w:left w:val="none" w:sz="0" w:space="0" w:color="auto"/>
            <w:bottom w:val="none" w:sz="0" w:space="0" w:color="auto"/>
            <w:right w:val="none" w:sz="0" w:space="0" w:color="auto"/>
          </w:divBdr>
        </w:div>
        <w:div w:id="1904943375">
          <w:marLeft w:val="0"/>
          <w:marRight w:val="0"/>
          <w:marTop w:val="0"/>
          <w:marBottom w:val="0"/>
          <w:divBdr>
            <w:top w:val="none" w:sz="0" w:space="0" w:color="auto"/>
            <w:left w:val="none" w:sz="0" w:space="0" w:color="auto"/>
            <w:bottom w:val="none" w:sz="0" w:space="0" w:color="auto"/>
            <w:right w:val="none" w:sz="0" w:space="0" w:color="auto"/>
          </w:divBdr>
        </w:div>
      </w:divsChild>
    </w:div>
    <w:div w:id="1490058872">
      <w:bodyDiv w:val="1"/>
      <w:marLeft w:val="0"/>
      <w:marRight w:val="0"/>
      <w:marTop w:val="0"/>
      <w:marBottom w:val="0"/>
      <w:divBdr>
        <w:top w:val="none" w:sz="0" w:space="0" w:color="auto"/>
        <w:left w:val="none" w:sz="0" w:space="0" w:color="auto"/>
        <w:bottom w:val="none" w:sz="0" w:space="0" w:color="auto"/>
        <w:right w:val="none" w:sz="0" w:space="0" w:color="auto"/>
      </w:divBdr>
      <w:divsChild>
        <w:div w:id="286162708">
          <w:marLeft w:val="0"/>
          <w:marRight w:val="0"/>
          <w:marTop w:val="0"/>
          <w:marBottom w:val="0"/>
          <w:divBdr>
            <w:top w:val="none" w:sz="0" w:space="0" w:color="auto"/>
            <w:left w:val="none" w:sz="0" w:space="0" w:color="auto"/>
            <w:bottom w:val="none" w:sz="0" w:space="0" w:color="auto"/>
            <w:right w:val="none" w:sz="0" w:space="0" w:color="auto"/>
          </w:divBdr>
        </w:div>
        <w:div w:id="517819780">
          <w:marLeft w:val="0"/>
          <w:marRight w:val="0"/>
          <w:marTop w:val="0"/>
          <w:marBottom w:val="0"/>
          <w:divBdr>
            <w:top w:val="none" w:sz="0" w:space="0" w:color="auto"/>
            <w:left w:val="none" w:sz="0" w:space="0" w:color="auto"/>
            <w:bottom w:val="none" w:sz="0" w:space="0" w:color="auto"/>
            <w:right w:val="none" w:sz="0" w:space="0" w:color="auto"/>
          </w:divBdr>
        </w:div>
        <w:div w:id="530651669">
          <w:marLeft w:val="0"/>
          <w:marRight w:val="0"/>
          <w:marTop w:val="0"/>
          <w:marBottom w:val="0"/>
          <w:divBdr>
            <w:top w:val="none" w:sz="0" w:space="0" w:color="auto"/>
            <w:left w:val="none" w:sz="0" w:space="0" w:color="auto"/>
            <w:bottom w:val="none" w:sz="0" w:space="0" w:color="auto"/>
            <w:right w:val="none" w:sz="0" w:space="0" w:color="auto"/>
          </w:divBdr>
        </w:div>
        <w:div w:id="559289404">
          <w:marLeft w:val="0"/>
          <w:marRight w:val="0"/>
          <w:marTop w:val="0"/>
          <w:marBottom w:val="0"/>
          <w:divBdr>
            <w:top w:val="none" w:sz="0" w:space="0" w:color="auto"/>
            <w:left w:val="none" w:sz="0" w:space="0" w:color="auto"/>
            <w:bottom w:val="none" w:sz="0" w:space="0" w:color="auto"/>
            <w:right w:val="none" w:sz="0" w:space="0" w:color="auto"/>
          </w:divBdr>
        </w:div>
        <w:div w:id="1396583945">
          <w:marLeft w:val="0"/>
          <w:marRight w:val="0"/>
          <w:marTop w:val="0"/>
          <w:marBottom w:val="0"/>
          <w:divBdr>
            <w:top w:val="none" w:sz="0" w:space="0" w:color="auto"/>
            <w:left w:val="none" w:sz="0" w:space="0" w:color="auto"/>
            <w:bottom w:val="none" w:sz="0" w:space="0" w:color="auto"/>
            <w:right w:val="none" w:sz="0" w:space="0" w:color="auto"/>
          </w:divBdr>
        </w:div>
        <w:div w:id="1419255799">
          <w:marLeft w:val="0"/>
          <w:marRight w:val="0"/>
          <w:marTop w:val="0"/>
          <w:marBottom w:val="0"/>
          <w:divBdr>
            <w:top w:val="none" w:sz="0" w:space="0" w:color="auto"/>
            <w:left w:val="none" w:sz="0" w:space="0" w:color="auto"/>
            <w:bottom w:val="none" w:sz="0" w:space="0" w:color="auto"/>
            <w:right w:val="none" w:sz="0" w:space="0" w:color="auto"/>
          </w:divBdr>
        </w:div>
        <w:div w:id="1428231086">
          <w:marLeft w:val="0"/>
          <w:marRight w:val="0"/>
          <w:marTop w:val="0"/>
          <w:marBottom w:val="0"/>
          <w:divBdr>
            <w:top w:val="none" w:sz="0" w:space="0" w:color="auto"/>
            <w:left w:val="none" w:sz="0" w:space="0" w:color="auto"/>
            <w:bottom w:val="none" w:sz="0" w:space="0" w:color="auto"/>
            <w:right w:val="none" w:sz="0" w:space="0" w:color="auto"/>
          </w:divBdr>
        </w:div>
      </w:divsChild>
    </w:div>
    <w:div w:id="1490555935">
      <w:bodyDiv w:val="1"/>
      <w:marLeft w:val="0"/>
      <w:marRight w:val="0"/>
      <w:marTop w:val="0"/>
      <w:marBottom w:val="0"/>
      <w:divBdr>
        <w:top w:val="none" w:sz="0" w:space="0" w:color="auto"/>
        <w:left w:val="none" w:sz="0" w:space="0" w:color="auto"/>
        <w:bottom w:val="none" w:sz="0" w:space="0" w:color="auto"/>
        <w:right w:val="none" w:sz="0" w:space="0" w:color="auto"/>
      </w:divBdr>
      <w:divsChild>
        <w:div w:id="34158354">
          <w:marLeft w:val="0"/>
          <w:marRight w:val="0"/>
          <w:marTop w:val="0"/>
          <w:marBottom w:val="0"/>
          <w:divBdr>
            <w:top w:val="none" w:sz="0" w:space="0" w:color="auto"/>
            <w:left w:val="none" w:sz="0" w:space="0" w:color="auto"/>
            <w:bottom w:val="none" w:sz="0" w:space="0" w:color="auto"/>
            <w:right w:val="none" w:sz="0" w:space="0" w:color="auto"/>
          </w:divBdr>
        </w:div>
      </w:divsChild>
    </w:div>
    <w:div w:id="1498034085">
      <w:bodyDiv w:val="1"/>
      <w:marLeft w:val="0"/>
      <w:marRight w:val="0"/>
      <w:marTop w:val="0"/>
      <w:marBottom w:val="0"/>
      <w:divBdr>
        <w:top w:val="none" w:sz="0" w:space="0" w:color="auto"/>
        <w:left w:val="none" w:sz="0" w:space="0" w:color="auto"/>
        <w:bottom w:val="none" w:sz="0" w:space="0" w:color="auto"/>
        <w:right w:val="none" w:sz="0" w:space="0" w:color="auto"/>
      </w:divBdr>
      <w:divsChild>
        <w:div w:id="1486359738">
          <w:marLeft w:val="0"/>
          <w:marRight w:val="0"/>
          <w:marTop w:val="0"/>
          <w:marBottom w:val="0"/>
          <w:divBdr>
            <w:top w:val="none" w:sz="0" w:space="0" w:color="auto"/>
            <w:left w:val="none" w:sz="0" w:space="0" w:color="auto"/>
            <w:bottom w:val="none" w:sz="0" w:space="0" w:color="auto"/>
            <w:right w:val="none" w:sz="0" w:space="0" w:color="auto"/>
          </w:divBdr>
        </w:div>
      </w:divsChild>
    </w:div>
    <w:div w:id="1516457361">
      <w:bodyDiv w:val="1"/>
      <w:marLeft w:val="0"/>
      <w:marRight w:val="0"/>
      <w:marTop w:val="0"/>
      <w:marBottom w:val="0"/>
      <w:divBdr>
        <w:top w:val="none" w:sz="0" w:space="0" w:color="auto"/>
        <w:left w:val="none" w:sz="0" w:space="0" w:color="auto"/>
        <w:bottom w:val="none" w:sz="0" w:space="0" w:color="auto"/>
        <w:right w:val="none" w:sz="0" w:space="0" w:color="auto"/>
      </w:divBdr>
      <w:divsChild>
        <w:div w:id="1465545311">
          <w:marLeft w:val="0"/>
          <w:marRight w:val="0"/>
          <w:marTop w:val="0"/>
          <w:marBottom w:val="0"/>
          <w:divBdr>
            <w:top w:val="none" w:sz="0" w:space="0" w:color="auto"/>
            <w:left w:val="none" w:sz="0" w:space="0" w:color="auto"/>
            <w:bottom w:val="none" w:sz="0" w:space="0" w:color="auto"/>
            <w:right w:val="none" w:sz="0" w:space="0" w:color="auto"/>
          </w:divBdr>
          <w:divsChild>
            <w:div w:id="10767176">
              <w:marLeft w:val="0"/>
              <w:marRight w:val="0"/>
              <w:marTop w:val="0"/>
              <w:marBottom w:val="0"/>
              <w:divBdr>
                <w:top w:val="none" w:sz="0" w:space="0" w:color="auto"/>
                <w:left w:val="none" w:sz="0" w:space="0" w:color="auto"/>
                <w:bottom w:val="none" w:sz="0" w:space="0" w:color="auto"/>
                <w:right w:val="none" w:sz="0" w:space="0" w:color="auto"/>
              </w:divBdr>
              <w:divsChild>
                <w:div w:id="874192151">
                  <w:marLeft w:val="0"/>
                  <w:marRight w:val="0"/>
                  <w:marTop w:val="0"/>
                  <w:marBottom w:val="0"/>
                  <w:divBdr>
                    <w:top w:val="none" w:sz="0" w:space="0" w:color="auto"/>
                    <w:left w:val="none" w:sz="0" w:space="0" w:color="auto"/>
                    <w:bottom w:val="none" w:sz="0" w:space="0" w:color="auto"/>
                    <w:right w:val="none" w:sz="0" w:space="0" w:color="auto"/>
                  </w:divBdr>
                </w:div>
              </w:divsChild>
            </w:div>
            <w:div w:id="94986606">
              <w:marLeft w:val="0"/>
              <w:marRight w:val="0"/>
              <w:marTop w:val="0"/>
              <w:marBottom w:val="0"/>
              <w:divBdr>
                <w:top w:val="none" w:sz="0" w:space="0" w:color="auto"/>
                <w:left w:val="none" w:sz="0" w:space="0" w:color="auto"/>
                <w:bottom w:val="none" w:sz="0" w:space="0" w:color="auto"/>
                <w:right w:val="none" w:sz="0" w:space="0" w:color="auto"/>
              </w:divBdr>
              <w:divsChild>
                <w:div w:id="554053041">
                  <w:marLeft w:val="0"/>
                  <w:marRight w:val="0"/>
                  <w:marTop w:val="0"/>
                  <w:marBottom w:val="0"/>
                  <w:divBdr>
                    <w:top w:val="none" w:sz="0" w:space="0" w:color="auto"/>
                    <w:left w:val="none" w:sz="0" w:space="0" w:color="auto"/>
                    <w:bottom w:val="none" w:sz="0" w:space="0" w:color="auto"/>
                    <w:right w:val="none" w:sz="0" w:space="0" w:color="auto"/>
                  </w:divBdr>
                </w:div>
              </w:divsChild>
            </w:div>
            <w:div w:id="452789047">
              <w:marLeft w:val="0"/>
              <w:marRight w:val="0"/>
              <w:marTop w:val="0"/>
              <w:marBottom w:val="0"/>
              <w:divBdr>
                <w:top w:val="none" w:sz="0" w:space="0" w:color="auto"/>
                <w:left w:val="none" w:sz="0" w:space="0" w:color="auto"/>
                <w:bottom w:val="none" w:sz="0" w:space="0" w:color="auto"/>
                <w:right w:val="none" w:sz="0" w:space="0" w:color="auto"/>
              </w:divBdr>
              <w:divsChild>
                <w:div w:id="1655137414">
                  <w:marLeft w:val="0"/>
                  <w:marRight w:val="0"/>
                  <w:marTop w:val="0"/>
                  <w:marBottom w:val="0"/>
                  <w:divBdr>
                    <w:top w:val="none" w:sz="0" w:space="0" w:color="auto"/>
                    <w:left w:val="none" w:sz="0" w:space="0" w:color="auto"/>
                    <w:bottom w:val="none" w:sz="0" w:space="0" w:color="auto"/>
                    <w:right w:val="none" w:sz="0" w:space="0" w:color="auto"/>
                  </w:divBdr>
                </w:div>
              </w:divsChild>
            </w:div>
            <w:div w:id="513880603">
              <w:marLeft w:val="0"/>
              <w:marRight w:val="0"/>
              <w:marTop w:val="0"/>
              <w:marBottom w:val="0"/>
              <w:divBdr>
                <w:top w:val="none" w:sz="0" w:space="0" w:color="auto"/>
                <w:left w:val="none" w:sz="0" w:space="0" w:color="auto"/>
                <w:bottom w:val="none" w:sz="0" w:space="0" w:color="auto"/>
                <w:right w:val="none" w:sz="0" w:space="0" w:color="auto"/>
              </w:divBdr>
              <w:divsChild>
                <w:div w:id="404033995">
                  <w:marLeft w:val="0"/>
                  <w:marRight w:val="0"/>
                  <w:marTop w:val="0"/>
                  <w:marBottom w:val="0"/>
                  <w:divBdr>
                    <w:top w:val="none" w:sz="0" w:space="0" w:color="auto"/>
                    <w:left w:val="none" w:sz="0" w:space="0" w:color="auto"/>
                    <w:bottom w:val="none" w:sz="0" w:space="0" w:color="auto"/>
                    <w:right w:val="none" w:sz="0" w:space="0" w:color="auto"/>
                  </w:divBdr>
                </w:div>
                <w:div w:id="434134724">
                  <w:marLeft w:val="0"/>
                  <w:marRight w:val="0"/>
                  <w:marTop w:val="0"/>
                  <w:marBottom w:val="0"/>
                  <w:divBdr>
                    <w:top w:val="none" w:sz="0" w:space="0" w:color="auto"/>
                    <w:left w:val="none" w:sz="0" w:space="0" w:color="auto"/>
                    <w:bottom w:val="none" w:sz="0" w:space="0" w:color="auto"/>
                    <w:right w:val="none" w:sz="0" w:space="0" w:color="auto"/>
                  </w:divBdr>
                </w:div>
                <w:div w:id="878779627">
                  <w:marLeft w:val="0"/>
                  <w:marRight w:val="0"/>
                  <w:marTop w:val="0"/>
                  <w:marBottom w:val="0"/>
                  <w:divBdr>
                    <w:top w:val="none" w:sz="0" w:space="0" w:color="auto"/>
                    <w:left w:val="none" w:sz="0" w:space="0" w:color="auto"/>
                    <w:bottom w:val="none" w:sz="0" w:space="0" w:color="auto"/>
                    <w:right w:val="none" w:sz="0" w:space="0" w:color="auto"/>
                  </w:divBdr>
                </w:div>
                <w:div w:id="1246114150">
                  <w:marLeft w:val="0"/>
                  <w:marRight w:val="0"/>
                  <w:marTop w:val="0"/>
                  <w:marBottom w:val="0"/>
                  <w:divBdr>
                    <w:top w:val="none" w:sz="0" w:space="0" w:color="auto"/>
                    <w:left w:val="none" w:sz="0" w:space="0" w:color="auto"/>
                    <w:bottom w:val="none" w:sz="0" w:space="0" w:color="auto"/>
                    <w:right w:val="none" w:sz="0" w:space="0" w:color="auto"/>
                  </w:divBdr>
                </w:div>
                <w:div w:id="1257246518">
                  <w:marLeft w:val="0"/>
                  <w:marRight w:val="0"/>
                  <w:marTop w:val="0"/>
                  <w:marBottom w:val="0"/>
                  <w:divBdr>
                    <w:top w:val="none" w:sz="0" w:space="0" w:color="auto"/>
                    <w:left w:val="none" w:sz="0" w:space="0" w:color="auto"/>
                    <w:bottom w:val="none" w:sz="0" w:space="0" w:color="auto"/>
                    <w:right w:val="none" w:sz="0" w:space="0" w:color="auto"/>
                  </w:divBdr>
                </w:div>
                <w:div w:id="1628851654">
                  <w:marLeft w:val="0"/>
                  <w:marRight w:val="0"/>
                  <w:marTop w:val="0"/>
                  <w:marBottom w:val="0"/>
                  <w:divBdr>
                    <w:top w:val="none" w:sz="0" w:space="0" w:color="auto"/>
                    <w:left w:val="none" w:sz="0" w:space="0" w:color="auto"/>
                    <w:bottom w:val="none" w:sz="0" w:space="0" w:color="auto"/>
                    <w:right w:val="none" w:sz="0" w:space="0" w:color="auto"/>
                  </w:divBdr>
                </w:div>
                <w:div w:id="2128311613">
                  <w:marLeft w:val="0"/>
                  <w:marRight w:val="0"/>
                  <w:marTop w:val="0"/>
                  <w:marBottom w:val="0"/>
                  <w:divBdr>
                    <w:top w:val="none" w:sz="0" w:space="0" w:color="auto"/>
                    <w:left w:val="none" w:sz="0" w:space="0" w:color="auto"/>
                    <w:bottom w:val="none" w:sz="0" w:space="0" w:color="auto"/>
                    <w:right w:val="none" w:sz="0" w:space="0" w:color="auto"/>
                  </w:divBdr>
                </w:div>
              </w:divsChild>
            </w:div>
            <w:div w:id="1111700595">
              <w:marLeft w:val="0"/>
              <w:marRight w:val="0"/>
              <w:marTop w:val="0"/>
              <w:marBottom w:val="0"/>
              <w:divBdr>
                <w:top w:val="none" w:sz="0" w:space="0" w:color="auto"/>
                <w:left w:val="none" w:sz="0" w:space="0" w:color="auto"/>
                <w:bottom w:val="none" w:sz="0" w:space="0" w:color="auto"/>
                <w:right w:val="none" w:sz="0" w:space="0" w:color="auto"/>
              </w:divBdr>
              <w:divsChild>
                <w:div w:id="1459294438">
                  <w:marLeft w:val="0"/>
                  <w:marRight w:val="0"/>
                  <w:marTop w:val="0"/>
                  <w:marBottom w:val="0"/>
                  <w:divBdr>
                    <w:top w:val="none" w:sz="0" w:space="0" w:color="auto"/>
                    <w:left w:val="none" w:sz="0" w:space="0" w:color="auto"/>
                    <w:bottom w:val="none" w:sz="0" w:space="0" w:color="auto"/>
                    <w:right w:val="none" w:sz="0" w:space="0" w:color="auto"/>
                  </w:divBdr>
                </w:div>
              </w:divsChild>
            </w:div>
            <w:div w:id="1234436962">
              <w:marLeft w:val="0"/>
              <w:marRight w:val="0"/>
              <w:marTop w:val="0"/>
              <w:marBottom w:val="0"/>
              <w:divBdr>
                <w:top w:val="none" w:sz="0" w:space="0" w:color="auto"/>
                <w:left w:val="none" w:sz="0" w:space="0" w:color="auto"/>
                <w:bottom w:val="none" w:sz="0" w:space="0" w:color="auto"/>
                <w:right w:val="none" w:sz="0" w:space="0" w:color="auto"/>
              </w:divBdr>
              <w:divsChild>
                <w:div w:id="1087732543">
                  <w:marLeft w:val="0"/>
                  <w:marRight w:val="0"/>
                  <w:marTop w:val="0"/>
                  <w:marBottom w:val="0"/>
                  <w:divBdr>
                    <w:top w:val="none" w:sz="0" w:space="0" w:color="auto"/>
                    <w:left w:val="none" w:sz="0" w:space="0" w:color="auto"/>
                    <w:bottom w:val="none" w:sz="0" w:space="0" w:color="auto"/>
                    <w:right w:val="none" w:sz="0" w:space="0" w:color="auto"/>
                  </w:divBdr>
                </w:div>
              </w:divsChild>
            </w:div>
            <w:div w:id="1445079044">
              <w:marLeft w:val="0"/>
              <w:marRight w:val="0"/>
              <w:marTop w:val="0"/>
              <w:marBottom w:val="0"/>
              <w:divBdr>
                <w:top w:val="none" w:sz="0" w:space="0" w:color="auto"/>
                <w:left w:val="none" w:sz="0" w:space="0" w:color="auto"/>
                <w:bottom w:val="none" w:sz="0" w:space="0" w:color="auto"/>
                <w:right w:val="none" w:sz="0" w:space="0" w:color="auto"/>
              </w:divBdr>
            </w:div>
            <w:div w:id="1579166776">
              <w:marLeft w:val="0"/>
              <w:marRight w:val="0"/>
              <w:marTop w:val="0"/>
              <w:marBottom w:val="0"/>
              <w:divBdr>
                <w:top w:val="none" w:sz="0" w:space="0" w:color="auto"/>
                <w:left w:val="none" w:sz="0" w:space="0" w:color="auto"/>
                <w:bottom w:val="none" w:sz="0" w:space="0" w:color="auto"/>
                <w:right w:val="none" w:sz="0" w:space="0" w:color="auto"/>
              </w:divBdr>
              <w:divsChild>
                <w:div w:id="1588539698">
                  <w:marLeft w:val="0"/>
                  <w:marRight w:val="0"/>
                  <w:marTop w:val="0"/>
                  <w:marBottom w:val="0"/>
                  <w:divBdr>
                    <w:top w:val="none" w:sz="0" w:space="0" w:color="auto"/>
                    <w:left w:val="none" w:sz="0" w:space="0" w:color="auto"/>
                    <w:bottom w:val="none" w:sz="0" w:space="0" w:color="auto"/>
                    <w:right w:val="none" w:sz="0" w:space="0" w:color="auto"/>
                  </w:divBdr>
                </w:div>
              </w:divsChild>
            </w:div>
            <w:div w:id="1888300473">
              <w:marLeft w:val="0"/>
              <w:marRight w:val="0"/>
              <w:marTop w:val="0"/>
              <w:marBottom w:val="0"/>
              <w:divBdr>
                <w:top w:val="none" w:sz="0" w:space="0" w:color="auto"/>
                <w:left w:val="none" w:sz="0" w:space="0" w:color="auto"/>
                <w:bottom w:val="none" w:sz="0" w:space="0" w:color="auto"/>
                <w:right w:val="none" w:sz="0" w:space="0" w:color="auto"/>
              </w:divBdr>
              <w:divsChild>
                <w:div w:id="15705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52230928">
      <w:bodyDiv w:val="1"/>
      <w:marLeft w:val="0"/>
      <w:marRight w:val="0"/>
      <w:marTop w:val="0"/>
      <w:marBottom w:val="0"/>
      <w:divBdr>
        <w:top w:val="none" w:sz="0" w:space="0" w:color="auto"/>
        <w:left w:val="none" w:sz="0" w:space="0" w:color="auto"/>
        <w:bottom w:val="none" w:sz="0" w:space="0" w:color="auto"/>
        <w:right w:val="none" w:sz="0" w:space="0" w:color="auto"/>
      </w:divBdr>
      <w:divsChild>
        <w:div w:id="484972274">
          <w:marLeft w:val="0"/>
          <w:marRight w:val="0"/>
          <w:marTop w:val="0"/>
          <w:marBottom w:val="0"/>
          <w:divBdr>
            <w:top w:val="none" w:sz="0" w:space="0" w:color="auto"/>
            <w:left w:val="none" w:sz="0" w:space="0" w:color="auto"/>
            <w:bottom w:val="none" w:sz="0" w:space="0" w:color="auto"/>
            <w:right w:val="none" w:sz="0" w:space="0" w:color="auto"/>
          </w:divBdr>
        </w:div>
      </w:divsChild>
    </w:div>
    <w:div w:id="1608729670">
      <w:bodyDiv w:val="1"/>
      <w:marLeft w:val="0"/>
      <w:marRight w:val="0"/>
      <w:marTop w:val="0"/>
      <w:marBottom w:val="0"/>
      <w:divBdr>
        <w:top w:val="none" w:sz="0" w:space="0" w:color="auto"/>
        <w:left w:val="none" w:sz="0" w:space="0" w:color="auto"/>
        <w:bottom w:val="none" w:sz="0" w:space="0" w:color="auto"/>
        <w:right w:val="none" w:sz="0" w:space="0" w:color="auto"/>
      </w:divBdr>
      <w:divsChild>
        <w:div w:id="822619398">
          <w:marLeft w:val="0"/>
          <w:marRight w:val="0"/>
          <w:marTop w:val="0"/>
          <w:marBottom w:val="0"/>
          <w:divBdr>
            <w:top w:val="none" w:sz="0" w:space="0" w:color="auto"/>
            <w:left w:val="none" w:sz="0" w:space="0" w:color="auto"/>
            <w:bottom w:val="none" w:sz="0" w:space="0" w:color="auto"/>
            <w:right w:val="none" w:sz="0" w:space="0" w:color="auto"/>
          </w:divBdr>
        </w:div>
      </w:divsChild>
    </w:div>
    <w:div w:id="1616785271">
      <w:bodyDiv w:val="1"/>
      <w:marLeft w:val="0"/>
      <w:marRight w:val="0"/>
      <w:marTop w:val="0"/>
      <w:marBottom w:val="0"/>
      <w:divBdr>
        <w:top w:val="none" w:sz="0" w:space="0" w:color="auto"/>
        <w:left w:val="none" w:sz="0" w:space="0" w:color="auto"/>
        <w:bottom w:val="none" w:sz="0" w:space="0" w:color="auto"/>
        <w:right w:val="none" w:sz="0" w:space="0" w:color="auto"/>
      </w:divBdr>
      <w:divsChild>
        <w:div w:id="821656120">
          <w:marLeft w:val="0"/>
          <w:marRight w:val="0"/>
          <w:marTop w:val="0"/>
          <w:marBottom w:val="0"/>
          <w:divBdr>
            <w:top w:val="none" w:sz="0" w:space="0" w:color="auto"/>
            <w:left w:val="none" w:sz="0" w:space="0" w:color="auto"/>
            <w:bottom w:val="none" w:sz="0" w:space="0" w:color="auto"/>
            <w:right w:val="none" w:sz="0" w:space="0" w:color="auto"/>
          </w:divBdr>
        </w:div>
      </w:divsChild>
    </w:div>
    <w:div w:id="1625162413">
      <w:bodyDiv w:val="1"/>
      <w:marLeft w:val="0"/>
      <w:marRight w:val="0"/>
      <w:marTop w:val="0"/>
      <w:marBottom w:val="0"/>
      <w:divBdr>
        <w:top w:val="none" w:sz="0" w:space="0" w:color="auto"/>
        <w:left w:val="none" w:sz="0" w:space="0" w:color="auto"/>
        <w:bottom w:val="none" w:sz="0" w:space="0" w:color="auto"/>
        <w:right w:val="none" w:sz="0" w:space="0" w:color="auto"/>
      </w:divBdr>
      <w:divsChild>
        <w:div w:id="2106655136">
          <w:marLeft w:val="0"/>
          <w:marRight w:val="0"/>
          <w:marTop w:val="0"/>
          <w:marBottom w:val="0"/>
          <w:divBdr>
            <w:top w:val="none" w:sz="0" w:space="0" w:color="auto"/>
            <w:left w:val="none" w:sz="0" w:space="0" w:color="auto"/>
            <w:bottom w:val="none" w:sz="0" w:space="0" w:color="auto"/>
            <w:right w:val="none" w:sz="0" w:space="0" w:color="auto"/>
          </w:divBdr>
        </w:div>
      </w:divsChild>
    </w:div>
    <w:div w:id="1696540991">
      <w:bodyDiv w:val="1"/>
      <w:marLeft w:val="0"/>
      <w:marRight w:val="0"/>
      <w:marTop w:val="0"/>
      <w:marBottom w:val="0"/>
      <w:divBdr>
        <w:top w:val="none" w:sz="0" w:space="0" w:color="auto"/>
        <w:left w:val="none" w:sz="0" w:space="0" w:color="auto"/>
        <w:bottom w:val="none" w:sz="0" w:space="0" w:color="auto"/>
        <w:right w:val="none" w:sz="0" w:space="0" w:color="auto"/>
      </w:divBdr>
      <w:divsChild>
        <w:div w:id="108088174">
          <w:marLeft w:val="0"/>
          <w:marRight w:val="0"/>
          <w:marTop w:val="0"/>
          <w:marBottom w:val="0"/>
          <w:divBdr>
            <w:top w:val="none" w:sz="0" w:space="0" w:color="auto"/>
            <w:left w:val="none" w:sz="0" w:space="0" w:color="auto"/>
            <w:bottom w:val="none" w:sz="0" w:space="0" w:color="auto"/>
            <w:right w:val="none" w:sz="0" w:space="0" w:color="auto"/>
          </w:divBdr>
        </w:div>
      </w:divsChild>
    </w:div>
    <w:div w:id="1743988050">
      <w:bodyDiv w:val="1"/>
      <w:marLeft w:val="0"/>
      <w:marRight w:val="0"/>
      <w:marTop w:val="0"/>
      <w:marBottom w:val="0"/>
      <w:divBdr>
        <w:top w:val="none" w:sz="0" w:space="0" w:color="auto"/>
        <w:left w:val="none" w:sz="0" w:space="0" w:color="auto"/>
        <w:bottom w:val="none" w:sz="0" w:space="0" w:color="auto"/>
        <w:right w:val="none" w:sz="0" w:space="0" w:color="auto"/>
      </w:divBdr>
    </w:div>
    <w:div w:id="1744258691">
      <w:bodyDiv w:val="1"/>
      <w:marLeft w:val="0"/>
      <w:marRight w:val="0"/>
      <w:marTop w:val="0"/>
      <w:marBottom w:val="0"/>
      <w:divBdr>
        <w:top w:val="none" w:sz="0" w:space="0" w:color="auto"/>
        <w:left w:val="none" w:sz="0" w:space="0" w:color="auto"/>
        <w:bottom w:val="none" w:sz="0" w:space="0" w:color="auto"/>
        <w:right w:val="none" w:sz="0" w:space="0" w:color="auto"/>
      </w:divBdr>
    </w:div>
    <w:div w:id="1757241851">
      <w:bodyDiv w:val="1"/>
      <w:marLeft w:val="0"/>
      <w:marRight w:val="0"/>
      <w:marTop w:val="0"/>
      <w:marBottom w:val="0"/>
      <w:divBdr>
        <w:top w:val="none" w:sz="0" w:space="0" w:color="auto"/>
        <w:left w:val="none" w:sz="0" w:space="0" w:color="auto"/>
        <w:bottom w:val="none" w:sz="0" w:space="0" w:color="auto"/>
        <w:right w:val="none" w:sz="0" w:space="0" w:color="auto"/>
      </w:divBdr>
      <w:divsChild>
        <w:div w:id="1115171989">
          <w:marLeft w:val="0"/>
          <w:marRight w:val="0"/>
          <w:marTop w:val="0"/>
          <w:marBottom w:val="0"/>
          <w:divBdr>
            <w:top w:val="none" w:sz="0" w:space="0" w:color="auto"/>
            <w:left w:val="none" w:sz="0" w:space="0" w:color="auto"/>
            <w:bottom w:val="none" w:sz="0" w:space="0" w:color="auto"/>
            <w:right w:val="none" w:sz="0" w:space="0" w:color="auto"/>
          </w:divBdr>
        </w:div>
      </w:divsChild>
    </w:div>
    <w:div w:id="1806239312">
      <w:bodyDiv w:val="1"/>
      <w:marLeft w:val="0"/>
      <w:marRight w:val="0"/>
      <w:marTop w:val="0"/>
      <w:marBottom w:val="0"/>
      <w:divBdr>
        <w:top w:val="none" w:sz="0" w:space="0" w:color="auto"/>
        <w:left w:val="none" w:sz="0" w:space="0" w:color="auto"/>
        <w:bottom w:val="none" w:sz="0" w:space="0" w:color="auto"/>
        <w:right w:val="none" w:sz="0" w:space="0" w:color="auto"/>
      </w:divBdr>
      <w:divsChild>
        <w:div w:id="230123623">
          <w:marLeft w:val="0"/>
          <w:marRight w:val="0"/>
          <w:marTop w:val="0"/>
          <w:marBottom w:val="0"/>
          <w:divBdr>
            <w:top w:val="none" w:sz="0" w:space="0" w:color="auto"/>
            <w:left w:val="none" w:sz="0" w:space="0" w:color="auto"/>
            <w:bottom w:val="none" w:sz="0" w:space="0" w:color="auto"/>
            <w:right w:val="none" w:sz="0" w:space="0" w:color="auto"/>
          </w:divBdr>
        </w:div>
        <w:div w:id="346103203">
          <w:marLeft w:val="0"/>
          <w:marRight w:val="0"/>
          <w:marTop w:val="0"/>
          <w:marBottom w:val="0"/>
          <w:divBdr>
            <w:top w:val="none" w:sz="0" w:space="0" w:color="auto"/>
            <w:left w:val="none" w:sz="0" w:space="0" w:color="auto"/>
            <w:bottom w:val="none" w:sz="0" w:space="0" w:color="auto"/>
            <w:right w:val="none" w:sz="0" w:space="0" w:color="auto"/>
          </w:divBdr>
        </w:div>
        <w:div w:id="403067259">
          <w:marLeft w:val="0"/>
          <w:marRight w:val="0"/>
          <w:marTop w:val="0"/>
          <w:marBottom w:val="0"/>
          <w:divBdr>
            <w:top w:val="none" w:sz="0" w:space="0" w:color="auto"/>
            <w:left w:val="none" w:sz="0" w:space="0" w:color="auto"/>
            <w:bottom w:val="none" w:sz="0" w:space="0" w:color="auto"/>
            <w:right w:val="none" w:sz="0" w:space="0" w:color="auto"/>
          </w:divBdr>
        </w:div>
        <w:div w:id="477650078">
          <w:marLeft w:val="0"/>
          <w:marRight w:val="0"/>
          <w:marTop w:val="0"/>
          <w:marBottom w:val="0"/>
          <w:divBdr>
            <w:top w:val="none" w:sz="0" w:space="0" w:color="auto"/>
            <w:left w:val="none" w:sz="0" w:space="0" w:color="auto"/>
            <w:bottom w:val="none" w:sz="0" w:space="0" w:color="auto"/>
            <w:right w:val="none" w:sz="0" w:space="0" w:color="auto"/>
          </w:divBdr>
        </w:div>
        <w:div w:id="969432975">
          <w:marLeft w:val="0"/>
          <w:marRight w:val="0"/>
          <w:marTop w:val="0"/>
          <w:marBottom w:val="0"/>
          <w:divBdr>
            <w:top w:val="none" w:sz="0" w:space="0" w:color="auto"/>
            <w:left w:val="none" w:sz="0" w:space="0" w:color="auto"/>
            <w:bottom w:val="none" w:sz="0" w:space="0" w:color="auto"/>
            <w:right w:val="none" w:sz="0" w:space="0" w:color="auto"/>
          </w:divBdr>
        </w:div>
        <w:div w:id="1303773190">
          <w:marLeft w:val="0"/>
          <w:marRight w:val="0"/>
          <w:marTop w:val="0"/>
          <w:marBottom w:val="0"/>
          <w:divBdr>
            <w:top w:val="none" w:sz="0" w:space="0" w:color="auto"/>
            <w:left w:val="none" w:sz="0" w:space="0" w:color="auto"/>
            <w:bottom w:val="none" w:sz="0" w:space="0" w:color="auto"/>
            <w:right w:val="none" w:sz="0" w:space="0" w:color="auto"/>
          </w:divBdr>
        </w:div>
        <w:div w:id="1358847225">
          <w:marLeft w:val="0"/>
          <w:marRight w:val="0"/>
          <w:marTop w:val="0"/>
          <w:marBottom w:val="0"/>
          <w:divBdr>
            <w:top w:val="none" w:sz="0" w:space="0" w:color="auto"/>
            <w:left w:val="none" w:sz="0" w:space="0" w:color="auto"/>
            <w:bottom w:val="none" w:sz="0" w:space="0" w:color="auto"/>
            <w:right w:val="none" w:sz="0" w:space="0" w:color="auto"/>
          </w:divBdr>
        </w:div>
        <w:div w:id="2016810207">
          <w:marLeft w:val="0"/>
          <w:marRight w:val="0"/>
          <w:marTop w:val="0"/>
          <w:marBottom w:val="0"/>
          <w:divBdr>
            <w:top w:val="none" w:sz="0" w:space="0" w:color="auto"/>
            <w:left w:val="none" w:sz="0" w:space="0" w:color="auto"/>
            <w:bottom w:val="none" w:sz="0" w:space="0" w:color="auto"/>
            <w:right w:val="none" w:sz="0" w:space="0" w:color="auto"/>
          </w:divBdr>
        </w:div>
      </w:divsChild>
    </w:div>
    <w:div w:id="1809006561">
      <w:bodyDiv w:val="1"/>
      <w:marLeft w:val="0"/>
      <w:marRight w:val="0"/>
      <w:marTop w:val="0"/>
      <w:marBottom w:val="0"/>
      <w:divBdr>
        <w:top w:val="none" w:sz="0" w:space="0" w:color="auto"/>
        <w:left w:val="none" w:sz="0" w:space="0" w:color="auto"/>
        <w:bottom w:val="none" w:sz="0" w:space="0" w:color="auto"/>
        <w:right w:val="none" w:sz="0" w:space="0" w:color="auto"/>
      </w:divBdr>
      <w:divsChild>
        <w:div w:id="863833972">
          <w:marLeft w:val="0"/>
          <w:marRight w:val="0"/>
          <w:marTop w:val="0"/>
          <w:marBottom w:val="0"/>
          <w:divBdr>
            <w:top w:val="none" w:sz="0" w:space="0" w:color="auto"/>
            <w:left w:val="none" w:sz="0" w:space="0" w:color="auto"/>
            <w:bottom w:val="none" w:sz="0" w:space="0" w:color="auto"/>
            <w:right w:val="none" w:sz="0" w:space="0" w:color="auto"/>
          </w:divBdr>
        </w:div>
      </w:divsChild>
    </w:div>
    <w:div w:id="1812094238">
      <w:bodyDiv w:val="1"/>
      <w:marLeft w:val="0"/>
      <w:marRight w:val="0"/>
      <w:marTop w:val="0"/>
      <w:marBottom w:val="0"/>
      <w:divBdr>
        <w:top w:val="none" w:sz="0" w:space="0" w:color="auto"/>
        <w:left w:val="none" w:sz="0" w:space="0" w:color="auto"/>
        <w:bottom w:val="none" w:sz="0" w:space="0" w:color="auto"/>
        <w:right w:val="none" w:sz="0" w:space="0" w:color="auto"/>
      </w:divBdr>
      <w:divsChild>
        <w:div w:id="1777091832">
          <w:marLeft w:val="0"/>
          <w:marRight w:val="0"/>
          <w:marTop w:val="0"/>
          <w:marBottom w:val="0"/>
          <w:divBdr>
            <w:top w:val="none" w:sz="0" w:space="0" w:color="auto"/>
            <w:left w:val="none" w:sz="0" w:space="0" w:color="auto"/>
            <w:bottom w:val="none" w:sz="0" w:space="0" w:color="auto"/>
            <w:right w:val="none" w:sz="0" w:space="0" w:color="auto"/>
          </w:divBdr>
        </w:div>
      </w:divsChild>
    </w:div>
    <w:div w:id="1820150375">
      <w:bodyDiv w:val="1"/>
      <w:marLeft w:val="0"/>
      <w:marRight w:val="0"/>
      <w:marTop w:val="0"/>
      <w:marBottom w:val="0"/>
      <w:divBdr>
        <w:top w:val="none" w:sz="0" w:space="0" w:color="auto"/>
        <w:left w:val="none" w:sz="0" w:space="0" w:color="auto"/>
        <w:bottom w:val="none" w:sz="0" w:space="0" w:color="auto"/>
        <w:right w:val="none" w:sz="0" w:space="0" w:color="auto"/>
      </w:divBdr>
      <w:divsChild>
        <w:div w:id="883712450">
          <w:marLeft w:val="0"/>
          <w:marRight w:val="0"/>
          <w:marTop w:val="0"/>
          <w:marBottom w:val="0"/>
          <w:divBdr>
            <w:top w:val="none" w:sz="0" w:space="0" w:color="auto"/>
            <w:left w:val="none" w:sz="0" w:space="0" w:color="auto"/>
            <w:bottom w:val="none" w:sz="0" w:space="0" w:color="auto"/>
            <w:right w:val="none" w:sz="0" w:space="0" w:color="auto"/>
          </w:divBdr>
        </w:div>
      </w:divsChild>
    </w:div>
    <w:div w:id="1836844370">
      <w:bodyDiv w:val="1"/>
      <w:marLeft w:val="0"/>
      <w:marRight w:val="0"/>
      <w:marTop w:val="0"/>
      <w:marBottom w:val="0"/>
      <w:divBdr>
        <w:top w:val="none" w:sz="0" w:space="0" w:color="auto"/>
        <w:left w:val="none" w:sz="0" w:space="0" w:color="auto"/>
        <w:bottom w:val="none" w:sz="0" w:space="0" w:color="auto"/>
        <w:right w:val="none" w:sz="0" w:space="0" w:color="auto"/>
      </w:divBdr>
      <w:divsChild>
        <w:div w:id="1422293680">
          <w:marLeft w:val="0"/>
          <w:marRight w:val="0"/>
          <w:marTop w:val="0"/>
          <w:marBottom w:val="0"/>
          <w:divBdr>
            <w:top w:val="none" w:sz="0" w:space="0" w:color="auto"/>
            <w:left w:val="none" w:sz="0" w:space="0" w:color="auto"/>
            <w:bottom w:val="none" w:sz="0" w:space="0" w:color="auto"/>
            <w:right w:val="none" w:sz="0" w:space="0" w:color="auto"/>
          </w:divBdr>
        </w:div>
      </w:divsChild>
    </w:div>
    <w:div w:id="1859853553">
      <w:bodyDiv w:val="1"/>
      <w:marLeft w:val="0"/>
      <w:marRight w:val="0"/>
      <w:marTop w:val="0"/>
      <w:marBottom w:val="0"/>
      <w:divBdr>
        <w:top w:val="none" w:sz="0" w:space="0" w:color="auto"/>
        <w:left w:val="none" w:sz="0" w:space="0" w:color="auto"/>
        <w:bottom w:val="none" w:sz="0" w:space="0" w:color="auto"/>
        <w:right w:val="none" w:sz="0" w:space="0" w:color="auto"/>
      </w:divBdr>
    </w:div>
    <w:div w:id="1904874414">
      <w:bodyDiv w:val="1"/>
      <w:marLeft w:val="0"/>
      <w:marRight w:val="0"/>
      <w:marTop w:val="0"/>
      <w:marBottom w:val="0"/>
      <w:divBdr>
        <w:top w:val="none" w:sz="0" w:space="0" w:color="auto"/>
        <w:left w:val="none" w:sz="0" w:space="0" w:color="auto"/>
        <w:bottom w:val="none" w:sz="0" w:space="0" w:color="auto"/>
        <w:right w:val="none" w:sz="0" w:space="0" w:color="auto"/>
      </w:divBdr>
      <w:divsChild>
        <w:div w:id="1444572094">
          <w:marLeft w:val="0"/>
          <w:marRight w:val="0"/>
          <w:marTop w:val="0"/>
          <w:marBottom w:val="0"/>
          <w:divBdr>
            <w:top w:val="none" w:sz="0" w:space="0" w:color="auto"/>
            <w:left w:val="none" w:sz="0" w:space="0" w:color="auto"/>
            <w:bottom w:val="none" w:sz="0" w:space="0" w:color="auto"/>
            <w:right w:val="none" w:sz="0" w:space="0" w:color="auto"/>
          </w:divBdr>
        </w:div>
      </w:divsChild>
    </w:div>
    <w:div w:id="1927036654">
      <w:bodyDiv w:val="1"/>
      <w:marLeft w:val="0"/>
      <w:marRight w:val="0"/>
      <w:marTop w:val="0"/>
      <w:marBottom w:val="0"/>
      <w:divBdr>
        <w:top w:val="none" w:sz="0" w:space="0" w:color="auto"/>
        <w:left w:val="none" w:sz="0" w:space="0" w:color="auto"/>
        <w:bottom w:val="none" w:sz="0" w:space="0" w:color="auto"/>
        <w:right w:val="none" w:sz="0" w:space="0" w:color="auto"/>
      </w:divBdr>
      <w:divsChild>
        <w:div w:id="511146309">
          <w:marLeft w:val="0"/>
          <w:marRight w:val="0"/>
          <w:marTop w:val="0"/>
          <w:marBottom w:val="0"/>
          <w:divBdr>
            <w:top w:val="none" w:sz="0" w:space="0" w:color="auto"/>
            <w:left w:val="none" w:sz="0" w:space="0" w:color="auto"/>
            <w:bottom w:val="none" w:sz="0" w:space="0" w:color="auto"/>
            <w:right w:val="none" w:sz="0" w:space="0" w:color="auto"/>
          </w:divBdr>
        </w:div>
      </w:divsChild>
    </w:div>
    <w:div w:id="2003578514">
      <w:bodyDiv w:val="1"/>
      <w:marLeft w:val="0"/>
      <w:marRight w:val="0"/>
      <w:marTop w:val="0"/>
      <w:marBottom w:val="0"/>
      <w:divBdr>
        <w:top w:val="none" w:sz="0" w:space="0" w:color="auto"/>
        <w:left w:val="none" w:sz="0" w:space="0" w:color="auto"/>
        <w:bottom w:val="none" w:sz="0" w:space="0" w:color="auto"/>
        <w:right w:val="none" w:sz="0" w:space="0" w:color="auto"/>
      </w:divBdr>
      <w:divsChild>
        <w:div w:id="628048230">
          <w:marLeft w:val="0"/>
          <w:marRight w:val="0"/>
          <w:marTop w:val="0"/>
          <w:marBottom w:val="0"/>
          <w:divBdr>
            <w:top w:val="none" w:sz="0" w:space="0" w:color="auto"/>
            <w:left w:val="none" w:sz="0" w:space="0" w:color="auto"/>
            <w:bottom w:val="none" w:sz="0" w:space="0" w:color="auto"/>
            <w:right w:val="none" w:sz="0" w:space="0" w:color="auto"/>
          </w:divBdr>
        </w:div>
      </w:divsChild>
    </w:div>
    <w:div w:id="2028484624">
      <w:bodyDiv w:val="1"/>
      <w:marLeft w:val="0"/>
      <w:marRight w:val="0"/>
      <w:marTop w:val="0"/>
      <w:marBottom w:val="0"/>
      <w:divBdr>
        <w:top w:val="none" w:sz="0" w:space="0" w:color="auto"/>
        <w:left w:val="none" w:sz="0" w:space="0" w:color="auto"/>
        <w:bottom w:val="none" w:sz="0" w:space="0" w:color="auto"/>
        <w:right w:val="none" w:sz="0" w:space="0" w:color="auto"/>
      </w:divBdr>
      <w:divsChild>
        <w:div w:id="680007518">
          <w:marLeft w:val="0"/>
          <w:marRight w:val="0"/>
          <w:marTop w:val="0"/>
          <w:marBottom w:val="0"/>
          <w:divBdr>
            <w:top w:val="none" w:sz="0" w:space="0" w:color="auto"/>
            <w:left w:val="none" w:sz="0" w:space="0" w:color="auto"/>
            <w:bottom w:val="none" w:sz="0" w:space="0" w:color="auto"/>
            <w:right w:val="none" w:sz="0" w:space="0" w:color="auto"/>
          </w:divBdr>
        </w:div>
      </w:divsChild>
    </w:div>
    <w:div w:id="2040885009">
      <w:bodyDiv w:val="1"/>
      <w:marLeft w:val="0"/>
      <w:marRight w:val="0"/>
      <w:marTop w:val="0"/>
      <w:marBottom w:val="0"/>
      <w:divBdr>
        <w:top w:val="none" w:sz="0" w:space="0" w:color="auto"/>
        <w:left w:val="none" w:sz="0" w:space="0" w:color="auto"/>
        <w:bottom w:val="none" w:sz="0" w:space="0" w:color="auto"/>
        <w:right w:val="none" w:sz="0" w:space="0" w:color="auto"/>
      </w:divBdr>
      <w:divsChild>
        <w:div w:id="702484614">
          <w:marLeft w:val="0"/>
          <w:marRight w:val="0"/>
          <w:marTop w:val="0"/>
          <w:marBottom w:val="0"/>
          <w:divBdr>
            <w:top w:val="none" w:sz="0" w:space="0" w:color="auto"/>
            <w:left w:val="none" w:sz="0" w:space="0" w:color="auto"/>
            <w:bottom w:val="none" w:sz="0" w:space="0" w:color="auto"/>
            <w:right w:val="none" w:sz="0" w:space="0" w:color="auto"/>
          </w:divBdr>
        </w:div>
      </w:divsChild>
    </w:div>
    <w:div w:id="2071879932">
      <w:bodyDiv w:val="1"/>
      <w:marLeft w:val="0"/>
      <w:marRight w:val="0"/>
      <w:marTop w:val="0"/>
      <w:marBottom w:val="0"/>
      <w:divBdr>
        <w:top w:val="none" w:sz="0" w:space="0" w:color="auto"/>
        <w:left w:val="none" w:sz="0" w:space="0" w:color="auto"/>
        <w:bottom w:val="none" w:sz="0" w:space="0" w:color="auto"/>
        <w:right w:val="none" w:sz="0" w:space="0" w:color="auto"/>
      </w:divBdr>
      <w:divsChild>
        <w:div w:id="1894611516">
          <w:marLeft w:val="0"/>
          <w:marRight w:val="0"/>
          <w:marTop w:val="0"/>
          <w:marBottom w:val="0"/>
          <w:divBdr>
            <w:top w:val="none" w:sz="0" w:space="0" w:color="auto"/>
            <w:left w:val="none" w:sz="0" w:space="0" w:color="auto"/>
            <w:bottom w:val="none" w:sz="0" w:space="0" w:color="auto"/>
            <w:right w:val="none" w:sz="0" w:space="0" w:color="auto"/>
          </w:divBdr>
        </w:div>
      </w:divsChild>
    </w:div>
    <w:div w:id="2101363832">
      <w:bodyDiv w:val="1"/>
      <w:marLeft w:val="0"/>
      <w:marRight w:val="0"/>
      <w:marTop w:val="0"/>
      <w:marBottom w:val="0"/>
      <w:divBdr>
        <w:top w:val="none" w:sz="0" w:space="0" w:color="auto"/>
        <w:left w:val="none" w:sz="0" w:space="0" w:color="auto"/>
        <w:bottom w:val="none" w:sz="0" w:space="0" w:color="auto"/>
        <w:right w:val="none" w:sz="0" w:space="0" w:color="auto"/>
      </w:divBdr>
    </w:div>
    <w:div w:id="2120836870">
      <w:bodyDiv w:val="1"/>
      <w:marLeft w:val="0"/>
      <w:marRight w:val="0"/>
      <w:marTop w:val="0"/>
      <w:marBottom w:val="0"/>
      <w:divBdr>
        <w:top w:val="none" w:sz="0" w:space="0" w:color="auto"/>
        <w:left w:val="none" w:sz="0" w:space="0" w:color="auto"/>
        <w:bottom w:val="none" w:sz="0" w:space="0" w:color="auto"/>
        <w:right w:val="none" w:sz="0" w:space="0" w:color="auto"/>
      </w:divBdr>
      <w:divsChild>
        <w:div w:id="700473386">
          <w:marLeft w:val="0"/>
          <w:marRight w:val="0"/>
          <w:marTop w:val="0"/>
          <w:marBottom w:val="0"/>
          <w:divBdr>
            <w:top w:val="none" w:sz="0" w:space="0" w:color="auto"/>
            <w:left w:val="none" w:sz="0" w:space="0" w:color="auto"/>
            <w:bottom w:val="none" w:sz="0" w:space="0" w:color="auto"/>
            <w:right w:val="none" w:sz="0" w:space="0" w:color="auto"/>
          </w:divBdr>
        </w:div>
        <w:div w:id="1501046145">
          <w:marLeft w:val="0"/>
          <w:marRight w:val="0"/>
          <w:marTop w:val="0"/>
          <w:marBottom w:val="0"/>
          <w:divBdr>
            <w:top w:val="none" w:sz="0" w:space="0" w:color="auto"/>
            <w:left w:val="none" w:sz="0" w:space="0" w:color="auto"/>
            <w:bottom w:val="none" w:sz="0" w:space="0" w:color="auto"/>
            <w:right w:val="none" w:sz="0" w:space="0" w:color="auto"/>
          </w:divBdr>
        </w:div>
        <w:div w:id="1708097351">
          <w:marLeft w:val="0"/>
          <w:marRight w:val="0"/>
          <w:marTop w:val="0"/>
          <w:marBottom w:val="0"/>
          <w:divBdr>
            <w:top w:val="none" w:sz="0" w:space="0" w:color="auto"/>
            <w:left w:val="none" w:sz="0" w:space="0" w:color="auto"/>
            <w:bottom w:val="none" w:sz="0" w:space="0" w:color="auto"/>
            <w:right w:val="none" w:sz="0" w:space="0" w:color="auto"/>
          </w:divBdr>
        </w:div>
      </w:divsChild>
    </w:div>
    <w:div w:id="2141074482">
      <w:bodyDiv w:val="1"/>
      <w:marLeft w:val="0"/>
      <w:marRight w:val="0"/>
      <w:marTop w:val="0"/>
      <w:marBottom w:val="0"/>
      <w:divBdr>
        <w:top w:val="none" w:sz="0" w:space="0" w:color="auto"/>
        <w:left w:val="none" w:sz="0" w:space="0" w:color="auto"/>
        <w:bottom w:val="none" w:sz="0" w:space="0" w:color="auto"/>
        <w:right w:val="none" w:sz="0" w:space="0" w:color="auto"/>
      </w:divBdr>
      <w:divsChild>
        <w:div w:id="1197155601">
          <w:marLeft w:val="0"/>
          <w:marRight w:val="0"/>
          <w:marTop w:val="0"/>
          <w:marBottom w:val="0"/>
          <w:divBdr>
            <w:top w:val="none" w:sz="0" w:space="0" w:color="auto"/>
            <w:left w:val="none" w:sz="0" w:space="0" w:color="auto"/>
            <w:bottom w:val="none" w:sz="0" w:space="0" w:color="auto"/>
            <w:right w:val="none" w:sz="0" w:space="0" w:color="auto"/>
          </w:divBdr>
        </w:div>
      </w:divsChild>
    </w:div>
    <w:div w:id="2143036883">
      <w:bodyDiv w:val="1"/>
      <w:marLeft w:val="0"/>
      <w:marRight w:val="0"/>
      <w:marTop w:val="0"/>
      <w:marBottom w:val="0"/>
      <w:divBdr>
        <w:top w:val="none" w:sz="0" w:space="0" w:color="auto"/>
        <w:left w:val="none" w:sz="0" w:space="0" w:color="auto"/>
        <w:bottom w:val="none" w:sz="0" w:space="0" w:color="auto"/>
        <w:right w:val="none" w:sz="0" w:space="0" w:color="auto"/>
      </w:divBdr>
      <w:divsChild>
        <w:div w:id="634876045">
          <w:marLeft w:val="0"/>
          <w:marRight w:val="0"/>
          <w:marTop w:val="0"/>
          <w:marBottom w:val="0"/>
          <w:divBdr>
            <w:top w:val="none" w:sz="0" w:space="0" w:color="auto"/>
            <w:left w:val="none" w:sz="0" w:space="0" w:color="auto"/>
            <w:bottom w:val="none" w:sz="0" w:space="0" w:color="auto"/>
            <w:right w:val="none" w:sz="0" w:space="0" w:color="auto"/>
          </w:divBdr>
          <w:divsChild>
            <w:div w:id="348877080">
              <w:marLeft w:val="0"/>
              <w:marRight w:val="0"/>
              <w:marTop w:val="0"/>
              <w:marBottom w:val="0"/>
              <w:divBdr>
                <w:top w:val="none" w:sz="0" w:space="0" w:color="auto"/>
                <w:left w:val="none" w:sz="0" w:space="0" w:color="auto"/>
                <w:bottom w:val="none" w:sz="0" w:space="0" w:color="auto"/>
                <w:right w:val="none" w:sz="0" w:space="0" w:color="auto"/>
              </w:divBdr>
              <w:divsChild>
                <w:div w:id="393621660">
                  <w:marLeft w:val="0"/>
                  <w:marRight w:val="0"/>
                  <w:marTop w:val="0"/>
                  <w:marBottom w:val="0"/>
                  <w:divBdr>
                    <w:top w:val="none" w:sz="0" w:space="0" w:color="auto"/>
                    <w:left w:val="none" w:sz="0" w:space="0" w:color="auto"/>
                    <w:bottom w:val="none" w:sz="0" w:space="0" w:color="auto"/>
                    <w:right w:val="none" w:sz="0" w:space="0" w:color="auto"/>
                  </w:divBdr>
                </w:div>
                <w:div w:id="593981086">
                  <w:marLeft w:val="0"/>
                  <w:marRight w:val="0"/>
                  <w:marTop w:val="0"/>
                  <w:marBottom w:val="0"/>
                  <w:divBdr>
                    <w:top w:val="none" w:sz="0" w:space="0" w:color="auto"/>
                    <w:left w:val="none" w:sz="0" w:space="0" w:color="auto"/>
                    <w:bottom w:val="none" w:sz="0" w:space="0" w:color="auto"/>
                    <w:right w:val="none" w:sz="0" w:space="0" w:color="auto"/>
                  </w:divBdr>
                </w:div>
                <w:div w:id="1569264522">
                  <w:marLeft w:val="0"/>
                  <w:marRight w:val="0"/>
                  <w:marTop w:val="0"/>
                  <w:marBottom w:val="0"/>
                  <w:divBdr>
                    <w:top w:val="none" w:sz="0" w:space="0" w:color="auto"/>
                    <w:left w:val="none" w:sz="0" w:space="0" w:color="auto"/>
                    <w:bottom w:val="none" w:sz="0" w:space="0" w:color="auto"/>
                    <w:right w:val="none" w:sz="0" w:space="0" w:color="auto"/>
                  </w:divBdr>
                </w:div>
                <w:div w:id="1809740018">
                  <w:marLeft w:val="0"/>
                  <w:marRight w:val="0"/>
                  <w:marTop w:val="0"/>
                  <w:marBottom w:val="0"/>
                  <w:divBdr>
                    <w:top w:val="none" w:sz="0" w:space="0" w:color="auto"/>
                    <w:left w:val="none" w:sz="0" w:space="0" w:color="auto"/>
                    <w:bottom w:val="none" w:sz="0" w:space="0" w:color="auto"/>
                    <w:right w:val="none" w:sz="0" w:space="0" w:color="auto"/>
                  </w:divBdr>
                </w:div>
                <w:div w:id="1830553757">
                  <w:marLeft w:val="0"/>
                  <w:marRight w:val="0"/>
                  <w:marTop w:val="0"/>
                  <w:marBottom w:val="0"/>
                  <w:divBdr>
                    <w:top w:val="none" w:sz="0" w:space="0" w:color="auto"/>
                    <w:left w:val="none" w:sz="0" w:space="0" w:color="auto"/>
                    <w:bottom w:val="none" w:sz="0" w:space="0" w:color="auto"/>
                    <w:right w:val="none" w:sz="0" w:space="0" w:color="auto"/>
                  </w:divBdr>
                </w:div>
              </w:divsChild>
            </w:div>
            <w:div w:id="587037043">
              <w:marLeft w:val="0"/>
              <w:marRight w:val="0"/>
              <w:marTop w:val="0"/>
              <w:marBottom w:val="0"/>
              <w:divBdr>
                <w:top w:val="none" w:sz="0" w:space="0" w:color="auto"/>
                <w:left w:val="none" w:sz="0" w:space="0" w:color="auto"/>
                <w:bottom w:val="none" w:sz="0" w:space="0" w:color="auto"/>
                <w:right w:val="none" w:sz="0" w:space="0" w:color="auto"/>
              </w:divBdr>
            </w:div>
            <w:div w:id="679627480">
              <w:marLeft w:val="0"/>
              <w:marRight w:val="0"/>
              <w:marTop w:val="0"/>
              <w:marBottom w:val="0"/>
              <w:divBdr>
                <w:top w:val="none" w:sz="0" w:space="0" w:color="auto"/>
                <w:left w:val="none" w:sz="0" w:space="0" w:color="auto"/>
                <w:bottom w:val="none" w:sz="0" w:space="0" w:color="auto"/>
                <w:right w:val="none" w:sz="0" w:space="0" w:color="auto"/>
              </w:divBdr>
              <w:divsChild>
                <w:div w:id="106318404">
                  <w:marLeft w:val="0"/>
                  <w:marRight w:val="0"/>
                  <w:marTop w:val="0"/>
                  <w:marBottom w:val="0"/>
                  <w:divBdr>
                    <w:top w:val="none" w:sz="0" w:space="0" w:color="auto"/>
                    <w:left w:val="none" w:sz="0" w:space="0" w:color="auto"/>
                    <w:bottom w:val="none" w:sz="0" w:space="0" w:color="auto"/>
                    <w:right w:val="none" w:sz="0" w:space="0" w:color="auto"/>
                  </w:divBdr>
                </w:div>
              </w:divsChild>
            </w:div>
            <w:div w:id="879054814">
              <w:marLeft w:val="0"/>
              <w:marRight w:val="0"/>
              <w:marTop w:val="0"/>
              <w:marBottom w:val="0"/>
              <w:divBdr>
                <w:top w:val="none" w:sz="0" w:space="0" w:color="auto"/>
                <w:left w:val="none" w:sz="0" w:space="0" w:color="auto"/>
                <w:bottom w:val="none" w:sz="0" w:space="0" w:color="auto"/>
                <w:right w:val="none" w:sz="0" w:space="0" w:color="auto"/>
              </w:divBdr>
              <w:divsChild>
                <w:div w:id="1809319547">
                  <w:marLeft w:val="0"/>
                  <w:marRight w:val="0"/>
                  <w:marTop w:val="0"/>
                  <w:marBottom w:val="0"/>
                  <w:divBdr>
                    <w:top w:val="none" w:sz="0" w:space="0" w:color="auto"/>
                    <w:left w:val="none" w:sz="0" w:space="0" w:color="auto"/>
                    <w:bottom w:val="none" w:sz="0" w:space="0" w:color="auto"/>
                    <w:right w:val="none" w:sz="0" w:space="0" w:color="auto"/>
                  </w:divBdr>
                </w:div>
              </w:divsChild>
            </w:div>
            <w:div w:id="913976386">
              <w:marLeft w:val="0"/>
              <w:marRight w:val="0"/>
              <w:marTop w:val="0"/>
              <w:marBottom w:val="0"/>
              <w:divBdr>
                <w:top w:val="none" w:sz="0" w:space="0" w:color="auto"/>
                <w:left w:val="none" w:sz="0" w:space="0" w:color="auto"/>
                <w:bottom w:val="none" w:sz="0" w:space="0" w:color="auto"/>
                <w:right w:val="none" w:sz="0" w:space="0" w:color="auto"/>
              </w:divBdr>
              <w:divsChild>
                <w:div w:id="1290550191">
                  <w:marLeft w:val="0"/>
                  <w:marRight w:val="0"/>
                  <w:marTop w:val="0"/>
                  <w:marBottom w:val="0"/>
                  <w:divBdr>
                    <w:top w:val="none" w:sz="0" w:space="0" w:color="auto"/>
                    <w:left w:val="none" w:sz="0" w:space="0" w:color="auto"/>
                    <w:bottom w:val="none" w:sz="0" w:space="0" w:color="auto"/>
                    <w:right w:val="none" w:sz="0" w:space="0" w:color="auto"/>
                  </w:divBdr>
                </w:div>
              </w:divsChild>
            </w:div>
            <w:div w:id="1171791825">
              <w:marLeft w:val="0"/>
              <w:marRight w:val="0"/>
              <w:marTop w:val="0"/>
              <w:marBottom w:val="0"/>
              <w:divBdr>
                <w:top w:val="none" w:sz="0" w:space="0" w:color="auto"/>
                <w:left w:val="none" w:sz="0" w:space="0" w:color="auto"/>
                <w:bottom w:val="none" w:sz="0" w:space="0" w:color="auto"/>
                <w:right w:val="none" w:sz="0" w:space="0" w:color="auto"/>
              </w:divBdr>
              <w:divsChild>
                <w:div w:id="132522802">
                  <w:marLeft w:val="0"/>
                  <w:marRight w:val="0"/>
                  <w:marTop w:val="0"/>
                  <w:marBottom w:val="0"/>
                  <w:divBdr>
                    <w:top w:val="none" w:sz="0" w:space="0" w:color="auto"/>
                    <w:left w:val="none" w:sz="0" w:space="0" w:color="auto"/>
                    <w:bottom w:val="none" w:sz="0" w:space="0" w:color="auto"/>
                    <w:right w:val="none" w:sz="0" w:space="0" w:color="auto"/>
                  </w:divBdr>
                </w:div>
              </w:divsChild>
            </w:div>
            <w:div w:id="1312564690">
              <w:marLeft w:val="0"/>
              <w:marRight w:val="0"/>
              <w:marTop w:val="0"/>
              <w:marBottom w:val="0"/>
              <w:divBdr>
                <w:top w:val="none" w:sz="0" w:space="0" w:color="auto"/>
                <w:left w:val="none" w:sz="0" w:space="0" w:color="auto"/>
                <w:bottom w:val="none" w:sz="0" w:space="0" w:color="auto"/>
                <w:right w:val="none" w:sz="0" w:space="0" w:color="auto"/>
              </w:divBdr>
              <w:divsChild>
                <w:div w:id="1816876941">
                  <w:marLeft w:val="0"/>
                  <w:marRight w:val="0"/>
                  <w:marTop w:val="0"/>
                  <w:marBottom w:val="0"/>
                  <w:divBdr>
                    <w:top w:val="none" w:sz="0" w:space="0" w:color="auto"/>
                    <w:left w:val="none" w:sz="0" w:space="0" w:color="auto"/>
                    <w:bottom w:val="none" w:sz="0" w:space="0" w:color="auto"/>
                    <w:right w:val="none" w:sz="0" w:space="0" w:color="auto"/>
                  </w:divBdr>
                </w:div>
              </w:divsChild>
            </w:div>
            <w:div w:id="1385106005">
              <w:marLeft w:val="0"/>
              <w:marRight w:val="0"/>
              <w:marTop w:val="0"/>
              <w:marBottom w:val="0"/>
              <w:divBdr>
                <w:top w:val="none" w:sz="0" w:space="0" w:color="auto"/>
                <w:left w:val="none" w:sz="0" w:space="0" w:color="auto"/>
                <w:bottom w:val="none" w:sz="0" w:space="0" w:color="auto"/>
                <w:right w:val="none" w:sz="0" w:space="0" w:color="auto"/>
              </w:divBdr>
              <w:divsChild>
                <w:div w:id="1989088877">
                  <w:marLeft w:val="0"/>
                  <w:marRight w:val="0"/>
                  <w:marTop w:val="0"/>
                  <w:marBottom w:val="0"/>
                  <w:divBdr>
                    <w:top w:val="none" w:sz="0" w:space="0" w:color="auto"/>
                    <w:left w:val="none" w:sz="0" w:space="0" w:color="auto"/>
                    <w:bottom w:val="none" w:sz="0" w:space="0" w:color="auto"/>
                    <w:right w:val="none" w:sz="0" w:space="0" w:color="auto"/>
                  </w:divBdr>
                </w:div>
              </w:divsChild>
            </w:div>
            <w:div w:id="1744715990">
              <w:marLeft w:val="0"/>
              <w:marRight w:val="0"/>
              <w:marTop w:val="0"/>
              <w:marBottom w:val="0"/>
              <w:divBdr>
                <w:top w:val="none" w:sz="0" w:space="0" w:color="auto"/>
                <w:left w:val="none" w:sz="0" w:space="0" w:color="auto"/>
                <w:bottom w:val="none" w:sz="0" w:space="0" w:color="auto"/>
                <w:right w:val="none" w:sz="0" w:space="0" w:color="auto"/>
              </w:divBdr>
              <w:divsChild>
                <w:div w:id="18884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nvironment.govt.nz/assets/publications/RMA/npsnh-2025.pdf" TargetMode="External"/><Relationship Id="rId39" Type="http://schemas.openxmlformats.org/officeDocument/2006/relationships/hyperlink" Target="https://www.legislation.govt.nz/act/public/1991/0069/latest/link.aspx?search=sw_096be8ed8200312b_heritage_25_se&amp;p=1&amp;id=DLM236206" TargetMode="External"/><Relationship Id="rId21" Type="http://schemas.openxmlformats.org/officeDocument/2006/relationships/header" Target="header5.xml"/><Relationship Id="rId34" Type="http://schemas.openxmlformats.org/officeDocument/2006/relationships/hyperlink" Target="https://www.legislation.govt.nz/act/public/1991/0069/latest/link.aspx?search=sw_096be8ed8200312b_heritage_25_se&amp;p=1&amp;id=DLM124974" TargetMode="External"/><Relationship Id="rId42" Type="http://schemas.openxmlformats.org/officeDocument/2006/relationships/hyperlink" Target="https://environment.govt.nz/acts-and-regulations/national-policy-statements/new-zealand-coastal-policy-statement/" TargetMode="External"/><Relationship Id="rId47" Type="http://schemas.openxmlformats.org/officeDocument/2006/relationships/hyperlink" Target="https://www.naturalhazards.govt.nz/assets/Publications-Resources/Misc-Series-132-EQC-Tsunami-Guidelines_FINAL_v02.pdf" TargetMode="External"/><Relationship Id="rId50" Type="http://schemas.openxmlformats.org/officeDocument/2006/relationships/hyperlink" Target="https://www.building.govt.nz/assets/Uploads/building-code-compliance/b-stability/b1-structure/planning-engineering-liquefaction.pdf" TargetMode="External"/><Relationship Id="rId55"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legislation.govt.nz/act/public/1991/69/en/latest/" TargetMode="Externa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yperlink" Target="https://www.gns.cri.nz/data-and-resources/new-zealand-active-faults-database/" TargetMode="External"/><Relationship Id="rId37" Type="http://schemas.openxmlformats.org/officeDocument/2006/relationships/hyperlink" Target="https://www.legislation.govt.nz/act/public/1991/0069/latest/link.aspx?search=sw_096be8ed8200312b_heritage_25_se&amp;p=1&amp;id=LMS49500" TargetMode="External"/><Relationship Id="rId40" Type="http://schemas.openxmlformats.org/officeDocument/2006/relationships/hyperlink" Target="https://environment.govt.nz/assets/publications/RMA/npsi-2025.pdf" TargetMode="External"/><Relationship Id="rId45" Type="http://schemas.openxmlformats.org/officeDocument/2006/relationships/hyperlink" Target="https://environment.govt.nz/acts-and-regulations/legislation/nes-dmru/" TargetMode="External"/><Relationship Id="rId53" Type="http://schemas.openxmlformats.org/officeDocument/2006/relationships/hyperlink" Target="https://isref.co.nz/docs/GNS_MS_67_Risk_based_land_use_planning.pdf" TargetMode="External"/><Relationship Id="rId58" Type="http://schemas.openxmlformats.org/officeDocument/2006/relationships/footer" Target="footer8.xml"/><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hyperlink" Target="http://www.environment.govt.nz"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s://legislation.govt.nz/act/public/1991/69/en/latest/" TargetMode="External"/><Relationship Id="rId30" Type="http://schemas.openxmlformats.org/officeDocument/2006/relationships/hyperlink" Target="https://legislation.govt.nz/act/public/1991/69/en/latest/" TargetMode="External"/><Relationship Id="rId35" Type="http://schemas.openxmlformats.org/officeDocument/2006/relationships/hyperlink" Target="https://www.legislation.govt.nz/act/public/1991/0069/latest/link.aspx?search=sw_096be8ed8200312b_heritage_25_se&amp;p=1&amp;id=DLM195581" TargetMode="External"/><Relationship Id="rId43" Type="http://schemas.openxmlformats.org/officeDocument/2006/relationships/hyperlink" Target="https://environment.govt.nz/publications/national-policy-statement-for-infrastructure/" TargetMode="External"/><Relationship Id="rId48" Type="http://schemas.openxmlformats.org/officeDocument/2006/relationships/hyperlink" Target="https://www.gns.cri.nz/assets/MS-144-Landslide-Planning-Guidance_2024-UPDATE.pdf" TargetMode="External"/><Relationship Id="rId56" Type="http://schemas.openxmlformats.org/officeDocument/2006/relationships/header" Target="header8.xml"/><Relationship Id="rId8" Type="http://schemas.openxmlformats.org/officeDocument/2006/relationships/settings" Target="settings.xml"/><Relationship Id="rId51" Type="http://schemas.openxmlformats.org/officeDocument/2006/relationships/hyperlink" Target="https://environment.govt.nz/assets/Publications/Files/preparing-for-future-flooding.pdf"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yperlink" Target="https://legislation.govt.nz/act/public/1991/69/en/latest/" TargetMode="External"/><Relationship Id="rId38" Type="http://schemas.openxmlformats.org/officeDocument/2006/relationships/hyperlink" Target="https://www.legislation.govt.nz/act/public/1991/0069/latest/link.aspx?search=sw_096be8ed8200312b_heritage_25_se&amp;p=1&amp;id=DLM131688" TargetMode="External"/><Relationship Id="rId46" Type="http://schemas.openxmlformats.org/officeDocument/2006/relationships/hyperlink" Target="https://environment.govt.nz/publications/attachment-1-7-proposed-provisions-new-national-environmental-standards-for-papakainga/" TargetMode="External"/><Relationship Id="rId59" Type="http://schemas.openxmlformats.org/officeDocument/2006/relationships/header" Target="header9.xml"/><Relationship Id="rId20" Type="http://schemas.openxmlformats.org/officeDocument/2006/relationships/header" Target="header4.xml"/><Relationship Id="rId41" Type="http://schemas.openxmlformats.org/officeDocument/2006/relationships/hyperlink" Target="https://legislation.govt.nz/act/public/1991/69/en/latest/" TargetMode="External"/><Relationship Id="rId54" Type="http://schemas.openxmlformats.org/officeDocument/2006/relationships/hyperlink" Target="https://geomechanics.org.au/wp-content/uploads/2007/03/42_1_4_amend.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s://legislation.govt.nz/act/public/1991/69/en/latest/" TargetMode="External"/><Relationship Id="rId36" Type="http://schemas.openxmlformats.org/officeDocument/2006/relationships/hyperlink" Target="https://www.legislation.govt.nz/act/public/1991/0069/latest/link.aspx?search=sw_096be8ed8200312b_heritage_25_se&amp;p=1&amp;id=LMS49500" TargetMode="External"/><Relationship Id="rId49" Type="http://schemas.openxmlformats.org/officeDocument/2006/relationships/hyperlink" Target="https://environment.govt.nz/assets/Publications/Files/planning-development-faults-graphics-dec04-1.pdf" TargetMode="External"/><Relationship Id="rId57" Type="http://schemas.openxmlformats.org/officeDocument/2006/relationships/footer" Target="footer7.xml"/><Relationship Id="rId10" Type="http://schemas.openxmlformats.org/officeDocument/2006/relationships/footnotes" Target="footnotes.xml"/><Relationship Id="rId31" Type="http://schemas.openxmlformats.org/officeDocument/2006/relationships/hyperlink" Target="https://legislation.govt.nz/act/public/1991/69/en/latest/" TargetMode="External"/><Relationship Id="rId44" Type="http://schemas.openxmlformats.org/officeDocument/2006/relationships/hyperlink" Target="https://environment.govt.nz/publications/national-policy-statement-on-urban-development-2020-updated-may-2022/" TargetMode="External"/><Relationship Id="rId52" Type="http://schemas.openxmlformats.org/officeDocument/2006/relationships/hyperlink" Target="https://environment.govt.nz/assets/publications/Coastal-hazards-and-climate-change-guidance-2024-ME-1805.pdf" TargetMode="External"/><Relationship Id="rId60"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legislation.govt.nz/act/public/1991/69/en/latest/" TargetMode="External"/><Relationship Id="rId2" Type="http://schemas.openxmlformats.org/officeDocument/2006/relationships/hyperlink" Target="https://www.beehive.govt.nz/release/rma-reform-phase-two-priorities-and-plan" TargetMode="External"/><Relationship Id="rId1" Type="http://schemas.openxmlformats.org/officeDocument/2006/relationships/hyperlink" Target="https://environment.govt.nz/acts-and-regulations/legislation/nps-nh/" TargetMode="External"/><Relationship Id="rId5" Type="http://schemas.openxmlformats.org/officeDocument/2006/relationships/hyperlink" Target="https://www.ipcc.ch/site/assets/uploads/2017/08/AR5_Uncertainty_Guidance_Note.pdf" TargetMode="External"/><Relationship Id="rId4" Type="http://schemas.openxmlformats.org/officeDocument/2006/relationships/hyperlink" Target="https://environment.govt.nz/assets/publications/national-planning-standards-november-2019-updated-202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fE\Templates\MfE%20Publication%20template.dotx"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B556B"/>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6" ma:contentTypeDescription="Create a new document." ma:contentTypeScope="" ma:versionID="2435a442e96156ddc644d0be26c76204">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8df35c86322933517d2809a8e9b40fd6"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dlc_DocId xmlns="58a6f171-52cb-4404-b47d-af1c8daf8fd1">ECM-1122293896-129368</_dlc_DocId>
    <_dlc_DocIdUrl xmlns="58a6f171-52cb-4404-b47d-af1c8daf8fd1">
      <Url>https://ministryforenvironment.sharepoint.com/sites/ECM-ER-Comms/_layouts/15/DocIdRedir.aspx?ID=ECM-1122293896-129368</Url>
      <Description>ECM-1122293896-129368</Description>
    </_dlc_DocIdUrl>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Document_x0020_Type xmlns="4a94300e-a927-4b92-9d3a-682523035cb6" xsi:nil="true"/>
  </documentManagement>
</p:properties>
</file>

<file path=customXml/itemProps1.xml><?xml version="1.0" encoding="utf-8"?>
<ds:datastoreItem xmlns:ds="http://schemas.openxmlformats.org/officeDocument/2006/customXml" ds:itemID="{E915373F-630C-45C1-9D1D-0033FB98D60B}">
  <ds:schemaRefs>
    <ds:schemaRef ds:uri="http://schemas.microsoft.com/sharepoint/events"/>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B17D11AB-66A8-4238-9D84-33D18AF4E4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http://schemas.microsoft.com/sharepoint/v3"/>
    <ds:schemaRef ds:uri="58a6f171-52cb-4404-b47d-af1c8daf8fd1"/>
    <ds:schemaRef ds:uri="4a94300e-a927-4b92-9d3a-682523035cb6"/>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MfE Publication template</Template>
  <TotalTime>110</TotalTime>
  <Pages>20</Pages>
  <Words>7000</Words>
  <Characters>38643</Characters>
  <Application>Microsoft Office Word</Application>
  <DocSecurity>0</DocSecurity>
  <Lines>822</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DruryJ</dc:creator>
  <cp:keywords/>
  <cp:lastModifiedBy>Linda Stirling</cp:lastModifiedBy>
  <cp:revision>23</cp:revision>
  <cp:lastPrinted>2026-05-06T02:20:00Z</cp:lastPrinted>
  <dcterms:created xsi:type="dcterms:W3CDTF">2026-05-05T02:20:00Z</dcterms:created>
  <dcterms:modified xsi:type="dcterms:W3CDTF">2026-05-06T02:53:00Z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ClassificationContentMarkingHeaderShapeIds">
    <vt:lpwstr>21fe031b,397d3ff,45aa92d4</vt:lpwstr>
  </property>
  <property fmtid="{D5CDD505-2E9C-101B-9397-08002B2CF9AE}" pid="5" name="ClassificationContentMarkingHeaderFontProps">
    <vt:lpwstr>#000000,10,Aptos</vt:lpwstr>
  </property>
  <property fmtid="{D5CDD505-2E9C-101B-9397-08002B2CF9AE}" pid="6" name="ClassificationContentMarkingHeaderText">
    <vt:lpwstr>COMMERCIAL</vt:lpwstr>
  </property>
  <property fmtid="{D5CDD505-2E9C-101B-9397-08002B2CF9AE}" pid="7" name="ClassificationContentMarkingFooterShapeIds">
    <vt:lpwstr>5335b42,1c437f89,52730882</vt:lpwstr>
  </property>
  <property fmtid="{D5CDD505-2E9C-101B-9397-08002B2CF9AE}" pid="8" name="ClassificationContentMarkingFooterFontProps">
    <vt:lpwstr>#000000,10,Aptos</vt:lpwstr>
  </property>
  <property fmtid="{D5CDD505-2E9C-101B-9397-08002B2CF9AE}" pid="9" name="ClassificationContentMarkingFooterText">
    <vt:lpwstr>COMMERCIAL</vt:lpwstr>
  </property>
  <property fmtid="{D5CDD505-2E9C-101B-9397-08002B2CF9AE}" pid="10" name="a7bcf9a1aa554bc28c88227ff4a8e450">
    <vt:lpwstr/>
  </property>
  <property fmtid="{D5CDD505-2E9C-101B-9397-08002B2CF9AE}" pid="11" name="Region">
    <vt:lpwstr/>
  </property>
  <property fmtid="{D5CDD505-2E9C-101B-9397-08002B2CF9AE}" pid="12" name="Information_x0020_Type">
    <vt:lpwstr/>
  </property>
  <property fmtid="{D5CDD505-2E9C-101B-9397-08002B2CF9AE}" pid="13" name="Document_x0020_Status">
    <vt:lpwstr/>
  </property>
  <property fmtid="{D5CDD505-2E9C-101B-9397-08002B2CF9AE}" pid="14" name="Division">
    <vt:lpwstr/>
  </property>
  <property fmtid="{D5CDD505-2E9C-101B-9397-08002B2CF9AE}" pid="15" name="pb07f4d6236b47d39175d4af393c1c69">
    <vt:lpwstr/>
  </property>
  <property fmtid="{D5CDD505-2E9C-101B-9397-08002B2CF9AE}" pid="16" name="Business_x0020_Group">
    <vt:lpwstr/>
  </property>
  <property fmtid="{D5CDD505-2E9C-101B-9397-08002B2CF9AE}" pid="17" name="ff5959d5451949f1b63b39e969520c2e">
    <vt:lpwstr/>
  </property>
  <property fmtid="{D5CDD505-2E9C-101B-9397-08002B2CF9AE}" pid="18" name="n7f4fccded934506baac470c1eab08ef">
    <vt:lpwstr/>
  </property>
  <property fmtid="{D5CDD505-2E9C-101B-9397-08002B2CF9AE}" pid="19" name="Portfolio">
    <vt:lpwstr/>
  </property>
  <property fmtid="{D5CDD505-2E9C-101B-9397-08002B2CF9AE}" pid="20" name="Directorate">
    <vt:lpwstr/>
  </property>
  <property fmtid="{D5CDD505-2E9C-101B-9397-08002B2CF9AE}" pid="21" name="TaxCatchAll">
    <vt:lpwstr/>
  </property>
  <property fmtid="{D5CDD505-2E9C-101B-9397-08002B2CF9AE}" pid="22" name="haadd125f0f544c688ad70259b1ca1e0">
    <vt:lpwstr/>
  </property>
  <property fmtid="{D5CDD505-2E9C-101B-9397-08002B2CF9AE}" pid="23" name="j10ad3ada6824bce9cc618e285500403">
    <vt:lpwstr/>
  </property>
  <property fmtid="{D5CDD505-2E9C-101B-9397-08002B2CF9AE}" pid="24" name="FY">
    <vt:lpwstr/>
  </property>
  <property fmtid="{D5CDD505-2E9C-101B-9397-08002B2CF9AE}" pid="25" name="e7f33ac2bcf34a98a1a12d5ea1227208">
    <vt:lpwstr/>
  </property>
  <property fmtid="{D5CDD505-2E9C-101B-9397-08002B2CF9AE}" pid="26" name="lf7518d201de45faae79fa4d3bf21edf">
    <vt:lpwstr/>
  </property>
  <property fmtid="{D5CDD505-2E9C-101B-9397-08002B2CF9AE}" pid="27" name="Information Type">
    <vt:lpwstr/>
  </property>
  <property fmtid="{D5CDD505-2E9C-101B-9397-08002B2CF9AE}" pid="28" name="Document Status">
    <vt:lpwstr/>
  </property>
  <property fmtid="{D5CDD505-2E9C-101B-9397-08002B2CF9AE}" pid="29" name="Business Group">
    <vt:lpwstr/>
  </property>
  <property fmtid="{D5CDD505-2E9C-101B-9397-08002B2CF9AE}" pid="30" name="_dlc_DocId">
    <vt:lpwstr>NDRP-815237230-11146</vt:lpwstr>
  </property>
  <property fmtid="{D5CDD505-2E9C-101B-9397-08002B2CF9AE}" pid="31" name="_dlc_DocIdUrl">
    <vt:lpwstr>https://eqcnz.sharepoint.com/sites/DMSNDRaP/_layouts/15/DocIdRedir.aspx?ID=NDRP-815237230-11146, NDRP-815237230-11146</vt:lpwstr>
  </property>
  <property fmtid="{D5CDD505-2E9C-101B-9397-08002B2CF9AE}" pid="32" name="MSIP_Label_12e0f45f-79f0-4971-af99-2fca9d51d8eb_Enabled">
    <vt:lpwstr>true</vt:lpwstr>
  </property>
  <property fmtid="{D5CDD505-2E9C-101B-9397-08002B2CF9AE}" pid="33" name="MSIP_Label_12e0f45f-79f0-4971-af99-2fca9d51d8eb_SetDate">
    <vt:lpwstr>2023-10-31T21:12:53Z</vt:lpwstr>
  </property>
  <property fmtid="{D5CDD505-2E9C-101B-9397-08002B2CF9AE}" pid="34" name="MSIP_Label_12e0f45f-79f0-4971-af99-2fca9d51d8eb_Method">
    <vt:lpwstr>Privileged</vt:lpwstr>
  </property>
  <property fmtid="{D5CDD505-2E9C-101B-9397-08002B2CF9AE}" pid="35" name="MSIP_Label_12e0f45f-79f0-4971-af99-2fca9d51d8eb_Name">
    <vt:lpwstr>IN CONFIDENCE-LEGAL PRIVILEGE</vt:lpwstr>
  </property>
  <property fmtid="{D5CDD505-2E9C-101B-9397-08002B2CF9AE}" pid="36" name="MSIP_Label_12e0f45f-79f0-4971-af99-2fca9d51d8eb_SiteId">
    <vt:lpwstr>86a6f104-40bb-42f9-80b8-db92c7ff68b2</vt:lpwstr>
  </property>
  <property fmtid="{D5CDD505-2E9C-101B-9397-08002B2CF9AE}" pid="37" name="MSIP_Label_12e0f45f-79f0-4971-af99-2fca9d51d8eb_ActionId">
    <vt:lpwstr>978c8d62-dc00-47a1-b3c0-dc6bb72b42ab</vt:lpwstr>
  </property>
  <property fmtid="{D5CDD505-2E9C-101B-9397-08002B2CF9AE}" pid="38" name="MSIP_Label_12e0f45f-79f0-4971-af99-2fca9d51d8eb_ContentBits">
    <vt:lpwstr>2</vt:lpwstr>
  </property>
  <property fmtid="{D5CDD505-2E9C-101B-9397-08002B2CF9AE}" pid="39" name="docLang">
    <vt:lpwstr>en</vt:lpwstr>
  </property>
  <property fmtid="{D5CDD505-2E9C-101B-9397-08002B2CF9AE}" pid="40" name="_dlc_DocIdItemGuid">
    <vt:lpwstr>6b9eaa9f-3a49-43d8-a33e-96294d857413</vt:lpwstr>
  </property>
  <property fmtid="{D5CDD505-2E9C-101B-9397-08002B2CF9AE}" pid="41" name="MSIP_Label_52dda6cc-d61d-4fd2-bf18-9b3017d931cc_Enabled">
    <vt:lpwstr>true</vt:lpwstr>
  </property>
  <property fmtid="{D5CDD505-2E9C-101B-9397-08002B2CF9AE}" pid="42" name="MSIP_Label_52dda6cc-d61d-4fd2-bf18-9b3017d931cc_SetDate">
    <vt:lpwstr>2026-05-05T02:19:55Z</vt:lpwstr>
  </property>
  <property fmtid="{D5CDD505-2E9C-101B-9397-08002B2CF9AE}" pid="43" name="MSIP_Label_52dda6cc-d61d-4fd2-bf18-9b3017d931cc_Method">
    <vt:lpwstr>Privileged</vt:lpwstr>
  </property>
  <property fmtid="{D5CDD505-2E9C-101B-9397-08002B2CF9AE}" pid="44" name="MSIP_Label_52dda6cc-d61d-4fd2-bf18-9b3017d931cc_Name">
    <vt:lpwstr>[UNCLASSIFIED]</vt:lpwstr>
  </property>
  <property fmtid="{D5CDD505-2E9C-101B-9397-08002B2CF9AE}" pid="45" name="MSIP_Label_52dda6cc-d61d-4fd2-bf18-9b3017d931cc_SiteId">
    <vt:lpwstr>761dd003-d4ff-4049-8a72-8549b20fcbb1</vt:lpwstr>
  </property>
  <property fmtid="{D5CDD505-2E9C-101B-9397-08002B2CF9AE}" pid="46" name="MSIP_Label_52dda6cc-d61d-4fd2-bf18-9b3017d931cc_ActionId">
    <vt:lpwstr>7e1f76bd-973b-4655-9c28-fa787c5403a4</vt:lpwstr>
  </property>
  <property fmtid="{D5CDD505-2E9C-101B-9397-08002B2CF9AE}" pid="47" name="MSIP_Label_52dda6cc-d61d-4fd2-bf18-9b3017d931cc_ContentBits">
    <vt:lpwstr>0</vt:lpwstr>
  </property>
  <property fmtid="{D5CDD505-2E9C-101B-9397-08002B2CF9AE}" pid="48" name="MSIP_Label_52dda6cc-d61d-4fd2-bf18-9b3017d931cc_Tag">
    <vt:lpwstr>10, 0, 1, 1</vt:lpwstr>
  </property>
</Properties>
</file>