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B4B53" w14:textId="303D4FFF" w:rsidR="00573C9A" w:rsidRPr="007C6082" w:rsidRDefault="00573C9A" w:rsidP="002E562F">
      <w:pPr>
        <w:pStyle w:val="Intro"/>
        <w:spacing w:before="360"/>
        <w:rPr>
          <w:b/>
          <w:bCs/>
          <w:color w:val="auto"/>
        </w:rPr>
      </w:pPr>
      <w:bookmarkStart w:id="1" w:name="_Hlk149135238"/>
      <w:r w:rsidRPr="007C6082">
        <w:rPr>
          <w:b/>
          <w:bCs/>
          <w:color w:val="auto"/>
        </w:rPr>
        <w:t>Attachment 2.</w:t>
      </w:r>
      <w:r w:rsidR="00F9456A" w:rsidRPr="007C6082">
        <w:rPr>
          <w:b/>
          <w:bCs/>
          <w:color w:val="auto"/>
        </w:rPr>
        <w:t>2</w:t>
      </w:r>
    </w:p>
    <w:p w14:paraId="2A1F633F" w14:textId="38573C8B" w:rsidR="00A24EA2" w:rsidRPr="000A3E60" w:rsidRDefault="00A24EA2" w:rsidP="00A24EA2">
      <w:pPr>
        <w:pStyle w:val="Title"/>
        <w:rPr>
          <w:sz w:val="52"/>
          <w:szCs w:val="52"/>
        </w:rPr>
      </w:pPr>
      <w:r w:rsidRPr="000A3E60">
        <w:rPr>
          <w:sz w:val="52"/>
          <w:szCs w:val="52"/>
        </w:rPr>
        <w:t xml:space="preserve">Proposed </w:t>
      </w:r>
      <w:r w:rsidR="001B56C2" w:rsidRPr="000A3E60">
        <w:rPr>
          <w:sz w:val="52"/>
          <w:szCs w:val="52"/>
        </w:rPr>
        <w:t>p</w:t>
      </w:r>
      <w:r w:rsidRPr="000A3E60">
        <w:rPr>
          <w:sz w:val="52"/>
          <w:szCs w:val="52"/>
        </w:rPr>
        <w:t xml:space="preserve">rovisions – Amendments to </w:t>
      </w:r>
      <w:r w:rsidR="00A25E30">
        <w:rPr>
          <w:sz w:val="52"/>
          <w:szCs w:val="52"/>
        </w:rPr>
        <w:t xml:space="preserve">the </w:t>
      </w:r>
      <w:r w:rsidRPr="000A3E60">
        <w:rPr>
          <w:sz w:val="52"/>
          <w:szCs w:val="52"/>
        </w:rPr>
        <w:t xml:space="preserve">Resource Management (National Environmental Standards </w:t>
      </w:r>
      <w:r w:rsidR="00FA6CD1" w:rsidRPr="000A3E60">
        <w:rPr>
          <w:sz w:val="52"/>
          <w:szCs w:val="52"/>
        </w:rPr>
        <w:t>f</w:t>
      </w:r>
      <w:r w:rsidRPr="000A3E60">
        <w:rPr>
          <w:sz w:val="52"/>
          <w:szCs w:val="52"/>
        </w:rPr>
        <w:t>or Commercial Forestry) Regulations</w:t>
      </w:r>
      <w:r w:rsidR="00F4750B" w:rsidRPr="000A3E60">
        <w:rPr>
          <w:sz w:val="52"/>
          <w:szCs w:val="52"/>
        </w:rPr>
        <w:t> </w:t>
      </w:r>
      <w:r w:rsidRPr="000A3E60">
        <w:rPr>
          <w:sz w:val="52"/>
          <w:szCs w:val="52"/>
        </w:rPr>
        <w:t>2017</w:t>
      </w:r>
    </w:p>
    <w:p w14:paraId="36F654B6" w14:textId="2F903591" w:rsidR="00124FDE" w:rsidRPr="007C6082" w:rsidRDefault="00A24EA2" w:rsidP="00F112CD">
      <w:pPr>
        <w:pStyle w:val="Subtitle"/>
        <w:spacing w:after="360"/>
      </w:pPr>
      <w:r w:rsidRPr="007C6082">
        <w:t>National direction consultation</w:t>
      </w:r>
      <w:r w:rsidR="004B6A59">
        <w:t xml:space="preserve"> –</w:t>
      </w:r>
      <w:r w:rsidRPr="007C6082">
        <w:t xml:space="preserve"> </w:t>
      </w:r>
      <w:r w:rsidR="008977DF">
        <w:t xml:space="preserve">Package 2: </w:t>
      </w:r>
      <w:r w:rsidRPr="007C6082">
        <w:t>Primary sector</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shd w:val="clear" w:color="auto" w:fill="D9D9D9" w:themeFill="background1" w:themeFillShade="D9"/>
        <w:tblLook w:val="04A0" w:firstRow="1" w:lastRow="0" w:firstColumn="1" w:lastColumn="0" w:noHBand="0" w:noVBand="1"/>
      </w:tblPr>
      <w:tblGrid>
        <w:gridCol w:w="14560"/>
      </w:tblGrid>
      <w:tr w:rsidR="00475435" w:rsidRPr="007C6082" w14:paraId="138645D5" w14:textId="77777777" w:rsidTr="00263415">
        <w:tc>
          <w:tcPr>
            <w:tcW w:w="5000" w:type="pct"/>
            <w:shd w:val="clear" w:color="auto" w:fill="D9D9D9" w:themeFill="background1" w:themeFillShade="D9"/>
          </w:tcPr>
          <w:p w14:paraId="64FD8BE1" w14:textId="6517861D" w:rsidR="00573C9A" w:rsidRPr="007C6082" w:rsidRDefault="00052763" w:rsidP="0062232B">
            <w:pPr>
              <w:pStyle w:val="Boxheading"/>
            </w:pPr>
            <w:r w:rsidRPr="007C6082">
              <w:t>Instrument topic: Propos</w:t>
            </w:r>
            <w:r w:rsidR="003D7541">
              <w:t>ed</w:t>
            </w:r>
            <w:r w:rsidRPr="007C6082">
              <w:t xml:space="preserve"> </w:t>
            </w:r>
            <w:r w:rsidR="002C413B">
              <w:t>amendments</w:t>
            </w:r>
            <w:r w:rsidR="002C413B" w:rsidRPr="007C6082">
              <w:t xml:space="preserve"> </w:t>
            </w:r>
            <w:r w:rsidRPr="007C6082">
              <w:t>to National Environmental Standards for Commercial Forestry (NES-CF)</w:t>
            </w:r>
          </w:p>
          <w:p w14:paraId="11385A01" w14:textId="4EA51C64" w:rsidR="003F33E5" w:rsidRPr="007C6082" w:rsidRDefault="003F33E5" w:rsidP="003F33E5">
            <w:pPr>
              <w:pStyle w:val="Boxbullet"/>
            </w:pPr>
            <w:r w:rsidRPr="007C6082">
              <w:t>The proposal is for consultation purposes and does not represent the proposed National Environmental Standard</w:t>
            </w:r>
            <w:r w:rsidR="00BB0CB3">
              <w:t>s</w:t>
            </w:r>
            <w:r w:rsidRPr="007C6082">
              <w:t xml:space="preserve"> (NES) wording</w:t>
            </w:r>
            <w:r w:rsidR="00CD37F4">
              <w:t>,</w:t>
            </w:r>
            <w:r w:rsidRPr="007C6082">
              <w:t xml:space="preserve"> which will be drafted after the consultation phase.</w:t>
            </w:r>
          </w:p>
          <w:p w14:paraId="39E19C79" w14:textId="66D1BBEB" w:rsidR="003F33E5" w:rsidRPr="007C6082" w:rsidRDefault="003F33E5" w:rsidP="003F33E5">
            <w:pPr>
              <w:pStyle w:val="Boxbullet"/>
            </w:pPr>
            <w:r w:rsidRPr="007C6082">
              <w:t xml:space="preserve">The table below provides </w:t>
            </w:r>
            <w:r w:rsidR="00436BB0">
              <w:t xml:space="preserve">some </w:t>
            </w:r>
            <w:r w:rsidRPr="007C6082">
              <w:t>illustrative wording (in italics</w:t>
            </w:r>
            <w:r w:rsidR="005D7B1D">
              <w:t xml:space="preserve"> or underlined text</w:t>
            </w:r>
            <w:r w:rsidRPr="007C6082">
              <w:t>) to help you understand the proposed definitions and the intent of the proposed amendments to the NES-CF.</w:t>
            </w:r>
          </w:p>
          <w:p w14:paraId="45A985FE" w14:textId="1271C872" w:rsidR="00D9069E" w:rsidRPr="007C6082" w:rsidRDefault="003F33E5" w:rsidP="00263415">
            <w:pPr>
              <w:pStyle w:val="Boxbullet"/>
              <w:spacing w:after="240"/>
            </w:pPr>
            <w:r w:rsidRPr="007C6082">
              <w:t xml:space="preserve">Changes to the existing NES-CF are referenced using the existing clause number. </w:t>
            </w:r>
          </w:p>
        </w:tc>
      </w:tr>
    </w:tbl>
    <w:p w14:paraId="74D1F407" w14:textId="77777777" w:rsidR="00573C9A" w:rsidRPr="007C6082" w:rsidRDefault="00573C9A" w:rsidP="0049196D">
      <w:pPr>
        <w:pStyle w:val="BodyText"/>
      </w:pPr>
    </w:p>
    <w:tbl>
      <w:tblPr>
        <w:tblW w:w="14515" w:type="dxa"/>
        <w:tblBorders>
          <w:top w:val="single" w:sz="4" w:space="0" w:color="2C9986" w:themeColor="accent4"/>
          <w:bottom w:val="single" w:sz="4" w:space="0" w:color="2C9986" w:themeColor="accent4"/>
          <w:insideH w:val="single" w:sz="4" w:space="0" w:color="2C9986" w:themeColor="accent4"/>
          <w:insideV w:val="single" w:sz="4" w:space="0" w:color="2C9986" w:themeColor="accent4"/>
        </w:tblBorders>
        <w:tblCellMar>
          <w:left w:w="85" w:type="dxa"/>
          <w:right w:w="85" w:type="dxa"/>
        </w:tblCellMar>
        <w:tblLook w:val="04A0" w:firstRow="1" w:lastRow="0" w:firstColumn="1" w:lastColumn="0" w:noHBand="0" w:noVBand="1"/>
      </w:tblPr>
      <w:tblGrid>
        <w:gridCol w:w="3402"/>
        <w:gridCol w:w="5529"/>
        <w:gridCol w:w="5584"/>
      </w:tblGrid>
      <w:tr w:rsidR="00C67CD9" w:rsidRPr="007C6082" w14:paraId="4EBE7BE6" w14:textId="77777777" w:rsidTr="00104CA2">
        <w:trPr>
          <w:tblHeader/>
        </w:trPr>
        <w:tc>
          <w:tcPr>
            <w:tcW w:w="3402" w:type="dxa"/>
            <w:tcBorders>
              <w:bottom w:val="single" w:sz="4" w:space="0" w:color="2C9986" w:themeColor="accent4"/>
            </w:tcBorders>
            <w:shd w:val="clear" w:color="auto" w:fill="2C9986" w:themeFill="accent4"/>
            <w:hideMark/>
          </w:tcPr>
          <w:p w14:paraId="619387D3" w14:textId="77777777" w:rsidR="00751CDE" w:rsidRPr="007C6082" w:rsidRDefault="00751CDE" w:rsidP="00C67CD9">
            <w:pPr>
              <w:pStyle w:val="TableTextbold"/>
              <w:keepNext/>
              <w:rPr>
                <w:rFonts w:ascii="Times New Roman" w:hAnsi="Times New Roman"/>
                <w:color w:val="FFFFFF" w:themeColor="background1"/>
                <w:sz w:val="24"/>
                <w:szCs w:val="24"/>
              </w:rPr>
            </w:pPr>
            <w:r w:rsidRPr="007C6082">
              <w:rPr>
                <w:color w:val="FFFFFF" w:themeColor="background1"/>
              </w:rPr>
              <w:t>Application</w:t>
            </w:r>
          </w:p>
        </w:tc>
        <w:tc>
          <w:tcPr>
            <w:tcW w:w="5529" w:type="dxa"/>
            <w:tcBorders>
              <w:bottom w:val="single" w:sz="4" w:space="0" w:color="2C9986" w:themeColor="accent4"/>
            </w:tcBorders>
            <w:shd w:val="clear" w:color="auto" w:fill="2C9986" w:themeFill="accent4"/>
            <w:hideMark/>
          </w:tcPr>
          <w:p w14:paraId="73CE8DC1" w14:textId="77777777" w:rsidR="00751CDE" w:rsidRPr="007C6082" w:rsidRDefault="00751CDE" w:rsidP="00C67CD9">
            <w:pPr>
              <w:pStyle w:val="TableTextbold"/>
              <w:keepNext/>
              <w:rPr>
                <w:rFonts w:ascii="Times New Roman" w:hAnsi="Times New Roman"/>
                <w:color w:val="FFFFFF" w:themeColor="background1"/>
                <w:sz w:val="24"/>
                <w:szCs w:val="24"/>
              </w:rPr>
            </w:pPr>
            <w:r w:rsidRPr="007C6082">
              <w:rPr>
                <w:color w:val="FFFFFF" w:themeColor="background1"/>
              </w:rPr>
              <w:t>Proposed provisions</w:t>
            </w:r>
          </w:p>
        </w:tc>
        <w:tc>
          <w:tcPr>
            <w:tcW w:w="5584" w:type="dxa"/>
            <w:tcBorders>
              <w:bottom w:val="single" w:sz="4" w:space="0" w:color="2C9986" w:themeColor="accent4"/>
            </w:tcBorders>
            <w:shd w:val="clear" w:color="auto" w:fill="2C9986" w:themeFill="accent4"/>
            <w:hideMark/>
          </w:tcPr>
          <w:p w14:paraId="562118BA" w14:textId="4D83EE00" w:rsidR="00751CDE" w:rsidRPr="007C6082" w:rsidRDefault="00751CDE" w:rsidP="00C67CD9">
            <w:pPr>
              <w:pStyle w:val="TableTextbold"/>
              <w:keepNext/>
              <w:rPr>
                <w:rFonts w:ascii="Times New Roman" w:hAnsi="Times New Roman"/>
                <w:color w:val="FFFFFF" w:themeColor="background1"/>
                <w:sz w:val="24"/>
                <w:szCs w:val="24"/>
              </w:rPr>
            </w:pPr>
            <w:r w:rsidRPr="007C6082">
              <w:rPr>
                <w:color w:val="FFFFFF" w:themeColor="background1"/>
              </w:rPr>
              <w:t>Reason</w:t>
            </w:r>
            <w:r w:rsidR="00E54C35">
              <w:rPr>
                <w:color w:val="FFFFFF" w:themeColor="background1"/>
              </w:rPr>
              <w:t>s</w:t>
            </w:r>
          </w:p>
        </w:tc>
      </w:tr>
      <w:tr w:rsidR="00751CDE" w:rsidRPr="007C6082" w14:paraId="6308CBF3" w14:textId="77777777" w:rsidTr="00104CA2">
        <w:tc>
          <w:tcPr>
            <w:tcW w:w="3402" w:type="dxa"/>
            <w:tcBorders>
              <w:bottom w:val="single" w:sz="4" w:space="0" w:color="2C9986" w:themeColor="accent4"/>
            </w:tcBorders>
            <w:shd w:val="clear" w:color="auto" w:fill="auto"/>
            <w:hideMark/>
          </w:tcPr>
          <w:p w14:paraId="7CA408B5" w14:textId="77777777" w:rsidR="00751CDE" w:rsidRPr="007C6082" w:rsidRDefault="00751CDE" w:rsidP="00E06B00">
            <w:pPr>
              <w:pStyle w:val="TableTextbold"/>
            </w:pPr>
            <w:r w:rsidRPr="007C6082">
              <w:t>Where is the proposal intended to apply?</w:t>
            </w:r>
          </w:p>
        </w:tc>
        <w:tc>
          <w:tcPr>
            <w:tcW w:w="5529" w:type="dxa"/>
            <w:tcBorders>
              <w:bottom w:val="single" w:sz="4" w:space="0" w:color="2C9986" w:themeColor="accent4"/>
            </w:tcBorders>
            <w:shd w:val="clear" w:color="auto" w:fill="auto"/>
            <w:hideMark/>
          </w:tcPr>
          <w:p w14:paraId="3BEF0602" w14:textId="77777777" w:rsidR="00751CDE" w:rsidRPr="007C6082" w:rsidRDefault="00751CDE" w:rsidP="00E06B00">
            <w:pPr>
              <w:pStyle w:val="TableText"/>
            </w:pPr>
            <w:r w:rsidRPr="007C6082">
              <w:t>The whole of New Zealand consistent with the application of the current NES-CF. </w:t>
            </w:r>
          </w:p>
        </w:tc>
        <w:tc>
          <w:tcPr>
            <w:tcW w:w="5584" w:type="dxa"/>
            <w:tcBorders>
              <w:bottom w:val="single" w:sz="4" w:space="0" w:color="2C9986" w:themeColor="accent4"/>
            </w:tcBorders>
            <w:shd w:val="clear" w:color="auto" w:fill="auto"/>
            <w:hideMark/>
          </w:tcPr>
          <w:p w14:paraId="5BC6571D" w14:textId="063CC30D" w:rsidR="00751CDE" w:rsidRPr="007C6082" w:rsidRDefault="00751CDE" w:rsidP="00E06B00">
            <w:pPr>
              <w:pStyle w:val="TableText"/>
            </w:pPr>
            <w:r w:rsidRPr="007C6082">
              <w:t>Commercial forestry occurs across the country and the NES is a national instrument.</w:t>
            </w:r>
          </w:p>
        </w:tc>
      </w:tr>
    </w:tbl>
    <w:p w14:paraId="6EE010B3" w14:textId="77777777" w:rsidR="00B95DBD" w:rsidRDefault="00B95DBD" w:rsidP="00B95DBD">
      <w:pPr>
        <w:spacing w:before="0" w:after="0"/>
      </w:pPr>
    </w:p>
    <w:p w14:paraId="6B0C11ED" w14:textId="77777777" w:rsidR="000E141A" w:rsidRDefault="000E141A">
      <w:r>
        <w:rPr>
          <w:b/>
        </w:rPr>
        <w:br w:type="page"/>
      </w:r>
    </w:p>
    <w:tbl>
      <w:tblPr>
        <w:tblW w:w="14515" w:type="dxa"/>
        <w:tblBorders>
          <w:top w:val="single" w:sz="4" w:space="0" w:color="2C9986" w:themeColor="accent4"/>
          <w:bottom w:val="single" w:sz="4" w:space="0" w:color="2C9986" w:themeColor="accent4"/>
          <w:insideH w:val="single" w:sz="4" w:space="0" w:color="2C9986" w:themeColor="accent4"/>
          <w:insideV w:val="single" w:sz="4" w:space="0" w:color="2C9986" w:themeColor="accent4"/>
        </w:tblBorders>
        <w:tblCellMar>
          <w:left w:w="85" w:type="dxa"/>
          <w:right w:w="85" w:type="dxa"/>
        </w:tblCellMar>
        <w:tblLook w:val="04A0" w:firstRow="1" w:lastRow="0" w:firstColumn="1" w:lastColumn="0" w:noHBand="0" w:noVBand="1"/>
      </w:tblPr>
      <w:tblGrid>
        <w:gridCol w:w="3402"/>
        <w:gridCol w:w="5529"/>
        <w:gridCol w:w="5584"/>
      </w:tblGrid>
      <w:tr w:rsidR="00B049CE" w:rsidRPr="007C6082" w14:paraId="02C3D155" w14:textId="77777777" w:rsidTr="003022BF">
        <w:tc>
          <w:tcPr>
            <w:tcW w:w="14515" w:type="dxa"/>
            <w:gridSpan w:val="3"/>
            <w:shd w:val="clear" w:color="auto" w:fill="2C9986" w:themeFill="accent4"/>
            <w:hideMark/>
          </w:tcPr>
          <w:p w14:paraId="63851001" w14:textId="51169983" w:rsidR="00751CDE" w:rsidRPr="007C6082" w:rsidRDefault="00751CDE" w:rsidP="00E06B00">
            <w:pPr>
              <w:pStyle w:val="TableTextbold"/>
              <w:rPr>
                <w:color w:val="FFFFFF" w:themeColor="background1"/>
              </w:rPr>
            </w:pPr>
            <w:r w:rsidRPr="007C6082">
              <w:rPr>
                <w:color w:val="FFFFFF" w:themeColor="background1"/>
              </w:rPr>
              <w:lastRenderedPageBreak/>
              <w:t>P</w:t>
            </w:r>
            <w:r w:rsidR="007D082A">
              <w:rPr>
                <w:color w:val="FFFFFF" w:themeColor="background1"/>
              </w:rPr>
              <w:t>ART</w:t>
            </w:r>
            <w:r w:rsidRPr="007C6082">
              <w:rPr>
                <w:color w:val="FFFFFF" w:themeColor="background1"/>
              </w:rPr>
              <w:t xml:space="preserve"> 1: PRELIMINARY PROVISIONS </w:t>
            </w:r>
          </w:p>
        </w:tc>
      </w:tr>
      <w:tr w:rsidR="00B049CE" w:rsidRPr="007C6082" w14:paraId="63359E10" w14:textId="77777777" w:rsidTr="003022BF">
        <w:tc>
          <w:tcPr>
            <w:tcW w:w="14515" w:type="dxa"/>
            <w:gridSpan w:val="3"/>
            <w:shd w:val="clear" w:color="auto" w:fill="2C9986" w:themeFill="accent4"/>
          </w:tcPr>
          <w:p w14:paraId="2D424AA0" w14:textId="77777777" w:rsidR="00751CDE" w:rsidRPr="007C6082" w:rsidRDefault="00751CDE" w:rsidP="006E5E09">
            <w:pPr>
              <w:pStyle w:val="TableTextbold"/>
              <w:spacing w:before="0" w:after="0"/>
              <w:rPr>
                <w:color w:val="FFFFFF" w:themeColor="background1"/>
              </w:rPr>
            </w:pPr>
            <w:r w:rsidRPr="007C6082">
              <w:rPr>
                <w:color w:val="FFFFFF" w:themeColor="background1"/>
              </w:rPr>
              <w:t>Regulation 3 Interpretation</w:t>
            </w:r>
          </w:p>
        </w:tc>
      </w:tr>
      <w:tr w:rsidR="00B049CE" w:rsidRPr="007C6082" w14:paraId="4FDC0DE4" w14:textId="77777777" w:rsidTr="00104CA2">
        <w:tc>
          <w:tcPr>
            <w:tcW w:w="3402" w:type="dxa"/>
            <w:shd w:val="clear" w:color="auto" w:fill="2C9986" w:themeFill="accent4"/>
            <w:hideMark/>
          </w:tcPr>
          <w:p w14:paraId="1AFDB6AA" w14:textId="77777777" w:rsidR="00751CDE" w:rsidRPr="007C6082" w:rsidRDefault="00751CDE" w:rsidP="00E06B00">
            <w:pPr>
              <w:pStyle w:val="TableTextbold"/>
              <w:rPr>
                <w:color w:val="FFFFFF" w:themeColor="background1"/>
              </w:rPr>
            </w:pPr>
            <w:r w:rsidRPr="007C6082">
              <w:rPr>
                <w:color w:val="FFFFFF" w:themeColor="background1"/>
              </w:rPr>
              <w:t>Regulation</w:t>
            </w:r>
          </w:p>
        </w:tc>
        <w:tc>
          <w:tcPr>
            <w:tcW w:w="5529" w:type="dxa"/>
            <w:shd w:val="clear" w:color="auto" w:fill="2C9986" w:themeFill="accent4"/>
            <w:hideMark/>
          </w:tcPr>
          <w:p w14:paraId="12554BFC" w14:textId="77777777" w:rsidR="00751CDE" w:rsidRPr="007C6082" w:rsidRDefault="00751CDE" w:rsidP="00E06B00">
            <w:pPr>
              <w:pStyle w:val="TableTextbold"/>
              <w:rPr>
                <w:color w:val="FFFFFF" w:themeColor="background1"/>
              </w:rPr>
            </w:pPr>
            <w:r w:rsidRPr="007C6082">
              <w:rPr>
                <w:color w:val="FFFFFF" w:themeColor="background1"/>
              </w:rPr>
              <w:t>Proposed provisions</w:t>
            </w:r>
          </w:p>
        </w:tc>
        <w:tc>
          <w:tcPr>
            <w:tcW w:w="5584" w:type="dxa"/>
            <w:shd w:val="clear" w:color="auto" w:fill="2C9986" w:themeFill="accent4"/>
            <w:hideMark/>
          </w:tcPr>
          <w:p w14:paraId="6D50CD2C" w14:textId="23590991" w:rsidR="00751CDE" w:rsidRPr="007C6082" w:rsidRDefault="00751CDE" w:rsidP="00E06B00">
            <w:pPr>
              <w:pStyle w:val="TableTextbold"/>
              <w:rPr>
                <w:color w:val="FFFFFF" w:themeColor="background1"/>
              </w:rPr>
            </w:pPr>
            <w:r w:rsidRPr="007C6082">
              <w:rPr>
                <w:color w:val="FFFFFF" w:themeColor="background1"/>
              </w:rPr>
              <w:t>Reason</w:t>
            </w:r>
            <w:r w:rsidR="007D082A">
              <w:rPr>
                <w:color w:val="FFFFFF" w:themeColor="background1"/>
              </w:rPr>
              <w:t>s</w:t>
            </w:r>
          </w:p>
        </w:tc>
      </w:tr>
      <w:tr w:rsidR="00751CDE" w:rsidRPr="007C6082" w14:paraId="7B8FF2D9" w14:textId="77777777" w:rsidTr="00104CA2">
        <w:tc>
          <w:tcPr>
            <w:tcW w:w="3402" w:type="dxa"/>
            <w:tcBorders>
              <w:bottom w:val="single" w:sz="4" w:space="0" w:color="2C9986" w:themeColor="accent4"/>
            </w:tcBorders>
            <w:shd w:val="clear" w:color="auto" w:fill="FFFFFF" w:themeFill="background1"/>
            <w:hideMark/>
          </w:tcPr>
          <w:p w14:paraId="480DB5E0" w14:textId="24D4564E" w:rsidR="00751CDE" w:rsidRPr="007C6082" w:rsidRDefault="00751CDE" w:rsidP="00E06B00">
            <w:pPr>
              <w:pStyle w:val="TableTextbold"/>
            </w:pPr>
            <w:hyperlink r:id="rId12" w:anchor="DLM7373522" w:history="1">
              <w:r w:rsidRPr="224585AF">
                <w:rPr>
                  <w:rStyle w:val="Hyperlink"/>
                </w:rPr>
                <w:t>Cutover definition</w:t>
              </w:r>
            </w:hyperlink>
          </w:p>
        </w:tc>
        <w:tc>
          <w:tcPr>
            <w:tcW w:w="5529" w:type="dxa"/>
            <w:tcBorders>
              <w:bottom w:val="single" w:sz="4" w:space="0" w:color="2C9986" w:themeColor="accent4"/>
            </w:tcBorders>
            <w:shd w:val="clear" w:color="auto" w:fill="FFFFFF" w:themeFill="background1"/>
            <w:hideMark/>
          </w:tcPr>
          <w:p w14:paraId="5107283E" w14:textId="46B59C29" w:rsidR="00751CDE" w:rsidRPr="007C6082" w:rsidRDefault="003D0372" w:rsidP="00E06B00">
            <w:pPr>
              <w:pStyle w:val="TableText"/>
              <w:rPr>
                <w:i/>
                <w:iCs/>
              </w:rPr>
            </w:pPr>
            <w:r>
              <w:rPr>
                <w:i/>
                <w:iCs/>
              </w:rPr>
              <w:t>M</w:t>
            </w:r>
            <w:r w:rsidR="00751CDE" w:rsidRPr="007C6082">
              <w:rPr>
                <w:i/>
                <w:iCs/>
              </w:rPr>
              <w:t>eans the area of land that has been harvested.</w:t>
            </w:r>
          </w:p>
        </w:tc>
        <w:tc>
          <w:tcPr>
            <w:tcW w:w="5584" w:type="dxa"/>
            <w:tcBorders>
              <w:bottom w:val="single" w:sz="4" w:space="0" w:color="2C9986" w:themeColor="accent4"/>
            </w:tcBorders>
            <w:shd w:val="clear" w:color="auto" w:fill="FFFFFF" w:themeFill="background1"/>
            <w:hideMark/>
          </w:tcPr>
          <w:p w14:paraId="1A9FB282" w14:textId="7DD971CC" w:rsidR="00751CDE" w:rsidRPr="007C6082" w:rsidRDefault="00751CDE" w:rsidP="00022745">
            <w:pPr>
              <w:pStyle w:val="TableText"/>
            </w:pPr>
            <w:r w:rsidRPr="007C6082">
              <w:t xml:space="preserve">The definition of cutover was inserted in 2023 as part of the previous amendment to regulation 69. Proposed amendments to </w:t>
            </w:r>
            <w:r w:rsidR="003D0372">
              <w:t>regulation </w:t>
            </w:r>
            <w:r w:rsidRPr="007C6082">
              <w:t>69 are likely to entail changes to the definition of cutover.</w:t>
            </w:r>
            <w:r w:rsidR="00D35FF0" w:rsidRPr="007C6082">
              <w:rPr>
                <w:rFonts w:ascii="Aptos" w:hAnsi="Aptos"/>
              </w:rPr>
              <w:t xml:space="preserve"> </w:t>
            </w:r>
            <w:r w:rsidRPr="00022745">
              <w:t>The</w:t>
            </w:r>
            <w:r w:rsidRPr="007C6082">
              <w:rPr>
                <w:rFonts w:ascii="Aptos" w:hAnsi="Aptos"/>
              </w:rPr>
              <w:t xml:space="preserve"> </w:t>
            </w:r>
            <w:r w:rsidRPr="00E11ADC">
              <w:t>change in definition will clarify interpretation of the standards.</w:t>
            </w:r>
          </w:p>
        </w:tc>
      </w:tr>
      <w:tr w:rsidR="00B049CE" w:rsidRPr="007C6082" w14:paraId="150CF21F" w14:textId="77777777" w:rsidTr="003022BF">
        <w:tc>
          <w:tcPr>
            <w:tcW w:w="14515" w:type="dxa"/>
            <w:gridSpan w:val="3"/>
            <w:shd w:val="clear" w:color="auto" w:fill="2C9986" w:themeFill="accent4"/>
            <w:hideMark/>
          </w:tcPr>
          <w:p w14:paraId="5C6475ED" w14:textId="77777777" w:rsidR="00751CDE" w:rsidRPr="007C6082" w:rsidRDefault="00751CDE" w:rsidP="00E06B00">
            <w:pPr>
              <w:pStyle w:val="TableTextbold"/>
              <w:rPr>
                <w:color w:val="FFFFFF" w:themeColor="background1"/>
              </w:rPr>
            </w:pPr>
            <w:r w:rsidRPr="007C6082">
              <w:rPr>
                <w:color w:val="FFFFFF" w:themeColor="background1"/>
              </w:rPr>
              <w:t>Regulation 6 Relationship between rules and these regulations </w:t>
            </w:r>
          </w:p>
        </w:tc>
      </w:tr>
      <w:tr w:rsidR="00751CDE" w:rsidRPr="007C6082" w14:paraId="52201963" w14:textId="77777777" w:rsidTr="00104CA2">
        <w:tc>
          <w:tcPr>
            <w:tcW w:w="3402" w:type="dxa"/>
            <w:shd w:val="clear" w:color="auto" w:fill="auto"/>
            <w:hideMark/>
          </w:tcPr>
          <w:p w14:paraId="2CB14DC1" w14:textId="66EBCFDA" w:rsidR="00751CDE" w:rsidRPr="007C6082" w:rsidRDefault="00751CDE" w:rsidP="00636F1B">
            <w:pPr>
              <w:pStyle w:val="TableTextbold"/>
              <w:rPr>
                <w:rFonts w:ascii="Times New Roman" w:hAnsi="Times New Roman"/>
                <w:bCs/>
                <w:sz w:val="24"/>
                <w:szCs w:val="24"/>
              </w:rPr>
            </w:pPr>
            <w:r>
              <w:t xml:space="preserve">Regulation </w:t>
            </w:r>
            <w:hyperlink r:id="rId13" w:anchor="DLM7373512" w:history="1">
              <w:r w:rsidR="002D0D0A" w:rsidRPr="1063AA4F">
                <w:rPr>
                  <w:rStyle w:val="Hyperlink"/>
                </w:rPr>
                <w:t>6(1)</w:t>
              </w:r>
            </w:hyperlink>
            <w:r>
              <w:t xml:space="preserve"> National instruments</w:t>
            </w:r>
          </w:p>
        </w:tc>
        <w:tc>
          <w:tcPr>
            <w:tcW w:w="5529" w:type="dxa"/>
            <w:shd w:val="clear" w:color="auto" w:fill="auto"/>
            <w:hideMark/>
          </w:tcPr>
          <w:p w14:paraId="2900AB53" w14:textId="77777777" w:rsidR="00751CDE" w:rsidRPr="007C6082" w:rsidRDefault="00751CDE" w:rsidP="00E06B00">
            <w:pPr>
              <w:pStyle w:val="TableText"/>
            </w:pPr>
            <w:r w:rsidRPr="007C6082">
              <w:t>Amend regulation 6(1)(a) to clarify the conditions under which a rule that is more stringent than the NES-CF can be included in a council plan. Specifically:</w:t>
            </w:r>
          </w:p>
          <w:p w14:paraId="19B94A33" w14:textId="0C3BC7C7" w:rsidR="00751CDE" w:rsidRPr="007C6082" w:rsidRDefault="001A4B56" w:rsidP="00744843">
            <w:pPr>
              <w:pStyle w:val="Tablea"/>
            </w:pPr>
            <w:r>
              <w:t>i</w:t>
            </w:r>
            <w:r w:rsidR="00751CDE" w:rsidRPr="007C6082">
              <w:t xml:space="preserve">f it is required to manage the risk of severe erosion from commercial forestry from a defined area </w:t>
            </w:r>
            <w:r w:rsidR="00BF7688">
              <w:t>that</w:t>
            </w:r>
            <w:r w:rsidR="00BF7688" w:rsidRPr="007C6082">
              <w:t xml:space="preserve"> </w:t>
            </w:r>
            <w:r w:rsidR="00751CDE" w:rsidRPr="007C6082">
              <w:t>will have significant adverse effects on receiving environments, including the coastal environment; downstream infrastructure; or property; and</w:t>
            </w:r>
          </w:p>
          <w:p w14:paraId="74603F18" w14:textId="26E0C403" w:rsidR="00751CDE" w:rsidRPr="007C6082" w:rsidRDefault="001A4B56" w:rsidP="00E06B00">
            <w:pPr>
              <w:pStyle w:val="Tablea"/>
            </w:pPr>
            <w:r>
              <w:t>t</w:t>
            </w:r>
            <w:r w:rsidR="00751CDE" w:rsidRPr="007C6082">
              <w:t>he effect cannot be managed through the rules in the NES-CF; and</w:t>
            </w:r>
          </w:p>
          <w:p w14:paraId="2B61813E" w14:textId="61EC4A1F" w:rsidR="00751CDE" w:rsidRPr="007C6082" w:rsidRDefault="001A4B56" w:rsidP="00E06B00">
            <w:pPr>
              <w:pStyle w:val="Tablea"/>
            </w:pPr>
            <w:r>
              <w:t>t</w:t>
            </w:r>
            <w:r w:rsidR="00751CDE" w:rsidRPr="007C6082">
              <w:t xml:space="preserve">here is an underlying risk within the defined area that has been identified through mapping this area at a 1:10,000 scale </w:t>
            </w:r>
            <w:r w:rsidR="00FE40F4">
              <w:t>or</w:t>
            </w:r>
            <w:r w:rsidR="00FE40F4" w:rsidRPr="007C6082">
              <w:t xml:space="preserve"> </w:t>
            </w:r>
            <w:r w:rsidR="00751CDE" w:rsidRPr="007C6082">
              <w:t>using a 1</w:t>
            </w:r>
            <w:r w:rsidR="00B4404A">
              <w:t> </w:t>
            </w:r>
            <w:r w:rsidR="00751CDE" w:rsidRPr="007C6082">
              <w:t>m</w:t>
            </w:r>
            <w:r w:rsidR="00751CDE" w:rsidRPr="002660CE">
              <w:rPr>
                <w:vertAlign w:val="superscript"/>
              </w:rPr>
              <w:t>2</w:t>
            </w:r>
            <w:r w:rsidR="00751CDE" w:rsidRPr="007C6082">
              <w:t xml:space="preserve"> Digital Elevation Model.</w:t>
            </w:r>
          </w:p>
        </w:tc>
        <w:tc>
          <w:tcPr>
            <w:tcW w:w="5584" w:type="dxa"/>
            <w:shd w:val="clear" w:color="auto" w:fill="auto"/>
            <w:hideMark/>
          </w:tcPr>
          <w:p w14:paraId="56A7F55F" w14:textId="77777777" w:rsidR="00751CDE" w:rsidRPr="007C6082" w:rsidRDefault="00751CDE" w:rsidP="00744843">
            <w:pPr>
              <w:pStyle w:val="TableText"/>
            </w:pPr>
            <w:r w:rsidRPr="007C6082">
              <w:t>National rules manage the effects of commercial forestry. The use of stringency is proposed to be an exception where it can be demonstrated that rules more stringent than the NES-CF are required to meet a specific localised risk.</w:t>
            </w:r>
          </w:p>
          <w:p w14:paraId="047D3327" w14:textId="32E0BCD2" w:rsidR="00751CDE" w:rsidRPr="007C6082" w:rsidRDefault="00751CDE" w:rsidP="00E06B00">
            <w:pPr>
              <w:pStyle w:val="TableText"/>
            </w:pPr>
            <w:r w:rsidRPr="007C6082">
              <w:t>Being more specific about when and how, based on evidence, councils can impose more stringent rules. This helps councils understand when this provision should be used and is intended to create greater operational certainty for foresters.</w:t>
            </w:r>
          </w:p>
        </w:tc>
      </w:tr>
      <w:tr w:rsidR="00751CDE" w:rsidRPr="007C6082" w14:paraId="77D7E956" w14:textId="77777777" w:rsidTr="00104CA2">
        <w:tc>
          <w:tcPr>
            <w:tcW w:w="3402" w:type="dxa"/>
            <w:tcBorders>
              <w:bottom w:val="single" w:sz="4" w:space="0" w:color="2C9986" w:themeColor="accent4"/>
            </w:tcBorders>
            <w:shd w:val="clear" w:color="auto" w:fill="auto"/>
            <w:hideMark/>
          </w:tcPr>
          <w:p w14:paraId="347AC9FA" w14:textId="51E424AA" w:rsidR="00751CDE" w:rsidRPr="007C6082" w:rsidRDefault="00751CDE" w:rsidP="00E06B00">
            <w:pPr>
              <w:pStyle w:val="TableTextbold"/>
            </w:pPr>
            <w:r>
              <w:t xml:space="preserve">Regulation </w:t>
            </w:r>
            <w:hyperlink r:id="rId14" w:anchor="DLM7373512" w:history="1">
              <w:r w:rsidR="002D0D0A" w:rsidRPr="2A3B4344">
                <w:rPr>
                  <w:rStyle w:val="Hyperlink"/>
                </w:rPr>
                <w:t>6(4A)</w:t>
              </w:r>
            </w:hyperlink>
            <w:r>
              <w:t xml:space="preserve"> Afforestation </w:t>
            </w:r>
          </w:p>
        </w:tc>
        <w:tc>
          <w:tcPr>
            <w:tcW w:w="5529" w:type="dxa"/>
            <w:tcBorders>
              <w:bottom w:val="single" w:sz="4" w:space="0" w:color="2C9986" w:themeColor="accent4"/>
            </w:tcBorders>
            <w:shd w:val="clear" w:color="auto" w:fill="auto"/>
            <w:hideMark/>
          </w:tcPr>
          <w:p w14:paraId="65A33B95" w14:textId="1E242302" w:rsidR="00751CDE" w:rsidRPr="007C6082" w:rsidRDefault="00751CDE" w:rsidP="00E06B00">
            <w:pPr>
              <w:pStyle w:val="TableText"/>
            </w:pPr>
            <w:r w:rsidRPr="007C6082">
              <w:t xml:space="preserve">Remove regulation 6(4A) </w:t>
            </w:r>
            <w:r w:rsidR="002E4344">
              <w:t>that</w:t>
            </w:r>
            <w:r w:rsidR="002E4344" w:rsidRPr="007C6082">
              <w:t xml:space="preserve"> </w:t>
            </w:r>
            <w:r w:rsidRPr="007C6082">
              <w:t>enables a rule in a plan for afforestation to be more stringent or lenient than in Subpart 1 of Part 2 of these regulations. </w:t>
            </w:r>
          </w:p>
        </w:tc>
        <w:tc>
          <w:tcPr>
            <w:tcW w:w="5584" w:type="dxa"/>
            <w:tcBorders>
              <w:bottom w:val="single" w:sz="4" w:space="0" w:color="2C9986" w:themeColor="accent4"/>
            </w:tcBorders>
            <w:shd w:val="clear" w:color="auto" w:fill="auto"/>
            <w:hideMark/>
          </w:tcPr>
          <w:p w14:paraId="4231B312" w14:textId="75324B41" w:rsidR="00751CDE" w:rsidRPr="007C6082" w:rsidRDefault="00751CDE" w:rsidP="00744843">
            <w:pPr>
              <w:pStyle w:val="TableText"/>
            </w:pPr>
            <w:r w:rsidRPr="007C6082">
              <w:t>Regulation 6(4A) provides very wide discretion over afforestation, because it is not limited to specific objectives or a national policy statement.</w:t>
            </w:r>
          </w:p>
          <w:p w14:paraId="07AFA19E" w14:textId="77777777" w:rsidR="00751CDE" w:rsidRPr="007C6082" w:rsidRDefault="00751CDE" w:rsidP="00744843">
            <w:pPr>
              <w:pStyle w:val="TableText"/>
              <w:rPr>
                <w:rFonts w:ascii="Times New Roman" w:hAnsi="Times New Roman"/>
                <w:sz w:val="24"/>
                <w:szCs w:val="24"/>
              </w:rPr>
            </w:pPr>
            <w:r w:rsidRPr="007C6082">
              <w:t>Removing regulation 6(4A) will mean national criteria apply to afforestation, providing greater certainty to the forestry sector, with stringency limited to specified matters in regulation 6 of the NES-CF. </w:t>
            </w:r>
          </w:p>
        </w:tc>
      </w:tr>
    </w:tbl>
    <w:p w14:paraId="7D8A3932" w14:textId="77777777" w:rsidR="00FD42E1" w:rsidRDefault="00FD42E1" w:rsidP="00FD42E1">
      <w:pPr>
        <w:pStyle w:val="BodyText"/>
      </w:pPr>
    </w:p>
    <w:p w14:paraId="421E56F6" w14:textId="77777777" w:rsidR="00DE52A7" w:rsidRDefault="00DE52A7">
      <w:r>
        <w:rPr>
          <w:b/>
        </w:rPr>
        <w:br w:type="page"/>
      </w:r>
    </w:p>
    <w:tbl>
      <w:tblPr>
        <w:tblW w:w="14515" w:type="dxa"/>
        <w:tblBorders>
          <w:top w:val="single" w:sz="4" w:space="0" w:color="2C9986" w:themeColor="accent4"/>
          <w:bottom w:val="single" w:sz="4" w:space="0" w:color="2C9986" w:themeColor="accent4"/>
          <w:insideH w:val="single" w:sz="4" w:space="0" w:color="2C9986" w:themeColor="accent4"/>
          <w:insideV w:val="single" w:sz="4" w:space="0" w:color="2C9986" w:themeColor="accent4"/>
        </w:tblBorders>
        <w:tblCellMar>
          <w:left w:w="85" w:type="dxa"/>
          <w:right w:w="85" w:type="dxa"/>
        </w:tblCellMar>
        <w:tblLook w:val="04A0" w:firstRow="1" w:lastRow="0" w:firstColumn="1" w:lastColumn="0" w:noHBand="0" w:noVBand="1"/>
      </w:tblPr>
      <w:tblGrid>
        <w:gridCol w:w="3402"/>
        <w:gridCol w:w="5387"/>
        <w:gridCol w:w="5726"/>
      </w:tblGrid>
      <w:tr w:rsidR="00B049CE" w:rsidRPr="007C6082" w14:paraId="1F556B19" w14:textId="77777777" w:rsidTr="003022BF">
        <w:tc>
          <w:tcPr>
            <w:tcW w:w="14515" w:type="dxa"/>
            <w:gridSpan w:val="3"/>
            <w:tcBorders>
              <w:bottom w:val="single" w:sz="4" w:space="0" w:color="2C9986" w:themeColor="accent4"/>
            </w:tcBorders>
            <w:shd w:val="clear" w:color="auto" w:fill="2C9986" w:themeFill="accent4"/>
            <w:hideMark/>
          </w:tcPr>
          <w:p w14:paraId="311F7843" w14:textId="3FEB54BB" w:rsidR="00751CDE" w:rsidRPr="007C6082" w:rsidRDefault="00751CDE" w:rsidP="002721D2">
            <w:pPr>
              <w:pStyle w:val="TableTextbold"/>
              <w:keepNext/>
              <w:rPr>
                <w:color w:val="FFFFFF" w:themeColor="background1"/>
              </w:rPr>
            </w:pPr>
            <w:r w:rsidRPr="007C6082">
              <w:rPr>
                <w:color w:val="FFFFFF" w:themeColor="background1"/>
              </w:rPr>
              <w:lastRenderedPageBreak/>
              <w:t>PART 2: REGULATION OF COMMERCIAL FORESTRY ACTIVITIES </w:t>
            </w:r>
          </w:p>
        </w:tc>
      </w:tr>
      <w:tr w:rsidR="00B049CE" w:rsidRPr="007C6082" w14:paraId="623CB3EB" w14:textId="77777777" w:rsidTr="003022BF">
        <w:tc>
          <w:tcPr>
            <w:tcW w:w="14515" w:type="dxa"/>
            <w:gridSpan w:val="3"/>
            <w:tcBorders>
              <w:bottom w:val="single" w:sz="4" w:space="0" w:color="2C9986" w:themeColor="accent4"/>
            </w:tcBorders>
            <w:shd w:val="clear" w:color="auto" w:fill="2C9986" w:themeFill="accent4"/>
            <w:hideMark/>
          </w:tcPr>
          <w:p w14:paraId="2AFA5FDF" w14:textId="12F868D6" w:rsidR="00751CDE" w:rsidRPr="007C6082" w:rsidRDefault="00751CDE" w:rsidP="003022BF">
            <w:pPr>
              <w:pStyle w:val="TableTextbold"/>
              <w:spacing w:before="0" w:after="0"/>
              <w:rPr>
                <w:color w:val="FFFFFF" w:themeColor="background1"/>
              </w:rPr>
            </w:pPr>
            <w:r w:rsidRPr="007C6082">
              <w:rPr>
                <w:color w:val="FFFFFF" w:themeColor="background1"/>
              </w:rPr>
              <w:t xml:space="preserve">Subpart 1 </w:t>
            </w:r>
            <w:r w:rsidR="007D082A">
              <w:rPr>
                <w:color w:val="FFFFFF" w:themeColor="background1"/>
              </w:rPr>
              <w:t>–</w:t>
            </w:r>
            <w:r w:rsidRPr="007C6082">
              <w:rPr>
                <w:color w:val="FFFFFF" w:themeColor="background1"/>
              </w:rPr>
              <w:t xml:space="preserve"> Afforestation </w:t>
            </w:r>
          </w:p>
        </w:tc>
      </w:tr>
      <w:tr w:rsidR="00B049CE" w:rsidRPr="007C6082" w14:paraId="3D7C6586" w14:textId="77777777" w:rsidTr="00104CA2">
        <w:tc>
          <w:tcPr>
            <w:tcW w:w="3402" w:type="dxa"/>
            <w:shd w:val="clear" w:color="auto" w:fill="2C9986" w:themeFill="accent4"/>
            <w:hideMark/>
          </w:tcPr>
          <w:p w14:paraId="4DCF2A44" w14:textId="1698B252" w:rsidR="00751CDE" w:rsidRPr="007C6082" w:rsidRDefault="00751CDE" w:rsidP="00E06B00">
            <w:pPr>
              <w:pStyle w:val="TableTextbold"/>
              <w:rPr>
                <w:color w:val="FFFFFF" w:themeColor="background1"/>
              </w:rPr>
            </w:pPr>
            <w:r w:rsidRPr="007C6082">
              <w:rPr>
                <w:color w:val="FFFFFF" w:themeColor="background1"/>
              </w:rPr>
              <w:t>Permitted activities</w:t>
            </w:r>
          </w:p>
        </w:tc>
        <w:tc>
          <w:tcPr>
            <w:tcW w:w="5387" w:type="dxa"/>
            <w:shd w:val="clear" w:color="auto" w:fill="2C9986" w:themeFill="accent4"/>
            <w:hideMark/>
          </w:tcPr>
          <w:p w14:paraId="1F956220" w14:textId="77777777" w:rsidR="00751CDE" w:rsidRPr="007C6082" w:rsidRDefault="00751CDE" w:rsidP="00E06B00">
            <w:pPr>
              <w:pStyle w:val="TableTextbold"/>
              <w:rPr>
                <w:color w:val="FFFFFF" w:themeColor="background1"/>
              </w:rPr>
            </w:pPr>
            <w:r w:rsidRPr="007C6082">
              <w:rPr>
                <w:color w:val="FFFFFF" w:themeColor="background1"/>
              </w:rPr>
              <w:t>Proposed provisions </w:t>
            </w:r>
          </w:p>
        </w:tc>
        <w:tc>
          <w:tcPr>
            <w:tcW w:w="5726" w:type="dxa"/>
            <w:shd w:val="clear" w:color="auto" w:fill="2C9986" w:themeFill="accent4"/>
            <w:hideMark/>
          </w:tcPr>
          <w:p w14:paraId="40E21CEC" w14:textId="77777777" w:rsidR="00751CDE" w:rsidRPr="007C6082" w:rsidRDefault="00751CDE" w:rsidP="00E06B00">
            <w:pPr>
              <w:pStyle w:val="TableTextbold"/>
              <w:rPr>
                <w:color w:val="FFFFFF" w:themeColor="background1"/>
              </w:rPr>
            </w:pPr>
            <w:r w:rsidRPr="007C6082">
              <w:rPr>
                <w:color w:val="FFFFFF" w:themeColor="background1"/>
              </w:rPr>
              <w:t>Reasons </w:t>
            </w:r>
          </w:p>
        </w:tc>
      </w:tr>
      <w:tr w:rsidR="00751CDE" w:rsidRPr="007C6082" w14:paraId="0F279E4F" w14:textId="77777777" w:rsidTr="00104CA2">
        <w:tc>
          <w:tcPr>
            <w:tcW w:w="3402" w:type="dxa"/>
            <w:shd w:val="clear" w:color="auto" w:fill="auto"/>
            <w:hideMark/>
          </w:tcPr>
          <w:p w14:paraId="684F8CB6" w14:textId="6284F259" w:rsidR="00751CDE" w:rsidRPr="007C6082" w:rsidRDefault="00751CDE" w:rsidP="00E06B00">
            <w:pPr>
              <w:pStyle w:val="TableTextbold"/>
            </w:pPr>
            <w:r w:rsidRPr="007C6082">
              <w:t xml:space="preserve">Regulation </w:t>
            </w:r>
            <w:hyperlink r:id="rId15" w:anchor="LMS922792" w:history="1">
              <w:r w:rsidR="002D0D0A" w:rsidRPr="1BD92E4C">
                <w:rPr>
                  <w:rStyle w:val="Hyperlink"/>
                </w:rPr>
                <w:t>10A</w:t>
              </w:r>
            </w:hyperlink>
            <w:r w:rsidRPr="007C6082">
              <w:t xml:space="preserve"> Permitted activity conditions: afforestation management plan </w:t>
            </w:r>
          </w:p>
        </w:tc>
        <w:tc>
          <w:tcPr>
            <w:tcW w:w="5387" w:type="dxa"/>
            <w:shd w:val="clear" w:color="auto" w:fill="auto"/>
            <w:hideMark/>
          </w:tcPr>
          <w:p w14:paraId="4ED60373" w14:textId="0BE76133" w:rsidR="00751CDE" w:rsidRPr="007C6082" w:rsidRDefault="00751CDE" w:rsidP="00E06B00">
            <w:pPr>
              <w:pStyle w:val="TableText"/>
            </w:pPr>
            <w:r w:rsidRPr="007C6082">
              <w:t>Remove regulation 10A</w:t>
            </w:r>
            <w:r w:rsidR="00F52B2D">
              <w:t>,</w:t>
            </w:r>
            <w:r w:rsidRPr="007C6082">
              <w:t xml:space="preserve"> which requires an afforestation management plan for all afforestation activities as a permitted activity condition. </w:t>
            </w:r>
          </w:p>
        </w:tc>
        <w:tc>
          <w:tcPr>
            <w:tcW w:w="5726" w:type="dxa"/>
            <w:shd w:val="clear" w:color="auto" w:fill="auto"/>
            <w:hideMark/>
          </w:tcPr>
          <w:p w14:paraId="034F2ABF" w14:textId="13045E6D" w:rsidR="00751CDE" w:rsidRPr="007C6082" w:rsidRDefault="00751CDE" w:rsidP="00CD5521">
            <w:pPr>
              <w:pStyle w:val="TableText"/>
            </w:pPr>
            <w:r w:rsidRPr="007C6082">
              <w:t xml:space="preserve">Afforestation management plans set a redundant regulatory requirement for those planting or replanting a commercial forest </w:t>
            </w:r>
            <w:r w:rsidR="00BB540A">
              <w:t>because</w:t>
            </w:r>
            <w:r w:rsidRPr="007C6082">
              <w:t xml:space="preserve"> issues relating to the environmental impacts of afforestation and replanting are managed through existing standards. Furthermore, the provisions require documentation of future forest effects </w:t>
            </w:r>
            <w:r w:rsidR="005D1CCD">
              <w:t>that</w:t>
            </w:r>
            <w:r w:rsidR="005D1CCD" w:rsidRPr="007C6082">
              <w:t xml:space="preserve"> </w:t>
            </w:r>
            <w:r w:rsidRPr="007C6082">
              <w:t>may not be reasonably known and impose costs on foresters that are not clearly justified. </w:t>
            </w:r>
          </w:p>
        </w:tc>
      </w:tr>
      <w:tr w:rsidR="00751CDE" w:rsidRPr="007C6082" w14:paraId="743A9DDC" w14:textId="77777777" w:rsidTr="00104CA2">
        <w:tc>
          <w:tcPr>
            <w:tcW w:w="3402" w:type="dxa"/>
            <w:tcBorders>
              <w:bottom w:val="single" w:sz="4" w:space="0" w:color="2C9986" w:themeColor="accent4"/>
            </w:tcBorders>
            <w:shd w:val="clear" w:color="auto" w:fill="auto"/>
            <w:hideMark/>
          </w:tcPr>
          <w:p w14:paraId="7DF0E3A9" w14:textId="77777777" w:rsidR="00751CDE" w:rsidRPr="007C6082" w:rsidRDefault="00751CDE" w:rsidP="00E06B00">
            <w:pPr>
              <w:pStyle w:val="TableTextbold"/>
            </w:pPr>
            <w:r w:rsidRPr="007C6082">
              <w:t xml:space="preserve">Regulation </w:t>
            </w:r>
            <w:hyperlink r:id="rId16" w:anchor="DLM7371044" w:history="1">
              <w:r w:rsidRPr="5A2EAD4E">
                <w:rPr>
                  <w:rStyle w:val="Hyperlink"/>
                </w:rPr>
                <w:t>11</w:t>
              </w:r>
            </w:hyperlink>
            <w:r w:rsidRPr="007C6082">
              <w:t xml:space="preserve"> Permitted activity conditions: wilding tree risk and control</w:t>
            </w:r>
          </w:p>
        </w:tc>
        <w:tc>
          <w:tcPr>
            <w:tcW w:w="5387" w:type="dxa"/>
            <w:tcBorders>
              <w:bottom w:val="single" w:sz="4" w:space="0" w:color="2C9986" w:themeColor="accent4"/>
            </w:tcBorders>
            <w:shd w:val="clear" w:color="auto" w:fill="auto"/>
            <w:hideMark/>
          </w:tcPr>
          <w:p w14:paraId="1D5ACC9F" w14:textId="77777777" w:rsidR="00751CDE" w:rsidRPr="007C6082" w:rsidRDefault="00751CDE" w:rsidP="003911C7">
            <w:pPr>
              <w:pStyle w:val="TableText"/>
            </w:pPr>
            <w:r w:rsidRPr="007C6082">
              <w:t>Amend regulation 11(4) to: </w:t>
            </w:r>
          </w:p>
          <w:p w14:paraId="3F68BDEA" w14:textId="3ED65FFF" w:rsidR="00751CDE" w:rsidRPr="007C6082" w:rsidRDefault="00751CDE" w:rsidP="003911C7">
            <w:pPr>
              <w:pStyle w:val="TableText"/>
            </w:pPr>
            <w:r w:rsidRPr="007C6082">
              <w:t>“The relevant regional council and territorial authority must be given the following at the same time as notice is given under regulation 10:</w:t>
            </w:r>
          </w:p>
          <w:p w14:paraId="304A7ECB" w14:textId="423B55CA" w:rsidR="00751CDE" w:rsidRPr="007C6082" w:rsidRDefault="001F5C8F" w:rsidP="00CD5521">
            <w:pPr>
              <w:pStyle w:val="TableText"/>
              <w:spacing w:before="0"/>
              <w:ind w:left="397" w:hanging="397"/>
            </w:pPr>
            <w:r>
              <w:t>(</w:t>
            </w:r>
            <w:r w:rsidR="00751CDE" w:rsidRPr="007C6082">
              <w:t xml:space="preserve">a) </w:t>
            </w:r>
            <w:r w:rsidR="003911C7" w:rsidRPr="007C6082">
              <w:tab/>
            </w:r>
            <w:r w:rsidR="00751CDE" w:rsidRPr="007C6082">
              <w:t>the score required under subclause (1) and the calculations used for the final wilding tree risk calculator score and supporting evidence for each calculation.”</w:t>
            </w:r>
          </w:p>
        </w:tc>
        <w:tc>
          <w:tcPr>
            <w:tcW w:w="5726" w:type="dxa"/>
            <w:tcBorders>
              <w:bottom w:val="single" w:sz="4" w:space="0" w:color="2C9986" w:themeColor="accent4"/>
            </w:tcBorders>
            <w:shd w:val="clear" w:color="auto" w:fill="auto"/>
            <w:hideMark/>
          </w:tcPr>
          <w:p w14:paraId="34EF01D8" w14:textId="77777777" w:rsidR="00751CDE" w:rsidRPr="007C6082" w:rsidRDefault="00751CDE" w:rsidP="003911C7">
            <w:pPr>
              <w:pStyle w:val="TableText"/>
            </w:pPr>
            <w:r w:rsidRPr="007C6082">
              <w:t>The current provision decouples the calculation sheet from the assessment sheet that should be submitted (ie, it does not introduce the new requirement sought to provide both the assessment and the calculations underpinning it).</w:t>
            </w:r>
          </w:p>
          <w:p w14:paraId="50269BFA" w14:textId="77777777" w:rsidR="00751CDE" w:rsidRPr="007C6082" w:rsidRDefault="00751CDE" w:rsidP="003911C7">
            <w:pPr>
              <w:pStyle w:val="TableText"/>
              <w:rPr>
                <w:rFonts w:ascii="Times New Roman" w:hAnsi="Times New Roman"/>
                <w:sz w:val="24"/>
                <w:szCs w:val="24"/>
              </w:rPr>
            </w:pPr>
            <w:r w:rsidRPr="007C6082">
              <w:t>Clarifying the wilding conifer regulations 11(4)(b) and 79(5)(b) will make the intent clear and implementation easier for both foresters and councils.</w:t>
            </w:r>
            <w:r w:rsidRPr="007C6082">
              <w:rPr>
                <w:rFonts w:ascii="Times New Roman" w:hAnsi="Times New Roman"/>
                <w:sz w:val="24"/>
                <w:szCs w:val="24"/>
              </w:rPr>
              <w:t> </w:t>
            </w:r>
          </w:p>
        </w:tc>
      </w:tr>
    </w:tbl>
    <w:p w14:paraId="2B274CF1" w14:textId="77777777" w:rsidR="00FD42E1" w:rsidRDefault="00FD42E1" w:rsidP="00D04F15">
      <w:pPr>
        <w:pStyle w:val="BodyText"/>
        <w:spacing w:before="0" w:after="0"/>
      </w:pPr>
    </w:p>
    <w:tbl>
      <w:tblPr>
        <w:tblW w:w="14515" w:type="dxa"/>
        <w:tblBorders>
          <w:top w:val="single" w:sz="4" w:space="0" w:color="2C9986" w:themeColor="accent4"/>
          <w:bottom w:val="single" w:sz="4" w:space="0" w:color="2C9986" w:themeColor="accent4"/>
          <w:insideH w:val="single" w:sz="4" w:space="0" w:color="2C9986" w:themeColor="accent4"/>
          <w:insideV w:val="single" w:sz="4" w:space="0" w:color="2C9986" w:themeColor="accent4"/>
        </w:tblBorders>
        <w:tblCellMar>
          <w:left w:w="85" w:type="dxa"/>
          <w:right w:w="85" w:type="dxa"/>
        </w:tblCellMar>
        <w:tblLook w:val="04A0" w:firstRow="1" w:lastRow="0" w:firstColumn="1" w:lastColumn="0" w:noHBand="0" w:noVBand="1"/>
      </w:tblPr>
      <w:tblGrid>
        <w:gridCol w:w="3402"/>
        <w:gridCol w:w="5387"/>
        <w:gridCol w:w="5726"/>
      </w:tblGrid>
      <w:tr w:rsidR="00B049CE" w:rsidRPr="007C6082" w14:paraId="7538C056" w14:textId="77777777" w:rsidTr="00FD42E1">
        <w:trPr>
          <w:tblHeader/>
        </w:trPr>
        <w:tc>
          <w:tcPr>
            <w:tcW w:w="14515" w:type="dxa"/>
            <w:gridSpan w:val="3"/>
            <w:tcBorders>
              <w:bottom w:val="single" w:sz="4" w:space="0" w:color="2C9986" w:themeColor="accent4"/>
            </w:tcBorders>
            <w:shd w:val="clear" w:color="auto" w:fill="2C9986" w:themeFill="accent4"/>
            <w:hideMark/>
          </w:tcPr>
          <w:p w14:paraId="07C6EB2D" w14:textId="6285110E" w:rsidR="00751CDE" w:rsidRPr="007C6082" w:rsidRDefault="00751CDE" w:rsidP="00FD42E1">
            <w:pPr>
              <w:pStyle w:val="TableTextbold"/>
              <w:rPr>
                <w:color w:val="FFFFFF" w:themeColor="background1"/>
              </w:rPr>
            </w:pPr>
            <w:r w:rsidRPr="007C6082">
              <w:rPr>
                <w:color w:val="FFFFFF" w:themeColor="background1"/>
              </w:rPr>
              <w:t xml:space="preserve">Subpart 6 </w:t>
            </w:r>
            <w:r w:rsidR="004D7F08">
              <w:rPr>
                <w:color w:val="FFFFFF" w:themeColor="background1"/>
              </w:rPr>
              <w:t>–</w:t>
            </w:r>
            <w:r w:rsidRPr="007C6082">
              <w:rPr>
                <w:color w:val="FFFFFF" w:themeColor="background1"/>
              </w:rPr>
              <w:t xml:space="preserve"> Harvesting </w:t>
            </w:r>
          </w:p>
        </w:tc>
      </w:tr>
      <w:tr w:rsidR="00B049CE" w:rsidRPr="007C6082" w14:paraId="25EF6EB7" w14:textId="77777777" w:rsidTr="00104CA2">
        <w:trPr>
          <w:tblHeader/>
        </w:trPr>
        <w:tc>
          <w:tcPr>
            <w:tcW w:w="3402" w:type="dxa"/>
            <w:tcBorders>
              <w:bottom w:val="single" w:sz="4" w:space="0" w:color="2C9986" w:themeColor="accent4"/>
            </w:tcBorders>
            <w:shd w:val="clear" w:color="auto" w:fill="2C9986" w:themeFill="accent4"/>
            <w:hideMark/>
          </w:tcPr>
          <w:p w14:paraId="1D379CC7" w14:textId="77777777" w:rsidR="00751CDE" w:rsidRPr="007C6082" w:rsidRDefault="00751CDE" w:rsidP="00FD42E1">
            <w:pPr>
              <w:pStyle w:val="TableTextbold"/>
              <w:spacing w:before="0" w:after="0"/>
              <w:rPr>
                <w:color w:val="FFFFFF" w:themeColor="background1"/>
              </w:rPr>
            </w:pPr>
            <w:r w:rsidRPr="007C6082">
              <w:rPr>
                <w:color w:val="FFFFFF" w:themeColor="background1"/>
              </w:rPr>
              <w:t>Plantation forests </w:t>
            </w:r>
          </w:p>
        </w:tc>
        <w:tc>
          <w:tcPr>
            <w:tcW w:w="5387" w:type="dxa"/>
            <w:tcBorders>
              <w:bottom w:val="single" w:sz="4" w:space="0" w:color="2C9986" w:themeColor="accent4"/>
            </w:tcBorders>
            <w:shd w:val="clear" w:color="auto" w:fill="2C9986" w:themeFill="accent4"/>
            <w:hideMark/>
          </w:tcPr>
          <w:p w14:paraId="798649BE" w14:textId="77777777" w:rsidR="00751CDE" w:rsidRPr="007C6082" w:rsidRDefault="00751CDE" w:rsidP="00FD42E1">
            <w:pPr>
              <w:pStyle w:val="TableTextbold"/>
              <w:spacing w:before="0" w:after="0"/>
              <w:rPr>
                <w:color w:val="FFFFFF" w:themeColor="background1"/>
              </w:rPr>
            </w:pPr>
            <w:r w:rsidRPr="007C6082">
              <w:rPr>
                <w:color w:val="FFFFFF" w:themeColor="background1"/>
              </w:rPr>
              <w:t> </w:t>
            </w:r>
          </w:p>
        </w:tc>
        <w:tc>
          <w:tcPr>
            <w:tcW w:w="5726" w:type="dxa"/>
            <w:tcBorders>
              <w:bottom w:val="single" w:sz="4" w:space="0" w:color="2C9986" w:themeColor="accent4"/>
            </w:tcBorders>
            <w:shd w:val="clear" w:color="auto" w:fill="2C9986" w:themeFill="accent4"/>
            <w:hideMark/>
          </w:tcPr>
          <w:p w14:paraId="2FC7FADB" w14:textId="77777777" w:rsidR="00751CDE" w:rsidRPr="007C6082" w:rsidRDefault="00751CDE" w:rsidP="00FD42E1">
            <w:pPr>
              <w:pStyle w:val="TableTextbold"/>
              <w:spacing w:before="0" w:after="0"/>
              <w:rPr>
                <w:color w:val="FFFFFF" w:themeColor="background1"/>
              </w:rPr>
            </w:pPr>
            <w:r w:rsidRPr="007C6082">
              <w:rPr>
                <w:color w:val="FFFFFF" w:themeColor="background1"/>
              </w:rPr>
              <w:t> </w:t>
            </w:r>
          </w:p>
        </w:tc>
      </w:tr>
      <w:tr w:rsidR="00FD42E1" w:rsidRPr="00FD42E1" w14:paraId="50EBB485" w14:textId="77777777" w:rsidTr="00104CA2">
        <w:trPr>
          <w:tblHeader/>
        </w:trPr>
        <w:tc>
          <w:tcPr>
            <w:tcW w:w="3402" w:type="dxa"/>
            <w:shd w:val="clear" w:color="auto" w:fill="2C9986" w:themeFill="accent4"/>
            <w:hideMark/>
          </w:tcPr>
          <w:p w14:paraId="6D771D12" w14:textId="77777777" w:rsidR="00751CDE" w:rsidRPr="00FD42E1" w:rsidRDefault="00751CDE" w:rsidP="00CD5521">
            <w:pPr>
              <w:pStyle w:val="TableTextbold"/>
              <w:rPr>
                <w:color w:val="FFFFFF" w:themeColor="background1"/>
              </w:rPr>
            </w:pPr>
            <w:r w:rsidRPr="00FD42E1">
              <w:rPr>
                <w:color w:val="FFFFFF" w:themeColor="background1"/>
              </w:rPr>
              <w:t>Permitted activities </w:t>
            </w:r>
          </w:p>
        </w:tc>
        <w:tc>
          <w:tcPr>
            <w:tcW w:w="5387" w:type="dxa"/>
            <w:shd w:val="clear" w:color="auto" w:fill="2C9986" w:themeFill="accent4"/>
            <w:hideMark/>
          </w:tcPr>
          <w:p w14:paraId="0DA33D65" w14:textId="77777777" w:rsidR="00751CDE" w:rsidRPr="00FD42E1" w:rsidRDefault="00751CDE" w:rsidP="00CD5521">
            <w:pPr>
              <w:pStyle w:val="TableTextbold"/>
              <w:rPr>
                <w:color w:val="FFFFFF" w:themeColor="background1"/>
              </w:rPr>
            </w:pPr>
            <w:r w:rsidRPr="00FD42E1">
              <w:rPr>
                <w:color w:val="FFFFFF" w:themeColor="background1"/>
              </w:rPr>
              <w:t>Proposed provisions </w:t>
            </w:r>
          </w:p>
        </w:tc>
        <w:tc>
          <w:tcPr>
            <w:tcW w:w="5726" w:type="dxa"/>
            <w:shd w:val="clear" w:color="auto" w:fill="2C9986" w:themeFill="accent4"/>
            <w:hideMark/>
          </w:tcPr>
          <w:p w14:paraId="4A76F6ED" w14:textId="77777777" w:rsidR="00751CDE" w:rsidRPr="00FD42E1" w:rsidRDefault="00751CDE" w:rsidP="00CD5521">
            <w:pPr>
              <w:pStyle w:val="TableTextbold"/>
              <w:rPr>
                <w:color w:val="FFFFFF" w:themeColor="background1"/>
              </w:rPr>
            </w:pPr>
            <w:r w:rsidRPr="00FD42E1">
              <w:rPr>
                <w:color w:val="FFFFFF" w:themeColor="background1"/>
              </w:rPr>
              <w:t>Reasons </w:t>
            </w:r>
          </w:p>
        </w:tc>
      </w:tr>
      <w:tr w:rsidR="00751CDE" w:rsidRPr="007C6082" w14:paraId="6F38C3D8" w14:textId="77777777" w:rsidTr="00104CA2">
        <w:tc>
          <w:tcPr>
            <w:tcW w:w="3402" w:type="dxa"/>
            <w:shd w:val="clear" w:color="auto" w:fill="auto"/>
            <w:hideMark/>
          </w:tcPr>
          <w:p w14:paraId="7D7924A9" w14:textId="77777777" w:rsidR="00751CDE" w:rsidRPr="007C6082" w:rsidRDefault="00751CDE" w:rsidP="00CD5521">
            <w:pPr>
              <w:pStyle w:val="TableTextbold"/>
            </w:pPr>
            <w:r>
              <w:t xml:space="preserve">Regulation </w:t>
            </w:r>
            <w:hyperlink r:id="rId17" w:anchor="DLM7372016" w:history="1">
              <w:r w:rsidRPr="5A2EAD4E">
                <w:rPr>
                  <w:rStyle w:val="Hyperlink"/>
                </w:rPr>
                <w:t>66</w:t>
              </w:r>
            </w:hyperlink>
            <w:r>
              <w:t xml:space="preserve"> Permitted activity conditions: harvest plan </w:t>
            </w:r>
          </w:p>
        </w:tc>
        <w:tc>
          <w:tcPr>
            <w:tcW w:w="5387" w:type="dxa"/>
            <w:shd w:val="clear" w:color="auto" w:fill="auto"/>
            <w:hideMark/>
          </w:tcPr>
          <w:p w14:paraId="2B805923" w14:textId="41A47FC9" w:rsidR="00751CDE" w:rsidRPr="007C6082" w:rsidRDefault="00751CDE" w:rsidP="00CD5521">
            <w:pPr>
              <w:pStyle w:val="TableText"/>
            </w:pPr>
            <w:r w:rsidRPr="007C6082">
              <w:t>Amend regulation 66 to include a requirement for a slash mobilisation risk assessment as set out in Schedule 6.</w:t>
            </w:r>
            <w:r w:rsidR="00D35FF0" w:rsidRPr="007C6082">
              <w:t xml:space="preserve"> </w:t>
            </w:r>
          </w:p>
        </w:tc>
        <w:tc>
          <w:tcPr>
            <w:tcW w:w="5726" w:type="dxa"/>
            <w:shd w:val="clear" w:color="auto" w:fill="auto"/>
            <w:hideMark/>
          </w:tcPr>
          <w:p w14:paraId="75E8635C" w14:textId="77777777" w:rsidR="00751CDE" w:rsidRPr="007C6082" w:rsidRDefault="00751CDE" w:rsidP="003911C7">
            <w:pPr>
              <w:pStyle w:val="TableText"/>
            </w:pPr>
            <w:r w:rsidRPr="007C6082">
              <w:t>This is a consequential change due to the proposal to amend regulation 69. </w:t>
            </w:r>
          </w:p>
        </w:tc>
      </w:tr>
      <w:tr w:rsidR="00751CDE" w:rsidRPr="007C6082" w14:paraId="12B8B6A3" w14:textId="77777777" w:rsidTr="00104CA2">
        <w:tc>
          <w:tcPr>
            <w:tcW w:w="3402" w:type="dxa"/>
            <w:tcBorders>
              <w:bottom w:val="single" w:sz="4" w:space="0" w:color="2C9986" w:themeColor="accent4"/>
            </w:tcBorders>
            <w:shd w:val="clear" w:color="auto" w:fill="auto"/>
            <w:hideMark/>
          </w:tcPr>
          <w:p w14:paraId="6FBE2662" w14:textId="14571D32" w:rsidR="00751CDE" w:rsidRPr="007C6082" w:rsidRDefault="00751CDE" w:rsidP="00CD5521">
            <w:pPr>
              <w:pStyle w:val="TableTextbold"/>
            </w:pPr>
            <w:r w:rsidRPr="007C6082">
              <w:t xml:space="preserve">Regulation </w:t>
            </w:r>
            <w:hyperlink r:id="rId18" w:anchor="DLM7373844" w:history="1">
              <w:r w:rsidRPr="5A2EAD4E">
                <w:rPr>
                  <w:rStyle w:val="Hyperlink"/>
                </w:rPr>
                <w:t>69</w:t>
              </w:r>
            </w:hyperlink>
            <w:r w:rsidRPr="007C6082">
              <w:t xml:space="preserve"> Permitted activity conditions: slash and debris management</w:t>
            </w:r>
            <w:r w:rsidR="00D35FF0" w:rsidRPr="007C6082">
              <w:t xml:space="preserve"> </w:t>
            </w:r>
          </w:p>
        </w:tc>
        <w:tc>
          <w:tcPr>
            <w:tcW w:w="5387" w:type="dxa"/>
            <w:tcBorders>
              <w:bottom w:val="single" w:sz="4" w:space="0" w:color="2C9986" w:themeColor="accent4"/>
            </w:tcBorders>
            <w:shd w:val="clear" w:color="auto" w:fill="auto"/>
            <w:hideMark/>
          </w:tcPr>
          <w:p w14:paraId="0B5D2DD2" w14:textId="23B9D645" w:rsidR="00D04F15" w:rsidRPr="007C6082" w:rsidRDefault="00751CDE" w:rsidP="003911C7">
            <w:pPr>
              <w:pStyle w:val="TableText"/>
            </w:pPr>
            <w:r w:rsidRPr="007C6082">
              <w:t xml:space="preserve">Amend regulation 69 to include a new requirement for a </w:t>
            </w:r>
            <w:r w:rsidR="005C5EC4">
              <w:t>s</w:t>
            </w:r>
            <w:r w:rsidRPr="007C6082">
              <w:t xml:space="preserve">lash </w:t>
            </w:r>
            <w:r w:rsidR="005C5EC4">
              <w:t>m</w:t>
            </w:r>
            <w:r w:rsidRPr="007C6082">
              <w:t xml:space="preserve">obilisation </w:t>
            </w:r>
            <w:r w:rsidR="005C5EC4">
              <w:t>r</w:t>
            </w:r>
            <w:r w:rsidRPr="007C6082">
              <w:t xml:space="preserve">isk </w:t>
            </w:r>
            <w:r w:rsidR="005C5EC4">
              <w:t>a</w:t>
            </w:r>
            <w:r w:rsidRPr="007C6082">
              <w:t xml:space="preserve">ssessment for all forest harvest as part of the existing harvest management plan, carried out in accordance with requirements set out in a </w:t>
            </w:r>
            <w:r w:rsidR="00021905">
              <w:t>s</w:t>
            </w:r>
            <w:r w:rsidRPr="007C6082">
              <w:t xml:space="preserve">lash </w:t>
            </w:r>
            <w:r w:rsidR="00021905">
              <w:t>m</w:t>
            </w:r>
            <w:r w:rsidRPr="007C6082">
              <w:t xml:space="preserve">obilisation </w:t>
            </w:r>
            <w:r w:rsidR="00021905">
              <w:t>r</w:t>
            </w:r>
            <w:r w:rsidRPr="007C6082">
              <w:t xml:space="preserve">isk </w:t>
            </w:r>
            <w:r w:rsidR="00021905">
              <w:t>a</w:t>
            </w:r>
            <w:r w:rsidRPr="007C6082">
              <w:t xml:space="preserve">ssessment template incorporated by reference as item 15 in Schedule 2. An alternative would be to include the </w:t>
            </w:r>
            <w:r w:rsidR="00FE45F3">
              <w:t>s</w:t>
            </w:r>
            <w:r w:rsidRPr="007C6082">
              <w:t xml:space="preserve">lash </w:t>
            </w:r>
            <w:r w:rsidR="00AE0D21">
              <w:t>m</w:t>
            </w:r>
            <w:r w:rsidRPr="007C6082">
              <w:t xml:space="preserve">obilisation </w:t>
            </w:r>
            <w:r w:rsidR="00AE0D21">
              <w:t>r</w:t>
            </w:r>
            <w:r w:rsidRPr="007C6082">
              <w:t xml:space="preserve">isk </w:t>
            </w:r>
            <w:r w:rsidR="00AE0D21">
              <w:t>a</w:t>
            </w:r>
            <w:r w:rsidRPr="007C6082">
              <w:t xml:space="preserve">ssessment template in the NES itself, possibly as item 15 in Schedule 2. </w:t>
            </w:r>
          </w:p>
          <w:p w14:paraId="07072B2D" w14:textId="59657FBC" w:rsidR="00751CDE" w:rsidRPr="007C6082" w:rsidRDefault="00751CDE" w:rsidP="003911C7">
            <w:pPr>
              <w:pStyle w:val="TableText"/>
            </w:pPr>
            <w:r w:rsidRPr="007C6082">
              <w:t>Amend existing requirements for removal of slash on the forest cutover (regulation 69(5</w:t>
            </w:r>
            <w:r w:rsidR="00AE0D21">
              <w:t>)</w:t>
            </w:r>
            <w:proofErr w:type="gramStart"/>
            <w:r w:rsidR="00462EA3">
              <w:t>–</w:t>
            </w:r>
            <w:r w:rsidR="00AE0D21">
              <w:t>(</w:t>
            </w:r>
            <w:proofErr w:type="gramEnd"/>
            <w:r w:rsidRPr="007C6082">
              <w:t xml:space="preserve">7)) to apply only to those who have </w:t>
            </w:r>
            <w:r w:rsidRPr="007C6082">
              <w:lastRenderedPageBreak/>
              <w:t xml:space="preserve">assessed mobilisation risk as ‘high’ </w:t>
            </w:r>
            <w:r w:rsidR="00AC0C71">
              <w:t>or</w:t>
            </w:r>
            <w:r w:rsidR="00AC0C71" w:rsidRPr="007C6082">
              <w:t xml:space="preserve"> </w:t>
            </w:r>
            <w:r w:rsidRPr="007C6082">
              <w:t>require those with risk assessed as ‘high’ to seek controlled resource consent. </w:t>
            </w:r>
          </w:p>
          <w:p w14:paraId="3910086F" w14:textId="77777777" w:rsidR="00751CDE" w:rsidRPr="007C6082" w:rsidRDefault="00751CDE" w:rsidP="003911C7">
            <w:pPr>
              <w:pStyle w:val="TableText"/>
            </w:pPr>
            <w:r w:rsidRPr="007C6082">
              <w:t>There may be consequential changes to terms, including ‘residual material’ and ‘sound wood’ but precise wording will depend on the eventual form and drafting of a new standard.</w:t>
            </w:r>
          </w:p>
          <w:p w14:paraId="37204ECF" w14:textId="74DF6673" w:rsidR="00751CDE" w:rsidRPr="007C6082" w:rsidRDefault="00751CDE" w:rsidP="00CD5521">
            <w:pPr>
              <w:pStyle w:val="TableText"/>
            </w:pPr>
            <w:r w:rsidRPr="007C6082">
              <w:t>Amend the title of regulation 69 to remove the words ‘and debris management’</w:t>
            </w:r>
            <w:r w:rsidR="00462EA3">
              <w:t>,</w:t>
            </w:r>
            <w:r w:rsidRPr="007C6082">
              <w:t xml:space="preserve"> in line with intent of removing ‘woody debris’ from </w:t>
            </w:r>
            <w:r w:rsidR="002C58ED">
              <w:t>s</w:t>
            </w:r>
            <w:r w:rsidRPr="007C6082">
              <w:t>chedules 3, 4, 5 and 6.</w:t>
            </w:r>
          </w:p>
        </w:tc>
        <w:tc>
          <w:tcPr>
            <w:tcW w:w="5726" w:type="dxa"/>
            <w:tcBorders>
              <w:bottom w:val="single" w:sz="4" w:space="0" w:color="2C9986" w:themeColor="accent4"/>
            </w:tcBorders>
            <w:shd w:val="clear" w:color="auto" w:fill="auto"/>
            <w:hideMark/>
          </w:tcPr>
          <w:p w14:paraId="6D7C35C9" w14:textId="77777777" w:rsidR="00751CDE" w:rsidRPr="007C6082" w:rsidRDefault="00751CDE" w:rsidP="003911C7">
            <w:pPr>
              <w:pStyle w:val="TableText"/>
            </w:pPr>
            <w:r w:rsidRPr="007C6082">
              <w:lastRenderedPageBreak/>
              <w:t xml:space="preserve">The intent is to triage the forest harvest site during harvest planning to determine areas where risk of mobilisation is low and exempt them from removing slash, while increasing identification of areas of high mobilisation risk that require a high standard of slash management or removal. </w:t>
            </w:r>
          </w:p>
          <w:p w14:paraId="51285103" w14:textId="77777777" w:rsidR="00751CDE" w:rsidRPr="007C6082" w:rsidRDefault="00751CDE" w:rsidP="003911C7">
            <w:pPr>
              <w:pStyle w:val="TableText"/>
            </w:pPr>
            <w:r w:rsidRPr="007C6082">
              <w:t>Options proposed through this consultation include setting a permitted activity standard for removal of material on high-risk cutover or requiring controlled resource consent where high mobilisation risk is identified. </w:t>
            </w:r>
          </w:p>
        </w:tc>
      </w:tr>
    </w:tbl>
    <w:p w14:paraId="0D824D69" w14:textId="77777777" w:rsidR="00416583" w:rsidRDefault="00416583" w:rsidP="00D04F15">
      <w:pPr>
        <w:spacing w:before="0" w:after="0"/>
      </w:pPr>
    </w:p>
    <w:tbl>
      <w:tblPr>
        <w:tblW w:w="14515" w:type="dxa"/>
        <w:tblBorders>
          <w:top w:val="single" w:sz="4" w:space="0" w:color="2C9986" w:themeColor="accent4"/>
          <w:bottom w:val="single" w:sz="4" w:space="0" w:color="2C9986" w:themeColor="accent4"/>
          <w:insideH w:val="single" w:sz="4" w:space="0" w:color="2C9986" w:themeColor="accent4"/>
          <w:insideV w:val="single" w:sz="4" w:space="0" w:color="2C9986" w:themeColor="accent4"/>
        </w:tblBorders>
        <w:tblCellMar>
          <w:left w:w="85" w:type="dxa"/>
          <w:right w:w="85" w:type="dxa"/>
        </w:tblCellMar>
        <w:tblLook w:val="04A0" w:firstRow="1" w:lastRow="0" w:firstColumn="1" w:lastColumn="0" w:noHBand="0" w:noVBand="1"/>
      </w:tblPr>
      <w:tblGrid>
        <w:gridCol w:w="3402"/>
        <w:gridCol w:w="5387"/>
        <w:gridCol w:w="5726"/>
      </w:tblGrid>
      <w:tr w:rsidR="00B049CE" w:rsidRPr="007C6082" w14:paraId="549B0B8D" w14:textId="77777777" w:rsidTr="003022BF">
        <w:tc>
          <w:tcPr>
            <w:tcW w:w="14515" w:type="dxa"/>
            <w:gridSpan w:val="3"/>
            <w:tcBorders>
              <w:bottom w:val="single" w:sz="4" w:space="0" w:color="2C9986" w:themeColor="accent4"/>
            </w:tcBorders>
            <w:shd w:val="clear" w:color="auto" w:fill="2C9986" w:themeFill="accent4"/>
            <w:hideMark/>
          </w:tcPr>
          <w:p w14:paraId="534336D2" w14:textId="77777777" w:rsidR="00751CDE" w:rsidRPr="007C6082" w:rsidRDefault="00751CDE" w:rsidP="00416583">
            <w:pPr>
              <w:pStyle w:val="TableTextbold"/>
              <w:spacing w:after="0"/>
              <w:rPr>
                <w:color w:val="FFFFFF" w:themeColor="background1"/>
              </w:rPr>
            </w:pPr>
            <w:r w:rsidRPr="007C6082">
              <w:rPr>
                <w:color w:val="FFFFFF" w:themeColor="background1"/>
              </w:rPr>
              <w:t>Exotic continuous-cover forests </w:t>
            </w:r>
          </w:p>
        </w:tc>
      </w:tr>
      <w:tr w:rsidR="00B049CE" w:rsidRPr="007C6082" w14:paraId="300389B1" w14:textId="77777777" w:rsidTr="00104CA2">
        <w:tc>
          <w:tcPr>
            <w:tcW w:w="3402" w:type="dxa"/>
            <w:shd w:val="clear" w:color="auto" w:fill="2C9986" w:themeFill="accent4"/>
            <w:hideMark/>
          </w:tcPr>
          <w:p w14:paraId="5B170453" w14:textId="77777777" w:rsidR="00751CDE" w:rsidRPr="007C6082" w:rsidRDefault="00751CDE" w:rsidP="00CD5521">
            <w:pPr>
              <w:pStyle w:val="TableTextbold"/>
              <w:rPr>
                <w:color w:val="FFFFFF" w:themeColor="background1"/>
              </w:rPr>
            </w:pPr>
            <w:r w:rsidRPr="007C6082">
              <w:rPr>
                <w:color w:val="FFFFFF" w:themeColor="background1"/>
              </w:rPr>
              <w:t>Permitted activities </w:t>
            </w:r>
          </w:p>
        </w:tc>
        <w:tc>
          <w:tcPr>
            <w:tcW w:w="5387" w:type="dxa"/>
            <w:shd w:val="clear" w:color="auto" w:fill="2C9986" w:themeFill="accent4"/>
            <w:hideMark/>
          </w:tcPr>
          <w:p w14:paraId="1D0DD7C5" w14:textId="77777777" w:rsidR="00751CDE" w:rsidRPr="007C6082" w:rsidRDefault="00751CDE" w:rsidP="00CD5521">
            <w:pPr>
              <w:pStyle w:val="TableTextbold"/>
              <w:rPr>
                <w:color w:val="FFFFFF" w:themeColor="background1"/>
              </w:rPr>
            </w:pPr>
            <w:r w:rsidRPr="007C6082">
              <w:rPr>
                <w:color w:val="FFFFFF" w:themeColor="background1"/>
              </w:rPr>
              <w:t>Proposed provisions </w:t>
            </w:r>
          </w:p>
        </w:tc>
        <w:tc>
          <w:tcPr>
            <w:tcW w:w="5726" w:type="dxa"/>
            <w:shd w:val="clear" w:color="auto" w:fill="2C9986" w:themeFill="accent4"/>
            <w:hideMark/>
          </w:tcPr>
          <w:p w14:paraId="371B5E75" w14:textId="77777777" w:rsidR="00751CDE" w:rsidRPr="007C6082" w:rsidRDefault="00751CDE" w:rsidP="00CD5521">
            <w:pPr>
              <w:pStyle w:val="TableTextbold"/>
              <w:rPr>
                <w:color w:val="FFFFFF" w:themeColor="background1"/>
              </w:rPr>
            </w:pPr>
            <w:r w:rsidRPr="007C6082">
              <w:rPr>
                <w:color w:val="FFFFFF" w:themeColor="background1"/>
              </w:rPr>
              <w:t>Reasons </w:t>
            </w:r>
          </w:p>
        </w:tc>
      </w:tr>
      <w:tr w:rsidR="00751CDE" w:rsidRPr="007C6082" w14:paraId="6C67AD3D" w14:textId="77777777" w:rsidTr="00104CA2">
        <w:tc>
          <w:tcPr>
            <w:tcW w:w="3402" w:type="dxa"/>
            <w:tcBorders>
              <w:bottom w:val="single" w:sz="4" w:space="0" w:color="2C9986" w:themeColor="accent4"/>
            </w:tcBorders>
            <w:shd w:val="clear" w:color="auto" w:fill="auto"/>
            <w:hideMark/>
          </w:tcPr>
          <w:p w14:paraId="12C62751" w14:textId="53610C82" w:rsidR="00751CDE" w:rsidRPr="007C6082" w:rsidRDefault="00751CDE" w:rsidP="00CD5521">
            <w:pPr>
              <w:pStyle w:val="TableTextbold"/>
            </w:pPr>
            <w:r>
              <w:t xml:space="preserve">Regulation </w:t>
            </w:r>
            <w:hyperlink r:id="rId19" w:anchor="LMS923105" w:history="1">
              <w:r w:rsidRPr="5A2EAD4E">
                <w:rPr>
                  <w:rStyle w:val="Hyperlink"/>
                </w:rPr>
                <w:t>71A(b)</w:t>
              </w:r>
            </w:hyperlink>
            <w:r>
              <w:t xml:space="preserve"> Permitted activity </w:t>
            </w:r>
            <w:r w:rsidR="34CB9A09">
              <w:t>e</w:t>
            </w:r>
            <w:r>
              <w:t>xotic continuous</w:t>
            </w:r>
            <w:r w:rsidR="302B5E4F">
              <w:t>-</w:t>
            </w:r>
            <w:r w:rsidRPr="007C6082">
              <w:t>cover forests </w:t>
            </w:r>
          </w:p>
        </w:tc>
        <w:tc>
          <w:tcPr>
            <w:tcW w:w="5387" w:type="dxa"/>
            <w:tcBorders>
              <w:bottom w:val="single" w:sz="4" w:space="0" w:color="2C9986" w:themeColor="accent4"/>
            </w:tcBorders>
            <w:shd w:val="clear" w:color="auto" w:fill="auto"/>
            <w:hideMark/>
          </w:tcPr>
          <w:p w14:paraId="56DF0400" w14:textId="7347DACE" w:rsidR="00751CDE" w:rsidRPr="007C6082" w:rsidRDefault="00751CDE" w:rsidP="003911C7">
            <w:pPr>
              <w:pStyle w:val="TableText"/>
            </w:pPr>
            <w:r w:rsidRPr="007C6082">
              <w:t xml:space="preserve">Amend </w:t>
            </w:r>
            <w:r w:rsidR="002C58ED">
              <w:t>r</w:t>
            </w:r>
            <w:r w:rsidRPr="007C6082">
              <w:t xml:space="preserve">egulation 71A(b) to remove the word </w:t>
            </w:r>
            <w:r w:rsidR="0024365C">
              <w:t>‘</w:t>
            </w:r>
            <w:r w:rsidRPr="007C6082">
              <w:t>not</w:t>
            </w:r>
            <w:r w:rsidR="0024365C">
              <w:t>’</w:t>
            </w:r>
            <w:r w:rsidRPr="007C6082">
              <w:t xml:space="preserve"> so that an activity is permitted if “any relevant forest planning requirement is complied with”.</w:t>
            </w:r>
          </w:p>
          <w:p w14:paraId="44A948F8" w14:textId="77777777" w:rsidR="00751CDE" w:rsidRPr="007C6082" w:rsidRDefault="00751CDE" w:rsidP="00CD5521">
            <w:pPr>
              <w:pStyle w:val="TableText"/>
            </w:pPr>
            <w:r w:rsidRPr="007C6082">
              <w:t>Currently, regulation 71A incorrectly states that: “Low-intensity harvesting is a permitted activity in all erosion susceptibility classification zones if— </w:t>
            </w:r>
          </w:p>
          <w:p w14:paraId="2D612B2F" w14:textId="5C93FABE" w:rsidR="00751CDE" w:rsidRPr="007C6082" w:rsidRDefault="00751CDE" w:rsidP="00CD5521">
            <w:pPr>
              <w:pStyle w:val="TableText"/>
              <w:spacing w:before="0"/>
              <w:ind w:left="397" w:hanging="397"/>
            </w:pPr>
            <w:r w:rsidRPr="007C6082">
              <w:rPr>
                <w:rFonts w:cs="Calibri"/>
              </w:rPr>
              <w:t xml:space="preserve">a) </w:t>
            </w:r>
            <w:r w:rsidR="00CD5521" w:rsidRPr="007C6082">
              <w:rPr>
                <w:rFonts w:cs="Calibri"/>
              </w:rPr>
              <w:tab/>
            </w:r>
            <w:hyperlink r:id="rId20" w:anchor="DLM7372108" w:tgtFrame="_blank" w:history="1">
              <w:r w:rsidRPr="007C6082">
                <w:rPr>
                  <w:rStyle w:val="Hyperlink"/>
                </w:rPr>
                <w:t>regulations 64 to 69</w:t>
              </w:r>
            </w:hyperlink>
            <w:r w:rsidRPr="007C6082">
              <w:rPr>
                <w:rFonts w:cs="Calibri"/>
              </w:rPr>
              <w:t xml:space="preserve"> are complied with; and </w:t>
            </w:r>
          </w:p>
          <w:p w14:paraId="03C282CB" w14:textId="355A3488" w:rsidR="00751CDE" w:rsidRPr="007C6082" w:rsidRDefault="00751CDE" w:rsidP="00CD5521">
            <w:pPr>
              <w:pStyle w:val="TableText"/>
              <w:spacing w:before="0"/>
              <w:ind w:left="397" w:hanging="397"/>
            </w:pPr>
            <w:r w:rsidRPr="007C6082">
              <w:t xml:space="preserve">b) </w:t>
            </w:r>
            <w:r w:rsidR="00CD5521" w:rsidRPr="007C6082">
              <w:tab/>
            </w:r>
            <w:r w:rsidRPr="007C6082">
              <w:t xml:space="preserve">any relevant forest planning requirement is </w:t>
            </w:r>
            <w:r w:rsidRPr="008B3B81">
              <w:rPr>
                <w:u w:val="single"/>
              </w:rPr>
              <w:t>not</w:t>
            </w:r>
            <w:r w:rsidRPr="007C6082">
              <w:rPr>
                <w:b/>
                <w:bCs/>
              </w:rPr>
              <w:t xml:space="preserve"> </w:t>
            </w:r>
            <w:r w:rsidRPr="007C6082">
              <w:t>complied with.</w:t>
            </w:r>
          </w:p>
        </w:tc>
        <w:tc>
          <w:tcPr>
            <w:tcW w:w="5726" w:type="dxa"/>
            <w:tcBorders>
              <w:bottom w:val="single" w:sz="4" w:space="0" w:color="2C9986" w:themeColor="accent4"/>
            </w:tcBorders>
            <w:shd w:val="clear" w:color="auto" w:fill="auto"/>
            <w:hideMark/>
          </w:tcPr>
          <w:p w14:paraId="58205B9E" w14:textId="77777777" w:rsidR="00751CDE" w:rsidRPr="007C6082" w:rsidRDefault="00751CDE" w:rsidP="003911C7">
            <w:pPr>
              <w:pStyle w:val="TableText"/>
            </w:pPr>
            <w:r w:rsidRPr="007C6082">
              <w:t>Fixing this error will make the regulation clearer to interpret and enforce. </w:t>
            </w:r>
          </w:p>
        </w:tc>
      </w:tr>
    </w:tbl>
    <w:p w14:paraId="7030D12E" w14:textId="77777777" w:rsidR="00416583" w:rsidRDefault="00416583" w:rsidP="00D04F15">
      <w:pPr>
        <w:spacing w:before="0" w:after="0"/>
      </w:pPr>
    </w:p>
    <w:tbl>
      <w:tblPr>
        <w:tblW w:w="14515" w:type="dxa"/>
        <w:tblBorders>
          <w:top w:val="single" w:sz="4" w:space="0" w:color="2C9986" w:themeColor="accent4"/>
          <w:bottom w:val="single" w:sz="4" w:space="0" w:color="2C9986" w:themeColor="accent4"/>
          <w:insideH w:val="single" w:sz="4" w:space="0" w:color="2C9986" w:themeColor="accent4"/>
          <w:insideV w:val="single" w:sz="4" w:space="0" w:color="2C9986" w:themeColor="accent4"/>
        </w:tblBorders>
        <w:tblCellMar>
          <w:left w:w="85" w:type="dxa"/>
          <w:right w:w="85" w:type="dxa"/>
        </w:tblCellMar>
        <w:tblLook w:val="04A0" w:firstRow="1" w:lastRow="0" w:firstColumn="1" w:lastColumn="0" w:noHBand="0" w:noVBand="1"/>
      </w:tblPr>
      <w:tblGrid>
        <w:gridCol w:w="3402"/>
        <w:gridCol w:w="5387"/>
        <w:gridCol w:w="5726"/>
      </w:tblGrid>
      <w:tr w:rsidR="00B049CE" w:rsidRPr="007C6082" w14:paraId="74088846" w14:textId="77777777" w:rsidTr="00416583">
        <w:trPr>
          <w:tblHeader/>
        </w:trPr>
        <w:tc>
          <w:tcPr>
            <w:tcW w:w="14515" w:type="dxa"/>
            <w:gridSpan w:val="3"/>
            <w:tcBorders>
              <w:bottom w:val="single" w:sz="4" w:space="0" w:color="2C9986" w:themeColor="accent4"/>
            </w:tcBorders>
            <w:shd w:val="clear" w:color="auto" w:fill="2C9986" w:themeFill="accent4"/>
            <w:hideMark/>
          </w:tcPr>
          <w:p w14:paraId="606DEC21" w14:textId="4C7074C9" w:rsidR="00751CDE" w:rsidRPr="007C6082" w:rsidRDefault="00751CDE" w:rsidP="00416583">
            <w:pPr>
              <w:pStyle w:val="TableTextbold"/>
              <w:spacing w:after="0"/>
              <w:rPr>
                <w:color w:val="FFFFFF" w:themeColor="background1"/>
              </w:rPr>
            </w:pPr>
            <w:r w:rsidRPr="007C6082">
              <w:rPr>
                <w:color w:val="FFFFFF" w:themeColor="background1"/>
              </w:rPr>
              <w:t xml:space="preserve">Subpart 8 </w:t>
            </w:r>
            <w:r w:rsidR="00276DE6">
              <w:rPr>
                <w:color w:val="FFFFFF" w:themeColor="background1"/>
              </w:rPr>
              <w:t>–</w:t>
            </w:r>
            <w:r w:rsidRPr="007C6082">
              <w:rPr>
                <w:color w:val="FFFFFF" w:themeColor="background1"/>
              </w:rPr>
              <w:t xml:space="preserve"> Replanting </w:t>
            </w:r>
          </w:p>
        </w:tc>
      </w:tr>
      <w:tr w:rsidR="00B049CE" w:rsidRPr="007C6082" w14:paraId="36368AFE" w14:textId="77777777" w:rsidTr="00104CA2">
        <w:trPr>
          <w:tblHeader/>
        </w:trPr>
        <w:tc>
          <w:tcPr>
            <w:tcW w:w="3402" w:type="dxa"/>
            <w:shd w:val="clear" w:color="auto" w:fill="2C9986" w:themeFill="accent4"/>
            <w:hideMark/>
          </w:tcPr>
          <w:p w14:paraId="0660E0EA" w14:textId="77777777" w:rsidR="00751CDE" w:rsidRPr="007C6082" w:rsidRDefault="00751CDE" w:rsidP="00CD5521">
            <w:pPr>
              <w:pStyle w:val="TableTextbold"/>
              <w:rPr>
                <w:color w:val="FFFFFF" w:themeColor="background1"/>
              </w:rPr>
            </w:pPr>
            <w:r w:rsidRPr="007C6082">
              <w:rPr>
                <w:color w:val="FFFFFF" w:themeColor="background1"/>
              </w:rPr>
              <w:t>Permitted activities </w:t>
            </w:r>
          </w:p>
        </w:tc>
        <w:tc>
          <w:tcPr>
            <w:tcW w:w="5387" w:type="dxa"/>
            <w:shd w:val="clear" w:color="auto" w:fill="2C9986" w:themeFill="accent4"/>
            <w:hideMark/>
          </w:tcPr>
          <w:p w14:paraId="4DA131AC" w14:textId="77777777" w:rsidR="00751CDE" w:rsidRPr="007C6082" w:rsidRDefault="00751CDE" w:rsidP="00CD5521">
            <w:pPr>
              <w:pStyle w:val="TableTextbold"/>
              <w:rPr>
                <w:color w:val="FFFFFF" w:themeColor="background1"/>
              </w:rPr>
            </w:pPr>
            <w:r w:rsidRPr="007C6082">
              <w:rPr>
                <w:color w:val="FFFFFF" w:themeColor="background1"/>
              </w:rPr>
              <w:t>Proposed provisions </w:t>
            </w:r>
          </w:p>
        </w:tc>
        <w:tc>
          <w:tcPr>
            <w:tcW w:w="5726" w:type="dxa"/>
            <w:shd w:val="clear" w:color="auto" w:fill="2C9986" w:themeFill="accent4"/>
            <w:hideMark/>
          </w:tcPr>
          <w:p w14:paraId="3BFB63F5" w14:textId="77777777" w:rsidR="00751CDE" w:rsidRPr="007C6082" w:rsidRDefault="00751CDE" w:rsidP="00CD5521">
            <w:pPr>
              <w:pStyle w:val="TableTextbold"/>
              <w:rPr>
                <w:color w:val="FFFFFF" w:themeColor="background1"/>
              </w:rPr>
            </w:pPr>
            <w:r w:rsidRPr="007C6082">
              <w:rPr>
                <w:color w:val="FFFFFF" w:themeColor="background1"/>
              </w:rPr>
              <w:t>Reasons </w:t>
            </w:r>
          </w:p>
        </w:tc>
      </w:tr>
      <w:tr w:rsidR="00751CDE" w:rsidRPr="007C6082" w14:paraId="10E4738B" w14:textId="77777777" w:rsidTr="00104CA2">
        <w:tc>
          <w:tcPr>
            <w:tcW w:w="3402" w:type="dxa"/>
            <w:shd w:val="clear" w:color="auto" w:fill="auto"/>
            <w:hideMark/>
          </w:tcPr>
          <w:p w14:paraId="657EF5B5" w14:textId="0E9D7E4F" w:rsidR="00751CDE" w:rsidRPr="007C6082" w:rsidRDefault="00751CDE" w:rsidP="00CD5521">
            <w:pPr>
              <w:pStyle w:val="TableTextbold"/>
            </w:pPr>
            <w:r w:rsidRPr="007C6082">
              <w:t xml:space="preserve">Regulation </w:t>
            </w:r>
            <w:hyperlink r:id="rId21" w:anchor="LMS923114" w:history="1">
              <w:r w:rsidR="00BA7CFC" w:rsidRPr="00BA7CFC">
                <w:rPr>
                  <w:rStyle w:val="Hyperlink"/>
                </w:rPr>
                <w:t>77A</w:t>
              </w:r>
            </w:hyperlink>
            <w:r w:rsidRPr="007C6082">
              <w:t xml:space="preserve"> Permitted activity conditions: replanting management plan </w:t>
            </w:r>
          </w:p>
        </w:tc>
        <w:tc>
          <w:tcPr>
            <w:tcW w:w="5387" w:type="dxa"/>
            <w:shd w:val="clear" w:color="auto" w:fill="auto"/>
            <w:hideMark/>
          </w:tcPr>
          <w:p w14:paraId="52A50CE0" w14:textId="76EC1452" w:rsidR="00751CDE" w:rsidRPr="007C6082" w:rsidRDefault="00751CDE" w:rsidP="00CD5521">
            <w:pPr>
              <w:pStyle w:val="TableText"/>
            </w:pPr>
            <w:r w:rsidRPr="007C6082">
              <w:t xml:space="preserve">Remove regulation 77A </w:t>
            </w:r>
            <w:r w:rsidR="00BB5EEF">
              <w:t>that</w:t>
            </w:r>
            <w:r w:rsidR="00BB5EEF" w:rsidRPr="007C6082">
              <w:t xml:space="preserve"> </w:t>
            </w:r>
            <w:r w:rsidRPr="007C6082">
              <w:t>requires replanting plans. </w:t>
            </w:r>
          </w:p>
        </w:tc>
        <w:tc>
          <w:tcPr>
            <w:tcW w:w="5726" w:type="dxa"/>
            <w:shd w:val="clear" w:color="auto" w:fill="auto"/>
            <w:hideMark/>
          </w:tcPr>
          <w:p w14:paraId="20EBCB56" w14:textId="2CBE1FD3" w:rsidR="00751CDE" w:rsidRPr="007C6082" w:rsidRDefault="00751CDE" w:rsidP="003911C7">
            <w:pPr>
              <w:pStyle w:val="TableText"/>
            </w:pPr>
            <w:r w:rsidRPr="007C6082">
              <w:t xml:space="preserve">Replanting management plans set a redundant regulatory requirement for those planting or replanting a commercial forest </w:t>
            </w:r>
            <w:r w:rsidR="00BB5EEF">
              <w:t>because</w:t>
            </w:r>
            <w:r w:rsidRPr="007C6082">
              <w:t xml:space="preserve"> issues relating to the environmental impacts of afforestation and replanting are managed through existing standards. Furthermore, the provisions require documentation of future forest effects </w:t>
            </w:r>
            <w:r w:rsidR="00BB5EEF">
              <w:t>that</w:t>
            </w:r>
            <w:r w:rsidR="00BB5EEF" w:rsidRPr="007C6082">
              <w:t xml:space="preserve"> </w:t>
            </w:r>
            <w:r w:rsidRPr="007C6082">
              <w:t>may not be reasonably known and impose costs on foresters that are not clearly justified. </w:t>
            </w:r>
          </w:p>
        </w:tc>
      </w:tr>
      <w:tr w:rsidR="00751CDE" w:rsidRPr="007C6082" w14:paraId="2EA980E2" w14:textId="77777777" w:rsidTr="00104CA2">
        <w:tc>
          <w:tcPr>
            <w:tcW w:w="3402" w:type="dxa"/>
            <w:tcBorders>
              <w:bottom w:val="single" w:sz="4" w:space="0" w:color="2C9986" w:themeColor="accent4"/>
            </w:tcBorders>
            <w:shd w:val="clear" w:color="auto" w:fill="auto"/>
            <w:hideMark/>
          </w:tcPr>
          <w:p w14:paraId="2731520C" w14:textId="02C4E19C" w:rsidR="00751CDE" w:rsidRPr="007C6082" w:rsidRDefault="00751CDE" w:rsidP="00CD5521">
            <w:pPr>
              <w:pStyle w:val="TableTextbold"/>
            </w:pPr>
            <w:r w:rsidRPr="007C6082">
              <w:lastRenderedPageBreak/>
              <w:t xml:space="preserve">Regulation </w:t>
            </w:r>
            <w:hyperlink r:id="rId22" w:anchor="DLM7372150" w:history="1">
              <w:r w:rsidRPr="5A2EAD4E">
                <w:rPr>
                  <w:rStyle w:val="Hyperlink"/>
                </w:rPr>
                <w:t>79</w:t>
              </w:r>
            </w:hyperlink>
            <w:r w:rsidRPr="007C6082">
              <w:t xml:space="preserve"> Permitted activity conditions: wilding tree risk and control </w:t>
            </w:r>
          </w:p>
        </w:tc>
        <w:tc>
          <w:tcPr>
            <w:tcW w:w="5387" w:type="dxa"/>
            <w:tcBorders>
              <w:bottom w:val="single" w:sz="4" w:space="0" w:color="2C9986" w:themeColor="accent4"/>
            </w:tcBorders>
            <w:shd w:val="clear" w:color="auto" w:fill="auto"/>
            <w:hideMark/>
          </w:tcPr>
          <w:p w14:paraId="2A2552D4" w14:textId="77777777" w:rsidR="00751CDE" w:rsidRPr="007C6082" w:rsidRDefault="00751CDE" w:rsidP="00E06B00">
            <w:pPr>
              <w:pStyle w:val="TableText"/>
            </w:pPr>
            <w:r w:rsidRPr="007C6082">
              <w:t>Amend regulation 79(5) to reduce extraneous wording in 79(5)(b) and link the required activity to the notice requirement: </w:t>
            </w:r>
          </w:p>
          <w:p w14:paraId="74E758E4" w14:textId="2FBFA706" w:rsidR="00751CDE" w:rsidRPr="007C6082" w:rsidRDefault="00751CDE" w:rsidP="003911C7">
            <w:pPr>
              <w:pStyle w:val="TableBullet"/>
            </w:pPr>
            <w:r w:rsidRPr="007C6082">
              <w:t>Reg</w:t>
            </w:r>
            <w:r w:rsidR="00BD2FBD">
              <w:t>ulation</w:t>
            </w:r>
            <w:r w:rsidRPr="007C6082">
              <w:t xml:space="preserve"> 79(5) The relevant regional council and territorial authority must be given the following </w:t>
            </w:r>
            <w:r w:rsidR="006A5337">
              <w:rPr>
                <w:strike/>
              </w:rPr>
              <w:t xml:space="preserve">no more than 8 months before replanting </w:t>
            </w:r>
            <w:r w:rsidR="00460C1F">
              <w:rPr>
                <w:strike/>
              </w:rPr>
              <w:t xml:space="preserve">is carried out </w:t>
            </w:r>
            <w:r w:rsidRPr="007C6082">
              <w:rPr>
                <w:u w:val="single"/>
              </w:rPr>
              <w:t>at the same time as notice is given under regulation 78A</w:t>
            </w:r>
            <w:r w:rsidRPr="007C6082">
              <w:t>: </w:t>
            </w:r>
          </w:p>
          <w:p w14:paraId="6A4A26C6" w14:textId="05859600" w:rsidR="00751CDE" w:rsidRPr="007C6082" w:rsidRDefault="00751CDE" w:rsidP="00051FDA">
            <w:pPr>
              <w:pStyle w:val="TableText"/>
              <w:ind w:left="568" w:hanging="284"/>
            </w:pPr>
            <w:r w:rsidRPr="007C6082">
              <w:t xml:space="preserve">a) </w:t>
            </w:r>
            <w:r w:rsidR="0064370D" w:rsidRPr="007C6082">
              <w:tab/>
            </w:r>
            <w:r w:rsidRPr="007C6082">
              <w:t xml:space="preserve">the score required under subclause (1) and the </w:t>
            </w:r>
            <w:r w:rsidR="002440CF" w:rsidRPr="00460C1F">
              <w:rPr>
                <w:strike/>
              </w:rPr>
              <w:t xml:space="preserve">calculation sheet used to provide that score </w:t>
            </w:r>
            <w:r w:rsidRPr="007C6082">
              <w:rPr>
                <w:u w:val="single"/>
              </w:rPr>
              <w:t>calculations used for the final wilding tree risk calculator score and supporting evidence for each calculation</w:t>
            </w:r>
            <w:r w:rsidRPr="007C6082">
              <w:t>.</w:t>
            </w:r>
          </w:p>
        </w:tc>
        <w:tc>
          <w:tcPr>
            <w:tcW w:w="5726" w:type="dxa"/>
            <w:tcBorders>
              <w:bottom w:val="single" w:sz="4" w:space="0" w:color="2C9986" w:themeColor="accent4"/>
            </w:tcBorders>
            <w:shd w:val="clear" w:color="auto" w:fill="auto"/>
            <w:hideMark/>
          </w:tcPr>
          <w:p w14:paraId="39BE7530" w14:textId="380048E1" w:rsidR="00751CDE" w:rsidRPr="007C6082" w:rsidRDefault="00751CDE" w:rsidP="003911C7">
            <w:pPr>
              <w:pStyle w:val="TableText"/>
            </w:pPr>
            <w:r w:rsidRPr="007C6082">
              <w:t xml:space="preserve">The existing drafting decouples the calculation sheet from </w:t>
            </w:r>
            <w:r w:rsidR="003C1FA3">
              <w:t xml:space="preserve">submission of </w:t>
            </w:r>
            <w:r w:rsidRPr="007C6082">
              <w:t>the assessment sheet (ie, it does not introduce the new requirement sought to provide both the assessment and the calculations underpinning it).</w:t>
            </w:r>
            <w:r w:rsidR="00D35FF0" w:rsidRPr="007C6082">
              <w:t xml:space="preserve"> </w:t>
            </w:r>
          </w:p>
          <w:p w14:paraId="27C43ECA" w14:textId="77777777" w:rsidR="00751CDE" w:rsidRPr="007C6082" w:rsidRDefault="00751CDE" w:rsidP="00E06B00">
            <w:pPr>
              <w:pStyle w:val="TableText"/>
            </w:pPr>
            <w:r w:rsidRPr="007C6082">
              <w:t>Clarifying the wilding conifer regulations 11(4)(b) and 79(5)(b) will make the intent clear and implementation easier for both foresters and councils.</w:t>
            </w:r>
          </w:p>
        </w:tc>
      </w:tr>
    </w:tbl>
    <w:p w14:paraId="1BD5B66B" w14:textId="77777777" w:rsidR="00416583" w:rsidRDefault="00416583" w:rsidP="00D04F15">
      <w:pPr>
        <w:spacing w:before="0" w:after="0"/>
      </w:pPr>
    </w:p>
    <w:tbl>
      <w:tblPr>
        <w:tblW w:w="14515" w:type="dxa"/>
        <w:tblBorders>
          <w:top w:val="single" w:sz="4" w:space="0" w:color="2C9986" w:themeColor="accent4"/>
          <w:bottom w:val="single" w:sz="4" w:space="0" w:color="2C9986" w:themeColor="accent4"/>
          <w:insideH w:val="single" w:sz="4" w:space="0" w:color="2C9986" w:themeColor="accent4"/>
          <w:insideV w:val="single" w:sz="4" w:space="0" w:color="2C9986" w:themeColor="accent4"/>
        </w:tblBorders>
        <w:tblCellMar>
          <w:left w:w="85" w:type="dxa"/>
          <w:right w:w="85" w:type="dxa"/>
        </w:tblCellMar>
        <w:tblLook w:val="04A0" w:firstRow="1" w:lastRow="0" w:firstColumn="1" w:lastColumn="0" w:noHBand="0" w:noVBand="1"/>
      </w:tblPr>
      <w:tblGrid>
        <w:gridCol w:w="3402"/>
        <w:gridCol w:w="5387"/>
        <w:gridCol w:w="5726"/>
      </w:tblGrid>
      <w:tr w:rsidR="00B049CE" w:rsidRPr="007C6082" w14:paraId="07361B46" w14:textId="77777777" w:rsidTr="00104CA2">
        <w:trPr>
          <w:tblHeader/>
        </w:trPr>
        <w:tc>
          <w:tcPr>
            <w:tcW w:w="3402" w:type="dxa"/>
            <w:shd w:val="clear" w:color="auto" w:fill="2C9986" w:themeFill="accent4"/>
            <w:hideMark/>
          </w:tcPr>
          <w:p w14:paraId="37C22C1A" w14:textId="77777777" w:rsidR="00751CDE" w:rsidRPr="007C6082" w:rsidRDefault="00751CDE" w:rsidP="00CD5521">
            <w:pPr>
              <w:pStyle w:val="TableTextbold"/>
              <w:rPr>
                <w:color w:val="FFFFFF" w:themeColor="background1"/>
              </w:rPr>
            </w:pPr>
            <w:r w:rsidRPr="007C6082">
              <w:rPr>
                <w:color w:val="FFFFFF" w:themeColor="background1"/>
              </w:rPr>
              <w:t>Schedules </w:t>
            </w:r>
          </w:p>
        </w:tc>
        <w:tc>
          <w:tcPr>
            <w:tcW w:w="5387" w:type="dxa"/>
            <w:shd w:val="clear" w:color="auto" w:fill="2C9986" w:themeFill="accent4"/>
            <w:hideMark/>
          </w:tcPr>
          <w:p w14:paraId="2F22BEA8" w14:textId="77777777" w:rsidR="00751CDE" w:rsidRPr="007C6082" w:rsidRDefault="00751CDE" w:rsidP="00CD5521">
            <w:pPr>
              <w:pStyle w:val="TableTextbold"/>
              <w:rPr>
                <w:color w:val="FFFFFF" w:themeColor="background1"/>
              </w:rPr>
            </w:pPr>
            <w:r w:rsidRPr="007C6082">
              <w:rPr>
                <w:color w:val="FFFFFF" w:themeColor="background1"/>
              </w:rPr>
              <w:t>Proposed provisions </w:t>
            </w:r>
          </w:p>
        </w:tc>
        <w:tc>
          <w:tcPr>
            <w:tcW w:w="5726" w:type="dxa"/>
            <w:shd w:val="clear" w:color="auto" w:fill="2C9986" w:themeFill="accent4"/>
            <w:hideMark/>
          </w:tcPr>
          <w:p w14:paraId="62F90B5F" w14:textId="77777777" w:rsidR="00751CDE" w:rsidRPr="007C6082" w:rsidRDefault="00751CDE" w:rsidP="00CD5521">
            <w:pPr>
              <w:pStyle w:val="TableTextbold"/>
              <w:rPr>
                <w:color w:val="FFFFFF" w:themeColor="background1"/>
              </w:rPr>
            </w:pPr>
            <w:r w:rsidRPr="007C6082">
              <w:rPr>
                <w:color w:val="FFFFFF" w:themeColor="background1"/>
              </w:rPr>
              <w:t xml:space="preserve">Reasons </w:t>
            </w:r>
          </w:p>
        </w:tc>
      </w:tr>
      <w:tr w:rsidR="00751CDE" w:rsidRPr="007C6082" w14:paraId="19F56954" w14:textId="77777777" w:rsidTr="00104CA2">
        <w:tc>
          <w:tcPr>
            <w:tcW w:w="3402" w:type="dxa"/>
            <w:shd w:val="clear" w:color="auto" w:fill="auto"/>
          </w:tcPr>
          <w:p w14:paraId="41C10527" w14:textId="77777777" w:rsidR="00751CDE" w:rsidRPr="007C6082" w:rsidRDefault="00751CDE" w:rsidP="00CD5521">
            <w:pPr>
              <w:pStyle w:val="TableTextbold"/>
            </w:pPr>
            <w:r>
              <w:t xml:space="preserve">Schedule </w:t>
            </w:r>
            <w:hyperlink r:id="rId23" w:anchor="DLM7371007" w:history="1">
              <w:r w:rsidRPr="5A2EAD4E">
                <w:rPr>
                  <w:rStyle w:val="Hyperlink"/>
                </w:rPr>
                <w:t>2</w:t>
              </w:r>
            </w:hyperlink>
            <w:r>
              <w:t xml:space="preserve"> References for material incorporated by reference </w:t>
            </w:r>
          </w:p>
        </w:tc>
        <w:tc>
          <w:tcPr>
            <w:tcW w:w="5387" w:type="dxa"/>
            <w:shd w:val="clear" w:color="auto" w:fill="auto"/>
          </w:tcPr>
          <w:p w14:paraId="24EF6FE7" w14:textId="4FDD9FAE" w:rsidR="00751CDE" w:rsidRPr="007C6082" w:rsidRDefault="00751CDE" w:rsidP="00E06B00">
            <w:pPr>
              <w:pStyle w:val="TableText"/>
            </w:pPr>
            <w:r w:rsidRPr="007C6082">
              <w:t xml:space="preserve">Amend Schedule 2 to add a new item (a </w:t>
            </w:r>
            <w:r w:rsidR="00206E00">
              <w:t>s</w:t>
            </w:r>
            <w:r w:rsidRPr="007C6082">
              <w:t xml:space="preserve">lash </w:t>
            </w:r>
            <w:r w:rsidR="00206E00">
              <w:t>m</w:t>
            </w:r>
            <w:r w:rsidRPr="007C6082">
              <w:t xml:space="preserve">obilisation </w:t>
            </w:r>
            <w:r w:rsidR="00206E00">
              <w:t>r</w:t>
            </w:r>
            <w:r w:rsidRPr="007C6082">
              <w:t xml:space="preserve">isk </w:t>
            </w:r>
            <w:r w:rsidR="00206E00">
              <w:t>a</w:t>
            </w:r>
            <w:r w:rsidRPr="007C6082">
              <w:t xml:space="preserve">ssessment template) incorporated by reference. </w:t>
            </w:r>
          </w:p>
        </w:tc>
        <w:tc>
          <w:tcPr>
            <w:tcW w:w="5726" w:type="dxa"/>
            <w:shd w:val="clear" w:color="auto" w:fill="auto"/>
          </w:tcPr>
          <w:p w14:paraId="10A4B661" w14:textId="32668F3D" w:rsidR="00751CDE" w:rsidRPr="007C6082" w:rsidRDefault="00751CDE" w:rsidP="00E06B00">
            <w:pPr>
              <w:pStyle w:val="TableText"/>
            </w:pPr>
            <w:r w:rsidRPr="007C6082">
              <w:t xml:space="preserve">To provide a process that must be followed for assessing slash mobilisation risk (per changes to clause 66 and </w:t>
            </w:r>
            <w:r w:rsidR="00CE73AC">
              <w:t xml:space="preserve">clause </w:t>
            </w:r>
            <w:r w:rsidRPr="007C6082">
              <w:t>69, and Schedule 6) and enable changes over time as research and risk settings improve without having to change the regulations.</w:t>
            </w:r>
            <w:r w:rsidR="00D35FF0" w:rsidRPr="007C6082">
              <w:t xml:space="preserve"> </w:t>
            </w:r>
          </w:p>
        </w:tc>
      </w:tr>
      <w:tr w:rsidR="00751CDE" w:rsidRPr="007C6082" w14:paraId="70070C0D" w14:textId="77777777" w:rsidTr="00104CA2">
        <w:tc>
          <w:tcPr>
            <w:tcW w:w="3402" w:type="dxa"/>
            <w:shd w:val="clear" w:color="auto" w:fill="auto"/>
            <w:hideMark/>
          </w:tcPr>
          <w:p w14:paraId="76D676EE" w14:textId="77777777" w:rsidR="00751CDE" w:rsidRPr="007C6082" w:rsidRDefault="00751CDE" w:rsidP="00CD5521">
            <w:pPr>
              <w:pStyle w:val="TableTextbold"/>
            </w:pPr>
            <w:r>
              <w:t xml:space="preserve">Schedule </w:t>
            </w:r>
            <w:hyperlink r:id="rId24" w:anchor="DLM7372012" w:history="1">
              <w:r w:rsidRPr="5A2EAD4E">
                <w:rPr>
                  <w:rStyle w:val="Hyperlink"/>
                </w:rPr>
                <w:t>3</w:t>
              </w:r>
            </w:hyperlink>
            <w:r>
              <w:t xml:space="preserve"> Afforestation and replanting plan specifications </w:t>
            </w:r>
          </w:p>
        </w:tc>
        <w:tc>
          <w:tcPr>
            <w:tcW w:w="5387" w:type="dxa"/>
            <w:shd w:val="clear" w:color="auto" w:fill="auto"/>
            <w:hideMark/>
          </w:tcPr>
          <w:p w14:paraId="1C9D8A3D" w14:textId="25A3269F" w:rsidR="00751CDE" w:rsidRPr="007C6082" w:rsidRDefault="00751CDE" w:rsidP="00E06B00">
            <w:pPr>
              <w:pStyle w:val="TableText"/>
            </w:pPr>
            <w:r w:rsidRPr="007C6082">
              <w:t>Remove Schedule 3</w:t>
            </w:r>
            <w:r w:rsidR="00320C1D">
              <w:t>,</w:t>
            </w:r>
            <w:r w:rsidRPr="007C6082">
              <w:t xml:space="preserve"> which sets out the requirements for afforestation and </w:t>
            </w:r>
            <w:r w:rsidRPr="00D81437">
              <w:t>replanting</w:t>
            </w:r>
            <w:r w:rsidRPr="007C6082">
              <w:t xml:space="preserve"> plans required in regulations 10A and 77A respectively. </w:t>
            </w:r>
          </w:p>
        </w:tc>
        <w:tc>
          <w:tcPr>
            <w:tcW w:w="5726" w:type="dxa"/>
            <w:shd w:val="clear" w:color="auto" w:fill="auto"/>
            <w:hideMark/>
          </w:tcPr>
          <w:p w14:paraId="62CD10B6" w14:textId="43E707CB" w:rsidR="00751CDE" w:rsidRPr="007C6082" w:rsidRDefault="00751CDE" w:rsidP="00E06B00">
            <w:pPr>
              <w:pStyle w:val="TableText"/>
            </w:pPr>
            <w:r w:rsidRPr="007C6082">
              <w:t xml:space="preserve">The plans set a significant requirement for paperwork when planting or replanting a commercial forest but do not add an additional regulatory purpose or enforcement powers for councils. They require documentation of future forest effects </w:t>
            </w:r>
            <w:r w:rsidR="00B92D7B">
              <w:t>that</w:t>
            </w:r>
            <w:r w:rsidR="00B92D7B" w:rsidRPr="007C6082">
              <w:t xml:space="preserve"> </w:t>
            </w:r>
            <w:r w:rsidRPr="007C6082">
              <w:t xml:space="preserve">may not </w:t>
            </w:r>
            <w:r w:rsidR="008E4565">
              <w:t xml:space="preserve">be </w:t>
            </w:r>
            <w:r w:rsidRPr="007C6082">
              <w:t>reasonably known and impose costs on foresters that are not clearly justified. </w:t>
            </w:r>
          </w:p>
        </w:tc>
      </w:tr>
      <w:tr w:rsidR="00751CDE" w:rsidRPr="007C6082" w14:paraId="0A9E58F1" w14:textId="77777777" w:rsidTr="00104CA2">
        <w:tc>
          <w:tcPr>
            <w:tcW w:w="3402" w:type="dxa"/>
            <w:shd w:val="clear" w:color="auto" w:fill="auto"/>
            <w:hideMark/>
          </w:tcPr>
          <w:p w14:paraId="59664B2D" w14:textId="77777777" w:rsidR="00751CDE" w:rsidRPr="007C6082" w:rsidRDefault="00751CDE" w:rsidP="00CD5521">
            <w:pPr>
              <w:pStyle w:val="TableTextbold"/>
            </w:pPr>
            <w:r>
              <w:t xml:space="preserve">Schedules </w:t>
            </w:r>
            <w:hyperlink r:id="rId25" w:anchor="DLM7372092" w:history="1">
              <w:r w:rsidRPr="5A2EAD4E">
                <w:rPr>
                  <w:rStyle w:val="Hyperlink"/>
                </w:rPr>
                <w:t>4,</w:t>
              </w:r>
            </w:hyperlink>
            <w:r>
              <w:t xml:space="preserve"> </w:t>
            </w:r>
            <w:hyperlink r:id="rId26" w:anchor="LMS923797" w:history="1">
              <w:r w:rsidRPr="5A2EAD4E">
                <w:rPr>
                  <w:rStyle w:val="Hyperlink"/>
                </w:rPr>
                <w:t>5</w:t>
              </w:r>
            </w:hyperlink>
            <w:r>
              <w:t xml:space="preserve"> and </w:t>
            </w:r>
            <w:hyperlink r:id="rId27" w:anchor="LMS923858" w:history="1">
              <w:r w:rsidRPr="5A2EAD4E">
                <w:rPr>
                  <w:rStyle w:val="Hyperlink"/>
                </w:rPr>
                <w:t>6 </w:t>
              </w:r>
            </w:hyperlink>
          </w:p>
        </w:tc>
        <w:tc>
          <w:tcPr>
            <w:tcW w:w="5387" w:type="dxa"/>
            <w:shd w:val="clear" w:color="auto" w:fill="auto"/>
            <w:hideMark/>
          </w:tcPr>
          <w:p w14:paraId="445EF250" w14:textId="383EA8CA" w:rsidR="00751CDE" w:rsidRPr="007C6082" w:rsidRDefault="00751CDE" w:rsidP="00E06B00">
            <w:pPr>
              <w:pStyle w:val="TableText"/>
            </w:pPr>
            <w:r w:rsidRPr="007C6082">
              <w:t xml:space="preserve">Remove the undefined term ‘woody </w:t>
            </w:r>
            <w:proofErr w:type="gramStart"/>
            <w:r w:rsidRPr="007C6082">
              <w:t>debris’</w:t>
            </w:r>
            <w:proofErr w:type="gramEnd"/>
            <w:r w:rsidRPr="007C6082">
              <w:t xml:space="preserve"> from all forest planning </w:t>
            </w:r>
            <w:r w:rsidRPr="00D81437">
              <w:t xml:space="preserve">requirements </w:t>
            </w:r>
            <w:r w:rsidRPr="007C6082">
              <w:t>(</w:t>
            </w:r>
            <w:r w:rsidR="00320C1D">
              <w:t>s</w:t>
            </w:r>
            <w:r w:rsidRPr="007C6082">
              <w:t>chedules 4(4)(2)</w:t>
            </w:r>
            <w:r w:rsidR="00320C1D">
              <w:t>,</w:t>
            </w:r>
            <w:r w:rsidRPr="007C6082">
              <w:t xml:space="preserve"> 5(4)(2) and 6(4)(2)). </w:t>
            </w:r>
          </w:p>
        </w:tc>
        <w:tc>
          <w:tcPr>
            <w:tcW w:w="5726" w:type="dxa"/>
            <w:shd w:val="clear" w:color="auto" w:fill="auto"/>
            <w:hideMark/>
          </w:tcPr>
          <w:p w14:paraId="0982AF4C" w14:textId="06DE6778" w:rsidR="00751CDE" w:rsidRPr="007C6082" w:rsidRDefault="00751CDE" w:rsidP="00E06B00">
            <w:pPr>
              <w:pStyle w:val="TableText"/>
            </w:pPr>
            <w:r w:rsidRPr="007C6082">
              <w:t>The term ‘woody debris’ is undefined in the regulations and does not appear anywhere other than the schedules. Woody debris is a colloquial term that incorporates debris that is outside of the regulatory requirements and not associated with forestry activities. There are defined terms in the regulations</w:t>
            </w:r>
            <w:r w:rsidR="00DB74AE">
              <w:t>,</w:t>
            </w:r>
            <w:r w:rsidRPr="007C6082">
              <w:t xml:space="preserve"> including </w:t>
            </w:r>
            <w:r w:rsidR="00DB74AE">
              <w:t>‘</w:t>
            </w:r>
            <w:r w:rsidRPr="007C6082">
              <w:t>slash</w:t>
            </w:r>
            <w:r w:rsidR="00DB74AE">
              <w:t>’,</w:t>
            </w:r>
            <w:r w:rsidRPr="007C6082">
              <w:t xml:space="preserve"> which should cover what woody debris means for forestry activities. </w:t>
            </w:r>
          </w:p>
          <w:p w14:paraId="758BADFA" w14:textId="44D6816B" w:rsidR="00751CDE" w:rsidRPr="007C6082" w:rsidRDefault="00751CDE" w:rsidP="00E06B00">
            <w:pPr>
              <w:pStyle w:val="TableText"/>
            </w:pPr>
            <w:r w:rsidRPr="007C6082">
              <w:t xml:space="preserve">The use of ‘woody </w:t>
            </w:r>
            <w:proofErr w:type="gramStart"/>
            <w:r w:rsidRPr="007C6082">
              <w:t>debris’</w:t>
            </w:r>
            <w:proofErr w:type="gramEnd"/>
            <w:r w:rsidRPr="007C6082">
              <w:t xml:space="preserve"> has caused confusion and regulatory uncertainty and the policy intent is unclear.</w:t>
            </w:r>
            <w:r w:rsidR="00D35FF0" w:rsidRPr="007C6082">
              <w:t xml:space="preserve"> </w:t>
            </w:r>
          </w:p>
        </w:tc>
      </w:tr>
      <w:tr w:rsidR="00751CDE" w:rsidRPr="007C6082" w14:paraId="701C0EF1" w14:textId="77777777" w:rsidTr="00104CA2">
        <w:tc>
          <w:tcPr>
            <w:tcW w:w="3402" w:type="dxa"/>
            <w:tcBorders>
              <w:bottom w:val="single" w:sz="4" w:space="0" w:color="2C9986" w:themeColor="accent4"/>
            </w:tcBorders>
            <w:shd w:val="clear" w:color="auto" w:fill="auto"/>
            <w:hideMark/>
          </w:tcPr>
          <w:p w14:paraId="77C6D89C" w14:textId="774F6319" w:rsidR="00751CDE" w:rsidRPr="007C6082" w:rsidRDefault="00751CDE" w:rsidP="00312F93">
            <w:pPr>
              <w:pStyle w:val="TableTextbold"/>
              <w:keepNext/>
            </w:pPr>
            <w:r>
              <w:lastRenderedPageBreak/>
              <w:t xml:space="preserve">Schedule </w:t>
            </w:r>
            <w:hyperlink r:id="rId28" w:anchor="LMS923858" w:history="1">
              <w:r w:rsidRPr="5A2EAD4E">
                <w:rPr>
                  <w:rStyle w:val="Hyperlink"/>
                </w:rPr>
                <w:t>6</w:t>
              </w:r>
            </w:hyperlink>
            <w:r>
              <w:t xml:space="preserve"> Harvest </w:t>
            </w:r>
            <w:r w:rsidR="6B7FEF1A">
              <w:t>p</w:t>
            </w:r>
            <w:r>
              <w:t>lan </w:t>
            </w:r>
          </w:p>
        </w:tc>
        <w:tc>
          <w:tcPr>
            <w:tcW w:w="5387" w:type="dxa"/>
            <w:tcBorders>
              <w:bottom w:val="single" w:sz="4" w:space="0" w:color="2C9986" w:themeColor="accent4"/>
            </w:tcBorders>
            <w:shd w:val="clear" w:color="auto" w:fill="auto"/>
            <w:hideMark/>
          </w:tcPr>
          <w:p w14:paraId="2270C851" w14:textId="4686A867" w:rsidR="00751CDE" w:rsidRPr="007C6082" w:rsidRDefault="00751CDE" w:rsidP="00E06B00">
            <w:pPr>
              <w:pStyle w:val="TableText"/>
            </w:pPr>
            <w:r w:rsidRPr="007C6082">
              <w:t xml:space="preserve">Amend Schedule 6, </w:t>
            </w:r>
            <w:r w:rsidR="004A5AE0" w:rsidRPr="00AE45C7">
              <w:t>c</w:t>
            </w:r>
            <w:r w:rsidRPr="00AE45C7">
              <w:t>lause</w:t>
            </w:r>
            <w:r w:rsidRPr="007C6082">
              <w:t xml:space="preserve"> 4(4) to add the process required for a slash mobilisation risk assessment to the Harvest Plan requirements. Include specific reference in Schedule 6, </w:t>
            </w:r>
            <w:r w:rsidR="00227352">
              <w:t>c</w:t>
            </w:r>
            <w:r w:rsidRPr="007C6082">
              <w:t>lause 6(c) to the need for post-harvest monitoring until risk reverts to pre-harvest levels. </w:t>
            </w:r>
          </w:p>
        </w:tc>
        <w:tc>
          <w:tcPr>
            <w:tcW w:w="5726" w:type="dxa"/>
            <w:tcBorders>
              <w:bottom w:val="single" w:sz="4" w:space="0" w:color="2C9986" w:themeColor="accent4"/>
            </w:tcBorders>
            <w:shd w:val="clear" w:color="auto" w:fill="auto"/>
            <w:hideMark/>
          </w:tcPr>
          <w:p w14:paraId="5BC197C7" w14:textId="3EF8AC1E" w:rsidR="00751CDE" w:rsidRPr="007C6082" w:rsidRDefault="00751CDE" w:rsidP="00E06B00">
            <w:pPr>
              <w:pStyle w:val="TableText"/>
            </w:pPr>
            <w:r w:rsidRPr="007C6082">
              <w:t xml:space="preserve">To set out the process required for assessing slash risk and documenting management actions and mitigations using the slash mobilisation risk assessment template located in </w:t>
            </w:r>
            <w:r w:rsidR="00B6138B">
              <w:t>a</w:t>
            </w:r>
            <w:r w:rsidRPr="007C6082">
              <w:t xml:space="preserve">ttachment </w:t>
            </w:r>
            <w:r w:rsidR="009F30BE">
              <w:t>2</w:t>
            </w:r>
            <w:r w:rsidRPr="007C6082">
              <w:t>.</w:t>
            </w:r>
            <w:r w:rsidR="00BC1019">
              <w:t>2</w:t>
            </w:r>
            <w:r w:rsidRPr="007C6082">
              <w:t xml:space="preserve">.1 as part of the harvest plan (per changes to regulation 66 and </w:t>
            </w:r>
            <w:r w:rsidR="003D2CFB" w:rsidRPr="007C6082">
              <w:t>regulation</w:t>
            </w:r>
            <w:r w:rsidR="003D2CFB">
              <w:t xml:space="preserve"> </w:t>
            </w:r>
            <w:r w:rsidRPr="007C6082">
              <w:t>69). </w:t>
            </w:r>
          </w:p>
          <w:p w14:paraId="2CE88AA8" w14:textId="77777777" w:rsidR="00751CDE" w:rsidRPr="007C6082" w:rsidRDefault="00751CDE" w:rsidP="00E06B00">
            <w:pPr>
              <w:pStyle w:val="TableText"/>
            </w:pPr>
            <w:r w:rsidRPr="007C6082">
              <w:t>Consequential changes due to the proposal to amend regulation 69. </w:t>
            </w:r>
          </w:p>
        </w:tc>
      </w:tr>
    </w:tbl>
    <w:p w14:paraId="7E7B25A8" w14:textId="77777777" w:rsidR="00416583" w:rsidRDefault="00416583" w:rsidP="00D04F15">
      <w:pPr>
        <w:spacing w:before="0" w:after="0"/>
      </w:pPr>
    </w:p>
    <w:tbl>
      <w:tblPr>
        <w:tblW w:w="14515" w:type="dxa"/>
        <w:tblBorders>
          <w:top w:val="single" w:sz="4" w:space="0" w:color="2C9986" w:themeColor="accent4"/>
          <w:bottom w:val="single" w:sz="4" w:space="0" w:color="2C9986" w:themeColor="accent4"/>
          <w:insideH w:val="single" w:sz="4" w:space="0" w:color="2C9986" w:themeColor="accent4"/>
          <w:insideV w:val="single" w:sz="4" w:space="0" w:color="2C9986" w:themeColor="accent4"/>
        </w:tblBorders>
        <w:tblCellMar>
          <w:left w:w="85" w:type="dxa"/>
          <w:right w:w="85" w:type="dxa"/>
        </w:tblCellMar>
        <w:tblLook w:val="04A0" w:firstRow="1" w:lastRow="0" w:firstColumn="1" w:lastColumn="0" w:noHBand="0" w:noVBand="1"/>
      </w:tblPr>
      <w:tblGrid>
        <w:gridCol w:w="3402"/>
        <w:gridCol w:w="5387"/>
        <w:gridCol w:w="5726"/>
      </w:tblGrid>
      <w:tr w:rsidR="00B049CE" w:rsidRPr="007C6082" w14:paraId="79C33007" w14:textId="77777777" w:rsidTr="00104CA2">
        <w:trPr>
          <w:tblHeader/>
        </w:trPr>
        <w:tc>
          <w:tcPr>
            <w:tcW w:w="3402" w:type="dxa"/>
            <w:shd w:val="clear" w:color="auto" w:fill="2C9986" w:themeFill="accent4"/>
            <w:hideMark/>
          </w:tcPr>
          <w:p w14:paraId="7F76316D" w14:textId="77777777" w:rsidR="00751CDE" w:rsidRPr="007C6082" w:rsidRDefault="00751CDE" w:rsidP="00CD5521">
            <w:pPr>
              <w:pStyle w:val="TableTextbold"/>
              <w:rPr>
                <w:color w:val="FFFFFF" w:themeColor="background1"/>
              </w:rPr>
            </w:pPr>
            <w:r w:rsidRPr="007C6082">
              <w:rPr>
                <w:color w:val="FFFFFF" w:themeColor="background1"/>
              </w:rPr>
              <w:t>Implementation </w:t>
            </w:r>
          </w:p>
        </w:tc>
        <w:tc>
          <w:tcPr>
            <w:tcW w:w="5387" w:type="dxa"/>
            <w:shd w:val="clear" w:color="auto" w:fill="2C9986" w:themeFill="accent4"/>
            <w:hideMark/>
          </w:tcPr>
          <w:p w14:paraId="745328CB" w14:textId="77777777" w:rsidR="00751CDE" w:rsidRPr="007C6082" w:rsidRDefault="00751CDE" w:rsidP="00CD5521">
            <w:pPr>
              <w:pStyle w:val="TableTextbold"/>
              <w:rPr>
                <w:color w:val="FFFFFF" w:themeColor="background1"/>
              </w:rPr>
            </w:pPr>
            <w:r w:rsidRPr="007C6082">
              <w:rPr>
                <w:color w:val="FFFFFF" w:themeColor="background1"/>
              </w:rPr>
              <w:t>Proposed provisions </w:t>
            </w:r>
          </w:p>
        </w:tc>
        <w:tc>
          <w:tcPr>
            <w:tcW w:w="5726" w:type="dxa"/>
            <w:shd w:val="clear" w:color="auto" w:fill="2C9986" w:themeFill="accent4"/>
            <w:hideMark/>
          </w:tcPr>
          <w:p w14:paraId="3550D9E0" w14:textId="77777777" w:rsidR="00751CDE" w:rsidRPr="007C6082" w:rsidRDefault="00751CDE" w:rsidP="00CD5521">
            <w:pPr>
              <w:pStyle w:val="TableTextbold"/>
              <w:rPr>
                <w:color w:val="FFFFFF" w:themeColor="background1"/>
              </w:rPr>
            </w:pPr>
            <w:r w:rsidRPr="007C6082">
              <w:rPr>
                <w:color w:val="FFFFFF" w:themeColor="background1"/>
              </w:rPr>
              <w:t xml:space="preserve">Reasons </w:t>
            </w:r>
          </w:p>
        </w:tc>
      </w:tr>
      <w:tr w:rsidR="00751CDE" w:rsidRPr="007C6082" w14:paraId="34427950" w14:textId="77777777" w:rsidTr="00104CA2">
        <w:tc>
          <w:tcPr>
            <w:tcW w:w="3402" w:type="dxa"/>
            <w:shd w:val="clear" w:color="auto" w:fill="FFFFFF" w:themeFill="background1"/>
            <w:hideMark/>
          </w:tcPr>
          <w:p w14:paraId="50166B96" w14:textId="77777777" w:rsidR="00751CDE" w:rsidRPr="007C6082" w:rsidRDefault="00751CDE" w:rsidP="00CD5521">
            <w:pPr>
              <w:pStyle w:val="TableTextbold"/>
            </w:pPr>
            <w:r w:rsidRPr="007C6082">
              <w:t>NES-CF implementation </w:t>
            </w:r>
          </w:p>
        </w:tc>
        <w:tc>
          <w:tcPr>
            <w:tcW w:w="5387" w:type="dxa"/>
            <w:shd w:val="clear" w:color="auto" w:fill="FFFFFF" w:themeFill="background1"/>
            <w:hideMark/>
          </w:tcPr>
          <w:p w14:paraId="072A3AD4" w14:textId="77777777" w:rsidR="00751CDE" w:rsidRPr="007C6082" w:rsidRDefault="00751CDE" w:rsidP="00F02AD4">
            <w:pPr>
              <w:pStyle w:val="TableTextbold"/>
              <w:spacing w:after="0"/>
            </w:pPr>
            <w:r w:rsidRPr="007C6082">
              <w:t>Statutory implementation </w:t>
            </w:r>
          </w:p>
          <w:p w14:paraId="7A1F889D" w14:textId="0C6B6176" w:rsidR="00751CDE" w:rsidRPr="007C6082" w:rsidRDefault="00751CDE" w:rsidP="00E06B00">
            <w:pPr>
              <w:pStyle w:val="TableText"/>
            </w:pPr>
            <w:r w:rsidRPr="007C6082">
              <w:t xml:space="preserve">Changes to regulation 6(1)(a) and </w:t>
            </w:r>
            <w:r w:rsidR="00F02AD4" w:rsidRPr="007C6082">
              <w:t xml:space="preserve">regulation </w:t>
            </w:r>
            <w:r w:rsidRPr="007C6082">
              <w:t>6(4A) will require some councils to carry out plan changes to create alignment of more stringent rules with the new intent</w:t>
            </w:r>
            <w:r w:rsidR="00F02AD4">
              <w:t xml:space="preserve"> and </w:t>
            </w:r>
            <w:r w:rsidRPr="007C6082">
              <w:t xml:space="preserve">wording. Section 44A </w:t>
            </w:r>
            <w:r w:rsidR="00B33508">
              <w:t>of the Resource Management Act 1991</w:t>
            </w:r>
            <w:r w:rsidRPr="007C6082">
              <w:t xml:space="preserve"> enables this work to be undertaken without a Schedule 1 plan change, either in accordance with a specification in the NES, or as soon as practicable after the date it comes into force.</w:t>
            </w:r>
          </w:p>
          <w:p w14:paraId="26C8F8AE" w14:textId="77777777" w:rsidR="00751CDE" w:rsidRPr="007C6082" w:rsidRDefault="00751CDE" w:rsidP="002721D2">
            <w:pPr>
              <w:pStyle w:val="TableTextbold"/>
              <w:spacing w:after="0"/>
            </w:pPr>
            <w:r w:rsidRPr="007C6082">
              <w:t>Non-statutory implementation </w:t>
            </w:r>
          </w:p>
          <w:p w14:paraId="06F8F89E" w14:textId="39FB34A1" w:rsidR="00751CDE" w:rsidRPr="007C6082" w:rsidRDefault="00751CDE" w:rsidP="00E06B00">
            <w:pPr>
              <w:pStyle w:val="TableText"/>
            </w:pPr>
            <w:r w:rsidRPr="007C6082">
              <w:t>Te Uru Rākau – New Zealand Forest Service will update NES-CF user guidance following amendment of the NES-CF.</w:t>
            </w:r>
          </w:p>
          <w:p w14:paraId="18666ADE" w14:textId="42C3566B" w:rsidR="00751CDE" w:rsidRPr="007C6082" w:rsidRDefault="00751CDE" w:rsidP="00E06B00">
            <w:pPr>
              <w:pStyle w:val="TableText"/>
            </w:pPr>
            <w:r w:rsidRPr="007C6082">
              <w:t>Guidance on new slash requirements may include workshops</w:t>
            </w:r>
            <w:r w:rsidR="00644C6D">
              <w:t xml:space="preserve"> and </w:t>
            </w:r>
            <w:r w:rsidRPr="007C6082">
              <w:t>webinars with industry and councils to ensure they understand how to apply the slash mobilisation risk assessment appropriately and with common understanding of intent and the practical issues in addressing slash risk, and of monitoring risk until it reverts to pre-harvest levels. </w:t>
            </w:r>
          </w:p>
        </w:tc>
        <w:tc>
          <w:tcPr>
            <w:tcW w:w="5726" w:type="dxa"/>
            <w:shd w:val="clear" w:color="auto" w:fill="FFFFFF" w:themeFill="background1"/>
            <w:hideMark/>
          </w:tcPr>
          <w:p w14:paraId="2C1E733B" w14:textId="77777777" w:rsidR="00751CDE" w:rsidRPr="007C6082" w:rsidRDefault="00751CDE" w:rsidP="00F02AD4">
            <w:pPr>
              <w:pStyle w:val="TableTextbold"/>
              <w:spacing w:after="0"/>
            </w:pPr>
            <w:r w:rsidRPr="007C6082">
              <w:t>Statutory implementation </w:t>
            </w:r>
          </w:p>
          <w:p w14:paraId="27377B32" w14:textId="65ACF055" w:rsidR="00751CDE" w:rsidRPr="007C6082" w:rsidRDefault="00751CDE" w:rsidP="00E06B00">
            <w:pPr>
              <w:pStyle w:val="TableText"/>
            </w:pPr>
            <w:r w:rsidRPr="007C6082">
              <w:t xml:space="preserve">Plan changes may be required to achieve consistency in plans. The </w:t>
            </w:r>
            <w:r w:rsidR="00AF237C">
              <w:t>Resource Management Act 1991</w:t>
            </w:r>
            <w:r w:rsidRPr="007C6082">
              <w:t xml:space="preserve"> requires district, unitary and regional plans to be amended to deal with any duplication or conflict with the NES without using a Schedule 1 process.</w:t>
            </w:r>
            <w:r w:rsidR="00D35FF0" w:rsidRPr="007C6082">
              <w:t xml:space="preserve"> </w:t>
            </w:r>
          </w:p>
          <w:p w14:paraId="167E0210" w14:textId="77777777" w:rsidR="00751CDE" w:rsidRPr="007C6082" w:rsidRDefault="00751CDE" w:rsidP="002721D2">
            <w:pPr>
              <w:pStyle w:val="TableTextbold"/>
              <w:spacing w:after="0"/>
            </w:pPr>
            <w:r w:rsidRPr="007C6082">
              <w:t>Non-statutory implementation </w:t>
            </w:r>
          </w:p>
          <w:p w14:paraId="7B21CB91" w14:textId="30AD7649" w:rsidR="00751CDE" w:rsidRPr="007C6082" w:rsidRDefault="00751CDE" w:rsidP="00E06B00">
            <w:pPr>
              <w:pStyle w:val="TableText"/>
            </w:pPr>
            <w:r w:rsidRPr="007C6082">
              <w:t>Options for applying the new stringency and slash proposals will vary across sites and regions. Increasing understanding of forestry effects and effects management, and ‘risk management’ and ‘risk reduction’ over absolute standards through guidance will be essential to stakeholders implementing the changes. Guidance on stringency provisions will create additional certainty for users.</w:t>
            </w:r>
            <w:r w:rsidR="00D35FF0" w:rsidRPr="007C6082">
              <w:t xml:space="preserve"> </w:t>
            </w:r>
          </w:p>
          <w:p w14:paraId="5A8B7CE0" w14:textId="4AE87BAA" w:rsidR="00751CDE" w:rsidRPr="007C6082" w:rsidRDefault="00751CDE" w:rsidP="00E06B00">
            <w:pPr>
              <w:pStyle w:val="TableText"/>
            </w:pPr>
            <w:r w:rsidRPr="007C6082">
              <w:t>No additional implementation provisions are required because remaining provisions clarify regulations or remove confusing requirements.</w:t>
            </w:r>
            <w:r w:rsidR="00D35FF0" w:rsidRPr="007C6082">
              <w:t xml:space="preserve"> </w:t>
            </w:r>
          </w:p>
        </w:tc>
      </w:tr>
    </w:tbl>
    <w:p w14:paraId="04C45700" w14:textId="77777777" w:rsidR="00E06B00" w:rsidRPr="007C6082" w:rsidRDefault="00E06B00" w:rsidP="00751CDE">
      <w:pPr>
        <w:spacing w:after="0" w:line="240" w:lineRule="auto"/>
        <w:textAlignment w:val="baseline"/>
        <w:rPr>
          <w:rFonts w:cs="Calibri"/>
        </w:rPr>
        <w:sectPr w:rsidR="00E06B00" w:rsidRPr="007C6082" w:rsidSect="00751CDE">
          <w:footerReference w:type="even" r:id="rId29"/>
          <w:footerReference w:type="default" r:id="rId30"/>
          <w:headerReference w:type="first" r:id="rId31"/>
          <w:footerReference w:type="first" r:id="rId32"/>
          <w:pgSz w:w="16838" w:h="11906" w:orient="landscape" w:code="9"/>
          <w:pgMar w:top="1418" w:right="1134" w:bottom="1418" w:left="1134" w:header="567" w:footer="567" w:gutter="0"/>
          <w:cols w:space="708"/>
          <w:titlePg/>
          <w:docGrid w:linePitch="360"/>
        </w:sectPr>
      </w:pPr>
    </w:p>
    <w:p w14:paraId="617D0BAE" w14:textId="53283B5D" w:rsidR="00CA2549" w:rsidRPr="00B31C56" w:rsidRDefault="00CA2549" w:rsidP="00CD1E47">
      <w:pPr>
        <w:pStyle w:val="Heading4"/>
        <w:spacing w:before="0" w:line="280" w:lineRule="atLeast"/>
        <w:rPr>
          <w:color w:val="2C9986"/>
          <w:sz w:val="36"/>
          <w:szCs w:val="36"/>
        </w:rPr>
      </w:pPr>
      <w:r w:rsidRPr="00B31C56">
        <w:rPr>
          <w:color w:val="2C9986"/>
          <w:sz w:val="36"/>
          <w:szCs w:val="36"/>
        </w:rPr>
        <w:lastRenderedPageBreak/>
        <w:t xml:space="preserve">Attachment </w:t>
      </w:r>
      <w:r w:rsidR="009F30BE" w:rsidRPr="00B31C56">
        <w:rPr>
          <w:color w:val="2C9986"/>
          <w:sz w:val="36"/>
          <w:szCs w:val="36"/>
        </w:rPr>
        <w:t>2</w:t>
      </w:r>
      <w:r w:rsidRPr="00B31C56">
        <w:rPr>
          <w:color w:val="2C9986"/>
          <w:sz w:val="36"/>
          <w:szCs w:val="36"/>
        </w:rPr>
        <w:t xml:space="preserve">.2.1: </w:t>
      </w:r>
      <w:r w:rsidRPr="00B31C56">
        <w:rPr>
          <w:i/>
          <w:iCs/>
          <w:color w:val="2C9986"/>
          <w:sz w:val="36"/>
          <w:szCs w:val="36"/>
        </w:rPr>
        <w:t xml:space="preserve">Draft </w:t>
      </w:r>
      <w:r w:rsidR="00F22162" w:rsidRPr="00B31C56">
        <w:rPr>
          <w:color w:val="2C9986"/>
          <w:sz w:val="36"/>
          <w:szCs w:val="36"/>
        </w:rPr>
        <w:t>s</w:t>
      </w:r>
      <w:r w:rsidRPr="00B31C56">
        <w:rPr>
          <w:color w:val="2C9986"/>
          <w:sz w:val="36"/>
          <w:szCs w:val="36"/>
        </w:rPr>
        <w:t xml:space="preserve">lash </w:t>
      </w:r>
      <w:r w:rsidR="00F22162" w:rsidRPr="00B31C56">
        <w:rPr>
          <w:color w:val="2C9986"/>
          <w:sz w:val="36"/>
          <w:szCs w:val="36"/>
        </w:rPr>
        <w:t>m</w:t>
      </w:r>
      <w:r w:rsidRPr="00B31C56">
        <w:rPr>
          <w:color w:val="2C9986"/>
          <w:sz w:val="36"/>
          <w:szCs w:val="36"/>
        </w:rPr>
        <w:t xml:space="preserve">obilisation </w:t>
      </w:r>
      <w:r w:rsidR="00F22162" w:rsidRPr="00B31C56">
        <w:rPr>
          <w:color w:val="2C9986"/>
          <w:sz w:val="36"/>
          <w:szCs w:val="36"/>
        </w:rPr>
        <w:t>r</w:t>
      </w:r>
      <w:r w:rsidRPr="00B31C56">
        <w:rPr>
          <w:color w:val="2C9986"/>
          <w:sz w:val="36"/>
          <w:szCs w:val="36"/>
        </w:rPr>
        <w:t xml:space="preserve">isk </w:t>
      </w:r>
      <w:r w:rsidR="00F22162" w:rsidRPr="00B31C56">
        <w:rPr>
          <w:color w:val="2C9986"/>
          <w:sz w:val="36"/>
          <w:szCs w:val="36"/>
        </w:rPr>
        <w:t>a</w:t>
      </w:r>
      <w:r w:rsidRPr="00B31C56">
        <w:rPr>
          <w:color w:val="2C9986"/>
          <w:sz w:val="36"/>
          <w:szCs w:val="36"/>
        </w:rPr>
        <w:t>ssessment</w:t>
      </w:r>
    </w:p>
    <w:p w14:paraId="1535F079" w14:textId="0F57F993" w:rsidR="00CA2549" w:rsidRPr="007C6082" w:rsidRDefault="00CA2549" w:rsidP="00CA2549">
      <w:pPr>
        <w:pStyle w:val="BodyText"/>
        <w:rPr>
          <w:rFonts w:eastAsiaTheme="minorEastAsia"/>
        </w:rPr>
      </w:pPr>
      <w:r w:rsidRPr="007C6082">
        <w:rPr>
          <w:rFonts w:eastAsiaTheme="minorEastAsia"/>
        </w:rPr>
        <w:t xml:space="preserve">Attachment </w:t>
      </w:r>
      <w:r w:rsidR="009F30BE">
        <w:rPr>
          <w:rFonts w:eastAsiaTheme="minorEastAsia"/>
        </w:rPr>
        <w:t>2</w:t>
      </w:r>
      <w:r w:rsidRPr="007C6082">
        <w:rPr>
          <w:rFonts w:eastAsiaTheme="minorEastAsia"/>
        </w:rPr>
        <w:t>.2</w:t>
      </w:r>
      <w:r w:rsidR="00E0163C">
        <w:rPr>
          <w:rFonts w:eastAsiaTheme="minorEastAsia"/>
        </w:rPr>
        <w:t xml:space="preserve"> </w:t>
      </w:r>
      <w:r w:rsidRPr="007C6082">
        <w:rPr>
          <w:rFonts w:eastAsiaTheme="minorEastAsia"/>
        </w:rPr>
        <w:t xml:space="preserve">outlines the proposed provisions to amend the </w:t>
      </w:r>
      <w:r w:rsidR="00F22162" w:rsidRPr="007C6082">
        <w:rPr>
          <w:rFonts w:eastAsiaTheme="minorEastAsia"/>
        </w:rPr>
        <w:t>National Environmental Standards for Commercial Forestry (</w:t>
      </w:r>
      <w:r w:rsidRPr="007C6082">
        <w:rPr>
          <w:rFonts w:eastAsiaTheme="minorEastAsia"/>
        </w:rPr>
        <w:t>NES-CF</w:t>
      </w:r>
      <w:r w:rsidR="00F22162">
        <w:rPr>
          <w:rFonts w:eastAsiaTheme="minorEastAsia"/>
        </w:rPr>
        <w:t>)</w:t>
      </w:r>
      <w:r w:rsidRPr="007C6082">
        <w:rPr>
          <w:rFonts w:eastAsiaTheme="minorEastAsia"/>
        </w:rPr>
        <w:t xml:space="preserve">. Table 1 provides a </w:t>
      </w:r>
      <w:r w:rsidRPr="007C6082">
        <w:rPr>
          <w:rFonts w:eastAsiaTheme="minorEastAsia"/>
          <w:i/>
          <w:iCs/>
        </w:rPr>
        <w:t xml:space="preserve">draft </w:t>
      </w:r>
      <w:r w:rsidRPr="007C6082">
        <w:rPr>
          <w:rFonts w:eastAsiaTheme="minorEastAsia"/>
        </w:rPr>
        <w:t>for consultation on proposed amendments to regulation 69(5)</w:t>
      </w:r>
      <w:proofErr w:type="gramStart"/>
      <w:r w:rsidR="00F22162">
        <w:rPr>
          <w:rFonts w:eastAsiaTheme="minorEastAsia"/>
        </w:rPr>
        <w:t>–</w:t>
      </w:r>
      <w:r w:rsidRPr="007C6082">
        <w:rPr>
          <w:rFonts w:eastAsiaTheme="minorEastAsia"/>
        </w:rPr>
        <w:t>(</w:t>
      </w:r>
      <w:proofErr w:type="gramEnd"/>
      <w:r w:rsidRPr="007C6082">
        <w:rPr>
          <w:rFonts w:eastAsiaTheme="minorEastAsia"/>
        </w:rPr>
        <w:t xml:space="preserve">7) of the NES-CF as part of the </w:t>
      </w:r>
      <w:r w:rsidR="00307B8A">
        <w:rPr>
          <w:rFonts w:eastAsiaTheme="minorEastAsia"/>
        </w:rPr>
        <w:t>proposal</w:t>
      </w:r>
      <w:r w:rsidR="00F524E7">
        <w:rPr>
          <w:rFonts w:eastAsiaTheme="minorEastAsia"/>
        </w:rPr>
        <w:t>.</w:t>
      </w:r>
      <w:r w:rsidRPr="007C6082">
        <w:rPr>
          <w:rFonts w:eastAsiaTheme="minorEastAsia"/>
        </w:rPr>
        <w:t xml:space="preserve"> This draft assessment is not intended to be the final form of a template but to test the concept and criteria. </w:t>
      </w:r>
    </w:p>
    <w:p w14:paraId="515718C3" w14:textId="5D4CE13B" w:rsidR="00CA2549" w:rsidRPr="0037627B" w:rsidDel="00D952E0" w:rsidRDefault="00CA2549" w:rsidP="00CA2549">
      <w:pPr>
        <w:pStyle w:val="Tableheading"/>
        <w:rPr>
          <w:rFonts w:eastAsia="Calibri"/>
          <w:sz w:val="22"/>
          <w:szCs w:val="24"/>
        </w:rPr>
      </w:pPr>
      <w:r w:rsidRPr="0037627B" w:rsidDel="00D952E0">
        <w:rPr>
          <w:rFonts w:eastAsia="Calibri"/>
          <w:sz w:val="22"/>
          <w:szCs w:val="24"/>
        </w:rPr>
        <w:t>Table 1</w:t>
      </w:r>
      <w:r w:rsidR="0037627B">
        <w:rPr>
          <w:rFonts w:eastAsia="Calibri"/>
          <w:sz w:val="22"/>
          <w:szCs w:val="24"/>
        </w:rPr>
        <w:t>:</w:t>
      </w:r>
      <w:r w:rsidRPr="0037627B" w:rsidDel="00D952E0">
        <w:rPr>
          <w:rFonts w:eastAsia="Calibri"/>
          <w:sz w:val="22"/>
          <w:szCs w:val="24"/>
        </w:rPr>
        <w:t xml:space="preserve"> Draft Slash Mobilisation Risk Assessment</w:t>
      </w:r>
    </w:p>
    <w:p w14:paraId="155DE3A2" w14:textId="469144C3" w:rsidR="00CA2549" w:rsidRPr="00662B8B" w:rsidRDefault="00CA2549" w:rsidP="002C7F86">
      <w:pPr>
        <w:pStyle w:val="Heading5"/>
        <w:spacing w:before="120" w:after="120"/>
        <w:rPr>
          <w:sz w:val="22"/>
          <w:szCs w:val="20"/>
        </w:rPr>
      </w:pPr>
      <w:r w:rsidRPr="00662B8B">
        <w:rPr>
          <w:sz w:val="22"/>
          <w:szCs w:val="20"/>
        </w:rPr>
        <w:t xml:space="preserve">How do I use the </w:t>
      </w:r>
      <w:r w:rsidR="00D952E0" w:rsidRPr="00662B8B">
        <w:rPr>
          <w:sz w:val="22"/>
          <w:szCs w:val="20"/>
        </w:rPr>
        <w:t>slash mobilisation risk assessment</w:t>
      </w:r>
      <w:r w:rsidRPr="00662B8B">
        <w:rPr>
          <w:sz w:val="22"/>
          <w:szCs w:val="20"/>
        </w:rPr>
        <w:t xml:space="preserve"> template?</w:t>
      </w:r>
    </w:p>
    <w:p w14:paraId="4DF27BD1" w14:textId="781261BE" w:rsidR="00CA2549" w:rsidRPr="007C6082" w:rsidRDefault="00CA2549" w:rsidP="00CA2549">
      <w:pPr>
        <w:pStyle w:val="Numberedparagraph"/>
      </w:pPr>
      <w:r w:rsidRPr="007C6082">
        <w:t xml:space="preserve">Start with the first risk indicator and work through to the action. For example, starting with the </w:t>
      </w:r>
      <w:r w:rsidR="00EE30F1">
        <w:t>Erosion Susceptibility Classification (</w:t>
      </w:r>
      <w:r w:rsidRPr="007C6082">
        <w:t>ESC</w:t>
      </w:r>
      <w:r w:rsidR="00EE30F1">
        <w:t>)</w:t>
      </w:r>
      <w:r w:rsidRPr="007C6082">
        <w:t xml:space="preserve"> indicator, if the site being assessed is in a green zone</w:t>
      </w:r>
      <w:r w:rsidR="00882C23">
        <w:t>,</w:t>
      </w:r>
      <w:r w:rsidRPr="007C6082">
        <w:t xml:space="preserve"> your mobilisation risk is </w:t>
      </w:r>
      <w:proofErr w:type="gramStart"/>
      <w:r w:rsidRPr="007C6082">
        <w:t>low</w:t>
      </w:r>
      <w:proofErr w:type="gramEnd"/>
      <w:r w:rsidRPr="007C6082">
        <w:t xml:space="preserve"> and you do</w:t>
      </w:r>
      <w:r w:rsidR="00882C23">
        <w:t xml:space="preserve"> </w:t>
      </w:r>
      <w:r w:rsidRPr="007C6082">
        <w:t>n</w:t>
      </w:r>
      <w:r w:rsidR="00882C23">
        <w:t>o</w:t>
      </w:r>
      <w:r w:rsidRPr="007C6082">
        <w:t>t need to take any further action. If the site is in the orange zone</w:t>
      </w:r>
      <w:r w:rsidR="000F5D31">
        <w:t>,</w:t>
      </w:r>
      <w:r w:rsidRPr="007C6082">
        <w:t xml:space="preserve"> you need to do further assessment so move to the second risk indicator. </w:t>
      </w:r>
    </w:p>
    <w:p w14:paraId="14C6BAEE" w14:textId="6AC6175C" w:rsidR="00D952E0" w:rsidRPr="007C6082" w:rsidRDefault="00CA2549" w:rsidP="0037627B">
      <w:pPr>
        <w:pStyle w:val="Numberedparagraph"/>
      </w:pPr>
      <w:r w:rsidRPr="007C6082">
        <w:t>At each point</w:t>
      </w:r>
      <w:r w:rsidR="000F5D31">
        <w:t>,</w:t>
      </w:r>
      <w:r w:rsidRPr="007C6082">
        <w:t xml:space="preserve"> assess which category you fit into</w:t>
      </w:r>
      <w:r w:rsidR="00D45FD5">
        <w:t>:</w:t>
      </w:r>
      <w:r w:rsidRPr="007C6082">
        <w:t xml:space="preserve"> </w:t>
      </w:r>
      <w:r w:rsidRPr="0037627B">
        <w:rPr>
          <w:i/>
          <w:iCs/>
        </w:rPr>
        <w:t xml:space="preserve">Low risk – </w:t>
      </w:r>
      <w:r w:rsidR="00442632">
        <w:rPr>
          <w:i/>
          <w:iCs/>
        </w:rPr>
        <w:t>N</w:t>
      </w:r>
      <w:r w:rsidRPr="0037627B">
        <w:rPr>
          <w:i/>
          <w:iCs/>
        </w:rPr>
        <w:t>o further action</w:t>
      </w:r>
      <w:r w:rsidRPr="007C6082">
        <w:t xml:space="preserve"> or </w:t>
      </w:r>
      <w:r w:rsidRPr="0037627B">
        <w:rPr>
          <w:i/>
          <w:iCs/>
        </w:rPr>
        <w:t>Further assessment required</w:t>
      </w:r>
      <w:r w:rsidRPr="007C6082">
        <w:t>. If the latter applies</w:t>
      </w:r>
      <w:r w:rsidR="000F5D31">
        <w:t>,</w:t>
      </w:r>
      <w:r w:rsidRPr="007C6082">
        <w:t xml:space="preserve"> move to the next line and repeat. </w:t>
      </w: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CellMar>
          <w:left w:w="57" w:type="dxa"/>
          <w:right w:w="57" w:type="dxa"/>
        </w:tblCellMar>
        <w:tblLook w:val="04A0" w:firstRow="1" w:lastRow="0" w:firstColumn="1" w:lastColumn="0" w:noHBand="0" w:noVBand="1"/>
      </w:tblPr>
      <w:tblGrid>
        <w:gridCol w:w="1812"/>
        <w:gridCol w:w="1739"/>
        <w:gridCol w:w="1949"/>
        <w:gridCol w:w="2454"/>
        <w:gridCol w:w="1273"/>
        <w:gridCol w:w="1215"/>
        <w:gridCol w:w="1368"/>
        <w:gridCol w:w="1285"/>
        <w:gridCol w:w="1420"/>
      </w:tblGrid>
      <w:tr w:rsidR="00056E6F" w:rsidRPr="007C6082" w14:paraId="686F8803" w14:textId="77777777" w:rsidTr="00F4634F">
        <w:trPr>
          <w:tblHeader/>
        </w:trPr>
        <w:tc>
          <w:tcPr>
            <w:tcW w:w="7954" w:type="dxa"/>
            <w:gridSpan w:val="4"/>
            <w:tcBorders>
              <w:bottom w:val="single" w:sz="4" w:space="0" w:color="1B556B" w:themeColor="text2"/>
            </w:tcBorders>
            <w:shd w:val="clear" w:color="auto" w:fill="32809C"/>
          </w:tcPr>
          <w:p w14:paraId="1B272FBE" w14:textId="77777777" w:rsidR="00DC00ED" w:rsidRPr="0032286A" w:rsidRDefault="00DC00ED" w:rsidP="00D361B4">
            <w:pPr>
              <w:pStyle w:val="TableTextbold"/>
              <w:keepNext/>
              <w:rPr>
                <w:rFonts w:cs="Calibri"/>
                <w:color w:val="FFFFFF" w:themeColor="background1"/>
                <w:szCs w:val="18"/>
              </w:rPr>
            </w:pPr>
            <w:bookmarkStart w:id="2" w:name="_Toc193125113"/>
            <w:r w:rsidRPr="0032286A">
              <w:rPr>
                <w:rFonts w:cs="Calibri"/>
                <w:color w:val="FFFFFF" w:themeColor="background1"/>
                <w:szCs w:val="18"/>
              </w:rPr>
              <w:t>Criteria and action</w:t>
            </w:r>
          </w:p>
        </w:tc>
        <w:tc>
          <w:tcPr>
            <w:tcW w:w="6561" w:type="dxa"/>
            <w:gridSpan w:val="5"/>
            <w:tcBorders>
              <w:bottom w:val="single" w:sz="4" w:space="0" w:color="1B556B" w:themeColor="text2"/>
            </w:tcBorders>
            <w:shd w:val="clear" w:color="auto" w:fill="2C9986"/>
          </w:tcPr>
          <w:p w14:paraId="495F4F3C" w14:textId="77777777" w:rsidR="00DC00ED" w:rsidRPr="0032286A" w:rsidRDefault="00DC00ED" w:rsidP="004B4007">
            <w:pPr>
              <w:pStyle w:val="TableTextbold"/>
              <w:keepNext/>
              <w:jc w:val="center"/>
              <w:rPr>
                <w:rFonts w:cs="Calibri"/>
                <w:color w:val="FFFFFF" w:themeColor="background1"/>
                <w:szCs w:val="18"/>
              </w:rPr>
            </w:pPr>
            <w:r w:rsidRPr="0032286A">
              <w:rPr>
                <w:rFonts w:cs="Calibri"/>
                <w:color w:val="FFFFFF" w:themeColor="background1"/>
                <w:szCs w:val="18"/>
              </w:rPr>
              <w:t>Suitability of criteria for a regulation</w:t>
            </w:r>
          </w:p>
        </w:tc>
      </w:tr>
      <w:tr w:rsidR="00384E43" w:rsidRPr="00E83D30" w14:paraId="0CBEC3DE" w14:textId="77777777" w:rsidTr="00384E43">
        <w:trPr>
          <w:tblHeader/>
        </w:trPr>
        <w:tc>
          <w:tcPr>
            <w:tcW w:w="1812" w:type="dxa"/>
            <w:shd w:val="clear" w:color="auto" w:fill="D2DDE1" w:themeFill="background2"/>
            <w:vAlign w:val="bottom"/>
          </w:tcPr>
          <w:p w14:paraId="19C1C56A" w14:textId="77777777" w:rsidR="00DC00ED" w:rsidRPr="00E83D30" w:rsidRDefault="00DC00ED" w:rsidP="00D361B4">
            <w:pPr>
              <w:pStyle w:val="TableText"/>
              <w:keepNext/>
              <w:rPr>
                <w:rFonts w:cs="Calibri"/>
                <w:b/>
                <w:bCs/>
                <w:szCs w:val="18"/>
              </w:rPr>
            </w:pPr>
            <w:r w:rsidRPr="00E83D30">
              <w:rPr>
                <w:rFonts w:cs="Calibri"/>
                <w:b/>
                <w:bCs/>
                <w:szCs w:val="18"/>
              </w:rPr>
              <w:t>Risk indicator</w:t>
            </w:r>
          </w:p>
        </w:tc>
        <w:tc>
          <w:tcPr>
            <w:tcW w:w="1739" w:type="dxa"/>
            <w:shd w:val="clear" w:color="auto" w:fill="D2DDE1" w:themeFill="background2"/>
            <w:vAlign w:val="bottom"/>
          </w:tcPr>
          <w:p w14:paraId="39BF43AF" w14:textId="77777777" w:rsidR="00DC00ED" w:rsidRPr="00E83D30" w:rsidRDefault="00DC00ED" w:rsidP="00D361B4">
            <w:pPr>
              <w:pStyle w:val="TableText"/>
              <w:keepNext/>
              <w:rPr>
                <w:rFonts w:cs="Calibri"/>
                <w:b/>
                <w:bCs/>
                <w:szCs w:val="18"/>
              </w:rPr>
            </w:pPr>
            <w:r w:rsidRPr="00E83D30">
              <w:rPr>
                <w:rFonts w:cs="Calibri"/>
                <w:b/>
                <w:bCs/>
                <w:szCs w:val="18"/>
              </w:rPr>
              <w:t>Proposed means of measurement</w:t>
            </w:r>
          </w:p>
        </w:tc>
        <w:tc>
          <w:tcPr>
            <w:tcW w:w="1949" w:type="dxa"/>
            <w:tcBorders>
              <w:bottom w:val="single" w:sz="4" w:space="0" w:color="1B556B" w:themeColor="text2"/>
            </w:tcBorders>
            <w:shd w:val="clear" w:color="auto" w:fill="D2DDE1" w:themeFill="background2"/>
            <w:vAlign w:val="bottom"/>
          </w:tcPr>
          <w:p w14:paraId="799451AF" w14:textId="77777777" w:rsidR="00DC00ED" w:rsidRPr="00E83D30" w:rsidRDefault="00DC00ED" w:rsidP="00D361B4">
            <w:pPr>
              <w:pStyle w:val="TableText"/>
              <w:keepNext/>
              <w:rPr>
                <w:rFonts w:cs="Calibri"/>
                <w:b/>
                <w:bCs/>
                <w:szCs w:val="18"/>
              </w:rPr>
            </w:pPr>
            <w:r w:rsidRPr="00E83D30">
              <w:rPr>
                <w:rFonts w:cs="Calibri"/>
                <w:b/>
                <w:bCs/>
                <w:szCs w:val="18"/>
              </w:rPr>
              <w:t>Threshold for action</w:t>
            </w:r>
          </w:p>
        </w:tc>
        <w:tc>
          <w:tcPr>
            <w:tcW w:w="2454" w:type="dxa"/>
            <w:tcBorders>
              <w:bottom w:val="single" w:sz="4" w:space="0" w:color="1B556B" w:themeColor="text2"/>
            </w:tcBorders>
            <w:shd w:val="clear" w:color="auto" w:fill="D2DDE1" w:themeFill="background2"/>
            <w:vAlign w:val="bottom"/>
          </w:tcPr>
          <w:p w14:paraId="4A0EA0DB" w14:textId="77777777" w:rsidR="00DC00ED" w:rsidRPr="00E83D30" w:rsidRDefault="00DC00ED" w:rsidP="00D361B4">
            <w:pPr>
              <w:pStyle w:val="TableText"/>
              <w:keepNext/>
              <w:rPr>
                <w:rFonts w:cs="Calibri"/>
                <w:b/>
                <w:bCs/>
                <w:szCs w:val="18"/>
              </w:rPr>
            </w:pPr>
            <w:r w:rsidRPr="00E83D30">
              <w:rPr>
                <w:rFonts w:cs="Calibri"/>
                <w:b/>
                <w:bCs/>
                <w:szCs w:val="18"/>
              </w:rPr>
              <w:t>Action</w:t>
            </w:r>
          </w:p>
        </w:tc>
        <w:tc>
          <w:tcPr>
            <w:tcW w:w="1273" w:type="dxa"/>
            <w:shd w:val="clear" w:color="auto" w:fill="D5EBE8" w:themeFill="accent3"/>
            <w:vAlign w:val="bottom"/>
          </w:tcPr>
          <w:p w14:paraId="2E3DDC2F" w14:textId="77777777" w:rsidR="00DC00ED" w:rsidRPr="00E83D30" w:rsidRDefault="00DC00ED" w:rsidP="00D361B4">
            <w:pPr>
              <w:pStyle w:val="TableText"/>
              <w:keepNext/>
              <w:rPr>
                <w:rFonts w:cs="Calibri"/>
                <w:b/>
                <w:bCs/>
                <w:szCs w:val="18"/>
              </w:rPr>
            </w:pPr>
            <w:r w:rsidRPr="00E83D30">
              <w:rPr>
                <w:rFonts w:cs="Calibri"/>
                <w:b/>
                <w:bCs/>
                <w:szCs w:val="18"/>
              </w:rPr>
              <w:t xml:space="preserve">Is this a certain predictor of risk? (noting risk is on a continuum) </w:t>
            </w:r>
          </w:p>
        </w:tc>
        <w:tc>
          <w:tcPr>
            <w:tcW w:w="1215" w:type="dxa"/>
            <w:shd w:val="clear" w:color="auto" w:fill="D5EBE8" w:themeFill="accent3"/>
            <w:vAlign w:val="bottom"/>
          </w:tcPr>
          <w:p w14:paraId="1634BCC3" w14:textId="77777777" w:rsidR="00DC00ED" w:rsidRPr="00E83D30" w:rsidRDefault="00DC00ED" w:rsidP="00D361B4">
            <w:pPr>
              <w:pStyle w:val="TableText"/>
              <w:keepNext/>
              <w:rPr>
                <w:rFonts w:cs="Calibri"/>
                <w:b/>
                <w:bCs/>
                <w:szCs w:val="18"/>
              </w:rPr>
            </w:pPr>
            <w:r w:rsidRPr="00E83D30">
              <w:rPr>
                <w:rFonts w:cs="Calibri"/>
                <w:b/>
                <w:bCs/>
                <w:szCs w:val="18"/>
              </w:rPr>
              <w:t>Relevant evidence of cause or consequence?</w:t>
            </w:r>
          </w:p>
        </w:tc>
        <w:tc>
          <w:tcPr>
            <w:tcW w:w="1368" w:type="dxa"/>
            <w:shd w:val="clear" w:color="auto" w:fill="D5EBE8" w:themeFill="accent3"/>
            <w:vAlign w:val="bottom"/>
          </w:tcPr>
          <w:p w14:paraId="003A3579" w14:textId="77777777" w:rsidR="00DC00ED" w:rsidRPr="00E83D30" w:rsidRDefault="00DC00ED" w:rsidP="00D361B4">
            <w:pPr>
              <w:pStyle w:val="TableText"/>
              <w:keepNext/>
              <w:rPr>
                <w:rFonts w:cs="Calibri"/>
                <w:b/>
                <w:bCs/>
                <w:szCs w:val="18"/>
              </w:rPr>
            </w:pPr>
            <w:r w:rsidRPr="00E83D30">
              <w:rPr>
                <w:rFonts w:cs="Calibri"/>
                <w:b/>
                <w:bCs/>
                <w:szCs w:val="18"/>
              </w:rPr>
              <w:t>Is information available to all parties</w:t>
            </w:r>
          </w:p>
        </w:tc>
        <w:tc>
          <w:tcPr>
            <w:tcW w:w="1285" w:type="dxa"/>
            <w:shd w:val="clear" w:color="auto" w:fill="D5EBE8" w:themeFill="accent3"/>
            <w:vAlign w:val="bottom"/>
          </w:tcPr>
          <w:p w14:paraId="54221203" w14:textId="77777777" w:rsidR="00DC00ED" w:rsidRPr="00E83D30" w:rsidRDefault="00DC00ED" w:rsidP="00D361B4">
            <w:pPr>
              <w:pStyle w:val="TableText"/>
              <w:keepNext/>
              <w:rPr>
                <w:rFonts w:cs="Calibri"/>
                <w:b/>
                <w:bCs/>
                <w:szCs w:val="18"/>
              </w:rPr>
            </w:pPr>
            <w:r w:rsidRPr="00E83D30">
              <w:rPr>
                <w:rFonts w:cs="Calibri"/>
                <w:b/>
                <w:bCs/>
                <w:szCs w:val="18"/>
              </w:rPr>
              <w:t>Is this information easy to use?</w:t>
            </w:r>
          </w:p>
        </w:tc>
        <w:tc>
          <w:tcPr>
            <w:tcW w:w="1420" w:type="dxa"/>
            <w:shd w:val="clear" w:color="auto" w:fill="D5EBE8" w:themeFill="accent3"/>
            <w:vAlign w:val="bottom"/>
          </w:tcPr>
          <w:p w14:paraId="3A19D9A1" w14:textId="77777777" w:rsidR="00DC00ED" w:rsidRPr="00E83D30" w:rsidRDefault="00DC00ED" w:rsidP="00D361B4">
            <w:pPr>
              <w:pStyle w:val="TableText"/>
              <w:keepNext/>
              <w:rPr>
                <w:rFonts w:cs="Calibri"/>
                <w:b/>
                <w:bCs/>
                <w:szCs w:val="18"/>
              </w:rPr>
            </w:pPr>
            <w:r w:rsidRPr="00E83D30">
              <w:rPr>
                <w:rFonts w:cs="Calibri"/>
                <w:b/>
                <w:bCs/>
                <w:szCs w:val="18"/>
              </w:rPr>
              <w:t>Is the indicator readily measurable to a meaningful level of accuracy?</w:t>
            </w:r>
          </w:p>
        </w:tc>
      </w:tr>
      <w:tr w:rsidR="002721D2" w:rsidRPr="007C6082" w14:paraId="640395CE" w14:textId="77777777" w:rsidTr="00384E43">
        <w:tc>
          <w:tcPr>
            <w:tcW w:w="1812" w:type="dxa"/>
            <w:vMerge w:val="restart"/>
            <w:shd w:val="clear" w:color="auto" w:fill="auto"/>
          </w:tcPr>
          <w:p w14:paraId="0D6CCEFA" w14:textId="6E11144C" w:rsidR="00DC00ED" w:rsidRPr="007C6082" w:rsidRDefault="00DC00ED" w:rsidP="005E7004">
            <w:pPr>
              <w:pStyle w:val="Tablenum"/>
              <w:keepNext/>
              <w:spacing w:before="60"/>
              <w:rPr>
                <w:rFonts w:cs="Calibri"/>
                <w:szCs w:val="18"/>
              </w:rPr>
            </w:pPr>
            <w:r w:rsidRPr="007C6082">
              <w:rPr>
                <w:rFonts w:cs="Calibri"/>
                <w:szCs w:val="18"/>
              </w:rPr>
              <w:t xml:space="preserve">ESC </w:t>
            </w:r>
            <w:r w:rsidR="00822849">
              <w:rPr>
                <w:rFonts w:cs="Calibri"/>
                <w:szCs w:val="18"/>
              </w:rPr>
              <w:t>r</w:t>
            </w:r>
            <w:r w:rsidRPr="007C6082">
              <w:rPr>
                <w:rFonts w:cs="Calibri"/>
                <w:szCs w:val="18"/>
              </w:rPr>
              <w:t xml:space="preserve">ating </w:t>
            </w:r>
          </w:p>
        </w:tc>
        <w:tc>
          <w:tcPr>
            <w:tcW w:w="1739" w:type="dxa"/>
            <w:vMerge w:val="restart"/>
            <w:shd w:val="clear" w:color="auto" w:fill="auto"/>
          </w:tcPr>
          <w:p w14:paraId="224D108F" w14:textId="77777777" w:rsidR="00DC00ED" w:rsidRPr="007C6082" w:rsidRDefault="00DC00ED" w:rsidP="00D361B4">
            <w:pPr>
              <w:pStyle w:val="TableText"/>
              <w:keepNext/>
              <w:rPr>
                <w:rFonts w:cs="Calibri"/>
                <w:szCs w:val="18"/>
              </w:rPr>
            </w:pPr>
            <w:r w:rsidRPr="007C6082">
              <w:rPr>
                <w:rFonts w:cs="Calibri"/>
                <w:szCs w:val="18"/>
              </w:rPr>
              <w:t>Erosion Susceptibility Classification</w:t>
            </w:r>
          </w:p>
        </w:tc>
        <w:tc>
          <w:tcPr>
            <w:tcW w:w="1949" w:type="dxa"/>
            <w:tcBorders>
              <w:bottom w:val="nil"/>
            </w:tcBorders>
            <w:shd w:val="clear" w:color="auto" w:fill="auto"/>
          </w:tcPr>
          <w:p w14:paraId="0180F939" w14:textId="77777777" w:rsidR="00DC00ED" w:rsidRPr="007C6082" w:rsidRDefault="00DC00ED" w:rsidP="00384E43">
            <w:pPr>
              <w:pStyle w:val="TableText"/>
              <w:keepNext/>
              <w:spacing w:after="0"/>
              <w:rPr>
                <w:rFonts w:cs="Calibri"/>
                <w:szCs w:val="18"/>
              </w:rPr>
            </w:pPr>
            <w:r w:rsidRPr="007C6082">
              <w:rPr>
                <w:rFonts w:cs="Calibri"/>
                <w:szCs w:val="18"/>
              </w:rPr>
              <w:t>Green (low)→</w:t>
            </w:r>
          </w:p>
        </w:tc>
        <w:tc>
          <w:tcPr>
            <w:tcW w:w="2454" w:type="dxa"/>
            <w:tcBorders>
              <w:bottom w:val="nil"/>
            </w:tcBorders>
            <w:shd w:val="clear" w:color="auto" w:fill="auto"/>
          </w:tcPr>
          <w:p w14:paraId="4BE5A6D2" w14:textId="77777777" w:rsidR="00DC00ED" w:rsidRPr="007C6082" w:rsidRDefault="00DC00ED" w:rsidP="00CD1E47">
            <w:pPr>
              <w:pStyle w:val="TableText"/>
              <w:keepNext/>
              <w:spacing w:after="0"/>
              <w:rPr>
                <w:rFonts w:cs="Calibri"/>
                <w:szCs w:val="18"/>
              </w:rPr>
            </w:pPr>
            <w:r w:rsidRPr="007C6082">
              <w:rPr>
                <w:rFonts w:cs="Calibri"/>
                <w:szCs w:val="18"/>
              </w:rPr>
              <w:t>→ Low risk – No further action</w:t>
            </w:r>
          </w:p>
        </w:tc>
        <w:tc>
          <w:tcPr>
            <w:tcW w:w="1273" w:type="dxa"/>
            <w:vMerge w:val="restart"/>
            <w:shd w:val="clear" w:color="auto" w:fill="auto"/>
          </w:tcPr>
          <w:p w14:paraId="443D9916" w14:textId="011A8C5A" w:rsidR="00DC00ED" w:rsidRPr="007C6082" w:rsidRDefault="00DC00ED" w:rsidP="00D361B4">
            <w:pPr>
              <w:pStyle w:val="TableText"/>
              <w:keepNext/>
              <w:rPr>
                <w:rFonts w:cs="Calibri"/>
                <w:szCs w:val="18"/>
              </w:rPr>
            </w:pPr>
            <w:r w:rsidRPr="007C6082">
              <w:rPr>
                <w:rFonts w:cs="Calibri"/>
                <w:szCs w:val="18"/>
              </w:rPr>
              <w:t>Yes</w:t>
            </w:r>
            <w:r w:rsidR="00FE2CFC">
              <w:rPr>
                <w:rFonts w:cs="Calibri"/>
                <w:szCs w:val="18"/>
              </w:rPr>
              <w:t>.</w:t>
            </w:r>
            <w:r w:rsidRPr="007C6082">
              <w:rPr>
                <w:rStyle w:val="FootnoteReference"/>
                <w:rFonts w:cs="Calibri"/>
                <w:sz w:val="18"/>
                <w:szCs w:val="18"/>
              </w:rPr>
              <w:footnoteReference w:id="2"/>
            </w:r>
          </w:p>
        </w:tc>
        <w:tc>
          <w:tcPr>
            <w:tcW w:w="1215" w:type="dxa"/>
            <w:vMerge w:val="restart"/>
          </w:tcPr>
          <w:p w14:paraId="0A26BB49" w14:textId="7DD436A5" w:rsidR="00DC00ED" w:rsidRPr="007C6082" w:rsidRDefault="00DC00ED" w:rsidP="00D361B4">
            <w:pPr>
              <w:pStyle w:val="TableText"/>
              <w:keepNext/>
              <w:rPr>
                <w:rFonts w:cs="Calibri"/>
                <w:szCs w:val="18"/>
              </w:rPr>
            </w:pPr>
            <w:r w:rsidRPr="007C6082">
              <w:rPr>
                <w:rFonts w:cs="Calibri"/>
                <w:szCs w:val="18"/>
              </w:rPr>
              <w:t>Yes</w:t>
            </w:r>
            <w:r w:rsidR="00FE2CFC">
              <w:rPr>
                <w:rFonts w:cs="Calibri"/>
                <w:szCs w:val="18"/>
              </w:rPr>
              <w:t>.</w:t>
            </w:r>
          </w:p>
        </w:tc>
        <w:tc>
          <w:tcPr>
            <w:tcW w:w="1368" w:type="dxa"/>
            <w:vMerge w:val="restart"/>
          </w:tcPr>
          <w:p w14:paraId="0AEB8E47" w14:textId="405C58D0" w:rsidR="00DC00ED" w:rsidRPr="007C6082" w:rsidRDefault="00DC00ED" w:rsidP="00D361B4">
            <w:pPr>
              <w:pStyle w:val="TableText"/>
              <w:keepNext/>
              <w:rPr>
                <w:rFonts w:cs="Calibri"/>
                <w:szCs w:val="18"/>
              </w:rPr>
            </w:pPr>
            <w:r w:rsidRPr="007C6082">
              <w:rPr>
                <w:rFonts w:cs="Calibri"/>
                <w:szCs w:val="18"/>
              </w:rPr>
              <w:t>Yes</w:t>
            </w:r>
            <w:r w:rsidR="00FE2CFC">
              <w:rPr>
                <w:rFonts w:cs="Calibri"/>
                <w:szCs w:val="18"/>
              </w:rPr>
              <w:t>.</w:t>
            </w:r>
          </w:p>
        </w:tc>
        <w:tc>
          <w:tcPr>
            <w:tcW w:w="1285" w:type="dxa"/>
            <w:vMerge w:val="restart"/>
          </w:tcPr>
          <w:p w14:paraId="09BDFA76" w14:textId="46F7626B" w:rsidR="00DC00ED" w:rsidRPr="007C6082" w:rsidRDefault="00DC00ED" w:rsidP="00D361B4">
            <w:pPr>
              <w:pStyle w:val="TableText"/>
              <w:keepNext/>
              <w:rPr>
                <w:rFonts w:cs="Calibri"/>
                <w:szCs w:val="18"/>
              </w:rPr>
            </w:pPr>
            <w:r w:rsidRPr="007C6082">
              <w:rPr>
                <w:rFonts w:cs="Calibri"/>
                <w:szCs w:val="18"/>
              </w:rPr>
              <w:t>Yes</w:t>
            </w:r>
            <w:r w:rsidR="00FE2CFC">
              <w:rPr>
                <w:rFonts w:cs="Calibri"/>
                <w:szCs w:val="18"/>
              </w:rPr>
              <w:t>.</w:t>
            </w:r>
          </w:p>
        </w:tc>
        <w:tc>
          <w:tcPr>
            <w:tcW w:w="1420" w:type="dxa"/>
            <w:vMerge w:val="restart"/>
          </w:tcPr>
          <w:p w14:paraId="583E2AFA" w14:textId="77777777" w:rsidR="00DC00ED" w:rsidRPr="007C6082" w:rsidRDefault="00DC00ED" w:rsidP="00D361B4">
            <w:pPr>
              <w:pStyle w:val="TableText"/>
              <w:keepNext/>
              <w:rPr>
                <w:rFonts w:cs="Calibri"/>
                <w:szCs w:val="18"/>
              </w:rPr>
            </w:pPr>
            <w:r w:rsidRPr="007C6082">
              <w:rPr>
                <w:rFonts w:cs="Calibri"/>
                <w:szCs w:val="18"/>
              </w:rPr>
              <w:t>Only as a drafting gate to further assessment</w:t>
            </w:r>
          </w:p>
        </w:tc>
      </w:tr>
      <w:tr w:rsidR="002721D2" w:rsidRPr="007C6082" w14:paraId="7A8A4A8D" w14:textId="77777777" w:rsidTr="00384E43">
        <w:tc>
          <w:tcPr>
            <w:tcW w:w="1812" w:type="dxa"/>
            <w:vMerge/>
            <w:shd w:val="clear" w:color="auto" w:fill="auto"/>
          </w:tcPr>
          <w:p w14:paraId="7896E9A2" w14:textId="77777777" w:rsidR="00DC00ED" w:rsidRPr="007C6082" w:rsidRDefault="00DC00ED" w:rsidP="00DC00ED">
            <w:pPr>
              <w:pStyle w:val="Tablenum"/>
              <w:rPr>
                <w:rFonts w:cs="Calibri"/>
                <w:szCs w:val="18"/>
              </w:rPr>
            </w:pPr>
          </w:p>
        </w:tc>
        <w:tc>
          <w:tcPr>
            <w:tcW w:w="1739" w:type="dxa"/>
            <w:vMerge/>
            <w:shd w:val="clear" w:color="auto" w:fill="auto"/>
          </w:tcPr>
          <w:p w14:paraId="508DD7F9" w14:textId="77777777" w:rsidR="00DC00ED" w:rsidRPr="007C6082" w:rsidRDefault="00DC00ED" w:rsidP="00DC00ED">
            <w:pPr>
              <w:pStyle w:val="TableText"/>
              <w:rPr>
                <w:rFonts w:cs="Calibri"/>
                <w:szCs w:val="18"/>
              </w:rPr>
            </w:pPr>
          </w:p>
        </w:tc>
        <w:tc>
          <w:tcPr>
            <w:tcW w:w="1949" w:type="dxa"/>
            <w:tcBorders>
              <w:top w:val="nil"/>
              <w:bottom w:val="nil"/>
            </w:tcBorders>
            <w:shd w:val="clear" w:color="auto" w:fill="auto"/>
          </w:tcPr>
          <w:p w14:paraId="6CA3497D" w14:textId="77777777" w:rsidR="00DC00ED" w:rsidRPr="007C6082" w:rsidRDefault="00DC00ED" w:rsidP="00384E43">
            <w:pPr>
              <w:pStyle w:val="TableText"/>
              <w:spacing w:after="0"/>
              <w:rPr>
                <w:rFonts w:cs="Calibri"/>
                <w:szCs w:val="18"/>
              </w:rPr>
            </w:pPr>
            <w:r w:rsidRPr="007C6082">
              <w:rPr>
                <w:rFonts w:cs="Calibri"/>
                <w:szCs w:val="18"/>
              </w:rPr>
              <w:t>Yellow (medium) →</w:t>
            </w:r>
          </w:p>
        </w:tc>
        <w:tc>
          <w:tcPr>
            <w:tcW w:w="2454" w:type="dxa"/>
            <w:tcBorders>
              <w:top w:val="nil"/>
              <w:bottom w:val="nil"/>
            </w:tcBorders>
            <w:shd w:val="clear" w:color="auto" w:fill="auto"/>
          </w:tcPr>
          <w:p w14:paraId="4F473F0A" w14:textId="77777777" w:rsidR="00DC00ED" w:rsidRPr="007C6082" w:rsidRDefault="00DC00ED" w:rsidP="00CD1E47">
            <w:pPr>
              <w:pStyle w:val="TableText"/>
              <w:spacing w:before="0" w:after="0"/>
              <w:rPr>
                <w:rFonts w:cs="Calibri"/>
                <w:szCs w:val="18"/>
              </w:rPr>
            </w:pPr>
            <w:r w:rsidRPr="007C6082">
              <w:rPr>
                <w:rFonts w:cs="Calibri"/>
                <w:szCs w:val="18"/>
              </w:rPr>
              <w:t>→ Low risk – No further action</w:t>
            </w:r>
          </w:p>
        </w:tc>
        <w:tc>
          <w:tcPr>
            <w:tcW w:w="1273" w:type="dxa"/>
            <w:vMerge/>
            <w:shd w:val="clear" w:color="auto" w:fill="auto"/>
          </w:tcPr>
          <w:p w14:paraId="7B4A3B92" w14:textId="77777777" w:rsidR="00DC00ED" w:rsidRPr="007C6082" w:rsidRDefault="00DC00ED" w:rsidP="00DC00ED">
            <w:pPr>
              <w:pStyle w:val="TableText"/>
              <w:rPr>
                <w:rFonts w:cs="Calibri"/>
                <w:szCs w:val="18"/>
              </w:rPr>
            </w:pPr>
          </w:p>
        </w:tc>
        <w:tc>
          <w:tcPr>
            <w:tcW w:w="1215" w:type="dxa"/>
            <w:vMerge/>
          </w:tcPr>
          <w:p w14:paraId="69DC412E" w14:textId="77777777" w:rsidR="00DC00ED" w:rsidRPr="007C6082" w:rsidRDefault="00DC00ED" w:rsidP="00DC00ED">
            <w:pPr>
              <w:pStyle w:val="TableText"/>
              <w:rPr>
                <w:rFonts w:cs="Calibri"/>
                <w:szCs w:val="18"/>
              </w:rPr>
            </w:pPr>
          </w:p>
        </w:tc>
        <w:tc>
          <w:tcPr>
            <w:tcW w:w="1368" w:type="dxa"/>
            <w:vMerge/>
          </w:tcPr>
          <w:p w14:paraId="41BD6657" w14:textId="77777777" w:rsidR="00DC00ED" w:rsidRPr="007C6082" w:rsidRDefault="00DC00ED" w:rsidP="00DC00ED">
            <w:pPr>
              <w:pStyle w:val="TableText"/>
              <w:rPr>
                <w:rFonts w:cs="Calibri"/>
                <w:szCs w:val="18"/>
              </w:rPr>
            </w:pPr>
          </w:p>
        </w:tc>
        <w:tc>
          <w:tcPr>
            <w:tcW w:w="1285" w:type="dxa"/>
            <w:vMerge/>
          </w:tcPr>
          <w:p w14:paraId="1A0BEF46" w14:textId="77777777" w:rsidR="00DC00ED" w:rsidRPr="007C6082" w:rsidRDefault="00DC00ED" w:rsidP="00DC00ED">
            <w:pPr>
              <w:pStyle w:val="TableText"/>
              <w:rPr>
                <w:rFonts w:cs="Calibri"/>
                <w:szCs w:val="18"/>
              </w:rPr>
            </w:pPr>
          </w:p>
        </w:tc>
        <w:tc>
          <w:tcPr>
            <w:tcW w:w="1420" w:type="dxa"/>
            <w:vMerge/>
          </w:tcPr>
          <w:p w14:paraId="56E717D6" w14:textId="77777777" w:rsidR="00DC00ED" w:rsidRPr="007C6082" w:rsidRDefault="00DC00ED" w:rsidP="00DC00ED">
            <w:pPr>
              <w:pStyle w:val="TableText"/>
              <w:rPr>
                <w:rFonts w:cs="Calibri"/>
                <w:szCs w:val="18"/>
              </w:rPr>
            </w:pPr>
          </w:p>
        </w:tc>
      </w:tr>
      <w:tr w:rsidR="002721D2" w:rsidRPr="007C6082" w14:paraId="01D00014" w14:textId="77777777" w:rsidTr="00384E43">
        <w:tc>
          <w:tcPr>
            <w:tcW w:w="1812" w:type="dxa"/>
            <w:vMerge/>
            <w:shd w:val="clear" w:color="auto" w:fill="auto"/>
          </w:tcPr>
          <w:p w14:paraId="265AECF3" w14:textId="77777777" w:rsidR="00DC00ED" w:rsidRPr="007C6082" w:rsidRDefault="00DC00ED" w:rsidP="00DC00ED">
            <w:pPr>
              <w:pStyle w:val="Tablenum"/>
              <w:rPr>
                <w:rFonts w:cs="Calibri"/>
                <w:szCs w:val="18"/>
              </w:rPr>
            </w:pPr>
          </w:p>
        </w:tc>
        <w:tc>
          <w:tcPr>
            <w:tcW w:w="1739" w:type="dxa"/>
            <w:vMerge/>
            <w:shd w:val="clear" w:color="auto" w:fill="auto"/>
          </w:tcPr>
          <w:p w14:paraId="0940E525" w14:textId="77777777" w:rsidR="00DC00ED" w:rsidRPr="007C6082" w:rsidRDefault="00DC00ED" w:rsidP="00DC00ED">
            <w:pPr>
              <w:pStyle w:val="TableText"/>
              <w:rPr>
                <w:rFonts w:cs="Calibri"/>
                <w:szCs w:val="18"/>
              </w:rPr>
            </w:pPr>
          </w:p>
        </w:tc>
        <w:tc>
          <w:tcPr>
            <w:tcW w:w="1949" w:type="dxa"/>
            <w:tcBorders>
              <w:top w:val="nil"/>
              <w:bottom w:val="nil"/>
            </w:tcBorders>
            <w:shd w:val="clear" w:color="auto" w:fill="auto"/>
          </w:tcPr>
          <w:p w14:paraId="19A37F21" w14:textId="77777777" w:rsidR="00DC00ED" w:rsidRPr="007C6082" w:rsidRDefault="00DC00ED" w:rsidP="00384E43">
            <w:pPr>
              <w:pStyle w:val="TableText"/>
              <w:spacing w:after="0"/>
              <w:rPr>
                <w:rFonts w:cs="Calibri"/>
                <w:szCs w:val="18"/>
              </w:rPr>
            </w:pPr>
            <w:r w:rsidRPr="007C6082">
              <w:rPr>
                <w:rFonts w:cs="Calibri"/>
                <w:szCs w:val="18"/>
              </w:rPr>
              <w:t>Orange</w:t>
            </w:r>
            <w:r w:rsidRPr="007C6082">
              <w:rPr>
                <w:rStyle w:val="FootnoteReference"/>
                <w:rFonts w:cs="Calibri"/>
                <w:sz w:val="18"/>
                <w:szCs w:val="18"/>
              </w:rPr>
              <w:footnoteReference w:id="3"/>
            </w:r>
            <w:r w:rsidRPr="007C6082">
              <w:rPr>
                <w:rFonts w:cs="Calibri"/>
                <w:szCs w:val="18"/>
              </w:rPr>
              <w:t xml:space="preserve"> (high) →</w:t>
            </w:r>
          </w:p>
        </w:tc>
        <w:tc>
          <w:tcPr>
            <w:tcW w:w="2454" w:type="dxa"/>
            <w:tcBorders>
              <w:top w:val="nil"/>
              <w:bottom w:val="nil"/>
            </w:tcBorders>
            <w:shd w:val="clear" w:color="auto" w:fill="auto"/>
          </w:tcPr>
          <w:p w14:paraId="3050E1CB" w14:textId="5AFE097E" w:rsidR="00DC00ED" w:rsidRPr="007C6082" w:rsidRDefault="00DC00ED" w:rsidP="00CD1E47">
            <w:pPr>
              <w:pStyle w:val="TableText"/>
              <w:spacing w:before="0" w:after="0"/>
              <w:rPr>
                <w:rFonts w:cs="Calibri"/>
                <w:szCs w:val="18"/>
              </w:rPr>
            </w:pPr>
            <w:r w:rsidRPr="007C6082">
              <w:rPr>
                <w:rFonts w:cs="Calibri"/>
                <w:szCs w:val="18"/>
              </w:rPr>
              <w:t xml:space="preserve">→ Higher risk </w:t>
            </w:r>
            <w:r w:rsidR="00462FE8">
              <w:rPr>
                <w:rFonts w:cs="Calibri"/>
                <w:szCs w:val="18"/>
              </w:rPr>
              <w:t>–</w:t>
            </w:r>
            <w:r w:rsidRPr="007C6082">
              <w:rPr>
                <w:rFonts w:cs="Calibri"/>
                <w:szCs w:val="18"/>
              </w:rPr>
              <w:t xml:space="preserve"> </w:t>
            </w:r>
            <w:r w:rsidRPr="007C6082">
              <w:rPr>
                <w:rFonts w:cs="Calibri"/>
                <w:color w:val="FF0000"/>
                <w:szCs w:val="18"/>
              </w:rPr>
              <w:t xml:space="preserve">Further assessment </w:t>
            </w:r>
          </w:p>
        </w:tc>
        <w:tc>
          <w:tcPr>
            <w:tcW w:w="1273" w:type="dxa"/>
            <w:vMerge/>
            <w:shd w:val="clear" w:color="auto" w:fill="auto"/>
          </w:tcPr>
          <w:p w14:paraId="29F2E331" w14:textId="77777777" w:rsidR="00DC00ED" w:rsidRPr="007C6082" w:rsidRDefault="00DC00ED" w:rsidP="00DC00ED">
            <w:pPr>
              <w:pStyle w:val="TableText"/>
              <w:rPr>
                <w:rFonts w:cs="Calibri"/>
                <w:szCs w:val="18"/>
              </w:rPr>
            </w:pPr>
          </w:p>
        </w:tc>
        <w:tc>
          <w:tcPr>
            <w:tcW w:w="1215" w:type="dxa"/>
            <w:vMerge/>
          </w:tcPr>
          <w:p w14:paraId="66029C59" w14:textId="77777777" w:rsidR="00DC00ED" w:rsidRPr="007C6082" w:rsidRDefault="00DC00ED" w:rsidP="00DC00ED">
            <w:pPr>
              <w:pStyle w:val="TableText"/>
              <w:rPr>
                <w:rFonts w:cs="Calibri"/>
                <w:szCs w:val="18"/>
              </w:rPr>
            </w:pPr>
          </w:p>
        </w:tc>
        <w:tc>
          <w:tcPr>
            <w:tcW w:w="1368" w:type="dxa"/>
            <w:vMerge/>
          </w:tcPr>
          <w:p w14:paraId="0D350276" w14:textId="77777777" w:rsidR="00DC00ED" w:rsidRPr="007C6082" w:rsidRDefault="00DC00ED" w:rsidP="00DC00ED">
            <w:pPr>
              <w:pStyle w:val="TableText"/>
              <w:rPr>
                <w:rFonts w:cs="Calibri"/>
                <w:szCs w:val="18"/>
              </w:rPr>
            </w:pPr>
          </w:p>
        </w:tc>
        <w:tc>
          <w:tcPr>
            <w:tcW w:w="1285" w:type="dxa"/>
            <w:vMerge/>
          </w:tcPr>
          <w:p w14:paraId="45AC3392" w14:textId="77777777" w:rsidR="00DC00ED" w:rsidRPr="007C6082" w:rsidRDefault="00DC00ED" w:rsidP="00DC00ED">
            <w:pPr>
              <w:pStyle w:val="TableText"/>
              <w:rPr>
                <w:rFonts w:cs="Calibri"/>
                <w:szCs w:val="18"/>
              </w:rPr>
            </w:pPr>
          </w:p>
        </w:tc>
        <w:tc>
          <w:tcPr>
            <w:tcW w:w="1420" w:type="dxa"/>
            <w:vMerge/>
          </w:tcPr>
          <w:p w14:paraId="7A43458C" w14:textId="77777777" w:rsidR="00DC00ED" w:rsidRPr="007C6082" w:rsidRDefault="00DC00ED" w:rsidP="00DC00ED">
            <w:pPr>
              <w:pStyle w:val="TableText"/>
              <w:rPr>
                <w:rFonts w:cs="Calibri"/>
                <w:szCs w:val="18"/>
              </w:rPr>
            </w:pPr>
          </w:p>
        </w:tc>
      </w:tr>
      <w:tr w:rsidR="002721D2" w:rsidRPr="007C6082" w14:paraId="1FE23B31" w14:textId="77777777" w:rsidTr="00114C1E">
        <w:tc>
          <w:tcPr>
            <w:tcW w:w="1812" w:type="dxa"/>
            <w:vMerge/>
            <w:shd w:val="clear" w:color="auto" w:fill="auto"/>
          </w:tcPr>
          <w:p w14:paraId="239FA841" w14:textId="77777777" w:rsidR="00DC00ED" w:rsidRPr="007C6082" w:rsidRDefault="00DC00ED" w:rsidP="00DC00ED">
            <w:pPr>
              <w:pStyle w:val="Tablenum"/>
              <w:rPr>
                <w:rFonts w:cs="Calibri"/>
                <w:szCs w:val="18"/>
              </w:rPr>
            </w:pPr>
          </w:p>
        </w:tc>
        <w:tc>
          <w:tcPr>
            <w:tcW w:w="1739" w:type="dxa"/>
            <w:vMerge/>
            <w:shd w:val="clear" w:color="auto" w:fill="auto"/>
          </w:tcPr>
          <w:p w14:paraId="3F0686CE" w14:textId="77777777" w:rsidR="00DC00ED" w:rsidRPr="007C6082" w:rsidRDefault="00DC00ED" w:rsidP="00DC00ED">
            <w:pPr>
              <w:pStyle w:val="TableText"/>
              <w:rPr>
                <w:rFonts w:cs="Calibri"/>
                <w:szCs w:val="18"/>
              </w:rPr>
            </w:pPr>
          </w:p>
        </w:tc>
        <w:tc>
          <w:tcPr>
            <w:tcW w:w="1949" w:type="dxa"/>
            <w:tcBorders>
              <w:top w:val="nil"/>
              <w:bottom w:val="single" w:sz="4" w:space="0" w:color="1B556B" w:themeColor="text2"/>
            </w:tcBorders>
            <w:shd w:val="clear" w:color="auto" w:fill="auto"/>
          </w:tcPr>
          <w:p w14:paraId="786E585C" w14:textId="77777777" w:rsidR="00DC00ED" w:rsidRPr="007C6082" w:rsidRDefault="00DC00ED" w:rsidP="00C10E44">
            <w:pPr>
              <w:pStyle w:val="TableText"/>
              <w:spacing w:before="0"/>
              <w:rPr>
                <w:rFonts w:cs="Calibri"/>
                <w:szCs w:val="18"/>
              </w:rPr>
            </w:pPr>
            <w:r w:rsidRPr="007C6082">
              <w:rPr>
                <w:rFonts w:cs="Calibri"/>
                <w:szCs w:val="18"/>
              </w:rPr>
              <w:t>Red</w:t>
            </w:r>
            <w:r w:rsidRPr="007C6082">
              <w:rPr>
                <w:rStyle w:val="FootnoteReference"/>
                <w:rFonts w:cs="Calibri"/>
                <w:sz w:val="18"/>
                <w:szCs w:val="18"/>
              </w:rPr>
              <w:footnoteReference w:id="4"/>
            </w:r>
            <w:r w:rsidRPr="007C6082">
              <w:rPr>
                <w:rFonts w:cs="Calibri"/>
                <w:szCs w:val="18"/>
              </w:rPr>
              <w:t xml:space="preserve"> (very high) →</w:t>
            </w:r>
          </w:p>
        </w:tc>
        <w:tc>
          <w:tcPr>
            <w:tcW w:w="2454" w:type="dxa"/>
            <w:tcBorders>
              <w:top w:val="nil"/>
              <w:bottom w:val="single" w:sz="4" w:space="0" w:color="1B556B" w:themeColor="text2"/>
            </w:tcBorders>
            <w:shd w:val="clear" w:color="auto" w:fill="auto"/>
          </w:tcPr>
          <w:p w14:paraId="3C40C539" w14:textId="13E2CBAD" w:rsidR="00DC00ED" w:rsidRPr="007C6082" w:rsidRDefault="00DC00ED" w:rsidP="00C10E44">
            <w:pPr>
              <w:pStyle w:val="TableTextbold"/>
              <w:spacing w:before="0"/>
              <w:rPr>
                <w:rFonts w:cs="Calibri"/>
                <w:szCs w:val="18"/>
              </w:rPr>
            </w:pPr>
            <w:r w:rsidRPr="007C6082">
              <w:rPr>
                <w:rFonts w:cs="Calibri"/>
                <w:b w:val="0"/>
                <w:bCs/>
                <w:szCs w:val="18"/>
              </w:rPr>
              <w:t xml:space="preserve">→ High risk </w:t>
            </w:r>
            <w:r w:rsidR="00462FE8">
              <w:rPr>
                <w:rFonts w:cs="Calibri"/>
                <w:b w:val="0"/>
                <w:bCs/>
                <w:szCs w:val="18"/>
              </w:rPr>
              <w:t>–</w:t>
            </w:r>
            <w:r w:rsidRPr="007C6082">
              <w:rPr>
                <w:rFonts w:cs="Calibri"/>
                <w:szCs w:val="18"/>
              </w:rPr>
              <w:t xml:space="preserve"> Resource </w:t>
            </w:r>
            <w:r w:rsidR="00462FE8">
              <w:rPr>
                <w:rFonts w:cs="Calibri"/>
                <w:szCs w:val="18"/>
              </w:rPr>
              <w:t>c</w:t>
            </w:r>
            <w:r w:rsidRPr="007C6082">
              <w:rPr>
                <w:rFonts w:cs="Calibri"/>
                <w:szCs w:val="18"/>
              </w:rPr>
              <w:t>onsent</w:t>
            </w:r>
          </w:p>
        </w:tc>
        <w:tc>
          <w:tcPr>
            <w:tcW w:w="1273" w:type="dxa"/>
            <w:vMerge/>
            <w:shd w:val="clear" w:color="auto" w:fill="auto"/>
          </w:tcPr>
          <w:p w14:paraId="1BDAE2AB" w14:textId="77777777" w:rsidR="00DC00ED" w:rsidRPr="007C6082" w:rsidRDefault="00DC00ED" w:rsidP="00DC00ED">
            <w:pPr>
              <w:pStyle w:val="TableText"/>
              <w:rPr>
                <w:rFonts w:cs="Calibri"/>
                <w:szCs w:val="18"/>
              </w:rPr>
            </w:pPr>
          </w:p>
        </w:tc>
        <w:tc>
          <w:tcPr>
            <w:tcW w:w="1215" w:type="dxa"/>
            <w:vMerge/>
          </w:tcPr>
          <w:p w14:paraId="37366E1F" w14:textId="77777777" w:rsidR="00DC00ED" w:rsidRPr="007C6082" w:rsidRDefault="00DC00ED" w:rsidP="00DC00ED">
            <w:pPr>
              <w:pStyle w:val="TableText"/>
              <w:rPr>
                <w:rFonts w:cs="Calibri"/>
                <w:szCs w:val="18"/>
              </w:rPr>
            </w:pPr>
          </w:p>
        </w:tc>
        <w:tc>
          <w:tcPr>
            <w:tcW w:w="1368" w:type="dxa"/>
            <w:vMerge/>
          </w:tcPr>
          <w:p w14:paraId="3E2B7759" w14:textId="77777777" w:rsidR="00DC00ED" w:rsidRPr="007C6082" w:rsidRDefault="00DC00ED" w:rsidP="00DC00ED">
            <w:pPr>
              <w:pStyle w:val="TableText"/>
              <w:rPr>
                <w:rFonts w:cs="Calibri"/>
                <w:szCs w:val="18"/>
              </w:rPr>
            </w:pPr>
          </w:p>
        </w:tc>
        <w:tc>
          <w:tcPr>
            <w:tcW w:w="1285" w:type="dxa"/>
            <w:vMerge/>
          </w:tcPr>
          <w:p w14:paraId="248E743D" w14:textId="77777777" w:rsidR="00DC00ED" w:rsidRPr="007C6082" w:rsidRDefault="00DC00ED" w:rsidP="00DC00ED">
            <w:pPr>
              <w:pStyle w:val="TableText"/>
              <w:rPr>
                <w:rFonts w:cs="Calibri"/>
                <w:szCs w:val="18"/>
              </w:rPr>
            </w:pPr>
          </w:p>
        </w:tc>
        <w:tc>
          <w:tcPr>
            <w:tcW w:w="1420" w:type="dxa"/>
            <w:vMerge/>
          </w:tcPr>
          <w:p w14:paraId="080E1903" w14:textId="77777777" w:rsidR="00DC00ED" w:rsidRPr="007C6082" w:rsidRDefault="00DC00ED" w:rsidP="00DC00ED">
            <w:pPr>
              <w:pStyle w:val="TableText"/>
              <w:rPr>
                <w:rFonts w:cs="Calibri"/>
                <w:szCs w:val="18"/>
              </w:rPr>
            </w:pPr>
          </w:p>
        </w:tc>
      </w:tr>
      <w:tr w:rsidR="002721D2" w:rsidRPr="007C6082" w14:paraId="7728D96E" w14:textId="77777777" w:rsidTr="00114C1E">
        <w:tc>
          <w:tcPr>
            <w:tcW w:w="1812" w:type="dxa"/>
            <w:vMerge w:val="restart"/>
            <w:shd w:val="clear" w:color="auto" w:fill="auto"/>
          </w:tcPr>
          <w:p w14:paraId="45059BFF" w14:textId="77777777" w:rsidR="00DC00ED" w:rsidRPr="003C3DFF" w:rsidRDefault="00DC00ED" w:rsidP="005E7004">
            <w:pPr>
              <w:pStyle w:val="Tablenum"/>
              <w:spacing w:before="60"/>
              <w:rPr>
                <w:rFonts w:cs="Calibri"/>
                <w:szCs w:val="18"/>
                <w:lang w:val="it-IT"/>
              </w:rPr>
            </w:pPr>
            <w:r w:rsidRPr="003C3DFF">
              <w:rPr>
                <w:rFonts w:cs="Calibri"/>
                <w:szCs w:val="18"/>
                <w:lang w:val="it-IT"/>
              </w:rPr>
              <w:lastRenderedPageBreak/>
              <w:t>Orange zone ESC unit LUC erosion rating</w:t>
            </w:r>
          </w:p>
        </w:tc>
        <w:tc>
          <w:tcPr>
            <w:tcW w:w="1739" w:type="dxa"/>
            <w:vMerge w:val="restart"/>
            <w:shd w:val="clear" w:color="auto" w:fill="auto"/>
          </w:tcPr>
          <w:p w14:paraId="033E4D46" w14:textId="12400C2B" w:rsidR="00DC00ED" w:rsidRPr="007C6082" w:rsidRDefault="00DC00ED" w:rsidP="00DC00ED">
            <w:pPr>
              <w:pStyle w:val="TableText"/>
              <w:rPr>
                <w:rFonts w:cs="Calibri"/>
                <w:szCs w:val="18"/>
              </w:rPr>
            </w:pPr>
            <w:r w:rsidRPr="007C6082">
              <w:rPr>
                <w:rFonts w:cs="Calibri"/>
                <w:szCs w:val="18"/>
              </w:rPr>
              <w:t>LUC dominant erosion type</w:t>
            </w:r>
            <w:r w:rsidRPr="007C6082">
              <w:rPr>
                <w:rStyle w:val="FootnoteReference"/>
                <w:rFonts w:cs="Calibri"/>
                <w:sz w:val="18"/>
                <w:szCs w:val="18"/>
              </w:rPr>
              <w:footnoteReference w:id="5"/>
            </w:r>
            <w:r w:rsidRPr="007C6082">
              <w:rPr>
                <w:rFonts w:cs="Calibri"/>
                <w:szCs w:val="18"/>
              </w:rPr>
              <w:t xml:space="preserve"> as recorded on the </w:t>
            </w:r>
            <w:hyperlink r:id="rId33" w:anchor=":~:text=The%20Land%20Use%20Capability%20system,the%20land%2C%20soil%20and%20environment" w:history="1">
              <w:r w:rsidRPr="007C6082">
                <w:rPr>
                  <w:rStyle w:val="Hyperlink"/>
                  <w:rFonts w:cs="Calibri"/>
                  <w:szCs w:val="18"/>
                </w:rPr>
                <w:t xml:space="preserve">Land Use Capability </w:t>
              </w:r>
              <w:r w:rsidR="00E207B6">
                <w:rPr>
                  <w:rStyle w:val="Hyperlink"/>
                  <w:rFonts w:cs="Calibri"/>
                  <w:szCs w:val="18"/>
                </w:rPr>
                <w:t>m</w:t>
              </w:r>
              <w:r w:rsidRPr="007C6082">
                <w:rPr>
                  <w:rStyle w:val="Hyperlink"/>
                  <w:rFonts w:cs="Calibri"/>
                  <w:szCs w:val="18"/>
                </w:rPr>
                <w:t xml:space="preserve">ap. </w:t>
              </w:r>
            </w:hyperlink>
            <w:r w:rsidRPr="007C6082">
              <w:rPr>
                <w:rFonts w:cs="Calibri"/>
                <w:szCs w:val="18"/>
              </w:rPr>
              <w:t xml:space="preserve"> </w:t>
            </w:r>
          </w:p>
        </w:tc>
        <w:tc>
          <w:tcPr>
            <w:tcW w:w="1949" w:type="dxa"/>
            <w:tcBorders>
              <w:bottom w:val="nil"/>
            </w:tcBorders>
            <w:shd w:val="clear" w:color="auto" w:fill="auto"/>
          </w:tcPr>
          <w:p w14:paraId="08271C6C" w14:textId="7EF512D9" w:rsidR="00DC00ED" w:rsidRPr="007C6082" w:rsidRDefault="00DC00ED" w:rsidP="00DC00ED">
            <w:pPr>
              <w:pStyle w:val="TableText"/>
              <w:rPr>
                <w:rFonts w:cs="Calibri"/>
                <w:szCs w:val="18"/>
              </w:rPr>
            </w:pPr>
            <w:r w:rsidRPr="007C6082">
              <w:rPr>
                <w:rFonts w:cs="Calibri"/>
                <w:szCs w:val="18"/>
              </w:rPr>
              <w:t xml:space="preserve">Surficial </w:t>
            </w:r>
            <w:r w:rsidR="000E10E5">
              <w:rPr>
                <w:rFonts w:cs="Calibri"/>
                <w:szCs w:val="18"/>
              </w:rPr>
              <w:t>erosion</w:t>
            </w:r>
            <w:r w:rsidRPr="007C6082">
              <w:rPr>
                <w:rFonts w:cs="Calibri"/>
                <w:szCs w:val="18"/>
              </w:rPr>
              <w:t>→</w:t>
            </w:r>
            <w:r w:rsidRPr="007C6082">
              <w:rPr>
                <w:rFonts w:cs="Calibri"/>
                <w:szCs w:val="18"/>
              </w:rPr>
              <w:br/>
              <w:t>(sheet, wind, scree)</w:t>
            </w:r>
          </w:p>
        </w:tc>
        <w:tc>
          <w:tcPr>
            <w:tcW w:w="2454" w:type="dxa"/>
            <w:tcBorders>
              <w:bottom w:val="nil"/>
            </w:tcBorders>
            <w:shd w:val="clear" w:color="auto" w:fill="auto"/>
          </w:tcPr>
          <w:p w14:paraId="5F7A123C" w14:textId="77777777" w:rsidR="00DC00ED" w:rsidRPr="007C6082" w:rsidRDefault="00DC00ED" w:rsidP="00DC00ED">
            <w:pPr>
              <w:pStyle w:val="TableText"/>
              <w:spacing w:after="0"/>
              <w:rPr>
                <w:rFonts w:cs="Calibri"/>
                <w:szCs w:val="18"/>
              </w:rPr>
            </w:pPr>
            <w:r w:rsidRPr="007C6082">
              <w:rPr>
                <w:rFonts w:cs="Calibri"/>
                <w:szCs w:val="18"/>
              </w:rPr>
              <w:t>→ Low risk – No further action</w:t>
            </w:r>
          </w:p>
        </w:tc>
        <w:tc>
          <w:tcPr>
            <w:tcW w:w="1273" w:type="dxa"/>
            <w:vMerge w:val="restart"/>
            <w:shd w:val="clear" w:color="auto" w:fill="auto"/>
          </w:tcPr>
          <w:p w14:paraId="691A5EB4" w14:textId="1470B9F5" w:rsidR="00DC00ED" w:rsidRPr="007C6082" w:rsidRDefault="00DC00ED" w:rsidP="00DC00ED">
            <w:pPr>
              <w:pStyle w:val="TableText"/>
              <w:rPr>
                <w:rFonts w:cs="Calibri"/>
                <w:szCs w:val="18"/>
              </w:rPr>
            </w:pPr>
            <w:r w:rsidRPr="007C6082">
              <w:rPr>
                <w:rFonts w:cs="Calibri"/>
                <w:szCs w:val="18"/>
              </w:rPr>
              <w:t>Yes, though LUC is recorded at 1:50,000 scale so this indicator should only exclude LUC units where any risk of slash mobilisation is low.</w:t>
            </w:r>
            <w:r w:rsidR="00D35FF0" w:rsidRPr="007C6082">
              <w:rPr>
                <w:rFonts w:cs="Calibri"/>
                <w:szCs w:val="18"/>
              </w:rPr>
              <w:t xml:space="preserve"> </w:t>
            </w:r>
          </w:p>
        </w:tc>
        <w:tc>
          <w:tcPr>
            <w:tcW w:w="1215" w:type="dxa"/>
            <w:vMerge w:val="restart"/>
          </w:tcPr>
          <w:p w14:paraId="33B004EB" w14:textId="631EDA8C" w:rsidR="00DC00ED" w:rsidRPr="007C6082" w:rsidRDefault="00DC00ED" w:rsidP="00DC00ED">
            <w:pPr>
              <w:pStyle w:val="TableText"/>
              <w:rPr>
                <w:rFonts w:cs="Calibri"/>
                <w:szCs w:val="18"/>
              </w:rPr>
            </w:pPr>
            <w:r w:rsidRPr="007C6082">
              <w:rPr>
                <w:rFonts w:cs="Calibri"/>
                <w:szCs w:val="18"/>
              </w:rPr>
              <w:t>Yes</w:t>
            </w:r>
            <w:r w:rsidR="00FE2CFC">
              <w:rPr>
                <w:rFonts w:cs="Calibri"/>
                <w:szCs w:val="18"/>
              </w:rPr>
              <w:t>.</w:t>
            </w:r>
          </w:p>
        </w:tc>
        <w:tc>
          <w:tcPr>
            <w:tcW w:w="1368" w:type="dxa"/>
            <w:vMerge w:val="restart"/>
          </w:tcPr>
          <w:p w14:paraId="02B989EF" w14:textId="72F0E766" w:rsidR="00DC00ED" w:rsidRPr="007C6082" w:rsidRDefault="00DC00ED" w:rsidP="00DC00ED">
            <w:pPr>
              <w:pStyle w:val="TableText"/>
              <w:rPr>
                <w:rFonts w:cs="Calibri"/>
                <w:szCs w:val="18"/>
              </w:rPr>
            </w:pPr>
            <w:r w:rsidRPr="007C6082">
              <w:rPr>
                <w:rFonts w:cs="Calibri"/>
                <w:szCs w:val="18"/>
              </w:rPr>
              <w:t>Yes</w:t>
            </w:r>
            <w:r w:rsidR="00FE2CFC">
              <w:rPr>
                <w:rFonts w:cs="Calibri"/>
                <w:szCs w:val="18"/>
              </w:rPr>
              <w:t>.</w:t>
            </w:r>
          </w:p>
        </w:tc>
        <w:tc>
          <w:tcPr>
            <w:tcW w:w="1285" w:type="dxa"/>
            <w:vMerge w:val="restart"/>
          </w:tcPr>
          <w:p w14:paraId="22ED5225" w14:textId="77777777" w:rsidR="00DC00ED" w:rsidRPr="007C6082" w:rsidRDefault="00DC00ED" w:rsidP="00DC00ED">
            <w:pPr>
              <w:pStyle w:val="TableText"/>
              <w:rPr>
                <w:rFonts w:cs="Calibri"/>
                <w:szCs w:val="18"/>
              </w:rPr>
            </w:pPr>
            <w:r w:rsidRPr="007C6082">
              <w:rPr>
                <w:rFonts w:cs="Calibri"/>
                <w:szCs w:val="18"/>
              </w:rPr>
              <w:t>Yes, but it requires a process to be set out detailing different erosion types and how to identify them in the LUC map.</w:t>
            </w:r>
          </w:p>
        </w:tc>
        <w:tc>
          <w:tcPr>
            <w:tcW w:w="1420" w:type="dxa"/>
            <w:vMerge w:val="restart"/>
          </w:tcPr>
          <w:p w14:paraId="05751164" w14:textId="77777777" w:rsidR="00DC00ED" w:rsidRPr="007C6082" w:rsidRDefault="00DC00ED" w:rsidP="00DC00ED">
            <w:pPr>
              <w:pStyle w:val="TableText"/>
              <w:rPr>
                <w:rFonts w:cs="Calibri"/>
                <w:szCs w:val="18"/>
              </w:rPr>
            </w:pPr>
            <w:r w:rsidRPr="007C6082">
              <w:rPr>
                <w:rFonts w:cs="Calibri"/>
                <w:szCs w:val="18"/>
              </w:rPr>
              <w:t>Only as a drafting gate to further assessment</w:t>
            </w:r>
          </w:p>
        </w:tc>
      </w:tr>
      <w:tr w:rsidR="002721D2" w:rsidRPr="007C6082" w14:paraId="5CC812ED" w14:textId="77777777" w:rsidTr="00114C1E">
        <w:tc>
          <w:tcPr>
            <w:tcW w:w="1812" w:type="dxa"/>
            <w:vMerge/>
            <w:shd w:val="clear" w:color="auto" w:fill="auto"/>
          </w:tcPr>
          <w:p w14:paraId="752A4253" w14:textId="77777777" w:rsidR="00DC00ED" w:rsidRPr="007C6082" w:rsidRDefault="00DC00ED" w:rsidP="00DC00ED">
            <w:pPr>
              <w:pStyle w:val="Tablenum"/>
              <w:rPr>
                <w:rFonts w:cs="Calibri"/>
                <w:szCs w:val="18"/>
              </w:rPr>
            </w:pPr>
          </w:p>
        </w:tc>
        <w:tc>
          <w:tcPr>
            <w:tcW w:w="1739" w:type="dxa"/>
            <w:vMerge/>
            <w:shd w:val="clear" w:color="auto" w:fill="auto"/>
          </w:tcPr>
          <w:p w14:paraId="713F639C" w14:textId="77777777" w:rsidR="00DC00ED" w:rsidRPr="007C6082" w:rsidRDefault="00DC00ED" w:rsidP="00DC00ED">
            <w:pPr>
              <w:pStyle w:val="TableText"/>
              <w:rPr>
                <w:rFonts w:cs="Calibri"/>
                <w:szCs w:val="18"/>
              </w:rPr>
            </w:pPr>
          </w:p>
        </w:tc>
        <w:tc>
          <w:tcPr>
            <w:tcW w:w="1949" w:type="dxa"/>
            <w:tcBorders>
              <w:top w:val="nil"/>
              <w:bottom w:val="nil"/>
            </w:tcBorders>
            <w:shd w:val="clear" w:color="auto" w:fill="auto"/>
          </w:tcPr>
          <w:p w14:paraId="27DD4272" w14:textId="75BE6B8B" w:rsidR="00DC00ED" w:rsidRPr="007C6082" w:rsidRDefault="00DC00ED" w:rsidP="00DC00ED">
            <w:pPr>
              <w:pStyle w:val="TableText"/>
              <w:rPr>
                <w:rFonts w:cs="Calibri"/>
                <w:szCs w:val="18"/>
              </w:rPr>
            </w:pPr>
            <w:r w:rsidRPr="007C6082">
              <w:rPr>
                <w:rFonts w:cs="Calibri"/>
                <w:szCs w:val="18"/>
              </w:rPr>
              <w:t>Fluvial</w:t>
            </w:r>
            <w:r w:rsidR="000E10E5">
              <w:rPr>
                <w:rFonts w:cs="Calibri"/>
                <w:szCs w:val="18"/>
              </w:rPr>
              <w:t xml:space="preserve"> erosion</w:t>
            </w:r>
            <w:r w:rsidR="00D52939">
              <w:rPr>
                <w:rFonts w:cs="Calibri"/>
                <w:szCs w:val="18"/>
              </w:rPr>
              <w:t xml:space="preserve"> </w:t>
            </w:r>
            <w:r w:rsidRPr="007C6082">
              <w:rPr>
                <w:rFonts w:cs="Calibri"/>
                <w:szCs w:val="18"/>
              </w:rPr>
              <w:t>→</w:t>
            </w:r>
            <w:r w:rsidRPr="007C6082">
              <w:rPr>
                <w:rFonts w:cs="Calibri"/>
                <w:szCs w:val="18"/>
              </w:rPr>
              <w:br/>
              <w:t>(rill, tunnel gully, streambank)</w:t>
            </w:r>
          </w:p>
        </w:tc>
        <w:tc>
          <w:tcPr>
            <w:tcW w:w="2454" w:type="dxa"/>
            <w:tcBorders>
              <w:top w:val="nil"/>
              <w:bottom w:val="nil"/>
            </w:tcBorders>
            <w:shd w:val="clear" w:color="auto" w:fill="auto"/>
          </w:tcPr>
          <w:p w14:paraId="6E4AE31B" w14:textId="77777777" w:rsidR="00DC00ED" w:rsidRPr="007C6082" w:rsidRDefault="00DC00ED" w:rsidP="00DC00ED">
            <w:pPr>
              <w:pStyle w:val="TableText"/>
              <w:rPr>
                <w:rFonts w:cs="Calibri"/>
                <w:szCs w:val="18"/>
              </w:rPr>
            </w:pPr>
            <w:r w:rsidRPr="007C6082">
              <w:rPr>
                <w:rFonts w:cs="Calibri"/>
                <w:szCs w:val="18"/>
              </w:rPr>
              <w:t>→ Low risk – No further action</w:t>
            </w:r>
          </w:p>
        </w:tc>
        <w:tc>
          <w:tcPr>
            <w:tcW w:w="1273" w:type="dxa"/>
            <w:vMerge/>
            <w:shd w:val="clear" w:color="auto" w:fill="auto"/>
          </w:tcPr>
          <w:p w14:paraId="49F77EE4" w14:textId="77777777" w:rsidR="00DC00ED" w:rsidRPr="007C6082" w:rsidRDefault="00DC00ED" w:rsidP="00DC00ED">
            <w:pPr>
              <w:pStyle w:val="TableText"/>
              <w:rPr>
                <w:rFonts w:cs="Calibri"/>
                <w:szCs w:val="18"/>
              </w:rPr>
            </w:pPr>
          </w:p>
        </w:tc>
        <w:tc>
          <w:tcPr>
            <w:tcW w:w="1215" w:type="dxa"/>
            <w:vMerge/>
          </w:tcPr>
          <w:p w14:paraId="36CBC2E0" w14:textId="77777777" w:rsidR="00DC00ED" w:rsidRPr="007C6082" w:rsidRDefault="00DC00ED" w:rsidP="00DC00ED">
            <w:pPr>
              <w:pStyle w:val="TableText"/>
              <w:rPr>
                <w:rFonts w:cs="Calibri"/>
                <w:szCs w:val="18"/>
              </w:rPr>
            </w:pPr>
          </w:p>
        </w:tc>
        <w:tc>
          <w:tcPr>
            <w:tcW w:w="1368" w:type="dxa"/>
            <w:vMerge/>
          </w:tcPr>
          <w:p w14:paraId="41FFE13E" w14:textId="77777777" w:rsidR="00DC00ED" w:rsidRPr="007C6082" w:rsidRDefault="00DC00ED" w:rsidP="00DC00ED">
            <w:pPr>
              <w:pStyle w:val="TableText"/>
              <w:rPr>
                <w:rFonts w:cs="Calibri"/>
                <w:szCs w:val="18"/>
              </w:rPr>
            </w:pPr>
          </w:p>
        </w:tc>
        <w:tc>
          <w:tcPr>
            <w:tcW w:w="1285" w:type="dxa"/>
            <w:vMerge/>
          </w:tcPr>
          <w:p w14:paraId="1070E783" w14:textId="77777777" w:rsidR="00DC00ED" w:rsidRPr="007C6082" w:rsidRDefault="00DC00ED" w:rsidP="00DC00ED">
            <w:pPr>
              <w:pStyle w:val="TableText"/>
              <w:rPr>
                <w:rFonts w:cs="Calibri"/>
                <w:szCs w:val="18"/>
              </w:rPr>
            </w:pPr>
          </w:p>
        </w:tc>
        <w:tc>
          <w:tcPr>
            <w:tcW w:w="1420" w:type="dxa"/>
            <w:vMerge/>
          </w:tcPr>
          <w:p w14:paraId="566E33DA" w14:textId="77777777" w:rsidR="00DC00ED" w:rsidRPr="007C6082" w:rsidRDefault="00DC00ED" w:rsidP="00DC00ED">
            <w:pPr>
              <w:pStyle w:val="TableText"/>
              <w:rPr>
                <w:rFonts w:cs="Calibri"/>
                <w:szCs w:val="18"/>
              </w:rPr>
            </w:pPr>
          </w:p>
        </w:tc>
      </w:tr>
      <w:tr w:rsidR="002721D2" w:rsidRPr="007C6082" w14:paraId="2397B754" w14:textId="77777777" w:rsidTr="00F4634F">
        <w:tc>
          <w:tcPr>
            <w:tcW w:w="1812" w:type="dxa"/>
            <w:vMerge/>
            <w:shd w:val="clear" w:color="auto" w:fill="auto"/>
          </w:tcPr>
          <w:p w14:paraId="028AFB0C" w14:textId="77777777" w:rsidR="00DC00ED" w:rsidRPr="007C6082" w:rsidRDefault="00DC00ED" w:rsidP="00DC00ED">
            <w:pPr>
              <w:pStyle w:val="Tablenum"/>
              <w:rPr>
                <w:rFonts w:cs="Calibri"/>
                <w:szCs w:val="18"/>
              </w:rPr>
            </w:pPr>
          </w:p>
        </w:tc>
        <w:tc>
          <w:tcPr>
            <w:tcW w:w="1739" w:type="dxa"/>
            <w:vMerge/>
            <w:shd w:val="clear" w:color="auto" w:fill="auto"/>
          </w:tcPr>
          <w:p w14:paraId="28CDB2E2" w14:textId="77777777" w:rsidR="00DC00ED" w:rsidRPr="007C6082" w:rsidRDefault="00DC00ED" w:rsidP="00DC00ED">
            <w:pPr>
              <w:pStyle w:val="TableText"/>
              <w:rPr>
                <w:rFonts w:cs="Calibri"/>
                <w:szCs w:val="18"/>
              </w:rPr>
            </w:pPr>
          </w:p>
        </w:tc>
        <w:tc>
          <w:tcPr>
            <w:tcW w:w="1949" w:type="dxa"/>
            <w:tcBorders>
              <w:top w:val="nil"/>
              <w:bottom w:val="nil"/>
            </w:tcBorders>
            <w:shd w:val="clear" w:color="auto" w:fill="auto"/>
          </w:tcPr>
          <w:p w14:paraId="7654526E" w14:textId="7A47A2DF" w:rsidR="00DC00ED" w:rsidRPr="007C6082" w:rsidRDefault="00DC00ED" w:rsidP="00D361B4">
            <w:pPr>
              <w:pStyle w:val="TableText"/>
            </w:pPr>
            <w:r w:rsidRPr="007C6082">
              <w:t>Gully</w:t>
            </w:r>
            <w:r w:rsidR="0075244D">
              <w:t xml:space="preserve"> erosion</w:t>
            </w:r>
            <w:r w:rsidRPr="007C6082">
              <w:rPr>
                <w:rStyle w:val="FootnoteReference"/>
                <w:rFonts w:cs="Calibri"/>
                <w:sz w:val="18"/>
                <w:szCs w:val="18"/>
              </w:rPr>
              <w:footnoteReference w:id="6"/>
            </w:r>
            <w:r w:rsidRPr="007C6082">
              <w:t xml:space="preserve"> →</w:t>
            </w:r>
          </w:p>
        </w:tc>
        <w:tc>
          <w:tcPr>
            <w:tcW w:w="2454" w:type="dxa"/>
            <w:tcBorders>
              <w:top w:val="nil"/>
              <w:bottom w:val="nil"/>
            </w:tcBorders>
            <w:shd w:val="clear" w:color="auto" w:fill="auto"/>
          </w:tcPr>
          <w:p w14:paraId="1BEB3E00" w14:textId="77777777" w:rsidR="00DC00ED" w:rsidRPr="007C6082" w:rsidRDefault="00DC00ED" w:rsidP="00DC00ED">
            <w:pPr>
              <w:pStyle w:val="TableText"/>
              <w:rPr>
                <w:rFonts w:cs="Calibri"/>
                <w:szCs w:val="18"/>
              </w:rPr>
            </w:pPr>
            <w:r w:rsidRPr="007C6082">
              <w:rPr>
                <w:rFonts w:cs="Calibri"/>
                <w:szCs w:val="18"/>
              </w:rPr>
              <w:t xml:space="preserve">→ </w:t>
            </w:r>
            <w:r w:rsidRPr="007C6082">
              <w:rPr>
                <w:rFonts w:cs="Calibri"/>
                <w:color w:val="FF0000"/>
                <w:szCs w:val="18"/>
              </w:rPr>
              <w:t>Further assessment required</w:t>
            </w:r>
          </w:p>
        </w:tc>
        <w:tc>
          <w:tcPr>
            <w:tcW w:w="1273" w:type="dxa"/>
            <w:vMerge/>
            <w:shd w:val="clear" w:color="auto" w:fill="auto"/>
          </w:tcPr>
          <w:p w14:paraId="2AB6392D" w14:textId="77777777" w:rsidR="00DC00ED" w:rsidRPr="007C6082" w:rsidRDefault="00DC00ED" w:rsidP="00DC00ED">
            <w:pPr>
              <w:pStyle w:val="TableText"/>
              <w:rPr>
                <w:rFonts w:cs="Calibri"/>
                <w:szCs w:val="18"/>
              </w:rPr>
            </w:pPr>
          </w:p>
        </w:tc>
        <w:tc>
          <w:tcPr>
            <w:tcW w:w="1215" w:type="dxa"/>
            <w:vMerge/>
          </w:tcPr>
          <w:p w14:paraId="2BBC4F83" w14:textId="77777777" w:rsidR="00DC00ED" w:rsidRPr="007C6082" w:rsidRDefault="00DC00ED" w:rsidP="00DC00ED">
            <w:pPr>
              <w:pStyle w:val="TableText"/>
              <w:rPr>
                <w:rFonts w:cs="Calibri"/>
                <w:szCs w:val="18"/>
              </w:rPr>
            </w:pPr>
          </w:p>
        </w:tc>
        <w:tc>
          <w:tcPr>
            <w:tcW w:w="1368" w:type="dxa"/>
            <w:vMerge/>
          </w:tcPr>
          <w:p w14:paraId="72431819" w14:textId="77777777" w:rsidR="00DC00ED" w:rsidRPr="007C6082" w:rsidRDefault="00DC00ED" w:rsidP="00DC00ED">
            <w:pPr>
              <w:pStyle w:val="TableText"/>
              <w:rPr>
                <w:rFonts w:cs="Calibri"/>
                <w:szCs w:val="18"/>
              </w:rPr>
            </w:pPr>
          </w:p>
        </w:tc>
        <w:tc>
          <w:tcPr>
            <w:tcW w:w="1285" w:type="dxa"/>
            <w:vMerge/>
          </w:tcPr>
          <w:p w14:paraId="13006A2D" w14:textId="77777777" w:rsidR="00DC00ED" w:rsidRPr="007C6082" w:rsidRDefault="00DC00ED" w:rsidP="00DC00ED">
            <w:pPr>
              <w:pStyle w:val="TableText"/>
              <w:rPr>
                <w:rFonts w:cs="Calibri"/>
                <w:szCs w:val="18"/>
              </w:rPr>
            </w:pPr>
          </w:p>
        </w:tc>
        <w:tc>
          <w:tcPr>
            <w:tcW w:w="1420" w:type="dxa"/>
            <w:vMerge/>
          </w:tcPr>
          <w:p w14:paraId="11F5F3D4" w14:textId="77777777" w:rsidR="00DC00ED" w:rsidRPr="007C6082" w:rsidRDefault="00DC00ED" w:rsidP="00DC00ED">
            <w:pPr>
              <w:pStyle w:val="TableText"/>
              <w:rPr>
                <w:rFonts w:cs="Calibri"/>
                <w:szCs w:val="18"/>
              </w:rPr>
            </w:pPr>
          </w:p>
        </w:tc>
      </w:tr>
      <w:tr w:rsidR="002721D2" w:rsidRPr="007C6082" w14:paraId="13AE596D" w14:textId="77777777" w:rsidTr="00114C1E">
        <w:tc>
          <w:tcPr>
            <w:tcW w:w="1812" w:type="dxa"/>
            <w:vMerge/>
            <w:tcBorders>
              <w:bottom w:val="single" w:sz="4" w:space="0" w:color="1B556B" w:themeColor="text2"/>
            </w:tcBorders>
            <w:shd w:val="clear" w:color="auto" w:fill="auto"/>
          </w:tcPr>
          <w:p w14:paraId="0E60C48C" w14:textId="77777777" w:rsidR="00DC00ED" w:rsidRPr="007C6082" w:rsidRDefault="00DC00ED" w:rsidP="00DC00ED">
            <w:pPr>
              <w:pStyle w:val="Tablenum"/>
              <w:rPr>
                <w:rFonts w:cs="Calibri"/>
                <w:szCs w:val="18"/>
              </w:rPr>
            </w:pPr>
          </w:p>
        </w:tc>
        <w:tc>
          <w:tcPr>
            <w:tcW w:w="1739" w:type="dxa"/>
            <w:vMerge/>
            <w:tcBorders>
              <w:bottom w:val="single" w:sz="4" w:space="0" w:color="1B556B" w:themeColor="text2"/>
            </w:tcBorders>
            <w:shd w:val="clear" w:color="auto" w:fill="auto"/>
          </w:tcPr>
          <w:p w14:paraId="3160D6B9" w14:textId="77777777" w:rsidR="00DC00ED" w:rsidRPr="007C6082" w:rsidRDefault="00DC00ED" w:rsidP="00DC00ED">
            <w:pPr>
              <w:pStyle w:val="TableText"/>
              <w:rPr>
                <w:rFonts w:cs="Calibri"/>
                <w:szCs w:val="18"/>
              </w:rPr>
            </w:pPr>
          </w:p>
        </w:tc>
        <w:tc>
          <w:tcPr>
            <w:tcW w:w="1949" w:type="dxa"/>
            <w:tcBorders>
              <w:top w:val="nil"/>
              <w:bottom w:val="single" w:sz="4" w:space="0" w:color="1B556B" w:themeColor="text2"/>
            </w:tcBorders>
            <w:shd w:val="clear" w:color="auto" w:fill="auto"/>
          </w:tcPr>
          <w:p w14:paraId="6B1A42F5" w14:textId="6B284F07" w:rsidR="00DC00ED" w:rsidRPr="007C6082" w:rsidRDefault="00DC00ED" w:rsidP="00DC00ED">
            <w:pPr>
              <w:pStyle w:val="TableText"/>
              <w:rPr>
                <w:rFonts w:cs="Calibri"/>
                <w:szCs w:val="18"/>
              </w:rPr>
            </w:pPr>
            <w:r w:rsidRPr="007C6082">
              <w:rPr>
                <w:rFonts w:cs="Calibri"/>
                <w:szCs w:val="18"/>
              </w:rPr>
              <w:t xml:space="preserve">Mass movement </w:t>
            </w:r>
            <w:r w:rsidR="0075244D">
              <w:rPr>
                <w:rFonts w:cs="Calibri"/>
                <w:szCs w:val="18"/>
              </w:rPr>
              <w:t>erosion</w:t>
            </w:r>
            <w:r w:rsidRPr="007C6082">
              <w:rPr>
                <w:rFonts w:cs="Calibri"/>
                <w:szCs w:val="18"/>
              </w:rPr>
              <w:t>→</w:t>
            </w:r>
          </w:p>
        </w:tc>
        <w:tc>
          <w:tcPr>
            <w:tcW w:w="2454" w:type="dxa"/>
            <w:tcBorders>
              <w:top w:val="nil"/>
              <w:bottom w:val="single" w:sz="4" w:space="0" w:color="1B556B" w:themeColor="text2"/>
            </w:tcBorders>
            <w:shd w:val="clear" w:color="auto" w:fill="auto"/>
          </w:tcPr>
          <w:p w14:paraId="6987A358" w14:textId="77777777" w:rsidR="00DC00ED" w:rsidRPr="007C6082" w:rsidRDefault="00DC00ED" w:rsidP="00DC00ED">
            <w:pPr>
              <w:pStyle w:val="TableText"/>
              <w:spacing w:before="100"/>
              <w:rPr>
                <w:rFonts w:cs="Calibri"/>
                <w:szCs w:val="18"/>
              </w:rPr>
            </w:pPr>
            <w:r w:rsidRPr="007C6082">
              <w:rPr>
                <w:rFonts w:cs="Calibri"/>
                <w:szCs w:val="18"/>
              </w:rPr>
              <w:t xml:space="preserve">→ </w:t>
            </w:r>
            <w:r w:rsidRPr="007C6082">
              <w:rPr>
                <w:rFonts w:cs="Calibri"/>
                <w:color w:val="FF0000"/>
                <w:szCs w:val="18"/>
              </w:rPr>
              <w:t>Further assessment required</w:t>
            </w:r>
          </w:p>
        </w:tc>
        <w:tc>
          <w:tcPr>
            <w:tcW w:w="1273" w:type="dxa"/>
            <w:vMerge/>
            <w:shd w:val="clear" w:color="auto" w:fill="auto"/>
          </w:tcPr>
          <w:p w14:paraId="13924801" w14:textId="77777777" w:rsidR="00DC00ED" w:rsidRPr="007C6082" w:rsidRDefault="00DC00ED" w:rsidP="00DC00ED">
            <w:pPr>
              <w:pStyle w:val="TableText"/>
              <w:rPr>
                <w:rFonts w:cs="Calibri"/>
                <w:szCs w:val="18"/>
              </w:rPr>
            </w:pPr>
          </w:p>
        </w:tc>
        <w:tc>
          <w:tcPr>
            <w:tcW w:w="1215" w:type="dxa"/>
            <w:vMerge/>
          </w:tcPr>
          <w:p w14:paraId="6DE10A74" w14:textId="77777777" w:rsidR="00DC00ED" w:rsidRPr="007C6082" w:rsidRDefault="00DC00ED" w:rsidP="00DC00ED">
            <w:pPr>
              <w:pStyle w:val="TableText"/>
              <w:rPr>
                <w:rFonts w:cs="Calibri"/>
                <w:szCs w:val="18"/>
              </w:rPr>
            </w:pPr>
          </w:p>
        </w:tc>
        <w:tc>
          <w:tcPr>
            <w:tcW w:w="1368" w:type="dxa"/>
            <w:vMerge/>
          </w:tcPr>
          <w:p w14:paraId="6D5AF7E7" w14:textId="77777777" w:rsidR="00DC00ED" w:rsidRPr="007C6082" w:rsidRDefault="00DC00ED" w:rsidP="00DC00ED">
            <w:pPr>
              <w:pStyle w:val="TableText"/>
              <w:rPr>
                <w:rFonts w:cs="Calibri"/>
                <w:szCs w:val="18"/>
              </w:rPr>
            </w:pPr>
          </w:p>
        </w:tc>
        <w:tc>
          <w:tcPr>
            <w:tcW w:w="1285" w:type="dxa"/>
            <w:vMerge/>
          </w:tcPr>
          <w:p w14:paraId="55E54B2F" w14:textId="77777777" w:rsidR="00DC00ED" w:rsidRPr="007C6082" w:rsidRDefault="00DC00ED" w:rsidP="00DC00ED">
            <w:pPr>
              <w:pStyle w:val="TableText"/>
              <w:rPr>
                <w:rFonts w:cs="Calibri"/>
                <w:szCs w:val="18"/>
              </w:rPr>
            </w:pPr>
          </w:p>
        </w:tc>
        <w:tc>
          <w:tcPr>
            <w:tcW w:w="1420" w:type="dxa"/>
            <w:vMerge/>
          </w:tcPr>
          <w:p w14:paraId="58822410" w14:textId="77777777" w:rsidR="00DC00ED" w:rsidRPr="007C6082" w:rsidRDefault="00DC00ED" w:rsidP="00DC00ED">
            <w:pPr>
              <w:pStyle w:val="TableText"/>
              <w:rPr>
                <w:rFonts w:cs="Calibri"/>
                <w:szCs w:val="18"/>
              </w:rPr>
            </w:pPr>
          </w:p>
        </w:tc>
      </w:tr>
      <w:tr w:rsidR="002721D2" w:rsidRPr="007C6082" w14:paraId="3F24E4CE" w14:textId="77777777" w:rsidTr="00114C1E">
        <w:tc>
          <w:tcPr>
            <w:tcW w:w="1812" w:type="dxa"/>
            <w:vMerge w:val="restart"/>
            <w:tcBorders>
              <w:bottom w:val="nil"/>
            </w:tcBorders>
            <w:shd w:val="clear" w:color="auto" w:fill="auto"/>
          </w:tcPr>
          <w:p w14:paraId="22A95562" w14:textId="77777777" w:rsidR="002721D2" w:rsidRPr="007C6082" w:rsidRDefault="002721D2" w:rsidP="005E7004">
            <w:pPr>
              <w:pStyle w:val="Tablenum"/>
              <w:spacing w:before="60"/>
              <w:rPr>
                <w:rFonts w:cs="Calibri"/>
                <w:szCs w:val="18"/>
              </w:rPr>
            </w:pPr>
            <w:r w:rsidRPr="007C6082">
              <w:rPr>
                <w:rFonts w:cs="Calibri"/>
                <w:szCs w:val="18"/>
              </w:rPr>
              <w:t>Mass movement erosion type</w:t>
            </w:r>
          </w:p>
        </w:tc>
        <w:tc>
          <w:tcPr>
            <w:tcW w:w="1739" w:type="dxa"/>
            <w:vMerge w:val="restart"/>
            <w:tcBorders>
              <w:bottom w:val="nil"/>
            </w:tcBorders>
            <w:shd w:val="clear" w:color="auto" w:fill="auto"/>
          </w:tcPr>
          <w:p w14:paraId="553D5F93" w14:textId="33DE748B" w:rsidR="002721D2" w:rsidRPr="007C6082" w:rsidRDefault="002721D2" w:rsidP="00DC00ED">
            <w:pPr>
              <w:pStyle w:val="TableText"/>
              <w:rPr>
                <w:rFonts w:cs="Calibri"/>
                <w:szCs w:val="18"/>
              </w:rPr>
            </w:pPr>
            <w:r w:rsidRPr="007C6082">
              <w:rPr>
                <w:rFonts w:cs="Calibri"/>
                <w:szCs w:val="18"/>
              </w:rPr>
              <w:t xml:space="preserve">LUC dominant erosion type as recorded on the </w:t>
            </w:r>
            <w:hyperlink r:id="rId34" w:anchor=":~:text=The%20Land%20Use%20Capability%20system,the%20land%2C%20soil%20and%20environment" w:history="1">
              <w:r w:rsidRPr="007C6082">
                <w:rPr>
                  <w:rStyle w:val="Hyperlink"/>
                  <w:rFonts w:cs="Calibri"/>
                  <w:szCs w:val="18"/>
                </w:rPr>
                <w:t xml:space="preserve">Land Use Capability </w:t>
              </w:r>
              <w:r w:rsidR="00E207B6">
                <w:rPr>
                  <w:rStyle w:val="Hyperlink"/>
                  <w:rFonts w:cs="Calibri"/>
                  <w:szCs w:val="18"/>
                </w:rPr>
                <w:t>m</w:t>
              </w:r>
              <w:r w:rsidRPr="007C6082">
                <w:rPr>
                  <w:rStyle w:val="Hyperlink"/>
                  <w:rFonts w:cs="Calibri"/>
                  <w:szCs w:val="18"/>
                </w:rPr>
                <w:t xml:space="preserve">ap. </w:t>
              </w:r>
            </w:hyperlink>
          </w:p>
        </w:tc>
        <w:tc>
          <w:tcPr>
            <w:tcW w:w="1949" w:type="dxa"/>
            <w:tcBorders>
              <w:bottom w:val="nil"/>
            </w:tcBorders>
            <w:shd w:val="clear" w:color="auto" w:fill="auto"/>
          </w:tcPr>
          <w:p w14:paraId="2E88757A" w14:textId="77777777" w:rsidR="002721D2" w:rsidRPr="007C6082" w:rsidRDefault="002721D2" w:rsidP="00DC00ED">
            <w:pPr>
              <w:pStyle w:val="TableText"/>
              <w:rPr>
                <w:rFonts w:cs="Calibri"/>
                <w:szCs w:val="18"/>
              </w:rPr>
            </w:pPr>
            <w:r w:rsidRPr="007C6082">
              <w:rPr>
                <w:rFonts w:cs="Calibri"/>
                <w:szCs w:val="18"/>
              </w:rPr>
              <w:t>Earthflow →</w:t>
            </w:r>
          </w:p>
        </w:tc>
        <w:tc>
          <w:tcPr>
            <w:tcW w:w="2454" w:type="dxa"/>
            <w:tcBorders>
              <w:bottom w:val="nil"/>
            </w:tcBorders>
            <w:shd w:val="clear" w:color="auto" w:fill="auto"/>
          </w:tcPr>
          <w:p w14:paraId="440F9273" w14:textId="77777777" w:rsidR="002721D2" w:rsidRPr="007C6082" w:rsidRDefault="002721D2" w:rsidP="00DC00ED">
            <w:pPr>
              <w:pStyle w:val="TableText"/>
              <w:rPr>
                <w:rFonts w:cs="Calibri"/>
                <w:szCs w:val="18"/>
              </w:rPr>
            </w:pPr>
            <w:r w:rsidRPr="007C6082">
              <w:rPr>
                <w:rFonts w:cs="Calibri"/>
                <w:szCs w:val="18"/>
              </w:rPr>
              <w:t>→ Low risk – No further action</w:t>
            </w:r>
          </w:p>
        </w:tc>
        <w:tc>
          <w:tcPr>
            <w:tcW w:w="1273" w:type="dxa"/>
            <w:vMerge w:val="restart"/>
            <w:shd w:val="clear" w:color="auto" w:fill="auto"/>
          </w:tcPr>
          <w:p w14:paraId="24722A68" w14:textId="2FBC3264" w:rsidR="002721D2" w:rsidRPr="007C6082" w:rsidRDefault="002721D2" w:rsidP="00DC00ED">
            <w:pPr>
              <w:pStyle w:val="TableText"/>
              <w:rPr>
                <w:rFonts w:cs="Calibri"/>
                <w:szCs w:val="18"/>
              </w:rPr>
            </w:pPr>
            <w:r w:rsidRPr="007C6082">
              <w:rPr>
                <w:rFonts w:cs="Calibri"/>
                <w:szCs w:val="18"/>
              </w:rPr>
              <w:t>Yes</w:t>
            </w:r>
            <w:r w:rsidR="009F7024">
              <w:rPr>
                <w:rFonts w:cs="Calibri"/>
                <w:szCs w:val="18"/>
              </w:rPr>
              <w:t>.</w:t>
            </w:r>
          </w:p>
        </w:tc>
        <w:tc>
          <w:tcPr>
            <w:tcW w:w="1215" w:type="dxa"/>
            <w:vMerge w:val="restart"/>
          </w:tcPr>
          <w:p w14:paraId="4AD1AF72" w14:textId="63459499" w:rsidR="002721D2" w:rsidRPr="007C6082" w:rsidRDefault="002721D2" w:rsidP="00DC00ED">
            <w:pPr>
              <w:pStyle w:val="TableText"/>
              <w:rPr>
                <w:rFonts w:cs="Calibri"/>
                <w:szCs w:val="18"/>
              </w:rPr>
            </w:pPr>
            <w:r w:rsidRPr="007C6082">
              <w:rPr>
                <w:rFonts w:cs="Calibri"/>
                <w:szCs w:val="18"/>
              </w:rPr>
              <w:t>Yes</w:t>
            </w:r>
            <w:r w:rsidR="009F7024">
              <w:rPr>
                <w:rFonts w:cs="Calibri"/>
                <w:szCs w:val="18"/>
              </w:rPr>
              <w:t>.</w:t>
            </w:r>
          </w:p>
        </w:tc>
        <w:tc>
          <w:tcPr>
            <w:tcW w:w="1368" w:type="dxa"/>
            <w:vMerge w:val="restart"/>
          </w:tcPr>
          <w:p w14:paraId="6944962F" w14:textId="3D418603" w:rsidR="002721D2" w:rsidRPr="007C6082" w:rsidRDefault="002721D2" w:rsidP="00DC00ED">
            <w:pPr>
              <w:pStyle w:val="TableText"/>
              <w:rPr>
                <w:rFonts w:cs="Calibri"/>
                <w:szCs w:val="18"/>
              </w:rPr>
            </w:pPr>
            <w:r w:rsidRPr="007C6082">
              <w:rPr>
                <w:rFonts w:cs="Calibri"/>
                <w:szCs w:val="18"/>
              </w:rPr>
              <w:t>Yes</w:t>
            </w:r>
            <w:r w:rsidR="009F7024">
              <w:rPr>
                <w:rFonts w:cs="Calibri"/>
                <w:szCs w:val="18"/>
              </w:rPr>
              <w:t>.</w:t>
            </w:r>
          </w:p>
        </w:tc>
        <w:tc>
          <w:tcPr>
            <w:tcW w:w="1285" w:type="dxa"/>
            <w:vMerge w:val="restart"/>
          </w:tcPr>
          <w:p w14:paraId="074266E3" w14:textId="0FDC6B03" w:rsidR="002721D2" w:rsidRPr="007C6082" w:rsidRDefault="002721D2" w:rsidP="00B94CD3">
            <w:pPr>
              <w:pStyle w:val="TableText"/>
              <w:rPr>
                <w:rFonts w:cs="Calibri"/>
                <w:szCs w:val="18"/>
              </w:rPr>
            </w:pPr>
            <w:r w:rsidRPr="007C6082">
              <w:rPr>
                <w:rFonts w:cs="Calibri"/>
                <w:szCs w:val="18"/>
              </w:rPr>
              <w:t>Yes, but it requires a process to be set out detailing different erosion types and how to identify them in the LUC map.</w:t>
            </w:r>
          </w:p>
        </w:tc>
        <w:tc>
          <w:tcPr>
            <w:tcW w:w="1420" w:type="dxa"/>
            <w:vMerge w:val="restart"/>
          </w:tcPr>
          <w:p w14:paraId="1971D5D4" w14:textId="77777777" w:rsidR="002721D2" w:rsidRPr="007C6082" w:rsidRDefault="002721D2" w:rsidP="002721D2">
            <w:pPr>
              <w:pStyle w:val="TableText"/>
            </w:pPr>
            <w:r w:rsidRPr="007C6082">
              <w:t>Only as a drafting gate to further assessment</w:t>
            </w:r>
          </w:p>
        </w:tc>
      </w:tr>
      <w:tr w:rsidR="002721D2" w:rsidRPr="007C6082" w14:paraId="22191F55" w14:textId="77777777" w:rsidTr="00854BA9">
        <w:tc>
          <w:tcPr>
            <w:tcW w:w="1812" w:type="dxa"/>
            <w:vMerge/>
            <w:tcBorders>
              <w:bottom w:val="nil"/>
            </w:tcBorders>
            <w:shd w:val="clear" w:color="auto" w:fill="auto"/>
          </w:tcPr>
          <w:p w14:paraId="056A94EC" w14:textId="77777777" w:rsidR="002721D2" w:rsidRPr="007C6082" w:rsidRDefault="002721D2" w:rsidP="005E7004">
            <w:pPr>
              <w:pStyle w:val="Tablenum"/>
              <w:spacing w:before="60"/>
              <w:rPr>
                <w:rFonts w:cs="Calibri"/>
                <w:szCs w:val="18"/>
              </w:rPr>
            </w:pPr>
          </w:p>
        </w:tc>
        <w:tc>
          <w:tcPr>
            <w:tcW w:w="1739" w:type="dxa"/>
            <w:vMerge/>
            <w:tcBorders>
              <w:bottom w:val="nil"/>
            </w:tcBorders>
            <w:shd w:val="clear" w:color="auto" w:fill="auto"/>
          </w:tcPr>
          <w:p w14:paraId="64DFCC4B" w14:textId="77777777" w:rsidR="002721D2" w:rsidRPr="007C6082" w:rsidRDefault="002721D2" w:rsidP="00DC00ED">
            <w:pPr>
              <w:pStyle w:val="TableText"/>
              <w:rPr>
                <w:rFonts w:cs="Calibri"/>
                <w:szCs w:val="18"/>
              </w:rPr>
            </w:pPr>
          </w:p>
        </w:tc>
        <w:tc>
          <w:tcPr>
            <w:tcW w:w="1949" w:type="dxa"/>
            <w:tcBorders>
              <w:top w:val="nil"/>
              <w:bottom w:val="nil"/>
            </w:tcBorders>
            <w:shd w:val="clear" w:color="auto" w:fill="auto"/>
          </w:tcPr>
          <w:p w14:paraId="78AD39AD" w14:textId="77777777" w:rsidR="002721D2" w:rsidRPr="007C6082" w:rsidRDefault="002721D2" w:rsidP="00203BC7">
            <w:pPr>
              <w:pStyle w:val="TableText"/>
              <w:spacing w:before="0" w:after="0"/>
              <w:rPr>
                <w:rFonts w:cs="Calibri"/>
                <w:szCs w:val="18"/>
              </w:rPr>
            </w:pPr>
            <w:r w:rsidRPr="007C6082">
              <w:rPr>
                <w:rFonts w:cs="Calibri"/>
                <w:szCs w:val="18"/>
              </w:rPr>
              <w:t>Slump →</w:t>
            </w:r>
          </w:p>
        </w:tc>
        <w:tc>
          <w:tcPr>
            <w:tcW w:w="2454" w:type="dxa"/>
            <w:tcBorders>
              <w:top w:val="nil"/>
              <w:bottom w:val="nil"/>
            </w:tcBorders>
            <w:shd w:val="clear" w:color="auto" w:fill="auto"/>
          </w:tcPr>
          <w:p w14:paraId="288A9949" w14:textId="77777777" w:rsidR="002721D2" w:rsidRPr="007C6082" w:rsidRDefault="002721D2" w:rsidP="00203BC7">
            <w:pPr>
              <w:pStyle w:val="TableText"/>
              <w:spacing w:before="0" w:after="0"/>
              <w:rPr>
                <w:rFonts w:cs="Calibri"/>
                <w:szCs w:val="18"/>
              </w:rPr>
            </w:pPr>
            <w:r w:rsidRPr="007C6082">
              <w:rPr>
                <w:rFonts w:cs="Calibri"/>
                <w:szCs w:val="18"/>
              </w:rPr>
              <w:t>→ Low risk – No further action</w:t>
            </w:r>
          </w:p>
        </w:tc>
        <w:tc>
          <w:tcPr>
            <w:tcW w:w="1273" w:type="dxa"/>
            <w:vMerge/>
            <w:shd w:val="clear" w:color="auto" w:fill="auto"/>
          </w:tcPr>
          <w:p w14:paraId="68274DAC" w14:textId="77777777" w:rsidR="002721D2" w:rsidRPr="007C6082" w:rsidRDefault="002721D2" w:rsidP="00DC00ED">
            <w:pPr>
              <w:pStyle w:val="TableText"/>
              <w:rPr>
                <w:rFonts w:cs="Calibri"/>
                <w:szCs w:val="18"/>
              </w:rPr>
            </w:pPr>
          </w:p>
        </w:tc>
        <w:tc>
          <w:tcPr>
            <w:tcW w:w="1215" w:type="dxa"/>
            <w:vMerge/>
          </w:tcPr>
          <w:p w14:paraId="46DBBC9D" w14:textId="77777777" w:rsidR="002721D2" w:rsidRPr="007C6082" w:rsidRDefault="002721D2" w:rsidP="00DC00ED">
            <w:pPr>
              <w:pStyle w:val="TableText"/>
              <w:rPr>
                <w:rFonts w:cs="Calibri"/>
                <w:szCs w:val="18"/>
              </w:rPr>
            </w:pPr>
          </w:p>
        </w:tc>
        <w:tc>
          <w:tcPr>
            <w:tcW w:w="1368" w:type="dxa"/>
            <w:vMerge/>
          </w:tcPr>
          <w:p w14:paraId="76DFB9E9" w14:textId="77777777" w:rsidR="002721D2" w:rsidRPr="007C6082" w:rsidRDefault="002721D2" w:rsidP="00DC00ED">
            <w:pPr>
              <w:pStyle w:val="TableText"/>
              <w:rPr>
                <w:rFonts w:cs="Calibri"/>
                <w:szCs w:val="18"/>
              </w:rPr>
            </w:pPr>
          </w:p>
        </w:tc>
        <w:tc>
          <w:tcPr>
            <w:tcW w:w="1285" w:type="dxa"/>
            <w:vMerge/>
          </w:tcPr>
          <w:p w14:paraId="7FEC088A" w14:textId="772B28E6" w:rsidR="002721D2" w:rsidRPr="007C6082" w:rsidRDefault="002721D2" w:rsidP="00DC00ED">
            <w:pPr>
              <w:pStyle w:val="TableText"/>
              <w:rPr>
                <w:rFonts w:cs="Calibri"/>
                <w:szCs w:val="18"/>
              </w:rPr>
            </w:pPr>
          </w:p>
        </w:tc>
        <w:tc>
          <w:tcPr>
            <w:tcW w:w="1420" w:type="dxa"/>
            <w:vMerge/>
          </w:tcPr>
          <w:p w14:paraId="1D10A1BA" w14:textId="77777777" w:rsidR="002721D2" w:rsidRPr="007C6082" w:rsidRDefault="002721D2" w:rsidP="00DC00ED">
            <w:pPr>
              <w:pStyle w:val="TableText"/>
              <w:rPr>
                <w:rFonts w:cs="Calibri"/>
                <w:szCs w:val="18"/>
              </w:rPr>
            </w:pPr>
          </w:p>
        </w:tc>
      </w:tr>
      <w:tr w:rsidR="002721D2" w:rsidRPr="007C6082" w14:paraId="4D849B7D" w14:textId="77777777" w:rsidTr="00854BA9">
        <w:tc>
          <w:tcPr>
            <w:tcW w:w="1812" w:type="dxa"/>
            <w:vMerge/>
            <w:tcBorders>
              <w:bottom w:val="nil"/>
            </w:tcBorders>
            <w:shd w:val="clear" w:color="auto" w:fill="auto"/>
          </w:tcPr>
          <w:p w14:paraId="38D3D3A6" w14:textId="77777777" w:rsidR="002721D2" w:rsidRPr="007C6082" w:rsidRDefault="002721D2" w:rsidP="005E7004">
            <w:pPr>
              <w:pStyle w:val="Tablenum"/>
              <w:spacing w:before="60"/>
              <w:rPr>
                <w:rFonts w:cs="Calibri"/>
                <w:szCs w:val="18"/>
              </w:rPr>
            </w:pPr>
          </w:p>
        </w:tc>
        <w:tc>
          <w:tcPr>
            <w:tcW w:w="1739" w:type="dxa"/>
            <w:vMerge/>
            <w:tcBorders>
              <w:bottom w:val="nil"/>
            </w:tcBorders>
            <w:shd w:val="clear" w:color="auto" w:fill="auto"/>
          </w:tcPr>
          <w:p w14:paraId="316B63FE" w14:textId="77777777" w:rsidR="002721D2" w:rsidRPr="007C6082" w:rsidRDefault="002721D2" w:rsidP="00DC00ED">
            <w:pPr>
              <w:pStyle w:val="TableText"/>
              <w:rPr>
                <w:rFonts w:cs="Calibri"/>
                <w:szCs w:val="18"/>
              </w:rPr>
            </w:pPr>
          </w:p>
        </w:tc>
        <w:tc>
          <w:tcPr>
            <w:tcW w:w="1949" w:type="dxa"/>
            <w:tcBorders>
              <w:top w:val="nil"/>
              <w:bottom w:val="nil"/>
            </w:tcBorders>
            <w:shd w:val="clear" w:color="auto" w:fill="auto"/>
          </w:tcPr>
          <w:p w14:paraId="7FE7D532" w14:textId="77777777" w:rsidR="002721D2" w:rsidRPr="007C6082" w:rsidRDefault="002721D2" w:rsidP="00203BC7">
            <w:pPr>
              <w:pStyle w:val="TableText"/>
              <w:spacing w:before="0" w:after="0"/>
              <w:rPr>
                <w:rFonts w:cs="Calibri"/>
                <w:szCs w:val="18"/>
              </w:rPr>
            </w:pPr>
            <w:r w:rsidRPr="007C6082">
              <w:rPr>
                <w:rFonts w:cs="Calibri"/>
                <w:szCs w:val="18"/>
              </w:rPr>
              <w:t>Rock fall →</w:t>
            </w:r>
          </w:p>
        </w:tc>
        <w:tc>
          <w:tcPr>
            <w:tcW w:w="2454" w:type="dxa"/>
            <w:tcBorders>
              <w:top w:val="nil"/>
              <w:bottom w:val="nil"/>
            </w:tcBorders>
            <w:shd w:val="clear" w:color="auto" w:fill="auto"/>
          </w:tcPr>
          <w:p w14:paraId="7BEADBC4" w14:textId="77777777" w:rsidR="002721D2" w:rsidRPr="007C6082" w:rsidRDefault="002721D2" w:rsidP="00203BC7">
            <w:pPr>
              <w:pStyle w:val="TableText"/>
              <w:spacing w:before="0" w:after="0"/>
              <w:rPr>
                <w:rFonts w:cs="Calibri"/>
                <w:szCs w:val="18"/>
              </w:rPr>
            </w:pPr>
            <w:r w:rsidRPr="007C6082">
              <w:rPr>
                <w:rFonts w:cs="Calibri"/>
                <w:szCs w:val="18"/>
              </w:rPr>
              <w:t xml:space="preserve">→ </w:t>
            </w:r>
            <w:r w:rsidRPr="007C6082">
              <w:rPr>
                <w:rFonts w:cs="Calibri"/>
                <w:color w:val="FF0000"/>
                <w:szCs w:val="18"/>
              </w:rPr>
              <w:t>Further assessment required</w:t>
            </w:r>
          </w:p>
        </w:tc>
        <w:tc>
          <w:tcPr>
            <w:tcW w:w="1273" w:type="dxa"/>
            <w:vMerge/>
            <w:shd w:val="clear" w:color="auto" w:fill="auto"/>
          </w:tcPr>
          <w:p w14:paraId="7BFDF119" w14:textId="77777777" w:rsidR="002721D2" w:rsidRPr="007C6082" w:rsidRDefault="002721D2" w:rsidP="00DC00ED">
            <w:pPr>
              <w:pStyle w:val="TableText"/>
              <w:rPr>
                <w:rFonts w:cs="Calibri"/>
                <w:szCs w:val="18"/>
              </w:rPr>
            </w:pPr>
          </w:p>
        </w:tc>
        <w:tc>
          <w:tcPr>
            <w:tcW w:w="1215" w:type="dxa"/>
            <w:vMerge/>
          </w:tcPr>
          <w:p w14:paraId="581758DF" w14:textId="77777777" w:rsidR="002721D2" w:rsidRPr="007C6082" w:rsidRDefault="002721D2" w:rsidP="00DC00ED">
            <w:pPr>
              <w:pStyle w:val="TableText"/>
              <w:rPr>
                <w:rFonts w:cs="Calibri"/>
                <w:szCs w:val="18"/>
              </w:rPr>
            </w:pPr>
          </w:p>
        </w:tc>
        <w:tc>
          <w:tcPr>
            <w:tcW w:w="1368" w:type="dxa"/>
            <w:vMerge/>
          </w:tcPr>
          <w:p w14:paraId="12B9488B" w14:textId="77777777" w:rsidR="002721D2" w:rsidRPr="007C6082" w:rsidRDefault="002721D2" w:rsidP="00DC00ED">
            <w:pPr>
              <w:pStyle w:val="TableText"/>
              <w:rPr>
                <w:rFonts w:cs="Calibri"/>
                <w:szCs w:val="18"/>
              </w:rPr>
            </w:pPr>
          </w:p>
        </w:tc>
        <w:tc>
          <w:tcPr>
            <w:tcW w:w="1285" w:type="dxa"/>
            <w:vMerge/>
          </w:tcPr>
          <w:p w14:paraId="6920B4B1" w14:textId="60BDE7C8" w:rsidR="002721D2" w:rsidRPr="007C6082" w:rsidRDefault="002721D2" w:rsidP="00DC00ED">
            <w:pPr>
              <w:pStyle w:val="TableText"/>
              <w:rPr>
                <w:rFonts w:cs="Calibri"/>
                <w:szCs w:val="18"/>
              </w:rPr>
            </w:pPr>
          </w:p>
        </w:tc>
        <w:tc>
          <w:tcPr>
            <w:tcW w:w="1420" w:type="dxa"/>
            <w:vMerge/>
          </w:tcPr>
          <w:p w14:paraId="26C0CCFC" w14:textId="77777777" w:rsidR="002721D2" w:rsidRPr="007C6082" w:rsidRDefault="002721D2" w:rsidP="00DC00ED">
            <w:pPr>
              <w:pStyle w:val="TableText"/>
              <w:rPr>
                <w:rFonts w:cs="Calibri"/>
                <w:szCs w:val="18"/>
              </w:rPr>
            </w:pPr>
          </w:p>
        </w:tc>
      </w:tr>
      <w:tr w:rsidR="002721D2" w:rsidRPr="007C6082" w14:paraId="1090BAE6" w14:textId="77777777" w:rsidTr="00854BA9">
        <w:tc>
          <w:tcPr>
            <w:tcW w:w="1812" w:type="dxa"/>
            <w:vMerge w:val="restart"/>
            <w:tcBorders>
              <w:top w:val="nil"/>
            </w:tcBorders>
            <w:shd w:val="clear" w:color="auto" w:fill="auto"/>
          </w:tcPr>
          <w:p w14:paraId="115C65F2" w14:textId="77777777" w:rsidR="002721D2" w:rsidRPr="007C6082" w:rsidRDefault="002721D2" w:rsidP="005E7004">
            <w:pPr>
              <w:pStyle w:val="Tablenum"/>
              <w:numPr>
                <w:ilvl w:val="0"/>
                <w:numId w:val="0"/>
              </w:numPr>
              <w:spacing w:before="60" w:after="0"/>
              <w:ind w:left="284" w:hanging="284"/>
              <w:rPr>
                <w:rFonts w:cs="Calibri"/>
                <w:szCs w:val="18"/>
              </w:rPr>
            </w:pPr>
          </w:p>
        </w:tc>
        <w:tc>
          <w:tcPr>
            <w:tcW w:w="1739" w:type="dxa"/>
            <w:vMerge w:val="restart"/>
            <w:tcBorders>
              <w:top w:val="nil"/>
            </w:tcBorders>
            <w:shd w:val="clear" w:color="auto" w:fill="auto"/>
          </w:tcPr>
          <w:p w14:paraId="20BFB38E" w14:textId="77777777" w:rsidR="002721D2" w:rsidRPr="007C6082" w:rsidRDefault="002721D2" w:rsidP="002721D2">
            <w:pPr>
              <w:pStyle w:val="TableText"/>
              <w:spacing w:before="0" w:after="0"/>
              <w:rPr>
                <w:rFonts w:cs="Calibri"/>
                <w:szCs w:val="18"/>
              </w:rPr>
            </w:pPr>
          </w:p>
        </w:tc>
        <w:tc>
          <w:tcPr>
            <w:tcW w:w="1949" w:type="dxa"/>
            <w:tcBorders>
              <w:top w:val="nil"/>
              <w:bottom w:val="nil"/>
            </w:tcBorders>
            <w:shd w:val="clear" w:color="auto" w:fill="auto"/>
          </w:tcPr>
          <w:p w14:paraId="755822BA" w14:textId="77777777" w:rsidR="002721D2" w:rsidRPr="007C6082" w:rsidRDefault="002721D2" w:rsidP="002721D2">
            <w:pPr>
              <w:pStyle w:val="TableText"/>
              <w:spacing w:before="0" w:after="0"/>
              <w:rPr>
                <w:rFonts w:cs="Calibri"/>
                <w:szCs w:val="18"/>
              </w:rPr>
            </w:pPr>
            <w:r w:rsidRPr="007C6082">
              <w:rPr>
                <w:rFonts w:cs="Calibri"/>
                <w:szCs w:val="18"/>
              </w:rPr>
              <w:t>Soil slip →</w:t>
            </w:r>
          </w:p>
        </w:tc>
        <w:tc>
          <w:tcPr>
            <w:tcW w:w="2454" w:type="dxa"/>
            <w:tcBorders>
              <w:top w:val="nil"/>
              <w:bottom w:val="nil"/>
            </w:tcBorders>
            <w:shd w:val="clear" w:color="auto" w:fill="auto"/>
          </w:tcPr>
          <w:p w14:paraId="51393919" w14:textId="77777777" w:rsidR="002721D2" w:rsidRPr="007C6082" w:rsidRDefault="002721D2" w:rsidP="002721D2">
            <w:pPr>
              <w:pStyle w:val="TableText"/>
              <w:spacing w:before="0" w:after="0"/>
              <w:rPr>
                <w:rFonts w:cs="Calibri"/>
                <w:szCs w:val="18"/>
              </w:rPr>
            </w:pPr>
            <w:r w:rsidRPr="007C6082">
              <w:rPr>
                <w:rFonts w:cs="Calibri"/>
                <w:szCs w:val="18"/>
              </w:rPr>
              <w:t xml:space="preserve">→ </w:t>
            </w:r>
            <w:r w:rsidRPr="007C6082">
              <w:rPr>
                <w:rFonts w:cs="Calibri"/>
                <w:color w:val="FF0000"/>
                <w:szCs w:val="18"/>
              </w:rPr>
              <w:t>Further assessment required</w:t>
            </w:r>
          </w:p>
        </w:tc>
        <w:tc>
          <w:tcPr>
            <w:tcW w:w="1273" w:type="dxa"/>
            <w:vMerge/>
            <w:shd w:val="clear" w:color="auto" w:fill="auto"/>
          </w:tcPr>
          <w:p w14:paraId="1B5053EB" w14:textId="77777777" w:rsidR="002721D2" w:rsidRPr="007C6082" w:rsidRDefault="002721D2" w:rsidP="002721D2">
            <w:pPr>
              <w:pStyle w:val="TableText"/>
              <w:spacing w:before="0" w:after="0"/>
              <w:rPr>
                <w:rFonts w:cs="Calibri"/>
                <w:szCs w:val="18"/>
              </w:rPr>
            </w:pPr>
          </w:p>
        </w:tc>
        <w:tc>
          <w:tcPr>
            <w:tcW w:w="1215" w:type="dxa"/>
            <w:vMerge/>
          </w:tcPr>
          <w:p w14:paraId="73B01E0F" w14:textId="77777777" w:rsidR="002721D2" w:rsidRPr="007C6082" w:rsidRDefault="002721D2" w:rsidP="002721D2">
            <w:pPr>
              <w:pStyle w:val="TableText"/>
              <w:spacing w:before="0" w:after="0"/>
              <w:rPr>
                <w:rFonts w:cs="Calibri"/>
                <w:szCs w:val="18"/>
              </w:rPr>
            </w:pPr>
          </w:p>
        </w:tc>
        <w:tc>
          <w:tcPr>
            <w:tcW w:w="1368" w:type="dxa"/>
            <w:vMerge/>
          </w:tcPr>
          <w:p w14:paraId="467E0E6C" w14:textId="77777777" w:rsidR="002721D2" w:rsidRPr="007C6082" w:rsidRDefault="002721D2" w:rsidP="002721D2">
            <w:pPr>
              <w:pStyle w:val="TableText"/>
              <w:spacing w:before="0" w:after="0"/>
              <w:rPr>
                <w:rFonts w:cs="Calibri"/>
                <w:szCs w:val="18"/>
              </w:rPr>
            </w:pPr>
          </w:p>
        </w:tc>
        <w:tc>
          <w:tcPr>
            <w:tcW w:w="1285" w:type="dxa"/>
            <w:vMerge/>
          </w:tcPr>
          <w:p w14:paraId="6CFC3181" w14:textId="11205052" w:rsidR="002721D2" w:rsidRPr="007C6082" w:rsidRDefault="002721D2" w:rsidP="002721D2">
            <w:pPr>
              <w:pStyle w:val="TableText"/>
              <w:spacing w:before="0" w:after="0"/>
              <w:rPr>
                <w:rFonts w:cs="Calibri"/>
                <w:szCs w:val="18"/>
              </w:rPr>
            </w:pPr>
          </w:p>
        </w:tc>
        <w:tc>
          <w:tcPr>
            <w:tcW w:w="1420" w:type="dxa"/>
            <w:vMerge/>
          </w:tcPr>
          <w:p w14:paraId="22040DC3" w14:textId="77777777" w:rsidR="002721D2" w:rsidRPr="007C6082" w:rsidRDefault="002721D2" w:rsidP="002721D2">
            <w:pPr>
              <w:pStyle w:val="TableText"/>
              <w:spacing w:before="0" w:after="0"/>
              <w:rPr>
                <w:rFonts w:cs="Calibri"/>
                <w:szCs w:val="18"/>
              </w:rPr>
            </w:pPr>
          </w:p>
        </w:tc>
      </w:tr>
      <w:tr w:rsidR="002721D2" w:rsidRPr="007C6082" w14:paraId="662560BC" w14:textId="77777777" w:rsidTr="00854BA9">
        <w:tc>
          <w:tcPr>
            <w:tcW w:w="1812" w:type="dxa"/>
            <w:vMerge/>
            <w:shd w:val="clear" w:color="auto" w:fill="auto"/>
          </w:tcPr>
          <w:p w14:paraId="1B5EC0DB" w14:textId="77777777" w:rsidR="002721D2" w:rsidRPr="007C6082" w:rsidRDefault="002721D2" w:rsidP="005E7004">
            <w:pPr>
              <w:pStyle w:val="Tablenum"/>
              <w:numPr>
                <w:ilvl w:val="0"/>
                <w:numId w:val="0"/>
              </w:numPr>
              <w:spacing w:before="60"/>
              <w:ind w:left="284" w:hanging="284"/>
              <w:rPr>
                <w:rFonts w:cs="Calibri"/>
                <w:szCs w:val="18"/>
              </w:rPr>
            </w:pPr>
          </w:p>
        </w:tc>
        <w:tc>
          <w:tcPr>
            <w:tcW w:w="1739" w:type="dxa"/>
            <w:vMerge/>
            <w:shd w:val="clear" w:color="auto" w:fill="auto"/>
          </w:tcPr>
          <w:p w14:paraId="1D1946FC" w14:textId="77777777" w:rsidR="002721D2" w:rsidRPr="007C6082" w:rsidRDefault="002721D2" w:rsidP="00DC00ED">
            <w:pPr>
              <w:pStyle w:val="TableText"/>
              <w:rPr>
                <w:rFonts w:cs="Calibri"/>
                <w:szCs w:val="18"/>
              </w:rPr>
            </w:pPr>
          </w:p>
        </w:tc>
        <w:tc>
          <w:tcPr>
            <w:tcW w:w="1949" w:type="dxa"/>
            <w:tcBorders>
              <w:top w:val="nil"/>
              <w:bottom w:val="single" w:sz="4" w:space="0" w:color="1B556B" w:themeColor="text2"/>
            </w:tcBorders>
            <w:shd w:val="clear" w:color="auto" w:fill="auto"/>
          </w:tcPr>
          <w:p w14:paraId="6DC4F894" w14:textId="77777777" w:rsidR="002721D2" w:rsidRPr="007C6082" w:rsidRDefault="002721D2" w:rsidP="00203BC7">
            <w:pPr>
              <w:pStyle w:val="TableText"/>
              <w:spacing w:before="0" w:after="0"/>
              <w:rPr>
                <w:rFonts w:cs="Calibri"/>
                <w:szCs w:val="18"/>
              </w:rPr>
            </w:pPr>
            <w:r w:rsidRPr="007C6082">
              <w:rPr>
                <w:rFonts w:cs="Calibri"/>
                <w:szCs w:val="18"/>
              </w:rPr>
              <w:t>Debris flow/avalanche →</w:t>
            </w:r>
          </w:p>
        </w:tc>
        <w:tc>
          <w:tcPr>
            <w:tcW w:w="2454" w:type="dxa"/>
            <w:tcBorders>
              <w:top w:val="nil"/>
              <w:bottom w:val="single" w:sz="4" w:space="0" w:color="1B556B" w:themeColor="text2"/>
            </w:tcBorders>
            <w:shd w:val="clear" w:color="auto" w:fill="auto"/>
          </w:tcPr>
          <w:p w14:paraId="38812719" w14:textId="77777777" w:rsidR="002721D2" w:rsidRPr="007C6082" w:rsidRDefault="002721D2" w:rsidP="00203BC7">
            <w:pPr>
              <w:pStyle w:val="TableText"/>
              <w:spacing w:before="0"/>
              <w:rPr>
                <w:rFonts w:cs="Calibri"/>
                <w:szCs w:val="18"/>
              </w:rPr>
            </w:pPr>
            <w:r w:rsidRPr="007C6082">
              <w:rPr>
                <w:rFonts w:cs="Calibri"/>
                <w:szCs w:val="18"/>
              </w:rPr>
              <w:t xml:space="preserve">→ </w:t>
            </w:r>
            <w:r w:rsidRPr="007C6082">
              <w:rPr>
                <w:rFonts w:cs="Calibri"/>
                <w:color w:val="FF0000"/>
                <w:szCs w:val="18"/>
              </w:rPr>
              <w:t>Further assessment required</w:t>
            </w:r>
          </w:p>
        </w:tc>
        <w:tc>
          <w:tcPr>
            <w:tcW w:w="1273" w:type="dxa"/>
            <w:vMerge/>
            <w:shd w:val="clear" w:color="auto" w:fill="auto"/>
          </w:tcPr>
          <w:p w14:paraId="4DC5C21F" w14:textId="77777777" w:rsidR="002721D2" w:rsidRPr="007C6082" w:rsidRDefault="002721D2" w:rsidP="00DC00ED">
            <w:pPr>
              <w:pStyle w:val="TableText"/>
              <w:rPr>
                <w:rFonts w:cs="Calibri"/>
                <w:szCs w:val="18"/>
              </w:rPr>
            </w:pPr>
          </w:p>
        </w:tc>
        <w:tc>
          <w:tcPr>
            <w:tcW w:w="1215" w:type="dxa"/>
            <w:vMerge/>
          </w:tcPr>
          <w:p w14:paraId="36B50983" w14:textId="77777777" w:rsidR="002721D2" w:rsidRPr="007C6082" w:rsidRDefault="002721D2" w:rsidP="00DC00ED">
            <w:pPr>
              <w:pStyle w:val="TableText"/>
              <w:rPr>
                <w:rFonts w:cs="Calibri"/>
                <w:szCs w:val="18"/>
              </w:rPr>
            </w:pPr>
          </w:p>
        </w:tc>
        <w:tc>
          <w:tcPr>
            <w:tcW w:w="1368" w:type="dxa"/>
            <w:vMerge/>
          </w:tcPr>
          <w:p w14:paraId="5A3AAFCB" w14:textId="77777777" w:rsidR="002721D2" w:rsidRPr="007C6082" w:rsidRDefault="002721D2" w:rsidP="00DC00ED">
            <w:pPr>
              <w:pStyle w:val="TableText"/>
              <w:rPr>
                <w:rFonts w:cs="Calibri"/>
                <w:szCs w:val="18"/>
              </w:rPr>
            </w:pPr>
          </w:p>
        </w:tc>
        <w:tc>
          <w:tcPr>
            <w:tcW w:w="1285" w:type="dxa"/>
            <w:vMerge/>
          </w:tcPr>
          <w:p w14:paraId="1876EA59" w14:textId="77777777" w:rsidR="002721D2" w:rsidRPr="007C6082" w:rsidRDefault="002721D2" w:rsidP="00DC00ED">
            <w:pPr>
              <w:pStyle w:val="TableText"/>
              <w:rPr>
                <w:rFonts w:cs="Calibri"/>
                <w:szCs w:val="18"/>
              </w:rPr>
            </w:pPr>
          </w:p>
        </w:tc>
        <w:tc>
          <w:tcPr>
            <w:tcW w:w="1420" w:type="dxa"/>
            <w:vMerge/>
          </w:tcPr>
          <w:p w14:paraId="25090584" w14:textId="77777777" w:rsidR="002721D2" w:rsidRPr="007C6082" w:rsidRDefault="002721D2" w:rsidP="00DC00ED">
            <w:pPr>
              <w:pStyle w:val="TableText"/>
              <w:rPr>
                <w:rFonts w:cs="Calibri"/>
                <w:szCs w:val="18"/>
              </w:rPr>
            </w:pPr>
          </w:p>
        </w:tc>
      </w:tr>
      <w:tr w:rsidR="00F4634F" w:rsidRPr="007C6082" w14:paraId="273C06C6" w14:textId="77777777" w:rsidTr="00114C1E">
        <w:trPr>
          <w:trHeight w:val="550"/>
        </w:trPr>
        <w:tc>
          <w:tcPr>
            <w:tcW w:w="1812" w:type="dxa"/>
            <w:vMerge w:val="restart"/>
            <w:tcBorders>
              <w:bottom w:val="single" w:sz="4" w:space="0" w:color="1B556B" w:themeColor="text2"/>
            </w:tcBorders>
            <w:shd w:val="clear" w:color="auto" w:fill="auto"/>
          </w:tcPr>
          <w:p w14:paraId="42FCE696" w14:textId="77777777" w:rsidR="00F4634F" w:rsidRPr="007C6082" w:rsidRDefault="00F4634F" w:rsidP="005E7004">
            <w:pPr>
              <w:pStyle w:val="Tablenum"/>
              <w:numPr>
                <w:ilvl w:val="0"/>
                <w:numId w:val="0"/>
              </w:numPr>
              <w:spacing w:before="60"/>
              <w:rPr>
                <w:rFonts w:cs="Calibri"/>
                <w:szCs w:val="18"/>
              </w:rPr>
            </w:pPr>
            <w:r w:rsidRPr="007C6082">
              <w:rPr>
                <w:rFonts w:cs="Calibri"/>
                <w:szCs w:val="18"/>
              </w:rPr>
              <w:t>3a. Gully erosion</w:t>
            </w:r>
          </w:p>
        </w:tc>
        <w:tc>
          <w:tcPr>
            <w:tcW w:w="1739" w:type="dxa"/>
            <w:vMerge w:val="restart"/>
            <w:tcBorders>
              <w:bottom w:val="single" w:sz="4" w:space="0" w:color="1B556B" w:themeColor="text2"/>
            </w:tcBorders>
            <w:shd w:val="clear" w:color="auto" w:fill="auto"/>
          </w:tcPr>
          <w:p w14:paraId="7B26DD9C" w14:textId="77777777" w:rsidR="00F4634F" w:rsidRPr="007C6082" w:rsidRDefault="00F4634F" w:rsidP="0081221A">
            <w:pPr>
              <w:pStyle w:val="TableText"/>
              <w:spacing w:after="0"/>
              <w:rPr>
                <w:rFonts w:cs="Calibri"/>
                <w:szCs w:val="18"/>
              </w:rPr>
            </w:pPr>
          </w:p>
        </w:tc>
        <w:tc>
          <w:tcPr>
            <w:tcW w:w="1949" w:type="dxa"/>
            <w:tcBorders>
              <w:bottom w:val="nil"/>
            </w:tcBorders>
            <w:shd w:val="clear" w:color="auto" w:fill="auto"/>
          </w:tcPr>
          <w:p w14:paraId="1D1090B3" w14:textId="77777777" w:rsidR="00F4634F" w:rsidRPr="007C6082" w:rsidRDefault="00F4634F" w:rsidP="00F4634F">
            <w:pPr>
              <w:pStyle w:val="TableText"/>
              <w:rPr>
                <w:rFonts w:cs="Calibri"/>
                <w:szCs w:val="18"/>
              </w:rPr>
            </w:pPr>
            <w:r w:rsidRPr="007C6082">
              <w:rPr>
                <w:rFonts w:cs="Calibri"/>
                <w:szCs w:val="18"/>
              </w:rPr>
              <w:t>Gully erosion is not established →</w:t>
            </w:r>
          </w:p>
        </w:tc>
        <w:tc>
          <w:tcPr>
            <w:tcW w:w="2454" w:type="dxa"/>
            <w:tcBorders>
              <w:bottom w:val="nil"/>
            </w:tcBorders>
            <w:shd w:val="clear" w:color="auto" w:fill="auto"/>
          </w:tcPr>
          <w:p w14:paraId="1F8BF394" w14:textId="77777777" w:rsidR="00F4634F" w:rsidRPr="007C6082" w:rsidRDefault="00F4634F" w:rsidP="00203BC7">
            <w:pPr>
              <w:pStyle w:val="TableText"/>
              <w:spacing w:after="0"/>
              <w:rPr>
                <w:rFonts w:cs="Calibri"/>
                <w:szCs w:val="18"/>
              </w:rPr>
            </w:pPr>
            <w:r w:rsidRPr="007C6082">
              <w:rPr>
                <w:rFonts w:cs="Calibri"/>
                <w:szCs w:val="18"/>
              </w:rPr>
              <w:t>→ Low risk – No further action</w:t>
            </w:r>
          </w:p>
        </w:tc>
        <w:tc>
          <w:tcPr>
            <w:tcW w:w="1273" w:type="dxa"/>
            <w:vMerge/>
            <w:tcBorders>
              <w:bottom w:val="single" w:sz="4" w:space="0" w:color="1B556B" w:themeColor="text2"/>
            </w:tcBorders>
            <w:shd w:val="clear" w:color="auto" w:fill="auto"/>
          </w:tcPr>
          <w:p w14:paraId="570C325B" w14:textId="77777777" w:rsidR="00F4634F" w:rsidRPr="007C6082" w:rsidRDefault="00F4634F" w:rsidP="00DC00ED">
            <w:pPr>
              <w:pStyle w:val="TableText"/>
              <w:rPr>
                <w:rFonts w:cs="Calibri"/>
                <w:szCs w:val="18"/>
              </w:rPr>
            </w:pPr>
          </w:p>
        </w:tc>
        <w:tc>
          <w:tcPr>
            <w:tcW w:w="1215" w:type="dxa"/>
            <w:vMerge/>
            <w:tcBorders>
              <w:bottom w:val="single" w:sz="4" w:space="0" w:color="1B556B" w:themeColor="text2"/>
            </w:tcBorders>
          </w:tcPr>
          <w:p w14:paraId="09F4B2BD" w14:textId="77777777" w:rsidR="00F4634F" w:rsidRPr="007C6082" w:rsidRDefault="00F4634F" w:rsidP="00DC00ED">
            <w:pPr>
              <w:pStyle w:val="TableText"/>
              <w:rPr>
                <w:rFonts w:cs="Calibri"/>
                <w:szCs w:val="18"/>
              </w:rPr>
            </w:pPr>
          </w:p>
        </w:tc>
        <w:tc>
          <w:tcPr>
            <w:tcW w:w="1368" w:type="dxa"/>
            <w:vMerge/>
            <w:tcBorders>
              <w:bottom w:val="single" w:sz="4" w:space="0" w:color="1B556B" w:themeColor="text2"/>
            </w:tcBorders>
          </w:tcPr>
          <w:p w14:paraId="0B79C2CC" w14:textId="77777777" w:rsidR="00F4634F" w:rsidRPr="007C6082" w:rsidRDefault="00F4634F" w:rsidP="00DC00ED">
            <w:pPr>
              <w:pStyle w:val="TableText"/>
              <w:rPr>
                <w:rFonts w:cs="Calibri"/>
                <w:szCs w:val="18"/>
              </w:rPr>
            </w:pPr>
          </w:p>
        </w:tc>
        <w:tc>
          <w:tcPr>
            <w:tcW w:w="1285" w:type="dxa"/>
            <w:vMerge/>
            <w:tcBorders>
              <w:bottom w:val="single" w:sz="4" w:space="0" w:color="1B556B" w:themeColor="text2"/>
            </w:tcBorders>
          </w:tcPr>
          <w:p w14:paraId="5932C02F" w14:textId="77777777" w:rsidR="00F4634F" w:rsidRPr="007C6082" w:rsidRDefault="00F4634F" w:rsidP="00DC00ED">
            <w:pPr>
              <w:pStyle w:val="TableText"/>
              <w:rPr>
                <w:rFonts w:cs="Calibri"/>
                <w:szCs w:val="18"/>
              </w:rPr>
            </w:pPr>
          </w:p>
        </w:tc>
        <w:tc>
          <w:tcPr>
            <w:tcW w:w="1420" w:type="dxa"/>
            <w:vMerge/>
            <w:tcBorders>
              <w:bottom w:val="single" w:sz="4" w:space="0" w:color="1B556B" w:themeColor="text2"/>
            </w:tcBorders>
          </w:tcPr>
          <w:p w14:paraId="0B03AE22" w14:textId="77777777" w:rsidR="00F4634F" w:rsidRPr="007C6082" w:rsidRDefault="00F4634F" w:rsidP="00DC00ED">
            <w:pPr>
              <w:pStyle w:val="TableText"/>
              <w:rPr>
                <w:rFonts w:cs="Calibri"/>
                <w:szCs w:val="18"/>
              </w:rPr>
            </w:pPr>
          </w:p>
        </w:tc>
      </w:tr>
      <w:tr w:rsidR="00F4634F" w:rsidRPr="007C6082" w14:paraId="4FBD3A17" w14:textId="77777777" w:rsidTr="00114C1E">
        <w:tc>
          <w:tcPr>
            <w:tcW w:w="1812" w:type="dxa"/>
            <w:vMerge/>
            <w:shd w:val="clear" w:color="auto" w:fill="auto"/>
          </w:tcPr>
          <w:p w14:paraId="1454E14E" w14:textId="77777777" w:rsidR="00F4634F" w:rsidRPr="007C6082" w:rsidRDefault="00F4634F" w:rsidP="0081221A">
            <w:pPr>
              <w:pStyle w:val="Tablenum"/>
              <w:rPr>
                <w:rFonts w:cs="Calibri"/>
                <w:szCs w:val="18"/>
              </w:rPr>
            </w:pPr>
          </w:p>
        </w:tc>
        <w:tc>
          <w:tcPr>
            <w:tcW w:w="1739" w:type="dxa"/>
            <w:vMerge/>
            <w:shd w:val="clear" w:color="auto" w:fill="auto"/>
          </w:tcPr>
          <w:p w14:paraId="1754193F" w14:textId="77777777" w:rsidR="00F4634F" w:rsidRPr="007C6082" w:rsidRDefault="00F4634F" w:rsidP="0081221A">
            <w:pPr>
              <w:pStyle w:val="TableText"/>
              <w:spacing w:before="0"/>
              <w:rPr>
                <w:rFonts w:cs="Calibri"/>
                <w:szCs w:val="18"/>
              </w:rPr>
            </w:pPr>
          </w:p>
        </w:tc>
        <w:tc>
          <w:tcPr>
            <w:tcW w:w="1949" w:type="dxa"/>
            <w:tcBorders>
              <w:top w:val="nil"/>
              <w:bottom w:val="single" w:sz="4" w:space="0" w:color="1B556B" w:themeColor="text2"/>
            </w:tcBorders>
            <w:shd w:val="clear" w:color="auto" w:fill="auto"/>
          </w:tcPr>
          <w:p w14:paraId="10594A4D" w14:textId="77777777" w:rsidR="00F4634F" w:rsidRPr="007C6082" w:rsidRDefault="00F4634F" w:rsidP="0081221A">
            <w:pPr>
              <w:pStyle w:val="TableText"/>
              <w:spacing w:before="0"/>
              <w:rPr>
                <w:rFonts w:cs="Calibri"/>
                <w:szCs w:val="18"/>
              </w:rPr>
            </w:pPr>
            <w:r w:rsidRPr="007C6082">
              <w:rPr>
                <w:rFonts w:cs="Calibri"/>
                <w:szCs w:val="18"/>
              </w:rPr>
              <w:t>Gully erosion is established →</w:t>
            </w:r>
          </w:p>
        </w:tc>
        <w:tc>
          <w:tcPr>
            <w:tcW w:w="2454" w:type="dxa"/>
            <w:tcBorders>
              <w:top w:val="nil"/>
              <w:bottom w:val="single" w:sz="4" w:space="0" w:color="1B556B" w:themeColor="text2"/>
            </w:tcBorders>
            <w:shd w:val="clear" w:color="auto" w:fill="auto"/>
          </w:tcPr>
          <w:p w14:paraId="4C84193B" w14:textId="77777777" w:rsidR="00F4634F" w:rsidRPr="007C6082" w:rsidRDefault="00F4634F" w:rsidP="0081221A">
            <w:pPr>
              <w:pStyle w:val="TableText"/>
              <w:spacing w:before="0"/>
              <w:rPr>
                <w:rFonts w:cs="Calibri"/>
                <w:szCs w:val="18"/>
              </w:rPr>
            </w:pPr>
            <w:r w:rsidRPr="007C6082">
              <w:rPr>
                <w:rFonts w:cs="Calibri"/>
                <w:szCs w:val="18"/>
              </w:rPr>
              <w:t xml:space="preserve">→ </w:t>
            </w:r>
            <w:r w:rsidRPr="007C6082">
              <w:rPr>
                <w:rFonts w:cs="Calibri"/>
                <w:color w:val="FF0000"/>
                <w:szCs w:val="18"/>
              </w:rPr>
              <w:t>Further assessment required</w:t>
            </w:r>
          </w:p>
        </w:tc>
        <w:tc>
          <w:tcPr>
            <w:tcW w:w="1273" w:type="dxa"/>
            <w:vMerge/>
            <w:shd w:val="clear" w:color="auto" w:fill="auto"/>
          </w:tcPr>
          <w:p w14:paraId="02C8BB30" w14:textId="77777777" w:rsidR="00F4634F" w:rsidRPr="007C6082" w:rsidRDefault="00F4634F" w:rsidP="00DC00ED">
            <w:pPr>
              <w:pStyle w:val="TableText"/>
              <w:rPr>
                <w:rFonts w:cs="Calibri"/>
                <w:szCs w:val="18"/>
              </w:rPr>
            </w:pPr>
          </w:p>
        </w:tc>
        <w:tc>
          <w:tcPr>
            <w:tcW w:w="1215" w:type="dxa"/>
            <w:vMerge/>
          </w:tcPr>
          <w:p w14:paraId="69C1D03D" w14:textId="77777777" w:rsidR="00F4634F" w:rsidRPr="007C6082" w:rsidRDefault="00F4634F" w:rsidP="00DC00ED">
            <w:pPr>
              <w:pStyle w:val="TableText"/>
              <w:rPr>
                <w:rFonts w:cs="Calibri"/>
                <w:szCs w:val="18"/>
              </w:rPr>
            </w:pPr>
          </w:p>
        </w:tc>
        <w:tc>
          <w:tcPr>
            <w:tcW w:w="1368" w:type="dxa"/>
            <w:vMerge/>
          </w:tcPr>
          <w:p w14:paraId="4B5EB005" w14:textId="77777777" w:rsidR="00F4634F" w:rsidRPr="007C6082" w:rsidRDefault="00F4634F" w:rsidP="00DC00ED">
            <w:pPr>
              <w:pStyle w:val="TableText"/>
              <w:rPr>
                <w:rFonts w:cs="Calibri"/>
                <w:szCs w:val="18"/>
              </w:rPr>
            </w:pPr>
          </w:p>
        </w:tc>
        <w:tc>
          <w:tcPr>
            <w:tcW w:w="1285" w:type="dxa"/>
            <w:vMerge/>
          </w:tcPr>
          <w:p w14:paraId="0A9383F7" w14:textId="77777777" w:rsidR="00F4634F" w:rsidRPr="007C6082" w:rsidRDefault="00F4634F" w:rsidP="00DC00ED">
            <w:pPr>
              <w:pStyle w:val="TableText"/>
              <w:rPr>
                <w:rFonts w:cs="Calibri"/>
                <w:szCs w:val="18"/>
              </w:rPr>
            </w:pPr>
          </w:p>
        </w:tc>
        <w:tc>
          <w:tcPr>
            <w:tcW w:w="1420" w:type="dxa"/>
            <w:vMerge/>
          </w:tcPr>
          <w:p w14:paraId="583A4D88" w14:textId="77777777" w:rsidR="00F4634F" w:rsidRPr="007C6082" w:rsidRDefault="00F4634F" w:rsidP="00DC00ED">
            <w:pPr>
              <w:pStyle w:val="TableText"/>
              <w:rPr>
                <w:rFonts w:cs="Calibri"/>
                <w:szCs w:val="18"/>
              </w:rPr>
            </w:pPr>
          </w:p>
        </w:tc>
      </w:tr>
      <w:tr w:rsidR="002721D2" w:rsidRPr="007C6082" w14:paraId="74B7240D" w14:textId="77777777" w:rsidTr="00114C1E">
        <w:tc>
          <w:tcPr>
            <w:tcW w:w="1812" w:type="dxa"/>
            <w:vMerge w:val="restart"/>
            <w:shd w:val="clear" w:color="auto" w:fill="auto"/>
          </w:tcPr>
          <w:p w14:paraId="296A5C79" w14:textId="77777777" w:rsidR="00DC00ED" w:rsidRPr="007C6082" w:rsidRDefault="00DC00ED" w:rsidP="005E7004">
            <w:pPr>
              <w:pStyle w:val="Tablenum"/>
              <w:keepNext/>
              <w:spacing w:before="60"/>
              <w:rPr>
                <w:rFonts w:cs="Calibri"/>
                <w:szCs w:val="18"/>
              </w:rPr>
            </w:pPr>
            <w:r w:rsidRPr="007C6082">
              <w:rPr>
                <w:rFonts w:cs="Calibri"/>
                <w:szCs w:val="18"/>
              </w:rPr>
              <w:lastRenderedPageBreak/>
              <w:t xml:space="preserve">Slope </w:t>
            </w:r>
          </w:p>
        </w:tc>
        <w:tc>
          <w:tcPr>
            <w:tcW w:w="1739" w:type="dxa"/>
            <w:vMerge w:val="restart"/>
            <w:shd w:val="clear" w:color="auto" w:fill="auto"/>
          </w:tcPr>
          <w:p w14:paraId="706A58CF" w14:textId="77777777" w:rsidR="00DC00ED" w:rsidRPr="007C6082" w:rsidRDefault="00DC00ED" w:rsidP="00DC00ED">
            <w:pPr>
              <w:pStyle w:val="TableText"/>
              <w:rPr>
                <w:rFonts w:cs="Calibri"/>
                <w:szCs w:val="18"/>
              </w:rPr>
            </w:pPr>
            <w:r w:rsidRPr="007C6082">
              <w:rPr>
                <w:rFonts w:cs="Calibri"/>
                <w:szCs w:val="18"/>
              </w:rPr>
              <w:t>Measured by predominant slope &lt;/&gt; X degrees from horizontal) for each part of the harvest area. Measurement options include:</w:t>
            </w:r>
          </w:p>
          <w:p w14:paraId="3ADDE8A6" w14:textId="03C44B21" w:rsidR="00DC00ED" w:rsidRPr="007C6082" w:rsidRDefault="002840AC" w:rsidP="00DC00ED">
            <w:pPr>
              <w:pStyle w:val="TableBullet"/>
              <w:rPr>
                <w:rFonts w:cs="Calibri"/>
                <w:szCs w:val="18"/>
              </w:rPr>
            </w:pPr>
            <w:r>
              <w:rPr>
                <w:rFonts w:cs="Calibri"/>
                <w:szCs w:val="18"/>
              </w:rPr>
              <w:t>f</w:t>
            </w:r>
            <w:r w:rsidR="00DC00ED" w:rsidRPr="007C6082">
              <w:rPr>
                <w:rFonts w:cs="Calibri"/>
                <w:szCs w:val="18"/>
              </w:rPr>
              <w:t>ield measurement using a clinometer or app</w:t>
            </w:r>
          </w:p>
          <w:p w14:paraId="6E32EE0F" w14:textId="77777777" w:rsidR="00DC00ED" w:rsidRPr="007C6082" w:rsidRDefault="00DC00ED" w:rsidP="00DC00ED">
            <w:pPr>
              <w:pStyle w:val="TableBullet"/>
              <w:rPr>
                <w:rFonts w:cs="Calibri"/>
                <w:szCs w:val="18"/>
              </w:rPr>
            </w:pPr>
            <w:r w:rsidRPr="007C6082">
              <w:rPr>
                <w:rFonts w:cs="Calibri"/>
                <w:szCs w:val="18"/>
              </w:rPr>
              <w:t>GIS, using topographic map or LiDAR data.</w:t>
            </w:r>
          </w:p>
        </w:tc>
        <w:tc>
          <w:tcPr>
            <w:tcW w:w="1949" w:type="dxa"/>
            <w:tcBorders>
              <w:bottom w:val="nil"/>
            </w:tcBorders>
            <w:shd w:val="clear" w:color="auto" w:fill="auto"/>
          </w:tcPr>
          <w:p w14:paraId="32E3B9C6" w14:textId="2FE39305" w:rsidR="00DC00ED" w:rsidRPr="007C6082" w:rsidRDefault="00DC00ED" w:rsidP="00203BC7">
            <w:pPr>
              <w:pStyle w:val="TableText"/>
              <w:spacing w:after="0"/>
              <w:rPr>
                <w:rFonts w:cs="Calibri"/>
                <w:szCs w:val="18"/>
              </w:rPr>
            </w:pPr>
            <w:r w:rsidRPr="007C6082">
              <w:rPr>
                <w:rFonts w:cs="Calibri"/>
                <w:szCs w:val="18"/>
              </w:rPr>
              <w:t>&lt; 25</w:t>
            </w:r>
            <w:r w:rsidR="00884AE9">
              <w:rPr>
                <w:rFonts w:cs="Calibri"/>
                <w:szCs w:val="18"/>
              </w:rPr>
              <w:t xml:space="preserve"> degrees</w:t>
            </w:r>
            <w:r w:rsidR="00884AE9">
              <w:rPr>
                <w:rFonts w:cs="Calibri"/>
                <w:szCs w:val="18"/>
                <w:vertAlign w:val="superscript"/>
              </w:rPr>
              <w:t xml:space="preserve"> </w:t>
            </w:r>
            <w:r w:rsidRPr="007C6082">
              <w:rPr>
                <w:rFonts w:cs="Calibri"/>
                <w:szCs w:val="18"/>
                <w:vertAlign w:val="superscript"/>
              </w:rPr>
              <w:t xml:space="preserve"> </w:t>
            </w:r>
            <w:r w:rsidRPr="007C6082">
              <w:rPr>
                <w:rStyle w:val="FootnoteReference"/>
                <w:rFonts w:cs="Calibri"/>
                <w:sz w:val="18"/>
                <w:szCs w:val="18"/>
              </w:rPr>
              <w:footnoteReference w:id="7"/>
            </w:r>
            <w:r w:rsidR="00D35FF0" w:rsidRPr="007C6082">
              <w:rPr>
                <w:rFonts w:cs="Calibri"/>
                <w:szCs w:val="18"/>
                <w:vertAlign w:val="superscript"/>
              </w:rPr>
              <w:t xml:space="preserve"> </w:t>
            </w:r>
            <w:r w:rsidRPr="007C6082">
              <w:rPr>
                <w:rFonts w:cs="Calibri"/>
                <w:szCs w:val="18"/>
              </w:rPr>
              <w:t>→</w:t>
            </w:r>
          </w:p>
        </w:tc>
        <w:tc>
          <w:tcPr>
            <w:tcW w:w="2454" w:type="dxa"/>
            <w:tcBorders>
              <w:bottom w:val="nil"/>
            </w:tcBorders>
            <w:shd w:val="clear" w:color="auto" w:fill="auto"/>
          </w:tcPr>
          <w:p w14:paraId="655AB260" w14:textId="77777777" w:rsidR="00DC00ED" w:rsidRPr="007C6082" w:rsidRDefault="00DC00ED" w:rsidP="00203BC7">
            <w:pPr>
              <w:pStyle w:val="TableText"/>
              <w:spacing w:after="0"/>
              <w:rPr>
                <w:rFonts w:cs="Calibri"/>
                <w:szCs w:val="18"/>
              </w:rPr>
            </w:pPr>
            <w:r w:rsidRPr="007C6082">
              <w:rPr>
                <w:rFonts w:cs="Calibri"/>
                <w:szCs w:val="18"/>
              </w:rPr>
              <w:t>→ Low risk – No further action</w:t>
            </w:r>
          </w:p>
        </w:tc>
        <w:tc>
          <w:tcPr>
            <w:tcW w:w="1273" w:type="dxa"/>
            <w:vMerge w:val="restart"/>
            <w:shd w:val="clear" w:color="auto" w:fill="auto"/>
          </w:tcPr>
          <w:p w14:paraId="6379F7B9" w14:textId="1DF886B2" w:rsidR="00DC00ED" w:rsidRPr="007C6082" w:rsidRDefault="00DC00ED" w:rsidP="00DC00ED">
            <w:pPr>
              <w:pStyle w:val="TableText"/>
              <w:rPr>
                <w:rFonts w:cs="Calibri"/>
                <w:szCs w:val="18"/>
              </w:rPr>
            </w:pPr>
            <w:r w:rsidRPr="007C6082">
              <w:rPr>
                <w:rFonts w:cs="Calibri"/>
                <w:szCs w:val="18"/>
              </w:rPr>
              <w:t>Yes</w:t>
            </w:r>
            <w:r w:rsidR="009F7024">
              <w:rPr>
                <w:rFonts w:cs="Calibri"/>
                <w:szCs w:val="18"/>
              </w:rPr>
              <w:t>.</w:t>
            </w:r>
            <w:r w:rsidRPr="007C6082">
              <w:rPr>
                <w:rStyle w:val="FootnoteReference"/>
                <w:rFonts w:cs="Calibri"/>
                <w:sz w:val="18"/>
                <w:szCs w:val="18"/>
              </w:rPr>
              <w:footnoteReference w:id="8"/>
            </w:r>
          </w:p>
        </w:tc>
        <w:tc>
          <w:tcPr>
            <w:tcW w:w="1215" w:type="dxa"/>
            <w:vMerge w:val="restart"/>
          </w:tcPr>
          <w:p w14:paraId="59214ECB" w14:textId="3FB68FE3" w:rsidR="00DC00ED" w:rsidRPr="007C6082" w:rsidRDefault="00DC00ED" w:rsidP="00DC00ED">
            <w:pPr>
              <w:pStyle w:val="TableText"/>
              <w:rPr>
                <w:rFonts w:cs="Calibri"/>
                <w:szCs w:val="18"/>
              </w:rPr>
            </w:pPr>
            <w:r w:rsidRPr="007C6082">
              <w:rPr>
                <w:rFonts w:cs="Calibri"/>
                <w:szCs w:val="18"/>
              </w:rPr>
              <w:t>Yes</w:t>
            </w:r>
            <w:r w:rsidR="009F7024">
              <w:rPr>
                <w:rFonts w:cs="Calibri"/>
                <w:szCs w:val="18"/>
              </w:rPr>
              <w:t>.</w:t>
            </w:r>
          </w:p>
        </w:tc>
        <w:tc>
          <w:tcPr>
            <w:tcW w:w="1368" w:type="dxa"/>
            <w:vMerge w:val="restart"/>
          </w:tcPr>
          <w:p w14:paraId="6DD8B2BC" w14:textId="0D9AB88C" w:rsidR="00DC00ED" w:rsidRPr="007C6082" w:rsidRDefault="00DC00ED" w:rsidP="00DC00ED">
            <w:pPr>
              <w:pStyle w:val="TableText"/>
              <w:rPr>
                <w:rFonts w:cs="Calibri"/>
                <w:szCs w:val="18"/>
              </w:rPr>
            </w:pPr>
            <w:r w:rsidRPr="007C6082">
              <w:rPr>
                <w:rFonts w:cs="Calibri"/>
                <w:szCs w:val="18"/>
              </w:rPr>
              <w:t>Yes. Almost all councils have LiDAR</w:t>
            </w:r>
            <w:r w:rsidR="00013CB8">
              <w:rPr>
                <w:rFonts w:cs="Calibri"/>
                <w:szCs w:val="18"/>
              </w:rPr>
              <w:t>,</w:t>
            </w:r>
            <w:r w:rsidRPr="007C6082">
              <w:rPr>
                <w:rFonts w:cs="Calibri"/>
                <w:szCs w:val="18"/>
              </w:rPr>
              <w:t xml:space="preserve"> and forestry companies have access to DEMs and LiDAR.</w:t>
            </w:r>
          </w:p>
        </w:tc>
        <w:tc>
          <w:tcPr>
            <w:tcW w:w="1285" w:type="dxa"/>
            <w:vMerge w:val="restart"/>
          </w:tcPr>
          <w:p w14:paraId="2D4DD334" w14:textId="77777777" w:rsidR="00DC00ED" w:rsidRPr="007C6082" w:rsidRDefault="00DC00ED" w:rsidP="00DC00ED">
            <w:pPr>
              <w:pStyle w:val="TableText"/>
              <w:rPr>
                <w:rFonts w:cs="Calibri"/>
                <w:szCs w:val="18"/>
              </w:rPr>
            </w:pPr>
            <w:r w:rsidRPr="007C6082">
              <w:rPr>
                <w:rFonts w:cs="Calibri"/>
                <w:szCs w:val="18"/>
              </w:rPr>
              <w:t>Yes. Harvest management plans already require inclusion of contour lines at intervals less than or equal to 20 m.</w:t>
            </w:r>
          </w:p>
        </w:tc>
        <w:tc>
          <w:tcPr>
            <w:tcW w:w="1420" w:type="dxa"/>
            <w:vMerge w:val="restart"/>
          </w:tcPr>
          <w:p w14:paraId="1DAC43F1" w14:textId="77777777" w:rsidR="00DC00ED" w:rsidRPr="007C6082" w:rsidRDefault="00DC00ED" w:rsidP="00DC00ED">
            <w:pPr>
              <w:pStyle w:val="TableText"/>
              <w:rPr>
                <w:rFonts w:cs="Calibri"/>
                <w:szCs w:val="18"/>
              </w:rPr>
            </w:pPr>
            <w:r w:rsidRPr="007C6082">
              <w:rPr>
                <w:rFonts w:cs="Calibri"/>
                <w:szCs w:val="18"/>
              </w:rPr>
              <w:t>Yes. Harvest management plans already require inclusion of contour lines at intervals less than or equal to 20 m.</w:t>
            </w:r>
          </w:p>
        </w:tc>
      </w:tr>
      <w:tr w:rsidR="002721D2" w:rsidRPr="007C6082" w14:paraId="59F12362" w14:textId="77777777" w:rsidTr="00114C1E">
        <w:tc>
          <w:tcPr>
            <w:tcW w:w="1812" w:type="dxa"/>
            <w:vMerge/>
            <w:shd w:val="clear" w:color="auto" w:fill="auto"/>
          </w:tcPr>
          <w:p w14:paraId="30EF0D12" w14:textId="77777777" w:rsidR="00DC00ED" w:rsidRPr="007C6082" w:rsidRDefault="00DC00ED" w:rsidP="00DC00ED">
            <w:pPr>
              <w:pStyle w:val="Tablenum"/>
              <w:rPr>
                <w:rFonts w:cs="Calibri"/>
                <w:szCs w:val="18"/>
              </w:rPr>
            </w:pPr>
          </w:p>
        </w:tc>
        <w:tc>
          <w:tcPr>
            <w:tcW w:w="1739" w:type="dxa"/>
            <w:vMerge/>
            <w:shd w:val="clear" w:color="auto" w:fill="auto"/>
          </w:tcPr>
          <w:p w14:paraId="5DD5393D" w14:textId="77777777" w:rsidR="00DC00ED" w:rsidRPr="007C6082" w:rsidRDefault="00DC00ED" w:rsidP="00DC00ED">
            <w:pPr>
              <w:pStyle w:val="TableText"/>
              <w:rPr>
                <w:rFonts w:cs="Calibri"/>
                <w:szCs w:val="18"/>
              </w:rPr>
            </w:pPr>
          </w:p>
        </w:tc>
        <w:tc>
          <w:tcPr>
            <w:tcW w:w="1949" w:type="dxa"/>
            <w:tcBorders>
              <w:top w:val="nil"/>
              <w:bottom w:val="nil"/>
            </w:tcBorders>
            <w:shd w:val="clear" w:color="auto" w:fill="auto"/>
          </w:tcPr>
          <w:p w14:paraId="5801C0DC" w14:textId="488BFFE8" w:rsidR="00DC00ED" w:rsidRPr="007C6082" w:rsidRDefault="00DC00ED" w:rsidP="00203BC7">
            <w:pPr>
              <w:pStyle w:val="TableText"/>
              <w:spacing w:after="0"/>
              <w:rPr>
                <w:rFonts w:cs="Calibri"/>
                <w:szCs w:val="18"/>
              </w:rPr>
            </w:pPr>
            <w:r w:rsidRPr="007C6082">
              <w:rPr>
                <w:rFonts w:cs="Calibri"/>
                <w:szCs w:val="18"/>
              </w:rPr>
              <w:t>&gt; 25</w:t>
            </w:r>
            <w:r w:rsidR="00884AE9">
              <w:rPr>
                <w:rFonts w:cs="Calibri"/>
                <w:szCs w:val="18"/>
              </w:rPr>
              <w:t>degrees</w:t>
            </w:r>
            <w:r w:rsidRPr="007C6082">
              <w:rPr>
                <w:rFonts w:cs="Calibri"/>
                <w:szCs w:val="18"/>
              </w:rPr>
              <w:t xml:space="preserve"> →</w:t>
            </w:r>
          </w:p>
        </w:tc>
        <w:tc>
          <w:tcPr>
            <w:tcW w:w="2454" w:type="dxa"/>
            <w:tcBorders>
              <w:top w:val="nil"/>
              <w:bottom w:val="nil"/>
            </w:tcBorders>
            <w:shd w:val="clear" w:color="auto" w:fill="auto"/>
          </w:tcPr>
          <w:p w14:paraId="5650A0BF" w14:textId="0A2558C1" w:rsidR="00DC00ED" w:rsidRPr="007C6082" w:rsidRDefault="00DC00ED" w:rsidP="00203BC7">
            <w:pPr>
              <w:pStyle w:val="TableText"/>
              <w:spacing w:after="0"/>
              <w:rPr>
                <w:rFonts w:cs="Calibri"/>
                <w:szCs w:val="18"/>
              </w:rPr>
            </w:pPr>
            <w:r w:rsidRPr="007C6082">
              <w:rPr>
                <w:rFonts w:cs="Calibri"/>
                <w:szCs w:val="18"/>
              </w:rPr>
              <w:t xml:space="preserve">→ Medium risk </w:t>
            </w:r>
            <w:r w:rsidR="002840AC">
              <w:rPr>
                <w:rFonts w:cs="Calibri"/>
                <w:szCs w:val="18"/>
              </w:rPr>
              <w:t>–</w:t>
            </w:r>
            <w:r w:rsidRPr="007C6082">
              <w:rPr>
                <w:rFonts w:cs="Calibri"/>
                <w:szCs w:val="18"/>
              </w:rPr>
              <w:t xml:space="preserve"> </w:t>
            </w:r>
            <w:r w:rsidRPr="007C6082">
              <w:rPr>
                <w:rFonts w:cs="Calibri"/>
                <w:color w:val="FF0000"/>
                <w:szCs w:val="18"/>
              </w:rPr>
              <w:t>Further assessment required</w:t>
            </w:r>
          </w:p>
        </w:tc>
        <w:tc>
          <w:tcPr>
            <w:tcW w:w="1273" w:type="dxa"/>
            <w:vMerge/>
            <w:shd w:val="clear" w:color="auto" w:fill="auto"/>
          </w:tcPr>
          <w:p w14:paraId="6E339DA5" w14:textId="77777777" w:rsidR="00DC00ED" w:rsidRPr="007C6082" w:rsidRDefault="00DC00ED" w:rsidP="00DC00ED">
            <w:pPr>
              <w:pStyle w:val="TableText"/>
              <w:rPr>
                <w:rFonts w:cs="Calibri"/>
                <w:szCs w:val="18"/>
              </w:rPr>
            </w:pPr>
          </w:p>
        </w:tc>
        <w:tc>
          <w:tcPr>
            <w:tcW w:w="1215" w:type="dxa"/>
            <w:vMerge/>
          </w:tcPr>
          <w:p w14:paraId="4D33B01D" w14:textId="77777777" w:rsidR="00DC00ED" w:rsidRPr="007C6082" w:rsidRDefault="00DC00ED" w:rsidP="00DC00ED">
            <w:pPr>
              <w:pStyle w:val="TableText"/>
              <w:rPr>
                <w:rFonts w:cs="Calibri"/>
                <w:szCs w:val="18"/>
              </w:rPr>
            </w:pPr>
          </w:p>
        </w:tc>
        <w:tc>
          <w:tcPr>
            <w:tcW w:w="1368" w:type="dxa"/>
            <w:vMerge/>
          </w:tcPr>
          <w:p w14:paraId="52F81509" w14:textId="77777777" w:rsidR="00DC00ED" w:rsidRPr="007C6082" w:rsidRDefault="00DC00ED" w:rsidP="00DC00ED">
            <w:pPr>
              <w:pStyle w:val="TableText"/>
              <w:rPr>
                <w:rFonts w:cs="Calibri"/>
                <w:szCs w:val="18"/>
              </w:rPr>
            </w:pPr>
          </w:p>
        </w:tc>
        <w:tc>
          <w:tcPr>
            <w:tcW w:w="1285" w:type="dxa"/>
            <w:vMerge/>
          </w:tcPr>
          <w:p w14:paraId="124BE592" w14:textId="77777777" w:rsidR="00DC00ED" w:rsidRPr="007C6082" w:rsidRDefault="00DC00ED" w:rsidP="00DC00ED">
            <w:pPr>
              <w:pStyle w:val="TableText"/>
              <w:rPr>
                <w:rFonts w:cs="Calibri"/>
                <w:szCs w:val="18"/>
              </w:rPr>
            </w:pPr>
          </w:p>
        </w:tc>
        <w:tc>
          <w:tcPr>
            <w:tcW w:w="1420" w:type="dxa"/>
            <w:vMerge/>
          </w:tcPr>
          <w:p w14:paraId="04B2C9B7" w14:textId="77777777" w:rsidR="00DC00ED" w:rsidRPr="007C6082" w:rsidRDefault="00DC00ED" w:rsidP="00DC00ED">
            <w:pPr>
              <w:pStyle w:val="TableText"/>
              <w:rPr>
                <w:rFonts w:cs="Calibri"/>
                <w:szCs w:val="18"/>
              </w:rPr>
            </w:pPr>
          </w:p>
        </w:tc>
      </w:tr>
      <w:tr w:rsidR="002721D2" w:rsidRPr="007C6082" w14:paraId="03E1B546" w14:textId="77777777" w:rsidTr="00114C1E">
        <w:tc>
          <w:tcPr>
            <w:tcW w:w="1812" w:type="dxa"/>
            <w:vMerge/>
            <w:shd w:val="clear" w:color="auto" w:fill="auto"/>
          </w:tcPr>
          <w:p w14:paraId="12E73F65" w14:textId="77777777" w:rsidR="00DC00ED" w:rsidRPr="007C6082" w:rsidRDefault="00DC00ED" w:rsidP="00DC00ED">
            <w:pPr>
              <w:pStyle w:val="Tablenum"/>
              <w:rPr>
                <w:rFonts w:cs="Calibri"/>
                <w:szCs w:val="18"/>
              </w:rPr>
            </w:pPr>
          </w:p>
        </w:tc>
        <w:tc>
          <w:tcPr>
            <w:tcW w:w="1739" w:type="dxa"/>
            <w:vMerge/>
            <w:shd w:val="clear" w:color="auto" w:fill="auto"/>
          </w:tcPr>
          <w:p w14:paraId="4C77C288" w14:textId="77777777" w:rsidR="00DC00ED" w:rsidRPr="007C6082" w:rsidRDefault="00DC00ED" w:rsidP="00DC00ED">
            <w:pPr>
              <w:pStyle w:val="TableText"/>
              <w:rPr>
                <w:rFonts w:cs="Calibri"/>
                <w:szCs w:val="18"/>
              </w:rPr>
            </w:pPr>
          </w:p>
        </w:tc>
        <w:tc>
          <w:tcPr>
            <w:tcW w:w="1949" w:type="dxa"/>
            <w:tcBorders>
              <w:top w:val="nil"/>
              <w:bottom w:val="single" w:sz="4" w:space="0" w:color="1B556B" w:themeColor="text2"/>
            </w:tcBorders>
            <w:shd w:val="clear" w:color="auto" w:fill="auto"/>
          </w:tcPr>
          <w:p w14:paraId="296EC821" w14:textId="3DE53FFF" w:rsidR="00DC00ED" w:rsidRPr="007C6082" w:rsidRDefault="00DC00ED" w:rsidP="00DC00ED">
            <w:pPr>
              <w:pStyle w:val="TableText"/>
              <w:rPr>
                <w:rFonts w:cs="Calibri"/>
                <w:szCs w:val="18"/>
              </w:rPr>
            </w:pPr>
            <w:r w:rsidRPr="007C6082">
              <w:rPr>
                <w:rFonts w:cs="Calibri"/>
                <w:szCs w:val="18"/>
              </w:rPr>
              <w:t>&gt; 30</w:t>
            </w:r>
            <w:r w:rsidR="00884AE9">
              <w:rPr>
                <w:rFonts w:cs="Calibri"/>
                <w:szCs w:val="18"/>
              </w:rPr>
              <w:t>degrees</w:t>
            </w:r>
            <w:r w:rsidRPr="007C6082">
              <w:rPr>
                <w:rFonts w:cs="Calibri"/>
                <w:szCs w:val="18"/>
              </w:rPr>
              <w:t xml:space="preserve"> </w:t>
            </w:r>
            <w:r w:rsidRPr="007C6082">
              <w:rPr>
                <w:rStyle w:val="FootnoteReference"/>
                <w:rFonts w:cs="Calibri"/>
                <w:sz w:val="18"/>
                <w:szCs w:val="18"/>
              </w:rPr>
              <w:footnoteReference w:id="9"/>
            </w:r>
            <w:r w:rsidRPr="007C6082">
              <w:rPr>
                <w:rFonts w:cs="Calibri"/>
                <w:szCs w:val="18"/>
              </w:rPr>
              <w:t xml:space="preserve"> →</w:t>
            </w:r>
          </w:p>
        </w:tc>
        <w:tc>
          <w:tcPr>
            <w:tcW w:w="2454" w:type="dxa"/>
            <w:tcBorders>
              <w:top w:val="nil"/>
              <w:bottom w:val="single" w:sz="4" w:space="0" w:color="1B556B" w:themeColor="text2"/>
            </w:tcBorders>
            <w:shd w:val="clear" w:color="auto" w:fill="auto"/>
          </w:tcPr>
          <w:p w14:paraId="1A0062F9" w14:textId="61916E3C" w:rsidR="00DC00ED" w:rsidRPr="007C6082" w:rsidRDefault="00DC00ED" w:rsidP="00DC00ED">
            <w:pPr>
              <w:pStyle w:val="TableText"/>
              <w:rPr>
                <w:rFonts w:cs="Calibri"/>
                <w:color w:val="FF0000"/>
                <w:szCs w:val="18"/>
              </w:rPr>
            </w:pPr>
            <w:r w:rsidRPr="007C6082">
              <w:rPr>
                <w:rFonts w:cs="Calibri"/>
                <w:szCs w:val="18"/>
              </w:rPr>
              <w:t xml:space="preserve">→ High risk </w:t>
            </w:r>
            <w:r w:rsidR="002840AC">
              <w:rPr>
                <w:rFonts w:cs="Calibri"/>
                <w:szCs w:val="18"/>
              </w:rPr>
              <w:t>–</w:t>
            </w:r>
            <w:r w:rsidRPr="007C6082">
              <w:rPr>
                <w:rFonts w:cs="Calibri"/>
                <w:szCs w:val="18"/>
              </w:rPr>
              <w:t xml:space="preserve"> </w:t>
            </w:r>
            <w:r w:rsidRPr="007C6082">
              <w:rPr>
                <w:rFonts w:cs="Calibri"/>
                <w:color w:val="FF0000"/>
                <w:szCs w:val="18"/>
              </w:rPr>
              <w:t>Further assessment required</w:t>
            </w:r>
          </w:p>
        </w:tc>
        <w:tc>
          <w:tcPr>
            <w:tcW w:w="1273" w:type="dxa"/>
            <w:vMerge/>
            <w:shd w:val="clear" w:color="auto" w:fill="auto"/>
          </w:tcPr>
          <w:p w14:paraId="1BE19ACA" w14:textId="77777777" w:rsidR="00DC00ED" w:rsidRPr="007C6082" w:rsidRDefault="00DC00ED" w:rsidP="00DC00ED">
            <w:pPr>
              <w:pStyle w:val="TableText"/>
              <w:rPr>
                <w:rFonts w:cs="Calibri"/>
                <w:szCs w:val="18"/>
              </w:rPr>
            </w:pPr>
          </w:p>
        </w:tc>
        <w:tc>
          <w:tcPr>
            <w:tcW w:w="1215" w:type="dxa"/>
            <w:vMerge/>
          </w:tcPr>
          <w:p w14:paraId="38FBF0EE" w14:textId="77777777" w:rsidR="00DC00ED" w:rsidRPr="007C6082" w:rsidRDefault="00DC00ED" w:rsidP="00DC00ED">
            <w:pPr>
              <w:pStyle w:val="TableText"/>
              <w:rPr>
                <w:rFonts w:cs="Calibri"/>
                <w:szCs w:val="18"/>
              </w:rPr>
            </w:pPr>
          </w:p>
        </w:tc>
        <w:tc>
          <w:tcPr>
            <w:tcW w:w="1368" w:type="dxa"/>
            <w:vMerge/>
          </w:tcPr>
          <w:p w14:paraId="3456A11F" w14:textId="77777777" w:rsidR="00DC00ED" w:rsidRPr="007C6082" w:rsidRDefault="00DC00ED" w:rsidP="00DC00ED">
            <w:pPr>
              <w:pStyle w:val="TableText"/>
              <w:rPr>
                <w:rFonts w:cs="Calibri"/>
                <w:szCs w:val="18"/>
              </w:rPr>
            </w:pPr>
          </w:p>
        </w:tc>
        <w:tc>
          <w:tcPr>
            <w:tcW w:w="1285" w:type="dxa"/>
            <w:vMerge/>
          </w:tcPr>
          <w:p w14:paraId="7A6FE0C0" w14:textId="77777777" w:rsidR="00DC00ED" w:rsidRPr="007C6082" w:rsidRDefault="00DC00ED" w:rsidP="00DC00ED">
            <w:pPr>
              <w:pStyle w:val="TableText"/>
              <w:rPr>
                <w:rFonts w:cs="Calibri"/>
                <w:szCs w:val="18"/>
              </w:rPr>
            </w:pPr>
          </w:p>
        </w:tc>
        <w:tc>
          <w:tcPr>
            <w:tcW w:w="1420" w:type="dxa"/>
            <w:vMerge/>
          </w:tcPr>
          <w:p w14:paraId="310E1253" w14:textId="77777777" w:rsidR="00DC00ED" w:rsidRPr="007C6082" w:rsidRDefault="00DC00ED" w:rsidP="00DC00ED">
            <w:pPr>
              <w:pStyle w:val="TableText"/>
              <w:rPr>
                <w:rFonts w:cs="Calibri"/>
                <w:szCs w:val="18"/>
              </w:rPr>
            </w:pPr>
          </w:p>
        </w:tc>
      </w:tr>
      <w:tr w:rsidR="002721D2" w:rsidRPr="007C6082" w14:paraId="6AA38597" w14:textId="77777777" w:rsidTr="00114C1E">
        <w:tc>
          <w:tcPr>
            <w:tcW w:w="1812" w:type="dxa"/>
            <w:vMerge w:val="restart"/>
            <w:shd w:val="clear" w:color="auto" w:fill="auto"/>
          </w:tcPr>
          <w:p w14:paraId="04F3FDF9" w14:textId="0615AEC5" w:rsidR="00DC00ED" w:rsidRPr="007C6082" w:rsidRDefault="00DC00ED" w:rsidP="005E7004">
            <w:pPr>
              <w:pStyle w:val="Tablenum"/>
              <w:keepNext/>
              <w:spacing w:before="60"/>
              <w:rPr>
                <w:rFonts w:cs="Calibri"/>
                <w:szCs w:val="18"/>
              </w:rPr>
            </w:pPr>
            <w:r w:rsidRPr="007C6082">
              <w:rPr>
                <w:rFonts w:cs="Calibri"/>
                <w:szCs w:val="18"/>
              </w:rPr>
              <w:t>Direct connectivity of the erosion feature to a stream or river</w:t>
            </w:r>
          </w:p>
        </w:tc>
        <w:tc>
          <w:tcPr>
            <w:tcW w:w="1739" w:type="dxa"/>
            <w:vMerge w:val="restart"/>
            <w:shd w:val="clear" w:color="auto" w:fill="auto"/>
          </w:tcPr>
          <w:p w14:paraId="1F62EE22" w14:textId="360BD048" w:rsidR="00DC00ED" w:rsidRPr="007C6082" w:rsidRDefault="00DC00ED" w:rsidP="0081221A">
            <w:pPr>
              <w:pStyle w:val="TableText"/>
              <w:keepNext/>
              <w:rPr>
                <w:rFonts w:cs="Calibri"/>
                <w:szCs w:val="18"/>
              </w:rPr>
            </w:pPr>
            <w:r w:rsidRPr="007C6082">
              <w:rPr>
                <w:rFonts w:cs="Calibri"/>
                <w:szCs w:val="18"/>
              </w:rPr>
              <w:t>Is the slope connected to a waterway so that a landslide on the slope</w:t>
            </w:r>
            <w:r w:rsidR="00D35FF0" w:rsidRPr="007C6082">
              <w:rPr>
                <w:rFonts w:cs="Calibri"/>
                <w:szCs w:val="18"/>
              </w:rPr>
              <w:t xml:space="preserve"> </w:t>
            </w:r>
            <w:r w:rsidR="002B46F9">
              <w:rPr>
                <w:rFonts w:cs="Calibri"/>
                <w:szCs w:val="18"/>
              </w:rPr>
              <w:t>c</w:t>
            </w:r>
            <w:r w:rsidRPr="007C6082">
              <w:rPr>
                <w:rFonts w:cs="Calibri"/>
                <w:szCs w:val="18"/>
              </w:rPr>
              <w:t>ould run out into the waterway?</w:t>
            </w:r>
          </w:p>
        </w:tc>
        <w:tc>
          <w:tcPr>
            <w:tcW w:w="1949" w:type="dxa"/>
            <w:tcBorders>
              <w:bottom w:val="nil"/>
            </w:tcBorders>
            <w:shd w:val="clear" w:color="auto" w:fill="auto"/>
          </w:tcPr>
          <w:p w14:paraId="31565C6E" w14:textId="77777777" w:rsidR="00DC00ED" w:rsidRPr="007C6082" w:rsidRDefault="00DC00ED" w:rsidP="0081221A">
            <w:pPr>
              <w:pStyle w:val="TableText"/>
              <w:keepNext/>
              <w:rPr>
                <w:rFonts w:cs="Calibri"/>
                <w:szCs w:val="18"/>
              </w:rPr>
            </w:pPr>
            <w:r w:rsidRPr="007C6082">
              <w:rPr>
                <w:rFonts w:cs="Calibri"/>
                <w:szCs w:val="18"/>
              </w:rPr>
              <w:t>No →</w:t>
            </w:r>
          </w:p>
        </w:tc>
        <w:tc>
          <w:tcPr>
            <w:tcW w:w="2454" w:type="dxa"/>
            <w:tcBorders>
              <w:bottom w:val="nil"/>
            </w:tcBorders>
            <w:shd w:val="clear" w:color="auto" w:fill="auto"/>
          </w:tcPr>
          <w:p w14:paraId="5924A5C7" w14:textId="77777777" w:rsidR="00DC00ED" w:rsidRPr="007C6082" w:rsidRDefault="00DC00ED" w:rsidP="0081221A">
            <w:pPr>
              <w:pStyle w:val="TableText"/>
              <w:keepNext/>
              <w:rPr>
                <w:rFonts w:cs="Calibri"/>
                <w:szCs w:val="18"/>
              </w:rPr>
            </w:pPr>
            <w:r w:rsidRPr="007C6082">
              <w:rPr>
                <w:rFonts w:cs="Calibri"/>
                <w:szCs w:val="18"/>
              </w:rPr>
              <w:t xml:space="preserve">→ Low risk but </w:t>
            </w:r>
            <w:r w:rsidRPr="007C6082">
              <w:rPr>
                <w:rFonts w:cs="Calibri"/>
                <w:color w:val="FF0000"/>
                <w:szCs w:val="18"/>
              </w:rPr>
              <w:t xml:space="preserve">further assessment on direct proximity required </w:t>
            </w:r>
          </w:p>
        </w:tc>
        <w:tc>
          <w:tcPr>
            <w:tcW w:w="1273" w:type="dxa"/>
            <w:vMerge w:val="restart"/>
            <w:shd w:val="clear" w:color="auto" w:fill="auto"/>
          </w:tcPr>
          <w:p w14:paraId="6DF89783" w14:textId="105D211B" w:rsidR="00DC00ED" w:rsidRPr="007C6082" w:rsidRDefault="00DC00ED" w:rsidP="0081221A">
            <w:pPr>
              <w:pStyle w:val="TableText"/>
              <w:keepNext/>
              <w:rPr>
                <w:rFonts w:cs="Calibri"/>
                <w:szCs w:val="18"/>
              </w:rPr>
            </w:pPr>
            <w:r w:rsidRPr="007C6082">
              <w:rPr>
                <w:rFonts w:cs="Calibri"/>
                <w:szCs w:val="18"/>
              </w:rPr>
              <w:t>Yes</w:t>
            </w:r>
            <w:r w:rsidR="009F7024">
              <w:rPr>
                <w:rFonts w:cs="Calibri"/>
                <w:szCs w:val="18"/>
              </w:rPr>
              <w:t>.</w:t>
            </w:r>
          </w:p>
        </w:tc>
        <w:tc>
          <w:tcPr>
            <w:tcW w:w="1215" w:type="dxa"/>
            <w:vMerge w:val="restart"/>
          </w:tcPr>
          <w:p w14:paraId="74D95CB8" w14:textId="5FC9805A" w:rsidR="00DC00ED" w:rsidRPr="007C6082" w:rsidRDefault="00DC00ED" w:rsidP="0081221A">
            <w:pPr>
              <w:pStyle w:val="TableText"/>
              <w:keepNext/>
              <w:rPr>
                <w:rFonts w:cs="Calibri"/>
                <w:szCs w:val="18"/>
              </w:rPr>
            </w:pPr>
            <w:r w:rsidRPr="007C6082">
              <w:rPr>
                <w:rFonts w:cs="Calibri"/>
                <w:szCs w:val="18"/>
              </w:rPr>
              <w:t>Yes</w:t>
            </w:r>
            <w:r w:rsidR="009F7024">
              <w:rPr>
                <w:rFonts w:cs="Calibri"/>
                <w:szCs w:val="18"/>
              </w:rPr>
              <w:t>.</w:t>
            </w:r>
          </w:p>
        </w:tc>
        <w:tc>
          <w:tcPr>
            <w:tcW w:w="1368" w:type="dxa"/>
            <w:vMerge w:val="restart"/>
          </w:tcPr>
          <w:p w14:paraId="51C700D8" w14:textId="77777777" w:rsidR="00DC00ED" w:rsidRPr="007C6082" w:rsidRDefault="00DC00ED" w:rsidP="0081221A">
            <w:pPr>
              <w:pStyle w:val="TableText"/>
              <w:keepNext/>
              <w:rPr>
                <w:rFonts w:cs="Calibri"/>
                <w:szCs w:val="18"/>
              </w:rPr>
            </w:pPr>
            <w:r w:rsidRPr="007C6082">
              <w:rPr>
                <w:rFonts w:cs="Calibri"/>
                <w:szCs w:val="18"/>
              </w:rPr>
              <w:t xml:space="preserve">Not readily without clearer identification of an objective assessment measure that doesn’t require </w:t>
            </w:r>
            <w:r w:rsidRPr="007C6082">
              <w:rPr>
                <w:rFonts w:cs="Calibri"/>
                <w:szCs w:val="18"/>
              </w:rPr>
              <w:lastRenderedPageBreak/>
              <w:t>additional modelling.</w:t>
            </w:r>
          </w:p>
        </w:tc>
        <w:tc>
          <w:tcPr>
            <w:tcW w:w="1285" w:type="dxa"/>
            <w:vMerge w:val="restart"/>
          </w:tcPr>
          <w:p w14:paraId="5A783E00" w14:textId="068DBCB6" w:rsidR="00DC00ED" w:rsidRPr="007C6082" w:rsidRDefault="00DC00ED" w:rsidP="0081221A">
            <w:pPr>
              <w:pStyle w:val="TableText"/>
              <w:keepNext/>
              <w:rPr>
                <w:rFonts w:cs="Calibri"/>
                <w:szCs w:val="18"/>
              </w:rPr>
            </w:pPr>
            <w:r w:rsidRPr="007C6082">
              <w:rPr>
                <w:rFonts w:cs="Calibri"/>
                <w:szCs w:val="18"/>
              </w:rPr>
              <w:lastRenderedPageBreak/>
              <w:t>If modelling</w:t>
            </w:r>
            <w:r w:rsidRPr="007C6082">
              <w:rPr>
                <w:rStyle w:val="FootnoteReference"/>
                <w:rFonts w:cs="Calibri"/>
                <w:sz w:val="18"/>
                <w:szCs w:val="18"/>
              </w:rPr>
              <w:footnoteReference w:id="10"/>
            </w:r>
            <w:r w:rsidRPr="007C6082">
              <w:rPr>
                <w:rFonts w:cs="Calibri"/>
                <w:szCs w:val="18"/>
              </w:rPr>
              <w:t xml:space="preserve"> is available, easy to use and can be overlaid on a harvest plan. Where not available</w:t>
            </w:r>
            <w:r w:rsidR="00154B5D">
              <w:rPr>
                <w:rFonts w:cs="Calibri"/>
                <w:szCs w:val="18"/>
              </w:rPr>
              <w:t>,</w:t>
            </w:r>
            <w:r w:rsidRPr="007C6082">
              <w:rPr>
                <w:rFonts w:cs="Calibri"/>
                <w:szCs w:val="18"/>
              </w:rPr>
              <w:t xml:space="preserve"> </w:t>
            </w:r>
            <w:r w:rsidRPr="007C6082">
              <w:rPr>
                <w:rFonts w:cs="Calibri"/>
                <w:szCs w:val="18"/>
              </w:rPr>
              <w:lastRenderedPageBreak/>
              <w:t xml:space="preserve">assumptions about length of slope, size of rain event and volume of soil lost are required. </w:t>
            </w:r>
          </w:p>
        </w:tc>
        <w:tc>
          <w:tcPr>
            <w:tcW w:w="1420" w:type="dxa"/>
            <w:vMerge w:val="restart"/>
          </w:tcPr>
          <w:p w14:paraId="51EF768B" w14:textId="77777777" w:rsidR="00DC00ED" w:rsidRPr="007C6082" w:rsidRDefault="00DC00ED" w:rsidP="0081221A">
            <w:pPr>
              <w:pStyle w:val="TableText"/>
              <w:keepNext/>
              <w:rPr>
                <w:rFonts w:cs="Calibri"/>
                <w:szCs w:val="18"/>
              </w:rPr>
            </w:pPr>
            <w:r w:rsidRPr="007C6082">
              <w:rPr>
                <w:rFonts w:cs="Calibri"/>
                <w:szCs w:val="18"/>
              </w:rPr>
              <w:lastRenderedPageBreak/>
              <w:t xml:space="preserve">Yes. Harvest management plans require inclusion of contour lines at intervals less than or equal to </w:t>
            </w:r>
            <w:r w:rsidRPr="007C6082">
              <w:rPr>
                <w:rFonts w:cs="Calibri"/>
                <w:szCs w:val="18"/>
              </w:rPr>
              <w:lastRenderedPageBreak/>
              <w:t xml:space="preserve">20 m. Assumptions about length of slope, size of rain event and volume of soil lost are required. </w:t>
            </w:r>
          </w:p>
        </w:tc>
      </w:tr>
      <w:tr w:rsidR="002721D2" w:rsidRPr="007C6082" w14:paraId="51EE1AB2" w14:textId="77777777" w:rsidTr="00114C1E">
        <w:tc>
          <w:tcPr>
            <w:tcW w:w="1812" w:type="dxa"/>
            <w:vMerge/>
            <w:shd w:val="clear" w:color="auto" w:fill="auto"/>
          </w:tcPr>
          <w:p w14:paraId="1E48DC8E" w14:textId="77777777" w:rsidR="00DC00ED" w:rsidRPr="007C6082" w:rsidRDefault="00DC00ED" w:rsidP="00DC00ED">
            <w:pPr>
              <w:pStyle w:val="Tablenum"/>
              <w:rPr>
                <w:rFonts w:cs="Calibri"/>
                <w:szCs w:val="18"/>
              </w:rPr>
            </w:pPr>
          </w:p>
        </w:tc>
        <w:tc>
          <w:tcPr>
            <w:tcW w:w="1739" w:type="dxa"/>
            <w:vMerge/>
            <w:shd w:val="clear" w:color="auto" w:fill="auto"/>
          </w:tcPr>
          <w:p w14:paraId="6C42003C" w14:textId="77777777" w:rsidR="00DC00ED" w:rsidRPr="007C6082" w:rsidRDefault="00DC00ED" w:rsidP="00DC00ED">
            <w:pPr>
              <w:pStyle w:val="TableText"/>
              <w:rPr>
                <w:rFonts w:cs="Calibri"/>
                <w:szCs w:val="18"/>
              </w:rPr>
            </w:pPr>
          </w:p>
        </w:tc>
        <w:tc>
          <w:tcPr>
            <w:tcW w:w="1949" w:type="dxa"/>
            <w:tcBorders>
              <w:top w:val="nil"/>
              <w:bottom w:val="single" w:sz="4" w:space="0" w:color="1B556B" w:themeColor="text2"/>
            </w:tcBorders>
            <w:shd w:val="clear" w:color="auto" w:fill="auto"/>
          </w:tcPr>
          <w:p w14:paraId="3B0FF708" w14:textId="77777777" w:rsidR="00DC00ED" w:rsidRPr="007C6082" w:rsidRDefault="00DC00ED" w:rsidP="00DC00ED">
            <w:pPr>
              <w:pStyle w:val="TableText"/>
              <w:rPr>
                <w:rFonts w:cs="Calibri"/>
                <w:szCs w:val="18"/>
              </w:rPr>
            </w:pPr>
            <w:r w:rsidRPr="007C6082">
              <w:rPr>
                <w:rFonts w:cs="Calibri"/>
                <w:szCs w:val="18"/>
              </w:rPr>
              <w:t>Yes →</w:t>
            </w:r>
          </w:p>
        </w:tc>
        <w:tc>
          <w:tcPr>
            <w:tcW w:w="2454" w:type="dxa"/>
            <w:tcBorders>
              <w:top w:val="nil"/>
              <w:bottom w:val="single" w:sz="4" w:space="0" w:color="1B556B" w:themeColor="text2"/>
            </w:tcBorders>
            <w:shd w:val="clear" w:color="auto" w:fill="auto"/>
          </w:tcPr>
          <w:p w14:paraId="6E84C3D9" w14:textId="5F1BD83B" w:rsidR="00DC00ED" w:rsidRPr="007C6082" w:rsidRDefault="00DC00ED" w:rsidP="00DC00ED">
            <w:pPr>
              <w:pStyle w:val="TableText"/>
              <w:rPr>
                <w:rFonts w:cs="Calibri"/>
                <w:color w:val="FF0000"/>
                <w:szCs w:val="18"/>
              </w:rPr>
            </w:pPr>
            <w:r w:rsidRPr="007C6082">
              <w:rPr>
                <w:rFonts w:cs="Calibri"/>
                <w:szCs w:val="18"/>
              </w:rPr>
              <w:t xml:space="preserve">→ High risk </w:t>
            </w:r>
            <w:r w:rsidR="002323C8">
              <w:rPr>
                <w:rFonts w:cs="Calibri"/>
                <w:szCs w:val="18"/>
              </w:rPr>
              <w:t>–</w:t>
            </w:r>
            <w:r w:rsidRPr="007C6082">
              <w:rPr>
                <w:rFonts w:cs="Calibri"/>
                <w:szCs w:val="18"/>
              </w:rPr>
              <w:t xml:space="preserve"> </w:t>
            </w:r>
            <w:r w:rsidRPr="007C6082">
              <w:rPr>
                <w:rFonts w:cs="Calibri"/>
                <w:color w:val="FF0000"/>
                <w:szCs w:val="18"/>
              </w:rPr>
              <w:t>Further assessment required</w:t>
            </w:r>
          </w:p>
        </w:tc>
        <w:tc>
          <w:tcPr>
            <w:tcW w:w="1273" w:type="dxa"/>
            <w:vMerge/>
            <w:shd w:val="clear" w:color="auto" w:fill="auto"/>
          </w:tcPr>
          <w:p w14:paraId="765A42C8" w14:textId="77777777" w:rsidR="00DC00ED" w:rsidRPr="007C6082" w:rsidRDefault="00DC00ED" w:rsidP="00DC00ED">
            <w:pPr>
              <w:pStyle w:val="TableText"/>
              <w:rPr>
                <w:rFonts w:cs="Calibri"/>
                <w:szCs w:val="18"/>
              </w:rPr>
            </w:pPr>
          </w:p>
        </w:tc>
        <w:tc>
          <w:tcPr>
            <w:tcW w:w="1215" w:type="dxa"/>
            <w:vMerge/>
          </w:tcPr>
          <w:p w14:paraId="7FC0E2AC" w14:textId="77777777" w:rsidR="00DC00ED" w:rsidRPr="007C6082" w:rsidRDefault="00DC00ED" w:rsidP="00DC00ED">
            <w:pPr>
              <w:pStyle w:val="TableText"/>
              <w:rPr>
                <w:rFonts w:cs="Calibri"/>
                <w:szCs w:val="18"/>
              </w:rPr>
            </w:pPr>
          </w:p>
        </w:tc>
        <w:tc>
          <w:tcPr>
            <w:tcW w:w="1368" w:type="dxa"/>
            <w:vMerge/>
          </w:tcPr>
          <w:p w14:paraId="25C4CF9B" w14:textId="77777777" w:rsidR="00DC00ED" w:rsidRPr="007C6082" w:rsidRDefault="00DC00ED" w:rsidP="00DC00ED">
            <w:pPr>
              <w:pStyle w:val="TableText"/>
              <w:rPr>
                <w:rFonts w:cs="Calibri"/>
                <w:szCs w:val="18"/>
              </w:rPr>
            </w:pPr>
          </w:p>
        </w:tc>
        <w:tc>
          <w:tcPr>
            <w:tcW w:w="1285" w:type="dxa"/>
            <w:vMerge/>
          </w:tcPr>
          <w:p w14:paraId="0A5D2F2D" w14:textId="77777777" w:rsidR="00DC00ED" w:rsidRPr="007C6082" w:rsidRDefault="00DC00ED" w:rsidP="00DC00ED">
            <w:pPr>
              <w:pStyle w:val="TableText"/>
              <w:rPr>
                <w:rFonts w:cs="Calibri"/>
                <w:szCs w:val="18"/>
              </w:rPr>
            </w:pPr>
          </w:p>
        </w:tc>
        <w:tc>
          <w:tcPr>
            <w:tcW w:w="1420" w:type="dxa"/>
            <w:vMerge/>
          </w:tcPr>
          <w:p w14:paraId="33E777DD" w14:textId="77777777" w:rsidR="00DC00ED" w:rsidRPr="007C6082" w:rsidRDefault="00DC00ED" w:rsidP="00DC00ED">
            <w:pPr>
              <w:pStyle w:val="TableText"/>
              <w:rPr>
                <w:rFonts w:cs="Calibri"/>
                <w:szCs w:val="18"/>
              </w:rPr>
            </w:pPr>
          </w:p>
        </w:tc>
      </w:tr>
      <w:tr w:rsidR="00DC00ED" w:rsidRPr="007C6082" w14:paraId="29E08DDE" w14:textId="77777777" w:rsidTr="00114C1E">
        <w:tc>
          <w:tcPr>
            <w:tcW w:w="1812" w:type="dxa"/>
            <w:vMerge w:val="restart"/>
            <w:shd w:val="clear" w:color="auto" w:fill="auto"/>
          </w:tcPr>
          <w:p w14:paraId="36830E75" w14:textId="53D77810" w:rsidR="00DC00ED" w:rsidRPr="007C6082" w:rsidRDefault="00DC00ED" w:rsidP="005E7004">
            <w:pPr>
              <w:pStyle w:val="Tablenum"/>
              <w:spacing w:before="60"/>
              <w:rPr>
                <w:rFonts w:cs="Calibri"/>
                <w:szCs w:val="18"/>
              </w:rPr>
            </w:pPr>
            <w:r w:rsidRPr="007C6082">
              <w:rPr>
                <w:rFonts w:cs="Calibri"/>
                <w:szCs w:val="18"/>
              </w:rPr>
              <w:t>Direct proximity to offsite ‘infrastructure’, a significant natural area, or a lake, wetland or estuary</w:t>
            </w:r>
          </w:p>
        </w:tc>
        <w:tc>
          <w:tcPr>
            <w:tcW w:w="1739" w:type="dxa"/>
            <w:vMerge w:val="restart"/>
            <w:shd w:val="clear" w:color="auto" w:fill="auto"/>
          </w:tcPr>
          <w:p w14:paraId="5CCE78A4" w14:textId="3DCFAC5B" w:rsidR="00DC00ED" w:rsidRPr="007C6082" w:rsidRDefault="00DC00ED" w:rsidP="00DC00ED">
            <w:pPr>
              <w:pStyle w:val="TableText"/>
              <w:rPr>
                <w:rFonts w:cs="Calibri"/>
                <w:szCs w:val="18"/>
              </w:rPr>
            </w:pPr>
            <w:r w:rsidRPr="007C6082">
              <w:rPr>
                <w:rFonts w:cs="Calibri"/>
                <w:szCs w:val="18"/>
              </w:rPr>
              <w:t>Mark on the harvest plan infrastructure on adjacent properties (including roading and rail networks) below slopes greater than 25</w:t>
            </w:r>
            <w:r w:rsidRPr="007C6082">
              <w:rPr>
                <w:rFonts w:cs="Calibri"/>
                <w:szCs w:val="18"/>
                <w:vertAlign w:val="superscript"/>
              </w:rPr>
              <w:t>o</w:t>
            </w:r>
            <w:r w:rsidRPr="007C6082">
              <w:rPr>
                <w:rFonts w:cs="Calibri"/>
                <w:szCs w:val="18"/>
              </w:rPr>
              <w:t xml:space="preserve"> </w:t>
            </w:r>
            <w:r w:rsidR="006B0A11">
              <w:rPr>
                <w:rFonts w:cs="Calibri"/>
                <w:szCs w:val="18"/>
              </w:rPr>
              <w:t>that</w:t>
            </w:r>
            <w:r w:rsidRPr="007C6082">
              <w:rPr>
                <w:rFonts w:cs="Calibri"/>
                <w:szCs w:val="18"/>
              </w:rPr>
              <w:t xml:space="preserve"> would be directly affected by a landslide or debris flow, including roads, bridges, dwellings and other buildings, significant natural area, and waterbodies that are not streams or rivers.</w:t>
            </w:r>
          </w:p>
        </w:tc>
        <w:tc>
          <w:tcPr>
            <w:tcW w:w="1949" w:type="dxa"/>
            <w:tcBorders>
              <w:bottom w:val="nil"/>
            </w:tcBorders>
            <w:shd w:val="clear" w:color="auto" w:fill="auto"/>
          </w:tcPr>
          <w:p w14:paraId="77F7191F" w14:textId="42135AC6" w:rsidR="00DC00ED" w:rsidRPr="007C6082" w:rsidRDefault="00DC00ED" w:rsidP="00DC00ED">
            <w:pPr>
              <w:pStyle w:val="TableText"/>
              <w:rPr>
                <w:rFonts w:cs="Calibri"/>
                <w:szCs w:val="18"/>
              </w:rPr>
            </w:pPr>
            <w:r w:rsidRPr="007C6082">
              <w:rPr>
                <w:rFonts w:cs="Calibri"/>
                <w:szCs w:val="18"/>
              </w:rPr>
              <w:t>Infrastructure or a waterbody that is not a stream or river is present on a neighbouring property below a slope greater than 25</w:t>
            </w:r>
            <w:r w:rsidRPr="007C6082">
              <w:rPr>
                <w:rFonts w:cs="Calibri"/>
                <w:szCs w:val="18"/>
                <w:vertAlign w:val="superscript"/>
              </w:rPr>
              <w:t>o</w:t>
            </w:r>
            <w:r w:rsidRPr="007C6082">
              <w:rPr>
                <w:rFonts w:cs="Calibri"/>
                <w:szCs w:val="18"/>
              </w:rPr>
              <w:t>:</w:t>
            </w:r>
          </w:p>
        </w:tc>
        <w:tc>
          <w:tcPr>
            <w:tcW w:w="2454" w:type="dxa"/>
            <w:tcBorders>
              <w:bottom w:val="nil"/>
            </w:tcBorders>
            <w:shd w:val="clear" w:color="auto" w:fill="auto"/>
          </w:tcPr>
          <w:p w14:paraId="5D8BA987" w14:textId="77777777" w:rsidR="00DC00ED" w:rsidRPr="007C6082" w:rsidRDefault="00DC00ED" w:rsidP="00DC00ED">
            <w:pPr>
              <w:pStyle w:val="TableText"/>
              <w:rPr>
                <w:rFonts w:cs="Calibri"/>
                <w:szCs w:val="18"/>
              </w:rPr>
            </w:pPr>
          </w:p>
        </w:tc>
        <w:tc>
          <w:tcPr>
            <w:tcW w:w="1273" w:type="dxa"/>
            <w:vMerge w:val="restart"/>
            <w:shd w:val="clear" w:color="auto" w:fill="auto"/>
          </w:tcPr>
          <w:p w14:paraId="51F39634" w14:textId="6FBE7378" w:rsidR="00DC00ED" w:rsidRPr="007C6082" w:rsidRDefault="00DC00ED" w:rsidP="00DC00ED">
            <w:pPr>
              <w:pStyle w:val="TableText"/>
              <w:rPr>
                <w:rFonts w:cs="Calibri"/>
                <w:szCs w:val="18"/>
              </w:rPr>
            </w:pPr>
            <w:r w:rsidRPr="007C6082">
              <w:rPr>
                <w:rFonts w:cs="Calibri"/>
                <w:szCs w:val="18"/>
              </w:rPr>
              <w:t>Yes, if the connection between a slope and the feature is direct</w:t>
            </w:r>
            <w:r w:rsidR="00FE64B4">
              <w:rPr>
                <w:rFonts w:cs="Calibri"/>
                <w:szCs w:val="18"/>
              </w:rPr>
              <w:t>.</w:t>
            </w:r>
          </w:p>
        </w:tc>
        <w:tc>
          <w:tcPr>
            <w:tcW w:w="1215" w:type="dxa"/>
            <w:vMerge w:val="restart"/>
          </w:tcPr>
          <w:p w14:paraId="08D633E4" w14:textId="66128907" w:rsidR="00DC00ED" w:rsidRPr="007C6082" w:rsidRDefault="00DC00ED" w:rsidP="00DC00ED">
            <w:pPr>
              <w:pStyle w:val="TableText"/>
              <w:rPr>
                <w:rFonts w:cs="Calibri"/>
                <w:szCs w:val="18"/>
              </w:rPr>
            </w:pPr>
            <w:r w:rsidRPr="007C6082">
              <w:rPr>
                <w:rFonts w:cs="Calibri"/>
                <w:szCs w:val="18"/>
              </w:rPr>
              <w:t xml:space="preserve">Some, but largely inferred </w:t>
            </w:r>
            <w:r w:rsidR="004E01AC">
              <w:rPr>
                <w:rFonts w:cs="Calibri"/>
                <w:szCs w:val="18"/>
              </w:rPr>
              <w:t>because</w:t>
            </w:r>
            <w:r w:rsidRPr="007C6082">
              <w:rPr>
                <w:rFonts w:cs="Calibri"/>
                <w:szCs w:val="18"/>
              </w:rPr>
              <w:t xml:space="preserve"> focus is often on waterways.</w:t>
            </w:r>
          </w:p>
        </w:tc>
        <w:tc>
          <w:tcPr>
            <w:tcW w:w="1368" w:type="dxa"/>
            <w:vMerge w:val="restart"/>
          </w:tcPr>
          <w:p w14:paraId="1C9173FE" w14:textId="3182EDAE" w:rsidR="00DC00ED" w:rsidRPr="007C6082" w:rsidRDefault="00DC00ED" w:rsidP="00DC00ED">
            <w:pPr>
              <w:pStyle w:val="TableText"/>
              <w:rPr>
                <w:rFonts w:cs="Calibri"/>
                <w:szCs w:val="18"/>
              </w:rPr>
            </w:pPr>
            <w:r w:rsidRPr="007C6082">
              <w:rPr>
                <w:rFonts w:cs="Calibri"/>
                <w:szCs w:val="18"/>
              </w:rPr>
              <w:t xml:space="preserve">Yes, property boundaries, significant natural areas and water bodies must be marked on the harvest plan. </w:t>
            </w:r>
            <w:r w:rsidR="004E01AC">
              <w:rPr>
                <w:rFonts w:cs="Calibri"/>
                <w:szCs w:val="18"/>
              </w:rPr>
              <w:t>Because</w:t>
            </w:r>
            <w:r w:rsidR="004E01AC" w:rsidRPr="007C6082">
              <w:rPr>
                <w:rFonts w:cs="Calibri"/>
                <w:szCs w:val="18"/>
              </w:rPr>
              <w:t xml:space="preserve"> </w:t>
            </w:r>
            <w:r w:rsidRPr="007C6082">
              <w:rPr>
                <w:rFonts w:cs="Calibri"/>
                <w:szCs w:val="18"/>
              </w:rPr>
              <w:t>the requirement is for direct proximity</w:t>
            </w:r>
            <w:r w:rsidR="009F7024">
              <w:rPr>
                <w:rFonts w:cs="Calibri"/>
                <w:szCs w:val="18"/>
              </w:rPr>
              <w:t>,</w:t>
            </w:r>
            <w:r w:rsidRPr="007C6082">
              <w:rPr>
                <w:rFonts w:cs="Calibri"/>
                <w:szCs w:val="18"/>
              </w:rPr>
              <w:t xml:space="preserve"> the features should be visible and well</w:t>
            </w:r>
            <w:r w:rsidR="009F7024">
              <w:rPr>
                <w:rFonts w:cs="Calibri"/>
                <w:szCs w:val="18"/>
              </w:rPr>
              <w:t xml:space="preserve"> </w:t>
            </w:r>
            <w:r w:rsidRPr="007C6082">
              <w:rPr>
                <w:rFonts w:cs="Calibri"/>
                <w:szCs w:val="18"/>
              </w:rPr>
              <w:t>known to harvest planners.</w:t>
            </w:r>
          </w:p>
        </w:tc>
        <w:tc>
          <w:tcPr>
            <w:tcW w:w="1285" w:type="dxa"/>
            <w:vMerge w:val="restart"/>
          </w:tcPr>
          <w:p w14:paraId="131B99AA" w14:textId="77777777" w:rsidR="00DC00ED" w:rsidRPr="007C6082" w:rsidRDefault="00DC00ED" w:rsidP="00DC00ED">
            <w:pPr>
              <w:pStyle w:val="TableText"/>
              <w:rPr>
                <w:rFonts w:cs="Calibri"/>
                <w:szCs w:val="18"/>
              </w:rPr>
            </w:pPr>
            <w:r w:rsidRPr="007C6082">
              <w:rPr>
                <w:rFonts w:cs="Calibri"/>
                <w:szCs w:val="18"/>
              </w:rPr>
              <w:t>Yes.</w:t>
            </w:r>
          </w:p>
        </w:tc>
        <w:tc>
          <w:tcPr>
            <w:tcW w:w="1420" w:type="dxa"/>
            <w:vMerge w:val="restart"/>
          </w:tcPr>
          <w:p w14:paraId="24E2BFB0" w14:textId="0E0D625F" w:rsidR="00DC00ED" w:rsidRPr="007C6082" w:rsidRDefault="00DC00ED" w:rsidP="00DC00ED">
            <w:pPr>
              <w:pStyle w:val="TableText"/>
              <w:rPr>
                <w:rFonts w:cs="Calibri"/>
                <w:szCs w:val="18"/>
              </w:rPr>
            </w:pPr>
            <w:r w:rsidRPr="007C6082">
              <w:rPr>
                <w:rFonts w:cs="Calibri"/>
                <w:szCs w:val="18"/>
              </w:rPr>
              <w:t>Yes, insofar as it requires marking on the harvest map. Slope information should already be provided as above.</w:t>
            </w:r>
            <w:r w:rsidR="00D35FF0" w:rsidRPr="007C6082">
              <w:rPr>
                <w:rFonts w:cs="Calibri"/>
                <w:szCs w:val="18"/>
              </w:rPr>
              <w:t xml:space="preserve"> </w:t>
            </w:r>
          </w:p>
        </w:tc>
      </w:tr>
      <w:tr w:rsidR="00DC00ED" w:rsidRPr="007C6082" w14:paraId="1CD2643E" w14:textId="77777777" w:rsidTr="00114C1E">
        <w:tc>
          <w:tcPr>
            <w:tcW w:w="1812" w:type="dxa"/>
            <w:vMerge/>
            <w:shd w:val="clear" w:color="auto" w:fill="auto"/>
          </w:tcPr>
          <w:p w14:paraId="26AF49B4" w14:textId="77777777" w:rsidR="00DC00ED" w:rsidRPr="007C6082" w:rsidRDefault="00DC00ED" w:rsidP="00DC00ED">
            <w:pPr>
              <w:pStyle w:val="Tablenum"/>
              <w:rPr>
                <w:rFonts w:cs="Calibri"/>
                <w:szCs w:val="18"/>
              </w:rPr>
            </w:pPr>
          </w:p>
        </w:tc>
        <w:tc>
          <w:tcPr>
            <w:tcW w:w="1739" w:type="dxa"/>
            <w:vMerge/>
            <w:shd w:val="clear" w:color="auto" w:fill="auto"/>
          </w:tcPr>
          <w:p w14:paraId="2DAB3FE1" w14:textId="77777777" w:rsidR="00DC00ED" w:rsidRPr="007C6082" w:rsidRDefault="00DC00ED" w:rsidP="00DC00ED">
            <w:pPr>
              <w:pStyle w:val="TableText"/>
              <w:rPr>
                <w:rFonts w:cs="Calibri"/>
                <w:szCs w:val="18"/>
              </w:rPr>
            </w:pPr>
          </w:p>
        </w:tc>
        <w:tc>
          <w:tcPr>
            <w:tcW w:w="1949" w:type="dxa"/>
            <w:tcBorders>
              <w:top w:val="nil"/>
              <w:bottom w:val="nil"/>
            </w:tcBorders>
            <w:shd w:val="clear" w:color="auto" w:fill="auto"/>
          </w:tcPr>
          <w:p w14:paraId="1DBE6B24" w14:textId="30C6B1D2" w:rsidR="00DC00ED" w:rsidRPr="007C6082" w:rsidRDefault="00DC00ED" w:rsidP="004C50A3">
            <w:pPr>
              <w:pStyle w:val="TableText"/>
              <w:numPr>
                <w:ilvl w:val="0"/>
                <w:numId w:val="20"/>
              </w:numPr>
              <w:rPr>
                <w:rFonts w:cs="Calibri"/>
                <w:szCs w:val="18"/>
              </w:rPr>
            </w:pPr>
            <w:r w:rsidRPr="007C6082">
              <w:rPr>
                <w:rFonts w:cs="Calibri"/>
                <w:szCs w:val="18"/>
              </w:rPr>
              <w:t>No →</w:t>
            </w:r>
          </w:p>
        </w:tc>
        <w:tc>
          <w:tcPr>
            <w:tcW w:w="2454" w:type="dxa"/>
            <w:tcBorders>
              <w:top w:val="nil"/>
              <w:bottom w:val="nil"/>
            </w:tcBorders>
            <w:shd w:val="clear" w:color="auto" w:fill="auto"/>
          </w:tcPr>
          <w:p w14:paraId="2D20F3BC" w14:textId="61296450" w:rsidR="00DC00ED" w:rsidRPr="007C6082" w:rsidRDefault="00DC00ED" w:rsidP="00DC00ED">
            <w:pPr>
              <w:pStyle w:val="TableText"/>
              <w:rPr>
                <w:rFonts w:cs="Calibri"/>
                <w:szCs w:val="18"/>
              </w:rPr>
            </w:pPr>
            <w:r w:rsidRPr="007C6082">
              <w:rPr>
                <w:rFonts w:cs="Calibri"/>
                <w:szCs w:val="18"/>
              </w:rPr>
              <w:t xml:space="preserve">→ Low risk – </w:t>
            </w:r>
            <w:r w:rsidR="004E01AC">
              <w:rPr>
                <w:rFonts w:cs="Calibri"/>
                <w:szCs w:val="18"/>
              </w:rPr>
              <w:t>N</w:t>
            </w:r>
            <w:r w:rsidRPr="007C6082">
              <w:rPr>
                <w:rFonts w:cs="Calibri"/>
                <w:szCs w:val="18"/>
              </w:rPr>
              <w:t xml:space="preserve">o further assessment </w:t>
            </w:r>
          </w:p>
        </w:tc>
        <w:tc>
          <w:tcPr>
            <w:tcW w:w="1273" w:type="dxa"/>
            <w:vMerge/>
            <w:shd w:val="clear" w:color="auto" w:fill="auto"/>
          </w:tcPr>
          <w:p w14:paraId="64333ADA" w14:textId="77777777" w:rsidR="00DC00ED" w:rsidRPr="007C6082" w:rsidRDefault="00DC00ED" w:rsidP="00DC00ED">
            <w:pPr>
              <w:pStyle w:val="TableText"/>
              <w:rPr>
                <w:rFonts w:cs="Calibri"/>
                <w:szCs w:val="18"/>
              </w:rPr>
            </w:pPr>
          </w:p>
        </w:tc>
        <w:tc>
          <w:tcPr>
            <w:tcW w:w="1215" w:type="dxa"/>
            <w:vMerge/>
          </w:tcPr>
          <w:p w14:paraId="1C65A8F2" w14:textId="77777777" w:rsidR="00DC00ED" w:rsidRPr="007C6082" w:rsidRDefault="00DC00ED" w:rsidP="00DC00ED">
            <w:pPr>
              <w:pStyle w:val="TableText"/>
              <w:rPr>
                <w:rFonts w:cs="Calibri"/>
                <w:szCs w:val="18"/>
              </w:rPr>
            </w:pPr>
          </w:p>
        </w:tc>
        <w:tc>
          <w:tcPr>
            <w:tcW w:w="1368" w:type="dxa"/>
            <w:vMerge/>
          </w:tcPr>
          <w:p w14:paraId="030F0709" w14:textId="77777777" w:rsidR="00DC00ED" w:rsidRPr="007C6082" w:rsidRDefault="00DC00ED" w:rsidP="00DC00ED">
            <w:pPr>
              <w:pStyle w:val="TableText"/>
              <w:rPr>
                <w:rFonts w:cs="Calibri"/>
                <w:szCs w:val="18"/>
              </w:rPr>
            </w:pPr>
          </w:p>
        </w:tc>
        <w:tc>
          <w:tcPr>
            <w:tcW w:w="1285" w:type="dxa"/>
            <w:vMerge/>
          </w:tcPr>
          <w:p w14:paraId="728DA3CE" w14:textId="77777777" w:rsidR="00DC00ED" w:rsidRPr="007C6082" w:rsidRDefault="00DC00ED" w:rsidP="00DC00ED">
            <w:pPr>
              <w:pStyle w:val="TableText"/>
              <w:rPr>
                <w:rFonts w:cs="Calibri"/>
                <w:szCs w:val="18"/>
              </w:rPr>
            </w:pPr>
          </w:p>
        </w:tc>
        <w:tc>
          <w:tcPr>
            <w:tcW w:w="1420" w:type="dxa"/>
            <w:vMerge/>
          </w:tcPr>
          <w:p w14:paraId="3ED2173D" w14:textId="77777777" w:rsidR="00DC00ED" w:rsidRPr="007C6082" w:rsidRDefault="00DC00ED" w:rsidP="00DC00ED">
            <w:pPr>
              <w:pStyle w:val="TableText"/>
              <w:rPr>
                <w:rFonts w:cs="Calibri"/>
                <w:szCs w:val="18"/>
              </w:rPr>
            </w:pPr>
          </w:p>
        </w:tc>
      </w:tr>
      <w:tr w:rsidR="002721D2" w:rsidRPr="007C6082" w14:paraId="2CC742F6" w14:textId="77777777" w:rsidTr="00114C1E">
        <w:tc>
          <w:tcPr>
            <w:tcW w:w="1812" w:type="dxa"/>
            <w:vMerge/>
            <w:shd w:val="clear" w:color="auto" w:fill="auto"/>
          </w:tcPr>
          <w:p w14:paraId="4E5C5346" w14:textId="77777777" w:rsidR="00DC00ED" w:rsidRPr="007C6082" w:rsidRDefault="00DC00ED" w:rsidP="00DC00ED">
            <w:pPr>
              <w:pStyle w:val="Tablenum"/>
              <w:rPr>
                <w:rFonts w:cs="Calibri"/>
                <w:szCs w:val="18"/>
              </w:rPr>
            </w:pPr>
          </w:p>
        </w:tc>
        <w:tc>
          <w:tcPr>
            <w:tcW w:w="1739" w:type="dxa"/>
            <w:vMerge/>
            <w:shd w:val="clear" w:color="auto" w:fill="auto"/>
          </w:tcPr>
          <w:p w14:paraId="46F37979" w14:textId="77777777" w:rsidR="00DC00ED" w:rsidRPr="007C6082" w:rsidRDefault="00DC00ED" w:rsidP="00DC00ED">
            <w:pPr>
              <w:pStyle w:val="TableText"/>
              <w:rPr>
                <w:rFonts w:cs="Calibri"/>
                <w:szCs w:val="18"/>
              </w:rPr>
            </w:pPr>
          </w:p>
        </w:tc>
        <w:tc>
          <w:tcPr>
            <w:tcW w:w="1949" w:type="dxa"/>
            <w:tcBorders>
              <w:top w:val="nil"/>
              <w:bottom w:val="single" w:sz="4" w:space="0" w:color="1B556B" w:themeColor="text2"/>
            </w:tcBorders>
            <w:shd w:val="clear" w:color="auto" w:fill="auto"/>
          </w:tcPr>
          <w:p w14:paraId="0587F705" w14:textId="70E0210F" w:rsidR="00DC00ED" w:rsidRPr="007C6082" w:rsidRDefault="00DC00ED" w:rsidP="004C50A3">
            <w:pPr>
              <w:pStyle w:val="TableText"/>
              <w:numPr>
                <w:ilvl w:val="0"/>
                <w:numId w:val="20"/>
              </w:numPr>
              <w:rPr>
                <w:rFonts w:cs="Calibri"/>
                <w:szCs w:val="18"/>
              </w:rPr>
            </w:pPr>
            <w:r w:rsidRPr="007C6082">
              <w:rPr>
                <w:rFonts w:cs="Calibri"/>
                <w:szCs w:val="18"/>
              </w:rPr>
              <w:t>Yes →</w:t>
            </w:r>
          </w:p>
        </w:tc>
        <w:tc>
          <w:tcPr>
            <w:tcW w:w="2454" w:type="dxa"/>
            <w:tcBorders>
              <w:top w:val="nil"/>
              <w:bottom w:val="single" w:sz="4" w:space="0" w:color="1B556B" w:themeColor="text2"/>
            </w:tcBorders>
            <w:shd w:val="clear" w:color="auto" w:fill="auto"/>
          </w:tcPr>
          <w:p w14:paraId="4C1C290C" w14:textId="394D0786" w:rsidR="00DC00ED" w:rsidRPr="007C6082" w:rsidRDefault="00DC00ED" w:rsidP="00DC00ED">
            <w:pPr>
              <w:pStyle w:val="TableText"/>
              <w:rPr>
                <w:rFonts w:cs="Calibri"/>
                <w:szCs w:val="18"/>
              </w:rPr>
            </w:pPr>
            <w:r w:rsidRPr="007C6082">
              <w:rPr>
                <w:rFonts w:cs="Calibri"/>
                <w:szCs w:val="18"/>
              </w:rPr>
              <w:t xml:space="preserve">→ High risk </w:t>
            </w:r>
            <w:r w:rsidR="004E01AC">
              <w:rPr>
                <w:rFonts w:cs="Calibri"/>
                <w:szCs w:val="18"/>
              </w:rPr>
              <w:t>–</w:t>
            </w:r>
            <w:r w:rsidRPr="007C6082">
              <w:rPr>
                <w:rFonts w:cs="Calibri"/>
                <w:szCs w:val="18"/>
              </w:rPr>
              <w:t xml:space="preserve"> </w:t>
            </w:r>
            <w:r w:rsidRPr="007C6082">
              <w:rPr>
                <w:rFonts w:cs="Calibri"/>
                <w:color w:val="FF0000"/>
                <w:szCs w:val="18"/>
              </w:rPr>
              <w:t>Further assessment required</w:t>
            </w:r>
          </w:p>
        </w:tc>
        <w:tc>
          <w:tcPr>
            <w:tcW w:w="1273" w:type="dxa"/>
            <w:vMerge/>
            <w:shd w:val="clear" w:color="auto" w:fill="auto"/>
          </w:tcPr>
          <w:p w14:paraId="6F5F8DF8" w14:textId="77777777" w:rsidR="00DC00ED" w:rsidRPr="007C6082" w:rsidRDefault="00DC00ED" w:rsidP="00DC00ED">
            <w:pPr>
              <w:pStyle w:val="TableText"/>
              <w:rPr>
                <w:rFonts w:cs="Calibri"/>
                <w:szCs w:val="18"/>
              </w:rPr>
            </w:pPr>
          </w:p>
        </w:tc>
        <w:tc>
          <w:tcPr>
            <w:tcW w:w="1215" w:type="dxa"/>
            <w:vMerge/>
          </w:tcPr>
          <w:p w14:paraId="3FD6506A" w14:textId="77777777" w:rsidR="00DC00ED" w:rsidRPr="007C6082" w:rsidRDefault="00DC00ED" w:rsidP="00DC00ED">
            <w:pPr>
              <w:pStyle w:val="TableText"/>
              <w:rPr>
                <w:rFonts w:cs="Calibri"/>
                <w:szCs w:val="18"/>
              </w:rPr>
            </w:pPr>
          </w:p>
        </w:tc>
        <w:tc>
          <w:tcPr>
            <w:tcW w:w="1368" w:type="dxa"/>
            <w:vMerge/>
          </w:tcPr>
          <w:p w14:paraId="1BD7CCF3" w14:textId="77777777" w:rsidR="00DC00ED" w:rsidRPr="007C6082" w:rsidRDefault="00DC00ED" w:rsidP="00DC00ED">
            <w:pPr>
              <w:pStyle w:val="TableText"/>
              <w:rPr>
                <w:rFonts w:cs="Calibri"/>
                <w:szCs w:val="18"/>
              </w:rPr>
            </w:pPr>
          </w:p>
        </w:tc>
        <w:tc>
          <w:tcPr>
            <w:tcW w:w="1285" w:type="dxa"/>
            <w:vMerge/>
          </w:tcPr>
          <w:p w14:paraId="40DE42F8" w14:textId="77777777" w:rsidR="00DC00ED" w:rsidRPr="007C6082" w:rsidRDefault="00DC00ED" w:rsidP="00DC00ED">
            <w:pPr>
              <w:pStyle w:val="TableText"/>
              <w:rPr>
                <w:rFonts w:cs="Calibri"/>
                <w:szCs w:val="18"/>
              </w:rPr>
            </w:pPr>
          </w:p>
        </w:tc>
        <w:tc>
          <w:tcPr>
            <w:tcW w:w="1420" w:type="dxa"/>
            <w:vMerge/>
          </w:tcPr>
          <w:p w14:paraId="29BC02E1" w14:textId="77777777" w:rsidR="00DC00ED" w:rsidRPr="007C6082" w:rsidRDefault="00DC00ED" w:rsidP="00DC00ED">
            <w:pPr>
              <w:pStyle w:val="TableText"/>
              <w:rPr>
                <w:rFonts w:cs="Calibri"/>
                <w:szCs w:val="18"/>
              </w:rPr>
            </w:pPr>
          </w:p>
        </w:tc>
      </w:tr>
      <w:tr w:rsidR="002721D2" w:rsidRPr="007C6082" w14:paraId="08F563E9" w14:textId="77777777" w:rsidTr="00114C1E">
        <w:tc>
          <w:tcPr>
            <w:tcW w:w="1812" w:type="dxa"/>
            <w:vMerge w:val="restart"/>
            <w:shd w:val="clear" w:color="auto" w:fill="auto"/>
          </w:tcPr>
          <w:p w14:paraId="7360AD4F" w14:textId="1157A748" w:rsidR="00DC00ED" w:rsidRPr="007C6082" w:rsidRDefault="00DC00ED" w:rsidP="005E7004">
            <w:pPr>
              <w:pStyle w:val="Tablenum"/>
              <w:keepNext/>
              <w:spacing w:before="60"/>
              <w:rPr>
                <w:rFonts w:cs="Calibri"/>
                <w:szCs w:val="18"/>
              </w:rPr>
            </w:pPr>
            <w:r w:rsidRPr="007C6082">
              <w:rPr>
                <w:rFonts w:cs="Calibri"/>
                <w:szCs w:val="18"/>
              </w:rPr>
              <w:lastRenderedPageBreak/>
              <w:t>Connectivity to downstream infrastructure (roads, bridges, settlements) and sensitive areas such as beaches and fisheries used by people</w:t>
            </w:r>
          </w:p>
        </w:tc>
        <w:tc>
          <w:tcPr>
            <w:tcW w:w="1739" w:type="dxa"/>
            <w:vMerge w:val="restart"/>
            <w:shd w:val="clear" w:color="auto" w:fill="auto"/>
          </w:tcPr>
          <w:p w14:paraId="5EE596A6" w14:textId="5CFD1EEC" w:rsidR="00DC00ED" w:rsidRPr="007C6082" w:rsidRDefault="00DC00ED" w:rsidP="00D361B4">
            <w:pPr>
              <w:pStyle w:val="TableText"/>
              <w:keepNext/>
              <w:rPr>
                <w:rFonts w:cs="Calibri"/>
                <w:szCs w:val="18"/>
              </w:rPr>
            </w:pPr>
            <w:r w:rsidRPr="007C6082">
              <w:rPr>
                <w:rFonts w:cs="Calibri"/>
                <w:szCs w:val="18"/>
              </w:rPr>
              <w:t>Mark on the harvest plan, for sites where a high</w:t>
            </w:r>
            <w:r w:rsidR="00FD56E4">
              <w:rPr>
                <w:rFonts w:cs="Calibri"/>
                <w:szCs w:val="18"/>
              </w:rPr>
              <w:t>-</w:t>
            </w:r>
            <w:r w:rsidRPr="007C6082">
              <w:rPr>
                <w:rFonts w:cs="Calibri"/>
                <w:szCs w:val="18"/>
              </w:rPr>
              <w:t>risk slope connects to a waterbody (as above) whether there are any of the following downstream: roads, bridges, settlements</w:t>
            </w:r>
            <w:r w:rsidR="00465829">
              <w:rPr>
                <w:rFonts w:cs="Calibri"/>
                <w:szCs w:val="18"/>
              </w:rPr>
              <w:t>,</w:t>
            </w:r>
            <w:r w:rsidRPr="007C6082">
              <w:rPr>
                <w:rFonts w:cs="Calibri"/>
                <w:szCs w:val="18"/>
              </w:rPr>
              <w:t xml:space="preserve"> significant natural area, and beaches and fisheries used by people.</w:t>
            </w:r>
          </w:p>
        </w:tc>
        <w:tc>
          <w:tcPr>
            <w:tcW w:w="1949" w:type="dxa"/>
            <w:tcBorders>
              <w:bottom w:val="nil"/>
            </w:tcBorders>
            <w:shd w:val="clear" w:color="auto" w:fill="auto"/>
          </w:tcPr>
          <w:p w14:paraId="28D14E53" w14:textId="1A2306EE" w:rsidR="00DC00ED" w:rsidRPr="007C6082" w:rsidRDefault="00DC00ED" w:rsidP="00D361B4">
            <w:pPr>
              <w:pStyle w:val="TableText"/>
              <w:keepNext/>
              <w:rPr>
                <w:rFonts w:cs="Calibri"/>
                <w:szCs w:val="18"/>
              </w:rPr>
            </w:pPr>
            <w:r w:rsidRPr="007C6082">
              <w:rPr>
                <w:rFonts w:cs="Calibri"/>
                <w:szCs w:val="18"/>
              </w:rPr>
              <w:t>One or more of the following is downstream of the high</w:t>
            </w:r>
            <w:r w:rsidR="00FD56E4">
              <w:rPr>
                <w:rFonts w:cs="Calibri"/>
                <w:szCs w:val="18"/>
              </w:rPr>
              <w:t>-</w:t>
            </w:r>
            <w:r w:rsidRPr="007C6082">
              <w:rPr>
                <w:rFonts w:cs="Calibri"/>
                <w:szCs w:val="18"/>
              </w:rPr>
              <w:t>risk slope that connects to a waterbody: roads, bridges, settlements</w:t>
            </w:r>
            <w:r w:rsidR="00E822A6">
              <w:rPr>
                <w:rFonts w:cs="Calibri"/>
                <w:szCs w:val="18"/>
              </w:rPr>
              <w:t>,</w:t>
            </w:r>
            <w:r w:rsidRPr="007C6082">
              <w:rPr>
                <w:rFonts w:cs="Calibri"/>
                <w:szCs w:val="18"/>
              </w:rPr>
              <w:t xml:space="preserve"> significant natural area,</w:t>
            </w:r>
            <w:r w:rsidR="00E822A6">
              <w:rPr>
                <w:rFonts w:cs="Calibri"/>
                <w:szCs w:val="18"/>
              </w:rPr>
              <w:t xml:space="preserve"> and</w:t>
            </w:r>
            <w:r w:rsidRPr="007C6082">
              <w:rPr>
                <w:rFonts w:cs="Calibri"/>
                <w:szCs w:val="18"/>
              </w:rPr>
              <w:t xml:space="preserve"> beaches and fisheries used by people.</w:t>
            </w:r>
          </w:p>
        </w:tc>
        <w:tc>
          <w:tcPr>
            <w:tcW w:w="2454" w:type="dxa"/>
            <w:tcBorders>
              <w:bottom w:val="nil"/>
            </w:tcBorders>
            <w:shd w:val="clear" w:color="auto" w:fill="auto"/>
          </w:tcPr>
          <w:p w14:paraId="00B68ED6" w14:textId="77777777" w:rsidR="00DC00ED" w:rsidRPr="007C6082" w:rsidRDefault="00DC00ED" w:rsidP="00D361B4">
            <w:pPr>
              <w:pStyle w:val="TableText"/>
              <w:keepNext/>
              <w:rPr>
                <w:rFonts w:cs="Calibri"/>
                <w:szCs w:val="18"/>
              </w:rPr>
            </w:pPr>
          </w:p>
        </w:tc>
        <w:tc>
          <w:tcPr>
            <w:tcW w:w="1273" w:type="dxa"/>
            <w:vMerge w:val="restart"/>
            <w:shd w:val="clear" w:color="auto" w:fill="auto"/>
          </w:tcPr>
          <w:p w14:paraId="7692628F" w14:textId="20AF7C9B" w:rsidR="00DC00ED" w:rsidRPr="007C6082" w:rsidRDefault="00DC00ED" w:rsidP="00D361B4">
            <w:pPr>
              <w:pStyle w:val="TableText"/>
              <w:keepNext/>
              <w:rPr>
                <w:rFonts w:cs="Calibri"/>
                <w:szCs w:val="18"/>
              </w:rPr>
            </w:pPr>
            <w:r w:rsidRPr="007C6082">
              <w:rPr>
                <w:rFonts w:cs="Calibri"/>
                <w:szCs w:val="18"/>
              </w:rPr>
              <w:t>Yes</w:t>
            </w:r>
            <w:r w:rsidR="00E822A6">
              <w:rPr>
                <w:rFonts w:cs="Calibri"/>
                <w:szCs w:val="18"/>
              </w:rPr>
              <w:t>.</w:t>
            </w:r>
          </w:p>
        </w:tc>
        <w:tc>
          <w:tcPr>
            <w:tcW w:w="1215" w:type="dxa"/>
            <w:vMerge w:val="restart"/>
          </w:tcPr>
          <w:p w14:paraId="68DBF857" w14:textId="77777777" w:rsidR="00DC00ED" w:rsidRPr="007C6082" w:rsidRDefault="00DC00ED" w:rsidP="00D361B4">
            <w:pPr>
              <w:pStyle w:val="TableText"/>
              <w:keepNext/>
              <w:rPr>
                <w:rFonts w:cs="Calibri"/>
                <w:szCs w:val="18"/>
              </w:rPr>
            </w:pPr>
            <w:r w:rsidRPr="007C6082">
              <w:rPr>
                <w:rFonts w:cs="Calibri"/>
                <w:szCs w:val="18"/>
              </w:rPr>
              <w:t>Yes, though the immediacy and intensity of consequences depend on slash loading and weather events.</w:t>
            </w:r>
          </w:p>
        </w:tc>
        <w:tc>
          <w:tcPr>
            <w:tcW w:w="1368" w:type="dxa"/>
            <w:vMerge w:val="restart"/>
          </w:tcPr>
          <w:p w14:paraId="59D318AA" w14:textId="22A38EA5" w:rsidR="00DC00ED" w:rsidRPr="007C6082" w:rsidRDefault="00DC00ED" w:rsidP="00D361B4">
            <w:pPr>
              <w:pStyle w:val="TableText"/>
              <w:keepNext/>
              <w:rPr>
                <w:rFonts w:cs="Calibri"/>
                <w:szCs w:val="18"/>
                <w:vertAlign w:val="superscript"/>
              </w:rPr>
            </w:pPr>
            <w:r w:rsidRPr="007C6082">
              <w:rPr>
                <w:rFonts w:cs="Calibri"/>
                <w:szCs w:val="18"/>
              </w:rPr>
              <w:t>Yes. Features may not be obvious but where a high</w:t>
            </w:r>
            <w:r w:rsidR="00E822A6">
              <w:rPr>
                <w:rFonts w:cs="Calibri"/>
                <w:szCs w:val="18"/>
              </w:rPr>
              <w:t>-</w:t>
            </w:r>
            <w:r w:rsidRPr="007C6082">
              <w:rPr>
                <w:rFonts w:cs="Calibri"/>
                <w:szCs w:val="18"/>
              </w:rPr>
              <w:t>risk area has been identified maps and features of the downstream area are readily available on topographical maps and Google Earth</w:t>
            </w:r>
            <w:r w:rsidRPr="007C6082">
              <w:rPr>
                <w:rFonts w:cs="Calibri"/>
                <w:szCs w:val="18"/>
                <w:vertAlign w:val="superscript"/>
              </w:rPr>
              <w:t>TM</w:t>
            </w:r>
            <w:r w:rsidRPr="007C6082">
              <w:rPr>
                <w:rFonts w:cs="Calibri"/>
                <w:szCs w:val="18"/>
              </w:rPr>
              <w:t>.</w:t>
            </w:r>
          </w:p>
        </w:tc>
        <w:tc>
          <w:tcPr>
            <w:tcW w:w="1285" w:type="dxa"/>
            <w:vMerge w:val="restart"/>
          </w:tcPr>
          <w:p w14:paraId="126623A7" w14:textId="7A6C54F5" w:rsidR="00DC00ED" w:rsidRPr="007C6082" w:rsidRDefault="00DC00ED" w:rsidP="00D361B4">
            <w:pPr>
              <w:pStyle w:val="TableText"/>
              <w:keepNext/>
              <w:rPr>
                <w:rFonts w:cs="Calibri"/>
                <w:szCs w:val="18"/>
              </w:rPr>
            </w:pPr>
            <w:r w:rsidRPr="007C6082">
              <w:rPr>
                <w:rFonts w:cs="Calibri"/>
                <w:szCs w:val="18"/>
              </w:rPr>
              <w:t>Yes</w:t>
            </w:r>
            <w:r w:rsidR="00E822A6">
              <w:rPr>
                <w:rFonts w:cs="Calibri"/>
                <w:szCs w:val="18"/>
              </w:rPr>
              <w:t>.</w:t>
            </w:r>
          </w:p>
        </w:tc>
        <w:tc>
          <w:tcPr>
            <w:tcW w:w="1420" w:type="dxa"/>
            <w:vMerge w:val="restart"/>
          </w:tcPr>
          <w:p w14:paraId="737274BD" w14:textId="77777777" w:rsidR="00DC00ED" w:rsidRPr="007C6082" w:rsidRDefault="00DC00ED" w:rsidP="00D361B4">
            <w:pPr>
              <w:pStyle w:val="TableText"/>
              <w:keepNext/>
              <w:rPr>
                <w:rFonts w:cs="Calibri"/>
                <w:szCs w:val="18"/>
              </w:rPr>
            </w:pPr>
            <w:r w:rsidRPr="007C6082">
              <w:rPr>
                <w:rFonts w:cs="Calibri"/>
                <w:szCs w:val="18"/>
              </w:rPr>
              <w:t xml:space="preserve">It is somewhat subjective in determining the sensitivity of an area (for example, most waterways will terminate in a </w:t>
            </w:r>
            <w:proofErr w:type="gramStart"/>
            <w:r w:rsidRPr="007C6082">
              <w:rPr>
                <w:rFonts w:cs="Calibri"/>
                <w:szCs w:val="18"/>
              </w:rPr>
              <w:t>beach</w:t>
            </w:r>
            <w:proofErr w:type="gramEnd"/>
            <w:r w:rsidRPr="007C6082">
              <w:rPr>
                <w:rFonts w:cs="Calibri"/>
                <w:szCs w:val="18"/>
              </w:rPr>
              <w:t xml:space="preserve"> but not all beaches are used by people). </w:t>
            </w:r>
          </w:p>
        </w:tc>
      </w:tr>
      <w:tr w:rsidR="002721D2" w:rsidRPr="007C6082" w14:paraId="215574E1" w14:textId="77777777" w:rsidTr="00114C1E">
        <w:tc>
          <w:tcPr>
            <w:tcW w:w="1812" w:type="dxa"/>
            <w:vMerge/>
            <w:shd w:val="clear" w:color="auto" w:fill="auto"/>
          </w:tcPr>
          <w:p w14:paraId="49068ED3" w14:textId="77777777" w:rsidR="00DC00ED" w:rsidRPr="007C6082" w:rsidRDefault="00DC00ED" w:rsidP="00DC00ED">
            <w:pPr>
              <w:pStyle w:val="Tablenum"/>
              <w:rPr>
                <w:rFonts w:cs="Calibri"/>
                <w:szCs w:val="18"/>
              </w:rPr>
            </w:pPr>
          </w:p>
        </w:tc>
        <w:tc>
          <w:tcPr>
            <w:tcW w:w="1739" w:type="dxa"/>
            <w:vMerge/>
            <w:shd w:val="clear" w:color="auto" w:fill="auto"/>
          </w:tcPr>
          <w:p w14:paraId="1BA222CD" w14:textId="77777777" w:rsidR="00DC00ED" w:rsidRPr="007C6082" w:rsidRDefault="00DC00ED" w:rsidP="00DC00ED">
            <w:pPr>
              <w:pStyle w:val="TableText"/>
              <w:rPr>
                <w:rFonts w:cs="Calibri"/>
                <w:szCs w:val="18"/>
              </w:rPr>
            </w:pPr>
          </w:p>
        </w:tc>
        <w:tc>
          <w:tcPr>
            <w:tcW w:w="1949" w:type="dxa"/>
            <w:tcBorders>
              <w:top w:val="nil"/>
              <w:bottom w:val="nil"/>
            </w:tcBorders>
            <w:shd w:val="clear" w:color="auto" w:fill="auto"/>
          </w:tcPr>
          <w:p w14:paraId="361DC666" w14:textId="382F8A36" w:rsidR="00DC00ED" w:rsidRPr="007C6082" w:rsidRDefault="00DC00ED" w:rsidP="004C50A3">
            <w:pPr>
              <w:pStyle w:val="TableText"/>
              <w:numPr>
                <w:ilvl w:val="0"/>
                <w:numId w:val="20"/>
              </w:numPr>
              <w:rPr>
                <w:rFonts w:cs="Calibri"/>
                <w:szCs w:val="18"/>
              </w:rPr>
            </w:pPr>
            <w:r w:rsidRPr="007C6082">
              <w:rPr>
                <w:rFonts w:cs="Calibri"/>
                <w:szCs w:val="18"/>
              </w:rPr>
              <w:t>No →</w:t>
            </w:r>
          </w:p>
        </w:tc>
        <w:tc>
          <w:tcPr>
            <w:tcW w:w="2454" w:type="dxa"/>
            <w:tcBorders>
              <w:top w:val="nil"/>
              <w:bottom w:val="nil"/>
            </w:tcBorders>
            <w:shd w:val="clear" w:color="auto" w:fill="auto"/>
          </w:tcPr>
          <w:p w14:paraId="2F510C2D" w14:textId="4D343722" w:rsidR="00DC00ED" w:rsidRPr="007C6082" w:rsidRDefault="00DC00ED" w:rsidP="00DC00ED">
            <w:pPr>
              <w:pStyle w:val="TableText"/>
              <w:rPr>
                <w:rFonts w:cs="Calibri"/>
                <w:szCs w:val="18"/>
              </w:rPr>
            </w:pPr>
            <w:r w:rsidRPr="007C6082">
              <w:rPr>
                <w:rFonts w:cs="Calibri"/>
                <w:szCs w:val="18"/>
              </w:rPr>
              <w:t xml:space="preserve">→ Medium risk – </w:t>
            </w:r>
            <w:r w:rsidR="00E822A6">
              <w:rPr>
                <w:rFonts w:cs="Calibri"/>
                <w:szCs w:val="18"/>
              </w:rPr>
              <w:t>D</w:t>
            </w:r>
            <w:r w:rsidRPr="007C6082">
              <w:rPr>
                <w:rFonts w:cs="Calibri"/>
                <w:szCs w:val="18"/>
              </w:rPr>
              <w:t>etermine mitigation measures to manage risk</w:t>
            </w:r>
          </w:p>
        </w:tc>
        <w:tc>
          <w:tcPr>
            <w:tcW w:w="1273" w:type="dxa"/>
            <w:vMerge/>
            <w:shd w:val="clear" w:color="auto" w:fill="auto"/>
          </w:tcPr>
          <w:p w14:paraId="534CDB03" w14:textId="77777777" w:rsidR="00DC00ED" w:rsidRPr="007C6082" w:rsidRDefault="00DC00ED" w:rsidP="00DC00ED">
            <w:pPr>
              <w:pStyle w:val="TableText"/>
              <w:rPr>
                <w:rFonts w:cs="Calibri"/>
                <w:szCs w:val="18"/>
              </w:rPr>
            </w:pPr>
          </w:p>
        </w:tc>
        <w:tc>
          <w:tcPr>
            <w:tcW w:w="1215" w:type="dxa"/>
            <w:vMerge/>
          </w:tcPr>
          <w:p w14:paraId="467AD290" w14:textId="77777777" w:rsidR="00DC00ED" w:rsidRPr="007C6082" w:rsidRDefault="00DC00ED" w:rsidP="00DC00ED">
            <w:pPr>
              <w:pStyle w:val="TableText"/>
              <w:rPr>
                <w:rFonts w:cs="Calibri"/>
                <w:szCs w:val="18"/>
              </w:rPr>
            </w:pPr>
          </w:p>
        </w:tc>
        <w:tc>
          <w:tcPr>
            <w:tcW w:w="1368" w:type="dxa"/>
            <w:vMerge/>
          </w:tcPr>
          <w:p w14:paraId="70ECBB4C" w14:textId="77777777" w:rsidR="00DC00ED" w:rsidRPr="007C6082" w:rsidRDefault="00DC00ED" w:rsidP="00DC00ED">
            <w:pPr>
              <w:pStyle w:val="TableText"/>
              <w:rPr>
                <w:rFonts w:cs="Calibri"/>
                <w:szCs w:val="18"/>
              </w:rPr>
            </w:pPr>
          </w:p>
        </w:tc>
        <w:tc>
          <w:tcPr>
            <w:tcW w:w="1285" w:type="dxa"/>
            <w:vMerge/>
          </w:tcPr>
          <w:p w14:paraId="44DA3C68" w14:textId="77777777" w:rsidR="00DC00ED" w:rsidRPr="007C6082" w:rsidRDefault="00DC00ED" w:rsidP="00DC00ED">
            <w:pPr>
              <w:pStyle w:val="TableText"/>
              <w:rPr>
                <w:rFonts w:cs="Calibri"/>
                <w:szCs w:val="18"/>
              </w:rPr>
            </w:pPr>
          </w:p>
        </w:tc>
        <w:tc>
          <w:tcPr>
            <w:tcW w:w="1420" w:type="dxa"/>
            <w:vMerge/>
          </w:tcPr>
          <w:p w14:paraId="034C4DE8" w14:textId="77777777" w:rsidR="00DC00ED" w:rsidRPr="007C6082" w:rsidRDefault="00DC00ED" w:rsidP="00DC00ED">
            <w:pPr>
              <w:pStyle w:val="TableText"/>
              <w:rPr>
                <w:rFonts w:cs="Calibri"/>
                <w:szCs w:val="18"/>
              </w:rPr>
            </w:pPr>
          </w:p>
        </w:tc>
      </w:tr>
      <w:tr w:rsidR="002721D2" w:rsidRPr="007C6082" w14:paraId="2FBCA696" w14:textId="77777777" w:rsidTr="00114C1E">
        <w:tc>
          <w:tcPr>
            <w:tcW w:w="1812" w:type="dxa"/>
            <w:vMerge/>
            <w:tcBorders>
              <w:bottom w:val="single" w:sz="4" w:space="0" w:color="1B556B" w:themeColor="text2"/>
            </w:tcBorders>
            <w:shd w:val="clear" w:color="auto" w:fill="auto"/>
          </w:tcPr>
          <w:p w14:paraId="6671AD09" w14:textId="77777777" w:rsidR="00DC00ED" w:rsidRPr="007C6082" w:rsidRDefault="00DC00ED" w:rsidP="00DC00ED">
            <w:pPr>
              <w:pStyle w:val="Tablenum"/>
              <w:rPr>
                <w:rFonts w:cs="Calibri"/>
                <w:szCs w:val="18"/>
              </w:rPr>
            </w:pPr>
          </w:p>
        </w:tc>
        <w:tc>
          <w:tcPr>
            <w:tcW w:w="1739" w:type="dxa"/>
            <w:vMerge/>
            <w:tcBorders>
              <w:bottom w:val="single" w:sz="4" w:space="0" w:color="1B556B" w:themeColor="text2"/>
            </w:tcBorders>
            <w:shd w:val="clear" w:color="auto" w:fill="auto"/>
          </w:tcPr>
          <w:p w14:paraId="3208262F" w14:textId="77777777" w:rsidR="00DC00ED" w:rsidRPr="007C6082" w:rsidRDefault="00DC00ED" w:rsidP="00DC00ED">
            <w:pPr>
              <w:pStyle w:val="TableText"/>
              <w:rPr>
                <w:rFonts w:cs="Calibri"/>
                <w:szCs w:val="18"/>
              </w:rPr>
            </w:pPr>
          </w:p>
        </w:tc>
        <w:tc>
          <w:tcPr>
            <w:tcW w:w="1949" w:type="dxa"/>
            <w:tcBorders>
              <w:top w:val="nil"/>
              <w:bottom w:val="single" w:sz="4" w:space="0" w:color="1B556B" w:themeColor="text2"/>
            </w:tcBorders>
            <w:shd w:val="clear" w:color="auto" w:fill="auto"/>
          </w:tcPr>
          <w:p w14:paraId="7DADB2D6" w14:textId="7C01B147" w:rsidR="00DC00ED" w:rsidRPr="007C6082" w:rsidRDefault="00DC00ED" w:rsidP="004C50A3">
            <w:pPr>
              <w:pStyle w:val="TableText"/>
              <w:numPr>
                <w:ilvl w:val="0"/>
                <w:numId w:val="20"/>
              </w:numPr>
              <w:rPr>
                <w:rFonts w:cs="Calibri"/>
                <w:szCs w:val="18"/>
              </w:rPr>
            </w:pPr>
            <w:r w:rsidRPr="007C6082">
              <w:rPr>
                <w:rFonts w:cs="Calibri"/>
                <w:szCs w:val="18"/>
              </w:rPr>
              <w:t>Yes →</w:t>
            </w:r>
          </w:p>
        </w:tc>
        <w:tc>
          <w:tcPr>
            <w:tcW w:w="2454" w:type="dxa"/>
            <w:tcBorders>
              <w:top w:val="nil"/>
              <w:bottom w:val="single" w:sz="4" w:space="0" w:color="1B556B" w:themeColor="text2"/>
            </w:tcBorders>
            <w:shd w:val="clear" w:color="auto" w:fill="auto"/>
          </w:tcPr>
          <w:p w14:paraId="0BB2ACD0" w14:textId="4AE077F3" w:rsidR="00DC00ED" w:rsidRPr="007C6082" w:rsidRDefault="00DC00ED" w:rsidP="00DC00ED">
            <w:pPr>
              <w:pStyle w:val="TableText"/>
              <w:rPr>
                <w:rFonts w:cs="Calibri"/>
                <w:szCs w:val="18"/>
              </w:rPr>
            </w:pPr>
            <w:r w:rsidRPr="007C6082">
              <w:rPr>
                <w:rFonts w:cs="Calibri"/>
                <w:szCs w:val="18"/>
              </w:rPr>
              <w:t xml:space="preserve">→ High risk – </w:t>
            </w:r>
            <w:r w:rsidR="00E822A6">
              <w:rPr>
                <w:rFonts w:cs="Calibri"/>
                <w:b/>
                <w:szCs w:val="18"/>
              </w:rPr>
              <w:t>R</w:t>
            </w:r>
            <w:r w:rsidRPr="007C6082">
              <w:rPr>
                <w:rFonts w:cs="Calibri"/>
                <w:b/>
                <w:szCs w:val="18"/>
              </w:rPr>
              <w:t>emove slash from slope and/or seek resource consent to manage risk</w:t>
            </w:r>
            <w:r w:rsidRPr="007C6082">
              <w:rPr>
                <w:rFonts w:cs="Calibri"/>
                <w:szCs w:val="18"/>
              </w:rPr>
              <w:t xml:space="preserve"> </w:t>
            </w:r>
            <w:r w:rsidRPr="007C6082">
              <w:rPr>
                <w:rFonts w:cs="Calibri"/>
                <w:i/>
                <w:iCs/>
                <w:szCs w:val="18"/>
              </w:rPr>
              <w:t>(TBC on outcome of consultation)</w:t>
            </w:r>
          </w:p>
        </w:tc>
        <w:tc>
          <w:tcPr>
            <w:tcW w:w="1273" w:type="dxa"/>
            <w:vMerge/>
            <w:tcBorders>
              <w:bottom w:val="single" w:sz="4" w:space="0" w:color="1B556B" w:themeColor="text2"/>
            </w:tcBorders>
            <w:shd w:val="clear" w:color="auto" w:fill="auto"/>
          </w:tcPr>
          <w:p w14:paraId="609C5EC8" w14:textId="77777777" w:rsidR="00DC00ED" w:rsidRPr="007C6082" w:rsidRDefault="00DC00ED" w:rsidP="00DC00ED">
            <w:pPr>
              <w:pStyle w:val="TableText"/>
              <w:rPr>
                <w:rFonts w:cs="Calibri"/>
                <w:szCs w:val="18"/>
              </w:rPr>
            </w:pPr>
          </w:p>
        </w:tc>
        <w:tc>
          <w:tcPr>
            <w:tcW w:w="1215" w:type="dxa"/>
            <w:vMerge/>
            <w:tcBorders>
              <w:bottom w:val="single" w:sz="4" w:space="0" w:color="1B556B" w:themeColor="text2"/>
            </w:tcBorders>
          </w:tcPr>
          <w:p w14:paraId="69ED19D6" w14:textId="77777777" w:rsidR="00DC00ED" w:rsidRPr="007C6082" w:rsidRDefault="00DC00ED" w:rsidP="00DC00ED">
            <w:pPr>
              <w:pStyle w:val="TableText"/>
              <w:rPr>
                <w:rFonts w:cs="Calibri"/>
                <w:szCs w:val="18"/>
              </w:rPr>
            </w:pPr>
          </w:p>
        </w:tc>
        <w:tc>
          <w:tcPr>
            <w:tcW w:w="1368" w:type="dxa"/>
            <w:vMerge/>
            <w:tcBorders>
              <w:bottom w:val="single" w:sz="4" w:space="0" w:color="1B556B" w:themeColor="text2"/>
            </w:tcBorders>
          </w:tcPr>
          <w:p w14:paraId="48051842" w14:textId="77777777" w:rsidR="00DC00ED" w:rsidRPr="007C6082" w:rsidRDefault="00DC00ED" w:rsidP="00DC00ED">
            <w:pPr>
              <w:pStyle w:val="TableText"/>
              <w:rPr>
                <w:rFonts w:cs="Calibri"/>
                <w:szCs w:val="18"/>
              </w:rPr>
            </w:pPr>
          </w:p>
        </w:tc>
        <w:tc>
          <w:tcPr>
            <w:tcW w:w="1285" w:type="dxa"/>
            <w:vMerge/>
            <w:tcBorders>
              <w:bottom w:val="single" w:sz="4" w:space="0" w:color="1B556B" w:themeColor="text2"/>
            </w:tcBorders>
          </w:tcPr>
          <w:p w14:paraId="06807CF0" w14:textId="77777777" w:rsidR="00DC00ED" w:rsidRPr="007C6082" w:rsidRDefault="00DC00ED" w:rsidP="00DC00ED">
            <w:pPr>
              <w:pStyle w:val="TableText"/>
              <w:rPr>
                <w:rFonts w:cs="Calibri"/>
                <w:szCs w:val="18"/>
              </w:rPr>
            </w:pPr>
          </w:p>
        </w:tc>
        <w:tc>
          <w:tcPr>
            <w:tcW w:w="1420" w:type="dxa"/>
            <w:vMerge/>
            <w:tcBorders>
              <w:bottom w:val="single" w:sz="4" w:space="0" w:color="1B556B" w:themeColor="text2"/>
            </w:tcBorders>
          </w:tcPr>
          <w:p w14:paraId="0A45B851" w14:textId="77777777" w:rsidR="00DC00ED" w:rsidRPr="007C6082" w:rsidRDefault="00DC00ED" w:rsidP="00DC00ED">
            <w:pPr>
              <w:pStyle w:val="TableText"/>
              <w:rPr>
                <w:rFonts w:cs="Calibri"/>
                <w:szCs w:val="18"/>
              </w:rPr>
            </w:pPr>
          </w:p>
        </w:tc>
      </w:tr>
      <w:tr w:rsidR="00DC00ED" w:rsidRPr="007C6082" w14:paraId="4EEB8161" w14:textId="77777777" w:rsidTr="00BD5195">
        <w:tc>
          <w:tcPr>
            <w:tcW w:w="14515" w:type="dxa"/>
            <w:gridSpan w:val="9"/>
            <w:shd w:val="clear" w:color="auto" w:fill="D2DDE1" w:themeFill="background2"/>
          </w:tcPr>
          <w:p w14:paraId="734F93F1" w14:textId="65AA379B" w:rsidR="00DC00ED" w:rsidRPr="007C6082" w:rsidRDefault="00DC00ED" w:rsidP="009D037A">
            <w:pPr>
              <w:pStyle w:val="TableTextbold"/>
              <w:keepNext/>
              <w:rPr>
                <w:rFonts w:cs="Calibri"/>
                <w:szCs w:val="18"/>
              </w:rPr>
            </w:pPr>
            <w:r w:rsidRPr="007C6082">
              <w:rPr>
                <w:rFonts w:cs="Calibri"/>
                <w:szCs w:val="18"/>
              </w:rPr>
              <w:lastRenderedPageBreak/>
              <w:t>The following criteria are considered relevant but not sufficiently reliable for a regulation</w:t>
            </w:r>
            <w:r w:rsidR="003E642B">
              <w:rPr>
                <w:rFonts w:cs="Calibri"/>
                <w:szCs w:val="18"/>
              </w:rPr>
              <w:t>.</w:t>
            </w:r>
            <w:r w:rsidRPr="007C6082">
              <w:rPr>
                <w:rFonts w:cs="Calibri"/>
                <w:szCs w:val="18"/>
              </w:rPr>
              <w:t xml:space="preserve"> </w:t>
            </w:r>
            <w:r w:rsidR="003E642B">
              <w:rPr>
                <w:rFonts w:cs="Calibri"/>
                <w:szCs w:val="18"/>
              </w:rPr>
              <w:t>H</w:t>
            </w:r>
            <w:r w:rsidRPr="007C6082">
              <w:rPr>
                <w:rFonts w:cs="Calibri"/>
                <w:szCs w:val="18"/>
              </w:rPr>
              <w:t>owever</w:t>
            </w:r>
            <w:r w:rsidR="003068F6">
              <w:rPr>
                <w:rFonts w:cs="Calibri"/>
                <w:szCs w:val="18"/>
              </w:rPr>
              <w:t>,</w:t>
            </w:r>
            <w:r w:rsidRPr="007C6082">
              <w:rPr>
                <w:rFonts w:cs="Calibri"/>
                <w:szCs w:val="18"/>
              </w:rPr>
              <w:t xml:space="preserve"> they are important indicators of site-specific risk assessment and planning for risk mitigation.</w:t>
            </w:r>
            <w:r w:rsidR="00D35FF0" w:rsidRPr="007C6082">
              <w:rPr>
                <w:rFonts w:cs="Calibri"/>
                <w:szCs w:val="18"/>
              </w:rPr>
              <w:t xml:space="preserve"> </w:t>
            </w:r>
          </w:p>
        </w:tc>
      </w:tr>
      <w:tr w:rsidR="00DC00ED" w:rsidRPr="007C6082" w14:paraId="6C67EEF7" w14:textId="77777777" w:rsidTr="00F4634F">
        <w:tc>
          <w:tcPr>
            <w:tcW w:w="1812" w:type="dxa"/>
            <w:shd w:val="clear" w:color="auto" w:fill="auto"/>
          </w:tcPr>
          <w:p w14:paraId="3BCF57C1" w14:textId="1ED4F5E0" w:rsidR="00DC00ED" w:rsidRPr="007C6082" w:rsidRDefault="00DC00ED" w:rsidP="005E7004">
            <w:pPr>
              <w:pStyle w:val="Tablenum"/>
              <w:keepNext/>
              <w:spacing w:before="60"/>
              <w:rPr>
                <w:rFonts w:cs="Calibri"/>
                <w:szCs w:val="18"/>
              </w:rPr>
            </w:pPr>
            <w:r w:rsidRPr="007C6082">
              <w:rPr>
                <w:rFonts w:cs="Calibri"/>
                <w:szCs w:val="18"/>
              </w:rPr>
              <w:t xml:space="preserve">Rainfall – </w:t>
            </w:r>
            <w:r w:rsidR="007A709E">
              <w:rPr>
                <w:rFonts w:cs="Calibri"/>
                <w:szCs w:val="18"/>
              </w:rPr>
              <w:t>h</w:t>
            </w:r>
            <w:r w:rsidRPr="007C6082">
              <w:rPr>
                <w:rFonts w:cs="Calibri"/>
                <w:szCs w:val="18"/>
              </w:rPr>
              <w:t>igh intensity or extended rainfall is strongly correlated with increased susceptibility to landsliding</w:t>
            </w:r>
            <w:r w:rsidR="007A709E">
              <w:rPr>
                <w:rFonts w:cs="Calibri"/>
                <w:szCs w:val="18"/>
              </w:rPr>
              <w:t>;</w:t>
            </w:r>
            <w:r w:rsidRPr="007C6082">
              <w:rPr>
                <w:rFonts w:cs="Calibri"/>
                <w:szCs w:val="18"/>
                <w:vertAlign w:val="superscript"/>
              </w:rPr>
              <w:footnoteReference w:id="11"/>
            </w:r>
            <w:r w:rsidRPr="007C6082">
              <w:rPr>
                <w:rFonts w:cs="Calibri"/>
                <w:szCs w:val="18"/>
              </w:rPr>
              <w:t xml:space="preserve"> strong flood flows will mobilise and transport slash in waterways </w:t>
            </w:r>
          </w:p>
        </w:tc>
        <w:tc>
          <w:tcPr>
            <w:tcW w:w="1739" w:type="dxa"/>
            <w:shd w:val="clear" w:color="auto" w:fill="auto"/>
          </w:tcPr>
          <w:p w14:paraId="1C666813" w14:textId="77777777" w:rsidR="00DC00ED" w:rsidRPr="007C6082" w:rsidRDefault="00DC00ED" w:rsidP="009D037A">
            <w:pPr>
              <w:pStyle w:val="TableText"/>
              <w:keepNext/>
              <w:rPr>
                <w:rFonts w:cs="Calibri"/>
                <w:szCs w:val="18"/>
              </w:rPr>
            </w:pPr>
            <w:hyperlink r:id="rId35" w:history="1">
              <w:r w:rsidRPr="007C6082">
                <w:rPr>
                  <w:rStyle w:val="Hyperlink"/>
                  <w:rFonts w:cs="Calibri"/>
                  <w:szCs w:val="18"/>
                </w:rPr>
                <w:t>HIRDS</w:t>
              </w:r>
            </w:hyperlink>
            <w:r w:rsidRPr="007C6082">
              <w:rPr>
                <w:rFonts w:cs="Calibri"/>
                <w:szCs w:val="18"/>
              </w:rPr>
              <w:t xml:space="preserve"> is an online tool that can estimate the magnitude and frequency of high intensity rainfall at any point in New Zealand. It estimates high intensity rainfall at ungauged locations for a range of return periods and event durations.</w:t>
            </w:r>
          </w:p>
        </w:tc>
        <w:tc>
          <w:tcPr>
            <w:tcW w:w="1949" w:type="dxa"/>
            <w:shd w:val="clear" w:color="auto" w:fill="auto"/>
          </w:tcPr>
          <w:p w14:paraId="1FB35607" w14:textId="5AAD22DD" w:rsidR="00DC00ED" w:rsidRPr="00DF02A0" w:rsidRDefault="00DC00ED" w:rsidP="009D037A">
            <w:pPr>
              <w:pStyle w:val="TableText"/>
              <w:keepNext/>
              <w:rPr>
                <w:rFonts w:cs="Calibri"/>
                <w:szCs w:val="18"/>
              </w:rPr>
            </w:pPr>
            <w:r w:rsidRPr="00DF02A0">
              <w:rPr>
                <w:rFonts w:cs="Calibri"/>
                <w:szCs w:val="18"/>
              </w:rPr>
              <w:t>Thresholds will vary according to a site. Although an individual harvest planner can learn a lot about site risk from HIRDS (and already use</w:t>
            </w:r>
            <w:r w:rsidR="000D2A93" w:rsidRPr="00DF02A0">
              <w:rPr>
                <w:rFonts w:cs="Calibri"/>
                <w:szCs w:val="18"/>
              </w:rPr>
              <w:t>s</w:t>
            </w:r>
            <w:r w:rsidRPr="00DF02A0">
              <w:rPr>
                <w:rFonts w:cs="Calibri"/>
                <w:szCs w:val="18"/>
              </w:rPr>
              <w:t xml:space="preserve"> this for planning infrastructure) it would be difficult to set a national threshold that is meaningful for slash mobilisation risk</w:t>
            </w:r>
            <w:r w:rsidR="00AC5129" w:rsidRPr="00DF02A0">
              <w:rPr>
                <w:rFonts w:cs="Calibri"/>
                <w:szCs w:val="18"/>
              </w:rPr>
              <w:t>.</w:t>
            </w:r>
            <w:r w:rsidRPr="008C7243">
              <w:rPr>
                <w:rStyle w:val="FootnoteReference"/>
                <w:rFonts w:cs="Calibri"/>
                <w:sz w:val="18"/>
                <w:szCs w:val="18"/>
              </w:rPr>
              <w:footnoteReference w:id="12"/>
            </w:r>
            <w:r w:rsidRPr="00DF02A0">
              <w:rPr>
                <w:rFonts w:cs="Calibri"/>
                <w:szCs w:val="18"/>
              </w:rPr>
              <w:t xml:space="preserve"> </w:t>
            </w:r>
          </w:p>
        </w:tc>
        <w:tc>
          <w:tcPr>
            <w:tcW w:w="2454" w:type="dxa"/>
            <w:shd w:val="clear" w:color="auto" w:fill="auto"/>
          </w:tcPr>
          <w:p w14:paraId="3DF81C11" w14:textId="77777777" w:rsidR="00DC00ED" w:rsidRPr="00DF02A0" w:rsidRDefault="00DC00ED" w:rsidP="009D037A">
            <w:pPr>
              <w:pStyle w:val="TableText"/>
              <w:keepNext/>
              <w:rPr>
                <w:rFonts w:cs="Calibri"/>
                <w:szCs w:val="18"/>
              </w:rPr>
            </w:pPr>
            <w:r w:rsidRPr="00DF02A0">
              <w:rPr>
                <w:rFonts w:cs="Calibri"/>
                <w:szCs w:val="18"/>
              </w:rPr>
              <w:t xml:space="preserve">Harvest planners should consider expected accumulated and event rainfall during the period of the window of vulnerability, and use it with soil, slope and connectivity information to assess slash management needs on the cutover. </w:t>
            </w:r>
          </w:p>
        </w:tc>
        <w:tc>
          <w:tcPr>
            <w:tcW w:w="1273" w:type="dxa"/>
            <w:shd w:val="clear" w:color="auto" w:fill="auto"/>
          </w:tcPr>
          <w:p w14:paraId="725983A0" w14:textId="4CEE619E" w:rsidR="00DC00ED" w:rsidRPr="007C6082" w:rsidRDefault="00DC00ED" w:rsidP="009D037A">
            <w:pPr>
              <w:pStyle w:val="TableText"/>
              <w:keepNext/>
              <w:rPr>
                <w:rFonts w:cs="Calibri"/>
                <w:szCs w:val="18"/>
              </w:rPr>
            </w:pPr>
            <w:r w:rsidRPr="007C6082">
              <w:rPr>
                <w:rFonts w:cs="Calibri"/>
                <w:szCs w:val="18"/>
              </w:rPr>
              <w:t>Yes, as a trigger, but the size of the risk depends on the size of the event and every site is different.</w:t>
            </w:r>
            <w:r w:rsidR="00D35FF0" w:rsidRPr="007C6082">
              <w:rPr>
                <w:rFonts w:cs="Calibri"/>
                <w:szCs w:val="18"/>
              </w:rPr>
              <w:t xml:space="preserve"> </w:t>
            </w:r>
          </w:p>
        </w:tc>
        <w:tc>
          <w:tcPr>
            <w:tcW w:w="1215" w:type="dxa"/>
          </w:tcPr>
          <w:p w14:paraId="6F1B8DF4" w14:textId="790AAD84" w:rsidR="00DC00ED" w:rsidRPr="007C6082" w:rsidRDefault="00DC00ED" w:rsidP="009D037A">
            <w:pPr>
              <w:pStyle w:val="TableText"/>
              <w:keepNext/>
              <w:rPr>
                <w:rFonts w:cs="Calibri"/>
                <w:szCs w:val="18"/>
              </w:rPr>
            </w:pPr>
            <w:r w:rsidRPr="007C6082">
              <w:rPr>
                <w:rFonts w:cs="Calibri"/>
                <w:szCs w:val="18"/>
              </w:rPr>
              <w:t>Yes</w:t>
            </w:r>
            <w:r w:rsidR="00AC5129">
              <w:rPr>
                <w:rFonts w:cs="Calibri"/>
                <w:szCs w:val="18"/>
              </w:rPr>
              <w:t>.</w:t>
            </w:r>
            <w:r w:rsidRPr="007C6082">
              <w:rPr>
                <w:rStyle w:val="FootnoteReference"/>
                <w:rFonts w:cs="Calibri"/>
                <w:sz w:val="18"/>
                <w:szCs w:val="18"/>
              </w:rPr>
              <w:footnoteReference w:id="13"/>
            </w:r>
          </w:p>
        </w:tc>
        <w:tc>
          <w:tcPr>
            <w:tcW w:w="1368" w:type="dxa"/>
          </w:tcPr>
          <w:p w14:paraId="0F21BB29" w14:textId="4D81228A" w:rsidR="00DC00ED" w:rsidRPr="007C6082" w:rsidRDefault="00DC00ED" w:rsidP="009D037A">
            <w:pPr>
              <w:pStyle w:val="TableText"/>
              <w:keepNext/>
              <w:rPr>
                <w:rFonts w:cs="Calibri"/>
                <w:szCs w:val="18"/>
              </w:rPr>
            </w:pPr>
            <w:r w:rsidRPr="007C6082">
              <w:rPr>
                <w:rFonts w:cs="Calibri"/>
                <w:szCs w:val="18"/>
              </w:rPr>
              <w:t>Yes</w:t>
            </w:r>
            <w:r w:rsidR="00AC5129">
              <w:rPr>
                <w:rFonts w:cs="Calibri"/>
                <w:szCs w:val="18"/>
              </w:rPr>
              <w:t>.</w:t>
            </w:r>
          </w:p>
        </w:tc>
        <w:tc>
          <w:tcPr>
            <w:tcW w:w="1285" w:type="dxa"/>
          </w:tcPr>
          <w:p w14:paraId="1C15CE91" w14:textId="77777777" w:rsidR="00DC00ED" w:rsidRPr="007C6082" w:rsidRDefault="00DC00ED" w:rsidP="009D037A">
            <w:pPr>
              <w:pStyle w:val="TableText"/>
              <w:keepNext/>
              <w:rPr>
                <w:rFonts w:cs="Calibri"/>
                <w:szCs w:val="18"/>
              </w:rPr>
            </w:pPr>
            <w:r w:rsidRPr="007C6082">
              <w:rPr>
                <w:rFonts w:cs="Calibri"/>
                <w:szCs w:val="18"/>
              </w:rPr>
              <w:t>It requires some skill and experience to interpret.</w:t>
            </w:r>
          </w:p>
        </w:tc>
        <w:tc>
          <w:tcPr>
            <w:tcW w:w="1420" w:type="dxa"/>
          </w:tcPr>
          <w:p w14:paraId="0BA24CC6" w14:textId="77777777" w:rsidR="00DC00ED" w:rsidRPr="007C6082" w:rsidRDefault="00DC00ED" w:rsidP="009D037A">
            <w:pPr>
              <w:pStyle w:val="TableText"/>
              <w:keepNext/>
              <w:rPr>
                <w:rFonts w:cs="Calibri"/>
                <w:szCs w:val="18"/>
              </w:rPr>
            </w:pPr>
            <w:r w:rsidRPr="007C6082">
              <w:rPr>
                <w:rFonts w:cs="Calibri"/>
                <w:szCs w:val="18"/>
              </w:rPr>
              <w:t xml:space="preserve">No. HIRDS provides a range of estimates but as a predictor in a regulation we would need to specify the appropriate return period and event duration, which would require additional assumptions. </w:t>
            </w:r>
          </w:p>
        </w:tc>
      </w:tr>
      <w:tr w:rsidR="00DC00ED" w:rsidRPr="007C6082" w14:paraId="6966998B" w14:textId="77777777" w:rsidTr="00F4634F">
        <w:tc>
          <w:tcPr>
            <w:tcW w:w="1812" w:type="dxa"/>
            <w:shd w:val="clear" w:color="auto" w:fill="auto"/>
          </w:tcPr>
          <w:p w14:paraId="6A476BEB" w14:textId="0FC0019B" w:rsidR="00DC00ED" w:rsidRPr="007C6082" w:rsidRDefault="00DC00ED" w:rsidP="005E7004">
            <w:pPr>
              <w:pStyle w:val="Tablenum"/>
              <w:keepNext/>
              <w:spacing w:before="60" w:after="40"/>
              <w:rPr>
                <w:rFonts w:cs="Calibri"/>
                <w:szCs w:val="18"/>
              </w:rPr>
            </w:pPr>
            <w:r w:rsidRPr="007C6082">
              <w:rPr>
                <w:rFonts w:cs="Calibri"/>
                <w:szCs w:val="18"/>
              </w:rPr>
              <w:lastRenderedPageBreak/>
              <w:t>Catchment factor to signal how mobilised material from a single site may contribute to cumulative harm.</w:t>
            </w:r>
            <w:r w:rsidR="00D35FF0" w:rsidRPr="007C6082">
              <w:rPr>
                <w:rFonts w:cs="Calibri"/>
                <w:szCs w:val="18"/>
              </w:rPr>
              <w:t xml:space="preserve"> </w:t>
            </w:r>
            <w:r w:rsidRPr="007C6082">
              <w:rPr>
                <w:rFonts w:cs="Calibri"/>
                <w:szCs w:val="18"/>
              </w:rPr>
              <w:t>This is a function of:</w:t>
            </w:r>
          </w:p>
          <w:p w14:paraId="51040FAE" w14:textId="3EDB8C3E" w:rsidR="00DC00ED" w:rsidRPr="007C6082" w:rsidRDefault="00A92694" w:rsidP="00954D8B">
            <w:pPr>
              <w:pStyle w:val="TableDash"/>
              <w:keepNext/>
              <w:spacing w:after="40"/>
              <w:rPr>
                <w:rFonts w:cs="Calibri"/>
                <w:szCs w:val="18"/>
              </w:rPr>
            </w:pPr>
            <w:r>
              <w:rPr>
                <w:rFonts w:cs="Calibri"/>
                <w:szCs w:val="18"/>
              </w:rPr>
              <w:t>s</w:t>
            </w:r>
            <w:r w:rsidR="00DC00ED" w:rsidRPr="007C6082">
              <w:rPr>
                <w:rFonts w:cs="Calibri"/>
                <w:szCs w:val="18"/>
              </w:rPr>
              <w:t>ize of harvest site</w:t>
            </w:r>
          </w:p>
          <w:p w14:paraId="23DA62F9" w14:textId="15C9792E" w:rsidR="00DC00ED" w:rsidRPr="007C6082" w:rsidRDefault="00A92694" w:rsidP="00954D8B">
            <w:pPr>
              <w:pStyle w:val="TableDash"/>
              <w:keepNext/>
              <w:spacing w:after="40"/>
              <w:rPr>
                <w:rFonts w:cs="Calibri"/>
                <w:szCs w:val="18"/>
              </w:rPr>
            </w:pPr>
            <w:r>
              <w:rPr>
                <w:rFonts w:cs="Calibri"/>
                <w:szCs w:val="18"/>
              </w:rPr>
              <w:t>p</w:t>
            </w:r>
            <w:r w:rsidR="00DC00ED" w:rsidRPr="007C6082">
              <w:rPr>
                <w:rFonts w:cs="Calibri"/>
                <w:szCs w:val="18"/>
              </w:rPr>
              <w:t>roportion of catchment within window of vulnerability</w:t>
            </w:r>
          </w:p>
        </w:tc>
        <w:tc>
          <w:tcPr>
            <w:tcW w:w="1739" w:type="dxa"/>
            <w:shd w:val="clear" w:color="auto" w:fill="auto"/>
          </w:tcPr>
          <w:p w14:paraId="0C13BF5B" w14:textId="299B493B" w:rsidR="00DC00ED" w:rsidRPr="007C6082" w:rsidRDefault="00DC00ED" w:rsidP="00954D8B">
            <w:pPr>
              <w:pStyle w:val="TableText"/>
              <w:keepNext/>
              <w:spacing w:after="40"/>
              <w:rPr>
                <w:rFonts w:cs="Calibri"/>
                <w:szCs w:val="18"/>
              </w:rPr>
            </w:pPr>
            <w:r w:rsidRPr="007C6082">
              <w:rPr>
                <w:rFonts w:cs="Calibri"/>
                <w:szCs w:val="18"/>
              </w:rPr>
              <w:t>Melton’s Ratio</w:t>
            </w:r>
            <w:r w:rsidR="00B04D87">
              <w:rPr>
                <w:rFonts w:cs="Calibri"/>
                <w:szCs w:val="18"/>
              </w:rPr>
              <w:t xml:space="preserve"> (R)</w:t>
            </w:r>
            <w:r w:rsidR="00A92694">
              <w:rPr>
                <w:rFonts w:cs="Calibri"/>
                <w:szCs w:val="18"/>
              </w:rPr>
              <w:t>,</w:t>
            </w:r>
            <w:r w:rsidRPr="007C6082">
              <w:rPr>
                <w:rStyle w:val="FootnoteReference"/>
                <w:rFonts w:cs="Calibri"/>
                <w:b/>
                <w:bCs/>
                <w:sz w:val="18"/>
                <w:szCs w:val="18"/>
              </w:rPr>
              <w:footnoteReference w:id="14"/>
            </w:r>
            <w:r w:rsidRPr="007C6082">
              <w:rPr>
                <w:rFonts w:cs="Calibri"/>
                <w:szCs w:val="18"/>
              </w:rPr>
              <w:t xml:space="preserve"> is an index of catchment ruggedness.</w:t>
            </w:r>
            <w:r w:rsidR="00D35FF0" w:rsidRPr="007C6082">
              <w:rPr>
                <w:rFonts w:cs="Calibri"/>
                <w:szCs w:val="18"/>
              </w:rPr>
              <w:t xml:space="preserve"> </w:t>
            </w:r>
            <w:r w:rsidRPr="007C6082">
              <w:rPr>
                <w:rFonts w:cs="Calibri"/>
                <w:szCs w:val="18"/>
              </w:rPr>
              <w:t>It is one index that gives a useful indication of which catchments have the potential to generate debris flows and their runout fans.</w:t>
            </w:r>
            <w:r w:rsidR="00D35FF0" w:rsidRPr="007C6082">
              <w:rPr>
                <w:rFonts w:cs="Calibri"/>
                <w:szCs w:val="18"/>
              </w:rPr>
              <w:t xml:space="preserve"> </w:t>
            </w:r>
          </w:p>
          <w:p w14:paraId="6CA0B1D0" w14:textId="64B711E4" w:rsidR="00DC00ED" w:rsidRPr="007C6082" w:rsidRDefault="00DC00ED" w:rsidP="00954D8B">
            <w:pPr>
              <w:pStyle w:val="TableText"/>
              <w:keepNext/>
              <w:spacing w:after="40"/>
              <w:rPr>
                <w:rFonts w:cs="Calibri"/>
                <w:szCs w:val="18"/>
              </w:rPr>
            </w:pPr>
            <w:r w:rsidRPr="007C6082">
              <w:rPr>
                <w:rFonts w:cs="Calibri"/>
                <w:szCs w:val="18"/>
              </w:rPr>
              <w:t>Melton</w:t>
            </w:r>
            <w:r w:rsidR="00C032D4">
              <w:rPr>
                <w:rFonts w:cs="Calibri"/>
                <w:szCs w:val="18"/>
              </w:rPr>
              <w:t>’s</w:t>
            </w:r>
            <w:r w:rsidRPr="007C6082">
              <w:rPr>
                <w:rFonts w:cs="Calibri"/>
                <w:szCs w:val="18"/>
              </w:rPr>
              <w:t xml:space="preserve"> Ratio (R) is equal to catchment relief (highest altitude minus lowest altitude in metres) divided by the square root of catchment area.</w:t>
            </w:r>
          </w:p>
        </w:tc>
        <w:tc>
          <w:tcPr>
            <w:tcW w:w="1949" w:type="dxa"/>
            <w:shd w:val="clear" w:color="auto" w:fill="auto"/>
          </w:tcPr>
          <w:p w14:paraId="6BD27BC2" w14:textId="6BB05697" w:rsidR="00DC00ED" w:rsidRPr="007C6082" w:rsidRDefault="00DC00ED" w:rsidP="00954D8B">
            <w:pPr>
              <w:pStyle w:val="TableText"/>
              <w:keepNext/>
              <w:spacing w:after="40"/>
              <w:rPr>
                <w:rFonts w:cs="Calibri"/>
                <w:szCs w:val="18"/>
              </w:rPr>
            </w:pPr>
            <w:r w:rsidRPr="007C6082">
              <w:rPr>
                <w:rFonts w:cs="Calibri"/>
                <w:szCs w:val="18"/>
              </w:rPr>
              <w:t>Catchments with a Melton</w:t>
            </w:r>
            <w:r w:rsidR="00DC5B32">
              <w:rPr>
                <w:rFonts w:cs="Calibri"/>
                <w:szCs w:val="18"/>
              </w:rPr>
              <w:t>’s</w:t>
            </w:r>
            <w:r w:rsidRPr="007C6082">
              <w:rPr>
                <w:rFonts w:cs="Calibri"/>
                <w:szCs w:val="18"/>
              </w:rPr>
              <w:t xml:space="preserve"> Ratio</w:t>
            </w:r>
            <w:r w:rsidR="00DC5B32">
              <w:rPr>
                <w:rFonts w:cs="Calibri"/>
                <w:szCs w:val="18"/>
              </w:rPr>
              <w:t xml:space="preserve"> (R)</w:t>
            </w:r>
            <w:r w:rsidRPr="007C6082">
              <w:rPr>
                <w:rFonts w:cs="Calibri"/>
                <w:szCs w:val="18"/>
              </w:rPr>
              <w:t xml:space="preserve"> &gt; 0.5 </w:t>
            </w:r>
            <w:proofErr w:type="gramStart"/>
            <w:r w:rsidRPr="007C6082">
              <w:rPr>
                <w:rFonts w:cs="Calibri"/>
                <w:szCs w:val="18"/>
              </w:rPr>
              <w:t>are capable of generating</w:t>
            </w:r>
            <w:proofErr w:type="gramEnd"/>
            <w:r w:rsidRPr="007C6082">
              <w:rPr>
                <w:rFonts w:cs="Calibri"/>
                <w:szCs w:val="18"/>
              </w:rPr>
              <w:t xml:space="preserve"> debris flows.</w:t>
            </w:r>
            <w:r w:rsidR="00D35FF0" w:rsidRPr="007C6082">
              <w:rPr>
                <w:rFonts w:cs="Calibri"/>
                <w:szCs w:val="18"/>
              </w:rPr>
              <w:t xml:space="preserve"> </w:t>
            </w:r>
          </w:p>
        </w:tc>
        <w:tc>
          <w:tcPr>
            <w:tcW w:w="2454" w:type="dxa"/>
            <w:shd w:val="clear" w:color="auto" w:fill="auto"/>
          </w:tcPr>
          <w:p w14:paraId="04E2C3C8" w14:textId="77777777" w:rsidR="00DC00ED" w:rsidRPr="007C6082" w:rsidRDefault="00DC00ED" w:rsidP="00954D8B">
            <w:pPr>
              <w:pStyle w:val="TableText"/>
              <w:keepNext/>
              <w:spacing w:after="40"/>
              <w:rPr>
                <w:rFonts w:cs="Calibri"/>
                <w:szCs w:val="18"/>
              </w:rPr>
            </w:pPr>
          </w:p>
        </w:tc>
        <w:tc>
          <w:tcPr>
            <w:tcW w:w="1273" w:type="dxa"/>
            <w:shd w:val="clear" w:color="auto" w:fill="auto"/>
          </w:tcPr>
          <w:p w14:paraId="0A7D7E57" w14:textId="77777777" w:rsidR="00DC00ED" w:rsidRPr="007C6082" w:rsidRDefault="00DC00ED" w:rsidP="00954D8B">
            <w:pPr>
              <w:pStyle w:val="TableText"/>
              <w:keepNext/>
              <w:spacing w:after="40"/>
              <w:rPr>
                <w:rFonts w:cs="Calibri"/>
                <w:szCs w:val="18"/>
              </w:rPr>
            </w:pPr>
            <w:r w:rsidRPr="007C6082">
              <w:rPr>
                <w:rFonts w:cs="Calibri"/>
                <w:szCs w:val="18"/>
              </w:rPr>
              <w:t xml:space="preserve">Not for an individual property. </w:t>
            </w:r>
          </w:p>
        </w:tc>
        <w:tc>
          <w:tcPr>
            <w:tcW w:w="1215" w:type="dxa"/>
          </w:tcPr>
          <w:p w14:paraId="0B64894E" w14:textId="77777777" w:rsidR="00DC00ED" w:rsidRPr="007C6082" w:rsidRDefault="00DC00ED" w:rsidP="00954D8B">
            <w:pPr>
              <w:pStyle w:val="TableText"/>
              <w:keepNext/>
              <w:spacing w:after="40"/>
              <w:rPr>
                <w:rFonts w:cs="Calibri"/>
                <w:szCs w:val="18"/>
              </w:rPr>
            </w:pPr>
            <w:r w:rsidRPr="007C6082">
              <w:rPr>
                <w:rFonts w:cs="Calibri"/>
                <w:szCs w:val="18"/>
              </w:rPr>
              <w:t>Some.</w:t>
            </w:r>
          </w:p>
        </w:tc>
        <w:tc>
          <w:tcPr>
            <w:tcW w:w="1368" w:type="dxa"/>
          </w:tcPr>
          <w:p w14:paraId="2AF42391" w14:textId="30BFD1DD" w:rsidR="00DC00ED" w:rsidRPr="007C6082" w:rsidRDefault="00DC00ED" w:rsidP="00954D8B">
            <w:pPr>
              <w:pStyle w:val="TableText"/>
              <w:keepNext/>
              <w:spacing w:after="40"/>
              <w:rPr>
                <w:rFonts w:cs="Calibri"/>
                <w:szCs w:val="18"/>
              </w:rPr>
            </w:pPr>
            <w:r w:rsidRPr="007C6082">
              <w:rPr>
                <w:rFonts w:cs="Calibri"/>
                <w:szCs w:val="18"/>
              </w:rPr>
              <w:t xml:space="preserve">No. The forest owner only has information about their intentions not the actions or intentions of other </w:t>
            </w:r>
            <w:proofErr w:type="gramStart"/>
            <w:r w:rsidRPr="007C6082">
              <w:rPr>
                <w:rFonts w:cs="Calibri"/>
                <w:szCs w:val="18"/>
              </w:rPr>
              <w:t>land</w:t>
            </w:r>
            <w:r w:rsidR="00A81A43">
              <w:rPr>
                <w:rFonts w:cs="Calibri"/>
                <w:szCs w:val="18"/>
              </w:rPr>
              <w:t xml:space="preserve"> </w:t>
            </w:r>
            <w:r w:rsidRPr="007C6082">
              <w:rPr>
                <w:rFonts w:cs="Calibri"/>
                <w:szCs w:val="18"/>
              </w:rPr>
              <w:t>owners</w:t>
            </w:r>
            <w:proofErr w:type="gramEnd"/>
            <w:r w:rsidRPr="007C6082">
              <w:rPr>
                <w:rFonts w:cs="Calibri"/>
                <w:szCs w:val="18"/>
              </w:rPr>
              <w:t>.</w:t>
            </w:r>
            <w:r w:rsidR="00D35FF0" w:rsidRPr="007C6082">
              <w:rPr>
                <w:rFonts w:cs="Calibri"/>
                <w:szCs w:val="18"/>
              </w:rPr>
              <w:t xml:space="preserve"> </w:t>
            </w:r>
          </w:p>
        </w:tc>
        <w:tc>
          <w:tcPr>
            <w:tcW w:w="1285" w:type="dxa"/>
          </w:tcPr>
          <w:p w14:paraId="73054E49" w14:textId="482CB4FB" w:rsidR="00DC00ED" w:rsidRPr="007C6082" w:rsidRDefault="00DC00ED" w:rsidP="00954D8B">
            <w:pPr>
              <w:pStyle w:val="TableText"/>
              <w:keepNext/>
              <w:spacing w:after="40"/>
              <w:rPr>
                <w:rFonts w:cs="Calibri"/>
                <w:szCs w:val="18"/>
              </w:rPr>
            </w:pPr>
            <w:r w:rsidRPr="007C6082">
              <w:rPr>
                <w:rFonts w:cs="Calibri"/>
                <w:szCs w:val="18"/>
              </w:rPr>
              <w:t>No. It requires understanding how to measure catchment ruggedness and catchment area.</w:t>
            </w:r>
            <w:r w:rsidR="00D35FF0" w:rsidRPr="007C6082">
              <w:rPr>
                <w:rFonts w:cs="Calibri"/>
                <w:szCs w:val="18"/>
              </w:rPr>
              <w:t xml:space="preserve"> </w:t>
            </w:r>
          </w:p>
        </w:tc>
        <w:tc>
          <w:tcPr>
            <w:tcW w:w="1420" w:type="dxa"/>
          </w:tcPr>
          <w:p w14:paraId="2D9933D7" w14:textId="77777777" w:rsidR="00DC00ED" w:rsidRPr="007C6082" w:rsidRDefault="00DC00ED" w:rsidP="00954D8B">
            <w:pPr>
              <w:pStyle w:val="TableText"/>
              <w:keepNext/>
              <w:spacing w:after="40"/>
              <w:rPr>
                <w:rFonts w:cs="Calibri"/>
                <w:szCs w:val="18"/>
              </w:rPr>
            </w:pPr>
            <w:r w:rsidRPr="007C6082">
              <w:rPr>
                <w:rFonts w:cs="Calibri"/>
                <w:szCs w:val="18"/>
              </w:rPr>
              <w:t>No.</w:t>
            </w:r>
          </w:p>
        </w:tc>
      </w:tr>
      <w:tr w:rsidR="00DC00ED" w:rsidRPr="007C6082" w14:paraId="4D0EFC51" w14:textId="77777777" w:rsidTr="00F4634F">
        <w:tc>
          <w:tcPr>
            <w:tcW w:w="1812" w:type="dxa"/>
            <w:shd w:val="clear" w:color="auto" w:fill="auto"/>
          </w:tcPr>
          <w:p w14:paraId="201D4C8E" w14:textId="77777777" w:rsidR="00DC00ED" w:rsidRPr="007C6082" w:rsidRDefault="00DC00ED" w:rsidP="005E7004">
            <w:pPr>
              <w:pStyle w:val="Tablenum"/>
              <w:keepNext/>
              <w:spacing w:before="60" w:after="40"/>
              <w:rPr>
                <w:rFonts w:cs="Calibri"/>
                <w:szCs w:val="18"/>
              </w:rPr>
            </w:pPr>
            <w:r w:rsidRPr="007C6082">
              <w:rPr>
                <w:rFonts w:cs="Calibri"/>
                <w:szCs w:val="18"/>
              </w:rPr>
              <w:lastRenderedPageBreak/>
              <w:t>Slope features that indicate increased risk</w:t>
            </w:r>
            <w:r w:rsidRPr="007C6082">
              <w:rPr>
                <w:rStyle w:val="FootnoteReference"/>
                <w:rFonts w:cs="Calibri"/>
                <w:sz w:val="18"/>
                <w:szCs w:val="18"/>
              </w:rPr>
              <w:footnoteReference w:id="15"/>
            </w:r>
          </w:p>
          <w:p w14:paraId="1F0E9C02" w14:textId="77777777" w:rsidR="00DC00ED" w:rsidRPr="007C6082" w:rsidRDefault="00DC00ED" w:rsidP="00954D8B">
            <w:pPr>
              <w:keepNext/>
              <w:spacing w:after="40"/>
              <w:rPr>
                <w:rFonts w:cs="Calibri"/>
                <w:sz w:val="18"/>
                <w:szCs w:val="18"/>
              </w:rPr>
            </w:pPr>
          </w:p>
        </w:tc>
        <w:tc>
          <w:tcPr>
            <w:tcW w:w="1739" w:type="dxa"/>
            <w:shd w:val="clear" w:color="auto" w:fill="auto"/>
          </w:tcPr>
          <w:p w14:paraId="0E83C9F4" w14:textId="77777777" w:rsidR="00DC00ED" w:rsidRPr="007C6082" w:rsidRDefault="00DC00ED" w:rsidP="00954D8B">
            <w:pPr>
              <w:pStyle w:val="TableText"/>
              <w:keepNext/>
              <w:spacing w:after="40"/>
              <w:rPr>
                <w:rFonts w:cs="Calibri"/>
                <w:szCs w:val="18"/>
              </w:rPr>
            </w:pPr>
            <w:r w:rsidRPr="007C6082">
              <w:rPr>
                <w:rFonts w:cs="Calibri"/>
                <w:szCs w:val="18"/>
              </w:rPr>
              <w:t xml:space="preserve">Are any of these features present: </w:t>
            </w:r>
          </w:p>
          <w:p w14:paraId="70E74538" w14:textId="6E3D6519" w:rsidR="00DC00ED" w:rsidRPr="007C6082" w:rsidRDefault="00A81A43" w:rsidP="00954D8B">
            <w:pPr>
              <w:pStyle w:val="TableBullet"/>
              <w:keepNext/>
              <w:spacing w:after="40"/>
              <w:rPr>
                <w:rFonts w:cs="Calibri"/>
                <w:szCs w:val="18"/>
              </w:rPr>
            </w:pPr>
            <w:r>
              <w:rPr>
                <w:rFonts w:cs="Calibri"/>
                <w:szCs w:val="18"/>
              </w:rPr>
              <w:t>g</w:t>
            </w:r>
            <w:r w:rsidR="00DC00ED" w:rsidRPr="007C6082">
              <w:rPr>
                <w:rFonts w:cs="Calibri"/>
                <w:szCs w:val="18"/>
              </w:rPr>
              <w:t>ully with headwall</w:t>
            </w:r>
          </w:p>
          <w:p w14:paraId="73575C4B" w14:textId="5467F4CE" w:rsidR="00DC00ED" w:rsidRPr="007C6082" w:rsidRDefault="00A81A43" w:rsidP="00954D8B">
            <w:pPr>
              <w:pStyle w:val="TableBullet"/>
              <w:keepNext/>
              <w:spacing w:after="40"/>
              <w:rPr>
                <w:rFonts w:cs="Calibri"/>
                <w:szCs w:val="18"/>
              </w:rPr>
            </w:pPr>
            <w:r>
              <w:rPr>
                <w:rFonts w:cs="Calibri"/>
                <w:szCs w:val="18"/>
              </w:rPr>
              <w:t>s</w:t>
            </w:r>
            <w:r w:rsidR="00DC00ED" w:rsidRPr="007C6082">
              <w:rPr>
                <w:rFonts w:cs="Calibri"/>
                <w:szCs w:val="18"/>
              </w:rPr>
              <w:t xml:space="preserve">lope break </w:t>
            </w:r>
          </w:p>
          <w:p w14:paraId="797C9943" w14:textId="2D857D62" w:rsidR="00DC00ED" w:rsidRPr="007C6082" w:rsidRDefault="00A81A43" w:rsidP="00954D8B">
            <w:pPr>
              <w:pStyle w:val="TableBullet"/>
              <w:keepNext/>
              <w:spacing w:after="40"/>
              <w:rPr>
                <w:rFonts w:cs="Calibri"/>
                <w:szCs w:val="18"/>
              </w:rPr>
            </w:pPr>
            <w:r>
              <w:rPr>
                <w:rFonts w:cs="Calibri"/>
                <w:szCs w:val="18"/>
              </w:rPr>
              <w:t>g</w:t>
            </w:r>
            <w:r w:rsidR="00DC00ED" w:rsidRPr="007C6082">
              <w:rPr>
                <w:rFonts w:cs="Calibri"/>
                <w:szCs w:val="18"/>
              </w:rPr>
              <w:t xml:space="preserve">ully that could intercept </w:t>
            </w:r>
            <w:r>
              <w:rPr>
                <w:rFonts w:cs="Calibri"/>
                <w:szCs w:val="18"/>
              </w:rPr>
              <w:t>and</w:t>
            </w:r>
            <w:r w:rsidRPr="007C6082">
              <w:rPr>
                <w:rFonts w:cs="Calibri"/>
                <w:szCs w:val="18"/>
              </w:rPr>
              <w:t xml:space="preserve"> </w:t>
            </w:r>
            <w:r w:rsidR="00DC00ED" w:rsidRPr="007C6082">
              <w:rPr>
                <w:rFonts w:cs="Calibri"/>
                <w:szCs w:val="18"/>
              </w:rPr>
              <w:t>channel landslide to waterway</w:t>
            </w:r>
          </w:p>
          <w:p w14:paraId="3C108E76" w14:textId="31649297" w:rsidR="00DC00ED" w:rsidRPr="007C6082" w:rsidRDefault="00A81A43" w:rsidP="00954D8B">
            <w:pPr>
              <w:pStyle w:val="TableBullet"/>
              <w:keepNext/>
              <w:spacing w:after="40"/>
              <w:rPr>
                <w:rFonts w:cs="Calibri"/>
                <w:szCs w:val="18"/>
              </w:rPr>
            </w:pPr>
            <w:r>
              <w:rPr>
                <w:rFonts w:cs="Calibri"/>
                <w:szCs w:val="18"/>
              </w:rPr>
              <w:t>c</w:t>
            </w:r>
            <w:r w:rsidR="00DC00ED" w:rsidRPr="007C6082">
              <w:rPr>
                <w:rFonts w:cs="Calibri"/>
                <w:szCs w:val="18"/>
              </w:rPr>
              <w:t>onvex slope</w:t>
            </w:r>
          </w:p>
          <w:p w14:paraId="623606BA" w14:textId="46B322B6" w:rsidR="00DC00ED" w:rsidRPr="007C6082" w:rsidRDefault="00B46F30" w:rsidP="00954D8B">
            <w:pPr>
              <w:pStyle w:val="TableBullet"/>
              <w:keepNext/>
              <w:spacing w:after="40"/>
              <w:rPr>
                <w:rFonts w:cs="Calibri"/>
                <w:szCs w:val="18"/>
              </w:rPr>
            </w:pPr>
            <w:r>
              <w:rPr>
                <w:rFonts w:cs="Calibri"/>
                <w:szCs w:val="18"/>
              </w:rPr>
              <w:t>c</w:t>
            </w:r>
            <w:r w:rsidR="00DC00ED" w:rsidRPr="007C6082">
              <w:rPr>
                <w:rFonts w:cs="Calibri"/>
                <w:szCs w:val="18"/>
              </w:rPr>
              <w:t>onvergent slope</w:t>
            </w:r>
          </w:p>
          <w:p w14:paraId="4DAD00CF" w14:textId="77777777" w:rsidR="00DC00ED" w:rsidRPr="007C6082" w:rsidRDefault="00DC00ED" w:rsidP="00954D8B">
            <w:pPr>
              <w:pStyle w:val="TableText"/>
              <w:keepNext/>
              <w:spacing w:after="40"/>
              <w:rPr>
                <w:rFonts w:cs="Calibri"/>
                <w:szCs w:val="18"/>
              </w:rPr>
            </w:pPr>
            <w:r w:rsidRPr="007C6082">
              <w:rPr>
                <w:rFonts w:cs="Calibri"/>
                <w:szCs w:val="18"/>
              </w:rPr>
              <w:t>Are these present:</w:t>
            </w:r>
          </w:p>
          <w:p w14:paraId="0104ECFB" w14:textId="2F6FA2F7" w:rsidR="00DC00ED" w:rsidRPr="007C6082" w:rsidRDefault="00B46F30" w:rsidP="00954D8B">
            <w:pPr>
              <w:pStyle w:val="TableBullet"/>
              <w:keepNext/>
              <w:spacing w:after="40"/>
              <w:rPr>
                <w:rFonts w:cs="Calibri"/>
                <w:szCs w:val="18"/>
              </w:rPr>
            </w:pPr>
            <w:r>
              <w:rPr>
                <w:rFonts w:cs="Calibri"/>
                <w:szCs w:val="18"/>
              </w:rPr>
              <w:t>c</w:t>
            </w:r>
            <w:r w:rsidR="00DC00ED" w:rsidRPr="007C6082">
              <w:rPr>
                <w:rFonts w:cs="Calibri"/>
                <w:szCs w:val="18"/>
              </w:rPr>
              <w:t>oncave slope</w:t>
            </w:r>
          </w:p>
          <w:p w14:paraId="3503FC40" w14:textId="3167586D" w:rsidR="00DC00ED" w:rsidRPr="007C6082" w:rsidRDefault="00B46F30" w:rsidP="00954D8B">
            <w:pPr>
              <w:pStyle w:val="TableBullet"/>
              <w:keepNext/>
              <w:spacing w:after="40"/>
              <w:rPr>
                <w:rFonts w:cs="Calibri"/>
                <w:szCs w:val="18"/>
              </w:rPr>
            </w:pPr>
            <w:r>
              <w:rPr>
                <w:rFonts w:cs="Calibri"/>
                <w:szCs w:val="18"/>
              </w:rPr>
              <w:t>d</w:t>
            </w:r>
            <w:r w:rsidR="00DC00ED" w:rsidRPr="007C6082">
              <w:rPr>
                <w:rFonts w:cs="Calibri"/>
                <w:szCs w:val="18"/>
              </w:rPr>
              <w:t>ivergent slope</w:t>
            </w:r>
          </w:p>
        </w:tc>
        <w:tc>
          <w:tcPr>
            <w:tcW w:w="1949" w:type="dxa"/>
            <w:shd w:val="clear" w:color="auto" w:fill="auto"/>
          </w:tcPr>
          <w:p w14:paraId="74F0FD63" w14:textId="77777777" w:rsidR="00DC00ED" w:rsidRPr="007C6082" w:rsidRDefault="00DC00ED" w:rsidP="00954D8B">
            <w:pPr>
              <w:pStyle w:val="TableText"/>
              <w:keepNext/>
              <w:spacing w:after="40"/>
              <w:rPr>
                <w:rFonts w:cs="Calibri"/>
                <w:szCs w:val="18"/>
              </w:rPr>
            </w:pPr>
          </w:p>
          <w:p w14:paraId="5C35B803" w14:textId="02CD8054" w:rsidR="00DC00ED" w:rsidRPr="007C6082" w:rsidRDefault="00DC00ED" w:rsidP="00954D8B">
            <w:pPr>
              <w:pStyle w:val="TableText"/>
              <w:keepNext/>
              <w:spacing w:before="240" w:after="40"/>
              <w:rPr>
                <w:rFonts w:cs="Calibri"/>
                <w:szCs w:val="18"/>
              </w:rPr>
            </w:pPr>
            <w:r w:rsidRPr="007C6082">
              <w:rPr>
                <w:rFonts w:cs="Calibri"/>
                <w:szCs w:val="18"/>
              </w:rPr>
              <w:t>→</w:t>
            </w:r>
            <w:r w:rsidR="00B46F30">
              <w:rPr>
                <w:rFonts w:cs="Calibri"/>
                <w:szCs w:val="18"/>
              </w:rPr>
              <w:t xml:space="preserve"> I</w:t>
            </w:r>
            <w:r w:rsidRPr="007C6082">
              <w:rPr>
                <w:rFonts w:cs="Calibri"/>
                <w:szCs w:val="18"/>
              </w:rPr>
              <w:t xml:space="preserve">ndicates increased risk </w:t>
            </w:r>
          </w:p>
          <w:p w14:paraId="13E122AF" w14:textId="77777777" w:rsidR="00DC00ED" w:rsidRPr="007C6082" w:rsidRDefault="00DC00ED" w:rsidP="00954D8B">
            <w:pPr>
              <w:pStyle w:val="TableText"/>
              <w:keepNext/>
              <w:spacing w:after="40"/>
              <w:rPr>
                <w:rFonts w:cs="Calibri"/>
                <w:szCs w:val="18"/>
              </w:rPr>
            </w:pPr>
          </w:p>
          <w:p w14:paraId="3EFC5403" w14:textId="77777777" w:rsidR="00DC00ED" w:rsidRPr="007C6082" w:rsidRDefault="00DC00ED" w:rsidP="00954D8B">
            <w:pPr>
              <w:pStyle w:val="TableText"/>
              <w:keepNext/>
              <w:spacing w:after="40"/>
              <w:rPr>
                <w:rFonts w:cs="Calibri"/>
                <w:szCs w:val="18"/>
              </w:rPr>
            </w:pPr>
          </w:p>
          <w:p w14:paraId="712FD905" w14:textId="77777777" w:rsidR="00DC00ED" w:rsidRPr="007C6082" w:rsidRDefault="00DC00ED" w:rsidP="00954D8B">
            <w:pPr>
              <w:pStyle w:val="TableText"/>
              <w:keepNext/>
              <w:spacing w:after="40"/>
              <w:rPr>
                <w:rFonts w:cs="Calibri"/>
                <w:szCs w:val="18"/>
              </w:rPr>
            </w:pPr>
          </w:p>
          <w:p w14:paraId="53A57E2A" w14:textId="77777777" w:rsidR="00DC00ED" w:rsidRPr="007C6082" w:rsidRDefault="00DC00ED" w:rsidP="00954D8B">
            <w:pPr>
              <w:pStyle w:val="TableText"/>
              <w:keepNext/>
              <w:spacing w:after="40"/>
              <w:rPr>
                <w:rFonts w:cs="Calibri"/>
                <w:szCs w:val="18"/>
              </w:rPr>
            </w:pPr>
          </w:p>
          <w:p w14:paraId="0EE5FA16" w14:textId="77777777" w:rsidR="00DC00ED" w:rsidRPr="007C6082" w:rsidRDefault="00DC00ED" w:rsidP="00954D8B">
            <w:pPr>
              <w:pStyle w:val="TableText"/>
              <w:keepNext/>
              <w:spacing w:after="40"/>
              <w:rPr>
                <w:rFonts w:cs="Calibri"/>
                <w:szCs w:val="18"/>
              </w:rPr>
            </w:pPr>
          </w:p>
          <w:p w14:paraId="27B7D5E4" w14:textId="77777777" w:rsidR="00DC00ED" w:rsidRPr="007C6082" w:rsidRDefault="00DC00ED" w:rsidP="00954D8B">
            <w:pPr>
              <w:pStyle w:val="TableText"/>
              <w:keepNext/>
              <w:spacing w:after="40"/>
              <w:rPr>
                <w:rFonts w:cs="Calibri"/>
                <w:szCs w:val="18"/>
              </w:rPr>
            </w:pPr>
          </w:p>
          <w:p w14:paraId="529552A2" w14:textId="77777777" w:rsidR="00DC00ED" w:rsidRPr="007C6082" w:rsidRDefault="00DC00ED" w:rsidP="00954D8B">
            <w:pPr>
              <w:pStyle w:val="TableText"/>
              <w:keepNext/>
              <w:spacing w:before="0" w:after="40"/>
              <w:rPr>
                <w:rFonts w:cs="Calibri"/>
                <w:szCs w:val="18"/>
              </w:rPr>
            </w:pPr>
          </w:p>
          <w:p w14:paraId="459003A4" w14:textId="3346F07E" w:rsidR="00DC00ED" w:rsidRPr="007C6082" w:rsidRDefault="00DC00ED" w:rsidP="00954D8B">
            <w:pPr>
              <w:pStyle w:val="TableText"/>
              <w:keepNext/>
              <w:spacing w:before="0" w:after="40"/>
              <w:rPr>
                <w:rFonts w:cs="Calibri"/>
                <w:szCs w:val="18"/>
              </w:rPr>
            </w:pPr>
            <w:r w:rsidRPr="007C6082">
              <w:rPr>
                <w:rFonts w:cs="Calibri"/>
                <w:szCs w:val="18"/>
              </w:rPr>
              <w:t xml:space="preserve">→ </w:t>
            </w:r>
            <w:r w:rsidR="00B46F30">
              <w:rPr>
                <w:rFonts w:cs="Calibri"/>
                <w:szCs w:val="18"/>
              </w:rPr>
              <w:t>I</w:t>
            </w:r>
            <w:r w:rsidRPr="007C6082">
              <w:rPr>
                <w:rFonts w:cs="Calibri"/>
                <w:szCs w:val="18"/>
              </w:rPr>
              <w:t>ndicates decreased risk</w:t>
            </w:r>
          </w:p>
        </w:tc>
        <w:tc>
          <w:tcPr>
            <w:tcW w:w="2454" w:type="dxa"/>
            <w:shd w:val="clear" w:color="auto" w:fill="auto"/>
          </w:tcPr>
          <w:p w14:paraId="40E88EE8" w14:textId="77777777" w:rsidR="00DC00ED" w:rsidRPr="007C6082" w:rsidRDefault="00DC00ED" w:rsidP="00954D8B">
            <w:pPr>
              <w:pStyle w:val="TableText"/>
              <w:keepNext/>
              <w:spacing w:after="40"/>
              <w:rPr>
                <w:rFonts w:cs="Calibri"/>
                <w:szCs w:val="18"/>
              </w:rPr>
            </w:pPr>
          </w:p>
        </w:tc>
        <w:tc>
          <w:tcPr>
            <w:tcW w:w="1273" w:type="dxa"/>
            <w:shd w:val="clear" w:color="auto" w:fill="auto"/>
          </w:tcPr>
          <w:p w14:paraId="34BF3C70" w14:textId="23CE8698" w:rsidR="00DC00ED" w:rsidRPr="007C6082" w:rsidRDefault="00DC00ED" w:rsidP="00954D8B">
            <w:pPr>
              <w:pStyle w:val="TableText"/>
              <w:keepNext/>
              <w:spacing w:after="40"/>
              <w:rPr>
                <w:rFonts w:cs="Calibri"/>
                <w:szCs w:val="18"/>
              </w:rPr>
            </w:pPr>
            <w:r w:rsidRPr="007C6082">
              <w:rPr>
                <w:rFonts w:cs="Calibri"/>
                <w:szCs w:val="18"/>
              </w:rPr>
              <w:t xml:space="preserve">No. Individual features are associated with risk but </w:t>
            </w:r>
            <w:r w:rsidR="001E5341">
              <w:rPr>
                <w:rFonts w:cs="Calibri"/>
                <w:szCs w:val="18"/>
              </w:rPr>
              <w:t xml:space="preserve">are </w:t>
            </w:r>
            <w:r w:rsidRPr="007C6082">
              <w:rPr>
                <w:rFonts w:cs="Calibri"/>
                <w:szCs w:val="18"/>
              </w:rPr>
              <w:t xml:space="preserve">highly site specific. </w:t>
            </w:r>
          </w:p>
        </w:tc>
        <w:tc>
          <w:tcPr>
            <w:tcW w:w="1215" w:type="dxa"/>
          </w:tcPr>
          <w:p w14:paraId="277E6C95" w14:textId="77777777" w:rsidR="00DC00ED" w:rsidRPr="007C6082" w:rsidRDefault="00DC00ED" w:rsidP="00954D8B">
            <w:pPr>
              <w:pStyle w:val="TableText"/>
              <w:keepNext/>
              <w:spacing w:after="40"/>
              <w:rPr>
                <w:rFonts w:cs="Calibri"/>
                <w:szCs w:val="18"/>
              </w:rPr>
            </w:pPr>
            <w:r w:rsidRPr="007C6082">
              <w:rPr>
                <w:rFonts w:cs="Calibri"/>
                <w:szCs w:val="18"/>
              </w:rPr>
              <w:t>Some.</w:t>
            </w:r>
          </w:p>
        </w:tc>
        <w:tc>
          <w:tcPr>
            <w:tcW w:w="1368" w:type="dxa"/>
          </w:tcPr>
          <w:p w14:paraId="38184614" w14:textId="77777777" w:rsidR="00DC00ED" w:rsidRPr="007C6082" w:rsidRDefault="00DC00ED" w:rsidP="00954D8B">
            <w:pPr>
              <w:pStyle w:val="TableText"/>
              <w:keepNext/>
              <w:spacing w:after="40"/>
              <w:rPr>
                <w:rFonts w:cs="Calibri"/>
                <w:szCs w:val="18"/>
              </w:rPr>
            </w:pPr>
            <w:r w:rsidRPr="007C6082">
              <w:rPr>
                <w:rFonts w:cs="Calibri"/>
                <w:szCs w:val="18"/>
              </w:rPr>
              <w:t>Yes, the features are on the site being assessed.</w:t>
            </w:r>
          </w:p>
        </w:tc>
        <w:tc>
          <w:tcPr>
            <w:tcW w:w="1285" w:type="dxa"/>
          </w:tcPr>
          <w:p w14:paraId="16453EB7" w14:textId="77777777" w:rsidR="00DC00ED" w:rsidRPr="007C6082" w:rsidRDefault="00DC00ED" w:rsidP="00954D8B">
            <w:pPr>
              <w:pStyle w:val="TableText"/>
              <w:keepNext/>
              <w:spacing w:after="40"/>
              <w:rPr>
                <w:rFonts w:cs="Calibri"/>
                <w:szCs w:val="18"/>
              </w:rPr>
            </w:pPr>
            <w:r w:rsidRPr="007C6082">
              <w:rPr>
                <w:rFonts w:cs="Calibri"/>
                <w:szCs w:val="18"/>
              </w:rPr>
              <w:t xml:space="preserve">Yes, if you have the knowledge and experience to interpret the information. </w:t>
            </w:r>
          </w:p>
        </w:tc>
        <w:tc>
          <w:tcPr>
            <w:tcW w:w="1420" w:type="dxa"/>
          </w:tcPr>
          <w:p w14:paraId="7983B6F6" w14:textId="77777777" w:rsidR="00DC00ED" w:rsidRPr="007C6082" w:rsidRDefault="00DC00ED" w:rsidP="00954D8B">
            <w:pPr>
              <w:pStyle w:val="TableText"/>
              <w:keepNext/>
              <w:spacing w:after="40"/>
              <w:rPr>
                <w:rFonts w:cs="Calibri"/>
                <w:szCs w:val="18"/>
              </w:rPr>
            </w:pPr>
            <w:r w:rsidRPr="007C6082">
              <w:rPr>
                <w:rFonts w:cs="Calibri"/>
                <w:szCs w:val="18"/>
              </w:rPr>
              <w:t xml:space="preserve">No. Too many variables involved in assessing risk. </w:t>
            </w:r>
          </w:p>
        </w:tc>
      </w:tr>
    </w:tbl>
    <w:bookmarkEnd w:id="2"/>
    <w:p w14:paraId="01FEAE62" w14:textId="58F3728B" w:rsidR="00751CDE" w:rsidRPr="007C6082" w:rsidRDefault="0084174E" w:rsidP="00550DF5">
      <w:pPr>
        <w:pStyle w:val="Note"/>
      </w:pPr>
      <w:r w:rsidRPr="00550DF5">
        <w:rPr>
          <w:b/>
          <w:bCs/>
        </w:rPr>
        <w:t>Note</w:t>
      </w:r>
      <w:r>
        <w:t xml:space="preserve">: </w:t>
      </w:r>
      <w:r w:rsidR="000D28D8" w:rsidRPr="000D28D8">
        <w:t xml:space="preserve">DEMs = </w:t>
      </w:r>
      <w:r w:rsidR="00F16558">
        <w:t>Digital Elevation Model</w:t>
      </w:r>
      <w:r w:rsidR="000D28D8" w:rsidRPr="000D28D8">
        <w:t xml:space="preserve">; ESC = </w:t>
      </w:r>
      <w:r w:rsidR="00F16558">
        <w:t>Erosion Susceptibility Classification</w:t>
      </w:r>
      <w:r w:rsidR="000D28D8" w:rsidRPr="000D28D8">
        <w:t xml:space="preserve">; GIS = </w:t>
      </w:r>
      <w:r w:rsidR="00910C22" w:rsidRPr="00910C22">
        <w:t>Geographic Information System</w:t>
      </w:r>
      <w:r w:rsidR="000D28D8" w:rsidRPr="000D28D8">
        <w:t xml:space="preserve">; HIRDS = High Intensity Rainfall Design System; LiDAR = </w:t>
      </w:r>
      <w:r w:rsidR="00B17DC5" w:rsidRPr="00B17DC5">
        <w:t>Light Detection and Ranging</w:t>
      </w:r>
      <w:r w:rsidR="000D28D8" w:rsidRPr="000D28D8">
        <w:t>; LUC =</w:t>
      </w:r>
      <w:r w:rsidR="000D28D8">
        <w:t xml:space="preserve"> </w:t>
      </w:r>
      <w:r w:rsidR="000D28D8" w:rsidRPr="000D28D8">
        <w:t>Land Use Capability</w:t>
      </w:r>
      <w:r w:rsidR="00B17DC5">
        <w:t>.</w:t>
      </w:r>
    </w:p>
    <w:p w14:paraId="5EDC135D" w14:textId="431D179B" w:rsidR="006C7073" w:rsidRPr="007C6082" w:rsidRDefault="006C7073">
      <w:pPr>
        <w:spacing w:before="0" w:after="0" w:line="240" w:lineRule="auto"/>
        <w:jc w:val="left"/>
        <w:rPr>
          <w:rFonts w:ascii="Georgia" w:eastAsiaTheme="majorEastAsia" w:hAnsi="Georgia" w:cstheme="majorBidi"/>
          <w:b/>
          <w:bCs/>
          <w:sz w:val="28"/>
        </w:rPr>
      </w:pPr>
    </w:p>
    <w:p w14:paraId="17A102D3" w14:textId="77777777" w:rsidR="00427EDB" w:rsidRDefault="00427EDB">
      <w:pPr>
        <w:spacing w:before="0" w:after="0" w:line="240" w:lineRule="auto"/>
        <w:jc w:val="left"/>
        <w:rPr>
          <w:rFonts w:ascii="Georgia" w:eastAsiaTheme="majorEastAsia" w:hAnsi="Georgia" w:cstheme="majorBidi"/>
          <w:b/>
          <w:bCs/>
          <w:sz w:val="28"/>
        </w:rPr>
      </w:pPr>
      <w:r>
        <w:br w:type="page"/>
      </w:r>
    </w:p>
    <w:p w14:paraId="227493E9" w14:textId="0682B033" w:rsidR="00751CDE" w:rsidRPr="007C6082" w:rsidRDefault="00751CDE" w:rsidP="00427EDB">
      <w:pPr>
        <w:pStyle w:val="Heading3"/>
        <w:spacing w:before="0" w:after="120"/>
      </w:pPr>
      <w:r w:rsidRPr="007C6082">
        <w:lastRenderedPageBreak/>
        <w:t xml:space="preserve">Selected </w:t>
      </w:r>
      <w:r w:rsidR="00B46F30">
        <w:t>b</w:t>
      </w:r>
      <w:r w:rsidRPr="007C6082">
        <w:t>ibliography</w:t>
      </w:r>
    </w:p>
    <w:p w14:paraId="6D5B0EDC" w14:textId="28B5F185" w:rsidR="00751CDE" w:rsidRPr="007C6082" w:rsidRDefault="00751CDE" w:rsidP="007F372A">
      <w:pPr>
        <w:pStyle w:val="References"/>
      </w:pPr>
      <w:r w:rsidRPr="007C6082">
        <w:t>Basher L</w:t>
      </w:r>
      <w:r w:rsidR="00EB79E6">
        <w:t>.</w:t>
      </w:r>
      <w:r w:rsidRPr="007C6082">
        <w:t xml:space="preserve"> 2013</w:t>
      </w:r>
      <w:r w:rsidR="00EB79E6">
        <w:t>.</w:t>
      </w:r>
      <w:r w:rsidRPr="007C6082">
        <w:t xml:space="preserve"> Erosion processes and their control in New Zealand. In</w:t>
      </w:r>
      <w:r w:rsidR="00D76C59">
        <w:t>:</w:t>
      </w:r>
      <w:r w:rsidRPr="007C6082">
        <w:t xml:space="preserve"> </w:t>
      </w:r>
      <w:r w:rsidR="00D76C59">
        <w:t xml:space="preserve">JR </w:t>
      </w:r>
      <w:r w:rsidRPr="007C6082">
        <w:t>Dymond (ed</w:t>
      </w:r>
      <w:r w:rsidR="00D76C59">
        <w:t>.</w:t>
      </w:r>
      <w:r w:rsidRPr="007C6082">
        <w:t xml:space="preserve">) </w:t>
      </w:r>
      <w:r w:rsidRPr="00CA1529">
        <w:rPr>
          <w:i/>
          <w:iCs/>
        </w:rPr>
        <w:t xml:space="preserve">Ecosystem Services in New Zealand – </w:t>
      </w:r>
      <w:r w:rsidR="008E4530">
        <w:rPr>
          <w:i/>
          <w:iCs/>
        </w:rPr>
        <w:t>C</w:t>
      </w:r>
      <w:r w:rsidRPr="00CA1529">
        <w:rPr>
          <w:i/>
          <w:iCs/>
        </w:rPr>
        <w:t>onditions and trends</w:t>
      </w:r>
      <w:r w:rsidRPr="007C6082">
        <w:t xml:space="preserve">. </w:t>
      </w:r>
      <w:r w:rsidR="00BF4427">
        <w:t xml:space="preserve">Lincoln: </w:t>
      </w:r>
      <w:r w:rsidRPr="007C6082">
        <w:t xml:space="preserve">Manaaki Whenua </w:t>
      </w:r>
      <w:r w:rsidR="003624DA">
        <w:t>–</w:t>
      </w:r>
      <w:r w:rsidR="008E4530">
        <w:t> </w:t>
      </w:r>
      <w:r w:rsidRPr="007C6082">
        <w:t>Landcare Research.</w:t>
      </w:r>
    </w:p>
    <w:p w14:paraId="59560E1F" w14:textId="73BB2763" w:rsidR="00751CDE" w:rsidRPr="007C6082" w:rsidRDefault="00751CDE" w:rsidP="007F372A">
      <w:pPr>
        <w:pStyle w:val="References"/>
      </w:pPr>
      <w:r w:rsidRPr="007C6082">
        <w:t>De Vilder SJ</w:t>
      </w:r>
      <w:r w:rsidR="00BF4427">
        <w:t>,</w:t>
      </w:r>
      <w:r w:rsidRPr="007C6082">
        <w:t xml:space="preserve"> Kelly SD</w:t>
      </w:r>
      <w:r w:rsidR="00BF4427">
        <w:t>,</w:t>
      </w:r>
      <w:r w:rsidRPr="007C6082">
        <w:t xml:space="preserve"> Buxton RB</w:t>
      </w:r>
      <w:r w:rsidR="00BF4427">
        <w:t>,</w:t>
      </w:r>
      <w:r w:rsidRPr="007C6082">
        <w:t xml:space="preserve"> Allan S</w:t>
      </w:r>
      <w:r w:rsidR="00BF4427">
        <w:t>,</w:t>
      </w:r>
      <w:r w:rsidRPr="007C6082">
        <w:t xml:space="preserve"> Glassey PJ</w:t>
      </w:r>
      <w:r w:rsidR="00BF4427">
        <w:t>.</w:t>
      </w:r>
      <w:r w:rsidRPr="007C6082">
        <w:t xml:space="preserve"> 2024</w:t>
      </w:r>
      <w:r w:rsidR="00BF4427">
        <w:t>.</w:t>
      </w:r>
      <w:r w:rsidRPr="007C6082">
        <w:t xml:space="preserve"> </w:t>
      </w:r>
      <w:r w:rsidRPr="007C6082">
        <w:rPr>
          <w:i/>
          <w:iCs/>
        </w:rPr>
        <w:t xml:space="preserve">Landslide planning guidance: </w:t>
      </w:r>
      <w:r w:rsidR="00BF4427">
        <w:rPr>
          <w:i/>
          <w:iCs/>
        </w:rPr>
        <w:t>R</w:t>
      </w:r>
      <w:r w:rsidRPr="007C6082">
        <w:rPr>
          <w:i/>
          <w:iCs/>
        </w:rPr>
        <w:t>educing landslide risk through land-use planning</w:t>
      </w:r>
      <w:r w:rsidR="00BF4427">
        <w:rPr>
          <w:i/>
          <w:iCs/>
        </w:rPr>
        <w:t>.</w:t>
      </w:r>
      <w:r w:rsidRPr="007C6082">
        <w:t xml:space="preserve"> </w:t>
      </w:r>
      <w:r w:rsidR="006356C1">
        <w:t xml:space="preserve">Lower Hutt: </w:t>
      </w:r>
      <w:r w:rsidRPr="007C6082">
        <w:t>GNS Science.</w:t>
      </w:r>
    </w:p>
    <w:p w14:paraId="2CB623DF" w14:textId="1058E710" w:rsidR="00751CDE" w:rsidRPr="007C6082" w:rsidRDefault="00751CDE" w:rsidP="007F372A">
      <w:pPr>
        <w:pStyle w:val="References"/>
      </w:pPr>
      <w:r w:rsidRPr="007C6082">
        <w:t>Dymond JR</w:t>
      </w:r>
      <w:r w:rsidR="006356C1">
        <w:t>,</w:t>
      </w:r>
      <w:r w:rsidRPr="007C6082">
        <w:t xml:space="preserve"> Herzig A</w:t>
      </w:r>
      <w:r w:rsidR="006356C1">
        <w:t>,</w:t>
      </w:r>
      <w:r w:rsidRPr="007C6082">
        <w:t xml:space="preserve"> Ausseil A-G</w:t>
      </w:r>
      <w:r w:rsidR="006356C1">
        <w:t>.</w:t>
      </w:r>
      <w:r w:rsidRPr="007C6082">
        <w:t xml:space="preserve"> 2014</w:t>
      </w:r>
      <w:r w:rsidR="006356C1">
        <w:t>.</w:t>
      </w:r>
      <w:r w:rsidRPr="007C6082">
        <w:t xml:space="preserve"> </w:t>
      </w:r>
      <w:r w:rsidRPr="00CA1529">
        <w:rPr>
          <w:i/>
          <w:iCs/>
        </w:rPr>
        <w:t xml:space="preserve">Using </w:t>
      </w:r>
      <w:proofErr w:type="spellStart"/>
      <w:r w:rsidRPr="00CA1529">
        <w:rPr>
          <w:i/>
          <w:iCs/>
        </w:rPr>
        <w:t>SedNetNZ</w:t>
      </w:r>
      <w:proofErr w:type="spellEnd"/>
      <w:r w:rsidRPr="00CA1529">
        <w:rPr>
          <w:i/>
          <w:iCs/>
        </w:rPr>
        <w:t xml:space="preserve"> to assess the impact of the Sustainable Land Use Initiative in the Manawatu-Wanganui region on river sediment loads</w:t>
      </w:r>
      <w:r w:rsidRPr="007C6082">
        <w:t>. Landcare Research Contract Report for Horizons Regional Council, LC1895.</w:t>
      </w:r>
      <w:r w:rsidR="0065735C">
        <w:t xml:space="preserve"> Palmerston North: </w:t>
      </w:r>
      <w:r w:rsidR="006737B1">
        <w:t>Manaaki Whenua</w:t>
      </w:r>
      <w:r w:rsidR="00F04FB3">
        <w:t xml:space="preserve"> </w:t>
      </w:r>
      <w:r w:rsidR="00A64DB2">
        <w:t>–</w:t>
      </w:r>
      <w:r w:rsidR="00A64DB2" w:rsidRPr="00A64DB2">
        <w:t xml:space="preserve"> </w:t>
      </w:r>
      <w:r w:rsidR="00A64DB2">
        <w:t>Landcare Research</w:t>
      </w:r>
      <w:r w:rsidR="0065735C">
        <w:t>.</w:t>
      </w:r>
    </w:p>
    <w:p w14:paraId="06910708" w14:textId="01B5F920" w:rsidR="00751CDE" w:rsidRPr="007C6082" w:rsidRDefault="00751CDE" w:rsidP="007F372A">
      <w:pPr>
        <w:pStyle w:val="References"/>
      </w:pPr>
      <w:r w:rsidRPr="007C6082">
        <w:t>Gisborne District Council</w:t>
      </w:r>
      <w:r w:rsidR="006737B1">
        <w:t>.</w:t>
      </w:r>
      <w:r w:rsidRPr="007C6082">
        <w:t xml:space="preserve"> 2024</w:t>
      </w:r>
      <w:r w:rsidR="006737B1">
        <w:t>.</w:t>
      </w:r>
      <w:r w:rsidRPr="007C6082">
        <w:t xml:space="preserve"> </w:t>
      </w:r>
      <w:hyperlink r:id="rId36" w:history="1">
        <w:r w:rsidRPr="007C6082">
          <w:rPr>
            <w:rStyle w:val="Hyperlink"/>
            <w:szCs w:val="20"/>
          </w:rPr>
          <w:t>Morphometric landslide-to-stream connectivity layers for Tairawhiti.</w:t>
        </w:r>
      </w:hyperlink>
      <w:r w:rsidRPr="007C6082">
        <w:t xml:space="preserve"> Accessed 27 March 2025.</w:t>
      </w:r>
    </w:p>
    <w:p w14:paraId="04C76001" w14:textId="0F2D2F39" w:rsidR="00751CDE" w:rsidRPr="007C6082" w:rsidRDefault="00751CDE" w:rsidP="007F372A">
      <w:pPr>
        <w:pStyle w:val="References"/>
      </w:pPr>
      <w:r w:rsidRPr="007C6082">
        <w:t>Ministry for Primary Industries</w:t>
      </w:r>
      <w:r w:rsidR="004C0B22">
        <w:t>.</w:t>
      </w:r>
      <w:r w:rsidRPr="007C6082">
        <w:t xml:space="preserve"> 2017</w:t>
      </w:r>
      <w:r w:rsidR="004C0B22">
        <w:t>.</w:t>
      </w:r>
      <w:r w:rsidRPr="007C6082">
        <w:t xml:space="preserve"> </w:t>
      </w:r>
      <w:hyperlink r:id="rId37" w:history="1">
        <w:r w:rsidRPr="007C6082">
          <w:rPr>
            <w:rStyle w:val="Hyperlink"/>
            <w:i/>
            <w:szCs w:val="20"/>
          </w:rPr>
          <w:t>Plantation forestry erosion susceptibility classification risk assessment report for NES-PF</w:t>
        </w:r>
      </w:hyperlink>
      <w:r w:rsidR="00CA1660">
        <w:t>.</w:t>
      </w:r>
      <w:r w:rsidRPr="007C6082">
        <w:t xml:space="preserve"> MPI Technical Paper No: 2017/47. </w:t>
      </w:r>
      <w:r w:rsidR="00CA1660">
        <w:t>Wellington: Ministry for Primary Industries.</w:t>
      </w:r>
    </w:p>
    <w:p w14:paraId="676FF62F" w14:textId="687B21EC" w:rsidR="00751CDE" w:rsidRPr="001F5C8F" w:rsidRDefault="00751CDE" w:rsidP="007F372A">
      <w:pPr>
        <w:pStyle w:val="References"/>
        <w:rPr>
          <w:rStyle w:val="Hyperlink"/>
          <w:color w:val="auto"/>
          <w:szCs w:val="20"/>
        </w:rPr>
      </w:pPr>
      <w:r w:rsidRPr="007C6082">
        <w:t>Ministry for Primary Industries</w:t>
      </w:r>
      <w:r w:rsidR="00CA1660">
        <w:t>.</w:t>
      </w:r>
      <w:r w:rsidRPr="007C6082">
        <w:t xml:space="preserve"> 2018</w:t>
      </w:r>
      <w:r w:rsidR="0000569E">
        <w:t>.</w:t>
      </w:r>
      <w:r w:rsidRPr="007C6082">
        <w:rPr>
          <w:i/>
          <w:iCs/>
        </w:rPr>
        <w:t xml:space="preserve"> </w:t>
      </w:r>
      <w:hyperlink r:id="rId38" w:history="1">
        <w:r w:rsidRPr="00E80638">
          <w:rPr>
            <w:rStyle w:val="Hyperlink"/>
            <w:i/>
            <w:iCs/>
          </w:rPr>
          <w:t>Resource Management (National Environmental Standards for Plantation Forestry) Regulations 2017 User Guide May 2018</w:t>
        </w:r>
      </w:hyperlink>
      <w:r w:rsidRPr="007C6082">
        <w:t xml:space="preserve">. </w:t>
      </w:r>
      <w:r w:rsidR="00602710">
        <w:t>Wellington: Ministry for Primary Industries.</w:t>
      </w:r>
      <w:r w:rsidR="00D35FF0" w:rsidRPr="007C6082">
        <w:rPr>
          <w:rStyle w:val="Hyperlink"/>
          <w:szCs w:val="20"/>
        </w:rPr>
        <w:t xml:space="preserve"> </w:t>
      </w:r>
    </w:p>
    <w:p w14:paraId="498F7E79" w14:textId="70324EB6" w:rsidR="000C53AC" w:rsidRPr="001F5C8F" w:rsidRDefault="0052396A" w:rsidP="007F372A">
      <w:pPr>
        <w:pStyle w:val="References"/>
      </w:pPr>
      <w:r w:rsidRPr="001F5C8F">
        <w:rPr>
          <w:rStyle w:val="Hyperlink"/>
          <w:color w:val="auto"/>
          <w:szCs w:val="20"/>
        </w:rPr>
        <w:t>Ministry for Primary Industries</w:t>
      </w:r>
      <w:r w:rsidR="001012FF" w:rsidRPr="001F5C8F">
        <w:rPr>
          <w:rStyle w:val="Hyperlink"/>
          <w:color w:val="auto"/>
          <w:szCs w:val="20"/>
        </w:rPr>
        <w:t>, 2024</w:t>
      </w:r>
      <w:r w:rsidR="002D48C6" w:rsidRPr="001F5C8F">
        <w:rPr>
          <w:rStyle w:val="Hyperlink"/>
          <w:color w:val="auto"/>
          <w:szCs w:val="20"/>
        </w:rPr>
        <w:t xml:space="preserve">. </w:t>
      </w:r>
      <w:hyperlink r:id="rId39" w:history="1">
        <w:r w:rsidR="001023D2" w:rsidRPr="002D48C6">
          <w:rPr>
            <w:rStyle w:val="Hyperlink"/>
            <w:i/>
            <w:iCs/>
            <w:szCs w:val="20"/>
          </w:rPr>
          <w:t>Slash risk management handbook 2024</w:t>
        </w:r>
        <w:r w:rsidR="002D48C6">
          <w:rPr>
            <w:rStyle w:val="Hyperlink"/>
            <w:szCs w:val="20"/>
          </w:rPr>
          <w:t>.</w:t>
        </w:r>
        <w:r w:rsidR="001023D2" w:rsidRPr="001023D2">
          <w:rPr>
            <w:rStyle w:val="Hyperlink"/>
            <w:szCs w:val="20"/>
          </w:rPr>
          <w:t xml:space="preserve"> Te Uru Rakau – New Zealand Forest Service</w:t>
        </w:r>
      </w:hyperlink>
      <w:r w:rsidR="0086089E" w:rsidRPr="001F5C8F">
        <w:rPr>
          <w:i/>
          <w:iCs/>
          <w:szCs w:val="20"/>
        </w:rPr>
        <w:t>.</w:t>
      </w:r>
      <w:r w:rsidR="0086089E" w:rsidRPr="001F5C8F">
        <w:rPr>
          <w:szCs w:val="20"/>
        </w:rPr>
        <w:t xml:space="preserve"> Acc</w:t>
      </w:r>
      <w:r w:rsidR="00544BC5" w:rsidRPr="001F5C8F">
        <w:rPr>
          <w:szCs w:val="20"/>
        </w:rPr>
        <w:t>essed 27 March 2025</w:t>
      </w:r>
      <w:r w:rsidR="001F5C8F">
        <w:rPr>
          <w:szCs w:val="20"/>
        </w:rPr>
        <w:t>.</w:t>
      </w:r>
    </w:p>
    <w:p w14:paraId="5145FFF8" w14:textId="681F75A0" w:rsidR="00751CDE" w:rsidRPr="007C6082" w:rsidRDefault="00751CDE" w:rsidP="007F372A">
      <w:pPr>
        <w:pStyle w:val="References"/>
      </w:pPr>
      <w:r w:rsidRPr="007C6082">
        <w:t>Harper H</w:t>
      </w:r>
      <w:r w:rsidR="00E80638">
        <w:t>,</w:t>
      </w:r>
      <w:r w:rsidRPr="007C6082">
        <w:t xml:space="preserve"> Brown C-G</w:t>
      </w:r>
      <w:r w:rsidR="00E80638">
        <w:t>.</w:t>
      </w:r>
      <w:r w:rsidRPr="007C6082">
        <w:t xml:space="preserve"> 2024</w:t>
      </w:r>
      <w:r w:rsidR="00E80638">
        <w:t>.</w:t>
      </w:r>
      <w:r w:rsidRPr="007C6082">
        <w:t xml:space="preserve"> </w:t>
      </w:r>
      <w:r w:rsidRPr="007C6082">
        <w:rPr>
          <w:i/>
          <w:iCs/>
        </w:rPr>
        <w:t>Investigation of methods to measure residual slash volume in New Zealand’s erodible cutovers</w:t>
      </w:r>
      <w:r w:rsidR="00E80638">
        <w:t>.</w:t>
      </w:r>
      <w:r w:rsidRPr="007C6082">
        <w:rPr>
          <w:i/>
          <w:iCs/>
        </w:rPr>
        <w:t xml:space="preserve"> </w:t>
      </w:r>
      <w:r w:rsidRPr="007C6082">
        <w:t>Forest Engineering Honours Project; University of Canterbury, New Zealand.</w:t>
      </w:r>
    </w:p>
    <w:p w14:paraId="795DB45C" w14:textId="7F36F6E4" w:rsidR="001550E0" w:rsidRPr="007C6082" w:rsidRDefault="001550E0" w:rsidP="001550E0">
      <w:pPr>
        <w:pStyle w:val="References"/>
      </w:pPr>
      <w:r w:rsidRPr="007C6082">
        <w:t>Harvey GC</w:t>
      </w:r>
      <w:r>
        <w:t>.</w:t>
      </w:r>
      <w:r w:rsidRPr="007C6082">
        <w:t xml:space="preserve"> 2022</w:t>
      </w:r>
      <w:r>
        <w:t>.</w:t>
      </w:r>
      <w:r w:rsidRPr="007C6082">
        <w:t xml:space="preserve"> </w:t>
      </w:r>
      <w:r w:rsidRPr="007C6082">
        <w:rPr>
          <w:i/>
          <w:iCs/>
        </w:rPr>
        <w:t xml:space="preserve">Residual woody biomass in New Zealand’s harvested </w:t>
      </w:r>
      <w:proofErr w:type="spellStart"/>
      <w:r w:rsidRPr="007C6082">
        <w:rPr>
          <w:i/>
          <w:iCs/>
        </w:rPr>
        <w:t>steepland</w:t>
      </w:r>
      <w:proofErr w:type="spellEnd"/>
      <w:r w:rsidRPr="007C6082">
        <w:rPr>
          <w:i/>
          <w:iCs/>
        </w:rPr>
        <w:t xml:space="preserve"> plantation forests</w:t>
      </w:r>
      <w:r>
        <w:t>.</w:t>
      </w:r>
      <w:r w:rsidRPr="007C6082">
        <w:rPr>
          <w:i/>
          <w:iCs/>
        </w:rPr>
        <w:t xml:space="preserve"> </w:t>
      </w:r>
      <w:r w:rsidRPr="007C6082">
        <w:t>PhD thesis; University of Canterbury, New Zealand.</w:t>
      </w:r>
    </w:p>
    <w:p w14:paraId="27D4E730" w14:textId="463C335A" w:rsidR="00751CDE" w:rsidRPr="007C6082" w:rsidRDefault="00751CDE" w:rsidP="007F372A">
      <w:pPr>
        <w:pStyle w:val="References"/>
      </w:pPr>
      <w:r w:rsidRPr="007C6082">
        <w:t>Lynn IH</w:t>
      </w:r>
      <w:r w:rsidR="00B57B5F">
        <w:t>,</w:t>
      </w:r>
      <w:r w:rsidRPr="007C6082">
        <w:t xml:space="preserve"> Manderson AK</w:t>
      </w:r>
      <w:r w:rsidR="00B57B5F">
        <w:t>,</w:t>
      </w:r>
      <w:r w:rsidRPr="007C6082">
        <w:t xml:space="preserve"> Page MJ</w:t>
      </w:r>
      <w:r w:rsidR="00B57B5F">
        <w:t>,</w:t>
      </w:r>
      <w:r w:rsidRPr="007C6082">
        <w:t xml:space="preserve"> Harmsworth GR</w:t>
      </w:r>
      <w:r w:rsidR="00B57B5F">
        <w:t>,</w:t>
      </w:r>
      <w:r w:rsidRPr="007C6082">
        <w:t xml:space="preserve"> Eyles GO</w:t>
      </w:r>
      <w:r w:rsidR="00B57B5F">
        <w:t>,</w:t>
      </w:r>
      <w:r w:rsidRPr="007C6082">
        <w:t xml:space="preserve"> Douglas GB</w:t>
      </w:r>
      <w:r w:rsidR="00B57B5F">
        <w:t>,</w:t>
      </w:r>
      <w:r w:rsidRPr="007C6082">
        <w:t xml:space="preserve"> Mackay AD</w:t>
      </w:r>
      <w:r w:rsidR="00B57B5F">
        <w:t>,</w:t>
      </w:r>
      <w:r w:rsidRPr="007C6082">
        <w:t xml:space="preserve"> Newsome PJF</w:t>
      </w:r>
      <w:r w:rsidR="00110F8E">
        <w:t>.</w:t>
      </w:r>
      <w:r w:rsidRPr="007C6082">
        <w:t xml:space="preserve"> 2009</w:t>
      </w:r>
      <w:r w:rsidR="00110F8E">
        <w:t>.</w:t>
      </w:r>
      <w:r w:rsidRPr="007C6082">
        <w:t xml:space="preserve"> </w:t>
      </w:r>
      <w:r w:rsidRPr="007C6082">
        <w:rPr>
          <w:i/>
          <w:iCs/>
        </w:rPr>
        <w:t xml:space="preserve">Land Use Capability Survey Handbook – </w:t>
      </w:r>
      <w:r w:rsidR="00110F8E">
        <w:rPr>
          <w:i/>
          <w:iCs/>
        </w:rPr>
        <w:t>A</w:t>
      </w:r>
      <w:r w:rsidRPr="007C6082">
        <w:rPr>
          <w:i/>
          <w:iCs/>
        </w:rPr>
        <w:t xml:space="preserve"> New Zealand handbook for the classification of land </w:t>
      </w:r>
      <w:r w:rsidR="00110F8E">
        <w:t>(</w:t>
      </w:r>
      <w:r w:rsidRPr="00CA1529">
        <w:t xml:space="preserve">3rd </w:t>
      </w:r>
      <w:proofErr w:type="spellStart"/>
      <w:r w:rsidR="00110F8E">
        <w:t>e</w:t>
      </w:r>
      <w:r w:rsidRPr="0094587F">
        <w:t>d</w:t>
      </w:r>
      <w:r w:rsidR="00110F8E">
        <w:t>n</w:t>
      </w:r>
      <w:proofErr w:type="spellEnd"/>
      <w:r w:rsidR="00110F8E">
        <w:t>)</w:t>
      </w:r>
      <w:r w:rsidRPr="007C6082">
        <w:t>. Hamilton</w:t>
      </w:r>
      <w:r w:rsidR="001550E0">
        <w:t>:</w:t>
      </w:r>
      <w:r w:rsidRPr="007C6082">
        <w:t xml:space="preserve"> </w:t>
      </w:r>
      <w:proofErr w:type="spellStart"/>
      <w:r w:rsidRPr="007C6082">
        <w:t>AgResearch</w:t>
      </w:r>
      <w:proofErr w:type="spellEnd"/>
      <w:r w:rsidR="00F03639">
        <w:t xml:space="preserve"> Ltd</w:t>
      </w:r>
      <w:r w:rsidRPr="007C6082">
        <w:t>; Lincoln</w:t>
      </w:r>
      <w:r w:rsidR="001550E0">
        <w:t>:</w:t>
      </w:r>
      <w:r w:rsidRPr="007C6082">
        <w:t xml:space="preserve"> </w:t>
      </w:r>
      <w:r w:rsidR="00A64DB2">
        <w:t xml:space="preserve">Manaaki Whenua – </w:t>
      </w:r>
      <w:r w:rsidRPr="007C6082">
        <w:t>Landcare Research; Lower Hutt</w:t>
      </w:r>
      <w:r w:rsidR="001550E0">
        <w:t>:</w:t>
      </w:r>
      <w:r w:rsidRPr="007C6082">
        <w:t xml:space="preserve"> GNS Science. </w:t>
      </w:r>
    </w:p>
    <w:p w14:paraId="346BC4DE" w14:textId="74532B90" w:rsidR="00751CDE" w:rsidRPr="007C6082" w:rsidRDefault="00751CDE" w:rsidP="007F372A">
      <w:pPr>
        <w:pStyle w:val="References"/>
      </w:pPr>
      <w:r w:rsidRPr="007C6082">
        <w:t xml:space="preserve">Manaaki Whenua </w:t>
      </w:r>
      <w:r w:rsidR="000D6D24">
        <w:t xml:space="preserve">– </w:t>
      </w:r>
      <w:r w:rsidRPr="007C6082">
        <w:t>Landcare Research</w:t>
      </w:r>
      <w:r w:rsidR="000D6D24">
        <w:t>.</w:t>
      </w:r>
      <w:r w:rsidRPr="007C6082">
        <w:t xml:space="preserve"> </w:t>
      </w:r>
      <w:hyperlink r:id="rId40" w:history="1">
        <w:r w:rsidRPr="00662B5C">
          <w:rPr>
            <w:rStyle w:val="Hyperlink"/>
            <w:i/>
            <w:iCs/>
          </w:rPr>
          <w:t>Our Environment</w:t>
        </w:r>
      </w:hyperlink>
      <w:r w:rsidRPr="007C6082">
        <w:t xml:space="preserve">. </w:t>
      </w:r>
      <w:r w:rsidRPr="0094587F">
        <w:t>Accessed 27 March 2025.</w:t>
      </w:r>
      <w:r w:rsidRPr="007C6082">
        <w:rPr>
          <w:rStyle w:val="Hyperlink"/>
        </w:rPr>
        <w:t xml:space="preserve"> </w:t>
      </w:r>
    </w:p>
    <w:p w14:paraId="256C5363" w14:textId="3305E929" w:rsidR="00751CDE" w:rsidRPr="007C6082" w:rsidRDefault="00751CDE" w:rsidP="007F372A">
      <w:pPr>
        <w:pStyle w:val="References"/>
        <w:rPr>
          <w:i/>
          <w:iCs/>
        </w:rPr>
      </w:pPr>
      <w:r w:rsidRPr="007C6082">
        <w:t>Marden M</w:t>
      </w:r>
      <w:r w:rsidR="002C066F">
        <w:t>,</w:t>
      </w:r>
      <w:r w:rsidRPr="007C6082">
        <w:t xml:space="preserve"> Rowan D</w:t>
      </w:r>
      <w:r w:rsidR="002C066F">
        <w:t>.</w:t>
      </w:r>
      <w:r w:rsidRPr="007C6082">
        <w:t xml:space="preserve"> 2015</w:t>
      </w:r>
      <w:r w:rsidR="002C066F">
        <w:t>.</w:t>
      </w:r>
      <w:r w:rsidRPr="007C6082">
        <w:rPr>
          <w:i/>
          <w:iCs/>
        </w:rPr>
        <w:t xml:space="preserve"> </w:t>
      </w:r>
      <w:r w:rsidRPr="007C6082">
        <w:t xml:space="preserve">The effect of land use on slope failure and sediment generation in the Coromandel region of New Zealand following a major storm in 1995. </w:t>
      </w:r>
      <w:r w:rsidRPr="007C6082">
        <w:rPr>
          <w:i/>
          <w:iCs/>
        </w:rPr>
        <w:t>New</w:t>
      </w:r>
      <w:r w:rsidR="00D01A70" w:rsidRPr="007C6082">
        <w:rPr>
          <w:i/>
          <w:iCs/>
        </w:rPr>
        <w:t> </w:t>
      </w:r>
      <w:r w:rsidRPr="007C6082">
        <w:rPr>
          <w:i/>
          <w:iCs/>
        </w:rPr>
        <w:t xml:space="preserve">Zealand Journal of Forestry Science </w:t>
      </w:r>
      <w:r w:rsidRPr="007C6082">
        <w:t>45:10.</w:t>
      </w:r>
    </w:p>
    <w:p w14:paraId="585790B5" w14:textId="67426A74" w:rsidR="00751CDE" w:rsidRPr="007C6082" w:rsidRDefault="00751CDE" w:rsidP="007F372A">
      <w:pPr>
        <w:pStyle w:val="References"/>
      </w:pPr>
      <w:r w:rsidRPr="007C6082">
        <w:t>Phillips C</w:t>
      </w:r>
      <w:r w:rsidR="00050427">
        <w:t>,</w:t>
      </w:r>
      <w:r w:rsidRPr="007C6082">
        <w:t xml:space="preserve"> Basher L</w:t>
      </w:r>
      <w:r w:rsidR="00050427">
        <w:t>,</w:t>
      </w:r>
      <w:r w:rsidRPr="007C6082">
        <w:t xml:space="preserve"> Marden M</w:t>
      </w:r>
      <w:r w:rsidR="00050427">
        <w:t>.</w:t>
      </w:r>
      <w:r w:rsidRPr="007C6082">
        <w:t xml:space="preserve"> 2017</w:t>
      </w:r>
      <w:r w:rsidR="00050427">
        <w:t>.</w:t>
      </w:r>
      <w:r w:rsidRPr="007C6082">
        <w:t xml:space="preserve"> </w:t>
      </w:r>
      <w:hyperlink r:id="rId41" w:history="1">
        <w:r w:rsidRPr="00690B99">
          <w:rPr>
            <w:rStyle w:val="Hyperlink"/>
            <w:i/>
            <w:iCs/>
          </w:rPr>
          <w:t>A risk matrix for storm-initiated forestry-related landslides and debris flows in the Gisborne region</w:t>
        </w:r>
      </w:hyperlink>
      <w:r w:rsidR="00C57563">
        <w:t>. Prepared for Gisborne District Council.</w:t>
      </w:r>
      <w:r w:rsidRPr="007C6082">
        <w:t xml:space="preserve"> </w:t>
      </w:r>
      <w:r w:rsidR="00AB12B5">
        <w:t xml:space="preserve">Lincoln: </w:t>
      </w:r>
      <w:r w:rsidR="00F03639">
        <w:t xml:space="preserve">Manaaki Whenua – </w:t>
      </w:r>
      <w:r w:rsidR="00AB12B5">
        <w:t>L</w:t>
      </w:r>
      <w:r w:rsidR="00690B99">
        <w:t>andcare Research.</w:t>
      </w:r>
    </w:p>
    <w:p w14:paraId="3257427A" w14:textId="5F985A71" w:rsidR="00751CDE" w:rsidRPr="007C6082" w:rsidRDefault="00751CDE" w:rsidP="00427EDB">
      <w:pPr>
        <w:pStyle w:val="References"/>
      </w:pPr>
      <w:r w:rsidRPr="007C6082">
        <w:t>Phillips C</w:t>
      </w:r>
      <w:r w:rsidR="007E447B">
        <w:t>,</w:t>
      </w:r>
      <w:r w:rsidRPr="007C6082">
        <w:t xml:space="preserve"> Betts H</w:t>
      </w:r>
      <w:r w:rsidR="007E447B">
        <w:t>,</w:t>
      </w:r>
      <w:r w:rsidRPr="007C6082">
        <w:t xml:space="preserve"> Smith H</w:t>
      </w:r>
      <w:r w:rsidR="007E447B">
        <w:t>,</w:t>
      </w:r>
      <w:r w:rsidRPr="007C6082">
        <w:t xml:space="preserve"> </w:t>
      </w:r>
      <w:proofErr w:type="spellStart"/>
      <w:r w:rsidRPr="007C6082">
        <w:t>Tsyplenkov</w:t>
      </w:r>
      <w:proofErr w:type="spellEnd"/>
      <w:r w:rsidRPr="007C6082">
        <w:t xml:space="preserve"> A</w:t>
      </w:r>
      <w:r w:rsidR="007E447B">
        <w:t>.</w:t>
      </w:r>
      <w:r w:rsidRPr="007C6082">
        <w:t xml:space="preserve"> 2024</w:t>
      </w:r>
      <w:r w:rsidR="007E447B">
        <w:t>.</w:t>
      </w:r>
      <w:r w:rsidRPr="007C6082">
        <w:t xml:space="preserve"> Exploring the post-harvest ‘window of vulnerability’ to landslides in New Zealand </w:t>
      </w:r>
      <w:proofErr w:type="spellStart"/>
      <w:r w:rsidRPr="007C6082">
        <w:t>steepland</w:t>
      </w:r>
      <w:proofErr w:type="spellEnd"/>
      <w:r w:rsidRPr="007C6082">
        <w:t xml:space="preserve"> plantation forests</w:t>
      </w:r>
      <w:r w:rsidR="007E447B">
        <w:t>.</w:t>
      </w:r>
      <w:r w:rsidRPr="007C6082">
        <w:t xml:space="preserve"> </w:t>
      </w:r>
      <w:r w:rsidRPr="007C6082">
        <w:rPr>
          <w:i/>
        </w:rPr>
        <w:t xml:space="preserve">Ecological Engineering </w:t>
      </w:r>
      <w:r w:rsidRPr="0094587F">
        <w:rPr>
          <w:iCs/>
        </w:rPr>
        <w:t>206</w:t>
      </w:r>
      <w:r w:rsidRPr="007E447B">
        <w:rPr>
          <w:iCs/>
        </w:rPr>
        <w:t>.</w:t>
      </w:r>
    </w:p>
    <w:p w14:paraId="6A555C1C" w14:textId="6389F131" w:rsidR="00700ED0" w:rsidRPr="007C6082" w:rsidRDefault="00700ED0" w:rsidP="00D32715">
      <w:pPr>
        <w:pStyle w:val="References"/>
      </w:pPr>
      <w:r w:rsidRPr="007C6082">
        <w:t>Phillips C</w:t>
      </w:r>
      <w:r>
        <w:t>,</w:t>
      </w:r>
      <w:r w:rsidRPr="007C6082">
        <w:t xml:space="preserve"> Marden M</w:t>
      </w:r>
      <w:r>
        <w:t>,</w:t>
      </w:r>
      <w:r w:rsidRPr="007C6082">
        <w:t xml:space="preserve"> Rowan D</w:t>
      </w:r>
      <w:r>
        <w:t>.</w:t>
      </w:r>
      <w:r w:rsidRPr="007C6082">
        <w:t xml:space="preserve"> 2005</w:t>
      </w:r>
      <w:r>
        <w:t>.</w:t>
      </w:r>
      <w:r w:rsidRPr="007C6082">
        <w:t xml:space="preserve"> Sediment </w:t>
      </w:r>
      <w:proofErr w:type="gramStart"/>
      <w:r w:rsidRPr="007C6082">
        <w:t>yield</w:t>
      </w:r>
      <w:proofErr w:type="gramEnd"/>
      <w:r w:rsidRPr="007C6082">
        <w:t xml:space="preserve"> following plantation forest harvesting, Coromandel Peninsula, North Island, New Zealand</w:t>
      </w:r>
      <w:r w:rsidRPr="007C6082">
        <w:rPr>
          <w:i/>
          <w:iCs/>
        </w:rPr>
        <w:t xml:space="preserve">. Journal of Hydrology (NZ) </w:t>
      </w:r>
      <w:r w:rsidRPr="007C6082">
        <w:t>44(1):</w:t>
      </w:r>
      <w:r w:rsidR="00A66FFA">
        <w:t> </w:t>
      </w:r>
      <w:r w:rsidRPr="007C6082">
        <w:t>29</w:t>
      </w:r>
      <w:r>
        <w:t>–</w:t>
      </w:r>
      <w:r w:rsidRPr="007C6082">
        <w:t>44.</w:t>
      </w:r>
    </w:p>
    <w:p w14:paraId="41F9419B" w14:textId="69FF75AD" w:rsidR="00751CDE" w:rsidRPr="007C6082" w:rsidRDefault="00751CDE" w:rsidP="007F372A">
      <w:pPr>
        <w:pStyle w:val="References"/>
      </w:pPr>
      <w:r w:rsidRPr="007C6082">
        <w:lastRenderedPageBreak/>
        <w:t>Rosser B</w:t>
      </w:r>
      <w:r w:rsidR="00427EDB">
        <w:t>,</w:t>
      </w:r>
      <w:r w:rsidRPr="007C6082">
        <w:t xml:space="preserve"> Carey JM</w:t>
      </w:r>
      <w:r w:rsidR="00427EDB">
        <w:t>,</w:t>
      </w:r>
      <w:r w:rsidRPr="007C6082">
        <w:t xml:space="preserve"> Jones KE</w:t>
      </w:r>
      <w:r w:rsidR="00427EDB">
        <w:t>,</w:t>
      </w:r>
      <w:r w:rsidRPr="007C6082">
        <w:t xml:space="preserve"> Townsend DB</w:t>
      </w:r>
      <w:r w:rsidR="00427EDB">
        <w:t>,</w:t>
      </w:r>
      <w:r w:rsidRPr="007C6082">
        <w:t xml:space="preserve"> Crouch JF</w:t>
      </w:r>
      <w:r w:rsidR="00427EDB">
        <w:t>.</w:t>
      </w:r>
      <w:r w:rsidRPr="007C6082">
        <w:t xml:space="preserve"> 2020</w:t>
      </w:r>
      <w:r w:rsidR="00427EDB">
        <w:t>.</w:t>
      </w:r>
      <w:r w:rsidRPr="007C6082">
        <w:rPr>
          <w:i/>
        </w:rPr>
        <w:t xml:space="preserve"> Landslides and debris </w:t>
      </w:r>
      <w:proofErr w:type="gramStart"/>
      <w:r w:rsidRPr="007C6082">
        <w:rPr>
          <w:i/>
        </w:rPr>
        <w:t>flows</w:t>
      </w:r>
      <w:proofErr w:type="gramEnd"/>
      <w:r w:rsidRPr="007C6082">
        <w:rPr>
          <w:i/>
        </w:rPr>
        <w:t xml:space="preserve"> in the Tasman District caused by ex-Tropical Cyclone Gita, 20</w:t>
      </w:r>
      <w:r w:rsidR="00427EDB">
        <w:rPr>
          <w:i/>
        </w:rPr>
        <w:t>–</w:t>
      </w:r>
      <w:r w:rsidRPr="007C6082">
        <w:rPr>
          <w:i/>
        </w:rPr>
        <w:t xml:space="preserve">21 </w:t>
      </w:r>
      <w:proofErr w:type="gramStart"/>
      <w:r w:rsidRPr="007C6082">
        <w:rPr>
          <w:i/>
        </w:rPr>
        <w:t>February,</w:t>
      </w:r>
      <w:proofErr w:type="gramEnd"/>
      <w:r w:rsidRPr="007C6082">
        <w:rPr>
          <w:i/>
        </w:rPr>
        <w:t xml:space="preserve"> 2018</w:t>
      </w:r>
      <w:r w:rsidRPr="007C6082">
        <w:t xml:space="preserve">. </w:t>
      </w:r>
      <w:r w:rsidR="00A66FFA" w:rsidRPr="007C6082">
        <w:t>GNS</w:t>
      </w:r>
      <w:r w:rsidR="00A66FFA">
        <w:t> </w:t>
      </w:r>
      <w:r w:rsidRPr="007C6082">
        <w:t>Science Report 2019/34.</w:t>
      </w:r>
      <w:r w:rsidR="00700ED0">
        <w:t xml:space="preserve"> Lower Hutt: GNS Science.</w:t>
      </w:r>
    </w:p>
    <w:p w14:paraId="26C5CEE2" w14:textId="78E3B350" w:rsidR="00700ED0" w:rsidRPr="007C6082" w:rsidRDefault="00700ED0" w:rsidP="00700ED0">
      <w:pPr>
        <w:pStyle w:val="References"/>
      </w:pPr>
      <w:r w:rsidRPr="007C6082">
        <w:t>Smith HG</w:t>
      </w:r>
      <w:r>
        <w:t>,</w:t>
      </w:r>
      <w:r w:rsidRPr="007C6082">
        <w:t xml:space="preserve"> Neverman AJ</w:t>
      </w:r>
      <w:r>
        <w:t>,</w:t>
      </w:r>
      <w:r w:rsidRPr="007C6082">
        <w:t xml:space="preserve"> Betts H</w:t>
      </w:r>
      <w:r>
        <w:t>,</w:t>
      </w:r>
      <w:r w:rsidRPr="007C6082">
        <w:t xml:space="preserve"> </w:t>
      </w:r>
      <w:proofErr w:type="spellStart"/>
      <w:r w:rsidRPr="007C6082">
        <w:t>Spiekermann</w:t>
      </w:r>
      <w:proofErr w:type="spellEnd"/>
      <w:r w:rsidRPr="007C6082">
        <w:t xml:space="preserve"> R</w:t>
      </w:r>
      <w:r>
        <w:t>.</w:t>
      </w:r>
      <w:r w:rsidRPr="007C6082">
        <w:t xml:space="preserve"> 2023. The influence of spatial patterns in rainfall on shallow landslides</w:t>
      </w:r>
      <w:r>
        <w:t>.</w:t>
      </w:r>
      <w:r w:rsidRPr="007C6082">
        <w:rPr>
          <w:i/>
          <w:iCs/>
        </w:rPr>
        <w:t xml:space="preserve"> </w:t>
      </w:r>
      <w:r w:rsidRPr="007C6082">
        <w:rPr>
          <w:i/>
        </w:rPr>
        <w:t xml:space="preserve">Geomorphology </w:t>
      </w:r>
      <w:r w:rsidRPr="0094587F">
        <w:rPr>
          <w:iCs/>
        </w:rPr>
        <w:t>437</w:t>
      </w:r>
      <w:r w:rsidRPr="00700ED0">
        <w:rPr>
          <w:iCs/>
        </w:rPr>
        <w:t>.</w:t>
      </w:r>
      <w:r w:rsidRPr="007C6082">
        <w:t xml:space="preserve"> </w:t>
      </w:r>
    </w:p>
    <w:p w14:paraId="1256A84F" w14:textId="484A2173" w:rsidR="00751CDE" w:rsidRPr="007C6082" w:rsidRDefault="00751CDE" w:rsidP="007F372A">
      <w:pPr>
        <w:pStyle w:val="References"/>
      </w:pPr>
      <w:r w:rsidRPr="007C6082">
        <w:t>Smith HG</w:t>
      </w:r>
      <w:r w:rsidR="00192AFF">
        <w:t>,</w:t>
      </w:r>
      <w:r w:rsidRPr="007C6082">
        <w:t xml:space="preserve"> </w:t>
      </w:r>
      <w:proofErr w:type="spellStart"/>
      <w:r w:rsidRPr="007C6082">
        <w:t>Spiekermann</w:t>
      </w:r>
      <w:proofErr w:type="spellEnd"/>
      <w:r w:rsidRPr="007C6082">
        <w:t xml:space="preserve"> R</w:t>
      </w:r>
      <w:r w:rsidR="00192AFF">
        <w:t>,</w:t>
      </w:r>
      <w:r w:rsidRPr="007C6082">
        <w:t xml:space="preserve"> Betts H</w:t>
      </w:r>
      <w:r w:rsidR="00192AFF">
        <w:t>,</w:t>
      </w:r>
      <w:r w:rsidRPr="007C6082">
        <w:t xml:space="preserve"> Neverman AJ.</w:t>
      </w:r>
      <w:r w:rsidRPr="007C6082">
        <w:rPr>
          <w:i/>
          <w:iCs/>
        </w:rPr>
        <w:t xml:space="preserve"> </w:t>
      </w:r>
      <w:r w:rsidRPr="007C6082">
        <w:t>2021</w:t>
      </w:r>
      <w:r w:rsidR="00192AFF">
        <w:t>.</w:t>
      </w:r>
      <w:r w:rsidRPr="007C6082">
        <w:t xml:space="preserve"> Comparing methods of landslide data acquisition and susceptibility modelling: Examples from New Zealand.</w:t>
      </w:r>
      <w:r w:rsidRPr="007C6082">
        <w:rPr>
          <w:i/>
          <w:iCs/>
        </w:rPr>
        <w:t xml:space="preserve"> </w:t>
      </w:r>
      <w:r w:rsidRPr="007C6082">
        <w:rPr>
          <w:i/>
        </w:rPr>
        <w:t xml:space="preserve">Geomorphology </w:t>
      </w:r>
      <w:r w:rsidRPr="0094587F">
        <w:rPr>
          <w:iCs/>
        </w:rPr>
        <w:t>381</w:t>
      </w:r>
      <w:r w:rsidRPr="00192AFF">
        <w:rPr>
          <w:iCs/>
        </w:rPr>
        <w:t>.</w:t>
      </w:r>
    </w:p>
    <w:p w14:paraId="3067063A" w14:textId="13E88C3F" w:rsidR="00751CDE" w:rsidRPr="007C6082" w:rsidRDefault="008579AB" w:rsidP="007F372A">
      <w:pPr>
        <w:pStyle w:val="References"/>
      </w:pPr>
      <w:r>
        <w:rPr>
          <w:noProof/>
        </w:rPr>
        <mc:AlternateContent>
          <mc:Choice Requires="wpg">
            <w:drawing>
              <wp:anchor distT="0" distB="0" distL="114300" distR="114300" simplePos="0" relativeHeight="251658240" behindDoc="0" locked="0" layoutInCell="1" allowOverlap="1" wp14:anchorId="6E55C8BC" wp14:editId="1AFD137C">
                <wp:simplePos x="0" y="0"/>
                <wp:positionH relativeFrom="column">
                  <wp:posOffset>-4098</wp:posOffset>
                </wp:positionH>
                <wp:positionV relativeFrom="page">
                  <wp:posOffset>5847715</wp:posOffset>
                </wp:positionV>
                <wp:extent cx="9597390" cy="1302385"/>
                <wp:effectExtent l="0" t="0" r="22860" b="12065"/>
                <wp:wrapNone/>
                <wp:docPr id="900836171" name="Group 2"/>
                <wp:cNvGraphicFramePr/>
                <a:graphic xmlns:a="http://schemas.openxmlformats.org/drawingml/2006/main">
                  <a:graphicData uri="http://schemas.microsoft.com/office/word/2010/wordprocessingGroup">
                    <wpg:wgp>
                      <wpg:cNvGrpSpPr/>
                      <wpg:grpSpPr>
                        <a:xfrm>
                          <a:off x="0" y="0"/>
                          <a:ext cx="9597390" cy="1302385"/>
                          <a:chOff x="0" y="8626"/>
                          <a:chExt cx="9597813" cy="1302457"/>
                        </a:xfrm>
                      </wpg:grpSpPr>
                      <wps:wsp>
                        <wps:cNvPr id="909096606" name="Text Box 2"/>
                        <wps:cNvSpPr txBox="1">
                          <a:spLocks noChangeAspect="1" noChangeArrowheads="1"/>
                        </wps:cNvSpPr>
                        <wps:spPr bwMode="auto">
                          <a:xfrm>
                            <a:off x="8627" y="8626"/>
                            <a:ext cx="9589186" cy="1302457"/>
                          </a:xfrm>
                          <a:prstGeom prst="rect">
                            <a:avLst/>
                          </a:prstGeom>
                          <a:solidFill>
                            <a:srgbClr val="FFFFFF"/>
                          </a:solidFill>
                          <a:ln w="9525">
                            <a:solidFill>
                              <a:schemeClr val="bg1"/>
                            </a:solidFill>
                            <a:miter lim="800000"/>
                            <a:headEnd/>
                            <a:tailEnd/>
                          </a:ln>
                        </wps:spPr>
                        <wps:txbx>
                          <w:txbxContent>
                            <w:p w14:paraId="1EAEE9F2" w14:textId="106693D2" w:rsidR="00700ED0" w:rsidRDefault="00700ED0" w:rsidP="00700ED0">
                              <w:pPr>
                                <w:pStyle w:val="BodyText"/>
                              </w:pPr>
                              <w:r w:rsidRPr="006C18C8">
                                <w:t xml:space="preserve">Published in </w:t>
                              </w:r>
                              <w:r w:rsidR="0094587F" w:rsidRPr="00193B65">
                                <w:t>May 2025</w:t>
                              </w:r>
                              <w:r w:rsidR="0094587F" w:rsidRPr="006C18C8">
                                <w:t xml:space="preserve"> </w:t>
                              </w:r>
                              <w:r w:rsidRPr="006C18C8">
                                <w:t xml:space="preserve">by the 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00B31C56">
                                <w:t>1308b</w:t>
                              </w:r>
                            </w:p>
                            <w:p w14:paraId="3751B019" w14:textId="77777777" w:rsidR="00700ED0" w:rsidRDefault="00700ED0" w:rsidP="00700ED0">
                              <w:pPr>
                                <w:pStyle w:val="BodyText"/>
                              </w:pPr>
                            </w:p>
                            <w:p w14:paraId="53DD77FD" w14:textId="77777777" w:rsidR="00700ED0" w:rsidRDefault="00700ED0" w:rsidP="00700ED0">
                              <w:pPr>
                                <w:pStyle w:val="BodyText"/>
                              </w:pPr>
                            </w:p>
                          </w:txbxContent>
                        </wps:txbx>
                        <wps:bodyPr rot="0" vert="horz" wrap="square" lIns="0" tIns="0" rIns="0" bIns="0" anchor="t" anchorCtr="0">
                          <a:noAutofit/>
                        </wps:bodyPr>
                      </wps:wsp>
                      <pic:pic xmlns:pic="http://schemas.openxmlformats.org/drawingml/2006/picture">
                        <pic:nvPicPr>
                          <pic:cNvPr id="1593380201" name="Picture 1860192196" descr="Shape&#10;&#10;Description automatically generated with medium confidence"/>
                          <pic:cNvPicPr>
                            <a:picLocks noChangeAspect="1"/>
                          </pic:cNvPicPr>
                        </pic:nvPicPr>
                        <pic:blipFill rotWithShape="1">
                          <a:blip r:embed="rId42" cstate="print">
                            <a:extLst>
                              <a:ext uri="{28A0092B-C50C-407E-A947-70E740481C1C}">
                                <a14:useLocalDpi xmlns:a14="http://schemas.microsoft.com/office/drawing/2010/main" val="0"/>
                              </a:ext>
                            </a:extLst>
                          </a:blip>
                          <a:srcRect l="2530" r="2593"/>
                          <a:stretch/>
                        </pic:blipFill>
                        <pic:spPr bwMode="auto">
                          <a:xfrm>
                            <a:off x="0" y="690113"/>
                            <a:ext cx="2163445" cy="53721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6E55C8BC" id="Group 2" o:spid="_x0000_s1026" style="position:absolute;margin-left:-.3pt;margin-top:460.45pt;width:755.7pt;height:102.55pt;z-index:251658240;mso-position-vertical-relative:page;mso-width-relative:margin" coordorigin=",86" coordsize="95978,130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">
                <v:shapetype id="_x0000_t202" coordsize="21600,21600" o:spt="202" path="m,l,21600r21600,l21600,xe">
                  <v:stroke joinstyle="miter"/>
                  <v:path gradientshapeok="t" o:connecttype="rect"/>
                </v:shapetype>
                <v:shape id="Text Box 2" o:spid="_x0000_s1027" type="#_x0000_t202" style="position:absolute;left:86;top:86;width:95892;height:13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" strokecolor="white [3212]">
                  <o:lock v:ext="edit" aspectratio="t"/>
                  <v:textbox inset="0,0,0,0">
                    <w:txbxContent>
                      <w:p w14:paraId="1EAEE9F2" w14:textId="106693D2" w:rsidR="00700ED0" w:rsidRDefault="00700ED0" w:rsidP="00700ED0">
                        <w:pPr>
                          <w:pStyle w:val="BodyText"/>
                        </w:pPr>
                        <w:r w:rsidRPr="006C18C8">
                          <w:t xml:space="preserve">Published in </w:t>
                        </w:r>
                        <w:r w:rsidR="0094587F" w:rsidRPr="00193B65">
                          <w:t>May 2025</w:t>
                        </w:r>
                        <w:r w:rsidR="0094587F" w:rsidRPr="006C18C8">
                          <w:t xml:space="preserve"> </w:t>
                        </w:r>
                        <w:r w:rsidRPr="006C18C8">
                          <w:t xml:space="preserve">by the 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00B31C56">
                          <w:t>1308b</w:t>
                        </w:r>
                      </w:p>
                      <w:p w14:paraId="3751B019" w14:textId="77777777" w:rsidR="00700ED0" w:rsidRDefault="00700ED0" w:rsidP="00700ED0">
                        <w:pPr>
                          <w:pStyle w:val="BodyText"/>
                        </w:pPr>
                      </w:p>
                      <w:p w14:paraId="53DD77FD" w14:textId="77777777" w:rsidR="00700ED0" w:rsidRDefault="00700ED0" w:rsidP="00700ED0">
                        <w:pPr>
                          <w:pStyle w:val="BodyText"/>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0192196" o:spid="_x0000_s1028" type="#_x0000_t75" alt="Shape&#10;&#10;Description automatically generated with medium confidence" style="position:absolute;top:6901;width:21634;height:5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">
                  <v:imagedata r:id="rId43" o:title="Shape&#10;&#10;Description automatically generated with medium confidence" cropleft="1658f" cropright="1699f"/>
                </v:shape>
                <w10:wrap anchory="page"/>
              </v:group>
            </w:pict>
          </mc:Fallback>
        </mc:AlternateContent>
      </w:r>
      <w:bookmarkEnd w:id="1"/>
    </w:p>
    <w:sectPr w:rsidR="00751CDE" w:rsidRPr="007C6082" w:rsidSect="00CD5521">
      <w:footerReference w:type="default" r:id="rId44"/>
      <w:headerReference w:type="first" r:id="rId45"/>
      <w:pgSz w:w="16840" w:h="11907" w:orient="landscape"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D2D27" w14:textId="77777777" w:rsidR="00F64CF7" w:rsidRDefault="00F64CF7" w:rsidP="0080531E">
      <w:pPr>
        <w:spacing w:before="0" w:after="0" w:line="240" w:lineRule="auto"/>
      </w:pPr>
      <w:r>
        <w:separator/>
      </w:r>
    </w:p>
    <w:p w14:paraId="2BAA0829" w14:textId="77777777" w:rsidR="00F64CF7" w:rsidRDefault="00F64CF7"/>
  </w:endnote>
  <w:endnote w:type="continuationSeparator" w:id="0">
    <w:p w14:paraId="0A81F39A" w14:textId="77777777" w:rsidR="00F64CF7" w:rsidRDefault="00F64CF7" w:rsidP="0080531E">
      <w:pPr>
        <w:spacing w:before="0" w:after="0" w:line="240" w:lineRule="auto"/>
      </w:pPr>
      <w:r>
        <w:continuationSeparator/>
      </w:r>
    </w:p>
    <w:p w14:paraId="366B1AEF" w14:textId="77777777" w:rsidR="00F64CF7" w:rsidRDefault="00F64CF7"/>
  </w:endnote>
  <w:endnote w:type="continuationNotice" w:id="1">
    <w:p w14:paraId="680BAF69" w14:textId="77777777" w:rsidR="00F64CF7" w:rsidRDefault="00F64CF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2685C" w14:textId="3851F04A" w:rsidR="00636F1B" w:rsidRDefault="00636F1B" w:rsidP="00636F1B">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Pr="00636F1B">
      <w:rPr>
        <w:noProof/>
      </w:rPr>
      <w:t xml:space="preserve">Proposed </w:t>
    </w:r>
    <w:r w:rsidR="009B14F2">
      <w:rPr>
        <w:noProof/>
      </w:rPr>
      <w:t>p</w:t>
    </w:r>
    <w:r w:rsidRPr="00636F1B">
      <w:rPr>
        <w:noProof/>
      </w:rPr>
      <w:t xml:space="preserve">rovisions – Amendments to the Resource Management (National Environmental Standards </w:t>
    </w:r>
    <w:r w:rsidR="00124F86">
      <w:rPr>
        <w:noProof/>
      </w:rPr>
      <w:t>f</w:t>
    </w:r>
    <w:r w:rsidRPr="00636F1B">
      <w:rPr>
        <w:noProof/>
      </w:rPr>
      <w:t>or Commercial Forestry) Regulations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7D7C4" w14:textId="4E3F71BB" w:rsidR="00751CDE" w:rsidRDefault="002721D2" w:rsidP="002721D2">
    <w:pPr>
      <w:pStyle w:val="Footerodd"/>
    </w:pPr>
    <w:r>
      <w:tab/>
    </w:r>
    <w:sdt>
      <w:sdtPr>
        <w:id w:val="-18858340"/>
        <w:docPartObj>
          <w:docPartGallery w:val="Page Numbers (Bottom of Page)"/>
          <w:docPartUnique/>
        </w:docPartObj>
      </w:sdtPr>
      <w:sdtEndPr>
        <w:rPr>
          <w:noProof/>
        </w:rPr>
      </w:sdtEndPr>
      <w:sdtContent>
        <w:r w:rsidRPr="00636F1B">
          <w:rPr>
            <w:noProof/>
          </w:rPr>
          <w:t xml:space="preserve">Proposed </w:t>
        </w:r>
        <w:r w:rsidR="009B14F2">
          <w:rPr>
            <w:noProof/>
          </w:rPr>
          <w:t>p</w:t>
        </w:r>
        <w:r w:rsidRPr="00636F1B">
          <w:rPr>
            <w:noProof/>
          </w:rPr>
          <w:t xml:space="preserve">rovisions – Amendments to the Resource Management (National Environmental Standards </w:t>
        </w:r>
        <w:r w:rsidR="00124F86">
          <w:rPr>
            <w:noProof/>
          </w:rPr>
          <w:t>f</w:t>
        </w:r>
        <w:r w:rsidRPr="00636F1B">
          <w:rPr>
            <w:noProof/>
          </w:rPr>
          <w:t>or Commercial Forestry) Regulations 2017</w:t>
        </w:r>
        <w:r>
          <w:rPr>
            <w:noProof/>
          </w:rPr>
          <w:tab/>
        </w:r>
        <w:r w:rsidR="00751CDE">
          <w:fldChar w:fldCharType="begin"/>
        </w:r>
        <w:r w:rsidR="00751CDE">
          <w:instrText xml:space="preserve"> PAGE   \* MERGEFORMAT </w:instrText>
        </w:r>
        <w:r w:rsidR="00751CDE">
          <w:fldChar w:fldCharType="separate"/>
        </w:r>
        <w:r w:rsidR="00751CDE">
          <w:rPr>
            <w:noProof/>
          </w:rPr>
          <w:t>2</w:t>
        </w:r>
        <w:r w:rsidR="00751CDE">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EA903" w14:textId="3DCC841A" w:rsidR="00991A30" w:rsidRDefault="00991A30" w:rsidP="00636F1B">
    <w:pPr>
      <w:pStyle w:val="Footerodd"/>
    </w:pPr>
    <w:r>
      <w:tab/>
    </w:r>
    <w:r w:rsidR="00636F1B" w:rsidRPr="00636F1B">
      <w:t xml:space="preserve">Proposed </w:t>
    </w:r>
    <w:r w:rsidR="001B56C2">
      <w:t>p</w:t>
    </w:r>
    <w:r w:rsidR="00636F1B" w:rsidRPr="00636F1B">
      <w:t xml:space="preserve">rovisions – Amendments to the Resource Management (National Environmental Standards </w:t>
    </w:r>
    <w:r w:rsidR="00124F86">
      <w:t>f</w:t>
    </w:r>
    <w:r w:rsidR="00636F1B" w:rsidRPr="00636F1B">
      <w:t>or Commercial Forestry) Regulations 2017</w:t>
    </w:r>
    <w:r w:rsidR="00636F1B">
      <w:tab/>
    </w: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43B9C" w14:textId="7A192B1D" w:rsidR="006C18C8" w:rsidRPr="003A6769" w:rsidRDefault="00FE4F91" w:rsidP="00636F1B">
    <w:pPr>
      <w:pStyle w:val="Footerodd"/>
    </w:pPr>
    <w:r>
      <w:tab/>
    </w:r>
    <w:r w:rsidR="007F372A" w:rsidRPr="00636F1B">
      <w:rPr>
        <w:noProof/>
      </w:rPr>
      <w:t xml:space="preserve">Proposed </w:t>
    </w:r>
    <w:r w:rsidR="00193B65">
      <w:rPr>
        <w:noProof/>
      </w:rPr>
      <w:t>p</w:t>
    </w:r>
    <w:r w:rsidR="007F372A" w:rsidRPr="00636F1B">
      <w:rPr>
        <w:noProof/>
      </w:rPr>
      <w:t xml:space="preserve">rovisions – Amendments to the Resource Management (National Environmental Standards </w:t>
    </w:r>
    <w:r w:rsidR="00B049CE">
      <w:rPr>
        <w:noProof/>
      </w:rPr>
      <w:t>f</w:t>
    </w:r>
    <w:r w:rsidR="007F372A" w:rsidRPr="00636F1B">
      <w:rPr>
        <w:noProof/>
      </w:rPr>
      <w:t>or Commercial Forestry) Regulations 2017</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7CE5D" w14:textId="77777777" w:rsidR="00F64CF7" w:rsidRDefault="00F64CF7" w:rsidP="00CB5C5F">
      <w:pPr>
        <w:spacing w:before="0" w:after="80" w:line="240" w:lineRule="auto"/>
      </w:pPr>
      <w:bookmarkStart w:id="0" w:name="_Hlk86912439"/>
      <w:bookmarkEnd w:id="0"/>
      <w:r>
        <w:separator/>
      </w:r>
    </w:p>
  </w:footnote>
  <w:footnote w:type="continuationSeparator" w:id="0">
    <w:p w14:paraId="32074FC3" w14:textId="77777777" w:rsidR="00F64CF7" w:rsidRDefault="00F64CF7" w:rsidP="0080531E">
      <w:pPr>
        <w:spacing w:before="0" w:after="0" w:line="240" w:lineRule="auto"/>
      </w:pPr>
      <w:r>
        <w:continuationSeparator/>
      </w:r>
    </w:p>
    <w:p w14:paraId="5D8BBC03" w14:textId="77777777" w:rsidR="00F64CF7" w:rsidRDefault="00F64CF7"/>
  </w:footnote>
  <w:footnote w:type="continuationNotice" w:id="1">
    <w:p w14:paraId="4ADADC98" w14:textId="77777777" w:rsidR="00F64CF7" w:rsidRDefault="00F64CF7">
      <w:pPr>
        <w:spacing w:before="0" w:after="0" w:line="240" w:lineRule="auto"/>
      </w:pPr>
    </w:p>
  </w:footnote>
  <w:footnote w:id="2">
    <w:p w14:paraId="52F2A07E" w14:textId="77777777" w:rsidR="00DC00ED" w:rsidRDefault="00DC00ED" w:rsidP="00DC00ED">
      <w:pPr>
        <w:pStyle w:val="FootnoteText"/>
      </w:pPr>
      <w:r>
        <w:rPr>
          <w:rStyle w:val="FootnoteReference"/>
        </w:rPr>
        <w:footnoteRef/>
      </w:r>
      <w:r>
        <w:t xml:space="preserve"> </w:t>
      </w:r>
      <w:r>
        <w:tab/>
        <w:t>R</w:t>
      </w:r>
      <w:r w:rsidRPr="00C24809">
        <w:t>ock type has a major influence on slope, soil stability and natural fertility in N</w:t>
      </w:r>
      <w:r>
        <w:t xml:space="preserve">ew </w:t>
      </w:r>
      <w:r w:rsidRPr="00C24809">
        <w:t>Z</w:t>
      </w:r>
      <w:r>
        <w:t>ealand, LUC Handbook, p.14; Smith et al 2023.</w:t>
      </w:r>
    </w:p>
  </w:footnote>
  <w:footnote w:id="3">
    <w:p w14:paraId="4103DF49" w14:textId="678E9E3B" w:rsidR="00DC00ED" w:rsidRDefault="00DC00ED" w:rsidP="00DC00ED">
      <w:pPr>
        <w:pStyle w:val="FootnoteText"/>
      </w:pPr>
      <w:r>
        <w:rPr>
          <w:rStyle w:val="FootnoteReference"/>
        </w:rPr>
        <w:footnoteRef/>
      </w:r>
      <w:r>
        <w:t xml:space="preserve"> </w:t>
      </w:r>
      <w:r>
        <w:tab/>
      </w:r>
      <w:r w:rsidR="00822849">
        <w:t>‘</w:t>
      </w:r>
      <w:r>
        <w:t>Orange’</w:t>
      </w:r>
      <w:r w:rsidR="00431E3A">
        <w:t>,</w:t>
      </w:r>
      <w:r>
        <w:t xml:space="preserve"> for the purposes of this consultation</w:t>
      </w:r>
      <w:r w:rsidR="00431E3A">
        <w:t>,</w:t>
      </w:r>
      <w:r>
        <w:t xml:space="preserve"> </w:t>
      </w:r>
      <w:r w:rsidRPr="00F20BC3">
        <w:t>includes</w:t>
      </w:r>
      <w:r>
        <w:t xml:space="preserve"> </w:t>
      </w:r>
      <w:r w:rsidRPr="00266A58">
        <w:t>red zone that is not of Land Use Capability Class 8e, where it involves no more than 2 ha of harvesting in any 3-month period.</w:t>
      </w:r>
    </w:p>
  </w:footnote>
  <w:footnote w:id="4">
    <w:p w14:paraId="4C99C15F" w14:textId="62F4962F" w:rsidR="00DC00ED" w:rsidRDefault="00DC00ED" w:rsidP="00DC00ED">
      <w:pPr>
        <w:pStyle w:val="FootnoteText"/>
      </w:pPr>
      <w:r>
        <w:rPr>
          <w:rStyle w:val="FootnoteReference"/>
        </w:rPr>
        <w:footnoteRef/>
      </w:r>
      <w:r>
        <w:t xml:space="preserve"> </w:t>
      </w:r>
      <w:r>
        <w:tab/>
        <w:t>‘Red’</w:t>
      </w:r>
      <w:r w:rsidR="001935CD">
        <w:t>,</w:t>
      </w:r>
      <w:r>
        <w:t xml:space="preserve"> for the purposes of this consultation</w:t>
      </w:r>
      <w:r w:rsidR="001935CD">
        <w:t>,</w:t>
      </w:r>
      <w:r>
        <w:t xml:space="preserve"> </w:t>
      </w:r>
      <w:r w:rsidRPr="0088789C">
        <w:rPr>
          <w:i/>
          <w:iCs/>
        </w:rPr>
        <w:t>does not include</w:t>
      </w:r>
      <w:r>
        <w:t xml:space="preserve"> land </w:t>
      </w:r>
      <w:r w:rsidRPr="0088789C">
        <w:t>that is not of Land Use Capability Class 8e, where it involves no more than 2 ha of harvesting in any 3-month period.</w:t>
      </w:r>
    </w:p>
  </w:footnote>
  <w:footnote w:id="5">
    <w:p w14:paraId="419C28C9" w14:textId="655935B1" w:rsidR="00DC00ED" w:rsidRDefault="00DC00ED" w:rsidP="00DC00ED">
      <w:pPr>
        <w:pStyle w:val="FootnoteText"/>
      </w:pPr>
      <w:r>
        <w:rPr>
          <w:rStyle w:val="FootnoteReference"/>
        </w:rPr>
        <w:footnoteRef/>
      </w:r>
      <w:r>
        <w:t xml:space="preserve"> </w:t>
      </w:r>
      <w:r>
        <w:tab/>
        <w:t xml:space="preserve">Lynn et al, 2009. </w:t>
      </w:r>
    </w:p>
  </w:footnote>
  <w:footnote w:id="6">
    <w:p w14:paraId="1ED5879B" w14:textId="1DE69A98" w:rsidR="00DC00ED" w:rsidRDefault="00DC00ED" w:rsidP="00DC00ED">
      <w:pPr>
        <w:pStyle w:val="FootnoteText"/>
      </w:pPr>
      <w:r>
        <w:rPr>
          <w:rStyle w:val="FootnoteReference"/>
        </w:rPr>
        <w:footnoteRef/>
      </w:r>
      <w:r>
        <w:t xml:space="preserve"> </w:t>
      </w:r>
      <w:r>
        <w:tab/>
        <w:t>The Gisborne</w:t>
      </w:r>
      <w:r w:rsidR="006B10CC">
        <w:t>/</w:t>
      </w:r>
      <w:r>
        <w:t>Tai</w:t>
      </w:r>
      <w:r w:rsidR="00A658C8">
        <w:t>rāwhiti</w:t>
      </w:r>
      <w:r>
        <w:t xml:space="preserve"> region experiences significant issues from gully erosion and there are ongoing discussions about the role of forestry on land subject to gully erosion.</w:t>
      </w:r>
      <w:r w:rsidR="00D35FF0">
        <w:t xml:space="preserve"> </w:t>
      </w:r>
      <w:r>
        <w:t>However, in most cases</w:t>
      </w:r>
      <w:r w:rsidR="002840AC">
        <w:t>,</w:t>
      </w:r>
      <w:r>
        <w:t xml:space="preserve"> gully erosion is a gradual process that does not cause sudden slope failure that delivers slash to waterways or nearby infrastructure. </w:t>
      </w:r>
    </w:p>
  </w:footnote>
  <w:footnote w:id="7">
    <w:p w14:paraId="00BFFDF5" w14:textId="1AD32046" w:rsidR="00DC00ED" w:rsidRDefault="00DC00ED" w:rsidP="00DC00ED">
      <w:pPr>
        <w:pStyle w:val="FootnoteText"/>
      </w:pPr>
      <w:r>
        <w:rPr>
          <w:rStyle w:val="FootnoteReference"/>
        </w:rPr>
        <w:footnoteRef/>
      </w:r>
      <w:r>
        <w:t xml:space="preserve"> </w:t>
      </w:r>
      <w:r>
        <w:tab/>
        <w:t>Dymond</w:t>
      </w:r>
      <w:r w:rsidR="005A7E58">
        <w:t xml:space="preserve"> et al</w:t>
      </w:r>
      <w:r>
        <w:t xml:space="preserve">, 2014; </w:t>
      </w:r>
      <w:r w:rsidRPr="002111D9">
        <w:t xml:space="preserve">Marden </w:t>
      </w:r>
      <w:r>
        <w:t>and</w:t>
      </w:r>
      <w:r w:rsidRPr="002111D9">
        <w:t xml:space="preserve"> Rowan</w:t>
      </w:r>
      <w:r w:rsidR="00363CEF">
        <w:t>,</w:t>
      </w:r>
      <w:r w:rsidRPr="002111D9">
        <w:t xml:space="preserve"> 2015; Rosser et al, 2020</w:t>
      </w:r>
      <w:r w:rsidR="004F243D">
        <w:t>.</w:t>
      </w:r>
    </w:p>
  </w:footnote>
  <w:footnote w:id="8">
    <w:p w14:paraId="607E5FC4" w14:textId="2656C846" w:rsidR="00DC00ED" w:rsidRPr="00BA1E83" w:rsidRDefault="00DC00ED" w:rsidP="00DC00ED">
      <w:pPr>
        <w:pStyle w:val="FootnoteText"/>
      </w:pPr>
      <w:r>
        <w:rPr>
          <w:rStyle w:val="FootnoteReference"/>
        </w:rPr>
        <w:footnoteRef/>
      </w:r>
      <w:r>
        <w:t xml:space="preserve"> </w:t>
      </w:r>
      <w:r>
        <w:tab/>
        <w:t xml:space="preserve">Slope is a fundamental physical control on landslide susceptibility. </w:t>
      </w:r>
      <w:r w:rsidRPr="00706956">
        <w:t>Slope</w:t>
      </w:r>
      <w:r>
        <w:t xml:space="preserve"> is second only to land cover as a coefficient for probability of shallow landslides (</w:t>
      </w:r>
      <w:r w:rsidRPr="00BA1E83">
        <w:t>Smith et al, 2023</w:t>
      </w:r>
      <w:r>
        <w:t>)</w:t>
      </w:r>
      <w:r w:rsidR="00363CEF">
        <w:t>.</w:t>
      </w:r>
    </w:p>
  </w:footnote>
  <w:footnote w:id="9">
    <w:p w14:paraId="6B2CD225" w14:textId="1FA27745" w:rsidR="00DC00ED" w:rsidRDefault="00DC00ED" w:rsidP="00DC00ED">
      <w:pPr>
        <w:pStyle w:val="FootnoteText"/>
      </w:pPr>
      <w:r>
        <w:rPr>
          <w:rStyle w:val="FootnoteReference"/>
        </w:rPr>
        <w:footnoteRef/>
      </w:r>
      <w:r>
        <w:t xml:space="preserve"> </w:t>
      </w:r>
      <w:r>
        <w:tab/>
        <w:t>Marden</w:t>
      </w:r>
      <w:r w:rsidR="00E7790F">
        <w:t xml:space="preserve"> and Rowan</w:t>
      </w:r>
      <w:r>
        <w:t>, 2015.</w:t>
      </w:r>
    </w:p>
  </w:footnote>
  <w:footnote w:id="10">
    <w:p w14:paraId="3186C8FB" w14:textId="036BB626" w:rsidR="00DC00ED" w:rsidRDefault="00DC00ED" w:rsidP="00DC00ED">
      <w:pPr>
        <w:pStyle w:val="FootnoteText"/>
      </w:pPr>
      <w:r>
        <w:rPr>
          <w:rStyle w:val="FootnoteReference"/>
        </w:rPr>
        <w:footnoteRef/>
      </w:r>
      <w:r>
        <w:t xml:space="preserve"> </w:t>
      </w:r>
      <w:r>
        <w:tab/>
        <w:t>For example, modelling such as the morphometric connectivity layers developed by Manaaki Whenua</w:t>
      </w:r>
      <w:r w:rsidR="00363CEF">
        <w:t xml:space="preserve"> –</w:t>
      </w:r>
      <w:r>
        <w:t xml:space="preserve"> Landcare Research for Gisborne District Council (2024) and subsequently for other organisations. </w:t>
      </w:r>
    </w:p>
  </w:footnote>
  <w:footnote w:id="11">
    <w:p w14:paraId="1AD9229F" w14:textId="29402EBD" w:rsidR="00DC00ED" w:rsidRDefault="00DC00ED" w:rsidP="00DC00ED">
      <w:pPr>
        <w:pStyle w:val="FootnoteText"/>
      </w:pPr>
      <w:r>
        <w:rPr>
          <w:rStyle w:val="FootnoteReference"/>
        </w:rPr>
        <w:footnoteRef/>
      </w:r>
      <w:r>
        <w:t xml:space="preserve"> </w:t>
      </w:r>
      <w:r>
        <w:tab/>
      </w:r>
      <w:r w:rsidR="00697E14">
        <w:t>De Vilder et al</w:t>
      </w:r>
      <w:r w:rsidR="0084174E">
        <w:t xml:space="preserve">, 2024; </w:t>
      </w:r>
      <w:r w:rsidRPr="00F5671E">
        <w:t>Phillips</w:t>
      </w:r>
      <w:r>
        <w:t>, 2017; Smith, 2023.</w:t>
      </w:r>
    </w:p>
  </w:footnote>
  <w:footnote w:id="12">
    <w:p w14:paraId="1711F4A6" w14:textId="0B5FE95F" w:rsidR="00DC00ED" w:rsidRDefault="00DC00ED" w:rsidP="00DC00ED">
      <w:pPr>
        <w:pStyle w:val="FootnoteText"/>
      </w:pPr>
      <w:r>
        <w:rPr>
          <w:rStyle w:val="FootnoteReference"/>
        </w:rPr>
        <w:footnoteRef/>
      </w:r>
      <w:r>
        <w:t xml:space="preserve"> </w:t>
      </w:r>
      <w:r>
        <w:tab/>
      </w:r>
      <w:r w:rsidRPr="00564A8C">
        <w:t>Areas across N</w:t>
      </w:r>
      <w:r w:rsidR="00AB617F">
        <w:t xml:space="preserve">ew </w:t>
      </w:r>
      <w:r w:rsidRPr="00564A8C">
        <w:t>Z</w:t>
      </w:r>
      <w:r w:rsidR="00AB617F">
        <w:t>ealand</w:t>
      </w:r>
      <w:r w:rsidRPr="00564A8C">
        <w:t xml:space="preserve"> have different susceptibilities to rainfall-induced landslides due to different geology, topography, physiography and land cover, therefore</w:t>
      </w:r>
      <w:r w:rsidR="00AB617F">
        <w:t>,</w:t>
      </w:r>
      <w:r w:rsidRPr="00564A8C">
        <w:t xml:space="preserve"> the amount of rainfall required to trigger landslides varies across the country</w:t>
      </w:r>
      <w:r>
        <w:t xml:space="preserve"> (</w:t>
      </w:r>
      <w:r w:rsidR="00FD56B4">
        <w:t>De Vilder et al</w:t>
      </w:r>
      <w:r w:rsidR="00AB617F">
        <w:t>,</w:t>
      </w:r>
      <w:r w:rsidRPr="00564A8C">
        <w:t xml:space="preserve"> 2024</w:t>
      </w:r>
      <w:r>
        <w:t>).</w:t>
      </w:r>
      <w:r w:rsidRPr="00564A8C">
        <w:t xml:space="preserve"> </w:t>
      </w:r>
    </w:p>
  </w:footnote>
  <w:footnote w:id="13">
    <w:p w14:paraId="26E33157" w14:textId="32D179D7" w:rsidR="00DC00ED" w:rsidRDefault="00DC00ED" w:rsidP="00DC00ED">
      <w:pPr>
        <w:pStyle w:val="FootnoteText"/>
      </w:pPr>
      <w:r>
        <w:rPr>
          <w:rStyle w:val="FootnoteReference"/>
        </w:rPr>
        <w:footnoteRef/>
      </w:r>
      <w:r>
        <w:t xml:space="preserve"> </w:t>
      </w:r>
      <w:r>
        <w:tab/>
      </w:r>
      <w:r w:rsidR="00EC7A30">
        <w:t>“</w:t>
      </w:r>
      <w:r>
        <w:t>Land cover followed by slope and rainfall had the largest influence [on landslide susceptibility] …pasture, slope and harvested forest had the largest positive coefficient values (increasing landslide susceptibility). In contrast, indigenous and exotic forest had the largest absolute coefficient values with a negative effect (decreased susceptibility)” (</w:t>
      </w:r>
      <w:r w:rsidRPr="00F524E7">
        <w:t>Smith et al, 2023)</w:t>
      </w:r>
      <w:r>
        <w:t>.</w:t>
      </w:r>
    </w:p>
  </w:footnote>
  <w:footnote w:id="14">
    <w:p w14:paraId="74E89072" w14:textId="77777777" w:rsidR="00DC00ED" w:rsidRPr="00AA258B" w:rsidRDefault="00DC00ED" w:rsidP="00DC00ED">
      <w:pPr>
        <w:pStyle w:val="FootnoteText"/>
      </w:pPr>
      <w:r>
        <w:rPr>
          <w:rStyle w:val="FootnoteReference"/>
        </w:rPr>
        <w:footnoteRef/>
      </w:r>
      <w:r>
        <w:t xml:space="preserve"> </w:t>
      </w:r>
      <w:r>
        <w:tab/>
        <w:t>Rosser et al, 2020.</w:t>
      </w:r>
    </w:p>
  </w:footnote>
  <w:footnote w:id="15">
    <w:p w14:paraId="18FA6E50" w14:textId="1FD95167" w:rsidR="00DC00ED" w:rsidRDefault="00DC00ED" w:rsidP="00954D8B">
      <w:pPr>
        <w:pStyle w:val="FootnoteText"/>
        <w:spacing w:after="0"/>
      </w:pPr>
      <w:r>
        <w:rPr>
          <w:rStyle w:val="FootnoteReference"/>
        </w:rPr>
        <w:footnoteRef/>
      </w:r>
      <w:r>
        <w:t xml:space="preserve"> </w:t>
      </w:r>
      <w:r>
        <w:tab/>
      </w:r>
      <w:r w:rsidRPr="00FB769B">
        <w:t xml:space="preserve">For example, </w:t>
      </w:r>
      <w:r w:rsidR="00CE79EF">
        <w:t>MPI</w:t>
      </w:r>
      <w:r>
        <w:t>, 2024; Smit</w:t>
      </w:r>
      <w:r w:rsidRPr="00706956">
        <w:t>h</w:t>
      </w:r>
      <w:r w:rsidR="00AB1A8B">
        <w:t xml:space="preserve"> et al</w:t>
      </w:r>
      <w:r w:rsidRPr="00706956">
        <w:t>, 2023</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B4B90" w14:textId="00CE6CFB" w:rsidR="00751CDE" w:rsidRDefault="00930308" w:rsidP="002E562F">
    <w:pPr>
      <w:pStyle w:val="Header"/>
      <w:jc w:val="left"/>
    </w:pPr>
    <w:r>
      <w:rPr>
        <w:b/>
        <w:bCs/>
        <w:noProof/>
      </w:rPr>
      <w:drawing>
        <wp:inline distT="0" distB="0" distL="0" distR="0" wp14:anchorId="47F457DD" wp14:editId="03DB8EC8">
          <wp:extent cx="2502000" cy="601200"/>
          <wp:effectExtent l="0" t="0" r="0" b="8890"/>
          <wp:docPr id="16" name="Picture 1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3163"/>
                  <a:stretch/>
                </pic:blipFill>
                <pic:spPr bwMode="auto">
                  <a:xfrm>
                    <a:off x="0" y="0"/>
                    <a:ext cx="2502000" cy="6012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1AD9E" w14:textId="60E90F94" w:rsidR="00CD5521" w:rsidRDefault="00CD5521" w:rsidP="00A04CBD">
    <w:pPr>
      <w:pStyle w:val="Header"/>
      <w:spacing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4"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7"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8" w15:restartNumberingAfterBreak="0">
    <w:nsid w:val="3807D979"/>
    <w:multiLevelType w:val="hybridMultilevel"/>
    <w:tmpl w:val="D07A79E0"/>
    <w:lvl w:ilvl="0" w:tplc="F20AF1B0">
      <w:start w:val="1"/>
      <w:numFmt w:val="bullet"/>
      <w:lvlText w:val="·"/>
      <w:lvlJc w:val="left"/>
      <w:pPr>
        <w:ind w:left="720" w:hanging="360"/>
      </w:pPr>
      <w:rPr>
        <w:rFonts w:ascii="Symbol" w:hAnsi="Symbol" w:hint="default"/>
      </w:rPr>
    </w:lvl>
    <w:lvl w:ilvl="1" w:tplc="6D7A63F6">
      <w:start w:val="1"/>
      <w:numFmt w:val="bullet"/>
      <w:lvlText w:val="o"/>
      <w:lvlJc w:val="left"/>
      <w:pPr>
        <w:ind w:left="1440" w:hanging="360"/>
      </w:pPr>
      <w:rPr>
        <w:rFonts w:ascii="Courier New" w:hAnsi="Courier New" w:hint="default"/>
      </w:rPr>
    </w:lvl>
    <w:lvl w:ilvl="2" w:tplc="4C4A0076">
      <w:start w:val="1"/>
      <w:numFmt w:val="bullet"/>
      <w:lvlText w:val=""/>
      <w:lvlJc w:val="left"/>
      <w:pPr>
        <w:ind w:left="2160" w:hanging="360"/>
      </w:pPr>
      <w:rPr>
        <w:rFonts w:ascii="Wingdings" w:hAnsi="Wingdings" w:hint="default"/>
      </w:rPr>
    </w:lvl>
    <w:lvl w:ilvl="3" w:tplc="2DC8C9A6">
      <w:start w:val="1"/>
      <w:numFmt w:val="bullet"/>
      <w:lvlText w:val=""/>
      <w:lvlJc w:val="left"/>
      <w:pPr>
        <w:ind w:left="2880" w:hanging="360"/>
      </w:pPr>
      <w:rPr>
        <w:rFonts w:ascii="Symbol" w:hAnsi="Symbol" w:hint="default"/>
      </w:rPr>
    </w:lvl>
    <w:lvl w:ilvl="4" w:tplc="6686B3A8">
      <w:start w:val="1"/>
      <w:numFmt w:val="bullet"/>
      <w:lvlText w:val="o"/>
      <w:lvlJc w:val="left"/>
      <w:pPr>
        <w:ind w:left="3600" w:hanging="360"/>
      </w:pPr>
      <w:rPr>
        <w:rFonts w:ascii="Courier New" w:hAnsi="Courier New" w:hint="default"/>
      </w:rPr>
    </w:lvl>
    <w:lvl w:ilvl="5" w:tplc="CC50C25C">
      <w:start w:val="1"/>
      <w:numFmt w:val="bullet"/>
      <w:lvlText w:val=""/>
      <w:lvlJc w:val="left"/>
      <w:pPr>
        <w:ind w:left="4320" w:hanging="360"/>
      </w:pPr>
      <w:rPr>
        <w:rFonts w:ascii="Wingdings" w:hAnsi="Wingdings" w:hint="default"/>
      </w:rPr>
    </w:lvl>
    <w:lvl w:ilvl="6" w:tplc="E7DC6246">
      <w:start w:val="1"/>
      <w:numFmt w:val="bullet"/>
      <w:lvlText w:val=""/>
      <w:lvlJc w:val="left"/>
      <w:pPr>
        <w:ind w:left="5040" w:hanging="360"/>
      </w:pPr>
      <w:rPr>
        <w:rFonts w:ascii="Symbol" w:hAnsi="Symbol" w:hint="default"/>
      </w:rPr>
    </w:lvl>
    <w:lvl w:ilvl="7" w:tplc="7298C510">
      <w:start w:val="1"/>
      <w:numFmt w:val="bullet"/>
      <w:lvlText w:val="o"/>
      <w:lvlJc w:val="left"/>
      <w:pPr>
        <w:ind w:left="5760" w:hanging="360"/>
      </w:pPr>
      <w:rPr>
        <w:rFonts w:ascii="Courier New" w:hAnsi="Courier New" w:hint="default"/>
      </w:rPr>
    </w:lvl>
    <w:lvl w:ilvl="8" w:tplc="7098F9D6">
      <w:start w:val="1"/>
      <w:numFmt w:val="bullet"/>
      <w:lvlText w:val=""/>
      <w:lvlJc w:val="left"/>
      <w:pPr>
        <w:ind w:left="6480" w:hanging="360"/>
      </w:pPr>
      <w:rPr>
        <w:rFonts w:ascii="Wingdings" w:hAnsi="Wingdings" w:hint="default"/>
      </w:rPr>
    </w:lvl>
  </w:abstractNum>
  <w:abstractNum w:abstractNumId="9"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5770C6"/>
    <w:multiLevelType w:val="multilevel"/>
    <w:tmpl w:val="60809CC4"/>
    <w:lvl w:ilvl="0">
      <w:start w:val="1"/>
      <w:numFmt w:val="decimal"/>
      <w:pStyle w:val="Tablenum"/>
      <w:lvlText w:val="%1."/>
      <w:lvlJc w:val="left"/>
      <w:pPr>
        <w:ind w:left="284" w:hanging="284"/>
      </w:pPr>
      <w:rPr>
        <w:rFonts w:ascii="Calibri" w:hAnsi="Calibri" w:hint="default"/>
        <w:b w:val="0"/>
        <w:bCs/>
        <w:i w:val="0"/>
        <w:sz w:val="18"/>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14" w15:restartNumberingAfterBreak="0">
    <w:nsid w:val="53535234"/>
    <w:multiLevelType w:val="singleLevel"/>
    <w:tmpl w:val="C3F07D9A"/>
    <w:lvl w:ilvl="0">
      <w:start w:val="1"/>
      <w:numFmt w:val="bullet"/>
      <w:pStyle w:val="Boxbullet"/>
      <w:lvlText w:val=""/>
      <w:lvlJc w:val="left"/>
      <w:pPr>
        <w:ind w:left="644" w:hanging="360"/>
      </w:pPr>
      <w:rPr>
        <w:rFonts w:ascii="Symbol" w:hAnsi="Symbol" w:hint="default"/>
        <w:color w:val="auto"/>
        <w:sz w:val="16"/>
      </w:rPr>
    </w:lvl>
  </w:abstractNum>
  <w:abstractNum w:abstractNumId="15" w15:restartNumberingAfterBreak="0">
    <w:nsid w:val="6E5C11F6"/>
    <w:multiLevelType w:val="hybridMultilevel"/>
    <w:tmpl w:val="0D4451DA"/>
    <w:lvl w:ilvl="0" w:tplc="4976855E">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8"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36476B"/>
    <w:multiLevelType w:val="hybridMultilevel"/>
    <w:tmpl w:val="16A64456"/>
    <w:lvl w:ilvl="0" w:tplc="0BDAF196">
      <w:start w:val="1"/>
      <w:numFmt w:val="lowerLetter"/>
      <w:pStyle w:val="Tablea"/>
      <w:lvlText w:val="%1)"/>
      <w:lvlJc w:val="left"/>
      <w:pPr>
        <w:ind w:left="720" w:hanging="360"/>
      </w:pPr>
      <w:rPr>
        <w:rFonts w:ascii="Calibri" w:hAnsi="Calibri" w:hint="default"/>
        <w:b w:val="0"/>
        <w:i w:val="0"/>
        <w:sz w:val="18"/>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57196525">
    <w:abstractNumId w:val="7"/>
  </w:num>
  <w:num w:numId="2" w16cid:durableId="659116008">
    <w:abstractNumId w:val="14"/>
  </w:num>
  <w:num w:numId="3" w16cid:durableId="1688940720">
    <w:abstractNumId w:val="10"/>
  </w:num>
  <w:num w:numId="4" w16cid:durableId="1790082978">
    <w:abstractNumId w:val="6"/>
  </w:num>
  <w:num w:numId="5" w16cid:durableId="571161853">
    <w:abstractNumId w:val="3"/>
  </w:num>
  <w:num w:numId="6" w16cid:durableId="851066908">
    <w:abstractNumId w:val="13"/>
  </w:num>
  <w:num w:numId="7" w16cid:durableId="61224443">
    <w:abstractNumId w:val="11"/>
  </w:num>
  <w:num w:numId="8" w16cid:durableId="972250063">
    <w:abstractNumId w:val="18"/>
  </w:num>
  <w:num w:numId="9" w16cid:durableId="1817450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8007045">
    <w:abstractNumId w:val="5"/>
  </w:num>
  <w:num w:numId="11" w16cid:durableId="691230062">
    <w:abstractNumId w:val="16"/>
  </w:num>
  <w:num w:numId="12" w16cid:durableId="944464173">
    <w:abstractNumId w:val="1"/>
  </w:num>
  <w:num w:numId="13" w16cid:durableId="1627159036">
    <w:abstractNumId w:val="4"/>
  </w:num>
  <w:num w:numId="14" w16cid:durableId="1671175605">
    <w:abstractNumId w:val="9"/>
  </w:num>
  <w:num w:numId="15" w16cid:durableId="41442950">
    <w:abstractNumId w:val="17"/>
  </w:num>
  <w:num w:numId="16" w16cid:durableId="588536818">
    <w:abstractNumId w:val="2"/>
  </w:num>
  <w:num w:numId="17" w16cid:durableId="354960865">
    <w:abstractNumId w:val="19"/>
  </w:num>
  <w:num w:numId="18" w16cid:durableId="1851214937">
    <w:abstractNumId w:val="12"/>
  </w:num>
  <w:num w:numId="19" w16cid:durableId="19865161">
    <w:abstractNumId w:val="8"/>
  </w:num>
  <w:num w:numId="20" w16cid:durableId="1122116427">
    <w:abstractNumId w:val="15"/>
  </w:num>
  <w:num w:numId="21" w16cid:durableId="2096316767">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trackRevisions/>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6C"/>
    <w:rsid w:val="00000792"/>
    <w:rsid w:val="00000F04"/>
    <w:rsid w:val="000020F4"/>
    <w:rsid w:val="00003C4F"/>
    <w:rsid w:val="00004E0A"/>
    <w:rsid w:val="00004FD3"/>
    <w:rsid w:val="0000569E"/>
    <w:rsid w:val="00006DF5"/>
    <w:rsid w:val="00006F95"/>
    <w:rsid w:val="00007023"/>
    <w:rsid w:val="0000709F"/>
    <w:rsid w:val="000071D6"/>
    <w:rsid w:val="00007F2D"/>
    <w:rsid w:val="00007FAC"/>
    <w:rsid w:val="00010A9C"/>
    <w:rsid w:val="00010ABA"/>
    <w:rsid w:val="00010E15"/>
    <w:rsid w:val="00010F57"/>
    <w:rsid w:val="0001100C"/>
    <w:rsid w:val="00011188"/>
    <w:rsid w:val="0001214E"/>
    <w:rsid w:val="00012555"/>
    <w:rsid w:val="00013CB8"/>
    <w:rsid w:val="00014236"/>
    <w:rsid w:val="000148F6"/>
    <w:rsid w:val="00015217"/>
    <w:rsid w:val="000159D2"/>
    <w:rsid w:val="00015E19"/>
    <w:rsid w:val="00016264"/>
    <w:rsid w:val="00016993"/>
    <w:rsid w:val="00016CAB"/>
    <w:rsid w:val="00016E5B"/>
    <w:rsid w:val="0001749B"/>
    <w:rsid w:val="00017D75"/>
    <w:rsid w:val="00017FE5"/>
    <w:rsid w:val="0002068C"/>
    <w:rsid w:val="00020EE7"/>
    <w:rsid w:val="00021905"/>
    <w:rsid w:val="00021910"/>
    <w:rsid w:val="0002270C"/>
    <w:rsid w:val="00022745"/>
    <w:rsid w:val="00022E8D"/>
    <w:rsid w:val="0002348A"/>
    <w:rsid w:val="00024708"/>
    <w:rsid w:val="00024EE7"/>
    <w:rsid w:val="00025F96"/>
    <w:rsid w:val="00025FAB"/>
    <w:rsid w:val="00026E89"/>
    <w:rsid w:val="000275A3"/>
    <w:rsid w:val="0002767B"/>
    <w:rsid w:val="00030558"/>
    <w:rsid w:val="00030699"/>
    <w:rsid w:val="00030725"/>
    <w:rsid w:val="00030DB8"/>
    <w:rsid w:val="00031A83"/>
    <w:rsid w:val="0003213A"/>
    <w:rsid w:val="00032A81"/>
    <w:rsid w:val="000340D8"/>
    <w:rsid w:val="0003427D"/>
    <w:rsid w:val="00034DFA"/>
    <w:rsid w:val="000357ED"/>
    <w:rsid w:val="00035E15"/>
    <w:rsid w:val="0003640E"/>
    <w:rsid w:val="00036801"/>
    <w:rsid w:val="0003688A"/>
    <w:rsid w:val="000368FC"/>
    <w:rsid w:val="00036DA3"/>
    <w:rsid w:val="000379BF"/>
    <w:rsid w:val="00037BD8"/>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427"/>
    <w:rsid w:val="00050A22"/>
    <w:rsid w:val="00050E27"/>
    <w:rsid w:val="0005144F"/>
    <w:rsid w:val="00051AF1"/>
    <w:rsid w:val="00051D42"/>
    <w:rsid w:val="00051FDA"/>
    <w:rsid w:val="00052763"/>
    <w:rsid w:val="000528FF"/>
    <w:rsid w:val="000538A1"/>
    <w:rsid w:val="000539AD"/>
    <w:rsid w:val="000542FC"/>
    <w:rsid w:val="00055375"/>
    <w:rsid w:val="00056319"/>
    <w:rsid w:val="000564E7"/>
    <w:rsid w:val="00056770"/>
    <w:rsid w:val="00056E6F"/>
    <w:rsid w:val="00057386"/>
    <w:rsid w:val="00057EEF"/>
    <w:rsid w:val="0006130F"/>
    <w:rsid w:val="000619CB"/>
    <w:rsid w:val="00062387"/>
    <w:rsid w:val="000633A0"/>
    <w:rsid w:val="000640F0"/>
    <w:rsid w:val="0006434D"/>
    <w:rsid w:val="000643A1"/>
    <w:rsid w:val="00064679"/>
    <w:rsid w:val="00064A13"/>
    <w:rsid w:val="00064AF4"/>
    <w:rsid w:val="00064DB1"/>
    <w:rsid w:val="00065BA3"/>
    <w:rsid w:val="00065D3B"/>
    <w:rsid w:val="000667E9"/>
    <w:rsid w:val="00066DDC"/>
    <w:rsid w:val="00067128"/>
    <w:rsid w:val="000675CD"/>
    <w:rsid w:val="00067872"/>
    <w:rsid w:val="000678AC"/>
    <w:rsid w:val="00067D46"/>
    <w:rsid w:val="000703B2"/>
    <w:rsid w:val="00070FBF"/>
    <w:rsid w:val="000711EE"/>
    <w:rsid w:val="0007180E"/>
    <w:rsid w:val="00071AE4"/>
    <w:rsid w:val="00071CB5"/>
    <w:rsid w:val="00071CCB"/>
    <w:rsid w:val="00071D03"/>
    <w:rsid w:val="0007232B"/>
    <w:rsid w:val="000735A2"/>
    <w:rsid w:val="0007517E"/>
    <w:rsid w:val="00075FE1"/>
    <w:rsid w:val="000764F6"/>
    <w:rsid w:val="00076667"/>
    <w:rsid w:val="00077473"/>
    <w:rsid w:val="00077481"/>
    <w:rsid w:val="000776F9"/>
    <w:rsid w:val="00077EE0"/>
    <w:rsid w:val="000802F9"/>
    <w:rsid w:val="00080E5E"/>
    <w:rsid w:val="0008145A"/>
    <w:rsid w:val="0008162D"/>
    <w:rsid w:val="000827D0"/>
    <w:rsid w:val="000831C8"/>
    <w:rsid w:val="000836C9"/>
    <w:rsid w:val="00083F5E"/>
    <w:rsid w:val="00084FDB"/>
    <w:rsid w:val="0008505C"/>
    <w:rsid w:val="00085C46"/>
    <w:rsid w:val="0008686A"/>
    <w:rsid w:val="00087175"/>
    <w:rsid w:val="00087D35"/>
    <w:rsid w:val="00090F6A"/>
    <w:rsid w:val="00091796"/>
    <w:rsid w:val="00091BA2"/>
    <w:rsid w:val="00091CB0"/>
    <w:rsid w:val="00092D7C"/>
    <w:rsid w:val="00094344"/>
    <w:rsid w:val="00094486"/>
    <w:rsid w:val="000953C6"/>
    <w:rsid w:val="000953F4"/>
    <w:rsid w:val="0009590C"/>
    <w:rsid w:val="000959E7"/>
    <w:rsid w:val="00095E7D"/>
    <w:rsid w:val="000964DE"/>
    <w:rsid w:val="000972AB"/>
    <w:rsid w:val="00097771"/>
    <w:rsid w:val="00097B40"/>
    <w:rsid w:val="00097D0E"/>
    <w:rsid w:val="000A130F"/>
    <w:rsid w:val="000A17EA"/>
    <w:rsid w:val="000A1C7A"/>
    <w:rsid w:val="000A2345"/>
    <w:rsid w:val="000A2394"/>
    <w:rsid w:val="000A31C1"/>
    <w:rsid w:val="000A32C5"/>
    <w:rsid w:val="000A3411"/>
    <w:rsid w:val="000A34CA"/>
    <w:rsid w:val="000A3E60"/>
    <w:rsid w:val="000A426F"/>
    <w:rsid w:val="000A4559"/>
    <w:rsid w:val="000A45FD"/>
    <w:rsid w:val="000A477B"/>
    <w:rsid w:val="000A558D"/>
    <w:rsid w:val="000A5611"/>
    <w:rsid w:val="000A563C"/>
    <w:rsid w:val="000A59C5"/>
    <w:rsid w:val="000A5DEA"/>
    <w:rsid w:val="000A5EBD"/>
    <w:rsid w:val="000A5F93"/>
    <w:rsid w:val="000A7658"/>
    <w:rsid w:val="000A7AE9"/>
    <w:rsid w:val="000A7F0F"/>
    <w:rsid w:val="000A7F4C"/>
    <w:rsid w:val="000B02BC"/>
    <w:rsid w:val="000B0498"/>
    <w:rsid w:val="000B0F36"/>
    <w:rsid w:val="000B1942"/>
    <w:rsid w:val="000B1BED"/>
    <w:rsid w:val="000B2240"/>
    <w:rsid w:val="000B2477"/>
    <w:rsid w:val="000B2600"/>
    <w:rsid w:val="000B2E00"/>
    <w:rsid w:val="000B36F9"/>
    <w:rsid w:val="000B4074"/>
    <w:rsid w:val="000B41DF"/>
    <w:rsid w:val="000B4732"/>
    <w:rsid w:val="000B4BCD"/>
    <w:rsid w:val="000B5849"/>
    <w:rsid w:val="000B584B"/>
    <w:rsid w:val="000B66DC"/>
    <w:rsid w:val="000B699A"/>
    <w:rsid w:val="000B6D1F"/>
    <w:rsid w:val="000B7123"/>
    <w:rsid w:val="000C062F"/>
    <w:rsid w:val="000C0668"/>
    <w:rsid w:val="000C0673"/>
    <w:rsid w:val="000C17E7"/>
    <w:rsid w:val="000C3270"/>
    <w:rsid w:val="000C53AC"/>
    <w:rsid w:val="000C574D"/>
    <w:rsid w:val="000C577E"/>
    <w:rsid w:val="000D04BA"/>
    <w:rsid w:val="000D0B6E"/>
    <w:rsid w:val="000D0D65"/>
    <w:rsid w:val="000D1246"/>
    <w:rsid w:val="000D12E0"/>
    <w:rsid w:val="000D1944"/>
    <w:rsid w:val="000D1BE5"/>
    <w:rsid w:val="000D1DD9"/>
    <w:rsid w:val="000D2172"/>
    <w:rsid w:val="000D28D8"/>
    <w:rsid w:val="000D293C"/>
    <w:rsid w:val="000D2A93"/>
    <w:rsid w:val="000D2BC1"/>
    <w:rsid w:val="000D337B"/>
    <w:rsid w:val="000D385A"/>
    <w:rsid w:val="000D38C2"/>
    <w:rsid w:val="000D3CA7"/>
    <w:rsid w:val="000D4881"/>
    <w:rsid w:val="000D5B16"/>
    <w:rsid w:val="000D5FD6"/>
    <w:rsid w:val="000D6201"/>
    <w:rsid w:val="000D6321"/>
    <w:rsid w:val="000D6488"/>
    <w:rsid w:val="000D6C7C"/>
    <w:rsid w:val="000D6D24"/>
    <w:rsid w:val="000D7088"/>
    <w:rsid w:val="000D770B"/>
    <w:rsid w:val="000D788E"/>
    <w:rsid w:val="000D7EBF"/>
    <w:rsid w:val="000E0850"/>
    <w:rsid w:val="000E10E5"/>
    <w:rsid w:val="000E12B0"/>
    <w:rsid w:val="000E141A"/>
    <w:rsid w:val="000E1BC8"/>
    <w:rsid w:val="000E1D32"/>
    <w:rsid w:val="000E26D8"/>
    <w:rsid w:val="000E2B94"/>
    <w:rsid w:val="000E3156"/>
    <w:rsid w:val="000E35B6"/>
    <w:rsid w:val="000E3BB8"/>
    <w:rsid w:val="000E3D9B"/>
    <w:rsid w:val="000E3DFD"/>
    <w:rsid w:val="000E4261"/>
    <w:rsid w:val="000E4697"/>
    <w:rsid w:val="000E58C5"/>
    <w:rsid w:val="000E6203"/>
    <w:rsid w:val="000E6397"/>
    <w:rsid w:val="000E64CB"/>
    <w:rsid w:val="000E7196"/>
    <w:rsid w:val="000E7212"/>
    <w:rsid w:val="000E722C"/>
    <w:rsid w:val="000E730A"/>
    <w:rsid w:val="000E755B"/>
    <w:rsid w:val="000E786F"/>
    <w:rsid w:val="000E7DA7"/>
    <w:rsid w:val="000E7FA0"/>
    <w:rsid w:val="000F00BA"/>
    <w:rsid w:val="000F0280"/>
    <w:rsid w:val="000F02F8"/>
    <w:rsid w:val="000F0409"/>
    <w:rsid w:val="000F049F"/>
    <w:rsid w:val="000F0642"/>
    <w:rsid w:val="000F07FA"/>
    <w:rsid w:val="000F0802"/>
    <w:rsid w:val="000F0B5E"/>
    <w:rsid w:val="000F0C49"/>
    <w:rsid w:val="000F1D43"/>
    <w:rsid w:val="000F1FFF"/>
    <w:rsid w:val="000F20AA"/>
    <w:rsid w:val="000F2651"/>
    <w:rsid w:val="000F348D"/>
    <w:rsid w:val="000F369A"/>
    <w:rsid w:val="000F4366"/>
    <w:rsid w:val="000F4463"/>
    <w:rsid w:val="000F4521"/>
    <w:rsid w:val="000F4B81"/>
    <w:rsid w:val="000F5285"/>
    <w:rsid w:val="000F52E0"/>
    <w:rsid w:val="000F53A9"/>
    <w:rsid w:val="000F5770"/>
    <w:rsid w:val="000F5D31"/>
    <w:rsid w:val="000F5E94"/>
    <w:rsid w:val="000F6464"/>
    <w:rsid w:val="000F6628"/>
    <w:rsid w:val="000F6C25"/>
    <w:rsid w:val="000F75DE"/>
    <w:rsid w:val="000F76EB"/>
    <w:rsid w:val="000F78AE"/>
    <w:rsid w:val="000F7E25"/>
    <w:rsid w:val="001007EE"/>
    <w:rsid w:val="00100F76"/>
    <w:rsid w:val="001012FF"/>
    <w:rsid w:val="0010148E"/>
    <w:rsid w:val="0010194C"/>
    <w:rsid w:val="001023D2"/>
    <w:rsid w:val="0010253C"/>
    <w:rsid w:val="00102BD1"/>
    <w:rsid w:val="00102CB9"/>
    <w:rsid w:val="00103569"/>
    <w:rsid w:val="0010486A"/>
    <w:rsid w:val="00104CA2"/>
    <w:rsid w:val="0010561C"/>
    <w:rsid w:val="00105C0F"/>
    <w:rsid w:val="00105E39"/>
    <w:rsid w:val="00106561"/>
    <w:rsid w:val="00106D63"/>
    <w:rsid w:val="001075F3"/>
    <w:rsid w:val="00107A01"/>
    <w:rsid w:val="00107C23"/>
    <w:rsid w:val="00110307"/>
    <w:rsid w:val="00110C7F"/>
    <w:rsid w:val="00110EE2"/>
    <w:rsid w:val="00110F8E"/>
    <w:rsid w:val="00111A88"/>
    <w:rsid w:val="0011221A"/>
    <w:rsid w:val="00112AD5"/>
    <w:rsid w:val="001130CF"/>
    <w:rsid w:val="00113227"/>
    <w:rsid w:val="00113283"/>
    <w:rsid w:val="001137AE"/>
    <w:rsid w:val="00113889"/>
    <w:rsid w:val="00113B20"/>
    <w:rsid w:val="00113EE1"/>
    <w:rsid w:val="001147B3"/>
    <w:rsid w:val="001148F7"/>
    <w:rsid w:val="001149B2"/>
    <w:rsid w:val="00114C1E"/>
    <w:rsid w:val="00114C2D"/>
    <w:rsid w:val="00115125"/>
    <w:rsid w:val="001152F2"/>
    <w:rsid w:val="001157D7"/>
    <w:rsid w:val="00116382"/>
    <w:rsid w:val="00116484"/>
    <w:rsid w:val="00116ACF"/>
    <w:rsid w:val="00116D5C"/>
    <w:rsid w:val="001172B2"/>
    <w:rsid w:val="00117F9B"/>
    <w:rsid w:val="00121211"/>
    <w:rsid w:val="00121628"/>
    <w:rsid w:val="0012167D"/>
    <w:rsid w:val="00121C58"/>
    <w:rsid w:val="00121E4D"/>
    <w:rsid w:val="00122189"/>
    <w:rsid w:val="00122280"/>
    <w:rsid w:val="001222CE"/>
    <w:rsid w:val="00122D42"/>
    <w:rsid w:val="00123345"/>
    <w:rsid w:val="00123C46"/>
    <w:rsid w:val="0012470B"/>
    <w:rsid w:val="00124F86"/>
    <w:rsid w:val="00124FDE"/>
    <w:rsid w:val="00125C75"/>
    <w:rsid w:val="00125C7E"/>
    <w:rsid w:val="001269A9"/>
    <w:rsid w:val="0012731C"/>
    <w:rsid w:val="00127945"/>
    <w:rsid w:val="00127D94"/>
    <w:rsid w:val="00127E90"/>
    <w:rsid w:val="001302C1"/>
    <w:rsid w:val="001306D3"/>
    <w:rsid w:val="0013076D"/>
    <w:rsid w:val="001308F4"/>
    <w:rsid w:val="001310BF"/>
    <w:rsid w:val="0013199B"/>
    <w:rsid w:val="00131EC2"/>
    <w:rsid w:val="0013326A"/>
    <w:rsid w:val="00133E73"/>
    <w:rsid w:val="00133FDB"/>
    <w:rsid w:val="00134C79"/>
    <w:rsid w:val="00134F4A"/>
    <w:rsid w:val="00135E4E"/>
    <w:rsid w:val="00136246"/>
    <w:rsid w:val="001362A1"/>
    <w:rsid w:val="001364D4"/>
    <w:rsid w:val="001370F7"/>
    <w:rsid w:val="001371C8"/>
    <w:rsid w:val="001372ED"/>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213"/>
    <w:rsid w:val="00152A66"/>
    <w:rsid w:val="00152B87"/>
    <w:rsid w:val="00153A96"/>
    <w:rsid w:val="00153D1C"/>
    <w:rsid w:val="001543E2"/>
    <w:rsid w:val="00154B5D"/>
    <w:rsid w:val="00154C54"/>
    <w:rsid w:val="001550E0"/>
    <w:rsid w:val="001554FD"/>
    <w:rsid w:val="0015567E"/>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5C38"/>
    <w:rsid w:val="00166389"/>
    <w:rsid w:val="00166E03"/>
    <w:rsid w:val="00167E4C"/>
    <w:rsid w:val="001713A7"/>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2EA"/>
    <w:rsid w:val="00177432"/>
    <w:rsid w:val="00177996"/>
    <w:rsid w:val="00180B3F"/>
    <w:rsid w:val="00180C83"/>
    <w:rsid w:val="00180CE5"/>
    <w:rsid w:val="0018175B"/>
    <w:rsid w:val="00181F77"/>
    <w:rsid w:val="001820A3"/>
    <w:rsid w:val="0018332A"/>
    <w:rsid w:val="00183D80"/>
    <w:rsid w:val="001842C8"/>
    <w:rsid w:val="00184FBE"/>
    <w:rsid w:val="00185044"/>
    <w:rsid w:val="001850DB"/>
    <w:rsid w:val="0018599C"/>
    <w:rsid w:val="001869EE"/>
    <w:rsid w:val="00186D00"/>
    <w:rsid w:val="0018743A"/>
    <w:rsid w:val="00187CA9"/>
    <w:rsid w:val="00190A57"/>
    <w:rsid w:val="00190B3F"/>
    <w:rsid w:val="0019122C"/>
    <w:rsid w:val="00191908"/>
    <w:rsid w:val="001929B7"/>
    <w:rsid w:val="00192AFF"/>
    <w:rsid w:val="00192DF3"/>
    <w:rsid w:val="0019301F"/>
    <w:rsid w:val="00193286"/>
    <w:rsid w:val="001932D7"/>
    <w:rsid w:val="001935CD"/>
    <w:rsid w:val="001937B8"/>
    <w:rsid w:val="00193B65"/>
    <w:rsid w:val="00194253"/>
    <w:rsid w:val="00194BB7"/>
    <w:rsid w:val="00194CC5"/>
    <w:rsid w:val="001951B2"/>
    <w:rsid w:val="0019565D"/>
    <w:rsid w:val="00197564"/>
    <w:rsid w:val="00197EC2"/>
    <w:rsid w:val="00197ECE"/>
    <w:rsid w:val="001A1CED"/>
    <w:rsid w:val="001A279B"/>
    <w:rsid w:val="001A2DC3"/>
    <w:rsid w:val="001A2E87"/>
    <w:rsid w:val="001A3869"/>
    <w:rsid w:val="001A38C2"/>
    <w:rsid w:val="001A4581"/>
    <w:rsid w:val="001A4B56"/>
    <w:rsid w:val="001A65C8"/>
    <w:rsid w:val="001A6FEF"/>
    <w:rsid w:val="001A732E"/>
    <w:rsid w:val="001A7F30"/>
    <w:rsid w:val="001B06E2"/>
    <w:rsid w:val="001B103A"/>
    <w:rsid w:val="001B103D"/>
    <w:rsid w:val="001B1513"/>
    <w:rsid w:val="001B1767"/>
    <w:rsid w:val="001B2453"/>
    <w:rsid w:val="001B3D48"/>
    <w:rsid w:val="001B56C2"/>
    <w:rsid w:val="001B5AF9"/>
    <w:rsid w:val="001B61EE"/>
    <w:rsid w:val="001B6600"/>
    <w:rsid w:val="001B6B9B"/>
    <w:rsid w:val="001B6C27"/>
    <w:rsid w:val="001B7144"/>
    <w:rsid w:val="001B78F7"/>
    <w:rsid w:val="001B7B8A"/>
    <w:rsid w:val="001B7D86"/>
    <w:rsid w:val="001B7DB5"/>
    <w:rsid w:val="001B7E91"/>
    <w:rsid w:val="001B7F7F"/>
    <w:rsid w:val="001C02AA"/>
    <w:rsid w:val="001C0748"/>
    <w:rsid w:val="001C147E"/>
    <w:rsid w:val="001C151B"/>
    <w:rsid w:val="001C19E5"/>
    <w:rsid w:val="001C3800"/>
    <w:rsid w:val="001C3C7B"/>
    <w:rsid w:val="001C5F2D"/>
    <w:rsid w:val="001C6122"/>
    <w:rsid w:val="001C6587"/>
    <w:rsid w:val="001C69BE"/>
    <w:rsid w:val="001C6DB5"/>
    <w:rsid w:val="001C71AC"/>
    <w:rsid w:val="001C7316"/>
    <w:rsid w:val="001C7CF7"/>
    <w:rsid w:val="001C7E5C"/>
    <w:rsid w:val="001D00CC"/>
    <w:rsid w:val="001D0494"/>
    <w:rsid w:val="001D07B7"/>
    <w:rsid w:val="001D0D8E"/>
    <w:rsid w:val="001D1719"/>
    <w:rsid w:val="001D171B"/>
    <w:rsid w:val="001D1732"/>
    <w:rsid w:val="001D1E2E"/>
    <w:rsid w:val="001D2203"/>
    <w:rsid w:val="001D255C"/>
    <w:rsid w:val="001D2DEF"/>
    <w:rsid w:val="001D30BB"/>
    <w:rsid w:val="001D30C3"/>
    <w:rsid w:val="001D3C6F"/>
    <w:rsid w:val="001D488C"/>
    <w:rsid w:val="001D4CDF"/>
    <w:rsid w:val="001D4F88"/>
    <w:rsid w:val="001D578D"/>
    <w:rsid w:val="001D5818"/>
    <w:rsid w:val="001D653A"/>
    <w:rsid w:val="001D7DEE"/>
    <w:rsid w:val="001E02CB"/>
    <w:rsid w:val="001E0BBA"/>
    <w:rsid w:val="001E0C01"/>
    <w:rsid w:val="001E14FD"/>
    <w:rsid w:val="001E180F"/>
    <w:rsid w:val="001E1C64"/>
    <w:rsid w:val="001E1CEC"/>
    <w:rsid w:val="001E2ECB"/>
    <w:rsid w:val="001E41CB"/>
    <w:rsid w:val="001E4B64"/>
    <w:rsid w:val="001E5341"/>
    <w:rsid w:val="001E552A"/>
    <w:rsid w:val="001E57B9"/>
    <w:rsid w:val="001E669A"/>
    <w:rsid w:val="001E6E8D"/>
    <w:rsid w:val="001E7EE4"/>
    <w:rsid w:val="001E7F76"/>
    <w:rsid w:val="001F0B1F"/>
    <w:rsid w:val="001F0FAF"/>
    <w:rsid w:val="001F139F"/>
    <w:rsid w:val="001F1BD2"/>
    <w:rsid w:val="001F2805"/>
    <w:rsid w:val="001F2A88"/>
    <w:rsid w:val="001F2ACA"/>
    <w:rsid w:val="001F2E48"/>
    <w:rsid w:val="001F2E79"/>
    <w:rsid w:val="001F2F07"/>
    <w:rsid w:val="001F3123"/>
    <w:rsid w:val="001F376D"/>
    <w:rsid w:val="001F418C"/>
    <w:rsid w:val="001F4370"/>
    <w:rsid w:val="001F4B2D"/>
    <w:rsid w:val="001F4EE2"/>
    <w:rsid w:val="001F4F40"/>
    <w:rsid w:val="001F50E0"/>
    <w:rsid w:val="001F594C"/>
    <w:rsid w:val="001F5C8F"/>
    <w:rsid w:val="001F67A7"/>
    <w:rsid w:val="001F69FC"/>
    <w:rsid w:val="001F6D62"/>
    <w:rsid w:val="001F7675"/>
    <w:rsid w:val="00200FAE"/>
    <w:rsid w:val="0020102D"/>
    <w:rsid w:val="002010E2"/>
    <w:rsid w:val="00201B73"/>
    <w:rsid w:val="00202517"/>
    <w:rsid w:val="00202ADB"/>
    <w:rsid w:val="00202BB7"/>
    <w:rsid w:val="00203BC7"/>
    <w:rsid w:val="0020435B"/>
    <w:rsid w:val="00204533"/>
    <w:rsid w:val="00204F2D"/>
    <w:rsid w:val="00205566"/>
    <w:rsid w:val="002063AA"/>
    <w:rsid w:val="00206E00"/>
    <w:rsid w:val="00210549"/>
    <w:rsid w:val="0021069E"/>
    <w:rsid w:val="00210804"/>
    <w:rsid w:val="0021088F"/>
    <w:rsid w:val="002113FE"/>
    <w:rsid w:val="00211737"/>
    <w:rsid w:val="0021181B"/>
    <w:rsid w:val="00211D35"/>
    <w:rsid w:val="0021230F"/>
    <w:rsid w:val="002125B0"/>
    <w:rsid w:val="00212A82"/>
    <w:rsid w:val="00213B4A"/>
    <w:rsid w:val="00214EA2"/>
    <w:rsid w:val="00214F94"/>
    <w:rsid w:val="002160FA"/>
    <w:rsid w:val="00216345"/>
    <w:rsid w:val="002166DD"/>
    <w:rsid w:val="002168A2"/>
    <w:rsid w:val="00217867"/>
    <w:rsid w:val="002205E4"/>
    <w:rsid w:val="00220D67"/>
    <w:rsid w:val="002215F8"/>
    <w:rsid w:val="00221F80"/>
    <w:rsid w:val="0022273A"/>
    <w:rsid w:val="00222D28"/>
    <w:rsid w:val="0022341F"/>
    <w:rsid w:val="00223CF4"/>
    <w:rsid w:val="00224220"/>
    <w:rsid w:val="00224398"/>
    <w:rsid w:val="00224A81"/>
    <w:rsid w:val="00224E91"/>
    <w:rsid w:val="00225830"/>
    <w:rsid w:val="00225B4C"/>
    <w:rsid w:val="00225E1E"/>
    <w:rsid w:val="0022600F"/>
    <w:rsid w:val="00226129"/>
    <w:rsid w:val="0022614D"/>
    <w:rsid w:val="00226380"/>
    <w:rsid w:val="00226AA2"/>
    <w:rsid w:val="00227218"/>
    <w:rsid w:val="00227352"/>
    <w:rsid w:val="0022770A"/>
    <w:rsid w:val="00227BEE"/>
    <w:rsid w:val="00227E18"/>
    <w:rsid w:val="00227FB4"/>
    <w:rsid w:val="0023057E"/>
    <w:rsid w:val="002312BC"/>
    <w:rsid w:val="002323C8"/>
    <w:rsid w:val="002337E5"/>
    <w:rsid w:val="00233C06"/>
    <w:rsid w:val="00233F24"/>
    <w:rsid w:val="00234BBB"/>
    <w:rsid w:val="002356F4"/>
    <w:rsid w:val="00235F02"/>
    <w:rsid w:val="00236D28"/>
    <w:rsid w:val="00237DA1"/>
    <w:rsid w:val="00237FE4"/>
    <w:rsid w:val="00240656"/>
    <w:rsid w:val="00241610"/>
    <w:rsid w:val="00241AED"/>
    <w:rsid w:val="00243182"/>
    <w:rsid w:val="0024365C"/>
    <w:rsid w:val="00243928"/>
    <w:rsid w:val="00243946"/>
    <w:rsid w:val="00243BC5"/>
    <w:rsid w:val="00243C7D"/>
    <w:rsid w:val="00243E9A"/>
    <w:rsid w:val="002440CF"/>
    <w:rsid w:val="00244371"/>
    <w:rsid w:val="00244AF8"/>
    <w:rsid w:val="00244BC5"/>
    <w:rsid w:val="00244E68"/>
    <w:rsid w:val="002456C5"/>
    <w:rsid w:val="00245ABE"/>
    <w:rsid w:val="00245C0B"/>
    <w:rsid w:val="002463DD"/>
    <w:rsid w:val="00246EAE"/>
    <w:rsid w:val="00247116"/>
    <w:rsid w:val="002471E5"/>
    <w:rsid w:val="002517A8"/>
    <w:rsid w:val="00251AFB"/>
    <w:rsid w:val="00251EEE"/>
    <w:rsid w:val="00253177"/>
    <w:rsid w:val="002538B8"/>
    <w:rsid w:val="0025396F"/>
    <w:rsid w:val="00254319"/>
    <w:rsid w:val="0025539F"/>
    <w:rsid w:val="002554B8"/>
    <w:rsid w:val="00256388"/>
    <w:rsid w:val="00256529"/>
    <w:rsid w:val="00256D46"/>
    <w:rsid w:val="00256E44"/>
    <w:rsid w:val="00260919"/>
    <w:rsid w:val="002612FD"/>
    <w:rsid w:val="002613DC"/>
    <w:rsid w:val="00261755"/>
    <w:rsid w:val="00261AAA"/>
    <w:rsid w:val="00262097"/>
    <w:rsid w:val="002626D7"/>
    <w:rsid w:val="00262D20"/>
    <w:rsid w:val="00263415"/>
    <w:rsid w:val="002634AB"/>
    <w:rsid w:val="002637F8"/>
    <w:rsid w:val="002638E0"/>
    <w:rsid w:val="00263C19"/>
    <w:rsid w:val="00263E9F"/>
    <w:rsid w:val="002648EB"/>
    <w:rsid w:val="00264F03"/>
    <w:rsid w:val="00264F8F"/>
    <w:rsid w:val="0026509E"/>
    <w:rsid w:val="002655AE"/>
    <w:rsid w:val="0026591F"/>
    <w:rsid w:val="00265A65"/>
    <w:rsid w:val="002660CE"/>
    <w:rsid w:val="002660F0"/>
    <w:rsid w:val="002675B6"/>
    <w:rsid w:val="00267A99"/>
    <w:rsid w:val="00270271"/>
    <w:rsid w:val="00272174"/>
    <w:rsid w:val="002721A6"/>
    <w:rsid w:val="002721D2"/>
    <w:rsid w:val="002722E0"/>
    <w:rsid w:val="002730EC"/>
    <w:rsid w:val="00273100"/>
    <w:rsid w:val="002735CC"/>
    <w:rsid w:val="00274588"/>
    <w:rsid w:val="00274A67"/>
    <w:rsid w:val="00274AA2"/>
    <w:rsid w:val="002752F1"/>
    <w:rsid w:val="002756EF"/>
    <w:rsid w:val="00275708"/>
    <w:rsid w:val="002768CF"/>
    <w:rsid w:val="00276DE6"/>
    <w:rsid w:val="00276F82"/>
    <w:rsid w:val="00277B54"/>
    <w:rsid w:val="002805DF"/>
    <w:rsid w:val="0028092D"/>
    <w:rsid w:val="00281544"/>
    <w:rsid w:val="002815D9"/>
    <w:rsid w:val="00281ACC"/>
    <w:rsid w:val="00282317"/>
    <w:rsid w:val="00282D25"/>
    <w:rsid w:val="00282DF9"/>
    <w:rsid w:val="00283601"/>
    <w:rsid w:val="00283A44"/>
    <w:rsid w:val="002840AC"/>
    <w:rsid w:val="002840F2"/>
    <w:rsid w:val="0028529F"/>
    <w:rsid w:val="00285687"/>
    <w:rsid w:val="00286F55"/>
    <w:rsid w:val="00287649"/>
    <w:rsid w:val="002879BE"/>
    <w:rsid w:val="00287DAB"/>
    <w:rsid w:val="00287FB6"/>
    <w:rsid w:val="002900C5"/>
    <w:rsid w:val="002901E0"/>
    <w:rsid w:val="0029075B"/>
    <w:rsid w:val="00290BB1"/>
    <w:rsid w:val="00291BC1"/>
    <w:rsid w:val="002922E0"/>
    <w:rsid w:val="0029274F"/>
    <w:rsid w:val="002933B9"/>
    <w:rsid w:val="002933CA"/>
    <w:rsid w:val="00293A8F"/>
    <w:rsid w:val="00295155"/>
    <w:rsid w:val="00295D51"/>
    <w:rsid w:val="00296203"/>
    <w:rsid w:val="00296428"/>
    <w:rsid w:val="0029643D"/>
    <w:rsid w:val="00296A94"/>
    <w:rsid w:val="00296F24"/>
    <w:rsid w:val="0029706A"/>
    <w:rsid w:val="002972EE"/>
    <w:rsid w:val="00297C02"/>
    <w:rsid w:val="00297F01"/>
    <w:rsid w:val="002A025D"/>
    <w:rsid w:val="002A052D"/>
    <w:rsid w:val="002A0DF8"/>
    <w:rsid w:val="002A1928"/>
    <w:rsid w:val="002A1F1F"/>
    <w:rsid w:val="002A21B5"/>
    <w:rsid w:val="002A2631"/>
    <w:rsid w:val="002A2A0C"/>
    <w:rsid w:val="002A2B6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5E0E"/>
    <w:rsid w:val="002A75CA"/>
    <w:rsid w:val="002A7889"/>
    <w:rsid w:val="002A799A"/>
    <w:rsid w:val="002B031A"/>
    <w:rsid w:val="002B072D"/>
    <w:rsid w:val="002B097D"/>
    <w:rsid w:val="002B11B2"/>
    <w:rsid w:val="002B17DD"/>
    <w:rsid w:val="002B18F7"/>
    <w:rsid w:val="002B3ED7"/>
    <w:rsid w:val="002B46F9"/>
    <w:rsid w:val="002B4778"/>
    <w:rsid w:val="002B4F0F"/>
    <w:rsid w:val="002B75B2"/>
    <w:rsid w:val="002B79B7"/>
    <w:rsid w:val="002C066F"/>
    <w:rsid w:val="002C141D"/>
    <w:rsid w:val="002C19C0"/>
    <w:rsid w:val="002C2485"/>
    <w:rsid w:val="002C25E0"/>
    <w:rsid w:val="002C2A2D"/>
    <w:rsid w:val="002C36C0"/>
    <w:rsid w:val="002C3928"/>
    <w:rsid w:val="002C3B33"/>
    <w:rsid w:val="002C413B"/>
    <w:rsid w:val="002C435E"/>
    <w:rsid w:val="002C43BB"/>
    <w:rsid w:val="002C44AB"/>
    <w:rsid w:val="002C5770"/>
    <w:rsid w:val="002C58ED"/>
    <w:rsid w:val="002C5E39"/>
    <w:rsid w:val="002C5FA2"/>
    <w:rsid w:val="002C6363"/>
    <w:rsid w:val="002C7A02"/>
    <w:rsid w:val="002C7BD4"/>
    <w:rsid w:val="002C7F86"/>
    <w:rsid w:val="002D0107"/>
    <w:rsid w:val="002D062E"/>
    <w:rsid w:val="002D0D0A"/>
    <w:rsid w:val="002D0D43"/>
    <w:rsid w:val="002D1274"/>
    <w:rsid w:val="002D15C2"/>
    <w:rsid w:val="002D2B10"/>
    <w:rsid w:val="002D31BD"/>
    <w:rsid w:val="002D386A"/>
    <w:rsid w:val="002D3BED"/>
    <w:rsid w:val="002D4100"/>
    <w:rsid w:val="002D477F"/>
    <w:rsid w:val="002D48C6"/>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5DD"/>
    <w:rsid w:val="002E3B81"/>
    <w:rsid w:val="002E3D08"/>
    <w:rsid w:val="002E3E1D"/>
    <w:rsid w:val="002E3EEA"/>
    <w:rsid w:val="002E4344"/>
    <w:rsid w:val="002E4D08"/>
    <w:rsid w:val="002E4DA5"/>
    <w:rsid w:val="002E52B8"/>
    <w:rsid w:val="002E562F"/>
    <w:rsid w:val="002E5DBF"/>
    <w:rsid w:val="002E5E01"/>
    <w:rsid w:val="002E60F5"/>
    <w:rsid w:val="002E6536"/>
    <w:rsid w:val="002E69F5"/>
    <w:rsid w:val="002E6CAA"/>
    <w:rsid w:val="002E73EC"/>
    <w:rsid w:val="002F023D"/>
    <w:rsid w:val="002F0A64"/>
    <w:rsid w:val="002F10EC"/>
    <w:rsid w:val="002F1136"/>
    <w:rsid w:val="002F1231"/>
    <w:rsid w:val="002F1521"/>
    <w:rsid w:val="002F15EE"/>
    <w:rsid w:val="002F3315"/>
    <w:rsid w:val="002F3632"/>
    <w:rsid w:val="002F3AFB"/>
    <w:rsid w:val="002F3C41"/>
    <w:rsid w:val="002F3D36"/>
    <w:rsid w:val="002F4C8E"/>
    <w:rsid w:val="002F5076"/>
    <w:rsid w:val="002F54F2"/>
    <w:rsid w:val="002F5839"/>
    <w:rsid w:val="002F64D9"/>
    <w:rsid w:val="002F651D"/>
    <w:rsid w:val="002F6648"/>
    <w:rsid w:val="002F6E44"/>
    <w:rsid w:val="002F74FD"/>
    <w:rsid w:val="002F787B"/>
    <w:rsid w:val="002F7974"/>
    <w:rsid w:val="002F7D01"/>
    <w:rsid w:val="0030005C"/>
    <w:rsid w:val="00300369"/>
    <w:rsid w:val="00301D0A"/>
    <w:rsid w:val="003022BF"/>
    <w:rsid w:val="003027B8"/>
    <w:rsid w:val="0030293F"/>
    <w:rsid w:val="00302947"/>
    <w:rsid w:val="00302BED"/>
    <w:rsid w:val="00302C50"/>
    <w:rsid w:val="003031C2"/>
    <w:rsid w:val="00303436"/>
    <w:rsid w:val="00303861"/>
    <w:rsid w:val="00304FFF"/>
    <w:rsid w:val="003053E4"/>
    <w:rsid w:val="00305557"/>
    <w:rsid w:val="0030561F"/>
    <w:rsid w:val="00305CA3"/>
    <w:rsid w:val="003068F6"/>
    <w:rsid w:val="00306E5C"/>
    <w:rsid w:val="00307B8A"/>
    <w:rsid w:val="00307C19"/>
    <w:rsid w:val="00310732"/>
    <w:rsid w:val="003107C8"/>
    <w:rsid w:val="00310BC9"/>
    <w:rsid w:val="00311762"/>
    <w:rsid w:val="00311E98"/>
    <w:rsid w:val="00312050"/>
    <w:rsid w:val="00312215"/>
    <w:rsid w:val="0031249C"/>
    <w:rsid w:val="003125C3"/>
    <w:rsid w:val="00312896"/>
    <w:rsid w:val="00312F93"/>
    <w:rsid w:val="00313EAC"/>
    <w:rsid w:val="003142F4"/>
    <w:rsid w:val="003143EC"/>
    <w:rsid w:val="0031454E"/>
    <w:rsid w:val="0031611F"/>
    <w:rsid w:val="003161EB"/>
    <w:rsid w:val="0031665D"/>
    <w:rsid w:val="00317A33"/>
    <w:rsid w:val="00320339"/>
    <w:rsid w:val="00320699"/>
    <w:rsid w:val="00320C1D"/>
    <w:rsid w:val="00321214"/>
    <w:rsid w:val="003213D5"/>
    <w:rsid w:val="0032241C"/>
    <w:rsid w:val="003226E4"/>
    <w:rsid w:val="0032286A"/>
    <w:rsid w:val="00323737"/>
    <w:rsid w:val="00323AD6"/>
    <w:rsid w:val="00323F27"/>
    <w:rsid w:val="003242EF"/>
    <w:rsid w:val="00325339"/>
    <w:rsid w:val="003255AA"/>
    <w:rsid w:val="003257C8"/>
    <w:rsid w:val="00326A45"/>
    <w:rsid w:val="00326DF3"/>
    <w:rsid w:val="00327E5D"/>
    <w:rsid w:val="00330321"/>
    <w:rsid w:val="003314B6"/>
    <w:rsid w:val="00331A20"/>
    <w:rsid w:val="00331E65"/>
    <w:rsid w:val="00333107"/>
    <w:rsid w:val="0033343B"/>
    <w:rsid w:val="003336A1"/>
    <w:rsid w:val="0033393C"/>
    <w:rsid w:val="00333D3D"/>
    <w:rsid w:val="003357EE"/>
    <w:rsid w:val="00336954"/>
    <w:rsid w:val="00337368"/>
    <w:rsid w:val="00337B4D"/>
    <w:rsid w:val="0034007D"/>
    <w:rsid w:val="003407A9"/>
    <w:rsid w:val="00340BA3"/>
    <w:rsid w:val="00340BAF"/>
    <w:rsid w:val="00340C2B"/>
    <w:rsid w:val="00340F9A"/>
    <w:rsid w:val="00341018"/>
    <w:rsid w:val="00341B09"/>
    <w:rsid w:val="003420D9"/>
    <w:rsid w:val="003421E2"/>
    <w:rsid w:val="003423E0"/>
    <w:rsid w:val="003424E2"/>
    <w:rsid w:val="0034301A"/>
    <w:rsid w:val="00343D76"/>
    <w:rsid w:val="0034466A"/>
    <w:rsid w:val="00344DFD"/>
    <w:rsid w:val="003451D3"/>
    <w:rsid w:val="00345E4E"/>
    <w:rsid w:val="00346631"/>
    <w:rsid w:val="00346AAD"/>
    <w:rsid w:val="00346D96"/>
    <w:rsid w:val="0034736A"/>
    <w:rsid w:val="0034747C"/>
    <w:rsid w:val="00347B6C"/>
    <w:rsid w:val="003501F8"/>
    <w:rsid w:val="0035151C"/>
    <w:rsid w:val="00352254"/>
    <w:rsid w:val="003522A3"/>
    <w:rsid w:val="00353929"/>
    <w:rsid w:val="00353CFC"/>
    <w:rsid w:val="00353EA8"/>
    <w:rsid w:val="00353F9E"/>
    <w:rsid w:val="003540D1"/>
    <w:rsid w:val="003545BF"/>
    <w:rsid w:val="0035586A"/>
    <w:rsid w:val="00355D17"/>
    <w:rsid w:val="0035611A"/>
    <w:rsid w:val="00356C3D"/>
    <w:rsid w:val="00360476"/>
    <w:rsid w:val="00360B75"/>
    <w:rsid w:val="0036151C"/>
    <w:rsid w:val="00361A9B"/>
    <w:rsid w:val="00361CDD"/>
    <w:rsid w:val="003624DA"/>
    <w:rsid w:val="00362CCF"/>
    <w:rsid w:val="003631DB"/>
    <w:rsid w:val="00363B9A"/>
    <w:rsid w:val="00363CEF"/>
    <w:rsid w:val="00364524"/>
    <w:rsid w:val="0036513A"/>
    <w:rsid w:val="00365237"/>
    <w:rsid w:val="0036536A"/>
    <w:rsid w:val="0036559C"/>
    <w:rsid w:val="0036587E"/>
    <w:rsid w:val="003660CD"/>
    <w:rsid w:val="00366B08"/>
    <w:rsid w:val="003672D1"/>
    <w:rsid w:val="00367496"/>
    <w:rsid w:val="003678BE"/>
    <w:rsid w:val="00367C92"/>
    <w:rsid w:val="003700F8"/>
    <w:rsid w:val="00370949"/>
    <w:rsid w:val="0037243B"/>
    <w:rsid w:val="0037251C"/>
    <w:rsid w:val="0037272C"/>
    <w:rsid w:val="00372B9A"/>
    <w:rsid w:val="003731BF"/>
    <w:rsid w:val="00375287"/>
    <w:rsid w:val="00375791"/>
    <w:rsid w:val="00375826"/>
    <w:rsid w:val="00375994"/>
    <w:rsid w:val="00375C59"/>
    <w:rsid w:val="00375E05"/>
    <w:rsid w:val="0037627B"/>
    <w:rsid w:val="00376BB7"/>
    <w:rsid w:val="00376E5B"/>
    <w:rsid w:val="00376EEE"/>
    <w:rsid w:val="00377BA1"/>
    <w:rsid w:val="00377FF0"/>
    <w:rsid w:val="00380616"/>
    <w:rsid w:val="00381022"/>
    <w:rsid w:val="003814B8"/>
    <w:rsid w:val="00382909"/>
    <w:rsid w:val="00382EE1"/>
    <w:rsid w:val="003841C3"/>
    <w:rsid w:val="00384258"/>
    <w:rsid w:val="00384E43"/>
    <w:rsid w:val="00385131"/>
    <w:rsid w:val="0038620B"/>
    <w:rsid w:val="00387011"/>
    <w:rsid w:val="00387647"/>
    <w:rsid w:val="0038791A"/>
    <w:rsid w:val="00390056"/>
    <w:rsid w:val="0039055C"/>
    <w:rsid w:val="00390718"/>
    <w:rsid w:val="00390767"/>
    <w:rsid w:val="00390883"/>
    <w:rsid w:val="003911C7"/>
    <w:rsid w:val="00391403"/>
    <w:rsid w:val="00391470"/>
    <w:rsid w:val="003920C4"/>
    <w:rsid w:val="00392184"/>
    <w:rsid w:val="00392652"/>
    <w:rsid w:val="00392B41"/>
    <w:rsid w:val="0039456F"/>
    <w:rsid w:val="003945C8"/>
    <w:rsid w:val="0039480D"/>
    <w:rsid w:val="00395446"/>
    <w:rsid w:val="00396725"/>
    <w:rsid w:val="00396760"/>
    <w:rsid w:val="00396C9D"/>
    <w:rsid w:val="00397A28"/>
    <w:rsid w:val="00397B2A"/>
    <w:rsid w:val="00397E94"/>
    <w:rsid w:val="00397F05"/>
    <w:rsid w:val="003A0442"/>
    <w:rsid w:val="003A0899"/>
    <w:rsid w:val="003A1512"/>
    <w:rsid w:val="003A1EB7"/>
    <w:rsid w:val="003A23F3"/>
    <w:rsid w:val="003A2D82"/>
    <w:rsid w:val="003A312A"/>
    <w:rsid w:val="003A337C"/>
    <w:rsid w:val="003A36DA"/>
    <w:rsid w:val="003A38F1"/>
    <w:rsid w:val="003A3D1B"/>
    <w:rsid w:val="003A3F39"/>
    <w:rsid w:val="003A4296"/>
    <w:rsid w:val="003A4549"/>
    <w:rsid w:val="003A49B3"/>
    <w:rsid w:val="003A55B4"/>
    <w:rsid w:val="003A61B6"/>
    <w:rsid w:val="003A623F"/>
    <w:rsid w:val="003A6769"/>
    <w:rsid w:val="003A71AD"/>
    <w:rsid w:val="003A7D1D"/>
    <w:rsid w:val="003B0EE7"/>
    <w:rsid w:val="003B1688"/>
    <w:rsid w:val="003B1FA4"/>
    <w:rsid w:val="003B1FE6"/>
    <w:rsid w:val="003B2813"/>
    <w:rsid w:val="003B3106"/>
    <w:rsid w:val="003B3974"/>
    <w:rsid w:val="003B39E0"/>
    <w:rsid w:val="003B3DAB"/>
    <w:rsid w:val="003B404D"/>
    <w:rsid w:val="003B419E"/>
    <w:rsid w:val="003B4B34"/>
    <w:rsid w:val="003B4CDA"/>
    <w:rsid w:val="003B4F2D"/>
    <w:rsid w:val="003B5BD9"/>
    <w:rsid w:val="003B64A3"/>
    <w:rsid w:val="003B68EC"/>
    <w:rsid w:val="003B6DB8"/>
    <w:rsid w:val="003B6FF6"/>
    <w:rsid w:val="003B72B9"/>
    <w:rsid w:val="003B7654"/>
    <w:rsid w:val="003C0887"/>
    <w:rsid w:val="003C08AF"/>
    <w:rsid w:val="003C1B89"/>
    <w:rsid w:val="003C1FA3"/>
    <w:rsid w:val="003C2EDD"/>
    <w:rsid w:val="003C3025"/>
    <w:rsid w:val="003C3220"/>
    <w:rsid w:val="003C3A47"/>
    <w:rsid w:val="003C3A79"/>
    <w:rsid w:val="003C3DFF"/>
    <w:rsid w:val="003C488A"/>
    <w:rsid w:val="003C48F2"/>
    <w:rsid w:val="003C5177"/>
    <w:rsid w:val="003C52B0"/>
    <w:rsid w:val="003C5911"/>
    <w:rsid w:val="003C5CDB"/>
    <w:rsid w:val="003C6465"/>
    <w:rsid w:val="003C65E4"/>
    <w:rsid w:val="003C6DF4"/>
    <w:rsid w:val="003C7712"/>
    <w:rsid w:val="003C7862"/>
    <w:rsid w:val="003C7ECD"/>
    <w:rsid w:val="003D007D"/>
    <w:rsid w:val="003D01A1"/>
    <w:rsid w:val="003D0372"/>
    <w:rsid w:val="003D04D6"/>
    <w:rsid w:val="003D04F6"/>
    <w:rsid w:val="003D18CC"/>
    <w:rsid w:val="003D2543"/>
    <w:rsid w:val="003D2CFB"/>
    <w:rsid w:val="003D3583"/>
    <w:rsid w:val="003D391E"/>
    <w:rsid w:val="003D3B6F"/>
    <w:rsid w:val="003D3C89"/>
    <w:rsid w:val="003D40E8"/>
    <w:rsid w:val="003D44FC"/>
    <w:rsid w:val="003D455E"/>
    <w:rsid w:val="003D5785"/>
    <w:rsid w:val="003D5A2D"/>
    <w:rsid w:val="003D5A9D"/>
    <w:rsid w:val="003D62C0"/>
    <w:rsid w:val="003D65F6"/>
    <w:rsid w:val="003D6911"/>
    <w:rsid w:val="003D7541"/>
    <w:rsid w:val="003D77DA"/>
    <w:rsid w:val="003D7E4B"/>
    <w:rsid w:val="003E0035"/>
    <w:rsid w:val="003E0C14"/>
    <w:rsid w:val="003E0D6F"/>
    <w:rsid w:val="003E13E5"/>
    <w:rsid w:val="003E1591"/>
    <w:rsid w:val="003E1ACF"/>
    <w:rsid w:val="003E216C"/>
    <w:rsid w:val="003E236E"/>
    <w:rsid w:val="003E259D"/>
    <w:rsid w:val="003E26BA"/>
    <w:rsid w:val="003E2906"/>
    <w:rsid w:val="003E2969"/>
    <w:rsid w:val="003E2C1A"/>
    <w:rsid w:val="003E2DEB"/>
    <w:rsid w:val="003E330F"/>
    <w:rsid w:val="003E3478"/>
    <w:rsid w:val="003E4E74"/>
    <w:rsid w:val="003E5818"/>
    <w:rsid w:val="003E5F7D"/>
    <w:rsid w:val="003E642B"/>
    <w:rsid w:val="003E6520"/>
    <w:rsid w:val="003E6676"/>
    <w:rsid w:val="003E67E7"/>
    <w:rsid w:val="003E6B3C"/>
    <w:rsid w:val="003E6B95"/>
    <w:rsid w:val="003E70FF"/>
    <w:rsid w:val="003E7F1B"/>
    <w:rsid w:val="003F0B41"/>
    <w:rsid w:val="003F0B70"/>
    <w:rsid w:val="003F1C6C"/>
    <w:rsid w:val="003F1E39"/>
    <w:rsid w:val="003F229D"/>
    <w:rsid w:val="003F25F0"/>
    <w:rsid w:val="003F2D5B"/>
    <w:rsid w:val="003F33E5"/>
    <w:rsid w:val="003F4EFC"/>
    <w:rsid w:val="003F5AD2"/>
    <w:rsid w:val="003F5CA4"/>
    <w:rsid w:val="003F6D50"/>
    <w:rsid w:val="003F7006"/>
    <w:rsid w:val="003F7023"/>
    <w:rsid w:val="003F7507"/>
    <w:rsid w:val="003F7C72"/>
    <w:rsid w:val="003F7D10"/>
    <w:rsid w:val="00401000"/>
    <w:rsid w:val="004016C6"/>
    <w:rsid w:val="0040179A"/>
    <w:rsid w:val="00401856"/>
    <w:rsid w:val="004028A2"/>
    <w:rsid w:val="00402FEB"/>
    <w:rsid w:val="00403344"/>
    <w:rsid w:val="00403C82"/>
    <w:rsid w:val="00404C44"/>
    <w:rsid w:val="00404EE8"/>
    <w:rsid w:val="00404F5A"/>
    <w:rsid w:val="0040510D"/>
    <w:rsid w:val="0040512D"/>
    <w:rsid w:val="004059E4"/>
    <w:rsid w:val="00405DF1"/>
    <w:rsid w:val="0040602F"/>
    <w:rsid w:val="00406AFB"/>
    <w:rsid w:val="00407382"/>
    <w:rsid w:val="0040741F"/>
    <w:rsid w:val="0040791B"/>
    <w:rsid w:val="00411958"/>
    <w:rsid w:val="00411B2A"/>
    <w:rsid w:val="00412973"/>
    <w:rsid w:val="00412B8E"/>
    <w:rsid w:val="00412D42"/>
    <w:rsid w:val="00412DA4"/>
    <w:rsid w:val="00412EB6"/>
    <w:rsid w:val="0041351F"/>
    <w:rsid w:val="004137C8"/>
    <w:rsid w:val="00413BF9"/>
    <w:rsid w:val="00413C25"/>
    <w:rsid w:val="00415531"/>
    <w:rsid w:val="00416330"/>
    <w:rsid w:val="00416583"/>
    <w:rsid w:val="004176C7"/>
    <w:rsid w:val="00417877"/>
    <w:rsid w:val="00417D9F"/>
    <w:rsid w:val="00420229"/>
    <w:rsid w:val="00420DBA"/>
    <w:rsid w:val="00421311"/>
    <w:rsid w:val="00422E13"/>
    <w:rsid w:val="0042350F"/>
    <w:rsid w:val="00423599"/>
    <w:rsid w:val="0042384C"/>
    <w:rsid w:val="00423893"/>
    <w:rsid w:val="00423BC9"/>
    <w:rsid w:val="00424FB1"/>
    <w:rsid w:val="00425012"/>
    <w:rsid w:val="00425173"/>
    <w:rsid w:val="004255B4"/>
    <w:rsid w:val="00426766"/>
    <w:rsid w:val="004267D0"/>
    <w:rsid w:val="004276CB"/>
    <w:rsid w:val="004278EC"/>
    <w:rsid w:val="004279CA"/>
    <w:rsid w:val="00427A82"/>
    <w:rsid w:val="00427EA2"/>
    <w:rsid w:val="00427EDB"/>
    <w:rsid w:val="00430115"/>
    <w:rsid w:val="004303CA"/>
    <w:rsid w:val="00430A4B"/>
    <w:rsid w:val="00431C46"/>
    <w:rsid w:val="00431E3A"/>
    <w:rsid w:val="004327E6"/>
    <w:rsid w:val="004329DC"/>
    <w:rsid w:val="00432AC6"/>
    <w:rsid w:val="00434C5E"/>
    <w:rsid w:val="00435765"/>
    <w:rsid w:val="004360B6"/>
    <w:rsid w:val="004362E5"/>
    <w:rsid w:val="00436356"/>
    <w:rsid w:val="00436BB0"/>
    <w:rsid w:val="0044041E"/>
    <w:rsid w:val="00440722"/>
    <w:rsid w:val="00440DF5"/>
    <w:rsid w:val="0044193B"/>
    <w:rsid w:val="004425D9"/>
    <w:rsid w:val="00442632"/>
    <w:rsid w:val="00443244"/>
    <w:rsid w:val="004437BA"/>
    <w:rsid w:val="00444AF6"/>
    <w:rsid w:val="0044519D"/>
    <w:rsid w:val="00445544"/>
    <w:rsid w:val="00445C0B"/>
    <w:rsid w:val="00446195"/>
    <w:rsid w:val="00447CD0"/>
    <w:rsid w:val="00447FC2"/>
    <w:rsid w:val="004501E7"/>
    <w:rsid w:val="004502F4"/>
    <w:rsid w:val="004506F4"/>
    <w:rsid w:val="004509D1"/>
    <w:rsid w:val="00450A42"/>
    <w:rsid w:val="00450C7D"/>
    <w:rsid w:val="004513A5"/>
    <w:rsid w:val="00451C67"/>
    <w:rsid w:val="00451D50"/>
    <w:rsid w:val="004525C8"/>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B9B"/>
    <w:rsid w:val="00457D63"/>
    <w:rsid w:val="00457E21"/>
    <w:rsid w:val="0046007E"/>
    <w:rsid w:val="0046024B"/>
    <w:rsid w:val="00460C1F"/>
    <w:rsid w:val="00460E36"/>
    <w:rsid w:val="00460E53"/>
    <w:rsid w:val="00461155"/>
    <w:rsid w:val="004616FE"/>
    <w:rsid w:val="0046218C"/>
    <w:rsid w:val="004623D4"/>
    <w:rsid w:val="00462EA3"/>
    <w:rsid w:val="00462FE8"/>
    <w:rsid w:val="004638BE"/>
    <w:rsid w:val="00463944"/>
    <w:rsid w:val="00463E33"/>
    <w:rsid w:val="0046512A"/>
    <w:rsid w:val="00465234"/>
    <w:rsid w:val="00465829"/>
    <w:rsid w:val="00465B24"/>
    <w:rsid w:val="00466858"/>
    <w:rsid w:val="00466D0F"/>
    <w:rsid w:val="00467544"/>
    <w:rsid w:val="004676BA"/>
    <w:rsid w:val="0046784C"/>
    <w:rsid w:val="00467ECB"/>
    <w:rsid w:val="00470865"/>
    <w:rsid w:val="004710C3"/>
    <w:rsid w:val="00471459"/>
    <w:rsid w:val="00472274"/>
    <w:rsid w:val="004722D4"/>
    <w:rsid w:val="00472D9C"/>
    <w:rsid w:val="00472F60"/>
    <w:rsid w:val="00473777"/>
    <w:rsid w:val="00473B60"/>
    <w:rsid w:val="00475135"/>
    <w:rsid w:val="00475435"/>
    <w:rsid w:val="00475AFF"/>
    <w:rsid w:val="00475D30"/>
    <w:rsid w:val="004765F4"/>
    <w:rsid w:val="00476B4D"/>
    <w:rsid w:val="00476CBC"/>
    <w:rsid w:val="00476E6C"/>
    <w:rsid w:val="00477282"/>
    <w:rsid w:val="00477947"/>
    <w:rsid w:val="00480FA1"/>
    <w:rsid w:val="00481FD7"/>
    <w:rsid w:val="00482DE5"/>
    <w:rsid w:val="00483266"/>
    <w:rsid w:val="0048352E"/>
    <w:rsid w:val="004836A9"/>
    <w:rsid w:val="00483B23"/>
    <w:rsid w:val="004840D7"/>
    <w:rsid w:val="004846F4"/>
    <w:rsid w:val="00485C26"/>
    <w:rsid w:val="00485EC0"/>
    <w:rsid w:val="004875E1"/>
    <w:rsid w:val="00487B37"/>
    <w:rsid w:val="00490636"/>
    <w:rsid w:val="00490FF0"/>
    <w:rsid w:val="004910FE"/>
    <w:rsid w:val="00491198"/>
    <w:rsid w:val="004917E0"/>
    <w:rsid w:val="0049196D"/>
    <w:rsid w:val="00491BF6"/>
    <w:rsid w:val="00491FED"/>
    <w:rsid w:val="00492F82"/>
    <w:rsid w:val="004943C2"/>
    <w:rsid w:val="00494918"/>
    <w:rsid w:val="00494C65"/>
    <w:rsid w:val="00494F0C"/>
    <w:rsid w:val="00495557"/>
    <w:rsid w:val="0049618D"/>
    <w:rsid w:val="004965EF"/>
    <w:rsid w:val="0049719D"/>
    <w:rsid w:val="00497FCD"/>
    <w:rsid w:val="004A06DC"/>
    <w:rsid w:val="004A0D1E"/>
    <w:rsid w:val="004A0E60"/>
    <w:rsid w:val="004A0E66"/>
    <w:rsid w:val="004A0EEC"/>
    <w:rsid w:val="004A130F"/>
    <w:rsid w:val="004A17EF"/>
    <w:rsid w:val="004A1BDA"/>
    <w:rsid w:val="004A22DA"/>
    <w:rsid w:val="004A2700"/>
    <w:rsid w:val="004A2E18"/>
    <w:rsid w:val="004A36C8"/>
    <w:rsid w:val="004A3721"/>
    <w:rsid w:val="004A3742"/>
    <w:rsid w:val="004A37B8"/>
    <w:rsid w:val="004A3927"/>
    <w:rsid w:val="004A3ED3"/>
    <w:rsid w:val="004A47BC"/>
    <w:rsid w:val="004A4AC6"/>
    <w:rsid w:val="004A5AE0"/>
    <w:rsid w:val="004A7F48"/>
    <w:rsid w:val="004B1199"/>
    <w:rsid w:val="004B16C4"/>
    <w:rsid w:val="004B1867"/>
    <w:rsid w:val="004B2A64"/>
    <w:rsid w:val="004B3073"/>
    <w:rsid w:val="004B352E"/>
    <w:rsid w:val="004B3EAB"/>
    <w:rsid w:val="004B4007"/>
    <w:rsid w:val="004B41DA"/>
    <w:rsid w:val="004B470D"/>
    <w:rsid w:val="004B4764"/>
    <w:rsid w:val="004B4846"/>
    <w:rsid w:val="004B5394"/>
    <w:rsid w:val="004B5BDD"/>
    <w:rsid w:val="004B6A59"/>
    <w:rsid w:val="004B6E9E"/>
    <w:rsid w:val="004B6F83"/>
    <w:rsid w:val="004B7C29"/>
    <w:rsid w:val="004C06E5"/>
    <w:rsid w:val="004C0B22"/>
    <w:rsid w:val="004C198D"/>
    <w:rsid w:val="004C1B7D"/>
    <w:rsid w:val="004C1CE6"/>
    <w:rsid w:val="004C1E3C"/>
    <w:rsid w:val="004C1F56"/>
    <w:rsid w:val="004C2171"/>
    <w:rsid w:val="004C25F0"/>
    <w:rsid w:val="004C26DD"/>
    <w:rsid w:val="004C2B5D"/>
    <w:rsid w:val="004C2D68"/>
    <w:rsid w:val="004C2F56"/>
    <w:rsid w:val="004C339D"/>
    <w:rsid w:val="004C33E8"/>
    <w:rsid w:val="004C426D"/>
    <w:rsid w:val="004C4307"/>
    <w:rsid w:val="004C4309"/>
    <w:rsid w:val="004C49E3"/>
    <w:rsid w:val="004C4E8A"/>
    <w:rsid w:val="004C50A3"/>
    <w:rsid w:val="004C514A"/>
    <w:rsid w:val="004C6572"/>
    <w:rsid w:val="004C6D4F"/>
    <w:rsid w:val="004C6E1C"/>
    <w:rsid w:val="004C7541"/>
    <w:rsid w:val="004C775F"/>
    <w:rsid w:val="004D1E71"/>
    <w:rsid w:val="004D2809"/>
    <w:rsid w:val="004D28EF"/>
    <w:rsid w:val="004D2CDF"/>
    <w:rsid w:val="004D33CE"/>
    <w:rsid w:val="004D4AAE"/>
    <w:rsid w:val="004D66C4"/>
    <w:rsid w:val="004D727A"/>
    <w:rsid w:val="004D7C86"/>
    <w:rsid w:val="004D7F08"/>
    <w:rsid w:val="004E0197"/>
    <w:rsid w:val="004E01AC"/>
    <w:rsid w:val="004E0D2C"/>
    <w:rsid w:val="004E1122"/>
    <w:rsid w:val="004E1409"/>
    <w:rsid w:val="004E1A87"/>
    <w:rsid w:val="004E1BB0"/>
    <w:rsid w:val="004E3030"/>
    <w:rsid w:val="004E3185"/>
    <w:rsid w:val="004E3311"/>
    <w:rsid w:val="004E38EC"/>
    <w:rsid w:val="004E3933"/>
    <w:rsid w:val="004E4549"/>
    <w:rsid w:val="004E4C83"/>
    <w:rsid w:val="004E4D53"/>
    <w:rsid w:val="004E4D84"/>
    <w:rsid w:val="004E4EBC"/>
    <w:rsid w:val="004E5104"/>
    <w:rsid w:val="004E5B06"/>
    <w:rsid w:val="004E5C48"/>
    <w:rsid w:val="004E5D84"/>
    <w:rsid w:val="004E5FA8"/>
    <w:rsid w:val="004E684C"/>
    <w:rsid w:val="004E6FF1"/>
    <w:rsid w:val="004E757F"/>
    <w:rsid w:val="004E76DB"/>
    <w:rsid w:val="004F1F90"/>
    <w:rsid w:val="004F2401"/>
    <w:rsid w:val="004F243D"/>
    <w:rsid w:val="004F290B"/>
    <w:rsid w:val="004F2A44"/>
    <w:rsid w:val="004F2DAD"/>
    <w:rsid w:val="004F34F7"/>
    <w:rsid w:val="004F4D22"/>
    <w:rsid w:val="004F55D6"/>
    <w:rsid w:val="004F565A"/>
    <w:rsid w:val="004F571B"/>
    <w:rsid w:val="004F64EB"/>
    <w:rsid w:val="004F6902"/>
    <w:rsid w:val="004F6F08"/>
    <w:rsid w:val="004F756C"/>
    <w:rsid w:val="004F7A74"/>
    <w:rsid w:val="00500161"/>
    <w:rsid w:val="00500250"/>
    <w:rsid w:val="00500264"/>
    <w:rsid w:val="00500824"/>
    <w:rsid w:val="00500DAB"/>
    <w:rsid w:val="00501144"/>
    <w:rsid w:val="005013EF"/>
    <w:rsid w:val="005019E0"/>
    <w:rsid w:val="0050211F"/>
    <w:rsid w:val="005022E7"/>
    <w:rsid w:val="00502A93"/>
    <w:rsid w:val="005037F9"/>
    <w:rsid w:val="0050510B"/>
    <w:rsid w:val="00505CDE"/>
    <w:rsid w:val="00506083"/>
    <w:rsid w:val="005068D6"/>
    <w:rsid w:val="00506B86"/>
    <w:rsid w:val="00506EEC"/>
    <w:rsid w:val="00506FD4"/>
    <w:rsid w:val="005107FF"/>
    <w:rsid w:val="00510843"/>
    <w:rsid w:val="00510CBC"/>
    <w:rsid w:val="0051102D"/>
    <w:rsid w:val="005112A5"/>
    <w:rsid w:val="00511509"/>
    <w:rsid w:val="00511F48"/>
    <w:rsid w:val="00512448"/>
    <w:rsid w:val="0051253A"/>
    <w:rsid w:val="0051266C"/>
    <w:rsid w:val="00512DB9"/>
    <w:rsid w:val="00513B72"/>
    <w:rsid w:val="005151B5"/>
    <w:rsid w:val="00515277"/>
    <w:rsid w:val="005158C2"/>
    <w:rsid w:val="005169DE"/>
    <w:rsid w:val="0051754D"/>
    <w:rsid w:val="0051785D"/>
    <w:rsid w:val="00517913"/>
    <w:rsid w:val="0052005F"/>
    <w:rsid w:val="00520200"/>
    <w:rsid w:val="00520E2D"/>
    <w:rsid w:val="00520F04"/>
    <w:rsid w:val="00521717"/>
    <w:rsid w:val="005224B2"/>
    <w:rsid w:val="00522A17"/>
    <w:rsid w:val="00523546"/>
    <w:rsid w:val="005236CB"/>
    <w:rsid w:val="0052396A"/>
    <w:rsid w:val="00523B23"/>
    <w:rsid w:val="00523DFA"/>
    <w:rsid w:val="00524D5E"/>
    <w:rsid w:val="005254BC"/>
    <w:rsid w:val="005256FC"/>
    <w:rsid w:val="00526C27"/>
    <w:rsid w:val="00526DFF"/>
    <w:rsid w:val="00527473"/>
    <w:rsid w:val="00527D4B"/>
    <w:rsid w:val="00527EF9"/>
    <w:rsid w:val="005305FF"/>
    <w:rsid w:val="00530C9B"/>
    <w:rsid w:val="00532334"/>
    <w:rsid w:val="005324AF"/>
    <w:rsid w:val="0053402C"/>
    <w:rsid w:val="00534090"/>
    <w:rsid w:val="00534ABA"/>
    <w:rsid w:val="00534DA8"/>
    <w:rsid w:val="00535AED"/>
    <w:rsid w:val="00535FFF"/>
    <w:rsid w:val="0053616F"/>
    <w:rsid w:val="005368AD"/>
    <w:rsid w:val="00536BE8"/>
    <w:rsid w:val="005370BC"/>
    <w:rsid w:val="00537B35"/>
    <w:rsid w:val="00537DE7"/>
    <w:rsid w:val="00537EC4"/>
    <w:rsid w:val="00537FE4"/>
    <w:rsid w:val="0054027D"/>
    <w:rsid w:val="00541222"/>
    <w:rsid w:val="00541A8D"/>
    <w:rsid w:val="00541D4D"/>
    <w:rsid w:val="00542693"/>
    <w:rsid w:val="0054309B"/>
    <w:rsid w:val="005431D0"/>
    <w:rsid w:val="0054479E"/>
    <w:rsid w:val="00544BC5"/>
    <w:rsid w:val="00544DA0"/>
    <w:rsid w:val="005454BD"/>
    <w:rsid w:val="005457E4"/>
    <w:rsid w:val="00546C49"/>
    <w:rsid w:val="00547D19"/>
    <w:rsid w:val="0055010B"/>
    <w:rsid w:val="005502D3"/>
    <w:rsid w:val="00550D59"/>
    <w:rsid w:val="00550D66"/>
    <w:rsid w:val="00550DF5"/>
    <w:rsid w:val="0055110D"/>
    <w:rsid w:val="00551297"/>
    <w:rsid w:val="0055142F"/>
    <w:rsid w:val="00551F81"/>
    <w:rsid w:val="0055210F"/>
    <w:rsid w:val="00552CD7"/>
    <w:rsid w:val="005533BE"/>
    <w:rsid w:val="00554A3B"/>
    <w:rsid w:val="00554B30"/>
    <w:rsid w:val="00554FFB"/>
    <w:rsid w:val="005568DE"/>
    <w:rsid w:val="0055699C"/>
    <w:rsid w:val="00557C50"/>
    <w:rsid w:val="00560404"/>
    <w:rsid w:val="005606B6"/>
    <w:rsid w:val="005608D6"/>
    <w:rsid w:val="00560F19"/>
    <w:rsid w:val="00561E6B"/>
    <w:rsid w:val="005621D2"/>
    <w:rsid w:val="005621E0"/>
    <w:rsid w:val="00562D90"/>
    <w:rsid w:val="00563A23"/>
    <w:rsid w:val="00563A3D"/>
    <w:rsid w:val="00563A5A"/>
    <w:rsid w:val="00563C61"/>
    <w:rsid w:val="00563ECB"/>
    <w:rsid w:val="00563F47"/>
    <w:rsid w:val="005640BB"/>
    <w:rsid w:val="00564249"/>
    <w:rsid w:val="00564C23"/>
    <w:rsid w:val="00565406"/>
    <w:rsid w:val="00565570"/>
    <w:rsid w:val="005657DD"/>
    <w:rsid w:val="00565B29"/>
    <w:rsid w:val="005664CC"/>
    <w:rsid w:val="0056664B"/>
    <w:rsid w:val="00567588"/>
    <w:rsid w:val="00567992"/>
    <w:rsid w:val="00567C3C"/>
    <w:rsid w:val="005702F8"/>
    <w:rsid w:val="00571231"/>
    <w:rsid w:val="00571767"/>
    <w:rsid w:val="00571A98"/>
    <w:rsid w:val="00571D4F"/>
    <w:rsid w:val="00571E44"/>
    <w:rsid w:val="00573C9A"/>
    <w:rsid w:val="00573E61"/>
    <w:rsid w:val="00573F88"/>
    <w:rsid w:val="0057411B"/>
    <w:rsid w:val="00574525"/>
    <w:rsid w:val="00574778"/>
    <w:rsid w:val="0057498F"/>
    <w:rsid w:val="00574DE9"/>
    <w:rsid w:val="00575DF4"/>
    <w:rsid w:val="00576D65"/>
    <w:rsid w:val="0057765D"/>
    <w:rsid w:val="005777FC"/>
    <w:rsid w:val="005803CD"/>
    <w:rsid w:val="00580441"/>
    <w:rsid w:val="005808EB"/>
    <w:rsid w:val="00580D37"/>
    <w:rsid w:val="00580FCB"/>
    <w:rsid w:val="00581FA0"/>
    <w:rsid w:val="00582B90"/>
    <w:rsid w:val="005831A7"/>
    <w:rsid w:val="00583321"/>
    <w:rsid w:val="0058341E"/>
    <w:rsid w:val="0058424C"/>
    <w:rsid w:val="00584F3A"/>
    <w:rsid w:val="005853AB"/>
    <w:rsid w:val="00585748"/>
    <w:rsid w:val="005859C5"/>
    <w:rsid w:val="00585C79"/>
    <w:rsid w:val="00586144"/>
    <w:rsid w:val="00587785"/>
    <w:rsid w:val="0058788D"/>
    <w:rsid w:val="00587B1B"/>
    <w:rsid w:val="00587E29"/>
    <w:rsid w:val="00587FE6"/>
    <w:rsid w:val="00591698"/>
    <w:rsid w:val="00592862"/>
    <w:rsid w:val="00593B87"/>
    <w:rsid w:val="00593C1C"/>
    <w:rsid w:val="00593E94"/>
    <w:rsid w:val="00594143"/>
    <w:rsid w:val="00594543"/>
    <w:rsid w:val="00594612"/>
    <w:rsid w:val="00595873"/>
    <w:rsid w:val="00595CDD"/>
    <w:rsid w:val="005964BB"/>
    <w:rsid w:val="00596834"/>
    <w:rsid w:val="00596A70"/>
    <w:rsid w:val="00596BD3"/>
    <w:rsid w:val="00596BE7"/>
    <w:rsid w:val="00596C3E"/>
    <w:rsid w:val="005977DD"/>
    <w:rsid w:val="005A0038"/>
    <w:rsid w:val="005A04BD"/>
    <w:rsid w:val="005A07CE"/>
    <w:rsid w:val="005A0A3F"/>
    <w:rsid w:val="005A114F"/>
    <w:rsid w:val="005A1F49"/>
    <w:rsid w:val="005A2364"/>
    <w:rsid w:val="005A2480"/>
    <w:rsid w:val="005A2B2C"/>
    <w:rsid w:val="005A2D6B"/>
    <w:rsid w:val="005A3252"/>
    <w:rsid w:val="005A33F7"/>
    <w:rsid w:val="005A3FE7"/>
    <w:rsid w:val="005A40CF"/>
    <w:rsid w:val="005A4A0A"/>
    <w:rsid w:val="005A4A9C"/>
    <w:rsid w:val="005A4BAE"/>
    <w:rsid w:val="005A4F39"/>
    <w:rsid w:val="005A574D"/>
    <w:rsid w:val="005A5B5C"/>
    <w:rsid w:val="005A65F5"/>
    <w:rsid w:val="005A6E93"/>
    <w:rsid w:val="005A707A"/>
    <w:rsid w:val="005A7340"/>
    <w:rsid w:val="005A7E58"/>
    <w:rsid w:val="005A7F93"/>
    <w:rsid w:val="005B07EA"/>
    <w:rsid w:val="005B0B20"/>
    <w:rsid w:val="005B0BD6"/>
    <w:rsid w:val="005B0C0E"/>
    <w:rsid w:val="005B0EFB"/>
    <w:rsid w:val="005B1060"/>
    <w:rsid w:val="005B12B9"/>
    <w:rsid w:val="005B17C1"/>
    <w:rsid w:val="005B3737"/>
    <w:rsid w:val="005B3A42"/>
    <w:rsid w:val="005B5D40"/>
    <w:rsid w:val="005B5EFC"/>
    <w:rsid w:val="005B6412"/>
    <w:rsid w:val="005B6698"/>
    <w:rsid w:val="005B68A7"/>
    <w:rsid w:val="005B6AC3"/>
    <w:rsid w:val="005C055E"/>
    <w:rsid w:val="005C0FA1"/>
    <w:rsid w:val="005C132F"/>
    <w:rsid w:val="005C1615"/>
    <w:rsid w:val="005C1D98"/>
    <w:rsid w:val="005C1DA5"/>
    <w:rsid w:val="005C23D3"/>
    <w:rsid w:val="005C2559"/>
    <w:rsid w:val="005C2873"/>
    <w:rsid w:val="005C28AB"/>
    <w:rsid w:val="005C34FC"/>
    <w:rsid w:val="005C3B5C"/>
    <w:rsid w:val="005C3C7F"/>
    <w:rsid w:val="005C4173"/>
    <w:rsid w:val="005C5143"/>
    <w:rsid w:val="005C5639"/>
    <w:rsid w:val="005C5742"/>
    <w:rsid w:val="005C5EC4"/>
    <w:rsid w:val="005C760E"/>
    <w:rsid w:val="005C7E9E"/>
    <w:rsid w:val="005D18C9"/>
    <w:rsid w:val="005D1B72"/>
    <w:rsid w:val="005D1CCD"/>
    <w:rsid w:val="005D23BD"/>
    <w:rsid w:val="005D2471"/>
    <w:rsid w:val="005D25A3"/>
    <w:rsid w:val="005D2779"/>
    <w:rsid w:val="005D2E2A"/>
    <w:rsid w:val="005D310A"/>
    <w:rsid w:val="005D3242"/>
    <w:rsid w:val="005D610C"/>
    <w:rsid w:val="005D70A8"/>
    <w:rsid w:val="005D74E7"/>
    <w:rsid w:val="005D7B1D"/>
    <w:rsid w:val="005D7E9F"/>
    <w:rsid w:val="005D7F7B"/>
    <w:rsid w:val="005E3BCD"/>
    <w:rsid w:val="005E4A87"/>
    <w:rsid w:val="005E4DA5"/>
    <w:rsid w:val="005E503E"/>
    <w:rsid w:val="005E59C7"/>
    <w:rsid w:val="005E5E7B"/>
    <w:rsid w:val="005E6095"/>
    <w:rsid w:val="005E6A3F"/>
    <w:rsid w:val="005E6DB8"/>
    <w:rsid w:val="005E7004"/>
    <w:rsid w:val="005E7228"/>
    <w:rsid w:val="005E7284"/>
    <w:rsid w:val="005E7BAC"/>
    <w:rsid w:val="005F0E5C"/>
    <w:rsid w:val="005F134E"/>
    <w:rsid w:val="005F1365"/>
    <w:rsid w:val="005F2C1F"/>
    <w:rsid w:val="005F2E44"/>
    <w:rsid w:val="005F3690"/>
    <w:rsid w:val="005F3986"/>
    <w:rsid w:val="005F4C57"/>
    <w:rsid w:val="005F588E"/>
    <w:rsid w:val="005F6774"/>
    <w:rsid w:val="005F79AA"/>
    <w:rsid w:val="0060044B"/>
    <w:rsid w:val="006013D7"/>
    <w:rsid w:val="006014DB"/>
    <w:rsid w:val="00601587"/>
    <w:rsid w:val="00601E61"/>
    <w:rsid w:val="00602079"/>
    <w:rsid w:val="006022F3"/>
    <w:rsid w:val="00602579"/>
    <w:rsid w:val="00602710"/>
    <w:rsid w:val="00602BA4"/>
    <w:rsid w:val="00602D5A"/>
    <w:rsid w:val="00602DA2"/>
    <w:rsid w:val="00602FF4"/>
    <w:rsid w:val="00603228"/>
    <w:rsid w:val="00604ACD"/>
    <w:rsid w:val="00604C15"/>
    <w:rsid w:val="00604DC2"/>
    <w:rsid w:val="00604DE6"/>
    <w:rsid w:val="006060C4"/>
    <w:rsid w:val="00607C35"/>
    <w:rsid w:val="00607C4B"/>
    <w:rsid w:val="00611777"/>
    <w:rsid w:val="0061189F"/>
    <w:rsid w:val="0061219B"/>
    <w:rsid w:val="0061247D"/>
    <w:rsid w:val="00612D05"/>
    <w:rsid w:val="00613FB6"/>
    <w:rsid w:val="006140C6"/>
    <w:rsid w:val="00614134"/>
    <w:rsid w:val="00614241"/>
    <w:rsid w:val="0061428D"/>
    <w:rsid w:val="00615411"/>
    <w:rsid w:val="0061599E"/>
    <w:rsid w:val="00615AC7"/>
    <w:rsid w:val="006162E6"/>
    <w:rsid w:val="006171A5"/>
    <w:rsid w:val="00620309"/>
    <w:rsid w:val="00620D7E"/>
    <w:rsid w:val="0062159D"/>
    <w:rsid w:val="00621680"/>
    <w:rsid w:val="00621EC5"/>
    <w:rsid w:val="0062232B"/>
    <w:rsid w:val="006223E0"/>
    <w:rsid w:val="006224D0"/>
    <w:rsid w:val="00622BCE"/>
    <w:rsid w:val="00622E29"/>
    <w:rsid w:val="00623643"/>
    <w:rsid w:val="006239DF"/>
    <w:rsid w:val="00624018"/>
    <w:rsid w:val="006240C4"/>
    <w:rsid w:val="006249CC"/>
    <w:rsid w:val="00625304"/>
    <w:rsid w:val="0062581B"/>
    <w:rsid w:val="006261F4"/>
    <w:rsid w:val="006303A7"/>
    <w:rsid w:val="0063164E"/>
    <w:rsid w:val="0063191D"/>
    <w:rsid w:val="00633224"/>
    <w:rsid w:val="00633488"/>
    <w:rsid w:val="00633581"/>
    <w:rsid w:val="006339AF"/>
    <w:rsid w:val="00633C47"/>
    <w:rsid w:val="00633E7B"/>
    <w:rsid w:val="006348F7"/>
    <w:rsid w:val="0063512D"/>
    <w:rsid w:val="006356C1"/>
    <w:rsid w:val="006358FB"/>
    <w:rsid w:val="00635AE2"/>
    <w:rsid w:val="00635E1E"/>
    <w:rsid w:val="0063613D"/>
    <w:rsid w:val="0063677C"/>
    <w:rsid w:val="00636972"/>
    <w:rsid w:val="00636B69"/>
    <w:rsid w:val="00636BC2"/>
    <w:rsid w:val="00636F1B"/>
    <w:rsid w:val="006404D1"/>
    <w:rsid w:val="00640F43"/>
    <w:rsid w:val="00640F7D"/>
    <w:rsid w:val="006412CA"/>
    <w:rsid w:val="00641718"/>
    <w:rsid w:val="00641E5B"/>
    <w:rsid w:val="006420DA"/>
    <w:rsid w:val="00642A0A"/>
    <w:rsid w:val="0064370D"/>
    <w:rsid w:val="00643AC1"/>
    <w:rsid w:val="00643D62"/>
    <w:rsid w:val="00644A5E"/>
    <w:rsid w:val="00644A6C"/>
    <w:rsid w:val="00644C6D"/>
    <w:rsid w:val="00644D69"/>
    <w:rsid w:val="006457A8"/>
    <w:rsid w:val="00645EA0"/>
    <w:rsid w:val="00645F76"/>
    <w:rsid w:val="00646EB0"/>
    <w:rsid w:val="0064714D"/>
    <w:rsid w:val="0064727D"/>
    <w:rsid w:val="00647B32"/>
    <w:rsid w:val="00647C27"/>
    <w:rsid w:val="006519E6"/>
    <w:rsid w:val="00651CDE"/>
    <w:rsid w:val="00652326"/>
    <w:rsid w:val="006528B0"/>
    <w:rsid w:val="00652907"/>
    <w:rsid w:val="00652E06"/>
    <w:rsid w:val="00653FC4"/>
    <w:rsid w:val="00654F91"/>
    <w:rsid w:val="00655361"/>
    <w:rsid w:val="00655E86"/>
    <w:rsid w:val="00656253"/>
    <w:rsid w:val="00656799"/>
    <w:rsid w:val="00656B77"/>
    <w:rsid w:val="00656E72"/>
    <w:rsid w:val="006570B1"/>
    <w:rsid w:val="0065735C"/>
    <w:rsid w:val="006578A1"/>
    <w:rsid w:val="006578A6"/>
    <w:rsid w:val="006609D7"/>
    <w:rsid w:val="00660B0B"/>
    <w:rsid w:val="0066137B"/>
    <w:rsid w:val="0066174E"/>
    <w:rsid w:val="00661BBB"/>
    <w:rsid w:val="00661E57"/>
    <w:rsid w:val="006626E8"/>
    <w:rsid w:val="006629E4"/>
    <w:rsid w:val="00662B5C"/>
    <w:rsid w:val="00662B8B"/>
    <w:rsid w:val="00663783"/>
    <w:rsid w:val="006637C6"/>
    <w:rsid w:val="00663E47"/>
    <w:rsid w:val="006644A7"/>
    <w:rsid w:val="00664BDE"/>
    <w:rsid w:val="0066565B"/>
    <w:rsid w:val="00665C44"/>
    <w:rsid w:val="00666284"/>
    <w:rsid w:val="006667F3"/>
    <w:rsid w:val="00666E14"/>
    <w:rsid w:val="00667AEA"/>
    <w:rsid w:val="006704FA"/>
    <w:rsid w:val="00670687"/>
    <w:rsid w:val="00670DC5"/>
    <w:rsid w:val="00670F66"/>
    <w:rsid w:val="00671652"/>
    <w:rsid w:val="00671FAA"/>
    <w:rsid w:val="00672314"/>
    <w:rsid w:val="0067298B"/>
    <w:rsid w:val="006737B1"/>
    <w:rsid w:val="00675DA5"/>
    <w:rsid w:val="006803C7"/>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8AA"/>
    <w:rsid w:val="00685BCF"/>
    <w:rsid w:val="006867C7"/>
    <w:rsid w:val="0068685A"/>
    <w:rsid w:val="0068703C"/>
    <w:rsid w:val="006871D0"/>
    <w:rsid w:val="0068751F"/>
    <w:rsid w:val="006900D1"/>
    <w:rsid w:val="00690297"/>
    <w:rsid w:val="00690B99"/>
    <w:rsid w:val="00691103"/>
    <w:rsid w:val="0069115A"/>
    <w:rsid w:val="006912F1"/>
    <w:rsid w:val="00691387"/>
    <w:rsid w:val="006927F2"/>
    <w:rsid w:val="006931E1"/>
    <w:rsid w:val="00693F47"/>
    <w:rsid w:val="00694310"/>
    <w:rsid w:val="00694700"/>
    <w:rsid w:val="00694803"/>
    <w:rsid w:val="00694CE8"/>
    <w:rsid w:val="0069569E"/>
    <w:rsid w:val="006956C6"/>
    <w:rsid w:val="00696EE3"/>
    <w:rsid w:val="0069715D"/>
    <w:rsid w:val="00697392"/>
    <w:rsid w:val="006973E5"/>
    <w:rsid w:val="00697664"/>
    <w:rsid w:val="00697681"/>
    <w:rsid w:val="0069770C"/>
    <w:rsid w:val="00697E14"/>
    <w:rsid w:val="006A0430"/>
    <w:rsid w:val="006A08F2"/>
    <w:rsid w:val="006A151A"/>
    <w:rsid w:val="006A1AFB"/>
    <w:rsid w:val="006A1E62"/>
    <w:rsid w:val="006A2A12"/>
    <w:rsid w:val="006A2E9C"/>
    <w:rsid w:val="006A35E0"/>
    <w:rsid w:val="006A377F"/>
    <w:rsid w:val="006A384A"/>
    <w:rsid w:val="006A3875"/>
    <w:rsid w:val="006A397A"/>
    <w:rsid w:val="006A39D6"/>
    <w:rsid w:val="006A3D40"/>
    <w:rsid w:val="006A5337"/>
    <w:rsid w:val="006A561D"/>
    <w:rsid w:val="006A5A0C"/>
    <w:rsid w:val="006A5BA0"/>
    <w:rsid w:val="006A5BB1"/>
    <w:rsid w:val="006A5F88"/>
    <w:rsid w:val="006A7D95"/>
    <w:rsid w:val="006B02BA"/>
    <w:rsid w:val="006B0A11"/>
    <w:rsid w:val="006B0EA6"/>
    <w:rsid w:val="006B10CC"/>
    <w:rsid w:val="006B120D"/>
    <w:rsid w:val="006B13C1"/>
    <w:rsid w:val="006B187A"/>
    <w:rsid w:val="006B18B3"/>
    <w:rsid w:val="006B2723"/>
    <w:rsid w:val="006B2CC7"/>
    <w:rsid w:val="006B3AF9"/>
    <w:rsid w:val="006B4158"/>
    <w:rsid w:val="006B44C5"/>
    <w:rsid w:val="006B555F"/>
    <w:rsid w:val="006B6242"/>
    <w:rsid w:val="006B6C7C"/>
    <w:rsid w:val="006B6EA4"/>
    <w:rsid w:val="006B77BB"/>
    <w:rsid w:val="006B7F8F"/>
    <w:rsid w:val="006B7FC5"/>
    <w:rsid w:val="006C0034"/>
    <w:rsid w:val="006C055E"/>
    <w:rsid w:val="006C0D13"/>
    <w:rsid w:val="006C187F"/>
    <w:rsid w:val="006C18C8"/>
    <w:rsid w:val="006C19BC"/>
    <w:rsid w:val="006C19D5"/>
    <w:rsid w:val="006C1B44"/>
    <w:rsid w:val="006C1F33"/>
    <w:rsid w:val="006C1F77"/>
    <w:rsid w:val="006C2211"/>
    <w:rsid w:val="006C2A9D"/>
    <w:rsid w:val="006C3031"/>
    <w:rsid w:val="006C3607"/>
    <w:rsid w:val="006C3990"/>
    <w:rsid w:val="006C3ED2"/>
    <w:rsid w:val="006C4233"/>
    <w:rsid w:val="006C42E7"/>
    <w:rsid w:val="006C4422"/>
    <w:rsid w:val="006C4C97"/>
    <w:rsid w:val="006C5CCA"/>
    <w:rsid w:val="006C625F"/>
    <w:rsid w:val="006C6C3F"/>
    <w:rsid w:val="006C7073"/>
    <w:rsid w:val="006C75AA"/>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200A"/>
    <w:rsid w:val="006E2E45"/>
    <w:rsid w:val="006E3CB2"/>
    <w:rsid w:val="006E3DA8"/>
    <w:rsid w:val="006E5DAA"/>
    <w:rsid w:val="006E5E09"/>
    <w:rsid w:val="006E7006"/>
    <w:rsid w:val="006E746F"/>
    <w:rsid w:val="006E7A7B"/>
    <w:rsid w:val="006F00E7"/>
    <w:rsid w:val="006F0F6E"/>
    <w:rsid w:val="006F1B22"/>
    <w:rsid w:val="006F1BA4"/>
    <w:rsid w:val="006F1F06"/>
    <w:rsid w:val="006F2259"/>
    <w:rsid w:val="006F23E1"/>
    <w:rsid w:val="006F2F8F"/>
    <w:rsid w:val="006F2FDA"/>
    <w:rsid w:val="006F2FE5"/>
    <w:rsid w:val="006F3460"/>
    <w:rsid w:val="006F34FE"/>
    <w:rsid w:val="006F3615"/>
    <w:rsid w:val="006F3FA3"/>
    <w:rsid w:val="006F48BA"/>
    <w:rsid w:val="006F4AF9"/>
    <w:rsid w:val="006F5383"/>
    <w:rsid w:val="006F54EB"/>
    <w:rsid w:val="006F5CC1"/>
    <w:rsid w:val="006F67A5"/>
    <w:rsid w:val="006F73E1"/>
    <w:rsid w:val="006F762D"/>
    <w:rsid w:val="00700492"/>
    <w:rsid w:val="00700ED0"/>
    <w:rsid w:val="00701045"/>
    <w:rsid w:val="0070167E"/>
    <w:rsid w:val="00701E1B"/>
    <w:rsid w:val="00702ED0"/>
    <w:rsid w:val="00703C09"/>
    <w:rsid w:val="0070434A"/>
    <w:rsid w:val="007048C4"/>
    <w:rsid w:val="00704CC4"/>
    <w:rsid w:val="00705345"/>
    <w:rsid w:val="0070582D"/>
    <w:rsid w:val="0070638D"/>
    <w:rsid w:val="00706DBF"/>
    <w:rsid w:val="00707A59"/>
    <w:rsid w:val="0071046B"/>
    <w:rsid w:val="00710AC6"/>
    <w:rsid w:val="00710C1D"/>
    <w:rsid w:val="00710DF3"/>
    <w:rsid w:val="007110A3"/>
    <w:rsid w:val="00711108"/>
    <w:rsid w:val="00711213"/>
    <w:rsid w:val="0071125F"/>
    <w:rsid w:val="007112A1"/>
    <w:rsid w:val="00711996"/>
    <w:rsid w:val="00711B3B"/>
    <w:rsid w:val="00711BA3"/>
    <w:rsid w:val="00711C9D"/>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5FA3"/>
    <w:rsid w:val="007169AC"/>
    <w:rsid w:val="007169DD"/>
    <w:rsid w:val="00717679"/>
    <w:rsid w:val="00717B67"/>
    <w:rsid w:val="0072051C"/>
    <w:rsid w:val="007206A2"/>
    <w:rsid w:val="00720B38"/>
    <w:rsid w:val="00720CA7"/>
    <w:rsid w:val="00720FED"/>
    <w:rsid w:val="0072147B"/>
    <w:rsid w:val="0072181E"/>
    <w:rsid w:val="00722267"/>
    <w:rsid w:val="007227CA"/>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6CB"/>
    <w:rsid w:val="00732C1A"/>
    <w:rsid w:val="00733CDC"/>
    <w:rsid w:val="00734B9A"/>
    <w:rsid w:val="00735695"/>
    <w:rsid w:val="00735863"/>
    <w:rsid w:val="007360CB"/>
    <w:rsid w:val="0073653E"/>
    <w:rsid w:val="00737566"/>
    <w:rsid w:val="00741BA2"/>
    <w:rsid w:val="00741CF4"/>
    <w:rsid w:val="00741DCC"/>
    <w:rsid w:val="00741DE2"/>
    <w:rsid w:val="007421A1"/>
    <w:rsid w:val="007427FE"/>
    <w:rsid w:val="00742C51"/>
    <w:rsid w:val="00743445"/>
    <w:rsid w:val="00744843"/>
    <w:rsid w:val="00744C32"/>
    <w:rsid w:val="00745E01"/>
    <w:rsid w:val="0074666B"/>
    <w:rsid w:val="007468D6"/>
    <w:rsid w:val="00746BFF"/>
    <w:rsid w:val="007473E1"/>
    <w:rsid w:val="00747897"/>
    <w:rsid w:val="00747E47"/>
    <w:rsid w:val="00750192"/>
    <w:rsid w:val="007504E1"/>
    <w:rsid w:val="00750544"/>
    <w:rsid w:val="00750804"/>
    <w:rsid w:val="00750849"/>
    <w:rsid w:val="007509AB"/>
    <w:rsid w:val="00750BC8"/>
    <w:rsid w:val="00751689"/>
    <w:rsid w:val="00751A2B"/>
    <w:rsid w:val="00751CDE"/>
    <w:rsid w:val="0075244D"/>
    <w:rsid w:val="007524AA"/>
    <w:rsid w:val="00753744"/>
    <w:rsid w:val="00753A93"/>
    <w:rsid w:val="00755663"/>
    <w:rsid w:val="00755964"/>
    <w:rsid w:val="00756386"/>
    <w:rsid w:val="00756603"/>
    <w:rsid w:val="007575C0"/>
    <w:rsid w:val="00757D2F"/>
    <w:rsid w:val="0076000E"/>
    <w:rsid w:val="00760C00"/>
    <w:rsid w:val="007610E9"/>
    <w:rsid w:val="00761728"/>
    <w:rsid w:val="00761C6C"/>
    <w:rsid w:val="0076209F"/>
    <w:rsid w:val="00762B72"/>
    <w:rsid w:val="00763777"/>
    <w:rsid w:val="00763CCB"/>
    <w:rsid w:val="007642B4"/>
    <w:rsid w:val="00764398"/>
    <w:rsid w:val="00764C45"/>
    <w:rsid w:val="00765A07"/>
    <w:rsid w:val="00766277"/>
    <w:rsid w:val="0076656A"/>
    <w:rsid w:val="00766701"/>
    <w:rsid w:val="00766911"/>
    <w:rsid w:val="00767793"/>
    <w:rsid w:val="007679D8"/>
    <w:rsid w:val="00770803"/>
    <w:rsid w:val="00771319"/>
    <w:rsid w:val="007713E8"/>
    <w:rsid w:val="00771794"/>
    <w:rsid w:val="00771CCF"/>
    <w:rsid w:val="00771F7D"/>
    <w:rsid w:val="00772C3E"/>
    <w:rsid w:val="00772FE4"/>
    <w:rsid w:val="007730F4"/>
    <w:rsid w:val="007735B2"/>
    <w:rsid w:val="007736E8"/>
    <w:rsid w:val="00774ACE"/>
    <w:rsid w:val="00775823"/>
    <w:rsid w:val="00775F57"/>
    <w:rsid w:val="00776372"/>
    <w:rsid w:val="00776584"/>
    <w:rsid w:val="007769EF"/>
    <w:rsid w:val="00776D4F"/>
    <w:rsid w:val="00776DDC"/>
    <w:rsid w:val="007770F9"/>
    <w:rsid w:val="00777179"/>
    <w:rsid w:val="007778FF"/>
    <w:rsid w:val="00777945"/>
    <w:rsid w:val="00777D40"/>
    <w:rsid w:val="00780B8D"/>
    <w:rsid w:val="00780B8E"/>
    <w:rsid w:val="00780FE4"/>
    <w:rsid w:val="00781649"/>
    <w:rsid w:val="007823D6"/>
    <w:rsid w:val="0078254E"/>
    <w:rsid w:val="00782628"/>
    <w:rsid w:val="007826AB"/>
    <w:rsid w:val="00783311"/>
    <w:rsid w:val="007834E8"/>
    <w:rsid w:val="007836C6"/>
    <w:rsid w:val="007840E2"/>
    <w:rsid w:val="0078569F"/>
    <w:rsid w:val="00785803"/>
    <w:rsid w:val="00785EB4"/>
    <w:rsid w:val="0078609A"/>
    <w:rsid w:val="00786F85"/>
    <w:rsid w:val="0078731A"/>
    <w:rsid w:val="00787487"/>
    <w:rsid w:val="007906F1"/>
    <w:rsid w:val="00790796"/>
    <w:rsid w:val="00790EDA"/>
    <w:rsid w:val="00791349"/>
    <w:rsid w:val="0079175F"/>
    <w:rsid w:val="00791D85"/>
    <w:rsid w:val="00791DAF"/>
    <w:rsid w:val="007924CA"/>
    <w:rsid w:val="00794CBF"/>
    <w:rsid w:val="00795365"/>
    <w:rsid w:val="0079567E"/>
    <w:rsid w:val="00795E8A"/>
    <w:rsid w:val="007961D5"/>
    <w:rsid w:val="00796578"/>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5E98"/>
    <w:rsid w:val="007A6196"/>
    <w:rsid w:val="007A63D5"/>
    <w:rsid w:val="007A689A"/>
    <w:rsid w:val="007A68EA"/>
    <w:rsid w:val="007A6B7D"/>
    <w:rsid w:val="007A709E"/>
    <w:rsid w:val="007A7629"/>
    <w:rsid w:val="007B1027"/>
    <w:rsid w:val="007B1691"/>
    <w:rsid w:val="007B174F"/>
    <w:rsid w:val="007B1863"/>
    <w:rsid w:val="007B18C5"/>
    <w:rsid w:val="007B1925"/>
    <w:rsid w:val="007B22E0"/>
    <w:rsid w:val="007B28CA"/>
    <w:rsid w:val="007B2F38"/>
    <w:rsid w:val="007B358D"/>
    <w:rsid w:val="007B518E"/>
    <w:rsid w:val="007B5401"/>
    <w:rsid w:val="007B5FB4"/>
    <w:rsid w:val="007B6B2B"/>
    <w:rsid w:val="007B7949"/>
    <w:rsid w:val="007B7A33"/>
    <w:rsid w:val="007B7D30"/>
    <w:rsid w:val="007C0FA9"/>
    <w:rsid w:val="007C2413"/>
    <w:rsid w:val="007C25AE"/>
    <w:rsid w:val="007C3152"/>
    <w:rsid w:val="007C333B"/>
    <w:rsid w:val="007C3914"/>
    <w:rsid w:val="007C3CEA"/>
    <w:rsid w:val="007C3D92"/>
    <w:rsid w:val="007C3E6F"/>
    <w:rsid w:val="007C3E98"/>
    <w:rsid w:val="007C5A8F"/>
    <w:rsid w:val="007C5B38"/>
    <w:rsid w:val="007C6082"/>
    <w:rsid w:val="007C6313"/>
    <w:rsid w:val="007C76E8"/>
    <w:rsid w:val="007D01E6"/>
    <w:rsid w:val="007D035E"/>
    <w:rsid w:val="007D0396"/>
    <w:rsid w:val="007D0644"/>
    <w:rsid w:val="007D082A"/>
    <w:rsid w:val="007D1020"/>
    <w:rsid w:val="007D1801"/>
    <w:rsid w:val="007D1FE0"/>
    <w:rsid w:val="007D20BB"/>
    <w:rsid w:val="007D261E"/>
    <w:rsid w:val="007D2F61"/>
    <w:rsid w:val="007D3004"/>
    <w:rsid w:val="007D337D"/>
    <w:rsid w:val="007D3BBD"/>
    <w:rsid w:val="007D3D0E"/>
    <w:rsid w:val="007D3D33"/>
    <w:rsid w:val="007D41C2"/>
    <w:rsid w:val="007D4F02"/>
    <w:rsid w:val="007D5274"/>
    <w:rsid w:val="007D674C"/>
    <w:rsid w:val="007D6B7B"/>
    <w:rsid w:val="007D6CF1"/>
    <w:rsid w:val="007D7131"/>
    <w:rsid w:val="007D7BEC"/>
    <w:rsid w:val="007D7CE3"/>
    <w:rsid w:val="007E051A"/>
    <w:rsid w:val="007E0798"/>
    <w:rsid w:val="007E1B72"/>
    <w:rsid w:val="007E1D93"/>
    <w:rsid w:val="007E3EE3"/>
    <w:rsid w:val="007E447B"/>
    <w:rsid w:val="007E48DD"/>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372A"/>
    <w:rsid w:val="007F422D"/>
    <w:rsid w:val="007F4DBA"/>
    <w:rsid w:val="007F4E71"/>
    <w:rsid w:val="007F519C"/>
    <w:rsid w:val="007F534D"/>
    <w:rsid w:val="007F54A2"/>
    <w:rsid w:val="007F54FE"/>
    <w:rsid w:val="007F5535"/>
    <w:rsid w:val="007F5D32"/>
    <w:rsid w:val="007F5E4A"/>
    <w:rsid w:val="007F72DC"/>
    <w:rsid w:val="007F795F"/>
    <w:rsid w:val="0080069C"/>
    <w:rsid w:val="008006FD"/>
    <w:rsid w:val="0080122F"/>
    <w:rsid w:val="0080148D"/>
    <w:rsid w:val="0080156B"/>
    <w:rsid w:val="00801A3A"/>
    <w:rsid w:val="00804114"/>
    <w:rsid w:val="0080448C"/>
    <w:rsid w:val="00804634"/>
    <w:rsid w:val="008047E8"/>
    <w:rsid w:val="0080531E"/>
    <w:rsid w:val="00805C3D"/>
    <w:rsid w:val="00806F1D"/>
    <w:rsid w:val="008077ED"/>
    <w:rsid w:val="00807B6F"/>
    <w:rsid w:val="00807E93"/>
    <w:rsid w:val="00810172"/>
    <w:rsid w:val="00810762"/>
    <w:rsid w:val="00810858"/>
    <w:rsid w:val="00810EFF"/>
    <w:rsid w:val="00811314"/>
    <w:rsid w:val="008118A5"/>
    <w:rsid w:val="00811A39"/>
    <w:rsid w:val="0081221A"/>
    <w:rsid w:val="0081291B"/>
    <w:rsid w:val="00813622"/>
    <w:rsid w:val="00813DCF"/>
    <w:rsid w:val="00813FAB"/>
    <w:rsid w:val="0081498C"/>
    <w:rsid w:val="00814AE1"/>
    <w:rsid w:val="00815D31"/>
    <w:rsid w:val="0081601F"/>
    <w:rsid w:val="00816064"/>
    <w:rsid w:val="00816D88"/>
    <w:rsid w:val="008174B2"/>
    <w:rsid w:val="00817CFF"/>
    <w:rsid w:val="00817EF3"/>
    <w:rsid w:val="0082000D"/>
    <w:rsid w:val="0082037E"/>
    <w:rsid w:val="00820C9C"/>
    <w:rsid w:val="00820F55"/>
    <w:rsid w:val="00821572"/>
    <w:rsid w:val="00821901"/>
    <w:rsid w:val="00821919"/>
    <w:rsid w:val="00821D9C"/>
    <w:rsid w:val="00822310"/>
    <w:rsid w:val="00822849"/>
    <w:rsid w:val="00823794"/>
    <w:rsid w:val="008237B3"/>
    <w:rsid w:val="008237F4"/>
    <w:rsid w:val="00823F67"/>
    <w:rsid w:val="00824022"/>
    <w:rsid w:val="0082483A"/>
    <w:rsid w:val="00824A81"/>
    <w:rsid w:val="008257B8"/>
    <w:rsid w:val="00825F98"/>
    <w:rsid w:val="008260ED"/>
    <w:rsid w:val="0082699D"/>
    <w:rsid w:val="00826CB0"/>
    <w:rsid w:val="00826E6B"/>
    <w:rsid w:val="00826E98"/>
    <w:rsid w:val="008275FD"/>
    <w:rsid w:val="00827A52"/>
    <w:rsid w:val="00830BA1"/>
    <w:rsid w:val="00830EB2"/>
    <w:rsid w:val="00831652"/>
    <w:rsid w:val="0083202E"/>
    <w:rsid w:val="0083304F"/>
    <w:rsid w:val="008331A8"/>
    <w:rsid w:val="008334C9"/>
    <w:rsid w:val="00834122"/>
    <w:rsid w:val="008352C5"/>
    <w:rsid w:val="008358A6"/>
    <w:rsid w:val="008359FB"/>
    <w:rsid w:val="00835C56"/>
    <w:rsid w:val="008360FC"/>
    <w:rsid w:val="008364A3"/>
    <w:rsid w:val="0083679B"/>
    <w:rsid w:val="00836E81"/>
    <w:rsid w:val="0083735D"/>
    <w:rsid w:val="008377C1"/>
    <w:rsid w:val="00837C90"/>
    <w:rsid w:val="00837EB1"/>
    <w:rsid w:val="0084042B"/>
    <w:rsid w:val="008409BB"/>
    <w:rsid w:val="0084174E"/>
    <w:rsid w:val="0084184A"/>
    <w:rsid w:val="00841E24"/>
    <w:rsid w:val="008423F2"/>
    <w:rsid w:val="00842A30"/>
    <w:rsid w:val="00842F71"/>
    <w:rsid w:val="00843179"/>
    <w:rsid w:val="00843470"/>
    <w:rsid w:val="0084386A"/>
    <w:rsid w:val="00843E0E"/>
    <w:rsid w:val="008442EA"/>
    <w:rsid w:val="00844589"/>
    <w:rsid w:val="00844794"/>
    <w:rsid w:val="00844C6C"/>
    <w:rsid w:val="00844D89"/>
    <w:rsid w:val="00844FE7"/>
    <w:rsid w:val="0084558C"/>
    <w:rsid w:val="00845969"/>
    <w:rsid w:val="00845A12"/>
    <w:rsid w:val="00845C27"/>
    <w:rsid w:val="00845F37"/>
    <w:rsid w:val="00845FF5"/>
    <w:rsid w:val="00846001"/>
    <w:rsid w:val="0084615D"/>
    <w:rsid w:val="008463DF"/>
    <w:rsid w:val="0084642A"/>
    <w:rsid w:val="008465C4"/>
    <w:rsid w:val="00846710"/>
    <w:rsid w:val="008478ED"/>
    <w:rsid w:val="0085118C"/>
    <w:rsid w:val="00851728"/>
    <w:rsid w:val="00851DFF"/>
    <w:rsid w:val="00853064"/>
    <w:rsid w:val="00853084"/>
    <w:rsid w:val="00853142"/>
    <w:rsid w:val="008540A6"/>
    <w:rsid w:val="00854420"/>
    <w:rsid w:val="00854481"/>
    <w:rsid w:val="00854792"/>
    <w:rsid w:val="00854BA9"/>
    <w:rsid w:val="008572DF"/>
    <w:rsid w:val="00857591"/>
    <w:rsid w:val="008579AB"/>
    <w:rsid w:val="00857E88"/>
    <w:rsid w:val="0086089E"/>
    <w:rsid w:val="008612DB"/>
    <w:rsid w:val="00861B57"/>
    <w:rsid w:val="00862AC4"/>
    <w:rsid w:val="008633AC"/>
    <w:rsid w:val="008634E3"/>
    <w:rsid w:val="00863E18"/>
    <w:rsid w:val="00864627"/>
    <w:rsid w:val="00864635"/>
    <w:rsid w:val="00864678"/>
    <w:rsid w:val="00864C1A"/>
    <w:rsid w:val="00865217"/>
    <w:rsid w:val="008658AA"/>
    <w:rsid w:val="00865CBD"/>
    <w:rsid w:val="0086665C"/>
    <w:rsid w:val="008669E5"/>
    <w:rsid w:val="00866E37"/>
    <w:rsid w:val="00866F9E"/>
    <w:rsid w:val="008672E2"/>
    <w:rsid w:val="0086793D"/>
    <w:rsid w:val="00867B1C"/>
    <w:rsid w:val="00867BF2"/>
    <w:rsid w:val="008713D6"/>
    <w:rsid w:val="00871643"/>
    <w:rsid w:val="0087281D"/>
    <w:rsid w:val="00872828"/>
    <w:rsid w:val="008732D8"/>
    <w:rsid w:val="00873377"/>
    <w:rsid w:val="00873577"/>
    <w:rsid w:val="0087409F"/>
    <w:rsid w:val="00874D58"/>
    <w:rsid w:val="008750D2"/>
    <w:rsid w:val="00875AB5"/>
    <w:rsid w:val="00875C91"/>
    <w:rsid w:val="00875F85"/>
    <w:rsid w:val="00876C6B"/>
    <w:rsid w:val="00876DC9"/>
    <w:rsid w:val="00877125"/>
    <w:rsid w:val="008777C2"/>
    <w:rsid w:val="00877A77"/>
    <w:rsid w:val="00881511"/>
    <w:rsid w:val="0088194A"/>
    <w:rsid w:val="008823B4"/>
    <w:rsid w:val="00882448"/>
    <w:rsid w:val="00882C23"/>
    <w:rsid w:val="00882F1D"/>
    <w:rsid w:val="00883A4D"/>
    <w:rsid w:val="00883B21"/>
    <w:rsid w:val="00883E9A"/>
    <w:rsid w:val="00883F8F"/>
    <w:rsid w:val="00884235"/>
    <w:rsid w:val="00884AE9"/>
    <w:rsid w:val="00885285"/>
    <w:rsid w:val="00885985"/>
    <w:rsid w:val="008864E7"/>
    <w:rsid w:val="00886699"/>
    <w:rsid w:val="00886A21"/>
    <w:rsid w:val="0088709A"/>
    <w:rsid w:val="0089199F"/>
    <w:rsid w:val="00891C32"/>
    <w:rsid w:val="00891D7F"/>
    <w:rsid w:val="00892265"/>
    <w:rsid w:val="0089233E"/>
    <w:rsid w:val="0089330E"/>
    <w:rsid w:val="00893323"/>
    <w:rsid w:val="008938C2"/>
    <w:rsid w:val="00893A8E"/>
    <w:rsid w:val="00893E27"/>
    <w:rsid w:val="008945F1"/>
    <w:rsid w:val="008945F7"/>
    <w:rsid w:val="0089463D"/>
    <w:rsid w:val="0089544E"/>
    <w:rsid w:val="0089554F"/>
    <w:rsid w:val="008955E6"/>
    <w:rsid w:val="00895B5F"/>
    <w:rsid w:val="0089637C"/>
    <w:rsid w:val="00896712"/>
    <w:rsid w:val="00896870"/>
    <w:rsid w:val="008969BD"/>
    <w:rsid w:val="008977DF"/>
    <w:rsid w:val="00897CAB"/>
    <w:rsid w:val="008A13BD"/>
    <w:rsid w:val="008A1596"/>
    <w:rsid w:val="008A1EDF"/>
    <w:rsid w:val="008A2695"/>
    <w:rsid w:val="008A27CA"/>
    <w:rsid w:val="008A2DC9"/>
    <w:rsid w:val="008A2FF1"/>
    <w:rsid w:val="008A32D4"/>
    <w:rsid w:val="008A3306"/>
    <w:rsid w:val="008A34BA"/>
    <w:rsid w:val="008A367F"/>
    <w:rsid w:val="008A37AF"/>
    <w:rsid w:val="008A3D62"/>
    <w:rsid w:val="008A448D"/>
    <w:rsid w:val="008A4A55"/>
    <w:rsid w:val="008A4C87"/>
    <w:rsid w:val="008A506F"/>
    <w:rsid w:val="008A528A"/>
    <w:rsid w:val="008A5298"/>
    <w:rsid w:val="008A535A"/>
    <w:rsid w:val="008A6EAA"/>
    <w:rsid w:val="008A720F"/>
    <w:rsid w:val="008A7C72"/>
    <w:rsid w:val="008B04F2"/>
    <w:rsid w:val="008B0D0E"/>
    <w:rsid w:val="008B12BB"/>
    <w:rsid w:val="008B1411"/>
    <w:rsid w:val="008B17A2"/>
    <w:rsid w:val="008B25F2"/>
    <w:rsid w:val="008B2643"/>
    <w:rsid w:val="008B2FAE"/>
    <w:rsid w:val="008B3097"/>
    <w:rsid w:val="008B3317"/>
    <w:rsid w:val="008B3B81"/>
    <w:rsid w:val="008B3C90"/>
    <w:rsid w:val="008B414B"/>
    <w:rsid w:val="008B4E0E"/>
    <w:rsid w:val="008B4FB9"/>
    <w:rsid w:val="008B5715"/>
    <w:rsid w:val="008B5A2D"/>
    <w:rsid w:val="008B5BC2"/>
    <w:rsid w:val="008B60BB"/>
    <w:rsid w:val="008B6732"/>
    <w:rsid w:val="008B68EC"/>
    <w:rsid w:val="008B711E"/>
    <w:rsid w:val="008B735E"/>
    <w:rsid w:val="008C03E5"/>
    <w:rsid w:val="008C042F"/>
    <w:rsid w:val="008C0443"/>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6F95"/>
    <w:rsid w:val="008C7243"/>
    <w:rsid w:val="008C7685"/>
    <w:rsid w:val="008D007A"/>
    <w:rsid w:val="008D07DE"/>
    <w:rsid w:val="008D0831"/>
    <w:rsid w:val="008D0B04"/>
    <w:rsid w:val="008D0E40"/>
    <w:rsid w:val="008D1E7F"/>
    <w:rsid w:val="008D2367"/>
    <w:rsid w:val="008D427A"/>
    <w:rsid w:val="008D4DD5"/>
    <w:rsid w:val="008D5657"/>
    <w:rsid w:val="008D5ED5"/>
    <w:rsid w:val="008D5F2F"/>
    <w:rsid w:val="008D6752"/>
    <w:rsid w:val="008D69E7"/>
    <w:rsid w:val="008D6FC1"/>
    <w:rsid w:val="008D760A"/>
    <w:rsid w:val="008E0140"/>
    <w:rsid w:val="008E0688"/>
    <w:rsid w:val="008E0BEF"/>
    <w:rsid w:val="008E266D"/>
    <w:rsid w:val="008E2F0C"/>
    <w:rsid w:val="008E3E23"/>
    <w:rsid w:val="008E4530"/>
    <w:rsid w:val="008E4565"/>
    <w:rsid w:val="008E5103"/>
    <w:rsid w:val="008E52DA"/>
    <w:rsid w:val="008E547B"/>
    <w:rsid w:val="008E5DF8"/>
    <w:rsid w:val="008E7B47"/>
    <w:rsid w:val="008F0250"/>
    <w:rsid w:val="008F11F4"/>
    <w:rsid w:val="008F1952"/>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1811"/>
    <w:rsid w:val="00901F59"/>
    <w:rsid w:val="00902E5B"/>
    <w:rsid w:val="00903FD9"/>
    <w:rsid w:val="00904CF5"/>
    <w:rsid w:val="009050D7"/>
    <w:rsid w:val="00905259"/>
    <w:rsid w:val="0090556C"/>
    <w:rsid w:val="00905633"/>
    <w:rsid w:val="00905EAE"/>
    <w:rsid w:val="009060C4"/>
    <w:rsid w:val="00906C91"/>
    <w:rsid w:val="00906C95"/>
    <w:rsid w:val="00907656"/>
    <w:rsid w:val="00907E47"/>
    <w:rsid w:val="009107BA"/>
    <w:rsid w:val="00910C22"/>
    <w:rsid w:val="009115EF"/>
    <w:rsid w:val="009116DD"/>
    <w:rsid w:val="00911C9E"/>
    <w:rsid w:val="00912D1C"/>
    <w:rsid w:val="00913019"/>
    <w:rsid w:val="0091356B"/>
    <w:rsid w:val="00913F1E"/>
    <w:rsid w:val="00913FB2"/>
    <w:rsid w:val="009140C4"/>
    <w:rsid w:val="009144A9"/>
    <w:rsid w:val="0091468B"/>
    <w:rsid w:val="00914DB2"/>
    <w:rsid w:val="0091526F"/>
    <w:rsid w:val="009153D2"/>
    <w:rsid w:val="00916286"/>
    <w:rsid w:val="00916595"/>
    <w:rsid w:val="00916C47"/>
    <w:rsid w:val="009171AD"/>
    <w:rsid w:val="00917569"/>
    <w:rsid w:val="00920174"/>
    <w:rsid w:val="00921017"/>
    <w:rsid w:val="009219D2"/>
    <w:rsid w:val="00921A4E"/>
    <w:rsid w:val="00921E37"/>
    <w:rsid w:val="00922511"/>
    <w:rsid w:val="00922F07"/>
    <w:rsid w:val="00923463"/>
    <w:rsid w:val="00925238"/>
    <w:rsid w:val="0092528F"/>
    <w:rsid w:val="009254A3"/>
    <w:rsid w:val="00925ACF"/>
    <w:rsid w:val="0092615D"/>
    <w:rsid w:val="009262E6"/>
    <w:rsid w:val="0092638C"/>
    <w:rsid w:val="00926546"/>
    <w:rsid w:val="009265A1"/>
    <w:rsid w:val="00927700"/>
    <w:rsid w:val="00930308"/>
    <w:rsid w:val="0093036E"/>
    <w:rsid w:val="00930E4D"/>
    <w:rsid w:val="00931224"/>
    <w:rsid w:val="00931588"/>
    <w:rsid w:val="009333D3"/>
    <w:rsid w:val="009339A0"/>
    <w:rsid w:val="009339B6"/>
    <w:rsid w:val="00933B4C"/>
    <w:rsid w:val="00933DC4"/>
    <w:rsid w:val="00933EE7"/>
    <w:rsid w:val="0093431B"/>
    <w:rsid w:val="009346D6"/>
    <w:rsid w:val="00934743"/>
    <w:rsid w:val="0093487E"/>
    <w:rsid w:val="00934FFE"/>
    <w:rsid w:val="00936405"/>
    <w:rsid w:val="00936B64"/>
    <w:rsid w:val="00936F76"/>
    <w:rsid w:val="009379C4"/>
    <w:rsid w:val="0094041A"/>
    <w:rsid w:val="00940D32"/>
    <w:rsid w:val="0094190D"/>
    <w:rsid w:val="00942354"/>
    <w:rsid w:val="00942681"/>
    <w:rsid w:val="00943A7E"/>
    <w:rsid w:val="00943E42"/>
    <w:rsid w:val="00943E5D"/>
    <w:rsid w:val="009440DC"/>
    <w:rsid w:val="00944728"/>
    <w:rsid w:val="009447A7"/>
    <w:rsid w:val="009453E8"/>
    <w:rsid w:val="00945664"/>
    <w:rsid w:val="0094587F"/>
    <w:rsid w:val="00945AD1"/>
    <w:rsid w:val="00946E56"/>
    <w:rsid w:val="00946ECB"/>
    <w:rsid w:val="00947069"/>
    <w:rsid w:val="00947268"/>
    <w:rsid w:val="0094750E"/>
    <w:rsid w:val="009476AE"/>
    <w:rsid w:val="00947C94"/>
    <w:rsid w:val="009507C8"/>
    <w:rsid w:val="0095115E"/>
    <w:rsid w:val="0095118A"/>
    <w:rsid w:val="00952468"/>
    <w:rsid w:val="00953740"/>
    <w:rsid w:val="00954767"/>
    <w:rsid w:val="0095487A"/>
    <w:rsid w:val="009548FB"/>
    <w:rsid w:val="00954D8B"/>
    <w:rsid w:val="0095536B"/>
    <w:rsid w:val="0095538B"/>
    <w:rsid w:val="0095695D"/>
    <w:rsid w:val="00957AF7"/>
    <w:rsid w:val="00960ACA"/>
    <w:rsid w:val="00960C4F"/>
    <w:rsid w:val="0096217C"/>
    <w:rsid w:val="00962441"/>
    <w:rsid w:val="00963277"/>
    <w:rsid w:val="0096496C"/>
    <w:rsid w:val="00964B53"/>
    <w:rsid w:val="00964C3F"/>
    <w:rsid w:val="00964C6C"/>
    <w:rsid w:val="00965176"/>
    <w:rsid w:val="00965240"/>
    <w:rsid w:val="00965847"/>
    <w:rsid w:val="00965A3E"/>
    <w:rsid w:val="00965C48"/>
    <w:rsid w:val="00966D9D"/>
    <w:rsid w:val="00966E4A"/>
    <w:rsid w:val="00967041"/>
    <w:rsid w:val="009671BB"/>
    <w:rsid w:val="00970918"/>
    <w:rsid w:val="0097099E"/>
    <w:rsid w:val="009711BA"/>
    <w:rsid w:val="009714D1"/>
    <w:rsid w:val="00971761"/>
    <w:rsid w:val="00971F1B"/>
    <w:rsid w:val="0097216F"/>
    <w:rsid w:val="00972187"/>
    <w:rsid w:val="00972C3B"/>
    <w:rsid w:val="00973057"/>
    <w:rsid w:val="00973604"/>
    <w:rsid w:val="00974D50"/>
    <w:rsid w:val="009751AF"/>
    <w:rsid w:val="00975326"/>
    <w:rsid w:val="009757C3"/>
    <w:rsid w:val="00975DEA"/>
    <w:rsid w:val="00977CDF"/>
    <w:rsid w:val="0098043F"/>
    <w:rsid w:val="009808C5"/>
    <w:rsid w:val="00981038"/>
    <w:rsid w:val="0098106E"/>
    <w:rsid w:val="00981511"/>
    <w:rsid w:val="00981D1C"/>
    <w:rsid w:val="00981E1C"/>
    <w:rsid w:val="00982118"/>
    <w:rsid w:val="0098262F"/>
    <w:rsid w:val="00982B8F"/>
    <w:rsid w:val="00982C62"/>
    <w:rsid w:val="00982C91"/>
    <w:rsid w:val="00982F76"/>
    <w:rsid w:val="00982FA3"/>
    <w:rsid w:val="00983E57"/>
    <w:rsid w:val="009840FD"/>
    <w:rsid w:val="00984701"/>
    <w:rsid w:val="00984847"/>
    <w:rsid w:val="00984BEC"/>
    <w:rsid w:val="00985A38"/>
    <w:rsid w:val="00985EB8"/>
    <w:rsid w:val="00985FB3"/>
    <w:rsid w:val="009863A2"/>
    <w:rsid w:val="00986566"/>
    <w:rsid w:val="00986ACA"/>
    <w:rsid w:val="00986C95"/>
    <w:rsid w:val="00986CC1"/>
    <w:rsid w:val="00986F0E"/>
    <w:rsid w:val="00986F4E"/>
    <w:rsid w:val="00987191"/>
    <w:rsid w:val="00987A5A"/>
    <w:rsid w:val="00987CB4"/>
    <w:rsid w:val="0099097E"/>
    <w:rsid w:val="00991A30"/>
    <w:rsid w:val="00991C15"/>
    <w:rsid w:val="009921FC"/>
    <w:rsid w:val="0099272B"/>
    <w:rsid w:val="00992A0E"/>
    <w:rsid w:val="0099399E"/>
    <w:rsid w:val="0099413C"/>
    <w:rsid w:val="00994230"/>
    <w:rsid w:val="0099479E"/>
    <w:rsid w:val="00994D02"/>
    <w:rsid w:val="009951D8"/>
    <w:rsid w:val="00995355"/>
    <w:rsid w:val="0099586F"/>
    <w:rsid w:val="0099719E"/>
    <w:rsid w:val="009A0169"/>
    <w:rsid w:val="009A1B56"/>
    <w:rsid w:val="009A3C93"/>
    <w:rsid w:val="009A3FD0"/>
    <w:rsid w:val="009A4DA2"/>
    <w:rsid w:val="009A51C7"/>
    <w:rsid w:val="009A59EC"/>
    <w:rsid w:val="009A5C56"/>
    <w:rsid w:val="009A5CA8"/>
    <w:rsid w:val="009A6ED0"/>
    <w:rsid w:val="009A706A"/>
    <w:rsid w:val="009A71AB"/>
    <w:rsid w:val="009A7745"/>
    <w:rsid w:val="009A7C3D"/>
    <w:rsid w:val="009B0156"/>
    <w:rsid w:val="009B0295"/>
    <w:rsid w:val="009B05BA"/>
    <w:rsid w:val="009B14E2"/>
    <w:rsid w:val="009B14F2"/>
    <w:rsid w:val="009B1B0E"/>
    <w:rsid w:val="009B2596"/>
    <w:rsid w:val="009B42B6"/>
    <w:rsid w:val="009B42CC"/>
    <w:rsid w:val="009B43D6"/>
    <w:rsid w:val="009B4534"/>
    <w:rsid w:val="009B5081"/>
    <w:rsid w:val="009B6985"/>
    <w:rsid w:val="009B69B3"/>
    <w:rsid w:val="009B7011"/>
    <w:rsid w:val="009B71E4"/>
    <w:rsid w:val="009B7240"/>
    <w:rsid w:val="009C04EE"/>
    <w:rsid w:val="009C0CD4"/>
    <w:rsid w:val="009C0E38"/>
    <w:rsid w:val="009C115D"/>
    <w:rsid w:val="009C15E7"/>
    <w:rsid w:val="009C17C8"/>
    <w:rsid w:val="009C385B"/>
    <w:rsid w:val="009C3BE4"/>
    <w:rsid w:val="009C3E3C"/>
    <w:rsid w:val="009C4353"/>
    <w:rsid w:val="009C49C2"/>
    <w:rsid w:val="009C4E2D"/>
    <w:rsid w:val="009C62C0"/>
    <w:rsid w:val="009C6A88"/>
    <w:rsid w:val="009C765D"/>
    <w:rsid w:val="009C7ADA"/>
    <w:rsid w:val="009C7DFA"/>
    <w:rsid w:val="009D000A"/>
    <w:rsid w:val="009D037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5D"/>
    <w:rsid w:val="009E2EA0"/>
    <w:rsid w:val="009E305F"/>
    <w:rsid w:val="009E3417"/>
    <w:rsid w:val="009E36FF"/>
    <w:rsid w:val="009E37D3"/>
    <w:rsid w:val="009E39A4"/>
    <w:rsid w:val="009E3CC0"/>
    <w:rsid w:val="009E5028"/>
    <w:rsid w:val="009E50FB"/>
    <w:rsid w:val="009E5280"/>
    <w:rsid w:val="009E5386"/>
    <w:rsid w:val="009E5DD1"/>
    <w:rsid w:val="009E60AD"/>
    <w:rsid w:val="009E6125"/>
    <w:rsid w:val="009E68C8"/>
    <w:rsid w:val="009E6AB5"/>
    <w:rsid w:val="009E6DAB"/>
    <w:rsid w:val="009E6F4B"/>
    <w:rsid w:val="009E703C"/>
    <w:rsid w:val="009E7E4C"/>
    <w:rsid w:val="009E7EBB"/>
    <w:rsid w:val="009F07B5"/>
    <w:rsid w:val="009F08F5"/>
    <w:rsid w:val="009F0956"/>
    <w:rsid w:val="009F0EE5"/>
    <w:rsid w:val="009F1264"/>
    <w:rsid w:val="009F1721"/>
    <w:rsid w:val="009F245B"/>
    <w:rsid w:val="009F25E6"/>
    <w:rsid w:val="009F2BE8"/>
    <w:rsid w:val="009F2F09"/>
    <w:rsid w:val="009F30BE"/>
    <w:rsid w:val="009F38AB"/>
    <w:rsid w:val="009F39A7"/>
    <w:rsid w:val="009F3B7E"/>
    <w:rsid w:val="009F40B7"/>
    <w:rsid w:val="009F4188"/>
    <w:rsid w:val="009F4302"/>
    <w:rsid w:val="009F4393"/>
    <w:rsid w:val="009F4BE9"/>
    <w:rsid w:val="009F62D3"/>
    <w:rsid w:val="009F65E3"/>
    <w:rsid w:val="009F6A2F"/>
    <w:rsid w:val="009F7024"/>
    <w:rsid w:val="00A00112"/>
    <w:rsid w:val="00A0079A"/>
    <w:rsid w:val="00A008B5"/>
    <w:rsid w:val="00A010D6"/>
    <w:rsid w:val="00A01420"/>
    <w:rsid w:val="00A017B4"/>
    <w:rsid w:val="00A01C53"/>
    <w:rsid w:val="00A01D38"/>
    <w:rsid w:val="00A02414"/>
    <w:rsid w:val="00A025B9"/>
    <w:rsid w:val="00A02623"/>
    <w:rsid w:val="00A0355C"/>
    <w:rsid w:val="00A03A13"/>
    <w:rsid w:val="00A040CD"/>
    <w:rsid w:val="00A04429"/>
    <w:rsid w:val="00A04CBD"/>
    <w:rsid w:val="00A05898"/>
    <w:rsid w:val="00A06446"/>
    <w:rsid w:val="00A06697"/>
    <w:rsid w:val="00A06C40"/>
    <w:rsid w:val="00A10586"/>
    <w:rsid w:val="00A10A48"/>
    <w:rsid w:val="00A110DA"/>
    <w:rsid w:val="00A1132B"/>
    <w:rsid w:val="00A11930"/>
    <w:rsid w:val="00A11B54"/>
    <w:rsid w:val="00A11CDC"/>
    <w:rsid w:val="00A1238C"/>
    <w:rsid w:val="00A124CB"/>
    <w:rsid w:val="00A1263D"/>
    <w:rsid w:val="00A12AF2"/>
    <w:rsid w:val="00A12D8A"/>
    <w:rsid w:val="00A12E6C"/>
    <w:rsid w:val="00A136D0"/>
    <w:rsid w:val="00A13D1A"/>
    <w:rsid w:val="00A14DC2"/>
    <w:rsid w:val="00A14DD6"/>
    <w:rsid w:val="00A15D5E"/>
    <w:rsid w:val="00A161F8"/>
    <w:rsid w:val="00A169FA"/>
    <w:rsid w:val="00A1766A"/>
    <w:rsid w:val="00A1796C"/>
    <w:rsid w:val="00A200F4"/>
    <w:rsid w:val="00A206C9"/>
    <w:rsid w:val="00A20C27"/>
    <w:rsid w:val="00A20E7D"/>
    <w:rsid w:val="00A2122D"/>
    <w:rsid w:val="00A216BC"/>
    <w:rsid w:val="00A216BE"/>
    <w:rsid w:val="00A23433"/>
    <w:rsid w:val="00A23931"/>
    <w:rsid w:val="00A23FD6"/>
    <w:rsid w:val="00A24D57"/>
    <w:rsid w:val="00A24EA2"/>
    <w:rsid w:val="00A25317"/>
    <w:rsid w:val="00A25706"/>
    <w:rsid w:val="00A25C26"/>
    <w:rsid w:val="00A25D84"/>
    <w:rsid w:val="00A25E30"/>
    <w:rsid w:val="00A26029"/>
    <w:rsid w:val="00A262E4"/>
    <w:rsid w:val="00A267C2"/>
    <w:rsid w:val="00A268EA"/>
    <w:rsid w:val="00A2703A"/>
    <w:rsid w:val="00A27C1B"/>
    <w:rsid w:val="00A30731"/>
    <w:rsid w:val="00A31CE0"/>
    <w:rsid w:val="00A31FA9"/>
    <w:rsid w:val="00A333BF"/>
    <w:rsid w:val="00A33825"/>
    <w:rsid w:val="00A3398F"/>
    <w:rsid w:val="00A34598"/>
    <w:rsid w:val="00A35583"/>
    <w:rsid w:val="00A363EF"/>
    <w:rsid w:val="00A36DFE"/>
    <w:rsid w:val="00A370FD"/>
    <w:rsid w:val="00A3798C"/>
    <w:rsid w:val="00A37DD9"/>
    <w:rsid w:val="00A40705"/>
    <w:rsid w:val="00A40ED7"/>
    <w:rsid w:val="00A40F83"/>
    <w:rsid w:val="00A412BA"/>
    <w:rsid w:val="00A41416"/>
    <w:rsid w:val="00A4200D"/>
    <w:rsid w:val="00A424BF"/>
    <w:rsid w:val="00A4258E"/>
    <w:rsid w:val="00A432D1"/>
    <w:rsid w:val="00A4354D"/>
    <w:rsid w:val="00A43716"/>
    <w:rsid w:val="00A442C5"/>
    <w:rsid w:val="00A44712"/>
    <w:rsid w:val="00A44AF5"/>
    <w:rsid w:val="00A44B8B"/>
    <w:rsid w:val="00A44DDE"/>
    <w:rsid w:val="00A45367"/>
    <w:rsid w:val="00A45EC4"/>
    <w:rsid w:val="00A47212"/>
    <w:rsid w:val="00A474EA"/>
    <w:rsid w:val="00A501B2"/>
    <w:rsid w:val="00A5034A"/>
    <w:rsid w:val="00A50FFA"/>
    <w:rsid w:val="00A51128"/>
    <w:rsid w:val="00A539D1"/>
    <w:rsid w:val="00A54DAE"/>
    <w:rsid w:val="00A56D3B"/>
    <w:rsid w:val="00A57450"/>
    <w:rsid w:val="00A57479"/>
    <w:rsid w:val="00A57C08"/>
    <w:rsid w:val="00A600D9"/>
    <w:rsid w:val="00A604CD"/>
    <w:rsid w:val="00A637A0"/>
    <w:rsid w:val="00A63ECD"/>
    <w:rsid w:val="00A64093"/>
    <w:rsid w:val="00A640EB"/>
    <w:rsid w:val="00A6412F"/>
    <w:rsid w:val="00A64815"/>
    <w:rsid w:val="00A64DB2"/>
    <w:rsid w:val="00A65043"/>
    <w:rsid w:val="00A658C8"/>
    <w:rsid w:val="00A66DF9"/>
    <w:rsid w:val="00A66FFA"/>
    <w:rsid w:val="00A704E4"/>
    <w:rsid w:val="00A706FC"/>
    <w:rsid w:val="00A70889"/>
    <w:rsid w:val="00A70BD2"/>
    <w:rsid w:val="00A7136A"/>
    <w:rsid w:val="00A713B4"/>
    <w:rsid w:val="00A71A77"/>
    <w:rsid w:val="00A71C44"/>
    <w:rsid w:val="00A72296"/>
    <w:rsid w:val="00A73268"/>
    <w:rsid w:val="00A7388E"/>
    <w:rsid w:val="00A74544"/>
    <w:rsid w:val="00A74548"/>
    <w:rsid w:val="00A74DF2"/>
    <w:rsid w:val="00A74E4D"/>
    <w:rsid w:val="00A7592E"/>
    <w:rsid w:val="00A76C1F"/>
    <w:rsid w:val="00A76D1E"/>
    <w:rsid w:val="00A7786F"/>
    <w:rsid w:val="00A803FC"/>
    <w:rsid w:val="00A8071A"/>
    <w:rsid w:val="00A80DD9"/>
    <w:rsid w:val="00A80FCA"/>
    <w:rsid w:val="00A81A43"/>
    <w:rsid w:val="00A81CBC"/>
    <w:rsid w:val="00A82506"/>
    <w:rsid w:val="00A837CE"/>
    <w:rsid w:val="00A83DB5"/>
    <w:rsid w:val="00A83FBA"/>
    <w:rsid w:val="00A84636"/>
    <w:rsid w:val="00A84FE1"/>
    <w:rsid w:val="00A85080"/>
    <w:rsid w:val="00A86406"/>
    <w:rsid w:val="00A86853"/>
    <w:rsid w:val="00A86AFF"/>
    <w:rsid w:val="00A86B75"/>
    <w:rsid w:val="00A86E75"/>
    <w:rsid w:val="00A86F33"/>
    <w:rsid w:val="00A9065F"/>
    <w:rsid w:val="00A90B0E"/>
    <w:rsid w:val="00A9188F"/>
    <w:rsid w:val="00A91AA1"/>
    <w:rsid w:val="00A91C8C"/>
    <w:rsid w:val="00A91F0D"/>
    <w:rsid w:val="00A9235A"/>
    <w:rsid w:val="00A92694"/>
    <w:rsid w:val="00A92FF7"/>
    <w:rsid w:val="00A93069"/>
    <w:rsid w:val="00A9468F"/>
    <w:rsid w:val="00A9498D"/>
    <w:rsid w:val="00A95335"/>
    <w:rsid w:val="00A9566B"/>
    <w:rsid w:val="00A9657F"/>
    <w:rsid w:val="00A9797D"/>
    <w:rsid w:val="00AA015F"/>
    <w:rsid w:val="00AA0280"/>
    <w:rsid w:val="00AA0C3A"/>
    <w:rsid w:val="00AA1723"/>
    <w:rsid w:val="00AA190D"/>
    <w:rsid w:val="00AA1FDD"/>
    <w:rsid w:val="00AA22C3"/>
    <w:rsid w:val="00AA230D"/>
    <w:rsid w:val="00AA247A"/>
    <w:rsid w:val="00AA258B"/>
    <w:rsid w:val="00AA33F5"/>
    <w:rsid w:val="00AA40AD"/>
    <w:rsid w:val="00AA4941"/>
    <w:rsid w:val="00AA49E9"/>
    <w:rsid w:val="00AA4F49"/>
    <w:rsid w:val="00AA5475"/>
    <w:rsid w:val="00AA5876"/>
    <w:rsid w:val="00AA6A8A"/>
    <w:rsid w:val="00AA6DD8"/>
    <w:rsid w:val="00AA6FA3"/>
    <w:rsid w:val="00AA70BB"/>
    <w:rsid w:val="00AA757C"/>
    <w:rsid w:val="00AA7F10"/>
    <w:rsid w:val="00AB0391"/>
    <w:rsid w:val="00AB06B4"/>
    <w:rsid w:val="00AB12B5"/>
    <w:rsid w:val="00AB15DA"/>
    <w:rsid w:val="00AB1A8B"/>
    <w:rsid w:val="00AB2085"/>
    <w:rsid w:val="00AB2151"/>
    <w:rsid w:val="00AB235B"/>
    <w:rsid w:val="00AB2C59"/>
    <w:rsid w:val="00AB2C71"/>
    <w:rsid w:val="00AB2C8A"/>
    <w:rsid w:val="00AB42B6"/>
    <w:rsid w:val="00AB4BEF"/>
    <w:rsid w:val="00AB4D67"/>
    <w:rsid w:val="00AB545D"/>
    <w:rsid w:val="00AB54D7"/>
    <w:rsid w:val="00AB57D3"/>
    <w:rsid w:val="00AB617F"/>
    <w:rsid w:val="00AB6886"/>
    <w:rsid w:val="00AB6AE4"/>
    <w:rsid w:val="00AB6E00"/>
    <w:rsid w:val="00AB6F37"/>
    <w:rsid w:val="00AB769E"/>
    <w:rsid w:val="00AB7D55"/>
    <w:rsid w:val="00AC0681"/>
    <w:rsid w:val="00AC0C71"/>
    <w:rsid w:val="00AC154B"/>
    <w:rsid w:val="00AC1B72"/>
    <w:rsid w:val="00AC26FE"/>
    <w:rsid w:val="00AC350D"/>
    <w:rsid w:val="00AC3568"/>
    <w:rsid w:val="00AC3CF2"/>
    <w:rsid w:val="00AC4282"/>
    <w:rsid w:val="00AC47EC"/>
    <w:rsid w:val="00AC4E5D"/>
    <w:rsid w:val="00AC5115"/>
    <w:rsid w:val="00AC5129"/>
    <w:rsid w:val="00AC6C53"/>
    <w:rsid w:val="00AC6E85"/>
    <w:rsid w:val="00AC7284"/>
    <w:rsid w:val="00AC7CE6"/>
    <w:rsid w:val="00AD0828"/>
    <w:rsid w:val="00AD0B13"/>
    <w:rsid w:val="00AD0E69"/>
    <w:rsid w:val="00AD103D"/>
    <w:rsid w:val="00AD159C"/>
    <w:rsid w:val="00AD17FA"/>
    <w:rsid w:val="00AD19EC"/>
    <w:rsid w:val="00AD2265"/>
    <w:rsid w:val="00AD2717"/>
    <w:rsid w:val="00AD3644"/>
    <w:rsid w:val="00AD3A87"/>
    <w:rsid w:val="00AD3C99"/>
    <w:rsid w:val="00AD3DC4"/>
    <w:rsid w:val="00AD4A46"/>
    <w:rsid w:val="00AD4EFE"/>
    <w:rsid w:val="00AD4FF4"/>
    <w:rsid w:val="00AD531D"/>
    <w:rsid w:val="00AD570A"/>
    <w:rsid w:val="00AD600C"/>
    <w:rsid w:val="00AD6066"/>
    <w:rsid w:val="00AD63D6"/>
    <w:rsid w:val="00AD6CD5"/>
    <w:rsid w:val="00AD733B"/>
    <w:rsid w:val="00AD7CA7"/>
    <w:rsid w:val="00AE0040"/>
    <w:rsid w:val="00AE0D21"/>
    <w:rsid w:val="00AE184D"/>
    <w:rsid w:val="00AE1C03"/>
    <w:rsid w:val="00AE23E3"/>
    <w:rsid w:val="00AE2F65"/>
    <w:rsid w:val="00AE317E"/>
    <w:rsid w:val="00AE35A5"/>
    <w:rsid w:val="00AE45C7"/>
    <w:rsid w:val="00AE4E2A"/>
    <w:rsid w:val="00AE5CF9"/>
    <w:rsid w:val="00AE5DB6"/>
    <w:rsid w:val="00AE68B2"/>
    <w:rsid w:val="00AE6C3C"/>
    <w:rsid w:val="00AE702E"/>
    <w:rsid w:val="00AE73E0"/>
    <w:rsid w:val="00AF03C0"/>
    <w:rsid w:val="00AF166F"/>
    <w:rsid w:val="00AF1C03"/>
    <w:rsid w:val="00AF226F"/>
    <w:rsid w:val="00AF237C"/>
    <w:rsid w:val="00AF32E5"/>
    <w:rsid w:val="00AF3936"/>
    <w:rsid w:val="00AF39AF"/>
    <w:rsid w:val="00AF3E3B"/>
    <w:rsid w:val="00AF3E5A"/>
    <w:rsid w:val="00AF46FE"/>
    <w:rsid w:val="00AF486F"/>
    <w:rsid w:val="00AF548B"/>
    <w:rsid w:val="00AF55E0"/>
    <w:rsid w:val="00AF5666"/>
    <w:rsid w:val="00AF57E5"/>
    <w:rsid w:val="00AF5870"/>
    <w:rsid w:val="00AF5AAF"/>
    <w:rsid w:val="00AF6619"/>
    <w:rsid w:val="00AF6CFD"/>
    <w:rsid w:val="00AF7DC1"/>
    <w:rsid w:val="00B000AE"/>
    <w:rsid w:val="00B0040B"/>
    <w:rsid w:val="00B00830"/>
    <w:rsid w:val="00B00A4F"/>
    <w:rsid w:val="00B00AB5"/>
    <w:rsid w:val="00B00CC0"/>
    <w:rsid w:val="00B00F5C"/>
    <w:rsid w:val="00B019C1"/>
    <w:rsid w:val="00B0236E"/>
    <w:rsid w:val="00B02506"/>
    <w:rsid w:val="00B02ACE"/>
    <w:rsid w:val="00B03913"/>
    <w:rsid w:val="00B049CE"/>
    <w:rsid w:val="00B04CE3"/>
    <w:rsid w:val="00B04CEA"/>
    <w:rsid w:val="00B04D87"/>
    <w:rsid w:val="00B05607"/>
    <w:rsid w:val="00B0565F"/>
    <w:rsid w:val="00B05A08"/>
    <w:rsid w:val="00B05F14"/>
    <w:rsid w:val="00B0632C"/>
    <w:rsid w:val="00B06737"/>
    <w:rsid w:val="00B0746A"/>
    <w:rsid w:val="00B0784C"/>
    <w:rsid w:val="00B07CE9"/>
    <w:rsid w:val="00B101D5"/>
    <w:rsid w:val="00B10633"/>
    <w:rsid w:val="00B10B08"/>
    <w:rsid w:val="00B111CA"/>
    <w:rsid w:val="00B11A78"/>
    <w:rsid w:val="00B11CFB"/>
    <w:rsid w:val="00B12111"/>
    <w:rsid w:val="00B12804"/>
    <w:rsid w:val="00B12A1F"/>
    <w:rsid w:val="00B133A0"/>
    <w:rsid w:val="00B133F8"/>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17DC5"/>
    <w:rsid w:val="00B20FD1"/>
    <w:rsid w:val="00B21736"/>
    <w:rsid w:val="00B218B1"/>
    <w:rsid w:val="00B21A33"/>
    <w:rsid w:val="00B224AA"/>
    <w:rsid w:val="00B22998"/>
    <w:rsid w:val="00B229FE"/>
    <w:rsid w:val="00B2302B"/>
    <w:rsid w:val="00B24363"/>
    <w:rsid w:val="00B2456E"/>
    <w:rsid w:val="00B24979"/>
    <w:rsid w:val="00B250A5"/>
    <w:rsid w:val="00B25651"/>
    <w:rsid w:val="00B26937"/>
    <w:rsid w:val="00B27733"/>
    <w:rsid w:val="00B30243"/>
    <w:rsid w:val="00B30421"/>
    <w:rsid w:val="00B30A89"/>
    <w:rsid w:val="00B30DC8"/>
    <w:rsid w:val="00B315BB"/>
    <w:rsid w:val="00B3193D"/>
    <w:rsid w:val="00B31977"/>
    <w:rsid w:val="00B31C56"/>
    <w:rsid w:val="00B3235A"/>
    <w:rsid w:val="00B32BB9"/>
    <w:rsid w:val="00B333FE"/>
    <w:rsid w:val="00B33508"/>
    <w:rsid w:val="00B3382B"/>
    <w:rsid w:val="00B349E3"/>
    <w:rsid w:val="00B35094"/>
    <w:rsid w:val="00B350F0"/>
    <w:rsid w:val="00B357AC"/>
    <w:rsid w:val="00B35992"/>
    <w:rsid w:val="00B35E4B"/>
    <w:rsid w:val="00B35FCC"/>
    <w:rsid w:val="00B36518"/>
    <w:rsid w:val="00B37754"/>
    <w:rsid w:val="00B378CC"/>
    <w:rsid w:val="00B4019E"/>
    <w:rsid w:val="00B40361"/>
    <w:rsid w:val="00B413FD"/>
    <w:rsid w:val="00B41615"/>
    <w:rsid w:val="00B41FD8"/>
    <w:rsid w:val="00B420DF"/>
    <w:rsid w:val="00B428E2"/>
    <w:rsid w:val="00B42A2C"/>
    <w:rsid w:val="00B42A5C"/>
    <w:rsid w:val="00B42A98"/>
    <w:rsid w:val="00B42C64"/>
    <w:rsid w:val="00B4404A"/>
    <w:rsid w:val="00B448EF"/>
    <w:rsid w:val="00B46F30"/>
    <w:rsid w:val="00B47493"/>
    <w:rsid w:val="00B474C8"/>
    <w:rsid w:val="00B474DF"/>
    <w:rsid w:val="00B47915"/>
    <w:rsid w:val="00B47A1B"/>
    <w:rsid w:val="00B50526"/>
    <w:rsid w:val="00B50637"/>
    <w:rsid w:val="00B50AF8"/>
    <w:rsid w:val="00B50E18"/>
    <w:rsid w:val="00B513A9"/>
    <w:rsid w:val="00B51568"/>
    <w:rsid w:val="00B51610"/>
    <w:rsid w:val="00B5167B"/>
    <w:rsid w:val="00B520E3"/>
    <w:rsid w:val="00B52336"/>
    <w:rsid w:val="00B5314C"/>
    <w:rsid w:val="00B5388C"/>
    <w:rsid w:val="00B53EFB"/>
    <w:rsid w:val="00B55CED"/>
    <w:rsid w:val="00B55D57"/>
    <w:rsid w:val="00B55F80"/>
    <w:rsid w:val="00B56480"/>
    <w:rsid w:val="00B565D6"/>
    <w:rsid w:val="00B576A4"/>
    <w:rsid w:val="00B57998"/>
    <w:rsid w:val="00B57B5F"/>
    <w:rsid w:val="00B57CD0"/>
    <w:rsid w:val="00B57DA9"/>
    <w:rsid w:val="00B60177"/>
    <w:rsid w:val="00B60639"/>
    <w:rsid w:val="00B6138B"/>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19C"/>
    <w:rsid w:val="00B74729"/>
    <w:rsid w:val="00B749B6"/>
    <w:rsid w:val="00B7509A"/>
    <w:rsid w:val="00B7613E"/>
    <w:rsid w:val="00B766C1"/>
    <w:rsid w:val="00B76966"/>
    <w:rsid w:val="00B76B96"/>
    <w:rsid w:val="00B76EFB"/>
    <w:rsid w:val="00B77129"/>
    <w:rsid w:val="00B77C37"/>
    <w:rsid w:val="00B807BF"/>
    <w:rsid w:val="00B809B1"/>
    <w:rsid w:val="00B82543"/>
    <w:rsid w:val="00B82998"/>
    <w:rsid w:val="00B82BC7"/>
    <w:rsid w:val="00B83260"/>
    <w:rsid w:val="00B834B0"/>
    <w:rsid w:val="00B837F6"/>
    <w:rsid w:val="00B8387A"/>
    <w:rsid w:val="00B83DAE"/>
    <w:rsid w:val="00B83E80"/>
    <w:rsid w:val="00B84FB4"/>
    <w:rsid w:val="00B8756E"/>
    <w:rsid w:val="00B87A7D"/>
    <w:rsid w:val="00B87DF9"/>
    <w:rsid w:val="00B91951"/>
    <w:rsid w:val="00B91A58"/>
    <w:rsid w:val="00B91EAD"/>
    <w:rsid w:val="00B920B9"/>
    <w:rsid w:val="00B92D7B"/>
    <w:rsid w:val="00B930D2"/>
    <w:rsid w:val="00B937CD"/>
    <w:rsid w:val="00B938BC"/>
    <w:rsid w:val="00B93997"/>
    <w:rsid w:val="00B93C98"/>
    <w:rsid w:val="00B94CD3"/>
    <w:rsid w:val="00B94E9F"/>
    <w:rsid w:val="00B95DBD"/>
    <w:rsid w:val="00B97601"/>
    <w:rsid w:val="00B9760C"/>
    <w:rsid w:val="00B976BB"/>
    <w:rsid w:val="00BA01A7"/>
    <w:rsid w:val="00BA0224"/>
    <w:rsid w:val="00BA05C8"/>
    <w:rsid w:val="00BA077B"/>
    <w:rsid w:val="00BA09AA"/>
    <w:rsid w:val="00BA0AD5"/>
    <w:rsid w:val="00BA0CA0"/>
    <w:rsid w:val="00BA0E3C"/>
    <w:rsid w:val="00BA1F74"/>
    <w:rsid w:val="00BA1FE7"/>
    <w:rsid w:val="00BA2B1D"/>
    <w:rsid w:val="00BA386F"/>
    <w:rsid w:val="00BA3CA6"/>
    <w:rsid w:val="00BA3D14"/>
    <w:rsid w:val="00BA435A"/>
    <w:rsid w:val="00BA54BA"/>
    <w:rsid w:val="00BA5603"/>
    <w:rsid w:val="00BA56D9"/>
    <w:rsid w:val="00BA5843"/>
    <w:rsid w:val="00BA6194"/>
    <w:rsid w:val="00BA6CE3"/>
    <w:rsid w:val="00BA7CFC"/>
    <w:rsid w:val="00BA7EEE"/>
    <w:rsid w:val="00BB089E"/>
    <w:rsid w:val="00BB0CB3"/>
    <w:rsid w:val="00BB2008"/>
    <w:rsid w:val="00BB29DF"/>
    <w:rsid w:val="00BB2CFC"/>
    <w:rsid w:val="00BB3261"/>
    <w:rsid w:val="00BB34DC"/>
    <w:rsid w:val="00BB35D0"/>
    <w:rsid w:val="00BB3883"/>
    <w:rsid w:val="00BB3AC4"/>
    <w:rsid w:val="00BB44F0"/>
    <w:rsid w:val="00BB4999"/>
    <w:rsid w:val="00BB4A15"/>
    <w:rsid w:val="00BB4BCD"/>
    <w:rsid w:val="00BB4E36"/>
    <w:rsid w:val="00BB540A"/>
    <w:rsid w:val="00BB5531"/>
    <w:rsid w:val="00BB56C7"/>
    <w:rsid w:val="00BB5B62"/>
    <w:rsid w:val="00BB5EEF"/>
    <w:rsid w:val="00BB6502"/>
    <w:rsid w:val="00BB6BCD"/>
    <w:rsid w:val="00BB70F9"/>
    <w:rsid w:val="00BB7C9B"/>
    <w:rsid w:val="00BC0A3B"/>
    <w:rsid w:val="00BC1019"/>
    <w:rsid w:val="00BC1527"/>
    <w:rsid w:val="00BC2306"/>
    <w:rsid w:val="00BC2C3D"/>
    <w:rsid w:val="00BC2F31"/>
    <w:rsid w:val="00BC316E"/>
    <w:rsid w:val="00BC4036"/>
    <w:rsid w:val="00BC4F0A"/>
    <w:rsid w:val="00BC509F"/>
    <w:rsid w:val="00BC51D2"/>
    <w:rsid w:val="00BC555E"/>
    <w:rsid w:val="00BC64BE"/>
    <w:rsid w:val="00BC7155"/>
    <w:rsid w:val="00BC7550"/>
    <w:rsid w:val="00BD0B72"/>
    <w:rsid w:val="00BD2668"/>
    <w:rsid w:val="00BD2FBD"/>
    <w:rsid w:val="00BD3924"/>
    <w:rsid w:val="00BD3C33"/>
    <w:rsid w:val="00BD450F"/>
    <w:rsid w:val="00BD4512"/>
    <w:rsid w:val="00BD5195"/>
    <w:rsid w:val="00BD52AA"/>
    <w:rsid w:val="00BD7FF4"/>
    <w:rsid w:val="00BE0DD1"/>
    <w:rsid w:val="00BE1061"/>
    <w:rsid w:val="00BE1321"/>
    <w:rsid w:val="00BE2893"/>
    <w:rsid w:val="00BE2EB4"/>
    <w:rsid w:val="00BE2F5A"/>
    <w:rsid w:val="00BE357D"/>
    <w:rsid w:val="00BE37D3"/>
    <w:rsid w:val="00BE3845"/>
    <w:rsid w:val="00BE4098"/>
    <w:rsid w:val="00BE522A"/>
    <w:rsid w:val="00BE57B5"/>
    <w:rsid w:val="00BE5ABE"/>
    <w:rsid w:val="00BE7A7C"/>
    <w:rsid w:val="00BF0A44"/>
    <w:rsid w:val="00BF0CEC"/>
    <w:rsid w:val="00BF1A44"/>
    <w:rsid w:val="00BF1EDF"/>
    <w:rsid w:val="00BF40EE"/>
    <w:rsid w:val="00BF4427"/>
    <w:rsid w:val="00BF4D3D"/>
    <w:rsid w:val="00BF569C"/>
    <w:rsid w:val="00BF5B8C"/>
    <w:rsid w:val="00BF66B7"/>
    <w:rsid w:val="00BF6A68"/>
    <w:rsid w:val="00BF6BD9"/>
    <w:rsid w:val="00BF7152"/>
    <w:rsid w:val="00BF73F0"/>
    <w:rsid w:val="00BF75B1"/>
    <w:rsid w:val="00BF75C9"/>
    <w:rsid w:val="00BF7688"/>
    <w:rsid w:val="00BF7BD3"/>
    <w:rsid w:val="00C00352"/>
    <w:rsid w:val="00C007CE"/>
    <w:rsid w:val="00C00A22"/>
    <w:rsid w:val="00C00F18"/>
    <w:rsid w:val="00C01D39"/>
    <w:rsid w:val="00C0200C"/>
    <w:rsid w:val="00C020A8"/>
    <w:rsid w:val="00C02DC2"/>
    <w:rsid w:val="00C032D4"/>
    <w:rsid w:val="00C034A4"/>
    <w:rsid w:val="00C03DD0"/>
    <w:rsid w:val="00C04445"/>
    <w:rsid w:val="00C04705"/>
    <w:rsid w:val="00C04A7F"/>
    <w:rsid w:val="00C04E2B"/>
    <w:rsid w:val="00C051AA"/>
    <w:rsid w:val="00C060A0"/>
    <w:rsid w:val="00C07187"/>
    <w:rsid w:val="00C075C9"/>
    <w:rsid w:val="00C07DB2"/>
    <w:rsid w:val="00C07FAD"/>
    <w:rsid w:val="00C106C4"/>
    <w:rsid w:val="00C10E44"/>
    <w:rsid w:val="00C111EA"/>
    <w:rsid w:val="00C119AD"/>
    <w:rsid w:val="00C1228D"/>
    <w:rsid w:val="00C13FED"/>
    <w:rsid w:val="00C14E7D"/>
    <w:rsid w:val="00C15722"/>
    <w:rsid w:val="00C16103"/>
    <w:rsid w:val="00C16897"/>
    <w:rsid w:val="00C16AB4"/>
    <w:rsid w:val="00C17E76"/>
    <w:rsid w:val="00C200C9"/>
    <w:rsid w:val="00C21D8E"/>
    <w:rsid w:val="00C21E84"/>
    <w:rsid w:val="00C22525"/>
    <w:rsid w:val="00C23DBB"/>
    <w:rsid w:val="00C23FE1"/>
    <w:rsid w:val="00C2410D"/>
    <w:rsid w:val="00C24BAF"/>
    <w:rsid w:val="00C25F8B"/>
    <w:rsid w:val="00C265C0"/>
    <w:rsid w:val="00C26B9E"/>
    <w:rsid w:val="00C272EF"/>
    <w:rsid w:val="00C2732B"/>
    <w:rsid w:val="00C2753F"/>
    <w:rsid w:val="00C276A8"/>
    <w:rsid w:val="00C27963"/>
    <w:rsid w:val="00C27975"/>
    <w:rsid w:val="00C300BC"/>
    <w:rsid w:val="00C318F7"/>
    <w:rsid w:val="00C319D2"/>
    <w:rsid w:val="00C31F85"/>
    <w:rsid w:val="00C32534"/>
    <w:rsid w:val="00C326EE"/>
    <w:rsid w:val="00C32951"/>
    <w:rsid w:val="00C32C02"/>
    <w:rsid w:val="00C33235"/>
    <w:rsid w:val="00C33677"/>
    <w:rsid w:val="00C34137"/>
    <w:rsid w:val="00C3476B"/>
    <w:rsid w:val="00C347A2"/>
    <w:rsid w:val="00C35240"/>
    <w:rsid w:val="00C368B3"/>
    <w:rsid w:val="00C36F07"/>
    <w:rsid w:val="00C37214"/>
    <w:rsid w:val="00C372E8"/>
    <w:rsid w:val="00C409DC"/>
    <w:rsid w:val="00C40B1B"/>
    <w:rsid w:val="00C40E88"/>
    <w:rsid w:val="00C416A3"/>
    <w:rsid w:val="00C41785"/>
    <w:rsid w:val="00C41872"/>
    <w:rsid w:val="00C41FC1"/>
    <w:rsid w:val="00C434C2"/>
    <w:rsid w:val="00C43940"/>
    <w:rsid w:val="00C44342"/>
    <w:rsid w:val="00C44694"/>
    <w:rsid w:val="00C44744"/>
    <w:rsid w:val="00C457C1"/>
    <w:rsid w:val="00C46625"/>
    <w:rsid w:val="00C46870"/>
    <w:rsid w:val="00C4753C"/>
    <w:rsid w:val="00C47545"/>
    <w:rsid w:val="00C47593"/>
    <w:rsid w:val="00C5044B"/>
    <w:rsid w:val="00C506BD"/>
    <w:rsid w:val="00C50E55"/>
    <w:rsid w:val="00C50E9D"/>
    <w:rsid w:val="00C51426"/>
    <w:rsid w:val="00C51622"/>
    <w:rsid w:val="00C51FB3"/>
    <w:rsid w:val="00C5223C"/>
    <w:rsid w:val="00C52A35"/>
    <w:rsid w:val="00C52E85"/>
    <w:rsid w:val="00C53213"/>
    <w:rsid w:val="00C53917"/>
    <w:rsid w:val="00C541DE"/>
    <w:rsid w:val="00C54C11"/>
    <w:rsid w:val="00C54C67"/>
    <w:rsid w:val="00C54E65"/>
    <w:rsid w:val="00C56324"/>
    <w:rsid w:val="00C5653B"/>
    <w:rsid w:val="00C565A3"/>
    <w:rsid w:val="00C57563"/>
    <w:rsid w:val="00C577F7"/>
    <w:rsid w:val="00C60667"/>
    <w:rsid w:val="00C61AB9"/>
    <w:rsid w:val="00C61F84"/>
    <w:rsid w:val="00C62FF7"/>
    <w:rsid w:val="00C63135"/>
    <w:rsid w:val="00C636C1"/>
    <w:rsid w:val="00C637DC"/>
    <w:rsid w:val="00C63EE8"/>
    <w:rsid w:val="00C6432E"/>
    <w:rsid w:val="00C64D7A"/>
    <w:rsid w:val="00C65718"/>
    <w:rsid w:val="00C65B95"/>
    <w:rsid w:val="00C65C81"/>
    <w:rsid w:val="00C66772"/>
    <w:rsid w:val="00C66D2B"/>
    <w:rsid w:val="00C67580"/>
    <w:rsid w:val="00C6781C"/>
    <w:rsid w:val="00C67CD9"/>
    <w:rsid w:val="00C67EA1"/>
    <w:rsid w:val="00C70AEE"/>
    <w:rsid w:val="00C71000"/>
    <w:rsid w:val="00C71D15"/>
    <w:rsid w:val="00C7234D"/>
    <w:rsid w:val="00C7244E"/>
    <w:rsid w:val="00C726C9"/>
    <w:rsid w:val="00C72801"/>
    <w:rsid w:val="00C72C0A"/>
    <w:rsid w:val="00C72EB2"/>
    <w:rsid w:val="00C73E67"/>
    <w:rsid w:val="00C73FAD"/>
    <w:rsid w:val="00C74AE1"/>
    <w:rsid w:val="00C757B8"/>
    <w:rsid w:val="00C7582A"/>
    <w:rsid w:val="00C765D3"/>
    <w:rsid w:val="00C765E8"/>
    <w:rsid w:val="00C76906"/>
    <w:rsid w:val="00C76B7C"/>
    <w:rsid w:val="00C76CC7"/>
    <w:rsid w:val="00C76F81"/>
    <w:rsid w:val="00C776A4"/>
    <w:rsid w:val="00C800DD"/>
    <w:rsid w:val="00C801DD"/>
    <w:rsid w:val="00C80920"/>
    <w:rsid w:val="00C80B03"/>
    <w:rsid w:val="00C8243F"/>
    <w:rsid w:val="00C8289B"/>
    <w:rsid w:val="00C82C4B"/>
    <w:rsid w:val="00C82D54"/>
    <w:rsid w:val="00C82F3B"/>
    <w:rsid w:val="00C8358E"/>
    <w:rsid w:val="00C837C4"/>
    <w:rsid w:val="00C83829"/>
    <w:rsid w:val="00C83EDD"/>
    <w:rsid w:val="00C84505"/>
    <w:rsid w:val="00C8495F"/>
    <w:rsid w:val="00C84BF1"/>
    <w:rsid w:val="00C84CA2"/>
    <w:rsid w:val="00C85294"/>
    <w:rsid w:val="00C85A36"/>
    <w:rsid w:val="00C85CD1"/>
    <w:rsid w:val="00C86C56"/>
    <w:rsid w:val="00C8773E"/>
    <w:rsid w:val="00C90601"/>
    <w:rsid w:val="00C90B02"/>
    <w:rsid w:val="00C90D16"/>
    <w:rsid w:val="00C9116A"/>
    <w:rsid w:val="00C91DAF"/>
    <w:rsid w:val="00C9265D"/>
    <w:rsid w:val="00C92824"/>
    <w:rsid w:val="00C92FF5"/>
    <w:rsid w:val="00C937BA"/>
    <w:rsid w:val="00C942E5"/>
    <w:rsid w:val="00C9472E"/>
    <w:rsid w:val="00C949FC"/>
    <w:rsid w:val="00C94B5C"/>
    <w:rsid w:val="00C960CF"/>
    <w:rsid w:val="00C96672"/>
    <w:rsid w:val="00C96678"/>
    <w:rsid w:val="00C96772"/>
    <w:rsid w:val="00C96ABE"/>
    <w:rsid w:val="00C96CFA"/>
    <w:rsid w:val="00C96E5A"/>
    <w:rsid w:val="00C96EB5"/>
    <w:rsid w:val="00CA0257"/>
    <w:rsid w:val="00CA0917"/>
    <w:rsid w:val="00CA102B"/>
    <w:rsid w:val="00CA1529"/>
    <w:rsid w:val="00CA1660"/>
    <w:rsid w:val="00CA2549"/>
    <w:rsid w:val="00CA283D"/>
    <w:rsid w:val="00CA29D1"/>
    <w:rsid w:val="00CA2DD6"/>
    <w:rsid w:val="00CA3247"/>
    <w:rsid w:val="00CA3752"/>
    <w:rsid w:val="00CA3999"/>
    <w:rsid w:val="00CA39C0"/>
    <w:rsid w:val="00CA4B2B"/>
    <w:rsid w:val="00CA5429"/>
    <w:rsid w:val="00CA5718"/>
    <w:rsid w:val="00CA5AD3"/>
    <w:rsid w:val="00CA62DD"/>
    <w:rsid w:val="00CA69BA"/>
    <w:rsid w:val="00CA7DE6"/>
    <w:rsid w:val="00CB0339"/>
    <w:rsid w:val="00CB067A"/>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0674"/>
    <w:rsid w:val="00CC0B10"/>
    <w:rsid w:val="00CC110F"/>
    <w:rsid w:val="00CC11B8"/>
    <w:rsid w:val="00CC1808"/>
    <w:rsid w:val="00CC1AF9"/>
    <w:rsid w:val="00CC20E0"/>
    <w:rsid w:val="00CC2818"/>
    <w:rsid w:val="00CC2F7A"/>
    <w:rsid w:val="00CC3A70"/>
    <w:rsid w:val="00CC4033"/>
    <w:rsid w:val="00CC40B8"/>
    <w:rsid w:val="00CC5444"/>
    <w:rsid w:val="00CC5534"/>
    <w:rsid w:val="00CC5631"/>
    <w:rsid w:val="00CC5E6C"/>
    <w:rsid w:val="00CC62A6"/>
    <w:rsid w:val="00CC676C"/>
    <w:rsid w:val="00CC745B"/>
    <w:rsid w:val="00CC7A11"/>
    <w:rsid w:val="00CD04A8"/>
    <w:rsid w:val="00CD051B"/>
    <w:rsid w:val="00CD1DB1"/>
    <w:rsid w:val="00CD1E47"/>
    <w:rsid w:val="00CD22B5"/>
    <w:rsid w:val="00CD22F4"/>
    <w:rsid w:val="00CD25E1"/>
    <w:rsid w:val="00CD367C"/>
    <w:rsid w:val="00CD37F4"/>
    <w:rsid w:val="00CD454A"/>
    <w:rsid w:val="00CD499A"/>
    <w:rsid w:val="00CD4F54"/>
    <w:rsid w:val="00CD4FFE"/>
    <w:rsid w:val="00CD5521"/>
    <w:rsid w:val="00CD57FA"/>
    <w:rsid w:val="00CD5A6E"/>
    <w:rsid w:val="00CD6865"/>
    <w:rsid w:val="00CD711F"/>
    <w:rsid w:val="00CD74A7"/>
    <w:rsid w:val="00CD79B2"/>
    <w:rsid w:val="00CE157C"/>
    <w:rsid w:val="00CE1665"/>
    <w:rsid w:val="00CE1AF6"/>
    <w:rsid w:val="00CE2298"/>
    <w:rsid w:val="00CE3064"/>
    <w:rsid w:val="00CE39E4"/>
    <w:rsid w:val="00CE4282"/>
    <w:rsid w:val="00CE54E1"/>
    <w:rsid w:val="00CE55B6"/>
    <w:rsid w:val="00CE5856"/>
    <w:rsid w:val="00CE5BDE"/>
    <w:rsid w:val="00CE6797"/>
    <w:rsid w:val="00CE6A6D"/>
    <w:rsid w:val="00CE73AC"/>
    <w:rsid w:val="00CE774C"/>
    <w:rsid w:val="00CE79EF"/>
    <w:rsid w:val="00CF012E"/>
    <w:rsid w:val="00CF04D4"/>
    <w:rsid w:val="00CF0B4C"/>
    <w:rsid w:val="00CF1680"/>
    <w:rsid w:val="00CF1BD7"/>
    <w:rsid w:val="00CF1E21"/>
    <w:rsid w:val="00CF21A5"/>
    <w:rsid w:val="00CF2518"/>
    <w:rsid w:val="00CF2B2B"/>
    <w:rsid w:val="00CF2DDE"/>
    <w:rsid w:val="00CF33DC"/>
    <w:rsid w:val="00CF344A"/>
    <w:rsid w:val="00CF39A0"/>
    <w:rsid w:val="00CF3D1C"/>
    <w:rsid w:val="00CF4713"/>
    <w:rsid w:val="00CF4A66"/>
    <w:rsid w:val="00CF4B12"/>
    <w:rsid w:val="00CF4C8C"/>
    <w:rsid w:val="00CF55E9"/>
    <w:rsid w:val="00CF58FE"/>
    <w:rsid w:val="00CF5EBE"/>
    <w:rsid w:val="00CF644D"/>
    <w:rsid w:val="00CF783B"/>
    <w:rsid w:val="00CF7D97"/>
    <w:rsid w:val="00CF7EEC"/>
    <w:rsid w:val="00D001C2"/>
    <w:rsid w:val="00D0024B"/>
    <w:rsid w:val="00D00779"/>
    <w:rsid w:val="00D009D8"/>
    <w:rsid w:val="00D012E1"/>
    <w:rsid w:val="00D01318"/>
    <w:rsid w:val="00D01665"/>
    <w:rsid w:val="00D01A70"/>
    <w:rsid w:val="00D01D1E"/>
    <w:rsid w:val="00D02580"/>
    <w:rsid w:val="00D02C5E"/>
    <w:rsid w:val="00D0330B"/>
    <w:rsid w:val="00D03BF7"/>
    <w:rsid w:val="00D03F1E"/>
    <w:rsid w:val="00D0428E"/>
    <w:rsid w:val="00D04426"/>
    <w:rsid w:val="00D0482F"/>
    <w:rsid w:val="00D04A33"/>
    <w:rsid w:val="00D04F15"/>
    <w:rsid w:val="00D04F82"/>
    <w:rsid w:val="00D05892"/>
    <w:rsid w:val="00D062E3"/>
    <w:rsid w:val="00D06824"/>
    <w:rsid w:val="00D06C03"/>
    <w:rsid w:val="00D1037A"/>
    <w:rsid w:val="00D10D09"/>
    <w:rsid w:val="00D1163E"/>
    <w:rsid w:val="00D12362"/>
    <w:rsid w:val="00D12A4F"/>
    <w:rsid w:val="00D14512"/>
    <w:rsid w:val="00D14C15"/>
    <w:rsid w:val="00D15A7F"/>
    <w:rsid w:val="00D15CB3"/>
    <w:rsid w:val="00D15F51"/>
    <w:rsid w:val="00D1660E"/>
    <w:rsid w:val="00D16ED5"/>
    <w:rsid w:val="00D171C6"/>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5F7"/>
    <w:rsid w:val="00D30718"/>
    <w:rsid w:val="00D322FB"/>
    <w:rsid w:val="00D32475"/>
    <w:rsid w:val="00D32715"/>
    <w:rsid w:val="00D32EC3"/>
    <w:rsid w:val="00D32EF4"/>
    <w:rsid w:val="00D33F81"/>
    <w:rsid w:val="00D34850"/>
    <w:rsid w:val="00D3486B"/>
    <w:rsid w:val="00D35060"/>
    <w:rsid w:val="00D35FF0"/>
    <w:rsid w:val="00D361B4"/>
    <w:rsid w:val="00D369D4"/>
    <w:rsid w:val="00D36AD7"/>
    <w:rsid w:val="00D373E9"/>
    <w:rsid w:val="00D37C61"/>
    <w:rsid w:val="00D403FF"/>
    <w:rsid w:val="00D404C4"/>
    <w:rsid w:val="00D40CE9"/>
    <w:rsid w:val="00D40D0B"/>
    <w:rsid w:val="00D41785"/>
    <w:rsid w:val="00D42115"/>
    <w:rsid w:val="00D42EFD"/>
    <w:rsid w:val="00D457D1"/>
    <w:rsid w:val="00D458AA"/>
    <w:rsid w:val="00D45FD5"/>
    <w:rsid w:val="00D46009"/>
    <w:rsid w:val="00D46338"/>
    <w:rsid w:val="00D46BA2"/>
    <w:rsid w:val="00D47234"/>
    <w:rsid w:val="00D47281"/>
    <w:rsid w:val="00D47581"/>
    <w:rsid w:val="00D50295"/>
    <w:rsid w:val="00D5069A"/>
    <w:rsid w:val="00D50E43"/>
    <w:rsid w:val="00D51469"/>
    <w:rsid w:val="00D5182D"/>
    <w:rsid w:val="00D52939"/>
    <w:rsid w:val="00D52B45"/>
    <w:rsid w:val="00D530EB"/>
    <w:rsid w:val="00D53393"/>
    <w:rsid w:val="00D535B6"/>
    <w:rsid w:val="00D5451D"/>
    <w:rsid w:val="00D55235"/>
    <w:rsid w:val="00D55B70"/>
    <w:rsid w:val="00D55D78"/>
    <w:rsid w:val="00D57071"/>
    <w:rsid w:val="00D5714E"/>
    <w:rsid w:val="00D572B2"/>
    <w:rsid w:val="00D57F53"/>
    <w:rsid w:val="00D60CAB"/>
    <w:rsid w:val="00D610FD"/>
    <w:rsid w:val="00D612AF"/>
    <w:rsid w:val="00D619F3"/>
    <w:rsid w:val="00D62A5B"/>
    <w:rsid w:val="00D62AD4"/>
    <w:rsid w:val="00D62B43"/>
    <w:rsid w:val="00D62ECD"/>
    <w:rsid w:val="00D63748"/>
    <w:rsid w:val="00D639F0"/>
    <w:rsid w:val="00D63C1B"/>
    <w:rsid w:val="00D63D76"/>
    <w:rsid w:val="00D64B44"/>
    <w:rsid w:val="00D64BFF"/>
    <w:rsid w:val="00D64DE1"/>
    <w:rsid w:val="00D64E3F"/>
    <w:rsid w:val="00D653D0"/>
    <w:rsid w:val="00D6692A"/>
    <w:rsid w:val="00D66E55"/>
    <w:rsid w:val="00D674E9"/>
    <w:rsid w:val="00D6799A"/>
    <w:rsid w:val="00D67F60"/>
    <w:rsid w:val="00D7008E"/>
    <w:rsid w:val="00D7009C"/>
    <w:rsid w:val="00D70F17"/>
    <w:rsid w:val="00D712DA"/>
    <w:rsid w:val="00D719EF"/>
    <w:rsid w:val="00D72327"/>
    <w:rsid w:val="00D727E0"/>
    <w:rsid w:val="00D72B87"/>
    <w:rsid w:val="00D72C08"/>
    <w:rsid w:val="00D72C72"/>
    <w:rsid w:val="00D74160"/>
    <w:rsid w:val="00D744CC"/>
    <w:rsid w:val="00D744F5"/>
    <w:rsid w:val="00D75D22"/>
    <w:rsid w:val="00D75DA5"/>
    <w:rsid w:val="00D761F0"/>
    <w:rsid w:val="00D769DD"/>
    <w:rsid w:val="00D76C58"/>
    <w:rsid w:val="00D76C59"/>
    <w:rsid w:val="00D76CF2"/>
    <w:rsid w:val="00D76E7C"/>
    <w:rsid w:val="00D77EA1"/>
    <w:rsid w:val="00D80B40"/>
    <w:rsid w:val="00D81437"/>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87B0F"/>
    <w:rsid w:val="00D87E58"/>
    <w:rsid w:val="00D9069E"/>
    <w:rsid w:val="00D907CB"/>
    <w:rsid w:val="00D90B82"/>
    <w:rsid w:val="00D91BF2"/>
    <w:rsid w:val="00D9286B"/>
    <w:rsid w:val="00D93873"/>
    <w:rsid w:val="00D93C1C"/>
    <w:rsid w:val="00D93DE7"/>
    <w:rsid w:val="00D94026"/>
    <w:rsid w:val="00D94120"/>
    <w:rsid w:val="00D951DD"/>
    <w:rsid w:val="00D952E0"/>
    <w:rsid w:val="00D952ED"/>
    <w:rsid w:val="00D957FA"/>
    <w:rsid w:val="00D9664C"/>
    <w:rsid w:val="00D97404"/>
    <w:rsid w:val="00D975A3"/>
    <w:rsid w:val="00D979D0"/>
    <w:rsid w:val="00DA01CB"/>
    <w:rsid w:val="00DA08CA"/>
    <w:rsid w:val="00DA0F37"/>
    <w:rsid w:val="00DA101A"/>
    <w:rsid w:val="00DA122C"/>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A48"/>
    <w:rsid w:val="00DB5F2A"/>
    <w:rsid w:val="00DB6D86"/>
    <w:rsid w:val="00DB6F45"/>
    <w:rsid w:val="00DB72B7"/>
    <w:rsid w:val="00DB74AE"/>
    <w:rsid w:val="00DB7546"/>
    <w:rsid w:val="00DC00ED"/>
    <w:rsid w:val="00DC0624"/>
    <w:rsid w:val="00DC0FC3"/>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D1D"/>
    <w:rsid w:val="00DC4D87"/>
    <w:rsid w:val="00DC54EB"/>
    <w:rsid w:val="00DC580A"/>
    <w:rsid w:val="00DC5B32"/>
    <w:rsid w:val="00DC5B50"/>
    <w:rsid w:val="00DC66BC"/>
    <w:rsid w:val="00DC727F"/>
    <w:rsid w:val="00DC7E78"/>
    <w:rsid w:val="00DD008B"/>
    <w:rsid w:val="00DD0493"/>
    <w:rsid w:val="00DD0924"/>
    <w:rsid w:val="00DD0AA4"/>
    <w:rsid w:val="00DD0CBF"/>
    <w:rsid w:val="00DD1071"/>
    <w:rsid w:val="00DD12FD"/>
    <w:rsid w:val="00DD1576"/>
    <w:rsid w:val="00DD1E57"/>
    <w:rsid w:val="00DD2893"/>
    <w:rsid w:val="00DD3927"/>
    <w:rsid w:val="00DD4717"/>
    <w:rsid w:val="00DD4F74"/>
    <w:rsid w:val="00DD531F"/>
    <w:rsid w:val="00DD556C"/>
    <w:rsid w:val="00DD5737"/>
    <w:rsid w:val="00DD5E81"/>
    <w:rsid w:val="00DD6109"/>
    <w:rsid w:val="00DD65F5"/>
    <w:rsid w:val="00DD6C46"/>
    <w:rsid w:val="00DD6C7A"/>
    <w:rsid w:val="00DD6F44"/>
    <w:rsid w:val="00DD7CCA"/>
    <w:rsid w:val="00DE0A4F"/>
    <w:rsid w:val="00DE0BDE"/>
    <w:rsid w:val="00DE10CF"/>
    <w:rsid w:val="00DE1270"/>
    <w:rsid w:val="00DE1E1E"/>
    <w:rsid w:val="00DE223E"/>
    <w:rsid w:val="00DE2D33"/>
    <w:rsid w:val="00DE34EB"/>
    <w:rsid w:val="00DE3592"/>
    <w:rsid w:val="00DE3E78"/>
    <w:rsid w:val="00DE41E7"/>
    <w:rsid w:val="00DE41F8"/>
    <w:rsid w:val="00DE4B9D"/>
    <w:rsid w:val="00DE50EA"/>
    <w:rsid w:val="00DE52A7"/>
    <w:rsid w:val="00DE545C"/>
    <w:rsid w:val="00DE5C9F"/>
    <w:rsid w:val="00DE64B1"/>
    <w:rsid w:val="00DE734E"/>
    <w:rsid w:val="00DE7887"/>
    <w:rsid w:val="00DE7BF8"/>
    <w:rsid w:val="00DF02A0"/>
    <w:rsid w:val="00DF0DC3"/>
    <w:rsid w:val="00DF14F9"/>
    <w:rsid w:val="00DF1C2D"/>
    <w:rsid w:val="00DF1FAE"/>
    <w:rsid w:val="00DF2AD9"/>
    <w:rsid w:val="00DF2E0D"/>
    <w:rsid w:val="00DF4369"/>
    <w:rsid w:val="00DF54D0"/>
    <w:rsid w:val="00DF580C"/>
    <w:rsid w:val="00DF5C1A"/>
    <w:rsid w:val="00DF5E9F"/>
    <w:rsid w:val="00DF6BCB"/>
    <w:rsid w:val="00DF6D45"/>
    <w:rsid w:val="00DF7042"/>
    <w:rsid w:val="00DF78FD"/>
    <w:rsid w:val="00DF7EFE"/>
    <w:rsid w:val="00E00E15"/>
    <w:rsid w:val="00E00F63"/>
    <w:rsid w:val="00E01210"/>
    <w:rsid w:val="00E0163C"/>
    <w:rsid w:val="00E01D50"/>
    <w:rsid w:val="00E0214A"/>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06B00"/>
    <w:rsid w:val="00E07A1A"/>
    <w:rsid w:val="00E1024A"/>
    <w:rsid w:val="00E10B17"/>
    <w:rsid w:val="00E10B67"/>
    <w:rsid w:val="00E11ADC"/>
    <w:rsid w:val="00E11D11"/>
    <w:rsid w:val="00E12029"/>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242"/>
    <w:rsid w:val="00E16311"/>
    <w:rsid w:val="00E1702C"/>
    <w:rsid w:val="00E207B6"/>
    <w:rsid w:val="00E20CC5"/>
    <w:rsid w:val="00E21ACA"/>
    <w:rsid w:val="00E21ECC"/>
    <w:rsid w:val="00E22AE6"/>
    <w:rsid w:val="00E22B80"/>
    <w:rsid w:val="00E22C0E"/>
    <w:rsid w:val="00E22CFF"/>
    <w:rsid w:val="00E231CD"/>
    <w:rsid w:val="00E231E1"/>
    <w:rsid w:val="00E23888"/>
    <w:rsid w:val="00E23B9C"/>
    <w:rsid w:val="00E23CE3"/>
    <w:rsid w:val="00E23CF7"/>
    <w:rsid w:val="00E23E2B"/>
    <w:rsid w:val="00E23E76"/>
    <w:rsid w:val="00E249DB"/>
    <w:rsid w:val="00E253A3"/>
    <w:rsid w:val="00E25402"/>
    <w:rsid w:val="00E259B0"/>
    <w:rsid w:val="00E25AF8"/>
    <w:rsid w:val="00E26AEC"/>
    <w:rsid w:val="00E26E4B"/>
    <w:rsid w:val="00E2757B"/>
    <w:rsid w:val="00E2792D"/>
    <w:rsid w:val="00E30828"/>
    <w:rsid w:val="00E30B37"/>
    <w:rsid w:val="00E3109C"/>
    <w:rsid w:val="00E311D1"/>
    <w:rsid w:val="00E31C2D"/>
    <w:rsid w:val="00E32432"/>
    <w:rsid w:val="00E33B1E"/>
    <w:rsid w:val="00E34277"/>
    <w:rsid w:val="00E35C6C"/>
    <w:rsid w:val="00E3621B"/>
    <w:rsid w:val="00E36D6F"/>
    <w:rsid w:val="00E36F43"/>
    <w:rsid w:val="00E37492"/>
    <w:rsid w:val="00E37F0C"/>
    <w:rsid w:val="00E40ADF"/>
    <w:rsid w:val="00E418E3"/>
    <w:rsid w:val="00E41F8B"/>
    <w:rsid w:val="00E423DE"/>
    <w:rsid w:val="00E4296F"/>
    <w:rsid w:val="00E42F07"/>
    <w:rsid w:val="00E4370F"/>
    <w:rsid w:val="00E4441D"/>
    <w:rsid w:val="00E453AB"/>
    <w:rsid w:val="00E45E31"/>
    <w:rsid w:val="00E462E6"/>
    <w:rsid w:val="00E463A0"/>
    <w:rsid w:val="00E465B5"/>
    <w:rsid w:val="00E47839"/>
    <w:rsid w:val="00E513CF"/>
    <w:rsid w:val="00E51CDE"/>
    <w:rsid w:val="00E5210B"/>
    <w:rsid w:val="00E52CB8"/>
    <w:rsid w:val="00E53631"/>
    <w:rsid w:val="00E5388F"/>
    <w:rsid w:val="00E54239"/>
    <w:rsid w:val="00E54272"/>
    <w:rsid w:val="00E542BC"/>
    <w:rsid w:val="00E54521"/>
    <w:rsid w:val="00E54617"/>
    <w:rsid w:val="00E5484B"/>
    <w:rsid w:val="00E54C35"/>
    <w:rsid w:val="00E551B2"/>
    <w:rsid w:val="00E56023"/>
    <w:rsid w:val="00E56471"/>
    <w:rsid w:val="00E56BC2"/>
    <w:rsid w:val="00E56D6E"/>
    <w:rsid w:val="00E56FEF"/>
    <w:rsid w:val="00E57601"/>
    <w:rsid w:val="00E577F9"/>
    <w:rsid w:val="00E57FB5"/>
    <w:rsid w:val="00E60F14"/>
    <w:rsid w:val="00E61AC4"/>
    <w:rsid w:val="00E61B23"/>
    <w:rsid w:val="00E625BE"/>
    <w:rsid w:val="00E6284B"/>
    <w:rsid w:val="00E62D07"/>
    <w:rsid w:val="00E62DF6"/>
    <w:rsid w:val="00E63A22"/>
    <w:rsid w:val="00E63B8F"/>
    <w:rsid w:val="00E63F00"/>
    <w:rsid w:val="00E646B5"/>
    <w:rsid w:val="00E65427"/>
    <w:rsid w:val="00E6543F"/>
    <w:rsid w:val="00E655EF"/>
    <w:rsid w:val="00E661C0"/>
    <w:rsid w:val="00E663F5"/>
    <w:rsid w:val="00E66E97"/>
    <w:rsid w:val="00E66F21"/>
    <w:rsid w:val="00E67E91"/>
    <w:rsid w:val="00E70BD6"/>
    <w:rsid w:val="00E711DE"/>
    <w:rsid w:val="00E71305"/>
    <w:rsid w:val="00E72383"/>
    <w:rsid w:val="00E724D2"/>
    <w:rsid w:val="00E72744"/>
    <w:rsid w:val="00E72D75"/>
    <w:rsid w:val="00E72D9F"/>
    <w:rsid w:val="00E732B8"/>
    <w:rsid w:val="00E73C41"/>
    <w:rsid w:val="00E740A1"/>
    <w:rsid w:val="00E740B6"/>
    <w:rsid w:val="00E74491"/>
    <w:rsid w:val="00E747B5"/>
    <w:rsid w:val="00E74933"/>
    <w:rsid w:val="00E74EDC"/>
    <w:rsid w:val="00E75597"/>
    <w:rsid w:val="00E75737"/>
    <w:rsid w:val="00E75875"/>
    <w:rsid w:val="00E75886"/>
    <w:rsid w:val="00E75D6E"/>
    <w:rsid w:val="00E76007"/>
    <w:rsid w:val="00E76181"/>
    <w:rsid w:val="00E770F2"/>
    <w:rsid w:val="00E7790F"/>
    <w:rsid w:val="00E77EAC"/>
    <w:rsid w:val="00E800F6"/>
    <w:rsid w:val="00E80638"/>
    <w:rsid w:val="00E80934"/>
    <w:rsid w:val="00E81069"/>
    <w:rsid w:val="00E817AD"/>
    <w:rsid w:val="00E817EF"/>
    <w:rsid w:val="00E8184F"/>
    <w:rsid w:val="00E8192B"/>
    <w:rsid w:val="00E822A6"/>
    <w:rsid w:val="00E828C0"/>
    <w:rsid w:val="00E828D5"/>
    <w:rsid w:val="00E82D81"/>
    <w:rsid w:val="00E83259"/>
    <w:rsid w:val="00E839BE"/>
    <w:rsid w:val="00E83CAC"/>
    <w:rsid w:val="00E83D30"/>
    <w:rsid w:val="00E84C89"/>
    <w:rsid w:val="00E85E56"/>
    <w:rsid w:val="00E860DD"/>
    <w:rsid w:val="00E8713D"/>
    <w:rsid w:val="00E90329"/>
    <w:rsid w:val="00E910D5"/>
    <w:rsid w:val="00E9192B"/>
    <w:rsid w:val="00E922C4"/>
    <w:rsid w:val="00E943AE"/>
    <w:rsid w:val="00E947B0"/>
    <w:rsid w:val="00E95D82"/>
    <w:rsid w:val="00E95F21"/>
    <w:rsid w:val="00E96273"/>
    <w:rsid w:val="00E96E97"/>
    <w:rsid w:val="00E97D49"/>
    <w:rsid w:val="00EA0251"/>
    <w:rsid w:val="00EA1065"/>
    <w:rsid w:val="00EA1434"/>
    <w:rsid w:val="00EA16B6"/>
    <w:rsid w:val="00EA3C3E"/>
    <w:rsid w:val="00EA432C"/>
    <w:rsid w:val="00EA4694"/>
    <w:rsid w:val="00EA48D3"/>
    <w:rsid w:val="00EA546B"/>
    <w:rsid w:val="00EA57C5"/>
    <w:rsid w:val="00EA5D7E"/>
    <w:rsid w:val="00EA5F31"/>
    <w:rsid w:val="00EA5F92"/>
    <w:rsid w:val="00EA63E6"/>
    <w:rsid w:val="00EA64B4"/>
    <w:rsid w:val="00EA65F1"/>
    <w:rsid w:val="00EA6665"/>
    <w:rsid w:val="00EA6935"/>
    <w:rsid w:val="00EA6967"/>
    <w:rsid w:val="00EA6F44"/>
    <w:rsid w:val="00EA752A"/>
    <w:rsid w:val="00EA7613"/>
    <w:rsid w:val="00EA793B"/>
    <w:rsid w:val="00EA7A7E"/>
    <w:rsid w:val="00EB05DA"/>
    <w:rsid w:val="00EB190F"/>
    <w:rsid w:val="00EB235B"/>
    <w:rsid w:val="00EB2EF9"/>
    <w:rsid w:val="00EB31A3"/>
    <w:rsid w:val="00EB325B"/>
    <w:rsid w:val="00EB3E22"/>
    <w:rsid w:val="00EB693B"/>
    <w:rsid w:val="00EB79E6"/>
    <w:rsid w:val="00EB7BA9"/>
    <w:rsid w:val="00EB7D75"/>
    <w:rsid w:val="00EC0B20"/>
    <w:rsid w:val="00EC0EE7"/>
    <w:rsid w:val="00EC1C3A"/>
    <w:rsid w:val="00EC1F51"/>
    <w:rsid w:val="00EC2075"/>
    <w:rsid w:val="00EC2B1D"/>
    <w:rsid w:val="00EC4233"/>
    <w:rsid w:val="00EC4544"/>
    <w:rsid w:val="00EC4A85"/>
    <w:rsid w:val="00EC544A"/>
    <w:rsid w:val="00EC57B2"/>
    <w:rsid w:val="00EC58F4"/>
    <w:rsid w:val="00EC650B"/>
    <w:rsid w:val="00EC7808"/>
    <w:rsid w:val="00EC7A30"/>
    <w:rsid w:val="00EC7BFA"/>
    <w:rsid w:val="00ED042E"/>
    <w:rsid w:val="00ED1295"/>
    <w:rsid w:val="00ED2357"/>
    <w:rsid w:val="00ED2725"/>
    <w:rsid w:val="00ED2F9A"/>
    <w:rsid w:val="00ED34D1"/>
    <w:rsid w:val="00ED367F"/>
    <w:rsid w:val="00ED3890"/>
    <w:rsid w:val="00ED4206"/>
    <w:rsid w:val="00ED58A2"/>
    <w:rsid w:val="00ED58C3"/>
    <w:rsid w:val="00ED5AE2"/>
    <w:rsid w:val="00ED5C71"/>
    <w:rsid w:val="00ED5EEE"/>
    <w:rsid w:val="00ED667C"/>
    <w:rsid w:val="00ED7966"/>
    <w:rsid w:val="00EE01CC"/>
    <w:rsid w:val="00EE03AB"/>
    <w:rsid w:val="00EE04EE"/>
    <w:rsid w:val="00EE1760"/>
    <w:rsid w:val="00EE18B6"/>
    <w:rsid w:val="00EE24E7"/>
    <w:rsid w:val="00EE25E3"/>
    <w:rsid w:val="00EE287D"/>
    <w:rsid w:val="00EE30F1"/>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978"/>
    <w:rsid w:val="00EF3AAC"/>
    <w:rsid w:val="00EF4D42"/>
    <w:rsid w:val="00EF4FD1"/>
    <w:rsid w:val="00EF5318"/>
    <w:rsid w:val="00EF599F"/>
    <w:rsid w:val="00EF708A"/>
    <w:rsid w:val="00EF72C3"/>
    <w:rsid w:val="00EF79CE"/>
    <w:rsid w:val="00F00152"/>
    <w:rsid w:val="00F00352"/>
    <w:rsid w:val="00F00997"/>
    <w:rsid w:val="00F00B1B"/>
    <w:rsid w:val="00F00E37"/>
    <w:rsid w:val="00F010EE"/>
    <w:rsid w:val="00F01383"/>
    <w:rsid w:val="00F0167D"/>
    <w:rsid w:val="00F0177A"/>
    <w:rsid w:val="00F019D5"/>
    <w:rsid w:val="00F02500"/>
    <w:rsid w:val="00F02AD4"/>
    <w:rsid w:val="00F02BF0"/>
    <w:rsid w:val="00F031B7"/>
    <w:rsid w:val="00F032E2"/>
    <w:rsid w:val="00F03639"/>
    <w:rsid w:val="00F037E3"/>
    <w:rsid w:val="00F03FF2"/>
    <w:rsid w:val="00F04721"/>
    <w:rsid w:val="00F04F9E"/>
    <w:rsid w:val="00F04FB3"/>
    <w:rsid w:val="00F06135"/>
    <w:rsid w:val="00F0637B"/>
    <w:rsid w:val="00F06A47"/>
    <w:rsid w:val="00F0700C"/>
    <w:rsid w:val="00F0717F"/>
    <w:rsid w:val="00F0747A"/>
    <w:rsid w:val="00F07849"/>
    <w:rsid w:val="00F07882"/>
    <w:rsid w:val="00F07883"/>
    <w:rsid w:val="00F10177"/>
    <w:rsid w:val="00F10B09"/>
    <w:rsid w:val="00F10D83"/>
    <w:rsid w:val="00F112CD"/>
    <w:rsid w:val="00F11637"/>
    <w:rsid w:val="00F1196B"/>
    <w:rsid w:val="00F11A6A"/>
    <w:rsid w:val="00F122CD"/>
    <w:rsid w:val="00F126BD"/>
    <w:rsid w:val="00F12D47"/>
    <w:rsid w:val="00F13433"/>
    <w:rsid w:val="00F134FC"/>
    <w:rsid w:val="00F1350E"/>
    <w:rsid w:val="00F14419"/>
    <w:rsid w:val="00F1470E"/>
    <w:rsid w:val="00F147A5"/>
    <w:rsid w:val="00F14AA7"/>
    <w:rsid w:val="00F15884"/>
    <w:rsid w:val="00F15B8E"/>
    <w:rsid w:val="00F16558"/>
    <w:rsid w:val="00F16665"/>
    <w:rsid w:val="00F16FB0"/>
    <w:rsid w:val="00F1733B"/>
    <w:rsid w:val="00F17474"/>
    <w:rsid w:val="00F201CC"/>
    <w:rsid w:val="00F20487"/>
    <w:rsid w:val="00F20BC3"/>
    <w:rsid w:val="00F20F65"/>
    <w:rsid w:val="00F2106D"/>
    <w:rsid w:val="00F22162"/>
    <w:rsid w:val="00F22337"/>
    <w:rsid w:val="00F22D65"/>
    <w:rsid w:val="00F23175"/>
    <w:rsid w:val="00F23FB0"/>
    <w:rsid w:val="00F2401E"/>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5C98"/>
    <w:rsid w:val="00F365A7"/>
    <w:rsid w:val="00F3681C"/>
    <w:rsid w:val="00F371C1"/>
    <w:rsid w:val="00F3769D"/>
    <w:rsid w:val="00F404F4"/>
    <w:rsid w:val="00F4143E"/>
    <w:rsid w:val="00F41CC5"/>
    <w:rsid w:val="00F41D25"/>
    <w:rsid w:val="00F423C2"/>
    <w:rsid w:val="00F42E84"/>
    <w:rsid w:val="00F433F8"/>
    <w:rsid w:val="00F433FE"/>
    <w:rsid w:val="00F43627"/>
    <w:rsid w:val="00F43781"/>
    <w:rsid w:val="00F4463C"/>
    <w:rsid w:val="00F4634F"/>
    <w:rsid w:val="00F473A5"/>
    <w:rsid w:val="00F473F3"/>
    <w:rsid w:val="00F474B8"/>
    <w:rsid w:val="00F4750B"/>
    <w:rsid w:val="00F478CA"/>
    <w:rsid w:val="00F47CE2"/>
    <w:rsid w:val="00F501F3"/>
    <w:rsid w:val="00F50A98"/>
    <w:rsid w:val="00F50E5F"/>
    <w:rsid w:val="00F50ED2"/>
    <w:rsid w:val="00F51460"/>
    <w:rsid w:val="00F51667"/>
    <w:rsid w:val="00F521DC"/>
    <w:rsid w:val="00F524E7"/>
    <w:rsid w:val="00F525D9"/>
    <w:rsid w:val="00F52B2D"/>
    <w:rsid w:val="00F53199"/>
    <w:rsid w:val="00F541A1"/>
    <w:rsid w:val="00F54B09"/>
    <w:rsid w:val="00F54BEA"/>
    <w:rsid w:val="00F54E8A"/>
    <w:rsid w:val="00F55386"/>
    <w:rsid w:val="00F559A8"/>
    <w:rsid w:val="00F55C21"/>
    <w:rsid w:val="00F55E5F"/>
    <w:rsid w:val="00F55F6D"/>
    <w:rsid w:val="00F5671E"/>
    <w:rsid w:val="00F5736B"/>
    <w:rsid w:val="00F5746A"/>
    <w:rsid w:val="00F57880"/>
    <w:rsid w:val="00F606F3"/>
    <w:rsid w:val="00F608AB"/>
    <w:rsid w:val="00F60BE7"/>
    <w:rsid w:val="00F6150C"/>
    <w:rsid w:val="00F6159C"/>
    <w:rsid w:val="00F61714"/>
    <w:rsid w:val="00F6238F"/>
    <w:rsid w:val="00F627BF"/>
    <w:rsid w:val="00F63E59"/>
    <w:rsid w:val="00F64915"/>
    <w:rsid w:val="00F64BE0"/>
    <w:rsid w:val="00F64CF7"/>
    <w:rsid w:val="00F65825"/>
    <w:rsid w:val="00F65B68"/>
    <w:rsid w:val="00F65DB7"/>
    <w:rsid w:val="00F67846"/>
    <w:rsid w:val="00F67B42"/>
    <w:rsid w:val="00F70B72"/>
    <w:rsid w:val="00F70DEF"/>
    <w:rsid w:val="00F70EA3"/>
    <w:rsid w:val="00F71398"/>
    <w:rsid w:val="00F7285F"/>
    <w:rsid w:val="00F7294C"/>
    <w:rsid w:val="00F72C5F"/>
    <w:rsid w:val="00F73549"/>
    <w:rsid w:val="00F73FB2"/>
    <w:rsid w:val="00F7451B"/>
    <w:rsid w:val="00F74ABD"/>
    <w:rsid w:val="00F75782"/>
    <w:rsid w:val="00F759E0"/>
    <w:rsid w:val="00F75B60"/>
    <w:rsid w:val="00F767E3"/>
    <w:rsid w:val="00F80C1D"/>
    <w:rsid w:val="00F81130"/>
    <w:rsid w:val="00F81469"/>
    <w:rsid w:val="00F818F7"/>
    <w:rsid w:val="00F8325D"/>
    <w:rsid w:val="00F832A9"/>
    <w:rsid w:val="00F832B0"/>
    <w:rsid w:val="00F83307"/>
    <w:rsid w:val="00F833A5"/>
    <w:rsid w:val="00F83E11"/>
    <w:rsid w:val="00F844D3"/>
    <w:rsid w:val="00F84629"/>
    <w:rsid w:val="00F84B71"/>
    <w:rsid w:val="00F84F0E"/>
    <w:rsid w:val="00F8519E"/>
    <w:rsid w:val="00F85FF5"/>
    <w:rsid w:val="00F86B55"/>
    <w:rsid w:val="00F86BB4"/>
    <w:rsid w:val="00F86E69"/>
    <w:rsid w:val="00F870F5"/>
    <w:rsid w:val="00F8739E"/>
    <w:rsid w:val="00F902D2"/>
    <w:rsid w:val="00F90B12"/>
    <w:rsid w:val="00F90CBD"/>
    <w:rsid w:val="00F9109E"/>
    <w:rsid w:val="00F9177E"/>
    <w:rsid w:val="00F91E4F"/>
    <w:rsid w:val="00F91FDF"/>
    <w:rsid w:val="00F92AA1"/>
    <w:rsid w:val="00F92FDC"/>
    <w:rsid w:val="00F931D2"/>
    <w:rsid w:val="00F93431"/>
    <w:rsid w:val="00F93A4A"/>
    <w:rsid w:val="00F93D27"/>
    <w:rsid w:val="00F9456A"/>
    <w:rsid w:val="00F95DD6"/>
    <w:rsid w:val="00F96370"/>
    <w:rsid w:val="00F97940"/>
    <w:rsid w:val="00F97BA3"/>
    <w:rsid w:val="00F97EA2"/>
    <w:rsid w:val="00F97F0D"/>
    <w:rsid w:val="00FA0B0A"/>
    <w:rsid w:val="00FA0C86"/>
    <w:rsid w:val="00FA121C"/>
    <w:rsid w:val="00FA1407"/>
    <w:rsid w:val="00FA1A68"/>
    <w:rsid w:val="00FA1B1A"/>
    <w:rsid w:val="00FA2747"/>
    <w:rsid w:val="00FA2A33"/>
    <w:rsid w:val="00FA2B8D"/>
    <w:rsid w:val="00FA2C8F"/>
    <w:rsid w:val="00FA2CF7"/>
    <w:rsid w:val="00FA3410"/>
    <w:rsid w:val="00FA360B"/>
    <w:rsid w:val="00FA3860"/>
    <w:rsid w:val="00FA3A50"/>
    <w:rsid w:val="00FA4520"/>
    <w:rsid w:val="00FA4763"/>
    <w:rsid w:val="00FA4830"/>
    <w:rsid w:val="00FA5032"/>
    <w:rsid w:val="00FA52EB"/>
    <w:rsid w:val="00FA6366"/>
    <w:rsid w:val="00FA6980"/>
    <w:rsid w:val="00FA6CD1"/>
    <w:rsid w:val="00FA6CDF"/>
    <w:rsid w:val="00FA7BB5"/>
    <w:rsid w:val="00FA7C85"/>
    <w:rsid w:val="00FB0D4B"/>
    <w:rsid w:val="00FB12D8"/>
    <w:rsid w:val="00FB176A"/>
    <w:rsid w:val="00FB1CDC"/>
    <w:rsid w:val="00FB238A"/>
    <w:rsid w:val="00FB2446"/>
    <w:rsid w:val="00FB2C81"/>
    <w:rsid w:val="00FB3BC4"/>
    <w:rsid w:val="00FB3F9C"/>
    <w:rsid w:val="00FB3FDE"/>
    <w:rsid w:val="00FB44A0"/>
    <w:rsid w:val="00FB4676"/>
    <w:rsid w:val="00FB5552"/>
    <w:rsid w:val="00FB5789"/>
    <w:rsid w:val="00FB5F3A"/>
    <w:rsid w:val="00FB6488"/>
    <w:rsid w:val="00FB6743"/>
    <w:rsid w:val="00FB6AA9"/>
    <w:rsid w:val="00FB6AD4"/>
    <w:rsid w:val="00FB7F22"/>
    <w:rsid w:val="00FC00F3"/>
    <w:rsid w:val="00FC0790"/>
    <w:rsid w:val="00FC0A33"/>
    <w:rsid w:val="00FC1416"/>
    <w:rsid w:val="00FC14B2"/>
    <w:rsid w:val="00FC1823"/>
    <w:rsid w:val="00FC2198"/>
    <w:rsid w:val="00FC26A4"/>
    <w:rsid w:val="00FC2C93"/>
    <w:rsid w:val="00FC2DB3"/>
    <w:rsid w:val="00FC325A"/>
    <w:rsid w:val="00FC33ED"/>
    <w:rsid w:val="00FC43AD"/>
    <w:rsid w:val="00FC5876"/>
    <w:rsid w:val="00FC62F5"/>
    <w:rsid w:val="00FC731E"/>
    <w:rsid w:val="00FC7F3E"/>
    <w:rsid w:val="00FD035A"/>
    <w:rsid w:val="00FD03D7"/>
    <w:rsid w:val="00FD19F1"/>
    <w:rsid w:val="00FD1A7E"/>
    <w:rsid w:val="00FD2CC3"/>
    <w:rsid w:val="00FD31BF"/>
    <w:rsid w:val="00FD3CC7"/>
    <w:rsid w:val="00FD4148"/>
    <w:rsid w:val="00FD42E1"/>
    <w:rsid w:val="00FD4D5B"/>
    <w:rsid w:val="00FD56B4"/>
    <w:rsid w:val="00FD56E4"/>
    <w:rsid w:val="00FD6453"/>
    <w:rsid w:val="00FD67FD"/>
    <w:rsid w:val="00FD7CB2"/>
    <w:rsid w:val="00FD7D46"/>
    <w:rsid w:val="00FD7D8B"/>
    <w:rsid w:val="00FE0AF2"/>
    <w:rsid w:val="00FE0E83"/>
    <w:rsid w:val="00FE1C47"/>
    <w:rsid w:val="00FE22DD"/>
    <w:rsid w:val="00FE2CFB"/>
    <w:rsid w:val="00FE2CFC"/>
    <w:rsid w:val="00FE40F4"/>
    <w:rsid w:val="00FE45F3"/>
    <w:rsid w:val="00FE4A60"/>
    <w:rsid w:val="00FE4DF3"/>
    <w:rsid w:val="00FE4F91"/>
    <w:rsid w:val="00FE54E0"/>
    <w:rsid w:val="00FE55F0"/>
    <w:rsid w:val="00FE6331"/>
    <w:rsid w:val="00FE64B4"/>
    <w:rsid w:val="00FE685B"/>
    <w:rsid w:val="00FE6C12"/>
    <w:rsid w:val="00FE785C"/>
    <w:rsid w:val="00FE7894"/>
    <w:rsid w:val="00FF0003"/>
    <w:rsid w:val="00FF01FA"/>
    <w:rsid w:val="00FF1472"/>
    <w:rsid w:val="00FF21B5"/>
    <w:rsid w:val="00FF21C3"/>
    <w:rsid w:val="00FF2A11"/>
    <w:rsid w:val="00FF2AA0"/>
    <w:rsid w:val="00FF3F6C"/>
    <w:rsid w:val="00FF447E"/>
    <w:rsid w:val="00FF4603"/>
    <w:rsid w:val="00FF4B07"/>
    <w:rsid w:val="00FF4BBC"/>
    <w:rsid w:val="00FF4BFC"/>
    <w:rsid w:val="00FF4C11"/>
    <w:rsid w:val="00FF56B9"/>
    <w:rsid w:val="00FF57E8"/>
    <w:rsid w:val="00FF58C0"/>
    <w:rsid w:val="00FF5948"/>
    <w:rsid w:val="00FF6B71"/>
    <w:rsid w:val="00FF6EDF"/>
    <w:rsid w:val="00FF6EEA"/>
    <w:rsid w:val="00FF77DF"/>
    <w:rsid w:val="00FF7ABB"/>
    <w:rsid w:val="00FF7B99"/>
    <w:rsid w:val="1063AA4F"/>
    <w:rsid w:val="11C57602"/>
    <w:rsid w:val="19B8AD78"/>
    <w:rsid w:val="1BD92E4C"/>
    <w:rsid w:val="1D0AA75C"/>
    <w:rsid w:val="224585AF"/>
    <w:rsid w:val="28F33DB3"/>
    <w:rsid w:val="2A3B4344"/>
    <w:rsid w:val="302B5E4F"/>
    <w:rsid w:val="34CB9A09"/>
    <w:rsid w:val="589BC2C5"/>
    <w:rsid w:val="5A2EAD4E"/>
    <w:rsid w:val="5C7E3E67"/>
    <w:rsid w:val="6B7FEF1A"/>
    <w:rsid w:val="7007D77C"/>
    <w:rsid w:val="7C1B359B"/>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08359"/>
  <w15:docId w15:val="{62F7898A-E1EB-421F-9DCB-E7DCE6D9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D28D8"/>
    <w:pPr>
      <w:spacing w:before="120" w:after="120" w:line="280" w:lineRule="atLeast"/>
      <w:jc w:val="both"/>
    </w:pPr>
    <w:rPr>
      <w:rFonts w:eastAsia="Times New Roman"/>
      <w:sz w:val="22"/>
      <w:szCs w:val="22"/>
    </w:rPr>
  </w:style>
  <w:style w:type="paragraph" w:styleId="Heading1">
    <w:name w:val="heading 1"/>
    <w:basedOn w:val="Normal"/>
    <w:next w:val="BodyText"/>
    <w:link w:val="Heading1Char"/>
    <w:uiPriority w:val="99"/>
    <w:qFormat/>
    <w:rsid w:val="006C6C3F"/>
    <w:pPr>
      <w:keepNext/>
      <w:tabs>
        <w:tab w:val="left" w:pos="851"/>
      </w:tabs>
      <w:spacing w:before="240" w:after="0" w:line="600" w:lineRule="atLeast"/>
      <w:jc w:val="left"/>
      <w:outlineLvl w:val="0"/>
    </w:pPr>
    <w:rPr>
      <w:rFonts w:ascii="Georgia" w:eastAsiaTheme="majorEastAsia" w:hAnsi="Georgia" w:cstheme="majorBidi"/>
      <w:b/>
      <w:bCs/>
      <w:color w:val="1B556B"/>
      <w:sz w:val="48"/>
      <w:szCs w:val="48"/>
    </w:rPr>
  </w:style>
  <w:style w:type="paragraph" w:styleId="Heading2">
    <w:name w:val="heading 2"/>
    <w:basedOn w:val="Normal"/>
    <w:next w:val="BodyText"/>
    <w:link w:val="Heading2Char"/>
    <w:uiPriority w:val="99"/>
    <w:qFormat/>
    <w:rsid w:val="0050510B"/>
    <w:pPr>
      <w:keepNext/>
      <w:tabs>
        <w:tab w:val="left" w:pos="851"/>
      </w:tabs>
      <w:spacing w:before="240" w:after="0" w:line="440" w:lineRule="atLeast"/>
      <w:jc w:val="left"/>
      <w:outlineLvl w:val="1"/>
    </w:pPr>
    <w:rPr>
      <w:rFonts w:ascii="Georgia" w:eastAsiaTheme="majorEastAsia" w:hAnsi="Georgia" w:cstheme="majorBidi"/>
      <w:b/>
      <w:bCs/>
      <w:color w:val="1B556B"/>
      <w:sz w:val="36"/>
      <w:szCs w:val="36"/>
    </w:rPr>
  </w:style>
  <w:style w:type="paragraph" w:styleId="Heading3">
    <w:name w:val="heading 3"/>
    <w:basedOn w:val="Normal"/>
    <w:next w:val="BodyText"/>
    <w:link w:val="Heading3Char"/>
    <w:uiPriority w:val="99"/>
    <w:qFormat/>
    <w:rsid w:val="00F10B09"/>
    <w:pPr>
      <w:keepNext/>
      <w:tabs>
        <w:tab w:val="left" w:pos="851"/>
      </w:tabs>
      <w:spacing w:before="240" w:after="0" w:line="360" w:lineRule="atLeas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uiPriority w:val="99"/>
    <w:qFormat/>
    <w:rsid w:val="00F10B09"/>
    <w:pPr>
      <w:outlineLvl w:val="3"/>
    </w:pPr>
    <w:rPr>
      <w:sz w:val="24"/>
    </w:rPr>
  </w:style>
  <w:style w:type="paragraph" w:styleId="Heading5">
    <w:name w:val="heading 5"/>
    <w:basedOn w:val="Normal"/>
    <w:next w:val="BodyText"/>
    <w:link w:val="Heading5Char"/>
    <w:uiPriority w:val="99"/>
    <w:qFormat/>
    <w:rsid w:val="00152213"/>
    <w:pPr>
      <w:keepNext/>
      <w:spacing w:before="240" w:after="0" w:line="240" w:lineRule="auto"/>
      <w:jc w:val="left"/>
      <w:outlineLvl w:val="4"/>
    </w:pPr>
    <w:rPr>
      <w:b/>
      <w:bCs/>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63415"/>
    <w:rPr>
      <w:rFonts w:ascii="Georgia" w:eastAsiaTheme="majorEastAsia" w:hAnsi="Georgia" w:cstheme="majorBidi"/>
      <w:b/>
      <w:bCs/>
      <w:color w:val="1B556B"/>
      <w:sz w:val="48"/>
      <w:szCs w:val="48"/>
    </w:rPr>
  </w:style>
  <w:style w:type="character" w:customStyle="1" w:styleId="Heading2Char">
    <w:name w:val="Heading 2 Char"/>
    <w:basedOn w:val="DefaultParagraphFont"/>
    <w:link w:val="Heading2"/>
    <w:uiPriority w:val="99"/>
    <w:rsid w:val="00263415"/>
    <w:rPr>
      <w:rFonts w:ascii="Georgia" w:eastAsiaTheme="majorEastAsia" w:hAnsi="Georgia" w:cstheme="majorBidi"/>
      <w:b/>
      <w:bCs/>
      <w:color w:val="1B556B"/>
      <w:sz w:val="36"/>
      <w:szCs w:val="36"/>
    </w:rPr>
  </w:style>
  <w:style w:type="character" w:customStyle="1" w:styleId="Heading3Char">
    <w:name w:val="Heading 3 Char"/>
    <w:basedOn w:val="DefaultParagraphFont"/>
    <w:link w:val="Heading3"/>
    <w:uiPriority w:val="99"/>
    <w:rsid w:val="00263415"/>
    <w:rPr>
      <w:rFonts w:ascii="Georgia" w:eastAsiaTheme="majorEastAsia" w:hAnsi="Georgia" w:cstheme="majorBidi"/>
      <w:b/>
      <w:bCs/>
      <w:sz w:val="28"/>
      <w:szCs w:val="22"/>
    </w:rPr>
  </w:style>
  <w:style w:type="character" w:customStyle="1" w:styleId="Heading4Char">
    <w:name w:val="Heading 4 Char"/>
    <w:link w:val="Heading4"/>
    <w:uiPriority w:val="99"/>
    <w:rsid w:val="00263415"/>
    <w:rPr>
      <w:rFonts w:ascii="Georgia" w:eastAsiaTheme="majorEastAsia" w:hAnsi="Georgia" w:cstheme="majorBidi"/>
      <w:b/>
      <w:bCs/>
      <w:sz w:val="24"/>
      <w:szCs w:val="22"/>
    </w:rPr>
  </w:style>
  <w:style w:type="character" w:customStyle="1" w:styleId="Heading5Char">
    <w:name w:val="Heading 5 Char"/>
    <w:link w:val="Heading5"/>
    <w:uiPriority w:val="99"/>
    <w:rsid w:val="00263415"/>
    <w:rPr>
      <w:rFonts w:eastAsia="Times New Roman"/>
      <w:b/>
      <w:bCs/>
      <w:i/>
      <w:sz w:val="24"/>
      <w:szCs w:val="22"/>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3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EA64B4"/>
    <w:pPr>
      <w:jc w:val="center"/>
    </w:pPr>
    <w:rPr>
      <w:rFonts w:ascii="Arial" w:hAnsi="Arial"/>
      <w:sz w:val="16"/>
    </w:rPr>
  </w:style>
  <w:style w:type="character" w:customStyle="1" w:styleId="HeaderChar">
    <w:name w:val="Header Char"/>
    <w:link w:val="Header"/>
    <w:uiPriority w:val="99"/>
    <w:semiHidden/>
    <w:rsid w:val="00263415"/>
    <w:rPr>
      <w:rFonts w:ascii="Arial" w:eastAsia="Times New Roman" w:hAnsi="Arial"/>
      <w:sz w:val="16"/>
      <w:szCs w:val="22"/>
    </w:rPr>
  </w:style>
  <w:style w:type="paragraph" w:styleId="Quote">
    <w:name w:val="Quote"/>
    <w:basedOn w:val="Normal"/>
    <w:next w:val="BodyText"/>
    <w:link w:val="QuoteChar"/>
    <w:uiPriority w:val="5"/>
    <w:semiHidden/>
    <w:qFormat/>
    <w:rsid w:val="00684D9B"/>
    <w:pPr>
      <w:spacing w:before="60" w:after="60"/>
      <w:ind w:left="567" w:right="567"/>
      <w:jc w:val="left"/>
    </w:pPr>
    <w:rPr>
      <w:sz w:val="20"/>
    </w:rPr>
  </w:style>
  <w:style w:type="character" w:customStyle="1" w:styleId="QuoteChar">
    <w:name w:val="Quote Char"/>
    <w:link w:val="Quote"/>
    <w:uiPriority w:val="5"/>
    <w:semiHidden/>
    <w:rsid w:val="00263415"/>
    <w:rPr>
      <w:rFonts w:eastAsia="Times New Roman"/>
      <w:szCs w:val="22"/>
    </w:rPr>
  </w:style>
  <w:style w:type="paragraph" w:customStyle="1" w:styleId="Box">
    <w:name w:val="Box"/>
    <w:basedOn w:val="Normal"/>
    <w:uiPriority w:val="1"/>
    <w:semiHidden/>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semiHidden/>
    <w:qFormat/>
    <w:rsid w:val="0062232B"/>
    <w:pPr>
      <w:numPr>
        <w:numId w:val="2"/>
      </w:numPr>
      <w:tabs>
        <w:tab w:val="left" w:pos="680"/>
      </w:tabs>
      <w:spacing w:before="0"/>
      <w:ind w:left="681" w:hanging="397"/>
    </w:pPr>
    <w:rPr>
      <w:rFonts w:cs="Times New Roman"/>
      <w:bCs/>
      <w:iCs/>
      <w:color w:val="auto"/>
      <w:szCs w:val="20"/>
    </w:rPr>
  </w:style>
  <w:style w:type="paragraph" w:customStyle="1" w:styleId="Boxheading">
    <w:name w:val="Box heading"/>
    <w:basedOn w:val="Boxtext"/>
    <w:next w:val="Boxtext"/>
    <w:uiPriority w:val="1"/>
    <w:semiHidden/>
    <w:qFormat/>
    <w:rsid w:val="0062232B"/>
    <w:pPr>
      <w:keepNext/>
      <w:spacing w:before="240"/>
    </w:pPr>
    <w:rPr>
      <w:rFonts w:cs="Times New Roman"/>
      <w:b/>
      <w:color w:val="auto"/>
      <w:sz w:val="24"/>
      <w:szCs w:val="24"/>
    </w:rPr>
  </w:style>
  <w:style w:type="paragraph" w:customStyle="1" w:styleId="Bullet">
    <w:name w:val="Bullet"/>
    <w:basedOn w:val="Normal"/>
    <w:link w:val="BulletChar"/>
    <w:semiHidden/>
    <w:qFormat/>
    <w:rsid w:val="00F00997"/>
    <w:pPr>
      <w:numPr>
        <w:numId w:val="14"/>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uiPriority w:val="99"/>
    <w:semiHidden/>
    <w:rsid w:val="00EA64B4"/>
    <w:pPr>
      <w:tabs>
        <w:tab w:val="center" w:pos="4153"/>
        <w:tab w:val="right" w:pos="8306"/>
      </w:tabs>
    </w:pPr>
  </w:style>
  <w:style w:type="character" w:customStyle="1" w:styleId="FooterChar">
    <w:name w:val="Footer Char"/>
    <w:link w:val="Footer"/>
    <w:uiPriority w:val="99"/>
    <w:semiHidden/>
    <w:rsid w:val="00263415"/>
    <w:rPr>
      <w:rFonts w:eastAsia="Times New Roman"/>
      <w:sz w:val="22"/>
      <w:szCs w:val="22"/>
    </w:rPr>
  </w:style>
  <w:style w:type="paragraph" w:customStyle="1" w:styleId="Sub-bullet">
    <w:name w:val="Sub-bullet"/>
    <w:basedOn w:val="Normal"/>
    <w:semiHidden/>
    <w:qFormat/>
    <w:rsid w:val="002A533C"/>
    <w:pPr>
      <w:numPr>
        <w:numId w:val="3"/>
      </w:numPr>
      <w:tabs>
        <w:tab w:val="clear" w:pos="397"/>
        <w:tab w:val="left" w:pos="794"/>
      </w:tabs>
      <w:spacing w:before="0"/>
      <w:ind w:left="794" w:hanging="397"/>
      <w:jc w:val="left"/>
    </w:pPr>
  </w:style>
  <w:style w:type="paragraph" w:customStyle="1" w:styleId="Figureheading">
    <w:name w:val="Figure heading"/>
    <w:basedOn w:val="Normal"/>
    <w:next w:val="BodyText"/>
    <w:uiPriority w:val="2"/>
    <w:semiHidden/>
    <w:qFormat/>
    <w:rsid w:val="00EA64B4"/>
    <w:pPr>
      <w:keepNext/>
      <w:ind w:left="1134" w:hanging="1134"/>
      <w:jc w:val="left"/>
    </w:pPr>
    <w:rPr>
      <w:b/>
      <w:sz w:val="20"/>
    </w:rPr>
  </w:style>
  <w:style w:type="character" w:styleId="FootnoteReference">
    <w:name w:val="footnote reference"/>
    <w:uiPriority w:val="99"/>
    <w:semiHidden/>
    <w:rsid w:val="004278EC"/>
    <w:rPr>
      <w:rFonts w:ascii="Calibri" w:hAnsi="Calibri"/>
      <w:color w:val="auto"/>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semiHidden/>
    <w:qFormat/>
    <w:rsid w:val="00EA64B4"/>
    <w:pPr>
      <w:tabs>
        <w:tab w:val="left" w:pos="680"/>
      </w:tabs>
      <w:jc w:val="left"/>
    </w:pPr>
    <w:rPr>
      <w:sz w:val="18"/>
    </w:rPr>
  </w:style>
  <w:style w:type="paragraph" w:styleId="Title">
    <w:name w:val="Title"/>
    <w:basedOn w:val="Normal"/>
    <w:link w:val="TitleChar"/>
    <w:uiPriority w:val="2"/>
    <w:semiHidden/>
    <w:qFormat/>
    <w:rsid w:val="003E13E5"/>
    <w:pPr>
      <w:spacing w:before="0" w:after="240" w:line="680" w:lineRule="atLeast"/>
      <w:jc w:val="left"/>
    </w:pPr>
    <w:rPr>
      <w:rFonts w:ascii="Georgia" w:hAnsi="Georgia"/>
      <w:b/>
      <w:color w:val="2C9986"/>
      <w:sz w:val="56"/>
      <w:szCs w:val="56"/>
    </w:rPr>
  </w:style>
  <w:style w:type="character" w:customStyle="1" w:styleId="TitleChar">
    <w:name w:val="Title Char"/>
    <w:link w:val="Title"/>
    <w:uiPriority w:val="2"/>
    <w:semiHidden/>
    <w:rsid w:val="00744843"/>
    <w:rPr>
      <w:rFonts w:ascii="Georgia" w:eastAsia="Times New Roman" w:hAnsi="Georgia"/>
      <w:b/>
      <w:color w:val="2C9986"/>
      <w:sz w:val="56"/>
      <w:szCs w:val="56"/>
    </w:rPr>
  </w:style>
  <w:style w:type="paragraph" w:styleId="Subtitle">
    <w:name w:val="Subtitle"/>
    <w:basedOn w:val="Normal"/>
    <w:link w:val="SubtitleChar"/>
    <w:uiPriority w:val="2"/>
    <w:semiHidden/>
    <w:qFormat/>
    <w:rsid w:val="00FB6488"/>
    <w:pPr>
      <w:spacing w:after="840"/>
      <w:contextualSpacing/>
      <w:jc w:val="left"/>
    </w:pPr>
    <w:rPr>
      <w:rFonts w:ascii="Georgia" w:hAnsi="Georgia"/>
      <w:b/>
      <w:bCs/>
      <w:color w:val="2C9986"/>
      <w:sz w:val="36"/>
      <w:szCs w:val="36"/>
    </w:rPr>
  </w:style>
  <w:style w:type="character" w:customStyle="1" w:styleId="SubtitleChar">
    <w:name w:val="Subtitle Char"/>
    <w:link w:val="Subtitle"/>
    <w:uiPriority w:val="2"/>
    <w:semiHidden/>
    <w:rsid w:val="00744843"/>
    <w:rPr>
      <w:rFonts w:ascii="Georgia" w:eastAsia="Times New Roman" w:hAnsi="Georgia"/>
      <w:b/>
      <w:bCs/>
      <w:color w:val="2C9986"/>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7326CB"/>
    <w:pPr>
      <w:spacing w:before="60" w:after="60" w:line="240" w:lineRule="atLeast"/>
      <w:jc w:val="left"/>
    </w:pPr>
    <w:rPr>
      <w:sz w:val="18"/>
    </w:rPr>
  </w:style>
  <w:style w:type="paragraph" w:customStyle="1" w:styleId="TableTextbold">
    <w:name w:val="TableText bold"/>
    <w:basedOn w:val="Normal"/>
    <w:qFormat/>
    <w:rsid w:val="0095536B"/>
    <w:pPr>
      <w:spacing w:before="60" w:after="60" w:line="240" w:lineRule="atLeast"/>
      <w:jc w:val="left"/>
    </w:pPr>
    <w:rPr>
      <w:b/>
      <w:sz w:val="18"/>
    </w:rPr>
  </w:style>
  <w:style w:type="paragraph" w:styleId="TOC1">
    <w:name w:val="toc 1"/>
    <w:basedOn w:val="Normal"/>
    <w:next w:val="Normal"/>
    <w:uiPriority w:val="39"/>
    <w:semiHidden/>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semiHidden/>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semiHidden/>
    <w:qFormat/>
    <w:rsid w:val="00EA64B4"/>
    <w:pPr>
      <w:tabs>
        <w:tab w:val="left" w:pos="2835"/>
      </w:tabs>
      <w:spacing w:after="0"/>
      <w:jc w:val="left"/>
    </w:pPr>
  </w:style>
  <w:style w:type="paragraph" w:customStyle="1" w:styleId="Footerodd">
    <w:name w:val="Footer odd"/>
    <w:basedOn w:val="Normal"/>
    <w:uiPriority w:val="1"/>
    <w:rsid w:val="00636F1B"/>
    <w:pPr>
      <w:tabs>
        <w:tab w:val="right" w:pos="13948"/>
        <w:tab w:val="right" w:pos="1451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4"/>
      </w:numPr>
      <w:spacing w:before="0"/>
      <w:ind w:left="397" w:hanging="397"/>
      <w:jc w:val="left"/>
    </w:pPr>
  </w:style>
  <w:style w:type="paragraph" w:customStyle="1" w:styleId="Sub-lista">
    <w:name w:val="Sub-list a"/>
    <w:aliases w:val="b"/>
    <w:basedOn w:val="Normal"/>
    <w:uiPriority w:val="2"/>
    <w:semiHidden/>
    <w:rsid w:val="00E21ACA"/>
    <w:pPr>
      <w:numPr>
        <w:numId w:val="5"/>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semiHidden/>
    <w:rsid w:val="00356C3D"/>
    <w:pPr>
      <w:spacing w:before="0"/>
      <w:ind w:left="1134" w:right="567" w:hanging="1134"/>
      <w:jc w:val="left"/>
    </w:pPr>
  </w:style>
  <w:style w:type="paragraph" w:customStyle="1" w:styleId="Sub-listi">
    <w:name w:val="Sub-list i"/>
    <w:aliases w:val="ii"/>
    <w:basedOn w:val="BodyText"/>
    <w:semiHidden/>
    <w:rsid w:val="00EA64B4"/>
    <w:pPr>
      <w:numPr>
        <w:numId w:val="6"/>
      </w:numPr>
      <w:spacing w:before="60" w:after="60"/>
    </w:pPr>
  </w:style>
  <w:style w:type="paragraph" w:customStyle="1" w:styleId="TableBullet">
    <w:name w:val="TableBullet"/>
    <w:basedOn w:val="Normal"/>
    <w:qFormat/>
    <w:rsid w:val="00523DFA"/>
    <w:pPr>
      <w:numPr>
        <w:numId w:val="7"/>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8"/>
      </w:numPr>
      <w:ind w:left="568" w:hanging="284"/>
    </w:pPr>
  </w:style>
  <w:style w:type="paragraph" w:styleId="ListParagraph">
    <w:name w:val="List Paragraph"/>
    <w:aliases w:val="Rec para,List Paragraph1,Recommendation,List Paragraph11,NFP GP Bulleted List,Dot pt,F5 List Paragraph,No Spacing1,List Paragraph Char Char Char,Indicator Text,Numbered Para 1,Colorful List - Accent 11,Bullet 1,MAIN CONTENT,bulleted list"/>
    <w:basedOn w:val="Normal"/>
    <w:link w:val="ListParagraphChar"/>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Aptos" w:eastAsia="Times New Roman" w:hAnsi="Aptos"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Aptos" w:eastAsia="Times New Roman" w:hAnsi="Aptos"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Aptos" w:eastAsia="Times New Roman" w:hAnsi="Aptos" w:cs="Times New Roman"/>
        <w:b/>
        <w:bCs/>
      </w:rPr>
    </w:tblStylePr>
    <w:tblStylePr w:type="lastCol">
      <w:rPr>
        <w:rFonts w:ascii="Aptos" w:eastAsia="Times New Roman" w:hAnsi="Aptos"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825F98"/>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Aptos" w:eastAsia="Times New Roman" w:hAnsi="Aptos"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9"/>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b/>
      <w:sz w:val="22"/>
      <w:lang w:val="en-AU" w:eastAsia="en-US"/>
    </w:rPr>
  </w:style>
  <w:style w:type="character" w:customStyle="1" w:styleId="Heading7Char">
    <w:name w:val="Heading 7 Char"/>
    <w:link w:val="Heading7"/>
    <w:semiHidden/>
    <w:rsid w:val="00EA64B4"/>
    <w:rPr>
      <w:rFonts w:ascii="Times New Roman" w:eastAsia="Times New Roman" w:hAnsi="Times New Roman"/>
      <w:sz w:val="22"/>
      <w:lang w:val="en-AU" w:eastAsia="en-US"/>
    </w:rPr>
  </w:style>
  <w:style w:type="character" w:customStyle="1" w:styleId="Heading8Char">
    <w:name w:val="Heading 8 Char"/>
    <w:link w:val="Heading8"/>
    <w:semiHidden/>
    <w:rsid w:val="00EA64B4"/>
    <w:rPr>
      <w:rFonts w:ascii="Times New Roman" w:eastAsia="Times New Roman" w:hAnsi="Times New Roman"/>
      <w:i/>
      <w:sz w:val="22"/>
      <w:lang w:val="en-AU" w:eastAsia="en-US"/>
    </w:rPr>
  </w:style>
  <w:style w:type="character" w:customStyle="1" w:styleId="Heading9Char">
    <w:name w:val="Heading 9 Char"/>
    <w:link w:val="Heading9"/>
    <w:semiHidden/>
    <w:rsid w:val="00EA64B4"/>
    <w:rPr>
      <w:rFonts w:ascii="Arial" w:eastAsiaTheme="majorEastAsia" w:hAnsi="Arial" w:cstheme="majorBidi"/>
      <w:b/>
      <w:color w:val="FFFFFF"/>
      <w:kern w:val="28"/>
      <w:sz w:val="2"/>
      <w:lang w:val="en-AU" w:eastAsia="en-US"/>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semiHidden/>
    <w:locked/>
    <w:rsid w:val="00263415"/>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0"/>
      </w:numPr>
    </w:pPr>
  </w:style>
  <w:style w:type="numbering" w:customStyle="1" w:styleId="Style2">
    <w:name w:val="Style2"/>
    <w:uiPriority w:val="99"/>
    <w:rsid w:val="008E0688"/>
    <w:pPr>
      <w:numPr>
        <w:numId w:val="11"/>
      </w:numPr>
    </w:pPr>
  </w:style>
  <w:style w:type="paragraph" w:customStyle="1" w:styleId="Greenbullet-casestudytables">
    <w:name w:val="Green bullet - case study tables"/>
    <w:basedOn w:val="Greentext-casestudytables"/>
    <w:uiPriority w:val="1"/>
    <w:semiHidden/>
    <w:rsid w:val="00C15722"/>
    <w:pPr>
      <w:numPr>
        <w:numId w:val="12"/>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1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15"/>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semiHidden/>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semiHidden/>
    <w:qFormat/>
    <w:rsid w:val="005C132F"/>
    <w:pPr>
      <w:numPr>
        <w:numId w:val="16"/>
      </w:numPr>
      <w:spacing w:before="0"/>
    </w:pPr>
    <w:rPr>
      <w:rFonts w:cs="Times New Roman"/>
      <w:szCs w:val="20"/>
    </w:r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itle-Mori">
    <w:name w:val="Title - Māori"/>
    <w:basedOn w:val="Title"/>
    <w:semiHidden/>
    <w:qFormat/>
    <w:rsid w:val="00B50526"/>
    <w:rPr>
      <w:b w:val="0"/>
      <w:bCs/>
    </w:rPr>
  </w:style>
  <w:style w:type="paragraph" w:customStyle="1" w:styleId="Intro">
    <w:name w:val="Intro"/>
    <w:basedOn w:val="BodyText"/>
    <w:semiHidden/>
    <w:qFormat/>
    <w:rsid w:val="006637C6"/>
    <w:pPr>
      <w:spacing w:line="400" w:lineRule="atLeast"/>
    </w:pPr>
    <w:rPr>
      <w:color w:val="32809C" w:themeColor="accent2"/>
      <w:sz w:val="32"/>
      <w:szCs w:val="32"/>
    </w:rPr>
  </w:style>
  <w:style w:type="table" w:styleId="TableGrid1">
    <w:name w:val="Table Grid 1"/>
    <w:basedOn w:val="TableNormal"/>
    <w:uiPriority w:val="99"/>
    <w:semiHidden/>
    <w:unhideWhenUsed/>
    <w:rsid w:val="00825F98"/>
    <w:pPr>
      <w:spacing w:before="60" w:after="60" w:line="240" w:lineRule="atLeast"/>
    </w:pPr>
    <w:rPr>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ListParagraphChar">
    <w:name w:val="List Paragraph Char"/>
    <w:aliases w:val="Rec para Char,List Paragraph1 Char,Recommendation Char,List Paragraph11 Char,NFP GP Bulleted List Char,Dot pt Char,F5 List Paragraph Char,No Spacing1 Char,List Paragraph Char Char Char Char,Indicator Text Char,Numbered Para 1 Char"/>
    <w:link w:val="ListParagraph"/>
    <w:uiPriority w:val="34"/>
    <w:semiHidden/>
    <w:qFormat/>
    <w:rsid w:val="00263415"/>
    <w:rPr>
      <w:rFonts w:ascii="Times New Roman" w:eastAsia="Times New Roman" w:hAnsi="Times New Roman"/>
      <w:sz w:val="22"/>
      <w:lang w:eastAsia="en-GB"/>
    </w:rPr>
  </w:style>
  <w:style w:type="paragraph" w:customStyle="1" w:styleId="Tablea">
    <w:name w:val="Table a"/>
    <w:aliases w:val="b.c"/>
    <w:basedOn w:val="TableText"/>
    <w:qFormat/>
    <w:rsid w:val="00744843"/>
    <w:pPr>
      <w:numPr>
        <w:numId w:val="17"/>
      </w:numPr>
      <w:spacing w:before="0"/>
      <w:ind w:left="397" w:hanging="397"/>
    </w:pPr>
  </w:style>
  <w:style w:type="paragraph" w:customStyle="1" w:styleId="Tablenum">
    <w:name w:val="Table num"/>
    <w:basedOn w:val="TableText"/>
    <w:qFormat/>
    <w:rsid w:val="00E66F21"/>
    <w:pPr>
      <w:numPr>
        <w:numId w:val="18"/>
      </w:numPr>
      <w:spacing w:before="0"/>
    </w:pPr>
  </w:style>
  <w:style w:type="character" w:styleId="Mention">
    <w:name w:val="Mention"/>
    <w:basedOn w:val="DefaultParagraphFont"/>
    <w:uiPriority w:val="99"/>
    <w:unhideWhenUsed/>
    <w:rsid w:val="000F02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83377714">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t.nz/regulation/public/2017/0174/latest/whole.html" TargetMode="External"/><Relationship Id="rId18" Type="http://schemas.openxmlformats.org/officeDocument/2006/relationships/hyperlink" Target="https://www.legislation.govt.nz/regulation/public/2017/0174/latest/whole.html" TargetMode="External"/><Relationship Id="rId26" Type="http://schemas.openxmlformats.org/officeDocument/2006/relationships/hyperlink" Target="https://www.legislation.govt.nz/regulation/public/2017/0174/latest/whole.html" TargetMode="External"/><Relationship Id="rId39" Type="http://schemas.openxmlformats.org/officeDocument/2006/relationships/hyperlink" Target="https://www.mpi.govt.nz/dmsdocument/64617-Forestry-slash-risk-management-handbook" TargetMode="External"/><Relationship Id="rId21" Type="http://schemas.openxmlformats.org/officeDocument/2006/relationships/hyperlink" Target="https://www.legislation.govt.nz/regulation/public/2017/0174/latest/whole.html" TargetMode="External"/><Relationship Id="rId34" Type="http://schemas.openxmlformats.org/officeDocument/2006/relationships/hyperlink" Target="https://ourenvironment.scinfo.org.nz/maps-and-tools/app/Land%20Capability/lri_luc_main" TargetMode="External"/><Relationship Id="rId42" Type="http://schemas.openxmlformats.org/officeDocument/2006/relationships/image" Target="media/image2.png"/><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legislation.govt.nz/regulation/public/2017/0174/latest/whole.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t.nz/regulation/public/2017/0174/latest/whole.html" TargetMode="External"/><Relationship Id="rId32" Type="http://schemas.openxmlformats.org/officeDocument/2006/relationships/footer" Target="footer3.xml"/><Relationship Id="rId37" Type="http://schemas.openxmlformats.org/officeDocument/2006/relationships/hyperlink" Target="https://www.mpi.govt.nz/forestry/national-environmental-standards-commercial-forestry/erosion-susceptibility-classification/" TargetMode="External"/><Relationship Id="rId40" Type="http://schemas.openxmlformats.org/officeDocument/2006/relationships/hyperlink" Target="https://ourenvironment.scinfo.org.nz/maps-and-tools/app/Landscape/slope"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legislation.govt.nz/regulation/public/2017/0174/latest/whole.html" TargetMode="External"/><Relationship Id="rId23" Type="http://schemas.openxmlformats.org/officeDocument/2006/relationships/hyperlink" Target="https://www.legislation.govt.nz/regulation/public/2017/0174/latest/whole.html" TargetMode="External"/><Relationship Id="rId28" Type="http://schemas.openxmlformats.org/officeDocument/2006/relationships/hyperlink" Target="https://www.legislation.govt.nz/regulation/public/2017/0174/latest/whole.html" TargetMode="External"/><Relationship Id="rId36" Type="http://schemas.openxmlformats.org/officeDocument/2006/relationships/hyperlink" Target="https://maps.gdc.govt.nz/Geocortex/Essentials/maps.gdc.govt.nz/REST/virtualdirectory/OpenData/20240627_Gisborne_Landslide_Connectivity_Layers.pdf" TargetMode="External"/><Relationship Id="rId10" Type="http://schemas.openxmlformats.org/officeDocument/2006/relationships/footnotes" Target="footnotes.xml"/><Relationship Id="rId19" Type="http://schemas.openxmlformats.org/officeDocument/2006/relationships/hyperlink" Target="https://www.legislation.govt.nz/regulation/public/2017/0174/latest/whole.html" TargetMode="External"/><Relationship Id="rId31" Type="http://schemas.openxmlformats.org/officeDocument/2006/relationships/header" Target="header1.xm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t.nz/regulation/public/2017/0174/latest/whole.html" TargetMode="External"/><Relationship Id="rId22" Type="http://schemas.openxmlformats.org/officeDocument/2006/relationships/hyperlink" Target="https://www.legislation.govt.nz/regulation/public/2017/0174/latest/whole.html" TargetMode="External"/><Relationship Id="rId27" Type="http://schemas.openxmlformats.org/officeDocument/2006/relationships/hyperlink" Target="https://www.legislation.govt.nz/regulation/public/2017/0174/latest/whole.html" TargetMode="External"/><Relationship Id="rId30" Type="http://schemas.openxmlformats.org/officeDocument/2006/relationships/footer" Target="footer2.xml"/><Relationship Id="rId35" Type="http://schemas.openxmlformats.org/officeDocument/2006/relationships/hyperlink" Target="https://niwa.co.nz/climate-and-weather/high-intensity-rainfall-design-system-hirds" TargetMode="External"/><Relationship Id="rId43" Type="http://schemas.openxmlformats.org/officeDocument/2006/relationships/image" Target="media/image3.pn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legislation.govt.nz/regulation/public/2017/0174/latest/whole.html" TargetMode="External"/><Relationship Id="rId17" Type="http://schemas.openxmlformats.org/officeDocument/2006/relationships/hyperlink" Target="https://www.legislation.govt.nz/regulation/public/2017/0174/latest/whole.html" TargetMode="External"/><Relationship Id="rId25" Type="http://schemas.openxmlformats.org/officeDocument/2006/relationships/hyperlink" Target="https://www.legislation.govt.nz/regulation/public/2017/0174/latest/whole.html" TargetMode="External"/><Relationship Id="rId33" Type="http://schemas.openxmlformats.org/officeDocument/2006/relationships/hyperlink" Target="https://ourenvironment.scinfo.org.nz/maps-and-tools/app/Land%20Capability/lri_luc_main" TargetMode="External"/><Relationship Id="rId38" Type="http://schemas.openxmlformats.org/officeDocument/2006/relationships/hyperlink" Target="https://www.mpi.govt.nz/dmsdocument/27930-Resource-Management-National-Environmental-Standards-for-Plantation-Forestry-Regulations-2017-March-2018" TargetMode="External"/><Relationship Id="rId46" Type="http://schemas.openxmlformats.org/officeDocument/2006/relationships/fontTable" Target="fontTable.xml"/><Relationship Id="rId20" Type="http://schemas.openxmlformats.org/officeDocument/2006/relationships/hyperlink" Target="https://www.legislation.govt.nz/regulation/public/2017/0174/latest/whole.html?search=sw_096be8ed81e27a82_woody+debris_25_se&amp;p=1" TargetMode="External"/><Relationship Id="rId41" Type="http://schemas.openxmlformats.org/officeDocument/2006/relationships/hyperlink" Target="https://www.gdc.govt.nz/__data/assets/pdf_file/0025/12868/gdc-riskmatrix-for-storm-initiated-forestry-landslide-and-debri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fE\Templates\MfE%20Information%20sheet%20template.dotm" TargetMode="External"/></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2d36d8df6452b4bc0b35f30aeacbeeae">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fbf75c3022aee771ef3cbb0b57832f11"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Other_x0020_Details_2" minOccurs="0"/>
                <xsd:element ref="ns3:Other_x0020_Details_3"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To" minOccurs="0"/>
                <xsd:element ref="ns3:From" minOccurs="0"/>
                <xsd:element ref="ns3:Sent_x002f_Received" minOccurs="0"/>
                <xsd:element ref="ns3:MediaServiceDateTaken" minOccurs="0"/>
                <xsd:element ref="ns3:MediaServiceAutoTags" minOccurs="0"/>
                <xsd:element ref="ns3:MediaServiceLocation" minOccurs="0"/>
                <xsd:element ref="ns3:MediaServiceGenerationTime" minOccurs="0"/>
                <xsd:element ref="ns3:MediaServiceOCR" minOccurs="0"/>
                <xsd:element ref="ns3:MediaServiceEventHashCode" minOccurs="0"/>
                <xsd:element ref="ns3:MTS_x0020_Type" minOccurs="0"/>
                <xsd:element ref="ns3:MTS_x0020_I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3bd54ba5-a82b-4285-8061-aa12503c927e}"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Library" ma:index="12" nillable="true" ma:displayName="Library" ma:default="" ma:description="" ma:internalName="Library">
      <xsd:simpleType>
        <xsd:restriction base="dms:Text">
          <xsd:maxLength value="255"/>
        </xsd:restriction>
      </xsd:simpleType>
    </xsd:element>
    <xsd:element name="Legacy_x0020_DocID" ma:index="13" nillable="true" ma:displayName="Legacy DocID" ma:decimals="-1" ma:default="" ma:description="" ma:internalName="Legacy_x0020_DocID">
      <xsd:simpleType>
        <xsd:restriction base="dms:Number"/>
      </xsd:simpleType>
    </xsd:element>
    <xsd:element name="Legacy_x0020_Version" ma:index="14" nillable="true" ma:displayName="Legacy Version" ma:default="" ma:description="" ma:internalName="Legacy_x0020_Version">
      <xsd:simpleType>
        <xsd:restriction base="dms:Text">
          <xsd:maxLength value="255"/>
        </xsd:restriction>
      </xsd:simpleType>
    </xsd:element>
    <xsd:element name="Class" ma:index="15" nillable="true" ma:displayName="Class" ma:default="" ma:description="" ma:internalName="Class">
      <xsd:simpleType>
        <xsd:restriction base="dms:Text">
          <xsd:maxLength value="255"/>
        </xsd:restriction>
      </xsd:simpleType>
    </xsd:element>
    <xsd:element name="Author0" ma:index="16" nillable="true" ma:displayName="Author" ma:default="" ma:description="" ma:internalName="Author0">
      <xsd:simpleType>
        <xsd:restriction base="dms:Text">
          <xsd:maxLength value="255"/>
        </xsd:restriction>
      </xsd:simpleType>
    </xsd:element>
    <xsd:element name="Status" ma:index="17" nillable="true" ma:displayName="Status" ma:default="" ma:description="" ma:internalName="Status">
      <xsd:simpleType>
        <xsd:restriction base="dms:Text">
          <xsd:maxLength value="255"/>
        </xsd:restriction>
      </xsd:simpleType>
    </xsd:element>
    <xsd:element name="Year" ma:index="18" nillable="true" ma:displayName="Year" ma:default="" ma:description="" ma:internalName="Year">
      <xsd:simpleType>
        <xsd:restriction base="dms:Text">
          <xsd:maxLength value="255"/>
        </xsd:restriction>
      </xsd:simpleType>
    </xsd:element>
    <xsd:element name="Other_x0020_Details" ma:index="19" nillable="true" ma:displayName="Other Details" ma:default="" ma:description="" ma:internalName="Other_x0020_Details">
      <xsd:simpleType>
        <xsd:restriction base="dms:Text">
          <xsd:maxLength value="255"/>
        </xsd:restriction>
      </xsd:simpleType>
    </xsd:element>
    <xsd:element name="Other_x0020_Details_2" ma:index="20" nillable="true" ma:displayName="Other Details_2" ma:description="" ma:internalName="Other_x0020_Details_2">
      <xsd:simpleType>
        <xsd:restriction base="dms:Text">
          <xsd:maxLength value="255"/>
        </xsd:restriction>
      </xsd:simpleType>
    </xsd:element>
    <xsd:element name="Other_x0020_Details_3" ma:index="21" nillable="true" ma:displayName="Other Details_3" ma:description="" ma:internalName="Other_x0020_Details_3">
      <xsd:simpleType>
        <xsd:restriction base="dms:Text">
          <xsd:maxLength value="255"/>
        </xsd:restriction>
      </xsd:simpleType>
    </xsd:element>
    <xsd:element name="Sender" ma:index="22" nillable="true" ma:displayName="Sender" ma:description="" ma:internalName="Sender">
      <xsd:simpleType>
        <xsd:restriction base="dms:Text">
          <xsd:maxLength value="255"/>
        </xsd:restriction>
      </xsd:simpleType>
    </xsd:element>
    <xsd:element name="Receiver" ma:index="23" nillable="true" ma:displayName="Receiver" ma:description="" ma:internalName="Receiver">
      <xsd:simpleType>
        <xsd:restriction base="dms:Text">
          <xsd:maxLength value="255"/>
        </xsd:restriction>
      </xsd:simpleType>
    </xsd:element>
    <xsd:element name="Sender_x0020_Date" ma:index="24" nillable="true" ma:displayName="Sender Date" ma:default="" ma:description="" ma:format="DateTime" ma:internalName="Sender_x0020_Date">
      <xsd:simpleType>
        <xsd:restriction base="dms:DateTime"/>
      </xsd:simpleType>
    </xsd:element>
    <xsd:element name="Receiver_x0020_Date" ma:index="25" nillable="true" ma:displayName="Receiver Date" ma:default="" ma:description="" ma:format="DateTime" ma:internalName="Receiver_x0020_Date">
      <xsd:simpleType>
        <xsd:restriction base="dms:DateTime"/>
      </xsd:simpleType>
    </xsd:element>
    <xsd:element name="Carbon_x0020_Copy" ma:index="26" nillable="true" ma:displayName="Carbon Copy" ma:description="" ma:internalName="Carbon_x0020_Copy">
      <xsd:simpleType>
        <xsd:restriction base="dms:Text">
          <xsd:maxLength value="255"/>
        </xsd:restriction>
      </xsd:simpleType>
    </xsd:element>
    <xsd:element name="Email_x0020_Table" ma:index="28" nillable="true" ma:displayName="Email Table" ma:description="" ma:internalName="Email_x0020_Tabl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To" ma:index="33" nillable="true" ma:displayName="To" ma:default="" ma:description="" ma:internalName="To">
      <xsd:simpleType>
        <xsd:restriction base="dms:Note">
          <xsd:maxLength value="255"/>
        </xsd:restriction>
      </xsd:simpleType>
    </xsd:element>
    <xsd:element name="From" ma:index="34" nillable="true" ma:displayName="From" ma:default="" ma:description="" ma:internalName="From">
      <xsd:simpleType>
        <xsd:restriction base="dms:Text">
          <xsd:maxLength value="255"/>
        </xsd:restriction>
      </xsd:simpleType>
    </xsd:element>
    <xsd:element name="Sent_x002f_Received" ma:index="35" nillable="true" ma:displayName="Sent/Received" ma:default="" ma:description="" ma:internalName="Sent_x002f_Received">
      <xsd:simpleType>
        <xsd:restriction base="dms:Text">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EventHashCode" ma:index="41" nillable="true" ma:displayName="MediaServiceEventHashCode" ma:hidden="true" ma:internalName="MediaServiceEventHashCode" ma:readOnly="true">
      <xsd:simpleType>
        <xsd:restriction base="dms:Text"/>
      </xsd:simpleType>
    </xsd:element>
    <xsd:element name="MTS_x0020_Type" ma:index="42" nillable="true" ma:displayName="MTS Type" ma:default="" ma:description="" ma:internalName="MTS_x0020_Type">
      <xsd:simpleType>
        <xsd:restriction base="dms:Note">
          <xsd:maxLength value="255"/>
        </xsd:restriction>
      </xsd:simpleType>
    </xsd:element>
    <xsd:element name="MTS_x0020_ID" ma:index="43" nillable="true" ma:displayName="MTS ID" ma:default="" ma:description="" ma:internalName="MTS_x0020_I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a94300e-a927-4b92-9d3a-682523035cb6">
      <Terms xmlns="http://schemas.microsoft.com/office/infopath/2007/PartnerControls"/>
    </lcf76f155ced4ddcb4097134ff3c332f>
    <TaxCatchAll xmlns="58a6f171-52cb-4404-b47d-af1c8daf8fd1" xsi:nil="true"/>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ECM-546760013-405178</_dlc_DocId>
    <_dlc_DocIdUrl xmlns="58a6f171-52cb-4404-b47d-af1c8daf8fd1">
      <Url>https://ministryforenvironment.sharepoint.com/sites/ECM-Pol-RM/_layouts/15/DocIdRedir.aspx?ID=ECM-546760013-405178</Url>
      <Description>ECM-546760013-405178</Description>
    </_dlc_DocIdUrl>
    <SharedWithUsers xmlns="0a5b0190-e301-4766-933d-448c7c363fce">
      <UserInfo>
        <DisplayName/>
        <AccountId xsi:nil="true"/>
        <AccountType/>
      </UserInfo>
    </SharedWithUsers>
  </documentManagement>
</p:properties>
</file>

<file path=customXml/itemProps1.xml><?xml version="1.0" encoding="utf-8"?>
<ds:datastoreItem xmlns:ds="http://schemas.openxmlformats.org/officeDocument/2006/customXml" ds:itemID="{CDB738A0-7F5A-4F11-BAD4-0EC554B248A7}">
  <ds:schemaRefs>
    <ds:schemaRef ds:uri="http://schemas.microsoft.com/sharepoint/events"/>
  </ds:schemaRefs>
</ds:datastoreItem>
</file>

<file path=customXml/itemProps2.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3.xml><?xml version="1.0" encoding="utf-8"?>
<ds:datastoreItem xmlns:ds="http://schemas.openxmlformats.org/officeDocument/2006/customXml" ds:itemID="{C1116027-F9AA-4D3C-8504-D38D843B5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5.xml><?xml version="1.0" encoding="utf-8"?>
<ds:datastoreItem xmlns:ds="http://schemas.openxmlformats.org/officeDocument/2006/customXml" ds:itemID="{D4782A9D-DC48-4629-895C-D762F7C3ACF5}">
  <ds:schemaRefs>
    <ds:schemaRef ds:uri="http://schemas.microsoft.com/office/2006/metadata/properties"/>
    <ds:schemaRef ds:uri="http://schemas.microsoft.com/office/infopath/2007/PartnerControls"/>
    <ds:schemaRef ds:uri="4a94300e-a927-4b92-9d3a-682523035cb6"/>
    <ds:schemaRef ds:uri="58a6f171-52cb-4404-b47d-af1c8daf8fd1"/>
    <ds:schemaRef ds:uri="http://schemas.microsoft.com/sharepoint/v3"/>
    <ds:schemaRef ds:uri="http://schemas.microsoft.com/sharepoint/v4"/>
    <ds:schemaRef ds:uri="0a5b0190-e301-4766-933d-448c7c363fce"/>
  </ds:schemaRefs>
</ds:datastoreItem>
</file>

<file path=docProps/app.xml><?xml version="1.0" encoding="utf-8"?>
<Properties xmlns="http://schemas.openxmlformats.org/officeDocument/2006/extended-properties" xmlns:vt="http://schemas.openxmlformats.org/officeDocument/2006/docPropsVTypes">
  <Template>MfE Information sheet template</Template>
  <TotalTime>649</TotalTime>
  <Pages>16</Pages>
  <Words>4489</Words>
  <Characters>25589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Linda Stirling</cp:lastModifiedBy>
  <cp:revision>440</cp:revision>
  <dcterms:created xsi:type="dcterms:W3CDTF">2025-05-07T08:10:00Z</dcterms:created>
  <dcterms:modified xsi:type="dcterms:W3CDTF">2025-05-26T23:39:00Z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_dlc_DocIdItemGuid">
    <vt:lpwstr>55a08400-b7ee-4d99-80a3-55203aaf6118</vt:lpwstr>
  </property>
  <property fmtid="{D5CDD505-2E9C-101B-9397-08002B2CF9AE}" pid="11" name="MediaServiceImageTags">
    <vt:lpwstr/>
  </property>
  <property fmtid="{D5CDD505-2E9C-101B-9397-08002B2CF9AE}" pid="12" name="LivelinkID">
    <vt:lpwstr/>
  </property>
  <property fmtid="{D5CDD505-2E9C-101B-9397-08002B2CF9AE}" pid="13" name="Order">
    <vt:r8>12600000</vt:r8>
  </property>
  <property fmtid="{D5CDD505-2E9C-101B-9397-08002B2CF9AE}" pid="14" name="Te Puna Modified By">
    <vt:lpwstr/>
  </property>
  <property fmtid="{D5CDD505-2E9C-101B-9397-08002B2CF9AE}" pid="15" name="Te Puna Name">
    <vt:lpwstr/>
  </property>
  <property fmtid="{D5CDD505-2E9C-101B-9397-08002B2CF9AE}" pid="16" name="Best Bets Value">
    <vt:lpwstr/>
  </property>
  <property fmtid="{D5CDD505-2E9C-101B-9397-08002B2CF9AE}" pid="17" name="xd_ProgID">
    <vt:lpwstr/>
  </property>
  <property fmtid="{D5CDD505-2E9C-101B-9397-08002B2CF9AE}" pid="18" name="Nickname">
    <vt:lpwstr/>
  </property>
  <property fmtid="{D5CDD505-2E9C-101B-9397-08002B2CF9AE}" pid="19" name="OpenText Path">
    <vt:lpwstr/>
  </property>
  <property fmtid="{D5CDD505-2E9C-101B-9397-08002B2CF9AE}" pid="20" name="ComplianceAssetId">
    <vt:lpwstr/>
  </property>
  <property fmtid="{D5CDD505-2E9C-101B-9397-08002B2CF9AE}" pid="21" name="TemplateUrl">
    <vt:lpwstr/>
  </property>
  <property fmtid="{D5CDD505-2E9C-101B-9397-08002B2CF9AE}" pid="22" name="RSI">
    <vt:lpwstr/>
  </property>
  <property fmtid="{D5CDD505-2E9C-101B-9397-08002B2CF9AE}" pid="23" name="Categories0">
    <vt:lpwstr/>
  </property>
  <property fmtid="{D5CDD505-2E9C-101B-9397-08002B2CF9AE}" pid="24" name="Owned By">
    <vt:lpwstr/>
  </property>
  <property fmtid="{D5CDD505-2E9C-101B-9397-08002B2CF9AE}" pid="25" name="RM Classification">
    <vt:lpwstr/>
  </property>
  <property fmtid="{D5CDD505-2E9C-101B-9397-08002B2CF9AE}" pid="26" name="Te Puna Created By">
    <vt:lpwstr/>
  </property>
  <property fmtid="{D5CDD505-2E9C-101B-9397-08002B2CF9AE}" pid="27" name="_ExtendedDescription">
    <vt:lpwstr/>
  </property>
  <property fmtid="{D5CDD505-2E9C-101B-9397-08002B2CF9AE}" pid="28" name="TriggerFlowInfo">
    <vt:lpwstr/>
  </property>
  <property fmtid="{D5CDD505-2E9C-101B-9397-08002B2CF9AE}" pid="29" name="Current Security Clearance Level">
    <vt:lpwstr/>
  </property>
  <property fmtid="{D5CDD505-2E9C-101B-9397-08002B2CF9AE}" pid="30" name="File Number">
    <vt:lpwstr/>
  </property>
  <property fmtid="{D5CDD505-2E9C-101B-9397-08002B2CF9AE}" pid="31" name="URL">
    <vt:lpwstr/>
  </property>
  <property fmtid="{D5CDD505-2E9C-101B-9397-08002B2CF9AE}" pid="32" name="xd_Signature">
    <vt:bool>false</vt:bool>
  </property>
  <property fmtid="{D5CDD505-2E9C-101B-9397-08002B2CF9AE}" pid="33" name="Audit">
    <vt:lpwstr/>
  </property>
  <property fmtid="{D5CDD505-2E9C-101B-9397-08002B2CF9AE}" pid="34" name="Te Puna Owned By">
    <vt:lpwstr/>
  </property>
</Properties>
</file>