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E511" w14:textId="6E0F9A13" w:rsidR="001C4D70" w:rsidRPr="00640AA1" w:rsidRDefault="00DA500C" w:rsidP="00640AA1">
      <w:pPr>
        <w:pStyle w:val="BodyText"/>
        <w:spacing w:after="3600"/>
        <w:rPr>
          <w:rStyle w:val="normaltextrun"/>
        </w:rPr>
      </w:pPr>
      <w:r>
        <w:rPr>
          <w:noProof/>
        </w:rPr>
        <mc:AlternateContent>
          <mc:Choice Requires="wps">
            <w:drawing>
              <wp:anchor distT="0" distB="0" distL="114300" distR="114300" simplePos="0" relativeHeight="251658240" behindDoc="0" locked="0" layoutInCell="1" allowOverlap="1" wp14:anchorId="1F9B9299" wp14:editId="56044E82">
                <wp:simplePos x="0" y="0"/>
                <wp:positionH relativeFrom="margin">
                  <wp:align>right</wp:align>
                </wp:positionH>
                <wp:positionV relativeFrom="paragraph">
                  <wp:posOffset>1123315</wp:posOffset>
                </wp:positionV>
                <wp:extent cx="5808345" cy="2143125"/>
                <wp:effectExtent l="0" t="0" r="1905" b="0"/>
                <wp:wrapTopAndBottom/>
                <wp:docPr id="6" name="Text Box 6"/>
                <wp:cNvGraphicFramePr/>
                <a:graphic xmlns:a="http://schemas.openxmlformats.org/drawingml/2006/main">
                  <a:graphicData uri="http://schemas.microsoft.com/office/word/2010/wordprocessingShape">
                    <wps:wsp>
                      <wps:cNvSpPr txBox="1"/>
                      <wps:spPr>
                        <a:xfrm>
                          <a:off x="0" y="0"/>
                          <a:ext cx="5808345" cy="2143125"/>
                        </a:xfrm>
                        <a:prstGeom prst="rect">
                          <a:avLst/>
                        </a:prstGeom>
                        <a:noFill/>
                        <a:ln w="6350">
                          <a:noFill/>
                        </a:ln>
                      </wps:spPr>
                      <wps:txbx>
                        <w:txbxContent>
                          <w:p w14:paraId="0FFE03BE" w14:textId="7B8E2D18" w:rsidR="00B349E3" w:rsidRPr="00EC0B89" w:rsidRDefault="000549E2" w:rsidP="00296A94">
                            <w:pPr>
                              <w:pStyle w:val="Subtitle"/>
                              <w:rPr>
                                <w:color w:val="1B556B" w:themeColor="text2"/>
                                <w:sz w:val="48"/>
                                <w:szCs w:val="48"/>
                              </w:rPr>
                            </w:pPr>
                            <w:r w:rsidRPr="000549E2">
                              <w:rPr>
                                <w:color w:val="2C9986" w:themeColor="accent4"/>
                                <w:sz w:val="48"/>
                                <w:szCs w:val="48"/>
                              </w:rPr>
                              <w:t>Ngā mana tāpui whenua i raro i te Ture Taiao Tūturu me te Hanga</w:t>
                            </w:r>
                            <w:r w:rsidR="007D5909">
                              <w:rPr>
                                <w:rStyle w:val="eop"/>
                                <w:rFonts w:eastAsiaTheme="majorEastAsia" w:cs="Calibri"/>
                                <w:color w:val="2C9986"/>
                                <w:sz w:val="48"/>
                                <w:szCs w:val="48"/>
                              </w:rPr>
                              <w:br/>
                            </w:r>
                            <w:r w:rsidR="008063BB" w:rsidRPr="008063BB">
                              <w:rPr>
                                <w:color w:val="1B556B" w:themeColor="text2"/>
                                <w:sz w:val="48"/>
                                <w:szCs w:val="48"/>
                              </w:rPr>
                              <w:t>Requiring authorities under the Natural and Built Environment Act</w:t>
                            </w:r>
                          </w:p>
                        </w:txbxContent>
                      </wps:txbx>
                      <wps:bodyPr rot="0" spcFirstLastPara="0" vertOverflow="overflow" horzOverflow="overflow" vert="horz" wrap="square" lIns="36000" tIns="72000" rIns="0" bIns="54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9299" id="_x0000_t202" coordsize="21600,21600" o:spt="202" path="m,l,21600r21600,l21600,xe">
                <v:stroke joinstyle="miter"/>
                <v:path gradientshapeok="t" o:connecttype="rect"/>
              </v:shapetype>
              <v:shape id="Text Box 6" o:spid="_x0000_s1026" type="#_x0000_t202" style="position:absolute;margin-left:406.15pt;margin-top:88.45pt;width:457.35pt;height:16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" filled="f" stroked="f" strokeweight=".5pt">
                <v:textbox inset="1mm,2mm,0,15mm">
                  <w:txbxContent>
                    <w:p w14:paraId="0FFE03BE" w14:textId="7B8E2D18" w:rsidR="00B349E3" w:rsidRPr="00EC0B89" w:rsidRDefault="000549E2" w:rsidP="00296A94">
                      <w:pPr>
                        <w:pStyle w:val="Subtitle"/>
                        <w:rPr>
                          <w:color w:val="1B556B" w:themeColor="text2"/>
                          <w:sz w:val="48"/>
                          <w:szCs w:val="48"/>
                        </w:rPr>
                      </w:pPr>
                      <w:r w:rsidRPr="000549E2">
                        <w:rPr>
                          <w:color w:val="2C9986" w:themeColor="accent4"/>
                          <w:sz w:val="48"/>
                          <w:szCs w:val="48"/>
                        </w:rPr>
                        <w:t>Ngā mana tāpui whenua i raro i te Ture Taiao Tūturu me te Hanga</w:t>
                      </w:r>
                      <w:r w:rsidR="007D5909">
                        <w:rPr>
                          <w:rStyle w:val="eop"/>
                          <w:rFonts w:eastAsiaTheme="majorEastAsia" w:cs="Calibri"/>
                          <w:color w:val="2C9986"/>
                          <w:sz w:val="48"/>
                          <w:szCs w:val="48"/>
                        </w:rPr>
                        <w:br/>
                      </w:r>
                      <w:r w:rsidR="008063BB" w:rsidRPr="008063BB">
                        <w:rPr>
                          <w:color w:val="1B556B" w:themeColor="text2"/>
                          <w:sz w:val="48"/>
                          <w:szCs w:val="48"/>
                        </w:rPr>
                        <w:t>Requiring authorities under the Natural and Built Environment Act</w:t>
                      </w:r>
                    </w:p>
                  </w:txbxContent>
                </v:textbox>
                <w10:wrap type="topAndBottom" anchorx="margin"/>
              </v:shape>
            </w:pict>
          </mc:Fallback>
        </mc:AlternateContent>
      </w:r>
      <w:r w:rsidR="00721893">
        <w:rPr>
          <w:noProof/>
        </w:rPr>
        <mc:AlternateContent>
          <mc:Choice Requires="wps">
            <w:drawing>
              <wp:anchor distT="45720" distB="45720" distL="114300" distR="114300" simplePos="0" relativeHeight="251658243" behindDoc="0" locked="0" layoutInCell="1" allowOverlap="1" wp14:anchorId="4DEC8DBD" wp14:editId="0F6E427D">
                <wp:simplePos x="0" y="0"/>
                <wp:positionH relativeFrom="column">
                  <wp:posOffset>3693779</wp:posOffset>
                </wp:positionH>
                <wp:positionV relativeFrom="page">
                  <wp:posOffset>349250</wp:posOffset>
                </wp:positionV>
                <wp:extent cx="2408555" cy="71247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712470"/>
                        </a:xfrm>
                        <a:prstGeom prst="rect">
                          <a:avLst/>
                        </a:prstGeom>
                        <a:noFill/>
                        <a:ln w="9525">
                          <a:noFill/>
                          <a:miter lim="800000"/>
                          <a:headEnd/>
                          <a:tailEnd/>
                        </a:ln>
                      </wps:spPr>
                      <wps:txbx>
                        <w:txbxContent>
                          <w:p w14:paraId="3D10EA6F" w14:textId="76D6F924" w:rsidR="007A383E" w:rsidRPr="00721893" w:rsidRDefault="007A383E" w:rsidP="00DA500C">
                            <w:pPr>
                              <w:pStyle w:val="Headerinfo"/>
                              <w:rPr>
                                <w:b/>
                              </w:rPr>
                            </w:pPr>
                            <w:r w:rsidRPr="00721893">
                              <w:t>The new resource management system:</w:t>
                            </w:r>
                            <w:r w:rsidRPr="00721893">
                              <w:br/>
                              <w:t>Natural and Built Environment Act</w:t>
                            </w:r>
                            <w:r w:rsidR="007D421F">
                              <w:t xml:space="preserve"> 2023</w:t>
                            </w:r>
                            <w:r w:rsidRPr="00721893">
                              <w:br/>
                              <w:t>and Spatial Planning Act 2023</w:t>
                            </w:r>
                          </w:p>
                          <w:p w14:paraId="4CFE7685" w14:textId="77777777" w:rsidR="007A383E" w:rsidRDefault="007A383E" w:rsidP="007A3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C8DBD" id="Text Box 217" o:spid="_x0000_s1027" type="#_x0000_t202" style="position:absolute;margin-left:290.85pt;margin-top:27.5pt;width:189.65pt;height:56.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" filled="f" stroked="f">
                <v:textbox>
                  <w:txbxContent>
                    <w:p w14:paraId="3D10EA6F" w14:textId="76D6F924" w:rsidR="007A383E" w:rsidRPr="00721893" w:rsidRDefault="007A383E" w:rsidP="00DA500C">
                      <w:pPr>
                        <w:pStyle w:val="Headerinfo"/>
                        <w:rPr>
                          <w:b/>
                        </w:rPr>
                      </w:pPr>
                      <w:r w:rsidRPr="00721893">
                        <w:t>The new resource management system:</w:t>
                      </w:r>
                      <w:r w:rsidRPr="00721893">
                        <w:br/>
                        <w:t>Natural and Built Environment Act</w:t>
                      </w:r>
                      <w:r w:rsidR="007D421F">
                        <w:t xml:space="preserve"> 2023</w:t>
                      </w:r>
                      <w:r w:rsidRPr="00721893">
                        <w:br/>
                        <w:t>and Spatial Planning Act 2023</w:t>
                      </w:r>
                    </w:p>
                    <w:p w14:paraId="4CFE7685" w14:textId="77777777" w:rsidR="007A383E" w:rsidRDefault="007A383E" w:rsidP="007A383E"/>
                  </w:txbxContent>
                </v:textbox>
                <w10:wrap type="square" anchory="page"/>
              </v:shape>
            </w:pict>
          </mc:Fallback>
        </mc:AlternateContent>
      </w:r>
      <w:r w:rsidR="005C7862">
        <w:rPr>
          <w:rFonts w:asciiTheme="minorHAnsi" w:hAnsiTheme="minorHAnsi" w:cstheme="minorHAnsi"/>
          <w:noProof/>
          <w:color w:val="FFFFFF" w:themeColor="background1"/>
        </w:rPr>
        <w:drawing>
          <wp:anchor distT="0" distB="0" distL="114300" distR="114300" simplePos="0" relativeHeight="251658242" behindDoc="1" locked="0" layoutInCell="1" allowOverlap="1" wp14:anchorId="4EB9157D" wp14:editId="0B08B977">
            <wp:simplePos x="0" y="0"/>
            <wp:positionH relativeFrom="page">
              <wp:posOffset>8115</wp:posOffset>
            </wp:positionH>
            <wp:positionV relativeFrom="paragraph">
              <wp:posOffset>-737080</wp:posOffset>
            </wp:positionV>
            <wp:extent cx="7543165" cy="1352550"/>
            <wp:effectExtent l="0" t="0" r="635"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54316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F8F8C8" w14:textId="5C7894FB" w:rsidR="00B410F6" w:rsidRPr="0069507D" w:rsidRDefault="00B410F6" w:rsidP="00B410F6">
      <w:pPr>
        <w:pStyle w:val="BodyText"/>
      </w:pPr>
      <w:r w:rsidRPr="009A7AAF">
        <w:t>New laws are being phased in that aim to help Aotearoa New Zealand protect and manage the environment and its resources.</w:t>
      </w:r>
      <w:r w:rsidDel="00ED41D3">
        <w:rPr>
          <w:rStyle w:val="normaltextrun"/>
          <w:rFonts w:cs="Calibri"/>
          <w:color w:val="000000"/>
          <w:shd w:val="clear" w:color="auto" w:fill="FFFFFF"/>
        </w:rPr>
        <w:t xml:space="preserve"> </w:t>
      </w:r>
      <w:r w:rsidRPr="0069507D">
        <w:t xml:space="preserve">The Spatial Planning Act 2023 (SPA) and the Natural and Built Environment Act 2023 (NBA) were enacted on 23 August 2023.  </w:t>
      </w:r>
    </w:p>
    <w:p w14:paraId="64C8D7AB" w14:textId="694B058A" w:rsidR="00B410F6" w:rsidRDefault="00B410F6" w:rsidP="00B410F6">
      <w:pPr>
        <w:pStyle w:val="BodyText"/>
        <w:rPr>
          <w:bCs/>
        </w:rPr>
      </w:pPr>
      <w:r>
        <w:rPr>
          <w:bCs/>
        </w:rPr>
        <w:t xml:space="preserve">The NBA contains provisions relating to requiring authorities that will take effect from </w:t>
      </w:r>
      <w:r w:rsidR="00451511" w:rsidRPr="00257C77">
        <w:rPr>
          <w:bCs/>
        </w:rPr>
        <w:t>Novem</w:t>
      </w:r>
      <w:r w:rsidRPr="00257C77">
        <w:rPr>
          <w:bCs/>
        </w:rPr>
        <w:t>ber</w:t>
      </w:r>
      <w:r>
        <w:rPr>
          <w:bCs/>
        </w:rPr>
        <w:t xml:space="preserve"> 2023. </w:t>
      </w:r>
    </w:p>
    <w:p w14:paraId="7F90C6D3" w14:textId="77777777" w:rsidR="002D6931" w:rsidRDefault="002D6931" w:rsidP="002D6931">
      <w:pPr>
        <w:pStyle w:val="BodyText"/>
      </w:pPr>
      <w:r>
        <w:t xml:space="preserve">A requiring authority is a person or entity that can require land to be set aside (designated) for a public purpose such as a hospital, </w:t>
      </w:r>
      <w:proofErr w:type="gramStart"/>
      <w:r>
        <w:t>school</w:t>
      </w:r>
      <w:proofErr w:type="gramEnd"/>
      <w:r>
        <w:t xml:space="preserve"> or network. </w:t>
      </w:r>
    </w:p>
    <w:p w14:paraId="70289911" w14:textId="77777777" w:rsidR="002D6931" w:rsidRDefault="002D6931" w:rsidP="002D6931">
      <w:pPr>
        <w:pStyle w:val="BodyText"/>
      </w:pPr>
      <w:r>
        <w:t>The NBA:</w:t>
      </w:r>
    </w:p>
    <w:p w14:paraId="60850A4C" w14:textId="300E87F9" w:rsidR="002D6931" w:rsidRDefault="002D6931" w:rsidP="002D6931">
      <w:pPr>
        <w:pStyle w:val="Bullet"/>
      </w:pPr>
      <w:r>
        <w:t>adds council</w:t>
      </w:r>
      <w:r w:rsidR="007F41AB">
        <w:t>-</w:t>
      </w:r>
      <w:r>
        <w:t xml:space="preserve">controlled organisations as requiring </w:t>
      </w:r>
      <w:proofErr w:type="gramStart"/>
      <w:r>
        <w:t>authorities</w:t>
      </w:r>
      <w:proofErr w:type="gramEnd"/>
    </w:p>
    <w:p w14:paraId="6AE8FFD1" w14:textId="5DFA268B" w:rsidR="002D6931" w:rsidRDefault="002D6931" w:rsidP="002D6931">
      <w:pPr>
        <w:pStyle w:val="Bullet"/>
      </w:pPr>
      <w:r>
        <w:t xml:space="preserve">enables more network utility operators to apply to be requiring </w:t>
      </w:r>
      <w:proofErr w:type="gramStart"/>
      <w:r>
        <w:t>authorities</w:t>
      </w:r>
      <w:proofErr w:type="gramEnd"/>
    </w:p>
    <w:p w14:paraId="07AAD896" w14:textId="49DEA70C" w:rsidR="002D6931" w:rsidRDefault="002D6931" w:rsidP="002D6931">
      <w:pPr>
        <w:pStyle w:val="Bullet"/>
      </w:pPr>
      <w:r>
        <w:t xml:space="preserve">enables ‘other applicants’ to apply to be requiring authorities. </w:t>
      </w:r>
    </w:p>
    <w:p w14:paraId="40439615" w14:textId="09B0148B" w:rsidR="002D6931" w:rsidRDefault="002D6931" w:rsidP="002D6931">
      <w:pPr>
        <w:pStyle w:val="BodyText"/>
      </w:pPr>
      <w:r>
        <w:t xml:space="preserve">Until </w:t>
      </w:r>
      <w:r w:rsidR="00E53464" w:rsidRPr="00257C77">
        <w:t>November</w:t>
      </w:r>
      <w:r>
        <w:t xml:space="preserve"> 2023, the requiring authority provisions in the </w:t>
      </w:r>
      <w:r w:rsidR="007F41AB">
        <w:t>Resource Management Act 1991 (</w:t>
      </w:r>
      <w:r>
        <w:t>RMA</w:t>
      </w:r>
      <w:r w:rsidR="007F41AB">
        <w:t>)</w:t>
      </w:r>
      <w:r>
        <w:t xml:space="preserve"> will continue to be in effect.</w:t>
      </w:r>
    </w:p>
    <w:p w14:paraId="7BE1882E" w14:textId="37D9114F" w:rsidR="002D6931" w:rsidRDefault="002D6931" w:rsidP="002D6931">
      <w:pPr>
        <w:pStyle w:val="Heading2"/>
      </w:pPr>
      <w:r>
        <w:t>This factsheet covers:</w:t>
      </w:r>
    </w:p>
    <w:p w14:paraId="163243C6" w14:textId="03A13608" w:rsidR="002D6931" w:rsidRDefault="002D6931" w:rsidP="009F4938">
      <w:pPr>
        <w:pStyle w:val="Bullet"/>
        <w:spacing w:before="120"/>
      </w:pPr>
      <w:r>
        <w:t xml:space="preserve">who can be a requiring authority under the NBA from </w:t>
      </w:r>
      <w:r w:rsidRPr="009117AF">
        <w:t xml:space="preserve">three months after the date of </w:t>
      </w:r>
      <w:r w:rsidR="007F41AB" w:rsidRPr="009117AF">
        <w:t>R</w:t>
      </w:r>
      <w:r w:rsidRPr="009117AF">
        <w:t xml:space="preserve">oyal </w:t>
      </w:r>
      <w:proofErr w:type="gramStart"/>
      <w:r w:rsidRPr="009117AF">
        <w:t>assent</w:t>
      </w:r>
      <w:proofErr w:type="gramEnd"/>
    </w:p>
    <w:p w14:paraId="215ECE89" w14:textId="6993B4C2" w:rsidR="002D6931" w:rsidRDefault="002D6931" w:rsidP="003A4FBA">
      <w:pPr>
        <w:pStyle w:val="Bullet"/>
      </w:pPr>
      <w:r>
        <w:t>criteria for approval as a requiring authority</w:t>
      </w:r>
      <w:r w:rsidR="007F41AB">
        <w:t>.</w:t>
      </w:r>
    </w:p>
    <w:p w14:paraId="26656D71" w14:textId="77777777" w:rsidR="006A6DB7" w:rsidRDefault="006A6DB7" w:rsidP="006A6DB7">
      <w:pPr>
        <w:pStyle w:val="Bullet"/>
      </w:pPr>
      <w:r>
        <w:br w:type="page"/>
      </w:r>
    </w:p>
    <w:p w14:paraId="4D261BCF" w14:textId="77777777" w:rsidR="002D6931" w:rsidRDefault="002D6931" w:rsidP="003A4FBA">
      <w:pPr>
        <w:pStyle w:val="Heading2"/>
      </w:pPr>
      <w:r>
        <w:lastRenderedPageBreak/>
        <w:t xml:space="preserve">Who can be a requiring authority under the NBA from </w:t>
      </w:r>
      <w:r w:rsidRPr="00EB1534">
        <w:t>November 2023</w:t>
      </w:r>
    </w:p>
    <w:p w14:paraId="4A05BD53" w14:textId="77777777" w:rsidR="002D6931" w:rsidRDefault="002D6931" w:rsidP="002D6931">
      <w:pPr>
        <w:pStyle w:val="BodyText"/>
      </w:pPr>
      <w:r w:rsidRPr="003A4FBA">
        <w:rPr>
          <w:b/>
          <w:bCs/>
        </w:rPr>
        <w:t>Ministers of the Crown, local authorities and council-controlled organisations</w:t>
      </w:r>
      <w:r>
        <w:t xml:space="preserve"> are automatically requiring authorities under the NBA.</w:t>
      </w:r>
    </w:p>
    <w:p w14:paraId="593CECEC" w14:textId="77777777" w:rsidR="002D6931" w:rsidRDefault="002D6931" w:rsidP="002D6931">
      <w:pPr>
        <w:pStyle w:val="BodyText"/>
      </w:pPr>
      <w:r w:rsidRPr="003A4FBA">
        <w:rPr>
          <w:b/>
          <w:bCs/>
        </w:rPr>
        <w:t>Network utility operators listed in the NBA</w:t>
      </w:r>
      <w:r>
        <w:t xml:space="preserve"> can apply for requiring authority status.</w:t>
      </w:r>
    </w:p>
    <w:p w14:paraId="1159F66D" w14:textId="11F462CF" w:rsidR="002D6931" w:rsidRDefault="002D6931" w:rsidP="002D6931">
      <w:pPr>
        <w:pStyle w:val="BodyText"/>
      </w:pPr>
      <w:r>
        <w:t xml:space="preserve">The NBA adds the following network utility operators to the list of those who can apply: </w:t>
      </w:r>
    </w:p>
    <w:p w14:paraId="434F5B29" w14:textId="3D99CEDD" w:rsidR="002D6931" w:rsidRDefault="002D6931" w:rsidP="003A4FBA">
      <w:pPr>
        <w:pStyle w:val="Bullet"/>
      </w:pPr>
      <w:r>
        <w:t>emergency service providers</w:t>
      </w:r>
    </w:p>
    <w:p w14:paraId="56690A23" w14:textId="688A8905" w:rsidR="002D6931" w:rsidRDefault="002D6931" w:rsidP="003A4FBA">
      <w:pPr>
        <w:pStyle w:val="Bullet"/>
      </w:pPr>
      <w:r>
        <w:t>the landward part of port operations and inland ports operated under the Port Companies Act 1988.</w:t>
      </w:r>
    </w:p>
    <w:p w14:paraId="16B6BD2E" w14:textId="77777777" w:rsidR="002D6931" w:rsidRDefault="002D6931" w:rsidP="002D6931">
      <w:pPr>
        <w:pStyle w:val="BodyText"/>
      </w:pPr>
      <w:r>
        <w:t xml:space="preserve">Note that while some port operations can apply for requiring authority status, designations do not apply to the coastal marine area. </w:t>
      </w:r>
    </w:p>
    <w:p w14:paraId="7B8446BA" w14:textId="77777777" w:rsidR="002D6931" w:rsidRDefault="002D6931" w:rsidP="002D6931">
      <w:pPr>
        <w:pStyle w:val="BodyText"/>
      </w:pPr>
      <w:r w:rsidRPr="003A4FBA">
        <w:rPr>
          <w:b/>
          <w:bCs/>
        </w:rPr>
        <w:t>Other applicants</w:t>
      </w:r>
      <w:r>
        <w:t xml:space="preserve"> can also apply to be a requiring authority providing they meet certain criteria.</w:t>
      </w:r>
    </w:p>
    <w:p w14:paraId="67F6C778" w14:textId="77777777" w:rsidR="002D6931" w:rsidRDefault="002D6931" w:rsidP="003A4FBA">
      <w:pPr>
        <w:pStyle w:val="Heading2"/>
      </w:pPr>
      <w:r>
        <w:t>Criteria for approval as a requiring authority</w:t>
      </w:r>
    </w:p>
    <w:p w14:paraId="014F308C" w14:textId="77777777" w:rsidR="002D6931" w:rsidRDefault="002D6931" w:rsidP="002D6931">
      <w:pPr>
        <w:pStyle w:val="BodyText"/>
      </w:pPr>
      <w:r w:rsidRPr="003A4FBA">
        <w:rPr>
          <w:b/>
          <w:bCs/>
        </w:rPr>
        <w:t xml:space="preserve">Network utility operators and ‘other </w:t>
      </w:r>
      <w:proofErr w:type="gramStart"/>
      <w:r w:rsidRPr="003A4FBA">
        <w:rPr>
          <w:b/>
          <w:bCs/>
        </w:rPr>
        <w:t>applicants’</w:t>
      </w:r>
      <w:proofErr w:type="gramEnd"/>
      <w:r>
        <w:t xml:space="preserve"> may apply to the Minister for the Environment for requiring authority status.</w:t>
      </w:r>
    </w:p>
    <w:p w14:paraId="56061831" w14:textId="72ADCABF" w:rsidR="002D6931" w:rsidRDefault="002D6931" w:rsidP="002D6931">
      <w:pPr>
        <w:pStyle w:val="BodyText"/>
      </w:pPr>
      <w:r>
        <w:t xml:space="preserve">The Minister can make any </w:t>
      </w:r>
      <w:r w:rsidRPr="003A4FBA">
        <w:rPr>
          <w:b/>
          <w:bCs/>
        </w:rPr>
        <w:t>inquiries, impose any conditions, and request any information</w:t>
      </w:r>
      <w:r>
        <w:t xml:space="preserve"> necessary to help their consideration. The Minister may only approve an applicant as a requiring authority for the purposes of a particular project or work or a particular network utility operation</w:t>
      </w:r>
      <w:r w:rsidR="007F41AB">
        <w:t>.</w:t>
      </w:r>
      <w:r w:rsidR="003B32E1">
        <w:rPr>
          <w:rStyle w:val="FootnoteReference"/>
        </w:rPr>
        <w:footnoteReference w:id="2"/>
      </w:r>
      <w:r>
        <w:t xml:space="preserve"> </w:t>
      </w:r>
    </w:p>
    <w:p w14:paraId="42DAE585" w14:textId="51776933" w:rsidR="002D6931" w:rsidRDefault="002D6931" w:rsidP="002D6931">
      <w:pPr>
        <w:pStyle w:val="BodyText"/>
      </w:pPr>
      <w:r>
        <w:t xml:space="preserve">The Minister must be satisfied that the applicant is </w:t>
      </w:r>
      <w:r w:rsidRPr="00776490">
        <w:rPr>
          <w:b/>
          <w:bCs/>
        </w:rPr>
        <w:t>appropriate for the purposes of carrying out the work</w:t>
      </w:r>
      <w:r>
        <w:t xml:space="preserve"> and is likely to satisfactorily carry out all the responsibilities (including financial responsibilities) of a requiring authority. This includes giving proper regard to the interests of those affected and to the interests of the environment</w:t>
      </w:r>
      <w:r w:rsidR="007F41AB">
        <w:t>.</w:t>
      </w:r>
      <w:r w:rsidR="0009399F">
        <w:rPr>
          <w:rStyle w:val="FootnoteReference"/>
        </w:rPr>
        <w:footnoteReference w:id="3"/>
      </w:r>
      <w:r>
        <w:t xml:space="preserve"> </w:t>
      </w:r>
    </w:p>
    <w:p w14:paraId="62A3FCD3" w14:textId="68F8A192" w:rsidR="002D6931" w:rsidRDefault="002D6931" w:rsidP="002D6931">
      <w:pPr>
        <w:pStyle w:val="BodyText"/>
      </w:pPr>
      <w:r>
        <w:t xml:space="preserve">There are </w:t>
      </w:r>
      <w:r w:rsidRPr="0009399F">
        <w:rPr>
          <w:b/>
          <w:bCs/>
        </w:rPr>
        <w:t>additional tests for ‘other applicants’</w:t>
      </w:r>
      <w:r>
        <w:t xml:space="preserve"> seeking requiring authority status</w:t>
      </w:r>
      <w:r w:rsidR="007F41AB">
        <w:t>.</w:t>
      </w:r>
      <w:r w:rsidR="00F149DD">
        <w:rPr>
          <w:rStyle w:val="FootnoteReference"/>
        </w:rPr>
        <w:footnoteReference w:id="4"/>
      </w:r>
      <w:r>
        <w:t xml:space="preserve"> The Minister must not approve other applicants as a requiring authority unless the Minister is satisfied that all the following </w:t>
      </w:r>
      <w:r w:rsidR="00882AFE">
        <w:t>criteria</w:t>
      </w:r>
      <w:r>
        <w:t xml:space="preserve"> are met</w:t>
      </w:r>
      <w:r w:rsidR="009A7659">
        <w:rPr>
          <w:rStyle w:val="FootnoteReference"/>
        </w:rPr>
        <w:footnoteReference w:id="5"/>
      </w:r>
      <w:r>
        <w:t xml:space="preserve">: </w:t>
      </w:r>
    </w:p>
    <w:p w14:paraId="48271EDE" w14:textId="102CDAED" w:rsidR="002D6931" w:rsidRDefault="002D6931" w:rsidP="00F149DD">
      <w:pPr>
        <w:pStyle w:val="Bullet"/>
      </w:pPr>
      <w:r>
        <w:t xml:space="preserve">the project or work </w:t>
      </w:r>
      <w:r w:rsidRPr="00F149DD">
        <w:rPr>
          <w:b/>
          <w:bCs/>
        </w:rPr>
        <w:t>provides a significant and identifiable public benefit</w:t>
      </w:r>
      <w:r>
        <w:t xml:space="preserve"> necessary for the functioning of the economy, the health and safety of people, or the protection of the </w:t>
      </w:r>
      <w:proofErr w:type="gramStart"/>
      <w:r>
        <w:t>environment</w:t>
      </w:r>
      <w:proofErr w:type="gramEnd"/>
    </w:p>
    <w:p w14:paraId="1FD7F9ED" w14:textId="181FB36A" w:rsidR="002D6931" w:rsidRDefault="002D6931" w:rsidP="00F149DD">
      <w:pPr>
        <w:pStyle w:val="Bullet"/>
      </w:pPr>
      <w:r>
        <w:t xml:space="preserve">the </w:t>
      </w:r>
      <w:r w:rsidRPr="00820268">
        <w:rPr>
          <w:b/>
          <w:bCs/>
        </w:rPr>
        <w:t>public benefit is for the general public</w:t>
      </w:r>
      <w:r>
        <w:t xml:space="preserve"> or a sufficient section of the </w:t>
      </w:r>
      <w:proofErr w:type="gramStart"/>
      <w:r>
        <w:t>public</w:t>
      </w:r>
      <w:proofErr w:type="gramEnd"/>
      <w:r>
        <w:t xml:space="preserve"> </w:t>
      </w:r>
    </w:p>
    <w:p w14:paraId="3B9BB351" w14:textId="1BD67204" w:rsidR="002D6931" w:rsidRDefault="002D6931" w:rsidP="00F149DD">
      <w:pPr>
        <w:pStyle w:val="Bullet"/>
      </w:pPr>
      <w:r>
        <w:t xml:space="preserve">there are </w:t>
      </w:r>
      <w:r w:rsidRPr="00820268">
        <w:rPr>
          <w:b/>
          <w:bCs/>
        </w:rPr>
        <w:t>limited options for locating the project or work</w:t>
      </w:r>
      <w:r>
        <w:t xml:space="preserve"> due to operational requirements or the project or work responds to a defined need in a specific </w:t>
      </w:r>
      <w:proofErr w:type="gramStart"/>
      <w:r>
        <w:t>location</w:t>
      </w:r>
      <w:proofErr w:type="gramEnd"/>
      <w:r>
        <w:t xml:space="preserve"> </w:t>
      </w:r>
    </w:p>
    <w:p w14:paraId="5F3B096F" w14:textId="28518689" w:rsidR="002D6931" w:rsidRDefault="002D6931" w:rsidP="00F149DD">
      <w:pPr>
        <w:pStyle w:val="Bullet"/>
      </w:pPr>
      <w:r w:rsidRPr="00820268">
        <w:rPr>
          <w:b/>
          <w:bCs/>
        </w:rPr>
        <w:lastRenderedPageBreak/>
        <w:t>the size and scale of the project</w:t>
      </w:r>
      <w:r>
        <w:t xml:space="preserve"> or work is such that approval as a requiring authority is </w:t>
      </w:r>
      <w:proofErr w:type="gramStart"/>
      <w:r>
        <w:t>appropriate</w:t>
      </w:r>
      <w:proofErr w:type="gramEnd"/>
    </w:p>
    <w:p w14:paraId="76E5CD73" w14:textId="3867D08B" w:rsidR="002D6931" w:rsidRDefault="002D6931" w:rsidP="00F149DD">
      <w:pPr>
        <w:pStyle w:val="Bullet"/>
      </w:pPr>
      <w:r>
        <w:t xml:space="preserve">the project or work </w:t>
      </w:r>
      <w:r w:rsidRPr="00820268">
        <w:rPr>
          <w:b/>
          <w:bCs/>
        </w:rPr>
        <w:t>is not a commercial retail activity or a facility</w:t>
      </w:r>
      <w:r>
        <w:t xml:space="preserve"> to support a commercial retail activity</w:t>
      </w:r>
      <w:r w:rsidR="007F41AB">
        <w:t>;</w:t>
      </w:r>
      <w:r>
        <w:t xml:space="preserve"> </w:t>
      </w:r>
      <w:r w:rsidR="007F41AB">
        <w:t>h</w:t>
      </w:r>
      <w:r>
        <w:t>owever, if the project or work has a significant and identifiable public benefit it is not precluded just because the operator charges a fee for access or obtains a commercial benefit from it.</w:t>
      </w:r>
    </w:p>
    <w:p w14:paraId="6907A4B8" w14:textId="72E1ED90" w:rsidR="002D6931" w:rsidRDefault="002D6931" w:rsidP="002D6931">
      <w:pPr>
        <w:pStyle w:val="BodyText"/>
      </w:pPr>
      <w:r w:rsidRPr="00584E97">
        <w:rPr>
          <w:spacing w:val="-2"/>
        </w:rPr>
        <w:t>The Minster may also consider other relevant matters including whether the project would be more appropriately progressed using a plan change process or resource consent, rather than a designation</w:t>
      </w:r>
      <w:r w:rsidR="007F41AB">
        <w:rPr>
          <w:spacing w:val="-2"/>
        </w:rPr>
        <w:t>.</w:t>
      </w:r>
      <w:r w:rsidR="004C143D">
        <w:rPr>
          <w:rStyle w:val="FootnoteReference"/>
        </w:rPr>
        <w:footnoteReference w:id="6"/>
      </w:r>
    </w:p>
    <w:p w14:paraId="347AA457" w14:textId="3E242ADA" w:rsidR="00501011" w:rsidRDefault="002D6931" w:rsidP="00F5746A">
      <w:pPr>
        <w:pStyle w:val="BodyText"/>
      </w:pPr>
      <w:r>
        <w:t>Once approved as requiring authorities “</w:t>
      </w:r>
      <w:r w:rsidRPr="004C143D">
        <w:rPr>
          <w:b/>
          <w:bCs/>
        </w:rPr>
        <w:t>other applicants” can apply for notices of requirement</w:t>
      </w:r>
      <w:r>
        <w:t xml:space="preserve"> and </w:t>
      </w:r>
      <w:r w:rsidRPr="004C143D">
        <w:rPr>
          <w:b/>
          <w:bCs/>
        </w:rPr>
        <w:t>have powers to compulsorily purchase land</w:t>
      </w:r>
      <w:r>
        <w:t xml:space="preserve">. The Minister has the power to revoke requiring authority status in certain circumstances. </w:t>
      </w:r>
    </w:p>
    <w:p w14:paraId="0CB215C3" w14:textId="77777777" w:rsidR="00B234FE" w:rsidRDefault="00B234FE" w:rsidP="00B234FE">
      <w:pPr>
        <w:pStyle w:val="Heading2"/>
        <w:spacing w:after="120"/>
      </w:pPr>
      <w:r>
        <w:t>Legal references</w:t>
      </w:r>
    </w:p>
    <w:tbl>
      <w:tblPr>
        <w:tblStyle w:val="LightGrid-Accent11"/>
        <w:tblW w:w="9072" w:type="dxa"/>
        <w:tblLook w:val="0480" w:firstRow="0" w:lastRow="0" w:firstColumn="1" w:lastColumn="0" w:noHBand="0" w:noVBand="1"/>
      </w:tblPr>
      <w:tblGrid>
        <w:gridCol w:w="6194"/>
        <w:gridCol w:w="2878"/>
      </w:tblGrid>
      <w:tr w:rsidR="00B234FE" w:rsidRPr="006B77BB" w14:paraId="6470D56A" w14:textId="77777777" w:rsidTr="00270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tcBorders>
              <w:top w:val="single" w:sz="4" w:space="0" w:color="1C556C"/>
            </w:tcBorders>
          </w:tcPr>
          <w:p w14:paraId="26F99902" w14:textId="77777777" w:rsidR="00B234FE" w:rsidRPr="006B77BB" w:rsidRDefault="00B234FE" w:rsidP="00270870">
            <w:pPr>
              <w:pStyle w:val="TableText"/>
            </w:pPr>
            <w:r w:rsidRPr="00B37B21">
              <w:t>Network utility operators who can apply for requiring authority status</w:t>
            </w:r>
          </w:p>
        </w:tc>
        <w:tc>
          <w:tcPr>
            <w:tcW w:w="2878" w:type="dxa"/>
            <w:tcBorders>
              <w:top w:val="single" w:sz="4" w:space="0" w:color="1C556C"/>
            </w:tcBorders>
          </w:tcPr>
          <w:p w14:paraId="506F99EC" w14:textId="02312E89" w:rsidR="00B234FE" w:rsidRPr="00290924" w:rsidRDefault="00B234FE" w:rsidP="00270870">
            <w:pPr>
              <w:pStyle w:val="TableText"/>
              <w:cnfStyle w:val="000000100000" w:firstRow="0" w:lastRow="0" w:firstColumn="0" w:lastColumn="0" w:oddVBand="0" w:evenVBand="0" w:oddHBand="1" w:evenHBand="0" w:firstRowFirstColumn="0" w:firstRowLastColumn="0" w:lastRowFirstColumn="0" w:lastRowLastColumn="0"/>
            </w:pPr>
            <w:r w:rsidRPr="00290924">
              <w:t xml:space="preserve">NBA Part 1, section </w:t>
            </w:r>
            <w:r w:rsidR="00174C84" w:rsidRPr="00290924">
              <w:t>11</w:t>
            </w:r>
          </w:p>
        </w:tc>
      </w:tr>
      <w:tr w:rsidR="00B234FE" w:rsidRPr="006B77BB" w14:paraId="728A0A65" w14:textId="77777777" w:rsidTr="00270870">
        <w:tc>
          <w:tcPr>
            <w:cnfStyle w:val="001000000000" w:firstRow="0" w:lastRow="0" w:firstColumn="1" w:lastColumn="0" w:oddVBand="0" w:evenVBand="0" w:oddHBand="0" w:evenHBand="0" w:firstRowFirstColumn="0" w:firstRowLastColumn="0" w:lastRowFirstColumn="0" w:lastRowLastColumn="0"/>
            <w:tcW w:w="6194" w:type="dxa"/>
          </w:tcPr>
          <w:p w14:paraId="57B825D0" w14:textId="77777777" w:rsidR="00B234FE" w:rsidRPr="006B77BB" w:rsidRDefault="00B234FE" w:rsidP="00270870">
            <w:pPr>
              <w:pStyle w:val="TableText"/>
            </w:pPr>
            <w:r w:rsidRPr="00B37B21">
              <w:t>Minister’s consideration and criteria for requiring authority status</w:t>
            </w:r>
          </w:p>
        </w:tc>
        <w:tc>
          <w:tcPr>
            <w:tcW w:w="2878" w:type="dxa"/>
          </w:tcPr>
          <w:p w14:paraId="4E8F8264" w14:textId="5C64C404" w:rsidR="00B234FE" w:rsidRPr="00290924" w:rsidRDefault="00B234FE" w:rsidP="00270870">
            <w:pPr>
              <w:pStyle w:val="TableText"/>
              <w:cnfStyle w:val="000000000000" w:firstRow="0" w:lastRow="0" w:firstColumn="0" w:lastColumn="0" w:oddVBand="0" w:evenVBand="0" w:oddHBand="0" w:evenHBand="0" w:firstRowFirstColumn="0" w:firstRowLastColumn="0" w:lastRowFirstColumn="0" w:lastRowLastColumn="0"/>
            </w:pPr>
            <w:r w:rsidRPr="00290924">
              <w:t xml:space="preserve">NBA sections </w:t>
            </w:r>
            <w:r w:rsidR="00565829" w:rsidRPr="00290924">
              <w:t>513</w:t>
            </w:r>
            <w:r w:rsidRPr="00290924">
              <w:t xml:space="preserve"> and 5</w:t>
            </w:r>
            <w:r w:rsidR="00565829" w:rsidRPr="00290924">
              <w:t>14</w:t>
            </w:r>
          </w:p>
        </w:tc>
      </w:tr>
      <w:tr w:rsidR="00B234FE" w:rsidRPr="006B77BB" w14:paraId="4900E4B3" w14:textId="77777777" w:rsidTr="00270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tcPr>
          <w:p w14:paraId="34BDBD41" w14:textId="77777777" w:rsidR="00B234FE" w:rsidRPr="006B77BB" w:rsidRDefault="00B234FE" w:rsidP="00270870">
            <w:pPr>
              <w:pStyle w:val="TableText"/>
            </w:pPr>
            <w:r w:rsidRPr="00B37B21">
              <w:t xml:space="preserve">Minister’s power to revoke requiring authority status </w:t>
            </w:r>
          </w:p>
        </w:tc>
        <w:tc>
          <w:tcPr>
            <w:tcW w:w="2878" w:type="dxa"/>
          </w:tcPr>
          <w:p w14:paraId="6E122420" w14:textId="14ECCB1C" w:rsidR="00B234FE" w:rsidRPr="00290924" w:rsidRDefault="00B234FE" w:rsidP="00270870">
            <w:pPr>
              <w:pStyle w:val="TableText"/>
              <w:cnfStyle w:val="000000100000" w:firstRow="0" w:lastRow="0" w:firstColumn="0" w:lastColumn="0" w:oddVBand="0" w:evenVBand="0" w:oddHBand="1" w:evenHBand="0" w:firstRowFirstColumn="0" w:firstRowLastColumn="0" w:lastRowFirstColumn="0" w:lastRowLastColumn="0"/>
            </w:pPr>
            <w:r w:rsidRPr="00290924">
              <w:t>NBA section 5</w:t>
            </w:r>
            <w:r w:rsidR="00565829" w:rsidRPr="00290924">
              <w:t>16</w:t>
            </w:r>
          </w:p>
        </w:tc>
      </w:tr>
    </w:tbl>
    <w:p w14:paraId="0EBF6193" w14:textId="5FFF6B01" w:rsidR="00501011" w:rsidRDefault="00501011" w:rsidP="00F5746A">
      <w:pPr>
        <w:pStyle w:val="BodyText"/>
        <w:sectPr w:rsidR="00501011" w:rsidSect="007A5E15">
          <w:headerReference w:type="default" r:id="rId13"/>
          <w:footerReference w:type="even" r:id="rId14"/>
          <w:footerReference w:type="default" r:id="rId15"/>
          <w:footerReference w:type="first" r:id="rId16"/>
          <w:pgSz w:w="11907" w:h="16840" w:code="9"/>
          <w:pgMar w:top="1134" w:right="1418" w:bottom="1134" w:left="1418" w:header="571" w:footer="727" w:gutter="0"/>
          <w:cols w:space="720"/>
          <w:titlePg/>
          <w:docGrid w:linePitch="299"/>
        </w:sectPr>
      </w:pPr>
    </w:p>
    <w:p w14:paraId="6FC6E505" w14:textId="77777777" w:rsidR="00FA0C86" w:rsidRDefault="006239DF" w:rsidP="00D1660E">
      <w:pPr>
        <w:pStyle w:val="BodyText"/>
      </w:pPr>
      <w:r>
        <w:rPr>
          <w:noProof/>
        </w:rPr>
        <w:lastRenderedPageBreak/>
        <mc:AlternateContent>
          <mc:Choice Requires="wps">
            <w:drawing>
              <wp:anchor distT="0" distB="0" distL="114300" distR="114300" simplePos="0" relativeHeight="251658241" behindDoc="0" locked="1" layoutInCell="1" allowOverlap="1" wp14:anchorId="321757F2" wp14:editId="15E39C91">
                <wp:simplePos x="0" y="0"/>
                <wp:positionH relativeFrom="column">
                  <wp:posOffset>-16510</wp:posOffset>
                </wp:positionH>
                <wp:positionV relativeFrom="page">
                  <wp:posOffset>6496050</wp:posOffset>
                </wp:positionV>
                <wp:extent cx="5835650" cy="39941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835650" cy="399415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C83A03">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400BA1AF" w:rsidR="006E7652" w:rsidRDefault="006E7652" w:rsidP="00E03E02">
                                  <w:pPr>
                                    <w:pStyle w:val="TableBullet"/>
                                    <w:spacing w:before="60"/>
                                  </w:pPr>
                                  <w:r>
                                    <w:t xml:space="preserve">The information provided has no official status and so does not alter the laws of New Zealand, other official </w:t>
                                  </w:r>
                                  <w:proofErr w:type="gramStart"/>
                                  <w:r>
                                    <w:t>guidelines</w:t>
                                  </w:r>
                                  <w:proofErr w:type="gramEnd"/>
                                  <w:r>
                                    <w:t xml:space="preserve"> or requirements.</w:t>
                                  </w:r>
                                </w:p>
                                <w:p w14:paraId="74323367" w14:textId="40CBFEF3" w:rsidR="006E7652" w:rsidRDefault="006E7652" w:rsidP="00E03E02">
                                  <w:pPr>
                                    <w:pStyle w:val="TableBullet"/>
                                  </w:pPr>
                                  <w:r>
                                    <w:t xml:space="preserve">It does not constitute legal advice, and users should take specific advice from qualified professionals before taking any action </w:t>
                                  </w:r>
                                  <w:proofErr w:type="gramStart"/>
                                  <w:r>
                                    <w:t>as a result of</w:t>
                                  </w:r>
                                  <w:proofErr w:type="gramEnd"/>
                                  <w:r>
                                    <w:t xml:space="preserve"> information obtained from this publication.</w:t>
                                  </w:r>
                                </w:p>
                                <w:p w14:paraId="44EAE550" w14:textId="4A0A03B3" w:rsidR="006E7652" w:rsidRDefault="006E7652" w:rsidP="00E03E02">
                                  <w:pPr>
                                    <w:pStyle w:val="TableBullet"/>
                                  </w:pPr>
                                  <w:r>
                                    <w:t xml:space="preserve">The Ministry for the Environment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provided in this publication.</w:t>
                                  </w:r>
                                </w:p>
                                <w:p w14:paraId="026C0150" w14:textId="1D1C4561" w:rsidR="006E7652" w:rsidRDefault="006E7652" w:rsidP="00E03E02">
                                  <w:pPr>
                                    <w:pStyle w:val="TableBullet"/>
                                  </w:pPr>
                                  <w:r>
                                    <w:t xml:space="preserve">All references to websites, </w:t>
                                  </w:r>
                                  <w:proofErr w:type="gramStart"/>
                                  <w:r>
                                    <w:t>organisations</w:t>
                                  </w:r>
                                  <w:proofErr w:type="gramEnd"/>
                                  <w:r>
                                    <w:t xml:space="preserve">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E85357">
                              <w:tc>
                                <w:tcPr>
                                  <w:tcW w:w="5606" w:type="dxa"/>
                                  <w:tcBorders>
                                    <w:bottom w:val="single" w:sz="6" w:space="0" w:color="auto"/>
                                  </w:tcBorders>
                                  <w:shd w:val="clear" w:color="auto" w:fill="FFFFFF" w:themeFill="background1"/>
                                </w:tcPr>
                                <w:p w14:paraId="3639332A" w14:textId="23A7ED7A" w:rsidR="006239DF" w:rsidRDefault="006239DF" w:rsidP="003A6769">
                                  <w:pPr>
                                    <w:pStyle w:val="TableText"/>
                                  </w:pPr>
                                  <w:r w:rsidRPr="006C18C8">
                                    <w:t xml:space="preserve">Published in </w:t>
                                  </w:r>
                                  <w:r w:rsidR="007F41AB" w:rsidRPr="00290924">
                                    <w:t>August</w:t>
                                  </w:r>
                                  <w:r w:rsidRPr="00290924">
                                    <w:t xml:space="preserve"> 202</w:t>
                                  </w:r>
                                  <w:r w:rsidR="007F41AB" w:rsidRPr="00290924">
                                    <w:t>3</w:t>
                                  </w:r>
                                  <w:r w:rsidRPr="006C18C8">
                                    <w:t xml:space="preserve"> by the </w:t>
                                  </w:r>
                                  <w:r w:rsidRPr="006C18C8">
                                    <w:br/>
                                    <w:t>Ministry for the Environment – Manatū Mō Te Taiao</w:t>
                                  </w:r>
                                  <w:r w:rsidRPr="006C18C8">
                                    <w:br/>
                                    <w:t xml:space="preserve">Publication number: INFO </w:t>
                                  </w:r>
                                  <w:r w:rsidR="00FF66C6">
                                    <w:t>1171</w:t>
                                  </w:r>
                                </w:p>
                              </w:tc>
                              <w:tc>
                                <w:tcPr>
                                  <w:tcW w:w="3579" w:type="dxa"/>
                                  <w:tcBorders>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7">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57F2" id="Text Box 1" o:spid="_x0000_s1028" type="#_x0000_t202" style="position:absolute;margin-left:-1.3pt;margin-top:511.5pt;width:459.5pt;height:3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C83A03">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400BA1AF" w:rsidR="006E7652" w:rsidRDefault="006E7652" w:rsidP="00E03E02">
                            <w:pPr>
                              <w:pStyle w:val="TableBullet"/>
                              <w:spacing w:before="60"/>
                            </w:pPr>
                            <w:r>
                              <w:t xml:space="preserve">The information provided has no official status and so does not alter the laws of New Zealand, other official </w:t>
                            </w:r>
                            <w:proofErr w:type="gramStart"/>
                            <w:r>
                              <w:t>guidelines</w:t>
                            </w:r>
                            <w:proofErr w:type="gramEnd"/>
                            <w:r>
                              <w:t xml:space="preserve"> or requirements.</w:t>
                            </w:r>
                          </w:p>
                          <w:p w14:paraId="74323367" w14:textId="40CBFEF3" w:rsidR="006E7652" w:rsidRDefault="006E7652" w:rsidP="00E03E02">
                            <w:pPr>
                              <w:pStyle w:val="TableBullet"/>
                            </w:pPr>
                            <w:r>
                              <w:t xml:space="preserve">It does not constitute legal advice, and users should take specific advice from qualified professionals before taking any action </w:t>
                            </w:r>
                            <w:proofErr w:type="gramStart"/>
                            <w:r>
                              <w:t>as a result of</w:t>
                            </w:r>
                            <w:proofErr w:type="gramEnd"/>
                            <w:r>
                              <w:t xml:space="preserve"> information obtained from this publication.</w:t>
                            </w:r>
                          </w:p>
                          <w:p w14:paraId="44EAE550" w14:textId="4A0A03B3" w:rsidR="006E7652" w:rsidRDefault="006E7652" w:rsidP="00E03E02">
                            <w:pPr>
                              <w:pStyle w:val="TableBullet"/>
                            </w:pPr>
                            <w:r>
                              <w:t xml:space="preserve">The Ministry for the Environment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provided in this publication.</w:t>
                            </w:r>
                          </w:p>
                          <w:p w14:paraId="026C0150" w14:textId="1D1C4561" w:rsidR="006E7652" w:rsidRDefault="006E7652" w:rsidP="00E03E02">
                            <w:pPr>
                              <w:pStyle w:val="TableBullet"/>
                            </w:pPr>
                            <w:r>
                              <w:t xml:space="preserve">All references to websites, </w:t>
                            </w:r>
                            <w:proofErr w:type="gramStart"/>
                            <w:r>
                              <w:t>organisations</w:t>
                            </w:r>
                            <w:proofErr w:type="gramEnd"/>
                            <w:r>
                              <w:t xml:space="preserve">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E85357">
                        <w:tc>
                          <w:tcPr>
                            <w:tcW w:w="5606" w:type="dxa"/>
                            <w:tcBorders>
                              <w:bottom w:val="single" w:sz="6" w:space="0" w:color="auto"/>
                            </w:tcBorders>
                            <w:shd w:val="clear" w:color="auto" w:fill="FFFFFF" w:themeFill="background1"/>
                          </w:tcPr>
                          <w:p w14:paraId="3639332A" w14:textId="23A7ED7A" w:rsidR="006239DF" w:rsidRDefault="006239DF" w:rsidP="003A6769">
                            <w:pPr>
                              <w:pStyle w:val="TableText"/>
                            </w:pPr>
                            <w:r w:rsidRPr="006C18C8">
                              <w:t xml:space="preserve">Published in </w:t>
                            </w:r>
                            <w:r w:rsidR="007F41AB" w:rsidRPr="00290924">
                              <w:t>August</w:t>
                            </w:r>
                            <w:r w:rsidRPr="00290924">
                              <w:t xml:space="preserve"> 202</w:t>
                            </w:r>
                            <w:r w:rsidR="007F41AB" w:rsidRPr="00290924">
                              <w:t>3</w:t>
                            </w:r>
                            <w:r w:rsidRPr="006C18C8">
                              <w:t xml:space="preserve"> by the </w:t>
                            </w:r>
                            <w:r w:rsidRPr="006C18C8">
                              <w:br/>
                              <w:t>Ministry for the Environment – Manatū Mō Te Taiao</w:t>
                            </w:r>
                            <w:r w:rsidRPr="006C18C8">
                              <w:br/>
                              <w:t xml:space="preserve">Publication number: INFO </w:t>
                            </w:r>
                            <w:r w:rsidR="00FF66C6">
                              <w:t>1171</w:t>
                            </w:r>
                          </w:p>
                        </w:tc>
                        <w:tc>
                          <w:tcPr>
                            <w:tcW w:w="3579" w:type="dxa"/>
                            <w:tcBorders>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7">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F55E2E">
      <w:headerReference w:type="even" r:id="rId18"/>
      <w:headerReference w:type="default" r:id="rId19"/>
      <w:footerReference w:type="even" r:id="rId20"/>
      <w:footerReference w:type="default" r:id="rId21"/>
      <w:headerReference w:type="first" r:id="rId22"/>
      <w:footerReference w:type="first" r:id="rId23"/>
      <w:pgSz w:w="11907" w:h="16840" w:code="9"/>
      <w:pgMar w:top="1134" w:right="1418" w:bottom="1134" w:left="1418" w:header="567" w:footer="7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0A7E" w14:textId="77777777" w:rsidR="00461535" w:rsidRDefault="00461535" w:rsidP="0080531E">
      <w:pPr>
        <w:spacing w:before="0" w:after="0" w:line="240" w:lineRule="auto"/>
      </w:pPr>
      <w:r>
        <w:separator/>
      </w:r>
    </w:p>
    <w:p w14:paraId="24F9597E" w14:textId="77777777" w:rsidR="00461535" w:rsidRDefault="00461535"/>
  </w:endnote>
  <w:endnote w:type="continuationSeparator" w:id="0">
    <w:p w14:paraId="2FBE3629" w14:textId="77777777" w:rsidR="00461535" w:rsidRDefault="00461535" w:rsidP="0080531E">
      <w:pPr>
        <w:spacing w:before="0" w:after="0" w:line="240" w:lineRule="auto"/>
      </w:pPr>
      <w:r>
        <w:continuationSeparator/>
      </w:r>
    </w:p>
    <w:p w14:paraId="2F307C84" w14:textId="77777777" w:rsidR="00461535" w:rsidRDefault="00461535"/>
  </w:endnote>
  <w:endnote w:type="continuationNotice" w:id="1">
    <w:p w14:paraId="28B48B80" w14:textId="77777777" w:rsidR="00461535" w:rsidRDefault="004615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E718" w14:textId="10731911"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2D6931" w:rsidRPr="002D6931">
      <w:t>Requiring authorities under the Natural and Built Environment 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1E4A" w14:textId="5BA1A666" w:rsidR="006C18C8" w:rsidRPr="005E24DE" w:rsidRDefault="005E24DE" w:rsidP="005E24DE">
    <w:pPr>
      <w:tabs>
        <w:tab w:val="right" w:pos="7938"/>
        <w:tab w:val="right" w:pos="8505"/>
      </w:tabs>
      <w:jc w:val="left"/>
      <w:rPr>
        <w:sz w:val="16"/>
      </w:rPr>
    </w:pPr>
    <w:r w:rsidRPr="005E24DE">
      <w:rPr>
        <w:sz w:val="16"/>
      </w:rPr>
      <w:tab/>
    </w:r>
    <w:r w:rsidR="002D6931" w:rsidRPr="002D6931">
      <w:rPr>
        <w:sz w:val="16"/>
      </w:rPr>
      <w:t>Requiring authorities under the Natural and Built Environment Act</w:t>
    </w:r>
    <w:r w:rsidRPr="005E24DE">
      <w:rPr>
        <w:sz w:val="16"/>
      </w:rPr>
      <w:tab/>
    </w:r>
    <w:r w:rsidRPr="005E24DE">
      <w:rPr>
        <w:sz w:val="16"/>
      </w:rPr>
      <w:fldChar w:fldCharType="begin"/>
    </w:r>
    <w:r w:rsidRPr="005E24DE">
      <w:rPr>
        <w:sz w:val="16"/>
      </w:rPr>
      <w:instrText xml:space="preserve"> PAGE   \* MERGEFORMAT </w:instrText>
    </w:r>
    <w:r w:rsidRPr="005E24DE">
      <w:rPr>
        <w:sz w:val="16"/>
      </w:rPr>
      <w:fldChar w:fldCharType="separate"/>
    </w:r>
    <w:r w:rsidRPr="005E24DE">
      <w:rPr>
        <w:sz w:val="16"/>
      </w:rPr>
      <w:t>3</w:t>
    </w:r>
    <w:r w:rsidRPr="005E24DE">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A31F" w14:textId="4A18B932" w:rsidR="0085118C" w:rsidRDefault="00501011" w:rsidP="0085118C">
    <w:pPr>
      <w:pStyle w:val="Footerodd"/>
    </w:pPr>
    <w:r w:rsidRPr="00487ED4">
      <w:rPr>
        <w:noProof/>
        <w:sz w:val="20"/>
        <w:szCs w:val="20"/>
      </w:rPr>
      <w:drawing>
        <wp:anchor distT="0" distB="0" distL="114300" distR="114300" simplePos="0" relativeHeight="251658240" behindDoc="1" locked="0" layoutInCell="1" allowOverlap="1" wp14:anchorId="318599F8" wp14:editId="4106170B">
          <wp:simplePos x="0" y="0"/>
          <wp:positionH relativeFrom="column">
            <wp:posOffset>-895350</wp:posOffset>
          </wp:positionH>
          <wp:positionV relativeFrom="paragraph">
            <wp:posOffset>-882015</wp:posOffset>
          </wp:positionV>
          <wp:extent cx="7543800" cy="1646555"/>
          <wp:effectExtent l="0" t="0" r="0" b="0"/>
          <wp:wrapNone/>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646555"/>
                  </a:xfrm>
                  <a:prstGeom prst="rect">
                    <a:avLst/>
                  </a:prstGeom>
                </pic:spPr>
              </pic:pic>
            </a:graphicData>
          </a:graphic>
          <wp14:sizeRelH relativeFrom="page">
            <wp14:pctWidth>0</wp14:pctWidth>
          </wp14:sizeRelH>
          <wp14:sizeRelV relativeFrom="page">
            <wp14:pctHeight>0</wp14:pctHeight>
          </wp14:sizeRelV>
        </wp:anchor>
      </w:drawing>
    </w:r>
    <w:r w:rsidR="0085118C">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75FC" w14:textId="77777777" w:rsidR="00B234FE" w:rsidRDefault="00B234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B0FB" w14:textId="77777777" w:rsidR="00B234FE" w:rsidRDefault="00B234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9FD3" w14:textId="721193B4" w:rsidR="00501011" w:rsidRPr="00501011" w:rsidRDefault="00501011" w:rsidP="00501011">
    <w:pPr>
      <w:tabs>
        <w:tab w:val="left" w:pos="567"/>
      </w:tabs>
      <w:rPr>
        <w:sz w:val="16"/>
      </w:rPr>
    </w:pPr>
    <w:r w:rsidRPr="00501011">
      <w:rPr>
        <w:b/>
        <w:sz w:val="16"/>
      </w:rPr>
      <w:fldChar w:fldCharType="begin"/>
    </w:r>
    <w:r w:rsidRPr="00501011">
      <w:rPr>
        <w:sz w:val="16"/>
      </w:rPr>
      <w:instrText xml:space="preserve"> PAGE </w:instrText>
    </w:r>
    <w:r w:rsidRPr="00501011">
      <w:rPr>
        <w:b/>
        <w:sz w:val="16"/>
      </w:rPr>
      <w:fldChar w:fldCharType="separate"/>
    </w:r>
    <w:r w:rsidRPr="00501011">
      <w:rPr>
        <w:b/>
        <w:sz w:val="16"/>
      </w:rPr>
      <w:t>4</w:t>
    </w:r>
    <w:r w:rsidRPr="00501011">
      <w:rPr>
        <w:b/>
        <w:sz w:val="16"/>
      </w:rPr>
      <w:fldChar w:fldCharType="end"/>
    </w:r>
    <w:r w:rsidRPr="00501011">
      <w:rPr>
        <w:sz w:val="16"/>
      </w:rPr>
      <w:tab/>
      <w:t xml:space="preserve">Insert running </w:t>
    </w:r>
    <w:proofErr w:type="gramStart"/>
    <w:r w:rsidRPr="00501011">
      <w:rPr>
        <w:sz w:val="16"/>
      </w:rPr>
      <w:t>footer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FF82" w14:textId="77777777" w:rsidR="00461535" w:rsidRDefault="00461535" w:rsidP="00CB5C5F">
      <w:pPr>
        <w:spacing w:before="0" w:after="80" w:line="240" w:lineRule="auto"/>
      </w:pPr>
      <w:bookmarkStart w:id="0" w:name="_Hlk86912439"/>
      <w:bookmarkEnd w:id="0"/>
      <w:r>
        <w:separator/>
      </w:r>
    </w:p>
  </w:footnote>
  <w:footnote w:type="continuationSeparator" w:id="0">
    <w:p w14:paraId="29477C0F" w14:textId="77777777" w:rsidR="00461535" w:rsidRDefault="00461535" w:rsidP="0080531E">
      <w:pPr>
        <w:spacing w:before="0" w:after="0" w:line="240" w:lineRule="auto"/>
      </w:pPr>
      <w:r>
        <w:continuationSeparator/>
      </w:r>
    </w:p>
    <w:p w14:paraId="366F0478" w14:textId="77777777" w:rsidR="00461535" w:rsidRDefault="00461535"/>
  </w:footnote>
  <w:footnote w:type="continuationNotice" w:id="1">
    <w:p w14:paraId="395D49DE" w14:textId="77777777" w:rsidR="00461535" w:rsidRDefault="00461535">
      <w:pPr>
        <w:spacing w:before="0" w:after="0" w:line="240" w:lineRule="auto"/>
      </w:pPr>
    </w:p>
  </w:footnote>
  <w:footnote w:id="2">
    <w:p w14:paraId="324FFDA5" w14:textId="08823643" w:rsidR="003B32E1" w:rsidRDefault="003B32E1">
      <w:pPr>
        <w:pStyle w:val="FootnoteText"/>
      </w:pPr>
      <w:r>
        <w:rPr>
          <w:rStyle w:val="FootnoteReference"/>
        </w:rPr>
        <w:footnoteRef/>
      </w:r>
      <w:r>
        <w:t xml:space="preserve"> </w:t>
      </w:r>
      <w:r>
        <w:tab/>
        <w:t xml:space="preserve">Section </w:t>
      </w:r>
      <w:r w:rsidR="00FE7508" w:rsidRPr="00290924">
        <w:t>513</w:t>
      </w:r>
      <w:r>
        <w:t xml:space="preserve"> of the NBA.</w:t>
      </w:r>
    </w:p>
  </w:footnote>
  <w:footnote w:id="3">
    <w:p w14:paraId="284D62F8" w14:textId="5EDEAD72" w:rsidR="0009399F" w:rsidRDefault="0009399F">
      <w:pPr>
        <w:pStyle w:val="FootnoteText"/>
      </w:pPr>
      <w:r>
        <w:rPr>
          <w:rStyle w:val="FootnoteReference"/>
        </w:rPr>
        <w:footnoteRef/>
      </w:r>
      <w:r>
        <w:t xml:space="preserve"> </w:t>
      </w:r>
      <w:r>
        <w:tab/>
        <w:t>Section</w:t>
      </w:r>
      <w:r w:rsidR="007F41AB">
        <w:t>s</w:t>
      </w:r>
      <w:r>
        <w:t xml:space="preserve"> </w:t>
      </w:r>
      <w:r w:rsidRPr="00290924">
        <w:t>5</w:t>
      </w:r>
      <w:r w:rsidR="00FE7508" w:rsidRPr="00290924">
        <w:t>14</w:t>
      </w:r>
      <w:r w:rsidRPr="00290924">
        <w:t>(</w:t>
      </w:r>
      <w:r>
        <w:t>1)</w:t>
      </w:r>
      <w:proofErr w:type="gramStart"/>
      <w:r w:rsidR="00F82242">
        <w:t>–</w:t>
      </w:r>
      <w:r>
        <w:t>(</w:t>
      </w:r>
      <w:proofErr w:type="gramEnd"/>
      <w:r>
        <w:t>3) of the NBA.</w:t>
      </w:r>
    </w:p>
  </w:footnote>
  <w:footnote w:id="4">
    <w:p w14:paraId="49C667A0" w14:textId="2BAD3195" w:rsidR="00F149DD" w:rsidRDefault="00F149DD">
      <w:pPr>
        <w:pStyle w:val="FootnoteText"/>
      </w:pPr>
      <w:r>
        <w:rPr>
          <w:rStyle w:val="FootnoteReference"/>
        </w:rPr>
        <w:footnoteRef/>
      </w:r>
      <w:r>
        <w:t xml:space="preserve"> </w:t>
      </w:r>
      <w:r>
        <w:tab/>
        <w:t xml:space="preserve">Section </w:t>
      </w:r>
      <w:r w:rsidRPr="00290924">
        <w:t>5</w:t>
      </w:r>
      <w:r w:rsidR="00FE7508" w:rsidRPr="00290924">
        <w:t>14</w:t>
      </w:r>
      <w:r>
        <w:t>(4) of the NBA.</w:t>
      </w:r>
    </w:p>
  </w:footnote>
  <w:footnote w:id="5">
    <w:p w14:paraId="255B4990" w14:textId="443E78CD" w:rsidR="009A7659" w:rsidRDefault="009A7659">
      <w:pPr>
        <w:pStyle w:val="FootnoteText"/>
      </w:pPr>
      <w:r>
        <w:rPr>
          <w:rStyle w:val="FootnoteReference"/>
        </w:rPr>
        <w:footnoteRef/>
      </w:r>
      <w:r>
        <w:t xml:space="preserve">     Section </w:t>
      </w:r>
      <w:r w:rsidRPr="00290924">
        <w:t>514</w:t>
      </w:r>
      <w:r>
        <w:t>(</w:t>
      </w:r>
      <w:r w:rsidR="008162A4">
        <w:t>6</w:t>
      </w:r>
      <w:r>
        <w:t>) of the NBA.</w:t>
      </w:r>
    </w:p>
  </w:footnote>
  <w:footnote w:id="6">
    <w:p w14:paraId="2D436D38" w14:textId="3B1A8F05" w:rsidR="004C143D" w:rsidRDefault="004C143D">
      <w:pPr>
        <w:pStyle w:val="FootnoteText"/>
      </w:pPr>
      <w:r>
        <w:rPr>
          <w:rStyle w:val="FootnoteReference"/>
        </w:rPr>
        <w:footnoteRef/>
      </w:r>
      <w:r>
        <w:t xml:space="preserve"> </w:t>
      </w:r>
      <w:r>
        <w:tab/>
        <w:t xml:space="preserve">Section </w:t>
      </w:r>
      <w:r w:rsidRPr="00290924">
        <w:t>5</w:t>
      </w:r>
      <w:r w:rsidR="00962812" w:rsidRPr="00290924">
        <w:t>14</w:t>
      </w:r>
      <w:r w:rsidRPr="00290924">
        <w:t>(8)</w:t>
      </w:r>
      <w:r>
        <w:t xml:space="preserve"> of the NBA.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2E54" w14:textId="77777777" w:rsidR="00ED2A0F" w:rsidRDefault="00ED2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B9CC" w14:textId="77777777" w:rsidR="00B234FE" w:rsidRDefault="00B23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DD80" w14:textId="77777777" w:rsidR="00B234FE" w:rsidRDefault="00B234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1AA2" w14:textId="77777777" w:rsidR="00B234FE" w:rsidRDefault="00B2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3002F1"/>
    <w:multiLevelType w:val="hybridMultilevel"/>
    <w:tmpl w:val="E8E2B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C70A75"/>
    <w:multiLevelType w:val="hybridMultilevel"/>
    <w:tmpl w:val="AB9CF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70EC9"/>
    <w:multiLevelType w:val="hybridMultilevel"/>
    <w:tmpl w:val="C53AF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47790156">
    <w:abstractNumId w:val="15"/>
  </w:num>
  <w:num w:numId="2" w16cid:durableId="1270701948">
    <w:abstractNumId w:val="25"/>
  </w:num>
  <w:num w:numId="3" w16cid:durableId="1676030043">
    <w:abstractNumId w:val="38"/>
  </w:num>
  <w:num w:numId="4" w16cid:durableId="946737636">
    <w:abstractNumId w:val="20"/>
  </w:num>
  <w:num w:numId="5" w16cid:durableId="181937884">
    <w:abstractNumId w:val="13"/>
  </w:num>
  <w:num w:numId="6" w16cid:durableId="1789470371">
    <w:abstractNumId w:val="8"/>
  </w:num>
  <w:num w:numId="7" w16cid:durableId="1751468041">
    <w:abstractNumId w:val="23"/>
  </w:num>
  <w:num w:numId="8" w16cid:durableId="319700520">
    <w:abstractNumId w:val="22"/>
  </w:num>
  <w:num w:numId="9" w16cid:durableId="61634995">
    <w:abstractNumId w:val="36"/>
  </w:num>
  <w:num w:numId="10" w16cid:durableId="1381782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25479">
    <w:abstractNumId w:val="1"/>
  </w:num>
  <w:num w:numId="12" w16cid:durableId="1681812109">
    <w:abstractNumId w:val="29"/>
  </w:num>
  <w:num w:numId="13" w16cid:durableId="2111318697">
    <w:abstractNumId w:val="12"/>
  </w:num>
  <w:num w:numId="14" w16cid:durableId="527908752">
    <w:abstractNumId w:val="32"/>
  </w:num>
  <w:num w:numId="15" w16cid:durableId="1810710488">
    <w:abstractNumId w:val="21"/>
  </w:num>
  <w:num w:numId="16" w16cid:durableId="1832209572">
    <w:abstractNumId w:val="11"/>
  </w:num>
  <w:num w:numId="17" w16cid:durableId="882985350">
    <w:abstractNumId w:val="30"/>
  </w:num>
  <w:num w:numId="18" w16cid:durableId="1414619994">
    <w:abstractNumId w:val="26"/>
  </w:num>
  <w:num w:numId="19" w16cid:durableId="1876043617">
    <w:abstractNumId w:val="33"/>
  </w:num>
  <w:num w:numId="20" w16cid:durableId="1466776422">
    <w:abstractNumId w:val="14"/>
  </w:num>
  <w:num w:numId="21" w16cid:durableId="2058817310">
    <w:abstractNumId w:val="27"/>
  </w:num>
  <w:num w:numId="22" w16cid:durableId="1700279313">
    <w:abstractNumId w:val="5"/>
  </w:num>
  <w:num w:numId="23" w16cid:durableId="2058817359">
    <w:abstractNumId w:val="24"/>
  </w:num>
  <w:num w:numId="24" w16cid:durableId="1654988709">
    <w:abstractNumId w:val="16"/>
  </w:num>
  <w:num w:numId="25" w16cid:durableId="163515585">
    <w:abstractNumId w:val="35"/>
  </w:num>
  <w:num w:numId="26" w16cid:durableId="1923172751">
    <w:abstractNumId w:val="28"/>
  </w:num>
  <w:num w:numId="27" w16cid:durableId="1169712652">
    <w:abstractNumId w:val="0"/>
  </w:num>
  <w:num w:numId="28" w16cid:durableId="318702976">
    <w:abstractNumId w:val="18"/>
  </w:num>
  <w:num w:numId="29" w16cid:durableId="1493326007">
    <w:abstractNumId w:val="9"/>
  </w:num>
  <w:num w:numId="30" w16cid:durableId="148442728">
    <w:abstractNumId w:val="3"/>
  </w:num>
  <w:num w:numId="31" w16cid:durableId="598565880">
    <w:abstractNumId w:val="2"/>
  </w:num>
  <w:num w:numId="32" w16cid:durableId="1547906841">
    <w:abstractNumId w:val="6"/>
  </w:num>
  <w:num w:numId="33" w16cid:durableId="214006165">
    <w:abstractNumId w:val="10"/>
  </w:num>
  <w:num w:numId="34" w16cid:durableId="460806462">
    <w:abstractNumId w:val="19"/>
  </w:num>
  <w:num w:numId="35" w16cid:durableId="351688295">
    <w:abstractNumId w:val="17"/>
  </w:num>
  <w:num w:numId="36" w16cid:durableId="953633058">
    <w:abstractNumId w:val="7"/>
  </w:num>
  <w:num w:numId="37" w16cid:durableId="57486827">
    <w:abstractNumId w:val="34"/>
  </w:num>
  <w:num w:numId="38" w16cid:durableId="416098131">
    <w:abstractNumId w:val="25"/>
  </w:num>
  <w:num w:numId="39" w16cid:durableId="2073501908">
    <w:abstractNumId w:val="7"/>
  </w:num>
  <w:num w:numId="40" w16cid:durableId="1120416703">
    <w:abstractNumId w:val="37"/>
  </w:num>
  <w:num w:numId="41" w16cid:durableId="1912618082">
    <w:abstractNumId w:val="31"/>
  </w:num>
  <w:num w:numId="42" w16cid:durableId="202743568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4C"/>
    <w:rsid w:val="00000792"/>
    <w:rsid w:val="00000F04"/>
    <w:rsid w:val="00003B94"/>
    <w:rsid w:val="00003C4F"/>
    <w:rsid w:val="00004E0A"/>
    <w:rsid w:val="00004FD3"/>
    <w:rsid w:val="00006DF5"/>
    <w:rsid w:val="00006F95"/>
    <w:rsid w:val="00007023"/>
    <w:rsid w:val="0000709F"/>
    <w:rsid w:val="000071D6"/>
    <w:rsid w:val="00007F2D"/>
    <w:rsid w:val="00007FAC"/>
    <w:rsid w:val="00010247"/>
    <w:rsid w:val="00010A9C"/>
    <w:rsid w:val="00010ABA"/>
    <w:rsid w:val="00010E15"/>
    <w:rsid w:val="00010F57"/>
    <w:rsid w:val="0001100C"/>
    <w:rsid w:val="00011188"/>
    <w:rsid w:val="00012555"/>
    <w:rsid w:val="00012777"/>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DA0"/>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3B18"/>
    <w:rsid w:val="000549E2"/>
    <w:rsid w:val="00055375"/>
    <w:rsid w:val="00056319"/>
    <w:rsid w:val="000564E7"/>
    <w:rsid w:val="00056770"/>
    <w:rsid w:val="00057386"/>
    <w:rsid w:val="00057EEF"/>
    <w:rsid w:val="0006130F"/>
    <w:rsid w:val="00061330"/>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DFA"/>
    <w:rsid w:val="00080E5E"/>
    <w:rsid w:val="0008145A"/>
    <w:rsid w:val="0008162D"/>
    <w:rsid w:val="00081EB5"/>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399F"/>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3270"/>
    <w:rsid w:val="000C574D"/>
    <w:rsid w:val="000C577E"/>
    <w:rsid w:val="000C5B87"/>
    <w:rsid w:val="000D04BA"/>
    <w:rsid w:val="000D0B6E"/>
    <w:rsid w:val="000D0D65"/>
    <w:rsid w:val="000D113B"/>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110"/>
    <w:rsid w:val="000E6203"/>
    <w:rsid w:val="000E6397"/>
    <w:rsid w:val="000E64CB"/>
    <w:rsid w:val="000E6708"/>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A4B"/>
    <w:rsid w:val="00107C23"/>
    <w:rsid w:val="00110307"/>
    <w:rsid w:val="00110C7F"/>
    <w:rsid w:val="00110EE2"/>
    <w:rsid w:val="001113DA"/>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054"/>
    <w:rsid w:val="0012731C"/>
    <w:rsid w:val="00127945"/>
    <w:rsid w:val="00127D94"/>
    <w:rsid w:val="00127E90"/>
    <w:rsid w:val="001302C1"/>
    <w:rsid w:val="001306D3"/>
    <w:rsid w:val="001308F4"/>
    <w:rsid w:val="001310BF"/>
    <w:rsid w:val="00131E1C"/>
    <w:rsid w:val="00131EC2"/>
    <w:rsid w:val="00133E73"/>
    <w:rsid w:val="00133FDB"/>
    <w:rsid w:val="00134C79"/>
    <w:rsid w:val="00134F4A"/>
    <w:rsid w:val="00135E4E"/>
    <w:rsid w:val="00136246"/>
    <w:rsid w:val="001362A1"/>
    <w:rsid w:val="001364D4"/>
    <w:rsid w:val="00136C39"/>
    <w:rsid w:val="001371C8"/>
    <w:rsid w:val="001372ED"/>
    <w:rsid w:val="0014168C"/>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5BF4"/>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0B2"/>
    <w:rsid w:val="001713A7"/>
    <w:rsid w:val="00171449"/>
    <w:rsid w:val="0017199C"/>
    <w:rsid w:val="00171C7E"/>
    <w:rsid w:val="00171F35"/>
    <w:rsid w:val="00172552"/>
    <w:rsid w:val="00172873"/>
    <w:rsid w:val="00172CF7"/>
    <w:rsid w:val="0017319E"/>
    <w:rsid w:val="0017349E"/>
    <w:rsid w:val="00173A1F"/>
    <w:rsid w:val="00173BC3"/>
    <w:rsid w:val="00174128"/>
    <w:rsid w:val="00174C84"/>
    <w:rsid w:val="00175C34"/>
    <w:rsid w:val="00175F9A"/>
    <w:rsid w:val="00176E98"/>
    <w:rsid w:val="001772EA"/>
    <w:rsid w:val="00177432"/>
    <w:rsid w:val="00177996"/>
    <w:rsid w:val="00180B3F"/>
    <w:rsid w:val="00180C28"/>
    <w:rsid w:val="00180C83"/>
    <w:rsid w:val="00180CE5"/>
    <w:rsid w:val="0018175B"/>
    <w:rsid w:val="001820A3"/>
    <w:rsid w:val="0018332A"/>
    <w:rsid w:val="00183D80"/>
    <w:rsid w:val="001842C8"/>
    <w:rsid w:val="00185044"/>
    <w:rsid w:val="001850DB"/>
    <w:rsid w:val="0018599C"/>
    <w:rsid w:val="00185C24"/>
    <w:rsid w:val="001869EE"/>
    <w:rsid w:val="00186D00"/>
    <w:rsid w:val="0018743A"/>
    <w:rsid w:val="00190A57"/>
    <w:rsid w:val="00190B3F"/>
    <w:rsid w:val="0019112E"/>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610"/>
    <w:rsid w:val="001B6B9B"/>
    <w:rsid w:val="001B6C27"/>
    <w:rsid w:val="001B7144"/>
    <w:rsid w:val="001B7B8A"/>
    <w:rsid w:val="001B7E91"/>
    <w:rsid w:val="001C0748"/>
    <w:rsid w:val="001C147E"/>
    <w:rsid w:val="001C151B"/>
    <w:rsid w:val="001C19E5"/>
    <w:rsid w:val="001C3800"/>
    <w:rsid w:val="001C3C7B"/>
    <w:rsid w:val="001C4D70"/>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6"/>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0D8E"/>
    <w:rsid w:val="002312BC"/>
    <w:rsid w:val="002313CD"/>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57C77"/>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0870"/>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924"/>
    <w:rsid w:val="00290BB1"/>
    <w:rsid w:val="00291BC1"/>
    <w:rsid w:val="002933CA"/>
    <w:rsid w:val="00293A8F"/>
    <w:rsid w:val="00295155"/>
    <w:rsid w:val="00295D51"/>
    <w:rsid w:val="00296203"/>
    <w:rsid w:val="00296428"/>
    <w:rsid w:val="0029643D"/>
    <w:rsid w:val="00296A94"/>
    <w:rsid w:val="00296F24"/>
    <w:rsid w:val="0029706A"/>
    <w:rsid w:val="0029720C"/>
    <w:rsid w:val="002972EE"/>
    <w:rsid w:val="00297F01"/>
    <w:rsid w:val="002A025D"/>
    <w:rsid w:val="002A052D"/>
    <w:rsid w:val="002A0DF8"/>
    <w:rsid w:val="002A1928"/>
    <w:rsid w:val="002A1F0D"/>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6931"/>
    <w:rsid w:val="002D7027"/>
    <w:rsid w:val="002D70DC"/>
    <w:rsid w:val="002D73A3"/>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49F"/>
    <w:rsid w:val="002F0A64"/>
    <w:rsid w:val="002F10EC"/>
    <w:rsid w:val="002F1136"/>
    <w:rsid w:val="002F1231"/>
    <w:rsid w:val="002F1521"/>
    <w:rsid w:val="002F15EE"/>
    <w:rsid w:val="002F3632"/>
    <w:rsid w:val="002F3AFB"/>
    <w:rsid w:val="002F3C41"/>
    <w:rsid w:val="002F4A8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724"/>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615"/>
    <w:rsid w:val="003A0899"/>
    <w:rsid w:val="003A1512"/>
    <w:rsid w:val="003A1EB7"/>
    <w:rsid w:val="003A23F3"/>
    <w:rsid w:val="003A2D82"/>
    <w:rsid w:val="003A337C"/>
    <w:rsid w:val="003A36DA"/>
    <w:rsid w:val="003A38F1"/>
    <w:rsid w:val="003A3D1B"/>
    <w:rsid w:val="003A3F39"/>
    <w:rsid w:val="003A4170"/>
    <w:rsid w:val="003A4296"/>
    <w:rsid w:val="003A4549"/>
    <w:rsid w:val="003A49B3"/>
    <w:rsid w:val="003A4A02"/>
    <w:rsid w:val="003A4FBA"/>
    <w:rsid w:val="003A55B4"/>
    <w:rsid w:val="003A61B6"/>
    <w:rsid w:val="003A623F"/>
    <w:rsid w:val="003A6769"/>
    <w:rsid w:val="003A71AD"/>
    <w:rsid w:val="003A7D1D"/>
    <w:rsid w:val="003B0EE7"/>
    <w:rsid w:val="003B1688"/>
    <w:rsid w:val="003B1FA4"/>
    <w:rsid w:val="003B1FE6"/>
    <w:rsid w:val="003B2813"/>
    <w:rsid w:val="003B2986"/>
    <w:rsid w:val="003B3106"/>
    <w:rsid w:val="003B32E1"/>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17E"/>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15D"/>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4E0B"/>
    <w:rsid w:val="00435765"/>
    <w:rsid w:val="004360B6"/>
    <w:rsid w:val="004362E5"/>
    <w:rsid w:val="00436356"/>
    <w:rsid w:val="0044041E"/>
    <w:rsid w:val="00440722"/>
    <w:rsid w:val="00440DF5"/>
    <w:rsid w:val="00441415"/>
    <w:rsid w:val="004425D9"/>
    <w:rsid w:val="00443244"/>
    <w:rsid w:val="00444AF6"/>
    <w:rsid w:val="0044519D"/>
    <w:rsid w:val="00445544"/>
    <w:rsid w:val="00445C0B"/>
    <w:rsid w:val="00446068"/>
    <w:rsid w:val="00446195"/>
    <w:rsid w:val="00447CD0"/>
    <w:rsid w:val="00447FC2"/>
    <w:rsid w:val="004501E7"/>
    <w:rsid w:val="004502F4"/>
    <w:rsid w:val="004506F4"/>
    <w:rsid w:val="004509D1"/>
    <w:rsid w:val="00450A42"/>
    <w:rsid w:val="00450C7D"/>
    <w:rsid w:val="004513A5"/>
    <w:rsid w:val="00451511"/>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535"/>
    <w:rsid w:val="004616FE"/>
    <w:rsid w:val="0046218C"/>
    <w:rsid w:val="004623D4"/>
    <w:rsid w:val="004631F9"/>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77BBA"/>
    <w:rsid w:val="00480FA1"/>
    <w:rsid w:val="00481FD7"/>
    <w:rsid w:val="00482DE5"/>
    <w:rsid w:val="00483266"/>
    <w:rsid w:val="0048352E"/>
    <w:rsid w:val="004836A9"/>
    <w:rsid w:val="00483B23"/>
    <w:rsid w:val="004840D7"/>
    <w:rsid w:val="004846F4"/>
    <w:rsid w:val="004847FD"/>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43D"/>
    <w:rsid w:val="004C189F"/>
    <w:rsid w:val="004C198D"/>
    <w:rsid w:val="004C1AD6"/>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011"/>
    <w:rsid w:val="005010D6"/>
    <w:rsid w:val="00501144"/>
    <w:rsid w:val="005013EF"/>
    <w:rsid w:val="005019E0"/>
    <w:rsid w:val="005019F1"/>
    <w:rsid w:val="00501CEB"/>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0F8F"/>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335C"/>
    <w:rsid w:val="00544DA0"/>
    <w:rsid w:val="005454BD"/>
    <w:rsid w:val="005457E4"/>
    <w:rsid w:val="005460F8"/>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30C"/>
    <w:rsid w:val="00565406"/>
    <w:rsid w:val="00565570"/>
    <w:rsid w:val="005657DD"/>
    <w:rsid w:val="00565829"/>
    <w:rsid w:val="00565B29"/>
    <w:rsid w:val="005664CC"/>
    <w:rsid w:val="0056664B"/>
    <w:rsid w:val="00567588"/>
    <w:rsid w:val="00567992"/>
    <w:rsid w:val="00567C3C"/>
    <w:rsid w:val="005702F8"/>
    <w:rsid w:val="00571231"/>
    <w:rsid w:val="00571767"/>
    <w:rsid w:val="00571A98"/>
    <w:rsid w:val="00571D4F"/>
    <w:rsid w:val="00571E44"/>
    <w:rsid w:val="00573CD9"/>
    <w:rsid w:val="00573E61"/>
    <w:rsid w:val="00573F88"/>
    <w:rsid w:val="0057411B"/>
    <w:rsid w:val="00574525"/>
    <w:rsid w:val="00574778"/>
    <w:rsid w:val="0057498F"/>
    <w:rsid w:val="00574DE9"/>
    <w:rsid w:val="00575DF4"/>
    <w:rsid w:val="00575E76"/>
    <w:rsid w:val="00576D65"/>
    <w:rsid w:val="0057765D"/>
    <w:rsid w:val="005777FC"/>
    <w:rsid w:val="00580441"/>
    <w:rsid w:val="005808EB"/>
    <w:rsid w:val="00580D37"/>
    <w:rsid w:val="00580FCB"/>
    <w:rsid w:val="00581FA0"/>
    <w:rsid w:val="00582B90"/>
    <w:rsid w:val="005831A7"/>
    <w:rsid w:val="00583321"/>
    <w:rsid w:val="0058341E"/>
    <w:rsid w:val="005834DD"/>
    <w:rsid w:val="00584E97"/>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6C43"/>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1AA8"/>
    <w:rsid w:val="005B3737"/>
    <w:rsid w:val="005B3A42"/>
    <w:rsid w:val="005B5D40"/>
    <w:rsid w:val="005B5EFC"/>
    <w:rsid w:val="005B6412"/>
    <w:rsid w:val="005B6698"/>
    <w:rsid w:val="005B68A7"/>
    <w:rsid w:val="005B6AC3"/>
    <w:rsid w:val="005C055E"/>
    <w:rsid w:val="005C0FA1"/>
    <w:rsid w:val="005C120B"/>
    <w:rsid w:val="005C132F"/>
    <w:rsid w:val="005C1615"/>
    <w:rsid w:val="005C1D98"/>
    <w:rsid w:val="005C1DA5"/>
    <w:rsid w:val="005C2559"/>
    <w:rsid w:val="005C2873"/>
    <w:rsid w:val="005C28AB"/>
    <w:rsid w:val="005C34FC"/>
    <w:rsid w:val="005C3B5C"/>
    <w:rsid w:val="005C3C7F"/>
    <w:rsid w:val="005C5143"/>
    <w:rsid w:val="005C5639"/>
    <w:rsid w:val="005C5742"/>
    <w:rsid w:val="005C6005"/>
    <w:rsid w:val="005C760E"/>
    <w:rsid w:val="005C7862"/>
    <w:rsid w:val="005C7E9E"/>
    <w:rsid w:val="005D18C9"/>
    <w:rsid w:val="005D1B72"/>
    <w:rsid w:val="005D23BD"/>
    <w:rsid w:val="005D2471"/>
    <w:rsid w:val="005D25A3"/>
    <w:rsid w:val="005D2779"/>
    <w:rsid w:val="005D3242"/>
    <w:rsid w:val="005D610C"/>
    <w:rsid w:val="005D74E7"/>
    <w:rsid w:val="005D7F7B"/>
    <w:rsid w:val="005E24DE"/>
    <w:rsid w:val="005E3BCD"/>
    <w:rsid w:val="005E4A87"/>
    <w:rsid w:val="005E4DA5"/>
    <w:rsid w:val="005E503E"/>
    <w:rsid w:val="005E59C7"/>
    <w:rsid w:val="005E5E7B"/>
    <w:rsid w:val="005E6095"/>
    <w:rsid w:val="005E6A3F"/>
    <w:rsid w:val="005E6DB8"/>
    <w:rsid w:val="005E7228"/>
    <w:rsid w:val="005E7284"/>
    <w:rsid w:val="005E7BAC"/>
    <w:rsid w:val="005F0E5C"/>
    <w:rsid w:val="005F1139"/>
    <w:rsid w:val="005F134E"/>
    <w:rsid w:val="005F1365"/>
    <w:rsid w:val="005F2C1F"/>
    <w:rsid w:val="005F2DE6"/>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5505"/>
    <w:rsid w:val="006060C4"/>
    <w:rsid w:val="00607C35"/>
    <w:rsid w:val="00611777"/>
    <w:rsid w:val="0061189F"/>
    <w:rsid w:val="0061219B"/>
    <w:rsid w:val="00612D05"/>
    <w:rsid w:val="00613FB6"/>
    <w:rsid w:val="006140C6"/>
    <w:rsid w:val="00614134"/>
    <w:rsid w:val="00614241"/>
    <w:rsid w:val="0061428D"/>
    <w:rsid w:val="00615046"/>
    <w:rsid w:val="00615411"/>
    <w:rsid w:val="00615776"/>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6F"/>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AA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4DD"/>
    <w:rsid w:val="006A561D"/>
    <w:rsid w:val="006A5A0C"/>
    <w:rsid w:val="006A5BA0"/>
    <w:rsid w:val="006A5BB1"/>
    <w:rsid w:val="006A5F88"/>
    <w:rsid w:val="006A6DB7"/>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4C4B"/>
    <w:rsid w:val="006D4D7C"/>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E7652"/>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1893"/>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6CF1"/>
    <w:rsid w:val="00727077"/>
    <w:rsid w:val="0072733A"/>
    <w:rsid w:val="00730EA6"/>
    <w:rsid w:val="00731C15"/>
    <w:rsid w:val="00732045"/>
    <w:rsid w:val="007322A0"/>
    <w:rsid w:val="00732C1A"/>
    <w:rsid w:val="00733CDC"/>
    <w:rsid w:val="00734B9A"/>
    <w:rsid w:val="00735695"/>
    <w:rsid w:val="00735863"/>
    <w:rsid w:val="007360CB"/>
    <w:rsid w:val="0073653E"/>
    <w:rsid w:val="00737566"/>
    <w:rsid w:val="00740DDA"/>
    <w:rsid w:val="00741BA2"/>
    <w:rsid w:val="00741CF4"/>
    <w:rsid w:val="00741DCC"/>
    <w:rsid w:val="00741DE2"/>
    <w:rsid w:val="007421A1"/>
    <w:rsid w:val="007427FE"/>
    <w:rsid w:val="00742A47"/>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3A4"/>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C54"/>
    <w:rsid w:val="00772FE4"/>
    <w:rsid w:val="007730F4"/>
    <w:rsid w:val="007736E8"/>
    <w:rsid w:val="00774ACE"/>
    <w:rsid w:val="00775823"/>
    <w:rsid w:val="00775F57"/>
    <w:rsid w:val="00776372"/>
    <w:rsid w:val="00776490"/>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C61"/>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83E"/>
    <w:rsid w:val="007A3A0F"/>
    <w:rsid w:val="007A3E60"/>
    <w:rsid w:val="007A407D"/>
    <w:rsid w:val="007A464F"/>
    <w:rsid w:val="007A5E15"/>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21F"/>
    <w:rsid w:val="007D4F02"/>
    <w:rsid w:val="007D5909"/>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1AB"/>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2063"/>
    <w:rsid w:val="008033A3"/>
    <w:rsid w:val="00804114"/>
    <w:rsid w:val="0080448C"/>
    <w:rsid w:val="00804634"/>
    <w:rsid w:val="008047E8"/>
    <w:rsid w:val="0080531E"/>
    <w:rsid w:val="00805C3D"/>
    <w:rsid w:val="008063BB"/>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62A4"/>
    <w:rsid w:val="0081717E"/>
    <w:rsid w:val="008174B2"/>
    <w:rsid w:val="00817CFF"/>
    <w:rsid w:val="0082000D"/>
    <w:rsid w:val="00820268"/>
    <w:rsid w:val="0082037E"/>
    <w:rsid w:val="00820C9C"/>
    <w:rsid w:val="00820F55"/>
    <w:rsid w:val="00821572"/>
    <w:rsid w:val="00821D9C"/>
    <w:rsid w:val="0082207D"/>
    <w:rsid w:val="00822310"/>
    <w:rsid w:val="00823794"/>
    <w:rsid w:val="008237B3"/>
    <w:rsid w:val="008237F4"/>
    <w:rsid w:val="00823F67"/>
    <w:rsid w:val="00824022"/>
    <w:rsid w:val="0082483A"/>
    <w:rsid w:val="00824A81"/>
    <w:rsid w:val="00824E77"/>
    <w:rsid w:val="008257B8"/>
    <w:rsid w:val="008260ED"/>
    <w:rsid w:val="0082699D"/>
    <w:rsid w:val="00826CB0"/>
    <w:rsid w:val="00826D8B"/>
    <w:rsid w:val="00826E6B"/>
    <w:rsid w:val="008275FD"/>
    <w:rsid w:val="00827A52"/>
    <w:rsid w:val="00830BA1"/>
    <w:rsid w:val="00830EB2"/>
    <w:rsid w:val="00831652"/>
    <w:rsid w:val="0083202E"/>
    <w:rsid w:val="0083304F"/>
    <w:rsid w:val="008334C9"/>
    <w:rsid w:val="00834122"/>
    <w:rsid w:val="00834DC7"/>
    <w:rsid w:val="008352C5"/>
    <w:rsid w:val="008353B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1"/>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78D"/>
    <w:rsid w:val="008658AA"/>
    <w:rsid w:val="00865CBD"/>
    <w:rsid w:val="0086665C"/>
    <w:rsid w:val="00866E37"/>
    <w:rsid w:val="00866F9E"/>
    <w:rsid w:val="008672E2"/>
    <w:rsid w:val="00867529"/>
    <w:rsid w:val="0086793D"/>
    <w:rsid w:val="00867B1C"/>
    <w:rsid w:val="008713D6"/>
    <w:rsid w:val="00871643"/>
    <w:rsid w:val="0087281D"/>
    <w:rsid w:val="00872828"/>
    <w:rsid w:val="008732D8"/>
    <w:rsid w:val="00873377"/>
    <w:rsid w:val="00873577"/>
    <w:rsid w:val="0087409F"/>
    <w:rsid w:val="00874D51"/>
    <w:rsid w:val="00874D58"/>
    <w:rsid w:val="008750D2"/>
    <w:rsid w:val="00875AB5"/>
    <w:rsid w:val="00875C91"/>
    <w:rsid w:val="00875F85"/>
    <w:rsid w:val="00876C6B"/>
    <w:rsid w:val="00876DC9"/>
    <w:rsid w:val="00877125"/>
    <w:rsid w:val="008777C2"/>
    <w:rsid w:val="00877A77"/>
    <w:rsid w:val="00881511"/>
    <w:rsid w:val="0088194A"/>
    <w:rsid w:val="00882448"/>
    <w:rsid w:val="00882AFE"/>
    <w:rsid w:val="00882F1D"/>
    <w:rsid w:val="00883A4D"/>
    <w:rsid w:val="00883B21"/>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009"/>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7D9"/>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312C"/>
    <w:rsid w:val="008D427A"/>
    <w:rsid w:val="008D4726"/>
    <w:rsid w:val="008D496B"/>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6D10"/>
    <w:rsid w:val="00907656"/>
    <w:rsid w:val="00907785"/>
    <w:rsid w:val="00907E47"/>
    <w:rsid w:val="00910548"/>
    <w:rsid w:val="009115EF"/>
    <w:rsid w:val="009116DD"/>
    <w:rsid w:val="009117AF"/>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27EB4"/>
    <w:rsid w:val="0093036E"/>
    <w:rsid w:val="00930E4D"/>
    <w:rsid w:val="00931224"/>
    <w:rsid w:val="00932828"/>
    <w:rsid w:val="009333D3"/>
    <w:rsid w:val="009339B6"/>
    <w:rsid w:val="00933B4C"/>
    <w:rsid w:val="00933DC4"/>
    <w:rsid w:val="0093431B"/>
    <w:rsid w:val="009346D6"/>
    <w:rsid w:val="00934743"/>
    <w:rsid w:val="0093487E"/>
    <w:rsid w:val="00934FFE"/>
    <w:rsid w:val="009358EA"/>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CB"/>
    <w:rsid w:val="009548FB"/>
    <w:rsid w:val="0095538B"/>
    <w:rsid w:val="0095695D"/>
    <w:rsid w:val="00957A9E"/>
    <w:rsid w:val="00957AF7"/>
    <w:rsid w:val="00960ACA"/>
    <w:rsid w:val="00960C4F"/>
    <w:rsid w:val="0096217C"/>
    <w:rsid w:val="00962441"/>
    <w:rsid w:val="00962812"/>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180"/>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5A5"/>
    <w:rsid w:val="009A7659"/>
    <w:rsid w:val="009A7745"/>
    <w:rsid w:val="009A7C3D"/>
    <w:rsid w:val="009B0156"/>
    <w:rsid w:val="009B0295"/>
    <w:rsid w:val="009B05BA"/>
    <w:rsid w:val="009B0CE4"/>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316"/>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938"/>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3C1"/>
    <w:rsid w:val="00A10586"/>
    <w:rsid w:val="00A10A48"/>
    <w:rsid w:val="00A110DA"/>
    <w:rsid w:val="00A1132B"/>
    <w:rsid w:val="00A11930"/>
    <w:rsid w:val="00A11B54"/>
    <w:rsid w:val="00A11CDC"/>
    <w:rsid w:val="00A1207B"/>
    <w:rsid w:val="00A1238C"/>
    <w:rsid w:val="00A124CB"/>
    <w:rsid w:val="00A1263D"/>
    <w:rsid w:val="00A12AF2"/>
    <w:rsid w:val="00A12D8A"/>
    <w:rsid w:val="00A12E6C"/>
    <w:rsid w:val="00A136D0"/>
    <w:rsid w:val="00A13D1A"/>
    <w:rsid w:val="00A13DDC"/>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4749"/>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20BD"/>
    <w:rsid w:val="00A637A0"/>
    <w:rsid w:val="00A63ECD"/>
    <w:rsid w:val="00A64093"/>
    <w:rsid w:val="00A640EB"/>
    <w:rsid w:val="00A6412F"/>
    <w:rsid w:val="00A64815"/>
    <w:rsid w:val="00A65043"/>
    <w:rsid w:val="00A66DF9"/>
    <w:rsid w:val="00A704E4"/>
    <w:rsid w:val="00A706FC"/>
    <w:rsid w:val="00A70BD2"/>
    <w:rsid w:val="00A7136A"/>
    <w:rsid w:val="00A71C44"/>
    <w:rsid w:val="00A7204C"/>
    <w:rsid w:val="00A72296"/>
    <w:rsid w:val="00A73268"/>
    <w:rsid w:val="00A7388E"/>
    <w:rsid w:val="00A74544"/>
    <w:rsid w:val="00A74548"/>
    <w:rsid w:val="00A74DF2"/>
    <w:rsid w:val="00A74E4D"/>
    <w:rsid w:val="00A7592E"/>
    <w:rsid w:val="00A76C1F"/>
    <w:rsid w:val="00A803FC"/>
    <w:rsid w:val="00A8071A"/>
    <w:rsid w:val="00A80DD9"/>
    <w:rsid w:val="00A80FCA"/>
    <w:rsid w:val="00A8148E"/>
    <w:rsid w:val="00A81CBC"/>
    <w:rsid w:val="00A82506"/>
    <w:rsid w:val="00A837CE"/>
    <w:rsid w:val="00A83DB5"/>
    <w:rsid w:val="00A83FBA"/>
    <w:rsid w:val="00A841FC"/>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08B"/>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A01"/>
    <w:rsid w:val="00AB4BEF"/>
    <w:rsid w:val="00AB4D67"/>
    <w:rsid w:val="00AB545D"/>
    <w:rsid w:val="00AB54D7"/>
    <w:rsid w:val="00AB57D3"/>
    <w:rsid w:val="00AB608F"/>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4E92"/>
    <w:rsid w:val="00AC520B"/>
    <w:rsid w:val="00AC69ED"/>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2AE"/>
    <w:rsid w:val="00AF7DC1"/>
    <w:rsid w:val="00B000AE"/>
    <w:rsid w:val="00B0040B"/>
    <w:rsid w:val="00B00830"/>
    <w:rsid w:val="00B00AB5"/>
    <w:rsid w:val="00B00CC0"/>
    <w:rsid w:val="00B00F5C"/>
    <w:rsid w:val="00B019C1"/>
    <w:rsid w:val="00B01C51"/>
    <w:rsid w:val="00B0236E"/>
    <w:rsid w:val="00B02506"/>
    <w:rsid w:val="00B02ACE"/>
    <w:rsid w:val="00B03913"/>
    <w:rsid w:val="00B04CE3"/>
    <w:rsid w:val="00B04CEA"/>
    <w:rsid w:val="00B05607"/>
    <w:rsid w:val="00B05A08"/>
    <w:rsid w:val="00B05F14"/>
    <w:rsid w:val="00B06737"/>
    <w:rsid w:val="00B0784C"/>
    <w:rsid w:val="00B07C46"/>
    <w:rsid w:val="00B07CE9"/>
    <w:rsid w:val="00B101D5"/>
    <w:rsid w:val="00B10633"/>
    <w:rsid w:val="00B10B08"/>
    <w:rsid w:val="00B10D50"/>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34FE"/>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0F6"/>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3C"/>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60E6"/>
    <w:rsid w:val="00B8756E"/>
    <w:rsid w:val="00B87A7D"/>
    <w:rsid w:val="00B87DF9"/>
    <w:rsid w:val="00B91951"/>
    <w:rsid w:val="00B91A58"/>
    <w:rsid w:val="00B91EAD"/>
    <w:rsid w:val="00B920B9"/>
    <w:rsid w:val="00B930D2"/>
    <w:rsid w:val="00B937CD"/>
    <w:rsid w:val="00B938BC"/>
    <w:rsid w:val="00B93997"/>
    <w:rsid w:val="00B93C98"/>
    <w:rsid w:val="00B93DF6"/>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051"/>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2FEB"/>
    <w:rsid w:val="00BD3924"/>
    <w:rsid w:val="00BD3C33"/>
    <w:rsid w:val="00BD450F"/>
    <w:rsid w:val="00BD4512"/>
    <w:rsid w:val="00BD52AA"/>
    <w:rsid w:val="00BD5E4A"/>
    <w:rsid w:val="00BD6D3E"/>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6AB1"/>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24D"/>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A03"/>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A11"/>
    <w:rsid w:val="00C96CFA"/>
    <w:rsid w:val="00C96E5A"/>
    <w:rsid w:val="00C96EB5"/>
    <w:rsid w:val="00CA0257"/>
    <w:rsid w:val="00CA0917"/>
    <w:rsid w:val="00CA102B"/>
    <w:rsid w:val="00CA283D"/>
    <w:rsid w:val="00CA2918"/>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1A5"/>
    <w:rsid w:val="00CE54E1"/>
    <w:rsid w:val="00CE55B6"/>
    <w:rsid w:val="00CE5856"/>
    <w:rsid w:val="00CE5BDE"/>
    <w:rsid w:val="00CE6A6D"/>
    <w:rsid w:val="00CE774C"/>
    <w:rsid w:val="00CF012E"/>
    <w:rsid w:val="00CF04D4"/>
    <w:rsid w:val="00CF0B4C"/>
    <w:rsid w:val="00CF1680"/>
    <w:rsid w:val="00CF1780"/>
    <w:rsid w:val="00CF1BD7"/>
    <w:rsid w:val="00CF1E21"/>
    <w:rsid w:val="00CF21A5"/>
    <w:rsid w:val="00CF2518"/>
    <w:rsid w:val="00CF2DDE"/>
    <w:rsid w:val="00CF344A"/>
    <w:rsid w:val="00CF39A0"/>
    <w:rsid w:val="00CF3D1C"/>
    <w:rsid w:val="00CF4713"/>
    <w:rsid w:val="00CF477B"/>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499"/>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171B"/>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00C"/>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B7E60"/>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1B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368"/>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3E02"/>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145"/>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537"/>
    <w:rsid w:val="00E31B6D"/>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31D"/>
    <w:rsid w:val="00E47839"/>
    <w:rsid w:val="00E513CF"/>
    <w:rsid w:val="00E51CDE"/>
    <w:rsid w:val="00E5210B"/>
    <w:rsid w:val="00E53464"/>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357"/>
    <w:rsid w:val="00E85E56"/>
    <w:rsid w:val="00E860DD"/>
    <w:rsid w:val="00E8713D"/>
    <w:rsid w:val="00E87DAB"/>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534"/>
    <w:rsid w:val="00EB190F"/>
    <w:rsid w:val="00EB235B"/>
    <w:rsid w:val="00EB2EF9"/>
    <w:rsid w:val="00EB31A3"/>
    <w:rsid w:val="00EB325B"/>
    <w:rsid w:val="00EB3E22"/>
    <w:rsid w:val="00EB693B"/>
    <w:rsid w:val="00EB7BA9"/>
    <w:rsid w:val="00EB7D75"/>
    <w:rsid w:val="00EC0B20"/>
    <w:rsid w:val="00EC0B89"/>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2A0F"/>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768"/>
    <w:rsid w:val="00EF79CE"/>
    <w:rsid w:val="00F00152"/>
    <w:rsid w:val="00F00352"/>
    <w:rsid w:val="00F00997"/>
    <w:rsid w:val="00F00B1B"/>
    <w:rsid w:val="00F00E37"/>
    <w:rsid w:val="00F010EE"/>
    <w:rsid w:val="00F01383"/>
    <w:rsid w:val="00F0167D"/>
    <w:rsid w:val="00F0177A"/>
    <w:rsid w:val="00F019D5"/>
    <w:rsid w:val="00F01E9B"/>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9DD"/>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079"/>
    <w:rsid w:val="00F256AE"/>
    <w:rsid w:val="00F25773"/>
    <w:rsid w:val="00F257FA"/>
    <w:rsid w:val="00F26004"/>
    <w:rsid w:val="00F270E8"/>
    <w:rsid w:val="00F27EF5"/>
    <w:rsid w:val="00F27FDB"/>
    <w:rsid w:val="00F30251"/>
    <w:rsid w:val="00F305CC"/>
    <w:rsid w:val="00F3179A"/>
    <w:rsid w:val="00F31D54"/>
    <w:rsid w:val="00F31D8B"/>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1D65"/>
    <w:rsid w:val="00F521DC"/>
    <w:rsid w:val="00F525D9"/>
    <w:rsid w:val="00F53199"/>
    <w:rsid w:val="00F541A1"/>
    <w:rsid w:val="00F54B09"/>
    <w:rsid w:val="00F54BEA"/>
    <w:rsid w:val="00F54E8A"/>
    <w:rsid w:val="00F55386"/>
    <w:rsid w:val="00F559A8"/>
    <w:rsid w:val="00F55C21"/>
    <w:rsid w:val="00F55E2E"/>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2242"/>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87D02"/>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4EA"/>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508"/>
    <w:rsid w:val="00FE785C"/>
    <w:rsid w:val="00FE7894"/>
    <w:rsid w:val="00FF01FA"/>
    <w:rsid w:val="00FF21B5"/>
    <w:rsid w:val="00FF21C3"/>
    <w:rsid w:val="00FF2A11"/>
    <w:rsid w:val="00FF2AA0"/>
    <w:rsid w:val="00FF3D56"/>
    <w:rsid w:val="00FF3F6C"/>
    <w:rsid w:val="00FF4603"/>
    <w:rsid w:val="00FF4B07"/>
    <w:rsid w:val="00FF4BFC"/>
    <w:rsid w:val="00FF4C11"/>
    <w:rsid w:val="00FF56B9"/>
    <w:rsid w:val="00FF57E8"/>
    <w:rsid w:val="00FF58C0"/>
    <w:rsid w:val="00FF5948"/>
    <w:rsid w:val="00FF66C6"/>
    <w:rsid w:val="00FF6B71"/>
    <w:rsid w:val="00FF6EDF"/>
    <w:rsid w:val="00FF6EEA"/>
    <w:rsid w:val="00FF77DF"/>
    <w:rsid w:val="00FF7ABB"/>
    <w:rsid w:val="00FF7B99"/>
    <w:rsid w:val="4B22B5B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3C9A"/>
  <w15:docId w15:val="{1E20DEDC-0883-43F0-8C23-E79944C1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02"/>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C6005"/>
    <w:pPr>
      <w:keepNext/>
      <w:tabs>
        <w:tab w:val="left" w:pos="851"/>
      </w:tabs>
      <w:spacing w:before="240" w:after="360" w:line="600" w:lineRule="atLeast"/>
      <w:jc w:val="left"/>
      <w:outlineLvl w:val="0"/>
    </w:pPr>
    <w:rPr>
      <w:rFonts w:ascii="Georgia" w:eastAsiaTheme="majorEastAsia" w:hAnsi="Georgia" w:cstheme="majorBidi"/>
      <w:b/>
      <w:bCs/>
      <w:color w:val="1B556B"/>
      <w:sz w:val="40"/>
      <w:szCs w:val="28"/>
    </w:rPr>
  </w:style>
  <w:style w:type="paragraph" w:styleId="Heading2">
    <w:name w:val="heading 2"/>
    <w:basedOn w:val="Normal"/>
    <w:next w:val="BodyText"/>
    <w:link w:val="Heading2Char"/>
    <w:qFormat/>
    <w:rsid w:val="00640AA1"/>
    <w:pPr>
      <w:keepNext/>
      <w:tabs>
        <w:tab w:val="left" w:pos="851"/>
      </w:tabs>
      <w:spacing w:before="360" w:after="0" w:line="440" w:lineRule="atLeast"/>
      <w:jc w:val="left"/>
      <w:outlineLvl w:val="1"/>
    </w:pPr>
    <w:rPr>
      <w:rFonts w:ascii="Georgia" w:eastAsiaTheme="majorEastAsia" w:hAnsi="Georgia" w:cstheme="majorBidi"/>
      <w:b/>
      <w:bCs/>
      <w:color w:val="1B556B"/>
      <w:sz w:val="32"/>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005"/>
    <w:rPr>
      <w:rFonts w:ascii="Georgia" w:eastAsiaTheme="majorEastAsia" w:hAnsi="Georgia" w:cstheme="majorBidi"/>
      <w:b/>
      <w:bCs/>
      <w:color w:val="1B556B"/>
      <w:sz w:val="40"/>
      <w:szCs w:val="28"/>
    </w:rPr>
  </w:style>
  <w:style w:type="character" w:customStyle="1" w:styleId="Heading2Char">
    <w:name w:val="Heading 2 Char"/>
    <w:basedOn w:val="DefaultParagraphFont"/>
    <w:link w:val="Heading2"/>
    <w:rsid w:val="00640AA1"/>
    <w:rPr>
      <w:rFonts w:ascii="Georgia" w:eastAsiaTheme="majorEastAsia" w:hAnsi="Georgia" w:cstheme="majorBidi"/>
      <w:b/>
      <w:bCs/>
      <w:color w:val="1B556B"/>
      <w:sz w:val="32"/>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uiPriority w:val="99"/>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3B2986"/>
    <w:pPr>
      <w:jc w:val="left"/>
    </w:pPr>
    <w:rPr>
      <w:rFonts w:ascii="Georgia" w:hAnsi="Georgia"/>
      <w:b/>
      <w:bCs/>
      <w:color w:val="1B556B" w:themeColor="text2"/>
      <w:sz w:val="56"/>
      <w:szCs w:val="56"/>
    </w:rPr>
  </w:style>
  <w:style w:type="character" w:customStyle="1" w:styleId="TitleChar">
    <w:name w:val="Title Char"/>
    <w:link w:val="Title"/>
    <w:uiPriority w:val="2"/>
    <w:rsid w:val="003B2986"/>
    <w:rPr>
      <w:rFonts w:ascii="Georgia" w:eastAsia="Times New Roman" w:hAnsi="Georgia"/>
      <w:b/>
      <w:bCs/>
      <w:color w:val="1B556B" w:themeColor="text2"/>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6E2E45"/>
    <w:pPr>
      <w:tabs>
        <w:tab w:val="right" w:pos="8505"/>
        <w:tab w:val="right" w:pos="9072"/>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Segoe UI" w:eastAsia="Times New Roman" w:hAnsi="Segoe UI"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Segoe UI" w:eastAsia="Times New Roman" w:hAnsi="Segoe UI"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Segoe UI" w:eastAsia="Times New Roman" w:hAnsi="Segoe UI"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zh-CN"/>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9548CB"/>
  </w:style>
  <w:style w:type="character" w:customStyle="1" w:styleId="eop">
    <w:name w:val="eop"/>
    <w:basedOn w:val="DefaultParagraphFont"/>
    <w:rsid w:val="009548CB"/>
  </w:style>
  <w:style w:type="paragraph" w:customStyle="1" w:styleId="paragraph">
    <w:name w:val="paragraph"/>
    <w:basedOn w:val="Normal"/>
    <w:rsid w:val="00CF1780"/>
    <w:pPr>
      <w:spacing w:before="100" w:beforeAutospacing="1" w:after="100" w:afterAutospacing="1" w:line="240" w:lineRule="auto"/>
      <w:jc w:val="left"/>
    </w:pPr>
    <w:rPr>
      <w:rFonts w:ascii="Times New Roman" w:hAnsi="Times New Roman"/>
      <w:sz w:val="24"/>
      <w:szCs w:val="24"/>
    </w:rPr>
  </w:style>
  <w:style w:type="paragraph" w:customStyle="1" w:styleId="Headerinfo">
    <w:name w:val="Header info"/>
    <w:basedOn w:val="Title"/>
    <w:qFormat/>
    <w:rsid w:val="00DA500C"/>
    <w:pPr>
      <w:ind w:right="-710"/>
    </w:pPr>
    <w:rPr>
      <w:rFonts w:asciiTheme="minorHAnsi" w:hAnsiTheme="minorHAnsi" w:cstheme="minorHAnsi"/>
      <w:b w:val="0"/>
      <w:color w:val="FFFFFF" w:themeColor="background1"/>
      <w:sz w:val="22"/>
      <w:szCs w:val="22"/>
    </w:rPr>
  </w:style>
  <w:style w:type="paragraph" w:styleId="NormalWeb">
    <w:name w:val="Normal (Web)"/>
    <w:basedOn w:val="Normal"/>
    <w:uiPriority w:val="99"/>
    <w:semiHidden/>
    <w:unhideWhenUsed/>
    <w:rsid w:val="00932828"/>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81861943">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96418032">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88448218">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24835314">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49206719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96476283">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05446908">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ECM-1122293896-100341</_dlc_DocId>
    <_dlc_DocIdUrl xmlns="58a6f171-52cb-4404-b47d-af1c8daf8fd1">
      <Url>https://ministryforenvironment.sharepoint.com/sites/ECM-ER-Comms/_layouts/15/DocIdRedir.aspx?ID=ECM-1122293896-100341</Url>
      <Description>ECM-1122293896-100341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17FD05-1B71-469E-A612-C7D232BB5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4.xml><?xml version="1.0" encoding="utf-8"?>
<ds:datastoreItem xmlns:ds="http://schemas.openxmlformats.org/officeDocument/2006/customXml" ds:itemID="{D4782A9D-DC48-4629-895C-D762F7C3ACF5}">
  <ds:schemaRefs>
    <ds:schemaRef ds:uri="4a94300e-a927-4b92-9d3a-682523035cb6"/>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0a5b0190-e301-4766-933d-448c7c363fce"/>
    <ds:schemaRef ds:uri="http://www.w3.org/XML/1998/namespace"/>
    <ds:schemaRef ds:uri="http://schemas.microsoft.com/sharepoint/v4"/>
    <ds:schemaRef ds:uri="http://purl.org/dc/terms/"/>
    <ds:schemaRef ds:uri="58a6f171-52cb-4404-b47d-af1c8daf8fd1"/>
    <ds:schemaRef ds:uri="http://schemas.microsoft.com/sharepoint/v3"/>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ACEA4CD3-405E-4500-A9F0-E48CADADB8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Michael Johnson</cp:lastModifiedBy>
  <cp:revision>40</cp:revision>
  <dcterms:created xsi:type="dcterms:W3CDTF">2023-08-15T13:01:00Z</dcterms:created>
  <dcterms:modified xsi:type="dcterms:W3CDTF">2023-08-30T03:53:00Z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f9a4cade-b54b-477d-9e19-6d2b019418d8</vt:lpwstr>
  </property>
  <property fmtid="{D5CDD505-2E9C-101B-9397-08002B2CF9AE}" pid="11" name="MediaServiceImageTags">
    <vt:lpwstr/>
  </property>
  <property fmtid="{D5CDD505-2E9C-101B-9397-08002B2CF9AE}" pid="12" name="Order">
    <vt:r8>9970200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