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511" w14:textId="6E0F9A13"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401A758A">
                <wp:simplePos x="0" y="0"/>
                <wp:positionH relativeFrom="column">
                  <wp:posOffset>-40640</wp:posOffset>
                </wp:positionH>
                <wp:positionV relativeFrom="paragraph">
                  <wp:posOffset>1122045</wp:posOffset>
                </wp:positionV>
                <wp:extent cx="5808345" cy="272923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2729230"/>
                        </a:xfrm>
                        <a:prstGeom prst="rect">
                          <a:avLst/>
                        </a:prstGeom>
                        <a:noFill/>
                        <a:ln w="6350">
                          <a:noFill/>
                        </a:ln>
                      </wps:spPr>
                      <wps:txbx>
                        <w:txbxContent>
                          <w:p w14:paraId="0FFE03BE" w14:textId="63244033" w:rsidR="00B349E3" w:rsidRPr="00D73660" w:rsidRDefault="00117990" w:rsidP="00173238">
                            <w:pPr>
                              <w:pStyle w:val="paragraph"/>
                              <w:spacing w:before="0" w:beforeAutospacing="0" w:after="120" w:afterAutospacing="0"/>
                              <w:textAlignment w:val="baseline"/>
                              <w:rPr>
                                <w:rFonts w:ascii="Georgia" w:hAnsi="Georgia"/>
                                <w:b/>
                                <w:bCs/>
                                <w:color w:val="1B556B" w:themeColor="text2"/>
                                <w:sz w:val="48"/>
                                <w:szCs w:val="48"/>
                              </w:rPr>
                            </w:pPr>
                            <w:r w:rsidRPr="00117990">
                              <w:rPr>
                                <w:rFonts w:ascii="Georgia" w:eastAsiaTheme="majorEastAsia" w:hAnsi="Georgia" w:cs="Calibri"/>
                                <w:b/>
                                <w:bCs/>
                                <w:color w:val="2C9986"/>
                                <w:sz w:val="48"/>
                                <w:szCs w:val="48"/>
                              </w:rPr>
                              <w:t>Tirohanga whānui –  Te Whakawhiti ki te Ture Taiao Tūturu me te Hanga mai i te Ture Whakahaere Rawa</w:t>
                            </w:r>
                            <w:r w:rsidR="00173238" w:rsidRPr="00D73660">
                              <w:rPr>
                                <w:rStyle w:val="eop"/>
                                <w:rFonts w:ascii="Georgia" w:eastAsiaTheme="majorEastAsia" w:hAnsi="Georgia" w:cs="Calibri"/>
                                <w:b/>
                                <w:bCs/>
                                <w:color w:val="2C9986"/>
                                <w:sz w:val="48"/>
                                <w:szCs w:val="48"/>
                              </w:rPr>
                              <w:br/>
                            </w:r>
                            <w:r w:rsidR="00FB6C66" w:rsidRPr="00D73660">
                              <w:rPr>
                                <w:rFonts w:ascii="Georgia" w:hAnsi="Georgia"/>
                                <w:b/>
                                <w:bCs/>
                                <w:color w:val="1B556B" w:themeColor="text2"/>
                                <w:sz w:val="48"/>
                                <w:szCs w:val="48"/>
                              </w:rPr>
                              <w:t>Overview – Transitioning to the Natural and Built Environment Act from the Resource Management Act</w:t>
                            </w:r>
                            <w:r w:rsidR="008920BF">
                              <w:rPr>
                                <w:rFonts w:ascii="Georgia" w:hAnsi="Georgia"/>
                                <w:b/>
                                <w:bCs/>
                                <w:color w:val="1B556B" w:themeColor="text2"/>
                                <w:sz w:val="48"/>
                                <w:szCs w:val="48"/>
                              </w:rPr>
                              <w:t xml:space="preserve"> 1991</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3.2pt;margin-top:88.35pt;width:457.35pt;height:2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" filled="f" stroked="f" strokeweight=".5pt">
                <v:textbox inset="1mm,2mm,0,15mm">
                  <w:txbxContent>
                    <w:p w14:paraId="0FFE03BE" w14:textId="63244033" w:rsidR="00B349E3" w:rsidRPr="00D73660" w:rsidRDefault="00117990" w:rsidP="00173238">
                      <w:pPr>
                        <w:pStyle w:val="paragraph"/>
                        <w:spacing w:before="0" w:beforeAutospacing="0" w:after="120" w:afterAutospacing="0"/>
                        <w:textAlignment w:val="baseline"/>
                        <w:rPr>
                          <w:rFonts w:ascii="Georgia" w:hAnsi="Georgia"/>
                          <w:b/>
                          <w:bCs/>
                          <w:color w:val="1B556B" w:themeColor="text2"/>
                          <w:sz w:val="48"/>
                          <w:szCs w:val="48"/>
                        </w:rPr>
                      </w:pPr>
                      <w:r w:rsidRPr="00117990">
                        <w:rPr>
                          <w:rFonts w:ascii="Georgia" w:eastAsiaTheme="majorEastAsia" w:hAnsi="Georgia" w:cs="Calibri"/>
                          <w:b/>
                          <w:bCs/>
                          <w:color w:val="2C9986"/>
                          <w:sz w:val="48"/>
                          <w:szCs w:val="48"/>
                        </w:rPr>
                        <w:t>Tirohanga whānui –  Te Whakawhiti ki te Ture Taiao Tūturu me te Hanga mai i te Ture Whakahaere Rawa</w:t>
                      </w:r>
                      <w:r w:rsidR="00173238" w:rsidRPr="00D73660">
                        <w:rPr>
                          <w:rStyle w:val="eop"/>
                          <w:rFonts w:ascii="Georgia" w:eastAsiaTheme="majorEastAsia" w:hAnsi="Georgia" w:cs="Calibri"/>
                          <w:b/>
                          <w:bCs/>
                          <w:color w:val="2C9986"/>
                          <w:sz w:val="48"/>
                          <w:szCs w:val="48"/>
                        </w:rPr>
                        <w:br/>
                      </w:r>
                      <w:r w:rsidR="00FB6C66" w:rsidRPr="00D73660">
                        <w:rPr>
                          <w:rFonts w:ascii="Georgia" w:hAnsi="Georgia"/>
                          <w:b/>
                          <w:bCs/>
                          <w:color w:val="1B556B" w:themeColor="text2"/>
                          <w:sz w:val="48"/>
                          <w:szCs w:val="48"/>
                        </w:rPr>
                        <w:t>Overview – Transitioning to the Natural and Built Environment Act from the Resource Management Act</w:t>
                      </w:r>
                      <w:r w:rsidR="008920BF">
                        <w:rPr>
                          <w:rFonts w:ascii="Georgia" w:hAnsi="Georgia"/>
                          <w:b/>
                          <w:bCs/>
                          <w:color w:val="1B556B" w:themeColor="text2"/>
                          <w:sz w:val="48"/>
                          <w:szCs w:val="48"/>
                        </w:rPr>
                        <w:t xml:space="preserve"> 1991</w:t>
                      </w:r>
                    </w:p>
                  </w:txbxContent>
                </v:textbox>
                <w10:wrap type="topAndBottom"/>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57AD916A" w:rsidR="007A383E" w:rsidRPr="00721893" w:rsidRDefault="007A383E" w:rsidP="00DA500C">
                            <w:pPr>
                              <w:pStyle w:val="Headerinfo"/>
                              <w:rPr>
                                <w:b/>
                              </w:rPr>
                            </w:pPr>
                            <w:r w:rsidRPr="00721893">
                              <w:t>The new resource management system:</w:t>
                            </w:r>
                            <w:r w:rsidRPr="00721893">
                              <w:br/>
                              <w:t>Natural and Built Environment Act</w:t>
                            </w:r>
                            <w:r w:rsidR="00744467">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8DBD" id="Text Box 217" o:spid="_x0000_s1027" type="#_x0000_t202"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filled="f" stroked="f">
                <v:textbox>
                  <w:txbxContent>
                    <w:p w14:paraId="3D10EA6F" w14:textId="57AD916A" w:rsidR="007A383E" w:rsidRPr="00721893" w:rsidRDefault="007A383E" w:rsidP="00DA500C">
                      <w:pPr>
                        <w:pStyle w:val="Headerinfo"/>
                        <w:rPr>
                          <w:b/>
                        </w:rPr>
                      </w:pPr>
                      <w:r w:rsidRPr="00721893">
                        <w:t>The new resource management system:</w:t>
                      </w:r>
                      <w:r w:rsidRPr="00721893">
                        <w:br/>
                        <w:t>Natural and Built Environment Act</w:t>
                      </w:r>
                      <w:r w:rsidR="00744467">
                        <w:t xml:space="preserve"> 2023</w:t>
                      </w:r>
                      <w:r w:rsidRPr="00721893">
                        <w:br/>
                        <w:t>and Spatial Planning Act 2023</w:t>
                      </w:r>
                    </w:p>
                    <w:p w14:paraId="4CFE7685" w14:textId="77777777" w:rsidR="007A383E" w:rsidRDefault="007A383E" w:rsidP="007A383E"/>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574A3" w14:textId="71DB529D" w:rsidR="00EE392F" w:rsidRPr="007007A0" w:rsidRDefault="00EE392F" w:rsidP="007007A0">
      <w:pPr>
        <w:pStyle w:val="BodyText"/>
        <w:rPr>
          <w:rStyle w:val="normaltextrun"/>
        </w:rPr>
      </w:pPr>
      <w:r w:rsidRPr="007007A0">
        <w:t>New laws are being phased in that aim to help Aotearoa New Zealand protect and manage the environment and its resources.</w:t>
      </w:r>
      <w:r w:rsidRPr="007007A0" w:rsidDel="00ED41D3">
        <w:rPr>
          <w:rStyle w:val="normaltextrun"/>
        </w:rPr>
        <w:t xml:space="preserve"> </w:t>
      </w:r>
      <w:r w:rsidRPr="007007A0">
        <w:rPr>
          <w:rStyle w:val="normaltextrun"/>
        </w:rPr>
        <w:t>The Spatial Planning Act 2023 (SPA) and the Natural and Built Environment Act 2023 (NBA) were enacted on 23 August 2023. This new legislation changes the way we manage the environment, natural resources and land.</w:t>
      </w:r>
    </w:p>
    <w:p w14:paraId="0087B88C" w14:textId="41AAFF9B" w:rsidR="00DC4933" w:rsidRDefault="00DC4933" w:rsidP="00DC4933">
      <w:pPr>
        <w:pStyle w:val="BodyText"/>
      </w:pPr>
      <w:r>
        <w:t>How we transition from the RMA to the SPA and NBA will occur sequentially and region</w:t>
      </w:r>
      <w:r w:rsidR="008920BF">
        <w:t xml:space="preserve"> </w:t>
      </w:r>
      <w:r>
        <w:t>by</w:t>
      </w:r>
      <w:r w:rsidR="008920BF">
        <w:t xml:space="preserve"> </w:t>
      </w:r>
      <w:r>
        <w:t>region.</w:t>
      </w:r>
    </w:p>
    <w:p w14:paraId="71BF7121" w14:textId="20457A5D" w:rsidR="00DC4933" w:rsidRDefault="00DC4933" w:rsidP="00053EEC">
      <w:pPr>
        <w:pStyle w:val="Heading2"/>
      </w:pPr>
      <w:r>
        <w:t>This factsheet covers:</w:t>
      </w:r>
    </w:p>
    <w:p w14:paraId="5863E783" w14:textId="021EED3C" w:rsidR="00DC4933" w:rsidRDefault="00DC4933" w:rsidP="00D73660">
      <w:pPr>
        <w:pStyle w:val="Bullet"/>
        <w:spacing w:before="120"/>
      </w:pPr>
      <w:r>
        <w:t xml:space="preserve">timing of SPA and NBA </w:t>
      </w:r>
    </w:p>
    <w:p w14:paraId="0BB580F5" w14:textId="7560715D" w:rsidR="00DC4933" w:rsidRDefault="00DC4933" w:rsidP="00053EEC">
      <w:pPr>
        <w:pStyle w:val="Bullet"/>
      </w:pPr>
      <w:r>
        <w:t>a region-by-region approach and a region’s NBEA date</w:t>
      </w:r>
    </w:p>
    <w:p w14:paraId="4D20EDDA" w14:textId="1E3F4BCC" w:rsidR="00DC4933" w:rsidRDefault="00DC4933" w:rsidP="00053EEC">
      <w:pPr>
        <w:pStyle w:val="Bullet"/>
      </w:pPr>
      <w:r>
        <w:t>transitioning to the NBA</w:t>
      </w:r>
    </w:p>
    <w:p w14:paraId="03519C8A" w14:textId="03E1DDE5" w:rsidR="00DC4933" w:rsidRDefault="00DC4933" w:rsidP="00053EEC">
      <w:pPr>
        <w:pStyle w:val="Bullet"/>
      </w:pPr>
      <w:r>
        <w:t>changes that apply immediately</w:t>
      </w:r>
      <w:r w:rsidR="008920BF">
        <w:t>.</w:t>
      </w:r>
    </w:p>
    <w:p w14:paraId="6CEF1387" w14:textId="77777777" w:rsidR="00DC4933" w:rsidRDefault="00DC4933" w:rsidP="00053EEC">
      <w:pPr>
        <w:pStyle w:val="Heading2"/>
      </w:pPr>
      <w:r>
        <w:t>Timing of SPA and NBA</w:t>
      </w:r>
    </w:p>
    <w:p w14:paraId="2ACD0122" w14:textId="41E7D2C7" w:rsidR="00DC4933" w:rsidRDefault="00DC4933" w:rsidP="00DC4933">
      <w:pPr>
        <w:pStyle w:val="BodyText"/>
      </w:pPr>
      <w:r>
        <w:t>There will be sequential development of each part of the new system beginning with the National Planning Framework (NPF)</w:t>
      </w:r>
      <w:r w:rsidR="008920BF">
        <w:t>,</w:t>
      </w:r>
      <w:r>
        <w:t xml:space="preserve"> which is drafted by central government, followed by Regional Spatial Strategies (RSS) under the SPA</w:t>
      </w:r>
      <w:r w:rsidR="008920BF">
        <w:t>,</w:t>
      </w:r>
      <w:r>
        <w:t xml:space="preserve"> and then Natural and Built Environment plans (NBE plans) under the NBA.</w:t>
      </w:r>
    </w:p>
    <w:p w14:paraId="4DE7FA13" w14:textId="77777777" w:rsidR="00131FB0" w:rsidRDefault="00131FB0">
      <w:pPr>
        <w:spacing w:before="0" w:after="0" w:line="240" w:lineRule="auto"/>
        <w:jc w:val="left"/>
      </w:pPr>
      <w:r>
        <w:br w:type="page"/>
      </w:r>
    </w:p>
    <w:p w14:paraId="15B12CBA" w14:textId="6DBB84F1" w:rsidR="00DC4933" w:rsidRDefault="00DC4933" w:rsidP="00DC4933">
      <w:pPr>
        <w:pStyle w:val="BodyText"/>
      </w:pPr>
      <w:r>
        <w:lastRenderedPageBreak/>
        <w:t>The timing of the new system is sequenced to:</w:t>
      </w:r>
    </w:p>
    <w:p w14:paraId="490D97F6" w14:textId="0B7FE7F6" w:rsidR="00DC4933" w:rsidRDefault="00DC4933" w:rsidP="00053EEC">
      <w:pPr>
        <w:pStyle w:val="Bullet"/>
      </w:pPr>
      <w:r>
        <w:t>ensure the transitional NPF is in place in time to inform the development of the first RSS and is then updated to include additional direction in time to inform the first NBE plans</w:t>
      </w:r>
    </w:p>
    <w:p w14:paraId="000E4025" w14:textId="782F6D12" w:rsidR="00230F60" w:rsidRDefault="00EF3CBD" w:rsidP="00EF3CBD">
      <w:pPr>
        <w:pStyle w:val="Bullet"/>
      </w:pPr>
      <w:r>
        <w:t>uphold te Tiriti o Waitangi | Treaty of Waitangi settlements and other arrangements,</w:t>
      </w:r>
      <w:r>
        <w:rPr>
          <w:rStyle w:val="FootnoteReference"/>
        </w:rPr>
        <w:footnoteReference w:id="2"/>
      </w:r>
      <w:r>
        <w:t xml:space="preserve"> as agreed with the relevant post-settlement governance entities, iwi or hapū </w:t>
      </w:r>
    </w:p>
    <w:p w14:paraId="298BA1A5" w14:textId="0394D724" w:rsidR="00DC4933" w:rsidRDefault="00DC4933" w:rsidP="00053EEC">
      <w:pPr>
        <w:pStyle w:val="Bullet"/>
      </w:pPr>
      <w:r>
        <w:t xml:space="preserve">enable the formation of regional planning committees </w:t>
      </w:r>
    </w:p>
    <w:p w14:paraId="5A8FAEF6" w14:textId="300A820A" w:rsidR="00DC4933" w:rsidRDefault="00DC4933" w:rsidP="00053EEC">
      <w:pPr>
        <w:pStyle w:val="Bullet"/>
      </w:pPr>
      <w:r>
        <w:t>enable regional planning committees to develop RSS and NBE plans.</w:t>
      </w:r>
    </w:p>
    <w:p w14:paraId="5538087B" w14:textId="77777777" w:rsidR="00DC4933" w:rsidRDefault="00DC4933" w:rsidP="00053EEC">
      <w:pPr>
        <w:pStyle w:val="Heading2"/>
      </w:pPr>
      <w:r>
        <w:t xml:space="preserve">A region-by-region approach </w:t>
      </w:r>
    </w:p>
    <w:p w14:paraId="61AA2CD9" w14:textId="6603028A" w:rsidR="00DC4933" w:rsidRDefault="00DC4933" w:rsidP="00DC4933">
      <w:pPr>
        <w:pStyle w:val="BodyText"/>
      </w:pPr>
      <w:r>
        <w:t>The NBA (apart from the matters that apply on or after Royal assent), will turn on region</w:t>
      </w:r>
      <w:r w:rsidR="008920BF">
        <w:t xml:space="preserve"> </w:t>
      </w:r>
      <w:r>
        <w:t>by</w:t>
      </w:r>
      <w:r w:rsidR="008920BF">
        <w:t xml:space="preserve"> </w:t>
      </w:r>
      <w:r>
        <w:t xml:space="preserve">region as regional planning committees develop NBE plans. Many parts of the NBA will not apply until there is an NBE plan in place. </w:t>
      </w:r>
    </w:p>
    <w:p w14:paraId="58877CB0" w14:textId="0354254E" w:rsidR="00DC4933" w:rsidRDefault="00DC4933" w:rsidP="00DC4933">
      <w:pPr>
        <w:pStyle w:val="BodyText"/>
      </w:pPr>
      <w:r>
        <w:t>The RMA will not be repealed immediately. Instead, the provisions of the RMA (with some exceptions), RMA national direction, RMA plans and RMA consenting continue to be in force until an NBE plan applies on the region’s NBEA date</w:t>
      </w:r>
      <w:r w:rsidR="008920BF">
        <w:t>.</w:t>
      </w:r>
      <w:r w:rsidR="00C57782">
        <w:rPr>
          <w:rStyle w:val="FootnoteReference"/>
        </w:rPr>
        <w:footnoteReference w:id="3"/>
      </w:r>
    </w:p>
    <w:p w14:paraId="60C74F71" w14:textId="77777777" w:rsidR="00DC4933" w:rsidRDefault="00DC4933" w:rsidP="00053EEC">
      <w:pPr>
        <w:pStyle w:val="Heading2"/>
        <w:spacing w:after="120"/>
      </w:pPr>
      <w:r>
        <w:t>A region’s NBEA date</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053EEC" w:rsidRPr="00A01420" w14:paraId="458B2E26" w14:textId="77777777" w:rsidTr="001E5ACD">
        <w:trPr>
          <w:trHeight w:val="1058"/>
        </w:trPr>
        <w:tc>
          <w:tcPr>
            <w:tcW w:w="0" w:type="auto"/>
            <w:shd w:val="clear" w:color="auto" w:fill="D2DDE1"/>
            <w:tcMar>
              <w:top w:w="57" w:type="dxa"/>
            </w:tcMar>
          </w:tcPr>
          <w:p w14:paraId="210485BC" w14:textId="73E6DB00" w:rsidR="00053EEC" w:rsidRPr="008F6471" w:rsidRDefault="00D61A3F" w:rsidP="00AF3B87">
            <w:pPr>
              <w:pStyle w:val="Boxtext"/>
              <w:ind w:left="164"/>
              <w:rPr>
                <w:szCs w:val="20"/>
              </w:rPr>
            </w:pPr>
            <w:r w:rsidRPr="008F6471">
              <w:rPr>
                <w:sz w:val="22"/>
                <w:szCs w:val="24"/>
              </w:rPr>
              <w:t xml:space="preserve">This is the date 10 </w:t>
            </w:r>
            <w:r w:rsidR="00C210ED" w:rsidRPr="008F6471">
              <w:rPr>
                <w:sz w:val="22"/>
                <w:szCs w:val="24"/>
              </w:rPr>
              <w:t xml:space="preserve">working </w:t>
            </w:r>
            <w:r w:rsidRPr="008F6471">
              <w:rPr>
                <w:sz w:val="22"/>
                <w:szCs w:val="24"/>
              </w:rPr>
              <w:t xml:space="preserve">days after a regional planning committee has notified the decisions version of its first </w:t>
            </w:r>
            <w:r w:rsidR="00A8145F" w:rsidRPr="008F6471">
              <w:rPr>
                <w:sz w:val="22"/>
                <w:szCs w:val="24"/>
              </w:rPr>
              <w:t>NBE</w:t>
            </w:r>
            <w:r w:rsidRPr="008F6471">
              <w:rPr>
                <w:sz w:val="22"/>
                <w:szCs w:val="24"/>
              </w:rPr>
              <w:t xml:space="preserve"> </w:t>
            </w:r>
            <w:r w:rsidR="00A8145F" w:rsidRPr="008F6471">
              <w:rPr>
                <w:sz w:val="22"/>
                <w:szCs w:val="24"/>
              </w:rPr>
              <w:t>p</w:t>
            </w:r>
            <w:r w:rsidRPr="008F6471">
              <w:rPr>
                <w:sz w:val="22"/>
                <w:szCs w:val="24"/>
              </w:rPr>
              <w:t>lan</w:t>
            </w:r>
            <w:r w:rsidR="008C1478" w:rsidRPr="008F6471">
              <w:rPr>
                <w:sz w:val="22"/>
                <w:szCs w:val="24"/>
              </w:rPr>
              <w:t>.</w:t>
            </w:r>
            <w:r w:rsidR="00CE3F12" w:rsidRPr="008F6471">
              <w:rPr>
                <w:sz w:val="22"/>
                <w:szCs w:val="24"/>
              </w:rPr>
              <w:t xml:space="preserve"> </w:t>
            </w:r>
            <w:r w:rsidR="006C6BF3" w:rsidRPr="008F6471">
              <w:rPr>
                <w:sz w:val="22"/>
                <w:szCs w:val="24"/>
              </w:rPr>
              <w:t>F</w:t>
            </w:r>
            <w:r w:rsidRPr="008F6471">
              <w:rPr>
                <w:sz w:val="22"/>
                <w:szCs w:val="24"/>
              </w:rPr>
              <w:t xml:space="preserve">rom this date an NBE plan is treated as operative </w:t>
            </w:r>
            <w:r w:rsidR="00DD0031">
              <w:rPr>
                <w:sz w:val="22"/>
                <w:szCs w:val="24"/>
              </w:rPr>
              <w:br/>
            </w:r>
            <w:r w:rsidRPr="008F6471">
              <w:rPr>
                <w:sz w:val="22"/>
                <w:szCs w:val="24"/>
              </w:rPr>
              <w:t>(with exceptions)</w:t>
            </w:r>
            <w:r w:rsidR="00AB590D" w:rsidRPr="008F6471">
              <w:rPr>
                <w:sz w:val="22"/>
                <w:szCs w:val="24"/>
              </w:rPr>
              <w:t>.</w:t>
            </w:r>
          </w:p>
        </w:tc>
      </w:tr>
    </w:tbl>
    <w:p w14:paraId="3CE2490A" w14:textId="1B13B9D3" w:rsidR="00DC4933" w:rsidRDefault="00DC4933" w:rsidP="00DC4933">
      <w:pPr>
        <w:pStyle w:val="BodyText"/>
      </w:pPr>
      <w:r>
        <w:t>From a region’s NBEA date</w:t>
      </w:r>
      <w:r w:rsidR="009949F9">
        <w:t>,</w:t>
      </w:r>
      <w:r>
        <w:t xml:space="preserve"> most consenting, designations and other processes and provisions in the NBA ‘turn on’ in a region</w:t>
      </w:r>
      <w:r w:rsidR="001F4A1B">
        <w:t>.</w:t>
      </w:r>
      <w:r w:rsidR="00092A02">
        <w:rPr>
          <w:rStyle w:val="FootnoteReference"/>
        </w:rPr>
        <w:footnoteReference w:id="4"/>
      </w:r>
      <w:r>
        <w:t xml:space="preserve"> </w:t>
      </w:r>
    </w:p>
    <w:p w14:paraId="5018C67E" w14:textId="32CA3C37" w:rsidR="00DC4933" w:rsidRDefault="00DC4933" w:rsidP="00DC4933">
      <w:pPr>
        <w:pStyle w:val="BodyText"/>
      </w:pPr>
      <w:r>
        <w:t xml:space="preserve">While the RMA will not apply in a region after its NBEA date, it will remain in place until all the regions in </w:t>
      </w:r>
      <w:r w:rsidR="001F4A1B">
        <w:t xml:space="preserve">Aotearoa </w:t>
      </w:r>
      <w:r>
        <w:t>New Zealand have reached their NBEA dates. Once that is achieved, the RMA will be repealed.</w:t>
      </w:r>
    </w:p>
    <w:p w14:paraId="6183C303" w14:textId="77777777" w:rsidR="00DC4933" w:rsidRDefault="00DC4933" w:rsidP="00D73660">
      <w:pPr>
        <w:pStyle w:val="Heading2"/>
        <w:spacing w:before="240"/>
      </w:pPr>
      <w:r>
        <w:t>Transitioning to the NBA</w:t>
      </w:r>
    </w:p>
    <w:p w14:paraId="16DD31DE" w14:textId="3D97D28E" w:rsidR="00DC4933" w:rsidRDefault="00DC4933" w:rsidP="00DC4933">
      <w:pPr>
        <w:pStyle w:val="BodyText"/>
      </w:pPr>
      <w:r>
        <w:t>Through the transition period, only the provisions of either the RMA or the NBA will apply to any individual resource management matters (such as plan changes, lodged resource consent applications, objections and appeals)</w:t>
      </w:r>
      <w:r w:rsidR="004157FD">
        <w:t>.</w:t>
      </w:r>
    </w:p>
    <w:p w14:paraId="3ECEDB14" w14:textId="4FC8AC3B" w:rsidR="00DC4933" w:rsidRDefault="00DC4933" w:rsidP="00DC4933">
      <w:pPr>
        <w:pStyle w:val="BodyText"/>
      </w:pPr>
      <w:r>
        <w:t>The NPF and regional spatial strategies will not apply to RMA decision</w:t>
      </w:r>
      <w:r w:rsidR="005951B6">
        <w:t>-</w:t>
      </w:r>
      <w:r>
        <w:t xml:space="preserve">making, except in the specific circumstances outlined in </w:t>
      </w:r>
      <w:r w:rsidRPr="00623BC8">
        <w:t>schedule 1</w:t>
      </w:r>
      <w:r>
        <w:t xml:space="preserve"> of the NBA. For example:</w:t>
      </w:r>
    </w:p>
    <w:p w14:paraId="20B76868" w14:textId="53A83999" w:rsidR="00DC4933" w:rsidRDefault="00DC4933" w:rsidP="006C6BF3">
      <w:pPr>
        <w:pStyle w:val="Bullet"/>
      </w:pPr>
      <w:r>
        <w:t>consideration will need to be given to the desirability of consistency with the NBA when developing new or amended RMA national direction during the transition</w:t>
      </w:r>
      <w:r w:rsidR="00A976CB">
        <w:rPr>
          <w:rStyle w:val="FootnoteReference"/>
        </w:rPr>
        <w:footnoteReference w:id="5"/>
      </w:r>
    </w:p>
    <w:p w14:paraId="372D24F7" w14:textId="0CCC2223" w:rsidR="00DC4933" w:rsidRDefault="00DC4933" w:rsidP="00D73660">
      <w:pPr>
        <w:pStyle w:val="Bullet"/>
        <w:spacing w:after="0"/>
      </w:pPr>
      <w:r>
        <w:lastRenderedPageBreak/>
        <w:t>after the RSS notification date</w:t>
      </w:r>
      <w:r w:rsidR="005951B6">
        <w:t>,</w:t>
      </w:r>
      <w:r>
        <w:t xml:space="preserve"> any change to a</w:t>
      </w:r>
      <w:r w:rsidR="005951B6">
        <w:t>n</w:t>
      </w:r>
      <w:r>
        <w:t xml:space="preserve"> RMA plan or policy statement must not be inconsistent with the RSS</w:t>
      </w:r>
      <w:r w:rsidR="00675A18">
        <w:rPr>
          <w:rStyle w:val="FootnoteReference"/>
        </w:rPr>
        <w:footnoteReference w:id="6"/>
      </w:r>
    </w:p>
    <w:p w14:paraId="347AA457" w14:textId="45D8ABF2" w:rsidR="00501011" w:rsidRDefault="00DC4933" w:rsidP="00117990">
      <w:pPr>
        <w:pStyle w:val="Bullet"/>
      </w:pPr>
      <w:r>
        <w:t>RMA designations must consider an adopted RSS</w:t>
      </w:r>
      <w:r w:rsidR="005951B6">
        <w:t>.</w:t>
      </w:r>
      <w:r w:rsidR="00FF6752">
        <w:rPr>
          <w:rStyle w:val="FootnoteReference"/>
        </w:rPr>
        <w:footnoteReference w:id="7"/>
      </w:r>
    </w:p>
    <w:p w14:paraId="75A7E964" w14:textId="77777777" w:rsidR="006F31DF" w:rsidRDefault="006F31DF" w:rsidP="006F31DF">
      <w:pPr>
        <w:pStyle w:val="BodyText"/>
      </w:pPr>
      <w:r>
        <w:t>As a general rule, existing process commenced under the RMA can be completed under the RMA including any objections and appeals.</w:t>
      </w:r>
    </w:p>
    <w:p w14:paraId="45B1A80D" w14:textId="77777777" w:rsidR="006F31DF" w:rsidRDefault="006F31DF" w:rsidP="006F31DF">
      <w:pPr>
        <w:pStyle w:val="BodyText"/>
      </w:pPr>
      <w:r>
        <w:t>Existing RMA consents and other authorisations that are in place in a region at the time of a region’s NBEA date will be recognised and deemed as authorisations under the NBA. They will be subject to the same terms and expiry dates as they had under the RMA. This includes those commenced under the RMA but completed after a region’s NBEA date.</w:t>
      </w:r>
    </w:p>
    <w:p w14:paraId="4B88C4FA" w14:textId="77777777" w:rsidR="006F31DF" w:rsidRDefault="006F31DF" w:rsidP="006F31DF">
      <w:pPr>
        <w:pStyle w:val="Heading2"/>
      </w:pPr>
      <w:r>
        <w:t>Changes that apply immediately</w:t>
      </w:r>
    </w:p>
    <w:p w14:paraId="58F984E2" w14:textId="77777777" w:rsidR="006F31DF" w:rsidRDefault="006F31DF" w:rsidP="006F31DF">
      <w:pPr>
        <w:pStyle w:val="BodyText"/>
      </w:pPr>
      <w:r>
        <w:t>Some changes start the day after Royal assent:</w:t>
      </w:r>
    </w:p>
    <w:p w14:paraId="776BB8AD" w14:textId="6CB71D97" w:rsidR="006F31DF" w:rsidRDefault="006F31DF" w:rsidP="006F31DF">
      <w:pPr>
        <w:pStyle w:val="Bullet"/>
      </w:pPr>
      <w:r>
        <w:t xml:space="preserve">10-year reviews of plans are no longer mandatory </w:t>
      </w:r>
    </w:p>
    <w:p w14:paraId="7A98B83C" w14:textId="77777777" w:rsidR="006F31DF" w:rsidRDefault="006F31DF" w:rsidP="006F31DF">
      <w:pPr>
        <w:pStyle w:val="Bullet"/>
      </w:pPr>
      <w:r>
        <w:t>some freshwater-related resource consents under the RMA are subject to maximum duration controls</w:t>
      </w:r>
    </w:p>
    <w:p w14:paraId="4FE0CB82" w14:textId="77777777" w:rsidR="006F31DF" w:rsidRDefault="006F31DF" w:rsidP="006F31DF">
      <w:pPr>
        <w:pStyle w:val="Bullet"/>
      </w:pPr>
      <w:r>
        <w:t>a fast-track consenting process is available for specified applications</w:t>
      </w:r>
    </w:p>
    <w:p w14:paraId="7DEC21D9" w14:textId="77777777" w:rsidR="006F31DF" w:rsidRDefault="006F31DF" w:rsidP="006F31DF">
      <w:pPr>
        <w:pStyle w:val="Bullet"/>
      </w:pPr>
      <w:r>
        <w:t>some compliance and enforcement provisions are applied</w:t>
      </w:r>
    </w:p>
    <w:p w14:paraId="66DB8A0D" w14:textId="77777777" w:rsidR="006F31DF" w:rsidRDefault="006F31DF" w:rsidP="006F31DF">
      <w:pPr>
        <w:pStyle w:val="Bullet"/>
      </w:pPr>
      <w:r>
        <w:t>some provisions relating to contaminated land and aquaculture are applied.</w:t>
      </w:r>
    </w:p>
    <w:p w14:paraId="39916B27" w14:textId="77777777" w:rsidR="006F31DF" w:rsidRDefault="006F31DF" w:rsidP="006F31DF">
      <w:pPr>
        <w:pStyle w:val="Bullet"/>
        <w:numPr>
          <w:ilvl w:val="0"/>
          <w:numId w:val="0"/>
        </w:numPr>
        <w:ind w:left="397" w:hanging="397"/>
      </w:pPr>
    </w:p>
    <w:p w14:paraId="183110C7" w14:textId="77777777" w:rsidR="006F31DF" w:rsidRDefault="006F31DF" w:rsidP="006F31DF">
      <w:pPr>
        <w:pStyle w:val="Bullet"/>
        <w:numPr>
          <w:ilvl w:val="0"/>
          <w:numId w:val="0"/>
        </w:numPr>
        <w:ind w:left="397" w:hanging="397"/>
      </w:pPr>
    </w:p>
    <w:p w14:paraId="0EBF6193" w14:textId="5FFF6B01" w:rsidR="00501011" w:rsidRDefault="00501011" w:rsidP="00F5746A">
      <w:pPr>
        <w:pStyle w:val="BodyText"/>
        <w:sectPr w:rsidR="00501011" w:rsidSect="007A5E15">
          <w:footerReference w:type="even" r:id="rId13"/>
          <w:footerReference w:type="default" r:id="rId14"/>
          <w:footerReference w:type="first" r:id="rId15"/>
          <w:pgSz w:w="11907" w:h="16840" w:code="9"/>
          <w:pgMar w:top="1134" w:right="1418" w:bottom="1134" w:left="1418" w:header="571" w:footer="727" w:gutter="0"/>
          <w:cols w:space="720"/>
          <w:titlePg/>
          <w:docGrid w:linePitch="299"/>
        </w:sectPr>
      </w:pPr>
    </w:p>
    <w:p w14:paraId="6FC6E505" w14:textId="77777777" w:rsidR="00FA0C86" w:rsidRDefault="006239DF" w:rsidP="00D1660E">
      <w:pPr>
        <w:pStyle w:val="BodyText"/>
      </w:pPr>
      <w:r>
        <w:rPr>
          <w:noProof/>
        </w:rPr>
        <w:lastRenderedPageBreak/>
        <mc:AlternateContent>
          <mc:Choice Requires="wps">
            <w:drawing>
              <wp:anchor distT="0" distB="0" distL="114300" distR="114300" simplePos="0" relativeHeight="251658241" behindDoc="0" locked="1" layoutInCell="1" allowOverlap="1" wp14:anchorId="321757F2" wp14:editId="5FB4AE91">
                <wp:simplePos x="0" y="0"/>
                <wp:positionH relativeFrom="column">
                  <wp:posOffset>-149860</wp:posOffset>
                </wp:positionH>
                <wp:positionV relativeFrom="page">
                  <wp:posOffset>6356350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The information provided has no official status and so does not alter the laws of New Zealand, other official guidelines or requirements.</w:t>
                                  </w:r>
                                </w:p>
                                <w:p w14:paraId="74323367" w14:textId="40CBFEF3" w:rsidR="006E7652" w:rsidRDefault="006E7652" w:rsidP="00E03E02">
                                  <w:pPr>
                                    <w:pStyle w:val="TableBullet"/>
                                  </w:pPr>
                                  <w:r>
                                    <w:t>It does not constitute legal advice, and users should take specific advice from qualified professionals before taking any action as a result of information obtained from this publication.</w:t>
                                  </w:r>
                                </w:p>
                                <w:p w14:paraId="44EAE550" w14:textId="4A0A03B3" w:rsidR="006E7652" w:rsidRDefault="006E7652" w:rsidP="00E03E02">
                                  <w:pPr>
                                    <w:pStyle w:val="TableBullet"/>
                                  </w:pPr>
                                  <w:r>
                                    <w:t>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All references to websites, organisations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55D2ACBD" w:rsidR="006239DF" w:rsidRDefault="006239DF" w:rsidP="003A6769">
                                  <w:pPr>
                                    <w:pStyle w:val="TableText"/>
                                  </w:pPr>
                                  <w:r w:rsidRPr="006C18C8">
                                    <w:t xml:space="preserve">Published in </w:t>
                                  </w:r>
                                  <w:r w:rsidR="005951B6" w:rsidRPr="00382A19">
                                    <w:t xml:space="preserve">August </w:t>
                                  </w:r>
                                  <w:r w:rsidRPr="00382A19">
                                    <w:t>202</w:t>
                                  </w:r>
                                  <w:r w:rsidR="005951B6">
                                    <w:t>3</w:t>
                                  </w:r>
                                  <w:r w:rsidRPr="006C18C8">
                                    <w:t xml:space="preserve"> by the </w:t>
                                  </w:r>
                                  <w:r w:rsidRPr="006C18C8">
                                    <w:br/>
                                    <w:t>Ministry for the Environment – Manatū Mō Te Taiao</w:t>
                                  </w:r>
                                  <w:r w:rsidRPr="006C18C8">
                                    <w:br/>
                                    <w:t xml:space="preserve">Publication number: INFO </w:t>
                                  </w:r>
                                  <w:r w:rsidR="00D45F7F">
                                    <w:t>1176</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8" type="#_x0000_t202" style="position:absolute;margin-left:-11.8pt;margin-top:500.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The information provided has no official status and so does not alter the laws of New Zealand, other official guidelines or requirements.</w:t>
                            </w:r>
                          </w:p>
                          <w:p w14:paraId="74323367" w14:textId="40CBFEF3" w:rsidR="006E7652" w:rsidRDefault="006E7652" w:rsidP="00E03E02">
                            <w:pPr>
                              <w:pStyle w:val="TableBullet"/>
                            </w:pPr>
                            <w:r>
                              <w:t>It does not constitute legal advice, and users should take specific advice from qualified professionals before taking any action as a result of information obtained from this publication.</w:t>
                            </w:r>
                          </w:p>
                          <w:p w14:paraId="44EAE550" w14:textId="4A0A03B3" w:rsidR="006E7652" w:rsidRDefault="006E7652" w:rsidP="00E03E02">
                            <w:pPr>
                              <w:pStyle w:val="TableBullet"/>
                            </w:pPr>
                            <w:r>
                              <w:t>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All references to websites, organisations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55D2ACBD" w:rsidR="006239DF" w:rsidRDefault="006239DF" w:rsidP="003A6769">
                            <w:pPr>
                              <w:pStyle w:val="TableText"/>
                            </w:pPr>
                            <w:r w:rsidRPr="006C18C8">
                              <w:t xml:space="preserve">Published in </w:t>
                            </w:r>
                            <w:r w:rsidR="005951B6" w:rsidRPr="00382A19">
                              <w:t xml:space="preserve">August </w:t>
                            </w:r>
                            <w:r w:rsidRPr="00382A19">
                              <w:t>202</w:t>
                            </w:r>
                            <w:r w:rsidR="005951B6">
                              <w:t>3</w:t>
                            </w:r>
                            <w:r w:rsidRPr="006C18C8">
                              <w:t xml:space="preserve"> by the </w:t>
                            </w:r>
                            <w:r w:rsidRPr="006C18C8">
                              <w:br/>
                              <w:t>Ministry for the Environment – Manatū Mō Te Taiao</w:t>
                            </w:r>
                            <w:r w:rsidRPr="006C18C8">
                              <w:br/>
                              <w:t xml:space="preserve">Publication number: INFO </w:t>
                            </w:r>
                            <w:r w:rsidR="00D45F7F">
                              <w:t>1176</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first" r:id="rId17"/>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4A1" w14:textId="77777777" w:rsidR="00562EF9" w:rsidRDefault="00562EF9" w:rsidP="0080531E">
      <w:pPr>
        <w:spacing w:before="0" w:after="0" w:line="240" w:lineRule="auto"/>
      </w:pPr>
      <w:r>
        <w:separator/>
      </w:r>
    </w:p>
    <w:p w14:paraId="746F812D" w14:textId="77777777" w:rsidR="00562EF9" w:rsidRDefault="00562EF9"/>
  </w:endnote>
  <w:endnote w:type="continuationSeparator" w:id="0">
    <w:p w14:paraId="5D08F96F" w14:textId="77777777" w:rsidR="00562EF9" w:rsidRDefault="00562EF9" w:rsidP="0080531E">
      <w:pPr>
        <w:spacing w:before="0" w:after="0" w:line="240" w:lineRule="auto"/>
      </w:pPr>
      <w:r>
        <w:continuationSeparator/>
      </w:r>
    </w:p>
    <w:p w14:paraId="3C55F450" w14:textId="77777777" w:rsidR="00562EF9" w:rsidRDefault="00562EF9"/>
  </w:endnote>
  <w:endnote w:type="continuationNotice" w:id="1">
    <w:p w14:paraId="003E4843" w14:textId="77777777" w:rsidR="00562EF9" w:rsidRDefault="00562E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718" w14:textId="7F099758"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053EEC" w:rsidRPr="00053EEC">
      <w:t>Overview – Transitioning to the Natural and Built Environment Act from the Resource Management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358B4C26" w:rsidR="006C18C8" w:rsidRPr="005E24DE" w:rsidRDefault="005E24DE" w:rsidP="005E24DE">
    <w:pPr>
      <w:tabs>
        <w:tab w:val="right" w:pos="7938"/>
        <w:tab w:val="right" w:pos="8505"/>
      </w:tabs>
      <w:jc w:val="left"/>
      <w:rPr>
        <w:sz w:val="16"/>
      </w:rPr>
    </w:pPr>
    <w:r w:rsidRPr="005E24DE">
      <w:rPr>
        <w:sz w:val="16"/>
      </w:rPr>
      <w:tab/>
    </w:r>
    <w:r w:rsidR="00053EEC" w:rsidRPr="00053EEC">
      <w:rPr>
        <w:sz w:val="16"/>
      </w:rPr>
      <w:t>Overview – Transitioning to the Natural and Built Environment Act from the Resource Management Act</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1" locked="0" layoutInCell="1" allowOverlap="1" wp14:anchorId="318599F8" wp14:editId="4106170B">
          <wp:simplePos x="0" y="0"/>
          <wp:positionH relativeFrom="column">
            <wp:posOffset>-895350</wp:posOffset>
          </wp:positionH>
          <wp:positionV relativeFrom="paragraph">
            <wp:posOffset>-882015</wp:posOffset>
          </wp:positionV>
          <wp:extent cx="7543800" cy="1646555"/>
          <wp:effectExtent l="0" t="0" r="0" b="0"/>
          <wp:wrapNone/>
          <wp:docPr id="473615810" name="Picture 47361581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721193B4"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t>Insert running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1001" w14:textId="77777777" w:rsidR="00562EF9" w:rsidRDefault="00562EF9" w:rsidP="00CB5C5F">
      <w:pPr>
        <w:spacing w:before="0" w:after="80" w:line="240" w:lineRule="auto"/>
      </w:pPr>
      <w:bookmarkStart w:id="0" w:name="_Hlk86912439"/>
      <w:bookmarkEnd w:id="0"/>
      <w:r>
        <w:separator/>
      </w:r>
    </w:p>
  </w:footnote>
  <w:footnote w:type="continuationSeparator" w:id="0">
    <w:p w14:paraId="0D266CE2" w14:textId="77777777" w:rsidR="00562EF9" w:rsidRDefault="00562EF9" w:rsidP="0080531E">
      <w:pPr>
        <w:spacing w:before="0" w:after="0" w:line="240" w:lineRule="auto"/>
      </w:pPr>
      <w:r>
        <w:continuationSeparator/>
      </w:r>
    </w:p>
    <w:p w14:paraId="162BC0EB" w14:textId="77777777" w:rsidR="00562EF9" w:rsidRDefault="00562EF9"/>
  </w:footnote>
  <w:footnote w:type="continuationNotice" w:id="1">
    <w:p w14:paraId="11616EE1" w14:textId="77777777" w:rsidR="00562EF9" w:rsidRDefault="00562EF9">
      <w:pPr>
        <w:spacing w:before="0" w:after="0" w:line="240" w:lineRule="auto"/>
      </w:pPr>
    </w:p>
  </w:footnote>
  <w:footnote w:id="2">
    <w:p w14:paraId="5A3465E3" w14:textId="77777777" w:rsidR="00EF3CBD" w:rsidRPr="001A1AEC" w:rsidRDefault="00EF3CBD" w:rsidP="00EF3CBD">
      <w:pPr>
        <w:pStyle w:val="FootnoteText"/>
        <w:rPr>
          <w:highlight w:val="yellow"/>
        </w:rPr>
      </w:pPr>
      <w:r w:rsidRPr="006A7659">
        <w:rPr>
          <w:rStyle w:val="FootnoteReference"/>
        </w:rPr>
        <w:footnoteRef/>
      </w:r>
      <w:r w:rsidRPr="006A7659">
        <w:t xml:space="preserve"> </w:t>
      </w:r>
      <w:r w:rsidRPr="006A7659">
        <w:tab/>
        <w:t>Joint Management Agreements and Mana Whakahono ā Rohe.</w:t>
      </w:r>
    </w:p>
  </w:footnote>
  <w:footnote w:id="3">
    <w:p w14:paraId="1B4EBA45" w14:textId="62BAD0E6" w:rsidR="00C57782" w:rsidRPr="00623BC8" w:rsidRDefault="00C57782">
      <w:pPr>
        <w:pStyle w:val="FootnoteText"/>
      </w:pPr>
      <w:r w:rsidRPr="00623BC8">
        <w:rPr>
          <w:rStyle w:val="FootnoteReference"/>
        </w:rPr>
        <w:footnoteRef/>
      </w:r>
      <w:r w:rsidRPr="00623BC8">
        <w:t xml:space="preserve"> </w:t>
      </w:r>
      <w:r w:rsidRPr="00623BC8">
        <w:tab/>
        <w:t xml:space="preserve">Schedule 1 clause </w:t>
      </w:r>
      <w:r w:rsidR="008B0CB4">
        <w:t>6</w:t>
      </w:r>
      <w:r w:rsidRPr="00623BC8">
        <w:t xml:space="preserve"> of the NBA.</w:t>
      </w:r>
    </w:p>
  </w:footnote>
  <w:footnote w:id="4">
    <w:p w14:paraId="08B15807" w14:textId="4954B5EF" w:rsidR="00092A02" w:rsidRPr="00623BC8" w:rsidRDefault="00092A02">
      <w:pPr>
        <w:pStyle w:val="FootnoteText"/>
      </w:pPr>
      <w:r w:rsidRPr="00623BC8">
        <w:rPr>
          <w:rStyle w:val="FootnoteReference"/>
        </w:rPr>
        <w:footnoteRef/>
      </w:r>
      <w:r w:rsidRPr="00623BC8">
        <w:t xml:space="preserve"> </w:t>
      </w:r>
      <w:r w:rsidRPr="00623BC8">
        <w:tab/>
        <w:t xml:space="preserve">Schedule 1 clause </w:t>
      </w:r>
      <w:r w:rsidR="001A1AEC" w:rsidRPr="00623BC8">
        <w:t>5</w:t>
      </w:r>
      <w:r w:rsidRPr="00623BC8">
        <w:t xml:space="preserve"> of the NBA.</w:t>
      </w:r>
    </w:p>
  </w:footnote>
  <w:footnote w:id="5">
    <w:p w14:paraId="77B68F26" w14:textId="5B058384" w:rsidR="00A976CB" w:rsidRPr="001A1AEC" w:rsidRDefault="00A976CB">
      <w:pPr>
        <w:pStyle w:val="FootnoteText"/>
        <w:rPr>
          <w:highlight w:val="yellow"/>
        </w:rPr>
      </w:pPr>
      <w:r w:rsidRPr="00623BC8">
        <w:rPr>
          <w:rStyle w:val="FootnoteReference"/>
        </w:rPr>
        <w:footnoteRef/>
      </w:r>
      <w:r w:rsidRPr="00623BC8">
        <w:t xml:space="preserve"> </w:t>
      </w:r>
      <w:r w:rsidRPr="00623BC8">
        <w:tab/>
        <w:t>Schedule 1 clause 1</w:t>
      </w:r>
      <w:r w:rsidR="001A1AEC" w:rsidRPr="00623BC8">
        <w:t>3</w:t>
      </w:r>
      <w:r w:rsidRPr="00623BC8">
        <w:t>(3)(a) of the NBA.</w:t>
      </w:r>
    </w:p>
  </w:footnote>
  <w:footnote w:id="6">
    <w:p w14:paraId="30F9443F" w14:textId="18B95E96" w:rsidR="00675A18" w:rsidRPr="00E13BE2" w:rsidRDefault="00675A18">
      <w:pPr>
        <w:pStyle w:val="FootnoteText"/>
      </w:pPr>
      <w:r w:rsidRPr="00E13BE2">
        <w:rPr>
          <w:rStyle w:val="FootnoteReference"/>
        </w:rPr>
        <w:footnoteRef/>
      </w:r>
      <w:r w:rsidRPr="00E13BE2">
        <w:t xml:space="preserve"> </w:t>
      </w:r>
      <w:r w:rsidRPr="00E13BE2">
        <w:tab/>
        <w:t xml:space="preserve">Schedule 1 clause </w:t>
      </w:r>
      <w:r w:rsidR="001A1AEC" w:rsidRPr="00E13BE2">
        <w:t>9</w:t>
      </w:r>
      <w:r w:rsidRPr="00E13BE2">
        <w:t xml:space="preserve"> of the NBA.</w:t>
      </w:r>
    </w:p>
  </w:footnote>
  <w:footnote w:id="7">
    <w:p w14:paraId="2B7B950B" w14:textId="3F30E1AA" w:rsidR="00FF6752" w:rsidRDefault="00FF6752">
      <w:pPr>
        <w:pStyle w:val="FootnoteText"/>
      </w:pPr>
      <w:r w:rsidRPr="00E13BE2">
        <w:rPr>
          <w:rStyle w:val="FootnoteReference"/>
        </w:rPr>
        <w:footnoteRef/>
      </w:r>
      <w:r w:rsidRPr="00E13BE2">
        <w:t xml:space="preserve"> </w:t>
      </w:r>
      <w:r w:rsidRPr="00E13BE2">
        <w:tab/>
        <w:t xml:space="preserve">Schedule 1 clause </w:t>
      </w:r>
      <w:r w:rsidR="001A1AEC" w:rsidRPr="00E13BE2">
        <w:t>41</w:t>
      </w:r>
      <w:r w:rsidRPr="00E13BE2">
        <w:t xml:space="preserve"> of the NBA.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5"/>
  </w:num>
  <w:num w:numId="2" w16cid:durableId="1270701948">
    <w:abstractNumId w:val="25"/>
  </w:num>
  <w:num w:numId="3" w16cid:durableId="1676030043">
    <w:abstractNumId w:val="38"/>
  </w:num>
  <w:num w:numId="4" w16cid:durableId="946737636">
    <w:abstractNumId w:val="20"/>
  </w:num>
  <w:num w:numId="5" w16cid:durableId="181937884">
    <w:abstractNumId w:val="13"/>
  </w:num>
  <w:num w:numId="6" w16cid:durableId="1789470371">
    <w:abstractNumId w:val="8"/>
  </w:num>
  <w:num w:numId="7" w16cid:durableId="1751468041">
    <w:abstractNumId w:val="23"/>
  </w:num>
  <w:num w:numId="8" w16cid:durableId="319700520">
    <w:abstractNumId w:val="22"/>
  </w:num>
  <w:num w:numId="9" w16cid:durableId="61634995">
    <w:abstractNumId w:val="36"/>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9"/>
  </w:num>
  <w:num w:numId="13" w16cid:durableId="2111318697">
    <w:abstractNumId w:val="12"/>
  </w:num>
  <w:num w:numId="14" w16cid:durableId="527908752">
    <w:abstractNumId w:val="32"/>
  </w:num>
  <w:num w:numId="15" w16cid:durableId="1810710488">
    <w:abstractNumId w:val="21"/>
  </w:num>
  <w:num w:numId="16" w16cid:durableId="1832209572">
    <w:abstractNumId w:val="11"/>
  </w:num>
  <w:num w:numId="17" w16cid:durableId="882985350">
    <w:abstractNumId w:val="30"/>
  </w:num>
  <w:num w:numId="18" w16cid:durableId="1414619994">
    <w:abstractNumId w:val="26"/>
  </w:num>
  <w:num w:numId="19" w16cid:durableId="1876043617">
    <w:abstractNumId w:val="33"/>
  </w:num>
  <w:num w:numId="20" w16cid:durableId="1466776422">
    <w:abstractNumId w:val="14"/>
  </w:num>
  <w:num w:numId="21" w16cid:durableId="2058817310">
    <w:abstractNumId w:val="27"/>
  </w:num>
  <w:num w:numId="22" w16cid:durableId="1700279313">
    <w:abstractNumId w:val="5"/>
  </w:num>
  <w:num w:numId="23" w16cid:durableId="2058817359">
    <w:abstractNumId w:val="24"/>
  </w:num>
  <w:num w:numId="24" w16cid:durableId="1654988709">
    <w:abstractNumId w:val="16"/>
  </w:num>
  <w:num w:numId="25" w16cid:durableId="163515585">
    <w:abstractNumId w:val="35"/>
  </w:num>
  <w:num w:numId="26" w16cid:durableId="1923172751">
    <w:abstractNumId w:val="28"/>
  </w:num>
  <w:num w:numId="27" w16cid:durableId="1169712652">
    <w:abstractNumId w:val="0"/>
  </w:num>
  <w:num w:numId="28" w16cid:durableId="318702976">
    <w:abstractNumId w:val="18"/>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19"/>
  </w:num>
  <w:num w:numId="35" w16cid:durableId="351688295">
    <w:abstractNumId w:val="17"/>
  </w:num>
  <w:num w:numId="36" w16cid:durableId="953633058">
    <w:abstractNumId w:val="7"/>
  </w:num>
  <w:num w:numId="37" w16cid:durableId="57486827">
    <w:abstractNumId w:val="34"/>
  </w:num>
  <w:num w:numId="38" w16cid:durableId="416098131">
    <w:abstractNumId w:val="25"/>
  </w:num>
  <w:num w:numId="39" w16cid:durableId="2073501908">
    <w:abstractNumId w:val="7"/>
  </w:num>
  <w:num w:numId="40" w16cid:durableId="1120416703">
    <w:abstractNumId w:val="37"/>
  </w:num>
  <w:num w:numId="41" w16cid:durableId="1912618082">
    <w:abstractNumId w:val="31"/>
  </w:num>
  <w:num w:numId="42" w16cid:durableId="2027435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readOnly" w:formatting="1" w:enforcement="0"/>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E0A"/>
    <w:rsid w:val="00004FD3"/>
    <w:rsid w:val="00006DF5"/>
    <w:rsid w:val="00006F95"/>
    <w:rsid w:val="00007023"/>
    <w:rsid w:val="0000709F"/>
    <w:rsid w:val="000071D6"/>
    <w:rsid w:val="00007F2D"/>
    <w:rsid w:val="00007FAC"/>
    <w:rsid w:val="00010247"/>
    <w:rsid w:val="00010A9C"/>
    <w:rsid w:val="00010ABA"/>
    <w:rsid w:val="00010E15"/>
    <w:rsid w:val="00010F57"/>
    <w:rsid w:val="0001100C"/>
    <w:rsid w:val="00011188"/>
    <w:rsid w:val="00012555"/>
    <w:rsid w:val="00012777"/>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3EEC"/>
    <w:rsid w:val="00055375"/>
    <w:rsid w:val="00056319"/>
    <w:rsid w:val="000564E7"/>
    <w:rsid w:val="00056770"/>
    <w:rsid w:val="00057386"/>
    <w:rsid w:val="00057EA3"/>
    <w:rsid w:val="00057EEF"/>
    <w:rsid w:val="0006130F"/>
    <w:rsid w:val="00061330"/>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8D9"/>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1EB5"/>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A02"/>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CCD"/>
    <w:rsid w:val="000B6D1F"/>
    <w:rsid w:val="000C062F"/>
    <w:rsid w:val="000C0668"/>
    <w:rsid w:val="000C17E7"/>
    <w:rsid w:val="000C3270"/>
    <w:rsid w:val="000C574D"/>
    <w:rsid w:val="000C577E"/>
    <w:rsid w:val="000C5B87"/>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C7F"/>
    <w:rsid w:val="00110EE2"/>
    <w:rsid w:val="001113D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990"/>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1C"/>
    <w:rsid w:val="00131EC2"/>
    <w:rsid w:val="00131FB0"/>
    <w:rsid w:val="00133E73"/>
    <w:rsid w:val="00133FDB"/>
    <w:rsid w:val="00134C79"/>
    <w:rsid w:val="00134F4A"/>
    <w:rsid w:val="00135E4E"/>
    <w:rsid w:val="00136246"/>
    <w:rsid w:val="001362A1"/>
    <w:rsid w:val="001364D4"/>
    <w:rsid w:val="00136C39"/>
    <w:rsid w:val="001371C8"/>
    <w:rsid w:val="001372ED"/>
    <w:rsid w:val="0014168C"/>
    <w:rsid w:val="00142B50"/>
    <w:rsid w:val="00143437"/>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0B2"/>
    <w:rsid w:val="001713A7"/>
    <w:rsid w:val="00171449"/>
    <w:rsid w:val="0017199C"/>
    <w:rsid w:val="00171C7E"/>
    <w:rsid w:val="00171F35"/>
    <w:rsid w:val="00172552"/>
    <w:rsid w:val="00172873"/>
    <w:rsid w:val="00172CF7"/>
    <w:rsid w:val="0017319E"/>
    <w:rsid w:val="00173238"/>
    <w:rsid w:val="001734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5C24"/>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AEC"/>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1874"/>
    <w:rsid w:val="001B2453"/>
    <w:rsid w:val="001B3D48"/>
    <w:rsid w:val="001B5AF9"/>
    <w:rsid w:val="001B6600"/>
    <w:rsid w:val="001B6610"/>
    <w:rsid w:val="001B6B9B"/>
    <w:rsid w:val="001B6C27"/>
    <w:rsid w:val="001B7144"/>
    <w:rsid w:val="001B7B8A"/>
    <w:rsid w:val="001B7E91"/>
    <w:rsid w:val="001C0748"/>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4F6F"/>
    <w:rsid w:val="001E552A"/>
    <w:rsid w:val="001E57B9"/>
    <w:rsid w:val="001E5ACD"/>
    <w:rsid w:val="001E6488"/>
    <w:rsid w:val="001E6E8D"/>
    <w:rsid w:val="001E7EE4"/>
    <w:rsid w:val="001E7F76"/>
    <w:rsid w:val="001F0FAF"/>
    <w:rsid w:val="001F139F"/>
    <w:rsid w:val="001F2805"/>
    <w:rsid w:val="001F2ACA"/>
    <w:rsid w:val="001F2E79"/>
    <w:rsid w:val="001F2F07"/>
    <w:rsid w:val="001F3123"/>
    <w:rsid w:val="001F376D"/>
    <w:rsid w:val="001F418C"/>
    <w:rsid w:val="001F4A1B"/>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3109"/>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0F60"/>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34"/>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3C33"/>
    <w:rsid w:val="002D4100"/>
    <w:rsid w:val="002D477F"/>
    <w:rsid w:val="002D4F48"/>
    <w:rsid w:val="002D519B"/>
    <w:rsid w:val="002D621E"/>
    <w:rsid w:val="002D66DA"/>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49"/>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A1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900"/>
    <w:rsid w:val="00397A28"/>
    <w:rsid w:val="00397E94"/>
    <w:rsid w:val="00397F05"/>
    <w:rsid w:val="003A0442"/>
    <w:rsid w:val="003A0615"/>
    <w:rsid w:val="003A0899"/>
    <w:rsid w:val="003A1512"/>
    <w:rsid w:val="003A1EB7"/>
    <w:rsid w:val="003A23F3"/>
    <w:rsid w:val="003A2D82"/>
    <w:rsid w:val="003A337C"/>
    <w:rsid w:val="003A36DA"/>
    <w:rsid w:val="003A38F1"/>
    <w:rsid w:val="003A3D1B"/>
    <w:rsid w:val="003A3EEB"/>
    <w:rsid w:val="003A3F39"/>
    <w:rsid w:val="003A4170"/>
    <w:rsid w:val="003A4296"/>
    <w:rsid w:val="003A4549"/>
    <w:rsid w:val="003A49B3"/>
    <w:rsid w:val="003A509A"/>
    <w:rsid w:val="003A55B4"/>
    <w:rsid w:val="003A61B6"/>
    <w:rsid w:val="003A623F"/>
    <w:rsid w:val="003A6769"/>
    <w:rsid w:val="003A71AD"/>
    <w:rsid w:val="003A7D1D"/>
    <w:rsid w:val="003B0EE7"/>
    <w:rsid w:val="003B1688"/>
    <w:rsid w:val="003B1FA4"/>
    <w:rsid w:val="003B1FE6"/>
    <w:rsid w:val="003B2813"/>
    <w:rsid w:val="003B2986"/>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2FA"/>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3DA8"/>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415"/>
    <w:rsid w:val="00405DF1"/>
    <w:rsid w:val="0040602F"/>
    <w:rsid w:val="00406AFB"/>
    <w:rsid w:val="00407382"/>
    <w:rsid w:val="0040791B"/>
    <w:rsid w:val="00411958"/>
    <w:rsid w:val="00411B2A"/>
    <w:rsid w:val="00412973"/>
    <w:rsid w:val="00412D42"/>
    <w:rsid w:val="00412DA4"/>
    <w:rsid w:val="00412EB6"/>
    <w:rsid w:val="0041351F"/>
    <w:rsid w:val="004137C8"/>
    <w:rsid w:val="004137C9"/>
    <w:rsid w:val="00413BF9"/>
    <w:rsid w:val="00413C25"/>
    <w:rsid w:val="00415531"/>
    <w:rsid w:val="004157FD"/>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4041E"/>
    <w:rsid w:val="00440722"/>
    <w:rsid w:val="00440DF5"/>
    <w:rsid w:val="004425D9"/>
    <w:rsid w:val="00443244"/>
    <w:rsid w:val="00444AF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FD7"/>
    <w:rsid w:val="00482DE5"/>
    <w:rsid w:val="00483266"/>
    <w:rsid w:val="0048352E"/>
    <w:rsid w:val="004836A9"/>
    <w:rsid w:val="00483B23"/>
    <w:rsid w:val="004840D7"/>
    <w:rsid w:val="004846F4"/>
    <w:rsid w:val="004847FD"/>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89F"/>
    <w:rsid w:val="004C198D"/>
    <w:rsid w:val="004C1AD6"/>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39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335C"/>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2EF9"/>
    <w:rsid w:val="00563A23"/>
    <w:rsid w:val="00563A5A"/>
    <w:rsid w:val="00563C61"/>
    <w:rsid w:val="00563ECB"/>
    <w:rsid w:val="00563F47"/>
    <w:rsid w:val="005640BB"/>
    <w:rsid w:val="00564249"/>
    <w:rsid w:val="00564C23"/>
    <w:rsid w:val="0056530C"/>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1B6"/>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34FC"/>
    <w:rsid w:val="005C3B5C"/>
    <w:rsid w:val="005C3C7F"/>
    <w:rsid w:val="005C5143"/>
    <w:rsid w:val="005C5639"/>
    <w:rsid w:val="005C5742"/>
    <w:rsid w:val="005C6005"/>
    <w:rsid w:val="005C760E"/>
    <w:rsid w:val="005C7862"/>
    <w:rsid w:val="005C7BDD"/>
    <w:rsid w:val="005C7E9E"/>
    <w:rsid w:val="005D18C9"/>
    <w:rsid w:val="005D1B72"/>
    <w:rsid w:val="005D1ED6"/>
    <w:rsid w:val="005D23BD"/>
    <w:rsid w:val="005D2471"/>
    <w:rsid w:val="005D25A3"/>
    <w:rsid w:val="005D2779"/>
    <w:rsid w:val="005D3242"/>
    <w:rsid w:val="005D610C"/>
    <w:rsid w:val="005D74E7"/>
    <w:rsid w:val="005D7F7B"/>
    <w:rsid w:val="005E24DE"/>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DE6"/>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505"/>
    <w:rsid w:val="006060C4"/>
    <w:rsid w:val="00607C35"/>
    <w:rsid w:val="00611777"/>
    <w:rsid w:val="0061189F"/>
    <w:rsid w:val="0061219B"/>
    <w:rsid w:val="00612D0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3BC8"/>
    <w:rsid w:val="00624018"/>
    <w:rsid w:val="0062406F"/>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7C6"/>
    <w:rsid w:val="00663E47"/>
    <w:rsid w:val="006644A7"/>
    <w:rsid w:val="00664BDE"/>
    <w:rsid w:val="0066565B"/>
    <w:rsid w:val="00665C44"/>
    <w:rsid w:val="00666284"/>
    <w:rsid w:val="006667F3"/>
    <w:rsid w:val="00667AEA"/>
    <w:rsid w:val="006704FA"/>
    <w:rsid w:val="00670687"/>
    <w:rsid w:val="00670DC5"/>
    <w:rsid w:val="00671652"/>
    <w:rsid w:val="00671FAA"/>
    <w:rsid w:val="00675A18"/>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6CBD"/>
    <w:rsid w:val="006871D0"/>
    <w:rsid w:val="0068751F"/>
    <w:rsid w:val="00687551"/>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4DD"/>
    <w:rsid w:val="006A561D"/>
    <w:rsid w:val="006A5A0C"/>
    <w:rsid w:val="006A5BA0"/>
    <w:rsid w:val="006A5BB1"/>
    <w:rsid w:val="006A5F88"/>
    <w:rsid w:val="006A7659"/>
    <w:rsid w:val="006A7D95"/>
    <w:rsid w:val="006B120D"/>
    <w:rsid w:val="006B13C1"/>
    <w:rsid w:val="006B2CC7"/>
    <w:rsid w:val="006B30A3"/>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2D92"/>
    <w:rsid w:val="006C3031"/>
    <w:rsid w:val="006C3607"/>
    <w:rsid w:val="006C3990"/>
    <w:rsid w:val="006C3ED2"/>
    <w:rsid w:val="006C4233"/>
    <w:rsid w:val="006C42E7"/>
    <w:rsid w:val="006C4422"/>
    <w:rsid w:val="006C4C97"/>
    <w:rsid w:val="006C5CCA"/>
    <w:rsid w:val="006C625F"/>
    <w:rsid w:val="006C6BF3"/>
    <w:rsid w:val="006C75AA"/>
    <w:rsid w:val="006C78A6"/>
    <w:rsid w:val="006C7AB4"/>
    <w:rsid w:val="006D006B"/>
    <w:rsid w:val="006D105C"/>
    <w:rsid w:val="006D30E7"/>
    <w:rsid w:val="006D48E7"/>
    <w:rsid w:val="006D494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2A8"/>
    <w:rsid w:val="006E746F"/>
    <w:rsid w:val="006E7652"/>
    <w:rsid w:val="006F00E7"/>
    <w:rsid w:val="006F0F6E"/>
    <w:rsid w:val="006F1B22"/>
    <w:rsid w:val="006F1BA4"/>
    <w:rsid w:val="006F2259"/>
    <w:rsid w:val="006F23E1"/>
    <w:rsid w:val="006F2F8F"/>
    <w:rsid w:val="006F2FDA"/>
    <w:rsid w:val="006F2FE5"/>
    <w:rsid w:val="006F31DF"/>
    <w:rsid w:val="006F3240"/>
    <w:rsid w:val="006F3460"/>
    <w:rsid w:val="006F34FE"/>
    <w:rsid w:val="006F3615"/>
    <w:rsid w:val="006F3FA3"/>
    <w:rsid w:val="006F48BA"/>
    <w:rsid w:val="006F4AF9"/>
    <w:rsid w:val="006F54EB"/>
    <w:rsid w:val="006F5CC1"/>
    <w:rsid w:val="006F67A5"/>
    <w:rsid w:val="006F762D"/>
    <w:rsid w:val="00700492"/>
    <w:rsid w:val="007007A0"/>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607"/>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1893"/>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4467"/>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72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0A65"/>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57B8"/>
    <w:rsid w:val="00825A68"/>
    <w:rsid w:val="008260ED"/>
    <w:rsid w:val="0082699D"/>
    <w:rsid w:val="00826CB0"/>
    <w:rsid w:val="00826E6B"/>
    <w:rsid w:val="008275FD"/>
    <w:rsid w:val="00827A52"/>
    <w:rsid w:val="00830BA1"/>
    <w:rsid w:val="00830EB2"/>
    <w:rsid w:val="00831652"/>
    <w:rsid w:val="0083202E"/>
    <w:rsid w:val="0083304F"/>
    <w:rsid w:val="008334C9"/>
    <w:rsid w:val="00834122"/>
    <w:rsid w:val="00834DC7"/>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529"/>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1B4D"/>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0BF"/>
    <w:rsid w:val="00892265"/>
    <w:rsid w:val="0089233E"/>
    <w:rsid w:val="0089330E"/>
    <w:rsid w:val="00893323"/>
    <w:rsid w:val="008938C2"/>
    <w:rsid w:val="00893A8E"/>
    <w:rsid w:val="00893E27"/>
    <w:rsid w:val="008945F7"/>
    <w:rsid w:val="0089463D"/>
    <w:rsid w:val="0089544E"/>
    <w:rsid w:val="0089554F"/>
    <w:rsid w:val="008955E6"/>
    <w:rsid w:val="00895B5F"/>
    <w:rsid w:val="00896017"/>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828"/>
    <w:rsid w:val="008A3D62"/>
    <w:rsid w:val="008A448D"/>
    <w:rsid w:val="008A4A55"/>
    <w:rsid w:val="008A506F"/>
    <w:rsid w:val="008A528A"/>
    <w:rsid w:val="008A5298"/>
    <w:rsid w:val="008A535A"/>
    <w:rsid w:val="008A720F"/>
    <w:rsid w:val="008A7C72"/>
    <w:rsid w:val="008B04F2"/>
    <w:rsid w:val="008B07D9"/>
    <w:rsid w:val="008B0CB4"/>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478"/>
    <w:rsid w:val="008C1557"/>
    <w:rsid w:val="008C1B8C"/>
    <w:rsid w:val="008C2306"/>
    <w:rsid w:val="008C26D1"/>
    <w:rsid w:val="008C2B7F"/>
    <w:rsid w:val="008C36AC"/>
    <w:rsid w:val="008C4953"/>
    <w:rsid w:val="008C4E44"/>
    <w:rsid w:val="008C6074"/>
    <w:rsid w:val="008C6255"/>
    <w:rsid w:val="008C684B"/>
    <w:rsid w:val="008C6ABD"/>
    <w:rsid w:val="008C6F18"/>
    <w:rsid w:val="008C7685"/>
    <w:rsid w:val="008D007A"/>
    <w:rsid w:val="008D07DE"/>
    <w:rsid w:val="008D0831"/>
    <w:rsid w:val="008D0E40"/>
    <w:rsid w:val="008D1E7F"/>
    <w:rsid w:val="008D2367"/>
    <w:rsid w:val="008D312C"/>
    <w:rsid w:val="008D427A"/>
    <w:rsid w:val="008D496B"/>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471"/>
    <w:rsid w:val="008F6973"/>
    <w:rsid w:val="008F6E6A"/>
    <w:rsid w:val="008F7AA7"/>
    <w:rsid w:val="00900947"/>
    <w:rsid w:val="00900EB8"/>
    <w:rsid w:val="00900FBA"/>
    <w:rsid w:val="00901F2C"/>
    <w:rsid w:val="00901F59"/>
    <w:rsid w:val="00902E5B"/>
    <w:rsid w:val="00903FD9"/>
    <w:rsid w:val="00904CF5"/>
    <w:rsid w:val="009050D7"/>
    <w:rsid w:val="00905259"/>
    <w:rsid w:val="0090556C"/>
    <w:rsid w:val="00905633"/>
    <w:rsid w:val="00905EAE"/>
    <w:rsid w:val="009060C4"/>
    <w:rsid w:val="00906C91"/>
    <w:rsid w:val="00906C95"/>
    <w:rsid w:val="00906D10"/>
    <w:rsid w:val="00907656"/>
    <w:rsid w:val="00907785"/>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BF5"/>
    <w:rsid w:val="0097216F"/>
    <w:rsid w:val="0097218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9F9"/>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CE4"/>
    <w:rsid w:val="009B14E2"/>
    <w:rsid w:val="009B1B0E"/>
    <w:rsid w:val="009B2286"/>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24B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E65"/>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3BAF"/>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410E"/>
    <w:rsid w:val="00A25317"/>
    <w:rsid w:val="00A25706"/>
    <w:rsid w:val="00A25C26"/>
    <w:rsid w:val="00A25D84"/>
    <w:rsid w:val="00A26029"/>
    <w:rsid w:val="00A262E4"/>
    <w:rsid w:val="00A267C2"/>
    <w:rsid w:val="00A268EA"/>
    <w:rsid w:val="00A2703A"/>
    <w:rsid w:val="00A31CE0"/>
    <w:rsid w:val="00A31FA9"/>
    <w:rsid w:val="00A333BF"/>
    <w:rsid w:val="00A337E5"/>
    <w:rsid w:val="00A33825"/>
    <w:rsid w:val="00A3398F"/>
    <w:rsid w:val="00A34598"/>
    <w:rsid w:val="00A34749"/>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185F"/>
    <w:rsid w:val="00A539D1"/>
    <w:rsid w:val="00A54DAE"/>
    <w:rsid w:val="00A56D3B"/>
    <w:rsid w:val="00A57450"/>
    <w:rsid w:val="00A57479"/>
    <w:rsid w:val="00A57C08"/>
    <w:rsid w:val="00A600D9"/>
    <w:rsid w:val="00A604CD"/>
    <w:rsid w:val="00A620BD"/>
    <w:rsid w:val="00A637A0"/>
    <w:rsid w:val="00A63ECD"/>
    <w:rsid w:val="00A64093"/>
    <w:rsid w:val="00A640EB"/>
    <w:rsid w:val="00A6412F"/>
    <w:rsid w:val="00A64815"/>
    <w:rsid w:val="00A65043"/>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45F"/>
    <w:rsid w:val="00A81CBC"/>
    <w:rsid w:val="00A82506"/>
    <w:rsid w:val="00A837CE"/>
    <w:rsid w:val="00A83DB5"/>
    <w:rsid w:val="00A83FBA"/>
    <w:rsid w:val="00A841FC"/>
    <w:rsid w:val="00A84636"/>
    <w:rsid w:val="00A84FE1"/>
    <w:rsid w:val="00A85080"/>
    <w:rsid w:val="00A863CA"/>
    <w:rsid w:val="00A86406"/>
    <w:rsid w:val="00A86853"/>
    <w:rsid w:val="00A86AFF"/>
    <w:rsid w:val="00A86B75"/>
    <w:rsid w:val="00A86E75"/>
    <w:rsid w:val="00A86F33"/>
    <w:rsid w:val="00A9065F"/>
    <w:rsid w:val="00A90902"/>
    <w:rsid w:val="00A90B0E"/>
    <w:rsid w:val="00A91AA1"/>
    <w:rsid w:val="00A91C8C"/>
    <w:rsid w:val="00A91F0D"/>
    <w:rsid w:val="00A9235A"/>
    <w:rsid w:val="00A92FF7"/>
    <w:rsid w:val="00A93069"/>
    <w:rsid w:val="00A93BCF"/>
    <w:rsid w:val="00A9468F"/>
    <w:rsid w:val="00A9498D"/>
    <w:rsid w:val="00A9508B"/>
    <w:rsid w:val="00A95335"/>
    <w:rsid w:val="00A9566B"/>
    <w:rsid w:val="00A9657F"/>
    <w:rsid w:val="00A976CB"/>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590D"/>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4E92"/>
    <w:rsid w:val="00AC520B"/>
    <w:rsid w:val="00AC6C53"/>
    <w:rsid w:val="00AC6E85"/>
    <w:rsid w:val="00AC7284"/>
    <w:rsid w:val="00AC7CE6"/>
    <w:rsid w:val="00AD0828"/>
    <w:rsid w:val="00AD0B13"/>
    <w:rsid w:val="00AD0E69"/>
    <w:rsid w:val="00AD103D"/>
    <w:rsid w:val="00AD159C"/>
    <w:rsid w:val="00AD1676"/>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1BF"/>
    <w:rsid w:val="00AE35A5"/>
    <w:rsid w:val="00AE4E2A"/>
    <w:rsid w:val="00AE5CF9"/>
    <w:rsid w:val="00AE5DB6"/>
    <w:rsid w:val="00AE6C3C"/>
    <w:rsid w:val="00AE702E"/>
    <w:rsid w:val="00AE73E0"/>
    <w:rsid w:val="00AF03C0"/>
    <w:rsid w:val="00AF166F"/>
    <w:rsid w:val="00AF1C03"/>
    <w:rsid w:val="00AF3936"/>
    <w:rsid w:val="00AF39AF"/>
    <w:rsid w:val="00AF3B87"/>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790"/>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76"/>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876"/>
    <w:rsid w:val="00B82998"/>
    <w:rsid w:val="00B834B0"/>
    <w:rsid w:val="00B83690"/>
    <w:rsid w:val="00B837F6"/>
    <w:rsid w:val="00B83DAE"/>
    <w:rsid w:val="00B84FB4"/>
    <w:rsid w:val="00B860E6"/>
    <w:rsid w:val="00B8756E"/>
    <w:rsid w:val="00B87A7D"/>
    <w:rsid w:val="00B87DF9"/>
    <w:rsid w:val="00B91951"/>
    <w:rsid w:val="00B91A58"/>
    <w:rsid w:val="00B91EAD"/>
    <w:rsid w:val="00B920B9"/>
    <w:rsid w:val="00B930D2"/>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2FEB"/>
    <w:rsid w:val="00BD3924"/>
    <w:rsid w:val="00BD3C33"/>
    <w:rsid w:val="00BD450F"/>
    <w:rsid w:val="00BD4512"/>
    <w:rsid w:val="00BD52AA"/>
    <w:rsid w:val="00BD5E4A"/>
    <w:rsid w:val="00BD6AB4"/>
    <w:rsid w:val="00BD6D3E"/>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0ED"/>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5867"/>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24D"/>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82"/>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C56"/>
    <w:rsid w:val="00C87331"/>
    <w:rsid w:val="00C8773E"/>
    <w:rsid w:val="00C90601"/>
    <w:rsid w:val="00C90B02"/>
    <w:rsid w:val="00C90D16"/>
    <w:rsid w:val="00C9116A"/>
    <w:rsid w:val="00C91DAF"/>
    <w:rsid w:val="00C9265D"/>
    <w:rsid w:val="00C92824"/>
    <w:rsid w:val="00C92FF5"/>
    <w:rsid w:val="00C937BA"/>
    <w:rsid w:val="00C949FC"/>
    <w:rsid w:val="00C94B5C"/>
    <w:rsid w:val="00C95BA3"/>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4CF"/>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3F12"/>
    <w:rsid w:val="00CE4282"/>
    <w:rsid w:val="00CE51A5"/>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9A0"/>
    <w:rsid w:val="00CF3D1C"/>
    <w:rsid w:val="00CF4713"/>
    <w:rsid w:val="00CF477B"/>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4C1E"/>
    <w:rsid w:val="00D15CB3"/>
    <w:rsid w:val="00D15F51"/>
    <w:rsid w:val="00D1660E"/>
    <w:rsid w:val="00D16ED5"/>
    <w:rsid w:val="00D171C6"/>
    <w:rsid w:val="00D17834"/>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171B"/>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59D8"/>
    <w:rsid w:val="00D45F7F"/>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1A3F"/>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3660"/>
    <w:rsid w:val="00D7373F"/>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8B3"/>
    <w:rsid w:val="00DB6D86"/>
    <w:rsid w:val="00DB6F45"/>
    <w:rsid w:val="00DB72B7"/>
    <w:rsid w:val="00DB7546"/>
    <w:rsid w:val="00DB7E60"/>
    <w:rsid w:val="00DC0624"/>
    <w:rsid w:val="00DC0FC3"/>
    <w:rsid w:val="00DC1A58"/>
    <w:rsid w:val="00DC1AC0"/>
    <w:rsid w:val="00DC1CDD"/>
    <w:rsid w:val="00DC1D8E"/>
    <w:rsid w:val="00DC1E75"/>
    <w:rsid w:val="00DC20C3"/>
    <w:rsid w:val="00DC227A"/>
    <w:rsid w:val="00DC2360"/>
    <w:rsid w:val="00DC26E4"/>
    <w:rsid w:val="00DC2BAE"/>
    <w:rsid w:val="00DC2CEE"/>
    <w:rsid w:val="00DC2E45"/>
    <w:rsid w:val="00DC3257"/>
    <w:rsid w:val="00DC3279"/>
    <w:rsid w:val="00DC346F"/>
    <w:rsid w:val="00DC3BF1"/>
    <w:rsid w:val="00DC4933"/>
    <w:rsid w:val="00DC4D1D"/>
    <w:rsid w:val="00DC4D87"/>
    <w:rsid w:val="00DC54EB"/>
    <w:rsid w:val="00DC580A"/>
    <w:rsid w:val="00DC5B50"/>
    <w:rsid w:val="00DC66BC"/>
    <w:rsid w:val="00DC727F"/>
    <w:rsid w:val="00DC7E78"/>
    <w:rsid w:val="00DD0031"/>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E02"/>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3BE2"/>
    <w:rsid w:val="00E141D3"/>
    <w:rsid w:val="00E14941"/>
    <w:rsid w:val="00E15145"/>
    <w:rsid w:val="00E1526B"/>
    <w:rsid w:val="00E1534B"/>
    <w:rsid w:val="00E15408"/>
    <w:rsid w:val="00E155E4"/>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537"/>
    <w:rsid w:val="00E31B6D"/>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3ACE"/>
    <w:rsid w:val="00ED4206"/>
    <w:rsid w:val="00ED58A2"/>
    <w:rsid w:val="00ED58C3"/>
    <w:rsid w:val="00ED5C71"/>
    <w:rsid w:val="00ED5EEE"/>
    <w:rsid w:val="00ED667C"/>
    <w:rsid w:val="00ED7966"/>
    <w:rsid w:val="00EE01CC"/>
    <w:rsid w:val="00EE04EE"/>
    <w:rsid w:val="00EE1760"/>
    <w:rsid w:val="00EE18B6"/>
    <w:rsid w:val="00EE25E3"/>
    <w:rsid w:val="00EE287D"/>
    <w:rsid w:val="00EE392F"/>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3CBD"/>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D65"/>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CEC"/>
    <w:rsid w:val="00F84F0E"/>
    <w:rsid w:val="00F8519E"/>
    <w:rsid w:val="00F85FF5"/>
    <w:rsid w:val="00F86BB4"/>
    <w:rsid w:val="00F86E69"/>
    <w:rsid w:val="00F870F5"/>
    <w:rsid w:val="00F87D02"/>
    <w:rsid w:val="00F902D2"/>
    <w:rsid w:val="00F9097D"/>
    <w:rsid w:val="00F90B12"/>
    <w:rsid w:val="00F90CBD"/>
    <w:rsid w:val="00F9109E"/>
    <w:rsid w:val="00F9177E"/>
    <w:rsid w:val="00F91E4F"/>
    <w:rsid w:val="00F91FDF"/>
    <w:rsid w:val="00F92AA1"/>
    <w:rsid w:val="00F92FDC"/>
    <w:rsid w:val="00F931D2"/>
    <w:rsid w:val="00F93431"/>
    <w:rsid w:val="00F93A4A"/>
    <w:rsid w:val="00F93D27"/>
    <w:rsid w:val="00F95DD6"/>
    <w:rsid w:val="00F9600F"/>
    <w:rsid w:val="00F96370"/>
    <w:rsid w:val="00F97940"/>
    <w:rsid w:val="00F97BA3"/>
    <w:rsid w:val="00F97EA2"/>
    <w:rsid w:val="00F97F0D"/>
    <w:rsid w:val="00F97FBB"/>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6C66"/>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752"/>
    <w:rsid w:val="00FF6B71"/>
    <w:rsid w:val="00FF6EDF"/>
    <w:rsid w:val="00FF6EEA"/>
    <w:rsid w:val="00FF77DF"/>
    <w:rsid w:val="00FF7ABB"/>
    <w:rsid w:val="00FF7B99"/>
    <w:rsid w:val="03D6D67E"/>
    <w:rsid w:val="537EBF5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F5567DAF-518D-4FD6-BEA7-60F11AA2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ECM-1122293896-100372</_dlc_DocId>
    <_dlc_DocIdUrl xmlns="58a6f171-52cb-4404-b47d-af1c8daf8fd1">
      <Url>https://ministryforenvironment.sharepoint.com/sites/ECM-ER-Comms/_layouts/15/DocIdRedir.aspx?ID=ECM-1122293896-100372</Url>
      <Description>ECM-1122293896-100372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4.xml><?xml version="1.0" encoding="utf-8"?>
<ds:datastoreItem xmlns:ds="http://schemas.openxmlformats.org/officeDocument/2006/customXml" ds:itemID="{A9B57498-09CF-4F58-8978-2653B8249A89}">
  <ds:schemaRefs>
    <ds:schemaRef ds:uri="http://schemas.microsoft.com/sharepoint/events"/>
  </ds:schemaRefs>
</ds:datastoreItem>
</file>

<file path=customXml/itemProps5.xml><?xml version="1.0" encoding="utf-8"?>
<ds:datastoreItem xmlns:ds="http://schemas.openxmlformats.org/officeDocument/2006/customXml" ds:itemID="{44746146-4E31-4ABB-A760-1C667CE2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Michael Johnson</cp:lastModifiedBy>
  <cp:revision>53</cp:revision>
  <dcterms:created xsi:type="dcterms:W3CDTF">2023-08-16T07:42:00Z</dcterms:created>
  <dcterms:modified xsi:type="dcterms:W3CDTF">2023-08-30T03:05:00Z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93316643-c69c-449c-926d-36e87524cd86</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