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A3CC2" w:rsidR="0080531E" w:rsidP="004A3CC2" w:rsidRDefault="00074007" w14:paraId="19BB02DD" w14:textId="0785C2E9">
      <w:pPr>
        <w:pStyle w:val="Title"/>
      </w:pPr>
      <w:r>
        <w:rPr>
          <w:b w:val="0"/>
          <w:bCs/>
          <w:noProof/>
          <w:color w:val="006666"/>
          <w:sz w:val="48"/>
          <w:szCs w:val="48"/>
          <w14:ligatures w14:val="standardContextual"/>
        </w:rPr>
        <w:drawing>
          <wp:anchor distT="0" distB="0" distL="114300" distR="114300" simplePos="0" relativeHeight="251658240" behindDoc="0" locked="0" layoutInCell="1" allowOverlap="1" wp14:anchorId="11C00A0A" wp14:editId="7E4BAAD5">
            <wp:simplePos x="0" y="0"/>
            <wp:positionH relativeFrom="page">
              <wp:posOffset>0</wp:posOffset>
            </wp:positionH>
            <wp:positionV relativeFrom="paragraph">
              <wp:posOffset>-3600450</wp:posOffset>
            </wp:positionV>
            <wp:extent cx="7553074" cy="10683946"/>
            <wp:effectExtent l="0" t="0" r="0" b="3175"/>
            <wp:wrapNone/>
            <wp:docPr id="874052031" name="Picture 874052031" descr="A group of hous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52031" name="Picture 1" descr="A group of houses in a field&#10;&#10;Description automatically generated"/>
                    <pic:cNvPicPr/>
                  </pic:nvPicPr>
                  <pic:blipFill>
                    <a:blip r:embed="rId12"/>
                    <a:stretch>
                      <a:fillRect/>
                    </a:stretch>
                  </pic:blipFill>
                  <pic:spPr>
                    <a:xfrm>
                      <a:off x="0" y="0"/>
                      <a:ext cx="7553074" cy="10683946"/>
                    </a:xfrm>
                    <a:prstGeom prst="rect">
                      <a:avLst/>
                    </a:prstGeom>
                  </pic:spPr>
                </pic:pic>
              </a:graphicData>
            </a:graphic>
            <wp14:sizeRelH relativeFrom="margin">
              <wp14:pctWidth>0</wp14:pctWidth>
            </wp14:sizeRelH>
            <wp14:sizeRelV relativeFrom="margin">
              <wp14:pctHeight>0</wp14:pctHeight>
            </wp14:sizeRelV>
          </wp:anchor>
        </w:drawing>
      </w:r>
      <w:r w:rsidR="00360F94">
        <w:softHyphen/>
      </w:r>
      <w:r w:rsidR="00360F94">
        <w:softHyphen/>
      </w:r>
    </w:p>
    <w:p w:rsidRPr="004A3CC2" w:rsidR="0003640E" w:rsidP="004A3CC2" w:rsidRDefault="0003640E" w14:paraId="366995A7" w14:textId="6EAE9AD9">
      <w:pPr>
        <w:pStyle w:val="Subtitle"/>
      </w:pPr>
    </w:p>
    <w:p w:rsidRPr="006B77BB" w:rsidR="0080531E" w:rsidP="00E55CF6" w:rsidRDefault="0080531E" w14:paraId="0B9EF872" w14:textId="77777777">
      <w:pPr>
        <w:pStyle w:val="BodyText"/>
      </w:pPr>
    </w:p>
    <w:p w:rsidRPr="006B77BB" w:rsidR="0003640E" w:rsidP="00E55CF6" w:rsidRDefault="0003640E" w14:paraId="6CADD98B" w14:textId="77777777">
      <w:pPr>
        <w:pStyle w:val="BodyText"/>
      </w:pPr>
    </w:p>
    <w:p w:rsidRPr="006B77BB" w:rsidR="0003640E" w:rsidP="0080531E" w:rsidRDefault="0003640E" w14:paraId="647FA92C" w14:textId="77777777">
      <w:pPr>
        <w:rPr>
          <w:color w:val="FF0000"/>
        </w:rPr>
        <w:sectPr w:rsidRPr="006B77BB" w:rsidR="0003640E" w:rsidSect="00B86F2A">
          <w:headerReference w:type="default" r:id="rId13"/>
          <w:footerReference w:type="default" r:id="rId14"/>
          <w:pgSz w:w="11907" w:h="16840" w:code="9"/>
          <w:pgMar w:top="5670" w:right="1701" w:bottom="1701" w:left="1701" w:header="567" w:footer="1134" w:gutter="0"/>
          <w:cols w:space="720"/>
        </w:sectPr>
      </w:pPr>
    </w:p>
    <w:p w:rsidRPr="006B77BB" w:rsidR="00452EC4" w:rsidP="00775F57" w:rsidRDefault="00452EC4" w14:paraId="1089EA9C" w14:textId="0D4E14EF">
      <w:pPr>
        <w:pStyle w:val="Imprint"/>
        <w:spacing w:before="0" w:after="0"/>
        <w:rPr>
          <w:b/>
        </w:rPr>
      </w:pPr>
      <w:bookmarkStart w:name="_Hlk144370230" w:id="0"/>
      <w:bookmarkEnd w:id="0"/>
      <w:r w:rsidRPr="006B77BB">
        <w:rPr>
          <w:b/>
        </w:rPr>
        <w:t>Disclaimer</w:t>
      </w:r>
    </w:p>
    <w:p w:rsidR="006A5B0C" w:rsidP="006A5B0C" w:rsidRDefault="006A5B0C" w14:paraId="0B8A0D92" w14:textId="77777777">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rsidR="006A5B0C" w:rsidP="006A5B0C" w:rsidRDefault="006A5B0C" w14:paraId="4A3754B5" w14:textId="03708851">
      <w:pPr>
        <w:pStyle w:val="Imprint"/>
        <w:numPr>
          <w:ilvl w:val="0"/>
          <w:numId w:val="43"/>
        </w:numPr>
        <w:ind w:left="426"/>
      </w:pPr>
      <w:r>
        <w:t xml:space="preserve">the information does not alter the laws of </w:t>
      </w:r>
      <w:r w:rsidR="000B52B1">
        <w:t xml:space="preserve">Aotearoa </w:t>
      </w:r>
      <w:r>
        <w:t xml:space="preserve">New Zealand, other official guidelines, or </w:t>
      </w:r>
      <w:proofErr w:type="gramStart"/>
      <w:r>
        <w:t>requirements</w:t>
      </w:r>
      <w:proofErr w:type="gramEnd"/>
      <w:r>
        <w:t xml:space="preserve"> </w:t>
      </w:r>
    </w:p>
    <w:p w:rsidR="006A5B0C" w:rsidP="006A5B0C" w:rsidRDefault="006A5B0C" w14:paraId="47B98636" w14:textId="4E50AC17">
      <w:pPr>
        <w:pStyle w:val="Imprint"/>
        <w:numPr>
          <w:ilvl w:val="0"/>
          <w:numId w:val="43"/>
        </w:numPr>
        <w:ind w:left="426"/>
      </w:pPr>
      <w:r>
        <w:t xml:space="preserve">it does not constitute legal advice, and users should take specific advice from qualified professionals before taking any action based on information in this </w:t>
      </w:r>
      <w:proofErr w:type="gramStart"/>
      <w:r>
        <w:t>publication</w:t>
      </w:r>
      <w:proofErr w:type="gramEnd"/>
      <w:r>
        <w:t xml:space="preserve"> </w:t>
      </w:r>
    </w:p>
    <w:p w:rsidR="006A5B0C" w:rsidP="006A5B0C" w:rsidRDefault="006A5B0C" w14:paraId="335E9305" w14:textId="07E6CAAC">
      <w:pPr>
        <w:pStyle w:val="Imprint"/>
        <w:numPr>
          <w:ilvl w:val="0"/>
          <w:numId w:val="43"/>
        </w:numPr>
        <w:ind w:left="426"/>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p>
    <w:p w:rsidRPr="006B77BB" w:rsidR="00452EC4" w:rsidP="006A5B0C" w:rsidRDefault="006A5B0C" w14:paraId="15FA0C2F" w14:textId="3BF9D392">
      <w:pPr>
        <w:pStyle w:val="Imprint"/>
        <w:numPr>
          <w:ilvl w:val="0"/>
          <w:numId w:val="43"/>
        </w:numPr>
        <w:ind w:left="426"/>
      </w:pPr>
      <w:r>
        <w:t>all references to websites, organisations, or people not within the Ministry are for convenience only and should not be taken as endorsement of those websites or information contained in those websites nor of organisations or people referred to.</w:t>
      </w:r>
    </w:p>
    <w:p w:rsidRPr="003B6490" w:rsidR="00452EC4" w:rsidP="003B6490" w:rsidRDefault="00452EC4" w14:paraId="34B232AE" w14:textId="77777777">
      <w:pPr>
        <w:pStyle w:val="Imprint"/>
      </w:pPr>
    </w:p>
    <w:p w:rsidRPr="006B77BB" w:rsidR="0080531E" w:rsidP="0080531E" w:rsidRDefault="00F66DC0" w14:paraId="5B39FD27" w14:textId="0D543C32">
      <w:pPr>
        <w:pStyle w:val="Imprint"/>
      </w:pPr>
      <w:r w:rsidRPr="00F66DC0">
        <w:t>This document may be cited as</w:t>
      </w:r>
      <w:r w:rsidR="000B52B1">
        <w:t xml:space="preserve"> Ministry for the Environment. 2023.</w:t>
      </w:r>
      <w:r w:rsidRPr="00F66DC0">
        <w:t xml:space="preserve"> </w:t>
      </w:r>
      <w:r w:rsidRPr="00F66DC0">
        <w:rPr>
          <w:i/>
          <w:iCs/>
        </w:rPr>
        <w:t>Aotearoa New Zealand’s new resource management system: Summary of developing the transitional National Planning Framework |</w:t>
      </w:r>
      <w:r w:rsidRPr="00DE7D6F" w:rsidR="00DE7D6F">
        <w:rPr>
          <w:i/>
          <w:iCs/>
        </w:rPr>
        <w:t xml:space="preserve"> </w:t>
      </w:r>
      <w:proofErr w:type="spellStart"/>
      <w:r w:rsidRPr="007277BD" w:rsidR="00DE7D6F">
        <w:rPr>
          <w:i/>
          <w:iCs/>
        </w:rPr>
        <w:t>Te</w:t>
      </w:r>
      <w:proofErr w:type="spellEnd"/>
      <w:r w:rsidRPr="007277BD" w:rsidR="00DE7D6F">
        <w:rPr>
          <w:i/>
          <w:iCs/>
        </w:rPr>
        <w:t xml:space="preserve"> </w:t>
      </w:r>
      <w:proofErr w:type="spellStart"/>
      <w:r w:rsidRPr="007277BD" w:rsidR="00DE7D6F">
        <w:rPr>
          <w:i/>
          <w:iCs/>
        </w:rPr>
        <w:t>pūnaha</w:t>
      </w:r>
      <w:proofErr w:type="spellEnd"/>
      <w:r w:rsidRPr="007277BD" w:rsidR="00DE7D6F">
        <w:rPr>
          <w:i/>
          <w:iCs/>
        </w:rPr>
        <w:t xml:space="preserve"> </w:t>
      </w:r>
      <w:proofErr w:type="spellStart"/>
      <w:r w:rsidRPr="007277BD" w:rsidR="00DE7D6F">
        <w:rPr>
          <w:i/>
          <w:iCs/>
        </w:rPr>
        <w:t>whakahaere</w:t>
      </w:r>
      <w:proofErr w:type="spellEnd"/>
      <w:r w:rsidRPr="007277BD" w:rsidR="00DE7D6F">
        <w:rPr>
          <w:i/>
          <w:iCs/>
        </w:rPr>
        <w:t xml:space="preserve"> </w:t>
      </w:r>
      <w:proofErr w:type="spellStart"/>
      <w:r w:rsidRPr="007277BD" w:rsidR="00DE7D6F">
        <w:rPr>
          <w:i/>
          <w:iCs/>
        </w:rPr>
        <w:t>rawa</w:t>
      </w:r>
      <w:proofErr w:type="spellEnd"/>
      <w:r w:rsidRPr="007277BD" w:rsidR="00DE7D6F">
        <w:rPr>
          <w:i/>
          <w:iCs/>
        </w:rPr>
        <w:t xml:space="preserve"> </w:t>
      </w:r>
      <w:proofErr w:type="spellStart"/>
      <w:r w:rsidRPr="007277BD" w:rsidR="00DE7D6F">
        <w:rPr>
          <w:i/>
          <w:iCs/>
        </w:rPr>
        <w:t>hou</w:t>
      </w:r>
      <w:proofErr w:type="spellEnd"/>
      <w:r w:rsidRPr="007277BD" w:rsidR="00DE7D6F">
        <w:rPr>
          <w:i/>
          <w:iCs/>
        </w:rPr>
        <w:t xml:space="preserve"> o Aotearoa: Whakarāpopoto o </w:t>
      </w:r>
      <w:proofErr w:type="spellStart"/>
      <w:r w:rsidRPr="007277BD" w:rsidR="00DE7D6F">
        <w:rPr>
          <w:i/>
          <w:iCs/>
        </w:rPr>
        <w:t>te</w:t>
      </w:r>
      <w:proofErr w:type="spellEnd"/>
      <w:r w:rsidRPr="007277BD" w:rsidR="00DE7D6F">
        <w:rPr>
          <w:i/>
          <w:iCs/>
        </w:rPr>
        <w:t xml:space="preserve"> </w:t>
      </w:r>
      <w:proofErr w:type="spellStart"/>
      <w:r w:rsidRPr="007277BD" w:rsidR="00DE7D6F">
        <w:rPr>
          <w:i/>
          <w:iCs/>
        </w:rPr>
        <w:t>whakawhanake</w:t>
      </w:r>
      <w:proofErr w:type="spellEnd"/>
      <w:r w:rsidRPr="007277BD" w:rsidR="00DE7D6F">
        <w:rPr>
          <w:i/>
          <w:iCs/>
        </w:rPr>
        <w:t xml:space="preserve"> </w:t>
      </w:r>
      <w:proofErr w:type="spellStart"/>
      <w:r w:rsidRPr="007277BD" w:rsidR="00DE7D6F">
        <w:rPr>
          <w:i/>
          <w:iCs/>
        </w:rPr>
        <w:t>i</w:t>
      </w:r>
      <w:proofErr w:type="spellEnd"/>
      <w:r w:rsidRPr="007277BD" w:rsidR="00DE7D6F">
        <w:rPr>
          <w:i/>
          <w:iCs/>
        </w:rPr>
        <w:t xml:space="preserve"> </w:t>
      </w:r>
      <w:proofErr w:type="spellStart"/>
      <w:r w:rsidRPr="007277BD" w:rsidR="00DE7D6F">
        <w:rPr>
          <w:i/>
          <w:iCs/>
        </w:rPr>
        <w:t>te</w:t>
      </w:r>
      <w:proofErr w:type="spellEnd"/>
      <w:r w:rsidRPr="007277BD" w:rsidR="00DE7D6F">
        <w:rPr>
          <w:i/>
          <w:iCs/>
        </w:rPr>
        <w:t xml:space="preserve"> Anga Mahere ā-Motu </w:t>
      </w:r>
      <w:proofErr w:type="spellStart"/>
      <w:r w:rsidRPr="007277BD" w:rsidR="00DE7D6F">
        <w:rPr>
          <w:i/>
          <w:iCs/>
        </w:rPr>
        <w:t>whakawhiti</w:t>
      </w:r>
      <w:proofErr w:type="spellEnd"/>
      <w:r w:rsidRPr="00F66DC0" w:rsidR="00DE7D6F">
        <w:rPr>
          <w:i/>
          <w:iCs/>
        </w:rPr>
        <w:t xml:space="preserve">. </w:t>
      </w:r>
      <w:r w:rsidRPr="00F66DC0">
        <w:t xml:space="preserve">Wellington: </w:t>
      </w:r>
      <w:proofErr w:type="spellStart"/>
      <w:r w:rsidRPr="00F66DC0">
        <w:t>Manatū</w:t>
      </w:r>
      <w:proofErr w:type="spellEnd"/>
      <w:r w:rsidRPr="00F66DC0">
        <w:t xml:space="preserve"> </w:t>
      </w:r>
      <w:proofErr w:type="spellStart"/>
      <w:r w:rsidRPr="00F66DC0">
        <w:t>Mō</w:t>
      </w:r>
      <w:proofErr w:type="spellEnd"/>
      <w:r w:rsidRPr="00F66DC0">
        <w:t xml:space="preserve"> </w:t>
      </w:r>
      <w:proofErr w:type="spellStart"/>
      <w:r w:rsidRPr="00F66DC0">
        <w:t>Te</w:t>
      </w:r>
      <w:proofErr w:type="spellEnd"/>
      <w:r w:rsidRPr="00F66DC0">
        <w:t xml:space="preserve"> Taiao | Ministry for the Environment.</w:t>
      </w:r>
    </w:p>
    <w:p w:rsidRPr="006B77BB" w:rsidR="0080531E" w:rsidP="0080531E" w:rsidRDefault="0080531E" w14:paraId="5AB1B5AE" w14:textId="77777777">
      <w:pPr>
        <w:pStyle w:val="Imprint"/>
      </w:pPr>
    </w:p>
    <w:p w:rsidR="00457135" w:rsidP="0080531E" w:rsidRDefault="00457135" w14:paraId="7FD63B62" w14:textId="289DA3C7">
      <w:pPr>
        <w:pStyle w:val="Imprint"/>
      </w:pPr>
    </w:p>
    <w:p w:rsidR="0087665A" w:rsidP="0080531E" w:rsidRDefault="0087665A" w14:paraId="2F30F84E" w14:textId="77777777">
      <w:pPr>
        <w:pStyle w:val="Imprint"/>
      </w:pPr>
    </w:p>
    <w:p w:rsidR="0087665A" w:rsidP="0080531E" w:rsidRDefault="0087665A" w14:paraId="5021D6C4" w14:textId="77777777">
      <w:pPr>
        <w:pStyle w:val="Imprint"/>
      </w:pPr>
    </w:p>
    <w:p w:rsidR="0087665A" w:rsidP="0080531E" w:rsidRDefault="0087665A" w14:paraId="3334B70A" w14:textId="77777777">
      <w:pPr>
        <w:pStyle w:val="Imprint"/>
      </w:pPr>
    </w:p>
    <w:p w:rsidRPr="006B77BB" w:rsidR="00457135" w:rsidP="0080531E" w:rsidRDefault="00457135" w14:paraId="58B10F11" w14:textId="77777777">
      <w:pPr>
        <w:pStyle w:val="Imprint"/>
      </w:pPr>
    </w:p>
    <w:p w:rsidRPr="006B77BB" w:rsidR="0080531E" w:rsidP="0080531E" w:rsidRDefault="0080531E" w14:paraId="1B9BF1BE" w14:textId="33E6FB32">
      <w:pPr>
        <w:pStyle w:val="Imprint"/>
      </w:pPr>
      <w:r>
        <w:t xml:space="preserve">Published in </w:t>
      </w:r>
      <w:r w:rsidRPr="00C53850" w:rsidR="00C53850">
        <w:t>October</w:t>
      </w:r>
      <w:r w:rsidR="00775F57">
        <w:t xml:space="preserve"> </w:t>
      </w:r>
      <w:r w:rsidR="003028EC">
        <w:t>2023</w:t>
      </w:r>
      <w:r>
        <w:t xml:space="preserve"> by the</w:t>
      </w:r>
      <w:r>
        <w:br/>
      </w:r>
      <w:r>
        <w:t xml:space="preserve">Ministry for the Environment </w:t>
      </w:r>
      <w:r>
        <w:br/>
      </w:r>
      <w:r>
        <w:t>Manatū Mō Te Taiao</w:t>
      </w:r>
      <w:r>
        <w:br/>
      </w:r>
      <w:r>
        <w:t>PO Box 10362, Wellington 6143, New Zealand</w:t>
      </w:r>
    </w:p>
    <w:p w:rsidRPr="006B77BB" w:rsidR="0080531E" w:rsidP="0080531E" w:rsidRDefault="0080531E" w14:paraId="4895D572" w14:textId="6AB6D6FC">
      <w:pPr>
        <w:pStyle w:val="Imprint"/>
        <w:tabs>
          <w:tab w:val="left" w:pos="720"/>
        </w:tabs>
        <w:ind w:left="720" w:hanging="720"/>
      </w:pPr>
      <w:r w:rsidRPr="006B77BB">
        <w:t xml:space="preserve">ISBN: </w:t>
      </w:r>
      <w:r w:rsidRPr="0051729B" w:rsidR="0051729B">
        <w:rPr>
          <w:rStyle w:val="normaltextrun"/>
          <w:rFonts w:cs="Calibri"/>
          <w:color w:val="000000"/>
          <w:shd w:val="clear" w:color="auto" w:fill="FFFFFF"/>
        </w:rPr>
        <w:t>978-1-991077-91-2</w:t>
      </w:r>
      <w:r w:rsidRPr="0051729B">
        <w:t xml:space="preserve"> (</w:t>
      </w:r>
      <w:r w:rsidRPr="0051729B" w:rsidR="00775F57">
        <w:t>online</w:t>
      </w:r>
      <w:r w:rsidRPr="0051729B">
        <w:t>)</w:t>
      </w:r>
    </w:p>
    <w:p w:rsidRPr="006B77BB" w:rsidR="0080531E" w:rsidP="0080531E" w:rsidRDefault="0080531E" w14:paraId="372A64EF" w14:textId="37E4345F">
      <w:pPr>
        <w:pStyle w:val="Imprint"/>
        <w:ind w:left="720" w:hanging="720"/>
      </w:pPr>
      <w:r w:rsidRPr="006B77BB">
        <w:t xml:space="preserve">Publication number: </w:t>
      </w:r>
      <w:r w:rsidRPr="0051729B">
        <w:t xml:space="preserve">ME </w:t>
      </w:r>
      <w:r w:rsidRPr="0051729B" w:rsidR="00FC01B0">
        <w:t>1</w:t>
      </w:r>
      <w:r w:rsidR="0051729B">
        <w:t>804</w:t>
      </w:r>
    </w:p>
    <w:p w:rsidRPr="006B77BB" w:rsidR="0080531E" w:rsidP="00593E94" w:rsidRDefault="0080531E" w14:paraId="706EFB97" w14:textId="6702A219">
      <w:pPr>
        <w:pStyle w:val="Imprint"/>
        <w:spacing w:after="80"/>
      </w:pPr>
      <w:r w:rsidRPr="006B77BB">
        <w:t xml:space="preserve">© Crown copyright New Zealand </w:t>
      </w:r>
      <w:r w:rsidR="00EA0AB1">
        <w:t>2023</w:t>
      </w:r>
    </w:p>
    <w:p w:rsidR="00A84FE1" w:rsidP="00A84FE1" w:rsidRDefault="0080531E" w14:paraId="6CB6B6BB" w14:textId="77777777">
      <w:pPr>
        <w:pStyle w:val="Imprint"/>
        <w:spacing w:before="240" w:after="0"/>
      </w:pPr>
      <w:r w:rsidRPr="006B77BB">
        <w:t>This document is available on the Ministry for</w:t>
      </w:r>
      <w:r w:rsidRPr="006B77BB" w:rsidR="004C4E8A">
        <w:t xml:space="preserve"> the Environment </w:t>
      </w:r>
      <w:r w:rsidRPr="006B77BB" w:rsidR="00CB557F">
        <w:t>website</w:t>
      </w:r>
      <w:r w:rsidRPr="006B77BB">
        <w:t xml:space="preserve">: </w:t>
      </w:r>
      <w:hyperlink w:history="1" r:id="rId15">
        <w:r w:rsidRPr="006B77BB">
          <w:rPr>
            <w:rStyle w:val="Hyperlink"/>
          </w:rPr>
          <w:t>www.mfe.govt.nz</w:t>
        </w:r>
      </w:hyperlink>
      <w:r w:rsidRPr="006B77BB" w:rsidR="00B51610">
        <w:rPr>
          <w:rStyle w:val="Hyperlink"/>
          <w:color w:val="auto"/>
        </w:rPr>
        <w:t>.</w:t>
      </w:r>
    </w:p>
    <w:p w:rsidRPr="00A84FE1" w:rsidR="0080531E" w:rsidP="00A84FE1" w:rsidRDefault="0080531E" w14:paraId="388D0CE9" w14:textId="77777777">
      <w:pPr>
        <w:sectPr w:rsidRPr="00A84FE1" w:rsidR="0080531E"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rsidRPr="00F06E0B" w:rsidR="0080531E" w:rsidP="00585FD0" w:rsidRDefault="0080531E" w14:paraId="16350C8E" w14:textId="77777777">
      <w:pPr>
        <w:pStyle w:val="Heading"/>
      </w:pPr>
      <w:r w:rsidRPr="00F06E0B">
        <w:t>Contents</w:t>
      </w:r>
    </w:p>
    <w:p w:rsidRPr="006113AE" w:rsidR="00215223" w:rsidRDefault="00775F57" w14:paraId="2829CF72" w14:textId="60CB35C4">
      <w:pPr>
        <w:pStyle w:val="TOC1"/>
        <w:rPr>
          <w:rFonts w:asciiTheme="minorHAnsi" w:hAnsiTheme="minorHAnsi"/>
          <w:noProof/>
          <w:kern w:val="2"/>
          <w:sz w:val="22"/>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history="1" w:anchor="_Toc146037613">
        <w:r w:rsidRPr="006113AE" w:rsidR="00215223">
          <w:rPr>
            <w:rStyle w:val="Hyperlink"/>
            <w:noProof/>
          </w:rPr>
          <w:t>Introduction</w:t>
        </w:r>
        <w:r w:rsidRPr="006113AE" w:rsidR="00215223">
          <w:rPr>
            <w:noProof/>
            <w:webHidden/>
          </w:rPr>
          <w:tab/>
        </w:r>
        <w:r w:rsidRPr="006113AE" w:rsidR="00215223">
          <w:rPr>
            <w:noProof/>
            <w:webHidden/>
          </w:rPr>
          <w:fldChar w:fldCharType="begin"/>
        </w:r>
        <w:r w:rsidRPr="006113AE" w:rsidR="00215223">
          <w:rPr>
            <w:noProof/>
            <w:webHidden/>
          </w:rPr>
          <w:instrText xml:space="preserve"> PAGEREF _Toc146037613 \h </w:instrText>
        </w:r>
        <w:r w:rsidRPr="006113AE" w:rsidR="00215223">
          <w:rPr>
            <w:noProof/>
            <w:webHidden/>
          </w:rPr>
        </w:r>
        <w:r w:rsidRPr="006113AE" w:rsidR="00215223">
          <w:rPr>
            <w:noProof/>
            <w:webHidden/>
          </w:rPr>
          <w:fldChar w:fldCharType="separate"/>
        </w:r>
        <w:r w:rsidRPr="006113AE" w:rsidR="00215223">
          <w:rPr>
            <w:noProof/>
            <w:webHidden/>
          </w:rPr>
          <w:t>5</w:t>
        </w:r>
        <w:r w:rsidRPr="006113AE" w:rsidR="00215223">
          <w:rPr>
            <w:noProof/>
            <w:webHidden/>
          </w:rPr>
          <w:fldChar w:fldCharType="end"/>
        </w:r>
      </w:hyperlink>
    </w:p>
    <w:p w:rsidRPr="00FB5671" w:rsidR="00215223" w:rsidP="00227EFD" w:rsidRDefault="0064118A" w14:paraId="6707FFB6" w14:textId="78F9B879">
      <w:pPr>
        <w:pStyle w:val="TOC2"/>
        <w:ind w:hanging="1134"/>
        <w:rPr>
          <w:rFonts w:asciiTheme="minorHAnsi" w:hAnsiTheme="minorHAnsi"/>
          <w:noProof/>
          <w:kern w:val="2"/>
          <w:sz w:val="22"/>
          <w14:ligatures w14:val="standardContextual"/>
        </w:rPr>
      </w:pPr>
      <w:hyperlink w:history="1" w:anchor="_Toc146037614">
        <w:r w:rsidRPr="00FB5671" w:rsidR="00215223">
          <w:rPr>
            <w:rStyle w:val="Hyperlink"/>
            <w:noProof/>
            <w:sz w:val="22"/>
          </w:rPr>
          <w:t>Context</w:t>
        </w:r>
        <w:r w:rsidRPr="00FB5671" w:rsidR="00215223">
          <w:rPr>
            <w:noProof/>
            <w:webHidden/>
            <w:sz w:val="22"/>
          </w:rPr>
          <w:tab/>
        </w:r>
        <w:r w:rsidRPr="00FB5671" w:rsidR="00C86652">
          <w:rPr>
            <w:noProof/>
            <w:webHidden/>
            <w:sz w:val="22"/>
          </w:rPr>
          <w:tab/>
        </w:r>
        <w:r w:rsidRPr="00FB5671" w:rsidR="00215223">
          <w:rPr>
            <w:noProof/>
            <w:webHidden/>
            <w:sz w:val="22"/>
          </w:rPr>
          <w:fldChar w:fldCharType="begin"/>
        </w:r>
        <w:r w:rsidRPr="00FB5671" w:rsidR="00215223">
          <w:rPr>
            <w:noProof/>
            <w:webHidden/>
            <w:sz w:val="22"/>
          </w:rPr>
          <w:instrText xml:space="preserve"> PAGEREF _Toc146037614 \h </w:instrText>
        </w:r>
        <w:r w:rsidRPr="00FB5671" w:rsidR="00215223">
          <w:rPr>
            <w:noProof/>
            <w:webHidden/>
            <w:sz w:val="22"/>
          </w:rPr>
        </w:r>
        <w:r w:rsidRPr="00FB5671" w:rsidR="00215223">
          <w:rPr>
            <w:noProof/>
            <w:webHidden/>
            <w:sz w:val="22"/>
          </w:rPr>
          <w:fldChar w:fldCharType="separate"/>
        </w:r>
        <w:r w:rsidRPr="00FB5671" w:rsidR="00215223">
          <w:rPr>
            <w:noProof/>
            <w:webHidden/>
            <w:sz w:val="22"/>
          </w:rPr>
          <w:t>5</w:t>
        </w:r>
        <w:r w:rsidRPr="00FB5671" w:rsidR="00215223">
          <w:rPr>
            <w:noProof/>
            <w:webHidden/>
            <w:sz w:val="22"/>
          </w:rPr>
          <w:fldChar w:fldCharType="end"/>
        </w:r>
      </w:hyperlink>
    </w:p>
    <w:p w:rsidRPr="006113AE" w:rsidR="00215223" w:rsidRDefault="0064118A" w14:paraId="38E9C4E8" w14:textId="106FEEAD">
      <w:pPr>
        <w:pStyle w:val="TOC1"/>
        <w:rPr>
          <w:rFonts w:asciiTheme="minorHAnsi" w:hAnsiTheme="minorHAnsi"/>
          <w:noProof/>
          <w:kern w:val="2"/>
          <w:sz w:val="22"/>
          <w14:ligatures w14:val="standardContextual"/>
        </w:rPr>
      </w:pPr>
      <w:hyperlink w:history="1" w:anchor="_Toc146037615">
        <w:r w:rsidRPr="006113AE" w:rsidR="00215223">
          <w:rPr>
            <w:rStyle w:val="Hyperlink"/>
            <w:noProof/>
          </w:rPr>
          <w:t>The purpose of the National Planning Framework (NPF)</w:t>
        </w:r>
        <w:r w:rsidRPr="006113AE" w:rsidR="00215223">
          <w:rPr>
            <w:noProof/>
            <w:webHidden/>
          </w:rPr>
          <w:tab/>
        </w:r>
        <w:r w:rsidRPr="006113AE" w:rsidR="00215223">
          <w:rPr>
            <w:noProof/>
            <w:webHidden/>
          </w:rPr>
          <w:fldChar w:fldCharType="begin"/>
        </w:r>
        <w:r w:rsidRPr="006113AE" w:rsidR="00215223">
          <w:rPr>
            <w:noProof/>
            <w:webHidden/>
          </w:rPr>
          <w:instrText xml:space="preserve"> PAGEREF _Toc146037615 \h </w:instrText>
        </w:r>
        <w:r w:rsidRPr="006113AE" w:rsidR="00215223">
          <w:rPr>
            <w:noProof/>
            <w:webHidden/>
          </w:rPr>
        </w:r>
        <w:r w:rsidRPr="006113AE" w:rsidR="00215223">
          <w:rPr>
            <w:noProof/>
            <w:webHidden/>
          </w:rPr>
          <w:fldChar w:fldCharType="separate"/>
        </w:r>
        <w:r w:rsidRPr="006113AE" w:rsidR="00215223">
          <w:rPr>
            <w:noProof/>
            <w:webHidden/>
          </w:rPr>
          <w:t>8</w:t>
        </w:r>
        <w:r w:rsidRPr="006113AE" w:rsidR="00215223">
          <w:rPr>
            <w:noProof/>
            <w:webHidden/>
          </w:rPr>
          <w:fldChar w:fldCharType="end"/>
        </w:r>
      </w:hyperlink>
    </w:p>
    <w:p w:rsidRPr="00FB5671" w:rsidR="00215223" w:rsidP="00227EFD" w:rsidRDefault="0064118A" w14:paraId="7B33BF4F" w14:textId="7D56DAF5">
      <w:pPr>
        <w:pStyle w:val="TOC2"/>
        <w:ind w:hanging="1134"/>
        <w:rPr>
          <w:rFonts w:asciiTheme="minorHAnsi" w:hAnsiTheme="minorHAnsi"/>
          <w:noProof/>
          <w:kern w:val="2"/>
          <w:sz w:val="20"/>
          <w:szCs w:val="20"/>
          <w14:ligatures w14:val="standardContextual"/>
        </w:rPr>
      </w:pPr>
      <w:hyperlink w:history="1" w:anchor="_Toc146037616">
        <w:r w:rsidRPr="00FB5671" w:rsidR="00215223">
          <w:rPr>
            <w:rStyle w:val="Hyperlink"/>
            <w:noProof/>
            <w:spacing w:val="-2"/>
            <w:sz w:val="22"/>
            <w:szCs w:val="20"/>
          </w:rPr>
          <w:t>What’s in the draft transitional NPF proposal?</w:t>
        </w:r>
        <w:r w:rsidRPr="00FB5671" w:rsidR="00215223">
          <w:rPr>
            <w:noProof/>
            <w:webHidden/>
            <w:sz w:val="22"/>
            <w:szCs w:val="20"/>
          </w:rPr>
          <w:tab/>
        </w:r>
        <w:r w:rsidRPr="00FB5671" w:rsidR="00215223">
          <w:rPr>
            <w:noProof/>
            <w:webHidden/>
            <w:sz w:val="22"/>
            <w:szCs w:val="20"/>
          </w:rPr>
          <w:fldChar w:fldCharType="begin"/>
        </w:r>
        <w:r w:rsidRPr="00FB5671" w:rsidR="00215223">
          <w:rPr>
            <w:noProof/>
            <w:webHidden/>
            <w:sz w:val="22"/>
            <w:szCs w:val="20"/>
          </w:rPr>
          <w:instrText xml:space="preserve"> PAGEREF _Toc146037616 \h </w:instrText>
        </w:r>
        <w:r w:rsidRPr="00FB5671" w:rsidR="00215223">
          <w:rPr>
            <w:noProof/>
            <w:webHidden/>
            <w:sz w:val="22"/>
            <w:szCs w:val="20"/>
          </w:rPr>
        </w:r>
        <w:r w:rsidRPr="00FB5671" w:rsidR="00215223">
          <w:rPr>
            <w:noProof/>
            <w:webHidden/>
            <w:sz w:val="22"/>
            <w:szCs w:val="20"/>
          </w:rPr>
          <w:fldChar w:fldCharType="separate"/>
        </w:r>
        <w:r w:rsidRPr="00FB5671" w:rsidR="00215223">
          <w:rPr>
            <w:noProof/>
            <w:webHidden/>
            <w:sz w:val="22"/>
            <w:szCs w:val="20"/>
          </w:rPr>
          <w:t>8</w:t>
        </w:r>
        <w:r w:rsidRPr="00FB5671" w:rsidR="00215223">
          <w:rPr>
            <w:noProof/>
            <w:webHidden/>
            <w:sz w:val="22"/>
            <w:szCs w:val="20"/>
          </w:rPr>
          <w:fldChar w:fldCharType="end"/>
        </w:r>
      </w:hyperlink>
    </w:p>
    <w:p w:rsidRPr="006113AE" w:rsidR="00215223" w:rsidRDefault="0064118A" w14:paraId="0B3F4166" w14:textId="6F6B92B5">
      <w:pPr>
        <w:pStyle w:val="TOC1"/>
        <w:rPr>
          <w:rFonts w:asciiTheme="minorHAnsi" w:hAnsiTheme="minorHAnsi"/>
          <w:noProof/>
          <w:kern w:val="2"/>
          <w:sz w:val="22"/>
          <w14:ligatures w14:val="standardContextual"/>
        </w:rPr>
      </w:pPr>
      <w:hyperlink w:history="1" w:anchor="_Toc146037617">
        <w:r w:rsidRPr="006113AE" w:rsidR="00215223">
          <w:rPr>
            <w:rStyle w:val="Hyperlink"/>
            <w:noProof/>
          </w:rPr>
          <w:t>Next steps</w:t>
        </w:r>
        <w:r w:rsidRPr="006113AE" w:rsidR="00215223">
          <w:rPr>
            <w:noProof/>
            <w:webHidden/>
          </w:rPr>
          <w:tab/>
        </w:r>
        <w:r w:rsidRPr="006113AE" w:rsidR="00215223">
          <w:rPr>
            <w:noProof/>
            <w:webHidden/>
          </w:rPr>
          <w:fldChar w:fldCharType="begin"/>
        </w:r>
        <w:r w:rsidRPr="006113AE" w:rsidR="00215223">
          <w:rPr>
            <w:noProof/>
            <w:webHidden/>
          </w:rPr>
          <w:instrText xml:space="preserve"> PAGEREF _Toc146037617 \h </w:instrText>
        </w:r>
        <w:r w:rsidRPr="006113AE" w:rsidR="00215223">
          <w:rPr>
            <w:noProof/>
            <w:webHidden/>
          </w:rPr>
        </w:r>
        <w:r w:rsidRPr="006113AE" w:rsidR="00215223">
          <w:rPr>
            <w:noProof/>
            <w:webHidden/>
          </w:rPr>
          <w:fldChar w:fldCharType="separate"/>
        </w:r>
        <w:r w:rsidRPr="006113AE" w:rsidR="00215223">
          <w:rPr>
            <w:noProof/>
            <w:webHidden/>
          </w:rPr>
          <w:t>10</w:t>
        </w:r>
        <w:r w:rsidRPr="006113AE" w:rsidR="00215223">
          <w:rPr>
            <w:noProof/>
            <w:webHidden/>
          </w:rPr>
          <w:fldChar w:fldCharType="end"/>
        </w:r>
      </w:hyperlink>
    </w:p>
    <w:p w:rsidRPr="006113AE" w:rsidR="00215223" w:rsidP="00170517" w:rsidRDefault="0064118A" w14:paraId="14BC97BC" w14:textId="0D729E85">
      <w:pPr>
        <w:pStyle w:val="TOC1"/>
        <w:ind w:left="0" w:firstLine="0"/>
        <w:rPr>
          <w:rFonts w:asciiTheme="minorHAnsi" w:hAnsiTheme="minorHAnsi"/>
          <w:noProof/>
          <w:kern w:val="2"/>
          <w:sz w:val="22"/>
          <w14:ligatures w14:val="standardContextual"/>
        </w:rPr>
      </w:pPr>
      <w:hyperlink w:history="1" w:anchor="_Toc146037618">
        <w:r w:rsidRPr="006113AE" w:rsidR="00215223">
          <w:rPr>
            <w:rStyle w:val="Hyperlink"/>
            <w:noProof/>
          </w:rPr>
          <w:t>Appendix A: Detailed overview of the content of the transitional National Planning Framework (NPF) proposal</w:t>
        </w:r>
        <w:r w:rsidRPr="006113AE" w:rsidR="00215223">
          <w:rPr>
            <w:noProof/>
            <w:webHidden/>
          </w:rPr>
          <w:tab/>
        </w:r>
        <w:r w:rsidRPr="006113AE" w:rsidR="00215223">
          <w:rPr>
            <w:noProof/>
            <w:webHidden/>
          </w:rPr>
          <w:fldChar w:fldCharType="begin"/>
        </w:r>
        <w:r w:rsidRPr="006113AE" w:rsidR="00215223">
          <w:rPr>
            <w:noProof/>
            <w:webHidden/>
          </w:rPr>
          <w:instrText xml:space="preserve"> PAGEREF _Toc146037618 \h </w:instrText>
        </w:r>
        <w:r w:rsidRPr="006113AE" w:rsidR="00215223">
          <w:rPr>
            <w:noProof/>
            <w:webHidden/>
          </w:rPr>
        </w:r>
        <w:r w:rsidRPr="006113AE" w:rsidR="00215223">
          <w:rPr>
            <w:noProof/>
            <w:webHidden/>
          </w:rPr>
          <w:fldChar w:fldCharType="separate"/>
        </w:r>
        <w:r w:rsidRPr="006113AE" w:rsidR="00215223">
          <w:rPr>
            <w:noProof/>
            <w:webHidden/>
          </w:rPr>
          <w:t>12</w:t>
        </w:r>
        <w:r w:rsidRPr="006113AE" w:rsidR="00215223">
          <w:rPr>
            <w:noProof/>
            <w:webHidden/>
          </w:rPr>
          <w:fldChar w:fldCharType="end"/>
        </w:r>
      </w:hyperlink>
    </w:p>
    <w:p w:rsidRPr="006B77BB" w:rsidR="0080531E" w:rsidP="00E55CF6" w:rsidRDefault="00775F57" w14:paraId="466C92C3" w14:textId="2215CB2F">
      <w:pPr>
        <w:pStyle w:val="BodyText"/>
      </w:pPr>
      <w:r w:rsidRPr="006B77BB">
        <w:fldChar w:fldCharType="end"/>
      </w:r>
    </w:p>
    <w:p w:rsidRPr="00554B30" w:rsidR="00796A6F" w:rsidP="00E55CF6" w:rsidRDefault="00796A6F" w14:paraId="4E472B24" w14:textId="77777777">
      <w:pPr>
        <w:pStyle w:val="BodyText"/>
      </w:pPr>
      <w:r w:rsidRPr="00554B30">
        <w:br w:type="page"/>
      </w:r>
    </w:p>
    <w:p w:rsidRPr="006B77BB" w:rsidR="00532334" w:rsidP="00585FD0" w:rsidRDefault="00532334" w14:paraId="1B4ED7ED" w14:textId="77777777">
      <w:pPr>
        <w:pStyle w:val="Heading"/>
      </w:pPr>
      <w:r w:rsidRPr="006B77BB">
        <w:t>Tables</w:t>
      </w:r>
    </w:p>
    <w:p w:rsidR="00215223" w:rsidRDefault="004943C2" w14:paraId="0BC534B3" w14:textId="228690B5">
      <w:pPr>
        <w:pStyle w:val="TableofFigures"/>
        <w:tabs>
          <w:tab w:val="right" w:pos="8495"/>
        </w:tabs>
        <w:rPr>
          <w:rFonts w:asciiTheme="minorHAnsi" w:hAnsiTheme="minorHAnsi"/>
          <w:noProof/>
          <w:kern w:val="2"/>
          <w:sz w:val="22"/>
          <w14:ligatures w14:val="standardContextual"/>
        </w:rPr>
      </w:pPr>
      <w:r w:rsidRPr="006B77BB">
        <w:fldChar w:fldCharType="begin"/>
      </w:r>
      <w:r w:rsidRPr="006B77BB">
        <w:instrText xml:space="preserve"> TOC \h \z \t "Table heading" \c </w:instrText>
      </w:r>
      <w:r w:rsidRPr="006B77BB">
        <w:fldChar w:fldCharType="separate"/>
      </w:r>
      <w:hyperlink w:history="1" w:anchor="_Toc146037625">
        <w:r w:rsidRPr="001D1CE5" w:rsidR="00215223">
          <w:rPr>
            <w:rStyle w:val="Hyperlink"/>
            <w:noProof/>
            <w:spacing w:val="-3"/>
          </w:rPr>
          <w:t>Table 1:</w:t>
        </w:r>
        <w:r w:rsidR="00215223">
          <w:rPr>
            <w:rFonts w:asciiTheme="minorHAnsi" w:hAnsiTheme="minorHAnsi"/>
            <w:noProof/>
            <w:kern w:val="2"/>
            <w:sz w:val="22"/>
            <w14:ligatures w14:val="standardContextual"/>
          </w:rPr>
          <w:tab/>
        </w:r>
        <w:r w:rsidRPr="001D1CE5" w:rsidR="00215223">
          <w:rPr>
            <w:rStyle w:val="Hyperlink"/>
            <w:noProof/>
            <w:spacing w:val="-3"/>
          </w:rPr>
          <w:t>Scope and structure of the draft engagement version of the transitional NPF proposal</w:t>
        </w:r>
        <w:r w:rsidR="00215223">
          <w:rPr>
            <w:noProof/>
            <w:webHidden/>
          </w:rPr>
          <w:tab/>
        </w:r>
        <w:r w:rsidR="00215223">
          <w:rPr>
            <w:noProof/>
            <w:webHidden/>
          </w:rPr>
          <w:fldChar w:fldCharType="begin"/>
        </w:r>
        <w:r w:rsidR="00215223">
          <w:rPr>
            <w:noProof/>
            <w:webHidden/>
          </w:rPr>
          <w:instrText xml:space="preserve"> PAGEREF _Toc146037625 \h </w:instrText>
        </w:r>
        <w:r w:rsidR="00215223">
          <w:rPr>
            <w:noProof/>
            <w:webHidden/>
          </w:rPr>
        </w:r>
        <w:r w:rsidR="00215223">
          <w:rPr>
            <w:noProof/>
            <w:webHidden/>
          </w:rPr>
          <w:fldChar w:fldCharType="separate"/>
        </w:r>
        <w:r w:rsidR="00215223">
          <w:rPr>
            <w:noProof/>
            <w:webHidden/>
          </w:rPr>
          <w:t>12</w:t>
        </w:r>
        <w:r w:rsidR="00215223">
          <w:rPr>
            <w:noProof/>
            <w:webHidden/>
          </w:rPr>
          <w:fldChar w:fldCharType="end"/>
        </w:r>
      </w:hyperlink>
    </w:p>
    <w:p w:rsidR="00215223" w:rsidRDefault="0064118A" w14:paraId="27837718" w14:textId="2FBE97B4">
      <w:pPr>
        <w:pStyle w:val="TableofFigures"/>
        <w:tabs>
          <w:tab w:val="right" w:pos="8495"/>
        </w:tabs>
        <w:rPr>
          <w:rFonts w:asciiTheme="minorHAnsi" w:hAnsiTheme="minorHAnsi"/>
          <w:noProof/>
          <w:kern w:val="2"/>
          <w:sz w:val="22"/>
          <w14:ligatures w14:val="standardContextual"/>
        </w:rPr>
      </w:pPr>
      <w:hyperlink w:history="1" w:anchor="_Toc146037626">
        <w:r w:rsidRPr="001D1CE5" w:rsidR="00215223">
          <w:rPr>
            <w:rStyle w:val="Hyperlink"/>
            <w:noProof/>
          </w:rPr>
          <w:t>Table 2:</w:t>
        </w:r>
        <w:r w:rsidR="00215223">
          <w:rPr>
            <w:rFonts w:asciiTheme="minorHAnsi" w:hAnsiTheme="minorHAnsi"/>
            <w:noProof/>
            <w:kern w:val="2"/>
            <w:sz w:val="22"/>
            <w14:ligatures w14:val="standardContextual"/>
          </w:rPr>
          <w:tab/>
        </w:r>
        <w:r w:rsidRPr="001D1CE5" w:rsidR="00215223">
          <w:rPr>
            <w:rStyle w:val="Hyperlink"/>
            <w:noProof/>
          </w:rPr>
          <w:t>Resource Management Act 1991 (RMA) National Direction in the transitional NPF proposal and future NPFs</w:t>
        </w:r>
        <w:r w:rsidR="00215223">
          <w:rPr>
            <w:noProof/>
            <w:webHidden/>
          </w:rPr>
          <w:tab/>
        </w:r>
        <w:r w:rsidR="00215223">
          <w:rPr>
            <w:noProof/>
            <w:webHidden/>
          </w:rPr>
          <w:fldChar w:fldCharType="begin"/>
        </w:r>
        <w:r w:rsidR="00215223">
          <w:rPr>
            <w:noProof/>
            <w:webHidden/>
          </w:rPr>
          <w:instrText xml:space="preserve"> PAGEREF _Toc146037626 \h </w:instrText>
        </w:r>
        <w:r w:rsidR="00215223">
          <w:rPr>
            <w:noProof/>
            <w:webHidden/>
          </w:rPr>
        </w:r>
        <w:r w:rsidR="00215223">
          <w:rPr>
            <w:noProof/>
            <w:webHidden/>
          </w:rPr>
          <w:fldChar w:fldCharType="separate"/>
        </w:r>
        <w:r w:rsidR="00215223">
          <w:rPr>
            <w:noProof/>
            <w:webHidden/>
          </w:rPr>
          <w:t>15</w:t>
        </w:r>
        <w:r w:rsidR="00215223">
          <w:rPr>
            <w:noProof/>
            <w:webHidden/>
          </w:rPr>
          <w:fldChar w:fldCharType="end"/>
        </w:r>
      </w:hyperlink>
    </w:p>
    <w:p w:rsidR="00215223" w:rsidRDefault="0064118A" w14:paraId="797C92CE" w14:textId="05BCFF90">
      <w:pPr>
        <w:pStyle w:val="TableofFigures"/>
        <w:tabs>
          <w:tab w:val="right" w:pos="8495"/>
        </w:tabs>
        <w:rPr>
          <w:rFonts w:asciiTheme="minorHAnsi" w:hAnsiTheme="minorHAnsi"/>
          <w:noProof/>
          <w:kern w:val="2"/>
          <w:sz w:val="22"/>
          <w14:ligatures w14:val="standardContextual"/>
        </w:rPr>
      </w:pPr>
      <w:hyperlink w:history="1" w:anchor="_Toc146037627">
        <w:r w:rsidRPr="001D1CE5" w:rsidR="00215223">
          <w:rPr>
            <w:rStyle w:val="Hyperlink"/>
            <w:noProof/>
          </w:rPr>
          <w:t>Table 3:</w:t>
        </w:r>
        <w:r w:rsidR="00215223">
          <w:rPr>
            <w:rFonts w:asciiTheme="minorHAnsi" w:hAnsiTheme="minorHAnsi"/>
            <w:noProof/>
            <w:kern w:val="2"/>
            <w:sz w:val="22"/>
            <w14:ligatures w14:val="standardContextual"/>
          </w:rPr>
          <w:tab/>
        </w:r>
        <w:r w:rsidRPr="001D1CE5" w:rsidR="00215223">
          <w:rPr>
            <w:rStyle w:val="Hyperlink"/>
            <w:noProof/>
          </w:rPr>
          <w:t xml:space="preserve">Changes to existing national direction to ensure consistency with the Natural and Built Environment Act 2023 (NBA) and </w:t>
        </w:r>
        <w:r w:rsidRPr="001D1CE5" w:rsidR="00215223">
          <w:rPr>
            <w:rStyle w:val="Hyperlink"/>
            <w:rFonts w:eastAsia="Segoe UI"/>
            <w:noProof/>
          </w:rPr>
          <w:t>Spatial Planning Act 2023</w:t>
        </w:r>
        <w:r w:rsidRPr="001D1CE5" w:rsidR="00215223">
          <w:rPr>
            <w:rStyle w:val="Hyperlink"/>
            <w:noProof/>
          </w:rPr>
          <w:t xml:space="preserve"> (SPA</w:t>
        </w:r>
        <w:r w:rsidR="00215223">
          <w:rPr>
            <w:noProof/>
            <w:webHidden/>
          </w:rPr>
          <w:tab/>
        </w:r>
        <w:r w:rsidR="00215223">
          <w:rPr>
            <w:noProof/>
            <w:webHidden/>
          </w:rPr>
          <w:fldChar w:fldCharType="begin"/>
        </w:r>
        <w:r w:rsidR="00215223">
          <w:rPr>
            <w:noProof/>
            <w:webHidden/>
          </w:rPr>
          <w:instrText xml:space="preserve"> PAGEREF _Toc146037627 \h </w:instrText>
        </w:r>
        <w:r w:rsidR="00215223">
          <w:rPr>
            <w:noProof/>
            <w:webHidden/>
          </w:rPr>
        </w:r>
        <w:r w:rsidR="00215223">
          <w:rPr>
            <w:noProof/>
            <w:webHidden/>
          </w:rPr>
          <w:fldChar w:fldCharType="separate"/>
        </w:r>
        <w:r w:rsidR="00215223">
          <w:rPr>
            <w:noProof/>
            <w:webHidden/>
          </w:rPr>
          <w:t>16</w:t>
        </w:r>
        <w:r w:rsidR="00215223">
          <w:rPr>
            <w:noProof/>
            <w:webHidden/>
          </w:rPr>
          <w:fldChar w:fldCharType="end"/>
        </w:r>
      </w:hyperlink>
    </w:p>
    <w:p w:rsidR="00215223" w:rsidRDefault="0064118A" w14:paraId="3B18E6CB" w14:textId="74F27F4E">
      <w:pPr>
        <w:pStyle w:val="TableofFigures"/>
        <w:tabs>
          <w:tab w:val="right" w:pos="8495"/>
        </w:tabs>
        <w:rPr>
          <w:rFonts w:asciiTheme="minorHAnsi" w:hAnsiTheme="minorHAnsi"/>
          <w:noProof/>
          <w:kern w:val="2"/>
          <w:sz w:val="22"/>
          <w14:ligatures w14:val="standardContextual"/>
        </w:rPr>
      </w:pPr>
      <w:hyperlink w:history="1" w:anchor="_Toc146037628">
        <w:r w:rsidRPr="001D1CE5" w:rsidR="00215223">
          <w:rPr>
            <w:rStyle w:val="Hyperlink"/>
            <w:noProof/>
          </w:rPr>
          <w:t>Table 4:</w:t>
        </w:r>
        <w:r w:rsidR="00215223">
          <w:rPr>
            <w:rFonts w:asciiTheme="minorHAnsi" w:hAnsiTheme="minorHAnsi"/>
            <w:noProof/>
            <w:kern w:val="2"/>
            <w:sz w:val="22"/>
            <w14:ligatures w14:val="standardContextual"/>
          </w:rPr>
          <w:tab/>
        </w:r>
        <w:r w:rsidRPr="001D1CE5" w:rsidR="00215223">
          <w:rPr>
            <w:rStyle w:val="Hyperlink"/>
            <w:noProof/>
          </w:rPr>
          <w:t>Proposed new attributes for which limits must be set</w:t>
        </w:r>
        <w:r w:rsidR="00215223">
          <w:rPr>
            <w:noProof/>
            <w:webHidden/>
          </w:rPr>
          <w:tab/>
        </w:r>
        <w:r w:rsidR="00215223">
          <w:rPr>
            <w:noProof/>
            <w:webHidden/>
          </w:rPr>
          <w:fldChar w:fldCharType="begin"/>
        </w:r>
        <w:r w:rsidR="00215223">
          <w:rPr>
            <w:noProof/>
            <w:webHidden/>
          </w:rPr>
          <w:instrText xml:space="preserve"> PAGEREF _Toc146037628 \h </w:instrText>
        </w:r>
        <w:r w:rsidR="00215223">
          <w:rPr>
            <w:noProof/>
            <w:webHidden/>
          </w:rPr>
        </w:r>
        <w:r w:rsidR="00215223">
          <w:rPr>
            <w:noProof/>
            <w:webHidden/>
          </w:rPr>
          <w:fldChar w:fldCharType="separate"/>
        </w:r>
        <w:r w:rsidR="00215223">
          <w:rPr>
            <w:noProof/>
            <w:webHidden/>
          </w:rPr>
          <w:t>19</w:t>
        </w:r>
        <w:r w:rsidR="00215223">
          <w:rPr>
            <w:noProof/>
            <w:webHidden/>
          </w:rPr>
          <w:fldChar w:fldCharType="end"/>
        </w:r>
      </w:hyperlink>
    </w:p>
    <w:p w:rsidRPr="006B77BB" w:rsidR="00532334" w:rsidP="00E55CF6" w:rsidRDefault="004943C2" w14:paraId="33EB3222" w14:textId="455ABA42">
      <w:pPr>
        <w:pStyle w:val="BodyText"/>
      </w:pPr>
      <w:r w:rsidRPr="006B77BB">
        <w:fldChar w:fldCharType="end"/>
      </w:r>
    </w:p>
    <w:p w:rsidRPr="006B77BB" w:rsidR="00532334" w:rsidP="004B5BDD" w:rsidRDefault="00532334" w14:paraId="60EF18F8" w14:textId="77777777"/>
    <w:p w:rsidRPr="006B77BB" w:rsidR="00532334" w:rsidP="00585FD0" w:rsidRDefault="00B51610" w14:paraId="4F9DBB08" w14:textId="77777777">
      <w:pPr>
        <w:pStyle w:val="Heading"/>
      </w:pPr>
      <w:r w:rsidRPr="006B77BB">
        <w:t>Figure</w:t>
      </w:r>
      <w:r w:rsidRPr="006B77BB" w:rsidR="00532334">
        <w:t>s</w:t>
      </w:r>
    </w:p>
    <w:p w:rsidR="00215223" w:rsidRDefault="004943C2" w14:paraId="740E7A1E" w14:textId="2C787443">
      <w:pPr>
        <w:pStyle w:val="TableofFigures"/>
        <w:tabs>
          <w:tab w:val="right" w:pos="8495"/>
        </w:tabs>
        <w:rPr>
          <w:rFonts w:asciiTheme="minorHAnsi" w:hAnsiTheme="minorHAnsi"/>
          <w:noProof/>
          <w:kern w:val="2"/>
          <w:sz w:val="22"/>
          <w14:ligatures w14:val="standardContextual"/>
        </w:rPr>
      </w:pPr>
      <w:r w:rsidRPr="006B77BB">
        <w:fldChar w:fldCharType="begin"/>
      </w:r>
      <w:r w:rsidRPr="006B77BB">
        <w:instrText xml:space="preserve"> TOC \h \z \t "Figure heading" \c </w:instrText>
      </w:r>
      <w:r w:rsidRPr="006B77BB">
        <w:fldChar w:fldCharType="separate"/>
      </w:r>
      <w:hyperlink w:history="1" w:anchor="_Toc146037633">
        <w:r w:rsidRPr="002D2D56" w:rsidR="00215223">
          <w:rPr>
            <w:rStyle w:val="Hyperlink"/>
            <w:noProof/>
          </w:rPr>
          <w:t>Figure 1:</w:t>
        </w:r>
        <w:r w:rsidR="00215223">
          <w:rPr>
            <w:rFonts w:asciiTheme="minorHAnsi" w:hAnsiTheme="minorHAnsi"/>
            <w:noProof/>
            <w:kern w:val="2"/>
            <w:sz w:val="22"/>
            <w14:ligatures w14:val="standardContextual"/>
          </w:rPr>
          <w:tab/>
        </w:r>
        <w:r w:rsidRPr="002D2D56" w:rsidR="00215223">
          <w:rPr>
            <w:rStyle w:val="Hyperlink"/>
            <w:noProof/>
          </w:rPr>
          <w:t>Key components of the future resource management system</w:t>
        </w:r>
        <w:r w:rsidR="00215223">
          <w:rPr>
            <w:noProof/>
            <w:webHidden/>
          </w:rPr>
          <w:tab/>
        </w:r>
        <w:r w:rsidR="00215223">
          <w:rPr>
            <w:noProof/>
            <w:webHidden/>
          </w:rPr>
          <w:fldChar w:fldCharType="begin"/>
        </w:r>
        <w:r w:rsidR="00215223">
          <w:rPr>
            <w:noProof/>
            <w:webHidden/>
          </w:rPr>
          <w:instrText xml:space="preserve"> PAGEREF _Toc146037633 \h </w:instrText>
        </w:r>
        <w:r w:rsidR="00215223">
          <w:rPr>
            <w:noProof/>
            <w:webHidden/>
          </w:rPr>
        </w:r>
        <w:r w:rsidR="00215223">
          <w:rPr>
            <w:noProof/>
            <w:webHidden/>
          </w:rPr>
          <w:fldChar w:fldCharType="separate"/>
        </w:r>
        <w:r w:rsidR="00215223">
          <w:rPr>
            <w:noProof/>
            <w:webHidden/>
          </w:rPr>
          <w:t>6</w:t>
        </w:r>
        <w:r w:rsidR="00215223">
          <w:rPr>
            <w:noProof/>
            <w:webHidden/>
          </w:rPr>
          <w:fldChar w:fldCharType="end"/>
        </w:r>
      </w:hyperlink>
    </w:p>
    <w:p w:rsidR="00215223" w:rsidRDefault="0064118A" w14:paraId="6A6FD48C" w14:textId="5C1C3725">
      <w:pPr>
        <w:pStyle w:val="TableofFigures"/>
        <w:tabs>
          <w:tab w:val="right" w:pos="8495"/>
        </w:tabs>
        <w:rPr>
          <w:rFonts w:asciiTheme="minorHAnsi" w:hAnsiTheme="minorHAnsi"/>
          <w:noProof/>
          <w:kern w:val="2"/>
          <w:sz w:val="22"/>
          <w14:ligatures w14:val="standardContextual"/>
        </w:rPr>
      </w:pPr>
      <w:hyperlink w:history="1" w:anchor="_Toc146037634">
        <w:r w:rsidRPr="002D2D56" w:rsidR="00215223">
          <w:rPr>
            <w:rStyle w:val="Hyperlink"/>
            <w:noProof/>
          </w:rPr>
          <w:t>Figure 2:</w:t>
        </w:r>
        <w:r w:rsidR="00215223">
          <w:rPr>
            <w:rFonts w:asciiTheme="minorHAnsi" w:hAnsiTheme="minorHAnsi"/>
            <w:noProof/>
            <w:kern w:val="2"/>
            <w:sz w:val="22"/>
            <w14:ligatures w14:val="standardContextual"/>
          </w:rPr>
          <w:tab/>
        </w:r>
        <w:r w:rsidRPr="002D2D56" w:rsidR="00215223">
          <w:rPr>
            <w:rStyle w:val="Hyperlink"/>
            <w:noProof/>
          </w:rPr>
          <w:t>Timeline of the resource management reform journey</w:t>
        </w:r>
        <w:r w:rsidR="00215223">
          <w:rPr>
            <w:noProof/>
            <w:webHidden/>
          </w:rPr>
          <w:tab/>
        </w:r>
        <w:r w:rsidR="00215223">
          <w:rPr>
            <w:noProof/>
            <w:webHidden/>
          </w:rPr>
          <w:fldChar w:fldCharType="begin"/>
        </w:r>
        <w:r w:rsidR="00215223">
          <w:rPr>
            <w:noProof/>
            <w:webHidden/>
          </w:rPr>
          <w:instrText xml:space="preserve"> PAGEREF _Toc146037634 \h </w:instrText>
        </w:r>
        <w:r w:rsidR="00215223">
          <w:rPr>
            <w:noProof/>
            <w:webHidden/>
          </w:rPr>
        </w:r>
        <w:r w:rsidR="00215223">
          <w:rPr>
            <w:noProof/>
            <w:webHidden/>
          </w:rPr>
          <w:fldChar w:fldCharType="separate"/>
        </w:r>
        <w:r w:rsidR="00215223">
          <w:rPr>
            <w:noProof/>
            <w:webHidden/>
          </w:rPr>
          <w:t>7</w:t>
        </w:r>
        <w:r w:rsidR="00215223">
          <w:rPr>
            <w:noProof/>
            <w:webHidden/>
          </w:rPr>
          <w:fldChar w:fldCharType="end"/>
        </w:r>
      </w:hyperlink>
    </w:p>
    <w:p w:rsidR="00215223" w:rsidRDefault="0064118A" w14:paraId="5F39DE3E" w14:textId="41386125">
      <w:pPr>
        <w:pStyle w:val="TableofFigures"/>
        <w:tabs>
          <w:tab w:val="right" w:pos="8495"/>
        </w:tabs>
        <w:rPr>
          <w:rFonts w:asciiTheme="minorHAnsi" w:hAnsiTheme="minorHAnsi"/>
          <w:noProof/>
          <w:kern w:val="2"/>
          <w:sz w:val="22"/>
          <w14:ligatures w14:val="standardContextual"/>
        </w:rPr>
      </w:pPr>
      <w:hyperlink w:history="1" w:anchor="_Toc146037635">
        <w:r w:rsidRPr="002D2D56" w:rsidR="00215223">
          <w:rPr>
            <w:rStyle w:val="Hyperlink"/>
            <w:noProof/>
          </w:rPr>
          <w:t>Figure 3:</w:t>
        </w:r>
        <w:r w:rsidR="00215223">
          <w:rPr>
            <w:rFonts w:asciiTheme="minorHAnsi" w:hAnsiTheme="minorHAnsi"/>
            <w:noProof/>
            <w:kern w:val="2"/>
            <w:sz w:val="22"/>
            <w14:ligatures w14:val="standardContextual"/>
          </w:rPr>
          <w:tab/>
        </w:r>
        <w:r w:rsidRPr="002D2D56" w:rsidR="00215223">
          <w:rPr>
            <w:rStyle w:val="Hyperlink"/>
            <w:noProof/>
          </w:rPr>
          <w:t>Indicative implementation rollout sequence</w:t>
        </w:r>
        <w:r w:rsidR="00215223">
          <w:rPr>
            <w:noProof/>
            <w:webHidden/>
          </w:rPr>
          <w:tab/>
        </w:r>
        <w:r w:rsidR="00215223">
          <w:rPr>
            <w:noProof/>
            <w:webHidden/>
          </w:rPr>
          <w:fldChar w:fldCharType="begin"/>
        </w:r>
        <w:r w:rsidR="00215223">
          <w:rPr>
            <w:noProof/>
            <w:webHidden/>
          </w:rPr>
          <w:instrText xml:space="preserve"> PAGEREF _Toc146037635 \h </w:instrText>
        </w:r>
        <w:r w:rsidR="00215223">
          <w:rPr>
            <w:noProof/>
            <w:webHidden/>
          </w:rPr>
        </w:r>
        <w:r w:rsidR="00215223">
          <w:rPr>
            <w:noProof/>
            <w:webHidden/>
          </w:rPr>
          <w:fldChar w:fldCharType="separate"/>
        </w:r>
        <w:r w:rsidR="00215223">
          <w:rPr>
            <w:noProof/>
            <w:webHidden/>
          </w:rPr>
          <w:t>11</w:t>
        </w:r>
        <w:r w:rsidR="00215223">
          <w:rPr>
            <w:noProof/>
            <w:webHidden/>
          </w:rPr>
          <w:fldChar w:fldCharType="end"/>
        </w:r>
      </w:hyperlink>
    </w:p>
    <w:p w:rsidRPr="006B77BB" w:rsidR="008A2FF1" w:rsidP="00E55CF6" w:rsidRDefault="004943C2" w14:paraId="037097D8" w14:textId="4A0FD321">
      <w:pPr>
        <w:pStyle w:val="BodyText"/>
      </w:pPr>
      <w:r w:rsidRPr="006B77BB">
        <w:fldChar w:fldCharType="end"/>
      </w:r>
    </w:p>
    <w:p w:rsidRPr="00554B30" w:rsidR="00796A6F" w:rsidP="00554B30" w:rsidRDefault="00796A6F" w14:paraId="117DDCEA" w14:textId="77777777">
      <w:bookmarkStart w:name="_Toc215561202" w:id="1"/>
      <w:r w:rsidRPr="00554B30">
        <w:br w:type="page"/>
      </w:r>
    </w:p>
    <w:p w:rsidR="0041738F" w:rsidP="0041738F" w:rsidRDefault="0041738F" w14:paraId="4B9CE384" w14:textId="77777777">
      <w:pPr>
        <w:pStyle w:val="Heading1"/>
      </w:pPr>
      <w:bookmarkStart w:name="_Toc146037613" w:id="2"/>
      <w:bookmarkEnd w:id="1"/>
      <w:r>
        <w:t>Introduction</w:t>
      </w:r>
      <w:bookmarkEnd w:id="2"/>
    </w:p>
    <w:p w:rsidR="0041738F" w:rsidP="0041738F" w:rsidRDefault="0041738F" w14:paraId="5D29AFFC" w14:textId="3378C4CA">
      <w:pPr>
        <w:pStyle w:val="BodyText"/>
      </w:pPr>
      <w:r>
        <w:t>The Minister for the Environment (together with the Minister of Conservation) is reaching out to local government and our Māori partners to help develop and shape the draft transitional National Planning Framework (NPF) proposal before it is publicly notified and referred to a Board of Inquiry (BOI) for public submissions in April 2024.</w:t>
      </w:r>
    </w:p>
    <w:p w:rsidR="0041738F" w:rsidP="0041738F" w:rsidRDefault="0041738F" w14:paraId="235142AC" w14:textId="77777777">
      <w:pPr>
        <w:pStyle w:val="BodyText"/>
      </w:pPr>
      <w:r>
        <w:t xml:space="preserve">The Ministry for the Environment (the Ministry) has prepared this document to help explain the draft of the transitional NPF proposal and assist our key partners in providing feedback. </w:t>
      </w:r>
    </w:p>
    <w:p w:rsidR="0041738F" w:rsidP="00C43115" w:rsidRDefault="0041738F" w14:paraId="7F777814" w14:textId="14BF74A6">
      <w:pPr>
        <w:pStyle w:val="Heading2"/>
      </w:pPr>
      <w:bookmarkStart w:name="_Toc146037614" w:id="3"/>
      <w:r>
        <w:t>Context</w:t>
      </w:r>
      <w:bookmarkEnd w:id="3"/>
    </w:p>
    <w:p w:rsidR="0041738F" w:rsidP="0041738F" w:rsidRDefault="0041738F" w14:paraId="25468EEE" w14:textId="77777777">
      <w:pPr>
        <w:pStyle w:val="BodyText"/>
      </w:pPr>
      <w:r>
        <w:t>After nearly 30 years of the Resource Management Act 1991 (RMA), in 2019 the Government began rethinking the laws governing te taiao (the environment).</w:t>
      </w:r>
    </w:p>
    <w:p w:rsidR="0041738F" w:rsidP="0041738F" w:rsidRDefault="0041738F" w14:paraId="1EE5F716" w14:textId="77777777">
      <w:pPr>
        <w:pStyle w:val="BodyText"/>
      </w:pPr>
      <w:r>
        <w:t xml:space="preserve">New challenges were being acknowledged such as climate change, so an expert panel was set up to advise the Government on the next steps. </w:t>
      </w:r>
    </w:p>
    <w:p w:rsidR="0041738F" w:rsidP="0041738F" w:rsidRDefault="0041738F" w14:paraId="7744CA6D" w14:textId="14A449E5">
      <w:pPr>
        <w:pStyle w:val="BodyText"/>
      </w:pPr>
      <w:r>
        <w:t xml:space="preserve">As a result of the expert panel’s advice, a pathway for reform of the resource management (RM) system was suggested, and new laws have been passed to provide the legal framework for change – the </w:t>
      </w:r>
      <w:hyperlink w:history="1" r:id="rId20">
        <w:r w:rsidRPr="00FE1039" w:rsidR="003E53D9">
          <w:rPr>
            <w:rStyle w:val="Hyperlink"/>
          </w:rPr>
          <w:t>Natural and Built Environment Act 2023</w:t>
        </w:r>
      </w:hyperlink>
      <w:r>
        <w:t xml:space="preserve"> (NBA) and the </w:t>
      </w:r>
      <w:hyperlink w:history="1" r:id="rId21">
        <w:r w:rsidRPr="00C11A30" w:rsidR="003130A3">
          <w:rPr>
            <w:rStyle w:val="Hyperlink"/>
            <w:rFonts w:eastAsia="Segoe UI"/>
            <w:szCs w:val="24"/>
          </w:rPr>
          <w:t>Spatial Planning Act 2023</w:t>
        </w:r>
      </w:hyperlink>
      <w:r>
        <w:t xml:space="preserve"> (SPA).</w:t>
      </w:r>
    </w:p>
    <w:p w:rsidR="0041738F" w:rsidP="0041738F" w:rsidRDefault="0041738F" w14:paraId="2516A3B9" w14:textId="77777777">
      <w:pPr>
        <w:pStyle w:val="BodyText"/>
      </w:pPr>
      <w:r>
        <w:t>A third law, the Climate Change Adaptation Bill, is still being worked on. Once passed, this will complete the new legislation package to replace the RMA.</w:t>
      </w:r>
    </w:p>
    <w:p w:rsidR="0041738F" w:rsidP="0041738F" w:rsidRDefault="0041738F" w14:paraId="7093A7E0" w14:textId="77777777">
      <w:pPr>
        <w:pStyle w:val="BodyText"/>
      </w:pPr>
      <w:r>
        <w:t xml:space="preserve">In essence, the intent of the new laws is to protect te taiao while providing for Aotearoa New Zealand’s need for development and infrastructure. </w:t>
      </w:r>
    </w:p>
    <w:p w:rsidR="0041738F" w:rsidP="0041738F" w:rsidRDefault="0041738F" w14:paraId="6B9C3B00" w14:textId="32B1F2EB">
      <w:pPr>
        <w:pStyle w:val="BodyText"/>
      </w:pPr>
      <w:r>
        <w:t>Some changes will start immediately, but it’s going to take up to 10 years to shift entirely into the new RM system.</w:t>
      </w:r>
    </w:p>
    <w:p w:rsidR="0041738F" w:rsidP="0041738F" w:rsidRDefault="0041738F" w14:paraId="63906E4D" w14:textId="77777777">
      <w:pPr>
        <w:pStyle w:val="BodyText"/>
      </w:pPr>
      <w:r>
        <w:t xml:space="preserve">One of the major reform changes is the NPF. The engagement draft of the transitional NPF proposal brings together multiple national policy statements, national environmental standards, and regulations that exist under the RMA. The draft also suggests new direction for several areas. </w:t>
      </w:r>
    </w:p>
    <w:p w:rsidRPr="000D764D" w:rsidR="0041738F" w:rsidP="0041738F" w:rsidRDefault="0041738F" w14:paraId="36E47131" w14:textId="3740E48F">
      <w:pPr>
        <w:pStyle w:val="BodyText"/>
        <w:rPr>
          <w:spacing w:val="-2"/>
        </w:rPr>
      </w:pPr>
      <w:r w:rsidRPr="000D764D">
        <w:rPr>
          <w:spacing w:val="-2"/>
        </w:rPr>
        <w:t>The proposal sets the foundation for regional planning and decision</w:t>
      </w:r>
      <w:r w:rsidR="000B52B1">
        <w:rPr>
          <w:spacing w:val="-2"/>
        </w:rPr>
        <w:t>-</w:t>
      </w:r>
      <w:r w:rsidRPr="000D764D">
        <w:rPr>
          <w:spacing w:val="-2"/>
        </w:rPr>
        <w:t>making under the new legislation.</w:t>
      </w:r>
    </w:p>
    <w:p w:rsidR="0041738F" w:rsidP="0041738F" w:rsidRDefault="0041738F" w14:paraId="74D729E2" w14:textId="77777777">
      <w:pPr>
        <w:pStyle w:val="BodyText"/>
      </w:pPr>
      <w:r>
        <w:t xml:space="preserve">Under the new RM system, regional planning committees (RPCs) will develop 15 regional spatial strategies (RSSs) across Aotearoa. The aim is for the transitional NPF to be in place in 2025, to inform the first RSS. </w:t>
      </w:r>
    </w:p>
    <w:p w:rsidR="0041738F" w:rsidP="003130A3" w:rsidRDefault="0041738F" w14:paraId="7D6EAF12" w14:textId="32B0B8B5">
      <w:pPr>
        <w:pStyle w:val="Figureheading"/>
      </w:pPr>
      <w:bookmarkStart w:name="_Toc146037633" w:id="4"/>
      <w:r>
        <w:t>Key components of the future resource management system</w:t>
      </w:r>
      <w:bookmarkEnd w:id="4"/>
    </w:p>
    <w:p w:rsidR="0041738F" w:rsidP="0041738F" w:rsidRDefault="00FD19E3" w14:paraId="1A3F3C01" w14:textId="60FFB92F">
      <w:pPr>
        <w:pStyle w:val="BodyText"/>
      </w:pPr>
      <w:r>
        <w:rPr>
          <w:noProof/>
        </w:rPr>
        <w:drawing>
          <wp:inline distT="0" distB="0" distL="0" distR="0" wp14:anchorId="4D703902" wp14:editId="5ADB20B6">
            <wp:extent cx="4851844" cy="7676707"/>
            <wp:effectExtent l="0" t="0" r="6350" b="635"/>
            <wp:docPr id="406492746" name="Picture 406492746" descr="A diagram of a spacial planning 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92746" name="Picture 406492746" descr="A diagram of a spacial planning ac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6878" cy="7700495"/>
                    </a:xfrm>
                    <a:prstGeom prst="rect">
                      <a:avLst/>
                    </a:prstGeom>
                  </pic:spPr>
                </pic:pic>
              </a:graphicData>
            </a:graphic>
          </wp:inline>
        </w:drawing>
      </w:r>
    </w:p>
    <w:p w:rsidR="0041738F" w:rsidP="00FD19E3" w:rsidRDefault="0041738F" w14:paraId="06EDAC96" w14:textId="2C4A1FBF">
      <w:pPr>
        <w:pStyle w:val="Figureheading"/>
      </w:pPr>
      <w:bookmarkStart w:name="_Toc146037634" w:id="5"/>
      <w:r>
        <w:t>Timeline of the resource management reform journey</w:t>
      </w:r>
      <w:bookmarkEnd w:id="5"/>
    </w:p>
    <w:p w:rsidR="0041738F" w:rsidP="0041738F" w:rsidRDefault="005A3CB9" w14:paraId="6702AF23" w14:textId="2A5F2838">
      <w:pPr>
        <w:pStyle w:val="BodyText"/>
      </w:pPr>
      <w:r>
        <w:rPr>
          <w:noProof/>
        </w:rPr>
        <w:drawing>
          <wp:inline distT="0" distB="0" distL="0" distR="0" wp14:anchorId="1F96B554" wp14:editId="5FE85607">
            <wp:extent cx="5400675" cy="5775960"/>
            <wp:effectExtent l="0" t="0" r="9525" b="0"/>
            <wp:docPr id="9" name="Picture 9" descr="A timeline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imeline of a company&#10;&#10;Description automatically generated with medium confidence"/>
                    <pic:cNvPicPr/>
                  </pic:nvPicPr>
                  <pic:blipFill>
                    <a:blip r:embed="rId23"/>
                    <a:stretch>
                      <a:fillRect/>
                    </a:stretch>
                  </pic:blipFill>
                  <pic:spPr>
                    <a:xfrm>
                      <a:off x="0" y="0"/>
                      <a:ext cx="5400675" cy="5775960"/>
                    </a:xfrm>
                    <a:prstGeom prst="rect">
                      <a:avLst/>
                    </a:prstGeom>
                  </pic:spPr>
                </pic:pic>
              </a:graphicData>
            </a:graphic>
          </wp:inline>
        </w:drawing>
      </w:r>
    </w:p>
    <w:p w:rsidR="005A3CB9" w:rsidRDefault="005A3CB9" w14:paraId="6A75EC7A" w14:textId="77777777">
      <w:r>
        <w:br w:type="page"/>
      </w:r>
    </w:p>
    <w:p w:rsidR="0041738F" w:rsidP="005A3CB9" w:rsidRDefault="0041738F" w14:paraId="1043A65F" w14:textId="0A63F82F">
      <w:pPr>
        <w:pStyle w:val="Heading1"/>
      </w:pPr>
      <w:bookmarkStart w:name="_Toc146037615" w:id="6"/>
      <w:r>
        <w:t xml:space="preserve">The purpose of the </w:t>
      </w:r>
      <w:r w:rsidR="003105F8">
        <w:t>National Planning Framework (</w:t>
      </w:r>
      <w:r>
        <w:t>NPF</w:t>
      </w:r>
      <w:r w:rsidR="003105F8">
        <w:t>)</w:t>
      </w:r>
      <w:bookmarkEnd w:id="6"/>
    </w:p>
    <w:p w:rsidR="0041738F" w:rsidP="0041738F" w:rsidRDefault="0041738F" w14:paraId="0E524BED" w14:textId="6028A866">
      <w:pPr>
        <w:pStyle w:val="BodyText"/>
      </w:pPr>
      <w:r>
        <w:t xml:space="preserve">The transitional NPF proposal merges many of the national policy statements, standards, and regulations produced under the </w:t>
      </w:r>
      <w:r w:rsidR="003105F8">
        <w:t>Resource Management Act 1991 (</w:t>
      </w:r>
      <w:r>
        <w:t>RMA</w:t>
      </w:r>
      <w:r w:rsidR="003105F8">
        <w:t>)</w:t>
      </w:r>
      <w:r>
        <w:t xml:space="preserve"> into one framework, alongside new direction where needed, to guide regional decision</w:t>
      </w:r>
      <w:r w:rsidR="003105F8">
        <w:t>-</w:t>
      </w:r>
      <w:r>
        <w:t xml:space="preserve">making on how to manage te taiao (the environment). </w:t>
      </w:r>
    </w:p>
    <w:p w:rsidR="0041738F" w:rsidP="0041738F" w:rsidRDefault="0041738F" w14:paraId="06378C88" w14:textId="77777777">
      <w:pPr>
        <w:pStyle w:val="BodyText"/>
      </w:pPr>
      <w:r>
        <w:t>The NPF must:</w:t>
      </w:r>
    </w:p>
    <w:p w:rsidR="0041738F" w:rsidP="005A3CB9" w:rsidRDefault="0041738F" w14:paraId="1C16F12F" w14:textId="67387565">
      <w:pPr>
        <w:pStyle w:val="Bullet"/>
      </w:pPr>
      <w:r>
        <w:t xml:space="preserve">uphold </w:t>
      </w:r>
      <w:proofErr w:type="spellStart"/>
      <w:r>
        <w:t>te</w:t>
      </w:r>
      <w:proofErr w:type="spellEnd"/>
      <w:r>
        <w:t xml:space="preserve"> </w:t>
      </w:r>
      <w:proofErr w:type="spellStart"/>
      <w:r>
        <w:t>Oranga</w:t>
      </w:r>
      <w:proofErr w:type="spellEnd"/>
      <w:r>
        <w:t xml:space="preserve"> o </w:t>
      </w:r>
      <w:proofErr w:type="spellStart"/>
      <w:r>
        <w:t>te</w:t>
      </w:r>
      <w:proofErr w:type="spellEnd"/>
      <w:r>
        <w:t xml:space="preserve"> Taiao</w:t>
      </w:r>
      <w:r w:rsidR="007D619F">
        <w:rPr>
          <w:rStyle w:val="FootnoteReference"/>
        </w:rPr>
        <w:footnoteReference w:id="2"/>
      </w:r>
    </w:p>
    <w:p w:rsidR="0041738F" w:rsidP="005A3CB9" w:rsidRDefault="007A178E" w14:paraId="372F5F42" w14:textId="4A7682A3">
      <w:pPr>
        <w:pStyle w:val="Bullet"/>
      </w:pPr>
      <w:r>
        <w:t>g</w:t>
      </w:r>
      <w:r w:rsidR="0041738F">
        <w:t>ive effect to the principles of te Tiriti o Waitangi (</w:t>
      </w:r>
      <w:r w:rsidR="003105F8">
        <w:t>the Treaty of Waitangi</w:t>
      </w:r>
      <w:r w:rsidR="0041738F">
        <w:t>)</w:t>
      </w:r>
    </w:p>
    <w:p w:rsidR="0041738F" w:rsidP="005A3CB9" w:rsidRDefault="0041738F" w14:paraId="2F662FE2" w14:textId="607866C5">
      <w:pPr>
        <w:pStyle w:val="Bullet"/>
      </w:pPr>
      <w:r>
        <w:t xml:space="preserve">set the platform for new natural and built environment plans (NBE plans) to achieve positive outcomes for te </w:t>
      </w:r>
      <w:proofErr w:type="gramStart"/>
      <w:r>
        <w:t>taiao</w:t>
      </w:r>
      <w:proofErr w:type="gramEnd"/>
      <w:r>
        <w:t xml:space="preserve"> </w:t>
      </w:r>
    </w:p>
    <w:p w:rsidR="0041738F" w:rsidP="005A3CB9" w:rsidRDefault="0041738F" w14:paraId="7E47C0D2" w14:textId="295903A6">
      <w:pPr>
        <w:pStyle w:val="Bullet"/>
      </w:pPr>
      <w:r>
        <w:t xml:space="preserve">be made in accordance with the decision-making principles in the </w:t>
      </w:r>
      <w:hyperlink w:history="1" r:id="rId24">
        <w:r w:rsidRPr="00FE1039" w:rsidR="003105F8">
          <w:rPr>
            <w:rStyle w:val="Hyperlink"/>
          </w:rPr>
          <w:t>Natural and Built Environment Act 2023</w:t>
        </w:r>
      </w:hyperlink>
      <w:r w:rsidR="003105F8">
        <w:t xml:space="preserve"> (</w:t>
      </w:r>
      <w:r>
        <w:t>NBA</w:t>
      </w:r>
      <w:r w:rsidR="003105F8">
        <w:t>)</w:t>
      </w:r>
    </w:p>
    <w:p w:rsidR="0041738F" w:rsidP="005A3CB9" w:rsidRDefault="0041738F" w14:paraId="21BD42AF" w14:textId="5C0E2D3B">
      <w:pPr>
        <w:pStyle w:val="Bullet"/>
      </w:pPr>
      <w:r>
        <w:t>set environmental limits and targets, or provide direction for the setting of environmental limits and targets in NBE plans.</w:t>
      </w:r>
    </w:p>
    <w:p w:rsidRPr="00BA596E" w:rsidR="0041738F" w:rsidP="005A3CB9" w:rsidRDefault="0041738F" w14:paraId="351EB1D4" w14:textId="77777777">
      <w:pPr>
        <w:pStyle w:val="Heading2"/>
        <w:rPr>
          <w:spacing w:val="-2"/>
        </w:rPr>
      </w:pPr>
      <w:bookmarkStart w:name="_Toc146037616" w:id="7"/>
      <w:r w:rsidRPr="00BA596E">
        <w:rPr>
          <w:spacing w:val="-2"/>
        </w:rPr>
        <w:t>What’s in the draft transitional NPF proposal?</w:t>
      </w:r>
      <w:bookmarkEnd w:id="7"/>
    </w:p>
    <w:p w:rsidR="0041738F" w:rsidP="0041738F" w:rsidRDefault="0041738F" w14:paraId="7598ED33" w14:textId="532CF89E">
      <w:pPr>
        <w:pStyle w:val="BodyText"/>
      </w:pPr>
      <w:r>
        <w:t>The content of the draft transitional NPF proposal is structured as a series of ‘domain parts’, focused on environmental domains (such as freshwater, or the coastal environment) and topic areas (such as urban development or infrastructure). The transitional NPF proposal has an overarching layer that links the existing national policy statements and rules under the RMA with the new direction under the NBA.</w:t>
      </w:r>
    </w:p>
    <w:p w:rsidR="0041738F" w:rsidP="00BA596E" w:rsidRDefault="0041738F" w14:paraId="06D0BFE8" w14:textId="77777777">
      <w:pPr>
        <w:pStyle w:val="BodyText"/>
        <w:keepNext/>
        <w:keepLines/>
      </w:pPr>
      <w:r>
        <w:t xml:space="preserve">The draft transitional NPF proposal includes the following. </w:t>
      </w:r>
    </w:p>
    <w:p w:rsidR="0041738F" w:rsidP="00BA596E" w:rsidRDefault="0041738F" w14:paraId="115EDCDC" w14:textId="448D9BF0">
      <w:pPr>
        <w:pStyle w:val="Bullet"/>
        <w:keepNext/>
        <w:keepLines/>
      </w:pPr>
      <w:r w:rsidRPr="00F72816">
        <w:rPr>
          <w:b/>
          <w:bCs/>
        </w:rPr>
        <w:t>Preliminary provisions</w:t>
      </w:r>
      <w:r>
        <w:t xml:space="preserve"> deal with matters such as commencement, interpretation/definitions, and provide an explanation of how to use the NPF.</w:t>
      </w:r>
    </w:p>
    <w:p w:rsidR="0041738F" w:rsidP="00F72816" w:rsidRDefault="0041738F" w14:paraId="7F4B9286" w14:textId="58C2F5FB">
      <w:pPr>
        <w:pStyle w:val="Bullet"/>
      </w:pPr>
      <w:r w:rsidRPr="00F72816">
        <w:rPr>
          <w:b/>
          <w:bCs/>
        </w:rPr>
        <w:t xml:space="preserve">Overarching content </w:t>
      </w:r>
      <w:r>
        <w:t xml:space="preserve">that provides broad system direction aimed at helping the implementation of policy in an integrated manner. </w:t>
      </w:r>
    </w:p>
    <w:p w:rsidR="0041738F" w:rsidP="00F72816" w:rsidRDefault="0041738F" w14:paraId="11411E23" w14:textId="5DF7424F">
      <w:pPr>
        <w:pStyle w:val="Bullet"/>
      </w:pPr>
      <w:r w:rsidRPr="007D619F">
        <w:rPr>
          <w:b/>
          <w:bCs/>
        </w:rPr>
        <w:t>Existing RMA national direction</w:t>
      </w:r>
      <w:r>
        <w:t xml:space="preserve">. The NBA requires that the transitional NPF proposal is prepared </w:t>
      </w:r>
      <w:proofErr w:type="gramStart"/>
      <w:r>
        <w:t>on the basis of</w:t>
      </w:r>
      <w:proofErr w:type="gramEnd"/>
      <w:r>
        <w:t xml:space="preserve"> RMA national direction to the extent it is compatible with the requirements of th</w:t>
      </w:r>
      <w:r w:rsidR="00965630">
        <w:t>e</w:t>
      </w:r>
      <w:r>
        <w:t xml:space="preserve"> </w:t>
      </w:r>
      <w:r w:rsidR="00142767">
        <w:t>NBA</w:t>
      </w:r>
      <w:r w:rsidR="00AC4133">
        <w:t>.</w:t>
      </w:r>
      <w:r>
        <w:t xml:space="preserve"> </w:t>
      </w:r>
    </w:p>
    <w:p w:rsidR="0041738F" w:rsidP="00F72816" w:rsidRDefault="0041738F" w14:paraId="0A2DD725" w14:textId="14EF58D8">
      <w:pPr>
        <w:pStyle w:val="Bullet"/>
      </w:pPr>
      <w:r w:rsidRPr="007D619F">
        <w:rPr>
          <w:b/>
          <w:bCs/>
        </w:rPr>
        <w:t>New national direction</w:t>
      </w:r>
      <w:r>
        <w:t xml:space="preserve"> provides for system outcomes in the NBA that are not adequately covered by current RMA national direction, or the overarching layer mentioned above. This is a requirement of the NBA. The main topics covered by this national direction are:</w:t>
      </w:r>
    </w:p>
    <w:p w:rsidR="0041738F" w:rsidP="00F72816" w:rsidRDefault="0041738F" w14:paraId="1BA36349" w14:textId="7A52F40B">
      <w:pPr>
        <w:pStyle w:val="Sub-list"/>
      </w:pPr>
      <w:r>
        <w:t>protection (or, if degraded, restoration) of outstanding natural features (ONFs) and outstanding natural landscapes (ONLs)</w:t>
      </w:r>
    </w:p>
    <w:p w:rsidR="0041738F" w:rsidP="00F72816" w:rsidRDefault="0041738F" w14:paraId="6624ADE0" w14:textId="712DD9D3">
      <w:pPr>
        <w:pStyle w:val="Sub-list"/>
      </w:pPr>
      <w:r>
        <w:t>conservation of cultural heritage</w:t>
      </w:r>
    </w:p>
    <w:p w:rsidR="0041738F" w:rsidP="00F72816" w:rsidRDefault="00F72816" w14:paraId="282F59B8" w14:textId="1F963447">
      <w:pPr>
        <w:pStyle w:val="Sub-list"/>
      </w:pPr>
      <w:r>
        <w:t>r</w:t>
      </w:r>
      <w:r w:rsidR="0041738F">
        <w:t>eduction of greenhouse gas emissions and removal of those gases from the atmosphere</w:t>
      </w:r>
    </w:p>
    <w:p w:rsidR="0041738F" w:rsidP="00F72816" w:rsidRDefault="0041738F" w14:paraId="3B91BE89" w14:textId="305FA27E">
      <w:pPr>
        <w:pStyle w:val="Sub-list"/>
      </w:pPr>
      <w:r>
        <w:t>risk reduction, adaptation, and resilience to the effects of natural hazards and climate change</w:t>
      </w:r>
    </w:p>
    <w:p w:rsidR="0041738F" w:rsidP="00F72816" w:rsidRDefault="0041738F" w14:paraId="61476DAD" w14:textId="268C73B2">
      <w:pPr>
        <w:pStyle w:val="Sub-list"/>
      </w:pPr>
      <w:r>
        <w:t xml:space="preserve">infrastructure direction, including policy, </w:t>
      </w:r>
      <w:proofErr w:type="gramStart"/>
      <w:r>
        <w:t>standards</w:t>
      </w:r>
      <w:proofErr w:type="gramEnd"/>
      <w:r>
        <w:t xml:space="preserve"> and rules to improve its efficient delivery</w:t>
      </w:r>
      <w:r w:rsidR="00AC4133">
        <w:t>.</w:t>
      </w:r>
    </w:p>
    <w:p w:rsidR="0041738F" w:rsidP="00F72816" w:rsidRDefault="0041738F" w14:paraId="0C4772DF" w14:textId="20F7BD6D">
      <w:pPr>
        <w:pStyle w:val="Bullet"/>
      </w:pPr>
      <w:r w:rsidRPr="007D619F">
        <w:rPr>
          <w:b/>
          <w:bCs/>
        </w:rPr>
        <w:t>New national direction on urban trees and green spaces</w:t>
      </w:r>
      <w:r>
        <w:t xml:space="preserve"> is provided in the urban chapter. </w:t>
      </w:r>
    </w:p>
    <w:p w:rsidR="0041738F" w:rsidP="00F72816" w:rsidRDefault="0041738F" w14:paraId="2C0E9381" w14:textId="3F7E86D3">
      <w:pPr>
        <w:pStyle w:val="Bullet"/>
      </w:pPr>
      <w:r w:rsidRPr="007D619F">
        <w:rPr>
          <w:b/>
          <w:bCs/>
        </w:rPr>
        <w:t>Plan-making requirements</w:t>
      </w:r>
      <w:r>
        <w:t xml:space="preserve">, such as a </w:t>
      </w:r>
      <w:r w:rsidR="00AC4133">
        <w:t>regional spatial strategy (</w:t>
      </w:r>
      <w:r>
        <w:t>RSS</w:t>
      </w:r>
      <w:r w:rsidR="00AC4133">
        <w:t>)</w:t>
      </w:r>
      <w:r>
        <w:t xml:space="preserve"> template, are provided.</w:t>
      </w:r>
    </w:p>
    <w:p w:rsidR="0041738F" w:rsidP="0041738F" w:rsidRDefault="0041738F" w14:paraId="463D8212" w14:textId="429D16F8">
      <w:pPr>
        <w:pStyle w:val="BodyText"/>
      </w:pPr>
      <w:r>
        <w:t xml:space="preserve">A detailed breakdown of what is and is not included at this stage can be found in </w:t>
      </w:r>
      <w:hyperlink w:history="1" w:anchor="_Appendix_A:_Detailed">
        <w:r w:rsidRPr="00C27C3B">
          <w:rPr>
            <w:rStyle w:val="Hyperlink"/>
          </w:rPr>
          <w:t>appendix A</w:t>
        </w:r>
      </w:hyperlink>
      <w:r>
        <w:t>.</w:t>
      </w:r>
    </w:p>
    <w:p w:rsidR="009142E7" w:rsidRDefault="009142E7" w14:paraId="40B3CDF2" w14:textId="03F7AD06">
      <w:r>
        <w:br w:type="page"/>
      </w:r>
    </w:p>
    <w:p w:rsidR="0041738F" w:rsidP="009142E7" w:rsidRDefault="0041738F" w14:paraId="4597B2FE" w14:textId="77777777">
      <w:pPr>
        <w:pStyle w:val="Heading1"/>
      </w:pPr>
      <w:bookmarkStart w:name="_Toc146037617" w:id="8"/>
      <w:r>
        <w:t>Next steps</w:t>
      </w:r>
      <w:bookmarkEnd w:id="8"/>
    </w:p>
    <w:p w:rsidR="0041738F" w:rsidP="0041738F" w:rsidRDefault="0041738F" w14:paraId="67BA87F9" w14:textId="70860DE5">
      <w:pPr>
        <w:pStyle w:val="BodyText"/>
      </w:pPr>
      <w:r>
        <w:t>The Minister for the Environment and the Minister of Conservation are now receiving feedback from local government, iwi authorities, groups that represent hapū, and groups that represent Māori</w:t>
      </w:r>
      <w:r w:rsidR="00AC4133">
        <w:t>,</w:t>
      </w:r>
      <w:r>
        <w:t xml:space="preserve"> on the engagement draft of the transitional National Planning Framework (NPF) proposal, to assist in its further development before consideration by a Board of Inquiry (BOI). This period of engagement will run from September 2023 until December 2023. </w:t>
      </w:r>
    </w:p>
    <w:p w:rsidR="0041738F" w:rsidP="0041738F" w:rsidRDefault="0041738F" w14:paraId="79FF4328" w14:textId="77777777">
      <w:pPr>
        <w:pStyle w:val="BodyText"/>
      </w:pPr>
      <w:r>
        <w:t>Once this period of engagement has concluded, the feedback will be considered and will inform the transitional NPF proposal. The transitional NPF proposal is expected to be notified around April 2024, and public submissions will be invited. A BOI has been established to enquire into the proposal and hear public submissions.</w:t>
      </w:r>
    </w:p>
    <w:p w:rsidR="0041738F" w:rsidP="0033030F" w:rsidRDefault="0041738F" w14:paraId="50C03E5B" w14:textId="77777777">
      <w:pPr>
        <w:pStyle w:val="Heading3"/>
      </w:pPr>
      <w:r>
        <w:t>Board of Inquiry process</w:t>
      </w:r>
    </w:p>
    <w:p w:rsidR="0041738F" w:rsidP="0041738F" w:rsidRDefault="0041738F" w14:paraId="06B86444" w14:textId="22022B7C">
      <w:pPr>
        <w:pStyle w:val="BodyText"/>
      </w:pPr>
      <w:r>
        <w:t>The BOI will consider the submissions and provide recommendations to the Minister for the Environment and the Minister of Conservation on the transitional NPF proposal. This process will inform decisions on the transitional NPF proposal, expected to be made by the responsible Minister in 2025. The transitional NPF proposal is expected to come into force in 2025, to inform the development of RSS</w:t>
      </w:r>
      <w:r w:rsidR="00AC4133">
        <w:t>s</w:t>
      </w:r>
      <w:r>
        <w:t>.</w:t>
      </w:r>
    </w:p>
    <w:p w:rsidR="0041738F" w:rsidP="0033030F" w:rsidRDefault="0041738F" w14:paraId="099AEBCC" w14:textId="6C8CD2E9">
      <w:pPr>
        <w:pStyle w:val="Figureheading"/>
      </w:pPr>
      <w:bookmarkStart w:name="_Toc146037635" w:id="9"/>
      <w:r>
        <w:t>Indicative implementation rollout sequence</w:t>
      </w:r>
      <w:bookmarkEnd w:id="9"/>
    </w:p>
    <w:p w:rsidR="0041738F" w:rsidP="0041738F" w:rsidRDefault="00BB5706" w14:paraId="1754AA0F" w14:textId="32FB2DEB">
      <w:pPr>
        <w:pStyle w:val="BodyText"/>
      </w:pPr>
      <w:r>
        <w:rPr>
          <w:noProof/>
        </w:rPr>
        <w:drawing>
          <wp:inline distT="0" distB="0" distL="0" distR="0" wp14:anchorId="691D7226" wp14:editId="7F0D73C6">
            <wp:extent cx="5400675" cy="7310603"/>
            <wp:effectExtent l="0" t="0" r="0" b="5080"/>
            <wp:docPr id="5" name="Picture 5" descr="A blue and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rectangular object with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675" cy="7310603"/>
                    </a:xfrm>
                    <a:prstGeom prst="rect">
                      <a:avLst/>
                    </a:prstGeom>
                  </pic:spPr>
                </pic:pic>
              </a:graphicData>
            </a:graphic>
          </wp:inline>
        </w:drawing>
      </w:r>
    </w:p>
    <w:p w:rsidR="00BB5706" w:rsidRDefault="00BB5706" w14:paraId="48661591" w14:textId="77777777">
      <w:r>
        <w:br w:type="page"/>
      </w:r>
    </w:p>
    <w:p w:rsidR="0041738F" w:rsidP="00BB5706" w:rsidRDefault="0041738F" w14:paraId="50CAB6AA" w14:textId="42B168FD">
      <w:pPr>
        <w:pStyle w:val="Heading1"/>
      </w:pPr>
      <w:bookmarkStart w:name="_Appendix_A:_Detailed" w:id="10"/>
      <w:bookmarkStart w:name="_Toc146037618" w:id="11"/>
      <w:bookmarkEnd w:id="10"/>
      <w:r>
        <w:t xml:space="preserve">Appendix A: Detailed overview of the content of the transitional </w:t>
      </w:r>
      <w:r w:rsidR="00186E81">
        <w:t>National Planning Framework (</w:t>
      </w:r>
      <w:r>
        <w:t>NPF</w:t>
      </w:r>
      <w:r w:rsidR="00186E81">
        <w:t>)</w:t>
      </w:r>
      <w:r>
        <w:t xml:space="preserve"> proposal</w:t>
      </w:r>
      <w:bookmarkEnd w:id="11"/>
      <w:r>
        <w:t xml:space="preserve"> </w:t>
      </w:r>
    </w:p>
    <w:p w:rsidRPr="004B2734" w:rsidR="0041738F" w:rsidP="00BB5706" w:rsidRDefault="0041738F" w14:paraId="0C447119" w14:textId="6EA56D16">
      <w:pPr>
        <w:pStyle w:val="Tableheading"/>
        <w:rPr>
          <w:spacing w:val="-3"/>
        </w:rPr>
      </w:pPr>
      <w:bookmarkStart w:name="_Toc146037625" w:id="12"/>
      <w:r w:rsidRPr="004B2734">
        <w:rPr>
          <w:spacing w:val="-3"/>
        </w:rPr>
        <w:t>Scope and structure of the draft engagement version of the transitional NPF proposal</w:t>
      </w:r>
      <w:bookmarkEnd w:id="12"/>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1904"/>
        <w:gridCol w:w="6601"/>
      </w:tblGrid>
      <w:tr w:rsidRPr="00FB6741" w:rsidR="00FB6741" w:rsidTr="00FB6741" w14:paraId="2B71B2D8" w14:textId="77777777">
        <w:trPr>
          <w:tblHeader/>
        </w:trPr>
        <w:tc>
          <w:tcPr>
            <w:tcW w:w="1904" w:type="dxa"/>
            <w:shd w:val="clear" w:color="auto" w:fill="1B556B"/>
          </w:tcPr>
          <w:p w:rsidRPr="00B33EFE" w:rsidR="00FB6741" w:rsidP="00273A9E" w:rsidRDefault="00FB6741" w14:paraId="163F5162" w14:textId="1F764472">
            <w:pPr>
              <w:pStyle w:val="TableTextbold"/>
              <w:jc w:val="left"/>
              <w:rPr>
                <w:color w:val="FFFFFF" w:themeColor="background1"/>
              </w:rPr>
            </w:pPr>
            <w:r w:rsidRPr="00B33EFE">
              <w:rPr>
                <w:color w:val="FFFFFF" w:themeColor="background1"/>
              </w:rPr>
              <w:t>Part</w:t>
            </w:r>
          </w:p>
        </w:tc>
        <w:tc>
          <w:tcPr>
            <w:tcW w:w="6601" w:type="dxa"/>
            <w:shd w:val="clear" w:color="auto" w:fill="1B556B"/>
          </w:tcPr>
          <w:p w:rsidRPr="00FB6741" w:rsidR="00FB6741" w:rsidP="00273A9E" w:rsidRDefault="00FB6741" w14:paraId="1621D83F" w14:textId="172C7BC5">
            <w:pPr>
              <w:pStyle w:val="TableTextbold"/>
              <w:jc w:val="left"/>
              <w:rPr>
                <w:color w:val="FFFFFF" w:themeColor="background1"/>
              </w:rPr>
            </w:pPr>
            <w:r w:rsidRPr="00FB6741">
              <w:rPr>
                <w:color w:val="FFFFFF" w:themeColor="background1"/>
              </w:rPr>
              <w:t>Content</w:t>
            </w:r>
          </w:p>
        </w:tc>
      </w:tr>
      <w:tr w:rsidRPr="00A76AEE" w:rsidR="00B33EFE" w:rsidTr="00FB6741" w14:paraId="0BA2EE40" w14:textId="77777777">
        <w:tc>
          <w:tcPr>
            <w:tcW w:w="1904" w:type="dxa"/>
            <w:shd w:val="clear" w:color="auto" w:fill="auto"/>
          </w:tcPr>
          <w:p w:rsidRPr="00B33EFE" w:rsidR="00B33EFE" w:rsidP="00273A9E" w:rsidRDefault="00B33EFE" w14:paraId="43E6C6A9" w14:textId="008A5EA0">
            <w:pPr>
              <w:pStyle w:val="TableText"/>
              <w:jc w:val="left"/>
              <w:rPr>
                <w:b/>
              </w:rPr>
            </w:pPr>
            <w:r w:rsidRPr="00B33EFE">
              <w:rPr>
                <w:b/>
              </w:rPr>
              <w:t>Preliminary provisions</w:t>
            </w:r>
          </w:p>
        </w:tc>
        <w:tc>
          <w:tcPr>
            <w:tcW w:w="6601" w:type="dxa"/>
            <w:shd w:val="clear" w:color="auto" w:fill="auto"/>
          </w:tcPr>
          <w:p w:rsidR="00B33EFE" w:rsidP="00273A9E" w:rsidRDefault="00B33EFE" w14:paraId="26BAAC47" w14:textId="77777777">
            <w:pPr>
              <w:pStyle w:val="TableBullet"/>
              <w:spacing w:before="60"/>
              <w:jc w:val="left"/>
            </w:pPr>
            <w:r w:rsidRPr="00F327D4">
              <w:t>Title</w:t>
            </w:r>
          </w:p>
          <w:p w:rsidRPr="00A76AEE" w:rsidR="00B33EFE" w:rsidP="00273A9E" w:rsidRDefault="00B33EFE" w14:paraId="07601219" w14:textId="2815C94F">
            <w:pPr>
              <w:pStyle w:val="TableDash"/>
              <w:jc w:val="left"/>
            </w:pPr>
            <w:r w:rsidRPr="00B33EFE">
              <w:t>Commencement</w:t>
            </w:r>
          </w:p>
        </w:tc>
      </w:tr>
      <w:tr w:rsidRPr="00A76AEE" w:rsidR="00BB5706" w:rsidTr="00FB6741" w14:paraId="4D990BAA" w14:textId="77777777">
        <w:tc>
          <w:tcPr>
            <w:tcW w:w="1904" w:type="dxa"/>
            <w:shd w:val="clear" w:color="auto" w:fill="auto"/>
          </w:tcPr>
          <w:p w:rsidRPr="00B33EFE" w:rsidR="00BB5706" w:rsidP="00273A9E" w:rsidRDefault="00B33EFE" w14:paraId="049AC454" w14:textId="7448AAE3">
            <w:pPr>
              <w:pStyle w:val="TableText"/>
              <w:jc w:val="left"/>
              <w:rPr>
                <w:b/>
              </w:rPr>
            </w:pPr>
            <w:r w:rsidRPr="00B33EFE">
              <w:rPr>
                <w:b/>
              </w:rPr>
              <w:t>Overarching matters</w:t>
            </w:r>
          </w:p>
        </w:tc>
        <w:tc>
          <w:tcPr>
            <w:tcW w:w="6601" w:type="dxa"/>
            <w:shd w:val="clear" w:color="auto" w:fill="auto"/>
          </w:tcPr>
          <w:p w:rsidRPr="00A27C75" w:rsidR="00B33EFE" w:rsidP="00273A9E" w:rsidRDefault="00B33EFE" w14:paraId="6858791E" w14:textId="0CD20374">
            <w:pPr>
              <w:pStyle w:val="TableText"/>
              <w:jc w:val="left"/>
              <w:rPr>
                <w:i/>
                <w:iCs/>
              </w:rPr>
            </w:pPr>
            <w:r w:rsidRPr="00A27C75">
              <w:rPr>
                <w:i/>
                <w:iCs/>
              </w:rPr>
              <w:t>Content that assists the integration of the domain parts of the NPF by addressing cross-cutting issues</w:t>
            </w:r>
          </w:p>
          <w:p w:rsidR="00B33EFE" w:rsidP="00273A9E" w:rsidRDefault="00B33EFE" w14:paraId="252B6485" w14:textId="5D78FCD9">
            <w:pPr>
              <w:pStyle w:val="TableBullet"/>
              <w:jc w:val="left"/>
            </w:pPr>
            <w:r>
              <w:t>Interpretation</w:t>
            </w:r>
          </w:p>
          <w:p w:rsidR="00B33EFE" w:rsidP="00273A9E" w:rsidRDefault="00B33EFE" w14:paraId="21D9DE08" w14:textId="13819D65">
            <w:pPr>
              <w:pStyle w:val="TableBullet"/>
              <w:jc w:val="left"/>
            </w:pPr>
            <w:r>
              <w:t xml:space="preserve">Direction on decision-making, including integrated management, long-term planning, nature-based solutions, and resolving conflicts between environmental </w:t>
            </w:r>
            <w:proofErr w:type="gramStart"/>
            <w:r>
              <w:t>matters</w:t>
            </w:r>
            <w:proofErr w:type="gramEnd"/>
          </w:p>
          <w:p w:rsidR="00B33EFE" w:rsidP="00273A9E" w:rsidRDefault="00B33EFE" w14:paraId="3E27A5EF" w14:textId="3DF9DFC1">
            <w:pPr>
              <w:pStyle w:val="TableBullet"/>
              <w:jc w:val="left"/>
            </w:pPr>
            <w:r>
              <w:t>Engagement with iwi, hapū and other Māori groups</w:t>
            </w:r>
          </w:p>
          <w:p w:rsidR="00B33EFE" w:rsidP="00273A9E" w:rsidRDefault="00B33EFE" w14:paraId="1215912D" w14:textId="304C8BDE">
            <w:pPr>
              <w:pStyle w:val="TableBullet"/>
              <w:jc w:val="left"/>
            </w:pPr>
            <w:r>
              <w:t>Monitoring the implementation and effectiveness of the NPF</w:t>
            </w:r>
          </w:p>
          <w:p w:rsidRPr="00A76AEE" w:rsidR="00BB5706" w:rsidP="00273A9E" w:rsidRDefault="00B33EFE" w14:paraId="406A6B09" w14:textId="72E505EE">
            <w:pPr>
              <w:pStyle w:val="TableDash"/>
              <w:jc w:val="left"/>
            </w:pPr>
            <w:r>
              <w:t>Environmental limits and targets</w:t>
            </w:r>
          </w:p>
        </w:tc>
      </w:tr>
      <w:tr w:rsidRPr="00A76AEE" w:rsidR="00386E54" w:rsidTr="00FB6741" w14:paraId="11C184B6" w14:textId="77777777">
        <w:tc>
          <w:tcPr>
            <w:tcW w:w="1904" w:type="dxa"/>
          </w:tcPr>
          <w:p w:rsidRPr="00A27C75" w:rsidR="00386E54" w:rsidP="00273A9E" w:rsidRDefault="00386E54" w14:paraId="036158F8" w14:textId="5870F7EA">
            <w:pPr>
              <w:pStyle w:val="TableText"/>
              <w:jc w:val="left"/>
              <w:rPr>
                <w:b/>
                <w:bCs/>
              </w:rPr>
            </w:pPr>
            <w:r w:rsidRPr="00A27C75">
              <w:rPr>
                <w:b/>
                <w:bCs/>
              </w:rPr>
              <w:t>Freshwater</w:t>
            </w:r>
          </w:p>
        </w:tc>
        <w:tc>
          <w:tcPr>
            <w:tcW w:w="6601" w:type="dxa"/>
          </w:tcPr>
          <w:p w:rsidR="00386E54" w:rsidP="00273A9E" w:rsidRDefault="00386E54" w14:paraId="40640F25" w14:textId="77777777">
            <w:pPr>
              <w:pStyle w:val="TableBullet"/>
              <w:spacing w:before="60"/>
              <w:jc w:val="left"/>
            </w:pPr>
            <w:r w:rsidRPr="00B64150">
              <w:t>Redrafted National Policy Statement for Freshwater Management (NPS-FM), retaining Te Mana o Te Wai</w:t>
            </w:r>
          </w:p>
          <w:p w:rsidR="00386E54" w:rsidP="00273A9E" w:rsidRDefault="00386E54" w14:paraId="34B0CF53" w14:textId="77777777">
            <w:pPr>
              <w:pStyle w:val="TableBullet"/>
              <w:jc w:val="left"/>
            </w:pPr>
            <w:r>
              <w:t xml:space="preserve">Redrafted National Environmental Standards for Freshwater (NES-F) </w:t>
            </w:r>
          </w:p>
          <w:p w:rsidR="00386E54" w:rsidP="00273A9E" w:rsidRDefault="00386E54" w14:paraId="7E0E806F" w14:textId="06F3FC06">
            <w:pPr>
              <w:pStyle w:val="TableBullet"/>
              <w:jc w:val="left"/>
            </w:pPr>
            <w:r>
              <w:t xml:space="preserve">Redrafted Resource Management (Stock Exclusion) Regulations </w:t>
            </w:r>
          </w:p>
          <w:p w:rsidRPr="00A76AEE" w:rsidR="00386E54" w:rsidP="00273A9E" w:rsidRDefault="00386E54" w14:paraId="489EDE43" w14:textId="64137B6D">
            <w:pPr>
              <w:pStyle w:val="TableDash"/>
              <w:jc w:val="left"/>
            </w:pPr>
            <w:r>
              <w:t>Redrafted Resource Management (Measurement and Reporting of Water Takes) Regulations</w:t>
            </w:r>
          </w:p>
        </w:tc>
      </w:tr>
      <w:tr w:rsidRPr="00A76AEE" w:rsidR="00386E54" w:rsidTr="00FB6741" w14:paraId="314A9F9F" w14:textId="77777777">
        <w:tc>
          <w:tcPr>
            <w:tcW w:w="1904" w:type="dxa"/>
          </w:tcPr>
          <w:p w:rsidRPr="00A27C75" w:rsidR="00386E54" w:rsidP="00273A9E" w:rsidRDefault="00386E54" w14:paraId="6DEEE37C" w14:textId="1409BD9A">
            <w:pPr>
              <w:pStyle w:val="TableText"/>
              <w:jc w:val="left"/>
              <w:rPr>
                <w:b/>
                <w:bCs/>
              </w:rPr>
            </w:pPr>
            <w:r w:rsidRPr="00A27C75">
              <w:rPr>
                <w:b/>
                <w:bCs/>
              </w:rPr>
              <w:t>Coastal environment</w:t>
            </w:r>
          </w:p>
        </w:tc>
        <w:tc>
          <w:tcPr>
            <w:tcW w:w="6601" w:type="dxa"/>
          </w:tcPr>
          <w:p w:rsidR="00386E54" w:rsidP="00273A9E" w:rsidRDefault="00386E54" w14:paraId="4122A62E" w14:textId="77777777">
            <w:pPr>
              <w:pStyle w:val="TableBullet"/>
              <w:spacing w:before="60"/>
              <w:jc w:val="left"/>
            </w:pPr>
            <w:r w:rsidRPr="002F405E">
              <w:t>Redrafted New Zealand Coastal Policy Statement 2010 (NZCPS)</w:t>
            </w:r>
          </w:p>
          <w:p w:rsidRPr="00B64150" w:rsidR="00386E54" w:rsidP="00273A9E" w:rsidRDefault="00386E54" w14:paraId="009A0F53" w14:textId="32782A88">
            <w:pPr>
              <w:pStyle w:val="TableDash"/>
              <w:jc w:val="left"/>
            </w:pPr>
            <w:r w:rsidRPr="00386E54">
              <w:t>Redrafted National Environmental Standards for Marine Aquaculture (NES-MA)</w:t>
            </w:r>
          </w:p>
        </w:tc>
      </w:tr>
      <w:tr w:rsidRPr="00A76AEE" w:rsidR="00386E54" w:rsidTr="00FB6741" w14:paraId="60CA9263" w14:textId="77777777">
        <w:tc>
          <w:tcPr>
            <w:tcW w:w="1904" w:type="dxa"/>
          </w:tcPr>
          <w:p w:rsidRPr="00A27C75" w:rsidR="00386E54" w:rsidP="00273A9E" w:rsidRDefault="00386E54" w14:paraId="5AF1F7D1" w14:textId="1EB63AA0">
            <w:pPr>
              <w:pStyle w:val="TableText"/>
              <w:jc w:val="left"/>
              <w:rPr>
                <w:b/>
                <w:bCs/>
              </w:rPr>
            </w:pPr>
            <w:r w:rsidRPr="00A27C75">
              <w:rPr>
                <w:b/>
                <w:bCs/>
              </w:rPr>
              <w:t>Land and soil</w:t>
            </w:r>
          </w:p>
        </w:tc>
        <w:tc>
          <w:tcPr>
            <w:tcW w:w="6601" w:type="dxa"/>
          </w:tcPr>
          <w:p w:rsidR="00386E54" w:rsidP="00273A9E" w:rsidRDefault="00386E54" w14:paraId="5D77DB27" w14:textId="77777777">
            <w:pPr>
              <w:pStyle w:val="TableBullet"/>
              <w:spacing w:before="60"/>
              <w:jc w:val="left"/>
            </w:pPr>
            <w:r w:rsidRPr="00CA634B">
              <w:t xml:space="preserve">Redrafted National Policy Statement for Highly Productive Land </w:t>
            </w:r>
            <w:r w:rsidRPr="00386E54">
              <w:t>(NPS-HPL)</w:t>
            </w:r>
          </w:p>
          <w:p w:rsidR="00386E54" w:rsidP="00273A9E" w:rsidRDefault="00386E54" w14:paraId="0CD77A4A" w14:textId="77777777">
            <w:pPr>
              <w:pStyle w:val="TableBullet"/>
              <w:jc w:val="left"/>
            </w:pPr>
            <w:r>
              <w:t>Redrafted National Environmental Standards for Assessing and Managing Contaminants in Soil to Protect Human Health (NES-CS)</w:t>
            </w:r>
          </w:p>
          <w:p w:rsidRPr="002F405E" w:rsidR="00386E54" w:rsidP="00273A9E" w:rsidRDefault="00386E54" w14:paraId="0FBD008B" w14:textId="54AD112A">
            <w:pPr>
              <w:pStyle w:val="TableDash"/>
              <w:jc w:val="left"/>
            </w:pPr>
            <w:r>
              <w:t>Redrafted National Environmental Standards for Storing Tyres Outdoors (NES-STO)</w:t>
            </w:r>
          </w:p>
        </w:tc>
      </w:tr>
      <w:tr w:rsidRPr="00A76AEE" w:rsidR="00386E54" w:rsidTr="00FB6741" w14:paraId="58229219" w14:textId="77777777">
        <w:tc>
          <w:tcPr>
            <w:tcW w:w="1904" w:type="dxa"/>
          </w:tcPr>
          <w:p w:rsidRPr="00A27C75" w:rsidR="00386E54" w:rsidP="00273A9E" w:rsidRDefault="00386E54" w14:paraId="5DF9B49F" w14:textId="0BE82706">
            <w:pPr>
              <w:pStyle w:val="TableText"/>
              <w:jc w:val="left"/>
              <w:rPr>
                <w:b/>
                <w:bCs/>
              </w:rPr>
            </w:pPr>
            <w:r w:rsidRPr="00A27C75">
              <w:rPr>
                <w:b/>
                <w:bCs/>
              </w:rPr>
              <w:t>Air</w:t>
            </w:r>
          </w:p>
        </w:tc>
        <w:tc>
          <w:tcPr>
            <w:tcW w:w="6601" w:type="dxa"/>
          </w:tcPr>
          <w:p w:rsidRPr="00CA634B" w:rsidR="00386E54" w:rsidP="00273A9E" w:rsidRDefault="00386E54" w14:paraId="4F9311E6" w14:textId="642DD836">
            <w:pPr>
              <w:pStyle w:val="TableBullet"/>
              <w:spacing w:before="60"/>
              <w:jc w:val="left"/>
            </w:pPr>
            <w:r w:rsidRPr="000F1795">
              <w:t>Redrafted National Environmental Standards for Air Quality (NES-AQ) (in part)</w:t>
            </w:r>
          </w:p>
        </w:tc>
      </w:tr>
      <w:tr w:rsidRPr="00A76AEE" w:rsidR="00386E54" w:rsidTr="00FB6741" w14:paraId="5E1B5F70" w14:textId="77777777">
        <w:tc>
          <w:tcPr>
            <w:tcW w:w="1904" w:type="dxa"/>
          </w:tcPr>
          <w:p w:rsidRPr="00A27C75" w:rsidR="00386E54" w:rsidP="00273A9E" w:rsidRDefault="00386E54" w14:paraId="2D8A92CA" w14:textId="66E90CEB">
            <w:pPr>
              <w:pStyle w:val="TableText"/>
              <w:jc w:val="left"/>
              <w:rPr>
                <w:b/>
                <w:bCs/>
              </w:rPr>
            </w:pPr>
            <w:r w:rsidRPr="00A27C75">
              <w:rPr>
                <w:b/>
                <w:bCs/>
              </w:rPr>
              <w:t>Indigenous biodiversity</w:t>
            </w:r>
          </w:p>
        </w:tc>
        <w:tc>
          <w:tcPr>
            <w:tcW w:w="6601" w:type="dxa"/>
          </w:tcPr>
          <w:p w:rsidRPr="000F1795" w:rsidR="00386E54" w:rsidP="00273A9E" w:rsidRDefault="00386E54" w14:paraId="382E2A59" w14:textId="15A17468">
            <w:pPr>
              <w:pStyle w:val="TableBullet"/>
              <w:spacing w:before="60"/>
              <w:jc w:val="left"/>
            </w:pPr>
            <w:r w:rsidRPr="00E35F6D">
              <w:t>Redrafted National Policy Statement for Indigenous Biodiversity (NPS-IB)</w:t>
            </w:r>
          </w:p>
        </w:tc>
      </w:tr>
      <w:tr w:rsidRPr="00A76AEE" w:rsidR="00386E54" w:rsidTr="00C95FA5" w14:paraId="70585126" w14:textId="77777777">
        <w:trPr>
          <w:cantSplit/>
        </w:trPr>
        <w:tc>
          <w:tcPr>
            <w:tcW w:w="1904" w:type="dxa"/>
          </w:tcPr>
          <w:p w:rsidRPr="00A27C75" w:rsidR="00386E54" w:rsidP="00273A9E" w:rsidRDefault="00386E54" w14:paraId="00A8F99F" w14:textId="57B989FB">
            <w:pPr>
              <w:pStyle w:val="TableText"/>
              <w:jc w:val="left"/>
              <w:rPr>
                <w:b/>
                <w:bCs/>
              </w:rPr>
            </w:pPr>
            <w:r w:rsidRPr="00A27C75">
              <w:rPr>
                <w:b/>
                <w:bCs/>
              </w:rPr>
              <w:t>ONFs and ONLs</w:t>
            </w:r>
          </w:p>
        </w:tc>
        <w:tc>
          <w:tcPr>
            <w:tcW w:w="6601" w:type="dxa"/>
          </w:tcPr>
          <w:p w:rsidRPr="00D41E69" w:rsidR="00386E54" w:rsidP="00273A9E" w:rsidRDefault="00386E54" w14:paraId="4F808362" w14:textId="103F4482">
            <w:pPr>
              <w:pStyle w:val="TableText"/>
              <w:jc w:val="left"/>
              <w:rPr>
                <w:i/>
                <w:iCs/>
              </w:rPr>
            </w:pPr>
            <w:r w:rsidRPr="00D41E69">
              <w:rPr>
                <w:i/>
                <w:iCs/>
              </w:rPr>
              <w:t xml:space="preserve">High-level strategic direction on protecting and restoring degraded </w:t>
            </w:r>
            <w:r w:rsidRPr="007C2EC3" w:rsidR="00186E81">
              <w:rPr>
                <w:i/>
              </w:rPr>
              <w:t xml:space="preserve">outstanding natural features </w:t>
            </w:r>
            <w:r w:rsidR="00186E81">
              <w:rPr>
                <w:i/>
                <w:iCs/>
              </w:rPr>
              <w:t>(</w:t>
            </w:r>
            <w:r w:rsidRPr="00D41E69">
              <w:rPr>
                <w:i/>
                <w:iCs/>
              </w:rPr>
              <w:t>ONFs</w:t>
            </w:r>
            <w:r w:rsidR="00186E81">
              <w:rPr>
                <w:i/>
                <w:iCs/>
              </w:rPr>
              <w:t>)</w:t>
            </w:r>
            <w:r w:rsidRPr="00D41E69">
              <w:rPr>
                <w:i/>
                <w:iCs/>
              </w:rPr>
              <w:t xml:space="preserve"> and </w:t>
            </w:r>
            <w:r w:rsidRPr="00127DA9" w:rsidR="00186E81">
              <w:rPr>
                <w:i/>
                <w:iCs/>
              </w:rPr>
              <w:t>outstanding natural landscapes</w:t>
            </w:r>
            <w:r w:rsidRPr="00D41E69" w:rsidR="00186E81">
              <w:rPr>
                <w:i/>
                <w:iCs/>
              </w:rPr>
              <w:t xml:space="preserve"> </w:t>
            </w:r>
            <w:r w:rsidR="00186E81">
              <w:rPr>
                <w:i/>
                <w:iCs/>
              </w:rPr>
              <w:t>(</w:t>
            </w:r>
            <w:r w:rsidRPr="00D41E69">
              <w:rPr>
                <w:i/>
                <w:iCs/>
              </w:rPr>
              <w:t>ONLs</w:t>
            </w:r>
            <w:r w:rsidR="00186E81">
              <w:rPr>
                <w:i/>
                <w:iCs/>
              </w:rPr>
              <w:t>)</w:t>
            </w:r>
          </w:p>
          <w:p w:rsidR="00386E54" w:rsidP="00273A9E" w:rsidRDefault="00386E54" w14:paraId="6DE02A0C" w14:textId="2523CE5E">
            <w:pPr>
              <w:pStyle w:val="TableBullet"/>
              <w:jc w:val="left"/>
            </w:pPr>
            <w:r>
              <w:t>The main components are:</w:t>
            </w:r>
          </w:p>
          <w:p w:rsidR="00386E54" w:rsidP="00273A9E" w:rsidRDefault="00386E54" w14:paraId="4BBA0D36" w14:textId="79B69D39">
            <w:pPr>
              <w:pStyle w:val="TableDash"/>
              <w:jc w:val="left"/>
            </w:pPr>
            <w:r>
              <w:t>a framework outcome for ONFs and ONLs</w:t>
            </w:r>
          </w:p>
          <w:p w:rsidR="00386E54" w:rsidP="00273A9E" w:rsidRDefault="00386E54" w14:paraId="3B99BE63" w14:textId="295BE84F">
            <w:pPr>
              <w:pStyle w:val="TableDash"/>
              <w:jc w:val="left"/>
            </w:pPr>
            <w:r>
              <w:t xml:space="preserve">a requirement to consider the location, extent, </w:t>
            </w:r>
            <w:proofErr w:type="gramStart"/>
            <w:r>
              <w:t>values</w:t>
            </w:r>
            <w:proofErr w:type="gramEnd"/>
            <w:r>
              <w:t xml:space="preserve"> and characteristics for ONFs and ONLs </w:t>
            </w:r>
          </w:p>
          <w:p w:rsidR="00386E54" w:rsidP="00273A9E" w:rsidRDefault="00386E54" w14:paraId="1429B9C7" w14:textId="04608936">
            <w:pPr>
              <w:pStyle w:val="TableDash"/>
              <w:jc w:val="left"/>
            </w:pPr>
            <w:r>
              <w:t xml:space="preserve">a requirement to consider the ways available to support the protection, maintenance and, where appropriate, the restoration of identified ONFs and identified </w:t>
            </w:r>
            <w:proofErr w:type="gramStart"/>
            <w:r>
              <w:t>ONLs</w:t>
            </w:r>
            <w:proofErr w:type="gramEnd"/>
          </w:p>
          <w:p w:rsidR="00386E54" w:rsidP="00273A9E" w:rsidRDefault="00386E54" w14:paraId="1FC8CAA8" w14:textId="73D338D6">
            <w:pPr>
              <w:pStyle w:val="TableDash"/>
              <w:jc w:val="left"/>
            </w:pPr>
            <w:r>
              <w:t xml:space="preserve">a requirement to consider potential conflicts between protection of landscapes and natural features and other activities, and how they can be resolved or </w:t>
            </w:r>
            <w:proofErr w:type="gramStart"/>
            <w:r>
              <w:t>reduced</w:t>
            </w:r>
            <w:proofErr w:type="gramEnd"/>
          </w:p>
          <w:p w:rsidRPr="00E35F6D" w:rsidR="00386E54" w:rsidP="00273A9E" w:rsidRDefault="00386E54" w14:paraId="6D7D05E7" w14:textId="52BB2B6F">
            <w:pPr>
              <w:pStyle w:val="TableDash"/>
              <w:jc w:val="left"/>
            </w:pPr>
            <w:r>
              <w:t xml:space="preserve">a requirement to consider what further work is needed to support the development of the content of the relevant </w:t>
            </w:r>
            <w:r w:rsidR="00186E81">
              <w:t>natural and built environment plan (</w:t>
            </w:r>
            <w:r>
              <w:t>NBE plan</w:t>
            </w:r>
            <w:r w:rsidR="00186E81">
              <w:t>)</w:t>
            </w:r>
            <w:r>
              <w:t xml:space="preserve"> concerning the ONFs and ONLs in the region.</w:t>
            </w:r>
          </w:p>
        </w:tc>
      </w:tr>
      <w:tr w:rsidRPr="00A76AEE" w:rsidR="00386E54" w:rsidTr="00FB6741" w14:paraId="6EB943E7" w14:textId="77777777">
        <w:tc>
          <w:tcPr>
            <w:tcW w:w="1904" w:type="dxa"/>
          </w:tcPr>
          <w:p w:rsidRPr="00A27C75" w:rsidR="00386E54" w:rsidP="00273A9E" w:rsidRDefault="00386E54" w14:paraId="2933E1E2" w14:textId="0ECED09A">
            <w:pPr>
              <w:pStyle w:val="TableText"/>
              <w:jc w:val="left"/>
              <w:rPr>
                <w:b/>
                <w:bCs/>
              </w:rPr>
            </w:pPr>
            <w:r w:rsidRPr="00A27C75">
              <w:rPr>
                <w:b/>
                <w:bCs/>
              </w:rPr>
              <w:t>Cultural heritage</w:t>
            </w:r>
          </w:p>
        </w:tc>
        <w:tc>
          <w:tcPr>
            <w:tcW w:w="6601" w:type="dxa"/>
          </w:tcPr>
          <w:p w:rsidRPr="00E5000B" w:rsidR="00386E54" w:rsidP="00273A9E" w:rsidRDefault="00386E54" w14:paraId="3558D03F" w14:textId="77777777">
            <w:pPr>
              <w:pStyle w:val="TableText"/>
              <w:jc w:val="left"/>
              <w:rPr>
                <w:i/>
                <w:iCs/>
              </w:rPr>
            </w:pPr>
            <w:r w:rsidRPr="00E5000B">
              <w:rPr>
                <w:i/>
                <w:iCs/>
              </w:rPr>
              <w:t xml:space="preserve">High-level strategic direction on protecting cultural heritage, including sites of significance to </w:t>
            </w:r>
            <w:proofErr w:type="gramStart"/>
            <w:r w:rsidRPr="00E5000B">
              <w:rPr>
                <w:i/>
                <w:iCs/>
              </w:rPr>
              <w:t>Māori</w:t>
            </w:r>
            <w:proofErr w:type="gramEnd"/>
          </w:p>
          <w:p w:rsidR="00386E54" w:rsidP="00273A9E" w:rsidRDefault="00386E54" w14:paraId="1B69C8A8" w14:textId="77777777">
            <w:pPr>
              <w:pStyle w:val="TableBullet"/>
              <w:jc w:val="left"/>
            </w:pPr>
            <w:r>
              <w:t>The main components are:</w:t>
            </w:r>
          </w:p>
          <w:p w:rsidR="00386E54" w:rsidP="00273A9E" w:rsidRDefault="00386E54" w14:paraId="4443922C" w14:textId="419CEFAF">
            <w:pPr>
              <w:pStyle w:val="TableDash"/>
              <w:jc w:val="left"/>
            </w:pPr>
            <w:r>
              <w:t>a framework outcome for cultural heritage</w:t>
            </w:r>
          </w:p>
          <w:p w:rsidR="00386E54" w:rsidP="00273A9E" w:rsidRDefault="00386E54" w14:paraId="6F4B8436" w14:textId="758C3088">
            <w:pPr>
              <w:pStyle w:val="TableDash"/>
              <w:jc w:val="left"/>
            </w:pPr>
            <w:r>
              <w:t xml:space="preserve">a requirement to consider the location, extent and characteristics of cultural </w:t>
            </w:r>
            <w:proofErr w:type="gramStart"/>
            <w:r>
              <w:t>heritage</w:t>
            </w:r>
            <w:proofErr w:type="gramEnd"/>
          </w:p>
          <w:p w:rsidR="00386E54" w:rsidP="00273A9E" w:rsidRDefault="00386E54" w14:paraId="3F1C10D7" w14:textId="04AAC551">
            <w:pPr>
              <w:pStyle w:val="TableDash"/>
              <w:jc w:val="left"/>
            </w:pPr>
            <w:r>
              <w:t>a requirement to consider the ways available to support the protection, maintenance, restoration and, where appropriate, the enhancement of cultural heritage</w:t>
            </w:r>
          </w:p>
          <w:p w:rsidR="00386E54" w:rsidP="00273A9E" w:rsidRDefault="00386E54" w14:paraId="32BEE072" w14:textId="5C8FEE4D">
            <w:pPr>
              <w:pStyle w:val="TableDash"/>
              <w:jc w:val="left"/>
            </w:pPr>
            <w:r>
              <w:t xml:space="preserve">a requirement to consider the potential conflicts between cultural heritage protection and other activities, and how they can be resolved or </w:t>
            </w:r>
            <w:proofErr w:type="gramStart"/>
            <w:r>
              <w:t>reduced</w:t>
            </w:r>
            <w:proofErr w:type="gramEnd"/>
          </w:p>
          <w:p w:rsidRPr="00F86773" w:rsidR="00386E54" w:rsidP="00273A9E" w:rsidRDefault="00386E54" w14:paraId="466D6B46" w14:textId="5FB5552C">
            <w:pPr>
              <w:pStyle w:val="TableDash"/>
              <w:jc w:val="left"/>
            </w:pPr>
            <w:r>
              <w:t>a requirement to consider what further work is needed to support the development of the content of the relevant NBE plan concerning the cultural heritage in the region.</w:t>
            </w:r>
          </w:p>
        </w:tc>
      </w:tr>
      <w:tr w:rsidRPr="00A76AEE" w:rsidR="00386E54" w:rsidTr="00FB6741" w14:paraId="4134E015" w14:textId="77777777">
        <w:tc>
          <w:tcPr>
            <w:tcW w:w="1904" w:type="dxa"/>
          </w:tcPr>
          <w:p w:rsidRPr="00A27C75" w:rsidR="00386E54" w:rsidP="00273A9E" w:rsidRDefault="00386E54" w14:paraId="33C8CAC0" w14:textId="72AB2F27">
            <w:pPr>
              <w:pStyle w:val="TableText"/>
              <w:jc w:val="left"/>
              <w:rPr>
                <w:b/>
                <w:bCs/>
              </w:rPr>
            </w:pPr>
            <w:r w:rsidRPr="00A27C75">
              <w:rPr>
                <w:b/>
                <w:bCs/>
              </w:rPr>
              <w:t>Natural hazards and the effects of climate change</w:t>
            </w:r>
          </w:p>
        </w:tc>
        <w:tc>
          <w:tcPr>
            <w:tcW w:w="6601" w:type="dxa"/>
          </w:tcPr>
          <w:p w:rsidRPr="00E5000B" w:rsidR="00386E54" w:rsidP="00273A9E" w:rsidRDefault="00386E54" w14:paraId="7745265C" w14:textId="77777777">
            <w:pPr>
              <w:pStyle w:val="TableText"/>
              <w:jc w:val="left"/>
              <w:rPr>
                <w:i/>
                <w:iCs/>
              </w:rPr>
            </w:pPr>
            <w:r w:rsidRPr="00E5000B">
              <w:rPr>
                <w:i/>
                <w:iCs/>
              </w:rPr>
              <w:t>High-level strategic direction on risk reduction, adaptation, and resilience to natural hazards and climate change</w:t>
            </w:r>
          </w:p>
          <w:p w:rsidR="00386E54" w:rsidP="00273A9E" w:rsidRDefault="00386E54" w14:paraId="55403307" w14:textId="4175E8CC">
            <w:pPr>
              <w:pStyle w:val="TableBullet"/>
              <w:jc w:val="left"/>
            </w:pPr>
            <w:r>
              <w:t>The main components are:</w:t>
            </w:r>
          </w:p>
          <w:p w:rsidR="00386E54" w:rsidP="00273A9E" w:rsidRDefault="00386E54" w14:paraId="1AF26AFD" w14:textId="7F454F09">
            <w:pPr>
              <w:pStyle w:val="TableDash"/>
              <w:jc w:val="left"/>
            </w:pPr>
            <w:r>
              <w:t>a framework outcome for natural hazards and the effects of climate change</w:t>
            </w:r>
          </w:p>
          <w:p w:rsidR="00386E54" w:rsidP="00273A9E" w:rsidRDefault="00386E54" w14:paraId="60FF1E69" w14:textId="1C5A37E9">
            <w:pPr>
              <w:pStyle w:val="TableDash"/>
              <w:jc w:val="left"/>
            </w:pPr>
            <w:r>
              <w:t xml:space="preserve">a requirement to identify the natural hazards and effects of climate change that are particularly relevant to the </w:t>
            </w:r>
            <w:proofErr w:type="gramStart"/>
            <w:r>
              <w:t>region</w:t>
            </w:r>
            <w:proofErr w:type="gramEnd"/>
          </w:p>
          <w:p w:rsidR="00386E54" w:rsidP="00273A9E" w:rsidRDefault="00386E54" w14:paraId="363E8C52" w14:textId="75951129">
            <w:pPr>
              <w:pStyle w:val="TableDash"/>
              <w:jc w:val="left"/>
            </w:pPr>
            <w:r>
              <w:t xml:space="preserve">a requirement to consider the risks associated with natural hazards and effects of climate change, and to adopt a risk-management </w:t>
            </w:r>
            <w:proofErr w:type="gramStart"/>
            <w:r>
              <w:t>approach</w:t>
            </w:r>
            <w:proofErr w:type="gramEnd"/>
            <w:r>
              <w:t xml:space="preserve"> </w:t>
            </w:r>
          </w:p>
          <w:p w:rsidR="00386E54" w:rsidP="00273A9E" w:rsidRDefault="00386E54" w14:paraId="1899E807" w14:textId="55AD4B2D">
            <w:pPr>
              <w:pStyle w:val="TableDash"/>
              <w:jc w:val="left"/>
            </w:pPr>
            <w:r>
              <w:t xml:space="preserve">a requirement to consider strategic opportunities to adapt and increase resilience to natural hazards and the effects of climate </w:t>
            </w:r>
            <w:proofErr w:type="gramStart"/>
            <w:r>
              <w:t>change</w:t>
            </w:r>
            <w:proofErr w:type="gramEnd"/>
          </w:p>
          <w:p w:rsidRPr="00EC644A" w:rsidR="00386E54" w:rsidP="00273A9E" w:rsidRDefault="00386E54" w14:paraId="3916F800" w14:textId="63671DE5">
            <w:pPr>
              <w:pStyle w:val="TableDash"/>
              <w:jc w:val="left"/>
            </w:pPr>
            <w:r>
              <w:t>a requirement to consider whether more information is needed to prepare NBE plan content on natural hazards and the effects of climate change and associated risks.</w:t>
            </w:r>
          </w:p>
        </w:tc>
      </w:tr>
      <w:tr w:rsidRPr="00A76AEE" w:rsidR="00386E54" w:rsidTr="00C95FA5" w14:paraId="0BC7D65B" w14:textId="77777777">
        <w:trPr>
          <w:cantSplit/>
        </w:trPr>
        <w:tc>
          <w:tcPr>
            <w:tcW w:w="1904" w:type="dxa"/>
          </w:tcPr>
          <w:p w:rsidRPr="00A27C75" w:rsidR="00386E54" w:rsidP="00273A9E" w:rsidRDefault="00386E54" w14:paraId="583A3E8D" w14:textId="21C1A0A8">
            <w:pPr>
              <w:pStyle w:val="TableText"/>
              <w:jc w:val="left"/>
              <w:rPr>
                <w:b/>
                <w:bCs/>
              </w:rPr>
            </w:pPr>
            <w:r w:rsidRPr="00A27C75">
              <w:rPr>
                <w:b/>
                <w:bCs/>
              </w:rPr>
              <w:t>Greenhouse gas emissions</w:t>
            </w:r>
          </w:p>
        </w:tc>
        <w:tc>
          <w:tcPr>
            <w:tcW w:w="6601" w:type="dxa"/>
          </w:tcPr>
          <w:p w:rsidR="00386E54" w:rsidP="00273A9E" w:rsidRDefault="00386E54" w14:paraId="00CE8E68" w14:textId="77777777">
            <w:pPr>
              <w:pStyle w:val="TableBullet"/>
              <w:spacing w:before="60"/>
              <w:jc w:val="left"/>
            </w:pPr>
            <w:r w:rsidRPr="00E22F8D">
              <w:t>Redrafted National Policy Statement and National Environmental Standards for Greenhouse Gas Emissions from Industrial Process Heat (NPS/NES-IGHG)</w:t>
            </w:r>
          </w:p>
          <w:p w:rsidRPr="00E5000B" w:rsidR="00386E54" w:rsidP="00273A9E" w:rsidRDefault="00386E54" w14:paraId="55D2F51B" w14:textId="77777777">
            <w:pPr>
              <w:pStyle w:val="TableText"/>
              <w:jc w:val="left"/>
              <w:rPr>
                <w:i/>
                <w:iCs/>
              </w:rPr>
            </w:pPr>
            <w:r w:rsidRPr="00E5000B">
              <w:rPr>
                <w:i/>
                <w:iCs/>
              </w:rPr>
              <w:t>New high-level direction on greenhouse gas emissions</w:t>
            </w:r>
          </w:p>
          <w:p w:rsidR="00386E54" w:rsidP="00273A9E" w:rsidRDefault="00386E54" w14:paraId="1911E35A" w14:textId="508DD8ED">
            <w:pPr>
              <w:pStyle w:val="TableBullet"/>
              <w:jc w:val="left"/>
            </w:pPr>
            <w:r>
              <w:t>The main components are:</w:t>
            </w:r>
          </w:p>
          <w:p w:rsidR="00386E54" w:rsidP="00273A9E" w:rsidRDefault="00386E54" w14:paraId="5E4BC5AA" w14:textId="272E6879">
            <w:pPr>
              <w:pStyle w:val="TableDash"/>
              <w:jc w:val="left"/>
            </w:pPr>
            <w:r>
              <w:t xml:space="preserve">a framework outcome for reducing and removing greenhouse gases, in order to mitigate climate </w:t>
            </w:r>
            <w:proofErr w:type="gramStart"/>
            <w:r>
              <w:t>change</w:t>
            </w:r>
            <w:proofErr w:type="gramEnd"/>
          </w:p>
          <w:p w:rsidR="00386E54" w:rsidP="00273A9E" w:rsidRDefault="00386E54" w14:paraId="1BEB0006" w14:textId="279F3791">
            <w:pPr>
              <w:pStyle w:val="TableDash"/>
              <w:jc w:val="left"/>
            </w:pPr>
            <w:r>
              <w:t xml:space="preserve">a requirement to consider opportunities to support activities, including land-use changes, that lead to reductions in greenhouse gas </w:t>
            </w:r>
            <w:proofErr w:type="gramStart"/>
            <w:r>
              <w:t>emissions</w:t>
            </w:r>
            <w:proofErr w:type="gramEnd"/>
          </w:p>
          <w:p w:rsidR="00386E54" w:rsidP="00273A9E" w:rsidRDefault="00386E54" w14:paraId="216CA3EC" w14:textId="46432F49">
            <w:pPr>
              <w:pStyle w:val="TableDash"/>
              <w:jc w:val="left"/>
            </w:pPr>
            <w:r>
              <w:t xml:space="preserve">a requirement to recognise and consider carbon sinks, including whether any need to be protected, restored or </w:t>
            </w:r>
            <w:proofErr w:type="gramStart"/>
            <w:r>
              <w:t>enhanced</w:t>
            </w:r>
            <w:proofErr w:type="gramEnd"/>
          </w:p>
          <w:p w:rsidR="00386E54" w:rsidP="00273A9E" w:rsidRDefault="00386E54" w14:paraId="5FD961FC" w14:textId="44F48C14">
            <w:pPr>
              <w:pStyle w:val="TableDash"/>
              <w:jc w:val="left"/>
            </w:pPr>
            <w:r>
              <w:t xml:space="preserve">a requirement to broadly assess the greenhouse gas emissions impacts of future infrastructure and urban development using spatial scenarios in </w:t>
            </w:r>
            <w:proofErr w:type="gramStart"/>
            <w:r>
              <w:t>RSS</w:t>
            </w:r>
            <w:r w:rsidR="00186E81">
              <w:t>s</w:t>
            </w:r>
            <w:proofErr w:type="gramEnd"/>
          </w:p>
          <w:p w:rsidRPr="00FA66E5" w:rsidR="00386E54" w:rsidP="00273A9E" w:rsidRDefault="00386E54" w14:paraId="4D7E9285" w14:textId="5A56B748">
            <w:pPr>
              <w:pStyle w:val="TableDash"/>
              <w:jc w:val="left"/>
            </w:pPr>
            <w:r>
              <w:t>a requirement to consider whether more information or evidence is needed to prepare NBE plans in relation to greenhouse gas emissions reduction and removals.</w:t>
            </w:r>
          </w:p>
        </w:tc>
      </w:tr>
      <w:tr w:rsidRPr="00A76AEE" w:rsidR="00386E54" w:rsidTr="00FB6741" w14:paraId="32DDFAE6" w14:textId="77777777">
        <w:tc>
          <w:tcPr>
            <w:tcW w:w="1904" w:type="dxa"/>
          </w:tcPr>
          <w:p w:rsidRPr="00A27C75" w:rsidR="00386E54" w:rsidP="00273A9E" w:rsidRDefault="00386E54" w14:paraId="1F45E832" w14:textId="3339E6B4">
            <w:pPr>
              <w:pStyle w:val="TableText"/>
              <w:jc w:val="left"/>
              <w:rPr>
                <w:b/>
                <w:bCs/>
              </w:rPr>
            </w:pPr>
            <w:r w:rsidRPr="00A27C75">
              <w:rPr>
                <w:b/>
                <w:bCs/>
              </w:rPr>
              <w:t xml:space="preserve">Urban development </w:t>
            </w:r>
          </w:p>
        </w:tc>
        <w:tc>
          <w:tcPr>
            <w:tcW w:w="6601" w:type="dxa"/>
          </w:tcPr>
          <w:p w:rsidR="00386E54" w:rsidP="00273A9E" w:rsidRDefault="00386E54" w14:paraId="295A1B5C" w14:textId="77777777">
            <w:pPr>
              <w:pStyle w:val="TableBullet"/>
              <w:spacing w:before="60"/>
              <w:jc w:val="left"/>
            </w:pPr>
            <w:r w:rsidRPr="001B2982">
              <w:t>Redrafted National Policy Statement for Urban Development (NPS-UD)</w:t>
            </w:r>
          </w:p>
          <w:p w:rsidR="00753B24" w:rsidP="00273A9E" w:rsidRDefault="00753B24" w14:paraId="7F83F698" w14:textId="77777777">
            <w:pPr>
              <w:pStyle w:val="TableBullet"/>
              <w:jc w:val="left"/>
            </w:pPr>
            <w:r>
              <w:t>Redrafted Resource Management (Enabling Housing Supply and Other Matters) Amendment Act – includes Medium Density Residential Standards (MDRS)</w:t>
            </w:r>
          </w:p>
          <w:p w:rsidRPr="006C2DF7" w:rsidR="00753B24" w:rsidP="00273A9E" w:rsidRDefault="00753B24" w14:paraId="04981371" w14:textId="77777777">
            <w:pPr>
              <w:pStyle w:val="TableText"/>
              <w:jc w:val="left"/>
              <w:rPr>
                <w:i/>
                <w:iCs/>
              </w:rPr>
            </w:pPr>
            <w:r w:rsidRPr="006C2DF7">
              <w:rPr>
                <w:i/>
                <w:iCs/>
              </w:rPr>
              <w:t>New high-level strategic direction for urban trees and green spaces</w:t>
            </w:r>
          </w:p>
          <w:p w:rsidR="00753B24" w:rsidP="00273A9E" w:rsidRDefault="00753B24" w14:paraId="592E9105" w14:textId="3C4633C9">
            <w:pPr>
              <w:pStyle w:val="TableBullet"/>
              <w:jc w:val="left"/>
            </w:pPr>
            <w:r>
              <w:t>The main components proposed are:</w:t>
            </w:r>
          </w:p>
          <w:p w:rsidR="00753B24" w:rsidP="00273A9E" w:rsidRDefault="00753B24" w14:paraId="6A7E44C8" w14:textId="741FAC3A">
            <w:pPr>
              <w:pStyle w:val="TableDash"/>
              <w:jc w:val="left"/>
            </w:pPr>
            <w:r>
              <w:t xml:space="preserve">policies for management of urban trees </w:t>
            </w:r>
          </w:p>
          <w:p w:rsidR="00753B24" w:rsidP="00273A9E" w:rsidRDefault="00753B24" w14:paraId="09218FF1" w14:textId="0DB9A0F0">
            <w:pPr>
              <w:pStyle w:val="TableDash"/>
              <w:jc w:val="left"/>
            </w:pPr>
            <w:r>
              <w:t xml:space="preserve">a requirement to consider urban tree canopy coverage when developing an </w:t>
            </w:r>
            <w:proofErr w:type="gramStart"/>
            <w:r>
              <w:t>RSS</w:t>
            </w:r>
            <w:proofErr w:type="gramEnd"/>
          </w:p>
          <w:p w:rsidR="00753B24" w:rsidP="00273A9E" w:rsidRDefault="00753B24" w14:paraId="679BB783" w14:textId="67D4A315">
            <w:pPr>
              <w:pStyle w:val="TableDash"/>
              <w:jc w:val="left"/>
            </w:pPr>
            <w:r>
              <w:t xml:space="preserve">a requirement to consider whether further work is needed to support the development of NBE plan content on urban </w:t>
            </w:r>
            <w:proofErr w:type="gramStart"/>
            <w:r>
              <w:t>trees</w:t>
            </w:r>
            <w:proofErr w:type="gramEnd"/>
          </w:p>
          <w:p w:rsidRPr="00E22F8D" w:rsidR="00386E54" w:rsidP="00273A9E" w:rsidRDefault="00753B24" w14:paraId="57E97944" w14:textId="71581124">
            <w:pPr>
              <w:pStyle w:val="TableDash"/>
              <w:jc w:val="left"/>
            </w:pPr>
            <w:r>
              <w:t>direction to ensure tree protection methods in NBE plans will be efficient and effective.</w:t>
            </w:r>
          </w:p>
        </w:tc>
      </w:tr>
      <w:tr w:rsidRPr="00A76AEE" w:rsidR="00753B24" w:rsidTr="00FB6741" w14:paraId="342EA403" w14:textId="77777777">
        <w:tc>
          <w:tcPr>
            <w:tcW w:w="1904" w:type="dxa"/>
          </w:tcPr>
          <w:p w:rsidRPr="00A27C75" w:rsidR="00753B24" w:rsidP="00273A9E" w:rsidRDefault="00753B24" w14:paraId="39DB0570" w14:textId="12CA2A5A">
            <w:pPr>
              <w:pStyle w:val="TableText"/>
              <w:jc w:val="left"/>
              <w:rPr>
                <w:b/>
                <w:bCs/>
              </w:rPr>
            </w:pPr>
            <w:r w:rsidRPr="00A27C75">
              <w:rPr>
                <w:b/>
                <w:bCs/>
              </w:rPr>
              <w:t xml:space="preserve">Infrastructure </w:t>
            </w:r>
          </w:p>
        </w:tc>
        <w:tc>
          <w:tcPr>
            <w:tcW w:w="6601" w:type="dxa"/>
          </w:tcPr>
          <w:p w:rsidR="00753B24" w:rsidP="00273A9E" w:rsidRDefault="00753B24" w14:paraId="041DFC43" w14:textId="77777777">
            <w:pPr>
              <w:pStyle w:val="TableBullet"/>
              <w:spacing w:before="60"/>
              <w:jc w:val="left"/>
            </w:pPr>
            <w:r w:rsidRPr="00ED3E14">
              <w:t>Redrafted National Environmental Standards for Electricity Transmission Activities (NES-ETA)</w:t>
            </w:r>
          </w:p>
          <w:p w:rsidR="00753B24" w:rsidP="00273A9E" w:rsidRDefault="00753B24" w14:paraId="3A5DFB88" w14:textId="77777777">
            <w:pPr>
              <w:pStyle w:val="TableBullet"/>
              <w:jc w:val="left"/>
            </w:pPr>
            <w:r>
              <w:t>Redrafted National Environmental Standards for Telecommunication Facilities (NES-TF)</w:t>
            </w:r>
          </w:p>
          <w:p w:rsidRPr="006C2DF7" w:rsidR="00753B24" w:rsidP="00273A9E" w:rsidRDefault="00753B24" w14:paraId="42876167" w14:textId="77777777">
            <w:pPr>
              <w:pStyle w:val="TableText"/>
              <w:jc w:val="left"/>
              <w:rPr>
                <w:i/>
                <w:iCs/>
              </w:rPr>
            </w:pPr>
            <w:r w:rsidRPr="006C2DF7">
              <w:rPr>
                <w:i/>
                <w:iCs/>
              </w:rPr>
              <w:t xml:space="preserve">High-level strategic direction for infrastructure </w:t>
            </w:r>
          </w:p>
          <w:p w:rsidR="00753B24" w:rsidP="00273A9E" w:rsidRDefault="00753B24" w14:paraId="5EB093D1" w14:textId="0386FCDB">
            <w:pPr>
              <w:pStyle w:val="TableBullet"/>
              <w:jc w:val="left"/>
            </w:pPr>
            <w:r>
              <w:t>The main components are:</w:t>
            </w:r>
          </w:p>
          <w:p w:rsidR="00753B24" w:rsidP="00273A9E" w:rsidRDefault="00753B24" w14:paraId="3723AC3E" w14:textId="6F179F55">
            <w:pPr>
              <w:pStyle w:val="TableDash"/>
              <w:jc w:val="left"/>
            </w:pPr>
            <w:r>
              <w:t>an infrastructure framework outcome</w:t>
            </w:r>
          </w:p>
          <w:p w:rsidR="00753B24" w:rsidP="00273A9E" w:rsidRDefault="00753B24" w14:paraId="6E938EE7" w14:textId="0F3E64A0">
            <w:pPr>
              <w:pStyle w:val="TableDash"/>
              <w:jc w:val="left"/>
            </w:pPr>
            <w:r>
              <w:t xml:space="preserve">policy to support the provision and protection of existing, planned and potential </w:t>
            </w:r>
            <w:proofErr w:type="gramStart"/>
            <w:r>
              <w:t>infrastructure</w:t>
            </w:r>
            <w:proofErr w:type="gramEnd"/>
          </w:p>
          <w:p w:rsidR="00753B24" w:rsidP="00273A9E" w:rsidRDefault="00753B24" w14:paraId="2DDE1F97" w14:textId="0D45BF00">
            <w:pPr>
              <w:pStyle w:val="TableDash"/>
              <w:jc w:val="left"/>
            </w:pPr>
            <w:r>
              <w:t>integration of long-term land use and infrastructure planning and funding</w:t>
            </w:r>
          </w:p>
          <w:p w:rsidR="00753B24" w:rsidP="00273A9E" w:rsidRDefault="00753B24" w14:paraId="3D6EBE72" w14:textId="3BF75949">
            <w:pPr>
              <w:pStyle w:val="TableDash"/>
              <w:jc w:val="left"/>
            </w:pPr>
            <w:r>
              <w:t xml:space="preserve">a requirement to engage with infrastructure providers early, to understand infrastructure </w:t>
            </w:r>
            <w:proofErr w:type="gramStart"/>
            <w:r>
              <w:t>needs</w:t>
            </w:r>
            <w:proofErr w:type="gramEnd"/>
            <w:r>
              <w:t xml:space="preserve"> </w:t>
            </w:r>
          </w:p>
          <w:p w:rsidR="00753B24" w:rsidP="00273A9E" w:rsidRDefault="00753B24" w14:paraId="5C8CE60B" w14:textId="1400D9F5">
            <w:pPr>
              <w:pStyle w:val="TableDash"/>
              <w:jc w:val="left"/>
            </w:pPr>
            <w:r>
              <w:t xml:space="preserve">the identification in RSS of opportunities for infrastructure and what must be considered when doing </w:t>
            </w:r>
            <w:proofErr w:type="gramStart"/>
            <w:r>
              <w:t>so</w:t>
            </w:r>
            <w:proofErr w:type="gramEnd"/>
          </w:p>
          <w:p w:rsidR="00753B24" w:rsidP="00273A9E" w:rsidRDefault="00753B24" w14:paraId="24620A8A" w14:textId="10D8BEE4">
            <w:pPr>
              <w:pStyle w:val="TableDash"/>
              <w:jc w:val="left"/>
            </w:pPr>
            <w:r>
              <w:t xml:space="preserve">managing conflicts between infrastructure and other outcomes, particularly in areas with environmental protections </w:t>
            </w:r>
          </w:p>
          <w:p w:rsidR="00753B24" w:rsidP="00273A9E" w:rsidRDefault="00753B24" w14:paraId="603B221A" w14:textId="6EC5EA2E">
            <w:pPr>
              <w:pStyle w:val="TableDash"/>
              <w:jc w:val="left"/>
            </w:pPr>
            <w:r>
              <w:t xml:space="preserve">policy to enable renewable energy and other infrastructure that will reduce emissions and improve resilience to natural hazards and the effects of climate </w:t>
            </w:r>
            <w:proofErr w:type="gramStart"/>
            <w:r>
              <w:t>change</w:t>
            </w:r>
            <w:proofErr w:type="gramEnd"/>
          </w:p>
          <w:p w:rsidRPr="001B2982" w:rsidR="00753B24" w:rsidP="00273A9E" w:rsidRDefault="00753B24" w14:paraId="226C6A16" w14:textId="10F2C192">
            <w:pPr>
              <w:pStyle w:val="TableDash"/>
              <w:jc w:val="left"/>
            </w:pPr>
            <w:r>
              <w:t>standards and rules to provide consistency for common infrastructure activities.</w:t>
            </w:r>
          </w:p>
        </w:tc>
      </w:tr>
      <w:tr w:rsidRPr="00A76AEE" w:rsidR="00753B24" w:rsidTr="00FB6741" w14:paraId="25685D8C" w14:textId="77777777">
        <w:tc>
          <w:tcPr>
            <w:tcW w:w="1904" w:type="dxa"/>
          </w:tcPr>
          <w:p w:rsidRPr="00A27C75" w:rsidR="00753B24" w:rsidP="00273A9E" w:rsidRDefault="00753B24" w14:paraId="72EF0074" w14:textId="0E656FA9">
            <w:pPr>
              <w:pStyle w:val="TableText"/>
              <w:jc w:val="left"/>
              <w:rPr>
                <w:b/>
                <w:bCs/>
              </w:rPr>
            </w:pPr>
            <w:r w:rsidRPr="00A27C75">
              <w:rPr>
                <w:b/>
                <w:bCs/>
              </w:rPr>
              <w:t>Planning standards</w:t>
            </w:r>
          </w:p>
        </w:tc>
        <w:tc>
          <w:tcPr>
            <w:tcW w:w="6601" w:type="dxa"/>
          </w:tcPr>
          <w:p w:rsidR="00753B24" w:rsidP="00273A9E" w:rsidRDefault="00753B24" w14:paraId="63CB51C5" w14:textId="77777777">
            <w:pPr>
              <w:pStyle w:val="TableBullet"/>
              <w:spacing w:before="60"/>
              <w:jc w:val="left"/>
            </w:pPr>
            <w:r w:rsidRPr="0098416B">
              <w:t>Redrafted National Planning Standards</w:t>
            </w:r>
          </w:p>
          <w:p w:rsidR="004133D0" w:rsidP="00273A9E" w:rsidRDefault="004133D0" w14:paraId="74D14706" w14:textId="4CC39C2D">
            <w:pPr>
              <w:pStyle w:val="TableBullet"/>
              <w:jc w:val="left"/>
            </w:pPr>
            <w:r>
              <w:t>The main components are:</w:t>
            </w:r>
          </w:p>
          <w:p w:rsidR="004133D0" w:rsidP="00273A9E" w:rsidRDefault="004133D0" w14:paraId="1B9EADF0" w14:textId="4223568D">
            <w:pPr>
              <w:pStyle w:val="TableDash"/>
              <w:jc w:val="left"/>
            </w:pPr>
            <w:r>
              <w:t>a framework outcome regarding consistency across RSS and NBE plans</w:t>
            </w:r>
          </w:p>
          <w:p w:rsidR="004133D0" w:rsidP="00273A9E" w:rsidRDefault="004133D0" w14:paraId="3183944C" w14:textId="2FC08E2B">
            <w:pPr>
              <w:pStyle w:val="TableDash"/>
              <w:jc w:val="left"/>
            </w:pPr>
            <w:r>
              <w:t>contents and structure for RSS</w:t>
            </w:r>
          </w:p>
          <w:p w:rsidR="004133D0" w:rsidP="00273A9E" w:rsidRDefault="004133D0" w14:paraId="1FDD05B9" w14:textId="63BEC646">
            <w:pPr>
              <w:pStyle w:val="TableDash"/>
              <w:jc w:val="left"/>
            </w:pPr>
            <w:r>
              <w:t xml:space="preserve">electronic accessibility and functionality standards for RSS </w:t>
            </w:r>
          </w:p>
          <w:p w:rsidRPr="00ED3E14" w:rsidR="00753B24" w:rsidP="00273A9E" w:rsidRDefault="004133D0" w14:paraId="55F14EC9" w14:textId="51332308">
            <w:pPr>
              <w:pStyle w:val="TableDash"/>
              <w:jc w:val="left"/>
            </w:pPr>
            <w:r>
              <w:t>noise and vibration standards and assessment methods.</w:t>
            </w:r>
          </w:p>
        </w:tc>
      </w:tr>
    </w:tbl>
    <w:p w:rsidR="00C95FA5" w:rsidP="00C95FA5" w:rsidRDefault="00C95FA5" w14:paraId="1D590459" w14:textId="6825B1D3">
      <w:pPr>
        <w:pStyle w:val="BodyText"/>
      </w:pPr>
    </w:p>
    <w:p w:rsidR="0041738F" w:rsidP="0017629A" w:rsidRDefault="00186E81" w14:paraId="6B46E0BD" w14:textId="12398EAF">
      <w:pPr>
        <w:pStyle w:val="Tableheading"/>
        <w:keepLines/>
      </w:pPr>
      <w:bookmarkStart w:name="_Toc146037626" w:id="13"/>
      <w:r>
        <w:t>Resource Management Act 1991 (</w:t>
      </w:r>
      <w:r w:rsidR="0041738F">
        <w:t>RMA</w:t>
      </w:r>
      <w:r>
        <w:t>)</w:t>
      </w:r>
      <w:r w:rsidR="0041738F">
        <w:t xml:space="preserve"> National Direction in the transitional NPF proposal and future NPFs</w:t>
      </w:r>
      <w:bookmarkEnd w:id="13"/>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4252"/>
        <w:gridCol w:w="4253"/>
      </w:tblGrid>
      <w:tr w:rsidRPr="0017629A" w:rsidR="0017629A" w:rsidTr="0017629A" w14:paraId="009F7C62" w14:textId="77777777">
        <w:trPr>
          <w:tblHeader/>
        </w:trPr>
        <w:tc>
          <w:tcPr>
            <w:tcW w:w="4252" w:type="dxa"/>
            <w:shd w:val="clear" w:color="auto" w:fill="1B556B"/>
          </w:tcPr>
          <w:p w:rsidRPr="0017629A" w:rsidR="0017629A" w:rsidP="00273A9E" w:rsidRDefault="0017629A" w14:paraId="56503480" w14:textId="59E2F2E6">
            <w:pPr>
              <w:pStyle w:val="TableTextbold"/>
              <w:keepNext/>
              <w:keepLines/>
              <w:jc w:val="left"/>
              <w:rPr>
                <w:color w:val="FFFFFF" w:themeColor="background1"/>
              </w:rPr>
            </w:pPr>
            <w:r w:rsidRPr="0017629A">
              <w:rPr>
                <w:color w:val="FFFFFF" w:themeColor="background1"/>
              </w:rPr>
              <w:t>RMA National Direction included in the transitional NPF proposal</w:t>
            </w:r>
          </w:p>
        </w:tc>
        <w:tc>
          <w:tcPr>
            <w:tcW w:w="4253" w:type="dxa"/>
            <w:shd w:val="clear" w:color="auto" w:fill="1B556B"/>
          </w:tcPr>
          <w:p w:rsidRPr="0017629A" w:rsidR="0017629A" w:rsidP="00273A9E" w:rsidRDefault="0017629A" w14:paraId="5DFAFBEC" w14:textId="2E7A2B62">
            <w:pPr>
              <w:pStyle w:val="TableTextbold"/>
              <w:keepNext/>
              <w:keepLines/>
              <w:jc w:val="left"/>
              <w:rPr>
                <w:color w:val="FFFFFF" w:themeColor="background1"/>
              </w:rPr>
            </w:pPr>
            <w:r w:rsidRPr="0017629A">
              <w:rPr>
                <w:color w:val="FFFFFF" w:themeColor="background1"/>
              </w:rPr>
              <w:t>RMA National Direction intended to be included in future iterations of the NPF</w:t>
            </w:r>
          </w:p>
        </w:tc>
      </w:tr>
      <w:tr w:rsidRPr="00A76AEE" w:rsidR="0017629A" w:rsidTr="0017629A" w14:paraId="10554AFB" w14:textId="77777777">
        <w:tc>
          <w:tcPr>
            <w:tcW w:w="4252" w:type="dxa"/>
            <w:shd w:val="clear" w:color="auto" w:fill="auto"/>
          </w:tcPr>
          <w:p w:rsidR="00651BC9" w:rsidP="00273A9E" w:rsidRDefault="00651BC9" w14:paraId="169C12EC" w14:textId="2FCC8CA4">
            <w:pPr>
              <w:pStyle w:val="TableBullet"/>
              <w:jc w:val="left"/>
            </w:pPr>
            <w:r>
              <w:t>National Policy Statement for Freshwater Management (NPS-FM) (including 2023 amendments)</w:t>
            </w:r>
          </w:p>
          <w:p w:rsidR="00651BC9" w:rsidP="00273A9E" w:rsidRDefault="00651BC9" w14:paraId="7C8EA3F9" w14:textId="04AB619E">
            <w:pPr>
              <w:pStyle w:val="TableBullet"/>
              <w:jc w:val="left"/>
            </w:pPr>
            <w:r>
              <w:t xml:space="preserve">National Environmental Standards for Freshwater (NES-F) (including 2023 amendments) </w:t>
            </w:r>
          </w:p>
          <w:p w:rsidR="00651BC9" w:rsidP="00273A9E" w:rsidRDefault="00651BC9" w14:paraId="07358929" w14:textId="6C223F71">
            <w:pPr>
              <w:pStyle w:val="TableBullet"/>
              <w:jc w:val="left"/>
            </w:pPr>
            <w:r>
              <w:t>Resource Management (Stock Exclusion) Regulations</w:t>
            </w:r>
          </w:p>
          <w:p w:rsidR="00651BC9" w:rsidP="00273A9E" w:rsidRDefault="00651BC9" w14:paraId="2BDBAD8E" w14:textId="176C52A3">
            <w:pPr>
              <w:pStyle w:val="TableBullet"/>
              <w:jc w:val="left"/>
            </w:pPr>
            <w:r>
              <w:t>Resource Management (Measurement and Reporting of Water Takes) Regulations</w:t>
            </w:r>
          </w:p>
          <w:p w:rsidR="00651BC9" w:rsidP="00273A9E" w:rsidRDefault="00651BC9" w14:paraId="259DFB40" w14:textId="0858B32E">
            <w:pPr>
              <w:pStyle w:val="TableBullet"/>
              <w:jc w:val="left"/>
            </w:pPr>
            <w:r>
              <w:t>New Zealand Coastal Policy Statement 2010 (NZCPS)</w:t>
            </w:r>
          </w:p>
          <w:p w:rsidR="00651BC9" w:rsidP="00273A9E" w:rsidRDefault="00651BC9" w14:paraId="38BC97D9" w14:textId="6F2F15E2">
            <w:pPr>
              <w:pStyle w:val="TableBullet"/>
              <w:jc w:val="left"/>
            </w:pPr>
            <w:r>
              <w:t>National Environmental Standards for Marine Aquaculture (NES-MA)</w:t>
            </w:r>
          </w:p>
          <w:p w:rsidR="00651BC9" w:rsidP="00273A9E" w:rsidRDefault="00651BC9" w14:paraId="361A3241" w14:textId="2A159EE0">
            <w:pPr>
              <w:pStyle w:val="TableBullet"/>
              <w:jc w:val="left"/>
            </w:pPr>
            <w:r>
              <w:t>National Policy Statement for Highly Productive Land (NPS-HPL)</w:t>
            </w:r>
          </w:p>
          <w:p w:rsidR="00651BC9" w:rsidP="00273A9E" w:rsidRDefault="00651BC9" w14:paraId="2606B9F6" w14:textId="4189FB9E">
            <w:pPr>
              <w:pStyle w:val="TableBullet"/>
              <w:jc w:val="left"/>
            </w:pPr>
            <w:r>
              <w:t>National Environmental Standards for Storing Tyres Outdoors (NES-STO)</w:t>
            </w:r>
          </w:p>
          <w:p w:rsidR="00651BC9" w:rsidP="00273A9E" w:rsidRDefault="00651BC9" w14:paraId="33FFB7E3" w14:textId="75AE2E7A">
            <w:pPr>
              <w:pStyle w:val="TableBullet"/>
              <w:jc w:val="left"/>
            </w:pPr>
            <w:r>
              <w:t>National Environmental Standards for Assessing and Managing Contaminants in Soil (NES-CS)</w:t>
            </w:r>
          </w:p>
          <w:p w:rsidR="00651BC9" w:rsidP="00273A9E" w:rsidRDefault="00651BC9" w14:paraId="743E4EA9" w14:textId="679BC6CF">
            <w:pPr>
              <w:pStyle w:val="TableBullet"/>
              <w:jc w:val="left"/>
            </w:pPr>
            <w:r>
              <w:t>National Policy Statement for Indigenous Biodiversity (NPS-IB)</w:t>
            </w:r>
          </w:p>
          <w:p w:rsidR="00651BC9" w:rsidP="00273A9E" w:rsidRDefault="00651BC9" w14:paraId="155CA960" w14:textId="121064BF">
            <w:pPr>
              <w:pStyle w:val="TableBullet"/>
              <w:jc w:val="left"/>
            </w:pPr>
            <w:r>
              <w:t>National Environmental Standards for Air Quality (NES-AQ) (in part)</w:t>
            </w:r>
          </w:p>
          <w:p w:rsidR="00651BC9" w:rsidP="00273A9E" w:rsidRDefault="00651BC9" w14:paraId="1EDA84A5" w14:textId="022E8585">
            <w:pPr>
              <w:pStyle w:val="TableBullet"/>
              <w:jc w:val="left"/>
            </w:pPr>
            <w:r>
              <w:t>National Policy Statement and National Environmental Standards for Greenhouse Gas Emissions from Industrial Process Heat (NPS/NES-IGHG)</w:t>
            </w:r>
          </w:p>
          <w:p w:rsidR="00651BC9" w:rsidP="00273A9E" w:rsidRDefault="00651BC9" w14:paraId="401F6D55" w14:textId="15D45C3F">
            <w:pPr>
              <w:pStyle w:val="TableBullet"/>
              <w:keepNext/>
              <w:keepLines/>
              <w:jc w:val="left"/>
            </w:pPr>
            <w:r>
              <w:t>National Policy Statement for Urban Development (NPS-UD) and Resource Management (Enabling Housing Supply and Other Matters) Amendment Act – includes Medium Density Residential Standards (MDRS)</w:t>
            </w:r>
          </w:p>
          <w:p w:rsidR="00651BC9" w:rsidP="00273A9E" w:rsidRDefault="00651BC9" w14:paraId="10B222FC" w14:textId="4A799937">
            <w:pPr>
              <w:pStyle w:val="TableBullet"/>
              <w:jc w:val="left"/>
            </w:pPr>
            <w:r>
              <w:t>National Environmental Standards for Electricity Transmission Activities (NES-ETA) (incorporated into ‘Infrastructure’ part of the NPF)</w:t>
            </w:r>
          </w:p>
          <w:p w:rsidR="00651BC9" w:rsidP="00273A9E" w:rsidRDefault="00651BC9" w14:paraId="1CF4CD81" w14:textId="7C2BE93F">
            <w:pPr>
              <w:pStyle w:val="TableBullet"/>
              <w:jc w:val="left"/>
            </w:pPr>
            <w:r>
              <w:t>National Environmental Standards for Telecommunication Facilities (NES-TF) (incorporated into the 'Infrastructure’ part of the NPF)</w:t>
            </w:r>
          </w:p>
          <w:p w:rsidRPr="00A76AEE" w:rsidR="0017629A" w:rsidP="00273A9E" w:rsidRDefault="00651BC9" w14:paraId="01736172" w14:textId="084B38CB">
            <w:pPr>
              <w:pStyle w:val="TableBullet"/>
              <w:jc w:val="left"/>
            </w:pPr>
            <w:r>
              <w:t>National Planning Standards (definitions and RSS standards).</w:t>
            </w:r>
          </w:p>
        </w:tc>
        <w:tc>
          <w:tcPr>
            <w:tcW w:w="4253" w:type="dxa"/>
            <w:shd w:val="clear" w:color="auto" w:fill="auto"/>
          </w:tcPr>
          <w:p w:rsidR="00651BC9" w:rsidP="00273A9E" w:rsidRDefault="00651BC9" w14:paraId="69304210" w14:textId="77777777">
            <w:pPr>
              <w:pStyle w:val="TableBullet"/>
              <w:spacing w:before="60"/>
              <w:jc w:val="left"/>
            </w:pPr>
            <w:r>
              <w:t>Instruments currently under review or development, which are not included in the transitional NPF proposal:</w:t>
            </w:r>
          </w:p>
          <w:p w:rsidR="00651BC9" w:rsidP="00273A9E" w:rsidRDefault="00651BC9" w14:paraId="7B635EAA" w14:textId="36419A8A">
            <w:pPr>
              <w:pStyle w:val="TableDash"/>
              <w:jc w:val="left"/>
            </w:pPr>
            <w:r>
              <w:t>National Policy Statement for Renewable Electricity Generation (NPS-REG)</w:t>
            </w:r>
          </w:p>
          <w:p w:rsidR="00651BC9" w:rsidP="00273A9E" w:rsidRDefault="00651BC9" w14:paraId="2E338D74" w14:textId="5ECEF4EE">
            <w:pPr>
              <w:pStyle w:val="TableDash"/>
              <w:jc w:val="left"/>
            </w:pPr>
            <w:r>
              <w:t>National Policy Statement on Electricity Transmission (NPS-ET)</w:t>
            </w:r>
          </w:p>
          <w:p w:rsidR="00651BC9" w:rsidP="00273A9E" w:rsidRDefault="00651BC9" w14:paraId="7A0F9806" w14:textId="1102DB49">
            <w:pPr>
              <w:pStyle w:val="TableDash"/>
              <w:jc w:val="left"/>
            </w:pPr>
            <w:r>
              <w:t>National Environmental Standards for Sources of Human Drinking Water (NES-DW)</w:t>
            </w:r>
          </w:p>
          <w:p w:rsidR="00651BC9" w:rsidP="00273A9E" w:rsidRDefault="00651BC9" w14:paraId="43482952" w14:textId="4F9AC14F">
            <w:pPr>
              <w:pStyle w:val="TableDash"/>
              <w:jc w:val="left"/>
            </w:pPr>
            <w:r>
              <w:t>National Environmental Standards for Plantation Forestry (NES-PF)</w:t>
            </w:r>
          </w:p>
          <w:p w:rsidRPr="00A76AEE" w:rsidR="0017629A" w:rsidP="00273A9E" w:rsidRDefault="00186E81" w14:paraId="426DFB7A" w14:textId="2107378B">
            <w:pPr>
              <w:pStyle w:val="TableDash"/>
              <w:jc w:val="left"/>
            </w:pPr>
            <w:r>
              <w:t>s</w:t>
            </w:r>
            <w:r w:rsidR="00651BC9">
              <w:t>ome National Planning Standards.</w:t>
            </w:r>
          </w:p>
        </w:tc>
      </w:tr>
    </w:tbl>
    <w:p w:rsidR="0041738F" w:rsidP="0041738F" w:rsidRDefault="0041738F" w14:paraId="2544821C" w14:textId="77777777">
      <w:pPr>
        <w:pStyle w:val="BodyText"/>
      </w:pPr>
    </w:p>
    <w:p w:rsidR="0041738F" w:rsidP="005B52B3" w:rsidRDefault="0041738F" w14:paraId="504029C3" w14:textId="6B3E292F">
      <w:pPr>
        <w:pStyle w:val="Tableheading"/>
      </w:pPr>
      <w:bookmarkStart w:name="_Toc146037627" w:id="14"/>
      <w:r>
        <w:t xml:space="preserve">Changes to existing national direction to ensure consistency with the </w:t>
      </w:r>
      <w:r w:rsidRPr="007C2EC3" w:rsidR="00186E81">
        <w:t>Natural and Built Environment Act 2023</w:t>
      </w:r>
      <w:r w:rsidR="00186E81">
        <w:t xml:space="preserve"> (</w:t>
      </w:r>
      <w:r>
        <w:t>NBA</w:t>
      </w:r>
      <w:r w:rsidR="00186E81">
        <w:t>)</w:t>
      </w:r>
      <w:r>
        <w:t xml:space="preserve"> and </w:t>
      </w:r>
      <w:r w:rsidRPr="007C2EC3" w:rsidR="00186E81">
        <w:t>Spatial Planning Act 2023</w:t>
      </w:r>
      <w:r w:rsidR="00186E81">
        <w:t xml:space="preserve"> (</w:t>
      </w:r>
      <w:r>
        <w:t>SPA</w:t>
      </w:r>
      <w:bookmarkEnd w:id="14"/>
      <w:r>
        <w:t xml:space="preserve"> </w:t>
      </w:r>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1904"/>
        <w:gridCol w:w="6601"/>
      </w:tblGrid>
      <w:tr w:rsidRPr="005B52B3" w:rsidR="005B52B3" w:rsidTr="005B52B3" w14:paraId="42048716" w14:textId="77777777">
        <w:trPr>
          <w:tblHeader/>
        </w:trPr>
        <w:tc>
          <w:tcPr>
            <w:tcW w:w="1904" w:type="dxa"/>
            <w:shd w:val="clear" w:color="auto" w:fill="1B556B"/>
          </w:tcPr>
          <w:p w:rsidRPr="00385ACC" w:rsidR="005B52B3" w:rsidP="00273A9E" w:rsidRDefault="005B52B3" w14:paraId="05444CD0" w14:textId="5F765149">
            <w:pPr>
              <w:pStyle w:val="TableTextbold"/>
              <w:jc w:val="left"/>
              <w:rPr>
                <w:color w:val="FFFFFF" w:themeColor="background1"/>
              </w:rPr>
            </w:pPr>
            <w:r w:rsidRPr="00385ACC">
              <w:rPr>
                <w:color w:val="FFFFFF" w:themeColor="background1"/>
              </w:rPr>
              <w:t xml:space="preserve">Topic </w:t>
            </w:r>
            <w:r w:rsidR="0046785A">
              <w:rPr>
                <w:color w:val="FFFFFF" w:themeColor="background1"/>
              </w:rPr>
              <w:t>a</w:t>
            </w:r>
            <w:r w:rsidRPr="00385ACC">
              <w:rPr>
                <w:color w:val="FFFFFF" w:themeColor="background1"/>
              </w:rPr>
              <w:t>rea</w:t>
            </w:r>
          </w:p>
        </w:tc>
        <w:tc>
          <w:tcPr>
            <w:tcW w:w="6601" w:type="dxa"/>
            <w:shd w:val="clear" w:color="auto" w:fill="1B556B"/>
          </w:tcPr>
          <w:p w:rsidRPr="005B52B3" w:rsidR="005B52B3" w:rsidP="00273A9E" w:rsidRDefault="005B52B3" w14:paraId="284389A7" w14:textId="7DB01EAC">
            <w:pPr>
              <w:pStyle w:val="TableTextbold"/>
              <w:jc w:val="left"/>
              <w:rPr>
                <w:color w:val="FFFFFF" w:themeColor="background1"/>
              </w:rPr>
            </w:pPr>
            <w:r w:rsidRPr="005B52B3">
              <w:rPr>
                <w:color w:val="FFFFFF" w:themeColor="background1"/>
              </w:rPr>
              <w:t xml:space="preserve">Changes to existing national direction </w:t>
            </w:r>
          </w:p>
        </w:tc>
      </w:tr>
      <w:tr w:rsidRPr="00A76AEE" w:rsidR="00385ACC" w:rsidTr="005B52B3" w14:paraId="08B0D4D2" w14:textId="77777777">
        <w:tc>
          <w:tcPr>
            <w:tcW w:w="1904" w:type="dxa"/>
            <w:shd w:val="clear" w:color="auto" w:fill="auto"/>
          </w:tcPr>
          <w:p w:rsidRPr="00EC107A" w:rsidR="00385ACC" w:rsidP="00273A9E" w:rsidRDefault="00385ACC" w14:paraId="42BF3268" w14:textId="0D50456F">
            <w:pPr>
              <w:pStyle w:val="TableText"/>
              <w:jc w:val="left"/>
              <w:rPr>
                <w:b/>
              </w:rPr>
            </w:pPr>
            <w:r w:rsidRPr="00EC107A">
              <w:rPr>
                <w:b/>
              </w:rPr>
              <w:t>Freshwater</w:t>
            </w:r>
          </w:p>
        </w:tc>
        <w:tc>
          <w:tcPr>
            <w:tcW w:w="6601" w:type="dxa"/>
            <w:shd w:val="clear" w:color="auto" w:fill="auto"/>
          </w:tcPr>
          <w:p w:rsidR="00385ACC" w:rsidP="00273A9E" w:rsidRDefault="00385ACC" w14:paraId="3F317257" w14:textId="77777777">
            <w:pPr>
              <w:pStyle w:val="TableBullet"/>
              <w:spacing w:before="60"/>
              <w:jc w:val="left"/>
            </w:pPr>
            <w:r w:rsidRPr="00165E91">
              <w:t>New direction has been included for regional planning committees (RPCs) to consider long-term visions for freshwater when preparing their RSS.</w:t>
            </w:r>
          </w:p>
          <w:p w:rsidR="00385ACC" w:rsidP="00273A9E" w:rsidRDefault="00385ACC" w14:paraId="23D4C393" w14:textId="77777777">
            <w:pPr>
              <w:pStyle w:val="TableBullet"/>
              <w:jc w:val="left"/>
            </w:pPr>
            <w:r>
              <w:t>The NPS-FM objective has been reframed as a framework outcome, and the phrase “natural and physical resources” has been replaced with “water bodies, freshwater ecosystems, and activities that affect freshwater and receiving environments”.</w:t>
            </w:r>
          </w:p>
          <w:p w:rsidR="00385ACC" w:rsidP="00273A9E" w:rsidRDefault="00385ACC" w14:paraId="345FA715" w14:textId="3E8A9659">
            <w:pPr>
              <w:pStyle w:val="TableBullet"/>
              <w:jc w:val="left"/>
            </w:pPr>
            <w:r>
              <w:t>The setting of freshwater environmental limits is required for the listed mandatory ecological health attributes. The freshwater National Objectives Framework (NOF) baseline states have been updated to include the 2023 environmental limit as an option to inform target setting, allowing the RPC to base targets on the state representing the least degradation.</w:t>
            </w:r>
          </w:p>
          <w:p w:rsidR="00385ACC" w:rsidP="00273A9E" w:rsidRDefault="00385ACC" w14:paraId="5499B1CF" w14:textId="2B7888D7">
            <w:pPr>
              <w:pStyle w:val="TableBullet"/>
              <w:jc w:val="left"/>
            </w:pPr>
            <w:r>
              <w:t>Some terms used in the NPS-FM freshwater NOF have been changed for the NPF, to avoid confusion with terminology used in the NBA, but the underlying meaning and intent have not changed. For example, “limits on resource use” is now “controls on resource use”.</w:t>
            </w:r>
          </w:p>
          <w:p w:rsidR="00385ACC" w:rsidP="00273A9E" w:rsidRDefault="00385ACC" w14:paraId="27474298" w14:textId="3EEAC410">
            <w:pPr>
              <w:pStyle w:val="TableBullet"/>
              <w:jc w:val="left"/>
            </w:pPr>
            <w:r>
              <w:t>The NES-F feedlot discretionary and non-complying activity regulations have been redrafted in the NPF as one discretionary activity regulation, with conditions that must be imposed by consent authorities.</w:t>
            </w:r>
          </w:p>
          <w:p w:rsidR="00385ACC" w:rsidP="00273A9E" w:rsidRDefault="00385ACC" w14:paraId="73D28660" w14:textId="28EEF562">
            <w:pPr>
              <w:pStyle w:val="TableBullet"/>
              <w:jc w:val="left"/>
            </w:pPr>
            <w:r>
              <w:t>Restricted discretionary activities in the NES-F have become anticipated activities, without any preclusion on public notification.</w:t>
            </w:r>
          </w:p>
          <w:p w:rsidR="00385ACC" w:rsidP="00273A9E" w:rsidRDefault="00385ACC" w14:paraId="6E7A03D0" w14:textId="62531579">
            <w:pPr>
              <w:pStyle w:val="TableBullet"/>
              <w:jc w:val="left"/>
            </w:pPr>
            <w:r>
              <w:t>Non-complying activities in the NES-F have become discretionary activities.</w:t>
            </w:r>
          </w:p>
          <w:p w:rsidR="00385ACC" w:rsidP="00273A9E" w:rsidRDefault="00385ACC" w14:paraId="59F134FA" w14:textId="46ACAA47">
            <w:pPr>
              <w:pStyle w:val="TableBullet"/>
              <w:jc w:val="left"/>
            </w:pPr>
            <w:r>
              <w:t>The phrase “avoid, remedy or mitigate” in the NPS-FM has been replaced with “avoid, minimise or remedy”.</w:t>
            </w:r>
          </w:p>
          <w:p w:rsidRPr="00A76AEE" w:rsidR="00385ACC" w:rsidP="00273A9E" w:rsidRDefault="00385ACC" w14:paraId="3BFD8A56" w14:textId="3B5D8663">
            <w:pPr>
              <w:pStyle w:val="TableBullet"/>
              <w:jc w:val="left"/>
            </w:pPr>
            <w:r>
              <w:t>NOF progress reporting has been aligned with the NBA state-of-the-environment reporting frequency.</w:t>
            </w:r>
          </w:p>
        </w:tc>
      </w:tr>
      <w:tr w:rsidRPr="00A76AEE" w:rsidR="00865D27" w:rsidTr="00273A9E" w14:paraId="4662133C" w14:textId="77777777">
        <w:trPr>
          <w:cantSplit/>
        </w:trPr>
        <w:tc>
          <w:tcPr>
            <w:tcW w:w="1904" w:type="dxa"/>
            <w:shd w:val="clear" w:color="auto" w:fill="auto"/>
          </w:tcPr>
          <w:p w:rsidRPr="00EC107A" w:rsidR="00865D27" w:rsidP="00273A9E" w:rsidRDefault="00865D27" w14:paraId="02E12C06" w14:textId="4A5AE566">
            <w:pPr>
              <w:pStyle w:val="TableText"/>
              <w:jc w:val="left"/>
              <w:rPr>
                <w:b/>
              </w:rPr>
            </w:pPr>
            <w:r w:rsidRPr="00EC107A">
              <w:rPr>
                <w:b/>
              </w:rPr>
              <w:t>Coastal environment</w:t>
            </w:r>
          </w:p>
        </w:tc>
        <w:tc>
          <w:tcPr>
            <w:tcW w:w="6601" w:type="dxa"/>
            <w:shd w:val="clear" w:color="auto" w:fill="auto"/>
          </w:tcPr>
          <w:p w:rsidR="00865D27" w:rsidP="00273A9E" w:rsidRDefault="00865D27" w14:paraId="29E2388C" w14:textId="77777777">
            <w:pPr>
              <w:pStyle w:val="TableBullet"/>
              <w:spacing w:before="60"/>
              <w:jc w:val="left"/>
            </w:pPr>
            <w:r w:rsidRPr="006B62E1">
              <w:t>Objectives and policies have been reworded as clear statements of outcomes and policies, with some content becoming implementation provisions.</w:t>
            </w:r>
          </w:p>
          <w:p w:rsidR="00865D27" w:rsidP="00273A9E" w:rsidRDefault="00865D27" w14:paraId="7BBEF50F" w14:textId="77777777">
            <w:pPr>
              <w:pStyle w:val="TableBullet"/>
              <w:jc w:val="left"/>
            </w:pPr>
            <w:r>
              <w:t>The extent of the coastal environment is now required to be mapped in RSS (at a generalised level) and NBE plans must provide detailed mapping of these areas.</w:t>
            </w:r>
          </w:p>
          <w:p w:rsidR="00865D27" w:rsidP="00273A9E" w:rsidRDefault="00865D27" w14:paraId="67CC4140" w14:textId="328A499C">
            <w:pPr>
              <w:pStyle w:val="TableBullet"/>
              <w:jc w:val="left"/>
            </w:pPr>
            <w:r>
              <w:t xml:space="preserve">New direction specifies who is responsible for implementing certain provisions. </w:t>
            </w:r>
          </w:p>
          <w:p w:rsidRPr="00A76AEE" w:rsidR="00865D27" w:rsidP="00273A9E" w:rsidRDefault="00865D27" w14:paraId="13628A58" w14:textId="1141C599">
            <w:pPr>
              <w:pStyle w:val="TableBullet"/>
              <w:jc w:val="left"/>
            </w:pPr>
            <w:r>
              <w:t>Joint responsibility has been allocated to the Minister of Conservation and Minister for the Environment for monitoring and reviewing the effectiveness of the coastal environment domain part of the NPF.</w:t>
            </w:r>
          </w:p>
        </w:tc>
      </w:tr>
      <w:tr w:rsidRPr="00A76AEE" w:rsidR="001D7B8B" w:rsidTr="005B52B3" w14:paraId="3C990892" w14:textId="77777777">
        <w:tc>
          <w:tcPr>
            <w:tcW w:w="1904" w:type="dxa"/>
          </w:tcPr>
          <w:p w:rsidRPr="00EC107A" w:rsidR="001D7B8B" w:rsidP="00273A9E" w:rsidRDefault="001D7B8B" w14:paraId="3B88B74B" w14:textId="1129624E">
            <w:pPr>
              <w:pStyle w:val="TableText"/>
              <w:jc w:val="left"/>
              <w:rPr>
                <w:b/>
              </w:rPr>
            </w:pPr>
            <w:r w:rsidRPr="00EC107A">
              <w:rPr>
                <w:b/>
              </w:rPr>
              <w:t>Marine aquaculture</w:t>
            </w:r>
          </w:p>
        </w:tc>
        <w:tc>
          <w:tcPr>
            <w:tcW w:w="6601" w:type="dxa"/>
          </w:tcPr>
          <w:p w:rsidR="001D7B8B" w:rsidP="00273A9E" w:rsidRDefault="001D7B8B" w14:paraId="381ECDC6" w14:textId="77777777">
            <w:pPr>
              <w:pStyle w:val="TableBullet"/>
              <w:spacing w:before="60"/>
              <w:jc w:val="left"/>
            </w:pPr>
            <w:r w:rsidRPr="007A47B2">
              <w:t>An outcome has been added for marine aquaculture, articulating the existing policy intent.</w:t>
            </w:r>
          </w:p>
          <w:p w:rsidR="001D7B8B" w:rsidP="00273A9E" w:rsidRDefault="001D7B8B" w14:paraId="1D803D1C" w14:textId="77777777">
            <w:pPr>
              <w:pStyle w:val="TableBullet"/>
              <w:jc w:val="left"/>
            </w:pPr>
            <w:r>
              <w:t xml:space="preserve">Restricted discretionary activities in the NES-MA have been redrafted as anticipated activities in the NPF. </w:t>
            </w:r>
          </w:p>
          <w:p w:rsidRPr="00A76AEE" w:rsidR="001D7B8B" w:rsidP="00273A9E" w:rsidRDefault="001D7B8B" w14:paraId="06EC9190" w14:textId="59195A0D">
            <w:pPr>
              <w:pStyle w:val="TableBullet"/>
              <w:jc w:val="left"/>
            </w:pPr>
            <w:r>
              <w:t>The ability of plans to set more lenient activity status for replacement consents has been removed, as the only status more lenient tha</w:t>
            </w:r>
            <w:r w:rsidR="006B1B8E">
              <w:t>n</w:t>
            </w:r>
            <w:r>
              <w:t xml:space="preserve"> an anticipated activity is a permitted activity, and this is not consistent with the original policy.</w:t>
            </w:r>
          </w:p>
        </w:tc>
      </w:tr>
      <w:tr w:rsidRPr="00A76AEE" w:rsidR="001D7B8B" w:rsidTr="009670E4" w14:paraId="1BB59CFE" w14:textId="77777777">
        <w:trPr>
          <w:cantSplit/>
        </w:trPr>
        <w:tc>
          <w:tcPr>
            <w:tcW w:w="1904" w:type="dxa"/>
          </w:tcPr>
          <w:p w:rsidRPr="00EC107A" w:rsidR="001D7B8B" w:rsidP="00273A9E" w:rsidRDefault="001D7B8B" w14:paraId="4B652D0D" w14:textId="717EFD0B">
            <w:pPr>
              <w:pStyle w:val="TableText"/>
              <w:jc w:val="left"/>
              <w:rPr>
                <w:b/>
              </w:rPr>
            </w:pPr>
            <w:r w:rsidRPr="00EC107A">
              <w:rPr>
                <w:b/>
              </w:rPr>
              <w:t>Highly productive land</w:t>
            </w:r>
          </w:p>
        </w:tc>
        <w:tc>
          <w:tcPr>
            <w:tcW w:w="6601" w:type="dxa"/>
          </w:tcPr>
          <w:p w:rsidR="001D7B8B" w:rsidP="00273A9E" w:rsidRDefault="001D7B8B" w14:paraId="6B7CEC77" w14:textId="77777777">
            <w:pPr>
              <w:pStyle w:val="TableBullet"/>
              <w:spacing w:before="60"/>
              <w:jc w:val="left"/>
            </w:pPr>
            <w:r w:rsidRPr="000F2530">
              <w:t>References to RMA matters of national importance in the NPS-HPL have been redrafted in the NPF to align with how the NBA refers to those matters (ie, as system outcomes).</w:t>
            </w:r>
          </w:p>
          <w:p w:rsidR="001D7B8B" w:rsidP="00273A9E" w:rsidRDefault="001D7B8B" w14:paraId="063897DC" w14:textId="77777777">
            <w:pPr>
              <w:pStyle w:val="TableBullet"/>
              <w:jc w:val="left"/>
            </w:pPr>
            <w:r>
              <w:t>There is a requirement that, if land is identified for future urban development in an RSS, that land cannot be identified afterwards as highly productive land (HPL).</w:t>
            </w:r>
          </w:p>
          <w:p w:rsidR="001D7B8B" w:rsidP="00273A9E" w:rsidRDefault="001D7B8B" w14:paraId="44268B45" w14:textId="2EC488EB">
            <w:pPr>
              <w:pStyle w:val="TableBullet"/>
              <w:jc w:val="left"/>
            </w:pPr>
            <w:r>
              <w:t>HPL provisions in the NPF do not recognise any pathways by which land can be identified for future urban development, except through RSS.</w:t>
            </w:r>
          </w:p>
          <w:p w:rsidRPr="007A47B2" w:rsidR="001D7B8B" w:rsidP="00273A9E" w:rsidRDefault="001D7B8B" w14:paraId="037E34A0" w14:textId="644F7ABD">
            <w:pPr>
              <w:pStyle w:val="TableBullet"/>
              <w:jc w:val="left"/>
            </w:pPr>
            <w:r>
              <w:t>The term “construction” has been added (alongside “maintenance, operation, upgrade, or expansion”) to the definition of specified (HPL) infrastructure and defence facilities on HPL. This change addresses the NBA system outcome for well-functioning urban and rural areas, and NPF infrastructure framework outcomes and policies.</w:t>
            </w:r>
          </w:p>
        </w:tc>
      </w:tr>
      <w:tr w:rsidRPr="00A76AEE" w:rsidR="004129FF" w:rsidTr="005B52B3" w14:paraId="40ACD4A3" w14:textId="77777777">
        <w:tc>
          <w:tcPr>
            <w:tcW w:w="1904" w:type="dxa"/>
          </w:tcPr>
          <w:p w:rsidRPr="00EC107A" w:rsidR="004129FF" w:rsidP="00273A9E" w:rsidRDefault="004129FF" w14:paraId="08D14AA9" w14:textId="77BAEBF1">
            <w:pPr>
              <w:pStyle w:val="TableText"/>
              <w:jc w:val="left"/>
              <w:rPr>
                <w:b/>
              </w:rPr>
            </w:pPr>
            <w:r w:rsidRPr="00EC107A">
              <w:rPr>
                <w:b/>
              </w:rPr>
              <w:t>Contaminated land</w:t>
            </w:r>
          </w:p>
        </w:tc>
        <w:tc>
          <w:tcPr>
            <w:tcW w:w="6601" w:type="dxa"/>
          </w:tcPr>
          <w:p w:rsidR="004129FF" w:rsidP="00273A9E" w:rsidRDefault="004129FF" w14:paraId="2FE99F57" w14:textId="77777777">
            <w:pPr>
              <w:pStyle w:val="TableBullet"/>
              <w:spacing w:before="60"/>
              <w:jc w:val="left"/>
            </w:pPr>
            <w:r w:rsidRPr="00AC0059">
              <w:t>An outcome for contaminants in soils has been added, articulating the existing intent of the requirements.</w:t>
            </w:r>
          </w:p>
          <w:p w:rsidRPr="000F2530" w:rsidR="004129FF" w:rsidP="00273A9E" w:rsidRDefault="004129FF" w14:paraId="6029DA69" w14:textId="1E8F0A42">
            <w:pPr>
              <w:pStyle w:val="TableBullet"/>
              <w:jc w:val="left"/>
            </w:pPr>
            <w:r w:rsidRPr="004129FF">
              <w:t>Restricted discretionary activities in the NES-CS have been redrafted as anticipated activities in the NPF, without any preclusion on public notification.</w:t>
            </w:r>
          </w:p>
        </w:tc>
      </w:tr>
      <w:tr w:rsidRPr="00A76AEE" w:rsidR="004129FF" w:rsidTr="005B52B3" w14:paraId="56902069" w14:textId="77777777">
        <w:tc>
          <w:tcPr>
            <w:tcW w:w="1904" w:type="dxa"/>
          </w:tcPr>
          <w:p w:rsidRPr="00EC107A" w:rsidR="004129FF" w:rsidP="00273A9E" w:rsidRDefault="004129FF" w14:paraId="2A05C02D" w14:textId="6FD74564">
            <w:pPr>
              <w:pStyle w:val="TableText"/>
              <w:jc w:val="left"/>
              <w:rPr>
                <w:b/>
              </w:rPr>
            </w:pPr>
            <w:r w:rsidRPr="00EC107A">
              <w:rPr>
                <w:b/>
              </w:rPr>
              <w:t>Storage of tyres</w:t>
            </w:r>
          </w:p>
        </w:tc>
        <w:tc>
          <w:tcPr>
            <w:tcW w:w="6601" w:type="dxa"/>
          </w:tcPr>
          <w:p w:rsidR="004129FF" w:rsidP="00273A9E" w:rsidRDefault="004129FF" w14:paraId="41982376" w14:textId="77777777">
            <w:pPr>
              <w:pStyle w:val="TableBullet"/>
              <w:spacing w:before="60"/>
              <w:jc w:val="left"/>
            </w:pPr>
            <w:r w:rsidRPr="00A77C26">
              <w:t>An outcome for storing tyres outdoors has been added, articulating the existing intent of the requirements.</w:t>
            </w:r>
          </w:p>
          <w:p w:rsidRPr="00AC0059" w:rsidR="004129FF" w:rsidP="00273A9E" w:rsidRDefault="004129FF" w14:paraId="39AA551E" w14:textId="623248DD">
            <w:pPr>
              <w:pStyle w:val="TableBullet"/>
              <w:jc w:val="left"/>
            </w:pPr>
            <w:r w:rsidRPr="004129FF">
              <w:t>Restricted discretionary activities in the NES-STO have been redrafted as anticipated activities in the NPF, without any preclusion on public notification.</w:t>
            </w:r>
          </w:p>
        </w:tc>
      </w:tr>
      <w:tr w:rsidRPr="00A76AEE" w:rsidR="004129FF" w:rsidTr="005B52B3" w14:paraId="6F39042E" w14:textId="77777777">
        <w:tc>
          <w:tcPr>
            <w:tcW w:w="1904" w:type="dxa"/>
          </w:tcPr>
          <w:p w:rsidRPr="00EC107A" w:rsidR="004129FF" w:rsidP="00273A9E" w:rsidRDefault="004129FF" w14:paraId="778DA39D" w14:textId="4E70C9C8">
            <w:pPr>
              <w:pStyle w:val="TableText"/>
              <w:jc w:val="left"/>
              <w:rPr>
                <w:b/>
              </w:rPr>
            </w:pPr>
            <w:r w:rsidRPr="00EC107A">
              <w:rPr>
                <w:b/>
              </w:rPr>
              <w:t>Indigenous biodiversity</w:t>
            </w:r>
          </w:p>
        </w:tc>
        <w:tc>
          <w:tcPr>
            <w:tcW w:w="6601" w:type="dxa"/>
          </w:tcPr>
          <w:p w:rsidR="004129FF" w:rsidP="00273A9E" w:rsidRDefault="004129FF" w14:paraId="29D1B3C0" w14:textId="77777777">
            <w:pPr>
              <w:pStyle w:val="TableBullet"/>
              <w:spacing w:before="60"/>
              <w:jc w:val="left"/>
            </w:pPr>
            <w:r w:rsidRPr="001C2EA6">
              <w:t>The objective of the NPS-IB has been redrafted as an indigenous biodiversity outcome and adjusted for alignment with the NBA, along with the policies.</w:t>
            </w:r>
          </w:p>
          <w:p w:rsidR="004129FF" w:rsidP="00273A9E" w:rsidRDefault="004129FF" w14:paraId="4BECABB7" w14:textId="77777777">
            <w:pPr>
              <w:pStyle w:val="TableBullet"/>
              <w:jc w:val="left"/>
            </w:pPr>
            <w:r>
              <w:t>Significant natural areas (SNAs) have been renamed significant biodiversity areas (SBAs).</w:t>
            </w:r>
          </w:p>
          <w:p w:rsidR="004129FF" w:rsidP="00273A9E" w:rsidRDefault="004129FF" w14:paraId="518464A5" w14:textId="0EA7DD0D">
            <w:pPr>
              <w:pStyle w:val="TableBullet"/>
              <w:jc w:val="left"/>
            </w:pPr>
            <w:r>
              <w:t>Direction is provided for transferring SNAs identified under the NPS-IB into SBAs in the NPF, to ensure current work under the RMA can be transferred.</w:t>
            </w:r>
          </w:p>
          <w:p w:rsidR="004129FF" w:rsidP="00273A9E" w:rsidRDefault="004129FF" w14:paraId="5F15EDA0" w14:textId="06ADADF6">
            <w:pPr>
              <w:pStyle w:val="TableBullet"/>
              <w:jc w:val="left"/>
            </w:pPr>
            <w:r>
              <w:t>Responsibilities of regional councils and territorial authorities have been transferred to RPCs where necessary for plan-making functions.</w:t>
            </w:r>
          </w:p>
          <w:p w:rsidR="004129FF" w:rsidP="00273A9E" w:rsidRDefault="004129FF" w14:paraId="6749EB3D" w14:textId="63C95C70">
            <w:pPr>
              <w:pStyle w:val="TableBullet"/>
              <w:jc w:val="left"/>
            </w:pPr>
            <w:r>
              <w:t>Regional councils will retain the responsibility for developing regional biodiversity strategies, and RPCs will be required to have regard to the relevant regional biodiversity strategies when developing restoration outcomes, policies, and methods for inclusion in plans.</w:t>
            </w:r>
          </w:p>
          <w:p w:rsidR="004129FF" w:rsidP="00273A9E" w:rsidRDefault="004129FF" w14:paraId="19D27461" w14:textId="03AAE38D">
            <w:pPr>
              <w:pStyle w:val="TableBullet"/>
              <w:jc w:val="left"/>
            </w:pPr>
            <w:r>
              <w:t>RPCs will now be required to consider SBAs that have already been identified – as well as areas that may qualify as SBAs or highly vulnerable biodiversity areas – in the preparation of RSS.</w:t>
            </w:r>
          </w:p>
          <w:p w:rsidR="004129FF" w:rsidP="00273A9E" w:rsidRDefault="004129FF" w14:paraId="39C77253" w14:textId="643F7D1A">
            <w:pPr>
              <w:pStyle w:val="TableBullet"/>
              <w:jc w:val="left"/>
            </w:pPr>
            <w:r>
              <w:t>Principles for biodiversity offsetting and compensation have been removed from the NPF, as they are contained within the NBA itself.</w:t>
            </w:r>
          </w:p>
          <w:p w:rsidRPr="00A77C26" w:rsidR="004129FF" w:rsidP="00273A9E" w:rsidRDefault="004129FF" w14:paraId="0FCAB972" w14:textId="47978870">
            <w:pPr>
              <w:pStyle w:val="TableBullet"/>
              <w:jc w:val="left"/>
            </w:pPr>
            <w:r>
              <w:t>To avoid confusion with NBA environmental limits and targets terminology, use of the term “target” has been changed to “goal” for the indigenous vegetation cover direction.</w:t>
            </w:r>
          </w:p>
        </w:tc>
      </w:tr>
      <w:tr w:rsidRPr="00A76AEE" w:rsidR="00E14C6F" w:rsidTr="009670E4" w14:paraId="5C6BC629" w14:textId="77777777">
        <w:trPr>
          <w:cantSplit/>
        </w:trPr>
        <w:tc>
          <w:tcPr>
            <w:tcW w:w="1904" w:type="dxa"/>
          </w:tcPr>
          <w:p w:rsidRPr="00EC107A" w:rsidR="00E14C6F" w:rsidP="00273A9E" w:rsidRDefault="00E14C6F" w14:paraId="1AB1E049" w14:textId="31DCF30B">
            <w:pPr>
              <w:pStyle w:val="TableText"/>
              <w:jc w:val="left"/>
              <w:rPr>
                <w:b/>
              </w:rPr>
            </w:pPr>
            <w:r w:rsidRPr="00EC107A">
              <w:rPr>
                <w:b/>
              </w:rPr>
              <w:t>Air quality</w:t>
            </w:r>
          </w:p>
        </w:tc>
        <w:tc>
          <w:tcPr>
            <w:tcW w:w="6601" w:type="dxa"/>
          </w:tcPr>
          <w:p w:rsidR="00E14C6F" w:rsidP="00273A9E" w:rsidRDefault="00E14C6F" w14:paraId="2FE7451D" w14:textId="77777777">
            <w:pPr>
              <w:pStyle w:val="TableBullet"/>
              <w:spacing w:before="60"/>
              <w:jc w:val="left"/>
            </w:pPr>
            <w:r w:rsidRPr="000A35E5">
              <w:t>An outcome statement for air quality has been added, articulating the existing policy intent of the NES-AQ.</w:t>
            </w:r>
          </w:p>
          <w:p w:rsidR="00E14C6F" w:rsidP="00273A9E" w:rsidRDefault="00E14C6F" w14:paraId="42BC1037" w14:textId="77777777">
            <w:pPr>
              <w:pStyle w:val="TableBullet"/>
              <w:jc w:val="left"/>
            </w:pPr>
            <w:r>
              <w:t xml:space="preserve">The existing wood burner provision has been amended in accordance with the 2020 proposed amendments to the NES-AQ. These amendments include: </w:t>
            </w:r>
          </w:p>
          <w:p w:rsidR="00E14C6F" w:rsidP="00273A9E" w:rsidRDefault="00E14C6F" w14:paraId="43C6EF3D" w14:textId="10822DEB">
            <w:pPr>
              <w:pStyle w:val="TableDash"/>
              <w:jc w:val="left"/>
            </w:pPr>
            <w:r>
              <w:t>Updating the design standard for solid fuel burner discharge.</w:t>
            </w:r>
          </w:p>
          <w:p w:rsidR="00E14C6F" w:rsidP="00273A9E" w:rsidRDefault="00E14C6F" w14:paraId="41D4C828" w14:textId="3FADEBC0">
            <w:pPr>
              <w:pStyle w:val="TableDash"/>
              <w:jc w:val="left"/>
            </w:pPr>
            <w:r>
              <w:t xml:space="preserve">Broadening prohibited discharges from wood burners to apply to solid fuel burners. This closes a known loophole, by applying the design standard to all new domestic solid fuel burners including open fires, wood, coal, pellet and multifuel burners, </w:t>
            </w:r>
            <w:proofErr w:type="gramStart"/>
            <w:r>
              <w:t>cookers</w:t>
            </w:r>
            <w:proofErr w:type="gramEnd"/>
            <w:r>
              <w:t xml:space="preserve"> and water boilers.</w:t>
            </w:r>
          </w:p>
          <w:p w:rsidRPr="001C2EA6" w:rsidR="00E14C6F" w:rsidP="00273A9E" w:rsidRDefault="00E14C6F" w14:paraId="34F60006" w14:textId="61A3BBA1">
            <w:pPr>
              <w:pStyle w:val="TableBullet"/>
              <w:jc w:val="left"/>
            </w:pPr>
            <w:r>
              <w:t>The transitional NPF proposal does not carry over the existing ambient air quality and consenting provisions. These are proposed to be provided for in later NPFs, in time to inform NBE plans.</w:t>
            </w:r>
          </w:p>
        </w:tc>
      </w:tr>
      <w:tr w:rsidRPr="00A76AEE" w:rsidR="00E14C6F" w:rsidTr="005B52B3" w14:paraId="3610C490" w14:textId="77777777">
        <w:tc>
          <w:tcPr>
            <w:tcW w:w="1904" w:type="dxa"/>
          </w:tcPr>
          <w:p w:rsidRPr="00EC107A" w:rsidR="00E14C6F" w:rsidP="00273A9E" w:rsidRDefault="00E14C6F" w14:paraId="33BB20FF" w14:textId="093957AD">
            <w:pPr>
              <w:pStyle w:val="TableText"/>
              <w:jc w:val="left"/>
              <w:rPr>
                <w:b/>
              </w:rPr>
            </w:pPr>
            <w:r w:rsidRPr="00EC107A">
              <w:rPr>
                <w:b/>
              </w:rPr>
              <w:t>Greenhouse gas emissions (from industrial process heat)</w:t>
            </w:r>
          </w:p>
        </w:tc>
        <w:tc>
          <w:tcPr>
            <w:tcW w:w="6601" w:type="dxa"/>
          </w:tcPr>
          <w:p w:rsidR="00E14C6F" w:rsidP="00273A9E" w:rsidRDefault="00E14C6F" w14:paraId="4E487586" w14:textId="77777777">
            <w:pPr>
              <w:pStyle w:val="TableBullet"/>
              <w:spacing w:before="60"/>
              <w:jc w:val="left"/>
            </w:pPr>
            <w:r w:rsidRPr="000550B4">
              <w:t xml:space="preserve">A new framework outcome for greenhouse gas emissions has been added, articulating existing policy intent. </w:t>
            </w:r>
          </w:p>
          <w:p w:rsidR="00E14C6F" w:rsidP="00273A9E" w:rsidRDefault="00E14C6F" w14:paraId="0515ACA2" w14:textId="77777777">
            <w:pPr>
              <w:pStyle w:val="TableBullet"/>
              <w:jc w:val="left"/>
            </w:pPr>
            <w:r>
              <w:t>Restricted discretionary activities have been redrafted as anticipated activities.</w:t>
            </w:r>
          </w:p>
          <w:p w:rsidRPr="000A35E5" w:rsidR="00E14C6F" w:rsidP="00273A9E" w:rsidRDefault="00E14C6F" w14:paraId="2CEDB3A0" w14:textId="3BCB1F64">
            <w:pPr>
              <w:pStyle w:val="TableBullet"/>
              <w:jc w:val="left"/>
            </w:pPr>
            <w:r>
              <w:t>“Emissions plans” have been renamed “greenhouse gas reduction plans”.</w:t>
            </w:r>
          </w:p>
        </w:tc>
      </w:tr>
      <w:tr w:rsidRPr="00A76AEE" w:rsidR="00123CC2" w:rsidTr="005B52B3" w14:paraId="7282E35A" w14:textId="77777777">
        <w:tc>
          <w:tcPr>
            <w:tcW w:w="1904" w:type="dxa"/>
          </w:tcPr>
          <w:p w:rsidRPr="00EC107A" w:rsidR="00123CC2" w:rsidP="00273A9E" w:rsidRDefault="00123CC2" w14:paraId="7BD94A0A" w14:textId="6CEE8E0C">
            <w:pPr>
              <w:pStyle w:val="TableText"/>
              <w:jc w:val="left"/>
              <w:rPr>
                <w:b/>
              </w:rPr>
            </w:pPr>
            <w:r w:rsidRPr="00EC107A">
              <w:rPr>
                <w:b/>
              </w:rPr>
              <w:t>Urban</w:t>
            </w:r>
          </w:p>
        </w:tc>
        <w:tc>
          <w:tcPr>
            <w:tcW w:w="6601" w:type="dxa"/>
          </w:tcPr>
          <w:p w:rsidR="00123CC2" w:rsidP="00273A9E" w:rsidRDefault="00123CC2" w14:paraId="3B9DBBDE" w14:textId="60DB3F29">
            <w:pPr>
              <w:pStyle w:val="TableBullet"/>
              <w:spacing w:before="60"/>
              <w:jc w:val="left"/>
            </w:pPr>
            <w:r w:rsidRPr="00D81FEC">
              <w:t>Future development strategy (FDS) provisions have been redrafted as direction for RPCs for the development of RSS. Review timeframes, the effect of FDSs</w:t>
            </w:r>
            <w:r w:rsidR="0046785A">
              <w:t>,</w:t>
            </w:r>
            <w:r w:rsidRPr="00D81FEC">
              <w:t xml:space="preserve"> and implementation plans have been superseded by the SPA requirements for RSS.</w:t>
            </w:r>
          </w:p>
          <w:p w:rsidR="00123CC2" w:rsidP="00273A9E" w:rsidRDefault="00123CC2" w14:paraId="76CF7015" w14:textId="77777777">
            <w:pPr>
              <w:pStyle w:val="TableBullet"/>
              <w:jc w:val="left"/>
            </w:pPr>
            <w:r>
              <w:t>Requirements to prepare Housing and Business Development Capacity Assessments (HBAs) have been redrafted as direction to RPCs for RSS and NBE plans.</w:t>
            </w:r>
          </w:p>
          <w:p w:rsidR="00123CC2" w:rsidP="00273A9E" w:rsidRDefault="00123CC2" w14:paraId="0F0BC1C1" w14:textId="5751E654">
            <w:pPr>
              <w:pStyle w:val="TableBullet"/>
              <w:jc w:val="left"/>
            </w:pPr>
            <w:r>
              <w:t>The transitional NPF proposal seeks to apply the MDRS to the relevant residential zones of all RPCs’ NBE plans that it currently applies to under the RMA, with the same process for qualifying matters.</w:t>
            </w:r>
          </w:p>
          <w:p w:rsidR="00123CC2" w:rsidP="00273A9E" w:rsidRDefault="00123CC2" w14:paraId="5114C0C9" w14:textId="1EE105AE">
            <w:pPr>
              <w:pStyle w:val="TableBullet"/>
              <w:jc w:val="left"/>
            </w:pPr>
            <w:r>
              <w:t>Restricted discretionary activities in the MDRS have been redrafted as anticipated activities.</w:t>
            </w:r>
          </w:p>
          <w:p w:rsidR="00123CC2" w:rsidP="00273A9E" w:rsidRDefault="00123CC2" w14:paraId="2434B749" w14:textId="1D764C32">
            <w:pPr>
              <w:pStyle w:val="TableBullet"/>
              <w:jc w:val="left"/>
            </w:pPr>
            <w:r>
              <w:t>The meaning of “plan-enabled” development capacity has been redrafted to include both NBE plans and RMA plans, to allow for the preparation of HBAs during the transition between RMA plans and NBE plans.</w:t>
            </w:r>
          </w:p>
          <w:p w:rsidRPr="000550B4" w:rsidR="00123CC2" w:rsidP="00273A9E" w:rsidRDefault="00123CC2" w14:paraId="59FA4DAE" w14:textId="3B35BDA0">
            <w:pPr>
              <w:pStyle w:val="TableBullet"/>
              <w:jc w:val="left"/>
            </w:pPr>
            <w:r>
              <w:t>The NPF has been drafted to require that HBAs be prepared by the relevant local authorities, if no RPC has been appointed in time to prepare HBAs as required under the NPF.</w:t>
            </w:r>
          </w:p>
        </w:tc>
      </w:tr>
      <w:tr w:rsidRPr="00A76AEE" w:rsidR="00123CC2" w:rsidTr="005B52B3" w14:paraId="167A064E" w14:textId="77777777">
        <w:tc>
          <w:tcPr>
            <w:tcW w:w="1904" w:type="dxa"/>
          </w:tcPr>
          <w:p w:rsidRPr="00EC107A" w:rsidR="00123CC2" w:rsidP="00273A9E" w:rsidRDefault="00123CC2" w14:paraId="78E3FA9B" w14:textId="5B3B22B7">
            <w:pPr>
              <w:pStyle w:val="TableText"/>
              <w:jc w:val="left"/>
              <w:rPr>
                <w:b/>
              </w:rPr>
            </w:pPr>
            <w:r w:rsidRPr="00EC107A">
              <w:rPr>
                <w:b/>
              </w:rPr>
              <w:t>Infrastructure</w:t>
            </w:r>
          </w:p>
        </w:tc>
        <w:tc>
          <w:tcPr>
            <w:tcW w:w="6601" w:type="dxa"/>
          </w:tcPr>
          <w:p w:rsidR="00123CC2" w:rsidP="00273A9E" w:rsidRDefault="00123CC2" w14:paraId="25A06891" w14:textId="77777777">
            <w:pPr>
              <w:pStyle w:val="TableBullet"/>
              <w:spacing w:before="60"/>
              <w:jc w:val="left"/>
            </w:pPr>
            <w:r w:rsidRPr="00E82787">
              <w:t>Restricted discretionary activities in the NES-ETA and NES-TF are anticipated activities.</w:t>
            </w:r>
          </w:p>
          <w:p w:rsidRPr="00D81FEC" w:rsidR="00123CC2" w:rsidP="00273A9E" w:rsidRDefault="00123CC2" w14:paraId="5D11FF3F" w14:textId="6141A4A1">
            <w:pPr>
              <w:pStyle w:val="TableBullet"/>
              <w:jc w:val="left"/>
            </w:pPr>
            <w:r w:rsidRPr="00123CC2">
              <w:t>Non-complying activities in the NES-ETA and NES-TF are discretionary activities, except the non-complying activity for exceedance of standards for radiofrequency generating facilities, which becomes a prohibited activity.</w:t>
            </w:r>
          </w:p>
        </w:tc>
      </w:tr>
      <w:tr w:rsidRPr="00A76AEE" w:rsidR="00123CC2" w:rsidTr="00E71AD2" w14:paraId="5EC65D7A" w14:textId="77777777">
        <w:trPr>
          <w:cantSplit/>
        </w:trPr>
        <w:tc>
          <w:tcPr>
            <w:tcW w:w="1904" w:type="dxa"/>
          </w:tcPr>
          <w:p w:rsidRPr="00EC107A" w:rsidR="00123CC2" w:rsidP="00273A9E" w:rsidRDefault="00123CC2" w14:paraId="1C2DF040" w14:textId="0713BEC3">
            <w:pPr>
              <w:pStyle w:val="TableText"/>
              <w:jc w:val="left"/>
              <w:rPr>
                <w:b/>
              </w:rPr>
            </w:pPr>
            <w:r w:rsidRPr="00EC107A">
              <w:rPr>
                <w:b/>
              </w:rPr>
              <w:t>Planning standards</w:t>
            </w:r>
          </w:p>
        </w:tc>
        <w:tc>
          <w:tcPr>
            <w:tcW w:w="6601" w:type="dxa"/>
          </w:tcPr>
          <w:p w:rsidR="00123CC2" w:rsidP="00273A9E" w:rsidRDefault="00123CC2" w14:paraId="575B865A" w14:textId="77777777">
            <w:pPr>
              <w:pStyle w:val="TableBullet"/>
              <w:spacing w:before="60"/>
              <w:jc w:val="left"/>
            </w:pPr>
            <w:r w:rsidRPr="002B0CC8">
              <w:t>New standards have been added for RSS, which provide an appropriate degree of flexibility to ensure each region has a vision-driven, region-specific spatial strategy. These standards include:</w:t>
            </w:r>
          </w:p>
          <w:p w:rsidR="00123CC2" w:rsidP="00273A9E" w:rsidRDefault="00123CC2" w14:paraId="5EDD2625" w14:textId="77777777">
            <w:pPr>
              <w:pStyle w:val="TableDash"/>
              <w:jc w:val="left"/>
            </w:pPr>
            <w:r>
              <w:t xml:space="preserve">mandatory structure elements, including headings for content, including introduction, how the strategy works, regional context, vision, objectives, actions and supporting </w:t>
            </w:r>
            <w:proofErr w:type="gramStart"/>
            <w:r>
              <w:t>information</w:t>
            </w:r>
            <w:proofErr w:type="gramEnd"/>
          </w:p>
          <w:p w:rsidR="00123CC2" w:rsidP="00273A9E" w:rsidRDefault="00123CC2" w14:paraId="650D2F62" w14:textId="42233969">
            <w:pPr>
              <w:pStyle w:val="TableDash"/>
              <w:jc w:val="left"/>
            </w:pPr>
            <w:r>
              <w:t xml:space="preserve">minimum electronic accessibility and functionality requirements. </w:t>
            </w:r>
          </w:p>
          <w:p w:rsidR="00123CC2" w:rsidP="00273A9E" w:rsidRDefault="00123CC2" w14:paraId="45DFA98E" w14:textId="6B64BBCF">
            <w:pPr>
              <w:pStyle w:val="TableBullet"/>
              <w:jc w:val="left"/>
            </w:pPr>
            <w:r>
              <w:t>Standard definitions have been included, and these apply across the NPF, NBE plans, and RSS</w:t>
            </w:r>
            <w:r w:rsidR="0046785A">
              <w:t>s</w:t>
            </w:r>
            <w:r>
              <w:t xml:space="preserve">. </w:t>
            </w:r>
          </w:p>
          <w:p w:rsidRPr="00E82787" w:rsidR="00123CC2" w:rsidP="00273A9E" w:rsidRDefault="00123CC2" w14:paraId="2966909B" w14:textId="30787618">
            <w:pPr>
              <w:pStyle w:val="TableText"/>
              <w:jc w:val="left"/>
            </w:pPr>
            <w:r>
              <w:t>Structure, chapter, and form standards for NBE plans have not been included in the transitional NPF proposal, as it is intended that these standards be replaced with standards developed for the new system in a future amendment to the NPF.</w:t>
            </w:r>
          </w:p>
        </w:tc>
      </w:tr>
    </w:tbl>
    <w:p w:rsidR="005B52B3" w:rsidP="0041738F" w:rsidRDefault="005B52B3" w14:paraId="17FA00B3" w14:textId="77777777">
      <w:pPr>
        <w:pStyle w:val="BodyText"/>
      </w:pPr>
    </w:p>
    <w:p w:rsidR="0041738F" w:rsidP="00EC107A" w:rsidRDefault="0041738F" w14:paraId="3C1301BC" w14:textId="3CA07A37">
      <w:pPr>
        <w:pStyle w:val="Tableheading"/>
      </w:pPr>
      <w:bookmarkStart w:name="_Toc146037628" w:id="15"/>
      <w:r>
        <w:t xml:space="preserve">Proposed new attributes for which limits must be </w:t>
      </w:r>
      <w:proofErr w:type="gramStart"/>
      <w:r>
        <w:t>set</w:t>
      </w:r>
      <w:bookmarkEnd w:id="15"/>
      <w:proofErr w:type="gramEnd"/>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2674"/>
        <w:gridCol w:w="5831"/>
      </w:tblGrid>
      <w:tr w:rsidRPr="00EC107A" w:rsidR="00EC107A" w:rsidTr="00662612" w14:paraId="2DF66499" w14:textId="77777777">
        <w:trPr>
          <w:tblHeader/>
        </w:trPr>
        <w:tc>
          <w:tcPr>
            <w:tcW w:w="2674" w:type="dxa"/>
            <w:shd w:val="clear" w:color="auto" w:fill="1B556B"/>
          </w:tcPr>
          <w:p w:rsidRPr="00EC107A" w:rsidR="00EC107A" w:rsidP="009F1A02" w:rsidRDefault="00EC107A" w14:paraId="11FD17A6" w14:textId="31F633F9">
            <w:pPr>
              <w:pStyle w:val="TableTextbold"/>
              <w:jc w:val="left"/>
              <w:rPr>
                <w:color w:val="FFFFFF" w:themeColor="background1"/>
              </w:rPr>
            </w:pPr>
            <w:r w:rsidRPr="00EC107A">
              <w:rPr>
                <w:color w:val="FFFFFF" w:themeColor="background1"/>
              </w:rPr>
              <w:t>Mandatory matter in clause 38 of the NBA</w:t>
            </w:r>
          </w:p>
        </w:tc>
        <w:tc>
          <w:tcPr>
            <w:tcW w:w="5831" w:type="dxa"/>
            <w:shd w:val="clear" w:color="auto" w:fill="1B556B"/>
          </w:tcPr>
          <w:p w:rsidRPr="00EC107A" w:rsidR="00EC107A" w:rsidP="00EC107A" w:rsidRDefault="00EC107A" w14:paraId="3580EC4F" w14:textId="79576438">
            <w:pPr>
              <w:pStyle w:val="TableTextbold"/>
              <w:rPr>
                <w:color w:val="FFFFFF" w:themeColor="background1"/>
              </w:rPr>
            </w:pPr>
            <w:r w:rsidRPr="00EC107A">
              <w:rPr>
                <w:color w:val="FFFFFF" w:themeColor="background1"/>
              </w:rPr>
              <w:t>Proposed attribute(s)</w:t>
            </w:r>
          </w:p>
        </w:tc>
      </w:tr>
      <w:tr w:rsidRPr="00A76AEE" w:rsidR="00EC107A" w:rsidTr="00662612" w14:paraId="50EDF4CD" w14:textId="77777777">
        <w:tc>
          <w:tcPr>
            <w:tcW w:w="2674" w:type="dxa"/>
            <w:shd w:val="clear" w:color="auto" w:fill="auto"/>
          </w:tcPr>
          <w:p w:rsidRPr="009F1A02" w:rsidR="00EC107A" w:rsidP="009F1A02" w:rsidRDefault="00EC107A" w14:paraId="607E0983" w14:textId="26A67316">
            <w:pPr>
              <w:pStyle w:val="TableText"/>
              <w:jc w:val="left"/>
              <w:rPr>
                <w:b/>
                <w:bCs/>
              </w:rPr>
            </w:pPr>
            <w:r w:rsidRPr="009F1A02">
              <w:rPr>
                <w:b/>
                <w:bCs/>
              </w:rPr>
              <w:t>Air</w:t>
            </w:r>
          </w:p>
        </w:tc>
        <w:tc>
          <w:tcPr>
            <w:tcW w:w="5831" w:type="dxa"/>
            <w:shd w:val="clear" w:color="auto" w:fill="auto"/>
          </w:tcPr>
          <w:p w:rsidRPr="00A76AEE" w:rsidR="00EC107A" w:rsidP="00EC107A" w:rsidRDefault="00EC107A" w14:paraId="5E3FCED0" w14:textId="5A99DB4C">
            <w:pPr>
              <w:pStyle w:val="TableText"/>
            </w:pPr>
            <w:r w:rsidRPr="00496D33">
              <w:t>No attribute</w:t>
            </w:r>
          </w:p>
        </w:tc>
      </w:tr>
      <w:tr w:rsidRPr="00A76AEE" w:rsidR="00EC107A" w:rsidTr="00662612" w14:paraId="462E315A" w14:textId="77777777">
        <w:tc>
          <w:tcPr>
            <w:tcW w:w="2674" w:type="dxa"/>
            <w:shd w:val="clear" w:color="auto" w:fill="auto"/>
          </w:tcPr>
          <w:p w:rsidRPr="009F1A02" w:rsidR="00EC107A" w:rsidP="009F1A02" w:rsidRDefault="00EC107A" w14:paraId="53D5443F" w14:textId="5B7ED750">
            <w:pPr>
              <w:pStyle w:val="TableText"/>
              <w:jc w:val="left"/>
              <w:rPr>
                <w:b/>
                <w:bCs/>
              </w:rPr>
            </w:pPr>
            <w:r w:rsidRPr="009F1A02">
              <w:rPr>
                <w:b/>
                <w:bCs/>
              </w:rPr>
              <w:t>Indigenous biodiversity</w:t>
            </w:r>
          </w:p>
        </w:tc>
        <w:tc>
          <w:tcPr>
            <w:tcW w:w="5831" w:type="dxa"/>
            <w:shd w:val="clear" w:color="auto" w:fill="auto"/>
          </w:tcPr>
          <w:p w:rsidRPr="00A76AEE" w:rsidR="00EC107A" w:rsidP="00EC107A" w:rsidRDefault="00EC107A" w14:paraId="37A814AE" w14:textId="2C16F6B3">
            <w:pPr>
              <w:pStyle w:val="TableText"/>
            </w:pPr>
            <w:r w:rsidRPr="00496D33">
              <w:t xml:space="preserve">Indigenous vegetation cover </w:t>
            </w:r>
          </w:p>
        </w:tc>
      </w:tr>
      <w:tr w:rsidRPr="00A76AEE" w:rsidR="00EC107A" w:rsidTr="00662612" w14:paraId="624E99BD" w14:textId="77777777">
        <w:tc>
          <w:tcPr>
            <w:tcW w:w="2674" w:type="dxa"/>
          </w:tcPr>
          <w:p w:rsidRPr="009F1A02" w:rsidR="00EC107A" w:rsidP="009F1A02" w:rsidRDefault="00EC107A" w14:paraId="752810E0" w14:textId="0802F451">
            <w:pPr>
              <w:pStyle w:val="TableText"/>
              <w:jc w:val="left"/>
              <w:rPr>
                <w:b/>
                <w:bCs/>
              </w:rPr>
            </w:pPr>
            <w:r w:rsidRPr="009F1A02">
              <w:rPr>
                <w:b/>
                <w:bCs/>
              </w:rPr>
              <w:t>Coastal waters and estuaries</w:t>
            </w:r>
          </w:p>
        </w:tc>
        <w:tc>
          <w:tcPr>
            <w:tcW w:w="5831" w:type="dxa"/>
          </w:tcPr>
          <w:p w:rsidR="00EC107A" w:rsidP="00EC107A" w:rsidRDefault="00EC107A" w14:paraId="3EDB2E4B" w14:textId="77777777">
            <w:pPr>
              <w:pStyle w:val="TableText"/>
            </w:pPr>
            <w:r w:rsidRPr="00496D33">
              <w:t>Saltmarsh extent</w:t>
            </w:r>
          </w:p>
          <w:p w:rsidRPr="00A76AEE" w:rsidR="00EC107A" w:rsidP="00EC107A" w:rsidRDefault="00EC107A" w14:paraId="1D1C50A5" w14:textId="51E20696">
            <w:pPr>
              <w:pStyle w:val="TableText"/>
            </w:pPr>
            <w:r w:rsidRPr="00EC107A">
              <w:t>Seagrass extent</w:t>
            </w:r>
          </w:p>
        </w:tc>
      </w:tr>
      <w:tr w:rsidRPr="00A76AEE" w:rsidR="00EC107A" w:rsidTr="00662612" w14:paraId="72DF5B02" w14:textId="77777777">
        <w:tc>
          <w:tcPr>
            <w:tcW w:w="2674" w:type="dxa"/>
          </w:tcPr>
          <w:p w:rsidRPr="009F1A02" w:rsidR="00EC107A" w:rsidP="009F1A02" w:rsidRDefault="00EC107A" w14:paraId="01FA1CCA" w14:textId="7650EF42">
            <w:pPr>
              <w:pStyle w:val="TableText"/>
              <w:jc w:val="left"/>
              <w:rPr>
                <w:b/>
                <w:bCs/>
              </w:rPr>
            </w:pPr>
            <w:r w:rsidRPr="009F1A02">
              <w:rPr>
                <w:b/>
                <w:bCs/>
              </w:rPr>
              <w:t>Estuaries</w:t>
            </w:r>
          </w:p>
        </w:tc>
        <w:tc>
          <w:tcPr>
            <w:tcW w:w="5831" w:type="dxa"/>
          </w:tcPr>
          <w:p w:rsidR="00EC107A" w:rsidP="00EC107A" w:rsidRDefault="00EC107A" w14:paraId="71E3E861" w14:textId="77777777">
            <w:pPr>
              <w:pStyle w:val="TableText"/>
            </w:pPr>
            <w:r w:rsidRPr="005D6586">
              <w:t>Sediment mud content</w:t>
            </w:r>
          </w:p>
          <w:p w:rsidRPr="00EC107A" w:rsidR="00EC107A" w:rsidP="00EC107A" w:rsidRDefault="00EC107A" w14:paraId="320B872A" w14:textId="77777777">
            <w:pPr>
              <w:pStyle w:val="TableText"/>
            </w:pPr>
            <w:r w:rsidRPr="00EC107A">
              <w:t>Sediment accretion rate</w:t>
            </w:r>
          </w:p>
          <w:p w:rsidRPr="00496D33" w:rsidR="00EC107A" w:rsidP="00EC107A" w:rsidRDefault="00EC107A" w14:paraId="732F265B" w14:textId="7F4D2CCC">
            <w:pPr>
              <w:pStyle w:val="TableText"/>
            </w:pPr>
            <w:r w:rsidRPr="00EC107A">
              <w:t>Nuisance macroalgae</w:t>
            </w:r>
          </w:p>
        </w:tc>
      </w:tr>
      <w:tr w:rsidRPr="00A76AEE" w:rsidR="009F1A02" w:rsidTr="00662612" w14:paraId="54B7A3A7" w14:textId="77777777">
        <w:tc>
          <w:tcPr>
            <w:tcW w:w="2674" w:type="dxa"/>
          </w:tcPr>
          <w:p w:rsidRPr="009F1A02" w:rsidR="009F1A02" w:rsidP="009F1A02" w:rsidRDefault="009F1A02" w14:paraId="0626F8AD" w14:textId="3950DB93">
            <w:pPr>
              <w:pStyle w:val="TableText"/>
              <w:jc w:val="left"/>
              <w:rPr>
                <w:b/>
                <w:bCs/>
              </w:rPr>
            </w:pPr>
            <w:r w:rsidRPr="009F1A02">
              <w:rPr>
                <w:b/>
                <w:bCs/>
              </w:rPr>
              <w:t>Freshwater</w:t>
            </w:r>
          </w:p>
        </w:tc>
        <w:tc>
          <w:tcPr>
            <w:tcW w:w="5831" w:type="dxa"/>
          </w:tcPr>
          <w:p w:rsidRPr="005D6586" w:rsidR="009F1A02" w:rsidP="009F1A02" w:rsidRDefault="009F1A02" w14:paraId="201EB2A2" w14:textId="6E0470C3">
            <w:pPr>
              <w:pStyle w:val="TableText"/>
              <w:jc w:val="left"/>
            </w:pPr>
            <w:r w:rsidRPr="00820EBB">
              <w:t>No new attributes – existing attributes from NPS-FM carried forward</w:t>
            </w:r>
          </w:p>
        </w:tc>
      </w:tr>
      <w:tr w:rsidRPr="00A76AEE" w:rsidR="009F1A02" w:rsidTr="00662612" w14:paraId="6572E50F" w14:textId="77777777">
        <w:tc>
          <w:tcPr>
            <w:tcW w:w="2674" w:type="dxa"/>
          </w:tcPr>
          <w:p w:rsidRPr="009F1A02" w:rsidR="009F1A02" w:rsidP="009F1A02" w:rsidRDefault="009F1A02" w14:paraId="695931C5" w14:textId="3B66EB4A">
            <w:pPr>
              <w:pStyle w:val="TableText"/>
              <w:jc w:val="left"/>
              <w:rPr>
                <w:b/>
                <w:bCs/>
              </w:rPr>
            </w:pPr>
            <w:r w:rsidRPr="009F1A02">
              <w:rPr>
                <w:b/>
                <w:bCs/>
              </w:rPr>
              <w:t>Soil</w:t>
            </w:r>
          </w:p>
        </w:tc>
        <w:tc>
          <w:tcPr>
            <w:tcW w:w="5831" w:type="dxa"/>
          </w:tcPr>
          <w:p w:rsidRPr="005D6586" w:rsidR="009F1A02" w:rsidP="009F1A02" w:rsidRDefault="009F1A02" w14:paraId="1DD73E04" w14:textId="765D58DC">
            <w:pPr>
              <w:pStyle w:val="TableText"/>
            </w:pPr>
            <w:r w:rsidRPr="00820EBB">
              <w:t>Erodible soil stabilisation</w:t>
            </w:r>
          </w:p>
        </w:tc>
      </w:tr>
    </w:tbl>
    <w:p w:rsidR="00EC107A" w:rsidP="0041738F" w:rsidRDefault="00EC107A" w14:paraId="1BE489E3" w14:textId="77777777">
      <w:pPr>
        <w:pStyle w:val="BodyText"/>
      </w:pPr>
    </w:p>
    <w:sectPr w:rsidR="00EC107A" w:rsidSect="008A7498">
      <w:headerReference w:type="even" r:id="rId26"/>
      <w:headerReference w:type="default" r:id="rId27"/>
      <w:footerReference w:type="even" r:id="rId28"/>
      <w:footerReference w:type="default" r:id="rId2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567CF" w:rsidP="0080531E" w:rsidRDefault="007567CF" w14:paraId="76D986D8" w14:textId="77777777">
      <w:pPr>
        <w:spacing w:after="0" w:line="240" w:lineRule="auto"/>
      </w:pPr>
      <w:r>
        <w:separator/>
      </w:r>
    </w:p>
    <w:p w:rsidR="007567CF" w:rsidRDefault="007567CF" w14:paraId="121712E5" w14:textId="77777777"/>
  </w:endnote>
  <w:endnote w:type="continuationSeparator" w:id="0">
    <w:p w:rsidR="007567CF" w:rsidP="0080531E" w:rsidRDefault="007567CF" w14:paraId="1F769097" w14:textId="77777777">
      <w:pPr>
        <w:spacing w:after="0" w:line="240" w:lineRule="auto"/>
      </w:pPr>
      <w:r>
        <w:continuationSeparator/>
      </w:r>
    </w:p>
    <w:p w:rsidR="007567CF" w:rsidRDefault="007567CF" w14:paraId="2295AF93" w14:textId="77777777"/>
  </w:endnote>
  <w:endnote w:type="continuationNotice" w:id="1">
    <w:p w:rsidR="007567CF" w:rsidRDefault="007567CF" w14:paraId="5952603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5210B" w:rsidP="009F1D7F" w:rsidRDefault="009F1D7F" w14:paraId="36D59736" w14:textId="77777777">
    <w:pPr>
      <w:spacing w:after="0" w:line="240" w:lineRule="auto"/>
    </w:pPr>
    <w:r>
      <w:rPr>
        <w:b/>
        <w:bCs/>
        <w:noProof/>
      </w:rPr>
      <w:drawing>
        <wp:inline distT="0" distB="0" distL="0" distR="0" wp14:anchorId="68BABB06" wp14:editId="5EA5C5A5">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210B" w:rsidP="00E65427" w:rsidRDefault="00E5210B" w14:paraId="37080C82" w14:textId="7777777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210B" w:rsidRDefault="00E5210B" w14:paraId="5A5504F8"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175D5" w:rsidR="00E453AB" w:rsidP="006175D5" w:rsidRDefault="00E5210B" w14:paraId="602992A4" w14:textId="77777777">
    <w:pPr>
      <w:pStyle w:val="Footereven"/>
    </w:pPr>
    <w:r w:rsidRPr="006175D5">
      <w:rPr>
        <w:b/>
      </w:rPr>
      <w:fldChar w:fldCharType="begin"/>
    </w:r>
    <w:r w:rsidRPr="006175D5">
      <w:instrText xml:space="preserve"> PAGE </w:instrText>
    </w:r>
    <w:r w:rsidRPr="006175D5">
      <w:rPr>
        <w:b/>
      </w:rPr>
      <w:fldChar w:fldCharType="separate"/>
    </w:r>
    <w:r w:rsidRPr="006175D5" w:rsidR="005D3242">
      <w:rPr>
        <w:noProof/>
      </w:rPr>
      <w:t>8</w:t>
    </w:r>
    <w:r w:rsidRPr="006175D5">
      <w:rPr>
        <w:b/>
      </w:rPr>
      <w:fldChar w:fldCharType="end"/>
    </w:r>
    <w:r w:rsidRPr="006175D5">
      <w:tab/>
    </w:r>
    <w:r w:rsidRPr="006175D5" w:rsidR="00F70245">
      <w:t>Flourishing environment, thriving communities | Ka ora</w:t>
    </w:r>
    <w:r w:rsidR="00DE3DB0">
      <w:t xml:space="preserve"> </w:t>
    </w:r>
    <w:r w:rsidRPr="006175D5" w:rsidR="00F70245">
      <w:t xml:space="preserve">te Taiao, ka ora </w:t>
    </w:r>
    <w:proofErr w:type="gramStart"/>
    <w:r w:rsidRPr="006175D5" w:rsidR="00F70245">
      <w:t>Tātou</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175D5" w:rsidR="00E453AB" w:rsidP="006175D5" w:rsidRDefault="00E5210B" w14:paraId="27288056" w14:textId="77777777">
    <w:pPr>
      <w:pStyle w:val="Footerodd"/>
    </w:pPr>
    <w:r w:rsidRPr="006175D5">
      <w:tab/>
    </w:r>
    <w:r w:rsidRPr="006175D5" w:rsidR="00F70245">
      <w:t>Flourishing environment, thriving communities | Ka or</w:t>
    </w:r>
    <w:r w:rsidRPr="006175D5" w:rsidR="006175D5">
      <w:t>a</w:t>
    </w:r>
    <w:r w:rsidRPr="006175D5" w:rsidR="00F70245">
      <w:t xml:space="preserve"> te Taiao, ka ora Tātou</w:t>
    </w:r>
    <w:r w:rsidRPr="006175D5">
      <w:tab/>
    </w:r>
    <w:r w:rsidRPr="006175D5" w:rsidR="008540A6">
      <w:fldChar w:fldCharType="begin"/>
    </w:r>
    <w:r w:rsidRPr="006175D5" w:rsidR="008540A6">
      <w:instrText xml:space="preserve"> PAGE   \* MERGEFORMAT </w:instrText>
    </w:r>
    <w:r w:rsidRPr="006175D5" w:rsidR="008540A6">
      <w:fldChar w:fldCharType="separate"/>
    </w:r>
    <w:r w:rsidRPr="006175D5" w:rsidR="005D3242">
      <w:t>7</w:t>
    </w:r>
    <w:r w:rsidRPr="006175D5" w:rsidR="008540A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567CF" w:rsidP="00CB5C5F" w:rsidRDefault="007567CF" w14:paraId="35FAE7EA" w14:textId="77777777">
      <w:pPr>
        <w:spacing w:after="80" w:line="240" w:lineRule="auto"/>
      </w:pPr>
      <w:r>
        <w:separator/>
      </w:r>
    </w:p>
  </w:footnote>
  <w:footnote w:type="continuationSeparator" w:id="0">
    <w:p w:rsidR="007567CF" w:rsidP="0080531E" w:rsidRDefault="007567CF" w14:paraId="0C1BA2B4" w14:textId="77777777">
      <w:pPr>
        <w:spacing w:after="0" w:line="240" w:lineRule="auto"/>
      </w:pPr>
      <w:r>
        <w:continuationSeparator/>
      </w:r>
    </w:p>
    <w:p w:rsidR="007567CF" w:rsidRDefault="007567CF" w14:paraId="1B3D81C6" w14:textId="77777777"/>
  </w:footnote>
  <w:footnote w:type="continuationNotice" w:id="1">
    <w:p w:rsidR="007567CF" w:rsidRDefault="007567CF" w14:paraId="50A3369D" w14:textId="77777777">
      <w:pPr>
        <w:spacing w:after="0" w:line="240" w:lineRule="auto"/>
      </w:pPr>
    </w:p>
  </w:footnote>
  <w:footnote w:id="2">
    <w:p w:rsidR="007D619F" w:rsidRDefault="007D619F" w14:paraId="7BFC9D69" w14:textId="4E97DE08">
      <w:pPr>
        <w:pStyle w:val="FootnoteText"/>
      </w:pPr>
      <w:r>
        <w:rPr>
          <w:rStyle w:val="FootnoteReference"/>
        </w:rPr>
        <w:footnoteRef/>
      </w:r>
      <w:r>
        <w:t xml:space="preserve"> </w:t>
      </w:r>
      <w:r>
        <w:tab/>
      </w:r>
      <w:r w:rsidRPr="007D619F">
        <w:t>That is, the connection between the health of the natural environment and its ability to sustain life and the interconnectedness of all parts of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DE7BF8" w:rsidR="00DE7BF8" w:rsidP="009F1D7F" w:rsidRDefault="009F1D7F" w14:paraId="66884592" w14:textId="77777777">
    <w:pPr>
      <w:pStyle w:val="Header"/>
    </w:pPr>
    <w:r>
      <w:rPr>
        <w:noProof/>
      </w:rPr>
      <w:drawing>
        <wp:inline distT="0" distB="0" distL="0" distR="0" wp14:anchorId="4C86D291" wp14:editId="6B48F3B8">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F0168" w:rsidR="00E5210B" w:rsidP="007F0168" w:rsidRDefault="00E5210B" w14:paraId="72F6A9F6" w14:textId="116A3D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210B" w:rsidRDefault="00E5210B" w14:paraId="552DB2D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F0168" w:rsidR="007F0168" w:rsidP="00FB49C5" w:rsidRDefault="00FB49C5" w14:paraId="1EDD6537" w14:textId="37C14742">
    <w:pPr>
      <w:pStyle w:val="Header"/>
      <w:jc w:val="right"/>
      <w:rPr>
        <w:lang w:val="en-US"/>
      </w:rPr>
    </w:pPr>
    <w:r>
      <w:rPr>
        <w:lang w:val="en-US"/>
      </w:rPr>
      <w:t>Aotearoa New Zealand’s new resource management system</w:t>
    </w:r>
    <w:r w:rsidR="00FB3D5E">
      <w:rPr>
        <w:lang w:val="en-US"/>
      </w:rPr>
      <w:t xml:space="preserve"> -</w:t>
    </w:r>
    <w:r w:rsidR="00B66A39">
      <w:rPr>
        <w:lang w:val="en-US"/>
      </w:rPr>
      <w:br/>
    </w:r>
    <w:r>
      <w:rPr>
        <w:lang w:val="en-US"/>
      </w:rPr>
      <w:t>Summary of developing the transitional National Planning Framework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DE3DB0" w:rsidR="003B6490" w:rsidP="003B6490" w:rsidRDefault="00FB3D5E" w14:paraId="1975AFFA" w14:textId="387EC77D">
    <w:pPr>
      <w:pStyle w:val="Header"/>
      <w:jc w:val="right"/>
      <w:rPr>
        <w:lang w:val="en-US"/>
      </w:rPr>
    </w:pPr>
    <w:r>
      <w:rPr>
        <w:lang w:val="en-US"/>
      </w:rPr>
      <w:t>Aotearoa New Zealand’s new resource management system -</w:t>
    </w:r>
    <w:r>
      <w:rPr>
        <w:lang w:val="en-US"/>
      </w:rPr>
      <w:br/>
    </w:r>
    <w:r>
      <w:rPr>
        <w:lang w:val="en-US"/>
      </w:rPr>
      <w:t>Summary of developing the transitional National Planning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hint="default" w:ascii="Symbol" w:hAnsi="Symbol"/>
        <w:color w:val="0F7B7D"/>
        <w:sz w:val="20"/>
        <w:szCs w:val="20"/>
      </w:r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hint="default" w:ascii="Symbol" w:hAnsi="Symbol"/>
      </w:rPr>
    </w:lvl>
  </w:abstractNum>
  <w:abstractNum w:abstractNumId="5" w15:restartNumberingAfterBreak="0">
    <w:nsid w:val="20115441"/>
    <w:multiLevelType w:val="multilevel"/>
    <w:tmpl w:val="45DECC76"/>
    <w:lvl w:ilvl="0">
      <w:start w:val="1"/>
      <w:numFmt w:val="decimal"/>
      <w:lvlText w:val="%1."/>
      <w:lvlJc w:val="left"/>
      <w:pPr>
        <w:ind w:left="0" w:firstLine="397"/>
      </w:pPr>
      <w:rPr>
        <w:rFonts w:hint="default" w:ascii="Calibri" w:hAnsi="Calibri" w:cs="Arial"/>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7" w15:restartNumberingAfterBreak="0">
    <w:nsid w:val="208C5CF5"/>
    <w:multiLevelType w:val="hybridMultilevel"/>
    <w:tmpl w:val="93E2CFE2"/>
    <w:lvl w:ilvl="0" w:tplc="C6E6D92E">
      <w:start w:val="1"/>
      <w:numFmt w:val="lowerLetter"/>
      <w:pStyle w:val="Sub-lista"/>
      <w:lvlText w:val="(%1)"/>
      <w:lvlJc w:val="left"/>
      <w:pPr>
        <w:ind w:left="757" w:hanging="360"/>
      </w:pPr>
      <w:rPr>
        <w:rFonts w:hint="default" w:ascii="Calibri" w:hAnsi="Calibri"/>
        <w:b w:val="0"/>
        <w:i w:val="0"/>
        <w:sz w:val="24"/>
        <w:szCs w:val="24"/>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2D1A6BE2"/>
    <w:multiLevelType w:val="multilevel"/>
    <w:tmpl w:val="CF9E8FBC"/>
    <w:lvl w:ilvl="0">
      <w:start w:val="1"/>
      <w:numFmt w:val="decimal"/>
      <w:pStyle w:val="Numberedparagraph"/>
      <w:lvlText w:val="%1."/>
      <w:lvlJc w:val="left"/>
      <w:pPr>
        <w:ind w:left="397" w:hanging="397"/>
      </w:pPr>
      <w:rPr>
        <w:rFonts w:hint="default" w:ascii="Calibri" w:hAnsi="Calibri" w:cs="Arial"/>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3D465A16"/>
    <w:multiLevelType w:val="multilevel"/>
    <w:tmpl w:val="2424F7B6"/>
    <w:lvl w:ilvl="0">
      <w:start w:val="1"/>
      <w:numFmt w:val="bullet"/>
      <w:pStyle w:val="Bullet"/>
      <w:lvlText w:val=""/>
      <w:lvlJc w:val="left"/>
      <w:pPr>
        <w:tabs>
          <w:tab w:val="num" w:pos="39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427701FB"/>
    <w:multiLevelType w:val="multilevel"/>
    <w:tmpl w:val="C622AE48"/>
    <w:lvl w:ilvl="0">
      <w:start w:val="1"/>
      <w:numFmt w:val="bullet"/>
      <w:pStyle w:val="Sub-list"/>
      <w:lvlText w:val=""/>
      <w:lvlJc w:val="left"/>
      <w:pPr>
        <w:tabs>
          <w:tab w:val="num" w:pos="397"/>
        </w:tabs>
        <w:ind w:left="794" w:hanging="397"/>
      </w:pPr>
      <w:rPr>
        <w:rFonts w:hint="default" w:ascii="Symbol" w:hAnsi="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hint="default" w:ascii="Symbol" w:hAnsi="Symbol"/>
        <w:sz w:val="16"/>
        <w:szCs w:val="16"/>
      </w:rPr>
    </w:lvl>
    <w:lvl w:ilvl="1" w:tplc="14090003">
      <w:numFmt w:val="bullet"/>
      <w:lvlText w:val="-"/>
      <w:lvlJc w:val="left"/>
      <w:pPr>
        <w:ind w:left="1440" w:hanging="360"/>
      </w:pPr>
      <w:rPr>
        <w:rFonts w:hint="default" w:ascii="Calibri" w:hAnsi="Calibri" w:eastAsiaTheme="minorEastAsia" w:cstheme="minorBidi"/>
      </w:rPr>
    </w:lvl>
    <w:lvl w:ilvl="2" w:tplc="14090005" w:tentative="1">
      <w:start w:val="1"/>
      <w:numFmt w:val="bullet"/>
      <w:lvlText w:val=""/>
      <w:lvlJc w:val="left"/>
      <w:pPr>
        <w:tabs>
          <w:tab w:val="num" w:pos="2160"/>
        </w:tabs>
        <w:ind w:left="2160" w:hanging="360"/>
      </w:pPr>
      <w:rPr>
        <w:rFonts w:hint="default" w:ascii="Wingdings" w:hAnsi="Wingdings"/>
      </w:rPr>
    </w:lvl>
    <w:lvl w:ilvl="3" w:tplc="14090001" w:tentative="1">
      <w:start w:val="1"/>
      <w:numFmt w:val="bullet"/>
      <w:lvlText w:val=""/>
      <w:lvlJc w:val="left"/>
      <w:pPr>
        <w:tabs>
          <w:tab w:val="num" w:pos="2880"/>
        </w:tabs>
        <w:ind w:left="2880" w:hanging="360"/>
      </w:pPr>
      <w:rPr>
        <w:rFonts w:hint="default" w:ascii="Symbol" w:hAnsi="Symbol"/>
      </w:rPr>
    </w:lvl>
    <w:lvl w:ilvl="4" w:tplc="14090003" w:tentative="1">
      <w:start w:val="1"/>
      <w:numFmt w:val="bullet"/>
      <w:lvlText w:val="o"/>
      <w:lvlJc w:val="left"/>
      <w:pPr>
        <w:tabs>
          <w:tab w:val="num" w:pos="3600"/>
        </w:tabs>
        <w:ind w:left="3600" w:hanging="360"/>
      </w:pPr>
      <w:rPr>
        <w:rFonts w:hint="default" w:ascii="Courier New" w:hAnsi="Courier New" w:cs="Courier New"/>
      </w:rPr>
    </w:lvl>
    <w:lvl w:ilvl="5" w:tplc="14090005" w:tentative="1">
      <w:start w:val="1"/>
      <w:numFmt w:val="bullet"/>
      <w:lvlText w:val=""/>
      <w:lvlJc w:val="left"/>
      <w:pPr>
        <w:tabs>
          <w:tab w:val="num" w:pos="4320"/>
        </w:tabs>
        <w:ind w:left="4320" w:hanging="360"/>
      </w:pPr>
      <w:rPr>
        <w:rFonts w:hint="default" w:ascii="Wingdings" w:hAnsi="Wingdings"/>
      </w:rPr>
    </w:lvl>
    <w:lvl w:ilvl="6" w:tplc="14090001" w:tentative="1">
      <w:start w:val="1"/>
      <w:numFmt w:val="bullet"/>
      <w:lvlText w:val=""/>
      <w:lvlJc w:val="left"/>
      <w:pPr>
        <w:tabs>
          <w:tab w:val="num" w:pos="5040"/>
        </w:tabs>
        <w:ind w:left="5040" w:hanging="360"/>
      </w:pPr>
      <w:rPr>
        <w:rFonts w:hint="default" w:ascii="Symbol" w:hAnsi="Symbol"/>
      </w:rPr>
    </w:lvl>
    <w:lvl w:ilvl="7" w:tplc="14090003" w:tentative="1">
      <w:start w:val="1"/>
      <w:numFmt w:val="bullet"/>
      <w:lvlText w:val="o"/>
      <w:lvlJc w:val="left"/>
      <w:pPr>
        <w:tabs>
          <w:tab w:val="num" w:pos="5760"/>
        </w:tabs>
        <w:ind w:left="5760" w:hanging="360"/>
      </w:pPr>
      <w:rPr>
        <w:rFonts w:hint="default" w:ascii="Courier New" w:hAnsi="Courier New" w:cs="Courier New"/>
      </w:rPr>
    </w:lvl>
    <w:lvl w:ilvl="8" w:tplc="1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63D6104"/>
    <w:multiLevelType w:val="hybridMultilevel"/>
    <w:tmpl w:val="F16C74E8"/>
    <w:lvl w:ilvl="0" w:tplc="890639D8">
      <w:start w:val="1"/>
      <w:numFmt w:val="lowerRoman"/>
      <w:pStyle w:val="Sub-listi"/>
      <w:lvlText w:val="%1."/>
      <w:lvlJc w:val="left"/>
      <w:pPr>
        <w:tabs>
          <w:tab w:val="num" w:pos="794"/>
        </w:tabs>
        <w:ind w:left="794" w:hanging="397"/>
      </w:pPr>
      <w:rPr>
        <w:rFonts w:hint="default" w:ascii="Calibri" w:hAnsi="Calibri" w:cs="Calibri"/>
        <w:b w:val="0"/>
        <w:i w:val="0"/>
        <w:sz w:val="24"/>
        <w:szCs w:val="24"/>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50261B04"/>
    <w:multiLevelType w:val="multilevel"/>
    <w:tmpl w:val="126ACFB6"/>
    <w:lvl w:ilvl="0">
      <w:start w:val="1"/>
      <w:numFmt w:val="decimal"/>
      <w:pStyle w:val="Figureheading"/>
      <w:lvlText w:val="Figure %1:"/>
      <w:lvlJc w:val="left"/>
      <w:pPr>
        <w:ind w:left="964" w:hanging="964"/>
      </w:pPr>
      <w:rPr>
        <w:rFonts w:hint="default" w:ascii="Calibri" w:hAnsi="Calibri"/>
        <w:b/>
        <w:i w:val="0"/>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3535234"/>
    <w:multiLevelType w:val="singleLevel"/>
    <w:tmpl w:val="DE5AE08C"/>
    <w:lvl w:ilvl="0">
      <w:start w:val="1"/>
      <w:numFmt w:val="bullet"/>
      <w:pStyle w:val="Boxbullet"/>
      <w:lvlText w:val=""/>
      <w:lvlJc w:val="left"/>
      <w:pPr>
        <w:ind w:left="644" w:hanging="360"/>
      </w:pPr>
      <w:rPr>
        <w:rFonts w:hint="default" w:ascii="Symbol" w:hAnsi="Symbol"/>
        <w:color w:val="1B556B"/>
        <w:sz w:val="16"/>
      </w:rPr>
    </w:lvl>
  </w:abstractNum>
  <w:abstractNum w:abstractNumId="26" w15:restartNumberingAfterBreak="0">
    <w:nsid w:val="57A6321C"/>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5A3B4A45"/>
    <w:multiLevelType w:val="hybridMultilevel"/>
    <w:tmpl w:val="E4A429C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8" w15:restartNumberingAfterBreak="0">
    <w:nsid w:val="60A85754"/>
    <w:multiLevelType w:val="multilevel"/>
    <w:tmpl w:val="AD820754"/>
    <w:lvl w:ilvl="0">
      <w:start w:val="1"/>
      <w:numFmt w:val="decimal"/>
      <w:pStyle w:val="Tableheading"/>
      <w:lvlText w:val="Table %1:"/>
      <w:lvlJc w:val="left"/>
      <w:pPr>
        <w:ind w:left="964" w:hanging="964"/>
      </w:pPr>
      <w:rPr>
        <w:rFonts w:hint="default" w:ascii="Calibri" w:hAnsi="Calibri"/>
        <w:b/>
        <w:i w:val="0"/>
        <w:color w:val="auto"/>
        <w:sz w:val="22"/>
        <w:szCs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hint="default" w:ascii="Symbol" w:hAnsi="Symbol"/>
      </w:rPr>
    </w:lvl>
    <w:lvl w:ilvl="1" w:tplc="326CB890" w:tentative="1">
      <w:start w:val="1"/>
      <w:numFmt w:val="bullet"/>
      <w:lvlText w:val="o"/>
      <w:lvlJc w:val="left"/>
      <w:pPr>
        <w:ind w:left="1440" w:hanging="360"/>
      </w:pPr>
      <w:rPr>
        <w:rFonts w:hint="default" w:ascii="Courier New" w:hAnsi="Courier New" w:cs="Courier New"/>
      </w:rPr>
    </w:lvl>
    <w:lvl w:ilvl="2" w:tplc="03926F58" w:tentative="1">
      <w:start w:val="1"/>
      <w:numFmt w:val="bullet"/>
      <w:lvlText w:val=""/>
      <w:lvlJc w:val="left"/>
      <w:pPr>
        <w:ind w:left="2160" w:hanging="360"/>
      </w:pPr>
      <w:rPr>
        <w:rFonts w:hint="default" w:ascii="Wingdings" w:hAnsi="Wingdings"/>
      </w:rPr>
    </w:lvl>
    <w:lvl w:ilvl="3" w:tplc="F5ECFB66" w:tentative="1">
      <w:start w:val="1"/>
      <w:numFmt w:val="bullet"/>
      <w:lvlText w:val=""/>
      <w:lvlJc w:val="left"/>
      <w:pPr>
        <w:ind w:left="2880" w:hanging="360"/>
      </w:pPr>
      <w:rPr>
        <w:rFonts w:hint="default" w:ascii="Symbol" w:hAnsi="Symbol"/>
      </w:rPr>
    </w:lvl>
    <w:lvl w:ilvl="4" w:tplc="20B07310" w:tentative="1">
      <w:start w:val="1"/>
      <w:numFmt w:val="bullet"/>
      <w:lvlText w:val="o"/>
      <w:lvlJc w:val="left"/>
      <w:pPr>
        <w:ind w:left="3600" w:hanging="360"/>
      </w:pPr>
      <w:rPr>
        <w:rFonts w:hint="default" w:ascii="Courier New" w:hAnsi="Courier New" w:cs="Courier New"/>
      </w:rPr>
    </w:lvl>
    <w:lvl w:ilvl="5" w:tplc="94B42C86" w:tentative="1">
      <w:start w:val="1"/>
      <w:numFmt w:val="bullet"/>
      <w:lvlText w:val=""/>
      <w:lvlJc w:val="left"/>
      <w:pPr>
        <w:ind w:left="4320" w:hanging="360"/>
      </w:pPr>
      <w:rPr>
        <w:rFonts w:hint="default" w:ascii="Wingdings" w:hAnsi="Wingdings"/>
      </w:rPr>
    </w:lvl>
    <w:lvl w:ilvl="6" w:tplc="551A5E58" w:tentative="1">
      <w:start w:val="1"/>
      <w:numFmt w:val="bullet"/>
      <w:lvlText w:val=""/>
      <w:lvlJc w:val="left"/>
      <w:pPr>
        <w:ind w:left="5040" w:hanging="360"/>
      </w:pPr>
      <w:rPr>
        <w:rFonts w:hint="default" w:ascii="Symbol" w:hAnsi="Symbol"/>
      </w:rPr>
    </w:lvl>
    <w:lvl w:ilvl="7" w:tplc="DBBA094A" w:tentative="1">
      <w:start w:val="1"/>
      <w:numFmt w:val="bullet"/>
      <w:lvlText w:val="o"/>
      <w:lvlJc w:val="left"/>
      <w:pPr>
        <w:ind w:left="5760" w:hanging="360"/>
      </w:pPr>
      <w:rPr>
        <w:rFonts w:hint="default" w:ascii="Courier New" w:hAnsi="Courier New" w:cs="Courier New"/>
      </w:rPr>
    </w:lvl>
    <w:lvl w:ilvl="8" w:tplc="A3546D6C" w:tentative="1">
      <w:start w:val="1"/>
      <w:numFmt w:val="bullet"/>
      <w:lvlText w:val=""/>
      <w:lvlJc w:val="left"/>
      <w:pPr>
        <w:ind w:left="6480" w:hanging="360"/>
      </w:pPr>
      <w:rPr>
        <w:rFonts w:hint="default" w:ascii="Wingdings" w:hAnsi="Wingdings"/>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6A894EC1"/>
    <w:multiLevelType w:val="hybridMultilevel"/>
    <w:tmpl w:val="21D412F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hint="default" w:ascii="Calibri" w:hAnsi="Calibri" w:cs="Times New Roman"/>
        <w:color w:val="0F7B7D"/>
        <w:sz w:val="20"/>
      </w:rPr>
    </w:lvl>
    <w:lvl w:ilvl="1" w:tplc="14090003" w:tentative="1">
      <w:start w:val="1"/>
      <w:numFmt w:val="bullet"/>
      <w:lvlText w:val="o"/>
      <w:lvlJc w:val="left"/>
      <w:pPr>
        <w:ind w:left="1724" w:hanging="360"/>
      </w:pPr>
      <w:rPr>
        <w:rFonts w:hint="default" w:ascii="Courier New" w:hAnsi="Courier New" w:cs="Courier New"/>
      </w:rPr>
    </w:lvl>
    <w:lvl w:ilvl="2" w:tplc="14090005" w:tentative="1">
      <w:start w:val="1"/>
      <w:numFmt w:val="bullet"/>
      <w:lvlText w:val=""/>
      <w:lvlJc w:val="left"/>
      <w:pPr>
        <w:ind w:left="2444" w:hanging="360"/>
      </w:pPr>
      <w:rPr>
        <w:rFonts w:hint="default" w:ascii="Wingdings" w:hAnsi="Wingdings"/>
      </w:rPr>
    </w:lvl>
    <w:lvl w:ilvl="3" w:tplc="14090001" w:tentative="1">
      <w:start w:val="1"/>
      <w:numFmt w:val="bullet"/>
      <w:lvlText w:val=""/>
      <w:lvlJc w:val="left"/>
      <w:pPr>
        <w:ind w:left="3164" w:hanging="360"/>
      </w:pPr>
      <w:rPr>
        <w:rFonts w:hint="default" w:ascii="Symbol" w:hAnsi="Symbol"/>
      </w:rPr>
    </w:lvl>
    <w:lvl w:ilvl="4" w:tplc="14090003" w:tentative="1">
      <w:start w:val="1"/>
      <w:numFmt w:val="bullet"/>
      <w:lvlText w:val="o"/>
      <w:lvlJc w:val="left"/>
      <w:pPr>
        <w:ind w:left="3884" w:hanging="360"/>
      </w:pPr>
      <w:rPr>
        <w:rFonts w:hint="default" w:ascii="Courier New" w:hAnsi="Courier New" w:cs="Courier New"/>
      </w:rPr>
    </w:lvl>
    <w:lvl w:ilvl="5" w:tplc="14090005" w:tentative="1">
      <w:start w:val="1"/>
      <w:numFmt w:val="bullet"/>
      <w:lvlText w:val=""/>
      <w:lvlJc w:val="left"/>
      <w:pPr>
        <w:ind w:left="4604" w:hanging="360"/>
      </w:pPr>
      <w:rPr>
        <w:rFonts w:hint="default" w:ascii="Wingdings" w:hAnsi="Wingdings"/>
      </w:rPr>
    </w:lvl>
    <w:lvl w:ilvl="6" w:tplc="14090001" w:tentative="1">
      <w:start w:val="1"/>
      <w:numFmt w:val="bullet"/>
      <w:lvlText w:val=""/>
      <w:lvlJc w:val="left"/>
      <w:pPr>
        <w:ind w:left="5324" w:hanging="360"/>
      </w:pPr>
      <w:rPr>
        <w:rFonts w:hint="default" w:ascii="Symbol" w:hAnsi="Symbol"/>
      </w:rPr>
    </w:lvl>
    <w:lvl w:ilvl="7" w:tplc="14090003" w:tentative="1">
      <w:start w:val="1"/>
      <w:numFmt w:val="bullet"/>
      <w:lvlText w:val="o"/>
      <w:lvlJc w:val="left"/>
      <w:pPr>
        <w:ind w:left="6044" w:hanging="360"/>
      </w:pPr>
      <w:rPr>
        <w:rFonts w:hint="default" w:ascii="Courier New" w:hAnsi="Courier New" w:cs="Courier New"/>
      </w:rPr>
    </w:lvl>
    <w:lvl w:ilvl="8" w:tplc="14090005" w:tentative="1">
      <w:start w:val="1"/>
      <w:numFmt w:val="bullet"/>
      <w:lvlText w:val=""/>
      <w:lvlJc w:val="left"/>
      <w:pPr>
        <w:ind w:left="6764" w:hanging="360"/>
      </w:pPr>
      <w:rPr>
        <w:rFonts w:hint="default" w:ascii="Wingdings" w:hAnsi="Wingdings"/>
      </w:rPr>
    </w:lvl>
  </w:abstractNum>
  <w:abstractNum w:abstractNumId="36" w15:restartNumberingAfterBreak="0">
    <w:nsid w:val="71BC1776"/>
    <w:multiLevelType w:val="multilevel"/>
    <w:tmpl w:val="14090001"/>
    <w:lvl w:ilvl="0">
      <w:start w:val="1"/>
      <w:numFmt w:val="bullet"/>
      <w:lvlText w:val=""/>
      <w:lvlJc w:val="left"/>
      <w:pPr>
        <w:tabs>
          <w:tab w:val="num" w:pos="397"/>
        </w:tabs>
        <w:ind w:left="0"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hint="default" w:ascii="Symbol" w:hAnsi="Symbol"/>
        <w:color w:val="auto"/>
        <w:sz w:val="16"/>
        <w:szCs w:val="16"/>
      </w:rPr>
    </w:lvl>
    <w:lvl w:ilvl="1" w:tplc="66624CCE">
      <w:start w:val="1"/>
      <w:numFmt w:val="bullet"/>
      <w:lvlText w:val="o"/>
      <w:lvlJc w:val="left"/>
      <w:pPr>
        <w:tabs>
          <w:tab w:val="num" w:pos="1440"/>
        </w:tabs>
        <w:ind w:left="1440" w:hanging="360"/>
      </w:pPr>
      <w:rPr>
        <w:rFonts w:hint="default" w:ascii="Courier New" w:hAnsi="Courier New" w:cs="Courier New"/>
      </w:rPr>
    </w:lvl>
    <w:lvl w:ilvl="2" w:tplc="F50EB80C" w:tentative="1">
      <w:start w:val="1"/>
      <w:numFmt w:val="bullet"/>
      <w:lvlText w:val=""/>
      <w:lvlJc w:val="left"/>
      <w:pPr>
        <w:tabs>
          <w:tab w:val="num" w:pos="2160"/>
        </w:tabs>
        <w:ind w:left="2160" w:hanging="360"/>
      </w:pPr>
      <w:rPr>
        <w:rFonts w:hint="default" w:ascii="Wingdings" w:hAnsi="Wingdings"/>
      </w:rPr>
    </w:lvl>
    <w:lvl w:ilvl="3" w:tplc="3662DCF6" w:tentative="1">
      <w:start w:val="1"/>
      <w:numFmt w:val="bullet"/>
      <w:lvlText w:val=""/>
      <w:lvlJc w:val="left"/>
      <w:pPr>
        <w:tabs>
          <w:tab w:val="num" w:pos="2880"/>
        </w:tabs>
        <w:ind w:left="2880" w:hanging="360"/>
      </w:pPr>
      <w:rPr>
        <w:rFonts w:hint="default" w:ascii="Symbol" w:hAnsi="Symbol"/>
      </w:rPr>
    </w:lvl>
    <w:lvl w:ilvl="4" w:tplc="4F909F22" w:tentative="1">
      <w:start w:val="1"/>
      <w:numFmt w:val="bullet"/>
      <w:lvlText w:val="o"/>
      <w:lvlJc w:val="left"/>
      <w:pPr>
        <w:tabs>
          <w:tab w:val="num" w:pos="3600"/>
        </w:tabs>
        <w:ind w:left="3600" w:hanging="360"/>
      </w:pPr>
      <w:rPr>
        <w:rFonts w:hint="default" w:ascii="Courier New" w:hAnsi="Courier New" w:cs="Courier New"/>
      </w:rPr>
    </w:lvl>
    <w:lvl w:ilvl="5" w:tplc="6D8E5B5C" w:tentative="1">
      <w:start w:val="1"/>
      <w:numFmt w:val="bullet"/>
      <w:lvlText w:val=""/>
      <w:lvlJc w:val="left"/>
      <w:pPr>
        <w:tabs>
          <w:tab w:val="num" w:pos="4320"/>
        </w:tabs>
        <w:ind w:left="4320" w:hanging="360"/>
      </w:pPr>
      <w:rPr>
        <w:rFonts w:hint="default" w:ascii="Wingdings" w:hAnsi="Wingdings"/>
      </w:rPr>
    </w:lvl>
    <w:lvl w:ilvl="6" w:tplc="430447C8" w:tentative="1">
      <w:start w:val="1"/>
      <w:numFmt w:val="bullet"/>
      <w:lvlText w:val=""/>
      <w:lvlJc w:val="left"/>
      <w:pPr>
        <w:tabs>
          <w:tab w:val="num" w:pos="5040"/>
        </w:tabs>
        <w:ind w:left="5040" w:hanging="360"/>
      </w:pPr>
      <w:rPr>
        <w:rFonts w:hint="default" w:ascii="Symbol" w:hAnsi="Symbol"/>
      </w:rPr>
    </w:lvl>
    <w:lvl w:ilvl="7" w:tplc="489CDFD4" w:tentative="1">
      <w:start w:val="1"/>
      <w:numFmt w:val="bullet"/>
      <w:lvlText w:val="o"/>
      <w:lvlJc w:val="left"/>
      <w:pPr>
        <w:tabs>
          <w:tab w:val="num" w:pos="5760"/>
        </w:tabs>
        <w:ind w:left="5760" w:hanging="360"/>
      </w:pPr>
      <w:rPr>
        <w:rFonts w:hint="default" w:ascii="Courier New" w:hAnsi="Courier New" w:cs="Courier New"/>
      </w:rPr>
    </w:lvl>
    <w:lvl w:ilvl="8" w:tplc="5FD01C96"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69C1A17"/>
    <w:multiLevelType w:val="hybridMultilevel"/>
    <w:tmpl w:val="6A444FD8"/>
    <w:lvl w:ilvl="0" w:tplc="10E811A0">
      <w:numFmt w:val="bullet"/>
      <w:lvlText w:val="•"/>
      <w:lvlJc w:val="left"/>
      <w:pPr>
        <w:ind w:left="750" w:hanging="390"/>
      </w:pPr>
      <w:rPr>
        <w:rFonts w:hint="default" w:ascii="Calibri" w:hAnsi="Calibri" w:cs="Calibri"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9" w15:restartNumberingAfterBreak="0">
    <w:nsid w:val="7E4D254A"/>
    <w:multiLevelType w:val="singleLevel"/>
    <w:tmpl w:val="4BDCAC54"/>
    <w:lvl w:ilvl="0">
      <w:start w:val="1"/>
      <w:numFmt w:val="bullet"/>
      <w:lvlText w:val=""/>
      <w:lvlJc w:val="left"/>
      <w:pPr>
        <w:tabs>
          <w:tab w:val="num" w:pos="567"/>
        </w:tabs>
        <w:ind w:left="567" w:hanging="567"/>
      </w:pPr>
      <w:rPr>
        <w:rFonts w:hint="default" w:ascii="Symbol" w:hAnsi="Symbol"/>
        <w:color w:val="auto"/>
        <w:sz w:val="18"/>
        <w:szCs w:val="20"/>
      </w:rPr>
    </w:lvl>
  </w:abstractNum>
  <w:num w:numId="1" w16cid:durableId="724991209">
    <w:abstractNumId w:val="14"/>
  </w:num>
  <w:num w:numId="2" w16cid:durableId="1993177408">
    <w:abstractNumId w:val="25"/>
  </w:num>
  <w:num w:numId="3" w16cid:durableId="1224297666">
    <w:abstractNumId w:val="39"/>
  </w:num>
  <w:num w:numId="4" w16cid:durableId="519121977">
    <w:abstractNumId w:val="19"/>
  </w:num>
  <w:num w:numId="5" w16cid:durableId="892697383">
    <w:abstractNumId w:val="12"/>
  </w:num>
  <w:num w:numId="6" w16cid:durableId="593051814">
    <w:abstractNumId w:val="7"/>
  </w:num>
  <w:num w:numId="7" w16cid:durableId="426385153">
    <w:abstractNumId w:val="22"/>
  </w:num>
  <w:num w:numId="8" w16cid:durableId="21824987">
    <w:abstractNumId w:val="21"/>
  </w:num>
  <w:num w:numId="9" w16cid:durableId="621115200">
    <w:abstractNumId w:val="37"/>
  </w:num>
  <w:num w:numId="10" w16cid:durableId="539322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5634280">
    <w:abstractNumId w:val="1"/>
  </w:num>
  <w:num w:numId="12" w16cid:durableId="1800025069">
    <w:abstractNumId w:val="30"/>
  </w:num>
  <w:num w:numId="13" w16cid:durableId="2099907324">
    <w:abstractNumId w:val="11"/>
  </w:num>
  <w:num w:numId="14" w16cid:durableId="1450511358">
    <w:abstractNumId w:val="33"/>
  </w:num>
  <w:num w:numId="15" w16cid:durableId="1962492666">
    <w:abstractNumId w:val="20"/>
  </w:num>
  <w:num w:numId="16" w16cid:durableId="1703896171">
    <w:abstractNumId w:val="10"/>
  </w:num>
  <w:num w:numId="17" w16cid:durableId="763958797">
    <w:abstractNumId w:val="31"/>
  </w:num>
  <w:num w:numId="18" w16cid:durableId="492185951">
    <w:abstractNumId w:val="26"/>
  </w:num>
  <w:num w:numId="19" w16cid:durableId="671487379">
    <w:abstractNumId w:val="34"/>
  </w:num>
  <w:num w:numId="20" w16cid:durableId="1892689380">
    <w:abstractNumId w:val="13"/>
  </w:num>
  <w:num w:numId="21" w16cid:durableId="872350038">
    <w:abstractNumId w:val="27"/>
  </w:num>
  <w:num w:numId="22" w16cid:durableId="1002977356">
    <w:abstractNumId w:val="4"/>
  </w:num>
  <w:num w:numId="23" w16cid:durableId="1305620454">
    <w:abstractNumId w:val="23"/>
  </w:num>
  <w:num w:numId="24" w16cid:durableId="1424648457">
    <w:abstractNumId w:val="15"/>
  </w:num>
  <w:num w:numId="25" w16cid:durableId="808128853">
    <w:abstractNumId w:val="36"/>
  </w:num>
  <w:num w:numId="26" w16cid:durableId="1278946113">
    <w:abstractNumId w:val="29"/>
  </w:num>
  <w:num w:numId="27" w16cid:durableId="1062748675">
    <w:abstractNumId w:val="0"/>
  </w:num>
  <w:num w:numId="28" w16cid:durableId="913508667">
    <w:abstractNumId w:val="17"/>
  </w:num>
  <w:num w:numId="29" w16cid:durableId="1332173046">
    <w:abstractNumId w:val="8"/>
  </w:num>
  <w:num w:numId="30" w16cid:durableId="1007830588">
    <w:abstractNumId w:val="3"/>
  </w:num>
  <w:num w:numId="31" w16cid:durableId="33772961">
    <w:abstractNumId w:val="2"/>
  </w:num>
  <w:num w:numId="32" w16cid:durableId="1521817060">
    <w:abstractNumId w:val="5"/>
  </w:num>
  <w:num w:numId="33" w16cid:durableId="1090466685">
    <w:abstractNumId w:val="9"/>
  </w:num>
  <w:num w:numId="34" w16cid:durableId="1016423024">
    <w:abstractNumId w:val="18"/>
  </w:num>
  <w:num w:numId="35" w16cid:durableId="1312442715">
    <w:abstractNumId w:val="16"/>
  </w:num>
  <w:num w:numId="36" w16cid:durableId="2066682530">
    <w:abstractNumId w:val="6"/>
  </w:num>
  <w:num w:numId="37" w16cid:durableId="1095243796">
    <w:abstractNumId w:val="35"/>
  </w:num>
  <w:num w:numId="38" w16cid:durableId="1678389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848726">
    <w:abstractNumId w:val="28"/>
  </w:num>
  <w:num w:numId="40" w16cid:durableId="1013845321">
    <w:abstractNumId w:val="24"/>
  </w:num>
  <w:num w:numId="41" w16cid:durableId="478035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13529634">
    <w:abstractNumId w:val="32"/>
  </w:num>
  <w:num w:numId="43" w16cid:durableId="762917961">
    <w:abstractNumId w:val="38"/>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50"/>
  <w:removeDateAndTime/>
  <w:proofState w:spelling="clean" w:grammar="clean"/>
  <w:attachedTemplate r:id="rId1"/>
  <w:trackRevisions/>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F6"/>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2D5"/>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3535"/>
    <w:rsid w:val="000640F0"/>
    <w:rsid w:val="0006434D"/>
    <w:rsid w:val="000643A1"/>
    <w:rsid w:val="00064679"/>
    <w:rsid w:val="00064A13"/>
    <w:rsid w:val="00064AF4"/>
    <w:rsid w:val="00064DB1"/>
    <w:rsid w:val="00065BA3"/>
    <w:rsid w:val="00065D3B"/>
    <w:rsid w:val="00065DD9"/>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4007"/>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0172"/>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52B1"/>
    <w:rsid w:val="000B66DC"/>
    <w:rsid w:val="000B6D1F"/>
    <w:rsid w:val="000C062F"/>
    <w:rsid w:val="000C17E7"/>
    <w:rsid w:val="000C3270"/>
    <w:rsid w:val="000C336B"/>
    <w:rsid w:val="000C577E"/>
    <w:rsid w:val="000D018E"/>
    <w:rsid w:val="000D0286"/>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DD5"/>
    <w:rsid w:val="000D5FD6"/>
    <w:rsid w:val="000D6201"/>
    <w:rsid w:val="000D6488"/>
    <w:rsid w:val="000D7088"/>
    <w:rsid w:val="000D764D"/>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66CE"/>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585D"/>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9E"/>
    <w:rsid w:val="00116ACF"/>
    <w:rsid w:val="00116D5C"/>
    <w:rsid w:val="001172B2"/>
    <w:rsid w:val="00117F9B"/>
    <w:rsid w:val="00121211"/>
    <w:rsid w:val="00121628"/>
    <w:rsid w:val="0012167D"/>
    <w:rsid w:val="00122189"/>
    <w:rsid w:val="00122280"/>
    <w:rsid w:val="00122D42"/>
    <w:rsid w:val="00123345"/>
    <w:rsid w:val="00123A0D"/>
    <w:rsid w:val="00123C46"/>
    <w:rsid w:val="00123CC2"/>
    <w:rsid w:val="0012470B"/>
    <w:rsid w:val="00125C75"/>
    <w:rsid w:val="00125C7E"/>
    <w:rsid w:val="0012681F"/>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FEF"/>
    <w:rsid w:val="00142767"/>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0517"/>
    <w:rsid w:val="00171449"/>
    <w:rsid w:val="0017199C"/>
    <w:rsid w:val="00171C7E"/>
    <w:rsid w:val="00171F35"/>
    <w:rsid w:val="00172552"/>
    <w:rsid w:val="00172873"/>
    <w:rsid w:val="00172CF7"/>
    <w:rsid w:val="0017319E"/>
    <w:rsid w:val="00173A1F"/>
    <w:rsid w:val="00173BC3"/>
    <w:rsid w:val="00174128"/>
    <w:rsid w:val="00175C34"/>
    <w:rsid w:val="00175F9A"/>
    <w:rsid w:val="001762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6E81"/>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6F5E"/>
    <w:rsid w:val="001B7144"/>
    <w:rsid w:val="001B7E91"/>
    <w:rsid w:val="001C11E3"/>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B8B"/>
    <w:rsid w:val="001D7DEE"/>
    <w:rsid w:val="001E02CB"/>
    <w:rsid w:val="001E1093"/>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2D4C"/>
    <w:rsid w:val="00214EA2"/>
    <w:rsid w:val="00215223"/>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EFD"/>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80"/>
    <w:rsid w:val="002471E5"/>
    <w:rsid w:val="002517A8"/>
    <w:rsid w:val="00251D50"/>
    <w:rsid w:val="00251EEE"/>
    <w:rsid w:val="00253177"/>
    <w:rsid w:val="00253491"/>
    <w:rsid w:val="002538B8"/>
    <w:rsid w:val="0025396F"/>
    <w:rsid w:val="00254319"/>
    <w:rsid w:val="0025539F"/>
    <w:rsid w:val="00256388"/>
    <w:rsid w:val="00256E44"/>
    <w:rsid w:val="00257BAC"/>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02FA"/>
    <w:rsid w:val="00272174"/>
    <w:rsid w:val="002721A6"/>
    <w:rsid w:val="002722E0"/>
    <w:rsid w:val="002730EC"/>
    <w:rsid w:val="00273100"/>
    <w:rsid w:val="002735CC"/>
    <w:rsid w:val="00273A9E"/>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4"/>
    <w:rsid w:val="002B4778"/>
    <w:rsid w:val="002B5A87"/>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67A"/>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943"/>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28F"/>
    <w:rsid w:val="00300369"/>
    <w:rsid w:val="00301D0A"/>
    <w:rsid w:val="003027B8"/>
    <w:rsid w:val="003028EC"/>
    <w:rsid w:val="0030293F"/>
    <w:rsid w:val="00302947"/>
    <w:rsid w:val="00302C50"/>
    <w:rsid w:val="003031C2"/>
    <w:rsid w:val="00303861"/>
    <w:rsid w:val="003045A8"/>
    <w:rsid w:val="0030488C"/>
    <w:rsid w:val="00304FFF"/>
    <w:rsid w:val="00305557"/>
    <w:rsid w:val="0030561F"/>
    <w:rsid w:val="00305CA3"/>
    <w:rsid w:val="00306E5C"/>
    <w:rsid w:val="00307C19"/>
    <w:rsid w:val="003105F8"/>
    <w:rsid w:val="00310732"/>
    <w:rsid w:val="00310BC9"/>
    <w:rsid w:val="00311762"/>
    <w:rsid w:val="00311E98"/>
    <w:rsid w:val="00312215"/>
    <w:rsid w:val="0031249C"/>
    <w:rsid w:val="003125C3"/>
    <w:rsid w:val="00312896"/>
    <w:rsid w:val="00312F3A"/>
    <w:rsid w:val="003130A3"/>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030F"/>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B6C"/>
    <w:rsid w:val="0035151C"/>
    <w:rsid w:val="00352050"/>
    <w:rsid w:val="00352254"/>
    <w:rsid w:val="003522A3"/>
    <w:rsid w:val="00353929"/>
    <w:rsid w:val="00353F9E"/>
    <w:rsid w:val="003540D1"/>
    <w:rsid w:val="003545BF"/>
    <w:rsid w:val="003555EA"/>
    <w:rsid w:val="0035586A"/>
    <w:rsid w:val="0035611A"/>
    <w:rsid w:val="00356C3D"/>
    <w:rsid w:val="00360B75"/>
    <w:rsid w:val="00360F94"/>
    <w:rsid w:val="0036151C"/>
    <w:rsid w:val="00361A9B"/>
    <w:rsid w:val="00362CCF"/>
    <w:rsid w:val="003631DB"/>
    <w:rsid w:val="00364524"/>
    <w:rsid w:val="0036513A"/>
    <w:rsid w:val="00365237"/>
    <w:rsid w:val="0036559C"/>
    <w:rsid w:val="0036587E"/>
    <w:rsid w:val="003660CD"/>
    <w:rsid w:val="00366AC2"/>
    <w:rsid w:val="00366B08"/>
    <w:rsid w:val="00366DDA"/>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5ACC"/>
    <w:rsid w:val="0038620B"/>
    <w:rsid w:val="00386E54"/>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1B1"/>
    <w:rsid w:val="003A337C"/>
    <w:rsid w:val="003A36DA"/>
    <w:rsid w:val="003A38F1"/>
    <w:rsid w:val="003A3D1B"/>
    <w:rsid w:val="003A3F39"/>
    <w:rsid w:val="003A4296"/>
    <w:rsid w:val="003A4549"/>
    <w:rsid w:val="003A465E"/>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977"/>
    <w:rsid w:val="003B5BD9"/>
    <w:rsid w:val="003B6490"/>
    <w:rsid w:val="003B64A3"/>
    <w:rsid w:val="003B6DB8"/>
    <w:rsid w:val="003B72B9"/>
    <w:rsid w:val="003C0887"/>
    <w:rsid w:val="003C08AF"/>
    <w:rsid w:val="003C2EDD"/>
    <w:rsid w:val="003C3220"/>
    <w:rsid w:val="003C3A47"/>
    <w:rsid w:val="003C3A79"/>
    <w:rsid w:val="003C48F2"/>
    <w:rsid w:val="003C5177"/>
    <w:rsid w:val="003C52B0"/>
    <w:rsid w:val="003C5881"/>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3D9"/>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9FF"/>
    <w:rsid w:val="00412D42"/>
    <w:rsid w:val="00412DA4"/>
    <w:rsid w:val="00412EB6"/>
    <w:rsid w:val="004133D0"/>
    <w:rsid w:val="0041351F"/>
    <w:rsid w:val="004137C8"/>
    <w:rsid w:val="00413BF9"/>
    <w:rsid w:val="00413C25"/>
    <w:rsid w:val="00415531"/>
    <w:rsid w:val="00416330"/>
    <w:rsid w:val="0041738F"/>
    <w:rsid w:val="004176C7"/>
    <w:rsid w:val="00417877"/>
    <w:rsid w:val="00417D9F"/>
    <w:rsid w:val="00420229"/>
    <w:rsid w:val="00420DBA"/>
    <w:rsid w:val="00421311"/>
    <w:rsid w:val="00422575"/>
    <w:rsid w:val="00422E13"/>
    <w:rsid w:val="00423238"/>
    <w:rsid w:val="0042350F"/>
    <w:rsid w:val="00423599"/>
    <w:rsid w:val="0042384C"/>
    <w:rsid w:val="00423893"/>
    <w:rsid w:val="00423BC9"/>
    <w:rsid w:val="004255B4"/>
    <w:rsid w:val="00426766"/>
    <w:rsid w:val="004267D0"/>
    <w:rsid w:val="004268F6"/>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901"/>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85A"/>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09F"/>
    <w:rsid w:val="00485C26"/>
    <w:rsid w:val="00485EC0"/>
    <w:rsid w:val="004875E1"/>
    <w:rsid w:val="00487B37"/>
    <w:rsid w:val="00490636"/>
    <w:rsid w:val="00490FF0"/>
    <w:rsid w:val="004910FE"/>
    <w:rsid w:val="00491198"/>
    <w:rsid w:val="004917E0"/>
    <w:rsid w:val="00491BF6"/>
    <w:rsid w:val="00491FED"/>
    <w:rsid w:val="00492E2A"/>
    <w:rsid w:val="00492F82"/>
    <w:rsid w:val="004943C2"/>
    <w:rsid w:val="00494918"/>
    <w:rsid w:val="00494C65"/>
    <w:rsid w:val="00494F0C"/>
    <w:rsid w:val="00495557"/>
    <w:rsid w:val="0049618D"/>
    <w:rsid w:val="004965EF"/>
    <w:rsid w:val="0049719D"/>
    <w:rsid w:val="00497FCD"/>
    <w:rsid w:val="004A09FE"/>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50A0"/>
    <w:rsid w:val="004A6991"/>
    <w:rsid w:val="004B1199"/>
    <w:rsid w:val="004B16C4"/>
    <w:rsid w:val="004B1867"/>
    <w:rsid w:val="004B2734"/>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692"/>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29B"/>
    <w:rsid w:val="0051754D"/>
    <w:rsid w:val="0051785D"/>
    <w:rsid w:val="00517913"/>
    <w:rsid w:val="00517BFD"/>
    <w:rsid w:val="0052005F"/>
    <w:rsid w:val="00520200"/>
    <w:rsid w:val="00520E2D"/>
    <w:rsid w:val="00520F04"/>
    <w:rsid w:val="00521295"/>
    <w:rsid w:val="00521717"/>
    <w:rsid w:val="005224B2"/>
    <w:rsid w:val="00523B23"/>
    <w:rsid w:val="00523DFA"/>
    <w:rsid w:val="00525186"/>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04C2"/>
    <w:rsid w:val="00541222"/>
    <w:rsid w:val="00541A8D"/>
    <w:rsid w:val="00543598"/>
    <w:rsid w:val="00544DA0"/>
    <w:rsid w:val="005454BD"/>
    <w:rsid w:val="005457E4"/>
    <w:rsid w:val="00546C49"/>
    <w:rsid w:val="0055010B"/>
    <w:rsid w:val="00550D59"/>
    <w:rsid w:val="0055110D"/>
    <w:rsid w:val="00551F81"/>
    <w:rsid w:val="0055210F"/>
    <w:rsid w:val="00552CD7"/>
    <w:rsid w:val="005533BE"/>
    <w:rsid w:val="0055359B"/>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3CB9"/>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2B3"/>
    <w:rsid w:val="005B5D40"/>
    <w:rsid w:val="005B5EFC"/>
    <w:rsid w:val="005B6412"/>
    <w:rsid w:val="005B6698"/>
    <w:rsid w:val="005B68A7"/>
    <w:rsid w:val="005B6AC3"/>
    <w:rsid w:val="005C055E"/>
    <w:rsid w:val="005C0FA1"/>
    <w:rsid w:val="005C1615"/>
    <w:rsid w:val="005C1D98"/>
    <w:rsid w:val="005C1DA5"/>
    <w:rsid w:val="005C2559"/>
    <w:rsid w:val="005C2873"/>
    <w:rsid w:val="005C2BAC"/>
    <w:rsid w:val="005C34FC"/>
    <w:rsid w:val="005C3B5C"/>
    <w:rsid w:val="005C3C7F"/>
    <w:rsid w:val="005C5143"/>
    <w:rsid w:val="005C5377"/>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8E1"/>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3AE"/>
    <w:rsid w:val="00611777"/>
    <w:rsid w:val="0061189F"/>
    <w:rsid w:val="0061219B"/>
    <w:rsid w:val="00612D05"/>
    <w:rsid w:val="006139F1"/>
    <w:rsid w:val="00613FB6"/>
    <w:rsid w:val="006140C6"/>
    <w:rsid w:val="00614134"/>
    <w:rsid w:val="00614241"/>
    <w:rsid w:val="0061428D"/>
    <w:rsid w:val="00615411"/>
    <w:rsid w:val="0061599E"/>
    <w:rsid w:val="00615AC7"/>
    <w:rsid w:val="006162E6"/>
    <w:rsid w:val="006171A5"/>
    <w:rsid w:val="006175D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BC9"/>
    <w:rsid w:val="00651CDE"/>
    <w:rsid w:val="00652326"/>
    <w:rsid w:val="006524F6"/>
    <w:rsid w:val="00652907"/>
    <w:rsid w:val="00652E06"/>
    <w:rsid w:val="00653FC4"/>
    <w:rsid w:val="0065463F"/>
    <w:rsid w:val="00654F91"/>
    <w:rsid w:val="00655361"/>
    <w:rsid w:val="00656253"/>
    <w:rsid w:val="00656799"/>
    <w:rsid w:val="00656B77"/>
    <w:rsid w:val="00656E72"/>
    <w:rsid w:val="006578A1"/>
    <w:rsid w:val="0066137B"/>
    <w:rsid w:val="0066174E"/>
    <w:rsid w:val="00661BBB"/>
    <w:rsid w:val="00661E57"/>
    <w:rsid w:val="00662612"/>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2F0F"/>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001"/>
    <w:rsid w:val="0069715D"/>
    <w:rsid w:val="00697392"/>
    <w:rsid w:val="006973E5"/>
    <w:rsid w:val="00697664"/>
    <w:rsid w:val="00697681"/>
    <w:rsid w:val="0069770C"/>
    <w:rsid w:val="006A08F2"/>
    <w:rsid w:val="006A151A"/>
    <w:rsid w:val="006A158E"/>
    <w:rsid w:val="006A1C47"/>
    <w:rsid w:val="006A1E62"/>
    <w:rsid w:val="006A2A12"/>
    <w:rsid w:val="006A2E9C"/>
    <w:rsid w:val="006A35E0"/>
    <w:rsid w:val="006A377F"/>
    <w:rsid w:val="006A384A"/>
    <w:rsid w:val="006A3875"/>
    <w:rsid w:val="006A3D40"/>
    <w:rsid w:val="006A561D"/>
    <w:rsid w:val="006A5A0C"/>
    <w:rsid w:val="006A5B0C"/>
    <w:rsid w:val="006A5BA0"/>
    <w:rsid w:val="006A5BB1"/>
    <w:rsid w:val="006A5F88"/>
    <w:rsid w:val="006A76D7"/>
    <w:rsid w:val="006A7D95"/>
    <w:rsid w:val="006B120D"/>
    <w:rsid w:val="006B13C1"/>
    <w:rsid w:val="006B1B8E"/>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2DF7"/>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0D5"/>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3B24"/>
    <w:rsid w:val="00755663"/>
    <w:rsid w:val="00756386"/>
    <w:rsid w:val="00756603"/>
    <w:rsid w:val="007567CF"/>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6F"/>
    <w:rsid w:val="00786F85"/>
    <w:rsid w:val="0078731A"/>
    <w:rsid w:val="00787487"/>
    <w:rsid w:val="00787D7B"/>
    <w:rsid w:val="007906F1"/>
    <w:rsid w:val="00790EDA"/>
    <w:rsid w:val="00791349"/>
    <w:rsid w:val="00791D85"/>
    <w:rsid w:val="00791DAF"/>
    <w:rsid w:val="007924CA"/>
    <w:rsid w:val="007932DE"/>
    <w:rsid w:val="00794CBF"/>
    <w:rsid w:val="00795365"/>
    <w:rsid w:val="0079567E"/>
    <w:rsid w:val="007961D5"/>
    <w:rsid w:val="00796A6F"/>
    <w:rsid w:val="00796C5D"/>
    <w:rsid w:val="00797B06"/>
    <w:rsid w:val="00797B9C"/>
    <w:rsid w:val="007A0483"/>
    <w:rsid w:val="007A0A69"/>
    <w:rsid w:val="007A1065"/>
    <w:rsid w:val="007A178E"/>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606"/>
    <w:rsid w:val="007B28CA"/>
    <w:rsid w:val="007B358D"/>
    <w:rsid w:val="007B5401"/>
    <w:rsid w:val="007B5FB4"/>
    <w:rsid w:val="007B6B2B"/>
    <w:rsid w:val="007B7949"/>
    <w:rsid w:val="007B7D30"/>
    <w:rsid w:val="007B7FC2"/>
    <w:rsid w:val="007C0FA9"/>
    <w:rsid w:val="007C2413"/>
    <w:rsid w:val="007C25AE"/>
    <w:rsid w:val="007C2EC3"/>
    <w:rsid w:val="007C3152"/>
    <w:rsid w:val="007C333B"/>
    <w:rsid w:val="007C3914"/>
    <w:rsid w:val="007C3CEA"/>
    <w:rsid w:val="007C3D92"/>
    <w:rsid w:val="007C3E98"/>
    <w:rsid w:val="007C5A8F"/>
    <w:rsid w:val="007C5B38"/>
    <w:rsid w:val="007C6143"/>
    <w:rsid w:val="007C6CA2"/>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19F"/>
    <w:rsid w:val="007D674C"/>
    <w:rsid w:val="007D6B7B"/>
    <w:rsid w:val="007D6CF1"/>
    <w:rsid w:val="007D7131"/>
    <w:rsid w:val="007D7BEC"/>
    <w:rsid w:val="007D7CE3"/>
    <w:rsid w:val="007E051A"/>
    <w:rsid w:val="007E0798"/>
    <w:rsid w:val="007E1B72"/>
    <w:rsid w:val="007E3EE3"/>
    <w:rsid w:val="007E469C"/>
    <w:rsid w:val="007E57DE"/>
    <w:rsid w:val="007E5902"/>
    <w:rsid w:val="007E6719"/>
    <w:rsid w:val="007E68ED"/>
    <w:rsid w:val="007E69ED"/>
    <w:rsid w:val="007E7B2D"/>
    <w:rsid w:val="007F0168"/>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5A3B"/>
    <w:rsid w:val="008260ED"/>
    <w:rsid w:val="0082699D"/>
    <w:rsid w:val="00826E6B"/>
    <w:rsid w:val="008275FD"/>
    <w:rsid w:val="00830BA1"/>
    <w:rsid w:val="00830EB2"/>
    <w:rsid w:val="00831652"/>
    <w:rsid w:val="0083202E"/>
    <w:rsid w:val="0083304F"/>
    <w:rsid w:val="008334C9"/>
    <w:rsid w:val="008338F3"/>
    <w:rsid w:val="00834122"/>
    <w:rsid w:val="008352C5"/>
    <w:rsid w:val="008358A6"/>
    <w:rsid w:val="008359FB"/>
    <w:rsid w:val="00835C56"/>
    <w:rsid w:val="008360FC"/>
    <w:rsid w:val="00836E81"/>
    <w:rsid w:val="008377C1"/>
    <w:rsid w:val="00837C90"/>
    <w:rsid w:val="00837EB1"/>
    <w:rsid w:val="0084042B"/>
    <w:rsid w:val="008409BB"/>
    <w:rsid w:val="0084184A"/>
    <w:rsid w:val="008418E1"/>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5D27"/>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65A"/>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291D"/>
    <w:rsid w:val="008D427A"/>
    <w:rsid w:val="008D4DD5"/>
    <w:rsid w:val="008D5657"/>
    <w:rsid w:val="008D6752"/>
    <w:rsid w:val="008D69E7"/>
    <w:rsid w:val="008D6FC1"/>
    <w:rsid w:val="008D7D9A"/>
    <w:rsid w:val="008E0140"/>
    <w:rsid w:val="008E0688"/>
    <w:rsid w:val="008E0BEF"/>
    <w:rsid w:val="008E103C"/>
    <w:rsid w:val="008E15D1"/>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65D"/>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2E7"/>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45E"/>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B58"/>
    <w:rsid w:val="00960C4F"/>
    <w:rsid w:val="0096217C"/>
    <w:rsid w:val="00962441"/>
    <w:rsid w:val="00963277"/>
    <w:rsid w:val="00964B53"/>
    <w:rsid w:val="00964C3F"/>
    <w:rsid w:val="00964C6C"/>
    <w:rsid w:val="00965176"/>
    <w:rsid w:val="00965240"/>
    <w:rsid w:val="00965630"/>
    <w:rsid w:val="00965847"/>
    <w:rsid w:val="00965A3E"/>
    <w:rsid w:val="00965C48"/>
    <w:rsid w:val="00966D9D"/>
    <w:rsid w:val="00966E4A"/>
    <w:rsid w:val="00967041"/>
    <w:rsid w:val="009670E4"/>
    <w:rsid w:val="00970918"/>
    <w:rsid w:val="0097099E"/>
    <w:rsid w:val="00971761"/>
    <w:rsid w:val="0097216F"/>
    <w:rsid w:val="00972C3B"/>
    <w:rsid w:val="00972DD7"/>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3B9B"/>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3A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127"/>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59AF"/>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8DC"/>
    <w:rsid w:val="009E5DD1"/>
    <w:rsid w:val="009E60AD"/>
    <w:rsid w:val="009E68C8"/>
    <w:rsid w:val="009E6AB5"/>
    <w:rsid w:val="009E6DAB"/>
    <w:rsid w:val="009E6F4B"/>
    <w:rsid w:val="009E703C"/>
    <w:rsid w:val="009E7E4C"/>
    <w:rsid w:val="009F08F5"/>
    <w:rsid w:val="009F0956"/>
    <w:rsid w:val="009F0EE5"/>
    <w:rsid w:val="009F1164"/>
    <w:rsid w:val="009F1264"/>
    <w:rsid w:val="009F1A02"/>
    <w:rsid w:val="009F1D7F"/>
    <w:rsid w:val="009F245B"/>
    <w:rsid w:val="009F25E6"/>
    <w:rsid w:val="009F2BE8"/>
    <w:rsid w:val="009F2F09"/>
    <w:rsid w:val="009F34BD"/>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27C75"/>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AE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670"/>
    <w:rsid w:val="00AA1723"/>
    <w:rsid w:val="00AA190D"/>
    <w:rsid w:val="00AA1FDD"/>
    <w:rsid w:val="00AA22C3"/>
    <w:rsid w:val="00AA230D"/>
    <w:rsid w:val="00AA3F98"/>
    <w:rsid w:val="00AA4941"/>
    <w:rsid w:val="00AA49E9"/>
    <w:rsid w:val="00AA5475"/>
    <w:rsid w:val="00AA5876"/>
    <w:rsid w:val="00AA6A8A"/>
    <w:rsid w:val="00AA6DD8"/>
    <w:rsid w:val="00AA6FA3"/>
    <w:rsid w:val="00AA70BB"/>
    <w:rsid w:val="00AA757C"/>
    <w:rsid w:val="00AA7F10"/>
    <w:rsid w:val="00AB0391"/>
    <w:rsid w:val="00AB20C9"/>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133"/>
    <w:rsid w:val="00AC47EC"/>
    <w:rsid w:val="00AC4E5D"/>
    <w:rsid w:val="00AC54B9"/>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45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19B"/>
    <w:rsid w:val="00B14410"/>
    <w:rsid w:val="00B1486D"/>
    <w:rsid w:val="00B150D6"/>
    <w:rsid w:val="00B15373"/>
    <w:rsid w:val="00B15639"/>
    <w:rsid w:val="00B15D15"/>
    <w:rsid w:val="00B15E42"/>
    <w:rsid w:val="00B15EEE"/>
    <w:rsid w:val="00B160E0"/>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3EFE"/>
    <w:rsid w:val="00B35094"/>
    <w:rsid w:val="00B350F0"/>
    <w:rsid w:val="00B357AC"/>
    <w:rsid w:val="00B35992"/>
    <w:rsid w:val="00B35E4B"/>
    <w:rsid w:val="00B35FCC"/>
    <w:rsid w:val="00B36518"/>
    <w:rsid w:val="00B378CC"/>
    <w:rsid w:val="00B41615"/>
    <w:rsid w:val="00B41FD8"/>
    <w:rsid w:val="00B420DF"/>
    <w:rsid w:val="00B428E2"/>
    <w:rsid w:val="00B429E1"/>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2DA9"/>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6A39"/>
    <w:rsid w:val="00B671A1"/>
    <w:rsid w:val="00B675A6"/>
    <w:rsid w:val="00B6794D"/>
    <w:rsid w:val="00B67B55"/>
    <w:rsid w:val="00B67C6C"/>
    <w:rsid w:val="00B70C61"/>
    <w:rsid w:val="00B70E5A"/>
    <w:rsid w:val="00B7220D"/>
    <w:rsid w:val="00B72911"/>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596E"/>
    <w:rsid w:val="00BA6194"/>
    <w:rsid w:val="00BA7EEE"/>
    <w:rsid w:val="00BB2008"/>
    <w:rsid w:val="00BB29DF"/>
    <w:rsid w:val="00BB2CFC"/>
    <w:rsid w:val="00BB34DC"/>
    <w:rsid w:val="00BB35D0"/>
    <w:rsid w:val="00BB3AC4"/>
    <w:rsid w:val="00BB4999"/>
    <w:rsid w:val="00BB4BCD"/>
    <w:rsid w:val="00BB52EB"/>
    <w:rsid w:val="00BB56C7"/>
    <w:rsid w:val="00BB5706"/>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C7F6F"/>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5BF4"/>
    <w:rsid w:val="00BE7A7C"/>
    <w:rsid w:val="00BF0A44"/>
    <w:rsid w:val="00BF0CEC"/>
    <w:rsid w:val="00BF1A44"/>
    <w:rsid w:val="00BF1EDF"/>
    <w:rsid w:val="00BF487A"/>
    <w:rsid w:val="00BF4C73"/>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AC2"/>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27C3B"/>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115"/>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EF1"/>
    <w:rsid w:val="00C51FB3"/>
    <w:rsid w:val="00C5223C"/>
    <w:rsid w:val="00C52A35"/>
    <w:rsid w:val="00C53213"/>
    <w:rsid w:val="00C53850"/>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652"/>
    <w:rsid w:val="00C86C56"/>
    <w:rsid w:val="00C8773E"/>
    <w:rsid w:val="00C87EDA"/>
    <w:rsid w:val="00C90601"/>
    <w:rsid w:val="00C907A1"/>
    <w:rsid w:val="00C90D16"/>
    <w:rsid w:val="00C9116A"/>
    <w:rsid w:val="00C9265D"/>
    <w:rsid w:val="00C92824"/>
    <w:rsid w:val="00C937BA"/>
    <w:rsid w:val="00C949FC"/>
    <w:rsid w:val="00C95FA5"/>
    <w:rsid w:val="00C960CF"/>
    <w:rsid w:val="00C96672"/>
    <w:rsid w:val="00C96678"/>
    <w:rsid w:val="00C96772"/>
    <w:rsid w:val="00C96923"/>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6BE9"/>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1C2"/>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247"/>
    <w:rsid w:val="00CD1DB1"/>
    <w:rsid w:val="00CD22B5"/>
    <w:rsid w:val="00CD22F4"/>
    <w:rsid w:val="00CD25E1"/>
    <w:rsid w:val="00CD31EE"/>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158"/>
    <w:rsid w:val="00CF33ED"/>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1E6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62E"/>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434"/>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DB0"/>
    <w:rsid w:val="00DE3E78"/>
    <w:rsid w:val="00DE41F8"/>
    <w:rsid w:val="00DE4B9D"/>
    <w:rsid w:val="00DE50EA"/>
    <w:rsid w:val="00DE545C"/>
    <w:rsid w:val="00DE5C9F"/>
    <w:rsid w:val="00DE734E"/>
    <w:rsid w:val="00DE7887"/>
    <w:rsid w:val="00DE7BF8"/>
    <w:rsid w:val="00DE7D6F"/>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2AA"/>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4C6F"/>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22D"/>
    <w:rsid w:val="00E23888"/>
    <w:rsid w:val="00E23B9C"/>
    <w:rsid w:val="00E23CE3"/>
    <w:rsid w:val="00E23CF7"/>
    <w:rsid w:val="00E23E76"/>
    <w:rsid w:val="00E249DB"/>
    <w:rsid w:val="00E253A3"/>
    <w:rsid w:val="00E25402"/>
    <w:rsid w:val="00E259B0"/>
    <w:rsid w:val="00E25AF8"/>
    <w:rsid w:val="00E26AEC"/>
    <w:rsid w:val="00E27164"/>
    <w:rsid w:val="00E2757B"/>
    <w:rsid w:val="00E2792D"/>
    <w:rsid w:val="00E30828"/>
    <w:rsid w:val="00E30B37"/>
    <w:rsid w:val="00E3109C"/>
    <w:rsid w:val="00E311D1"/>
    <w:rsid w:val="00E31C2D"/>
    <w:rsid w:val="00E32432"/>
    <w:rsid w:val="00E33B1E"/>
    <w:rsid w:val="00E34277"/>
    <w:rsid w:val="00E3621B"/>
    <w:rsid w:val="00E36F43"/>
    <w:rsid w:val="00E372D1"/>
    <w:rsid w:val="00E37F0C"/>
    <w:rsid w:val="00E40ADF"/>
    <w:rsid w:val="00E418E3"/>
    <w:rsid w:val="00E423DE"/>
    <w:rsid w:val="00E42F07"/>
    <w:rsid w:val="00E4370F"/>
    <w:rsid w:val="00E43923"/>
    <w:rsid w:val="00E4441D"/>
    <w:rsid w:val="00E453AB"/>
    <w:rsid w:val="00E462E6"/>
    <w:rsid w:val="00E463A0"/>
    <w:rsid w:val="00E46D73"/>
    <w:rsid w:val="00E47839"/>
    <w:rsid w:val="00E5000B"/>
    <w:rsid w:val="00E51CDE"/>
    <w:rsid w:val="00E5210B"/>
    <w:rsid w:val="00E53631"/>
    <w:rsid w:val="00E5388F"/>
    <w:rsid w:val="00E54239"/>
    <w:rsid w:val="00E54272"/>
    <w:rsid w:val="00E542BC"/>
    <w:rsid w:val="00E54521"/>
    <w:rsid w:val="00E54617"/>
    <w:rsid w:val="00E5484B"/>
    <w:rsid w:val="00E55CF6"/>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1AD2"/>
    <w:rsid w:val="00E72383"/>
    <w:rsid w:val="00E724D2"/>
    <w:rsid w:val="00E72D9F"/>
    <w:rsid w:val="00E73C41"/>
    <w:rsid w:val="00E74933"/>
    <w:rsid w:val="00E74EDC"/>
    <w:rsid w:val="00E75737"/>
    <w:rsid w:val="00E75875"/>
    <w:rsid w:val="00E75886"/>
    <w:rsid w:val="00E75D6E"/>
    <w:rsid w:val="00E76007"/>
    <w:rsid w:val="00E76181"/>
    <w:rsid w:val="00E76AD2"/>
    <w:rsid w:val="00E770F2"/>
    <w:rsid w:val="00E77EAC"/>
    <w:rsid w:val="00E81069"/>
    <w:rsid w:val="00E817AD"/>
    <w:rsid w:val="00E817EF"/>
    <w:rsid w:val="00E8184F"/>
    <w:rsid w:val="00E81F06"/>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0AB1"/>
    <w:rsid w:val="00EA0BCF"/>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DDD"/>
    <w:rsid w:val="00EC0EE7"/>
    <w:rsid w:val="00EC107A"/>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4C28"/>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3D12"/>
    <w:rsid w:val="00F34E02"/>
    <w:rsid w:val="00F3549E"/>
    <w:rsid w:val="00F365A7"/>
    <w:rsid w:val="00F3681C"/>
    <w:rsid w:val="00F3689F"/>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58"/>
    <w:rsid w:val="00F54BEA"/>
    <w:rsid w:val="00F54E8A"/>
    <w:rsid w:val="00F559A8"/>
    <w:rsid w:val="00F55C21"/>
    <w:rsid w:val="00F55E5F"/>
    <w:rsid w:val="00F55F6D"/>
    <w:rsid w:val="00F5736B"/>
    <w:rsid w:val="00F573D3"/>
    <w:rsid w:val="00F57880"/>
    <w:rsid w:val="00F608AB"/>
    <w:rsid w:val="00F60BE7"/>
    <w:rsid w:val="00F6159C"/>
    <w:rsid w:val="00F61714"/>
    <w:rsid w:val="00F6238F"/>
    <w:rsid w:val="00F63E59"/>
    <w:rsid w:val="00F64BE0"/>
    <w:rsid w:val="00F65B68"/>
    <w:rsid w:val="00F66DC0"/>
    <w:rsid w:val="00F67846"/>
    <w:rsid w:val="00F67B42"/>
    <w:rsid w:val="00F67FF3"/>
    <w:rsid w:val="00F70245"/>
    <w:rsid w:val="00F70B72"/>
    <w:rsid w:val="00F70DEF"/>
    <w:rsid w:val="00F70EA3"/>
    <w:rsid w:val="00F71398"/>
    <w:rsid w:val="00F72816"/>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D5E"/>
    <w:rsid w:val="00FB3F9C"/>
    <w:rsid w:val="00FB3FDE"/>
    <w:rsid w:val="00FB4676"/>
    <w:rsid w:val="00FB49C5"/>
    <w:rsid w:val="00FB5552"/>
    <w:rsid w:val="00FB5671"/>
    <w:rsid w:val="00FB5789"/>
    <w:rsid w:val="00FB5F3A"/>
    <w:rsid w:val="00FB6741"/>
    <w:rsid w:val="00FB6AA9"/>
    <w:rsid w:val="00FB6AD4"/>
    <w:rsid w:val="00FB7F22"/>
    <w:rsid w:val="00FC00F3"/>
    <w:rsid w:val="00FC01B0"/>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0660"/>
    <w:rsid w:val="00FD19E3"/>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E7968"/>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4C6145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658A33"/>
  <w14:defaultImageDpi w14:val="330"/>
  <w15:docId w15:val="{85B0266A-CB02-40F6-9BB8-DD305DDFA1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NZ"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0" w:semiHidden="1" w:unhideWhenUsed="1"/>
    <w:lsdException w:name="toc 4" w:uiPriority="0"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lsdException w:name="header" w:uiPriority="0" w:semiHidden="1" w:unhideWhenUsed="1"/>
    <w:lsdException w:name="footer" w:uiPriority="0" w:semiHidden="1" w:unhideWhenUsed="1"/>
    <w:lsdException w:name="index heading" w:semiHidden="1"/>
    <w:lsdException w:name="caption" w:uiPriority="35" w:semiHidden="1" w:unhideWhenUsed="1" w:qFormat="1"/>
    <w:lsdException w:name="table of figures" w:semiHidden="1" w:unhideWhenUsed="1"/>
    <w:lsdException w:name="envelope address" w:semiHidden="1"/>
    <w:lsdException w:name="envelope return" w:semiHidden="1"/>
    <w:lsdException w:name="footnote reference" w:uiPriority="0" w:semiHidden="1" w:unhideWhenUsed="1"/>
    <w:lsdException w:name="annotation reference" w:semiHidden="1" w:unhideWhenUsed="1"/>
    <w:lsdException w:name="line number" w:semiHidden="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uiPriority="1" w:semiHidden="1" w:unhideWhenUsed="1"/>
    <w:lsdException w:name="Body Text" w:uiPriority="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3A465E"/>
    <w:rPr>
      <w:rFonts w:ascii="Calibri" w:hAnsi="Calibri" w:eastAsiaTheme="minorEastAsia"/>
      <w:sz w:val="24"/>
      <w:lang w:eastAsia="en-NZ"/>
    </w:rPr>
  </w:style>
  <w:style w:type="paragraph" w:styleId="Heading1">
    <w:name w:val="heading 1"/>
    <w:basedOn w:val="Normal"/>
    <w:next w:val="BodyText"/>
    <w:link w:val="Heading1Char"/>
    <w:qFormat/>
    <w:rsid w:val="00585FD0"/>
    <w:pPr>
      <w:keepNext/>
      <w:tabs>
        <w:tab w:val="left" w:pos="851"/>
      </w:tabs>
      <w:spacing w:after="360" w:line="600" w:lineRule="atLeast"/>
      <w:outlineLvl w:val="0"/>
    </w:pPr>
    <w:rPr>
      <w:rFonts w:ascii="Georgia" w:hAnsi="Georgia" w:eastAsiaTheme="majorEastAs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outlineLvl w:val="1"/>
    </w:pPr>
    <w:rPr>
      <w:rFonts w:ascii="Georgia" w:hAnsi="Georgia" w:eastAsiaTheme="majorEastAs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outlineLvl w:val="2"/>
    </w:pPr>
    <w:rPr>
      <w:rFonts w:ascii="Georgia" w:hAnsi="Georgia" w:eastAsiaTheme="majorEastAsia" w:cstheme="majorBidi"/>
      <w:b/>
      <w:bCs/>
      <w:sz w:val="28"/>
    </w:rPr>
  </w:style>
  <w:style w:type="paragraph" w:styleId="Heading4">
    <w:name w:val="heading 4"/>
    <w:basedOn w:val="Heading3"/>
    <w:next w:val="BodyText"/>
    <w:link w:val="Heading4Char"/>
    <w:qFormat/>
    <w:rsid w:val="00CF33ED"/>
    <w:pPr>
      <w:spacing w:before="240"/>
      <w:outlineLvl w:val="3"/>
    </w:pPr>
    <w:rPr>
      <w:sz w:val="24"/>
    </w:rPr>
  </w:style>
  <w:style w:type="paragraph" w:styleId="Heading5">
    <w:name w:val="heading 5"/>
    <w:basedOn w:val="Normal"/>
    <w:next w:val="BodyText"/>
    <w:link w:val="Heading5Char"/>
    <w:qFormat/>
    <w:rsid w:val="008F565D"/>
    <w:pPr>
      <w:keepNext/>
      <w:spacing w:before="240" w:after="0" w:line="240" w:lineRule="auto"/>
      <w:outlineLvl w:val="4"/>
    </w:pPr>
    <w:rPr>
      <w:rFonts w:eastAsiaTheme="majorEastAsia" w:cstheme="majorBidi"/>
      <w:i/>
      <w:sz w:val="26"/>
      <w:szCs w:val="24"/>
    </w:rPr>
  </w:style>
  <w:style w:type="paragraph" w:styleId="Heading6">
    <w:name w:val="heading 6"/>
    <w:basedOn w:val="Normal"/>
    <w:next w:val="Normal"/>
    <w:link w:val="Heading6Char"/>
    <w:semiHidden/>
    <w:rsid w:val="00EA64B4"/>
    <w:pPr>
      <w:numPr>
        <w:ilvl w:val="5"/>
        <w:numId w:val="1"/>
      </w:numPr>
      <w:spacing w:before="240" w:line="288" w:lineRule="auto"/>
      <w:outlineLvl w:val="5"/>
    </w:pPr>
    <w:rPr>
      <w:rFonts w:ascii="Times New Roman" w:hAnsi="Times New Roman" w:eastAsia="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outlineLvl w:val="6"/>
    </w:pPr>
    <w:rPr>
      <w:rFonts w:ascii="Times New Roman" w:hAnsi="Times New Roman" w:eastAsia="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outlineLvl w:val="7"/>
    </w:pPr>
    <w:rPr>
      <w:rFonts w:ascii="Times New Roman" w:hAnsi="Times New Roman" w:eastAsia="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eastAsia="Times New Roman" w:cs="Times New Roman"/>
      <w:bCs w:val="0"/>
      <w:color w:val="FFFFFF"/>
      <w:kern w:val="28"/>
      <w:sz w:val="2"/>
      <w:szCs w:val="20"/>
      <w:lang w:val="en-AU"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585FD0"/>
    <w:rPr>
      <w:rFonts w:ascii="Georgia" w:hAnsi="Georgia" w:eastAsiaTheme="majorEastAsia" w:cstheme="majorBidi"/>
      <w:b/>
      <w:bCs/>
      <w:color w:val="1B556B"/>
      <w:sz w:val="48"/>
      <w:szCs w:val="28"/>
      <w:lang w:eastAsia="en-NZ"/>
    </w:rPr>
  </w:style>
  <w:style w:type="character" w:styleId="Heading2Char" w:customStyle="1">
    <w:name w:val="Heading 2 Char"/>
    <w:basedOn w:val="DefaultParagraphFont"/>
    <w:link w:val="Heading2"/>
    <w:rsid w:val="0066352E"/>
    <w:rPr>
      <w:rFonts w:ascii="Georgia" w:hAnsi="Georgia" w:eastAsiaTheme="majorEastAsia" w:cstheme="majorBidi"/>
      <w:b/>
      <w:bCs/>
      <w:color w:val="1B556B"/>
      <w:sz w:val="36"/>
      <w:szCs w:val="26"/>
      <w:lang w:eastAsia="en-NZ"/>
    </w:rPr>
  </w:style>
  <w:style w:type="character" w:styleId="Heading3Char" w:customStyle="1">
    <w:name w:val="Heading 3 Char"/>
    <w:basedOn w:val="DefaultParagraphFont"/>
    <w:link w:val="Heading3"/>
    <w:rsid w:val="009A2A8A"/>
    <w:rPr>
      <w:rFonts w:ascii="Georgia" w:hAnsi="Georgia" w:eastAsiaTheme="majorEastAsia" w:cstheme="majorBidi"/>
      <w:b/>
      <w:bCs/>
      <w:sz w:val="28"/>
      <w:lang w:eastAsia="en-NZ"/>
    </w:rPr>
  </w:style>
  <w:style w:type="character" w:styleId="Heading4Char" w:customStyle="1">
    <w:name w:val="Heading 4 Char"/>
    <w:basedOn w:val="DefaultParagraphFont"/>
    <w:link w:val="Heading4"/>
    <w:rsid w:val="00CF33ED"/>
    <w:rPr>
      <w:rFonts w:ascii="Georgia" w:hAnsi="Georgia" w:eastAsiaTheme="majorEastAsia" w:cstheme="majorBidi"/>
      <w:b/>
      <w:bCs/>
      <w:sz w:val="24"/>
      <w:lang w:eastAsia="en-NZ"/>
    </w:rPr>
  </w:style>
  <w:style w:type="character" w:styleId="Heading5Char" w:customStyle="1">
    <w:name w:val="Heading 5 Char"/>
    <w:basedOn w:val="DefaultParagraphFont"/>
    <w:link w:val="Heading5"/>
    <w:rsid w:val="008F565D"/>
    <w:rPr>
      <w:rFonts w:ascii="Calibri" w:hAnsi="Calibri" w:eastAsiaTheme="majorEastAsia" w:cstheme="majorBidi"/>
      <w:i/>
      <w:sz w:val="26"/>
      <w:szCs w:val="24"/>
      <w:lang w:eastAsia="en-NZ"/>
    </w:rPr>
  </w:style>
  <w:style w:type="paragraph" w:styleId="BodyText">
    <w:name w:val="Body Text"/>
    <w:basedOn w:val="Normal"/>
    <w:link w:val="BodyTextChar"/>
    <w:qFormat/>
    <w:rsid w:val="00E55CF6"/>
    <w:pPr>
      <w:spacing w:before="120" w:line="340" w:lineRule="atLeast"/>
    </w:pPr>
  </w:style>
  <w:style w:type="character" w:styleId="BodyTextChar" w:customStyle="1">
    <w:name w:val="Body Text Char"/>
    <w:basedOn w:val="DefaultParagraphFont"/>
    <w:link w:val="BodyText"/>
    <w:rsid w:val="00E55CF6"/>
    <w:rPr>
      <w:rFonts w:ascii="Calibri" w:hAnsi="Calibri" w:eastAsiaTheme="minorEastAsia"/>
      <w:sz w:val="24"/>
      <w:lang w:eastAsia="en-NZ"/>
    </w:rPr>
  </w:style>
  <w:style w:type="table" w:styleId="TableGrid">
    <w:name w:val="Table Grid"/>
    <w:basedOn w:val="TableNormal"/>
    <w:uiPriority w:val="59"/>
    <w:rsid w:val="00EA64B4"/>
    <w:pPr>
      <w:spacing w:after="0" w:line="240" w:lineRule="auto"/>
      <w:jc w:val="both"/>
    </w:pPr>
    <w:rPr>
      <w:rFonts w:ascii="Times New Roman" w:hAnsi="Times New Roman" w:eastAsia="Times New Roman" w:cs="Times New Roman"/>
      <w:sz w:val="20"/>
      <w:szCs w:val="20"/>
      <w:lang w:eastAsia="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semiHidden/>
    <w:rsid w:val="00DE3DB0"/>
    <w:pPr>
      <w:spacing w:after="240"/>
    </w:pPr>
    <w:rPr>
      <w:color w:val="808080" w:themeColor="background1" w:themeShade="80"/>
      <w:sz w:val="20"/>
    </w:rPr>
  </w:style>
  <w:style w:type="character" w:styleId="HeaderChar" w:customStyle="1">
    <w:name w:val="Header Char"/>
    <w:basedOn w:val="DefaultParagraphFont"/>
    <w:link w:val="Header"/>
    <w:semiHidden/>
    <w:rsid w:val="00DE3DB0"/>
    <w:rPr>
      <w:rFonts w:ascii="Calibri" w:hAnsi="Calibri" w:eastAsiaTheme="minorEastAsia"/>
      <w:color w:val="808080" w:themeColor="background1" w:themeShade="80"/>
      <w:sz w:val="20"/>
      <w:lang w:eastAsia="en-NZ"/>
    </w:rPr>
  </w:style>
  <w:style w:type="paragraph" w:styleId="Quote">
    <w:name w:val="Quote"/>
    <w:basedOn w:val="Normal"/>
    <w:next w:val="BodyText"/>
    <w:link w:val="QuoteChar"/>
    <w:uiPriority w:val="1"/>
    <w:qFormat/>
    <w:rsid w:val="00CF33ED"/>
    <w:pPr>
      <w:spacing w:before="60" w:after="60"/>
      <w:ind w:left="567" w:right="567"/>
    </w:pPr>
    <w:rPr>
      <w:sz w:val="22"/>
      <w:szCs w:val="24"/>
    </w:rPr>
  </w:style>
  <w:style w:type="character" w:styleId="QuoteChar" w:customStyle="1">
    <w:name w:val="Quote Char"/>
    <w:basedOn w:val="DefaultParagraphFont"/>
    <w:link w:val="Quote"/>
    <w:uiPriority w:val="1"/>
    <w:rsid w:val="00CF33ED"/>
    <w:rPr>
      <w:rFonts w:ascii="Calibri" w:hAnsi="Calibri" w:eastAsiaTheme="minorEastAsia"/>
      <w:szCs w:val="24"/>
      <w:lang w:eastAsia="en-NZ"/>
    </w:rPr>
  </w:style>
  <w:style w:type="paragraph" w:styleId="Bullet" w:customStyle="1">
    <w:name w:val="Bullet"/>
    <w:basedOn w:val="Normal"/>
    <w:link w:val="BulletChar"/>
    <w:qFormat/>
    <w:rsid w:val="00E55CF6"/>
    <w:pPr>
      <w:numPr>
        <w:numId w:val="34"/>
      </w:numPr>
      <w:tabs>
        <w:tab w:val="left" w:pos="397"/>
      </w:tabs>
      <w:spacing w:line="340" w:lineRule="atLeast"/>
    </w:pPr>
    <w:rPr>
      <w:rFonts w:eastAsia="Times New Roman" w:cs="Times New Roman"/>
      <w:szCs w:val="20"/>
    </w:rPr>
  </w:style>
  <w:style w:type="paragraph" w:styleId="Heading" w:customStyle="1">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styleId="FooterChar" w:customStyle="1">
    <w:name w:val="Footer Char"/>
    <w:basedOn w:val="DefaultParagraphFont"/>
    <w:link w:val="Footer"/>
    <w:semiHidden/>
    <w:rsid w:val="00F03FF2"/>
    <w:rPr>
      <w:rFonts w:ascii="Calibri" w:hAnsi="Calibri" w:eastAsiaTheme="minorEastAsia"/>
      <w:lang w:eastAsia="en-NZ"/>
    </w:rPr>
  </w:style>
  <w:style w:type="paragraph" w:styleId="Sub-list" w:customStyle="1">
    <w:name w:val="Sub-list"/>
    <w:basedOn w:val="Normal"/>
    <w:qFormat/>
    <w:rsid w:val="008D7D9A"/>
    <w:pPr>
      <w:numPr>
        <w:numId w:val="4"/>
      </w:numPr>
      <w:tabs>
        <w:tab w:val="clear" w:pos="397"/>
        <w:tab w:val="left" w:pos="794"/>
      </w:tabs>
      <w:spacing w:line="340" w:lineRule="atLeast"/>
    </w:pPr>
  </w:style>
  <w:style w:type="paragraph" w:styleId="Figureheading" w:customStyle="1">
    <w:name w:val="Figure heading"/>
    <w:basedOn w:val="Normal"/>
    <w:next w:val="BodyText"/>
    <w:uiPriority w:val="1"/>
    <w:qFormat/>
    <w:rsid w:val="004A50A0"/>
    <w:pPr>
      <w:keepNext/>
      <w:numPr>
        <w:numId w:val="40"/>
      </w:numPr>
    </w:pPr>
    <w:rPr>
      <w:b/>
      <w:sz w:val="20"/>
    </w:rPr>
  </w:style>
  <w:style w:type="character" w:styleId="FootnoteReference">
    <w:name w:val="footnote reference"/>
    <w:semiHidden/>
    <w:rsid w:val="00CF33ED"/>
    <w:rPr>
      <w:rFonts w:ascii="Calibri" w:hAnsi="Calibri"/>
      <w:color w:val="183C47"/>
      <w:sz w:val="24"/>
      <w:vertAlign w:val="superscript"/>
    </w:rPr>
  </w:style>
  <w:style w:type="paragraph" w:styleId="FootnoteText">
    <w:name w:val="footnote text"/>
    <w:basedOn w:val="Normal"/>
    <w:link w:val="FootnoteTextChar"/>
    <w:uiPriority w:val="99"/>
    <w:rsid w:val="00EA64B4"/>
    <w:pPr>
      <w:spacing w:after="60" w:line="240" w:lineRule="atLeast"/>
      <w:ind w:left="284" w:hanging="284"/>
    </w:pPr>
    <w:rPr>
      <w:sz w:val="19"/>
    </w:rPr>
  </w:style>
  <w:style w:type="character" w:styleId="FootnoteTextChar" w:customStyle="1">
    <w:name w:val="Footnote Text Char"/>
    <w:basedOn w:val="DefaultParagraphFont"/>
    <w:link w:val="FootnoteText"/>
    <w:uiPriority w:val="99"/>
    <w:rsid w:val="00BE2893"/>
    <w:rPr>
      <w:rFonts w:ascii="Calibri" w:hAnsi="Calibri" w:eastAsiaTheme="minorEastAsia"/>
      <w:sz w:val="19"/>
      <w:lang w:eastAsia="en-NZ"/>
    </w:rPr>
  </w:style>
  <w:style w:type="character" w:styleId="Hyperlink">
    <w:name w:val="Hyperlink"/>
    <w:uiPriority w:val="99"/>
    <w:qFormat/>
    <w:rsid w:val="00CB110E"/>
    <w:rPr>
      <w:color w:val="32809C"/>
      <w:u w:val="none"/>
    </w:rPr>
  </w:style>
  <w:style w:type="paragraph" w:styleId="Imprint" w:customStyle="1">
    <w:name w:val="Imprint"/>
    <w:basedOn w:val="Normal"/>
    <w:uiPriority w:val="3"/>
    <w:rsid w:val="003B6490"/>
    <w:pPr>
      <w:spacing w:before="120"/>
    </w:pPr>
    <w:rPr>
      <w:sz w:val="22"/>
    </w:rPr>
  </w:style>
  <w:style w:type="paragraph" w:styleId="Note" w:customStyle="1">
    <w:name w:val="Note"/>
    <w:basedOn w:val="BodyText"/>
    <w:next w:val="Normal"/>
    <w:uiPriority w:val="1"/>
    <w:qFormat/>
    <w:rsid w:val="002B4774"/>
    <w:pPr>
      <w:spacing w:line="260" w:lineRule="atLeast"/>
    </w:pPr>
    <w:rPr>
      <w:sz w:val="20"/>
      <w:szCs w:val="24"/>
    </w:rPr>
  </w:style>
  <w:style w:type="paragraph" w:styleId="References" w:customStyle="1">
    <w:name w:val="References"/>
    <w:basedOn w:val="Normal"/>
    <w:uiPriority w:val="1"/>
    <w:qFormat/>
    <w:rsid w:val="00063535"/>
    <w:rPr>
      <w:sz w:val="22"/>
    </w:rPr>
  </w:style>
  <w:style w:type="paragraph" w:styleId="Source" w:customStyle="1">
    <w:name w:val="Source"/>
    <w:basedOn w:val="Normal"/>
    <w:next w:val="Normal"/>
    <w:uiPriority w:val="1"/>
    <w:qFormat/>
    <w:rsid w:val="002B4774"/>
    <w:pPr>
      <w:tabs>
        <w:tab w:val="left" w:pos="680"/>
      </w:tabs>
      <w:spacing w:line="260" w:lineRule="atLeast"/>
    </w:pPr>
    <w:rPr>
      <w:sz w:val="20"/>
      <w:szCs w:val="24"/>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styleId="TitleChar" w:customStyle="1">
    <w:name w:val="Title Char"/>
    <w:basedOn w:val="DefaultParagraphFont"/>
    <w:link w:val="Title"/>
    <w:uiPriority w:val="2"/>
    <w:rsid w:val="004A3CC2"/>
    <w:rPr>
      <w:rFonts w:ascii="Georgia" w:hAnsi="Georgia" w:eastAsiaTheme="minorEastAs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styleId="SubtitleChar" w:customStyle="1">
    <w:name w:val="Subtitle Char"/>
    <w:basedOn w:val="DefaultParagraphFont"/>
    <w:link w:val="Subtitle"/>
    <w:uiPriority w:val="2"/>
    <w:rsid w:val="004A3CC2"/>
    <w:rPr>
      <w:rFonts w:ascii="Georgia" w:hAnsi="Georgia" w:eastAsiaTheme="minorEastAsia"/>
      <w:b/>
      <w:color w:val="1B556B"/>
      <w:sz w:val="36"/>
      <w:szCs w:val="36"/>
      <w:lang w:eastAsia="en-NZ"/>
    </w:rPr>
  </w:style>
  <w:style w:type="paragraph" w:styleId="Tableheading" w:customStyle="1">
    <w:name w:val="Table heading"/>
    <w:basedOn w:val="Normal"/>
    <w:next w:val="Normal"/>
    <w:qFormat/>
    <w:rsid w:val="00ED4C28"/>
    <w:pPr>
      <w:keepNext/>
      <w:numPr>
        <w:numId w:val="39"/>
      </w:numPr>
      <w:spacing w:before="120"/>
    </w:pPr>
    <w:rPr>
      <w:b/>
      <w:sz w:val="22"/>
      <w:szCs w:val="24"/>
    </w:rPr>
  </w:style>
  <w:style w:type="paragraph" w:styleId="TableText" w:customStyle="1">
    <w:name w:val="TableText"/>
    <w:basedOn w:val="Normal"/>
    <w:qFormat/>
    <w:rsid w:val="00A76AEE"/>
    <w:pPr>
      <w:spacing w:before="60" w:after="60" w:line="240" w:lineRule="atLeast"/>
    </w:pPr>
    <w:rPr>
      <w:rFonts w:cs="Times New Roman"/>
      <w:sz w:val="20"/>
    </w:rPr>
  </w:style>
  <w:style w:type="paragraph" w:styleId="TableTextbold" w:customStyle="1">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pPr>
  </w:style>
  <w:style w:type="paragraph" w:styleId="TOC2">
    <w:name w:val="toc 2"/>
    <w:basedOn w:val="Normal"/>
    <w:next w:val="Normal"/>
    <w:uiPriority w:val="39"/>
    <w:rsid w:val="00356C3D"/>
    <w:pPr>
      <w:tabs>
        <w:tab w:val="right" w:pos="8505"/>
      </w:tabs>
      <w:spacing w:before="60" w:after="60" w:line="240" w:lineRule="auto"/>
      <w:ind w:left="1134" w:right="567" w:hanging="567"/>
    </w:pPr>
  </w:style>
  <w:style w:type="paragraph" w:styleId="Captions" w:customStyle="1">
    <w:name w:val="Captions"/>
    <w:basedOn w:val="Note"/>
    <w:next w:val="Normal"/>
    <w:semiHidden/>
    <w:rsid w:val="00EA64B4"/>
    <w:pPr>
      <w:tabs>
        <w:tab w:val="left" w:pos="851"/>
      </w:tabs>
    </w:pPr>
  </w:style>
  <w:style w:type="paragraph" w:styleId="Glossary" w:customStyle="1">
    <w:name w:val="Glossary"/>
    <w:basedOn w:val="Normal"/>
    <w:uiPriority w:val="1"/>
    <w:qFormat/>
    <w:rsid w:val="00EA64B4"/>
    <w:pPr>
      <w:tabs>
        <w:tab w:val="left" w:pos="2835"/>
      </w:tabs>
      <w:spacing w:after="0"/>
    </w:pPr>
  </w:style>
  <w:style w:type="paragraph" w:styleId="Footerodd" w:customStyle="1">
    <w:name w:val="Footer odd"/>
    <w:basedOn w:val="Normal"/>
    <w:uiPriority w:val="2"/>
    <w:rsid w:val="006175D5"/>
    <w:pPr>
      <w:pBdr>
        <w:top w:val="single" w:color="A6A6A6" w:themeColor="background1" w:themeShade="A6" w:sz="4" w:space="14"/>
      </w:pBdr>
      <w:tabs>
        <w:tab w:val="right" w:pos="7938"/>
        <w:tab w:val="right" w:pos="8505"/>
      </w:tabs>
    </w:pPr>
    <w:rPr>
      <w:color w:val="808080" w:themeColor="background1" w:themeShade="80"/>
      <w:sz w:val="20"/>
      <w:szCs w:val="26"/>
    </w:rPr>
  </w:style>
  <w:style w:type="paragraph" w:styleId="Footereven" w:customStyle="1">
    <w:name w:val="Footer even"/>
    <w:basedOn w:val="Normal"/>
    <w:uiPriority w:val="2"/>
    <w:rsid w:val="006175D5"/>
    <w:pPr>
      <w:pBdr>
        <w:top w:val="single" w:color="808080" w:themeColor="background1" w:themeShade="80" w:sz="4" w:space="14"/>
      </w:pBdr>
      <w:tabs>
        <w:tab w:val="left" w:pos="567"/>
      </w:tabs>
    </w:pPr>
    <w:rPr>
      <w:color w:val="808080" w:themeColor="background1" w:themeShade="80"/>
      <w:sz w:val="20"/>
      <w:szCs w:val="26"/>
    </w:rPr>
  </w:style>
  <w:style w:type="paragraph" w:styleId="Numberedparagraph" w:customStyle="1">
    <w:name w:val="Numbered paragraph"/>
    <w:basedOn w:val="Normal"/>
    <w:uiPriority w:val="1"/>
    <w:qFormat/>
    <w:rsid w:val="00E55CF6"/>
    <w:pPr>
      <w:numPr>
        <w:numId w:val="5"/>
      </w:numPr>
      <w:spacing w:line="340" w:lineRule="atLeast"/>
    </w:pPr>
  </w:style>
  <w:style w:type="paragraph" w:styleId="Sub-lista" w:customStyle="1">
    <w:name w:val="Sub-list a"/>
    <w:aliases w:val="b"/>
    <w:basedOn w:val="Normal"/>
    <w:uiPriority w:val="2"/>
    <w:rsid w:val="00E43923"/>
    <w:pPr>
      <w:numPr>
        <w:numId w:val="6"/>
      </w:numPr>
      <w:spacing w:line="340" w:lineRule="atLeast"/>
      <w:ind w:left="794" w:hanging="397"/>
    </w:pPr>
  </w:style>
  <w:style w:type="paragraph" w:styleId="EndnoteText">
    <w:name w:val="endnote text"/>
    <w:basedOn w:val="Normal"/>
    <w:link w:val="EndnoteTextChar"/>
    <w:uiPriority w:val="99"/>
    <w:semiHidden/>
    <w:rsid w:val="00EA64B4"/>
    <w:pPr>
      <w:spacing w:after="60"/>
    </w:pPr>
    <w:rPr>
      <w:sz w:val="20"/>
    </w:rPr>
  </w:style>
  <w:style w:type="character" w:styleId="EndnoteTextChar" w:customStyle="1">
    <w:name w:val="Endnote Text Char"/>
    <w:basedOn w:val="DefaultParagraphFont"/>
    <w:link w:val="EndnoteText"/>
    <w:uiPriority w:val="99"/>
    <w:semiHidden/>
    <w:rsid w:val="00EA64B4"/>
    <w:rPr>
      <w:rFonts w:ascii="Calibri" w:hAnsi="Calibri" w:eastAsiaTheme="minorEastAsia"/>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ind w:left="1134" w:right="567" w:hanging="1134"/>
    </w:pPr>
  </w:style>
  <w:style w:type="paragraph" w:styleId="Sub-listi" w:customStyle="1">
    <w:name w:val="Sub-list i"/>
    <w:aliases w:val="ii"/>
    <w:basedOn w:val="BodyText"/>
    <w:rsid w:val="00E43923"/>
    <w:pPr>
      <w:numPr>
        <w:numId w:val="7"/>
      </w:numPr>
      <w:spacing w:before="60" w:after="60"/>
    </w:pPr>
  </w:style>
  <w:style w:type="paragraph" w:styleId="TableBullet" w:customStyle="1">
    <w:name w:val="TableBullet"/>
    <w:basedOn w:val="Normal"/>
    <w:qFormat/>
    <w:rsid w:val="005C5377"/>
    <w:pPr>
      <w:numPr>
        <w:numId w:val="8"/>
      </w:numPr>
      <w:spacing w:after="60" w:line="240" w:lineRule="atLeast"/>
    </w:pPr>
    <w:rPr>
      <w:rFonts w:cs="Arial"/>
      <w:sz w:val="20"/>
      <w:szCs w:val="16"/>
    </w:rPr>
  </w:style>
  <w:style w:type="paragraph" w:styleId="TableDash" w:customStyle="1">
    <w:name w:val="TableDash"/>
    <w:basedOn w:val="TableBullet"/>
    <w:qFormat/>
    <w:rsid w:val="005C5377"/>
    <w:pPr>
      <w:numPr>
        <w:numId w:val="9"/>
      </w:numPr>
      <w:ind w:left="568" w:hanging="284"/>
    </w:pPr>
  </w:style>
  <w:style w:type="paragraph" w:styleId="ListParagraph">
    <w:name w:val="List Paragraph"/>
    <w:basedOn w:val="Normal"/>
    <w:uiPriority w:val="34"/>
    <w:semiHidden/>
    <w:qFormat/>
    <w:rsid w:val="00EA64B4"/>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styleId="CommentSubjectChar" w:customStyle="1">
    <w:name w:val="Comment Subject Char"/>
    <w:basedOn w:val="DefaultParagraphFont"/>
    <w:link w:val="CommentSubject"/>
    <w:uiPriority w:val="99"/>
    <w:semiHidden/>
    <w:rsid w:val="00AB54D7"/>
    <w:rPr>
      <w:rFonts w:ascii="Calibri" w:hAnsi="Calibri" w:eastAsiaTheme="minorEastAsia"/>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styleId="BalloonTextChar" w:customStyle="1">
    <w:name w:val="Balloon Text Char"/>
    <w:basedOn w:val="DefaultParagraphFont"/>
    <w:link w:val="BalloonText"/>
    <w:semiHidden/>
    <w:rsid w:val="00EA64B4"/>
    <w:rPr>
      <w:rFonts w:ascii="Tahoma" w:hAnsi="Tahoma" w:eastAsiaTheme="minorEastAsi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color="auto" w:sz="6" w:space="1"/>
      </w:pBdr>
      <w:jc w:val="center"/>
    </w:pPr>
    <w:rPr>
      <w:rFonts w:ascii="Arial" w:hAnsi="Arial" w:eastAsia="Calibri"/>
      <w:vanish/>
      <w:sz w:val="16"/>
      <w:szCs w:val="16"/>
      <w:lang w:val="en-US"/>
    </w:rPr>
  </w:style>
  <w:style w:type="character" w:styleId="z-BottomofFormChar" w:customStyle="1">
    <w:name w:val="z-Bottom of Form Char"/>
    <w:basedOn w:val="DefaultParagraphFont"/>
    <w:link w:val="z-BottomofForm"/>
    <w:uiPriority w:val="99"/>
    <w:semiHidden/>
    <w:rsid w:val="0080531E"/>
    <w:rPr>
      <w:rFonts w:ascii="Arial" w:hAnsi="Arial" w:eastAsia="Calibri"/>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color="auto" w:sz="6" w:space="1"/>
      </w:pBdr>
      <w:jc w:val="center"/>
    </w:pPr>
    <w:rPr>
      <w:rFonts w:ascii="Arial" w:hAnsi="Arial" w:eastAsia="Calibri"/>
      <w:vanish/>
      <w:sz w:val="16"/>
      <w:szCs w:val="16"/>
      <w:lang w:val="en-US"/>
    </w:rPr>
  </w:style>
  <w:style w:type="character" w:styleId="z-TopofFormChar" w:customStyle="1">
    <w:name w:val="z-Top of Form Char"/>
    <w:basedOn w:val="DefaultParagraphFont"/>
    <w:link w:val="z-TopofForm"/>
    <w:uiPriority w:val="99"/>
    <w:semiHidden/>
    <w:rsid w:val="0080531E"/>
    <w:rPr>
      <w:rFonts w:ascii="Arial" w:hAnsi="Arial" w:eastAsia="Calibri"/>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color="52A8C7" w:themeColor="accent2" w:themeTint="BF" w:sz="8" w:space="0"/>
        <w:left w:val="single" w:color="52A8C7" w:themeColor="accent2" w:themeTint="BF" w:sz="8" w:space="0"/>
        <w:bottom w:val="single" w:color="52A8C7" w:themeColor="accent2" w:themeTint="BF" w:sz="8" w:space="0"/>
        <w:right w:val="single" w:color="52A8C7" w:themeColor="accent2" w:themeTint="BF" w:sz="8" w:space="0"/>
        <w:insideH w:val="single" w:color="52A8C7" w:themeColor="accent2" w:themeTint="BF" w:sz="8" w:space="0"/>
      </w:tblBorders>
    </w:tblPr>
    <w:tblStylePr w:type="firstRow">
      <w:pPr>
        <w:spacing w:before="0" w:after="0" w:line="240" w:lineRule="auto"/>
      </w:pPr>
      <w:rPr>
        <w:b/>
        <w:bCs/>
        <w:color w:val="FFFFFF" w:themeColor="background1"/>
      </w:rPr>
      <w:tblPr/>
      <w:tcPr>
        <w:tcBorders>
          <w:top w:val="single" w:color="52A8C7" w:themeColor="accent2" w:themeTint="BF" w:sz="8" w:space="0"/>
          <w:left w:val="single" w:color="52A8C7" w:themeColor="accent2" w:themeTint="BF" w:sz="8" w:space="0"/>
          <w:bottom w:val="single" w:color="52A8C7" w:themeColor="accent2" w:themeTint="BF" w:sz="8" w:space="0"/>
          <w:right w:val="single" w:color="52A8C7" w:themeColor="accent2" w:themeTint="BF" w:sz="8" w:space="0"/>
          <w:insideH w:val="nil"/>
          <w:insideV w:val="nil"/>
        </w:tcBorders>
        <w:shd w:val="clear" w:color="auto" w:fill="32809C" w:themeFill="accent2"/>
      </w:tcPr>
    </w:tblStylePr>
    <w:tblStylePr w:type="lastRow">
      <w:pPr>
        <w:spacing w:before="0" w:after="0" w:line="240" w:lineRule="auto"/>
      </w:pPr>
      <w:rPr>
        <w:b/>
        <w:bCs/>
      </w:rPr>
      <w:tblPr/>
      <w:tcPr>
        <w:tcBorders>
          <w:top w:val="double" w:color="52A8C7" w:themeColor="accent2" w:themeTint="BF" w:sz="6" w:space="0"/>
          <w:left w:val="single" w:color="52A8C7" w:themeColor="accent2" w:themeTint="BF" w:sz="8" w:space="0"/>
          <w:bottom w:val="single" w:color="52A8C7" w:themeColor="accent2" w:themeTint="BF" w:sz="8" w:space="0"/>
          <w:right w:val="single" w:color="52A8C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color="6FC7B7" w:themeColor="accent5" w:sz="8" w:space="0"/>
        <w:left w:val="single" w:color="6FC7B7" w:themeColor="accent5" w:sz="8" w:space="0"/>
        <w:bottom w:val="single" w:color="6FC7B7" w:themeColor="accent5" w:sz="8" w:space="0"/>
        <w:right w:val="single" w:color="6FC7B7" w:themeColor="accent5" w:sz="8" w:space="0"/>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color="6FC7B7" w:themeColor="accent5" w:sz="6" w:space="0"/>
          <w:left w:val="single" w:color="6FC7B7" w:themeColor="accent5" w:sz="8" w:space="0"/>
          <w:bottom w:val="single" w:color="6FC7B7" w:themeColor="accent5" w:sz="8" w:space="0"/>
          <w:right w:val="single" w:color="6FC7B7" w:themeColor="accent5" w:sz="8" w:space="0"/>
        </w:tcBorders>
      </w:tcPr>
    </w:tblStylePr>
    <w:tblStylePr w:type="firstCol">
      <w:rPr>
        <w:b/>
        <w:bCs/>
      </w:rPr>
    </w:tblStylePr>
    <w:tblStylePr w:type="lastCol">
      <w:rPr>
        <w:b/>
        <w:bCs/>
      </w:rPr>
    </w:tblStylePr>
    <w:tblStylePr w:type="band1Vert">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tblStylePr w:type="band1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color="6FC7B7" w:themeColor="accent5" w:sz="8" w:space="0"/>
        <w:left w:val="single" w:color="6FC7B7" w:themeColor="accent5" w:sz="8" w:space="0"/>
        <w:bottom w:val="single" w:color="6FC7B7" w:themeColor="accent5" w:sz="8" w:space="0"/>
        <w:right w:val="single" w:color="6FC7B7" w:themeColor="accent5" w:sz="8" w:space="0"/>
        <w:insideH w:val="single" w:color="6FC7B7" w:themeColor="accent5" w:sz="8" w:space="0"/>
        <w:insideV w:val="single" w:color="6FC7B7"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FC7B7" w:themeColor="accent5" w:sz="8" w:space="0"/>
          <w:left w:val="single" w:color="6FC7B7" w:themeColor="accent5" w:sz="8" w:space="0"/>
          <w:bottom w:val="single" w:color="6FC7B7" w:themeColor="accent5" w:sz="18" w:space="0"/>
          <w:right w:val="single" w:color="6FC7B7" w:themeColor="accent5" w:sz="8" w:space="0"/>
          <w:insideH w:val="nil"/>
          <w:insideV w:val="single" w:color="6FC7B7"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FC7B7" w:themeColor="accent5" w:sz="6" w:space="0"/>
          <w:left w:val="single" w:color="6FC7B7" w:themeColor="accent5" w:sz="8" w:space="0"/>
          <w:bottom w:val="single" w:color="6FC7B7" w:themeColor="accent5" w:sz="8" w:space="0"/>
          <w:right w:val="single" w:color="6FC7B7" w:themeColor="accent5" w:sz="8" w:space="0"/>
          <w:insideH w:val="nil"/>
          <w:insideV w:val="single" w:color="6FC7B7"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tblStylePr w:type="band1Vert">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shd w:val="clear" w:color="auto" w:fill="DBF1ED" w:themeFill="accent5" w:themeFillTint="3F"/>
      </w:tcPr>
    </w:tblStylePr>
    <w:tblStylePr w:type="band1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insideV w:val="single" w:color="6FC7B7" w:themeColor="accent5" w:sz="8" w:space="0"/>
        </w:tcBorders>
        <w:shd w:val="clear" w:color="auto" w:fill="DBF1ED" w:themeFill="accent5" w:themeFillTint="3F"/>
      </w:tcPr>
    </w:tblStylePr>
    <w:tblStylePr w:type="band2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insideV w:val="single" w:color="6FC7B7" w:themeColor="accent5" w:sz="8" w:space="0"/>
        </w:tcBorders>
      </w:tcPr>
    </w:tblStylePr>
  </w:style>
  <w:style w:type="table" w:styleId="LightGrid-Accent11" w:customStyle="1">
    <w:name w:val="Light Grid - Accent 11"/>
    <w:basedOn w:val="TableNormal"/>
    <w:uiPriority w:val="62"/>
    <w:rsid w:val="00EA64B4"/>
    <w:pPr>
      <w:spacing w:after="0" w:line="240" w:lineRule="auto"/>
    </w:pPr>
    <w:tblPr>
      <w:tblStyleRowBandSize w:val="1"/>
      <w:tblStyleColBandSize w:val="1"/>
      <w:tblBorders>
        <w:top w:val="single" w:color="1C556C" w:themeColor="accent1" w:sz="8" w:space="0"/>
        <w:left w:val="single" w:color="1C556C" w:themeColor="accent1" w:sz="8" w:space="0"/>
        <w:bottom w:val="single" w:color="1C556C" w:themeColor="accent1" w:sz="8" w:space="0"/>
        <w:right w:val="single" w:color="1C556C" w:themeColor="accent1" w:sz="8" w:space="0"/>
        <w:insideH w:val="single" w:color="1C556C" w:themeColor="accent1" w:sz="8" w:space="0"/>
        <w:insideV w:val="single" w:color="1C556C"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C556C" w:themeColor="accent1" w:sz="8" w:space="0"/>
          <w:left w:val="single" w:color="1C556C" w:themeColor="accent1" w:sz="8" w:space="0"/>
          <w:bottom w:val="single" w:color="1C556C" w:themeColor="accent1" w:sz="18" w:space="0"/>
          <w:right w:val="single" w:color="1C556C" w:themeColor="accent1" w:sz="8" w:space="0"/>
          <w:insideH w:val="nil"/>
          <w:insideV w:val="single" w:color="1C556C"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C556C" w:themeColor="accent1" w:sz="6" w:space="0"/>
          <w:left w:val="single" w:color="1C556C" w:themeColor="accent1" w:sz="8" w:space="0"/>
          <w:bottom w:val="single" w:color="1C556C" w:themeColor="accent1" w:sz="8" w:space="0"/>
          <w:right w:val="single" w:color="1C556C" w:themeColor="accent1" w:sz="8" w:space="0"/>
          <w:insideH w:val="nil"/>
          <w:insideV w:val="single" w:color="1C556C"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tblStylePr w:type="band1Vert">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shd w:val="clear" w:color="auto" w:fill="B5DCEC" w:themeFill="accent1" w:themeFillTint="3F"/>
      </w:tcPr>
    </w:tblStylePr>
    <w:tblStylePr w:type="band1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insideV w:val="single" w:color="1C556C" w:themeColor="accent1" w:sz="8" w:space="0"/>
        </w:tcBorders>
        <w:shd w:val="clear" w:color="auto" w:fill="B5DCEC" w:themeFill="accent1" w:themeFillTint="3F"/>
      </w:tcPr>
    </w:tblStylePr>
    <w:tblStylePr w:type="band2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insideV w:val="single" w:color="1C556C" w:themeColor="accent1" w:sz="8" w:space="0"/>
        </w:tcBorders>
      </w:tcPr>
    </w:tblStylePr>
  </w:style>
  <w:style w:type="table" w:styleId="LightShading-Accent11" w:customStyle="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color="1C556C" w:themeColor="accent1" w:sz="8" w:space="0"/>
        <w:bottom w:val="single" w:color="1C556C" w:themeColor="accent1" w:sz="8" w:space="0"/>
      </w:tblBorders>
    </w:tblPr>
    <w:tblStylePr w:type="fir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la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11" w:customStyle="1">
    <w:name w:val="Light List - Accent 11"/>
    <w:basedOn w:val="TableNormal"/>
    <w:uiPriority w:val="61"/>
    <w:rsid w:val="00EA64B4"/>
    <w:pPr>
      <w:spacing w:after="0" w:line="240" w:lineRule="auto"/>
    </w:pPr>
    <w:tblPr>
      <w:tblStyleRowBandSize w:val="1"/>
      <w:tblStyleColBandSize w:val="1"/>
      <w:tblBorders>
        <w:top w:val="single" w:color="1C556C" w:themeColor="accent1" w:sz="8" w:space="0"/>
        <w:left w:val="single" w:color="1C556C" w:themeColor="accent1" w:sz="8" w:space="0"/>
        <w:bottom w:val="single" w:color="1C556C" w:themeColor="accent1" w:sz="8" w:space="0"/>
        <w:right w:val="single" w:color="1C556C" w:themeColor="accent1" w:sz="8" w:space="0"/>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color="1C556C" w:themeColor="accent1" w:sz="6" w:space="0"/>
          <w:left w:val="single" w:color="1C556C" w:themeColor="accent1" w:sz="8" w:space="0"/>
          <w:bottom w:val="single" w:color="1C556C" w:themeColor="accent1" w:sz="8" w:space="0"/>
          <w:right w:val="single" w:color="1C556C" w:themeColor="accent1" w:sz="8" w:space="0"/>
        </w:tcBorders>
      </w:tcPr>
    </w:tblStylePr>
    <w:tblStylePr w:type="firstCol">
      <w:rPr>
        <w:b/>
        <w:bCs/>
      </w:rPr>
    </w:tblStylePr>
    <w:tblStylePr w:type="lastCol">
      <w:rPr>
        <w:b/>
        <w:bCs/>
      </w:rPr>
    </w:tblStylePr>
    <w:tblStylePr w:type="band1Vert">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tblStylePr w:type="band1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hAnsi="Times New Roman" w:eastAsia="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styleId="Heading6Char" w:customStyle="1">
    <w:name w:val="Heading 6 Char"/>
    <w:basedOn w:val="DefaultParagraphFont"/>
    <w:link w:val="Heading6"/>
    <w:semiHidden/>
    <w:rsid w:val="00EA64B4"/>
    <w:rPr>
      <w:rFonts w:ascii="Times New Roman" w:hAnsi="Times New Roman" w:eastAsia="Times New Roman" w:cs="Times New Roman"/>
      <w:b/>
      <w:szCs w:val="20"/>
      <w:lang w:val="en-AU"/>
    </w:rPr>
  </w:style>
  <w:style w:type="character" w:styleId="Heading7Char" w:customStyle="1">
    <w:name w:val="Heading 7 Char"/>
    <w:basedOn w:val="DefaultParagraphFont"/>
    <w:link w:val="Heading7"/>
    <w:semiHidden/>
    <w:rsid w:val="00EA64B4"/>
    <w:rPr>
      <w:rFonts w:ascii="Times New Roman" w:hAnsi="Times New Roman" w:eastAsia="Times New Roman" w:cs="Times New Roman"/>
      <w:szCs w:val="20"/>
      <w:lang w:val="en-AU"/>
    </w:rPr>
  </w:style>
  <w:style w:type="character" w:styleId="Heading8Char" w:customStyle="1">
    <w:name w:val="Heading 8 Char"/>
    <w:basedOn w:val="DefaultParagraphFont"/>
    <w:link w:val="Heading8"/>
    <w:semiHidden/>
    <w:rsid w:val="00EA64B4"/>
    <w:rPr>
      <w:rFonts w:ascii="Times New Roman" w:hAnsi="Times New Roman" w:eastAsia="Times New Roman" w:cs="Times New Roman"/>
      <w:i/>
      <w:szCs w:val="20"/>
      <w:lang w:val="en-AU"/>
    </w:rPr>
  </w:style>
  <w:style w:type="character" w:styleId="Heading9Char" w:customStyle="1">
    <w:name w:val="Heading 9 Char"/>
    <w:basedOn w:val="DefaultParagraphFont"/>
    <w:link w:val="Heading9"/>
    <w:semiHidden/>
    <w:rsid w:val="00EA64B4"/>
    <w:rPr>
      <w:rFonts w:ascii="Arial" w:hAnsi="Arial" w:eastAsia="Times New Roman"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hAnsi="Arial" w:eastAsia="Times New Roman" w:cs="Times New Roman"/>
      <w:sz w:val="20"/>
      <w:szCs w:val="20"/>
      <w:lang w:eastAsia="en-GB"/>
    </w:rPr>
  </w:style>
  <w:style w:type="paragraph" w:styleId="Caption">
    <w:name w:val="caption"/>
    <w:basedOn w:val="Normal"/>
    <w:next w:val="Normal"/>
    <w:uiPriority w:val="35"/>
    <w:semiHidden/>
    <w:qFormat/>
    <w:rsid w:val="00EA64B4"/>
    <w:pPr>
      <w:spacing w:after="200" w:line="240" w:lineRule="auto"/>
    </w:pPr>
    <w:rPr>
      <w:rFonts w:ascii="Times New Roman" w:hAnsi="Times New Roman" w:eastAsia="Times New Roman" w:cs="Times New Roman"/>
      <w:b/>
      <w:bCs/>
      <w:color w:val="1C556C" w:themeColor="accent1"/>
      <w:sz w:val="18"/>
      <w:szCs w:val="18"/>
      <w:lang w:eastAsia="en-US"/>
    </w:rPr>
  </w:style>
  <w:style w:type="character" w:styleId="BulletChar" w:customStyle="1">
    <w:name w:val="Bullet Char"/>
    <w:basedOn w:val="DefaultParagraphFont"/>
    <w:link w:val="Bullet"/>
    <w:locked/>
    <w:rsid w:val="00E55CF6"/>
    <w:rPr>
      <w:rFonts w:ascii="Calibri" w:hAnsi="Calibri" w:eastAsia="Times New Roman" w:cs="Times New Roman"/>
      <w:sz w:val="24"/>
      <w:szCs w:val="20"/>
      <w:lang w:eastAsia="en-NZ"/>
    </w:rPr>
  </w:style>
  <w:style w:type="paragraph" w:styleId="Casestudyheading" w:customStyle="1">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color="1C556C" w:themeColor="accent1" w:sz="8" w:space="0"/>
        <w:bottom w:val="single" w:color="1C556C" w:themeColor="accent1" w:sz="8" w:space="0"/>
      </w:tblBorders>
    </w:tblPr>
    <w:tblStylePr w:type="fir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la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color="D5EBE8" w:themeColor="accent3" w:sz="8" w:space="0"/>
        <w:left w:val="single" w:color="D5EBE8" w:themeColor="accent3" w:sz="8" w:space="0"/>
        <w:bottom w:val="single" w:color="D5EBE8" w:themeColor="accent3" w:sz="8" w:space="0"/>
        <w:right w:val="single" w:color="D5EBE8" w:themeColor="accent3" w:sz="8" w:space="0"/>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color="D5EBE8" w:themeColor="accent3" w:sz="6" w:space="0"/>
          <w:left w:val="single" w:color="D5EBE8" w:themeColor="accent3" w:sz="8" w:space="0"/>
          <w:bottom w:val="single" w:color="D5EBE8" w:themeColor="accent3" w:sz="8" w:space="0"/>
          <w:right w:val="single" w:color="D5EBE8" w:themeColor="accent3" w:sz="8" w:space="0"/>
        </w:tcBorders>
      </w:tcPr>
    </w:tblStylePr>
    <w:tblStylePr w:type="firstCol">
      <w:rPr>
        <w:b/>
        <w:bCs/>
      </w:rPr>
    </w:tblStylePr>
    <w:tblStylePr w:type="lastCol">
      <w:rPr>
        <w:b/>
        <w:bCs/>
      </w:rPr>
    </w:tblStylePr>
    <w:tblStylePr w:type="band1Vert">
      <w:tblPr/>
      <w:tcPr>
        <w:tcBorders>
          <w:top w:val="single" w:color="D5EBE8" w:themeColor="accent3" w:sz="8" w:space="0"/>
          <w:left w:val="single" w:color="D5EBE8" w:themeColor="accent3" w:sz="8" w:space="0"/>
          <w:bottom w:val="single" w:color="D5EBE8" w:themeColor="accent3" w:sz="8" w:space="0"/>
          <w:right w:val="single" w:color="D5EBE8" w:themeColor="accent3" w:sz="8" w:space="0"/>
        </w:tcBorders>
      </w:tcPr>
    </w:tblStylePr>
    <w:tblStylePr w:type="band1Horz">
      <w:tblPr/>
      <w:tcPr>
        <w:tcBorders>
          <w:top w:val="single" w:color="D5EBE8" w:themeColor="accent3" w:sz="8" w:space="0"/>
          <w:left w:val="single" w:color="D5EBE8" w:themeColor="accent3" w:sz="8" w:space="0"/>
          <w:bottom w:val="single" w:color="D5EBE8" w:themeColor="accent3" w:sz="8" w:space="0"/>
          <w:right w:val="single" w:color="D5EBE8" w:themeColor="accent3" w:sz="8" w:space="0"/>
        </w:tcBorders>
      </w:tcPr>
    </w:tblStylePr>
  </w:style>
  <w:style w:type="numbering" w:styleId="Style1" w:customStyle="1">
    <w:name w:val="Style1"/>
    <w:uiPriority w:val="99"/>
    <w:rsid w:val="00B07CE9"/>
    <w:pPr>
      <w:numPr>
        <w:numId w:val="13"/>
      </w:numPr>
    </w:pPr>
  </w:style>
  <w:style w:type="numbering" w:styleId="Style2" w:customStyle="1">
    <w:name w:val="Style2"/>
    <w:uiPriority w:val="99"/>
    <w:rsid w:val="008E0688"/>
    <w:pPr>
      <w:numPr>
        <w:numId w:val="19"/>
      </w:numPr>
    </w:pPr>
  </w:style>
  <w:style w:type="paragraph" w:styleId="Greenbullet-casestudytables" w:customStyle="1">
    <w:name w:val="Green bullet - case study tables"/>
    <w:basedOn w:val="Greentext-casestudytables"/>
    <w:uiPriority w:val="1"/>
    <w:semiHidden/>
    <w:rsid w:val="00C15722"/>
    <w:pPr>
      <w:numPr>
        <w:numId w:val="31"/>
      </w:numPr>
      <w:spacing w:before="0"/>
      <w:ind w:left="681" w:hanging="397"/>
    </w:pPr>
  </w:style>
  <w:style w:type="paragraph" w:styleId="Greentext-casestudytables" w:customStyle="1">
    <w:name w:val="Green text - case study tables"/>
    <w:basedOn w:val="BodyText"/>
    <w:uiPriority w:val="1"/>
    <w:semiHidden/>
    <w:rsid w:val="00C15722"/>
    <w:pPr>
      <w:spacing w:line="260" w:lineRule="atLeast"/>
      <w:ind w:left="284" w:right="284"/>
    </w:pPr>
    <w:rPr>
      <w:color w:val="0F7B7D"/>
      <w:sz w:val="20"/>
    </w:rPr>
  </w:style>
  <w:style w:type="paragraph" w:styleId="Greenheading-casestudytables" w:customStyle="1">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styleId="Style3" w:customStyle="1">
    <w:name w:val="Style3"/>
    <w:uiPriority w:val="99"/>
    <w:rsid w:val="008B5A2D"/>
    <w:pPr>
      <w:numPr>
        <w:numId w:val="33"/>
      </w:numPr>
    </w:pPr>
  </w:style>
  <w:style w:type="paragraph" w:styleId="Boxtext" w:customStyle="1">
    <w:name w:val="Box text"/>
    <w:basedOn w:val="Normal"/>
    <w:uiPriority w:val="1"/>
    <w:qFormat/>
    <w:rsid w:val="005C5377"/>
    <w:pPr>
      <w:spacing w:before="120" w:line="260" w:lineRule="atLeast"/>
      <w:ind w:left="284" w:right="284"/>
      <w:jc w:val="both"/>
    </w:pPr>
    <w:rPr>
      <w:rFonts w:cs="Times New Roman"/>
      <w:color w:val="1B556B"/>
      <w:sz w:val="22"/>
      <w:szCs w:val="20"/>
    </w:rPr>
  </w:style>
  <w:style w:type="paragraph" w:styleId="Boxbullet" w:customStyle="1">
    <w:name w:val="Box bullet"/>
    <w:basedOn w:val="Boxtext"/>
    <w:uiPriority w:val="1"/>
    <w:qFormat/>
    <w:rsid w:val="005C5377"/>
    <w:pPr>
      <w:numPr>
        <w:numId w:val="2"/>
      </w:numPr>
      <w:tabs>
        <w:tab w:val="left" w:pos="680"/>
      </w:tabs>
      <w:spacing w:before="0"/>
      <w:ind w:left="681" w:hanging="397"/>
    </w:pPr>
  </w:style>
  <w:style w:type="paragraph" w:styleId="Boxheading" w:customStyle="1">
    <w:name w:val="Box heading"/>
    <w:basedOn w:val="Boxtext"/>
    <w:next w:val="Boxtext"/>
    <w:uiPriority w:val="1"/>
    <w:qFormat/>
    <w:rsid w:val="00DB6A2B"/>
    <w:pPr>
      <w:keepNext/>
      <w:spacing w:before="240" w:after="0"/>
    </w:pPr>
    <w:rPr>
      <w:b/>
    </w:rPr>
  </w:style>
  <w:style w:type="paragraph" w:styleId="Boxsub-bullet" w:customStyle="1">
    <w:name w:val="Box sub-bullet"/>
    <w:basedOn w:val="Boxtext"/>
    <w:uiPriority w:val="1"/>
    <w:qFormat/>
    <w:rsid w:val="00DB6A2B"/>
    <w:pPr>
      <w:numPr>
        <w:numId w:val="36"/>
      </w:numPr>
      <w:spacing w:before="0"/>
    </w:pPr>
  </w:style>
  <w:style w:type="paragraph" w:styleId="Greensub-bullet-casestudytables" w:customStyle="1">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C27C3B"/>
    <w:rPr>
      <w:color w:val="605E5C"/>
      <w:shd w:val="clear" w:color="auto" w:fill="E1DFDD"/>
    </w:rPr>
  </w:style>
  <w:style w:type="character" w:styleId="normaltextrun" w:customStyle="1">
    <w:name w:val="normaltextrun"/>
    <w:basedOn w:val="DefaultParagraphFont"/>
    <w:rsid w:val="0051729B"/>
  </w:style>
  <w:style w:type="paragraph" w:styleId="CommentText">
    <w:name w:val="annotation text"/>
    <w:basedOn w:val="Normal"/>
    <w:link w:val="CommentTextChar"/>
    <w:uiPriority w:val="99"/>
    <w:semiHidden/>
    <w:rsid w:val="000B52B1"/>
    <w:pPr>
      <w:spacing w:line="240" w:lineRule="auto"/>
    </w:pPr>
    <w:rPr>
      <w:sz w:val="20"/>
      <w:szCs w:val="20"/>
    </w:rPr>
  </w:style>
  <w:style w:type="character" w:styleId="CommentTextChar" w:customStyle="1">
    <w:name w:val="Comment Text Char"/>
    <w:basedOn w:val="DefaultParagraphFont"/>
    <w:link w:val="CommentText"/>
    <w:uiPriority w:val="99"/>
    <w:semiHidden/>
    <w:rsid w:val="000B52B1"/>
    <w:rPr>
      <w:rFonts w:ascii="Calibri" w:hAnsi="Calibri" w:eastAsiaTheme="minorEastAsia"/>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header" Target="header4.xml" Id="rId26" /><Relationship Type="http://schemas.openxmlformats.org/officeDocument/2006/relationships/customXml" Target="../customXml/item3.xml" Id="rId3" /><Relationship Type="http://schemas.openxmlformats.org/officeDocument/2006/relationships/hyperlink" Target="https://www.legislation.govt.nz/act/public/2023/0047/latest/LMS545761.html?search=ts_act%40bill%40regulation%40deemedreg_spatial+planning_resel_25_a&amp;p=1" TargetMode="External"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image" Target="media/image6.jpeg"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yperlink" Target="https://www.legislation.govt.nz/act/public/2023/0046/latest/LMS501892.html?search=ts_act%40bill%40regulation%40deemedreg_natural+and+built_resel_25_a&amp;p=1" TargetMode="External" Id="rId20" /><Relationship Type="http://schemas.openxmlformats.org/officeDocument/2006/relationships/footer" Target="footer5.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legislation.govt.nz/act/public/2023/0046/latest/LMS501892.html?search=ts_act%40bill%40regulation%40deemedreg_natural+and+built_resel_25_a&amp;p=1" TargetMode="External" Id="rId24" /><Relationship Type="http://schemas.openxmlformats.org/officeDocument/2006/relationships/customXml" Target="../customXml/item5.xml" Id="rId5" /><Relationship Type="http://schemas.openxmlformats.org/officeDocument/2006/relationships/hyperlink" Target="http://www.mfe.govt.nz" TargetMode="External" Id="rId15" /><Relationship Type="http://schemas.openxmlformats.org/officeDocument/2006/relationships/image" Target="media/image5.jpg" Id="rId23" /><Relationship Type="http://schemas.openxmlformats.org/officeDocument/2006/relationships/footer" Target="footer4.xml" Id="rId28"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4.jpeg" Id="rId22" /><Relationship Type="http://schemas.openxmlformats.org/officeDocument/2006/relationships/header" Target="header5.xml" Id="rId27" /><Relationship Type="http://schemas.openxmlformats.org/officeDocument/2006/relationships/fontTable" Target="fontTable.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Resource%20management%20template\DRAFT%20Resource%20management%20template%20v3.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ECM-1122293896-103628</_dlc_DocId>
    <_dlc_DocIdUrl xmlns="58a6f171-52cb-4404-b47d-af1c8daf8fd1">
      <Url>https://ministryforenvironment.sharepoint.com/sites/ECM-ER-Comms/_layouts/15/DocIdRedir.aspx?ID=ECM-1122293896-103628</Url>
      <Description>ECM-1122293896-103628</Description>
    </_dlc_DocIdUrl>
  </documentManagement>
</p:properties>
</file>

<file path=customXml/itemProps1.xml><?xml version="1.0" encoding="utf-8"?>
<ds:datastoreItem xmlns:ds="http://schemas.openxmlformats.org/officeDocument/2006/customXml" ds:itemID="{1028B81E-C161-4514-A662-9580A12F7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08FD57-B577-4957-87E6-5EEBDBA26BF1}">
  <ds:schemaRefs>
    <ds:schemaRef ds:uri="http://schemas.microsoft.com/sharepoint/v3/contenttype/forms"/>
  </ds:schemaRefs>
</ds:datastoreItem>
</file>

<file path=customXml/itemProps3.xml><?xml version="1.0" encoding="utf-8"?>
<ds:datastoreItem xmlns:ds="http://schemas.openxmlformats.org/officeDocument/2006/customXml" ds:itemID="{3824E2C5-AAEE-47D6-92D5-E4734594E29B}">
  <ds:schemaRefs>
    <ds:schemaRef ds:uri="http://schemas.microsoft.com/sharepoint/event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290746E1-A29D-49A5-A674-89BDEDB45F83}">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DRAFT Resource management template v3.dotx</Template>
  <TotalTime>45</TotalTime>
  <Pages>1</Pages>
  <Words>4333</Words>
  <Characters>24699</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28975</CharactersWithSpaces>
  <SharedDoc>false</SharedDoc>
  <HLinks>
    <vt:vector size="108" baseType="variant">
      <vt:variant>
        <vt:i4>7274496</vt:i4>
      </vt:variant>
      <vt:variant>
        <vt:i4>99</vt:i4>
      </vt:variant>
      <vt:variant>
        <vt:i4>0</vt:i4>
      </vt:variant>
      <vt:variant>
        <vt:i4>5</vt:i4>
      </vt:variant>
      <vt:variant>
        <vt:lpwstr/>
      </vt:variant>
      <vt:variant>
        <vt:lpwstr>_Appendix_A:_Detailed</vt:lpwstr>
      </vt:variant>
      <vt:variant>
        <vt:i4>2686985</vt:i4>
      </vt:variant>
      <vt:variant>
        <vt:i4>96</vt:i4>
      </vt:variant>
      <vt:variant>
        <vt:i4>0</vt:i4>
      </vt:variant>
      <vt:variant>
        <vt:i4>5</vt:i4>
      </vt:variant>
      <vt:variant>
        <vt:lpwstr>https://www.legislation.govt.nz/act/public/2023/0046/latest/LMS501892.html?search=ts_act%40bill%40regulation%40deemedreg_natural+and+built_resel_25_a&amp;p=1</vt:lpwstr>
      </vt:variant>
      <vt:variant>
        <vt:lpwstr/>
      </vt:variant>
      <vt:variant>
        <vt:i4>5570686</vt:i4>
      </vt:variant>
      <vt:variant>
        <vt:i4>93</vt:i4>
      </vt:variant>
      <vt:variant>
        <vt:i4>0</vt:i4>
      </vt:variant>
      <vt:variant>
        <vt:i4>5</vt:i4>
      </vt:variant>
      <vt:variant>
        <vt:lpwstr>https://www.legislation.govt.nz/act/public/2023/0047/latest/LMS545761.html?search=ts_act%40bill%40regulation%40deemedreg_spatial+planning_resel_25_a&amp;p=1</vt:lpwstr>
      </vt:variant>
      <vt:variant>
        <vt:lpwstr/>
      </vt:variant>
      <vt:variant>
        <vt:i4>2686985</vt:i4>
      </vt:variant>
      <vt:variant>
        <vt:i4>90</vt:i4>
      </vt:variant>
      <vt:variant>
        <vt:i4>0</vt:i4>
      </vt:variant>
      <vt:variant>
        <vt:i4>5</vt:i4>
      </vt:variant>
      <vt:variant>
        <vt:lpwstr>https://www.legislation.govt.nz/act/public/2023/0046/latest/LMS501892.html?search=ts_act%40bill%40regulation%40deemedreg_natural+and+built_resel_25_a&amp;p=1</vt:lpwstr>
      </vt:variant>
      <vt:variant>
        <vt:lpwstr/>
      </vt:variant>
      <vt:variant>
        <vt:i4>1507378</vt:i4>
      </vt:variant>
      <vt:variant>
        <vt:i4>83</vt:i4>
      </vt:variant>
      <vt:variant>
        <vt:i4>0</vt:i4>
      </vt:variant>
      <vt:variant>
        <vt:i4>5</vt:i4>
      </vt:variant>
      <vt:variant>
        <vt:lpwstr/>
      </vt:variant>
      <vt:variant>
        <vt:lpwstr>_Toc146037635</vt:lpwstr>
      </vt:variant>
      <vt:variant>
        <vt:i4>1507378</vt:i4>
      </vt:variant>
      <vt:variant>
        <vt:i4>77</vt:i4>
      </vt:variant>
      <vt:variant>
        <vt:i4>0</vt:i4>
      </vt:variant>
      <vt:variant>
        <vt:i4>5</vt:i4>
      </vt:variant>
      <vt:variant>
        <vt:lpwstr/>
      </vt:variant>
      <vt:variant>
        <vt:lpwstr>_Toc146037634</vt:lpwstr>
      </vt:variant>
      <vt:variant>
        <vt:i4>1507378</vt:i4>
      </vt:variant>
      <vt:variant>
        <vt:i4>71</vt:i4>
      </vt:variant>
      <vt:variant>
        <vt:i4>0</vt:i4>
      </vt:variant>
      <vt:variant>
        <vt:i4>5</vt:i4>
      </vt:variant>
      <vt:variant>
        <vt:lpwstr/>
      </vt:variant>
      <vt:variant>
        <vt:lpwstr>_Toc146037633</vt:lpwstr>
      </vt:variant>
      <vt:variant>
        <vt:i4>1441842</vt:i4>
      </vt:variant>
      <vt:variant>
        <vt:i4>62</vt:i4>
      </vt:variant>
      <vt:variant>
        <vt:i4>0</vt:i4>
      </vt:variant>
      <vt:variant>
        <vt:i4>5</vt:i4>
      </vt:variant>
      <vt:variant>
        <vt:lpwstr/>
      </vt:variant>
      <vt:variant>
        <vt:lpwstr>_Toc146037628</vt:lpwstr>
      </vt:variant>
      <vt:variant>
        <vt:i4>1441842</vt:i4>
      </vt:variant>
      <vt:variant>
        <vt:i4>56</vt:i4>
      </vt:variant>
      <vt:variant>
        <vt:i4>0</vt:i4>
      </vt:variant>
      <vt:variant>
        <vt:i4>5</vt:i4>
      </vt:variant>
      <vt:variant>
        <vt:lpwstr/>
      </vt:variant>
      <vt:variant>
        <vt:lpwstr>_Toc146037627</vt:lpwstr>
      </vt:variant>
      <vt:variant>
        <vt:i4>1441842</vt:i4>
      </vt:variant>
      <vt:variant>
        <vt:i4>50</vt:i4>
      </vt:variant>
      <vt:variant>
        <vt:i4>0</vt:i4>
      </vt:variant>
      <vt:variant>
        <vt:i4>5</vt:i4>
      </vt:variant>
      <vt:variant>
        <vt:lpwstr/>
      </vt:variant>
      <vt:variant>
        <vt:lpwstr>_Toc146037626</vt:lpwstr>
      </vt:variant>
      <vt:variant>
        <vt:i4>1441842</vt:i4>
      </vt:variant>
      <vt:variant>
        <vt:i4>44</vt:i4>
      </vt:variant>
      <vt:variant>
        <vt:i4>0</vt:i4>
      </vt:variant>
      <vt:variant>
        <vt:i4>5</vt:i4>
      </vt:variant>
      <vt:variant>
        <vt:lpwstr/>
      </vt:variant>
      <vt:variant>
        <vt:lpwstr>_Toc146037625</vt:lpwstr>
      </vt:variant>
      <vt:variant>
        <vt:i4>1376306</vt:i4>
      </vt:variant>
      <vt:variant>
        <vt:i4>35</vt:i4>
      </vt:variant>
      <vt:variant>
        <vt:i4>0</vt:i4>
      </vt:variant>
      <vt:variant>
        <vt:i4>5</vt:i4>
      </vt:variant>
      <vt:variant>
        <vt:lpwstr/>
      </vt:variant>
      <vt:variant>
        <vt:lpwstr>_Toc146037618</vt:lpwstr>
      </vt:variant>
      <vt:variant>
        <vt:i4>1376306</vt:i4>
      </vt:variant>
      <vt:variant>
        <vt:i4>29</vt:i4>
      </vt:variant>
      <vt:variant>
        <vt:i4>0</vt:i4>
      </vt:variant>
      <vt:variant>
        <vt:i4>5</vt:i4>
      </vt:variant>
      <vt:variant>
        <vt:lpwstr/>
      </vt:variant>
      <vt:variant>
        <vt:lpwstr>_Toc146037617</vt:lpwstr>
      </vt:variant>
      <vt:variant>
        <vt:i4>1376306</vt:i4>
      </vt:variant>
      <vt:variant>
        <vt:i4>23</vt:i4>
      </vt:variant>
      <vt:variant>
        <vt:i4>0</vt:i4>
      </vt:variant>
      <vt:variant>
        <vt:i4>5</vt:i4>
      </vt:variant>
      <vt:variant>
        <vt:lpwstr/>
      </vt:variant>
      <vt:variant>
        <vt:lpwstr>_Toc146037616</vt:lpwstr>
      </vt:variant>
      <vt:variant>
        <vt:i4>1376306</vt:i4>
      </vt:variant>
      <vt:variant>
        <vt:i4>17</vt:i4>
      </vt:variant>
      <vt:variant>
        <vt:i4>0</vt:i4>
      </vt:variant>
      <vt:variant>
        <vt:i4>5</vt:i4>
      </vt:variant>
      <vt:variant>
        <vt:lpwstr/>
      </vt:variant>
      <vt:variant>
        <vt:lpwstr>_Toc146037615</vt:lpwstr>
      </vt:variant>
      <vt:variant>
        <vt:i4>1376306</vt:i4>
      </vt:variant>
      <vt:variant>
        <vt:i4>11</vt:i4>
      </vt:variant>
      <vt:variant>
        <vt:i4>0</vt:i4>
      </vt:variant>
      <vt:variant>
        <vt:i4>5</vt:i4>
      </vt:variant>
      <vt:variant>
        <vt:lpwstr/>
      </vt:variant>
      <vt:variant>
        <vt:lpwstr>_Toc146037614</vt:lpwstr>
      </vt:variant>
      <vt:variant>
        <vt:i4>1376306</vt:i4>
      </vt:variant>
      <vt:variant>
        <vt:i4>5</vt:i4>
      </vt:variant>
      <vt:variant>
        <vt:i4>0</vt:i4>
      </vt:variant>
      <vt:variant>
        <vt:i4>5</vt:i4>
      </vt:variant>
      <vt:variant>
        <vt:lpwstr/>
      </vt:variant>
      <vt:variant>
        <vt:lpwstr>_Toc146037613</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Michael Johnson</cp:lastModifiedBy>
  <cp:revision>24</cp:revision>
  <dcterms:created xsi:type="dcterms:W3CDTF">2023-09-20T02:58:00Z</dcterms:created>
  <dcterms:modified xsi:type="dcterms:W3CDTF">2023-10-03T18:33:00Z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3b94697d-836a-4547-86ba-c960f1c14828</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2022-11-22T03:03:52Z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966f1f81-a69a-4ee3-ac43-8aa5057f9ada</vt:lpwstr>
  </property>
  <property fmtid="{D5CDD505-2E9C-101B-9397-08002B2CF9AE}" pid="11" name="MSIP_Label_52dda6cc-d61d-4fd2-bf18-9b3017d931cc_ContentBits">
    <vt:lpwstr>0</vt:lpwstr>
  </property>
</Properties>
</file>