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0AA1" w:rsidR="001C4D70" w:rsidP="00640AA1" w:rsidRDefault="00DA500C" w14:paraId="1192E511" w14:textId="6E0F9A13">
      <w:pPr>
        <w:pStyle w:val="BodyText"/>
        <w:spacing w:after="3600"/>
        <w:rPr>
          <w:rStyle w:val="normaltextrun"/>
        </w:rPr>
      </w:pPr>
      <w:r>
        <w:rPr>
          <w:noProof/>
        </w:rPr>
        <mc:AlternateContent>
          <mc:Choice Requires="wps">
            <w:drawing>
              <wp:anchor distT="0" distB="0" distL="114300" distR="114300" simplePos="0" relativeHeight="251658240" behindDoc="0" locked="0" layoutInCell="1" allowOverlap="1" wp14:anchorId="1F9B9299" wp14:editId="15F43013">
                <wp:simplePos x="0" y="0"/>
                <wp:positionH relativeFrom="column">
                  <wp:posOffset>-39370</wp:posOffset>
                </wp:positionH>
                <wp:positionV relativeFrom="paragraph">
                  <wp:posOffset>1118870</wp:posOffset>
                </wp:positionV>
                <wp:extent cx="5808345" cy="1403350"/>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808345" cy="1403350"/>
                        </a:xfrm>
                        <a:prstGeom prst="rect">
                          <a:avLst/>
                        </a:prstGeom>
                        <a:noFill/>
                        <a:ln w="6350">
                          <a:noFill/>
                        </a:ln>
                      </wps:spPr>
                      <wps:txbx>
                        <w:txbxContent>
                          <w:p w:rsidRPr="00EC0B89" w:rsidR="00B349E3" w:rsidP="00296A94" w:rsidRDefault="00652881" w14:paraId="0FFE03BE" w14:textId="0EF4E964">
                            <w:pPr>
                              <w:pStyle w:val="Subtitle"/>
                              <w:rPr>
                                <w:color w:val="1B556B" w:themeColor="text2"/>
                                <w:sz w:val="48"/>
                                <w:szCs w:val="48"/>
                              </w:rPr>
                            </w:pPr>
                            <w:proofErr w:type="spellStart"/>
                            <w:r w:rsidRPr="00652881">
                              <w:rPr>
                                <w:color w:val="2C9986" w:themeColor="accent4"/>
                                <w:sz w:val="48"/>
                                <w:szCs w:val="48"/>
                              </w:rPr>
                              <w:t>Tautuku</w:t>
                            </w:r>
                            <w:proofErr w:type="spellEnd"/>
                            <w:r w:rsidRPr="00652881">
                              <w:rPr>
                                <w:color w:val="2C9986" w:themeColor="accent4"/>
                                <w:sz w:val="48"/>
                                <w:szCs w:val="48"/>
                              </w:rPr>
                              <w:t xml:space="preserve"> me </w:t>
                            </w:r>
                            <w:proofErr w:type="spellStart"/>
                            <w:r w:rsidRPr="00652881">
                              <w:rPr>
                                <w:color w:val="2C9986" w:themeColor="accent4"/>
                                <w:sz w:val="48"/>
                                <w:szCs w:val="48"/>
                              </w:rPr>
                              <w:t>te</w:t>
                            </w:r>
                            <w:proofErr w:type="spellEnd"/>
                            <w:r w:rsidRPr="00652881">
                              <w:rPr>
                                <w:color w:val="2C9986" w:themeColor="accent4"/>
                                <w:sz w:val="48"/>
                                <w:szCs w:val="48"/>
                              </w:rPr>
                              <w:t xml:space="preserve"> </w:t>
                            </w:r>
                            <w:proofErr w:type="spellStart"/>
                            <w:r w:rsidRPr="00652881">
                              <w:rPr>
                                <w:color w:val="2C9986" w:themeColor="accent4"/>
                                <w:sz w:val="48"/>
                                <w:szCs w:val="48"/>
                              </w:rPr>
                              <w:t>uruhi</w:t>
                            </w:r>
                            <w:proofErr w:type="spellEnd"/>
                            <w:r w:rsidR="00C37399">
                              <w:rPr>
                                <w:rStyle w:val="eop"/>
                                <w:rFonts w:cs="Calibri" w:eastAsiaTheme="majorEastAsia"/>
                                <w:color w:val="2C9986"/>
                                <w:sz w:val="48"/>
                                <w:szCs w:val="48"/>
                              </w:rPr>
                              <w:br/>
                            </w:r>
                            <w:r w:rsidRPr="00C07C75" w:rsidR="00C07C75">
                              <w:rPr>
                                <w:color w:val="1B556B" w:themeColor="text2"/>
                                <w:sz w:val="48"/>
                                <w:szCs w:val="48"/>
                              </w:rPr>
                              <w:t>Compliance and enforcement</w:t>
                            </w:r>
                          </w:p>
                        </w:txbxContent>
                      </wps:txbx>
                      <wps:bodyPr rot="0" spcFirstLastPara="0" vertOverflow="overflow" horzOverflow="overflow" vert="horz" wrap="square" lIns="36000" tIns="72000" rIns="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FDD506">
              <v:shapetype id="_x0000_t202" coordsize="21600,21600" o:spt="202" path="m,l,21600r21600,l21600,xe" w14:anchorId="1F9B9299">
                <v:stroke joinstyle="miter"/>
                <v:path gradientshapeok="t" o:connecttype="rect"/>
              </v:shapetype>
              <v:shape id="Text Box 6" style="position:absolute;margin-left:-3.1pt;margin-top:88.1pt;width:457.3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">
                <v:textbox inset="1mm,2mm,0,15mm">
                  <w:txbxContent>
                    <w:p w:rsidRPr="00EC0B89" w:rsidR="00B349E3" w:rsidP="00296A94" w:rsidRDefault="00652881" w14:paraId="49DFCE19" w14:textId="0EF4E964">
                      <w:pPr>
                        <w:pStyle w:val="Subtitle"/>
                        <w:rPr>
                          <w:color w:val="1B556B" w:themeColor="text2"/>
                          <w:sz w:val="48"/>
                          <w:szCs w:val="48"/>
                        </w:rPr>
                      </w:pPr>
                      <w:proofErr w:type="spellStart"/>
                      <w:r w:rsidRPr="00652881">
                        <w:rPr>
                          <w:color w:val="2C9986" w:themeColor="accent4"/>
                          <w:sz w:val="48"/>
                          <w:szCs w:val="48"/>
                        </w:rPr>
                        <w:t>Tautuku</w:t>
                      </w:r>
                      <w:proofErr w:type="spellEnd"/>
                      <w:r w:rsidRPr="00652881">
                        <w:rPr>
                          <w:color w:val="2C9986" w:themeColor="accent4"/>
                          <w:sz w:val="48"/>
                          <w:szCs w:val="48"/>
                        </w:rPr>
                        <w:t xml:space="preserve"> me </w:t>
                      </w:r>
                      <w:proofErr w:type="spellStart"/>
                      <w:r w:rsidRPr="00652881">
                        <w:rPr>
                          <w:color w:val="2C9986" w:themeColor="accent4"/>
                          <w:sz w:val="48"/>
                          <w:szCs w:val="48"/>
                        </w:rPr>
                        <w:t>te</w:t>
                      </w:r>
                      <w:proofErr w:type="spellEnd"/>
                      <w:r w:rsidRPr="00652881">
                        <w:rPr>
                          <w:color w:val="2C9986" w:themeColor="accent4"/>
                          <w:sz w:val="48"/>
                          <w:szCs w:val="48"/>
                        </w:rPr>
                        <w:t xml:space="preserve"> </w:t>
                      </w:r>
                      <w:proofErr w:type="spellStart"/>
                      <w:r w:rsidRPr="00652881">
                        <w:rPr>
                          <w:color w:val="2C9986" w:themeColor="accent4"/>
                          <w:sz w:val="48"/>
                          <w:szCs w:val="48"/>
                        </w:rPr>
                        <w:t>uruhi</w:t>
                      </w:r>
                      <w:proofErr w:type="spellEnd"/>
                      <w:r w:rsidR="00C37399">
                        <w:rPr>
                          <w:rStyle w:val="eop"/>
                          <w:rFonts w:cs="Calibri" w:eastAsiaTheme="majorEastAsia"/>
                          <w:color w:val="2C9986"/>
                          <w:sz w:val="48"/>
                          <w:szCs w:val="48"/>
                        </w:rPr>
                        <w:br/>
                      </w:r>
                      <w:r w:rsidRPr="00C07C75" w:rsidR="00C07C75">
                        <w:rPr>
                          <w:color w:val="1B556B" w:themeColor="text2"/>
                          <w:sz w:val="48"/>
                          <w:szCs w:val="48"/>
                        </w:rPr>
                        <w:t>Compliance and enforcement</w:t>
                      </w:r>
                    </w:p>
                  </w:txbxContent>
                </v:textbox>
                <w10:wrap type="topAndBottom"/>
              </v:shape>
            </w:pict>
          </mc:Fallback>
        </mc:AlternateContent>
      </w:r>
      <w:r w:rsidR="00721893">
        <w:rPr>
          <w:noProof/>
        </w:rPr>
        <mc:AlternateContent>
          <mc:Choice Requires="wps">
            <w:drawing>
              <wp:anchor distT="45720" distB="45720" distL="114300" distR="114300" simplePos="0" relativeHeight="251658243" behindDoc="0" locked="0" layoutInCell="1" allowOverlap="1" wp14:anchorId="4DEC8DBD" wp14:editId="0F6E427D">
                <wp:simplePos x="0" y="0"/>
                <wp:positionH relativeFrom="column">
                  <wp:posOffset>3693779</wp:posOffset>
                </wp:positionH>
                <wp:positionV relativeFrom="page">
                  <wp:posOffset>349250</wp:posOffset>
                </wp:positionV>
                <wp:extent cx="2408555" cy="7124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2470"/>
                        </a:xfrm>
                        <a:prstGeom prst="rect">
                          <a:avLst/>
                        </a:prstGeom>
                        <a:noFill/>
                        <a:ln w="9525">
                          <a:noFill/>
                          <a:miter lim="800000"/>
                          <a:headEnd/>
                          <a:tailEnd/>
                        </a:ln>
                      </wps:spPr>
                      <wps:txbx>
                        <w:txbxContent>
                          <w:p w:rsidRPr="00721893" w:rsidR="007A383E" w:rsidP="00DA500C" w:rsidRDefault="007A383E" w14:paraId="3D10EA6F" w14:textId="7E60C660">
                            <w:pPr>
                              <w:pStyle w:val="Headerinfo"/>
                              <w:rPr>
                                <w:b/>
                              </w:rPr>
                            </w:pPr>
                            <w:r w:rsidRPr="00721893">
                              <w:t>The new resource management system:</w:t>
                            </w:r>
                            <w:r w:rsidRPr="00721893">
                              <w:br/>
                            </w:r>
                            <w:r w:rsidRPr="00721893">
                              <w:t>Natural and Built Environment Act</w:t>
                            </w:r>
                            <w:r w:rsidR="00984153">
                              <w:t xml:space="preserve"> 2023</w:t>
                            </w:r>
                            <w:r w:rsidRPr="00721893">
                              <w:br/>
                            </w:r>
                            <w:r w:rsidRPr="00721893">
                              <w:t>and Spatial Planning Act 2023</w:t>
                            </w:r>
                          </w:p>
                          <w:p w:rsidR="007A383E" w:rsidP="007A383E" w:rsidRDefault="007A383E" w14:paraId="4CFE768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FAC117">
              <v:shape id="Text Box 217" style="position:absolute;margin-left:290.85pt;margin-top:27.5pt;width:189.65pt;height:5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" w14:anchorId="4DEC8DBD">
                <v:textbox>
                  <w:txbxContent>
                    <w:p w:rsidRPr="00721893" w:rsidR="007A383E" w:rsidP="00DA500C" w:rsidRDefault="007A383E" w14:paraId="18C7DB12" w14:textId="7E60C660">
                      <w:pPr>
                        <w:pStyle w:val="Headerinfo"/>
                        <w:rPr>
                          <w:b/>
                        </w:rPr>
                      </w:pPr>
                      <w:r w:rsidRPr="00721893">
                        <w:t>The new resource management system:</w:t>
                      </w:r>
                      <w:r w:rsidRPr="00721893">
                        <w:br/>
                      </w:r>
                      <w:r w:rsidRPr="00721893">
                        <w:t>Natural and Built Environment Act</w:t>
                      </w:r>
                      <w:r w:rsidR="00984153">
                        <w:t xml:space="preserve"> 2023</w:t>
                      </w:r>
                      <w:r w:rsidRPr="00721893">
                        <w:br/>
                      </w:r>
                      <w:r w:rsidRPr="00721893">
                        <w:t>and Spatial Planning Act 2023</w:t>
                      </w:r>
                    </w:p>
                    <w:p w:rsidR="007A383E" w:rsidP="007A383E" w:rsidRDefault="007A383E" w14:paraId="672A6659" w14:textId="77777777"/>
                  </w:txbxContent>
                </v:textbox>
                <w10:wrap type="square" anchory="page"/>
              </v:shape>
            </w:pict>
          </mc:Fallback>
        </mc:AlternateContent>
      </w:r>
      <w:r w:rsidR="005C7862">
        <w:rPr>
          <w:rFonts w:asciiTheme="minorHAnsi" w:hAnsiTheme="minorHAnsi" w:cstheme="minorHAnsi"/>
          <w:noProof/>
          <w:color w:val="FFFFFF" w:themeColor="background1"/>
        </w:rPr>
        <w:drawing>
          <wp:anchor distT="0" distB="0" distL="114300" distR="114300" simplePos="0" relativeHeight="251658242" behindDoc="1" locked="0" layoutInCell="1" allowOverlap="1" wp14:anchorId="4EB9157D" wp14:editId="0B08B977">
            <wp:simplePos x="0" y="0"/>
            <wp:positionH relativeFrom="page">
              <wp:posOffset>8115</wp:posOffset>
            </wp:positionH>
            <wp:positionV relativeFrom="paragraph">
              <wp:posOffset>-737080</wp:posOffset>
            </wp:positionV>
            <wp:extent cx="7543165" cy="1352550"/>
            <wp:effectExtent l="0" t="0" r="63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4316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90372B" w:rsidR="007D4BC4" w:rsidP="0090372B" w:rsidRDefault="007D4BC4" w14:paraId="51DA7D02" w14:textId="77777777">
      <w:pPr>
        <w:pStyle w:val="BodyText"/>
        <w:rPr>
          <w:rStyle w:val="normaltextrun"/>
        </w:rPr>
      </w:pPr>
      <w:r w:rsidRPr="0090372B">
        <w:t>New laws are being phased in that aim to help Aotearoa New Zealand protect and manage the environment and its resources.</w:t>
      </w:r>
      <w:r w:rsidRPr="0090372B" w:rsidDel="00ED41D3">
        <w:rPr>
          <w:rStyle w:val="normaltextrun"/>
        </w:rPr>
        <w:t xml:space="preserve"> </w:t>
      </w:r>
      <w:r w:rsidRPr="0090372B">
        <w:rPr>
          <w:rStyle w:val="normaltextrun"/>
        </w:rPr>
        <w:t xml:space="preserve">The Spatial Planning Act 2023 (SPA) and the Natural and Built Environment Act 2023 (NBA) were enacted on 23 August 2023.  </w:t>
      </w:r>
    </w:p>
    <w:p w:rsidRPr="0090372B" w:rsidR="007D4BC4" w:rsidP="0090372B" w:rsidRDefault="007D4BC4" w14:paraId="45FA9C98" w14:textId="63899A6F">
      <w:pPr>
        <w:pStyle w:val="BodyText"/>
      </w:pPr>
      <w:r w:rsidRPr="0090372B">
        <w:t xml:space="preserve">New and updated compliance and enforcement (C&amp;E) powers and tools will be available while the system moves from the Resource Management Act </w:t>
      </w:r>
      <w:r w:rsidR="00166812">
        <w:t xml:space="preserve">1991 </w:t>
      </w:r>
      <w:r w:rsidRPr="0090372B">
        <w:t xml:space="preserve">(RMA) to the </w:t>
      </w:r>
      <w:r w:rsidR="002F5B52">
        <w:t xml:space="preserve">NBA. </w:t>
      </w:r>
      <w:r w:rsidR="00B66463">
        <w:t xml:space="preserve">These changes will come in progressively over a two-year period from </w:t>
      </w:r>
      <w:r w:rsidRPr="0090372B">
        <w:t xml:space="preserve">24 August 2023.  </w:t>
      </w:r>
    </w:p>
    <w:p w:rsidR="001E0CF8" w:rsidP="001E0CF8" w:rsidRDefault="001E0CF8" w14:paraId="565165F3" w14:textId="77777777">
      <w:pPr>
        <w:pStyle w:val="BodyText"/>
      </w:pPr>
      <w:r w:rsidRPr="00DA79CE">
        <w:t>Part 11 of the NBA</w:t>
      </w:r>
      <w:r>
        <w:t xml:space="preserve"> contains the C&amp;E provisions from the RMA, along with new or expanded C&amp;E tools and powers to support increased deterrence, more flexible intervention, and the ability for councils to recover more costs associated with their C&amp;E activities. </w:t>
      </w:r>
    </w:p>
    <w:p w:rsidR="001E0CF8" w:rsidP="0070259F" w:rsidRDefault="001E0CF8" w14:paraId="0BC0EF20" w14:textId="25E18CA5">
      <w:pPr>
        <w:pStyle w:val="Heading2"/>
      </w:pPr>
      <w:r w:rsidR="001E0CF8">
        <w:rPr/>
        <w:t>This factsheet covers:</w:t>
      </w:r>
    </w:p>
    <w:p w:rsidR="001E0CF8" w:rsidP="00064B0B" w:rsidRDefault="001E0CF8" w14:paraId="03A25BEC" w14:textId="3FB7FED8">
      <w:pPr>
        <w:pStyle w:val="Bullet"/>
        <w:spacing w:before="120"/>
      </w:pPr>
      <w:r>
        <w:t>C&amp;E during the transition period</w:t>
      </w:r>
    </w:p>
    <w:p w:rsidR="001E0CF8" w:rsidP="001E0CF8" w:rsidRDefault="001E0CF8" w14:paraId="06AD102E" w14:textId="0EC1862C">
      <w:pPr>
        <w:pStyle w:val="Bullet"/>
      </w:pPr>
      <w:r>
        <w:t>key areas of change</w:t>
      </w:r>
    </w:p>
    <w:p w:rsidRPr="00FA7AF2" w:rsidR="00FA7AF2" w:rsidP="00FA7AF2" w:rsidRDefault="0012750E" w14:paraId="643CF562" w14:textId="77777777">
      <w:pPr>
        <w:pStyle w:val="Bullet"/>
      </w:pPr>
      <w:r w:rsidRPr="00FA7AF2">
        <w:t>NBA C&amp;E provisions available under the RMA</w:t>
      </w:r>
    </w:p>
    <w:p w:rsidR="001E0CF8" w:rsidP="0070259F" w:rsidRDefault="001E0CF8" w14:paraId="0B700144" w14:textId="6C8277DB">
      <w:pPr>
        <w:pStyle w:val="Heading2"/>
      </w:pPr>
      <w:r>
        <w:t>C&amp;E during the transition period</w:t>
      </w:r>
    </w:p>
    <w:p w:rsidR="001E0CF8" w:rsidP="001E0CF8" w:rsidRDefault="001E0CF8" w14:paraId="62ED4BD1" w14:textId="77777777">
      <w:pPr>
        <w:pStyle w:val="BodyText"/>
      </w:pPr>
      <w:r>
        <w:t>The enforcement provisions in Part 12 of the RMA will remain in force until the region’s NBEA date (this is the date 10 days after a regional planning committee has notified the decisions version of its first Natural and Built Environment Plan). New NBA C&amp;E tools and powers will also be available under the RMA during the transition. This means:</w:t>
      </w:r>
    </w:p>
    <w:p w:rsidR="001E0CF8" w:rsidP="0070259F" w:rsidRDefault="001E0CF8" w14:paraId="44828105" w14:textId="7773A4DC">
      <w:pPr>
        <w:pStyle w:val="Bullet"/>
      </w:pPr>
      <w:r>
        <w:t xml:space="preserve">enforcement activity relating to offending that occurred </w:t>
      </w:r>
      <w:r w:rsidR="00EC43CB">
        <w:t>before 24 August 2023</w:t>
      </w:r>
      <w:r>
        <w:t xml:space="preserve"> will continue under the RMA</w:t>
      </w:r>
      <w:r w:rsidR="00F37A4C">
        <w:t>.</w:t>
      </w:r>
    </w:p>
    <w:p w:rsidR="001E0CF8" w:rsidP="0070259F" w:rsidRDefault="001E0CF8" w14:paraId="5D9C6C77" w14:textId="433B2382">
      <w:pPr>
        <w:pStyle w:val="Bullet"/>
      </w:pPr>
      <w:r>
        <w:t xml:space="preserve">enforcement activity for offending that occurs </w:t>
      </w:r>
      <w:r w:rsidR="008669F0">
        <w:t>from 24 August 2023</w:t>
      </w:r>
      <w:r>
        <w:t>, but before a region’s NBEA date, will continue under the RMA</w:t>
      </w:r>
      <w:r w:rsidR="00797FEF">
        <w:t>; h</w:t>
      </w:r>
      <w:r>
        <w:t xml:space="preserve">owever, in this instance, </w:t>
      </w:r>
      <w:r w:rsidR="00AC75C7">
        <w:t>some</w:t>
      </w:r>
      <w:r>
        <w:t xml:space="preserve"> C&amp;E provisions will </w:t>
      </w:r>
      <w:r w:rsidR="00CA4B27">
        <w:t>be available to use under the RMA</w:t>
      </w:r>
      <w:r w:rsidR="009C2D23">
        <w:t xml:space="preserve">. </w:t>
      </w:r>
    </w:p>
    <w:p w:rsidR="001E0CF8" w:rsidP="0070259F" w:rsidRDefault="001E0CF8" w14:paraId="54F9EE4A" w14:textId="21B2CD29">
      <w:pPr>
        <w:pStyle w:val="Bullet"/>
      </w:pPr>
      <w:r>
        <w:t xml:space="preserve">from a region’s NBEA date, enforcement activity will occur under the NBA, meaning that </w:t>
      </w:r>
      <w:r w:rsidRPr="00735649">
        <w:t>Part 11</w:t>
      </w:r>
      <w:r>
        <w:t xml:space="preserve"> of the NBA will come into force in different regions at different times.</w:t>
      </w:r>
    </w:p>
    <w:p w:rsidR="001E0CF8" w:rsidP="0070259F" w:rsidRDefault="001E0CF8" w14:paraId="13377DA7" w14:textId="77777777">
      <w:pPr>
        <w:pStyle w:val="Heading2"/>
      </w:pPr>
      <w:r>
        <w:t xml:space="preserve">Key areas of change </w:t>
      </w:r>
    </w:p>
    <w:p w:rsidR="001E0CF8" w:rsidP="001E0CF8" w:rsidRDefault="001E0CF8" w14:paraId="52DC314E" w14:textId="77777777">
      <w:pPr>
        <w:pStyle w:val="BodyText"/>
      </w:pPr>
      <w:r>
        <w:t>The C&amp;E provisions in the NBA can be categorised into four areas:</w:t>
      </w:r>
    </w:p>
    <w:p w:rsidR="001E0CF8" w:rsidP="0070259F" w:rsidRDefault="001E0CF8" w14:paraId="645C5BAB" w14:textId="2D16CDB4">
      <w:pPr>
        <w:pStyle w:val="Bullet"/>
      </w:pPr>
      <w:r>
        <w:t>enhancing responsibilities for duty holders</w:t>
      </w:r>
    </w:p>
    <w:p w:rsidR="001E0CF8" w:rsidP="0070259F" w:rsidRDefault="001E0CF8" w14:paraId="4635A343" w14:textId="0C90399D">
      <w:pPr>
        <w:pStyle w:val="Bullet"/>
      </w:pPr>
      <w:r>
        <w:t xml:space="preserve">interventions and penalties that put the onus of remediation on </w:t>
      </w:r>
      <w:proofErr w:type="gramStart"/>
      <w:r>
        <w:t>offenders</w:t>
      </w:r>
      <w:proofErr w:type="gramEnd"/>
    </w:p>
    <w:p w:rsidR="001E0CF8" w:rsidP="0070259F" w:rsidRDefault="001E0CF8" w14:paraId="12C509A6" w14:textId="39AC9E6E">
      <w:pPr>
        <w:pStyle w:val="Bullet"/>
      </w:pPr>
      <w:r>
        <w:t>enhancing flexibility and agility with tool modernisation</w:t>
      </w:r>
    </w:p>
    <w:p w:rsidR="001E0CF8" w:rsidP="0070259F" w:rsidRDefault="001E0CF8" w14:paraId="2C0FE3A6" w14:textId="6A0FBF9C">
      <w:pPr>
        <w:pStyle w:val="Bullet"/>
      </w:pPr>
      <w:r>
        <w:t>improved focus on prevention and risk.</w:t>
      </w:r>
    </w:p>
    <w:p w:rsidR="001E0CF8" w:rsidP="0070259F" w:rsidRDefault="00CA4B27" w14:paraId="3C6B640D" w14:textId="3ADEED8F">
      <w:pPr>
        <w:pStyle w:val="Heading2"/>
      </w:pPr>
      <w:r w:rsidRPr="00CA4B27">
        <w:t>NBA C&amp;E provisions available under the RMA</w:t>
      </w:r>
    </w:p>
    <w:p w:rsidRPr="00361D69" w:rsidR="00361D69" w:rsidP="00361D69" w:rsidRDefault="00361D69" w14:paraId="0111D8D9" w14:textId="77777777">
      <w:pPr>
        <w:pStyle w:val="BodyText"/>
      </w:pPr>
    </w:p>
    <w:p w:rsidR="001E0CF8" w:rsidP="00FB5B52" w:rsidRDefault="00361D69" w14:paraId="7EEA250E" w14:textId="6663D1A0">
      <w:pPr>
        <w:pStyle w:val="Bullet"/>
      </w:pPr>
      <w:r>
        <w:t xml:space="preserve">There are some </w:t>
      </w:r>
      <w:r w:rsidR="005E39E0">
        <w:t>changes to C&amp;E in the NBA that will apply under the RMA from 24 August 2023:</w:t>
      </w:r>
      <w:r w:rsidR="005455DD">
        <w:rPr>
          <w:rStyle w:val="FootnoteReference"/>
        </w:rPr>
        <w:footnoteReference w:id="2"/>
      </w:r>
    </w:p>
    <w:p w:rsidRPr="0070259F" w:rsidR="001E0CF8" w:rsidP="0070259F" w:rsidRDefault="00361D69" w14:paraId="779C7E39" w14:textId="46F66B29">
      <w:pPr>
        <w:pStyle w:val="Sub-bullet"/>
      </w:pPr>
      <w:r>
        <w:t>The</w:t>
      </w:r>
      <w:r w:rsidR="001E0CF8">
        <w:t xml:space="preserve"> penalties </w:t>
      </w:r>
      <w:r w:rsidR="006A3560">
        <w:t>for criminal offending</w:t>
      </w:r>
      <w:r w:rsidRPr="00FD0D7C" w:rsidR="006A3560">
        <w:t xml:space="preserve"> </w:t>
      </w:r>
      <w:r w:rsidR="006A3560">
        <w:t xml:space="preserve">increase </w:t>
      </w:r>
      <w:r w:rsidR="001E0CF8">
        <w:t xml:space="preserve">from $300,000 to $1 million for individuals and </w:t>
      </w:r>
      <w:r w:rsidR="008F15DF">
        <w:t xml:space="preserve">from $600,000 </w:t>
      </w:r>
      <w:r w:rsidR="001E0CF8">
        <w:t xml:space="preserve">to $10 million </w:t>
      </w:r>
      <w:r w:rsidRPr="0070259F" w:rsidR="001E0CF8">
        <w:t xml:space="preserve">for companies </w:t>
      </w:r>
    </w:p>
    <w:p w:rsidRPr="0070259F" w:rsidR="001E0CF8" w:rsidP="0070259F" w:rsidRDefault="001E0CF8" w14:paraId="49A33F87" w14:textId="21A9DF9F">
      <w:pPr>
        <w:pStyle w:val="Sub-bullet"/>
      </w:pPr>
      <w:r w:rsidRPr="0070259F">
        <w:t>the limitation period for criminal offences increases from 12 months to 2 years, meaning regulators have longer to take action against non-compliance</w:t>
      </w:r>
      <w:r w:rsidR="008426D4">
        <w:t>; t</w:t>
      </w:r>
      <w:r w:rsidRPr="0070259F">
        <w:t xml:space="preserve">he limitation period for civil enforcement action is 6 </w:t>
      </w:r>
      <w:proofErr w:type="gramStart"/>
      <w:r w:rsidRPr="0070259F">
        <w:t>years</w:t>
      </w:r>
      <w:proofErr w:type="gramEnd"/>
    </w:p>
    <w:p w:rsidR="001E0CF8" w:rsidP="0070259F" w:rsidRDefault="001E0CF8" w14:paraId="16C8EA66" w14:textId="4770641A">
      <w:pPr>
        <w:pStyle w:val="Sub-bullet"/>
      </w:pPr>
      <w:r w:rsidRPr="0070259F">
        <w:t xml:space="preserve">the </w:t>
      </w:r>
      <w:r>
        <w:t>maximum jail sentence is reduced (now up to 18 months)</w:t>
      </w:r>
      <w:r w:rsidR="008426D4">
        <w:t>,</w:t>
      </w:r>
      <w:r>
        <w:t xml:space="preserve"> removing the right to elect trial by jury in </w:t>
      </w:r>
      <w:proofErr w:type="gramStart"/>
      <w:r>
        <w:t>prosecutions</w:t>
      </w:r>
      <w:proofErr w:type="gramEnd"/>
    </w:p>
    <w:p w:rsidR="001E0CF8" w:rsidP="0070259F" w:rsidRDefault="001E0CF8" w14:paraId="34D5020E" w14:textId="245BCA0A">
      <w:pPr>
        <w:pStyle w:val="Bullet"/>
      </w:pPr>
      <w:r>
        <w:t>RMA abatement notice provisions are broadened to include consent notices and covenants imposed by the conditions of a resource consent, and to strengthen the ability to take preventive action</w:t>
      </w:r>
      <w:r w:rsidR="00D25F0F">
        <w:rPr>
          <w:rStyle w:val="FootnoteReference"/>
        </w:rPr>
        <w:footnoteReference w:id="3"/>
      </w:r>
    </w:p>
    <w:p w:rsidR="001E0CF8" w:rsidP="0070259F" w:rsidRDefault="001E0CF8" w14:paraId="6ABC92FF" w14:textId="2E45EBFF">
      <w:pPr>
        <w:pStyle w:val="Bullet"/>
      </w:pPr>
      <w:r>
        <w:t>applications for resource consents can be declined on the grounds of a poor compliance history and may be suspended or revoked in response to non-compliance with their requirements</w:t>
      </w:r>
      <w:r w:rsidR="00E608EB">
        <w:rPr>
          <w:rStyle w:val="FootnoteReference"/>
        </w:rPr>
        <w:footnoteReference w:id="4"/>
      </w:r>
    </w:p>
    <w:p w:rsidR="001E0CF8" w:rsidP="0070259F" w:rsidRDefault="001E0CF8" w14:paraId="5F603E84" w14:textId="1BA8D4D5">
      <w:pPr>
        <w:pStyle w:val="Bullet"/>
      </w:pPr>
      <w:r>
        <w:t xml:space="preserve">ancillary penalties, for example for failing to give information to an enforcement officer and continuing offence penalties, </w:t>
      </w:r>
      <w:r w:rsidR="006A3560">
        <w:t>are</w:t>
      </w:r>
      <w:r>
        <w:t xml:space="preserve"> increased</w:t>
      </w:r>
      <w:r w:rsidR="0077191B">
        <w:rPr>
          <w:rStyle w:val="FootnoteReference"/>
        </w:rPr>
        <w:footnoteReference w:id="5"/>
      </w:r>
    </w:p>
    <w:p w:rsidR="001E0CF8" w:rsidP="0070259F" w:rsidRDefault="001E0CF8" w14:paraId="0A4B2DCA" w14:textId="4875A5A7">
      <w:pPr>
        <w:pStyle w:val="Bullet"/>
      </w:pPr>
      <w:r>
        <w:t>excessive noise orders can have effect for up to eight days as opposed to 72 hours under the RMA</w:t>
      </w:r>
      <w:r w:rsidR="003738D6">
        <w:rPr>
          <w:rStyle w:val="FootnoteReference"/>
        </w:rPr>
        <w:footnoteReference w:id="6"/>
      </w:r>
    </w:p>
    <w:p w:rsidR="00153F8B" w:rsidP="00153F8B" w:rsidRDefault="00153F8B" w14:paraId="45E66764" w14:textId="66BB1AC7">
      <w:pPr>
        <w:pStyle w:val="Bullet"/>
      </w:pPr>
      <w:r>
        <w:t>f</w:t>
      </w:r>
      <w:r w:rsidRPr="00A3750A">
        <w:t>inancial assurance orders</w:t>
      </w:r>
      <w:r>
        <w:rPr>
          <w:rStyle w:val="FootnoteReference"/>
        </w:rPr>
        <w:footnoteReference w:id="7"/>
      </w:r>
      <w:r w:rsidRPr="00A3750A">
        <w:t xml:space="preserve"> can be required as a condition of a resource consent or when a particular activity is being undertaken, and may be in the form of a bond, insurance, or other type of assurance. </w:t>
      </w:r>
    </w:p>
    <w:p w:rsidR="00AA7AB8" w:rsidP="00AA7AB8" w:rsidRDefault="00AA7AB8" w14:paraId="7072495A" w14:textId="7358C6E4">
      <w:pPr>
        <w:pStyle w:val="Bullet"/>
      </w:pPr>
      <w:r w:rsidRPr="007033C6">
        <w:t xml:space="preserve">Regulators can </w:t>
      </w:r>
      <w:r w:rsidRPr="007033C6" w:rsidR="009306EE">
        <w:t>recover</w:t>
      </w:r>
      <w:r w:rsidR="009306EE">
        <w:t xml:space="preserve"> costs</w:t>
      </w:r>
      <w:r w:rsidR="000326D6">
        <w:t xml:space="preserve"> </w:t>
      </w:r>
      <w:r w:rsidRPr="007033C6" w:rsidR="000326D6">
        <w:t>associated with permitted activity monitoring, investigations of non-compliance, and prosecutions. It</w:t>
      </w:r>
      <w:r w:rsidRPr="00EE120F" w:rsidR="00706F54">
        <w:t xml:space="preserve"> will only apply to the costs incurred after the date the NBA came into effect</w:t>
      </w:r>
      <w:r w:rsidR="00EE120F">
        <w:rPr>
          <w:rStyle w:val="cf01"/>
          <w:rFonts w:eastAsiaTheme="majorEastAsia"/>
        </w:rPr>
        <w:t>.</w:t>
      </w:r>
      <w:r w:rsidR="009306EE">
        <w:rPr>
          <w:rStyle w:val="FootnoteReference"/>
        </w:rPr>
        <w:footnoteReference w:id="8"/>
      </w:r>
    </w:p>
    <w:p w:rsidR="00153F8B" w:rsidP="00853CD7" w:rsidRDefault="00153F8B" w14:paraId="5CA8A107" w14:textId="77777777">
      <w:pPr>
        <w:pStyle w:val="BodyText"/>
        <w:keepNext/>
        <w:keepLines/>
      </w:pPr>
    </w:p>
    <w:p w:rsidR="001E0CF8" w:rsidP="00D92ACA" w:rsidRDefault="001E0CF8" w14:paraId="18E5AACA" w14:textId="2D0A7818">
      <w:pPr>
        <w:pStyle w:val="Heading2"/>
        <w:spacing w:after="120"/>
      </w:pPr>
    </w:p>
    <w:p w:rsidR="00D92ACA" w:rsidP="00D92ACA" w:rsidRDefault="00D92ACA" w14:paraId="157918E7" w14:textId="01AC2071">
      <w:pPr>
        <w:pStyle w:val="BodyText"/>
      </w:pPr>
    </w:p>
    <w:p w:rsidR="00D92ACA" w:rsidRDefault="00D92ACA" w14:paraId="3CC62D09" w14:textId="6CBB676A">
      <w:pPr>
        <w:spacing w:before="0" w:after="0" w:line="240" w:lineRule="auto"/>
        <w:jc w:val="left"/>
      </w:pPr>
    </w:p>
    <w:p w:rsidR="00501011" w:rsidP="00F5746A" w:rsidRDefault="00501011" w14:paraId="347AA457" w14:textId="77777777">
      <w:pPr>
        <w:pStyle w:val="BodyText"/>
      </w:pPr>
    </w:p>
    <w:p w:rsidR="00FA0C86" w:rsidP="00D1660E" w:rsidRDefault="006239DF" w14:paraId="6FC6E505" w14:textId="67EF020A">
      <w:pPr>
        <w:pStyle w:val="BodyText"/>
      </w:pPr>
      <w:r>
        <w:rPr>
          <w:noProof/>
        </w:rPr>
        <mc:AlternateContent>
          <mc:Choice Requires="wps">
            <w:drawing>
              <wp:anchor distT="0" distB="0" distL="114300" distR="114300" simplePos="0" relativeHeight="251658241" behindDoc="0" locked="1" layoutInCell="1" allowOverlap="1" wp14:anchorId="321757F2" wp14:editId="29CDCAD8">
                <wp:simplePos x="0" y="0"/>
                <wp:positionH relativeFrom="column">
                  <wp:posOffset>-16510</wp:posOffset>
                </wp:positionH>
                <wp:positionV relativeFrom="page">
                  <wp:posOffset>6496050</wp:posOffset>
                </wp:positionV>
                <wp:extent cx="5835650" cy="39941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835650" cy="3994150"/>
                        </a:xfrm>
                        <a:prstGeom prst="rect">
                          <a:avLst/>
                        </a:prstGeom>
                        <a:solidFill>
                          <a:schemeClr val="lt1"/>
                        </a:solidFill>
                        <a:ln w="6350">
                          <a:solidFill>
                            <a:schemeClr val="bg1"/>
                          </a:solidFill>
                        </a:ln>
                      </wps:spPr>
                      <wps:txbx>
                        <w:txbxContent>
                          <w:tbl>
                            <w:tblPr>
                              <w:tblStyle w:val="TableGrid3"/>
                              <w:tblW w:w="9185" w:type="dxa"/>
                              <w:tblBorders>
                                <w:top w:val="none" w:color="auto" w:sz="0" w:space="0"/>
                                <w:left w:val="none" w:color="auto" w:sz="0" w:space="0"/>
                                <w:bottom w:val="none" w:color="auto" w:sz="0" w:space="0"/>
                                <w:right w:val="none" w:color="auto" w:sz="0" w:space="0"/>
                                <w:insideV w:val="none" w:color="auto" w:sz="0" w:space="0"/>
                              </w:tblBorders>
                              <w:shd w:val="clear" w:color="auto" w:fill="FFFFFF" w:themeFill="background1"/>
                              <w:tblLook w:val="04A0" w:firstRow="1" w:lastRow="0" w:firstColumn="1" w:lastColumn="0" w:noHBand="0" w:noVBand="1"/>
                            </w:tblPr>
                            <w:tblGrid>
                              <w:gridCol w:w="5606"/>
                              <w:gridCol w:w="3579"/>
                            </w:tblGrid>
                            <w:tr w:rsidR="006E7652" w:rsidTr="00C83A03" w14:paraId="6823FB2C" w14:textId="77777777">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rsidRPr="0002270C" w:rsidR="006E7652" w:rsidP="006E7652" w:rsidRDefault="006E7652" w14:paraId="0B9F1479" w14:textId="77777777">
                                  <w:pPr>
                                    <w:pStyle w:val="TableText"/>
                                    <w:rPr>
                                      <w:b/>
                                      <w:bCs/>
                                    </w:rPr>
                                  </w:pPr>
                                  <w:r w:rsidRPr="0002270C">
                                    <w:rPr>
                                      <w:b/>
                                      <w:bCs/>
                                    </w:rPr>
                                    <w:t>Disclaimer</w:t>
                                  </w:r>
                                </w:p>
                                <w:p w:rsidR="006E7652" w:rsidP="006E7652" w:rsidRDefault="006E7652" w14:paraId="70E1263E" w14:textId="77777777">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rsidR="006E7652" w:rsidP="00E03E02" w:rsidRDefault="006E7652" w14:paraId="088512E3" w14:textId="400BA1AF">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rsidR="006E7652" w:rsidP="00E03E02" w:rsidRDefault="006E7652" w14:paraId="74323367" w14:textId="40CBFEF3">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rsidR="006E7652" w:rsidP="00E03E02" w:rsidRDefault="006E7652" w14:paraId="44EAE550" w14:textId="4A0A03B3">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rsidR="006E7652" w:rsidP="00E03E02" w:rsidRDefault="006E7652" w14:paraId="026C0150" w14:textId="1D1C4561">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rsidR="006E7652" w:rsidP="001B6610" w:rsidRDefault="006E7652" w14:paraId="1F0A45C9" w14:textId="77777777">
                                  <w:pPr>
                                    <w:pStyle w:val="Footer"/>
                                    <w:rPr>
                                      <w:noProof/>
                                    </w:rPr>
                                  </w:pPr>
                                </w:p>
                              </w:tc>
                            </w:tr>
                            <w:tr w:rsidR="006239DF" w:rsidTr="00E85357" w14:paraId="23D3A417" w14:textId="77777777">
                              <w:tc>
                                <w:tcPr>
                                  <w:tcW w:w="5606" w:type="dxa"/>
                                  <w:tcBorders>
                                    <w:bottom w:val="single" w:color="auto" w:sz="6" w:space="0"/>
                                  </w:tcBorders>
                                  <w:shd w:val="clear" w:color="auto" w:fill="FFFFFF" w:themeFill="background1"/>
                                </w:tcPr>
                                <w:p w:rsidR="006239DF" w:rsidP="003A6769" w:rsidRDefault="006239DF" w14:paraId="3639332A" w14:textId="05AD034E">
                                  <w:pPr>
                                    <w:pStyle w:val="TableText"/>
                                  </w:pPr>
                                  <w:r w:rsidRPr="006C18C8">
                                    <w:t xml:space="preserve">Published in </w:t>
                                  </w:r>
                                  <w:r w:rsidRPr="00E41621" w:rsidR="008426D4">
                                    <w:t xml:space="preserve">August </w:t>
                                  </w:r>
                                  <w:r w:rsidRPr="00E41621">
                                    <w:t>202</w:t>
                                  </w:r>
                                  <w:r w:rsidRPr="00E41621" w:rsidR="008426D4">
                                    <w:t>3</w:t>
                                  </w:r>
                                  <w:r w:rsidRPr="006C18C8">
                                    <w:t xml:space="preserve"> by the </w:t>
                                  </w:r>
                                  <w:r w:rsidRPr="006C18C8">
                                    <w:br/>
                                  </w:r>
                                  <w:r w:rsidRPr="006C18C8">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r>
                                  <w:r w:rsidRPr="006C18C8">
                                    <w:t xml:space="preserve">Publication number: INFO </w:t>
                                  </w:r>
                                  <w:r w:rsidR="00E734CE">
                                    <w:t>1172</w:t>
                                  </w:r>
                                </w:p>
                              </w:tc>
                              <w:tc>
                                <w:tcPr>
                                  <w:tcW w:w="3579" w:type="dxa"/>
                                  <w:tcBorders>
                                    <w:bottom w:val="single" w:color="auto" w:sz="6" w:space="0"/>
                                  </w:tcBorders>
                                  <w:shd w:val="clear" w:color="auto" w:fill="FFFFFF" w:themeFill="background1"/>
                                  <w:tcMar>
                                    <w:left w:w="0" w:type="dxa"/>
                                    <w:right w:w="0" w:type="dxa"/>
                                  </w:tcMar>
                                  <w:vAlign w:val="bottom"/>
                                </w:tcPr>
                                <w:p w:rsidR="006239DF" w:rsidP="00E57601" w:rsidRDefault="006239DF" w14:paraId="4B6CB11E" w14:textId="77777777">
                                  <w:pPr>
                                    <w:pStyle w:val="Footer"/>
                                    <w:jc w:val="right"/>
                                  </w:pPr>
                                  <w:r>
                                    <w:rPr>
                                      <w:noProof/>
                                    </w:rPr>
                                    <w:drawing>
                                      <wp:inline distT="0" distB="0" distL="0" distR="0" wp14:anchorId="441B26E1" wp14:editId="60AF7109">
                                        <wp:extent cx="2194459" cy="538456"/>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Pr="00C82C4B" w:rsidR="006239DF" w:rsidP="006239DF" w:rsidRDefault="006239DF" w14:paraId="094AD82E" w14:textId="77777777">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910D53">
              <v:shape id="Text Box 1" style="position:absolute;margin-left:-1.3pt;margin-top:511.5pt;width:459.5pt;height:3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" w14:anchorId="321757F2">
                <v:textbox inset="0,0,0,0">
                  <w:txbxContent>
                    <w:tbl>
                      <w:tblPr>
                        <w:tblStyle w:val="TableGrid3"/>
                        <w:tblW w:w="9185" w:type="dxa"/>
                        <w:tblBorders>
                          <w:top w:val="none" w:color="auto" w:sz="0" w:space="0"/>
                          <w:left w:val="none" w:color="auto" w:sz="0" w:space="0"/>
                          <w:bottom w:val="none" w:color="auto" w:sz="0" w:space="0"/>
                          <w:right w:val="none" w:color="auto" w:sz="0" w:space="0"/>
                          <w:insideV w:val="none" w:color="auto" w:sz="0" w:space="0"/>
                        </w:tblBorders>
                        <w:shd w:val="clear" w:color="auto" w:fill="FFFFFF" w:themeFill="background1"/>
                        <w:tblLook w:val="04A0" w:firstRow="1" w:lastRow="0" w:firstColumn="1" w:lastColumn="0" w:noHBand="0" w:noVBand="1"/>
                      </w:tblPr>
                      <w:tblGrid>
                        <w:gridCol w:w="5606"/>
                        <w:gridCol w:w="3579"/>
                      </w:tblGrid>
                      <w:tr w:rsidR="006E7652" w:rsidTr="00C83A03" w14:paraId="05B0E018" w14:textId="77777777">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rsidRPr="0002270C" w:rsidR="006E7652" w:rsidP="006E7652" w:rsidRDefault="006E7652" w14:paraId="13436AE0" w14:textId="77777777">
                            <w:pPr>
                              <w:pStyle w:val="TableText"/>
                              <w:rPr>
                                <w:b/>
                                <w:bCs/>
                              </w:rPr>
                            </w:pPr>
                            <w:r w:rsidRPr="0002270C">
                              <w:rPr>
                                <w:b/>
                                <w:bCs/>
                              </w:rPr>
                              <w:t>Disclaimer</w:t>
                            </w:r>
                          </w:p>
                          <w:p w:rsidR="006E7652" w:rsidP="006E7652" w:rsidRDefault="006E7652" w14:paraId="50BC8C4D" w14:textId="77777777">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rsidR="006E7652" w:rsidP="00E03E02" w:rsidRDefault="006E7652" w14:paraId="6DDA4A92" w14:textId="400BA1AF">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rsidR="006E7652" w:rsidP="00E03E02" w:rsidRDefault="006E7652" w14:paraId="4934E4E9" w14:textId="40CBFEF3">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rsidR="006E7652" w:rsidP="00E03E02" w:rsidRDefault="006E7652" w14:paraId="520B61EF" w14:textId="4A0A03B3">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rsidR="006E7652" w:rsidP="00E03E02" w:rsidRDefault="006E7652" w14:paraId="1DEC5E2A" w14:textId="1D1C4561">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rsidR="006E7652" w:rsidP="001B6610" w:rsidRDefault="006E7652" w14:paraId="0A37501D" w14:textId="77777777">
                            <w:pPr>
                              <w:pStyle w:val="Footer"/>
                              <w:rPr>
                                <w:noProof/>
                              </w:rPr>
                            </w:pPr>
                          </w:p>
                        </w:tc>
                      </w:tr>
                      <w:tr w:rsidR="006239DF" w:rsidTr="00E85357" w14:paraId="79A68F5F" w14:textId="77777777">
                        <w:tc>
                          <w:tcPr>
                            <w:tcW w:w="5606" w:type="dxa"/>
                            <w:tcBorders>
                              <w:bottom w:val="single" w:color="auto" w:sz="6" w:space="0"/>
                            </w:tcBorders>
                            <w:shd w:val="clear" w:color="auto" w:fill="FFFFFF" w:themeFill="background1"/>
                          </w:tcPr>
                          <w:p w:rsidR="006239DF" w:rsidP="003A6769" w:rsidRDefault="006239DF" w14:paraId="165AD8AF" w14:textId="05AD034E">
                            <w:pPr>
                              <w:pStyle w:val="TableText"/>
                            </w:pPr>
                            <w:r w:rsidRPr="006C18C8">
                              <w:t xml:space="preserve">Published in </w:t>
                            </w:r>
                            <w:r w:rsidRPr="00E41621" w:rsidR="008426D4">
                              <w:t xml:space="preserve">August </w:t>
                            </w:r>
                            <w:r w:rsidRPr="00E41621">
                              <w:t>202</w:t>
                            </w:r>
                            <w:r w:rsidRPr="00E41621" w:rsidR="008426D4">
                              <w:t>3</w:t>
                            </w:r>
                            <w:r w:rsidRPr="006C18C8">
                              <w:t xml:space="preserve"> by the </w:t>
                            </w:r>
                            <w:r w:rsidRPr="006C18C8">
                              <w:br/>
                            </w:r>
                            <w:r w:rsidRPr="006C18C8">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r>
                            <w:r w:rsidRPr="006C18C8">
                              <w:t xml:space="preserve">Publication number: INFO </w:t>
                            </w:r>
                            <w:r w:rsidR="00E734CE">
                              <w:t>1172</w:t>
                            </w:r>
                          </w:p>
                        </w:tc>
                        <w:tc>
                          <w:tcPr>
                            <w:tcW w:w="3579" w:type="dxa"/>
                            <w:tcBorders>
                              <w:bottom w:val="single" w:color="auto" w:sz="6" w:space="0"/>
                            </w:tcBorders>
                            <w:shd w:val="clear" w:color="auto" w:fill="FFFFFF" w:themeFill="background1"/>
                            <w:tcMar>
                              <w:left w:w="0" w:type="dxa"/>
                              <w:right w:w="0" w:type="dxa"/>
                            </w:tcMar>
                            <w:vAlign w:val="bottom"/>
                          </w:tcPr>
                          <w:p w:rsidR="006239DF" w:rsidP="00E57601" w:rsidRDefault="006239DF" w14:paraId="5DAB6C7B" w14:textId="77777777">
                            <w:pPr>
                              <w:pStyle w:val="Footer"/>
                              <w:jc w:val="right"/>
                            </w:pPr>
                            <w:r>
                              <w:rPr>
                                <w:noProof/>
                              </w:rPr>
                              <w:drawing>
                                <wp:inline distT="0" distB="0" distL="0" distR="0" wp14:anchorId="07F76B54" wp14:editId="60AF7109">
                                  <wp:extent cx="2194459" cy="538456"/>
                                  <wp:effectExtent l="0" t="0" r="0" b="0"/>
                                  <wp:docPr id="347374590"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Pr="00C82C4B" w:rsidR="006239DF" w:rsidP="006239DF" w:rsidRDefault="006239DF" w14:paraId="02EB378F" w14:textId="77777777">
                      <w:pPr>
                        <w:pStyle w:val="BodyText"/>
                        <w:spacing w:before="0" w:after="0" w:line="240" w:lineRule="auto"/>
                        <w:rPr>
                          <w:sz w:val="16"/>
                          <w:szCs w:val="16"/>
                        </w:rPr>
                      </w:pPr>
                    </w:p>
                  </w:txbxContent>
                </v:textbox>
                <w10:wrap anchory="page"/>
                <w10:anchorlock/>
              </v:shape>
            </w:pict>
          </mc:Fallback>
        </mc:AlternateContent>
      </w:r>
    </w:p>
    <w:sectPr w:rsidR="00FA0C86" w:rsidSect="00F55E2E">
      <w:footerReference w:type="even" r:id="rId14"/>
      <w:footerReference w:type="first" r:id="rId15"/>
      <w:pgSz w:w="11907" w:h="16840" w:orient="portrait"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D37" w:rsidP="0080531E" w:rsidRDefault="00F02D37" w14:paraId="0F1AE8D0" w14:textId="77777777">
      <w:pPr>
        <w:spacing w:before="0" w:after="0" w:line="240" w:lineRule="auto"/>
      </w:pPr>
      <w:r>
        <w:separator/>
      </w:r>
    </w:p>
    <w:p w:rsidR="00F02D37" w:rsidRDefault="00F02D37" w14:paraId="16622B3D" w14:textId="77777777"/>
  </w:endnote>
  <w:endnote w:type="continuationSeparator" w:id="0">
    <w:p w:rsidR="00F02D37" w:rsidP="0080531E" w:rsidRDefault="00F02D37" w14:paraId="5194BF9A" w14:textId="77777777">
      <w:pPr>
        <w:spacing w:before="0" w:after="0" w:line="240" w:lineRule="auto"/>
      </w:pPr>
      <w:r>
        <w:continuationSeparator/>
      </w:r>
    </w:p>
    <w:p w:rsidR="00F02D37" w:rsidRDefault="00F02D37" w14:paraId="52875A26" w14:textId="77777777"/>
  </w:endnote>
  <w:endnote w:type="continuationNotice" w:id="1">
    <w:p w:rsidR="00F02D37" w:rsidRDefault="00F02D37" w14:paraId="14101407"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E5C0B" w:rsidR="00067AC6" w:rsidP="002E5C0B" w:rsidRDefault="002E5C0B" w14:paraId="1E65BA80" w14:textId="58DB5C27">
    <w:pPr>
      <w:pStyle w:val="Footereven"/>
    </w:pPr>
    <w:r>
      <w:fldChar w:fldCharType="begin"/>
    </w:r>
    <w:r>
      <w:instrText xml:space="preserve"> PAGE   \* MERGEFORMAT </w:instrText>
    </w:r>
    <w:r>
      <w:fldChar w:fldCharType="separate"/>
    </w:r>
    <w:r>
      <w:t>2</w:t>
    </w:r>
    <w:r>
      <w:rPr>
        <w:noProof/>
      </w:rPr>
      <w:fldChar w:fldCharType="end"/>
    </w:r>
    <w:r>
      <w:rPr>
        <w:noProof/>
      </w:rPr>
      <w:tab/>
    </w:r>
    <w:r>
      <w:t>Compliance and enforcement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01011" w:rsidR="00501011" w:rsidP="00501011" w:rsidRDefault="00067AC6" w14:paraId="70979FD3" w14:textId="1D2E16AA">
    <w:pPr>
      <w:tabs>
        <w:tab w:val="left" w:pos="567"/>
      </w:tabs>
      <w:rPr>
        <w:sz w:val="16"/>
      </w:rPr>
    </w:pPr>
    <w:r w:rsidRPr="00487ED4">
      <w:rPr>
        <w:noProof/>
        <w:sz w:val="20"/>
        <w:szCs w:val="20"/>
      </w:rPr>
      <w:drawing>
        <wp:anchor distT="0" distB="0" distL="114300" distR="114300" simplePos="0" relativeHeight="251658240" behindDoc="1" locked="0" layoutInCell="1" allowOverlap="1" wp14:anchorId="6DF22B57" wp14:editId="4DED2194">
          <wp:simplePos x="0" y="0"/>
          <wp:positionH relativeFrom="page">
            <wp:align>right</wp:align>
          </wp:positionH>
          <wp:positionV relativeFrom="paragraph">
            <wp:posOffset>-866775</wp:posOffset>
          </wp:positionV>
          <wp:extent cx="7543800" cy="1646555"/>
          <wp:effectExtent l="0" t="0" r="0" b="0"/>
          <wp:wrapNone/>
          <wp:docPr id="473615810" name="Picture 47361581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D37" w:rsidP="00CB5C5F" w:rsidRDefault="00F02D37" w14:paraId="5BA5C4A0" w14:textId="77777777">
      <w:pPr>
        <w:spacing w:before="0" w:after="80" w:line="240" w:lineRule="auto"/>
      </w:pPr>
      <w:bookmarkStart w:name="_Hlk86912439" w:id="0"/>
      <w:bookmarkEnd w:id="0"/>
      <w:r>
        <w:separator/>
      </w:r>
    </w:p>
  </w:footnote>
  <w:footnote w:type="continuationSeparator" w:id="0">
    <w:p w:rsidR="00F02D37" w:rsidP="0080531E" w:rsidRDefault="00F02D37" w14:paraId="05B332E2" w14:textId="77777777">
      <w:pPr>
        <w:spacing w:before="0" w:after="0" w:line="240" w:lineRule="auto"/>
      </w:pPr>
      <w:r>
        <w:continuationSeparator/>
      </w:r>
    </w:p>
    <w:p w:rsidR="00F02D37" w:rsidRDefault="00F02D37" w14:paraId="46B3C252" w14:textId="77777777"/>
  </w:footnote>
  <w:footnote w:type="continuationNotice" w:id="1">
    <w:p w:rsidR="00F02D37" w:rsidRDefault="00F02D37" w14:paraId="2855606B" w14:textId="77777777">
      <w:pPr>
        <w:spacing w:before="0" w:after="0" w:line="240" w:lineRule="auto"/>
      </w:pPr>
    </w:p>
  </w:footnote>
  <w:footnote w:id="2">
    <w:p w:rsidRPr="002D28BA" w:rsidR="005455DD" w:rsidP="005455DD" w:rsidRDefault="005455DD" w14:paraId="1E6DCD1B" w14:textId="77777777">
      <w:pPr>
        <w:pStyle w:val="FootnoteText"/>
      </w:pPr>
      <w:r w:rsidRPr="002D28BA">
        <w:rPr>
          <w:rStyle w:val="FootnoteReference"/>
        </w:rPr>
        <w:footnoteRef/>
      </w:r>
      <w:r w:rsidRPr="002D28BA">
        <w:t xml:space="preserve"> </w:t>
      </w:r>
      <w:r w:rsidRPr="002D28BA">
        <w:tab/>
      </w:r>
      <w:r w:rsidRPr="002D28BA">
        <w:t xml:space="preserve">Schedule 1 clause 66(3) of the NBA. </w:t>
      </w:r>
    </w:p>
  </w:footnote>
  <w:footnote w:id="3">
    <w:p w:rsidR="00D25F0F" w:rsidRDefault="00D25F0F" w14:paraId="7062AAD6" w14:textId="0323FA7E">
      <w:pPr>
        <w:pStyle w:val="FootnoteText"/>
      </w:pPr>
      <w:r>
        <w:rPr>
          <w:rStyle w:val="FootnoteReference"/>
        </w:rPr>
        <w:footnoteRef/>
      </w:r>
      <w:r>
        <w:t xml:space="preserve"> </w:t>
      </w:r>
      <w:r>
        <w:tab/>
      </w:r>
      <w:r w:rsidRPr="00BC3F38">
        <w:t xml:space="preserve">Schedule 1 clause </w:t>
      </w:r>
      <w:r w:rsidRPr="00BC3F38" w:rsidR="00D801CC">
        <w:t>65</w:t>
      </w:r>
      <w:r w:rsidRPr="00BC3F38">
        <w:t xml:space="preserve">(2), sections </w:t>
      </w:r>
      <w:r w:rsidRPr="00BC3F38" w:rsidR="00C45B3D">
        <w:t>649</w:t>
      </w:r>
      <w:r w:rsidRPr="00BC3F38">
        <w:t>(1)(d) and (e) of the NBA</w:t>
      </w:r>
      <w:r w:rsidRPr="00BC3F38" w:rsidR="0077191B">
        <w:t>.</w:t>
      </w:r>
    </w:p>
  </w:footnote>
  <w:footnote w:id="4">
    <w:p w:rsidR="00E608EB" w:rsidRDefault="00E608EB" w14:paraId="4B7B6A28" w14:textId="24147484">
      <w:pPr>
        <w:pStyle w:val="FootnoteText"/>
      </w:pPr>
      <w:r>
        <w:rPr>
          <w:rStyle w:val="FootnoteReference"/>
        </w:rPr>
        <w:footnoteRef/>
      </w:r>
      <w:r>
        <w:t xml:space="preserve"> </w:t>
      </w:r>
      <w:r>
        <w:tab/>
      </w:r>
      <w:r w:rsidRPr="00CB0250">
        <w:t xml:space="preserve">Schedule 1 clause </w:t>
      </w:r>
      <w:r w:rsidRPr="00CB0250" w:rsidR="002A56C4">
        <w:t>65</w:t>
      </w:r>
      <w:r w:rsidRPr="00CB0250">
        <w:t>(8) of the NBA</w:t>
      </w:r>
      <w:r w:rsidR="00A217EA">
        <w:t xml:space="preserve">, </w:t>
      </w:r>
      <w:r w:rsidR="00880FF2">
        <w:t>section</w:t>
      </w:r>
      <w:r w:rsidR="009E097D">
        <w:t xml:space="preserve"> 285(5)</w:t>
      </w:r>
      <w:r w:rsidR="00ED7E15">
        <w:t xml:space="preserve"> of the NBA</w:t>
      </w:r>
      <w:r w:rsidR="0077191B">
        <w:t>.</w:t>
      </w:r>
    </w:p>
  </w:footnote>
  <w:footnote w:id="5">
    <w:p w:rsidR="0077191B" w:rsidRDefault="0077191B" w14:paraId="0E4C3944" w14:textId="40988764">
      <w:pPr>
        <w:pStyle w:val="FootnoteText"/>
      </w:pPr>
      <w:r>
        <w:rPr>
          <w:rStyle w:val="FootnoteReference"/>
        </w:rPr>
        <w:footnoteRef/>
      </w:r>
      <w:r>
        <w:t xml:space="preserve"> </w:t>
      </w:r>
      <w:r>
        <w:tab/>
      </w:r>
      <w:r w:rsidRPr="00E91C91">
        <w:t xml:space="preserve">Schedule 1 clause </w:t>
      </w:r>
      <w:r w:rsidRPr="00E91C91" w:rsidR="004D0B66">
        <w:t>66</w:t>
      </w:r>
      <w:r w:rsidRPr="00E91C91">
        <w:t>(3) of the NBA.</w:t>
      </w:r>
    </w:p>
  </w:footnote>
  <w:footnote w:id="6">
    <w:p w:rsidR="003738D6" w:rsidRDefault="003738D6" w14:paraId="6460DA46" w14:textId="0C0364CB">
      <w:pPr>
        <w:pStyle w:val="FootnoteText"/>
      </w:pPr>
      <w:r>
        <w:rPr>
          <w:rStyle w:val="FootnoteReference"/>
        </w:rPr>
        <w:footnoteRef/>
      </w:r>
      <w:r>
        <w:t xml:space="preserve"> </w:t>
      </w:r>
      <w:r>
        <w:tab/>
      </w:r>
      <w:r w:rsidRPr="0090540F">
        <w:t xml:space="preserve">Schedule 1 clause </w:t>
      </w:r>
      <w:r w:rsidRPr="0090540F" w:rsidR="00DF75C5">
        <w:t>65</w:t>
      </w:r>
      <w:r w:rsidRPr="0090540F">
        <w:t>(</w:t>
      </w:r>
      <w:r w:rsidRPr="0090540F" w:rsidR="00DF75C5">
        <w:t>9</w:t>
      </w:r>
      <w:r w:rsidRPr="0090540F">
        <w:t>) of the NBA.</w:t>
      </w:r>
    </w:p>
  </w:footnote>
  <w:footnote w:id="7">
    <w:p w:rsidR="00153F8B" w:rsidP="00153F8B" w:rsidRDefault="00153F8B" w14:paraId="131DE585" w14:textId="77777777">
      <w:pPr>
        <w:pStyle w:val="FootnoteText"/>
      </w:pPr>
      <w:r>
        <w:rPr>
          <w:rStyle w:val="FootnoteReference"/>
        </w:rPr>
        <w:footnoteRef/>
      </w:r>
      <w:r>
        <w:t xml:space="preserve"> </w:t>
      </w:r>
      <w:r>
        <w:tab/>
      </w:r>
      <w:r w:rsidRPr="009A24CE">
        <w:t>Schedule 1 clause 65(7), sections 674–691 of the NBA.</w:t>
      </w:r>
    </w:p>
  </w:footnote>
  <w:footnote w:id="8">
    <w:p w:rsidR="009306EE" w:rsidP="009306EE" w:rsidRDefault="009306EE" w14:paraId="5270B96E" w14:textId="77777777">
      <w:pPr>
        <w:pStyle w:val="FootnoteText"/>
      </w:pPr>
      <w:r w:rsidRPr="00B447DD">
        <w:rPr>
          <w:rStyle w:val="FootnoteReference"/>
        </w:rPr>
        <w:footnoteRef/>
      </w:r>
      <w:r w:rsidRPr="00B447DD">
        <w:t xml:space="preserve"> </w:t>
      </w:r>
      <w:r w:rsidRPr="00B447DD">
        <w:tab/>
      </w:r>
      <w:r w:rsidRPr="00B447DD">
        <w:t>Schedule 1 clause 66(6), section 722 of the NBA.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hint="default" w:ascii="Symbol" w:hAnsi="Symbol"/>
        <w:color w:val="auto"/>
        <w:sz w:val="20"/>
        <w:szCs w:val="20"/>
      </w:rPr>
    </w:lvl>
    <w:lvl w:ilvl="1">
      <w:start w:val="1"/>
      <w:numFmt w:val="bullet"/>
      <w:lvlText w:val="o"/>
      <w:lvlJc w:val="left"/>
      <w:pPr>
        <w:ind w:left="1724" w:hanging="360"/>
      </w:pPr>
      <w:rPr>
        <w:rFonts w:hint="default" w:ascii="Courier New" w:hAnsi="Courier New" w:cs="Courier New"/>
      </w:rPr>
    </w:lvl>
    <w:lvl w:ilvl="2">
      <w:start w:val="1"/>
      <w:numFmt w:val="bullet"/>
      <w:lvlText w:val=""/>
      <w:lvlJc w:val="left"/>
      <w:pPr>
        <w:ind w:left="2444" w:hanging="360"/>
      </w:pPr>
      <w:rPr>
        <w:rFonts w:hint="default" w:ascii="Wingdings" w:hAnsi="Wingdings"/>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193002F1"/>
    <w:multiLevelType w:val="hybridMultilevel"/>
    <w:tmpl w:val="E8E2BAA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hint="default" w:ascii="Symbol" w:hAnsi="Symbol"/>
      </w:rPr>
    </w:lvl>
  </w:abstractNum>
  <w:abstractNum w:abstractNumId="6" w15:restartNumberingAfterBreak="0">
    <w:nsid w:val="20115441"/>
    <w:multiLevelType w:val="multilevel"/>
    <w:tmpl w:val="45DECC76"/>
    <w:lvl w:ilvl="0">
      <w:start w:val="1"/>
      <w:numFmt w:val="decimal"/>
      <w:lvlText w:val="%1."/>
      <w:lvlJc w:val="left"/>
      <w:pPr>
        <w:ind w:left="0" w:firstLine="397"/>
      </w:pPr>
      <w:rPr>
        <w:rFonts w:hint="default" w:ascii="Calibri" w:hAnsi="Calibri" w:cs="Arial"/>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hint="default" w:ascii="Courier New" w:hAnsi="Courier New" w:cs="Courier New"/>
      </w:rPr>
    </w:lvl>
    <w:lvl w:ilvl="2">
      <w:start w:val="1"/>
      <w:numFmt w:val="bullet"/>
      <w:lvlText w:val=""/>
      <w:lvlJc w:val="left"/>
      <w:pPr>
        <w:ind w:left="2444" w:hanging="360"/>
      </w:pPr>
      <w:rPr>
        <w:rFonts w:hint="default" w:ascii="Wingdings" w:hAnsi="Wingdings"/>
      </w:rPr>
    </w:lvl>
    <w:lvl w:ilvl="3">
      <w:start w:val="1"/>
      <w:numFmt w:val="bullet"/>
      <w:lvlText w:val=""/>
      <w:lvlJc w:val="left"/>
      <w:pPr>
        <w:ind w:left="3164" w:hanging="360"/>
      </w:pPr>
      <w:rPr>
        <w:rFonts w:hint="default" w:ascii="Symbol" w:hAnsi="Symbol"/>
      </w:rPr>
    </w:lvl>
    <w:lvl w:ilvl="4">
      <w:start w:val="1"/>
      <w:numFmt w:val="bullet"/>
      <w:lvlText w:val="o"/>
      <w:lvlJc w:val="left"/>
      <w:pPr>
        <w:ind w:left="3884" w:hanging="360"/>
      </w:pPr>
      <w:rPr>
        <w:rFonts w:hint="default" w:ascii="Courier New" w:hAnsi="Courier New" w:cs="Courier New"/>
      </w:rPr>
    </w:lvl>
    <w:lvl w:ilvl="5">
      <w:start w:val="1"/>
      <w:numFmt w:val="bullet"/>
      <w:lvlText w:val=""/>
      <w:lvlJc w:val="left"/>
      <w:pPr>
        <w:ind w:left="4604" w:hanging="360"/>
      </w:pPr>
      <w:rPr>
        <w:rFonts w:hint="default" w:ascii="Wingdings" w:hAnsi="Wingdings"/>
      </w:rPr>
    </w:lvl>
    <w:lvl w:ilvl="6">
      <w:start w:val="1"/>
      <w:numFmt w:val="bullet"/>
      <w:lvlText w:val=""/>
      <w:lvlJc w:val="left"/>
      <w:pPr>
        <w:ind w:left="5324" w:hanging="360"/>
      </w:pPr>
      <w:rPr>
        <w:rFonts w:hint="default" w:ascii="Symbol" w:hAnsi="Symbol"/>
      </w:rPr>
    </w:lvl>
    <w:lvl w:ilvl="7">
      <w:start w:val="1"/>
      <w:numFmt w:val="bullet"/>
      <w:lvlText w:val="o"/>
      <w:lvlJc w:val="left"/>
      <w:pPr>
        <w:ind w:left="6044" w:hanging="360"/>
      </w:pPr>
      <w:rPr>
        <w:rFonts w:hint="default" w:ascii="Courier New" w:hAnsi="Courier New" w:cs="Courier New"/>
      </w:rPr>
    </w:lvl>
    <w:lvl w:ilvl="8">
      <w:start w:val="1"/>
      <w:numFmt w:val="bullet"/>
      <w:lvlText w:val=""/>
      <w:lvlJc w:val="left"/>
      <w:pPr>
        <w:ind w:left="6764" w:hanging="360"/>
      </w:pPr>
      <w:rPr>
        <w:rFonts w:hint="default" w:ascii="Wingdings" w:hAnsi="Wingdings"/>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hint="default" w:ascii="Calibri" w:hAnsi="Calibri"/>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hint="default" w:ascii="Symbol" w:hAnsi="Symbol"/>
        <w:color w:val="auto"/>
        <w:sz w:val="18"/>
        <w:szCs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hint="default" w:ascii="Calibri" w:hAnsi="Calibri" w:cs="Arial"/>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19A1A54"/>
    <w:multiLevelType w:val="hybridMultilevel"/>
    <w:tmpl w:val="9718F37E"/>
    <w:lvl w:ilvl="0" w:tplc="EA10201A">
      <w:start w:val="2"/>
      <w:numFmt w:val="bullet"/>
      <w:lvlText w:val=""/>
      <w:lvlJc w:val="left"/>
      <w:pPr>
        <w:ind w:left="1117" w:hanging="360"/>
      </w:pPr>
      <w:rPr>
        <w:rFonts w:hint="default" w:ascii="Symbol" w:hAnsi="Symbol" w:eastAsiaTheme="minorEastAsia" w:cstheme="minorBidi"/>
      </w:rPr>
    </w:lvl>
    <w:lvl w:ilvl="1" w:tplc="14090003" w:tentative="1">
      <w:start w:val="1"/>
      <w:numFmt w:val="bullet"/>
      <w:lvlText w:val="o"/>
      <w:lvlJc w:val="left"/>
      <w:pPr>
        <w:ind w:left="1837" w:hanging="360"/>
      </w:pPr>
      <w:rPr>
        <w:rFonts w:hint="default" w:ascii="Courier New" w:hAnsi="Courier New" w:cs="Courier New"/>
      </w:rPr>
    </w:lvl>
    <w:lvl w:ilvl="2" w:tplc="14090005" w:tentative="1">
      <w:start w:val="1"/>
      <w:numFmt w:val="bullet"/>
      <w:lvlText w:val=""/>
      <w:lvlJc w:val="left"/>
      <w:pPr>
        <w:ind w:left="2557" w:hanging="360"/>
      </w:pPr>
      <w:rPr>
        <w:rFonts w:hint="default" w:ascii="Wingdings" w:hAnsi="Wingdings"/>
      </w:rPr>
    </w:lvl>
    <w:lvl w:ilvl="3" w:tplc="14090001" w:tentative="1">
      <w:start w:val="1"/>
      <w:numFmt w:val="bullet"/>
      <w:lvlText w:val=""/>
      <w:lvlJc w:val="left"/>
      <w:pPr>
        <w:ind w:left="3277" w:hanging="360"/>
      </w:pPr>
      <w:rPr>
        <w:rFonts w:hint="default" w:ascii="Symbol" w:hAnsi="Symbol"/>
      </w:rPr>
    </w:lvl>
    <w:lvl w:ilvl="4" w:tplc="14090003" w:tentative="1">
      <w:start w:val="1"/>
      <w:numFmt w:val="bullet"/>
      <w:lvlText w:val="o"/>
      <w:lvlJc w:val="left"/>
      <w:pPr>
        <w:ind w:left="3997" w:hanging="360"/>
      </w:pPr>
      <w:rPr>
        <w:rFonts w:hint="default" w:ascii="Courier New" w:hAnsi="Courier New" w:cs="Courier New"/>
      </w:rPr>
    </w:lvl>
    <w:lvl w:ilvl="5" w:tplc="14090005" w:tentative="1">
      <w:start w:val="1"/>
      <w:numFmt w:val="bullet"/>
      <w:lvlText w:val=""/>
      <w:lvlJc w:val="left"/>
      <w:pPr>
        <w:ind w:left="4717" w:hanging="360"/>
      </w:pPr>
      <w:rPr>
        <w:rFonts w:hint="default" w:ascii="Wingdings" w:hAnsi="Wingdings"/>
      </w:rPr>
    </w:lvl>
    <w:lvl w:ilvl="6" w:tplc="14090001" w:tentative="1">
      <w:start w:val="1"/>
      <w:numFmt w:val="bullet"/>
      <w:lvlText w:val=""/>
      <w:lvlJc w:val="left"/>
      <w:pPr>
        <w:ind w:left="5437" w:hanging="360"/>
      </w:pPr>
      <w:rPr>
        <w:rFonts w:hint="default" w:ascii="Symbol" w:hAnsi="Symbol"/>
      </w:rPr>
    </w:lvl>
    <w:lvl w:ilvl="7" w:tplc="14090003" w:tentative="1">
      <w:start w:val="1"/>
      <w:numFmt w:val="bullet"/>
      <w:lvlText w:val="o"/>
      <w:lvlJc w:val="left"/>
      <w:pPr>
        <w:ind w:left="6157" w:hanging="360"/>
      </w:pPr>
      <w:rPr>
        <w:rFonts w:hint="default" w:ascii="Courier New" w:hAnsi="Courier New" w:cs="Courier New"/>
      </w:rPr>
    </w:lvl>
    <w:lvl w:ilvl="8" w:tplc="14090005" w:tentative="1">
      <w:start w:val="1"/>
      <w:numFmt w:val="bullet"/>
      <w:lvlText w:val=""/>
      <w:lvlJc w:val="left"/>
      <w:pPr>
        <w:ind w:left="6877" w:hanging="360"/>
      </w:pPr>
      <w:rPr>
        <w:rFonts w:hint="default" w:ascii="Wingdings" w:hAnsi="Wingdings"/>
      </w:rPr>
    </w:lvl>
  </w:abstractNum>
  <w:abstractNum w:abstractNumId="1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7" w15:restartNumberingAfterBreak="0">
    <w:nsid w:val="34B129E4"/>
    <w:multiLevelType w:val="multilevel"/>
    <w:tmpl w:val="14090001"/>
    <w:lvl w:ilvl="0">
      <w:start w:val="1"/>
      <w:numFmt w:val="bullet"/>
      <w:lvlText w:val=""/>
      <w:lvlJc w:val="left"/>
      <w:pPr>
        <w:tabs>
          <w:tab w:val="num" w:pos="397"/>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37060E14"/>
    <w:multiLevelType w:val="hybridMultilevel"/>
    <w:tmpl w:val="CD6E8904"/>
    <w:lvl w:ilvl="0" w:tplc="D1F66CC6">
      <w:start w:val="2"/>
      <w:numFmt w:val="bullet"/>
      <w:pStyle w:val="Sub-bullet"/>
      <w:lvlText w:val=""/>
      <w:lvlJc w:val="left"/>
      <w:pPr>
        <w:ind w:left="1117" w:hanging="360"/>
      </w:pPr>
      <w:rPr>
        <w:rFonts w:hint="default" w:ascii="Symbol" w:hAnsi="Symbol" w:eastAsiaTheme="minorEastAsia" w:cstheme="minorBidi"/>
      </w:rPr>
    </w:lvl>
    <w:lvl w:ilvl="1" w:tplc="14090003" w:tentative="1">
      <w:start w:val="1"/>
      <w:numFmt w:val="bullet"/>
      <w:lvlText w:val="o"/>
      <w:lvlJc w:val="left"/>
      <w:pPr>
        <w:ind w:left="1837" w:hanging="360"/>
      </w:pPr>
      <w:rPr>
        <w:rFonts w:hint="default" w:ascii="Courier New" w:hAnsi="Courier New" w:cs="Courier New"/>
      </w:rPr>
    </w:lvl>
    <w:lvl w:ilvl="2" w:tplc="14090005" w:tentative="1">
      <w:start w:val="1"/>
      <w:numFmt w:val="bullet"/>
      <w:lvlText w:val=""/>
      <w:lvlJc w:val="left"/>
      <w:pPr>
        <w:ind w:left="2557" w:hanging="360"/>
      </w:pPr>
      <w:rPr>
        <w:rFonts w:hint="default" w:ascii="Wingdings" w:hAnsi="Wingdings"/>
      </w:rPr>
    </w:lvl>
    <w:lvl w:ilvl="3" w:tplc="14090001" w:tentative="1">
      <w:start w:val="1"/>
      <w:numFmt w:val="bullet"/>
      <w:lvlText w:val=""/>
      <w:lvlJc w:val="left"/>
      <w:pPr>
        <w:ind w:left="3277" w:hanging="360"/>
      </w:pPr>
      <w:rPr>
        <w:rFonts w:hint="default" w:ascii="Symbol" w:hAnsi="Symbol"/>
      </w:rPr>
    </w:lvl>
    <w:lvl w:ilvl="4" w:tplc="14090003" w:tentative="1">
      <w:start w:val="1"/>
      <w:numFmt w:val="bullet"/>
      <w:lvlText w:val="o"/>
      <w:lvlJc w:val="left"/>
      <w:pPr>
        <w:ind w:left="3997" w:hanging="360"/>
      </w:pPr>
      <w:rPr>
        <w:rFonts w:hint="default" w:ascii="Courier New" w:hAnsi="Courier New" w:cs="Courier New"/>
      </w:rPr>
    </w:lvl>
    <w:lvl w:ilvl="5" w:tplc="14090005" w:tentative="1">
      <w:start w:val="1"/>
      <w:numFmt w:val="bullet"/>
      <w:lvlText w:val=""/>
      <w:lvlJc w:val="left"/>
      <w:pPr>
        <w:ind w:left="4717" w:hanging="360"/>
      </w:pPr>
      <w:rPr>
        <w:rFonts w:hint="default" w:ascii="Wingdings" w:hAnsi="Wingdings"/>
      </w:rPr>
    </w:lvl>
    <w:lvl w:ilvl="6" w:tplc="14090001" w:tentative="1">
      <w:start w:val="1"/>
      <w:numFmt w:val="bullet"/>
      <w:lvlText w:val=""/>
      <w:lvlJc w:val="left"/>
      <w:pPr>
        <w:ind w:left="5437" w:hanging="360"/>
      </w:pPr>
      <w:rPr>
        <w:rFonts w:hint="default" w:ascii="Symbol" w:hAnsi="Symbol"/>
      </w:rPr>
    </w:lvl>
    <w:lvl w:ilvl="7" w:tplc="14090003" w:tentative="1">
      <w:start w:val="1"/>
      <w:numFmt w:val="bullet"/>
      <w:lvlText w:val="o"/>
      <w:lvlJc w:val="left"/>
      <w:pPr>
        <w:ind w:left="6157" w:hanging="360"/>
      </w:pPr>
      <w:rPr>
        <w:rFonts w:hint="default" w:ascii="Courier New" w:hAnsi="Courier New" w:cs="Courier New"/>
      </w:rPr>
    </w:lvl>
    <w:lvl w:ilvl="8" w:tplc="14090005" w:tentative="1">
      <w:start w:val="1"/>
      <w:numFmt w:val="bullet"/>
      <w:lvlText w:val=""/>
      <w:lvlJc w:val="left"/>
      <w:pPr>
        <w:ind w:left="6877" w:hanging="360"/>
      </w:pPr>
      <w:rPr>
        <w:rFonts w:hint="default" w:ascii="Wingdings" w:hAnsi="Wingdings"/>
      </w:rPr>
    </w:lvl>
  </w:abstractNum>
  <w:abstractNum w:abstractNumId="19" w15:restartNumberingAfterBreak="0">
    <w:nsid w:val="395B04BD"/>
    <w:multiLevelType w:val="multilevel"/>
    <w:tmpl w:val="DB22692C"/>
    <w:lvl w:ilvl="0">
      <w:start w:val="1"/>
      <w:numFmt w:val="bullet"/>
      <w:lvlText w:val=""/>
      <w:lvlJc w:val="left"/>
      <w:pPr>
        <w:tabs>
          <w:tab w:val="num" w:pos="567"/>
        </w:tabs>
        <w:ind w:left="397" w:hanging="397"/>
      </w:pPr>
      <w:rPr>
        <w:rFonts w:hint="default" w:ascii="Symbol" w:hAnsi="Symbol"/>
        <w:color w:val="auto"/>
        <w:sz w:val="18"/>
        <w:szCs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3C857CC9"/>
    <w:multiLevelType w:val="multilevel"/>
    <w:tmpl w:val="33A22176"/>
    <w:lvl w:ilvl="0">
      <w:start w:val="1"/>
      <w:numFmt w:val="bullet"/>
      <w:lvlText w:val=""/>
      <w:lvlJc w:val="left"/>
      <w:pPr>
        <w:tabs>
          <w:tab w:val="num" w:pos="397"/>
        </w:tabs>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3D465A16"/>
    <w:multiLevelType w:val="multilevel"/>
    <w:tmpl w:val="EA8CA7B0"/>
    <w:lvl w:ilvl="0">
      <w:start w:val="1"/>
      <w:numFmt w:val="bullet"/>
      <w:pStyle w:val="Bullet"/>
      <w:lvlText w:val=""/>
      <w:lvlJc w:val="left"/>
      <w:pPr>
        <w:tabs>
          <w:tab w:val="num" w:pos="397"/>
        </w:tabs>
        <w:ind w:left="397" w:hanging="397"/>
      </w:pPr>
      <w:rPr>
        <w:rFonts w:hint="default" w:ascii="Symbol" w:hAnsi="Symbol"/>
        <w:color w:val="auto"/>
        <w:sz w:val="18"/>
        <w:szCs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hint="default" w:ascii="Symbol" w:hAnsi="Symbol"/>
      </w:rPr>
    </w:lvl>
    <w:lvl w:ilvl="1" w:tplc="14090003">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32C3D35"/>
    <w:multiLevelType w:val="hybridMultilevel"/>
    <w:tmpl w:val="93E6894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4"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hint="default" w:ascii="Symbol" w:hAnsi="Symbol"/>
        <w:sz w:val="16"/>
        <w:szCs w:val="16"/>
      </w:rPr>
    </w:lvl>
    <w:lvl w:ilvl="1" w:tplc="14090003">
      <w:numFmt w:val="bullet"/>
      <w:lvlText w:val="-"/>
      <w:lvlJc w:val="left"/>
      <w:pPr>
        <w:ind w:left="1440" w:hanging="360"/>
      </w:pPr>
      <w:rPr>
        <w:rFonts w:hint="default" w:ascii="Calibri" w:hAnsi="Calibri" w:eastAsia="Times New Roman" w:cs="Times New Roman"/>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hint="default" w:ascii="Times New Roman" w:hAnsi="Times New Roman" w:cs="Arial"/>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6" w15:restartNumberingAfterBreak="0">
    <w:nsid w:val="4D643F5D"/>
    <w:multiLevelType w:val="multilevel"/>
    <w:tmpl w:val="14090001"/>
    <w:lvl w:ilvl="0">
      <w:start w:val="1"/>
      <w:numFmt w:val="bullet"/>
      <w:lvlText w:val=""/>
      <w:lvlJc w:val="left"/>
      <w:pPr>
        <w:tabs>
          <w:tab w:val="num" w:pos="397"/>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7" w15:restartNumberingAfterBreak="0">
    <w:nsid w:val="53535234"/>
    <w:multiLevelType w:val="singleLevel"/>
    <w:tmpl w:val="DE5AE08C"/>
    <w:lvl w:ilvl="0">
      <w:start w:val="1"/>
      <w:numFmt w:val="bullet"/>
      <w:pStyle w:val="Boxbullet"/>
      <w:lvlText w:val=""/>
      <w:lvlJc w:val="left"/>
      <w:pPr>
        <w:ind w:left="644" w:hanging="360"/>
      </w:pPr>
      <w:rPr>
        <w:rFonts w:hint="default" w:ascii="Symbol" w:hAnsi="Symbol"/>
        <w:color w:val="1B556B"/>
        <w:sz w:val="16"/>
      </w:rPr>
    </w:lvl>
  </w:abstractNum>
  <w:abstractNum w:abstractNumId="28" w15:restartNumberingAfterBreak="0">
    <w:nsid w:val="57A6321C"/>
    <w:multiLevelType w:val="multilevel"/>
    <w:tmpl w:val="33A22176"/>
    <w:lvl w:ilvl="0">
      <w:start w:val="1"/>
      <w:numFmt w:val="bullet"/>
      <w:lvlText w:val=""/>
      <w:lvlJc w:val="left"/>
      <w:pPr>
        <w:tabs>
          <w:tab w:val="num" w:pos="397"/>
        </w:tabs>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5A3B4A45"/>
    <w:multiLevelType w:val="hybridMultilevel"/>
    <w:tmpl w:val="E4A429C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0"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8A6316"/>
    <w:multiLevelType w:val="hybridMultilevel"/>
    <w:tmpl w:val="F8BC0826"/>
    <w:lvl w:ilvl="0" w:tplc="2AF4521A">
      <w:start w:val="1"/>
      <w:numFmt w:val="bullet"/>
      <w:lvlText w:val=""/>
      <w:lvlJc w:val="left"/>
      <w:pPr>
        <w:ind w:left="720" w:hanging="360"/>
      </w:pPr>
      <w:rPr>
        <w:rFonts w:hint="default" w:ascii="Symbol" w:hAnsi="Symbol"/>
      </w:rPr>
    </w:lvl>
    <w:lvl w:ilvl="1" w:tplc="326CB890" w:tentative="1">
      <w:start w:val="1"/>
      <w:numFmt w:val="bullet"/>
      <w:lvlText w:val="o"/>
      <w:lvlJc w:val="left"/>
      <w:pPr>
        <w:ind w:left="1440" w:hanging="360"/>
      </w:pPr>
      <w:rPr>
        <w:rFonts w:hint="default" w:ascii="Courier New" w:hAnsi="Courier New" w:cs="Courier New"/>
      </w:rPr>
    </w:lvl>
    <w:lvl w:ilvl="2" w:tplc="03926F58" w:tentative="1">
      <w:start w:val="1"/>
      <w:numFmt w:val="bullet"/>
      <w:lvlText w:val=""/>
      <w:lvlJc w:val="left"/>
      <w:pPr>
        <w:ind w:left="2160" w:hanging="360"/>
      </w:pPr>
      <w:rPr>
        <w:rFonts w:hint="default" w:ascii="Wingdings" w:hAnsi="Wingdings"/>
      </w:rPr>
    </w:lvl>
    <w:lvl w:ilvl="3" w:tplc="F5ECFB66" w:tentative="1">
      <w:start w:val="1"/>
      <w:numFmt w:val="bullet"/>
      <w:lvlText w:val=""/>
      <w:lvlJc w:val="left"/>
      <w:pPr>
        <w:ind w:left="2880" w:hanging="360"/>
      </w:pPr>
      <w:rPr>
        <w:rFonts w:hint="default" w:ascii="Symbol" w:hAnsi="Symbol"/>
      </w:rPr>
    </w:lvl>
    <w:lvl w:ilvl="4" w:tplc="20B07310" w:tentative="1">
      <w:start w:val="1"/>
      <w:numFmt w:val="bullet"/>
      <w:lvlText w:val="o"/>
      <w:lvlJc w:val="left"/>
      <w:pPr>
        <w:ind w:left="3600" w:hanging="360"/>
      </w:pPr>
      <w:rPr>
        <w:rFonts w:hint="default" w:ascii="Courier New" w:hAnsi="Courier New" w:cs="Courier New"/>
      </w:rPr>
    </w:lvl>
    <w:lvl w:ilvl="5" w:tplc="94B42C86" w:tentative="1">
      <w:start w:val="1"/>
      <w:numFmt w:val="bullet"/>
      <w:lvlText w:val=""/>
      <w:lvlJc w:val="left"/>
      <w:pPr>
        <w:ind w:left="4320" w:hanging="360"/>
      </w:pPr>
      <w:rPr>
        <w:rFonts w:hint="default" w:ascii="Wingdings" w:hAnsi="Wingdings"/>
      </w:rPr>
    </w:lvl>
    <w:lvl w:ilvl="6" w:tplc="551A5E58" w:tentative="1">
      <w:start w:val="1"/>
      <w:numFmt w:val="bullet"/>
      <w:lvlText w:val=""/>
      <w:lvlJc w:val="left"/>
      <w:pPr>
        <w:ind w:left="5040" w:hanging="360"/>
      </w:pPr>
      <w:rPr>
        <w:rFonts w:hint="default" w:ascii="Symbol" w:hAnsi="Symbol"/>
      </w:rPr>
    </w:lvl>
    <w:lvl w:ilvl="7" w:tplc="DBBA094A" w:tentative="1">
      <w:start w:val="1"/>
      <w:numFmt w:val="bullet"/>
      <w:lvlText w:val="o"/>
      <w:lvlJc w:val="left"/>
      <w:pPr>
        <w:ind w:left="5760" w:hanging="360"/>
      </w:pPr>
      <w:rPr>
        <w:rFonts w:hint="default" w:ascii="Courier New" w:hAnsi="Courier New" w:cs="Courier New"/>
      </w:rPr>
    </w:lvl>
    <w:lvl w:ilvl="8" w:tplc="A3546D6C" w:tentative="1">
      <w:start w:val="1"/>
      <w:numFmt w:val="bullet"/>
      <w:lvlText w:val=""/>
      <w:lvlJc w:val="left"/>
      <w:pPr>
        <w:ind w:left="6480" w:hanging="360"/>
      </w:pPr>
      <w:rPr>
        <w:rFonts w:hint="default" w:ascii="Wingdings" w:hAnsi="Wingdings"/>
      </w:rPr>
    </w:lvl>
  </w:abstractNum>
  <w:abstractNum w:abstractNumId="32" w15:restartNumberingAfterBreak="0">
    <w:nsid w:val="684850E7"/>
    <w:multiLevelType w:val="multilevel"/>
    <w:tmpl w:val="33A22176"/>
    <w:lvl w:ilvl="0">
      <w:start w:val="1"/>
      <w:numFmt w:val="bullet"/>
      <w:lvlText w:val=""/>
      <w:lvlJc w:val="left"/>
      <w:pPr>
        <w:tabs>
          <w:tab w:val="num" w:pos="397"/>
        </w:tabs>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3" w15:restartNumberingAfterBreak="0">
    <w:nsid w:val="6BC70A75"/>
    <w:multiLevelType w:val="hybridMultilevel"/>
    <w:tmpl w:val="AB9CFF1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4" w15:restartNumberingAfterBreak="0">
    <w:nsid w:val="6C042717"/>
    <w:multiLevelType w:val="multilevel"/>
    <w:tmpl w:val="DCDEB9D0"/>
    <w:numStyleLink w:val="Style1"/>
  </w:abstractNum>
  <w:abstractNum w:abstractNumId="3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hint="default" w:ascii="Calibri" w:hAnsi="Calibri" w:cs="Times New Roman"/>
        <w:color w:val="auto"/>
        <w:sz w:val="20"/>
      </w:rPr>
    </w:lvl>
    <w:lvl w:ilvl="1" w:tplc="14090003" w:tentative="1">
      <w:start w:val="1"/>
      <w:numFmt w:val="bullet"/>
      <w:lvlText w:val="o"/>
      <w:lvlJc w:val="left"/>
      <w:pPr>
        <w:ind w:left="1724" w:hanging="360"/>
      </w:pPr>
      <w:rPr>
        <w:rFonts w:hint="default" w:ascii="Courier New" w:hAnsi="Courier New" w:cs="Courier New"/>
      </w:rPr>
    </w:lvl>
    <w:lvl w:ilvl="2" w:tplc="14090005" w:tentative="1">
      <w:start w:val="1"/>
      <w:numFmt w:val="bullet"/>
      <w:lvlText w:val=""/>
      <w:lvlJc w:val="left"/>
      <w:pPr>
        <w:ind w:left="2444" w:hanging="360"/>
      </w:pPr>
      <w:rPr>
        <w:rFonts w:hint="default" w:ascii="Wingdings" w:hAnsi="Wingdings"/>
      </w:rPr>
    </w:lvl>
    <w:lvl w:ilvl="3" w:tplc="14090001" w:tentative="1">
      <w:start w:val="1"/>
      <w:numFmt w:val="bullet"/>
      <w:lvlText w:val=""/>
      <w:lvlJc w:val="left"/>
      <w:pPr>
        <w:ind w:left="3164" w:hanging="360"/>
      </w:pPr>
      <w:rPr>
        <w:rFonts w:hint="default" w:ascii="Symbol" w:hAnsi="Symbol"/>
      </w:rPr>
    </w:lvl>
    <w:lvl w:ilvl="4" w:tplc="14090003" w:tentative="1">
      <w:start w:val="1"/>
      <w:numFmt w:val="bullet"/>
      <w:lvlText w:val="o"/>
      <w:lvlJc w:val="left"/>
      <w:pPr>
        <w:ind w:left="3884" w:hanging="360"/>
      </w:pPr>
      <w:rPr>
        <w:rFonts w:hint="default" w:ascii="Courier New" w:hAnsi="Courier New" w:cs="Courier New"/>
      </w:rPr>
    </w:lvl>
    <w:lvl w:ilvl="5" w:tplc="14090005" w:tentative="1">
      <w:start w:val="1"/>
      <w:numFmt w:val="bullet"/>
      <w:lvlText w:val=""/>
      <w:lvlJc w:val="left"/>
      <w:pPr>
        <w:ind w:left="4604" w:hanging="360"/>
      </w:pPr>
      <w:rPr>
        <w:rFonts w:hint="default" w:ascii="Wingdings" w:hAnsi="Wingdings"/>
      </w:rPr>
    </w:lvl>
    <w:lvl w:ilvl="6" w:tplc="14090001" w:tentative="1">
      <w:start w:val="1"/>
      <w:numFmt w:val="bullet"/>
      <w:lvlText w:val=""/>
      <w:lvlJc w:val="left"/>
      <w:pPr>
        <w:ind w:left="5324" w:hanging="360"/>
      </w:pPr>
      <w:rPr>
        <w:rFonts w:hint="default" w:ascii="Symbol" w:hAnsi="Symbol"/>
      </w:rPr>
    </w:lvl>
    <w:lvl w:ilvl="7" w:tplc="14090003" w:tentative="1">
      <w:start w:val="1"/>
      <w:numFmt w:val="bullet"/>
      <w:lvlText w:val="o"/>
      <w:lvlJc w:val="left"/>
      <w:pPr>
        <w:ind w:left="6044" w:hanging="360"/>
      </w:pPr>
      <w:rPr>
        <w:rFonts w:hint="default" w:ascii="Courier New" w:hAnsi="Courier New" w:cs="Courier New"/>
      </w:rPr>
    </w:lvl>
    <w:lvl w:ilvl="8" w:tplc="14090005" w:tentative="1">
      <w:start w:val="1"/>
      <w:numFmt w:val="bullet"/>
      <w:lvlText w:val=""/>
      <w:lvlJc w:val="left"/>
      <w:pPr>
        <w:ind w:left="6764" w:hanging="360"/>
      </w:pPr>
      <w:rPr>
        <w:rFonts w:hint="default" w:ascii="Wingdings" w:hAnsi="Wingdings"/>
      </w:rPr>
    </w:lvl>
  </w:abstractNum>
  <w:abstractNum w:abstractNumId="37" w15:restartNumberingAfterBreak="0">
    <w:nsid w:val="71BC1776"/>
    <w:multiLevelType w:val="multilevel"/>
    <w:tmpl w:val="14090001"/>
    <w:lvl w:ilvl="0">
      <w:start w:val="1"/>
      <w:numFmt w:val="bullet"/>
      <w:lvlText w:val=""/>
      <w:lvlJc w:val="left"/>
      <w:pPr>
        <w:tabs>
          <w:tab w:val="num" w:pos="397"/>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8"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hint="default" w:ascii="Symbol" w:hAnsi="Symbol"/>
        <w:color w:val="auto"/>
        <w:sz w:val="16"/>
        <w:szCs w:val="16"/>
      </w:rPr>
    </w:lvl>
    <w:lvl w:ilvl="1" w:tplc="66624CCE">
      <w:start w:val="1"/>
      <w:numFmt w:val="bullet"/>
      <w:lvlText w:val="o"/>
      <w:lvlJc w:val="left"/>
      <w:pPr>
        <w:tabs>
          <w:tab w:val="num" w:pos="1440"/>
        </w:tabs>
        <w:ind w:left="1440" w:hanging="360"/>
      </w:pPr>
      <w:rPr>
        <w:rFonts w:hint="default" w:ascii="Courier New" w:hAnsi="Courier New" w:cs="Courier New"/>
      </w:rPr>
    </w:lvl>
    <w:lvl w:ilvl="2" w:tplc="F50EB80C" w:tentative="1">
      <w:start w:val="1"/>
      <w:numFmt w:val="bullet"/>
      <w:lvlText w:val=""/>
      <w:lvlJc w:val="left"/>
      <w:pPr>
        <w:tabs>
          <w:tab w:val="num" w:pos="2160"/>
        </w:tabs>
        <w:ind w:left="2160" w:hanging="360"/>
      </w:pPr>
      <w:rPr>
        <w:rFonts w:hint="default" w:ascii="Wingdings" w:hAnsi="Wingdings"/>
      </w:rPr>
    </w:lvl>
    <w:lvl w:ilvl="3" w:tplc="3662DCF6" w:tentative="1">
      <w:start w:val="1"/>
      <w:numFmt w:val="bullet"/>
      <w:lvlText w:val=""/>
      <w:lvlJc w:val="left"/>
      <w:pPr>
        <w:tabs>
          <w:tab w:val="num" w:pos="2880"/>
        </w:tabs>
        <w:ind w:left="2880" w:hanging="360"/>
      </w:pPr>
      <w:rPr>
        <w:rFonts w:hint="default" w:ascii="Symbol" w:hAnsi="Symbol"/>
      </w:rPr>
    </w:lvl>
    <w:lvl w:ilvl="4" w:tplc="4F909F22" w:tentative="1">
      <w:start w:val="1"/>
      <w:numFmt w:val="bullet"/>
      <w:lvlText w:val="o"/>
      <w:lvlJc w:val="left"/>
      <w:pPr>
        <w:tabs>
          <w:tab w:val="num" w:pos="3600"/>
        </w:tabs>
        <w:ind w:left="3600" w:hanging="360"/>
      </w:pPr>
      <w:rPr>
        <w:rFonts w:hint="default" w:ascii="Courier New" w:hAnsi="Courier New" w:cs="Courier New"/>
      </w:rPr>
    </w:lvl>
    <w:lvl w:ilvl="5" w:tplc="6D8E5B5C" w:tentative="1">
      <w:start w:val="1"/>
      <w:numFmt w:val="bullet"/>
      <w:lvlText w:val=""/>
      <w:lvlJc w:val="left"/>
      <w:pPr>
        <w:tabs>
          <w:tab w:val="num" w:pos="4320"/>
        </w:tabs>
        <w:ind w:left="4320" w:hanging="360"/>
      </w:pPr>
      <w:rPr>
        <w:rFonts w:hint="default" w:ascii="Wingdings" w:hAnsi="Wingdings"/>
      </w:rPr>
    </w:lvl>
    <w:lvl w:ilvl="6" w:tplc="430447C8" w:tentative="1">
      <w:start w:val="1"/>
      <w:numFmt w:val="bullet"/>
      <w:lvlText w:val=""/>
      <w:lvlJc w:val="left"/>
      <w:pPr>
        <w:tabs>
          <w:tab w:val="num" w:pos="5040"/>
        </w:tabs>
        <w:ind w:left="5040" w:hanging="360"/>
      </w:pPr>
      <w:rPr>
        <w:rFonts w:hint="default" w:ascii="Symbol" w:hAnsi="Symbol"/>
      </w:rPr>
    </w:lvl>
    <w:lvl w:ilvl="7" w:tplc="489CDFD4" w:tentative="1">
      <w:start w:val="1"/>
      <w:numFmt w:val="bullet"/>
      <w:lvlText w:val="o"/>
      <w:lvlJc w:val="left"/>
      <w:pPr>
        <w:tabs>
          <w:tab w:val="num" w:pos="5760"/>
        </w:tabs>
        <w:ind w:left="5760" w:hanging="360"/>
      </w:pPr>
      <w:rPr>
        <w:rFonts w:hint="default" w:ascii="Courier New" w:hAnsi="Courier New" w:cs="Courier New"/>
      </w:rPr>
    </w:lvl>
    <w:lvl w:ilvl="8" w:tplc="5FD01C96"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9770EC9"/>
    <w:multiLevelType w:val="hybridMultilevel"/>
    <w:tmpl w:val="C53AF14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0" w15:restartNumberingAfterBreak="0">
    <w:nsid w:val="7E4D254A"/>
    <w:multiLevelType w:val="singleLevel"/>
    <w:tmpl w:val="4BDCAC54"/>
    <w:lvl w:ilvl="0">
      <w:start w:val="1"/>
      <w:numFmt w:val="bullet"/>
      <w:lvlText w:val=""/>
      <w:lvlJc w:val="left"/>
      <w:pPr>
        <w:tabs>
          <w:tab w:val="num" w:pos="567"/>
        </w:tabs>
        <w:ind w:left="567" w:hanging="567"/>
      </w:pPr>
      <w:rPr>
        <w:rFonts w:hint="default" w:ascii="Symbol" w:hAnsi="Symbol"/>
        <w:color w:val="auto"/>
        <w:sz w:val="18"/>
        <w:szCs w:val="20"/>
      </w:rPr>
    </w:lvl>
  </w:abstractNum>
  <w:num w:numId="1" w16cid:durableId="147790156">
    <w:abstractNumId w:val="16"/>
  </w:num>
  <w:num w:numId="2" w16cid:durableId="1270701948">
    <w:abstractNumId w:val="27"/>
  </w:num>
  <w:num w:numId="3" w16cid:durableId="1676030043">
    <w:abstractNumId w:val="40"/>
  </w:num>
  <w:num w:numId="4" w16cid:durableId="946737636">
    <w:abstractNumId w:val="22"/>
  </w:num>
  <w:num w:numId="5" w16cid:durableId="181937884">
    <w:abstractNumId w:val="13"/>
  </w:num>
  <w:num w:numId="6" w16cid:durableId="1789470371">
    <w:abstractNumId w:val="8"/>
  </w:num>
  <w:num w:numId="7" w16cid:durableId="1751468041">
    <w:abstractNumId w:val="25"/>
  </w:num>
  <w:num w:numId="8" w16cid:durableId="319700520">
    <w:abstractNumId w:val="24"/>
  </w:num>
  <w:num w:numId="9" w16cid:durableId="61634995">
    <w:abstractNumId w:val="38"/>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31"/>
  </w:num>
  <w:num w:numId="13" w16cid:durableId="2111318697">
    <w:abstractNumId w:val="12"/>
  </w:num>
  <w:num w:numId="14" w16cid:durableId="527908752">
    <w:abstractNumId w:val="34"/>
  </w:num>
  <w:num w:numId="15" w16cid:durableId="1810710488">
    <w:abstractNumId w:val="23"/>
  </w:num>
  <w:num w:numId="16" w16cid:durableId="1832209572">
    <w:abstractNumId w:val="11"/>
  </w:num>
  <w:num w:numId="17" w16cid:durableId="882985350">
    <w:abstractNumId w:val="32"/>
  </w:num>
  <w:num w:numId="18" w16cid:durableId="1414619994">
    <w:abstractNumId w:val="28"/>
  </w:num>
  <w:num w:numId="19" w16cid:durableId="1876043617">
    <w:abstractNumId w:val="35"/>
  </w:num>
  <w:num w:numId="20" w16cid:durableId="1466776422">
    <w:abstractNumId w:val="14"/>
  </w:num>
  <w:num w:numId="21" w16cid:durableId="2058817310">
    <w:abstractNumId w:val="29"/>
  </w:num>
  <w:num w:numId="22" w16cid:durableId="1700279313">
    <w:abstractNumId w:val="5"/>
  </w:num>
  <w:num w:numId="23" w16cid:durableId="2058817359">
    <w:abstractNumId w:val="26"/>
  </w:num>
  <w:num w:numId="24" w16cid:durableId="1654988709">
    <w:abstractNumId w:val="17"/>
  </w:num>
  <w:num w:numId="25" w16cid:durableId="163515585">
    <w:abstractNumId w:val="37"/>
  </w:num>
  <w:num w:numId="26" w16cid:durableId="1923172751">
    <w:abstractNumId w:val="30"/>
  </w:num>
  <w:num w:numId="27" w16cid:durableId="1169712652">
    <w:abstractNumId w:val="0"/>
  </w:num>
  <w:num w:numId="28" w16cid:durableId="318702976">
    <w:abstractNumId w:val="20"/>
  </w:num>
  <w:num w:numId="29" w16cid:durableId="1493326007">
    <w:abstractNumId w:val="9"/>
  </w:num>
  <w:num w:numId="30" w16cid:durableId="148442728">
    <w:abstractNumId w:val="3"/>
  </w:num>
  <w:num w:numId="31" w16cid:durableId="598565880">
    <w:abstractNumId w:val="2"/>
  </w:num>
  <w:num w:numId="32" w16cid:durableId="1547906841">
    <w:abstractNumId w:val="6"/>
  </w:num>
  <w:num w:numId="33" w16cid:durableId="214006165">
    <w:abstractNumId w:val="10"/>
  </w:num>
  <w:num w:numId="34" w16cid:durableId="460806462">
    <w:abstractNumId w:val="21"/>
  </w:num>
  <w:num w:numId="35" w16cid:durableId="351688295">
    <w:abstractNumId w:val="19"/>
  </w:num>
  <w:num w:numId="36" w16cid:durableId="953633058">
    <w:abstractNumId w:val="7"/>
  </w:num>
  <w:num w:numId="37" w16cid:durableId="57486827">
    <w:abstractNumId w:val="36"/>
  </w:num>
  <w:num w:numId="38" w16cid:durableId="416098131">
    <w:abstractNumId w:val="27"/>
  </w:num>
  <w:num w:numId="39" w16cid:durableId="2073501908">
    <w:abstractNumId w:val="7"/>
  </w:num>
  <w:num w:numId="40" w16cid:durableId="1120416703">
    <w:abstractNumId w:val="39"/>
  </w:num>
  <w:num w:numId="41" w16cid:durableId="1912618082">
    <w:abstractNumId w:val="33"/>
  </w:num>
  <w:num w:numId="42" w16cid:durableId="2027435684">
    <w:abstractNumId w:val="4"/>
  </w:num>
  <w:num w:numId="43" w16cid:durableId="386151074">
    <w:abstractNumId w:val="15"/>
  </w:num>
  <w:num w:numId="44" w16cid:durableId="1632204348">
    <w:abstractNumId w:val="18"/>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DateAndTime/>
  <w:trackRevisions w:val="false"/>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3B94"/>
    <w:rsid w:val="00003C4F"/>
    <w:rsid w:val="00004E0A"/>
    <w:rsid w:val="00004FD3"/>
    <w:rsid w:val="00006DF5"/>
    <w:rsid w:val="00006F95"/>
    <w:rsid w:val="00007023"/>
    <w:rsid w:val="0000709F"/>
    <w:rsid w:val="000071D6"/>
    <w:rsid w:val="00007F2D"/>
    <w:rsid w:val="00007FAC"/>
    <w:rsid w:val="00010247"/>
    <w:rsid w:val="000102B1"/>
    <w:rsid w:val="00010A9C"/>
    <w:rsid w:val="00010ABA"/>
    <w:rsid w:val="00010E15"/>
    <w:rsid w:val="00010F57"/>
    <w:rsid w:val="0001100C"/>
    <w:rsid w:val="00011188"/>
    <w:rsid w:val="00012555"/>
    <w:rsid w:val="00012777"/>
    <w:rsid w:val="00014236"/>
    <w:rsid w:val="00014398"/>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DA0"/>
    <w:rsid w:val="00024EE7"/>
    <w:rsid w:val="00025F96"/>
    <w:rsid w:val="00025FAB"/>
    <w:rsid w:val="00026E89"/>
    <w:rsid w:val="000275A3"/>
    <w:rsid w:val="00030558"/>
    <w:rsid w:val="00030699"/>
    <w:rsid w:val="00030725"/>
    <w:rsid w:val="00030DB8"/>
    <w:rsid w:val="00031A83"/>
    <w:rsid w:val="0003213A"/>
    <w:rsid w:val="000326D6"/>
    <w:rsid w:val="00032A81"/>
    <w:rsid w:val="00033E12"/>
    <w:rsid w:val="000340D8"/>
    <w:rsid w:val="0003427D"/>
    <w:rsid w:val="00034DFA"/>
    <w:rsid w:val="000357ED"/>
    <w:rsid w:val="00035E15"/>
    <w:rsid w:val="0003640E"/>
    <w:rsid w:val="00036487"/>
    <w:rsid w:val="00036801"/>
    <w:rsid w:val="0003684A"/>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330"/>
    <w:rsid w:val="000619CB"/>
    <w:rsid w:val="00062387"/>
    <w:rsid w:val="00062623"/>
    <w:rsid w:val="000633A0"/>
    <w:rsid w:val="000640F0"/>
    <w:rsid w:val="0006434D"/>
    <w:rsid w:val="000643A1"/>
    <w:rsid w:val="00064679"/>
    <w:rsid w:val="00064A13"/>
    <w:rsid w:val="00064AF4"/>
    <w:rsid w:val="00064B0B"/>
    <w:rsid w:val="00064DB1"/>
    <w:rsid w:val="00065BA3"/>
    <w:rsid w:val="00065D3B"/>
    <w:rsid w:val="000667E9"/>
    <w:rsid w:val="00067128"/>
    <w:rsid w:val="000675CD"/>
    <w:rsid w:val="00067872"/>
    <w:rsid w:val="000678AC"/>
    <w:rsid w:val="00067AC6"/>
    <w:rsid w:val="000703B2"/>
    <w:rsid w:val="00070FBF"/>
    <w:rsid w:val="000711EE"/>
    <w:rsid w:val="00071632"/>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778"/>
    <w:rsid w:val="00080E5E"/>
    <w:rsid w:val="0008145A"/>
    <w:rsid w:val="0008162D"/>
    <w:rsid w:val="00081EB5"/>
    <w:rsid w:val="000827D0"/>
    <w:rsid w:val="000831C8"/>
    <w:rsid w:val="000836C9"/>
    <w:rsid w:val="00083871"/>
    <w:rsid w:val="00083F5E"/>
    <w:rsid w:val="00084F3E"/>
    <w:rsid w:val="00084FDB"/>
    <w:rsid w:val="0008505C"/>
    <w:rsid w:val="00085C46"/>
    <w:rsid w:val="0008686A"/>
    <w:rsid w:val="00087175"/>
    <w:rsid w:val="00087D35"/>
    <w:rsid w:val="000902C4"/>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82"/>
    <w:rsid w:val="000A31C1"/>
    <w:rsid w:val="000A32C5"/>
    <w:rsid w:val="000A3411"/>
    <w:rsid w:val="000A34CA"/>
    <w:rsid w:val="000A426F"/>
    <w:rsid w:val="000A4559"/>
    <w:rsid w:val="000A459A"/>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0B6C"/>
    <w:rsid w:val="000C17E7"/>
    <w:rsid w:val="000C3270"/>
    <w:rsid w:val="000C574D"/>
    <w:rsid w:val="000C577E"/>
    <w:rsid w:val="000C5B87"/>
    <w:rsid w:val="000D04BA"/>
    <w:rsid w:val="000D0B6E"/>
    <w:rsid w:val="000D0D65"/>
    <w:rsid w:val="000D113B"/>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49D"/>
    <w:rsid w:val="000E58C5"/>
    <w:rsid w:val="000E6203"/>
    <w:rsid w:val="000E6397"/>
    <w:rsid w:val="000E64CB"/>
    <w:rsid w:val="000E6708"/>
    <w:rsid w:val="000E7032"/>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95E"/>
    <w:rsid w:val="000F6C25"/>
    <w:rsid w:val="000F76EB"/>
    <w:rsid w:val="000F78AE"/>
    <w:rsid w:val="000F7967"/>
    <w:rsid w:val="000F7E25"/>
    <w:rsid w:val="001007EE"/>
    <w:rsid w:val="00100F76"/>
    <w:rsid w:val="0010148E"/>
    <w:rsid w:val="0010194C"/>
    <w:rsid w:val="001023C2"/>
    <w:rsid w:val="0010253C"/>
    <w:rsid w:val="0010263A"/>
    <w:rsid w:val="00102BD1"/>
    <w:rsid w:val="0010486A"/>
    <w:rsid w:val="0010561C"/>
    <w:rsid w:val="00105C0F"/>
    <w:rsid w:val="00105E39"/>
    <w:rsid w:val="00106561"/>
    <w:rsid w:val="00106D63"/>
    <w:rsid w:val="001075F3"/>
    <w:rsid w:val="00107A01"/>
    <w:rsid w:val="00107A4B"/>
    <w:rsid w:val="00107C23"/>
    <w:rsid w:val="0011026E"/>
    <w:rsid w:val="00110307"/>
    <w:rsid w:val="00110C7F"/>
    <w:rsid w:val="00110EE2"/>
    <w:rsid w:val="001113DA"/>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49DF"/>
    <w:rsid w:val="00125C75"/>
    <w:rsid w:val="00125C7E"/>
    <w:rsid w:val="0012731C"/>
    <w:rsid w:val="001274FF"/>
    <w:rsid w:val="0012750E"/>
    <w:rsid w:val="00127945"/>
    <w:rsid w:val="00127D94"/>
    <w:rsid w:val="00127E90"/>
    <w:rsid w:val="001302C1"/>
    <w:rsid w:val="001306D3"/>
    <w:rsid w:val="001308F4"/>
    <w:rsid w:val="001310BF"/>
    <w:rsid w:val="00131E1C"/>
    <w:rsid w:val="00131EC2"/>
    <w:rsid w:val="00133E73"/>
    <w:rsid w:val="00133FDB"/>
    <w:rsid w:val="00134C79"/>
    <w:rsid w:val="00134F4A"/>
    <w:rsid w:val="00135E4E"/>
    <w:rsid w:val="00136246"/>
    <w:rsid w:val="001362A1"/>
    <w:rsid w:val="001364D4"/>
    <w:rsid w:val="00136C39"/>
    <w:rsid w:val="001371C8"/>
    <w:rsid w:val="001372ED"/>
    <w:rsid w:val="0014168C"/>
    <w:rsid w:val="00142B50"/>
    <w:rsid w:val="00143873"/>
    <w:rsid w:val="001439E9"/>
    <w:rsid w:val="00143C55"/>
    <w:rsid w:val="00144C6F"/>
    <w:rsid w:val="00144E3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3F8B"/>
    <w:rsid w:val="001543E2"/>
    <w:rsid w:val="00154C54"/>
    <w:rsid w:val="00155B43"/>
    <w:rsid w:val="00155BF4"/>
    <w:rsid w:val="001565A2"/>
    <w:rsid w:val="001567C3"/>
    <w:rsid w:val="00156A12"/>
    <w:rsid w:val="00157B3F"/>
    <w:rsid w:val="00157F8A"/>
    <w:rsid w:val="00160C3D"/>
    <w:rsid w:val="00160D07"/>
    <w:rsid w:val="00161B24"/>
    <w:rsid w:val="00161C41"/>
    <w:rsid w:val="00161DD5"/>
    <w:rsid w:val="001633A4"/>
    <w:rsid w:val="001634D6"/>
    <w:rsid w:val="001648DD"/>
    <w:rsid w:val="00165705"/>
    <w:rsid w:val="00165C38"/>
    <w:rsid w:val="00166389"/>
    <w:rsid w:val="00166812"/>
    <w:rsid w:val="00166E03"/>
    <w:rsid w:val="00167E4C"/>
    <w:rsid w:val="001710B2"/>
    <w:rsid w:val="001713A7"/>
    <w:rsid w:val="00171449"/>
    <w:rsid w:val="0017199C"/>
    <w:rsid w:val="00171C7E"/>
    <w:rsid w:val="00171F35"/>
    <w:rsid w:val="00172552"/>
    <w:rsid w:val="00172873"/>
    <w:rsid w:val="00172CF7"/>
    <w:rsid w:val="0017319E"/>
    <w:rsid w:val="0017349E"/>
    <w:rsid w:val="00173A1F"/>
    <w:rsid w:val="00173BC3"/>
    <w:rsid w:val="00174128"/>
    <w:rsid w:val="00174FDF"/>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0FD"/>
    <w:rsid w:val="0018599C"/>
    <w:rsid w:val="00185C24"/>
    <w:rsid w:val="001869EE"/>
    <w:rsid w:val="00186D00"/>
    <w:rsid w:val="00187406"/>
    <w:rsid w:val="0018743A"/>
    <w:rsid w:val="00190A57"/>
    <w:rsid w:val="00190B3F"/>
    <w:rsid w:val="0019122C"/>
    <w:rsid w:val="00191908"/>
    <w:rsid w:val="00192DF3"/>
    <w:rsid w:val="0019301F"/>
    <w:rsid w:val="00193286"/>
    <w:rsid w:val="001937B8"/>
    <w:rsid w:val="00194BB7"/>
    <w:rsid w:val="00194CC5"/>
    <w:rsid w:val="001951B2"/>
    <w:rsid w:val="0019565D"/>
    <w:rsid w:val="00195B30"/>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610"/>
    <w:rsid w:val="001B6B9B"/>
    <w:rsid w:val="001B6C27"/>
    <w:rsid w:val="001B7144"/>
    <w:rsid w:val="001B7B8A"/>
    <w:rsid w:val="001B7E91"/>
    <w:rsid w:val="001C0748"/>
    <w:rsid w:val="001C147E"/>
    <w:rsid w:val="001C151B"/>
    <w:rsid w:val="001C19E5"/>
    <w:rsid w:val="001C3800"/>
    <w:rsid w:val="001C3C7B"/>
    <w:rsid w:val="001C4D70"/>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0CF8"/>
    <w:rsid w:val="001E14FD"/>
    <w:rsid w:val="001E180F"/>
    <w:rsid w:val="001E1C64"/>
    <w:rsid w:val="001E1CEC"/>
    <w:rsid w:val="001E2ECB"/>
    <w:rsid w:val="001E4B64"/>
    <w:rsid w:val="001E552A"/>
    <w:rsid w:val="001E57B9"/>
    <w:rsid w:val="001E6E8D"/>
    <w:rsid w:val="001E7EE4"/>
    <w:rsid w:val="001E7F76"/>
    <w:rsid w:val="001F0FAF"/>
    <w:rsid w:val="001F139F"/>
    <w:rsid w:val="001F140D"/>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7E7"/>
    <w:rsid w:val="00200FAE"/>
    <w:rsid w:val="0020102D"/>
    <w:rsid w:val="002010E2"/>
    <w:rsid w:val="00201B73"/>
    <w:rsid w:val="00202517"/>
    <w:rsid w:val="00202ADB"/>
    <w:rsid w:val="00202BB7"/>
    <w:rsid w:val="0020435B"/>
    <w:rsid w:val="00204533"/>
    <w:rsid w:val="00204F2D"/>
    <w:rsid w:val="00205566"/>
    <w:rsid w:val="0020619E"/>
    <w:rsid w:val="002063AA"/>
    <w:rsid w:val="00207DFA"/>
    <w:rsid w:val="00210549"/>
    <w:rsid w:val="0021069E"/>
    <w:rsid w:val="00210804"/>
    <w:rsid w:val="0021088F"/>
    <w:rsid w:val="002113FE"/>
    <w:rsid w:val="00211737"/>
    <w:rsid w:val="0021181B"/>
    <w:rsid w:val="00211CCA"/>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0D8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1FAF"/>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82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0C"/>
    <w:rsid w:val="002972EE"/>
    <w:rsid w:val="00297F01"/>
    <w:rsid w:val="002A025D"/>
    <w:rsid w:val="002A052D"/>
    <w:rsid w:val="002A0DF8"/>
    <w:rsid w:val="002A1928"/>
    <w:rsid w:val="002A1F0D"/>
    <w:rsid w:val="002A1F1F"/>
    <w:rsid w:val="002A21B5"/>
    <w:rsid w:val="002A2631"/>
    <w:rsid w:val="002A2A0C"/>
    <w:rsid w:val="002A2BB6"/>
    <w:rsid w:val="002A30E0"/>
    <w:rsid w:val="002A310C"/>
    <w:rsid w:val="002A3521"/>
    <w:rsid w:val="002A35C5"/>
    <w:rsid w:val="002A37E1"/>
    <w:rsid w:val="002A3B61"/>
    <w:rsid w:val="002A402A"/>
    <w:rsid w:val="002A4596"/>
    <w:rsid w:val="002A45AA"/>
    <w:rsid w:val="002A4B0B"/>
    <w:rsid w:val="002A4B6F"/>
    <w:rsid w:val="002A4FFF"/>
    <w:rsid w:val="002A533C"/>
    <w:rsid w:val="002A56C4"/>
    <w:rsid w:val="002A56E1"/>
    <w:rsid w:val="002A59BD"/>
    <w:rsid w:val="002A75CA"/>
    <w:rsid w:val="002A7889"/>
    <w:rsid w:val="002A799A"/>
    <w:rsid w:val="002B097D"/>
    <w:rsid w:val="002B11B2"/>
    <w:rsid w:val="002B17DD"/>
    <w:rsid w:val="002B18F7"/>
    <w:rsid w:val="002B259E"/>
    <w:rsid w:val="002B3ED7"/>
    <w:rsid w:val="002B4778"/>
    <w:rsid w:val="002B4F0F"/>
    <w:rsid w:val="002B75B2"/>
    <w:rsid w:val="002B79B7"/>
    <w:rsid w:val="002C122E"/>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0E01"/>
    <w:rsid w:val="002D15C2"/>
    <w:rsid w:val="002D2B10"/>
    <w:rsid w:val="002D386A"/>
    <w:rsid w:val="002D4100"/>
    <w:rsid w:val="002D477F"/>
    <w:rsid w:val="002D4F48"/>
    <w:rsid w:val="002D519B"/>
    <w:rsid w:val="002D621E"/>
    <w:rsid w:val="002D66DA"/>
    <w:rsid w:val="002D7027"/>
    <w:rsid w:val="002D70DC"/>
    <w:rsid w:val="002D73A3"/>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C0B"/>
    <w:rsid w:val="002E5DBF"/>
    <w:rsid w:val="002E5E01"/>
    <w:rsid w:val="002E60F5"/>
    <w:rsid w:val="002E6536"/>
    <w:rsid w:val="002E688D"/>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5B52"/>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0BA"/>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36C"/>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1C03"/>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AF5"/>
    <w:rsid w:val="00353F9E"/>
    <w:rsid w:val="003540D1"/>
    <w:rsid w:val="003545BF"/>
    <w:rsid w:val="00355724"/>
    <w:rsid w:val="0035586A"/>
    <w:rsid w:val="0035611A"/>
    <w:rsid w:val="00356190"/>
    <w:rsid w:val="00356C3D"/>
    <w:rsid w:val="00360476"/>
    <w:rsid w:val="00360B75"/>
    <w:rsid w:val="0036151C"/>
    <w:rsid w:val="00361A9B"/>
    <w:rsid w:val="00361CDD"/>
    <w:rsid w:val="00361D69"/>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38D6"/>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1DFE"/>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615"/>
    <w:rsid w:val="003A0899"/>
    <w:rsid w:val="003A1512"/>
    <w:rsid w:val="003A1EB7"/>
    <w:rsid w:val="003A23F3"/>
    <w:rsid w:val="003A2D82"/>
    <w:rsid w:val="003A337C"/>
    <w:rsid w:val="003A36DA"/>
    <w:rsid w:val="003A38F1"/>
    <w:rsid w:val="003A3D1B"/>
    <w:rsid w:val="003A3F39"/>
    <w:rsid w:val="003A4170"/>
    <w:rsid w:val="003A4296"/>
    <w:rsid w:val="003A4549"/>
    <w:rsid w:val="003A49B3"/>
    <w:rsid w:val="003A55B4"/>
    <w:rsid w:val="003A61B6"/>
    <w:rsid w:val="003A623F"/>
    <w:rsid w:val="003A6769"/>
    <w:rsid w:val="003A71AD"/>
    <w:rsid w:val="003A772F"/>
    <w:rsid w:val="003A7D1D"/>
    <w:rsid w:val="003B0EE7"/>
    <w:rsid w:val="003B1407"/>
    <w:rsid w:val="003B1688"/>
    <w:rsid w:val="003B1FA4"/>
    <w:rsid w:val="003B1FE6"/>
    <w:rsid w:val="003B2813"/>
    <w:rsid w:val="003B2986"/>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614"/>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6DCE"/>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4E0B"/>
    <w:rsid w:val="00435765"/>
    <w:rsid w:val="004360B6"/>
    <w:rsid w:val="004362E5"/>
    <w:rsid w:val="00436356"/>
    <w:rsid w:val="0044041E"/>
    <w:rsid w:val="00440722"/>
    <w:rsid w:val="00440DF5"/>
    <w:rsid w:val="004425D9"/>
    <w:rsid w:val="0044277E"/>
    <w:rsid w:val="00443244"/>
    <w:rsid w:val="00444AF6"/>
    <w:rsid w:val="0044519D"/>
    <w:rsid w:val="00445544"/>
    <w:rsid w:val="00445C0B"/>
    <w:rsid w:val="00446068"/>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BBA"/>
    <w:rsid w:val="00480FA1"/>
    <w:rsid w:val="00481E88"/>
    <w:rsid w:val="00481FD7"/>
    <w:rsid w:val="00482A7A"/>
    <w:rsid w:val="00482DE5"/>
    <w:rsid w:val="00483266"/>
    <w:rsid w:val="0048352E"/>
    <w:rsid w:val="004836A9"/>
    <w:rsid w:val="00483B23"/>
    <w:rsid w:val="004840D7"/>
    <w:rsid w:val="004846F4"/>
    <w:rsid w:val="004847FD"/>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89F"/>
    <w:rsid w:val="004C198D"/>
    <w:rsid w:val="004C1AD6"/>
    <w:rsid w:val="004C1B7D"/>
    <w:rsid w:val="004C1E3C"/>
    <w:rsid w:val="004C25F0"/>
    <w:rsid w:val="004C26DD"/>
    <w:rsid w:val="004C2B5D"/>
    <w:rsid w:val="004C2D68"/>
    <w:rsid w:val="004C2F56"/>
    <w:rsid w:val="004C339D"/>
    <w:rsid w:val="004C33E8"/>
    <w:rsid w:val="004C40AA"/>
    <w:rsid w:val="004C426D"/>
    <w:rsid w:val="004C4307"/>
    <w:rsid w:val="004C4309"/>
    <w:rsid w:val="004C49E3"/>
    <w:rsid w:val="004C4E8A"/>
    <w:rsid w:val="004C514A"/>
    <w:rsid w:val="004C6572"/>
    <w:rsid w:val="004C6D4F"/>
    <w:rsid w:val="004C7541"/>
    <w:rsid w:val="004D0B66"/>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42"/>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011"/>
    <w:rsid w:val="005010D6"/>
    <w:rsid w:val="00501144"/>
    <w:rsid w:val="005013EF"/>
    <w:rsid w:val="005019E0"/>
    <w:rsid w:val="005019F1"/>
    <w:rsid w:val="00501CEB"/>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2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26CD"/>
    <w:rsid w:val="0054309B"/>
    <w:rsid w:val="0054335C"/>
    <w:rsid w:val="00544DA0"/>
    <w:rsid w:val="005454BD"/>
    <w:rsid w:val="005455D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792"/>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A08"/>
    <w:rsid w:val="00564C23"/>
    <w:rsid w:val="0056530C"/>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5E76"/>
    <w:rsid w:val="00576D65"/>
    <w:rsid w:val="0057765D"/>
    <w:rsid w:val="005777FC"/>
    <w:rsid w:val="00580441"/>
    <w:rsid w:val="005808EB"/>
    <w:rsid w:val="00580D37"/>
    <w:rsid w:val="00580FCB"/>
    <w:rsid w:val="00581FA0"/>
    <w:rsid w:val="00582B90"/>
    <w:rsid w:val="005831A7"/>
    <w:rsid w:val="00583321"/>
    <w:rsid w:val="0058341E"/>
    <w:rsid w:val="005834DD"/>
    <w:rsid w:val="00584F3A"/>
    <w:rsid w:val="005853AB"/>
    <w:rsid w:val="00585748"/>
    <w:rsid w:val="005859C5"/>
    <w:rsid w:val="00585C79"/>
    <w:rsid w:val="00586144"/>
    <w:rsid w:val="0058768C"/>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84"/>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20B"/>
    <w:rsid w:val="005C132F"/>
    <w:rsid w:val="005C1615"/>
    <w:rsid w:val="005C1D98"/>
    <w:rsid w:val="005C1DA5"/>
    <w:rsid w:val="005C2559"/>
    <w:rsid w:val="005C2873"/>
    <w:rsid w:val="005C287E"/>
    <w:rsid w:val="005C28AB"/>
    <w:rsid w:val="005C34FC"/>
    <w:rsid w:val="005C3B5C"/>
    <w:rsid w:val="005C3C7F"/>
    <w:rsid w:val="005C5143"/>
    <w:rsid w:val="005C5639"/>
    <w:rsid w:val="005C5742"/>
    <w:rsid w:val="005C6005"/>
    <w:rsid w:val="005C760E"/>
    <w:rsid w:val="005C7862"/>
    <w:rsid w:val="005C7E9E"/>
    <w:rsid w:val="005D18C9"/>
    <w:rsid w:val="005D1B72"/>
    <w:rsid w:val="005D23BD"/>
    <w:rsid w:val="005D2471"/>
    <w:rsid w:val="005D25A3"/>
    <w:rsid w:val="005D2779"/>
    <w:rsid w:val="005D3242"/>
    <w:rsid w:val="005D610C"/>
    <w:rsid w:val="005D68EE"/>
    <w:rsid w:val="005D74E7"/>
    <w:rsid w:val="005D7F7B"/>
    <w:rsid w:val="005E24DE"/>
    <w:rsid w:val="005E39E0"/>
    <w:rsid w:val="005E3BCD"/>
    <w:rsid w:val="005E4A87"/>
    <w:rsid w:val="005E4DA5"/>
    <w:rsid w:val="005E503E"/>
    <w:rsid w:val="005E59C7"/>
    <w:rsid w:val="005E5E7B"/>
    <w:rsid w:val="005E6095"/>
    <w:rsid w:val="005E6A3F"/>
    <w:rsid w:val="005E6DB8"/>
    <w:rsid w:val="005E7228"/>
    <w:rsid w:val="005E7284"/>
    <w:rsid w:val="005E799F"/>
    <w:rsid w:val="005E7BAC"/>
    <w:rsid w:val="005F0E5C"/>
    <w:rsid w:val="005F134E"/>
    <w:rsid w:val="005F1365"/>
    <w:rsid w:val="005F2C1F"/>
    <w:rsid w:val="005F2DE6"/>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5505"/>
    <w:rsid w:val="006060C4"/>
    <w:rsid w:val="00607C35"/>
    <w:rsid w:val="00611777"/>
    <w:rsid w:val="0061189F"/>
    <w:rsid w:val="0061219B"/>
    <w:rsid w:val="00612D05"/>
    <w:rsid w:val="00613FB6"/>
    <w:rsid w:val="006140C6"/>
    <w:rsid w:val="00614134"/>
    <w:rsid w:val="00614241"/>
    <w:rsid w:val="0061428D"/>
    <w:rsid w:val="00615046"/>
    <w:rsid w:val="00615411"/>
    <w:rsid w:val="00615776"/>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6F"/>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AA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1E11"/>
    <w:rsid w:val="00652326"/>
    <w:rsid w:val="00652881"/>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499"/>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60"/>
    <w:rsid w:val="006A35E0"/>
    <w:rsid w:val="006A377F"/>
    <w:rsid w:val="006A384A"/>
    <w:rsid w:val="006A3875"/>
    <w:rsid w:val="006A3D40"/>
    <w:rsid w:val="006A54DD"/>
    <w:rsid w:val="006A561D"/>
    <w:rsid w:val="006A5A0C"/>
    <w:rsid w:val="006A5BA0"/>
    <w:rsid w:val="006A5BB1"/>
    <w:rsid w:val="006A5CAF"/>
    <w:rsid w:val="006A5F88"/>
    <w:rsid w:val="006A7D95"/>
    <w:rsid w:val="006B120D"/>
    <w:rsid w:val="006B13C1"/>
    <w:rsid w:val="006B2CC7"/>
    <w:rsid w:val="006B3AF9"/>
    <w:rsid w:val="006B4158"/>
    <w:rsid w:val="006B44C5"/>
    <w:rsid w:val="006B555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19E1"/>
    <w:rsid w:val="006D30E7"/>
    <w:rsid w:val="006D48E7"/>
    <w:rsid w:val="006D4947"/>
    <w:rsid w:val="006D4C4B"/>
    <w:rsid w:val="006D4D7C"/>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E7652"/>
    <w:rsid w:val="006F00E7"/>
    <w:rsid w:val="006F0F6E"/>
    <w:rsid w:val="006F1B22"/>
    <w:rsid w:val="006F1BA4"/>
    <w:rsid w:val="006F2259"/>
    <w:rsid w:val="006F23E1"/>
    <w:rsid w:val="006F2F8F"/>
    <w:rsid w:val="006F2FDA"/>
    <w:rsid w:val="006F2FE5"/>
    <w:rsid w:val="006F3460"/>
    <w:rsid w:val="006F34FE"/>
    <w:rsid w:val="006F3615"/>
    <w:rsid w:val="006F3FA3"/>
    <w:rsid w:val="006F4720"/>
    <w:rsid w:val="006F48BA"/>
    <w:rsid w:val="006F4AF9"/>
    <w:rsid w:val="006F54EB"/>
    <w:rsid w:val="006F5C1B"/>
    <w:rsid w:val="006F5CC1"/>
    <w:rsid w:val="006F67A5"/>
    <w:rsid w:val="006F762D"/>
    <w:rsid w:val="00700492"/>
    <w:rsid w:val="0070167E"/>
    <w:rsid w:val="00701E1B"/>
    <w:rsid w:val="0070259F"/>
    <w:rsid w:val="00702ED0"/>
    <w:rsid w:val="00703C09"/>
    <w:rsid w:val="0070434A"/>
    <w:rsid w:val="007048C4"/>
    <w:rsid w:val="00704CC4"/>
    <w:rsid w:val="00705345"/>
    <w:rsid w:val="0070638D"/>
    <w:rsid w:val="00706DBF"/>
    <w:rsid w:val="00706F54"/>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6D"/>
    <w:rsid w:val="007169AC"/>
    <w:rsid w:val="007169DD"/>
    <w:rsid w:val="00717679"/>
    <w:rsid w:val="00717B67"/>
    <w:rsid w:val="0072051C"/>
    <w:rsid w:val="007206A2"/>
    <w:rsid w:val="00720B38"/>
    <w:rsid w:val="00720CA7"/>
    <w:rsid w:val="00720EFD"/>
    <w:rsid w:val="00720FED"/>
    <w:rsid w:val="0072147B"/>
    <w:rsid w:val="0072181E"/>
    <w:rsid w:val="00721893"/>
    <w:rsid w:val="007220E6"/>
    <w:rsid w:val="00722267"/>
    <w:rsid w:val="0072285E"/>
    <w:rsid w:val="00722C62"/>
    <w:rsid w:val="0072321F"/>
    <w:rsid w:val="00723295"/>
    <w:rsid w:val="007237D8"/>
    <w:rsid w:val="007238E2"/>
    <w:rsid w:val="007239B4"/>
    <w:rsid w:val="00724446"/>
    <w:rsid w:val="00724584"/>
    <w:rsid w:val="00724AA1"/>
    <w:rsid w:val="00724D39"/>
    <w:rsid w:val="00725A19"/>
    <w:rsid w:val="00726356"/>
    <w:rsid w:val="007268C7"/>
    <w:rsid w:val="00726AAB"/>
    <w:rsid w:val="00726CF1"/>
    <w:rsid w:val="00726DA0"/>
    <w:rsid w:val="00727077"/>
    <w:rsid w:val="00730EA6"/>
    <w:rsid w:val="00731C15"/>
    <w:rsid w:val="00732045"/>
    <w:rsid w:val="007322A0"/>
    <w:rsid w:val="00732C1A"/>
    <w:rsid w:val="00733CDC"/>
    <w:rsid w:val="00734B9A"/>
    <w:rsid w:val="00735649"/>
    <w:rsid w:val="00735695"/>
    <w:rsid w:val="00735863"/>
    <w:rsid w:val="007360CB"/>
    <w:rsid w:val="0073653E"/>
    <w:rsid w:val="00737566"/>
    <w:rsid w:val="00740DDA"/>
    <w:rsid w:val="00741BA2"/>
    <w:rsid w:val="00741CF4"/>
    <w:rsid w:val="00741DCC"/>
    <w:rsid w:val="00741DE2"/>
    <w:rsid w:val="007421A1"/>
    <w:rsid w:val="007427FE"/>
    <w:rsid w:val="00742A47"/>
    <w:rsid w:val="00742C51"/>
    <w:rsid w:val="00743445"/>
    <w:rsid w:val="00745E01"/>
    <w:rsid w:val="007461D2"/>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573"/>
    <w:rsid w:val="00770803"/>
    <w:rsid w:val="00771319"/>
    <w:rsid w:val="007713E8"/>
    <w:rsid w:val="00771794"/>
    <w:rsid w:val="0077191B"/>
    <w:rsid w:val="00771CCF"/>
    <w:rsid w:val="00771F7D"/>
    <w:rsid w:val="00772C3E"/>
    <w:rsid w:val="00772C54"/>
    <w:rsid w:val="00772FE4"/>
    <w:rsid w:val="007730F4"/>
    <w:rsid w:val="007736E8"/>
    <w:rsid w:val="00774ACE"/>
    <w:rsid w:val="00775823"/>
    <w:rsid w:val="00775F57"/>
    <w:rsid w:val="00776372"/>
    <w:rsid w:val="00776584"/>
    <w:rsid w:val="007769EF"/>
    <w:rsid w:val="00776D4F"/>
    <w:rsid w:val="00776DDC"/>
    <w:rsid w:val="007770F9"/>
    <w:rsid w:val="0077713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B4A"/>
    <w:rsid w:val="00786F85"/>
    <w:rsid w:val="0078731A"/>
    <w:rsid w:val="00787487"/>
    <w:rsid w:val="007906F1"/>
    <w:rsid w:val="00790EDA"/>
    <w:rsid w:val="00791349"/>
    <w:rsid w:val="00791D85"/>
    <w:rsid w:val="00791DAF"/>
    <w:rsid w:val="007924CA"/>
    <w:rsid w:val="00792BB8"/>
    <w:rsid w:val="00794CBF"/>
    <w:rsid w:val="00795365"/>
    <w:rsid w:val="0079567E"/>
    <w:rsid w:val="007961D5"/>
    <w:rsid w:val="00796A6F"/>
    <w:rsid w:val="00796C5D"/>
    <w:rsid w:val="007977D6"/>
    <w:rsid w:val="00797B06"/>
    <w:rsid w:val="00797B9C"/>
    <w:rsid w:val="00797FEF"/>
    <w:rsid w:val="007A0483"/>
    <w:rsid w:val="007A1065"/>
    <w:rsid w:val="007A1D86"/>
    <w:rsid w:val="007A2A97"/>
    <w:rsid w:val="007A2CDC"/>
    <w:rsid w:val="007A371B"/>
    <w:rsid w:val="007A3832"/>
    <w:rsid w:val="007A383E"/>
    <w:rsid w:val="007A3A0F"/>
    <w:rsid w:val="007A3E60"/>
    <w:rsid w:val="007A407D"/>
    <w:rsid w:val="007A464F"/>
    <w:rsid w:val="007A5E15"/>
    <w:rsid w:val="007A6196"/>
    <w:rsid w:val="007A63D5"/>
    <w:rsid w:val="007A689A"/>
    <w:rsid w:val="007A68EA"/>
    <w:rsid w:val="007A6B7D"/>
    <w:rsid w:val="007A7629"/>
    <w:rsid w:val="007B1027"/>
    <w:rsid w:val="007B1691"/>
    <w:rsid w:val="007B174F"/>
    <w:rsid w:val="007B1863"/>
    <w:rsid w:val="007B18C5"/>
    <w:rsid w:val="007B22E0"/>
    <w:rsid w:val="007B2435"/>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BC4"/>
    <w:rsid w:val="007D4F02"/>
    <w:rsid w:val="007D674C"/>
    <w:rsid w:val="007D6B7B"/>
    <w:rsid w:val="007D6CF1"/>
    <w:rsid w:val="007D7131"/>
    <w:rsid w:val="007D7777"/>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63"/>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17E"/>
    <w:rsid w:val="008174B2"/>
    <w:rsid w:val="00817CFF"/>
    <w:rsid w:val="0082000D"/>
    <w:rsid w:val="0082037E"/>
    <w:rsid w:val="00820C9C"/>
    <w:rsid w:val="00820F55"/>
    <w:rsid w:val="00821572"/>
    <w:rsid w:val="00821D9C"/>
    <w:rsid w:val="0082207D"/>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4DC7"/>
    <w:rsid w:val="008352C5"/>
    <w:rsid w:val="008358A6"/>
    <w:rsid w:val="008359FB"/>
    <w:rsid w:val="00835C56"/>
    <w:rsid w:val="008360FC"/>
    <w:rsid w:val="00836E81"/>
    <w:rsid w:val="0083735D"/>
    <w:rsid w:val="008377C1"/>
    <w:rsid w:val="00837C90"/>
    <w:rsid w:val="00837EB1"/>
    <w:rsid w:val="0084042B"/>
    <w:rsid w:val="008409BB"/>
    <w:rsid w:val="008414CE"/>
    <w:rsid w:val="0084184A"/>
    <w:rsid w:val="008423F2"/>
    <w:rsid w:val="008426D4"/>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3CD7"/>
    <w:rsid w:val="008540A6"/>
    <w:rsid w:val="00854192"/>
    <w:rsid w:val="00854420"/>
    <w:rsid w:val="00854481"/>
    <w:rsid w:val="00857591"/>
    <w:rsid w:val="00857E88"/>
    <w:rsid w:val="008612DB"/>
    <w:rsid w:val="00861B57"/>
    <w:rsid w:val="00861E69"/>
    <w:rsid w:val="00862AC4"/>
    <w:rsid w:val="008633AC"/>
    <w:rsid w:val="008634E3"/>
    <w:rsid w:val="00864627"/>
    <w:rsid w:val="00864635"/>
    <w:rsid w:val="00864678"/>
    <w:rsid w:val="00864C1A"/>
    <w:rsid w:val="00865217"/>
    <w:rsid w:val="0086578D"/>
    <w:rsid w:val="008658AA"/>
    <w:rsid w:val="00865CBD"/>
    <w:rsid w:val="0086665C"/>
    <w:rsid w:val="008669F0"/>
    <w:rsid w:val="00866E37"/>
    <w:rsid w:val="00866F9E"/>
    <w:rsid w:val="008672E2"/>
    <w:rsid w:val="00867529"/>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0FF2"/>
    <w:rsid w:val="00881511"/>
    <w:rsid w:val="0088194A"/>
    <w:rsid w:val="00882448"/>
    <w:rsid w:val="00882F1D"/>
    <w:rsid w:val="00883A4D"/>
    <w:rsid w:val="00883B21"/>
    <w:rsid w:val="00883F8F"/>
    <w:rsid w:val="00884235"/>
    <w:rsid w:val="00885285"/>
    <w:rsid w:val="00885985"/>
    <w:rsid w:val="00886699"/>
    <w:rsid w:val="00886A21"/>
    <w:rsid w:val="0088709A"/>
    <w:rsid w:val="00890D40"/>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7D9"/>
    <w:rsid w:val="008B0D0E"/>
    <w:rsid w:val="008B119F"/>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6CCB"/>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6F98"/>
    <w:rsid w:val="008C7685"/>
    <w:rsid w:val="008D007A"/>
    <w:rsid w:val="008D07DE"/>
    <w:rsid w:val="008D0831"/>
    <w:rsid w:val="008D0E40"/>
    <w:rsid w:val="008D1E7F"/>
    <w:rsid w:val="008D1F97"/>
    <w:rsid w:val="008D2367"/>
    <w:rsid w:val="008D312C"/>
    <w:rsid w:val="008D427A"/>
    <w:rsid w:val="008D496B"/>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5DF"/>
    <w:rsid w:val="008F1952"/>
    <w:rsid w:val="008F1EF5"/>
    <w:rsid w:val="008F254D"/>
    <w:rsid w:val="008F310B"/>
    <w:rsid w:val="008F322B"/>
    <w:rsid w:val="008F34CB"/>
    <w:rsid w:val="008F3519"/>
    <w:rsid w:val="008F3AD3"/>
    <w:rsid w:val="008F3CA7"/>
    <w:rsid w:val="008F443F"/>
    <w:rsid w:val="008F573E"/>
    <w:rsid w:val="008F5DE5"/>
    <w:rsid w:val="008F5E42"/>
    <w:rsid w:val="008F63B1"/>
    <w:rsid w:val="008F6973"/>
    <w:rsid w:val="008F6E6A"/>
    <w:rsid w:val="008F7AA7"/>
    <w:rsid w:val="00900947"/>
    <w:rsid w:val="00900EB8"/>
    <w:rsid w:val="00900FBA"/>
    <w:rsid w:val="00901F59"/>
    <w:rsid w:val="00902E5B"/>
    <w:rsid w:val="0090372B"/>
    <w:rsid w:val="00903FD9"/>
    <w:rsid w:val="00904CF5"/>
    <w:rsid w:val="009050D7"/>
    <w:rsid w:val="00905259"/>
    <w:rsid w:val="0090540F"/>
    <w:rsid w:val="0090556C"/>
    <w:rsid w:val="00905633"/>
    <w:rsid w:val="00905EAE"/>
    <w:rsid w:val="009060C4"/>
    <w:rsid w:val="00906C91"/>
    <w:rsid w:val="00906C95"/>
    <w:rsid w:val="00906D10"/>
    <w:rsid w:val="00907656"/>
    <w:rsid w:val="00907785"/>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4351"/>
    <w:rsid w:val="00925238"/>
    <w:rsid w:val="0092528F"/>
    <w:rsid w:val="009254A3"/>
    <w:rsid w:val="00925ACF"/>
    <w:rsid w:val="0092615D"/>
    <w:rsid w:val="009262E6"/>
    <w:rsid w:val="0092638C"/>
    <w:rsid w:val="00926546"/>
    <w:rsid w:val="009265A1"/>
    <w:rsid w:val="00927700"/>
    <w:rsid w:val="0093036E"/>
    <w:rsid w:val="009306EE"/>
    <w:rsid w:val="00930E4D"/>
    <w:rsid w:val="00931224"/>
    <w:rsid w:val="00932828"/>
    <w:rsid w:val="009333D3"/>
    <w:rsid w:val="009339B6"/>
    <w:rsid w:val="00933B4C"/>
    <w:rsid w:val="00933DC4"/>
    <w:rsid w:val="0093431B"/>
    <w:rsid w:val="009346D6"/>
    <w:rsid w:val="00934743"/>
    <w:rsid w:val="0093487E"/>
    <w:rsid w:val="00934FFE"/>
    <w:rsid w:val="009358EA"/>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CB"/>
    <w:rsid w:val="009548FB"/>
    <w:rsid w:val="0095538B"/>
    <w:rsid w:val="0095695D"/>
    <w:rsid w:val="00957A9E"/>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180"/>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3D5F"/>
    <w:rsid w:val="00983F54"/>
    <w:rsid w:val="009840FD"/>
    <w:rsid w:val="00984153"/>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341"/>
    <w:rsid w:val="009A1B56"/>
    <w:rsid w:val="009A24CE"/>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CE4"/>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2306"/>
    <w:rsid w:val="009C2D23"/>
    <w:rsid w:val="009C385B"/>
    <w:rsid w:val="009C3E3C"/>
    <w:rsid w:val="009C4353"/>
    <w:rsid w:val="009C49C2"/>
    <w:rsid w:val="009C4E2D"/>
    <w:rsid w:val="009C62C0"/>
    <w:rsid w:val="009C6615"/>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097D"/>
    <w:rsid w:val="009E1316"/>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3FE1"/>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28E"/>
    <w:rsid w:val="00A04429"/>
    <w:rsid w:val="00A06446"/>
    <w:rsid w:val="00A06697"/>
    <w:rsid w:val="00A06C40"/>
    <w:rsid w:val="00A103C1"/>
    <w:rsid w:val="00A10586"/>
    <w:rsid w:val="00A10A48"/>
    <w:rsid w:val="00A110DA"/>
    <w:rsid w:val="00A1132B"/>
    <w:rsid w:val="00A11930"/>
    <w:rsid w:val="00A11B54"/>
    <w:rsid w:val="00A11CDC"/>
    <w:rsid w:val="00A1207B"/>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17EA"/>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4749"/>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698"/>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20BD"/>
    <w:rsid w:val="00A637A0"/>
    <w:rsid w:val="00A63ECD"/>
    <w:rsid w:val="00A64093"/>
    <w:rsid w:val="00A640EB"/>
    <w:rsid w:val="00A6412F"/>
    <w:rsid w:val="00A64815"/>
    <w:rsid w:val="00A65043"/>
    <w:rsid w:val="00A66DF9"/>
    <w:rsid w:val="00A704E4"/>
    <w:rsid w:val="00A706FC"/>
    <w:rsid w:val="00A70BD2"/>
    <w:rsid w:val="00A7136A"/>
    <w:rsid w:val="00A71C44"/>
    <w:rsid w:val="00A7204C"/>
    <w:rsid w:val="00A72296"/>
    <w:rsid w:val="00A72DE8"/>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0C4"/>
    <w:rsid w:val="00A837CE"/>
    <w:rsid w:val="00A83DB5"/>
    <w:rsid w:val="00A83FBA"/>
    <w:rsid w:val="00A841FC"/>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08B"/>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AB8"/>
    <w:rsid w:val="00AA7F10"/>
    <w:rsid w:val="00AB0391"/>
    <w:rsid w:val="00AB06B4"/>
    <w:rsid w:val="00AB15DA"/>
    <w:rsid w:val="00AB2085"/>
    <w:rsid w:val="00AB2151"/>
    <w:rsid w:val="00AB235B"/>
    <w:rsid w:val="00AB2C59"/>
    <w:rsid w:val="00AB2C71"/>
    <w:rsid w:val="00AB2C8A"/>
    <w:rsid w:val="00AB42B6"/>
    <w:rsid w:val="00AB4A01"/>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2D2"/>
    <w:rsid w:val="00AC350D"/>
    <w:rsid w:val="00AC3568"/>
    <w:rsid w:val="00AC3CF2"/>
    <w:rsid w:val="00AC47EC"/>
    <w:rsid w:val="00AC4E5D"/>
    <w:rsid w:val="00AC4E92"/>
    <w:rsid w:val="00AC520B"/>
    <w:rsid w:val="00AC5E36"/>
    <w:rsid w:val="00AC6C53"/>
    <w:rsid w:val="00AC6E85"/>
    <w:rsid w:val="00AC7284"/>
    <w:rsid w:val="00AC75C7"/>
    <w:rsid w:val="00AC7CE6"/>
    <w:rsid w:val="00AD0828"/>
    <w:rsid w:val="00AD0B13"/>
    <w:rsid w:val="00AD0E69"/>
    <w:rsid w:val="00AD103D"/>
    <w:rsid w:val="00AD159C"/>
    <w:rsid w:val="00AD17FA"/>
    <w:rsid w:val="00AD19EC"/>
    <w:rsid w:val="00AD2717"/>
    <w:rsid w:val="00AD3644"/>
    <w:rsid w:val="00AD3781"/>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484"/>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2AE"/>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46"/>
    <w:rsid w:val="00B07CE9"/>
    <w:rsid w:val="00B101D5"/>
    <w:rsid w:val="00B10633"/>
    <w:rsid w:val="00B10B08"/>
    <w:rsid w:val="00B10D50"/>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0A0"/>
    <w:rsid w:val="00B447DD"/>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9A"/>
    <w:rsid w:val="00B57CD0"/>
    <w:rsid w:val="00B57DA9"/>
    <w:rsid w:val="00B60177"/>
    <w:rsid w:val="00B60639"/>
    <w:rsid w:val="00B6308E"/>
    <w:rsid w:val="00B63D58"/>
    <w:rsid w:val="00B64E8A"/>
    <w:rsid w:val="00B65588"/>
    <w:rsid w:val="00B658D1"/>
    <w:rsid w:val="00B66064"/>
    <w:rsid w:val="00B66463"/>
    <w:rsid w:val="00B66995"/>
    <w:rsid w:val="00B671A1"/>
    <w:rsid w:val="00B675A6"/>
    <w:rsid w:val="00B6794D"/>
    <w:rsid w:val="00B67B55"/>
    <w:rsid w:val="00B67C6C"/>
    <w:rsid w:val="00B70C61"/>
    <w:rsid w:val="00B70E5A"/>
    <w:rsid w:val="00B7220D"/>
    <w:rsid w:val="00B72317"/>
    <w:rsid w:val="00B74729"/>
    <w:rsid w:val="00B749B6"/>
    <w:rsid w:val="00B74B1A"/>
    <w:rsid w:val="00B7509A"/>
    <w:rsid w:val="00B7613E"/>
    <w:rsid w:val="00B766C1"/>
    <w:rsid w:val="00B76966"/>
    <w:rsid w:val="00B76B96"/>
    <w:rsid w:val="00B76EFB"/>
    <w:rsid w:val="00B76F36"/>
    <w:rsid w:val="00B77129"/>
    <w:rsid w:val="00B77C37"/>
    <w:rsid w:val="00B807BF"/>
    <w:rsid w:val="00B809B1"/>
    <w:rsid w:val="00B82543"/>
    <w:rsid w:val="00B82998"/>
    <w:rsid w:val="00B834B0"/>
    <w:rsid w:val="00B837F6"/>
    <w:rsid w:val="00B83DAE"/>
    <w:rsid w:val="00B84FB4"/>
    <w:rsid w:val="00B860E6"/>
    <w:rsid w:val="00B8756E"/>
    <w:rsid w:val="00B879F5"/>
    <w:rsid w:val="00B87A7D"/>
    <w:rsid w:val="00B87DF9"/>
    <w:rsid w:val="00B91951"/>
    <w:rsid w:val="00B91A58"/>
    <w:rsid w:val="00B91EAD"/>
    <w:rsid w:val="00B920B9"/>
    <w:rsid w:val="00B930D2"/>
    <w:rsid w:val="00B937CD"/>
    <w:rsid w:val="00B938BC"/>
    <w:rsid w:val="00B93997"/>
    <w:rsid w:val="00B93C98"/>
    <w:rsid w:val="00B93DF6"/>
    <w:rsid w:val="00B97601"/>
    <w:rsid w:val="00B976BB"/>
    <w:rsid w:val="00BA01A7"/>
    <w:rsid w:val="00BA0224"/>
    <w:rsid w:val="00BA05C8"/>
    <w:rsid w:val="00BA09AA"/>
    <w:rsid w:val="00BA0AD5"/>
    <w:rsid w:val="00BA0CA0"/>
    <w:rsid w:val="00BA0E3C"/>
    <w:rsid w:val="00BA1F74"/>
    <w:rsid w:val="00BA1FE7"/>
    <w:rsid w:val="00BA2B1D"/>
    <w:rsid w:val="00BA386F"/>
    <w:rsid w:val="00BA39B1"/>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3F38"/>
    <w:rsid w:val="00BC4036"/>
    <w:rsid w:val="00BC4F0A"/>
    <w:rsid w:val="00BC509F"/>
    <w:rsid w:val="00BC51D2"/>
    <w:rsid w:val="00BC555E"/>
    <w:rsid w:val="00BC64BE"/>
    <w:rsid w:val="00BC7155"/>
    <w:rsid w:val="00BC7550"/>
    <w:rsid w:val="00BC7A7D"/>
    <w:rsid w:val="00BD0125"/>
    <w:rsid w:val="00BD0B72"/>
    <w:rsid w:val="00BD2668"/>
    <w:rsid w:val="00BD2FEB"/>
    <w:rsid w:val="00BD3924"/>
    <w:rsid w:val="00BD3C33"/>
    <w:rsid w:val="00BD450F"/>
    <w:rsid w:val="00BD4512"/>
    <w:rsid w:val="00BD52AA"/>
    <w:rsid w:val="00BD5E4A"/>
    <w:rsid w:val="00BD6D3E"/>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C75"/>
    <w:rsid w:val="00C07DB2"/>
    <w:rsid w:val="00C07FAD"/>
    <w:rsid w:val="00C106C4"/>
    <w:rsid w:val="00C111EA"/>
    <w:rsid w:val="00C119AD"/>
    <w:rsid w:val="00C1228D"/>
    <w:rsid w:val="00C13FED"/>
    <w:rsid w:val="00C14E7D"/>
    <w:rsid w:val="00C15722"/>
    <w:rsid w:val="00C16103"/>
    <w:rsid w:val="00C16897"/>
    <w:rsid w:val="00C16CCC"/>
    <w:rsid w:val="00C17E76"/>
    <w:rsid w:val="00C200C9"/>
    <w:rsid w:val="00C2123F"/>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37399"/>
    <w:rsid w:val="00C409DC"/>
    <w:rsid w:val="00C40B1B"/>
    <w:rsid w:val="00C40E88"/>
    <w:rsid w:val="00C416A3"/>
    <w:rsid w:val="00C41785"/>
    <w:rsid w:val="00C41FC1"/>
    <w:rsid w:val="00C42C9E"/>
    <w:rsid w:val="00C434C2"/>
    <w:rsid w:val="00C43940"/>
    <w:rsid w:val="00C44342"/>
    <w:rsid w:val="00C44694"/>
    <w:rsid w:val="00C44744"/>
    <w:rsid w:val="00C457C1"/>
    <w:rsid w:val="00C45B3D"/>
    <w:rsid w:val="00C46625"/>
    <w:rsid w:val="00C46870"/>
    <w:rsid w:val="00C47545"/>
    <w:rsid w:val="00C47593"/>
    <w:rsid w:val="00C5024D"/>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A03"/>
    <w:rsid w:val="00C83EDD"/>
    <w:rsid w:val="00C84505"/>
    <w:rsid w:val="00C8495F"/>
    <w:rsid w:val="00C84BF1"/>
    <w:rsid w:val="00C84CA2"/>
    <w:rsid w:val="00C85A36"/>
    <w:rsid w:val="00C85CD1"/>
    <w:rsid w:val="00C86545"/>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A11"/>
    <w:rsid w:val="00C96CFA"/>
    <w:rsid w:val="00C96E5A"/>
    <w:rsid w:val="00C96EB5"/>
    <w:rsid w:val="00CA0257"/>
    <w:rsid w:val="00CA0917"/>
    <w:rsid w:val="00CA102B"/>
    <w:rsid w:val="00CA283D"/>
    <w:rsid w:val="00CA2918"/>
    <w:rsid w:val="00CA29D1"/>
    <w:rsid w:val="00CA2DD6"/>
    <w:rsid w:val="00CA3247"/>
    <w:rsid w:val="00CA3752"/>
    <w:rsid w:val="00CA3999"/>
    <w:rsid w:val="00CA39C0"/>
    <w:rsid w:val="00CA4B27"/>
    <w:rsid w:val="00CA5AD3"/>
    <w:rsid w:val="00CA62DD"/>
    <w:rsid w:val="00CA69BA"/>
    <w:rsid w:val="00CA7DE6"/>
    <w:rsid w:val="00CB0250"/>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C51"/>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0265"/>
    <w:rsid w:val="00CE157C"/>
    <w:rsid w:val="00CE1665"/>
    <w:rsid w:val="00CE1AF6"/>
    <w:rsid w:val="00CE2298"/>
    <w:rsid w:val="00CE24C2"/>
    <w:rsid w:val="00CE3064"/>
    <w:rsid w:val="00CE39E4"/>
    <w:rsid w:val="00CE4282"/>
    <w:rsid w:val="00CE51A5"/>
    <w:rsid w:val="00CE54E1"/>
    <w:rsid w:val="00CE55B6"/>
    <w:rsid w:val="00CE5856"/>
    <w:rsid w:val="00CE5BDE"/>
    <w:rsid w:val="00CE6A6D"/>
    <w:rsid w:val="00CE774C"/>
    <w:rsid w:val="00CF012E"/>
    <w:rsid w:val="00CF04D4"/>
    <w:rsid w:val="00CF0B4C"/>
    <w:rsid w:val="00CF157C"/>
    <w:rsid w:val="00CF161B"/>
    <w:rsid w:val="00CF1680"/>
    <w:rsid w:val="00CF1780"/>
    <w:rsid w:val="00CF1BD7"/>
    <w:rsid w:val="00CF1E21"/>
    <w:rsid w:val="00CF21A5"/>
    <w:rsid w:val="00CF2518"/>
    <w:rsid w:val="00CF2DDE"/>
    <w:rsid w:val="00CF344A"/>
    <w:rsid w:val="00CF39A0"/>
    <w:rsid w:val="00CF3D1C"/>
    <w:rsid w:val="00CF4713"/>
    <w:rsid w:val="00CF477B"/>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091"/>
    <w:rsid w:val="00D0330B"/>
    <w:rsid w:val="00D03BF7"/>
    <w:rsid w:val="00D03F1E"/>
    <w:rsid w:val="00D0428E"/>
    <w:rsid w:val="00D04426"/>
    <w:rsid w:val="00D0482F"/>
    <w:rsid w:val="00D04A33"/>
    <w:rsid w:val="00D05892"/>
    <w:rsid w:val="00D06824"/>
    <w:rsid w:val="00D06C03"/>
    <w:rsid w:val="00D1037A"/>
    <w:rsid w:val="00D10499"/>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0F"/>
    <w:rsid w:val="00D25F1C"/>
    <w:rsid w:val="00D26DE6"/>
    <w:rsid w:val="00D26EE7"/>
    <w:rsid w:val="00D305F7"/>
    <w:rsid w:val="00D30718"/>
    <w:rsid w:val="00D3171B"/>
    <w:rsid w:val="00D322FB"/>
    <w:rsid w:val="00D32475"/>
    <w:rsid w:val="00D32EC3"/>
    <w:rsid w:val="00D32EF4"/>
    <w:rsid w:val="00D335E7"/>
    <w:rsid w:val="00D33F81"/>
    <w:rsid w:val="00D34850"/>
    <w:rsid w:val="00D3486B"/>
    <w:rsid w:val="00D34CA5"/>
    <w:rsid w:val="00D35060"/>
    <w:rsid w:val="00D369D4"/>
    <w:rsid w:val="00D36AD7"/>
    <w:rsid w:val="00D373E9"/>
    <w:rsid w:val="00D37C61"/>
    <w:rsid w:val="00D403FF"/>
    <w:rsid w:val="00D404C4"/>
    <w:rsid w:val="00D40CE9"/>
    <w:rsid w:val="00D40D0B"/>
    <w:rsid w:val="00D42115"/>
    <w:rsid w:val="00D42EFD"/>
    <w:rsid w:val="00D44AE7"/>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1C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2ACA"/>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00C"/>
    <w:rsid w:val="00DA5721"/>
    <w:rsid w:val="00DA6173"/>
    <w:rsid w:val="00DA7477"/>
    <w:rsid w:val="00DA7573"/>
    <w:rsid w:val="00DA79CE"/>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B7E60"/>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1B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48D9"/>
    <w:rsid w:val="00DF54D0"/>
    <w:rsid w:val="00DF580C"/>
    <w:rsid w:val="00DF5C1A"/>
    <w:rsid w:val="00DF5F43"/>
    <w:rsid w:val="00DF6866"/>
    <w:rsid w:val="00DF6BCB"/>
    <w:rsid w:val="00DF6D45"/>
    <w:rsid w:val="00DF7042"/>
    <w:rsid w:val="00DF75C5"/>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3E02"/>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4FB3"/>
    <w:rsid w:val="00E15145"/>
    <w:rsid w:val="00E1526B"/>
    <w:rsid w:val="00E1534B"/>
    <w:rsid w:val="00E15408"/>
    <w:rsid w:val="00E15743"/>
    <w:rsid w:val="00E15BDE"/>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814"/>
    <w:rsid w:val="00E259B0"/>
    <w:rsid w:val="00E25AF8"/>
    <w:rsid w:val="00E26AEC"/>
    <w:rsid w:val="00E2757B"/>
    <w:rsid w:val="00E2792D"/>
    <w:rsid w:val="00E30828"/>
    <w:rsid w:val="00E30B37"/>
    <w:rsid w:val="00E3109C"/>
    <w:rsid w:val="00E311D1"/>
    <w:rsid w:val="00E31537"/>
    <w:rsid w:val="00E31B6D"/>
    <w:rsid w:val="00E31C2D"/>
    <w:rsid w:val="00E32432"/>
    <w:rsid w:val="00E33B1E"/>
    <w:rsid w:val="00E34277"/>
    <w:rsid w:val="00E35C6C"/>
    <w:rsid w:val="00E3621B"/>
    <w:rsid w:val="00E36D6F"/>
    <w:rsid w:val="00E36F43"/>
    <w:rsid w:val="00E37F0C"/>
    <w:rsid w:val="00E40ADF"/>
    <w:rsid w:val="00E41621"/>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8EB"/>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CED"/>
    <w:rsid w:val="00E66E97"/>
    <w:rsid w:val="00E70BD6"/>
    <w:rsid w:val="00E71305"/>
    <w:rsid w:val="00E72383"/>
    <w:rsid w:val="00E724D2"/>
    <w:rsid w:val="00E72D9F"/>
    <w:rsid w:val="00E732B8"/>
    <w:rsid w:val="00E734CE"/>
    <w:rsid w:val="00E73C41"/>
    <w:rsid w:val="00E74933"/>
    <w:rsid w:val="00E74EDC"/>
    <w:rsid w:val="00E75597"/>
    <w:rsid w:val="00E75737"/>
    <w:rsid w:val="00E75775"/>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B6D"/>
    <w:rsid w:val="00E82D81"/>
    <w:rsid w:val="00E83259"/>
    <w:rsid w:val="00E839BE"/>
    <w:rsid w:val="00E83CAC"/>
    <w:rsid w:val="00E84C89"/>
    <w:rsid w:val="00E85357"/>
    <w:rsid w:val="00E85E56"/>
    <w:rsid w:val="00E860DD"/>
    <w:rsid w:val="00E8713D"/>
    <w:rsid w:val="00E87877"/>
    <w:rsid w:val="00E87DAB"/>
    <w:rsid w:val="00E90329"/>
    <w:rsid w:val="00E910D5"/>
    <w:rsid w:val="00E91C91"/>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B89"/>
    <w:rsid w:val="00EC0EE7"/>
    <w:rsid w:val="00EC1C3A"/>
    <w:rsid w:val="00EC1F51"/>
    <w:rsid w:val="00EC2B1D"/>
    <w:rsid w:val="00EC4233"/>
    <w:rsid w:val="00EC43CB"/>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D7E15"/>
    <w:rsid w:val="00EE01CC"/>
    <w:rsid w:val="00EE04EE"/>
    <w:rsid w:val="00EE120F"/>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0F3D"/>
    <w:rsid w:val="00EF1230"/>
    <w:rsid w:val="00EF223B"/>
    <w:rsid w:val="00EF29DE"/>
    <w:rsid w:val="00EF3978"/>
    <w:rsid w:val="00EF3AAC"/>
    <w:rsid w:val="00EF3B90"/>
    <w:rsid w:val="00EF4D42"/>
    <w:rsid w:val="00EF4FD1"/>
    <w:rsid w:val="00EF5318"/>
    <w:rsid w:val="00EF599F"/>
    <w:rsid w:val="00EF708A"/>
    <w:rsid w:val="00EF72C3"/>
    <w:rsid w:val="00EF7768"/>
    <w:rsid w:val="00EF79CE"/>
    <w:rsid w:val="00F00152"/>
    <w:rsid w:val="00F00352"/>
    <w:rsid w:val="00F00997"/>
    <w:rsid w:val="00F00B1B"/>
    <w:rsid w:val="00F00E37"/>
    <w:rsid w:val="00F010EE"/>
    <w:rsid w:val="00F01383"/>
    <w:rsid w:val="00F0167D"/>
    <w:rsid w:val="00F0177A"/>
    <w:rsid w:val="00F019D5"/>
    <w:rsid w:val="00F01E9B"/>
    <w:rsid w:val="00F02500"/>
    <w:rsid w:val="00F02BF0"/>
    <w:rsid w:val="00F02D37"/>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2917"/>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079"/>
    <w:rsid w:val="00F256AE"/>
    <w:rsid w:val="00F25773"/>
    <w:rsid w:val="00F257FA"/>
    <w:rsid w:val="00F26004"/>
    <w:rsid w:val="00F270E8"/>
    <w:rsid w:val="00F27EF5"/>
    <w:rsid w:val="00F27FDB"/>
    <w:rsid w:val="00F30251"/>
    <w:rsid w:val="00F305CC"/>
    <w:rsid w:val="00F3179A"/>
    <w:rsid w:val="00F31D54"/>
    <w:rsid w:val="00F31D8B"/>
    <w:rsid w:val="00F32357"/>
    <w:rsid w:val="00F32C70"/>
    <w:rsid w:val="00F34E02"/>
    <w:rsid w:val="00F3549E"/>
    <w:rsid w:val="00F365A7"/>
    <w:rsid w:val="00F3681C"/>
    <w:rsid w:val="00F371C1"/>
    <w:rsid w:val="00F3769D"/>
    <w:rsid w:val="00F37A4C"/>
    <w:rsid w:val="00F404F4"/>
    <w:rsid w:val="00F4143E"/>
    <w:rsid w:val="00F41CC5"/>
    <w:rsid w:val="00F41D25"/>
    <w:rsid w:val="00F423C2"/>
    <w:rsid w:val="00F42D58"/>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1D65"/>
    <w:rsid w:val="00F521DC"/>
    <w:rsid w:val="00F525D9"/>
    <w:rsid w:val="00F53199"/>
    <w:rsid w:val="00F541A1"/>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77F71"/>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87D02"/>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437"/>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AF2"/>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B52"/>
    <w:rsid w:val="00FB5F3A"/>
    <w:rsid w:val="00FB6AA9"/>
    <w:rsid w:val="00FB6AD4"/>
    <w:rsid w:val="00FB7F22"/>
    <w:rsid w:val="00FC00F3"/>
    <w:rsid w:val="00FC0A33"/>
    <w:rsid w:val="00FC1416"/>
    <w:rsid w:val="00FC14B2"/>
    <w:rsid w:val="00FC1823"/>
    <w:rsid w:val="00FC2198"/>
    <w:rsid w:val="00FC26A4"/>
    <w:rsid w:val="00FC2C93"/>
    <w:rsid w:val="00FC2F50"/>
    <w:rsid w:val="00FC325A"/>
    <w:rsid w:val="00FC33ED"/>
    <w:rsid w:val="00FC43AD"/>
    <w:rsid w:val="00FC498C"/>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6D0C"/>
    <w:rsid w:val="00FD7CB2"/>
    <w:rsid w:val="00FD7D46"/>
    <w:rsid w:val="00FD7D8B"/>
    <w:rsid w:val="00FE0AF2"/>
    <w:rsid w:val="00FE0E83"/>
    <w:rsid w:val="00FE1C47"/>
    <w:rsid w:val="00FE22DD"/>
    <w:rsid w:val="00FE2CFB"/>
    <w:rsid w:val="00FE4A60"/>
    <w:rsid w:val="00FE4DF3"/>
    <w:rsid w:val="00FE4F91"/>
    <w:rsid w:val="00FE51F0"/>
    <w:rsid w:val="00FE54E0"/>
    <w:rsid w:val="00FE55F0"/>
    <w:rsid w:val="00FE6331"/>
    <w:rsid w:val="00FE685B"/>
    <w:rsid w:val="00FE6C12"/>
    <w:rsid w:val="00FE785C"/>
    <w:rsid w:val="00FE7894"/>
    <w:rsid w:val="00FF01FA"/>
    <w:rsid w:val="00FF21B5"/>
    <w:rsid w:val="00FF21C3"/>
    <w:rsid w:val="00FF2A11"/>
    <w:rsid w:val="00FF2AA0"/>
    <w:rsid w:val="00FF3D56"/>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4C072B6A"/>
    <w:rsid w:val="5437FA3B"/>
    <w:rsid w:val="6EDA28C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15:docId w15:val="{4DD30552-A4AB-411D-A897-DE7216F1AF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lsdException w:name="header" w:uiPriority="0" w:semiHidden="1" w:unhideWhenUsed="1"/>
    <w:lsdException w:name="footer" w:uiPriority="0" w:semiHidden="1" w:unhideWhenUsed="1"/>
    <w:lsdException w:name="index heading" w:semiHidden="1"/>
    <w:lsdException w:name="caption" w:uiPriority="35" w:semiHidden="1"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uiPriority="1" w:semiHidden="1" w:unhideWhenUsed="1"/>
    <w:lsdException w:name="Body Text" w:uiPriority="0"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uiPriority="22" w:semiHidden="1"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7D0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C6005"/>
    <w:pPr>
      <w:keepNext/>
      <w:tabs>
        <w:tab w:val="left" w:pos="851"/>
      </w:tabs>
      <w:spacing w:before="240" w:after="360" w:line="600" w:lineRule="atLeast"/>
      <w:jc w:val="left"/>
      <w:outlineLvl w:val="0"/>
    </w:pPr>
    <w:rPr>
      <w:rFonts w:ascii="Georgia" w:hAnsi="Georgia" w:eastAsiaTheme="majorEastAsia" w:cstheme="majorBidi"/>
      <w:b/>
      <w:bCs/>
      <w:color w:val="1B556B"/>
      <w:sz w:val="40"/>
      <w:szCs w:val="28"/>
    </w:rPr>
  </w:style>
  <w:style w:type="paragraph" w:styleId="Heading2">
    <w:name w:val="heading 2"/>
    <w:basedOn w:val="Normal"/>
    <w:next w:val="BodyText"/>
    <w:link w:val="Heading2Char"/>
    <w:qFormat/>
    <w:rsid w:val="00640AA1"/>
    <w:pPr>
      <w:keepNext/>
      <w:tabs>
        <w:tab w:val="left" w:pos="851"/>
      </w:tabs>
      <w:spacing w:before="360" w:after="0" w:line="440" w:lineRule="atLeast"/>
      <w:jc w:val="left"/>
      <w:outlineLvl w:val="1"/>
    </w:pPr>
    <w:rPr>
      <w:rFonts w:ascii="Georgia" w:hAnsi="Georgia" w:eastAsiaTheme="majorEastAsia" w:cstheme="majorBidi"/>
      <w:b/>
      <w:bCs/>
      <w:color w:val="1B556B"/>
      <w:sz w:val="32"/>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hAnsi="Georgia" w:eastAsiaTheme="majorEastAs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C6005"/>
    <w:rPr>
      <w:rFonts w:ascii="Georgia" w:hAnsi="Georgia" w:eastAsiaTheme="majorEastAsia" w:cstheme="majorBidi"/>
      <w:b/>
      <w:bCs/>
      <w:color w:val="1B556B"/>
      <w:sz w:val="40"/>
      <w:szCs w:val="28"/>
    </w:rPr>
  </w:style>
  <w:style w:type="character" w:styleId="Heading2Char" w:customStyle="1">
    <w:name w:val="Heading 2 Char"/>
    <w:basedOn w:val="DefaultParagraphFont"/>
    <w:link w:val="Heading2"/>
    <w:rsid w:val="00640AA1"/>
    <w:rPr>
      <w:rFonts w:ascii="Georgia" w:hAnsi="Georgia" w:eastAsiaTheme="majorEastAsia" w:cstheme="majorBidi"/>
      <w:b/>
      <w:bCs/>
      <w:color w:val="1B556B"/>
      <w:sz w:val="32"/>
      <w:szCs w:val="26"/>
    </w:rPr>
  </w:style>
  <w:style w:type="character" w:styleId="Heading3Char" w:customStyle="1">
    <w:name w:val="Heading 3 Char"/>
    <w:basedOn w:val="DefaultParagraphFont"/>
    <w:link w:val="Heading3"/>
    <w:rsid w:val="000D7EBF"/>
    <w:rPr>
      <w:rFonts w:ascii="Georgia" w:hAnsi="Georgia" w:eastAsiaTheme="majorEastAsia" w:cstheme="majorBidi"/>
      <w:b/>
      <w:bCs/>
      <w:sz w:val="28"/>
      <w:szCs w:val="22"/>
    </w:rPr>
  </w:style>
  <w:style w:type="character" w:styleId="Heading4Char" w:customStyle="1">
    <w:name w:val="Heading 4 Char"/>
    <w:link w:val="Heading4"/>
    <w:rsid w:val="00360476"/>
    <w:rPr>
      <w:rFonts w:ascii="Georgia" w:hAnsi="Georgia" w:eastAsia="Times New Roman"/>
      <w:b/>
      <w:bCs/>
      <w:sz w:val="24"/>
      <w:szCs w:val="22"/>
    </w:rPr>
  </w:style>
  <w:style w:type="character" w:styleId="Heading5Char" w:customStyle="1">
    <w:name w:val="Heading 5 Char"/>
    <w:link w:val="Heading5"/>
    <w:rsid w:val="008B68EC"/>
    <w:rPr>
      <w:rFonts w:ascii="Calibri" w:hAnsi="Calibri" w:eastAsia="Times New Roman" w:cs="Times New Roman"/>
      <w:i/>
      <w:sz w:val="24"/>
      <w:lang w:eastAsia="en-NZ"/>
    </w:rPr>
  </w:style>
  <w:style w:type="paragraph" w:styleId="BodyText">
    <w:name w:val="Body Text"/>
    <w:basedOn w:val="Normal"/>
    <w:link w:val="BodyTextChar"/>
    <w:qFormat/>
    <w:rsid w:val="00EA64B4"/>
    <w:pPr>
      <w:jc w:val="left"/>
    </w:pPr>
  </w:style>
  <w:style w:type="character" w:styleId="BodyTextChar" w:customStyle="1">
    <w:name w:val="Body Text Char"/>
    <w:link w:val="BodyText"/>
    <w:rsid w:val="00EA64B4"/>
    <w:rPr>
      <w:rFonts w:ascii="Calibri" w:hAnsi="Calibri" w:eastAsia="Times New Roman"/>
      <w:lang w:eastAsia="en-NZ"/>
    </w:rPr>
  </w:style>
  <w:style w:type="table" w:styleId="TableGrid">
    <w:name w:val="Table Grid"/>
    <w:basedOn w:val="TableNormal"/>
    <w:uiPriority w:val="59"/>
    <w:rsid w:val="00B04CE3"/>
    <w:rPr>
      <w:rFonts w:eastAsia="Times New Roman"/>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semiHidden/>
    <w:rsid w:val="00EA64B4"/>
    <w:pPr>
      <w:jc w:val="center"/>
    </w:pPr>
    <w:rPr>
      <w:rFonts w:ascii="Arial" w:hAnsi="Arial"/>
      <w:sz w:val="16"/>
    </w:rPr>
  </w:style>
  <w:style w:type="character" w:styleId="HeaderChar" w:customStyle="1">
    <w:name w:val="Header Char"/>
    <w:link w:val="Header"/>
    <w:semiHidden/>
    <w:rsid w:val="00F03FF2"/>
    <w:rPr>
      <w:rFonts w:ascii="Arial" w:hAnsi="Arial" w:eastAsia="Times New Roman"/>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styleId="QuoteChar" w:customStyle="1">
    <w:name w:val="Quote Char"/>
    <w:link w:val="Quote"/>
    <w:uiPriority w:val="5"/>
    <w:rsid w:val="00684D9B"/>
    <w:rPr>
      <w:rFonts w:ascii="Calibri" w:hAnsi="Calibri" w:eastAsia="Times New Roman"/>
      <w:sz w:val="20"/>
      <w:lang w:eastAsia="en-NZ"/>
    </w:rPr>
  </w:style>
  <w:style w:type="paragraph" w:styleId="Box" w:customStyle="1">
    <w:name w:val="Box"/>
    <w:basedOn w:val="Normal"/>
    <w:uiPriority w:val="1"/>
    <w:qFormat/>
    <w:rsid w:val="001820A3"/>
    <w:pPr>
      <w:pBdr>
        <w:top w:val="single" w:color="D2DDE2" w:sz="4" w:space="15"/>
        <w:left w:val="single" w:color="D2DDE2" w:sz="4" w:space="15"/>
        <w:bottom w:val="single" w:color="D2DDE2" w:sz="4" w:space="15"/>
        <w:right w:val="single" w:color="D2DDE2" w:sz="4" w:space="15"/>
      </w:pBdr>
      <w:shd w:val="clear" w:color="auto" w:fill="D2DDE2"/>
      <w:ind w:left="284" w:right="284"/>
      <w:jc w:val="left"/>
    </w:pPr>
    <w:rPr>
      <w:color w:val="1C556C"/>
      <w:sz w:val="20"/>
    </w:rPr>
  </w:style>
  <w:style w:type="paragraph" w:styleId="Boxbullet" w:customStyle="1">
    <w:name w:val="Box bullet"/>
    <w:basedOn w:val="Boxtext"/>
    <w:uiPriority w:val="1"/>
    <w:qFormat/>
    <w:rsid w:val="005C132F"/>
    <w:pPr>
      <w:numPr>
        <w:numId w:val="38"/>
      </w:numPr>
      <w:tabs>
        <w:tab w:val="left" w:pos="680"/>
      </w:tabs>
      <w:spacing w:before="0"/>
    </w:pPr>
    <w:rPr>
      <w:rFonts w:cs="Times New Roman"/>
      <w:szCs w:val="20"/>
    </w:rPr>
  </w:style>
  <w:style w:type="paragraph" w:styleId="Boxheading" w:customStyle="1">
    <w:name w:val="Box heading"/>
    <w:basedOn w:val="Boxtext"/>
    <w:next w:val="Boxtext"/>
    <w:uiPriority w:val="1"/>
    <w:qFormat/>
    <w:rsid w:val="005C132F"/>
    <w:pPr>
      <w:keepNext/>
      <w:spacing w:before="240" w:after="0"/>
    </w:pPr>
    <w:rPr>
      <w:rFonts w:cs="Times New Roman"/>
      <w:b/>
      <w:sz w:val="22"/>
      <w:szCs w:val="20"/>
    </w:rPr>
  </w:style>
  <w:style w:type="paragraph" w:styleId="Bullet" w:customStyle="1">
    <w:name w:val="Bullet"/>
    <w:basedOn w:val="Normal"/>
    <w:link w:val="BulletChar"/>
    <w:qFormat/>
    <w:rsid w:val="00F00997"/>
    <w:pPr>
      <w:numPr>
        <w:numId w:val="34"/>
      </w:numPr>
      <w:spacing w:before="0"/>
      <w:jc w:val="left"/>
    </w:pPr>
    <w:rPr>
      <w:szCs w:val="20"/>
    </w:rPr>
  </w:style>
  <w:style w:type="paragraph" w:styleId="Heading" w:customStyle="1">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styleId="FooterChar" w:customStyle="1">
    <w:name w:val="Footer Char"/>
    <w:link w:val="Footer"/>
    <w:semiHidden/>
    <w:rsid w:val="00C16103"/>
    <w:rPr>
      <w:rFonts w:eastAsia="Times New Roman"/>
      <w:sz w:val="22"/>
      <w:szCs w:val="22"/>
    </w:rPr>
  </w:style>
  <w:style w:type="paragraph" w:styleId="Sub-list" w:customStyle="1">
    <w:name w:val="Sub-list"/>
    <w:basedOn w:val="Normal"/>
    <w:qFormat/>
    <w:rsid w:val="002A533C"/>
    <w:pPr>
      <w:numPr>
        <w:numId w:val="4"/>
      </w:numPr>
      <w:tabs>
        <w:tab w:val="clear" w:pos="397"/>
        <w:tab w:val="left" w:pos="794"/>
      </w:tabs>
      <w:spacing w:before="0"/>
      <w:ind w:left="794" w:hanging="397"/>
      <w:jc w:val="left"/>
    </w:pPr>
  </w:style>
  <w:style w:type="paragraph" w:styleId="Figureheading" w:customStyle="1">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styleId="FootnoteTextChar" w:customStyle="1">
    <w:name w:val="Footnote Text Char"/>
    <w:link w:val="FootnoteText"/>
    <w:uiPriority w:val="99"/>
    <w:rsid w:val="00BE2893"/>
    <w:rPr>
      <w:rFonts w:ascii="Calibri" w:hAnsi="Calibri" w:eastAsia="Times New Roman"/>
      <w:sz w:val="19"/>
      <w:lang w:eastAsia="en-NZ"/>
    </w:rPr>
  </w:style>
  <w:style w:type="character" w:styleId="Hyperlink">
    <w:name w:val="Hyperlink"/>
    <w:uiPriority w:val="99"/>
    <w:qFormat/>
    <w:rsid w:val="00CB110E"/>
    <w:rPr>
      <w:color w:val="32809C"/>
      <w:u w:val="none"/>
    </w:rPr>
  </w:style>
  <w:style w:type="paragraph" w:styleId="Imprint" w:customStyle="1">
    <w:name w:val="Imprint"/>
    <w:basedOn w:val="Normal"/>
    <w:uiPriority w:val="3"/>
    <w:semiHidden/>
    <w:rsid w:val="00EA64B4"/>
    <w:pPr>
      <w:jc w:val="left"/>
    </w:pPr>
  </w:style>
  <w:style w:type="paragraph" w:styleId="Note" w:customStyle="1">
    <w:name w:val="Note"/>
    <w:basedOn w:val="BodyText"/>
    <w:next w:val="Normal"/>
    <w:uiPriority w:val="1"/>
    <w:qFormat/>
    <w:rsid w:val="00EA64B4"/>
    <w:rPr>
      <w:sz w:val="18"/>
    </w:rPr>
  </w:style>
  <w:style w:type="paragraph" w:styleId="References" w:customStyle="1">
    <w:name w:val="References"/>
    <w:basedOn w:val="Normal"/>
    <w:uiPriority w:val="4"/>
    <w:qFormat/>
    <w:rsid w:val="00554B30"/>
    <w:pPr>
      <w:spacing w:before="0" w:line="260" w:lineRule="atLeast"/>
      <w:jc w:val="left"/>
    </w:pPr>
    <w:rPr>
      <w:sz w:val="20"/>
    </w:rPr>
  </w:style>
  <w:style w:type="paragraph" w:styleId="Source" w:customStyle="1">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3B2986"/>
    <w:pPr>
      <w:jc w:val="left"/>
    </w:pPr>
    <w:rPr>
      <w:rFonts w:ascii="Georgia" w:hAnsi="Georgia"/>
      <w:b/>
      <w:bCs/>
      <w:color w:val="1B556B" w:themeColor="text2"/>
      <w:sz w:val="56"/>
      <w:szCs w:val="56"/>
    </w:rPr>
  </w:style>
  <w:style w:type="character" w:styleId="TitleChar" w:customStyle="1">
    <w:name w:val="Title Char"/>
    <w:link w:val="Title"/>
    <w:uiPriority w:val="2"/>
    <w:rsid w:val="003B2986"/>
    <w:rPr>
      <w:rFonts w:ascii="Georgia" w:hAnsi="Georgia" w:eastAsia="Times New Roman"/>
      <w:b/>
      <w:bCs/>
      <w:color w:val="1B556B" w:themeColor="text2"/>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styleId="SubtitleChar" w:customStyle="1">
    <w:name w:val="Subtitle Char"/>
    <w:link w:val="Subtitle"/>
    <w:uiPriority w:val="2"/>
    <w:rsid w:val="00296A94"/>
    <w:rPr>
      <w:rFonts w:ascii="Georgia" w:hAnsi="Georgia" w:eastAsia="Times New Roman"/>
      <w:b/>
      <w:bCs/>
      <w:color w:val="FFFFFF" w:themeColor="background1"/>
      <w:sz w:val="36"/>
      <w:szCs w:val="36"/>
    </w:rPr>
  </w:style>
  <w:style w:type="paragraph" w:styleId="Tableheading" w:customStyle="1">
    <w:name w:val="Table heading"/>
    <w:basedOn w:val="Normal"/>
    <w:next w:val="Normal"/>
    <w:qFormat/>
    <w:rsid w:val="00EA64B4"/>
    <w:pPr>
      <w:keepNext/>
      <w:ind w:left="1134" w:hanging="1134"/>
      <w:jc w:val="left"/>
    </w:pPr>
    <w:rPr>
      <w:b/>
      <w:sz w:val="20"/>
    </w:rPr>
  </w:style>
  <w:style w:type="paragraph" w:styleId="TableText" w:customStyle="1">
    <w:name w:val="TableText"/>
    <w:basedOn w:val="Normal"/>
    <w:qFormat/>
    <w:rsid w:val="00EA64B4"/>
    <w:pPr>
      <w:spacing w:before="60" w:after="60" w:line="240" w:lineRule="atLeast"/>
      <w:jc w:val="left"/>
    </w:pPr>
    <w:rPr>
      <w:sz w:val="18"/>
    </w:rPr>
  </w:style>
  <w:style w:type="paragraph" w:styleId="TableTextbold" w:customStyle="1">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styleId="Captions" w:customStyle="1">
    <w:name w:val="Captions"/>
    <w:basedOn w:val="Note"/>
    <w:next w:val="Normal"/>
    <w:semiHidden/>
    <w:rsid w:val="00EA64B4"/>
    <w:pPr>
      <w:tabs>
        <w:tab w:val="left" w:pos="851"/>
      </w:tabs>
    </w:pPr>
  </w:style>
  <w:style w:type="paragraph" w:styleId="Glossary" w:customStyle="1">
    <w:name w:val="Glossary"/>
    <w:basedOn w:val="Normal"/>
    <w:uiPriority w:val="1"/>
    <w:qFormat/>
    <w:rsid w:val="00EA64B4"/>
    <w:pPr>
      <w:tabs>
        <w:tab w:val="left" w:pos="2835"/>
      </w:tabs>
      <w:spacing w:after="0"/>
      <w:jc w:val="left"/>
    </w:pPr>
  </w:style>
  <w:style w:type="paragraph" w:styleId="Footerodd" w:customStyle="1">
    <w:name w:val="Footer odd"/>
    <w:basedOn w:val="Normal"/>
    <w:uiPriority w:val="2"/>
    <w:rsid w:val="006E2E45"/>
    <w:pPr>
      <w:tabs>
        <w:tab w:val="right" w:pos="8505"/>
        <w:tab w:val="right" w:pos="9072"/>
      </w:tabs>
      <w:jc w:val="left"/>
    </w:pPr>
    <w:rPr>
      <w:sz w:val="16"/>
    </w:rPr>
  </w:style>
  <w:style w:type="paragraph" w:styleId="Footereven" w:customStyle="1">
    <w:name w:val="Footer even"/>
    <w:basedOn w:val="Normal"/>
    <w:uiPriority w:val="2"/>
    <w:rsid w:val="00EA64B4"/>
    <w:pPr>
      <w:tabs>
        <w:tab w:val="left" w:pos="567"/>
      </w:tabs>
    </w:pPr>
    <w:rPr>
      <w:sz w:val="16"/>
    </w:rPr>
  </w:style>
  <w:style w:type="paragraph" w:styleId="Numberedparagraph" w:customStyle="1">
    <w:name w:val="Numbered paragraph"/>
    <w:basedOn w:val="Normal"/>
    <w:uiPriority w:val="1"/>
    <w:qFormat/>
    <w:rsid w:val="005B6698"/>
    <w:pPr>
      <w:numPr>
        <w:numId w:val="5"/>
      </w:numPr>
      <w:spacing w:before="0"/>
      <w:ind w:left="397" w:hanging="397"/>
      <w:jc w:val="left"/>
    </w:pPr>
  </w:style>
  <w:style w:type="paragraph" w:styleId="Sub-lista" w:customStyle="1">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styleId="EndnoteTextChar" w:customStyle="1">
    <w:name w:val="Endnote Text Char"/>
    <w:link w:val="EndnoteText"/>
    <w:uiPriority w:val="99"/>
    <w:semiHidden/>
    <w:rsid w:val="00EA64B4"/>
    <w:rPr>
      <w:rFonts w:ascii="Calibri" w:hAnsi="Calibri" w:eastAsia="Times New Roman"/>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styleId="Sub-listi" w:customStyle="1">
    <w:name w:val="Sub-list i"/>
    <w:aliases w:val="ii"/>
    <w:basedOn w:val="BodyText"/>
    <w:semiHidden/>
    <w:rsid w:val="00EA64B4"/>
    <w:pPr>
      <w:numPr>
        <w:numId w:val="7"/>
      </w:numPr>
      <w:spacing w:before="60" w:after="60"/>
    </w:pPr>
  </w:style>
  <w:style w:type="paragraph" w:styleId="TableBullet" w:customStyle="1">
    <w:name w:val="TableBullet"/>
    <w:basedOn w:val="Normal"/>
    <w:qFormat/>
    <w:rsid w:val="00523DFA"/>
    <w:pPr>
      <w:numPr>
        <w:numId w:val="8"/>
      </w:numPr>
      <w:spacing w:before="0" w:after="60" w:line="240" w:lineRule="atLeast"/>
      <w:jc w:val="left"/>
    </w:pPr>
    <w:rPr>
      <w:rFonts w:cs="Arial"/>
      <w:sz w:val="18"/>
      <w:szCs w:val="16"/>
    </w:rPr>
  </w:style>
  <w:style w:type="paragraph" w:styleId="TableDash" w:customStyle="1">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styleId="CommentSubjectChar" w:customStyle="1">
    <w:name w:val="Comment Subject Char"/>
    <w:link w:val="CommentSubject"/>
    <w:uiPriority w:val="99"/>
    <w:semiHidden/>
    <w:rsid w:val="00AB54D7"/>
    <w:rPr>
      <w:rFonts w:ascii="Calibri" w:hAnsi="Calibri" w:eastAsia="Times New Roman"/>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styleId="BalloonTextChar" w:customStyle="1">
    <w:name w:val="Balloon Text Char"/>
    <w:link w:val="BalloonText"/>
    <w:semiHidden/>
    <w:rsid w:val="00EA64B4"/>
    <w:rPr>
      <w:rFonts w:ascii="Tahoma" w:hAnsi="Tahoma" w:eastAsia="Times New Roman"/>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color="auto" w:sz="6" w:space="1"/>
      </w:pBdr>
      <w:jc w:val="center"/>
    </w:pPr>
    <w:rPr>
      <w:rFonts w:ascii="Arial" w:hAnsi="Arial" w:eastAsia="Calibri"/>
      <w:vanish/>
      <w:sz w:val="16"/>
      <w:szCs w:val="16"/>
      <w:lang w:val="en-US"/>
    </w:rPr>
  </w:style>
  <w:style w:type="character" w:styleId="z-BottomofFormChar" w:customStyle="1">
    <w:name w:val="z-Bottom of Form Char"/>
    <w:link w:val="z-BottomofForm"/>
    <w:uiPriority w:val="99"/>
    <w:semiHidden/>
    <w:rsid w:val="0080531E"/>
    <w:rPr>
      <w:rFonts w:ascii="Arial" w:hAnsi="Arial" w:eastAsia="Calibri"/>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color="auto" w:sz="6" w:space="1"/>
      </w:pBdr>
      <w:jc w:val="center"/>
    </w:pPr>
    <w:rPr>
      <w:rFonts w:ascii="Arial" w:hAnsi="Arial" w:eastAsia="Calibri"/>
      <w:vanish/>
      <w:sz w:val="16"/>
      <w:szCs w:val="16"/>
      <w:lang w:val="en-US"/>
    </w:rPr>
  </w:style>
  <w:style w:type="character" w:styleId="z-TopofFormChar" w:customStyle="1">
    <w:name w:val="z-Top of Form Char"/>
    <w:link w:val="z-TopofForm"/>
    <w:uiPriority w:val="99"/>
    <w:semiHidden/>
    <w:rsid w:val="0080531E"/>
    <w:rPr>
      <w:rFonts w:ascii="Arial" w:hAnsi="Arial" w:eastAsia="Calibri"/>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color="19CCCF" w:sz="8" w:space="0"/>
        <w:left w:val="single" w:color="19CCCF" w:sz="8" w:space="0"/>
        <w:bottom w:val="single" w:color="19CCCF" w:sz="8" w:space="0"/>
        <w:right w:val="single" w:color="19CCCF" w:sz="8" w:space="0"/>
        <w:insideH w:val="single" w:color="19CCCF" w:sz="8" w:space="0"/>
      </w:tblBorders>
    </w:tblPr>
    <w:tblStylePr w:type="firstRow">
      <w:pPr>
        <w:spacing w:before="0" w:after="0" w:line="240" w:lineRule="auto"/>
      </w:pPr>
      <w:rPr>
        <w:b/>
        <w:bCs/>
        <w:color w:val="FFFFFF"/>
      </w:rPr>
      <w:tblPr/>
      <w:tcPr>
        <w:tcBorders>
          <w:top w:val="single" w:color="19CCCF" w:sz="8" w:space="0"/>
          <w:left w:val="single" w:color="19CCCF" w:sz="8" w:space="0"/>
          <w:bottom w:val="single" w:color="19CCCF" w:sz="8" w:space="0"/>
          <w:right w:val="single" w:color="19CCCF" w:sz="8" w:space="0"/>
          <w:insideH w:val="nil"/>
          <w:insideV w:val="nil"/>
        </w:tcBorders>
        <w:shd w:val="clear" w:color="auto" w:fill="0F7B7D"/>
      </w:tcPr>
    </w:tblStylePr>
    <w:tblStylePr w:type="lastRow">
      <w:pPr>
        <w:spacing w:before="0" w:after="0" w:line="240" w:lineRule="auto"/>
      </w:pPr>
      <w:rPr>
        <w:b/>
        <w:bCs/>
      </w:rPr>
      <w:tblPr/>
      <w:tcPr>
        <w:tcBorders>
          <w:top w:val="double" w:color="19CCCF" w:sz="6" w:space="0"/>
          <w:left w:val="single" w:color="19CCCF" w:sz="8" w:space="0"/>
          <w:bottom w:val="single" w:color="19CCCF" w:sz="8" w:space="0"/>
          <w:right w:val="single" w:color="19CCCF" w:sz="8" w:space="0"/>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color="6FC7B7" w:sz="8" w:space="0"/>
        <w:left w:val="single" w:color="6FC7B7" w:sz="8" w:space="0"/>
        <w:bottom w:val="single" w:color="6FC7B7" w:sz="8" w:space="0"/>
        <w:right w:val="single" w:color="6FC7B7" w:sz="8" w:space="0"/>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color="6FC7B7" w:sz="6" w:space="0"/>
          <w:left w:val="single" w:color="6FC7B7" w:sz="8" w:space="0"/>
          <w:bottom w:val="single" w:color="6FC7B7" w:sz="8" w:space="0"/>
          <w:right w:val="single" w:color="6FC7B7" w:sz="8" w:space="0"/>
        </w:tcBorders>
      </w:tcPr>
    </w:tblStylePr>
    <w:tblStylePr w:type="firstCol">
      <w:rPr>
        <w:b/>
        <w:bCs/>
      </w:rPr>
    </w:tblStylePr>
    <w:tblStylePr w:type="lastCol">
      <w:rPr>
        <w:b/>
        <w:bCs/>
      </w:rPr>
    </w:tblStylePr>
    <w:tblStylePr w:type="band1Vert">
      <w:tblPr/>
      <w:tcPr>
        <w:tcBorders>
          <w:top w:val="single" w:color="6FC7B7" w:sz="8" w:space="0"/>
          <w:left w:val="single" w:color="6FC7B7" w:sz="8" w:space="0"/>
          <w:bottom w:val="single" w:color="6FC7B7" w:sz="8" w:space="0"/>
          <w:right w:val="single" w:color="6FC7B7" w:sz="8" w:space="0"/>
        </w:tcBorders>
      </w:tcPr>
    </w:tblStylePr>
    <w:tblStylePr w:type="band1Horz">
      <w:tblPr/>
      <w:tcPr>
        <w:tcBorders>
          <w:top w:val="single" w:color="6FC7B7" w:sz="8" w:space="0"/>
          <w:left w:val="single" w:color="6FC7B7" w:sz="8" w:space="0"/>
          <w:bottom w:val="single" w:color="6FC7B7" w:sz="8" w:space="0"/>
          <w:right w:val="single" w:color="6FC7B7" w:sz="8" w:space="0"/>
        </w:tcBorders>
      </w:tcPr>
    </w:tblStylePr>
  </w:style>
  <w:style w:type="table" w:styleId="LightGrid-Accent5">
    <w:name w:val="Light Grid Accent 5"/>
    <w:basedOn w:val="TableNormal"/>
    <w:uiPriority w:val="62"/>
    <w:rsid w:val="00EA64B4"/>
    <w:tblPr>
      <w:tblStyleRowBandSize w:val="1"/>
      <w:tblStyleColBandSize w:val="1"/>
      <w:tblBorders>
        <w:top w:val="single" w:color="6FC7B7" w:sz="8" w:space="0"/>
        <w:left w:val="single" w:color="6FC7B7" w:sz="8" w:space="0"/>
        <w:bottom w:val="single" w:color="6FC7B7" w:sz="8" w:space="0"/>
        <w:right w:val="single" w:color="6FC7B7" w:sz="8" w:space="0"/>
        <w:insideH w:val="single" w:color="6FC7B7" w:sz="8" w:space="0"/>
        <w:insideV w:val="single" w:color="6FC7B7" w:sz="8" w:space="0"/>
      </w:tblBorders>
    </w:tblPr>
    <w:tblStylePr w:type="firstRow">
      <w:pPr>
        <w:spacing w:before="0" w:after="0" w:line="240" w:lineRule="auto"/>
      </w:pPr>
      <w:rPr>
        <w:rFonts w:ascii="Segoe UI" w:hAnsi="Segoe UI" w:eastAsia="Times New Roman" w:cs="Times New Roman"/>
        <w:b/>
        <w:bCs/>
      </w:rPr>
      <w:tblPr/>
      <w:tcPr>
        <w:tcBorders>
          <w:top w:val="single" w:color="6FC7B7" w:sz="8" w:space="0"/>
          <w:left w:val="single" w:color="6FC7B7" w:sz="8" w:space="0"/>
          <w:bottom w:val="single" w:color="6FC7B7" w:sz="18" w:space="0"/>
          <w:right w:val="single" w:color="6FC7B7" w:sz="8" w:space="0"/>
          <w:insideH w:val="nil"/>
          <w:insideV w:val="single" w:color="6FC7B7" w:sz="8" w:space="0"/>
        </w:tcBorders>
      </w:tcPr>
    </w:tblStylePr>
    <w:tblStylePr w:type="lastRow">
      <w:pPr>
        <w:spacing w:before="0" w:after="0" w:line="240" w:lineRule="auto"/>
      </w:pPr>
      <w:rPr>
        <w:rFonts w:ascii="Segoe UI" w:hAnsi="Segoe UI" w:eastAsia="Times New Roman" w:cs="Times New Roman"/>
        <w:b/>
        <w:bCs/>
      </w:rPr>
      <w:tblPr/>
      <w:tcPr>
        <w:tcBorders>
          <w:top w:val="double" w:color="6FC7B7" w:sz="6" w:space="0"/>
          <w:left w:val="single" w:color="6FC7B7" w:sz="8" w:space="0"/>
          <w:bottom w:val="single" w:color="6FC7B7" w:sz="8" w:space="0"/>
          <w:right w:val="single" w:color="6FC7B7" w:sz="8" w:space="0"/>
          <w:insideH w:val="nil"/>
          <w:insideV w:val="single" w:color="6FC7B7" w:sz="8" w:space="0"/>
        </w:tcBorders>
      </w:tcPr>
    </w:tblStylePr>
    <w:tblStylePr w:type="firstCol">
      <w:rPr>
        <w:rFonts w:ascii="Segoe UI" w:hAnsi="Segoe UI" w:eastAsia="Times New Roman" w:cs="Times New Roman"/>
        <w:b/>
        <w:bCs/>
      </w:rPr>
    </w:tblStylePr>
    <w:tblStylePr w:type="lastCol">
      <w:rPr>
        <w:rFonts w:ascii="Segoe UI" w:hAnsi="Segoe UI" w:eastAsia="Times New Roman" w:cs="Times New Roman"/>
        <w:b/>
        <w:bCs/>
      </w:rPr>
      <w:tblPr/>
      <w:tcPr>
        <w:tcBorders>
          <w:top w:val="single" w:color="6FC7B7" w:sz="8" w:space="0"/>
          <w:left w:val="single" w:color="6FC7B7" w:sz="8" w:space="0"/>
          <w:bottom w:val="single" w:color="6FC7B7" w:sz="8" w:space="0"/>
          <w:right w:val="single" w:color="6FC7B7" w:sz="8" w:space="0"/>
        </w:tcBorders>
      </w:tcPr>
    </w:tblStylePr>
    <w:tblStylePr w:type="band1Vert">
      <w:tblPr/>
      <w:tcPr>
        <w:tcBorders>
          <w:top w:val="single" w:color="6FC7B7" w:sz="8" w:space="0"/>
          <w:left w:val="single" w:color="6FC7B7" w:sz="8" w:space="0"/>
          <w:bottom w:val="single" w:color="6FC7B7" w:sz="8" w:space="0"/>
          <w:right w:val="single" w:color="6FC7B7" w:sz="8" w:space="0"/>
        </w:tcBorders>
        <w:shd w:val="clear" w:color="auto" w:fill="DBF1ED"/>
      </w:tcPr>
    </w:tblStylePr>
    <w:tblStylePr w:type="band1Horz">
      <w:tblPr/>
      <w:tcPr>
        <w:tcBorders>
          <w:top w:val="single" w:color="6FC7B7" w:sz="8" w:space="0"/>
          <w:left w:val="single" w:color="6FC7B7" w:sz="8" w:space="0"/>
          <w:bottom w:val="single" w:color="6FC7B7" w:sz="8" w:space="0"/>
          <w:right w:val="single" w:color="6FC7B7" w:sz="8" w:space="0"/>
          <w:insideV w:val="single" w:color="6FC7B7" w:sz="8" w:space="0"/>
        </w:tcBorders>
        <w:shd w:val="clear" w:color="auto" w:fill="DBF1ED"/>
      </w:tcPr>
    </w:tblStylePr>
    <w:tblStylePr w:type="band2Horz">
      <w:tblPr/>
      <w:tcPr>
        <w:tcBorders>
          <w:top w:val="single" w:color="6FC7B7" w:sz="8" w:space="0"/>
          <w:left w:val="single" w:color="6FC7B7" w:sz="8" w:space="0"/>
          <w:bottom w:val="single" w:color="6FC7B7" w:sz="8" w:space="0"/>
          <w:right w:val="single" w:color="6FC7B7" w:sz="8" w:space="0"/>
          <w:insideV w:val="single" w:color="6FC7B7" w:sz="8" w:space="0"/>
        </w:tcBorders>
      </w:tcPr>
    </w:tblStylePr>
  </w:style>
  <w:style w:type="table" w:styleId="LightGrid-Accent11" w:customStyle="1">
    <w:name w:val="Light Grid - Accent 11"/>
    <w:basedOn w:val="TableNormal"/>
    <w:uiPriority w:val="62"/>
    <w:rsid w:val="000836C9"/>
    <w:pPr>
      <w:spacing w:before="60" w:after="60" w:line="240" w:lineRule="atLeast"/>
    </w:pPr>
    <w:rPr>
      <w:sz w:val="18"/>
    </w:rPr>
    <w:tblPr>
      <w:tblStyleRowBandSize w:val="1"/>
      <w:tblStyleColBandSize w:val="1"/>
      <w:tblBorders>
        <w:bottom w:val="single" w:color="1C556C" w:sz="4" w:space="0"/>
        <w:insideH w:val="single" w:color="1C556C" w:sz="4" w:space="0"/>
        <w:insideV w:val="single" w:color="1C556C" w:sz="4" w:space="0"/>
      </w:tblBorders>
    </w:tblPr>
    <w:tcPr>
      <w:shd w:val="clear" w:color="auto" w:fill="FFFFFF" w:themeFill="background1"/>
    </w:tcPr>
    <w:tblStylePr w:type="firstRow">
      <w:pPr>
        <w:spacing w:before="0" w:after="0" w:line="240" w:lineRule="auto"/>
      </w:pPr>
      <w:rPr>
        <w:rFonts w:ascii="Calibri" w:hAnsi="Calibri" w:eastAsia="Times New Roman" w:cs="Times New Roman"/>
        <w:b/>
        <w:bCs/>
        <w:color w:val="FFFFFF" w:themeColor="background1"/>
        <w:sz w:val="18"/>
      </w:rPr>
      <w:tblPr/>
      <w:tcPr>
        <w:tcBorders>
          <w:top w:val="single" w:color="1C556C" w:sz="2" w:space="0"/>
          <w:left w:val="nil"/>
          <w:bottom w:val="single" w:color="1C556C" w:sz="2" w:space="0"/>
          <w:right w:val="nil"/>
          <w:insideH w:val="nil"/>
          <w:insideV w:val="single" w:color="1C556C" w:sz="2" w:space="0"/>
        </w:tcBorders>
        <w:shd w:val="clear" w:color="auto" w:fill="1B556B" w:themeFill="text2"/>
      </w:tcPr>
    </w:tblStylePr>
    <w:tblStylePr w:type="lastRow">
      <w:pPr>
        <w:spacing w:before="0" w:after="0" w:line="240" w:lineRule="auto"/>
      </w:pPr>
      <w:rPr>
        <w:rFonts w:ascii="Calibri" w:hAnsi="Calibri" w:eastAsia="Times New Roman" w:cs="Times New Roman"/>
        <w:b/>
        <w:bCs/>
        <w:sz w:val="18"/>
      </w:rPr>
      <w:tblPr/>
      <w:tcPr>
        <w:tcBorders>
          <w:top w:val="double" w:color="1C556C" w:sz="6" w:space="0"/>
          <w:left w:val="single" w:color="1C556C" w:sz="8" w:space="0"/>
          <w:bottom w:val="single" w:color="1C556C" w:sz="8" w:space="0"/>
          <w:right w:val="single" w:color="1C556C" w:sz="8" w:space="0"/>
          <w:insideH w:val="nil"/>
          <w:insideV w:val="single" w:color="1C556C" w:sz="8" w:space="0"/>
        </w:tcBorders>
      </w:tcPr>
    </w:tblStylePr>
    <w:tblStylePr w:type="firstCol">
      <w:rPr>
        <w:rFonts w:ascii="Calibri" w:hAnsi="Calibri" w:eastAsia="Times New Roman" w:cs="Times New Roman"/>
        <w:b w:val="0"/>
        <w:bCs/>
        <w:sz w:val="18"/>
      </w:rPr>
    </w:tblStylePr>
    <w:tblStylePr w:type="lastCol">
      <w:rPr>
        <w:rFonts w:ascii="Segoe UI" w:hAnsi="Segoe UI" w:eastAsia="Times New Roman" w:cs="Times New Roman"/>
        <w:b/>
        <w:bCs/>
      </w:rPr>
      <w:tblPr/>
      <w:tcPr>
        <w:tcBorders>
          <w:top w:val="single" w:color="1C556C" w:sz="8" w:space="0"/>
          <w:left w:val="single" w:color="1C556C" w:sz="8" w:space="0"/>
          <w:bottom w:val="single" w:color="1C556C" w:sz="8" w:space="0"/>
          <w:right w:val="single" w:color="1C556C" w:sz="8" w:space="0"/>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zh-CN"/>
    </w:rPr>
    <w:tblPr>
      <w:tblBorders>
        <w:top w:val="single" w:color="D2DDE1" w:themeColor="background2" w:sz="4" w:space="0"/>
        <w:left w:val="single" w:color="D2DDE1" w:themeColor="background2" w:sz="4" w:space="0"/>
        <w:bottom w:val="single" w:color="D2DDE1" w:themeColor="background2" w:sz="4" w:space="0"/>
        <w:right w:val="single" w:color="D2DDE1" w:themeColor="background2" w:sz="4" w:space="0"/>
        <w:insideH w:val="none" w:color="auto" w:sz="0" w:space="0"/>
        <w:insideV w:val="none" w:color="auto" w:sz="0" w:space="0"/>
      </w:tblBorders>
    </w:tblPr>
    <w:tcPr>
      <w:shd w:val="clear" w:color="auto" w:fill="D2DDE1" w:themeFill="background2"/>
    </w:tcPr>
    <w:tblStylePr w:type="firstRow">
      <w:rPr>
        <w:rFonts w:ascii="Calibri" w:hAnsi="Calibri"/>
        <w:b w:val="0"/>
        <w:bCs/>
        <w:sz w:val="18"/>
      </w:rPr>
      <w:tblPr/>
      <w:tcPr>
        <w:tcBorders>
          <w:tl2br w:val="none" w:color="auto" w:sz="0" w:space="0"/>
          <w:tr2bl w:val="none" w:color="auto" w:sz="0" w:space="0"/>
        </w:tcBorders>
      </w:tcPr>
    </w:tblStylePr>
    <w:tblStylePr w:type="lastRow">
      <w:rPr>
        <w:rFonts w:ascii="Calibri" w:hAnsi="Calibri"/>
        <w:b w:val="0"/>
        <w:bCs/>
        <w:sz w:val="18"/>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hAnsi="Times New Roman" w:eastAsia="Times New Roman"/>
      <w:sz w:val="22"/>
      <w:lang w:eastAsia="en-US"/>
    </w:rPr>
  </w:style>
  <w:style w:type="character" w:styleId="Strong">
    <w:name w:val="Strong"/>
    <w:uiPriority w:val="22"/>
    <w:semiHidden/>
    <w:qFormat/>
    <w:rsid w:val="00EA64B4"/>
    <w:rPr>
      <w:b/>
      <w:bCs/>
    </w:rPr>
  </w:style>
  <w:style w:type="paragraph" w:styleId="Boxa" w:customStyle="1">
    <w:name w:val="Box a"/>
    <w:aliases w:val="b list"/>
    <w:basedOn w:val="Sub-listi"/>
    <w:semiHidden/>
    <w:qFormat/>
    <w:rsid w:val="00EA64B4"/>
    <w:pPr>
      <w:numPr>
        <w:ilvl w:val="1"/>
        <w:numId w:val="10"/>
      </w:numPr>
      <w:pBdr>
        <w:top w:val="single" w:color="0092CF" w:sz="6" w:space="15"/>
        <w:left w:val="single" w:color="0092CF" w:sz="6" w:space="15"/>
        <w:bottom w:val="single" w:color="0092CF" w:sz="6" w:space="15"/>
        <w:right w:val="single" w:color="0092CF" w:sz="6" w:space="15"/>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styleId="BoxBullet0" w:customStyle="1">
    <w:name w:val="Box Bullet"/>
    <w:basedOn w:val="Box"/>
    <w:semiHidden/>
    <w:rsid w:val="00EA64B4"/>
    <w:pPr>
      <w:pBdr>
        <w:top w:val="single" w:color="auto" w:sz="6" w:space="15"/>
        <w:left w:val="single" w:color="auto" w:sz="6" w:space="15"/>
        <w:bottom w:val="single" w:color="auto" w:sz="6" w:space="15"/>
        <w:right w:val="single" w:color="auto" w:sz="6" w:space="15"/>
      </w:pBdr>
      <w:shd w:val="clear" w:color="auto" w:fill="auto"/>
      <w:tabs>
        <w:tab w:val="num" w:pos="851"/>
      </w:tabs>
      <w:spacing w:after="0" w:line="240" w:lineRule="auto"/>
      <w:ind w:left="851" w:hanging="567"/>
    </w:pPr>
    <w:rPr>
      <w:rFonts w:ascii="Arial" w:hAnsi="Arial"/>
      <w:color w:val="auto"/>
      <w:szCs w:val="20"/>
      <w:lang w:eastAsia="en-GB"/>
    </w:rPr>
  </w:style>
  <w:style w:type="paragraph" w:styleId="BoxHeading0" w:customStyle="1">
    <w:name w:val="BoxHeading"/>
    <w:basedOn w:val="Box"/>
    <w:next w:val="Box"/>
    <w:semiHidden/>
    <w:rsid w:val="00EA64B4"/>
    <w:pPr>
      <w:pBdr>
        <w:top w:val="single" w:color="auto" w:sz="6" w:space="15"/>
        <w:left w:val="single" w:color="auto" w:sz="6" w:space="15"/>
        <w:bottom w:val="single" w:color="auto" w:sz="6" w:space="15"/>
        <w:right w:val="single" w:color="auto" w:sz="6" w:space="15"/>
      </w:pBdr>
      <w:shd w:val="clear" w:color="auto" w:fill="auto"/>
      <w:spacing w:before="0" w:after="240" w:line="240" w:lineRule="auto"/>
      <w:jc w:val="both"/>
    </w:pPr>
    <w:rPr>
      <w:rFonts w:ascii="Arial" w:hAnsi="Arial"/>
      <w:b/>
      <w:color w:val="auto"/>
      <w:sz w:val="22"/>
      <w:szCs w:val="20"/>
      <w:lang w:eastAsia="en-GB"/>
    </w:rPr>
  </w:style>
  <w:style w:type="character" w:styleId="Heading6Char" w:customStyle="1">
    <w:name w:val="Heading 6 Char"/>
    <w:link w:val="Heading6"/>
    <w:semiHidden/>
    <w:rsid w:val="00EA64B4"/>
    <w:rPr>
      <w:rFonts w:ascii="Times New Roman" w:hAnsi="Times New Roman" w:eastAsia="Times New Roman" w:cs="Times New Roman"/>
      <w:b/>
      <w:szCs w:val="20"/>
      <w:lang w:val="en-AU"/>
    </w:rPr>
  </w:style>
  <w:style w:type="character" w:styleId="Heading7Char" w:customStyle="1">
    <w:name w:val="Heading 7 Char"/>
    <w:link w:val="Heading7"/>
    <w:semiHidden/>
    <w:rsid w:val="00EA64B4"/>
    <w:rPr>
      <w:rFonts w:ascii="Times New Roman" w:hAnsi="Times New Roman" w:eastAsia="Times New Roman" w:cs="Times New Roman"/>
      <w:szCs w:val="20"/>
      <w:lang w:val="en-AU"/>
    </w:rPr>
  </w:style>
  <w:style w:type="character" w:styleId="Heading8Char" w:customStyle="1">
    <w:name w:val="Heading 8 Char"/>
    <w:link w:val="Heading8"/>
    <w:semiHidden/>
    <w:rsid w:val="00EA64B4"/>
    <w:rPr>
      <w:rFonts w:ascii="Times New Roman" w:hAnsi="Times New Roman" w:eastAsia="Times New Roman" w:cs="Times New Roman"/>
      <w:i/>
      <w:szCs w:val="20"/>
      <w:lang w:val="en-AU"/>
    </w:rPr>
  </w:style>
  <w:style w:type="character" w:styleId="Heading9Char" w:customStyle="1">
    <w:name w:val="Heading 9 Char"/>
    <w:link w:val="Heading9"/>
    <w:semiHidden/>
    <w:rsid w:val="00EA64B4"/>
    <w:rPr>
      <w:rFonts w:ascii="Arial" w:hAnsi="Arial" w:eastAsia="Times New Roman"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styleId="BulletChar" w:customStyle="1">
    <w:name w:val="Bullet Char"/>
    <w:link w:val="Bullet"/>
    <w:locked/>
    <w:rsid w:val="00F00997"/>
    <w:rPr>
      <w:rFonts w:eastAsia="Times New Roman"/>
      <w:sz w:val="22"/>
    </w:rPr>
  </w:style>
  <w:style w:type="paragraph" w:styleId="Casestudyheading" w:customStyle="1">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color="1C556C" w:sz="8" w:space="0"/>
        <w:bottom w:val="single" w:color="1C556C" w:sz="8" w:space="0"/>
      </w:tblBorders>
    </w:tblPr>
    <w:tblStylePr w:type="firstRow">
      <w:pPr>
        <w:spacing w:before="0" w:after="0" w:line="240" w:lineRule="auto"/>
      </w:pPr>
      <w:rPr>
        <w:b/>
        <w:bCs/>
      </w:rPr>
      <w:tblPr/>
      <w:tcPr>
        <w:tcBorders>
          <w:top w:val="single" w:color="1C556C" w:sz="8" w:space="0"/>
          <w:left w:val="nil"/>
          <w:bottom w:val="single" w:color="1C556C" w:sz="8" w:space="0"/>
          <w:right w:val="nil"/>
          <w:insideH w:val="nil"/>
          <w:insideV w:val="nil"/>
        </w:tcBorders>
      </w:tcPr>
    </w:tblStylePr>
    <w:tblStylePr w:type="lastRow">
      <w:pPr>
        <w:spacing w:before="0" w:after="0" w:line="240" w:lineRule="auto"/>
      </w:pPr>
      <w:rPr>
        <w:b/>
        <w:bCs/>
      </w:rPr>
      <w:tblPr/>
      <w:tcPr>
        <w:tcBorders>
          <w:top w:val="single" w:color="1C556C" w:sz="8" w:space="0"/>
          <w:left w:val="nil"/>
          <w:bottom w:val="single" w:color="1C556C"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styleId="Style1" w:customStyle="1">
    <w:name w:val="Style1"/>
    <w:uiPriority w:val="99"/>
    <w:rsid w:val="00B07CE9"/>
    <w:pPr>
      <w:numPr>
        <w:numId w:val="13"/>
      </w:numPr>
    </w:pPr>
  </w:style>
  <w:style w:type="numbering" w:styleId="Style2" w:customStyle="1">
    <w:name w:val="Style2"/>
    <w:uiPriority w:val="99"/>
    <w:rsid w:val="008E0688"/>
    <w:pPr>
      <w:numPr>
        <w:numId w:val="19"/>
      </w:numPr>
    </w:pPr>
  </w:style>
  <w:style w:type="paragraph" w:styleId="Greenbullet-casestudytables" w:customStyle="1">
    <w:name w:val="Green bullet - case study tables"/>
    <w:basedOn w:val="Greentext-casestudytables"/>
    <w:uiPriority w:val="1"/>
    <w:semiHidden/>
    <w:rsid w:val="00C15722"/>
    <w:pPr>
      <w:numPr>
        <w:numId w:val="31"/>
      </w:numPr>
      <w:spacing w:before="0"/>
      <w:ind w:left="681" w:hanging="397"/>
    </w:pPr>
  </w:style>
  <w:style w:type="paragraph" w:styleId="Greentext-casestudytables" w:customStyle="1">
    <w:name w:val="Green text - case study tables"/>
    <w:basedOn w:val="BodyText"/>
    <w:uiPriority w:val="1"/>
    <w:semiHidden/>
    <w:rsid w:val="00C15722"/>
    <w:pPr>
      <w:spacing w:line="260" w:lineRule="atLeast"/>
      <w:ind w:left="284" w:right="284"/>
    </w:pPr>
    <w:rPr>
      <w:color w:val="0F7B7D"/>
      <w:sz w:val="20"/>
    </w:rPr>
  </w:style>
  <w:style w:type="paragraph" w:styleId="Greenheading-casestudytables" w:customStyle="1">
    <w:name w:val="Green heading - case study tables"/>
    <w:basedOn w:val="Greentext-casestudytables"/>
    <w:next w:val="Greentext-casestudytables"/>
    <w:uiPriority w:val="1"/>
    <w:semiHidden/>
    <w:rsid w:val="0051754D"/>
    <w:pPr>
      <w:keepNext/>
      <w:spacing w:before="240" w:after="0"/>
    </w:pPr>
    <w:rPr>
      <w:b/>
    </w:rPr>
  </w:style>
  <w:style w:type="numbering" w:styleId="Style3" w:customStyle="1">
    <w:name w:val="Style3"/>
    <w:uiPriority w:val="99"/>
    <w:rsid w:val="008B5A2D"/>
    <w:pPr>
      <w:numPr>
        <w:numId w:val="33"/>
      </w:numPr>
    </w:pPr>
  </w:style>
  <w:style w:type="paragraph" w:styleId="Blueboxtext" w:customStyle="1">
    <w:name w:val="Blue box text"/>
    <w:basedOn w:val="Normal"/>
    <w:uiPriority w:val="1"/>
    <w:semiHidden/>
    <w:qFormat/>
    <w:rsid w:val="007823D6"/>
    <w:pPr>
      <w:spacing w:line="260" w:lineRule="atLeast"/>
      <w:ind w:left="284" w:right="284"/>
      <w:jc w:val="left"/>
    </w:pPr>
    <w:rPr>
      <w:color w:val="1C556C"/>
      <w:sz w:val="20"/>
    </w:rPr>
  </w:style>
  <w:style w:type="paragraph" w:styleId="Blue-boxbullet" w:customStyle="1">
    <w:name w:val="Blue-box bullet"/>
    <w:basedOn w:val="Blueboxtext"/>
    <w:uiPriority w:val="1"/>
    <w:semiHidden/>
    <w:qFormat/>
    <w:rsid w:val="005D3242"/>
    <w:pPr>
      <w:tabs>
        <w:tab w:val="left" w:pos="680"/>
      </w:tabs>
      <w:spacing w:before="0"/>
      <w:ind w:left="0"/>
    </w:pPr>
    <w:rPr>
      <w:szCs w:val="20"/>
    </w:rPr>
  </w:style>
  <w:style w:type="paragraph" w:styleId="Blueboxheading" w:customStyle="1">
    <w:name w:val="Blue box heading"/>
    <w:basedOn w:val="Blueboxtext"/>
    <w:next w:val="Blueboxtext"/>
    <w:uiPriority w:val="1"/>
    <w:semiHidden/>
    <w:qFormat/>
    <w:rsid w:val="00225830"/>
    <w:pPr>
      <w:keepNext/>
      <w:spacing w:before="240" w:after="0"/>
    </w:pPr>
    <w:rPr>
      <w:rFonts w:ascii="Georgia" w:hAnsi="Georgia"/>
      <w:b/>
      <w:szCs w:val="20"/>
    </w:rPr>
  </w:style>
  <w:style w:type="paragraph" w:styleId="Blue-boxsub-bullet" w:customStyle="1">
    <w:name w:val="Blue-box sub-bullet"/>
    <w:basedOn w:val="Blueboxtext"/>
    <w:uiPriority w:val="1"/>
    <w:semiHidden/>
    <w:qFormat/>
    <w:rsid w:val="007823D6"/>
    <w:pPr>
      <w:spacing w:before="0"/>
      <w:ind w:left="0"/>
    </w:pPr>
    <w:rPr>
      <w:szCs w:val="20"/>
    </w:rPr>
  </w:style>
  <w:style w:type="paragraph" w:styleId="Greensub-bullet-casestudytables" w:customStyle="1">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styleId="CommentTextChar" w:customStyle="1">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styleId="Boxtext" w:customStyle="1">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styleId="Boxsub-bullet" w:customStyle="1">
    <w:name w:val="Box sub-bullet"/>
    <w:basedOn w:val="Boxtext"/>
    <w:uiPriority w:val="1"/>
    <w:qFormat/>
    <w:rsid w:val="005C132F"/>
    <w:pPr>
      <w:numPr>
        <w:numId w:val="39"/>
      </w:numPr>
      <w:spacing w:before="0"/>
    </w:pPr>
    <w:rPr>
      <w:rFonts w:cs="Times New Roman"/>
      <w:szCs w:val="20"/>
    </w:rPr>
  </w:style>
  <w:style w:type="paragraph" w:styleId="Sub-bullet" w:customStyle="1">
    <w:name w:val="Sub-bullet"/>
    <w:basedOn w:val="Normal"/>
    <w:qFormat/>
    <w:rsid w:val="0070259F"/>
    <w:pPr>
      <w:numPr>
        <w:numId w:val="44"/>
      </w:numPr>
      <w:tabs>
        <w:tab w:val="left" w:pos="794"/>
      </w:tabs>
      <w:spacing w:before="0"/>
      <w:ind w:left="756"/>
      <w:jc w:val="left"/>
    </w:pPr>
  </w:style>
  <w:style w:type="table" w:styleId="Greenbox" w:customStyle="1">
    <w:name w:val="Green box"/>
    <w:basedOn w:val="TableNormal"/>
    <w:uiPriority w:val="99"/>
    <w:rsid w:val="00936F76"/>
    <w:pPr>
      <w:spacing w:before="60" w:after="60" w:line="240" w:lineRule="atLeast"/>
    </w:pPr>
    <w:rPr>
      <w:sz w:val="18"/>
    </w:rPr>
    <w:tblPr>
      <w:tblBorders>
        <w:top w:val="single" w:color="1B556B" w:themeColor="text2" w:sz="4" w:space="0"/>
        <w:bottom w:val="single" w:color="1B556B" w:themeColor="text2" w:sz="4" w:space="0"/>
        <w:insideH w:val="single" w:color="1B556B" w:themeColor="text2" w:sz="4" w:space="0"/>
        <w:insideV w:val="single" w:color="1B556B" w:themeColor="text2" w:sz="4" w:space="0"/>
      </w:tblBorders>
    </w:tblPr>
    <w:tcPr>
      <w:shd w:val="clear" w:color="auto" w:fill="D5EBE8" w:themeFill="accent3"/>
    </w:tcPr>
    <w:tblStylePr w:type="firstRow">
      <w:rPr>
        <w:rFonts w:ascii="Calibri" w:hAnsi="Calibri"/>
        <w:sz w:val="18"/>
      </w:rPr>
      <w:tblPr/>
      <w:tcPr>
        <w:tcBorders>
          <w:top w:val="single" w:color="D5EBE8" w:themeColor="accent3" w:sz="4" w:space="0"/>
          <w:left w:val="single" w:color="D5EBE8" w:themeColor="accent3" w:sz="4" w:space="0"/>
          <w:bottom w:val="single" w:color="D5EBE8" w:themeColor="accent3" w:sz="4" w:space="0"/>
          <w:right w:val="single" w:color="D5EBE8" w:themeColor="accent3" w:sz="4" w:space="0"/>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color="1C556C" w:themeColor="accent1" w:sz="4" w:space="0"/>
        <w:left w:val="single" w:color="1C556C" w:themeColor="accent1" w:sz="4" w:space="0"/>
        <w:bottom w:val="single" w:color="1C556C" w:themeColor="accent1" w:sz="4" w:space="0"/>
        <w:right w:val="single" w:color="1C556C" w:themeColor="accent1" w:sz="4" w:space="0"/>
      </w:tblBorders>
    </w:tblPr>
    <w:tblStylePr w:type="firstRow">
      <w:rPr>
        <w:b/>
        <w:bCs/>
        <w:color w:val="FFFFFF" w:themeColor="background1"/>
      </w:rPr>
      <w:tblPr/>
      <w:tcPr>
        <w:shd w:val="clear" w:color="auto" w:fill="1C556C" w:themeFill="accent1"/>
      </w:tcPr>
    </w:tblStylePr>
    <w:tblStylePr w:type="lastRow">
      <w:rPr>
        <w:b/>
        <w:bCs/>
      </w:rPr>
      <w:tblPr/>
      <w:tcPr>
        <w:tcBorders>
          <w:top w:val="double" w:color="1C556C"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C556C" w:themeColor="accent1" w:sz="4" w:space="0"/>
          <w:right w:val="single" w:color="1C556C" w:themeColor="accent1" w:sz="4" w:space="0"/>
        </w:tcBorders>
      </w:tcPr>
    </w:tblStylePr>
    <w:tblStylePr w:type="band1Horz">
      <w:tblPr/>
      <w:tcPr>
        <w:tcBorders>
          <w:top w:val="single" w:color="1C556C" w:themeColor="accent1" w:sz="4" w:space="0"/>
          <w:bottom w:val="single" w:color="1C556C"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C556C" w:themeColor="accent1" w:sz="4" w:space="0"/>
          <w:left w:val="nil"/>
        </w:tcBorders>
      </w:tcPr>
    </w:tblStylePr>
    <w:tblStylePr w:type="swCell">
      <w:tblPr/>
      <w:tcPr>
        <w:tcBorders>
          <w:top w:val="double" w:color="1C556C" w:themeColor="accent1" w:sz="4" w:space="0"/>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normaltextrun" w:customStyle="1">
    <w:name w:val="normaltextrun"/>
    <w:basedOn w:val="DefaultParagraphFont"/>
    <w:rsid w:val="009548CB"/>
  </w:style>
  <w:style w:type="character" w:styleId="eop" w:customStyle="1">
    <w:name w:val="eop"/>
    <w:basedOn w:val="DefaultParagraphFont"/>
    <w:rsid w:val="009548CB"/>
  </w:style>
  <w:style w:type="paragraph" w:styleId="paragraph" w:customStyle="1">
    <w:name w:val="paragraph"/>
    <w:basedOn w:val="Normal"/>
    <w:rsid w:val="00CF1780"/>
    <w:pPr>
      <w:spacing w:before="100" w:beforeAutospacing="1" w:after="100" w:afterAutospacing="1" w:line="240" w:lineRule="auto"/>
      <w:jc w:val="left"/>
    </w:pPr>
    <w:rPr>
      <w:rFonts w:ascii="Times New Roman" w:hAnsi="Times New Roman"/>
      <w:sz w:val="24"/>
      <w:szCs w:val="24"/>
    </w:rPr>
  </w:style>
  <w:style w:type="paragraph" w:styleId="Headerinfo" w:customStyle="1">
    <w:name w:val="Header info"/>
    <w:basedOn w:val="Title"/>
    <w:qFormat/>
    <w:rsid w:val="00DA500C"/>
    <w:pPr>
      <w:ind w:right="-710"/>
    </w:pPr>
    <w:rPr>
      <w:rFonts w:asciiTheme="minorHAnsi" w:hAnsiTheme="minorHAnsi" w:cstheme="minorHAnsi"/>
      <w:b w:val="0"/>
      <w:color w:val="FFFFFF" w:themeColor="background1"/>
      <w:sz w:val="22"/>
      <w:szCs w:val="22"/>
    </w:rPr>
  </w:style>
  <w:style w:type="paragraph" w:styleId="NormalWeb">
    <w:name w:val="Normal (Web)"/>
    <w:basedOn w:val="Normal"/>
    <w:uiPriority w:val="99"/>
    <w:semiHidden/>
    <w:unhideWhenUsed/>
    <w:rsid w:val="00932828"/>
    <w:pPr>
      <w:spacing w:before="100" w:beforeAutospacing="1" w:after="100" w:afterAutospacing="1" w:line="240" w:lineRule="auto"/>
      <w:jc w:val="left"/>
    </w:pPr>
    <w:rPr>
      <w:rFonts w:ascii="Times New Roman" w:hAnsi="Times New Roman"/>
      <w:sz w:val="24"/>
      <w:szCs w:val="24"/>
    </w:rPr>
  </w:style>
  <w:style w:type="character" w:styleId="Mention">
    <w:name w:val="Mention"/>
    <w:basedOn w:val="DefaultParagraphFont"/>
    <w:uiPriority w:val="99"/>
    <w:unhideWhenUsed/>
    <w:rsid w:val="009C6615"/>
    <w:rPr>
      <w:color w:val="2B579A"/>
      <w:shd w:val="clear" w:color="auto" w:fill="E1DFDD"/>
    </w:rPr>
  </w:style>
  <w:style w:type="character" w:styleId="cf01" w:customStyle="1">
    <w:name w:val="cf01"/>
    <w:basedOn w:val="DefaultParagraphFont"/>
    <w:rsid w:val="00706F54"/>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86194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641803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8844821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2483531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20671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6476283">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05446908">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ECM-1122293896-100350</_dlc_DocId>
    <_dlc_DocIdUrl xmlns="58a6f171-52cb-4404-b47d-af1c8daf8fd1">
      <Url>https://ministryforenvironment.sharepoint.com/sites/ECM-ER-Comms/_layouts/15/DocIdRedir.aspx?ID=ECM-1122293896-100350</Url>
      <Description>ECM-1122293896-100350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4782A9D-DC48-4629-895C-D762F7C3ACF5}">
  <ds:schemaRefs>
    <ds:schemaRef ds:uri="http://schemas.microsoft.com/sharepoint/v3"/>
    <ds:schemaRef ds:uri="0a5b0190-e301-4766-933d-448c7c363fce"/>
    <ds:schemaRef ds:uri="http://www.w3.org/XML/1998/namespace"/>
    <ds:schemaRef ds:uri="http://purl.org/dc/dcmitype/"/>
    <ds:schemaRef ds:uri="http://schemas.microsoft.com/sharepoint/v4"/>
    <ds:schemaRef ds:uri="http://schemas.microsoft.com/office/2006/metadata/properties"/>
    <ds:schemaRef ds:uri="http://purl.org/dc/terms/"/>
    <ds:schemaRef ds:uri="58a6f171-52cb-4404-b47d-af1c8daf8fd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a94300e-a927-4b92-9d3a-682523035cb6"/>
  </ds:schemaRefs>
</ds:datastoreItem>
</file>

<file path=customXml/itemProps4.xml><?xml version="1.0" encoding="utf-8"?>
<ds:datastoreItem xmlns:ds="http://schemas.openxmlformats.org/officeDocument/2006/customXml" ds:itemID="{759DED94-9C87-4D9A-AA17-CC590ECD1DD4}">
  <ds:schemaRefs>
    <ds:schemaRef ds:uri="http://schemas.microsoft.com/sharepoint/events"/>
  </ds:schemaRefs>
</ds:datastoreItem>
</file>

<file path=customXml/itemProps5.xml><?xml version="1.0" encoding="utf-8"?>
<ds:datastoreItem xmlns:ds="http://schemas.openxmlformats.org/officeDocument/2006/customXml" ds:itemID="{8DAADC41-DDE9-436B-97B1-619F5A20F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WalshK</dc:creator>
  <keywords/>
  <lastModifiedBy>Michael Johnson</lastModifiedBy>
  <revision>56</revision>
  <dcterms:created xsi:type="dcterms:W3CDTF">2023-08-17T01:55:00.0000000Z</dcterms:created>
  <dcterms:modified xsi:type="dcterms:W3CDTF">2023-08-30T03:03:50.8569589Z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6d857dc9-0e3e-4154-ae37-27339e068110</vt:lpwstr>
  </property>
  <property fmtid="{D5CDD505-2E9C-101B-9397-08002B2CF9AE}" pid="11" name="MediaServiceImageTags">
    <vt:lpwstr/>
  </property>
  <property fmtid="{D5CDD505-2E9C-101B-9397-08002B2CF9AE}" pid="12" name="Order">
    <vt:r8>9970200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