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E511" w14:textId="6E0F9A13" w:rsidR="001C4D70" w:rsidRPr="00640AA1" w:rsidRDefault="00DA500C" w:rsidP="00640AA1">
      <w:pPr>
        <w:pStyle w:val="BodyText"/>
        <w:spacing w:after="3600"/>
        <w:rPr>
          <w:rStyle w:val="normaltextrun"/>
        </w:rPr>
      </w:pPr>
      <w:r>
        <w:rPr>
          <w:noProof/>
        </w:rPr>
        <mc:AlternateContent>
          <mc:Choice Requires="wps">
            <w:drawing>
              <wp:anchor distT="0" distB="0" distL="114300" distR="114300" simplePos="0" relativeHeight="251658240" behindDoc="0" locked="0" layoutInCell="1" allowOverlap="1" wp14:anchorId="1F9B9299" wp14:editId="6CCDDF9C">
                <wp:simplePos x="0" y="0"/>
                <wp:positionH relativeFrom="column">
                  <wp:posOffset>-40640</wp:posOffset>
                </wp:positionH>
                <wp:positionV relativeFrom="paragraph">
                  <wp:posOffset>1122045</wp:posOffset>
                </wp:positionV>
                <wp:extent cx="5808345" cy="1487170"/>
                <wp:effectExtent l="0" t="0" r="1905" b="0"/>
                <wp:wrapTopAndBottom/>
                <wp:docPr id="6" name="Text Box 6"/>
                <wp:cNvGraphicFramePr/>
                <a:graphic xmlns:a="http://schemas.openxmlformats.org/drawingml/2006/main">
                  <a:graphicData uri="http://schemas.microsoft.com/office/word/2010/wordprocessingShape">
                    <wps:wsp>
                      <wps:cNvSpPr txBox="1"/>
                      <wps:spPr>
                        <a:xfrm>
                          <a:off x="0" y="0"/>
                          <a:ext cx="5808345" cy="1487170"/>
                        </a:xfrm>
                        <a:prstGeom prst="rect">
                          <a:avLst/>
                        </a:prstGeom>
                        <a:noFill/>
                        <a:ln w="6350">
                          <a:noFill/>
                        </a:ln>
                      </wps:spPr>
                      <wps:txbx>
                        <w:txbxContent>
                          <w:p w14:paraId="0FFE03BE" w14:textId="7E0B1A5C" w:rsidR="00B349E3" w:rsidRPr="009F4105" w:rsidRDefault="00F94636" w:rsidP="00296A94">
                            <w:pPr>
                              <w:pStyle w:val="Subtitle"/>
                              <w:rPr>
                                <w:color w:val="2C9986" w:themeColor="accent4"/>
                                <w:sz w:val="48"/>
                                <w:szCs w:val="48"/>
                              </w:rPr>
                            </w:pPr>
                            <w:proofErr w:type="spellStart"/>
                            <w:r w:rsidRPr="00F94636">
                              <w:rPr>
                                <w:color w:val="2C9986" w:themeColor="accent4"/>
                                <w:sz w:val="48"/>
                                <w:szCs w:val="48"/>
                              </w:rPr>
                              <w:t>Whakahaere</w:t>
                            </w:r>
                            <w:proofErr w:type="spellEnd"/>
                            <w:r w:rsidRPr="00F94636">
                              <w:rPr>
                                <w:color w:val="2C9986" w:themeColor="accent4"/>
                                <w:sz w:val="48"/>
                                <w:szCs w:val="48"/>
                              </w:rPr>
                              <w:t xml:space="preserve"> </w:t>
                            </w:r>
                            <w:proofErr w:type="spellStart"/>
                            <w:r w:rsidRPr="00F94636">
                              <w:rPr>
                                <w:color w:val="2C9986" w:themeColor="accent4"/>
                                <w:sz w:val="48"/>
                                <w:szCs w:val="48"/>
                              </w:rPr>
                              <w:t>ahumoana</w:t>
                            </w:r>
                            <w:proofErr w:type="spellEnd"/>
                            <w:r w:rsidR="00B61B3A">
                              <w:rPr>
                                <w:color w:val="1B556B" w:themeColor="text2"/>
                                <w:sz w:val="48"/>
                                <w:szCs w:val="48"/>
                              </w:rPr>
                              <w:br/>
                            </w:r>
                            <w:r w:rsidR="00502521" w:rsidRPr="00502521">
                              <w:rPr>
                                <w:color w:val="1B556B" w:themeColor="text2"/>
                                <w:sz w:val="48"/>
                                <w:szCs w:val="48"/>
                              </w:rPr>
                              <w:t>Aquaculture management</w:t>
                            </w:r>
                          </w:p>
                        </w:txbxContent>
                      </wps:txbx>
                      <wps:bodyPr rot="0" spcFirstLastPara="0" vertOverflow="overflow" horzOverflow="overflow" vert="horz" wrap="square" lIns="36000" tIns="72000" rIns="0" bIns="54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6DC23A1D">
              <v:shapetype id="_x0000_t202" coordsize="21600,21600" o:spt="202" path="m,l,21600r21600,l21600,xe" w14:anchorId="1F9B9299">
                <v:stroke joinstyle="miter"/>
                <v:path gradientshapeok="t" o:connecttype="rect"/>
              </v:shapetype>
              <v:shape id="Text Box 6" style="position:absolute;margin-left:-3.2pt;margin-top:88.35pt;width:457.35pt;height:1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qHAIAACoEAAAOAAAAZHJzL2Uyb0RvYy54bWysU01v2zAMvQ/YfxB0X2w3nzDiFFmLDAOC&#10;tkA69KzIUmxAFjVJiZ39+lGykxTdTsMuEilSpPje0/K+axQ5Cetq0AXNRiklQnMoa30o6I/XzZcF&#10;Jc4zXTIFWhT0LBy9X33+tGxNLu6gAlUKS7CIdnlrClp5b/IkcbwSDXMjMEJjUIJtmEfXHpLSshar&#10;Nyq5S9NZ0oItjQUunMPTxz5IV7G+lIL7Zymd8EQVFN/m42rjug9rslqy/GCZqWo+PIP9wysaVmts&#10;ei31yDwjR1v/UaqpuQUH0o84NAlIWXMRZ8BpsvTDNLuKGRFnQXCcucLk/l9Z/nTamRdLfPcVOiQw&#10;ANIalzs8DPN00jZhx5cSjCOE5ytsovOE4+F0kS7GkyklHGPZZDHP5hHY5HbdWOe/CWhIMApqkZcI&#10;FzttnceWmHpJCd00bGqlIjdKk7ags/E0jReuEbyhNF68PTZYvtt3wwR7KM84mIWec2f4psbmW+b8&#10;C7NIMs6CwvXPuEgF2AQGi5IK7K+/nYd8xB6jlLQomoK6n0dmBSXqu0ZWxrM0DSqLzhz1iY6NDhr7&#10;aEwneIqePjYPgKLM8H8YHs2Q7NXFlBaaNxT3OrTEENMcGxfUX8wH3+sYPwcX63VMQlEZ5rd6Z3go&#10;HbAMuL52b8yaAXyPvD3BRVss/8BBn9uzsD56kHUkKKDbQzqAjoKMvA2fJyj+vR+zbl989RsAAP//&#10;AwBQSwMEFAAGAAgAAAAhAMal7TbeAAAACgEAAA8AAABkcnMvZG93bnJldi54bWxMj8tOwzAQRfdI&#10;/IM1SOxau6WkaYhTISRYdUOBrt14Gkf4EdlOm/49wwqWM3N059x6OznLzhhTH7yExVwAQ98G3ftO&#10;wufH66wElrLyWtngUcIVE2yb25taVTpc/Due97ljFOJTpSSYnIeK89QadCrNw4CebqcQnco0xo7r&#10;qC4U7ixfClFwp3pPH4wa8MVg+70fnYRR4850j87Gt69xSmPcHZbXUsr7u+n5CVjGKf/B8KtP6tCQ&#10;0zGMXidmJcyKFZG0XxdrYARsRPkA7ChhtRAb4E3N/1dofgAAAP//AwBQSwECLQAUAAYACAAAACEA&#10;toM4kv4AAADhAQAAEwAAAAAAAAAAAAAAAAAAAAAAW0NvbnRlbnRfVHlwZXNdLnhtbFBLAQItABQA&#10;BgAIAAAAIQA4/SH/1gAAAJQBAAALAAAAAAAAAAAAAAAAAC8BAABfcmVscy8ucmVsc1BLAQItABQA&#10;BgAIAAAAIQDhA/RqHAIAACoEAAAOAAAAAAAAAAAAAAAAAC4CAABkcnMvZTJvRG9jLnhtbFBLAQIt&#10;ABQABgAIAAAAIQDGpe023gAAAAoBAAAPAAAAAAAAAAAAAAAAAHYEAABkcnMvZG93bnJldi54bWxQ&#10;SwUGAAAAAAQABADzAAAAgQUAAAAA&#10;">
                <v:textbox inset="1mm,2mm,0,15mm">
                  <w:txbxContent>
                    <w:p w:rsidRPr="009F4105" w:rsidR="00B349E3" w:rsidP="00296A94" w:rsidRDefault="00F94636" w14:paraId="3ACA6682" w14:textId="7E0B1A5C">
                      <w:pPr>
                        <w:pStyle w:val="Subtitle"/>
                        <w:rPr>
                          <w:color w:val="2C9986" w:themeColor="accent4"/>
                          <w:sz w:val="48"/>
                          <w:szCs w:val="48"/>
                        </w:rPr>
                      </w:pPr>
                      <w:r w:rsidRPr="00F94636">
                        <w:rPr>
                          <w:color w:val="2C9986" w:themeColor="accent4"/>
                          <w:sz w:val="48"/>
                          <w:szCs w:val="48"/>
                        </w:rPr>
                        <w:t>Whakahaere ahumoana</w:t>
                      </w:r>
                      <w:r w:rsidR="00B61B3A">
                        <w:rPr>
                          <w:color w:val="1B556B" w:themeColor="text2"/>
                          <w:sz w:val="48"/>
                          <w:szCs w:val="48"/>
                        </w:rPr>
                        <w:br/>
                      </w:r>
                      <w:r w:rsidRPr="00502521" w:rsidR="00502521">
                        <w:rPr>
                          <w:color w:val="1B556B" w:themeColor="text2"/>
                          <w:sz w:val="48"/>
                          <w:szCs w:val="48"/>
                        </w:rPr>
                        <w:t>Aquaculture management</w:t>
                      </w:r>
                    </w:p>
                  </w:txbxContent>
                </v:textbox>
                <w10:wrap type="topAndBottom"/>
              </v:shape>
            </w:pict>
          </mc:Fallback>
        </mc:AlternateContent>
      </w:r>
      <w:r w:rsidR="00721893">
        <w:rPr>
          <w:noProof/>
        </w:rPr>
        <mc:AlternateContent>
          <mc:Choice Requires="wps">
            <w:drawing>
              <wp:anchor distT="45720" distB="45720" distL="114300" distR="114300" simplePos="0" relativeHeight="251658243" behindDoc="0" locked="0" layoutInCell="1" allowOverlap="1" wp14:anchorId="4DEC8DBD" wp14:editId="0F6E427D">
                <wp:simplePos x="0" y="0"/>
                <wp:positionH relativeFrom="column">
                  <wp:posOffset>3693779</wp:posOffset>
                </wp:positionH>
                <wp:positionV relativeFrom="page">
                  <wp:posOffset>349250</wp:posOffset>
                </wp:positionV>
                <wp:extent cx="2408555" cy="71247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712470"/>
                        </a:xfrm>
                        <a:prstGeom prst="rect">
                          <a:avLst/>
                        </a:prstGeom>
                        <a:noFill/>
                        <a:ln w="9525">
                          <a:noFill/>
                          <a:miter lim="800000"/>
                          <a:headEnd/>
                          <a:tailEnd/>
                        </a:ln>
                      </wps:spPr>
                      <wps:txbx>
                        <w:txbxContent>
                          <w:p w14:paraId="3D10EA6F" w14:textId="5D96A361" w:rsidR="007A383E" w:rsidRPr="00721893" w:rsidRDefault="007A383E" w:rsidP="00DA500C">
                            <w:pPr>
                              <w:pStyle w:val="Headerinfo"/>
                              <w:rPr>
                                <w:b/>
                              </w:rPr>
                            </w:pPr>
                            <w:r w:rsidRPr="00721893">
                              <w:t>The new resource management system:</w:t>
                            </w:r>
                            <w:r w:rsidRPr="00721893">
                              <w:br/>
                              <w:t>Natural and Built Environment Act</w:t>
                            </w:r>
                            <w:r w:rsidR="00DC6464">
                              <w:t xml:space="preserve"> 2023</w:t>
                            </w:r>
                            <w:r w:rsidRPr="00721893">
                              <w:br/>
                              <w:t>and Spatial Planning Act 2023</w:t>
                            </w:r>
                          </w:p>
                          <w:p w14:paraId="4CFE7685" w14:textId="77777777" w:rsidR="007A383E" w:rsidRDefault="007A383E" w:rsidP="007A38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1C405AA5">
              <v:shape id="Text Box 217" style="position:absolute;margin-left:290.85pt;margin-top:27.5pt;width:189.65pt;height:56.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f8+wEAANQDAAAOAAAAZHJzL2Uyb0RvYy54bWysU11v2yAUfZ+0/4B4X+xY8ZJacaquXadJ&#10;3YfU7QdgjGM04DIgsbNfvwt202h9q+YHdOH6Hu4597C9HrUiR+G8BFPT5SKnRBgOrTT7mv78cf9u&#10;Q4kPzLRMgRE1PQlPr3dv32wHW4kCelCtcARBjK8GW9M+BFtlmee90MwvwAqDyQ6cZgG3bp+1jg2I&#10;rlVW5Pn7bADXWgdceI+nd1OS7hJ+1wkevnWdF4GommJvIa0urU1cs92WVXvHbC/53AZ7RReaSYOX&#10;nqHuWGDk4OQLKC25Aw9dWHDQGXSd5CJxQDbL/B82jz2zInFBcbw9y+T/Hyz/eny03x0J4wcYcYCJ&#10;hLcPwH95YuC2Z2YvbpyDoResxYuXUbJssL6aS6PUvvIRpBm+QItDZocACWjsnI6qIE+C6DiA01l0&#10;MQbC8bBY5ZuyLCnhmFsvi9U6TSVj1VO1dT58EqBJDGrqcKgJnR0ffIjdsOrpl3iZgXupVBqsMmSo&#10;6VVZlKngIqNlQN8pqWu6yeM3OSGS/GjaVByYVFOMFygzs45EJ8phbEYi21mSKEID7QllcDDZDJ8F&#10;Bj24P5QMaLGa+t8H5gQl6rNBKa+Wq1X0ZNqsynWBG3eZaS4zzHCEqmmgZApvQ/LxRPkGJe9kUuO5&#10;k7lltE4SabZ59OblPv31/Bh3fwEAAP//AwBQSwMEFAAGAAgAAAAhAN8zKQHdAAAACgEAAA8AAABk&#10;cnMvZG93bnJldi54bWxMj8FOwzAQRO9I/IO1SNyonYqkbYhTIRBXKtqCxM2Nt0lEvI5itwl/z/ZE&#10;bzPap9mZYj25TpxxCK0nDclMgUCqvG2p1rDfvT0sQYRoyJrOE2r4xQDr8vamMLn1I33geRtrwSEU&#10;cqOhibHPpQxVg86Eme+R+Hb0gzOR7VBLO5iRw10n50pl0pmW+ENjenxpsPrZnpyGz/fj99ej2tSv&#10;Lu1HPylJbiW1vr+bnp9ARJziPwyX+lwdSu508CeyQXQa0mWyYJRFypsYWGUJiwOT2WIOsizk9YTy&#10;DwAA//8DAFBLAQItABQABgAIAAAAIQC2gziS/gAAAOEBAAATAAAAAAAAAAAAAAAAAAAAAABbQ29u&#10;dGVudF9UeXBlc10ueG1sUEsBAi0AFAAGAAgAAAAhADj9If/WAAAAlAEAAAsAAAAAAAAAAAAAAAAA&#10;LwEAAF9yZWxzLy5yZWxzUEsBAi0AFAAGAAgAAAAhAMZBB/z7AQAA1AMAAA4AAAAAAAAAAAAAAAAA&#10;LgIAAGRycy9lMm9Eb2MueG1sUEsBAi0AFAAGAAgAAAAhAN8zKQHdAAAACgEAAA8AAAAAAAAAAAAA&#10;AAAAVQQAAGRycy9kb3ducmV2LnhtbFBLBQYAAAAABAAEAPMAAABfBQAAAAA=&#10;" w14:anchorId="4DEC8DBD">
                <v:textbox>
                  <w:txbxContent>
                    <w:p w:rsidRPr="00721893" w:rsidR="007A383E" w:rsidP="00DA500C" w:rsidRDefault="007A383E" w14:paraId="18C7DB12" w14:textId="5D96A361">
                      <w:pPr>
                        <w:pStyle w:val="Headerinfo"/>
                        <w:rPr>
                          <w:b/>
                        </w:rPr>
                      </w:pPr>
                      <w:r w:rsidRPr="00721893">
                        <w:t>The new resource management system:</w:t>
                      </w:r>
                      <w:r w:rsidRPr="00721893">
                        <w:br/>
                      </w:r>
                      <w:r w:rsidRPr="00721893">
                        <w:t>Natural and Built Environment Act</w:t>
                      </w:r>
                      <w:r w:rsidR="00DC6464">
                        <w:t xml:space="preserve"> 2023</w:t>
                      </w:r>
                      <w:r w:rsidRPr="00721893">
                        <w:br/>
                      </w:r>
                      <w:r w:rsidRPr="00721893">
                        <w:t>and Spatial Planning Act 2023</w:t>
                      </w:r>
                    </w:p>
                    <w:p w:rsidR="007A383E" w:rsidP="007A383E" w:rsidRDefault="007A383E" w14:paraId="672A6659" w14:textId="77777777"/>
                  </w:txbxContent>
                </v:textbox>
                <w10:wrap type="square" anchory="page"/>
              </v:shape>
            </w:pict>
          </mc:Fallback>
        </mc:AlternateContent>
      </w:r>
      <w:r w:rsidR="005C7862">
        <w:rPr>
          <w:rFonts w:asciiTheme="minorHAnsi" w:hAnsiTheme="minorHAnsi" w:cstheme="minorHAnsi"/>
          <w:noProof/>
          <w:color w:val="FFFFFF" w:themeColor="background1"/>
        </w:rPr>
        <w:drawing>
          <wp:anchor distT="0" distB="0" distL="114300" distR="114300" simplePos="0" relativeHeight="251658242" behindDoc="1" locked="0" layoutInCell="1" allowOverlap="1" wp14:anchorId="4EB9157D" wp14:editId="0B08B977">
            <wp:simplePos x="0" y="0"/>
            <wp:positionH relativeFrom="page">
              <wp:posOffset>8115</wp:posOffset>
            </wp:positionH>
            <wp:positionV relativeFrom="paragraph">
              <wp:posOffset>-737080</wp:posOffset>
            </wp:positionV>
            <wp:extent cx="7543165" cy="1352550"/>
            <wp:effectExtent l="0" t="0" r="635"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7543165"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85D2D1" w14:textId="77777777" w:rsidR="00907DDA" w:rsidRPr="00AB15C5" w:rsidRDefault="008619F9" w:rsidP="00AB15C5">
      <w:pPr>
        <w:pStyle w:val="BodyText"/>
      </w:pPr>
      <w:r w:rsidRPr="00AB15C5">
        <w:t>New laws are being phased in that aim to help Aotearoa New Zealand protect and manage the environment and its resources. The Spatial Planning Act 2023 (SPA) and the Natural and Built Environment Act 2023 (NBA) were enacted on 23 August 2023.</w:t>
      </w:r>
    </w:p>
    <w:p w14:paraId="60A6640E" w14:textId="5029262D" w:rsidR="0087784C" w:rsidRDefault="0087784C" w:rsidP="0087784C">
      <w:pPr>
        <w:pStyle w:val="BodyText"/>
      </w:pPr>
      <w:r>
        <w:t>During the transition to the new resource management system</w:t>
      </w:r>
      <w:r w:rsidR="00EE3111">
        <w:t>,</w:t>
      </w:r>
      <w:r>
        <w:t xml:space="preserve"> </w:t>
      </w:r>
      <w:proofErr w:type="gramStart"/>
      <w:r>
        <w:t>a number of</w:t>
      </w:r>
      <w:proofErr w:type="gramEnd"/>
      <w:r>
        <w:t xml:space="preserve"> changes are implemented to the Resource Management Act 1991 (RMA) in respect of aquaculture management. Some come into effect the day after Royal </w:t>
      </w:r>
      <w:r w:rsidR="00540FAB">
        <w:t>a</w:t>
      </w:r>
      <w:r>
        <w:t>ssent.</w:t>
      </w:r>
    </w:p>
    <w:p w14:paraId="7E789E77" w14:textId="034BC7F5" w:rsidR="0087784C" w:rsidRDefault="0087784C" w:rsidP="0087784C">
      <w:pPr>
        <w:pStyle w:val="Heading2"/>
      </w:pPr>
      <w:r>
        <w:t>This factsheet covers:</w:t>
      </w:r>
    </w:p>
    <w:p w14:paraId="74642B78" w14:textId="7BE747BD" w:rsidR="0087784C" w:rsidRDefault="0087784C" w:rsidP="009F4105">
      <w:pPr>
        <w:pStyle w:val="Bullet"/>
        <w:spacing w:before="120"/>
      </w:pPr>
      <w:r>
        <w:t xml:space="preserve">mapping changes to aquaculture settlement areas </w:t>
      </w:r>
    </w:p>
    <w:p w14:paraId="41E49EB1" w14:textId="18BB22F0" w:rsidR="0087784C" w:rsidRDefault="0087784C" w:rsidP="0087784C">
      <w:pPr>
        <w:pStyle w:val="Bullet"/>
      </w:pPr>
      <w:r>
        <w:t xml:space="preserve">the Minister of Aquaculture’s power to suspend consent </w:t>
      </w:r>
      <w:proofErr w:type="gramStart"/>
      <w:r>
        <w:t>applications</w:t>
      </w:r>
      <w:proofErr w:type="gramEnd"/>
      <w:r>
        <w:t xml:space="preserve"> </w:t>
      </w:r>
    </w:p>
    <w:p w14:paraId="7AA8CF21" w14:textId="25F540FC" w:rsidR="0087784C" w:rsidRDefault="0087784C" w:rsidP="0087784C">
      <w:pPr>
        <w:pStyle w:val="Bullet"/>
      </w:pPr>
      <w:r>
        <w:t xml:space="preserve">the Minister of Aquaculture’s power to make </w:t>
      </w:r>
      <w:proofErr w:type="gramStart"/>
      <w:r>
        <w:t>regulations</w:t>
      </w:r>
      <w:proofErr w:type="gramEnd"/>
    </w:p>
    <w:p w14:paraId="391F153B" w14:textId="45B07513" w:rsidR="0087784C" w:rsidRDefault="0087784C" w:rsidP="0087784C">
      <w:pPr>
        <w:pStyle w:val="Bullet"/>
      </w:pPr>
      <w:r>
        <w:t>the Minister of Aquaculture</w:t>
      </w:r>
      <w:r w:rsidR="00040030">
        <w:t xml:space="preserve">’s ability to </w:t>
      </w:r>
      <w:r>
        <w:t xml:space="preserve">make decisions on allocation of aquaculture space. </w:t>
      </w:r>
    </w:p>
    <w:p w14:paraId="21BC9261" w14:textId="77777777" w:rsidR="0087784C" w:rsidRDefault="0087784C" w:rsidP="0087784C">
      <w:pPr>
        <w:pStyle w:val="Heading2"/>
      </w:pPr>
      <w:r>
        <w:t xml:space="preserve">Mapping changes to aquaculture settlement areas </w:t>
      </w:r>
    </w:p>
    <w:p w14:paraId="5A48564C" w14:textId="77777777" w:rsidR="0087784C" w:rsidRDefault="0087784C" w:rsidP="0087784C">
      <w:pPr>
        <w:pStyle w:val="BodyText"/>
      </w:pPr>
      <w:r>
        <w:t>Under the Māori Commercial Aquaculture Claims Settlement Act 2004 (the Settlement Act), the Minister for Oceans and Fisheries can gazette aquaculture settlement areas for the purpose of preserving space. Resulting changes to aquaculture settlement areas must now be reflected in proposed or operative regional coastal plans.</w:t>
      </w:r>
    </w:p>
    <w:p w14:paraId="038836D2" w14:textId="77777777" w:rsidR="0087784C" w:rsidRDefault="0087784C" w:rsidP="0087784C">
      <w:pPr>
        <w:pStyle w:val="BodyText"/>
      </w:pPr>
      <w:r>
        <w:t xml:space="preserve">Where new aquaculture settlement areas have been established or changes made to existing areas, regional councils must amend the maps in proposed or operative regional coastal plans to reflect this as soon as possible, without using the RMA Schedule 1 plan change process. </w:t>
      </w:r>
    </w:p>
    <w:p w14:paraId="1BABBF5A" w14:textId="3D079E4D" w:rsidR="0087784C" w:rsidRDefault="0087784C" w:rsidP="0087784C">
      <w:pPr>
        <w:pStyle w:val="BodyText"/>
      </w:pPr>
      <w:r>
        <w:t>It is important maps are kept up to date to ensure people are aware of the aquaculture settlement areas, given the restrictions that apply within them.</w:t>
      </w:r>
    </w:p>
    <w:p w14:paraId="47CF9C78" w14:textId="77777777" w:rsidR="00E37332" w:rsidRDefault="00E37332">
      <w:pPr>
        <w:spacing w:before="0" w:after="0" w:line="240" w:lineRule="auto"/>
        <w:jc w:val="left"/>
        <w:rPr>
          <w:rFonts w:ascii="Georgia" w:eastAsiaTheme="majorEastAsia" w:hAnsi="Georgia" w:cstheme="majorBidi"/>
          <w:b/>
          <w:bCs/>
          <w:color w:val="1B556B"/>
          <w:sz w:val="32"/>
          <w:szCs w:val="26"/>
        </w:rPr>
      </w:pPr>
      <w:r>
        <w:br w:type="page"/>
      </w:r>
    </w:p>
    <w:p w14:paraId="26D8A7DA" w14:textId="25C3137E" w:rsidR="0087784C" w:rsidRDefault="0087784C" w:rsidP="0087784C">
      <w:pPr>
        <w:pStyle w:val="Heading2"/>
      </w:pPr>
      <w:r>
        <w:lastRenderedPageBreak/>
        <w:t xml:space="preserve">The Minister of Aquaculture’s power to suspend consent </w:t>
      </w:r>
      <w:proofErr w:type="gramStart"/>
      <w:r>
        <w:t>applications</w:t>
      </w:r>
      <w:proofErr w:type="gramEnd"/>
      <w:r>
        <w:t xml:space="preserve"> </w:t>
      </w:r>
    </w:p>
    <w:p w14:paraId="60AC2CF6" w14:textId="77777777" w:rsidR="0087784C" w:rsidRDefault="0087784C" w:rsidP="0087784C">
      <w:pPr>
        <w:pStyle w:val="BodyText"/>
      </w:pPr>
      <w:r>
        <w:t>The Minister of Aquaculture (currently the Minister for Oceans and Fisheries) has greater power to suspend consent applications for aquaculture. Suspensions can now be put in place to manage an actual or emerging biosecurity concern or to help the Crown uphold obligations under the Settlement Act. The Minister can also initiate a suspension on their own initiative or at the request of a regional council.</w:t>
      </w:r>
    </w:p>
    <w:p w14:paraId="36ECF36D" w14:textId="77777777" w:rsidR="0087784C" w:rsidRDefault="0087784C" w:rsidP="0087784C">
      <w:pPr>
        <w:pStyle w:val="BodyText"/>
      </w:pPr>
      <w:r>
        <w:t xml:space="preserve">There is still the ability to put suspensions in place where there is high or competing demand for space, as was previously the case. </w:t>
      </w:r>
    </w:p>
    <w:p w14:paraId="2218A6EB" w14:textId="01C444F5" w:rsidR="0087784C" w:rsidRDefault="0087784C" w:rsidP="0087784C">
      <w:pPr>
        <w:pStyle w:val="BodyText"/>
      </w:pPr>
      <w:r>
        <w:t>Suspensions are put in place using a Gazette notice. Before a decision is made, the Minister must consult with the regional council and the Minister of Conservation</w:t>
      </w:r>
      <w:r w:rsidR="00B80DDB">
        <w:t>,</w:t>
      </w:r>
      <w:r>
        <w:t xml:space="preserve"> as well as any other people or organisations as appropriate.</w:t>
      </w:r>
    </w:p>
    <w:p w14:paraId="6E0542CA" w14:textId="23616B2E" w:rsidR="0087784C" w:rsidRDefault="0087784C" w:rsidP="00E37332">
      <w:pPr>
        <w:pStyle w:val="Heading2"/>
      </w:pPr>
      <w:r>
        <w:t xml:space="preserve">The Minister of Aquaculture’s power to make </w:t>
      </w:r>
      <w:proofErr w:type="gramStart"/>
      <w:r>
        <w:t>regulations</w:t>
      </w:r>
      <w:proofErr w:type="gramEnd"/>
    </w:p>
    <w:p w14:paraId="5AE0334C" w14:textId="77777777" w:rsidR="0087784C" w:rsidRDefault="0087784C" w:rsidP="0087784C">
      <w:pPr>
        <w:pStyle w:val="BodyText"/>
      </w:pPr>
      <w:r>
        <w:t>Changes have been made to the Minister of Aquaculture’s power to recommend new regulations for amending aquaculture plan provisions (the aquaculture regulation-making power).</w:t>
      </w:r>
    </w:p>
    <w:p w14:paraId="78A94172" w14:textId="77777777" w:rsidR="0087784C" w:rsidRDefault="0087784C" w:rsidP="00E37332">
      <w:pPr>
        <w:pStyle w:val="Heading4"/>
      </w:pPr>
      <w:r>
        <w:t>Establishing allocation regimes for aquaculture</w:t>
      </w:r>
    </w:p>
    <w:p w14:paraId="1040B22C" w14:textId="144D860B" w:rsidR="0087784C" w:rsidRDefault="0087784C" w:rsidP="0087784C">
      <w:pPr>
        <w:pStyle w:val="BodyText"/>
      </w:pPr>
      <w:r>
        <w:t>The aquaculture regulation-making power can now be used to amend plans to establish a process for allocating authorisations (that is, the exclusive right to apply for a consent for aquaculture). In doing this, the Minister can also specify that they</w:t>
      </w:r>
      <w:r w:rsidR="00A502C2">
        <w:t xml:space="preserve"> (</w:t>
      </w:r>
      <w:r w:rsidR="004F2F48">
        <w:t>the Minister)</w:t>
      </w:r>
      <w:r>
        <w:t xml:space="preserve">, rather than the regional council, </w:t>
      </w:r>
      <w:r w:rsidR="00EE3111">
        <w:t xml:space="preserve">are </w:t>
      </w:r>
      <w:r>
        <w:t>responsible for making decisions on allocation offers.</w:t>
      </w:r>
    </w:p>
    <w:p w14:paraId="20BDD575" w14:textId="77777777" w:rsidR="0087784C" w:rsidRDefault="0087784C" w:rsidP="00E37332">
      <w:pPr>
        <w:pStyle w:val="Heading4"/>
      </w:pPr>
      <w:r>
        <w:t>Improved connections with the Marine and Coastal Area (</w:t>
      </w:r>
      <w:proofErr w:type="spellStart"/>
      <w:r>
        <w:t>Takutai</w:t>
      </w:r>
      <w:proofErr w:type="spellEnd"/>
      <w:r>
        <w:t xml:space="preserve"> Moana) Act</w:t>
      </w:r>
    </w:p>
    <w:p w14:paraId="2DB2B15D" w14:textId="77777777" w:rsidR="0087784C" w:rsidRDefault="0087784C" w:rsidP="0087784C">
      <w:pPr>
        <w:pStyle w:val="BodyText"/>
      </w:pPr>
      <w:r>
        <w:t>The Minister must now consult with any customary marine title group and applicant group in the area affected by the plan before recommending new regulations. The Marine and Coastal Area (</w:t>
      </w:r>
      <w:proofErr w:type="spellStart"/>
      <w:r>
        <w:t>Takutai</w:t>
      </w:r>
      <w:proofErr w:type="spellEnd"/>
      <w:r>
        <w:t xml:space="preserve"> Moana) Act 2011 has been amended to enable customary marine title groups to develop and lodge planning documents with the Minister, and the Minister must consider any documents lodged with them or the regional council before decisions are made.</w:t>
      </w:r>
    </w:p>
    <w:p w14:paraId="460C9F35" w14:textId="248C10CF" w:rsidR="0087784C" w:rsidRDefault="0087784C" w:rsidP="00E37332">
      <w:pPr>
        <w:pStyle w:val="Heading2"/>
      </w:pPr>
      <w:r>
        <w:t>The Minister of Aquaculture</w:t>
      </w:r>
      <w:r w:rsidR="00040030">
        <w:t>’s ability to</w:t>
      </w:r>
      <w:r>
        <w:t xml:space="preserve"> make decisions on allocation of aquaculture </w:t>
      </w:r>
      <w:proofErr w:type="gramStart"/>
      <w:r>
        <w:t>space</w:t>
      </w:r>
      <w:proofErr w:type="gramEnd"/>
      <w:r>
        <w:t xml:space="preserve"> </w:t>
      </w:r>
    </w:p>
    <w:p w14:paraId="6D449BA7" w14:textId="77777777" w:rsidR="0087784C" w:rsidRDefault="0087784C" w:rsidP="0087784C">
      <w:pPr>
        <w:pStyle w:val="BodyText"/>
      </w:pPr>
      <w:r>
        <w:t>There are now situations where the Minister of Aquaculture can make decisions on allocating space for aquaculture, rather than regional councils (as discussed above). Part 7A of the RMA has been amended to enable this.</w:t>
      </w:r>
    </w:p>
    <w:p w14:paraId="347AA457" w14:textId="77777777" w:rsidR="00501011" w:rsidRDefault="00501011" w:rsidP="00F5746A">
      <w:pPr>
        <w:pStyle w:val="BodyText"/>
      </w:pPr>
    </w:p>
    <w:p w14:paraId="0EBF6193" w14:textId="5FFF6B01" w:rsidR="00501011" w:rsidRDefault="00501011" w:rsidP="00F5746A">
      <w:pPr>
        <w:pStyle w:val="BodyText"/>
        <w:sectPr w:rsidR="00501011" w:rsidSect="007A5E15">
          <w:headerReference w:type="even" r:id="rId13"/>
          <w:headerReference w:type="default" r:id="rId14"/>
          <w:footerReference w:type="even" r:id="rId15"/>
          <w:footerReference w:type="default" r:id="rId16"/>
          <w:headerReference w:type="first" r:id="rId17"/>
          <w:footerReference w:type="first" r:id="rId18"/>
          <w:pgSz w:w="11907" w:h="16840" w:code="9"/>
          <w:pgMar w:top="1134" w:right="1418" w:bottom="1134" w:left="1418" w:header="571" w:footer="727" w:gutter="0"/>
          <w:cols w:space="720"/>
          <w:titlePg/>
          <w:docGrid w:linePitch="299"/>
        </w:sectPr>
      </w:pPr>
    </w:p>
    <w:p w14:paraId="55384252" w14:textId="0D65F139" w:rsidR="00D40A91" w:rsidRDefault="00D40A91" w:rsidP="00D40A91">
      <w:pPr>
        <w:pStyle w:val="BodyText"/>
        <w:keepNext/>
        <w:keepLines/>
      </w:pPr>
      <w:r>
        <w:lastRenderedPageBreak/>
        <w:t>The requirements on the Minister mirror those of regional councils, including:</w:t>
      </w:r>
    </w:p>
    <w:p w14:paraId="6A5520D9" w14:textId="7D3A3CC6" w:rsidR="00D40A91" w:rsidRDefault="00EE3111" w:rsidP="00D40A91">
      <w:pPr>
        <w:pStyle w:val="Bullet"/>
        <w:keepNext/>
        <w:keepLines/>
      </w:pPr>
      <w:r>
        <w:t xml:space="preserve">that </w:t>
      </w:r>
      <w:r w:rsidR="00D40A91">
        <w:t>the Minister must give public notice of any offer of authorisations for aquaculture space</w:t>
      </w:r>
    </w:p>
    <w:p w14:paraId="5EDA1599" w14:textId="77777777" w:rsidR="00D40A91" w:rsidRDefault="00D40A91" w:rsidP="00D40A91">
      <w:pPr>
        <w:pStyle w:val="Bullet"/>
        <w:keepNext/>
        <w:keepLines/>
      </w:pPr>
      <w:r>
        <w:t xml:space="preserve">the public notice must address specific </w:t>
      </w:r>
      <w:proofErr w:type="gramStart"/>
      <w:r>
        <w:t>matters</w:t>
      </w:r>
      <w:proofErr w:type="gramEnd"/>
    </w:p>
    <w:p w14:paraId="6F7B7694" w14:textId="1CD636CE" w:rsidR="00D40A91" w:rsidRDefault="00D40A91" w:rsidP="00D40A91">
      <w:pPr>
        <w:pStyle w:val="Bullet"/>
        <w:keepNext/>
        <w:keepLines/>
      </w:pPr>
      <w:r>
        <w:t xml:space="preserve">ensuring preferential rights to authorisations given to iwi through historic </w:t>
      </w:r>
      <w:proofErr w:type="spellStart"/>
      <w:r w:rsidR="00EE3111">
        <w:t>te</w:t>
      </w:r>
      <w:proofErr w:type="spellEnd"/>
      <w:r w:rsidR="00EE3111">
        <w:t xml:space="preserve"> </w:t>
      </w:r>
      <w:proofErr w:type="spellStart"/>
      <w:r w:rsidR="00EE3111">
        <w:t>Tiriti</w:t>
      </w:r>
      <w:proofErr w:type="spellEnd"/>
      <w:r w:rsidR="00EE3111">
        <w:t xml:space="preserve"> o Waitangi | </w:t>
      </w:r>
      <w:r>
        <w:t>Treaty</w:t>
      </w:r>
      <w:r w:rsidR="00EE3111">
        <w:t xml:space="preserve"> of Waitangi</w:t>
      </w:r>
      <w:r>
        <w:t xml:space="preserve"> settlements are </w:t>
      </w:r>
      <w:proofErr w:type="gramStart"/>
      <w:r>
        <w:t>upheld</w:t>
      </w:r>
      <w:proofErr w:type="gramEnd"/>
    </w:p>
    <w:p w14:paraId="6E811076" w14:textId="77777777" w:rsidR="00D40A91" w:rsidRDefault="00D40A91" w:rsidP="00D40A91">
      <w:pPr>
        <w:pStyle w:val="Bullet"/>
      </w:pPr>
      <w:r>
        <w:t xml:space="preserve">if the Minister accepts an offer, they must direct the regional council to grant an authorisation to the </w:t>
      </w:r>
      <w:proofErr w:type="gramStart"/>
      <w:r>
        <w:t>person</w:t>
      </w:r>
      <w:proofErr w:type="gramEnd"/>
    </w:p>
    <w:p w14:paraId="6FC6E505" w14:textId="42EBA50B" w:rsidR="00FA0C86" w:rsidRDefault="00D40A91" w:rsidP="00D1660E">
      <w:pPr>
        <w:pStyle w:val="Bullet"/>
      </w:pPr>
      <w:r>
        <w:t>any tender money received continues to be split 50/50 between the council and the Crown.</w:t>
      </w:r>
      <w:r w:rsidR="006239DF">
        <w:rPr>
          <w:noProof/>
        </w:rPr>
        <mc:AlternateContent>
          <mc:Choice Requires="wps">
            <w:drawing>
              <wp:anchor distT="0" distB="0" distL="114300" distR="114300" simplePos="0" relativeHeight="251658241" behindDoc="0" locked="1" layoutInCell="1" allowOverlap="1" wp14:anchorId="321757F2" wp14:editId="29CDCAD8">
                <wp:simplePos x="0" y="0"/>
                <wp:positionH relativeFrom="column">
                  <wp:posOffset>-16510</wp:posOffset>
                </wp:positionH>
                <wp:positionV relativeFrom="page">
                  <wp:posOffset>6496050</wp:posOffset>
                </wp:positionV>
                <wp:extent cx="5835650" cy="399415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5835650" cy="3994150"/>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6"/>
                              <w:gridCol w:w="3579"/>
                            </w:tblGrid>
                            <w:tr w:rsidR="006E7652" w14:paraId="6823FB2C" w14:textId="77777777" w:rsidTr="003E465B">
                              <w:trPr>
                                <w:cnfStyle w:val="100000000000" w:firstRow="1" w:lastRow="0" w:firstColumn="0" w:lastColumn="0" w:oddVBand="0" w:evenVBand="0" w:oddHBand="0" w:evenHBand="0" w:firstRowFirstColumn="0" w:firstRowLastColumn="0" w:lastRowFirstColumn="0" w:lastRowLastColumn="0"/>
                              </w:trPr>
                              <w:tc>
                                <w:tcPr>
                                  <w:tcW w:w="9185" w:type="dxa"/>
                                  <w:gridSpan w:val="2"/>
                                  <w:tcBorders>
                                    <w:bottom w:val="single" w:sz="4" w:space="0" w:color="auto"/>
                                  </w:tcBorders>
                                  <w:shd w:val="clear" w:color="auto" w:fill="FFFFFF" w:themeFill="background1"/>
                                </w:tcPr>
                                <w:p w14:paraId="0B9F1479" w14:textId="77777777" w:rsidR="006E7652" w:rsidRPr="0002270C" w:rsidRDefault="006E7652" w:rsidP="006E7652">
                                  <w:pPr>
                                    <w:pStyle w:val="TableText"/>
                                    <w:rPr>
                                      <w:b/>
                                      <w:bCs/>
                                    </w:rPr>
                                  </w:pPr>
                                  <w:r w:rsidRPr="0002270C">
                                    <w:rPr>
                                      <w:b/>
                                      <w:bCs/>
                                    </w:rPr>
                                    <w:t>Disclaimer</w:t>
                                  </w:r>
                                </w:p>
                                <w:p w14:paraId="70E1263E" w14:textId="77777777" w:rsidR="006E7652" w:rsidRDefault="006E7652" w:rsidP="006E7652">
                                  <w:pPr>
                                    <w:pStyle w:val="TableText"/>
                                  </w:pPr>
                                  <w:r>
                                    <w:t>The information in this publication is, according to the Ministry for the Environment’s best efforts, accurate at the time of publication. The Ministry will make every reasonable effort to keep it current and accurate. However, users of this publication are advised that:</w:t>
                                  </w:r>
                                </w:p>
                                <w:p w14:paraId="088512E3" w14:textId="400BA1AF" w:rsidR="006E7652" w:rsidRDefault="006E7652" w:rsidP="00E03E02">
                                  <w:pPr>
                                    <w:pStyle w:val="TableBullet"/>
                                    <w:spacing w:before="60"/>
                                  </w:pPr>
                                  <w:r>
                                    <w:t xml:space="preserve">The information provided has no official status and so does not alter the laws of New Zealand, other official </w:t>
                                  </w:r>
                                  <w:proofErr w:type="gramStart"/>
                                  <w:r>
                                    <w:t>guidelines</w:t>
                                  </w:r>
                                  <w:proofErr w:type="gramEnd"/>
                                  <w:r>
                                    <w:t xml:space="preserve"> or requirements.</w:t>
                                  </w:r>
                                </w:p>
                                <w:p w14:paraId="74323367" w14:textId="40CBFEF3" w:rsidR="006E7652" w:rsidRDefault="006E7652" w:rsidP="00E03E02">
                                  <w:pPr>
                                    <w:pStyle w:val="TableBullet"/>
                                  </w:pPr>
                                  <w:r>
                                    <w:t xml:space="preserve">It does not constitute legal advice, and users should take specific advice from qualified professionals before taking any action </w:t>
                                  </w:r>
                                  <w:proofErr w:type="gramStart"/>
                                  <w:r>
                                    <w:t>as a result of</w:t>
                                  </w:r>
                                  <w:proofErr w:type="gramEnd"/>
                                  <w:r>
                                    <w:t xml:space="preserve"> information obtained from this publication.</w:t>
                                  </w:r>
                                </w:p>
                                <w:p w14:paraId="44EAE550" w14:textId="4A0A03B3" w:rsidR="006E7652" w:rsidRDefault="006E7652" w:rsidP="00E03E02">
                                  <w:pPr>
                                    <w:pStyle w:val="TableBullet"/>
                                  </w:pPr>
                                  <w:r>
                                    <w:t xml:space="preserve">The Ministry for the Environment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provided in this publication.</w:t>
                                  </w:r>
                                </w:p>
                                <w:p w14:paraId="026C0150" w14:textId="1D1C4561" w:rsidR="006E7652" w:rsidRDefault="006E7652" w:rsidP="00E03E02">
                                  <w:pPr>
                                    <w:pStyle w:val="TableBullet"/>
                                  </w:pPr>
                                  <w:r>
                                    <w:t xml:space="preserve">All references to websites, </w:t>
                                  </w:r>
                                  <w:proofErr w:type="gramStart"/>
                                  <w:r>
                                    <w:t>organisations</w:t>
                                  </w:r>
                                  <w:proofErr w:type="gramEnd"/>
                                  <w:r>
                                    <w:t xml:space="preserve"> or people not within the Ministry for the Environment are provided for convenience only and should not be taken as endorsement of those websites or information contained in those websites nor of organisations or people referred to.</w:t>
                                  </w:r>
                                </w:p>
                                <w:p w14:paraId="1F0A45C9" w14:textId="77777777" w:rsidR="006E7652" w:rsidRDefault="006E7652" w:rsidP="001B6610">
                                  <w:pPr>
                                    <w:pStyle w:val="Footer"/>
                                    <w:rPr>
                                      <w:noProof/>
                                    </w:rPr>
                                  </w:pPr>
                                </w:p>
                              </w:tc>
                            </w:tr>
                            <w:tr w:rsidR="006239DF" w14:paraId="23D3A417" w14:textId="77777777" w:rsidTr="003E465B">
                              <w:tc>
                                <w:tcPr>
                                  <w:tcW w:w="5606" w:type="dxa"/>
                                  <w:tcBorders>
                                    <w:top w:val="single" w:sz="4" w:space="0" w:color="auto"/>
                                    <w:bottom w:val="single" w:sz="6" w:space="0" w:color="auto"/>
                                  </w:tcBorders>
                                  <w:shd w:val="clear" w:color="auto" w:fill="FFFFFF" w:themeFill="background1"/>
                                </w:tcPr>
                                <w:p w14:paraId="3639332A" w14:textId="7CD7F803" w:rsidR="006239DF" w:rsidRDefault="006239DF" w:rsidP="003A6769">
                                  <w:pPr>
                                    <w:pStyle w:val="TableText"/>
                                  </w:pPr>
                                  <w:r w:rsidRPr="006C18C8">
                                    <w:t xml:space="preserve">Published in </w:t>
                                  </w:r>
                                  <w:r w:rsidR="00B80DDB" w:rsidRPr="00F67DAA">
                                    <w:t xml:space="preserve">August </w:t>
                                  </w:r>
                                  <w:r w:rsidRPr="00F67DAA">
                                    <w:t>202</w:t>
                                  </w:r>
                                  <w:r w:rsidR="00B80DDB" w:rsidRPr="00F67DAA">
                                    <w:t>3</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BE28CC">
                                    <w:t>1174</w:t>
                                  </w:r>
                                </w:p>
                              </w:tc>
                              <w:tc>
                                <w:tcPr>
                                  <w:tcW w:w="3579" w:type="dxa"/>
                                  <w:tcBorders>
                                    <w:top w:val="single" w:sz="4" w:space="0" w:color="auto"/>
                                    <w:bottom w:val="single" w:sz="6" w:space="0" w:color="auto"/>
                                  </w:tcBorders>
                                  <w:shd w:val="clear" w:color="auto" w:fill="FFFFFF" w:themeFill="background1"/>
                                  <w:tcMar>
                                    <w:left w:w="0" w:type="dxa"/>
                                    <w:right w:w="0" w:type="dxa"/>
                                  </w:tcMar>
                                  <w:vAlign w:val="bottom"/>
                                </w:tcPr>
                                <w:p w14:paraId="4B6CB11E" w14:textId="77777777" w:rsidR="006239DF" w:rsidRDefault="006239DF" w:rsidP="00E57601">
                                  <w:pPr>
                                    <w:pStyle w:val="Footer"/>
                                    <w:jc w:val="right"/>
                                  </w:pPr>
                                  <w:r>
                                    <w:rPr>
                                      <w:noProof/>
                                    </w:rPr>
                                    <w:drawing>
                                      <wp:inline distT="0" distB="0" distL="0" distR="0" wp14:anchorId="441B26E1" wp14:editId="60AF7109">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9">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94AD82E"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757F2" id="_x0000_t202" coordsize="21600,21600" o:spt="202" path="m,l,21600r21600,l21600,xe">
                <v:stroke joinstyle="miter"/>
                <v:path gradientshapeok="t" o:connecttype="rect"/>
              </v:shapetype>
              <v:shape id="Text Box 1" o:spid="_x0000_s1028" type="#_x0000_t202" style="position:absolute;left:0;text-align:left;margin-left:-1.3pt;margin-top:511.5pt;width:459.5pt;height:3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nLKwIAAHQEAAAOAAAAZHJzL2Uyb0RvYy54bWysVN9r2zAQfh/sfxB6X5wfS2hNnJKlZAxC&#10;W0hHnxVZigWyTpOU2Nlfv5McJ11XGIy9yCfd6dPdd995ftfWmhyF8wpMQUeDISXCcCiV2Rf0+/P6&#10;0w0lPjBTMg1GFPQkPL1bfPwwb2wuxlCBLoUjCGJ83tiCViHYPMs8r0TN/ACsMOiU4GoWcOv2WelY&#10;g+i1zsbD4SxrwJXWARfe4+l956SLhC+l4OFRSi8C0QXF3EJaXVp3cc0Wc5bvHbOV4uc02D9kUTNl&#10;8NEL1D0LjByc+gOqVtyBBxkGHOoMpFRcpBqwmtHwTTXbilmRakFyvL3Q5P8fLH84bu2TI6H9Ai02&#10;MBLSWJ97PIz1tNLV8YuZEvQjhacLbaINhOPh9GYynU3RxdE3ub39PMIN4mTX69b58FVATaJRUId9&#10;SXSx48aHLrQPia950KpcK63TJmpBrLQjR4Zd1CElieC/RWlDmoLOJvj03xB2+3cQEE8bzPlafLRC&#10;u2uJKgs67onZQXlCvhx0UvKWrxXWtGE+PDGH2kEecB7CIy5SA+YEZ4uSCtzP985jPLYUvZQ0qMWC&#10;+h8H5gQl+pvBZkfh9obrjV1vmEO9AiRmhJNmeTLxggu6N6WD+gXHZBlfQRczHN8qaOjNVegmAseM&#10;i+UyBaE8LQsbs7U8QkdOY4ee2xfm7LmNARXwAL1KWf6mm11svGlgeQggVWp15LVj8Uw3SjuJ5TyG&#10;cXZe71PU9Wex+AUAAP//AwBQSwMEFAAGAAgAAAAhAK5P3XLgAAAADAEAAA8AAABkcnMvZG93bnJl&#10;di54bWxMj8tOwzAQRfdI/IM1SOxauwFcCHEqFKiKhFhQ+gFuPHmI2I5iNwl/32FVlnPn6D6yzWw7&#10;NuIQWu8UrJYCGLrSm9bVCg7f28UjsBC1M7rzDhX8YoBNfn2V6dT4yX3huI81IxMXUq2gibFPOQ9l&#10;g1aHpe/R0a/yg9WRzqHmZtATmduOJ0JIbnXrKKHRPRYNlj/7k1Xwvt5Vn6I4vG2L3cdUrb18bUet&#10;1O3N/PIMLOIcLzD81afqkFOnoz85E1inYJFIIkkXyR2NIuJpJe+BHUmSD4kAnmf8/4j8DAAA//8D&#10;AFBLAQItABQABgAIAAAAIQC2gziS/gAAAOEBAAATAAAAAAAAAAAAAAAAAAAAAABbQ29udGVudF9U&#10;eXBlc10ueG1sUEsBAi0AFAAGAAgAAAAhADj9If/WAAAAlAEAAAsAAAAAAAAAAAAAAAAALwEAAF9y&#10;ZWxzLy5yZWxzUEsBAi0AFAAGAAgAAAAhAGm8KcsrAgAAdAQAAA4AAAAAAAAAAAAAAAAALgIAAGRy&#10;cy9lMm9Eb2MueG1sUEsBAi0AFAAGAAgAAAAhAK5P3XLgAAAADAEAAA8AAAAAAAAAAAAAAAAAhQQA&#10;AGRycy9kb3ducmV2LnhtbFBLBQYAAAAABAAEAPMAAACSBQ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6"/>
                        <w:gridCol w:w="3579"/>
                      </w:tblGrid>
                      <w:tr w:rsidR="006E7652" w14:paraId="6823FB2C" w14:textId="77777777" w:rsidTr="003E465B">
                        <w:trPr>
                          <w:cnfStyle w:val="100000000000" w:firstRow="1" w:lastRow="0" w:firstColumn="0" w:lastColumn="0" w:oddVBand="0" w:evenVBand="0" w:oddHBand="0" w:evenHBand="0" w:firstRowFirstColumn="0" w:firstRowLastColumn="0" w:lastRowFirstColumn="0" w:lastRowLastColumn="0"/>
                        </w:trPr>
                        <w:tc>
                          <w:tcPr>
                            <w:tcW w:w="9185" w:type="dxa"/>
                            <w:gridSpan w:val="2"/>
                            <w:tcBorders>
                              <w:bottom w:val="single" w:sz="4" w:space="0" w:color="auto"/>
                            </w:tcBorders>
                            <w:shd w:val="clear" w:color="auto" w:fill="FFFFFF" w:themeFill="background1"/>
                          </w:tcPr>
                          <w:p w14:paraId="0B9F1479" w14:textId="77777777" w:rsidR="006E7652" w:rsidRPr="0002270C" w:rsidRDefault="006E7652" w:rsidP="006E7652">
                            <w:pPr>
                              <w:pStyle w:val="TableText"/>
                              <w:rPr>
                                <w:b/>
                                <w:bCs/>
                              </w:rPr>
                            </w:pPr>
                            <w:r w:rsidRPr="0002270C">
                              <w:rPr>
                                <w:b/>
                                <w:bCs/>
                              </w:rPr>
                              <w:t>Disclaimer</w:t>
                            </w:r>
                          </w:p>
                          <w:p w14:paraId="70E1263E" w14:textId="77777777" w:rsidR="006E7652" w:rsidRDefault="006E7652" w:rsidP="006E7652">
                            <w:pPr>
                              <w:pStyle w:val="TableText"/>
                            </w:pPr>
                            <w:r>
                              <w:t>The information in this publication is, according to the Ministry for the Environment’s best efforts, accurate at the time of publication. The Ministry will make every reasonable effort to keep it current and accurate. However, users of this publication are advised that:</w:t>
                            </w:r>
                          </w:p>
                          <w:p w14:paraId="088512E3" w14:textId="400BA1AF" w:rsidR="006E7652" w:rsidRDefault="006E7652" w:rsidP="00E03E02">
                            <w:pPr>
                              <w:pStyle w:val="TableBullet"/>
                              <w:spacing w:before="60"/>
                            </w:pPr>
                            <w:r>
                              <w:t xml:space="preserve">The information provided has no official status and so does not alter the laws of New Zealand, other official </w:t>
                            </w:r>
                            <w:proofErr w:type="gramStart"/>
                            <w:r>
                              <w:t>guidelines</w:t>
                            </w:r>
                            <w:proofErr w:type="gramEnd"/>
                            <w:r>
                              <w:t xml:space="preserve"> or requirements.</w:t>
                            </w:r>
                          </w:p>
                          <w:p w14:paraId="74323367" w14:textId="40CBFEF3" w:rsidR="006E7652" w:rsidRDefault="006E7652" w:rsidP="00E03E02">
                            <w:pPr>
                              <w:pStyle w:val="TableBullet"/>
                            </w:pPr>
                            <w:r>
                              <w:t xml:space="preserve">It does not constitute legal advice, and users should take specific advice from qualified professionals before taking any action </w:t>
                            </w:r>
                            <w:proofErr w:type="gramStart"/>
                            <w:r>
                              <w:t>as a result of</w:t>
                            </w:r>
                            <w:proofErr w:type="gramEnd"/>
                            <w:r>
                              <w:t xml:space="preserve"> information obtained from this publication.</w:t>
                            </w:r>
                          </w:p>
                          <w:p w14:paraId="44EAE550" w14:textId="4A0A03B3" w:rsidR="006E7652" w:rsidRDefault="006E7652" w:rsidP="00E03E02">
                            <w:pPr>
                              <w:pStyle w:val="TableBullet"/>
                            </w:pPr>
                            <w:r>
                              <w:t xml:space="preserve">The Ministry for the Environment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provided in this publication.</w:t>
                            </w:r>
                          </w:p>
                          <w:p w14:paraId="026C0150" w14:textId="1D1C4561" w:rsidR="006E7652" w:rsidRDefault="006E7652" w:rsidP="00E03E02">
                            <w:pPr>
                              <w:pStyle w:val="TableBullet"/>
                            </w:pPr>
                            <w:r>
                              <w:t xml:space="preserve">All references to websites, </w:t>
                            </w:r>
                            <w:proofErr w:type="gramStart"/>
                            <w:r>
                              <w:t>organisations</w:t>
                            </w:r>
                            <w:proofErr w:type="gramEnd"/>
                            <w:r>
                              <w:t xml:space="preserve"> or people not within the Ministry for the Environment are provided for convenience only and should not be taken as endorsement of those websites or information contained in those websites nor of organisations or people referred to.</w:t>
                            </w:r>
                          </w:p>
                          <w:p w14:paraId="1F0A45C9" w14:textId="77777777" w:rsidR="006E7652" w:rsidRDefault="006E7652" w:rsidP="001B6610">
                            <w:pPr>
                              <w:pStyle w:val="Footer"/>
                              <w:rPr>
                                <w:noProof/>
                              </w:rPr>
                            </w:pPr>
                          </w:p>
                        </w:tc>
                      </w:tr>
                      <w:tr w:rsidR="006239DF" w14:paraId="23D3A417" w14:textId="77777777" w:rsidTr="003E465B">
                        <w:tc>
                          <w:tcPr>
                            <w:tcW w:w="5606" w:type="dxa"/>
                            <w:tcBorders>
                              <w:top w:val="single" w:sz="4" w:space="0" w:color="auto"/>
                              <w:bottom w:val="single" w:sz="6" w:space="0" w:color="auto"/>
                            </w:tcBorders>
                            <w:shd w:val="clear" w:color="auto" w:fill="FFFFFF" w:themeFill="background1"/>
                          </w:tcPr>
                          <w:p w14:paraId="3639332A" w14:textId="7CD7F803" w:rsidR="006239DF" w:rsidRDefault="006239DF" w:rsidP="003A6769">
                            <w:pPr>
                              <w:pStyle w:val="TableText"/>
                            </w:pPr>
                            <w:r w:rsidRPr="006C18C8">
                              <w:t xml:space="preserve">Published in </w:t>
                            </w:r>
                            <w:r w:rsidR="00B80DDB" w:rsidRPr="00F67DAA">
                              <w:t xml:space="preserve">August </w:t>
                            </w:r>
                            <w:r w:rsidRPr="00F67DAA">
                              <w:t>202</w:t>
                            </w:r>
                            <w:r w:rsidR="00B80DDB" w:rsidRPr="00F67DAA">
                              <w:t>3</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BE28CC">
                              <w:t>1174</w:t>
                            </w:r>
                          </w:p>
                        </w:tc>
                        <w:tc>
                          <w:tcPr>
                            <w:tcW w:w="3579" w:type="dxa"/>
                            <w:tcBorders>
                              <w:top w:val="single" w:sz="4" w:space="0" w:color="auto"/>
                              <w:bottom w:val="single" w:sz="6" w:space="0" w:color="auto"/>
                            </w:tcBorders>
                            <w:shd w:val="clear" w:color="auto" w:fill="FFFFFF" w:themeFill="background1"/>
                            <w:tcMar>
                              <w:left w:w="0" w:type="dxa"/>
                              <w:right w:w="0" w:type="dxa"/>
                            </w:tcMar>
                            <w:vAlign w:val="bottom"/>
                          </w:tcPr>
                          <w:p w14:paraId="4B6CB11E" w14:textId="77777777" w:rsidR="006239DF" w:rsidRDefault="006239DF" w:rsidP="00E57601">
                            <w:pPr>
                              <w:pStyle w:val="Footer"/>
                              <w:jc w:val="right"/>
                            </w:pPr>
                            <w:r>
                              <w:rPr>
                                <w:noProof/>
                              </w:rPr>
                              <w:drawing>
                                <wp:inline distT="0" distB="0" distL="0" distR="0" wp14:anchorId="441B26E1" wp14:editId="60AF7109">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9">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94AD82E"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FA0C86" w:rsidSect="00F55E2E">
      <w:footerReference w:type="first" r:id="rId20"/>
      <w:pgSz w:w="11907" w:h="16840" w:code="9"/>
      <w:pgMar w:top="1134" w:right="1418" w:bottom="1134" w:left="1418" w:header="567" w:footer="7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1B57" w14:textId="77777777" w:rsidR="00A47C4B" w:rsidRDefault="00A47C4B" w:rsidP="0080531E">
      <w:pPr>
        <w:spacing w:before="0" w:after="0" w:line="240" w:lineRule="auto"/>
      </w:pPr>
      <w:r>
        <w:separator/>
      </w:r>
    </w:p>
    <w:p w14:paraId="3461978C" w14:textId="77777777" w:rsidR="00A47C4B" w:rsidRDefault="00A47C4B"/>
  </w:endnote>
  <w:endnote w:type="continuationSeparator" w:id="0">
    <w:p w14:paraId="4F9753A2" w14:textId="77777777" w:rsidR="00A47C4B" w:rsidRDefault="00A47C4B" w:rsidP="0080531E">
      <w:pPr>
        <w:spacing w:before="0" w:after="0" w:line="240" w:lineRule="auto"/>
      </w:pPr>
      <w:r>
        <w:continuationSeparator/>
      </w:r>
    </w:p>
    <w:p w14:paraId="7B704F08" w14:textId="77777777" w:rsidR="00A47C4B" w:rsidRDefault="00A47C4B"/>
  </w:endnote>
  <w:endnote w:type="continuationNotice" w:id="1">
    <w:p w14:paraId="4EEE0D22" w14:textId="77777777" w:rsidR="00A47C4B" w:rsidRDefault="00A47C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E718" w14:textId="04DEDC2D"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D40A91" w:rsidRPr="00D40A91">
      <w:t>Aquaculture management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1E4A" w14:textId="73D69FED" w:rsidR="006C18C8" w:rsidRPr="005E24DE" w:rsidRDefault="005E24DE" w:rsidP="005E24DE">
    <w:pPr>
      <w:tabs>
        <w:tab w:val="right" w:pos="7938"/>
        <w:tab w:val="right" w:pos="8505"/>
      </w:tabs>
      <w:jc w:val="left"/>
      <w:rPr>
        <w:sz w:val="16"/>
      </w:rPr>
    </w:pPr>
    <w:r w:rsidRPr="005E24DE">
      <w:rPr>
        <w:sz w:val="16"/>
      </w:rPr>
      <w:tab/>
      <w:t>Insert running footer</w:t>
    </w:r>
    <w:r w:rsidRPr="005E24DE">
      <w:rPr>
        <w:sz w:val="16"/>
      </w:rPr>
      <w:tab/>
    </w:r>
    <w:r w:rsidRPr="005E24DE">
      <w:rPr>
        <w:sz w:val="16"/>
      </w:rPr>
      <w:fldChar w:fldCharType="begin"/>
    </w:r>
    <w:r w:rsidRPr="005E24DE">
      <w:rPr>
        <w:sz w:val="16"/>
      </w:rPr>
      <w:instrText xml:space="preserve"> PAGE   \* MERGEFORMAT </w:instrText>
    </w:r>
    <w:r w:rsidRPr="005E24DE">
      <w:rPr>
        <w:sz w:val="16"/>
      </w:rPr>
      <w:fldChar w:fldCharType="separate"/>
    </w:r>
    <w:r w:rsidRPr="005E24DE">
      <w:rPr>
        <w:sz w:val="16"/>
      </w:rPr>
      <w:t>3</w:t>
    </w:r>
    <w:r w:rsidRPr="005E24DE">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A31F" w14:textId="4A18B932" w:rsidR="0085118C" w:rsidRDefault="00501011" w:rsidP="0085118C">
    <w:pPr>
      <w:pStyle w:val="Footerodd"/>
    </w:pPr>
    <w:r w:rsidRPr="00487ED4">
      <w:rPr>
        <w:noProof/>
        <w:sz w:val="20"/>
        <w:szCs w:val="20"/>
      </w:rPr>
      <w:drawing>
        <wp:anchor distT="0" distB="0" distL="114300" distR="114300" simplePos="0" relativeHeight="251658240" behindDoc="1" locked="0" layoutInCell="1" allowOverlap="1" wp14:anchorId="318599F8" wp14:editId="4106170B">
          <wp:simplePos x="0" y="0"/>
          <wp:positionH relativeFrom="column">
            <wp:posOffset>-895350</wp:posOffset>
          </wp:positionH>
          <wp:positionV relativeFrom="paragraph">
            <wp:posOffset>-882015</wp:posOffset>
          </wp:positionV>
          <wp:extent cx="7543800" cy="1646555"/>
          <wp:effectExtent l="0" t="0" r="0" b="0"/>
          <wp:wrapNone/>
          <wp:docPr id="473615810" name="Picture 473615810"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646555"/>
                  </a:xfrm>
                  <a:prstGeom prst="rect">
                    <a:avLst/>
                  </a:prstGeom>
                </pic:spPr>
              </pic:pic>
            </a:graphicData>
          </a:graphic>
          <wp14:sizeRelH relativeFrom="page">
            <wp14:pctWidth>0</wp14:pctWidth>
          </wp14:sizeRelH>
          <wp14:sizeRelV relativeFrom="page">
            <wp14:pctHeight>0</wp14:pctHeight>
          </wp14:sizeRelV>
        </wp:anchor>
      </w:drawing>
    </w:r>
    <w:r w:rsidR="0085118C">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9FD3" w14:textId="721193B4" w:rsidR="00501011" w:rsidRPr="00501011" w:rsidRDefault="00501011" w:rsidP="00501011">
    <w:pPr>
      <w:tabs>
        <w:tab w:val="left" w:pos="567"/>
      </w:tabs>
      <w:rPr>
        <w:sz w:val="16"/>
      </w:rPr>
    </w:pPr>
    <w:r w:rsidRPr="00501011">
      <w:rPr>
        <w:b/>
        <w:sz w:val="16"/>
      </w:rPr>
      <w:fldChar w:fldCharType="begin"/>
    </w:r>
    <w:r w:rsidRPr="00501011">
      <w:rPr>
        <w:sz w:val="16"/>
      </w:rPr>
      <w:instrText xml:space="preserve"> PAGE </w:instrText>
    </w:r>
    <w:r w:rsidRPr="00501011">
      <w:rPr>
        <w:b/>
        <w:sz w:val="16"/>
      </w:rPr>
      <w:fldChar w:fldCharType="separate"/>
    </w:r>
    <w:r w:rsidRPr="00501011">
      <w:rPr>
        <w:b/>
        <w:sz w:val="16"/>
      </w:rPr>
      <w:t>4</w:t>
    </w:r>
    <w:r w:rsidRPr="00501011">
      <w:rPr>
        <w:b/>
        <w:sz w:val="16"/>
      </w:rPr>
      <w:fldChar w:fldCharType="end"/>
    </w:r>
    <w:r w:rsidRPr="00501011">
      <w:rPr>
        <w:sz w:val="16"/>
      </w:rPr>
      <w:tab/>
      <w:t xml:space="preserve">Insert running </w:t>
    </w:r>
    <w:proofErr w:type="gramStart"/>
    <w:r w:rsidRPr="00501011">
      <w:rPr>
        <w:sz w:val="16"/>
      </w:rPr>
      <w:t>footer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F241" w14:textId="77777777" w:rsidR="00A47C4B" w:rsidRDefault="00A47C4B" w:rsidP="00CB5C5F">
      <w:pPr>
        <w:spacing w:before="0" w:after="80" w:line="240" w:lineRule="auto"/>
      </w:pPr>
      <w:bookmarkStart w:id="0" w:name="_Hlk86912439"/>
      <w:bookmarkEnd w:id="0"/>
      <w:r>
        <w:separator/>
      </w:r>
    </w:p>
  </w:footnote>
  <w:footnote w:type="continuationSeparator" w:id="0">
    <w:p w14:paraId="49F61E43" w14:textId="77777777" w:rsidR="00A47C4B" w:rsidRDefault="00A47C4B" w:rsidP="0080531E">
      <w:pPr>
        <w:spacing w:before="0" w:after="0" w:line="240" w:lineRule="auto"/>
      </w:pPr>
      <w:r>
        <w:continuationSeparator/>
      </w:r>
    </w:p>
    <w:p w14:paraId="01F3D054" w14:textId="77777777" w:rsidR="00A47C4B" w:rsidRDefault="00A47C4B"/>
  </w:footnote>
  <w:footnote w:type="continuationNotice" w:id="1">
    <w:p w14:paraId="6B622C07" w14:textId="77777777" w:rsidR="00A47C4B" w:rsidRDefault="00A47C4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5402" w14:textId="77777777" w:rsidR="00D40A91" w:rsidRDefault="00D40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21B1" w14:textId="77777777" w:rsidR="00D40A91" w:rsidRDefault="00D40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77EF" w14:textId="77777777" w:rsidR="00D40A91" w:rsidRDefault="00D40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3002F1"/>
    <w:multiLevelType w:val="hybridMultilevel"/>
    <w:tmpl w:val="E8E2B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6"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4" w15:restartNumberingAfterBreak="0">
    <w:nsid w:val="2E6F201E"/>
    <w:multiLevelType w:val="multilevel"/>
    <w:tmpl w:val="C7440BB4"/>
    <w:numStyleLink w:val="Style2"/>
  </w:abstractNum>
  <w:abstractNum w:abstractNumId="15"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6"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4"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6"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0"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C70A75"/>
    <w:multiLevelType w:val="hybridMultilevel"/>
    <w:tmpl w:val="AB9CFF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C042717"/>
    <w:multiLevelType w:val="multilevel"/>
    <w:tmpl w:val="DCDEB9D0"/>
    <w:numStyleLink w:val="Style1"/>
  </w:abstractNum>
  <w:abstractNum w:abstractNumId="3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5"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770EC9"/>
    <w:multiLevelType w:val="hybridMultilevel"/>
    <w:tmpl w:val="C53AF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47790156">
    <w:abstractNumId w:val="15"/>
  </w:num>
  <w:num w:numId="2" w16cid:durableId="1270701948">
    <w:abstractNumId w:val="25"/>
  </w:num>
  <w:num w:numId="3" w16cid:durableId="1676030043">
    <w:abstractNumId w:val="38"/>
  </w:num>
  <w:num w:numId="4" w16cid:durableId="946737636">
    <w:abstractNumId w:val="20"/>
  </w:num>
  <w:num w:numId="5" w16cid:durableId="181937884">
    <w:abstractNumId w:val="13"/>
  </w:num>
  <w:num w:numId="6" w16cid:durableId="1789470371">
    <w:abstractNumId w:val="8"/>
  </w:num>
  <w:num w:numId="7" w16cid:durableId="1751468041">
    <w:abstractNumId w:val="23"/>
  </w:num>
  <w:num w:numId="8" w16cid:durableId="319700520">
    <w:abstractNumId w:val="22"/>
  </w:num>
  <w:num w:numId="9" w16cid:durableId="61634995">
    <w:abstractNumId w:val="36"/>
  </w:num>
  <w:num w:numId="10" w16cid:durableId="1381782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525479">
    <w:abstractNumId w:val="1"/>
  </w:num>
  <w:num w:numId="12" w16cid:durableId="1681812109">
    <w:abstractNumId w:val="29"/>
  </w:num>
  <w:num w:numId="13" w16cid:durableId="2111318697">
    <w:abstractNumId w:val="12"/>
  </w:num>
  <w:num w:numId="14" w16cid:durableId="527908752">
    <w:abstractNumId w:val="32"/>
  </w:num>
  <w:num w:numId="15" w16cid:durableId="1810710488">
    <w:abstractNumId w:val="21"/>
  </w:num>
  <w:num w:numId="16" w16cid:durableId="1832209572">
    <w:abstractNumId w:val="11"/>
  </w:num>
  <w:num w:numId="17" w16cid:durableId="882985350">
    <w:abstractNumId w:val="30"/>
  </w:num>
  <w:num w:numId="18" w16cid:durableId="1414619994">
    <w:abstractNumId w:val="26"/>
  </w:num>
  <w:num w:numId="19" w16cid:durableId="1876043617">
    <w:abstractNumId w:val="33"/>
  </w:num>
  <w:num w:numId="20" w16cid:durableId="1466776422">
    <w:abstractNumId w:val="14"/>
  </w:num>
  <w:num w:numId="21" w16cid:durableId="2058817310">
    <w:abstractNumId w:val="27"/>
  </w:num>
  <w:num w:numId="22" w16cid:durableId="1700279313">
    <w:abstractNumId w:val="5"/>
  </w:num>
  <w:num w:numId="23" w16cid:durableId="2058817359">
    <w:abstractNumId w:val="24"/>
  </w:num>
  <w:num w:numId="24" w16cid:durableId="1654988709">
    <w:abstractNumId w:val="16"/>
  </w:num>
  <w:num w:numId="25" w16cid:durableId="163515585">
    <w:abstractNumId w:val="35"/>
  </w:num>
  <w:num w:numId="26" w16cid:durableId="1923172751">
    <w:abstractNumId w:val="28"/>
  </w:num>
  <w:num w:numId="27" w16cid:durableId="1169712652">
    <w:abstractNumId w:val="0"/>
  </w:num>
  <w:num w:numId="28" w16cid:durableId="318702976">
    <w:abstractNumId w:val="18"/>
  </w:num>
  <w:num w:numId="29" w16cid:durableId="1493326007">
    <w:abstractNumId w:val="9"/>
  </w:num>
  <w:num w:numId="30" w16cid:durableId="148442728">
    <w:abstractNumId w:val="3"/>
  </w:num>
  <w:num w:numId="31" w16cid:durableId="598565880">
    <w:abstractNumId w:val="2"/>
  </w:num>
  <w:num w:numId="32" w16cid:durableId="1547906841">
    <w:abstractNumId w:val="6"/>
  </w:num>
  <w:num w:numId="33" w16cid:durableId="214006165">
    <w:abstractNumId w:val="10"/>
  </w:num>
  <w:num w:numId="34" w16cid:durableId="460806462">
    <w:abstractNumId w:val="19"/>
  </w:num>
  <w:num w:numId="35" w16cid:durableId="351688295">
    <w:abstractNumId w:val="17"/>
  </w:num>
  <w:num w:numId="36" w16cid:durableId="953633058">
    <w:abstractNumId w:val="7"/>
  </w:num>
  <w:num w:numId="37" w16cid:durableId="57486827">
    <w:abstractNumId w:val="34"/>
  </w:num>
  <w:num w:numId="38" w16cid:durableId="416098131">
    <w:abstractNumId w:val="25"/>
  </w:num>
  <w:num w:numId="39" w16cid:durableId="2073501908">
    <w:abstractNumId w:val="7"/>
  </w:num>
  <w:num w:numId="40" w16cid:durableId="1120416703">
    <w:abstractNumId w:val="37"/>
  </w:num>
  <w:num w:numId="41" w16cid:durableId="1912618082">
    <w:abstractNumId w:val="31"/>
  </w:num>
  <w:num w:numId="42" w16cid:durableId="202743568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4C"/>
    <w:rsid w:val="00000792"/>
    <w:rsid w:val="00000F04"/>
    <w:rsid w:val="00003B94"/>
    <w:rsid w:val="00003C4F"/>
    <w:rsid w:val="00004E0A"/>
    <w:rsid w:val="00004FD3"/>
    <w:rsid w:val="00006DF5"/>
    <w:rsid w:val="00006F95"/>
    <w:rsid w:val="00007023"/>
    <w:rsid w:val="0000709F"/>
    <w:rsid w:val="000071D6"/>
    <w:rsid w:val="00007F2D"/>
    <w:rsid w:val="00007FAC"/>
    <w:rsid w:val="00010247"/>
    <w:rsid w:val="00010A9C"/>
    <w:rsid w:val="00010ABA"/>
    <w:rsid w:val="00010E15"/>
    <w:rsid w:val="00010F57"/>
    <w:rsid w:val="0001100C"/>
    <w:rsid w:val="00011188"/>
    <w:rsid w:val="00012555"/>
    <w:rsid w:val="00012777"/>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4708"/>
    <w:rsid w:val="00024DA0"/>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EC"/>
    <w:rsid w:val="00040030"/>
    <w:rsid w:val="000400D9"/>
    <w:rsid w:val="0004035C"/>
    <w:rsid w:val="00040860"/>
    <w:rsid w:val="00040CED"/>
    <w:rsid w:val="00040EA1"/>
    <w:rsid w:val="0004205F"/>
    <w:rsid w:val="000423C6"/>
    <w:rsid w:val="00042EDB"/>
    <w:rsid w:val="00044A50"/>
    <w:rsid w:val="00044AF2"/>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30F"/>
    <w:rsid w:val="00061330"/>
    <w:rsid w:val="000619CB"/>
    <w:rsid w:val="00062387"/>
    <w:rsid w:val="000633A0"/>
    <w:rsid w:val="000640F0"/>
    <w:rsid w:val="0006434D"/>
    <w:rsid w:val="000643A1"/>
    <w:rsid w:val="00064679"/>
    <w:rsid w:val="00064A13"/>
    <w:rsid w:val="00064A84"/>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AF5"/>
    <w:rsid w:val="00075FE1"/>
    <w:rsid w:val="00076667"/>
    <w:rsid w:val="00077473"/>
    <w:rsid w:val="00077481"/>
    <w:rsid w:val="000776F9"/>
    <w:rsid w:val="00077EE0"/>
    <w:rsid w:val="000802F9"/>
    <w:rsid w:val="00080E5E"/>
    <w:rsid w:val="0008145A"/>
    <w:rsid w:val="0008162D"/>
    <w:rsid w:val="00081EB5"/>
    <w:rsid w:val="000827D0"/>
    <w:rsid w:val="000831C8"/>
    <w:rsid w:val="000836C9"/>
    <w:rsid w:val="00083F5E"/>
    <w:rsid w:val="00084FDB"/>
    <w:rsid w:val="0008505C"/>
    <w:rsid w:val="00085C46"/>
    <w:rsid w:val="0008686A"/>
    <w:rsid w:val="00087175"/>
    <w:rsid w:val="00087D35"/>
    <w:rsid w:val="00090F6A"/>
    <w:rsid w:val="00091796"/>
    <w:rsid w:val="00091BA2"/>
    <w:rsid w:val="00091CB0"/>
    <w:rsid w:val="00092D7C"/>
    <w:rsid w:val="00094344"/>
    <w:rsid w:val="000953C6"/>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D1F"/>
    <w:rsid w:val="000C062F"/>
    <w:rsid w:val="000C0668"/>
    <w:rsid w:val="000C17E7"/>
    <w:rsid w:val="000C3270"/>
    <w:rsid w:val="000C574D"/>
    <w:rsid w:val="000C577E"/>
    <w:rsid w:val="000C5B87"/>
    <w:rsid w:val="000D04BA"/>
    <w:rsid w:val="000D0B6E"/>
    <w:rsid w:val="000D0D65"/>
    <w:rsid w:val="000D113B"/>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397"/>
    <w:rsid w:val="000E64CB"/>
    <w:rsid w:val="000E6708"/>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5285"/>
    <w:rsid w:val="000F52E0"/>
    <w:rsid w:val="000F53A9"/>
    <w:rsid w:val="000F6464"/>
    <w:rsid w:val="000F6628"/>
    <w:rsid w:val="000F6C25"/>
    <w:rsid w:val="000F76EB"/>
    <w:rsid w:val="000F78AE"/>
    <w:rsid w:val="000F7E25"/>
    <w:rsid w:val="001007EE"/>
    <w:rsid w:val="00100F76"/>
    <w:rsid w:val="0010148E"/>
    <w:rsid w:val="0010194C"/>
    <w:rsid w:val="0010253C"/>
    <w:rsid w:val="00102BD1"/>
    <w:rsid w:val="0010486A"/>
    <w:rsid w:val="0010561C"/>
    <w:rsid w:val="00105C0F"/>
    <w:rsid w:val="00105E39"/>
    <w:rsid w:val="00106561"/>
    <w:rsid w:val="00106D63"/>
    <w:rsid w:val="001075F3"/>
    <w:rsid w:val="00107A01"/>
    <w:rsid w:val="00107A4B"/>
    <w:rsid w:val="00107C23"/>
    <w:rsid w:val="00110307"/>
    <w:rsid w:val="00110C7F"/>
    <w:rsid w:val="00110EE2"/>
    <w:rsid w:val="001113DA"/>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5C75"/>
    <w:rsid w:val="00125C7E"/>
    <w:rsid w:val="0012731C"/>
    <w:rsid w:val="00127945"/>
    <w:rsid w:val="00127D94"/>
    <w:rsid w:val="00127E90"/>
    <w:rsid w:val="001302C1"/>
    <w:rsid w:val="001306D3"/>
    <w:rsid w:val="001308F4"/>
    <w:rsid w:val="001310BF"/>
    <w:rsid w:val="00131E1C"/>
    <w:rsid w:val="00131EC2"/>
    <w:rsid w:val="00133E73"/>
    <w:rsid w:val="00133FDB"/>
    <w:rsid w:val="00134C79"/>
    <w:rsid w:val="00134F4A"/>
    <w:rsid w:val="00135E4E"/>
    <w:rsid w:val="00136246"/>
    <w:rsid w:val="001362A1"/>
    <w:rsid w:val="001364D4"/>
    <w:rsid w:val="00136C39"/>
    <w:rsid w:val="001371C8"/>
    <w:rsid w:val="001372ED"/>
    <w:rsid w:val="0014168C"/>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5BF4"/>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0B2"/>
    <w:rsid w:val="001713A7"/>
    <w:rsid w:val="00171449"/>
    <w:rsid w:val="0017199C"/>
    <w:rsid w:val="00171C7E"/>
    <w:rsid w:val="00171F35"/>
    <w:rsid w:val="00172552"/>
    <w:rsid w:val="00172873"/>
    <w:rsid w:val="00172CF7"/>
    <w:rsid w:val="0017319E"/>
    <w:rsid w:val="001734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5044"/>
    <w:rsid w:val="001850DB"/>
    <w:rsid w:val="0018599C"/>
    <w:rsid w:val="00185C24"/>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4581"/>
    <w:rsid w:val="001A65C8"/>
    <w:rsid w:val="001A732E"/>
    <w:rsid w:val="001A7F30"/>
    <w:rsid w:val="001B06E2"/>
    <w:rsid w:val="001B103A"/>
    <w:rsid w:val="001B103D"/>
    <w:rsid w:val="001B1513"/>
    <w:rsid w:val="001B1767"/>
    <w:rsid w:val="001B2453"/>
    <w:rsid w:val="001B3D48"/>
    <w:rsid w:val="001B5AF9"/>
    <w:rsid w:val="001B6600"/>
    <w:rsid w:val="001B6610"/>
    <w:rsid w:val="001B6B9B"/>
    <w:rsid w:val="001B6C27"/>
    <w:rsid w:val="001B7144"/>
    <w:rsid w:val="001B7B8A"/>
    <w:rsid w:val="001B7E91"/>
    <w:rsid w:val="001C0748"/>
    <w:rsid w:val="001C147E"/>
    <w:rsid w:val="001C151B"/>
    <w:rsid w:val="001C19E5"/>
    <w:rsid w:val="001C3800"/>
    <w:rsid w:val="001C3C7B"/>
    <w:rsid w:val="001C4D70"/>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0D8E"/>
    <w:rsid w:val="002312BC"/>
    <w:rsid w:val="002337E5"/>
    <w:rsid w:val="00233C06"/>
    <w:rsid w:val="00233F24"/>
    <w:rsid w:val="00234BBB"/>
    <w:rsid w:val="002356F4"/>
    <w:rsid w:val="00235F02"/>
    <w:rsid w:val="00236D28"/>
    <w:rsid w:val="00237DA1"/>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54B8"/>
    <w:rsid w:val="00256388"/>
    <w:rsid w:val="00256E44"/>
    <w:rsid w:val="00260919"/>
    <w:rsid w:val="002612FD"/>
    <w:rsid w:val="002613DC"/>
    <w:rsid w:val="00261755"/>
    <w:rsid w:val="00261AAA"/>
    <w:rsid w:val="00262097"/>
    <w:rsid w:val="002626D7"/>
    <w:rsid w:val="00262D20"/>
    <w:rsid w:val="002634AB"/>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3601"/>
    <w:rsid w:val="00283A44"/>
    <w:rsid w:val="0028529F"/>
    <w:rsid w:val="00285687"/>
    <w:rsid w:val="00286F55"/>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6A94"/>
    <w:rsid w:val="00296F24"/>
    <w:rsid w:val="0029706A"/>
    <w:rsid w:val="0029720C"/>
    <w:rsid w:val="002972EE"/>
    <w:rsid w:val="00297F01"/>
    <w:rsid w:val="002A025D"/>
    <w:rsid w:val="002A052D"/>
    <w:rsid w:val="002A0DF8"/>
    <w:rsid w:val="002A1928"/>
    <w:rsid w:val="002A1F0D"/>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7DD"/>
    <w:rsid w:val="002B18F7"/>
    <w:rsid w:val="002B3ED7"/>
    <w:rsid w:val="002B4778"/>
    <w:rsid w:val="002B4F0F"/>
    <w:rsid w:val="002B571E"/>
    <w:rsid w:val="002B75B2"/>
    <w:rsid w:val="002B79B7"/>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3A3"/>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0699"/>
    <w:rsid w:val="00321214"/>
    <w:rsid w:val="003213D5"/>
    <w:rsid w:val="003226E4"/>
    <w:rsid w:val="00323737"/>
    <w:rsid w:val="00323AD6"/>
    <w:rsid w:val="00323F27"/>
    <w:rsid w:val="003242EF"/>
    <w:rsid w:val="00325339"/>
    <w:rsid w:val="003255AA"/>
    <w:rsid w:val="003257C8"/>
    <w:rsid w:val="00326DF3"/>
    <w:rsid w:val="00327E5D"/>
    <w:rsid w:val="003314B6"/>
    <w:rsid w:val="00331A20"/>
    <w:rsid w:val="00331E65"/>
    <w:rsid w:val="00333107"/>
    <w:rsid w:val="0033343B"/>
    <w:rsid w:val="003336A1"/>
    <w:rsid w:val="0033393C"/>
    <w:rsid w:val="00333D3D"/>
    <w:rsid w:val="003357EE"/>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F9E"/>
    <w:rsid w:val="003540D1"/>
    <w:rsid w:val="003545BF"/>
    <w:rsid w:val="00355724"/>
    <w:rsid w:val="0035586A"/>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615"/>
    <w:rsid w:val="003A0899"/>
    <w:rsid w:val="003A1512"/>
    <w:rsid w:val="003A1EB7"/>
    <w:rsid w:val="003A23F3"/>
    <w:rsid w:val="003A2D82"/>
    <w:rsid w:val="003A337C"/>
    <w:rsid w:val="003A36CB"/>
    <w:rsid w:val="003A36DA"/>
    <w:rsid w:val="003A38F1"/>
    <w:rsid w:val="003A3D1B"/>
    <w:rsid w:val="003A3F39"/>
    <w:rsid w:val="003A4170"/>
    <w:rsid w:val="003A4296"/>
    <w:rsid w:val="003A4549"/>
    <w:rsid w:val="003A49B3"/>
    <w:rsid w:val="003A55B4"/>
    <w:rsid w:val="003A61B6"/>
    <w:rsid w:val="003A623F"/>
    <w:rsid w:val="003A6769"/>
    <w:rsid w:val="003A71AD"/>
    <w:rsid w:val="003A7D1D"/>
    <w:rsid w:val="003B0EE7"/>
    <w:rsid w:val="003B1688"/>
    <w:rsid w:val="003B1FA4"/>
    <w:rsid w:val="003B1FE6"/>
    <w:rsid w:val="003B2813"/>
    <w:rsid w:val="003B2986"/>
    <w:rsid w:val="003B3106"/>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466"/>
    <w:rsid w:val="003E465B"/>
    <w:rsid w:val="003E4E74"/>
    <w:rsid w:val="003E5F7D"/>
    <w:rsid w:val="003E6520"/>
    <w:rsid w:val="003E6676"/>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173"/>
    <w:rsid w:val="004255B4"/>
    <w:rsid w:val="00426766"/>
    <w:rsid w:val="004267D0"/>
    <w:rsid w:val="004279CA"/>
    <w:rsid w:val="00427A82"/>
    <w:rsid w:val="00427EA2"/>
    <w:rsid w:val="00430115"/>
    <w:rsid w:val="004303CA"/>
    <w:rsid w:val="00430A4B"/>
    <w:rsid w:val="00431C46"/>
    <w:rsid w:val="004327E6"/>
    <w:rsid w:val="004329DC"/>
    <w:rsid w:val="00432AC6"/>
    <w:rsid w:val="00434C5E"/>
    <w:rsid w:val="00434E0B"/>
    <w:rsid w:val="00435765"/>
    <w:rsid w:val="004360B6"/>
    <w:rsid w:val="004362E5"/>
    <w:rsid w:val="00436356"/>
    <w:rsid w:val="0044041E"/>
    <w:rsid w:val="00440722"/>
    <w:rsid w:val="00440DF5"/>
    <w:rsid w:val="004425D9"/>
    <w:rsid w:val="00443244"/>
    <w:rsid w:val="00444AF6"/>
    <w:rsid w:val="0044519D"/>
    <w:rsid w:val="00445544"/>
    <w:rsid w:val="0044597C"/>
    <w:rsid w:val="00445C0B"/>
    <w:rsid w:val="00446068"/>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77BBA"/>
    <w:rsid w:val="00480FA1"/>
    <w:rsid w:val="00481FD7"/>
    <w:rsid w:val="00482DE5"/>
    <w:rsid w:val="00483266"/>
    <w:rsid w:val="0048352E"/>
    <w:rsid w:val="004836A9"/>
    <w:rsid w:val="0048399F"/>
    <w:rsid w:val="00483B23"/>
    <w:rsid w:val="004840D7"/>
    <w:rsid w:val="004846F4"/>
    <w:rsid w:val="004847FD"/>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C29"/>
    <w:rsid w:val="004C06E5"/>
    <w:rsid w:val="004C189F"/>
    <w:rsid w:val="004C198D"/>
    <w:rsid w:val="004C1AD6"/>
    <w:rsid w:val="004C1B7D"/>
    <w:rsid w:val="004C1D99"/>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7541"/>
    <w:rsid w:val="004D1E71"/>
    <w:rsid w:val="004D2809"/>
    <w:rsid w:val="004D2CDF"/>
    <w:rsid w:val="004D33CE"/>
    <w:rsid w:val="004D4AAE"/>
    <w:rsid w:val="004D66C4"/>
    <w:rsid w:val="004D727A"/>
    <w:rsid w:val="004D7C86"/>
    <w:rsid w:val="004E0197"/>
    <w:rsid w:val="004E0A71"/>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2F48"/>
    <w:rsid w:val="004F34F7"/>
    <w:rsid w:val="004F55D6"/>
    <w:rsid w:val="004F565A"/>
    <w:rsid w:val="004F571B"/>
    <w:rsid w:val="004F64EB"/>
    <w:rsid w:val="004F756C"/>
    <w:rsid w:val="004F7A74"/>
    <w:rsid w:val="004F7BB3"/>
    <w:rsid w:val="00500161"/>
    <w:rsid w:val="00500250"/>
    <w:rsid w:val="00500264"/>
    <w:rsid w:val="00500824"/>
    <w:rsid w:val="00500DAB"/>
    <w:rsid w:val="00501011"/>
    <w:rsid w:val="005010D6"/>
    <w:rsid w:val="00501144"/>
    <w:rsid w:val="005013EF"/>
    <w:rsid w:val="005019E0"/>
    <w:rsid w:val="005019F1"/>
    <w:rsid w:val="00501CEB"/>
    <w:rsid w:val="0050211F"/>
    <w:rsid w:val="005022E7"/>
    <w:rsid w:val="00502521"/>
    <w:rsid w:val="00502A93"/>
    <w:rsid w:val="005037F9"/>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FFF"/>
    <w:rsid w:val="0053616F"/>
    <w:rsid w:val="005368AD"/>
    <w:rsid w:val="005370BC"/>
    <w:rsid w:val="0053715D"/>
    <w:rsid w:val="00537B35"/>
    <w:rsid w:val="00537DE7"/>
    <w:rsid w:val="00537EC4"/>
    <w:rsid w:val="00537FE4"/>
    <w:rsid w:val="0054027D"/>
    <w:rsid w:val="00540FAB"/>
    <w:rsid w:val="00541222"/>
    <w:rsid w:val="00541A8D"/>
    <w:rsid w:val="00541D4D"/>
    <w:rsid w:val="0054309B"/>
    <w:rsid w:val="0054335C"/>
    <w:rsid w:val="00544DA0"/>
    <w:rsid w:val="005454BD"/>
    <w:rsid w:val="005457E4"/>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30C"/>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5DF4"/>
    <w:rsid w:val="00575E76"/>
    <w:rsid w:val="00576D65"/>
    <w:rsid w:val="0057765D"/>
    <w:rsid w:val="005777FC"/>
    <w:rsid w:val="00580441"/>
    <w:rsid w:val="005808EB"/>
    <w:rsid w:val="00580D37"/>
    <w:rsid w:val="00580FCB"/>
    <w:rsid w:val="00581FA0"/>
    <w:rsid w:val="00582B90"/>
    <w:rsid w:val="005831A7"/>
    <w:rsid w:val="00583321"/>
    <w:rsid w:val="0058341E"/>
    <w:rsid w:val="005834DD"/>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20B"/>
    <w:rsid w:val="005C132F"/>
    <w:rsid w:val="005C1615"/>
    <w:rsid w:val="005C1D98"/>
    <w:rsid w:val="005C1DA5"/>
    <w:rsid w:val="005C2559"/>
    <w:rsid w:val="005C2873"/>
    <w:rsid w:val="005C28AB"/>
    <w:rsid w:val="005C34FC"/>
    <w:rsid w:val="005C3B5C"/>
    <w:rsid w:val="005C3C7F"/>
    <w:rsid w:val="005C5143"/>
    <w:rsid w:val="005C5639"/>
    <w:rsid w:val="005C5742"/>
    <w:rsid w:val="005C6005"/>
    <w:rsid w:val="005C760E"/>
    <w:rsid w:val="005C7862"/>
    <w:rsid w:val="005C7E9E"/>
    <w:rsid w:val="005D18C9"/>
    <w:rsid w:val="005D1B72"/>
    <w:rsid w:val="005D23BD"/>
    <w:rsid w:val="005D2471"/>
    <w:rsid w:val="005D25A3"/>
    <w:rsid w:val="005D2779"/>
    <w:rsid w:val="005D3242"/>
    <w:rsid w:val="005D610C"/>
    <w:rsid w:val="005D74E7"/>
    <w:rsid w:val="005D7F7B"/>
    <w:rsid w:val="005E24DE"/>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DE6"/>
    <w:rsid w:val="005F2E44"/>
    <w:rsid w:val="005F3690"/>
    <w:rsid w:val="005F3986"/>
    <w:rsid w:val="005F4C57"/>
    <w:rsid w:val="005F588E"/>
    <w:rsid w:val="005F6774"/>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5505"/>
    <w:rsid w:val="006060C4"/>
    <w:rsid w:val="00607C35"/>
    <w:rsid w:val="00611777"/>
    <w:rsid w:val="0061189F"/>
    <w:rsid w:val="0061219B"/>
    <w:rsid w:val="00612D05"/>
    <w:rsid w:val="00613FB6"/>
    <w:rsid w:val="006140C6"/>
    <w:rsid w:val="00614134"/>
    <w:rsid w:val="00614241"/>
    <w:rsid w:val="0061428D"/>
    <w:rsid w:val="00615046"/>
    <w:rsid w:val="00615411"/>
    <w:rsid w:val="00615776"/>
    <w:rsid w:val="0061599E"/>
    <w:rsid w:val="00615AC7"/>
    <w:rsid w:val="006162E6"/>
    <w:rsid w:val="006171A5"/>
    <w:rsid w:val="00620309"/>
    <w:rsid w:val="00620D7E"/>
    <w:rsid w:val="0062159D"/>
    <w:rsid w:val="00621680"/>
    <w:rsid w:val="00621EC5"/>
    <w:rsid w:val="006223E0"/>
    <w:rsid w:val="006224D0"/>
    <w:rsid w:val="00622BCE"/>
    <w:rsid w:val="00622E29"/>
    <w:rsid w:val="00623643"/>
    <w:rsid w:val="006239DF"/>
    <w:rsid w:val="00624018"/>
    <w:rsid w:val="0062406F"/>
    <w:rsid w:val="006240C4"/>
    <w:rsid w:val="00625304"/>
    <w:rsid w:val="0062581B"/>
    <w:rsid w:val="006261F4"/>
    <w:rsid w:val="0063164E"/>
    <w:rsid w:val="0063191D"/>
    <w:rsid w:val="00633488"/>
    <w:rsid w:val="00633581"/>
    <w:rsid w:val="006339AF"/>
    <w:rsid w:val="00633A05"/>
    <w:rsid w:val="00633C47"/>
    <w:rsid w:val="00633E7B"/>
    <w:rsid w:val="006348F7"/>
    <w:rsid w:val="0063512D"/>
    <w:rsid w:val="006358FB"/>
    <w:rsid w:val="00635AE2"/>
    <w:rsid w:val="00635E1E"/>
    <w:rsid w:val="0063613D"/>
    <w:rsid w:val="0063677C"/>
    <w:rsid w:val="00636972"/>
    <w:rsid w:val="00636B69"/>
    <w:rsid w:val="00636BC2"/>
    <w:rsid w:val="006404D1"/>
    <w:rsid w:val="00640AA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5A1E"/>
    <w:rsid w:val="00656253"/>
    <w:rsid w:val="00656799"/>
    <w:rsid w:val="00656B77"/>
    <w:rsid w:val="00656E72"/>
    <w:rsid w:val="006570B1"/>
    <w:rsid w:val="006578A1"/>
    <w:rsid w:val="0065E114"/>
    <w:rsid w:val="0066137B"/>
    <w:rsid w:val="0066174E"/>
    <w:rsid w:val="00661BBB"/>
    <w:rsid w:val="00661E57"/>
    <w:rsid w:val="006626E8"/>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4DD"/>
    <w:rsid w:val="006A561D"/>
    <w:rsid w:val="006A5A0C"/>
    <w:rsid w:val="006A5BA0"/>
    <w:rsid w:val="006A5BB1"/>
    <w:rsid w:val="006A5F88"/>
    <w:rsid w:val="006A7D95"/>
    <w:rsid w:val="006B04CA"/>
    <w:rsid w:val="006B120D"/>
    <w:rsid w:val="006B13C1"/>
    <w:rsid w:val="006B2CC7"/>
    <w:rsid w:val="006B3AF9"/>
    <w:rsid w:val="006B4158"/>
    <w:rsid w:val="006B44C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105C"/>
    <w:rsid w:val="006D30E7"/>
    <w:rsid w:val="006D48E7"/>
    <w:rsid w:val="006D4947"/>
    <w:rsid w:val="006D4C4B"/>
    <w:rsid w:val="006D4D7C"/>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DAA"/>
    <w:rsid w:val="006E7006"/>
    <w:rsid w:val="006E746F"/>
    <w:rsid w:val="006E7652"/>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1893"/>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6CF1"/>
    <w:rsid w:val="00727077"/>
    <w:rsid w:val="00730EA6"/>
    <w:rsid w:val="00731C15"/>
    <w:rsid w:val="00732045"/>
    <w:rsid w:val="007322A0"/>
    <w:rsid w:val="00732C1A"/>
    <w:rsid w:val="00733CDC"/>
    <w:rsid w:val="00734B9A"/>
    <w:rsid w:val="00735695"/>
    <w:rsid w:val="00735863"/>
    <w:rsid w:val="007360CB"/>
    <w:rsid w:val="0073653E"/>
    <w:rsid w:val="00737566"/>
    <w:rsid w:val="00740DDA"/>
    <w:rsid w:val="00741BA2"/>
    <w:rsid w:val="00741CF4"/>
    <w:rsid w:val="00741DCC"/>
    <w:rsid w:val="00741DE2"/>
    <w:rsid w:val="007421A1"/>
    <w:rsid w:val="007427FE"/>
    <w:rsid w:val="00742875"/>
    <w:rsid w:val="00742A47"/>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75C0"/>
    <w:rsid w:val="00757D2F"/>
    <w:rsid w:val="0076000E"/>
    <w:rsid w:val="00760C00"/>
    <w:rsid w:val="007610E9"/>
    <w:rsid w:val="00761728"/>
    <w:rsid w:val="00761C6C"/>
    <w:rsid w:val="00762B72"/>
    <w:rsid w:val="00763CCB"/>
    <w:rsid w:val="007642B4"/>
    <w:rsid w:val="00764C45"/>
    <w:rsid w:val="00765A07"/>
    <w:rsid w:val="00766277"/>
    <w:rsid w:val="0076656A"/>
    <w:rsid w:val="00766701"/>
    <w:rsid w:val="00766911"/>
    <w:rsid w:val="00767793"/>
    <w:rsid w:val="007679D8"/>
    <w:rsid w:val="00770803"/>
    <w:rsid w:val="00771319"/>
    <w:rsid w:val="007713E8"/>
    <w:rsid w:val="00771794"/>
    <w:rsid w:val="00771CCF"/>
    <w:rsid w:val="00771F7D"/>
    <w:rsid w:val="00772C3E"/>
    <w:rsid w:val="00772C54"/>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83E"/>
    <w:rsid w:val="007A3A0F"/>
    <w:rsid w:val="007A3E60"/>
    <w:rsid w:val="007A407D"/>
    <w:rsid w:val="007A464F"/>
    <w:rsid w:val="007A5E15"/>
    <w:rsid w:val="007A6196"/>
    <w:rsid w:val="007A63D5"/>
    <w:rsid w:val="007A689A"/>
    <w:rsid w:val="007A68EA"/>
    <w:rsid w:val="007A6B7D"/>
    <w:rsid w:val="007A7629"/>
    <w:rsid w:val="007B1027"/>
    <w:rsid w:val="007B1691"/>
    <w:rsid w:val="007B174F"/>
    <w:rsid w:val="007B1863"/>
    <w:rsid w:val="007B18C5"/>
    <w:rsid w:val="007B22E0"/>
    <w:rsid w:val="007B28CA"/>
    <w:rsid w:val="007B358D"/>
    <w:rsid w:val="007B5401"/>
    <w:rsid w:val="007B5FB4"/>
    <w:rsid w:val="007B6B2B"/>
    <w:rsid w:val="007B7949"/>
    <w:rsid w:val="007B7D30"/>
    <w:rsid w:val="007C0FA9"/>
    <w:rsid w:val="007C2413"/>
    <w:rsid w:val="007C25AE"/>
    <w:rsid w:val="007C3152"/>
    <w:rsid w:val="007C333B"/>
    <w:rsid w:val="007C3914"/>
    <w:rsid w:val="007C3CEA"/>
    <w:rsid w:val="007C3D92"/>
    <w:rsid w:val="007C3E6F"/>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2063"/>
    <w:rsid w:val="008034BA"/>
    <w:rsid w:val="00804114"/>
    <w:rsid w:val="0080448C"/>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17E"/>
    <w:rsid w:val="008174B2"/>
    <w:rsid w:val="00817CFF"/>
    <w:rsid w:val="0082000D"/>
    <w:rsid w:val="0082037E"/>
    <w:rsid w:val="00820C9C"/>
    <w:rsid w:val="00820F55"/>
    <w:rsid w:val="00821572"/>
    <w:rsid w:val="00821D9C"/>
    <w:rsid w:val="0082207D"/>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BA1"/>
    <w:rsid w:val="00830EB2"/>
    <w:rsid w:val="00831652"/>
    <w:rsid w:val="0083202E"/>
    <w:rsid w:val="0083304F"/>
    <w:rsid w:val="008334C9"/>
    <w:rsid w:val="00834122"/>
    <w:rsid w:val="00834DC7"/>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40A6"/>
    <w:rsid w:val="00854420"/>
    <w:rsid w:val="00854481"/>
    <w:rsid w:val="00857591"/>
    <w:rsid w:val="00857E88"/>
    <w:rsid w:val="008606BF"/>
    <w:rsid w:val="008612DB"/>
    <w:rsid w:val="008619F9"/>
    <w:rsid w:val="00861B57"/>
    <w:rsid w:val="00862AC4"/>
    <w:rsid w:val="008633AC"/>
    <w:rsid w:val="008634E3"/>
    <w:rsid w:val="00864627"/>
    <w:rsid w:val="00864635"/>
    <w:rsid w:val="00864678"/>
    <w:rsid w:val="00864C1A"/>
    <w:rsid w:val="00865217"/>
    <w:rsid w:val="0086578D"/>
    <w:rsid w:val="008658AA"/>
    <w:rsid w:val="00865CBD"/>
    <w:rsid w:val="0086665C"/>
    <w:rsid w:val="00866E37"/>
    <w:rsid w:val="00866F9E"/>
    <w:rsid w:val="008672E2"/>
    <w:rsid w:val="0086793D"/>
    <w:rsid w:val="00867B1C"/>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84C"/>
    <w:rsid w:val="00877A77"/>
    <w:rsid w:val="00881511"/>
    <w:rsid w:val="0088194A"/>
    <w:rsid w:val="00882448"/>
    <w:rsid w:val="00882F1D"/>
    <w:rsid w:val="00883A4D"/>
    <w:rsid w:val="00883B21"/>
    <w:rsid w:val="00883F8F"/>
    <w:rsid w:val="00884235"/>
    <w:rsid w:val="00885285"/>
    <w:rsid w:val="00885985"/>
    <w:rsid w:val="00886699"/>
    <w:rsid w:val="00886A21"/>
    <w:rsid w:val="0088709A"/>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7D9"/>
    <w:rsid w:val="008B0D0E"/>
    <w:rsid w:val="008B12BB"/>
    <w:rsid w:val="008B1411"/>
    <w:rsid w:val="008B17A2"/>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0F4"/>
    <w:rsid w:val="008C7685"/>
    <w:rsid w:val="008D007A"/>
    <w:rsid w:val="008D07DE"/>
    <w:rsid w:val="008D0831"/>
    <w:rsid w:val="008D0E40"/>
    <w:rsid w:val="008D1E7F"/>
    <w:rsid w:val="008D2367"/>
    <w:rsid w:val="008D312C"/>
    <w:rsid w:val="008D427A"/>
    <w:rsid w:val="008D496B"/>
    <w:rsid w:val="008D4DD5"/>
    <w:rsid w:val="008D5657"/>
    <w:rsid w:val="008D5F2F"/>
    <w:rsid w:val="008D6752"/>
    <w:rsid w:val="008D69E7"/>
    <w:rsid w:val="008D6FC1"/>
    <w:rsid w:val="008E0140"/>
    <w:rsid w:val="008E0688"/>
    <w:rsid w:val="008E0BEF"/>
    <w:rsid w:val="008E266D"/>
    <w:rsid w:val="008E2F0C"/>
    <w:rsid w:val="008E3E23"/>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F59"/>
    <w:rsid w:val="00902E5B"/>
    <w:rsid w:val="00903FD9"/>
    <w:rsid w:val="00904CF5"/>
    <w:rsid w:val="009050D7"/>
    <w:rsid w:val="00905259"/>
    <w:rsid w:val="0090556C"/>
    <w:rsid w:val="00905633"/>
    <w:rsid w:val="00905EAE"/>
    <w:rsid w:val="009060C4"/>
    <w:rsid w:val="00906C91"/>
    <w:rsid w:val="00906C95"/>
    <w:rsid w:val="00906D10"/>
    <w:rsid w:val="00907656"/>
    <w:rsid w:val="00907785"/>
    <w:rsid w:val="00907DDA"/>
    <w:rsid w:val="00907E47"/>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2828"/>
    <w:rsid w:val="009333D3"/>
    <w:rsid w:val="009339B6"/>
    <w:rsid w:val="00933B4C"/>
    <w:rsid w:val="00933DC4"/>
    <w:rsid w:val="0093431B"/>
    <w:rsid w:val="009346D6"/>
    <w:rsid w:val="00934743"/>
    <w:rsid w:val="0093487E"/>
    <w:rsid w:val="00934FFE"/>
    <w:rsid w:val="009358EA"/>
    <w:rsid w:val="00936405"/>
    <w:rsid w:val="00936B64"/>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2468"/>
    <w:rsid w:val="00954767"/>
    <w:rsid w:val="0095487A"/>
    <w:rsid w:val="009548CB"/>
    <w:rsid w:val="009548FB"/>
    <w:rsid w:val="0095538B"/>
    <w:rsid w:val="0095695D"/>
    <w:rsid w:val="00957A9E"/>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4D1"/>
    <w:rsid w:val="00971761"/>
    <w:rsid w:val="009719A9"/>
    <w:rsid w:val="0097216F"/>
    <w:rsid w:val="00972180"/>
    <w:rsid w:val="00972C3B"/>
    <w:rsid w:val="00973057"/>
    <w:rsid w:val="00973604"/>
    <w:rsid w:val="00974D50"/>
    <w:rsid w:val="009751AF"/>
    <w:rsid w:val="00975326"/>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3B"/>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A0169"/>
    <w:rsid w:val="009A1B56"/>
    <w:rsid w:val="009A331A"/>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0CE4"/>
    <w:rsid w:val="009B14E2"/>
    <w:rsid w:val="009B1B0E"/>
    <w:rsid w:val="009B2596"/>
    <w:rsid w:val="009B42B6"/>
    <w:rsid w:val="009B42CC"/>
    <w:rsid w:val="009B43D6"/>
    <w:rsid w:val="009B5081"/>
    <w:rsid w:val="009B6985"/>
    <w:rsid w:val="009B69B3"/>
    <w:rsid w:val="009B7011"/>
    <w:rsid w:val="009B71E4"/>
    <w:rsid w:val="009C04EE"/>
    <w:rsid w:val="009C0CD4"/>
    <w:rsid w:val="009C115D"/>
    <w:rsid w:val="009C15E7"/>
    <w:rsid w:val="009C17C8"/>
    <w:rsid w:val="009C385B"/>
    <w:rsid w:val="009C3E3C"/>
    <w:rsid w:val="009C4353"/>
    <w:rsid w:val="009C49C2"/>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316"/>
    <w:rsid w:val="009E1515"/>
    <w:rsid w:val="009E1CFF"/>
    <w:rsid w:val="009E1FEE"/>
    <w:rsid w:val="009E23EA"/>
    <w:rsid w:val="009E2D24"/>
    <w:rsid w:val="009E2E5D"/>
    <w:rsid w:val="009E2EA0"/>
    <w:rsid w:val="009E305F"/>
    <w:rsid w:val="009E3417"/>
    <w:rsid w:val="009E36EF"/>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05"/>
    <w:rsid w:val="009F4188"/>
    <w:rsid w:val="009F4302"/>
    <w:rsid w:val="009F4393"/>
    <w:rsid w:val="009F4BE9"/>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6446"/>
    <w:rsid w:val="00A06697"/>
    <w:rsid w:val="00A06C40"/>
    <w:rsid w:val="00A103C1"/>
    <w:rsid w:val="00A10586"/>
    <w:rsid w:val="00A107C9"/>
    <w:rsid w:val="00A10A48"/>
    <w:rsid w:val="00A110DA"/>
    <w:rsid w:val="00A1132B"/>
    <w:rsid w:val="00A11930"/>
    <w:rsid w:val="00A11B54"/>
    <w:rsid w:val="00A11CDC"/>
    <w:rsid w:val="00A1207B"/>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6BC"/>
    <w:rsid w:val="00A23931"/>
    <w:rsid w:val="00A23FD6"/>
    <w:rsid w:val="00A25317"/>
    <w:rsid w:val="00A25706"/>
    <w:rsid w:val="00A25C26"/>
    <w:rsid w:val="00A25D84"/>
    <w:rsid w:val="00A26029"/>
    <w:rsid w:val="00A262E4"/>
    <w:rsid w:val="00A267C2"/>
    <w:rsid w:val="00A268EA"/>
    <w:rsid w:val="00A26F8C"/>
    <w:rsid w:val="00A2703A"/>
    <w:rsid w:val="00A31CE0"/>
    <w:rsid w:val="00A31FA9"/>
    <w:rsid w:val="00A333BF"/>
    <w:rsid w:val="00A33825"/>
    <w:rsid w:val="00A3398F"/>
    <w:rsid w:val="00A34598"/>
    <w:rsid w:val="00A34749"/>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47C4B"/>
    <w:rsid w:val="00A501B2"/>
    <w:rsid w:val="00A502C2"/>
    <w:rsid w:val="00A5034A"/>
    <w:rsid w:val="00A50C09"/>
    <w:rsid w:val="00A50FFA"/>
    <w:rsid w:val="00A539D1"/>
    <w:rsid w:val="00A54DAE"/>
    <w:rsid w:val="00A56D3B"/>
    <w:rsid w:val="00A57450"/>
    <w:rsid w:val="00A57479"/>
    <w:rsid w:val="00A57C08"/>
    <w:rsid w:val="00A600D9"/>
    <w:rsid w:val="00A604CD"/>
    <w:rsid w:val="00A620BD"/>
    <w:rsid w:val="00A637A0"/>
    <w:rsid w:val="00A63ECD"/>
    <w:rsid w:val="00A64093"/>
    <w:rsid w:val="00A640EB"/>
    <w:rsid w:val="00A6412F"/>
    <w:rsid w:val="00A64815"/>
    <w:rsid w:val="00A65043"/>
    <w:rsid w:val="00A66DF9"/>
    <w:rsid w:val="00A704E4"/>
    <w:rsid w:val="00A706FC"/>
    <w:rsid w:val="00A70BD2"/>
    <w:rsid w:val="00A7136A"/>
    <w:rsid w:val="00A71C44"/>
    <w:rsid w:val="00A7204C"/>
    <w:rsid w:val="00A72296"/>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1FC"/>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08B"/>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06B4"/>
    <w:rsid w:val="00AB15C5"/>
    <w:rsid w:val="00AB15DA"/>
    <w:rsid w:val="00AB2085"/>
    <w:rsid w:val="00AB2151"/>
    <w:rsid w:val="00AB235B"/>
    <w:rsid w:val="00AB2C59"/>
    <w:rsid w:val="00AB2C71"/>
    <w:rsid w:val="00AB2C8A"/>
    <w:rsid w:val="00AB42B6"/>
    <w:rsid w:val="00AB4A01"/>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55D"/>
    <w:rsid w:val="00AC47EC"/>
    <w:rsid w:val="00AC4E5D"/>
    <w:rsid w:val="00AC4E92"/>
    <w:rsid w:val="00AC520B"/>
    <w:rsid w:val="00AC6C53"/>
    <w:rsid w:val="00AC6E85"/>
    <w:rsid w:val="00AC7284"/>
    <w:rsid w:val="00AC7CE6"/>
    <w:rsid w:val="00AD0828"/>
    <w:rsid w:val="00AD0B13"/>
    <w:rsid w:val="00AD0E69"/>
    <w:rsid w:val="00AD103D"/>
    <w:rsid w:val="00AD159C"/>
    <w:rsid w:val="00AD17FA"/>
    <w:rsid w:val="00AD19EC"/>
    <w:rsid w:val="00AD2717"/>
    <w:rsid w:val="00AD3644"/>
    <w:rsid w:val="00AD3C99"/>
    <w:rsid w:val="00AD3DC4"/>
    <w:rsid w:val="00AD4A46"/>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2AE"/>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A08"/>
    <w:rsid w:val="00B05F14"/>
    <w:rsid w:val="00B06737"/>
    <w:rsid w:val="00B0784C"/>
    <w:rsid w:val="00B07C46"/>
    <w:rsid w:val="00B07CE9"/>
    <w:rsid w:val="00B101D5"/>
    <w:rsid w:val="00B10633"/>
    <w:rsid w:val="00B10B08"/>
    <w:rsid w:val="00B10D50"/>
    <w:rsid w:val="00B11A78"/>
    <w:rsid w:val="00B11CFB"/>
    <w:rsid w:val="00B12111"/>
    <w:rsid w:val="00B12804"/>
    <w:rsid w:val="00B12A1F"/>
    <w:rsid w:val="00B133A0"/>
    <w:rsid w:val="00B13E18"/>
    <w:rsid w:val="00B14109"/>
    <w:rsid w:val="00B14410"/>
    <w:rsid w:val="00B145B4"/>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1B3A"/>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48F"/>
    <w:rsid w:val="00B77C37"/>
    <w:rsid w:val="00B807BF"/>
    <w:rsid w:val="00B809B1"/>
    <w:rsid w:val="00B80DDB"/>
    <w:rsid w:val="00B82543"/>
    <w:rsid w:val="00B82998"/>
    <w:rsid w:val="00B834B0"/>
    <w:rsid w:val="00B837F6"/>
    <w:rsid w:val="00B83DAE"/>
    <w:rsid w:val="00B84FB4"/>
    <w:rsid w:val="00B860E6"/>
    <w:rsid w:val="00B8756E"/>
    <w:rsid w:val="00B87A7D"/>
    <w:rsid w:val="00B87DF9"/>
    <w:rsid w:val="00B91951"/>
    <w:rsid w:val="00B91A58"/>
    <w:rsid w:val="00B91EAD"/>
    <w:rsid w:val="00B920B9"/>
    <w:rsid w:val="00B930D2"/>
    <w:rsid w:val="00B937CD"/>
    <w:rsid w:val="00B938BC"/>
    <w:rsid w:val="00B93997"/>
    <w:rsid w:val="00B93C98"/>
    <w:rsid w:val="00B93DF6"/>
    <w:rsid w:val="00B97601"/>
    <w:rsid w:val="00B976BB"/>
    <w:rsid w:val="00BA01A7"/>
    <w:rsid w:val="00BA0224"/>
    <w:rsid w:val="00BA05C8"/>
    <w:rsid w:val="00BA09AA"/>
    <w:rsid w:val="00BA0AD5"/>
    <w:rsid w:val="00BA0CA0"/>
    <w:rsid w:val="00BA0E3C"/>
    <w:rsid w:val="00BA1F74"/>
    <w:rsid w:val="00BA1FE7"/>
    <w:rsid w:val="00BA2B1D"/>
    <w:rsid w:val="00BA386F"/>
    <w:rsid w:val="00BA3D14"/>
    <w:rsid w:val="00BA435A"/>
    <w:rsid w:val="00BA54BA"/>
    <w:rsid w:val="00BA5603"/>
    <w:rsid w:val="00BA56D9"/>
    <w:rsid w:val="00BA6194"/>
    <w:rsid w:val="00BA6CE3"/>
    <w:rsid w:val="00BA7EEE"/>
    <w:rsid w:val="00BB2008"/>
    <w:rsid w:val="00BB29DF"/>
    <w:rsid w:val="00BB2CFC"/>
    <w:rsid w:val="00BB34DC"/>
    <w:rsid w:val="00BB35D0"/>
    <w:rsid w:val="00BB3883"/>
    <w:rsid w:val="00BB3AC4"/>
    <w:rsid w:val="00BB44F0"/>
    <w:rsid w:val="00BB4999"/>
    <w:rsid w:val="00BB4BCD"/>
    <w:rsid w:val="00BB56C7"/>
    <w:rsid w:val="00BB5B62"/>
    <w:rsid w:val="00BB6502"/>
    <w:rsid w:val="00BB6BCD"/>
    <w:rsid w:val="00BB70F9"/>
    <w:rsid w:val="00BB7C9B"/>
    <w:rsid w:val="00BC1527"/>
    <w:rsid w:val="00BC2306"/>
    <w:rsid w:val="00BC2F31"/>
    <w:rsid w:val="00BC316E"/>
    <w:rsid w:val="00BC4036"/>
    <w:rsid w:val="00BC4F0A"/>
    <w:rsid w:val="00BC509F"/>
    <w:rsid w:val="00BC51D2"/>
    <w:rsid w:val="00BC555E"/>
    <w:rsid w:val="00BC594B"/>
    <w:rsid w:val="00BC64BE"/>
    <w:rsid w:val="00BC7155"/>
    <w:rsid w:val="00BC7550"/>
    <w:rsid w:val="00BD0B72"/>
    <w:rsid w:val="00BD2668"/>
    <w:rsid w:val="00BD2FEB"/>
    <w:rsid w:val="00BD3924"/>
    <w:rsid w:val="00BD3C33"/>
    <w:rsid w:val="00BD450F"/>
    <w:rsid w:val="00BD4512"/>
    <w:rsid w:val="00BD52AA"/>
    <w:rsid w:val="00BD5E4A"/>
    <w:rsid w:val="00BD6D3E"/>
    <w:rsid w:val="00BD7FF4"/>
    <w:rsid w:val="00BE1061"/>
    <w:rsid w:val="00BE1321"/>
    <w:rsid w:val="00BE2893"/>
    <w:rsid w:val="00BE28CC"/>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FED"/>
    <w:rsid w:val="00C14E7D"/>
    <w:rsid w:val="00C15722"/>
    <w:rsid w:val="00C16103"/>
    <w:rsid w:val="00C16897"/>
    <w:rsid w:val="00C17E76"/>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24D"/>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A03"/>
    <w:rsid w:val="00C83EDD"/>
    <w:rsid w:val="00C84505"/>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FF5"/>
    <w:rsid w:val="00C937BA"/>
    <w:rsid w:val="00C949FC"/>
    <w:rsid w:val="00C94B5C"/>
    <w:rsid w:val="00C960CF"/>
    <w:rsid w:val="00C96672"/>
    <w:rsid w:val="00C96678"/>
    <w:rsid w:val="00C96772"/>
    <w:rsid w:val="00C96A11"/>
    <w:rsid w:val="00C96CFA"/>
    <w:rsid w:val="00C96E5A"/>
    <w:rsid w:val="00C96EB5"/>
    <w:rsid w:val="00CA0257"/>
    <w:rsid w:val="00CA0917"/>
    <w:rsid w:val="00CA102B"/>
    <w:rsid w:val="00CA283D"/>
    <w:rsid w:val="00CA2918"/>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9E4"/>
    <w:rsid w:val="00CE4282"/>
    <w:rsid w:val="00CE4C6A"/>
    <w:rsid w:val="00CE51A5"/>
    <w:rsid w:val="00CE54E1"/>
    <w:rsid w:val="00CE55B6"/>
    <w:rsid w:val="00CE5856"/>
    <w:rsid w:val="00CE5BDE"/>
    <w:rsid w:val="00CE6A6D"/>
    <w:rsid w:val="00CE774C"/>
    <w:rsid w:val="00CF012E"/>
    <w:rsid w:val="00CF04D4"/>
    <w:rsid w:val="00CF0B4C"/>
    <w:rsid w:val="00CF1680"/>
    <w:rsid w:val="00CF1780"/>
    <w:rsid w:val="00CF1BD7"/>
    <w:rsid w:val="00CF1E21"/>
    <w:rsid w:val="00CF21A5"/>
    <w:rsid w:val="00CF2518"/>
    <w:rsid w:val="00CF2DDE"/>
    <w:rsid w:val="00CF344A"/>
    <w:rsid w:val="00CF39A0"/>
    <w:rsid w:val="00CF3D1C"/>
    <w:rsid w:val="00CF4713"/>
    <w:rsid w:val="00CF477B"/>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426"/>
    <w:rsid w:val="00D0482F"/>
    <w:rsid w:val="00D04A33"/>
    <w:rsid w:val="00D05892"/>
    <w:rsid w:val="00D06824"/>
    <w:rsid w:val="00D06C03"/>
    <w:rsid w:val="00D1037A"/>
    <w:rsid w:val="00D10499"/>
    <w:rsid w:val="00D10D09"/>
    <w:rsid w:val="00D1163E"/>
    <w:rsid w:val="00D12362"/>
    <w:rsid w:val="00D12A4F"/>
    <w:rsid w:val="00D14C15"/>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171B"/>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A91"/>
    <w:rsid w:val="00D40CE9"/>
    <w:rsid w:val="00D40D0B"/>
    <w:rsid w:val="00D42115"/>
    <w:rsid w:val="00D42EFD"/>
    <w:rsid w:val="00D457D1"/>
    <w:rsid w:val="00D458AA"/>
    <w:rsid w:val="00D46009"/>
    <w:rsid w:val="00D46338"/>
    <w:rsid w:val="00D46BA2"/>
    <w:rsid w:val="00D47234"/>
    <w:rsid w:val="00D47281"/>
    <w:rsid w:val="00D47581"/>
    <w:rsid w:val="00D50295"/>
    <w:rsid w:val="00D5069A"/>
    <w:rsid w:val="00D50E43"/>
    <w:rsid w:val="00D51469"/>
    <w:rsid w:val="00D52B45"/>
    <w:rsid w:val="00D530EB"/>
    <w:rsid w:val="00D53393"/>
    <w:rsid w:val="00D535B6"/>
    <w:rsid w:val="00D5451D"/>
    <w:rsid w:val="00D55235"/>
    <w:rsid w:val="00D55D78"/>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4160"/>
    <w:rsid w:val="00D744CC"/>
    <w:rsid w:val="00D75D22"/>
    <w:rsid w:val="00D75DA5"/>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00C"/>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D86"/>
    <w:rsid w:val="00DB6F45"/>
    <w:rsid w:val="00DB72B7"/>
    <w:rsid w:val="00DB7546"/>
    <w:rsid w:val="00DB7E60"/>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464"/>
    <w:rsid w:val="00DC66BC"/>
    <w:rsid w:val="00DC727F"/>
    <w:rsid w:val="00DC7E78"/>
    <w:rsid w:val="00DD0493"/>
    <w:rsid w:val="00DD0924"/>
    <w:rsid w:val="00DD0CBF"/>
    <w:rsid w:val="00DD1071"/>
    <w:rsid w:val="00DD12FD"/>
    <w:rsid w:val="00DD1576"/>
    <w:rsid w:val="00DD20E4"/>
    <w:rsid w:val="00DD21B6"/>
    <w:rsid w:val="00DD2893"/>
    <w:rsid w:val="00DD4717"/>
    <w:rsid w:val="00DD4F74"/>
    <w:rsid w:val="00DD531F"/>
    <w:rsid w:val="00DD556C"/>
    <w:rsid w:val="00DD5737"/>
    <w:rsid w:val="00DD5E81"/>
    <w:rsid w:val="00DD6C46"/>
    <w:rsid w:val="00DD6C7A"/>
    <w:rsid w:val="00DD6F44"/>
    <w:rsid w:val="00DD7CCA"/>
    <w:rsid w:val="00DE0BDE"/>
    <w:rsid w:val="00DE0DCC"/>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3E02"/>
    <w:rsid w:val="00E04510"/>
    <w:rsid w:val="00E04784"/>
    <w:rsid w:val="00E05569"/>
    <w:rsid w:val="00E05A6C"/>
    <w:rsid w:val="00E05F59"/>
    <w:rsid w:val="00E0655D"/>
    <w:rsid w:val="00E07A1A"/>
    <w:rsid w:val="00E1024A"/>
    <w:rsid w:val="00E10B17"/>
    <w:rsid w:val="00E10B67"/>
    <w:rsid w:val="00E12029"/>
    <w:rsid w:val="00E12742"/>
    <w:rsid w:val="00E12AB9"/>
    <w:rsid w:val="00E12B67"/>
    <w:rsid w:val="00E141D3"/>
    <w:rsid w:val="00E14941"/>
    <w:rsid w:val="00E15145"/>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537"/>
    <w:rsid w:val="00E31B6D"/>
    <w:rsid w:val="00E31C2D"/>
    <w:rsid w:val="00E32432"/>
    <w:rsid w:val="00E33B1E"/>
    <w:rsid w:val="00E34277"/>
    <w:rsid w:val="00E35C6C"/>
    <w:rsid w:val="00E3621B"/>
    <w:rsid w:val="00E36D6F"/>
    <w:rsid w:val="00E36F43"/>
    <w:rsid w:val="00E37332"/>
    <w:rsid w:val="00E37F0C"/>
    <w:rsid w:val="00E40ADF"/>
    <w:rsid w:val="00E418E3"/>
    <w:rsid w:val="00E41F8B"/>
    <w:rsid w:val="00E423DE"/>
    <w:rsid w:val="00E4296F"/>
    <w:rsid w:val="00E42F07"/>
    <w:rsid w:val="00E4370F"/>
    <w:rsid w:val="00E4441D"/>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934"/>
    <w:rsid w:val="00E81069"/>
    <w:rsid w:val="00E817AD"/>
    <w:rsid w:val="00E817EF"/>
    <w:rsid w:val="00E8184F"/>
    <w:rsid w:val="00E8192B"/>
    <w:rsid w:val="00E828D5"/>
    <w:rsid w:val="00E82D81"/>
    <w:rsid w:val="00E83259"/>
    <w:rsid w:val="00E839BE"/>
    <w:rsid w:val="00E83CAC"/>
    <w:rsid w:val="00E84C89"/>
    <w:rsid w:val="00E85357"/>
    <w:rsid w:val="00E85E56"/>
    <w:rsid w:val="00E860DD"/>
    <w:rsid w:val="00E8713D"/>
    <w:rsid w:val="00E87DAB"/>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B20"/>
    <w:rsid w:val="00EC0B89"/>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3890"/>
    <w:rsid w:val="00ED4206"/>
    <w:rsid w:val="00ED58A2"/>
    <w:rsid w:val="00ED58C3"/>
    <w:rsid w:val="00ED5C71"/>
    <w:rsid w:val="00ED5EEE"/>
    <w:rsid w:val="00ED667C"/>
    <w:rsid w:val="00ED7966"/>
    <w:rsid w:val="00EE01CC"/>
    <w:rsid w:val="00EE04EE"/>
    <w:rsid w:val="00EE1760"/>
    <w:rsid w:val="00EE18B6"/>
    <w:rsid w:val="00EE25E3"/>
    <w:rsid w:val="00EE287D"/>
    <w:rsid w:val="00EE3111"/>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599F"/>
    <w:rsid w:val="00EF708A"/>
    <w:rsid w:val="00EF72C3"/>
    <w:rsid w:val="00EF7768"/>
    <w:rsid w:val="00EF79CE"/>
    <w:rsid w:val="00F00152"/>
    <w:rsid w:val="00F00352"/>
    <w:rsid w:val="00F00997"/>
    <w:rsid w:val="00F00B1B"/>
    <w:rsid w:val="00F00E37"/>
    <w:rsid w:val="00F010EE"/>
    <w:rsid w:val="00F01383"/>
    <w:rsid w:val="00F0167D"/>
    <w:rsid w:val="00F0177A"/>
    <w:rsid w:val="00F019D5"/>
    <w:rsid w:val="00F01E9B"/>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14A"/>
    <w:rsid w:val="00F22337"/>
    <w:rsid w:val="00F22D65"/>
    <w:rsid w:val="00F23175"/>
    <w:rsid w:val="00F23FB0"/>
    <w:rsid w:val="00F2480A"/>
    <w:rsid w:val="00F24891"/>
    <w:rsid w:val="00F24B9F"/>
    <w:rsid w:val="00F24CA6"/>
    <w:rsid w:val="00F25079"/>
    <w:rsid w:val="00F256AE"/>
    <w:rsid w:val="00F25773"/>
    <w:rsid w:val="00F257FA"/>
    <w:rsid w:val="00F26004"/>
    <w:rsid w:val="00F270E8"/>
    <w:rsid w:val="00F27EF5"/>
    <w:rsid w:val="00F27FDB"/>
    <w:rsid w:val="00F30251"/>
    <w:rsid w:val="00F305CC"/>
    <w:rsid w:val="00F3179A"/>
    <w:rsid w:val="00F31D54"/>
    <w:rsid w:val="00F31D8B"/>
    <w:rsid w:val="00F32357"/>
    <w:rsid w:val="00F32C70"/>
    <w:rsid w:val="00F34E02"/>
    <w:rsid w:val="00F3549E"/>
    <w:rsid w:val="00F365A7"/>
    <w:rsid w:val="00F3681C"/>
    <w:rsid w:val="00F371C1"/>
    <w:rsid w:val="00F3769D"/>
    <w:rsid w:val="00F404F4"/>
    <w:rsid w:val="00F4143E"/>
    <w:rsid w:val="00F41CC5"/>
    <w:rsid w:val="00F41D25"/>
    <w:rsid w:val="00F423C2"/>
    <w:rsid w:val="00F433F8"/>
    <w:rsid w:val="00F433FE"/>
    <w:rsid w:val="00F43627"/>
    <w:rsid w:val="00F43781"/>
    <w:rsid w:val="00F4463C"/>
    <w:rsid w:val="00F46447"/>
    <w:rsid w:val="00F473A5"/>
    <w:rsid w:val="00F473F3"/>
    <w:rsid w:val="00F474B8"/>
    <w:rsid w:val="00F478CA"/>
    <w:rsid w:val="00F47CE2"/>
    <w:rsid w:val="00F501F3"/>
    <w:rsid w:val="00F50A98"/>
    <w:rsid w:val="00F50E5F"/>
    <w:rsid w:val="00F51460"/>
    <w:rsid w:val="00F51667"/>
    <w:rsid w:val="00F51D65"/>
    <w:rsid w:val="00F521DC"/>
    <w:rsid w:val="00F525D9"/>
    <w:rsid w:val="00F53199"/>
    <w:rsid w:val="00F541A1"/>
    <w:rsid w:val="00F54B09"/>
    <w:rsid w:val="00F54BEA"/>
    <w:rsid w:val="00F54E8A"/>
    <w:rsid w:val="00F55386"/>
    <w:rsid w:val="00F559A8"/>
    <w:rsid w:val="00F55C21"/>
    <w:rsid w:val="00F55E2E"/>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5B68"/>
    <w:rsid w:val="00F67846"/>
    <w:rsid w:val="00F67B42"/>
    <w:rsid w:val="00F67DAA"/>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87D02"/>
    <w:rsid w:val="00F902D2"/>
    <w:rsid w:val="00F90B12"/>
    <w:rsid w:val="00F90CBD"/>
    <w:rsid w:val="00F9109E"/>
    <w:rsid w:val="00F9177E"/>
    <w:rsid w:val="00F91E4F"/>
    <w:rsid w:val="00F91FDF"/>
    <w:rsid w:val="00F92AA1"/>
    <w:rsid w:val="00F92FDC"/>
    <w:rsid w:val="00F931D2"/>
    <w:rsid w:val="00F93431"/>
    <w:rsid w:val="00F93A4A"/>
    <w:rsid w:val="00F93D27"/>
    <w:rsid w:val="00F94636"/>
    <w:rsid w:val="00F95DD6"/>
    <w:rsid w:val="00F96370"/>
    <w:rsid w:val="00F96D69"/>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4E0"/>
    <w:rsid w:val="00FE55F0"/>
    <w:rsid w:val="00FE6331"/>
    <w:rsid w:val="00FE685B"/>
    <w:rsid w:val="00FE68C0"/>
    <w:rsid w:val="00FE6C12"/>
    <w:rsid w:val="00FE785C"/>
    <w:rsid w:val="00FE7894"/>
    <w:rsid w:val="00FF01FA"/>
    <w:rsid w:val="00FF21B5"/>
    <w:rsid w:val="00FF21C3"/>
    <w:rsid w:val="00FF2A11"/>
    <w:rsid w:val="00FF2AA0"/>
    <w:rsid w:val="00FF3D56"/>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93C9A"/>
  <w15:docId w15:val="{918A1451-CEDD-40AC-B84D-C26C721D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D02"/>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5C6005"/>
    <w:pPr>
      <w:keepNext/>
      <w:tabs>
        <w:tab w:val="left" w:pos="851"/>
      </w:tabs>
      <w:spacing w:before="240" w:after="360" w:line="600" w:lineRule="atLeast"/>
      <w:jc w:val="left"/>
      <w:outlineLvl w:val="0"/>
    </w:pPr>
    <w:rPr>
      <w:rFonts w:ascii="Georgia" w:eastAsiaTheme="majorEastAsia" w:hAnsi="Georgia" w:cstheme="majorBidi"/>
      <w:b/>
      <w:bCs/>
      <w:color w:val="1B556B"/>
      <w:sz w:val="40"/>
      <w:szCs w:val="28"/>
    </w:rPr>
  </w:style>
  <w:style w:type="paragraph" w:styleId="Heading2">
    <w:name w:val="heading 2"/>
    <w:basedOn w:val="Normal"/>
    <w:next w:val="BodyText"/>
    <w:link w:val="Heading2Char"/>
    <w:qFormat/>
    <w:rsid w:val="00640AA1"/>
    <w:pPr>
      <w:keepNext/>
      <w:tabs>
        <w:tab w:val="left" w:pos="851"/>
      </w:tabs>
      <w:spacing w:before="360" w:after="0" w:line="440" w:lineRule="atLeast"/>
      <w:jc w:val="left"/>
      <w:outlineLvl w:val="1"/>
    </w:pPr>
    <w:rPr>
      <w:rFonts w:ascii="Georgia" w:eastAsiaTheme="majorEastAsia" w:hAnsi="Georgia" w:cstheme="majorBidi"/>
      <w:b/>
      <w:bCs/>
      <w:color w:val="1B556B"/>
      <w:sz w:val="32"/>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005"/>
    <w:rPr>
      <w:rFonts w:ascii="Georgia" w:eastAsiaTheme="majorEastAsia" w:hAnsi="Georgia" w:cstheme="majorBidi"/>
      <w:b/>
      <w:bCs/>
      <w:color w:val="1B556B"/>
      <w:sz w:val="40"/>
      <w:szCs w:val="28"/>
    </w:rPr>
  </w:style>
  <w:style w:type="character" w:customStyle="1" w:styleId="Heading2Char">
    <w:name w:val="Heading 2 Char"/>
    <w:basedOn w:val="DefaultParagraphFont"/>
    <w:link w:val="Heading2"/>
    <w:rsid w:val="00640AA1"/>
    <w:rPr>
      <w:rFonts w:ascii="Georgia" w:eastAsiaTheme="majorEastAsia" w:hAnsi="Georgia" w:cstheme="majorBidi"/>
      <w:b/>
      <w:bCs/>
      <w:color w:val="1B556B"/>
      <w:sz w:val="32"/>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uiPriority w:val="99"/>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3B2986"/>
    <w:pPr>
      <w:jc w:val="left"/>
    </w:pPr>
    <w:rPr>
      <w:rFonts w:ascii="Georgia" w:hAnsi="Georgia"/>
      <w:b/>
      <w:bCs/>
      <w:color w:val="1B556B" w:themeColor="text2"/>
      <w:sz w:val="56"/>
      <w:szCs w:val="56"/>
    </w:rPr>
  </w:style>
  <w:style w:type="character" w:customStyle="1" w:styleId="TitleChar">
    <w:name w:val="Title Char"/>
    <w:link w:val="Title"/>
    <w:uiPriority w:val="2"/>
    <w:rsid w:val="003B2986"/>
    <w:rPr>
      <w:rFonts w:ascii="Georgia" w:eastAsia="Times New Roman" w:hAnsi="Georgia"/>
      <w:b/>
      <w:bCs/>
      <w:color w:val="1B556B" w:themeColor="text2"/>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2"/>
    <w:rsid w:val="006E2E45"/>
    <w:pPr>
      <w:tabs>
        <w:tab w:val="right" w:pos="8505"/>
        <w:tab w:val="right" w:pos="9072"/>
      </w:tabs>
      <w:jc w:val="left"/>
    </w:pPr>
    <w:rPr>
      <w:sz w:val="16"/>
    </w:rPr>
  </w:style>
  <w:style w:type="paragraph" w:customStyle="1" w:styleId="Footereven">
    <w:name w:val="Footer even"/>
    <w:basedOn w:val="Normal"/>
    <w:uiPriority w:val="2"/>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Segoe UI" w:eastAsia="Times New Roman" w:hAnsi="Segoe UI"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Segoe UI" w:eastAsia="Times New Roman" w:hAnsi="Segoe UI"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Segoe UI" w:eastAsia="Times New Roman" w:hAnsi="Segoe UI"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zh-CN"/>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normaltextrun">
    <w:name w:val="normaltextrun"/>
    <w:basedOn w:val="DefaultParagraphFont"/>
    <w:rsid w:val="009548CB"/>
  </w:style>
  <w:style w:type="character" w:customStyle="1" w:styleId="eop">
    <w:name w:val="eop"/>
    <w:basedOn w:val="DefaultParagraphFont"/>
    <w:rsid w:val="009548CB"/>
  </w:style>
  <w:style w:type="paragraph" w:customStyle="1" w:styleId="paragraph">
    <w:name w:val="paragraph"/>
    <w:basedOn w:val="Normal"/>
    <w:rsid w:val="00CF1780"/>
    <w:pPr>
      <w:spacing w:before="100" w:beforeAutospacing="1" w:after="100" w:afterAutospacing="1" w:line="240" w:lineRule="auto"/>
      <w:jc w:val="left"/>
    </w:pPr>
    <w:rPr>
      <w:rFonts w:ascii="Times New Roman" w:hAnsi="Times New Roman"/>
      <w:sz w:val="24"/>
      <w:szCs w:val="24"/>
    </w:rPr>
  </w:style>
  <w:style w:type="paragraph" w:customStyle="1" w:styleId="Headerinfo">
    <w:name w:val="Header info"/>
    <w:basedOn w:val="Title"/>
    <w:qFormat/>
    <w:rsid w:val="00DA500C"/>
    <w:pPr>
      <w:ind w:right="-710"/>
    </w:pPr>
    <w:rPr>
      <w:rFonts w:asciiTheme="minorHAnsi" w:hAnsiTheme="minorHAnsi" w:cstheme="minorHAnsi"/>
      <w:b w:val="0"/>
      <w:color w:val="FFFFFF" w:themeColor="background1"/>
      <w:sz w:val="22"/>
      <w:szCs w:val="22"/>
    </w:rPr>
  </w:style>
  <w:style w:type="paragraph" w:styleId="NormalWeb">
    <w:name w:val="Normal (Web)"/>
    <w:basedOn w:val="Normal"/>
    <w:uiPriority w:val="99"/>
    <w:semiHidden/>
    <w:unhideWhenUsed/>
    <w:rsid w:val="00932828"/>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681861943">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996418032">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88448218">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24835314">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492067194">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96476283">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05446908">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ECM-1122293896-100347</_dlc_DocId>
    <_dlc_DocIdUrl xmlns="58a6f171-52cb-4404-b47d-af1c8daf8fd1">
      <Url>https://ministryforenvironment.sharepoint.com/sites/ECM-ER-Comms/_layouts/15/DocIdRedir.aspx?ID=ECM-1122293896-100347</Url>
      <Description>ECM-1122293896-100347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4" ma:contentTypeDescription="Create a new document." ma:contentTypeScope="" ma:versionID="71ca4ff2c816bf98e720b531c5ba270a">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19f05a26c8dc5a9aa0303e2594aee7a9"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82A9D-DC48-4629-895C-D762F7C3ACF5}">
  <ds:schemaRefs>
    <ds:schemaRef ds:uri="http://schemas.openxmlformats.org/package/2006/metadata/core-properties"/>
    <ds:schemaRef ds:uri="http://schemas.microsoft.com/sharepoint/v4"/>
    <ds:schemaRef ds:uri="http://schemas.microsoft.com/office/2006/documentManagement/types"/>
    <ds:schemaRef ds:uri="http://purl.org/dc/dcmitype/"/>
    <ds:schemaRef ds:uri="http://purl.org/dc/elements/1.1/"/>
    <ds:schemaRef ds:uri="4a94300e-a927-4b92-9d3a-682523035cb6"/>
    <ds:schemaRef ds:uri="0a5b0190-e301-4766-933d-448c7c363fce"/>
    <ds:schemaRef ds:uri="http://purl.org/dc/terms/"/>
    <ds:schemaRef ds:uri="http://schemas.microsoft.com/office/infopath/2007/PartnerControls"/>
    <ds:schemaRef ds:uri="http://www.w3.org/XML/1998/namespace"/>
    <ds:schemaRef ds:uri="58a6f171-52cb-4404-b47d-af1c8daf8fd1"/>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6F21AF86-B988-4FF6-B482-E9254CA6E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44D5A-1B63-41A9-B69B-58EEE367B559}">
  <ds:schemaRefs>
    <ds:schemaRef ds:uri="http://schemas.microsoft.com/sharepoint/events"/>
  </ds:schemaRefs>
</ds:datastoreItem>
</file>

<file path=customXml/itemProps4.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5.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Michael Johnson</cp:lastModifiedBy>
  <cp:revision>25</cp:revision>
  <dcterms:created xsi:type="dcterms:W3CDTF">2023-08-17T00:44:00Z</dcterms:created>
  <dcterms:modified xsi:type="dcterms:W3CDTF">2023-09-04T01:14:00Z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08fcddc6-90a6-42da-8053-6a74b0492d0d</vt:lpwstr>
  </property>
  <property fmtid="{D5CDD505-2E9C-101B-9397-08002B2CF9AE}" pid="11" name="MediaServiceImageTags">
    <vt:lpwstr/>
  </property>
  <property fmtid="{D5CDD505-2E9C-101B-9397-08002B2CF9AE}" pid="12" name="Order">
    <vt:r8>9970200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