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7FF2" w14:textId="3A1DE8AA" w:rsidR="00670100" w:rsidRDefault="00C25EE0" w:rsidP="00670100">
      <w:pPr>
        <w:pStyle w:val="BodyText"/>
      </w:pPr>
      <w:bookmarkStart w:id="0" w:name="_Hlk149135238"/>
      <w:r w:rsidRPr="00007F5E">
        <w:rPr>
          <w:noProof/>
          <w:sz w:val="2"/>
          <w:szCs w:val="2"/>
        </w:rPr>
        <w:drawing>
          <wp:anchor distT="0" distB="0" distL="114300" distR="114300" simplePos="0" relativeHeight="251658241" behindDoc="1" locked="0" layoutInCell="1" allowOverlap="1" wp14:anchorId="091F8924" wp14:editId="385BFAD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85405" cy="3740727"/>
            <wp:effectExtent l="0" t="0" r="0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-144" b="37596"/>
                    <a:stretch/>
                  </pic:blipFill>
                  <pic:spPr bwMode="auto">
                    <a:xfrm>
                      <a:off x="0" y="0"/>
                      <a:ext cx="7685405" cy="374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2482C" w14:textId="77777777" w:rsidR="00670100" w:rsidRDefault="00670100" w:rsidP="00670100">
      <w:pPr>
        <w:pStyle w:val="BodyText"/>
      </w:pPr>
    </w:p>
    <w:p w14:paraId="25E790FC" w14:textId="6A0C7C7F" w:rsidR="00670100" w:rsidRDefault="00590DF5" w:rsidP="000124B7">
      <w:pPr>
        <w:pStyle w:val="Intro"/>
        <w:spacing w:before="240"/>
        <w:rPr>
          <w:rFonts w:ascii="Georgia" w:hAnsi="Georgia"/>
          <w:b/>
          <w:bCs/>
          <w:color w:val="FFFFFF" w:themeColor="background1"/>
          <w:sz w:val="56"/>
          <w:szCs w:val="56"/>
        </w:rPr>
      </w:pPr>
      <w:r>
        <w:rPr>
          <w:rFonts w:ascii="Georgia" w:hAnsi="Georgia"/>
          <w:b/>
          <w:bCs/>
          <w:color w:val="FFFFFF" w:themeColor="background1"/>
          <w:sz w:val="56"/>
          <w:szCs w:val="56"/>
        </w:rPr>
        <w:t>Regulation</w:t>
      </w:r>
      <w:r w:rsidR="00866FF9">
        <w:rPr>
          <w:rFonts w:ascii="Georgia" w:hAnsi="Georgia"/>
          <w:b/>
          <w:bCs/>
          <w:color w:val="FFFFFF" w:themeColor="background1"/>
          <w:sz w:val="56"/>
          <w:szCs w:val="56"/>
        </w:rPr>
        <w:t>-</w:t>
      </w:r>
      <w:r>
        <w:rPr>
          <w:rFonts w:ascii="Georgia" w:hAnsi="Georgia"/>
          <w:b/>
          <w:bCs/>
          <w:color w:val="FFFFFF" w:themeColor="background1"/>
          <w:sz w:val="56"/>
          <w:szCs w:val="56"/>
        </w:rPr>
        <w:t>making</w:t>
      </w:r>
      <w:r w:rsidR="00670100" w:rsidRPr="006816E4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 </w:t>
      </w:r>
      <w:r w:rsidR="008B3665">
        <w:rPr>
          <w:rFonts w:ascii="Georgia" w:hAnsi="Georgia"/>
          <w:b/>
          <w:bCs/>
          <w:color w:val="FFFFFF" w:themeColor="background1"/>
          <w:sz w:val="56"/>
          <w:szCs w:val="56"/>
        </w:rPr>
        <w:t>P</w:t>
      </w:r>
      <w:r w:rsidR="00670100" w:rsidRPr="006816E4">
        <w:rPr>
          <w:rFonts w:ascii="Georgia" w:hAnsi="Georgia"/>
          <w:b/>
          <w:bCs/>
          <w:color w:val="FFFFFF" w:themeColor="background1"/>
          <w:sz w:val="56"/>
          <w:szCs w:val="56"/>
        </w:rPr>
        <w:t>ower</w:t>
      </w:r>
      <w:r w:rsidR="00866FF9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 to </w:t>
      </w:r>
      <w:r w:rsidR="008B3665">
        <w:rPr>
          <w:rFonts w:ascii="Georgia" w:hAnsi="Georgia"/>
          <w:b/>
          <w:bCs/>
          <w:color w:val="FFFFFF" w:themeColor="background1"/>
          <w:sz w:val="56"/>
          <w:szCs w:val="56"/>
        </w:rPr>
        <w:t>A</w:t>
      </w:r>
      <w:r w:rsidR="00866FF9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lter </w:t>
      </w:r>
      <w:r w:rsidR="008B3665">
        <w:rPr>
          <w:rFonts w:ascii="Georgia" w:hAnsi="Georgia"/>
          <w:b/>
          <w:bCs/>
          <w:color w:val="FFFFFF" w:themeColor="background1"/>
          <w:sz w:val="56"/>
          <w:szCs w:val="56"/>
        </w:rPr>
        <w:t>L</w:t>
      </w:r>
      <w:r w:rsidR="008B0931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ocal </w:t>
      </w:r>
      <w:r w:rsidR="008B3665">
        <w:rPr>
          <w:rFonts w:ascii="Georgia" w:hAnsi="Georgia"/>
          <w:b/>
          <w:bCs/>
          <w:color w:val="FFFFFF" w:themeColor="background1"/>
          <w:sz w:val="56"/>
          <w:szCs w:val="56"/>
        </w:rPr>
        <w:t>A</w:t>
      </w:r>
      <w:r w:rsidR="008B0931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uthority </w:t>
      </w:r>
      <w:r w:rsidR="008B3665">
        <w:rPr>
          <w:rFonts w:ascii="Georgia" w:hAnsi="Georgia"/>
          <w:b/>
          <w:bCs/>
          <w:color w:val="FFFFFF" w:themeColor="background1"/>
          <w:sz w:val="56"/>
          <w:szCs w:val="56"/>
        </w:rPr>
        <w:t>P</w:t>
      </w:r>
      <w:r w:rsidR="008B0931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lans and </w:t>
      </w:r>
      <w:r w:rsidR="008B3665">
        <w:rPr>
          <w:rFonts w:ascii="Georgia" w:hAnsi="Georgia"/>
          <w:b/>
          <w:bCs/>
          <w:color w:val="FFFFFF" w:themeColor="background1"/>
          <w:sz w:val="56"/>
          <w:szCs w:val="56"/>
        </w:rPr>
        <w:t>P</w:t>
      </w:r>
      <w:r w:rsidR="008B0931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olicy </w:t>
      </w:r>
      <w:r w:rsidR="008B3665">
        <w:rPr>
          <w:rFonts w:ascii="Georgia" w:hAnsi="Georgia"/>
          <w:b/>
          <w:bCs/>
          <w:color w:val="FFFFFF" w:themeColor="background1"/>
          <w:sz w:val="56"/>
          <w:szCs w:val="56"/>
        </w:rPr>
        <w:t>S</w:t>
      </w:r>
      <w:r w:rsidR="008B0931">
        <w:rPr>
          <w:rFonts w:ascii="Georgia" w:hAnsi="Georgia"/>
          <w:b/>
          <w:bCs/>
          <w:color w:val="FFFFFF" w:themeColor="background1"/>
          <w:sz w:val="56"/>
          <w:szCs w:val="56"/>
        </w:rPr>
        <w:t>tatements</w:t>
      </w:r>
    </w:p>
    <w:p w14:paraId="3FB1D496" w14:textId="77777777" w:rsidR="00670100" w:rsidRPr="007E7008" w:rsidRDefault="00670100" w:rsidP="00670100">
      <w:pPr>
        <w:pStyle w:val="Subtitle"/>
        <w:spacing w:before="0" w:after="840" w:line="380" w:lineRule="atLeast"/>
        <w:contextualSpacing/>
        <w:jc w:val="left"/>
        <w:rPr>
          <w:rFonts w:ascii="Georgia" w:eastAsia="Times New Roman" w:hAnsi="Georgia" w:cs="Times New Roman"/>
          <w:b/>
          <w:color w:val="FFFFFF" w:themeColor="background1"/>
          <w:spacing w:val="0"/>
          <w:sz w:val="32"/>
          <w:szCs w:val="32"/>
        </w:rPr>
      </w:pPr>
      <w:r w:rsidRPr="007E7008">
        <w:rPr>
          <w:rFonts w:ascii="Georgia" w:eastAsia="Times New Roman" w:hAnsi="Georgia" w:cs="Times New Roman"/>
          <w:b/>
          <w:color w:val="FFFFFF" w:themeColor="background1"/>
          <w:spacing w:val="0"/>
          <w:sz w:val="32"/>
          <w:szCs w:val="32"/>
        </w:rPr>
        <w:t>Changes introduced by the Resource Management (Consenting and Other System Changes) Amendment Act 2025</w:t>
      </w:r>
    </w:p>
    <w:p w14:paraId="24354B72" w14:textId="108543AE" w:rsidR="00670100" w:rsidRDefault="00670100" w:rsidP="00670100">
      <w:pPr>
        <w:pStyle w:val="Intro"/>
        <w:spacing w:before="0"/>
      </w:pPr>
      <w:r>
        <w:t xml:space="preserve">These changes, which </w:t>
      </w:r>
      <w:r w:rsidR="00633A2B" w:rsidRPr="00633A2B">
        <w:t>passed into law</w:t>
      </w:r>
      <w:r w:rsidR="00633A2B" w:rsidRPr="00633A2B">
        <w:t xml:space="preserve"> </w:t>
      </w:r>
      <w:r>
        <w:t xml:space="preserve">on </w:t>
      </w:r>
      <w:r w:rsidR="000124B7">
        <w:t>20</w:t>
      </w:r>
      <w:r>
        <w:t xml:space="preserve"> August 2025, belong to a wider programme of resource management reform. Visit the Ministry for the Environment’s </w:t>
      </w:r>
      <w:hyperlink r:id="rId12">
        <w:r w:rsidRPr="5E3B4E72">
          <w:rPr>
            <w:rStyle w:val="Hyperlink"/>
          </w:rPr>
          <w:t>webpage about the new Amendment Act</w:t>
        </w:r>
      </w:hyperlink>
      <w:r>
        <w:t xml:space="preserve"> for more information.</w:t>
      </w:r>
    </w:p>
    <w:p w14:paraId="2B9C1CCC" w14:textId="77777777" w:rsidR="00670100" w:rsidRDefault="00670100" w:rsidP="00E44D76">
      <w:pPr>
        <w:pStyle w:val="Heading2"/>
        <w:spacing w:after="240"/>
      </w:pPr>
      <w:r>
        <w:t>Context</w:t>
      </w:r>
    </w:p>
    <w:p w14:paraId="1F09836C" w14:textId="0B6B9D16" w:rsidR="00670100" w:rsidRPr="00456FC6" w:rsidRDefault="000922B7" w:rsidP="00E44D76">
      <w:pPr>
        <w:pStyle w:val="BodyText"/>
        <w:spacing w:before="0" w:after="100"/>
      </w:pPr>
      <w:r>
        <w:t>Local planning is led by councils</w:t>
      </w:r>
      <w:r w:rsidR="0098669F">
        <w:t>.</w:t>
      </w:r>
      <w:r>
        <w:t xml:space="preserve"> </w:t>
      </w:r>
      <w:r w:rsidR="0077483B">
        <w:t>H</w:t>
      </w:r>
      <w:r>
        <w:t>owever, sometimes</w:t>
      </w:r>
      <w:r w:rsidR="00670100">
        <w:t xml:space="preserve"> local </w:t>
      </w:r>
      <w:r>
        <w:t xml:space="preserve">planning </w:t>
      </w:r>
      <w:r w:rsidR="00670100">
        <w:t xml:space="preserve">rules can </w:t>
      </w:r>
      <w:r w:rsidR="0077483B">
        <w:t xml:space="preserve">affect </w:t>
      </w:r>
      <w:r w:rsidR="00670100">
        <w:t xml:space="preserve">nationally important outcomes like housing supply, economic growth or job creation. </w:t>
      </w:r>
    </w:p>
    <w:p w14:paraId="22EF57C2" w14:textId="2B5F8B31" w:rsidR="00644296" w:rsidRDefault="00FE21EA" w:rsidP="00670100">
      <w:pPr>
        <w:pStyle w:val="BodyText"/>
        <w:spacing w:before="100" w:after="100"/>
      </w:pPr>
      <w:r>
        <w:t>Before this change, t</w:t>
      </w:r>
      <w:r w:rsidR="00670100">
        <w:t xml:space="preserve">he Resource Management Act 1991 (RMA) had </w:t>
      </w:r>
      <w:r w:rsidR="0077483B">
        <w:t xml:space="preserve">limited </w:t>
      </w:r>
      <w:r w:rsidR="00670100">
        <w:t>mechanism</w:t>
      </w:r>
      <w:r w:rsidR="0065368E">
        <w:t>s</w:t>
      </w:r>
      <w:r w:rsidR="00670100">
        <w:t xml:space="preserve"> for the </w:t>
      </w:r>
      <w:r w:rsidR="00E31F32">
        <w:t>Minister for the Environment</w:t>
      </w:r>
      <w:r w:rsidR="00F44B2D">
        <w:t xml:space="preserve"> (the Minister)</w:t>
      </w:r>
      <w:r w:rsidR="00670100">
        <w:t xml:space="preserve"> to directly change or remove specific provisions in an operative plan or policy statement</w:t>
      </w:r>
      <w:r w:rsidR="00E51737">
        <w:t>.</w:t>
      </w:r>
    </w:p>
    <w:p w14:paraId="4A08A0F1" w14:textId="16F74043" w:rsidR="00670100" w:rsidRDefault="00C25A85" w:rsidP="00670100">
      <w:pPr>
        <w:pStyle w:val="BodyText"/>
        <w:spacing w:before="100" w:after="100"/>
      </w:pPr>
      <w:r>
        <w:t xml:space="preserve">The Minister could use </w:t>
      </w:r>
      <w:r w:rsidR="00670100">
        <w:t>the normal Schedule 1 plan change process</w:t>
      </w:r>
      <w:r w:rsidR="00283571">
        <w:t xml:space="preserve"> or use e</w:t>
      </w:r>
      <w:r w:rsidR="00670100">
        <w:t xml:space="preserve">xisting </w:t>
      </w:r>
      <w:r w:rsidR="00460627">
        <w:t>m</w:t>
      </w:r>
      <w:r w:rsidR="00670100">
        <w:t>inisterial powers (such as intervention powers under sections 24A through 25B)</w:t>
      </w:r>
      <w:r w:rsidR="00460627">
        <w:t>, which</w:t>
      </w:r>
      <w:r w:rsidR="00670100">
        <w:t xml:space="preserve"> still require</w:t>
      </w:r>
      <w:r w:rsidR="00460627">
        <w:t xml:space="preserve">d </w:t>
      </w:r>
      <w:r w:rsidR="00670100">
        <w:t>a full plan change</w:t>
      </w:r>
      <w:r w:rsidR="00460627">
        <w:t>. These processes</w:t>
      </w:r>
      <w:r w:rsidR="00670100">
        <w:t xml:space="preserve"> can be slow and costly. </w:t>
      </w:r>
    </w:p>
    <w:p w14:paraId="3F75F411" w14:textId="77777777" w:rsidR="00670100" w:rsidRPr="00575C11" w:rsidRDefault="00670100" w:rsidP="00E44D76">
      <w:pPr>
        <w:pStyle w:val="Heading2"/>
        <w:spacing w:after="240"/>
      </w:pPr>
      <w:r w:rsidRPr="00575C11">
        <w:t xml:space="preserve">Key </w:t>
      </w:r>
      <w:r>
        <w:t>c</w:t>
      </w:r>
      <w:r w:rsidRPr="00575C11">
        <w:t>hanges</w:t>
      </w:r>
    </w:p>
    <w:tbl>
      <w:tblPr>
        <w:tblW w:w="907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670100" w:rsidRPr="00A01420" w14:paraId="2C76198B" w14:textId="77777777" w:rsidTr="00C8336A">
        <w:trPr>
          <w:trHeight w:val="300"/>
        </w:trPr>
        <w:tc>
          <w:tcPr>
            <w:tcW w:w="0" w:type="auto"/>
            <w:shd w:val="clear" w:color="auto" w:fill="D2DDE1"/>
          </w:tcPr>
          <w:p w14:paraId="2B2102D3" w14:textId="0EE65C46" w:rsidR="00670100" w:rsidRPr="00A01420" w:rsidRDefault="00670100">
            <w:pPr>
              <w:pStyle w:val="Boxbullet"/>
              <w:spacing w:before="180" w:after="180"/>
            </w:pPr>
            <w:r>
              <w:t xml:space="preserve">Section 69A of the Amendment Act </w:t>
            </w:r>
            <w:r w:rsidR="0098669F">
              <w:t xml:space="preserve">added </w:t>
            </w:r>
            <w:r>
              <w:t xml:space="preserve">new sections 360I to 360O to the RMA. </w:t>
            </w:r>
          </w:p>
        </w:tc>
      </w:tr>
    </w:tbl>
    <w:p w14:paraId="26B33EE7" w14:textId="5F5D5C2D" w:rsidR="00972985" w:rsidRDefault="00670100" w:rsidP="00566275">
      <w:pPr>
        <w:pStyle w:val="BodyText"/>
      </w:pPr>
      <w:r>
        <w:t xml:space="preserve">The </w:t>
      </w:r>
      <w:r w:rsidRPr="00D01C92">
        <w:t xml:space="preserve">Resource Management (Consenting and Other System Changes) Amendment Act 2025 </w:t>
      </w:r>
      <w:r>
        <w:t xml:space="preserve">(the Amendment Act) introduces </w:t>
      </w:r>
      <w:r w:rsidR="00566275">
        <w:t xml:space="preserve">a </w:t>
      </w:r>
      <w:r>
        <w:t>new, time-limited regulation</w:t>
      </w:r>
      <w:r w:rsidR="00972985">
        <w:t>-</w:t>
      </w:r>
      <w:r>
        <w:t xml:space="preserve">making power. </w:t>
      </w:r>
    </w:p>
    <w:p w14:paraId="3530BC3B" w14:textId="09EB5456" w:rsidR="00566275" w:rsidRDefault="00566275" w:rsidP="00566275">
      <w:pPr>
        <w:pStyle w:val="BodyText"/>
        <w:rPr>
          <w:rFonts w:eastAsia="Arial"/>
        </w:rPr>
      </w:pPr>
      <w:r>
        <w:t xml:space="preserve">Under this power, </w:t>
      </w:r>
      <w:r w:rsidR="00972985">
        <w:rPr>
          <w:rFonts w:eastAsia="Arial"/>
        </w:rPr>
        <w:t>the</w:t>
      </w:r>
      <w:r>
        <w:rPr>
          <w:rFonts w:eastAsia="Arial"/>
        </w:rPr>
        <w:t xml:space="preserve"> </w:t>
      </w:r>
      <w:r w:rsidDel="00C00269">
        <w:rPr>
          <w:rFonts w:eastAsia="Arial"/>
        </w:rPr>
        <w:t>M</w:t>
      </w:r>
      <w:r>
        <w:rPr>
          <w:rFonts w:eastAsia="Arial"/>
        </w:rPr>
        <w:t>inister can recommend regulation</w:t>
      </w:r>
      <w:r w:rsidR="00972985">
        <w:rPr>
          <w:rFonts w:eastAsia="Arial"/>
        </w:rPr>
        <w:t>s</w:t>
      </w:r>
      <w:r>
        <w:rPr>
          <w:rFonts w:eastAsia="Arial"/>
        </w:rPr>
        <w:t xml:space="preserve"> to modify or remove provisions in operative plans or policy statements where an investigation has shown they have negative impacts on economic growth, development capacity or employment. </w:t>
      </w:r>
    </w:p>
    <w:p w14:paraId="49BEA883" w14:textId="10D60452" w:rsidR="00670100" w:rsidRPr="00FE1778" w:rsidRDefault="00566275" w:rsidP="00670100">
      <w:pPr>
        <w:pStyle w:val="BodyText"/>
      </w:pPr>
      <w:r>
        <w:t xml:space="preserve">This </w:t>
      </w:r>
      <w:r w:rsidR="00972985">
        <w:t>is</w:t>
      </w:r>
      <w:r w:rsidR="00670100">
        <w:t xml:space="preserve"> intended to </w:t>
      </w:r>
      <w:r w:rsidR="00590DF5">
        <w:t xml:space="preserve">be a targeted tool to </w:t>
      </w:r>
      <w:r w:rsidR="00670100">
        <w:t xml:space="preserve">bolster central government’s </w:t>
      </w:r>
      <w:r w:rsidR="00590DF5">
        <w:t>ability</w:t>
      </w:r>
      <w:r w:rsidR="00670100">
        <w:t xml:space="preserve"> to take proportionate action when </w:t>
      </w:r>
      <w:r w:rsidR="00590DF5">
        <w:t xml:space="preserve">plans are </w:t>
      </w:r>
      <w:r w:rsidR="00972985">
        <w:t xml:space="preserve">affecting </w:t>
      </w:r>
      <w:r w:rsidR="00590DF5">
        <w:t>nationally important outcomes</w:t>
      </w:r>
      <w:r w:rsidR="00670100">
        <w:t xml:space="preserve">. </w:t>
      </w:r>
    </w:p>
    <w:p w14:paraId="57EBB9F9" w14:textId="5FA41757" w:rsidR="00670100" w:rsidRDefault="00670100" w:rsidP="00670100">
      <w:pPr>
        <w:pStyle w:val="BodyText"/>
        <w:rPr>
          <w:rFonts w:eastAsia="Arial"/>
        </w:rPr>
      </w:pPr>
      <w:r>
        <w:rPr>
          <w:rFonts w:eastAsia="Arial"/>
        </w:rPr>
        <w:t>Th</w:t>
      </w:r>
      <w:r w:rsidR="00972985">
        <w:rPr>
          <w:rFonts w:eastAsia="Arial"/>
        </w:rPr>
        <w:t>e regulation-making power</w:t>
      </w:r>
      <w:r>
        <w:rPr>
          <w:rFonts w:eastAsia="Arial"/>
        </w:rPr>
        <w:t xml:space="preserve"> </w:t>
      </w:r>
      <w:r w:rsidR="00972985">
        <w:rPr>
          <w:rFonts w:eastAsia="Arial"/>
        </w:rPr>
        <w:t>expires</w:t>
      </w:r>
      <w:r>
        <w:rPr>
          <w:rFonts w:eastAsia="Arial"/>
        </w:rPr>
        <w:t xml:space="preserve"> </w:t>
      </w:r>
      <w:r w:rsidR="00972985">
        <w:rPr>
          <w:rFonts w:eastAsia="Arial"/>
        </w:rPr>
        <w:t>at</w:t>
      </w:r>
      <w:r>
        <w:rPr>
          <w:rFonts w:eastAsia="Arial"/>
        </w:rPr>
        <w:t xml:space="preserve"> the end of 2027</w:t>
      </w:r>
      <w:r w:rsidR="00644296">
        <w:rPr>
          <w:rFonts w:eastAsia="Arial"/>
        </w:rPr>
        <w:t>,</w:t>
      </w:r>
      <w:r>
        <w:rPr>
          <w:rFonts w:eastAsia="Arial"/>
        </w:rPr>
        <w:t xml:space="preserve"> to align with the </w:t>
      </w:r>
      <w:r w:rsidR="00972985">
        <w:rPr>
          <w:rFonts w:eastAsia="Arial"/>
        </w:rPr>
        <w:t xml:space="preserve">Government’s intention to </w:t>
      </w:r>
      <w:r>
        <w:rPr>
          <w:rFonts w:eastAsia="Arial"/>
        </w:rPr>
        <w:t>repeal and replace the RMA</w:t>
      </w:r>
      <w:r w:rsidR="006F7030">
        <w:rPr>
          <w:rFonts w:eastAsia="Arial"/>
        </w:rPr>
        <w:t>.</w:t>
      </w:r>
      <w:r>
        <w:rPr>
          <w:rFonts w:eastAsia="Arial"/>
        </w:rPr>
        <w:t xml:space="preserve"> </w:t>
      </w:r>
    </w:p>
    <w:p w14:paraId="7A8B7826" w14:textId="35205AB2" w:rsidR="00644296" w:rsidRDefault="00D75B50" w:rsidP="00670100">
      <w:pPr>
        <w:pStyle w:val="BodyText"/>
        <w:rPr>
          <w:rFonts w:eastAsia="Arial"/>
        </w:rPr>
      </w:pPr>
      <w:r>
        <w:rPr>
          <w:rFonts w:eastAsia="Arial"/>
        </w:rPr>
        <w:lastRenderedPageBreak/>
        <w:t>If regulations are made under this power</w:t>
      </w:r>
      <w:r w:rsidR="00FE21EA">
        <w:rPr>
          <w:rFonts w:eastAsia="Arial"/>
        </w:rPr>
        <w:t xml:space="preserve">, councils must amend or remove the </w:t>
      </w:r>
      <w:r w:rsidR="00A4755B">
        <w:rPr>
          <w:rFonts w:eastAsia="Arial"/>
        </w:rPr>
        <w:t xml:space="preserve">specified </w:t>
      </w:r>
      <w:r w:rsidR="00FE21EA">
        <w:rPr>
          <w:rFonts w:eastAsia="Arial"/>
        </w:rPr>
        <w:t xml:space="preserve">provisions in line with the regulations, without using a Schedule 1 plan change process. </w:t>
      </w:r>
    </w:p>
    <w:p w14:paraId="3A21E191" w14:textId="272CFBD9" w:rsidR="00FE21EA" w:rsidRPr="001F0BF9" w:rsidRDefault="00FE21EA" w:rsidP="001F0BF9">
      <w:pPr>
        <w:keepNext/>
        <w:tabs>
          <w:tab w:val="left" w:pos="851"/>
        </w:tabs>
        <w:spacing w:before="240" w:after="0" w:line="360" w:lineRule="atLeast"/>
        <w:jc w:val="left"/>
        <w:outlineLvl w:val="2"/>
        <w:rPr>
          <w:rFonts w:ascii="Aptos" w:eastAsia="Aptos" w:hAnsi="Aptos" w:cs="Aptos"/>
          <w:b/>
          <w:color w:val="1B556B"/>
          <w:sz w:val="28"/>
        </w:rPr>
      </w:pPr>
      <w:r>
        <w:rPr>
          <w:rFonts w:ascii="Georgia" w:eastAsia="DengXian Light" w:hAnsi="Georgia"/>
          <w:b/>
          <w:color w:val="1B556B"/>
          <w:sz w:val="28"/>
        </w:rPr>
        <w:t>Why it is needed</w:t>
      </w:r>
    </w:p>
    <w:p w14:paraId="402B36A2" w14:textId="197EBBB0" w:rsidR="00FE21EA" w:rsidRDefault="00FE21EA" w:rsidP="00670100">
      <w:pPr>
        <w:pStyle w:val="BodyText"/>
        <w:rPr>
          <w:rFonts w:eastAsia="Arial"/>
        </w:rPr>
      </w:pPr>
      <w:r>
        <w:rPr>
          <w:rFonts w:eastAsia="Arial"/>
        </w:rPr>
        <w:t xml:space="preserve">Some local rules </w:t>
      </w:r>
      <w:r w:rsidR="00C73373">
        <w:rPr>
          <w:rFonts w:eastAsia="Arial"/>
        </w:rPr>
        <w:t xml:space="preserve">may be </w:t>
      </w:r>
      <w:r>
        <w:rPr>
          <w:rFonts w:eastAsia="Arial"/>
        </w:rPr>
        <w:t xml:space="preserve">out of step with national priorities and slowing </w:t>
      </w:r>
      <w:r w:rsidR="00B21F07">
        <w:rPr>
          <w:rFonts w:eastAsia="Arial"/>
        </w:rPr>
        <w:t xml:space="preserve">growth in </w:t>
      </w:r>
      <w:r>
        <w:rPr>
          <w:rFonts w:eastAsia="Arial"/>
        </w:rPr>
        <w:t xml:space="preserve">housing, jobs and </w:t>
      </w:r>
      <w:r w:rsidR="00B21F07">
        <w:rPr>
          <w:rFonts w:eastAsia="Arial"/>
        </w:rPr>
        <w:t>the economy</w:t>
      </w:r>
      <w:r>
        <w:rPr>
          <w:rFonts w:eastAsia="Arial"/>
        </w:rPr>
        <w:t>. This power is for limited use when local processes aren’t delivering</w:t>
      </w:r>
      <w:r w:rsidR="00C73373">
        <w:rPr>
          <w:rFonts w:eastAsia="Arial"/>
        </w:rPr>
        <w:t xml:space="preserve"> </w:t>
      </w:r>
      <w:r w:rsidR="00896044">
        <w:rPr>
          <w:rFonts w:eastAsia="Arial"/>
        </w:rPr>
        <w:t>on</w:t>
      </w:r>
      <w:r w:rsidR="00C73373">
        <w:rPr>
          <w:rFonts w:eastAsia="Arial"/>
        </w:rPr>
        <w:t xml:space="preserve"> national priorities</w:t>
      </w:r>
      <w:r>
        <w:rPr>
          <w:rFonts w:eastAsia="Arial"/>
        </w:rPr>
        <w:t xml:space="preserve">, and councils haven’t acted through other tools. It allows the </w:t>
      </w:r>
      <w:r w:rsidR="00EB0C9B">
        <w:rPr>
          <w:rFonts w:eastAsia="Arial"/>
        </w:rPr>
        <w:t xml:space="preserve">Government </w:t>
      </w:r>
      <w:r>
        <w:rPr>
          <w:rFonts w:eastAsia="Arial"/>
        </w:rPr>
        <w:t>to act quickly where the issues are clear and urgent</w:t>
      </w:r>
      <w:r w:rsidR="00C73373">
        <w:rPr>
          <w:rFonts w:eastAsia="Arial"/>
        </w:rPr>
        <w:t xml:space="preserve">, </w:t>
      </w:r>
      <w:r w:rsidR="00AA11FB">
        <w:rPr>
          <w:rFonts w:eastAsia="Arial"/>
        </w:rPr>
        <w:t xml:space="preserve">and supported </w:t>
      </w:r>
      <w:r w:rsidR="00D27A42">
        <w:rPr>
          <w:rFonts w:eastAsia="Arial"/>
        </w:rPr>
        <w:t>by evidence.</w:t>
      </w:r>
    </w:p>
    <w:p w14:paraId="1F3F3402" w14:textId="1C85D817" w:rsidR="00FE21EA" w:rsidRPr="001F0BF9" w:rsidRDefault="00FE21EA" w:rsidP="001F0BF9">
      <w:pPr>
        <w:pStyle w:val="Heading3"/>
        <w:rPr>
          <w:rFonts w:ascii="Aptos" w:eastAsia="Aptos" w:hAnsi="Aptos" w:cs="Aptos"/>
          <w:b/>
          <w:color w:val="1B556B"/>
          <w:szCs w:val="22"/>
        </w:rPr>
      </w:pPr>
      <w:r>
        <w:rPr>
          <w:rFonts w:ascii="Georgia" w:eastAsia="DengXian Light" w:hAnsi="Georgia" w:cs="Times New Roman"/>
          <w:b/>
          <w:color w:val="1B556B"/>
          <w:szCs w:val="22"/>
        </w:rPr>
        <w:t>Safeguards and limits</w:t>
      </w:r>
    </w:p>
    <w:p w14:paraId="7E1A37F6" w14:textId="5EB90DCA" w:rsidR="00FE21EA" w:rsidRDefault="00FE21EA" w:rsidP="00670100">
      <w:pPr>
        <w:pStyle w:val="BodyText"/>
        <w:rPr>
          <w:rFonts w:eastAsia="Arial"/>
        </w:rPr>
      </w:pPr>
      <w:r>
        <w:rPr>
          <w:rFonts w:eastAsia="Arial"/>
        </w:rPr>
        <w:t xml:space="preserve">There are safeguards proposed to ensure </w:t>
      </w:r>
      <w:r w:rsidR="005B4B4A">
        <w:rPr>
          <w:rFonts w:eastAsia="Arial"/>
        </w:rPr>
        <w:t xml:space="preserve">regulations are made responsibly and only </w:t>
      </w:r>
      <w:r w:rsidR="00590DF5">
        <w:rPr>
          <w:rFonts w:eastAsia="Arial"/>
        </w:rPr>
        <w:t>when needed:</w:t>
      </w:r>
    </w:p>
    <w:p w14:paraId="674AA7AB" w14:textId="3179ACFB" w:rsidR="00590DF5" w:rsidRDefault="00590DF5" w:rsidP="00CC73D2">
      <w:pPr>
        <w:pStyle w:val="Bullet"/>
        <w:rPr>
          <w:rFonts w:eastAsia="Arial"/>
        </w:rPr>
      </w:pPr>
      <w:r>
        <w:rPr>
          <w:rFonts w:eastAsia="Arial"/>
        </w:rPr>
        <w:t xml:space="preserve">Evidence first – the </w:t>
      </w:r>
      <w:r w:rsidDel="00E73E29">
        <w:rPr>
          <w:rFonts w:eastAsia="Arial"/>
        </w:rPr>
        <w:t>M</w:t>
      </w:r>
      <w:r>
        <w:rPr>
          <w:rFonts w:eastAsia="Arial"/>
        </w:rPr>
        <w:t xml:space="preserve">inister must investigate and produce a public report </w:t>
      </w:r>
      <w:r w:rsidR="007F67BD">
        <w:rPr>
          <w:rFonts w:eastAsia="Arial"/>
        </w:rPr>
        <w:t>that</w:t>
      </w:r>
      <w:r w:rsidR="00922D6C">
        <w:rPr>
          <w:rFonts w:eastAsia="Arial"/>
        </w:rPr>
        <w:t xml:space="preserve"> support</w:t>
      </w:r>
      <w:r w:rsidR="007F67BD">
        <w:rPr>
          <w:rFonts w:eastAsia="Arial"/>
        </w:rPr>
        <w:t>s</w:t>
      </w:r>
      <w:r w:rsidR="00922D6C">
        <w:rPr>
          <w:rFonts w:eastAsia="Arial"/>
        </w:rPr>
        <w:t xml:space="preserve"> their decision that the statutory criteria </w:t>
      </w:r>
      <w:r w:rsidR="007F67BD">
        <w:rPr>
          <w:rFonts w:eastAsia="Arial"/>
        </w:rPr>
        <w:t>of a n</w:t>
      </w:r>
      <w:r w:rsidR="007F67BD" w:rsidRPr="007F67BD">
        <w:rPr>
          <w:rFonts w:eastAsia="Arial"/>
        </w:rPr>
        <w:t>egative impact on economic growth, development capacity or employment</w:t>
      </w:r>
      <w:r w:rsidR="007F67BD">
        <w:rPr>
          <w:rFonts w:eastAsia="Arial"/>
        </w:rPr>
        <w:t xml:space="preserve"> is met</w:t>
      </w:r>
      <w:r w:rsidR="00AA02A2">
        <w:rPr>
          <w:rFonts w:eastAsia="Arial"/>
        </w:rPr>
        <w:t>.</w:t>
      </w:r>
    </w:p>
    <w:p w14:paraId="6010999B" w14:textId="23EDE025" w:rsidR="00590DF5" w:rsidRDefault="00590DF5" w:rsidP="00CC73D2">
      <w:pPr>
        <w:pStyle w:val="Bullet"/>
        <w:rPr>
          <w:rFonts w:eastAsia="Arial"/>
        </w:rPr>
      </w:pPr>
      <w:r>
        <w:rPr>
          <w:rFonts w:eastAsia="Arial"/>
        </w:rPr>
        <w:t>Consultation – affected councils and parties must be consulted</w:t>
      </w:r>
      <w:r w:rsidR="00AA02A2">
        <w:rPr>
          <w:rFonts w:eastAsia="Arial"/>
        </w:rPr>
        <w:t>.</w:t>
      </w:r>
    </w:p>
    <w:p w14:paraId="7A97662B" w14:textId="77BCB671" w:rsidR="00590DF5" w:rsidRDefault="00590DF5" w:rsidP="00CC73D2">
      <w:pPr>
        <w:pStyle w:val="Bullet"/>
        <w:rPr>
          <w:rFonts w:eastAsia="Arial"/>
        </w:rPr>
      </w:pPr>
      <w:r>
        <w:rPr>
          <w:rFonts w:eastAsia="Arial"/>
        </w:rPr>
        <w:t xml:space="preserve">Treaty protections – </w:t>
      </w:r>
      <w:r w:rsidR="007F67BD">
        <w:rPr>
          <w:rFonts w:eastAsia="Arial"/>
        </w:rPr>
        <w:t xml:space="preserve">the </w:t>
      </w:r>
      <w:r>
        <w:rPr>
          <w:rFonts w:eastAsia="Arial"/>
        </w:rPr>
        <w:t xml:space="preserve">power cannot be used to change </w:t>
      </w:r>
      <w:r w:rsidR="007F67BD">
        <w:rPr>
          <w:rFonts w:eastAsia="Arial"/>
        </w:rPr>
        <w:t xml:space="preserve">provisions in </w:t>
      </w:r>
      <w:r>
        <w:rPr>
          <w:rFonts w:eastAsia="Arial"/>
        </w:rPr>
        <w:t>plan</w:t>
      </w:r>
      <w:r w:rsidR="007F67BD">
        <w:rPr>
          <w:rFonts w:eastAsia="Arial"/>
        </w:rPr>
        <w:t>s</w:t>
      </w:r>
      <w:r>
        <w:rPr>
          <w:rFonts w:eastAsia="Arial"/>
        </w:rPr>
        <w:t xml:space="preserve"> or policy statement</w:t>
      </w:r>
      <w:r w:rsidR="007F67BD">
        <w:rPr>
          <w:rFonts w:eastAsia="Arial"/>
        </w:rPr>
        <w:t>s</w:t>
      </w:r>
      <w:r>
        <w:rPr>
          <w:rFonts w:eastAsia="Arial"/>
        </w:rPr>
        <w:t xml:space="preserve"> that </w:t>
      </w:r>
      <w:r w:rsidR="00C662A1">
        <w:rPr>
          <w:rFonts w:eastAsia="Arial"/>
        </w:rPr>
        <w:t xml:space="preserve">have been </w:t>
      </w:r>
      <w:r w:rsidR="00C662A1" w:rsidRPr="00C662A1">
        <w:rPr>
          <w:rFonts w:eastAsia="Arial"/>
        </w:rPr>
        <w:t>included in recognition of an obligation or right under a Treaty of Waitangi settlement, the Marine and Coastal (</w:t>
      </w:r>
      <w:proofErr w:type="spellStart"/>
      <w:r w:rsidR="00C662A1" w:rsidRPr="00C662A1">
        <w:rPr>
          <w:rFonts w:eastAsia="Arial"/>
        </w:rPr>
        <w:t>Takutai</w:t>
      </w:r>
      <w:proofErr w:type="spellEnd"/>
      <w:r w:rsidR="00C662A1" w:rsidRPr="00C662A1">
        <w:rPr>
          <w:rFonts w:eastAsia="Arial"/>
        </w:rPr>
        <w:t xml:space="preserve"> Moana) Act 2011, the </w:t>
      </w:r>
      <w:proofErr w:type="spellStart"/>
      <w:r w:rsidR="00C662A1" w:rsidRPr="00C662A1">
        <w:rPr>
          <w:rFonts w:eastAsia="Arial"/>
        </w:rPr>
        <w:t>Ngā</w:t>
      </w:r>
      <w:proofErr w:type="spellEnd"/>
      <w:r w:rsidR="00C662A1" w:rsidRPr="00C662A1">
        <w:rPr>
          <w:rFonts w:eastAsia="Arial"/>
        </w:rPr>
        <w:t xml:space="preserve"> Rohe Moana o </w:t>
      </w:r>
      <w:proofErr w:type="spellStart"/>
      <w:r w:rsidR="00C662A1" w:rsidRPr="00C662A1">
        <w:rPr>
          <w:rFonts w:eastAsia="Arial"/>
        </w:rPr>
        <w:t>Ngā</w:t>
      </w:r>
      <w:proofErr w:type="spellEnd"/>
      <w:r w:rsidR="00C662A1" w:rsidRPr="00C662A1">
        <w:rPr>
          <w:rFonts w:eastAsia="Arial"/>
        </w:rPr>
        <w:t xml:space="preserve"> Hapū o Ngāti Porou Act 2019, or a mana </w:t>
      </w:r>
      <w:proofErr w:type="spellStart"/>
      <w:r w:rsidR="00C662A1" w:rsidRPr="00C662A1">
        <w:rPr>
          <w:rFonts w:eastAsia="Arial"/>
        </w:rPr>
        <w:t>whakahono</w:t>
      </w:r>
      <w:proofErr w:type="spellEnd"/>
      <w:r w:rsidR="00C662A1" w:rsidRPr="00C662A1">
        <w:rPr>
          <w:rFonts w:eastAsia="Arial"/>
        </w:rPr>
        <w:t xml:space="preserve"> ā </w:t>
      </w:r>
      <w:proofErr w:type="spellStart"/>
      <w:r w:rsidR="00C662A1" w:rsidRPr="00C662A1">
        <w:rPr>
          <w:rFonts w:eastAsia="Arial"/>
        </w:rPr>
        <w:t>rohe</w:t>
      </w:r>
      <w:proofErr w:type="spellEnd"/>
      <w:r w:rsidR="00C662A1" w:rsidRPr="00C662A1">
        <w:rPr>
          <w:rFonts w:eastAsia="Arial"/>
        </w:rPr>
        <w:t xml:space="preserve"> or joint management agreement under the RMA</w:t>
      </w:r>
      <w:r w:rsidR="00AA02A2">
        <w:rPr>
          <w:rFonts w:eastAsia="Arial"/>
        </w:rPr>
        <w:t>.</w:t>
      </w:r>
    </w:p>
    <w:p w14:paraId="26D1F9FF" w14:textId="1DB00670" w:rsidR="00590DF5" w:rsidRDefault="00590DF5" w:rsidP="00CC73D2">
      <w:pPr>
        <w:pStyle w:val="Bullet"/>
        <w:rPr>
          <w:rFonts w:eastAsia="Arial"/>
        </w:rPr>
      </w:pPr>
      <w:r>
        <w:rPr>
          <w:rFonts w:eastAsia="Arial"/>
        </w:rPr>
        <w:t xml:space="preserve">National direction – changes </w:t>
      </w:r>
      <w:r w:rsidR="002F2EAC">
        <w:rPr>
          <w:rFonts w:eastAsia="Arial"/>
        </w:rPr>
        <w:t>cannot be inconsistent with</w:t>
      </w:r>
      <w:r>
        <w:rPr>
          <w:rFonts w:eastAsia="Arial"/>
        </w:rPr>
        <w:t xml:space="preserve"> national direction under the RMA</w:t>
      </w:r>
      <w:r w:rsidR="00AA02A2">
        <w:rPr>
          <w:rFonts w:eastAsia="Arial"/>
        </w:rPr>
        <w:t>.</w:t>
      </w:r>
    </w:p>
    <w:p w14:paraId="252544DB" w14:textId="37D28D8A" w:rsidR="00590DF5" w:rsidRPr="00590DF5" w:rsidRDefault="00590DF5" w:rsidP="00CC73D2">
      <w:pPr>
        <w:pStyle w:val="Bullet"/>
        <w:rPr>
          <w:rFonts w:eastAsia="Arial"/>
        </w:rPr>
      </w:pPr>
      <w:r>
        <w:rPr>
          <w:rFonts w:eastAsia="Arial"/>
        </w:rPr>
        <w:t xml:space="preserve">All actions must comply with the purpose and principles in Part 2 of the RMA. </w:t>
      </w:r>
    </w:p>
    <w:p w14:paraId="697BED05" w14:textId="7DFA3100" w:rsidR="009E2FC4" w:rsidRDefault="00590DF5" w:rsidP="00670100">
      <w:pPr>
        <w:pStyle w:val="BodyText"/>
        <w:rPr>
          <w:rFonts w:eastAsia="Arial"/>
        </w:rPr>
      </w:pPr>
      <w:r w:rsidRPr="00590DF5">
        <w:rPr>
          <w:rFonts w:eastAsia="Arial"/>
        </w:rPr>
        <w:t xml:space="preserve">This approach ensures the </w:t>
      </w:r>
      <w:r w:rsidRPr="00590DF5" w:rsidDel="0061443D">
        <w:rPr>
          <w:rFonts w:eastAsia="Arial"/>
        </w:rPr>
        <w:t>M</w:t>
      </w:r>
      <w:r w:rsidRPr="00590DF5">
        <w:rPr>
          <w:rFonts w:eastAsia="Arial"/>
        </w:rPr>
        <w:t>inister has sufficient discretion to make an informed judgement about whether the scale and</w:t>
      </w:r>
      <w:r>
        <w:rPr>
          <w:rFonts w:eastAsia="Arial"/>
        </w:rPr>
        <w:t xml:space="preserve"> </w:t>
      </w:r>
      <w:r w:rsidRPr="00590DF5">
        <w:rPr>
          <w:rFonts w:eastAsia="Arial"/>
        </w:rPr>
        <w:t>significance of the impact on economic growth, development capacity or employment justifies intervention</w:t>
      </w:r>
      <w:r>
        <w:rPr>
          <w:rFonts w:eastAsia="Arial"/>
        </w:rPr>
        <w:t>.</w:t>
      </w:r>
      <w:r w:rsidRPr="00590DF5">
        <w:rPr>
          <w:rFonts w:eastAsia="Arial"/>
        </w:rPr>
        <w:t xml:space="preserve"> </w:t>
      </w:r>
    </w:p>
    <w:p w14:paraId="474A6BA1" w14:textId="4734F5AB" w:rsidR="00590DF5" w:rsidRDefault="00272DF4" w:rsidP="00670100">
      <w:pPr>
        <w:pStyle w:val="BodyText"/>
        <w:rPr>
          <w:rFonts w:eastAsia="Arial"/>
        </w:rPr>
      </w:pPr>
      <w:r>
        <w:rPr>
          <w:rFonts w:eastAsia="Arial"/>
        </w:rPr>
        <w:t xml:space="preserve">The </w:t>
      </w:r>
      <w:r w:rsidR="00AC524C" w:rsidRPr="00AC524C">
        <w:rPr>
          <w:rFonts w:eastAsia="Arial"/>
        </w:rPr>
        <w:t>Governor-General ma</w:t>
      </w:r>
      <w:r w:rsidR="00E90B02">
        <w:rPr>
          <w:rFonts w:eastAsia="Arial"/>
        </w:rPr>
        <w:t xml:space="preserve">kes </w:t>
      </w:r>
      <w:r w:rsidR="00673AE4">
        <w:rPr>
          <w:rFonts w:eastAsia="Arial"/>
        </w:rPr>
        <w:t xml:space="preserve">a regulation </w:t>
      </w:r>
      <w:r w:rsidR="0095262A">
        <w:rPr>
          <w:rFonts w:eastAsia="Arial"/>
        </w:rPr>
        <w:t xml:space="preserve">under this power </w:t>
      </w:r>
      <w:r w:rsidR="00673AE4">
        <w:rPr>
          <w:rFonts w:eastAsia="Arial"/>
        </w:rPr>
        <w:t>by</w:t>
      </w:r>
      <w:r w:rsidR="00AC524C" w:rsidRPr="00AC524C">
        <w:rPr>
          <w:rFonts w:eastAsia="Arial"/>
        </w:rPr>
        <w:t xml:space="preserve"> Order in Council</w:t>
      </w:r>
      <w:r w:rsidR="0095262A">
        <w:rPr>
          <w:rFonts w:eastAsia="Arial"/>
        </w:rPr>
        <w:t>,</w:t>
      </w:r>
      <w:r w:rsidR="00AC524C" w:rsidRPr="00AC524C">
        <w:rPr>
          <w:rFonts w:eastAsia="Arial"/>
        </w:rPr>
        <w:t xml:space="preserve"> on the recommendation</w:t>
      </w:r>
      <w:r w:rsidR="00673AE4">
        <w:rPr>
          <w:rFonts w:eastAsia="Arial"/>
        </w:rPr>
        <w:t xml:space="preserve"> </w:t>
      </w:r>
      <w:r w:rsidR="00AC524C" w:rsidRPr="00AC524C">
        <w:rPr>
          <w:rFonts w:eastAsia="Arial"/>
        </w:rPr>
        <w:t xml:space="preserve">of </w:t>
      </w:r>
      <w:r w:rsidR="008E6241">
        <w:rPr>
          <w:rFonts w:eastAsia="Arial"/>
        </w:rPr>
        <w:t xml:space="preserve">the </w:t>
      </w:r>
      <w:r w:rsidR="00AC524C" w:rsidRPr="00AC524C">
        <w:rPr>
          <w:rFonts w:eastAsia="Arial"/>
        </w:rPr>
        <w:t>Minister</w:t>
      </w:r>
      <w:r w:rsidR="00673AE4">
        <w:rPr>
          <w:rFonts w:eastAsia="Arial"/>
        </w:rPr>
        <w:t>.</w:t>
      </w:r>
    </w:p>
    <w:p w14:paraId="04D0D1E4" w14:textId="77777777" w:rsidR="00670100" w:rsidRDefault="00670100" w:rsidP="00760C41">
      <w:pPr>
        <w:pStyle w:val="Heading2"/>
        <w:rPr>
          <w:rFonts w:eastAsia="Aptos"/>
        </w:rPr>
      </w:pPr>
      <w:r w:rsidRPr="50ADC849">
        <w:rPr>
          <w:rFonts w:eastAsia="Aptos"/>
        </w:rPr>
        <w:t>Implementation considerations</w:t>
      </w:r>
    </w:p>
    <w:p w14:paraId="7D9F693E" w14:textId="32E33CF8" w:rsidR="00F24049" w:rsidRDefault="00233F89" w:rsidP="00590DF5">
      <w:pPr>
        <w:pStyle w:val="BodyText"/>
      </w:pPr>
      <w:r>
        <w:t>C</w:t>
      </w:r>
      <w:r w:rsidR="00670100">
        <w:t xml:space="preserve">ouncils will need to </w:t>
      </w:r>
      <w:r w:rsidR="00590DF5">
        <w:t xml:space="preserve">respond </w:t>
      </w:r>
      <w:r w:rsidR="009D3560">
        <w:t>within 20 working days to any</w:t>
      </w:r>
      <w:r w:rsidR="00590DF5">
        <w:t xml:space="preserve"> investigation report recommending regulations to amend their plans or policy statements. Consultation with the </w:t>
      </w:r>
      <w:r w:rsidR="00590DF5" w:rsidDel="007E45E0">
        <w:t>M</w:t>
      </w:r>
      <w:r w:rsidR="00590DF5">
        <w:t xml:space="preserve">inister is </w:t>
      </w:r>
      <w:r w:rsidR="00842CF5">
        <w:t xml:space="preserve">offered but </w:t>
      </w:r>
      <w:r w:rsidR="007E45E0">
        <w:t xml:space="preserve">is </w:t>
      </w:r>
      <w:r w:rsidR="00842CF5">
        <w:t>not an obligation for councils</w:t>
      </w:r>
      <w:r w:rsidR="00590DF5">
        <w:t xml:space="preserve">. </w:t>
      </w:r>
    </w:p>
    <w:p w14:paraId="6A6D8A01" w14:textId="1C6A8255" w:rsidR="00F24049" w:rsidRDefault="00AF4646" w:rsidP="00590DF5">
      <w:pPr>
        <w:pStyle w:val="BodyText"/>
      </w:pPr>
      <w:r>
        <w:t>A</w:t>
      </w:r>
      <w:r w:rsidR="00F24049">
        <w:t xml:space="preserve">ffected parties will be notified and offered an opportunity to consult on </w:t>
      </w:r>
      <w:r>
        <w:t xml:space="preserve">any </w:t>
      </w:r>
      <w:r w:rsidR="00F24049">
        <w:t xml:space="preserve">proposed </w:t>
      </w:r>
      <w:r w:rsidR="00611BF7">
        <w:t xml:space="preserve">changes. </w:t>
      </w:r>
    </w:p>
    <w:p w14:paraId="581E4A39" w14:textId="52A6CDFC" w:rsidR="00670100" w:rsidRDefault="00590DF5" w:rsidP="00590DF5">
      <w:pPr>
        <w:pStyle w:val="BodyText"/>
      </w:pPr>
      <w:r>
        <w:t xml:space="preserve">The </w:t>
      </w:r>
      <w:r w:rsidDel="00F54B50">
        <w:t>M</w:t>
      </w:r>
      <w:r>
        <w:t>inister is required to consider any outcomes of consultation with relevant councils and affected parties</w:t>
      </w:r>
      <w:r w:rsidR="00430D74">
        <w:t xml:space="preserve"> before </w:t>
      </w:r>
      <w:r w:rsidR="006545C4">
        <w:t>recommending</w:t>
      </w:r>
      <w:r w:rsidR="00430D74">
        <w:t xml:space="preserve"> regulations</w:t>
      </w:r>
      <w:r>
        <w:t xml:space="preserve">.   </w:t>
      </w:r>
    </w:p>
    <w:p w14:paraId="27532A3A" w14:textId="04AB5868" w:rsidR="00590DF5" w:rsidRPr="00007F5E" w:rsidRDefault="00590DF5" w:rsidP="00590DF5">
      <w:pPr>
        <w:pStyle w:val="BodyText"/>
      </w:pPr>
      <w:r>
        <w:t xml:space="preserve">If regulations are recommended, councils will need to promptly notify the changes, and update their plans </w:t>
      </w:r>
      <w:r w:rsidR="00F30AE0">
        <w:t xml:space="preserve">or policy statements </w:t>
      </w:r>
      <w:r>
        <w:t>accordingly</w:t>
      </w:r>
      <w:r w:rsidR="00CE7528">
        <w:t>, without using Schedule 1 plan change processes</w:t>
      </w:r>
      <w:r>
        <w:t xml:space="preserve">. </w:t>
      </w:r>
    </w:p>
    <w:p w14:paraId="1D125E9A" w14:textId="77777777" w:rsidR="00670100" w:rsidRPr="00007F5E" w:rsidRDefault="00670100" w:rsidP="00670100">
      <w:pPr>
        <w:pStyle w:val="BodyText"/>
      </w:pPr>
      <w:r>
        <w:t xml:space="preserve"> </w:t>
      </w:r>
    </w:p>
    <w:p w14:paraId="64C3F104" w14:textId="77777777" w:rsidR="00670100" w:rsidRPr="00575C11" w:rsidRDefault="00670100" w:rsidP="00670100">
      <w:pPr>
        <w:pStyle w:val="Bullet"/>
        <w:numPr>
          <w:ilvl w:val="0"/>
          <w:numId w:val="0"/>
        </w:numPr>
        <w:ind w:left="397" w:hanging="397"/>
      </w:pPr>
    </w:p>
    <w:p w14:paraId="4C0213B3" w14:textId="77777777" w:rsidR="00670100" w:rsidRDefault="00670100" w:rsidP="006701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A77F994" wp14:editId="1243AD3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835650" cy="79057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70100" w14:paraId="2D291E17" w14:textId="7777777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0DFB11AB" w14:textId="643918DB" w:rsidR="00670100" w:rsidRDefault="00670100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Pr="000D19FB">
                                    <w:t>August 2025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="00805651">
                                    <w:t>1342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3E18145" w14:textId="77777777" w:rsidR="00670100" w:rsidRDefault="00670100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B9D6D2" wp14:editId="0F730903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743319" w14:textId="77777777" w:rsidR="00670100" w:rsidRPr="00C82C4B" w:rsidRDefault="00670100" w:rsidP="00670100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7F9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9.5pt;height:6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70100" w14:paraId="2D291E17" w14:textId="7777777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0DFB11AB" w14:textId="643918DB" w:rsidR="00670100" w:rsidRDefault="00670100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Pr="000D19FB">
                              <w:t>August 2025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="00805651">
                              <w:t>1342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73E18145" w14:textId="77777777" w:rsidR="00670100" w:rsidRDefault="00670100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9D6D2" wp14:editId="0F730903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743319" w14:textId="77777777" w:rsidR="00670100" w:rsidRPr="00C82C4B" w:rsidRDefault="00670100" w:rsidP="00670100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p w14:paraId="40F34E56" w14:textId="77777777" w:rsidR="005948C2" w:rsidRDefault="005948C2"/>
    <w:sectPr w:rsidR="005948C2" w:rsidSect="005467BD">
      <w:footerReference w:type="even" r:id="rId14"/>
      <w:footerReference w:type="first" r:id="rId15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3D8B" w14:textId="77777777" w:rsidR="004551B6" w:rsidRDefault="004551B6" w:rsidP="00842CF5">
      <w:pPr>
        <w:spacing w:before="0" w:after="0" w:line="240" w:lineRule="auto"/>
      </w:pPr>
      <w:r>
        <w:separator/>
      </w:r>
    </w:p>
  </w:endnote>
  <w:endnote w:type="continuationSeparator" w:id="0">
    <w:p w14:paraId="5BB7CABD" w14:textId="77777777" w:rsidR="004551B6" w:rsidRDefault="004551B6" w:rsidP="00842C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FF5C" w14:textId="17AD0083" w:rsidR="00910363" w:rsidRPr="00BE4098" w:rsidRDefault="00654B84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5467BD" w:rsidRPr="005467BD">
      <w:t>Regulation-making power to alter local authority plans and policy statements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1F6D" w14:textId="5E55E2C8" w:rsidR="00910363" w:rsidRDefault="00654B84">
    <w:pPr>
      <w:pStyle w:val="Footerodd"/>
    </w:pPr>
    <w:r>
      <w:tab/>
    </w:r>
    <w:r w:rsidR="005467BD" w:rsidRPr="005467BD">
      <w:t>Regulation-making power to alter local authority plans and policy statements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0486" w14:textId="77777777" w:rsidR="004551B6" w:rsidRDefault="004551B6" w:rsidP="00842CF5">
      <w:pPr>
        <w:spacing w:before="0" w:after="0" w:line="240" w:lineRule="auto"/>
      </w:pPr>
      <w:r>
        <w:separator/>
      </w:r>
    </w:p>
  </w:footnote>
  <w:footnote w:type="continuationSeparator" w:id="0">
    <w:p w14:paraId="48F8E5E3" w14:textId="77777777" w:rsidR="004551B6" w:rsidRDefault="004551B6" w:rsidP="00842C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151A3"/>
    <w:multiLevelType w:val="hybridMultilevel"/>
    <w:tmpl w:val="59684A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3" w15:restartNumberingAfterBreak="0">
    <w:nsid w:val="67992400"/>
    <w:multiLevelType w:val="hybridMultilevel"/>
    <w:tmpl w:val="8DE89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75605">
    <w:abstractNumId w:val="1"/>
  </w:num>
  <w:num w:numId="2" w16cid:durableId="592393198">
    <w:abstractNumId w:val="2"/>
  </w:num>
  <w:num w:numId="3" w16cid:durableId="1497453801">
    <w:abstractNumId w:val="0"/>
  </w:num>
  <w:num w:numId="4" w16cid:durableId="170921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00"/>
    <w:rsid w:val="00004C4D"/>
    <w:rsid w:val="00005D8B"/>
    <w:rsid w:val="000124B7"/>
    <w:rsid w:val="0002312B"/>
    <w:rsid w:val="000248A0"/>
    <w:rsid w:val="000373EB"/>
    <w:rsid w:val="000440DE"/>
    <w:rsid w:val="0004526D"/>
    <w:rsid w:val="000471E8"/>
    <w:rsid w:val="00054CDB"/>
    <w:rsid w:val="00070AD1"/>
    <w:rsid w:val="000759AD"/>
    <w:rsid w:val="00076F1E"/>
    <w:rsid w:val="000922B7"/>
    <w:rsid w:val="00095FF2"/>
    <w:rsid w:val="00096157"/>
    <w:rsid w:val="000A3BB5"/>
    <w:rsid w:val="000B08FA"/>
    <w:rsid w:val="000B2C01"/>
    <w:rsid w:val="000C43B7"/>
    <w:rsid w:val="000C6469"/>
    <w:rsid w:val="000E2AC9"/>
    <w:rsid w:val="000E40B8"/>
    <w:rsid w:val="00143619"/>
    <w:rsid w:val="00154967"/>
    <w:rsid w:val="00171CF7"/>
    <w:rsid w:val="00177320"/>
    <w:rsid w:val="00177A9E"/>
    <w:rsid w:val="00191669"/>
    <w:rsid w:val="001D0B47"/>
    <w:rsid w:val="001E1B0D"/>
    <w:rsid w:val="001E4ACD"/>
    <w:rsid w:val="001F0BF9"/>
    <w:rsid w:val="00204719"/>
    <w:rsid w:val="0021278F"/>
    <w:rsid w:val="0021393F"/>
    <w:rsid w:val="002305A8"/>
    <w:rsid w:val="00233F89"/>
    <w:rsid w:val="00245492"/>
    <w:rsid w:val="00245B5A"/>
    <w:rsid w:val="00272DF4"/>
    <w:rsid w:val="002737F4"/>
    <w:rsid w:val="00283571"/>
    <w:rsid w:val="00287B00"/>
    <w:rsid w:val="002A31AB"/>
    <w:rsid w:val="002A5EE9"/>
    <w:rsid w:val="002A6094"/>
    <w:rsid w:val="002C02B8"/>
    <w:rsid w:val="002C6B01"/>
    <w:rsid w:val="002D20FD"/>
    <w:rsid w:val="002E1A7F"/>
    <w:rsid w:val="002F2EAC"/>
    <w:rsid w:val="003502C0"/>
    <w:rsid w:val="00360C6D"/>
    <w:rsid w:val="003615A7"/>
    <w:rsid w:val="00367F08"/>
    <w:rsid w:val="003A6B4C"/>
    <w:rsid w:val="003C1DCB"/>
    <w:rsid w:val="003C3B67"/>
    <w:rsid w:val="003F1D28"/>
    <w:rsid w:val="003F7504"/>
    <w:rsid w:val="00402840"/>
    <w:rsid w:val="00402B3A"/>
    <w:rsid w:val="00404039"/>
    <w:rsid w:val="004061F4"/>
    <w:rsid w:val="00430D74"/>
    <w:rsid w:val="004324A9"/>
    <w:rsid w:val="004551B6"/>
    <w:rsid w:val="00460627"/>
    <w:rsid w:val="00463D05"/>
    <w:rsid w:val="00475997"/>
    <w:rsid w:val="004917DF"/>
    <w:rsid w:val="00493C5C"/>
    <w:rsid w:val="00494D47"/>
    <w:rsid w:val="004B263B"/>
    <w:rsid w:val="004B5751"/>
    <w:rsid w:val="004C0171"/>
    <w:rsid w:val="004E6298"/>
    <w:rsid w:val="00515E84"/>
    <w:rsid w:val="005376B0"/>
    <w:rsid w:val="00540C62"/>
    <w:rsid w:val="005467BD"/>
    <w:rsid w:val="00555BCA"/>
    <w:rsid w:val="00566275"/>
    <w:rsid w:val="00590DF5"/>
    <w:rsid w:val="005948C2"/>
    <w:rsid w:val="00595CAB"/>
    <w:rsid w:val="00597A9A"/>
    <w:rsid w:val="005B1621"/>
    <w:rsid w:val="005B4B4A"/>
    <w:rsid w:val="005C1A96"/>
    <w:rsid w:val="00611BF7"/>
    <w:rsid w:val="0061443D"/>
    <w:rsid w:val="00633A2B"/>
    <w:rsid w:val="00644296"/>
    <w:rsid w:val="00646DCA"/>
    <w:rsid w:val="0065368E"/>
    <w:rsid w:val="006545C4"/>
    <w:rsid w:val="00663FD7"/>
    <w:rsid w:val="00670100"/>
    <w:rsid w:val="00673AE4"/>
    <w:rsid w:val="00675334"/>
    <w:rsid w:val="00682156"/>
    <w:rsid w:val="006821A3"/>
    <w:rsid w:val="006972A6"/>
    <w:rsid w:val="006B3313"/>
    <w:rsid w:val="006B46B6"/>
    <w:rsid w:val="006E0B94"/>
    <w:rsid w:val="006E0BDC"/>
    <w:rsid w:val="006E2FF7"/>
    <w:rsid w:val="006F1D58"/>
    <w:rsid w:val="006F7030"/>
    <w:rsid w:val="00702046"/>
    <w:rsid w:val="00725CCC"/>
    <w:rsid w:val="00736AAA"/>
    <w:rsid w:val="00744C99"/>
    <w:rsid w:val="007536C7"/>
    <w:rsid w:val="00760C41"/>
    <w:rsid w:val="007670F5"/>
    <w:rsid w:val="00772486"/>
    <w:rsid w:val="0077483B"/>
    <w:rsid w:val="00781B2E"/>
    <w:rsid w:val="00792230"/>
    <w:rsid w:val="007B0646"/>
    <w:rsid w:val="007E1C22"/>
    <w:rsid w:val="007E45E0"/>
    <w:rsid w:val="007E7008"/>
    <w:rsid w:val="007E78CC"/>
    <w:rsid w:val="007F3169"/>
    <w:rsid w:val="007F67BD"/>
    <w:rsid w:val="00800330"/>
    <w:rsid w:val="00805651"/>
    <w:rsid w:val="0080776D"/>
    <w:rsid w:val="00812257"/>
    <w:rsid w:val="0081677F"/>
    <w:rsid w:val="008168D7"/>
    <w:rsid w:val="00834C2E"/>
    <w:rsid w:val="00842CF5"/>
    <w:rsid w:val="00842E83"/>
    <w:rsid w:val="00843F7F"/>
    <w:rsid w:val="00866FF9"/>
    <w:rsid w:val="00873EEF"/>
    <w:rsid w:val="00874351"/>
    <w:rsid w:val="00880C18"/>
    <w:rsid w:val="00881BFC"/>
    <w:rsid w:val="00895210"/>
    <w:rsid w:val="00896044"/>
    <w:rsid w:val="008A4207"/>
    <w:rsid w:val="008A574F"/>
    <w:rsid w:val="008A73F6"/>
    <w:rsid w:val="008B0931"/>
    <w:rsid w:val="008B3665"/>
    <w:rsid w:val="008C30AF"/>
    <w:rsid w:val="008D4AD1"/>
    <w:rsid w:val="008D528B"/>
    <w:rsid w:val="008E229D"/>
    <w:rsid w:val="008E6241"/>
    <w:rsid w:val="008E7A88"/>
    <w:rsid w:val="009047FC"/>
    <w:rsid w:val="00910363"/>
    <w:rsid w:val="009115D0"/>
    <w:rsid w:val="009131DF"/>
    <w:rsid w:val="00917A13"/>
    <w:rsid w:val="00922D48"/>
    <w:rsid w:val="00922D6C"/>
    <w:rsid w:val="00933FF2"/>
    <w:rsid w:val="0094158F"/>
    <w:rsid w:val="009468F0"/>
    <w:rsid w:val="0095262A"/>
    <w:rsid w:val="00953347"/>
    <w:rsid w:val="00967724"/>
    <w:rsid w:val="00972985"/>
    <w:rsid w:val="00977C3F"/>
    <w:rsid w:val="0098669F"/>
    <w:rsid w:val="00997E29"/>
    <w:rsid w:val="009A43AE"/>
    <w:rsid w:val="009B6546"/>
    <w:rsid w:val="009C1759"/>
    <w:rsid w:val="009C2127"/>
    <w:rsid w:val="009C5693"/>
    <w:rsid w:val="009C5E60"/>
    <w:rsid w:val="009D3560"/>
    <w:rsid w:val="009E2FC4"/>
    <w:rsid w:val="009F3840"/>
    <w:rsid w:val="009F4439"/>
    <w:rsid w:val="009F4E4F"/>
    <w:rsid w:val="00A2253E"/>
    <w:rsid w:val="00A2577B"/>
    <w:rsid w:val="00A34ABF"/>
    <w:rsid w:val="00A37C37"/>
    <w:rsid w:val="00A4755B"/>
    <w:rsid w:val="00A5761F"/>
    <w:rsid w:val="00A65AFB"/>
    <w:rsid w:val="00A702D4"/>
    <w:rsid w:val="00A73D9B"/>
    <w:rsid w:val="00A9280D"/>
    <w:rsid w:val="00A97742"/>
    <w:rsid w:val="00AA02A2"/>
    <w:rsid w:val="00AA11FB"/>
    <w:rsid w:val="00AA77FA"/>
    <w:rsid w:val="00AC524C"/>
    <w:rsid w:val="00AC6B62"/>
    <w:rsid w:val="00AC7B42"/>
    <w:rsid w:val="00AD48C0"/>
    <w:rsid w:val="00AF4646"/>
    <w:rsid w:val="00B0185D"/>
    <w:rsid w:val="00B21F07"/>
    <w:rsid w:val="00B448E2"/>
    <w:rsid w:val="00B46A90"/>
    <w:rsid w:val="00B47012"/>
    <w:rsid w:val="00B60B07"/>
    <w:rsid w:val="00B629B0"/>
    <w:rsid w:val="00B9679C"/>
    <w:rsid w:val="00BB1898"/>
    <w:rsid w:val="00BC3B14"/>
    <w:rsid w:val="00BD6588"/>
    <w:rsid w:val="00BE42C7"/>
    <w:rsid w:val="00C00269"/>
    <w:rsid w:val="00C25554"/>
    <w:rsid w:val="00C25A85"/>
    <w:rsid w:val="00C25EE0"/>
    <w:rsid w:val="00C31E3E"/>
    <w:rsid w:val="00C46916"/>
    <w:rsid w:val="00C662A1"/>
    <w:rsid w:val="00C72010"/>
    <w:rsid w:val="00C73373"/>
    <w:rsid w:val="00C73D45"/>
    <w:rsid w:val="00C764A2"/>
    <w:rsid w:val="00C81D35"/>
    <w:rsid w:val="00C8336A"/>
    <w:rsid w:val="00CB1C2F"/>
    <w:rsid w:val="00CB1D47"/>
    <w:rsid w:val="00CC73D2"/>
    <w:rsid w:val="00CC79C3"/>
    <w:rsid w:val="00CE4313"/>
    <w:rsid w:val="00CE49B2"/>
    <w:rsid w:val="00CE7528"/>
    <w:rsid w:val="00CF1D3F"/>
    <w:rsid w:val="00CF454D"/>
    <w:rsid w:val="00D11C73"/>
    <w:rsid w:val="00D27A42"/>
    <w:rsid w:val="00D449C8"/>
    <w:rsid w:val="00D65CA4"/>
    <w:rsid w:val="00D75B50"/>
    <w:rsid w:val="00D85048"/>
    <w:rsid w:val="00D8685E"/>
    <w:rsid w:val="00D9328C"/>
    <w:rsid w:val="00D97713"/>
    <w:rsid w:val="00DB1B28"/>
    <w:rsid w:val="00DC5664"/>
    <w:rsid w:val="00DD65DA"/>
    <w:rsid w:val="00DE4352"/>
    <w:rsid w:val="00DF16F2"/>
    <w:rsid w:val="00E047BF"/>
    <w:rsid w:val="00E057E2"/>
    <w:rsid w:val="00E12889"/>
    <w:rsid w:val="00E1715D"/>
    <w:rsid w:val="00E31F32"/>
    <w:rsid w:val="00E44D76"/>
    <w:rsid w:val="00E51737"/>
    <w:rsid w:val="00E5223F"/>
    <w:rsid w:val="00E55DB9"/>
    <w:rsid w:val="00E560E4"/>
    <w:rsid w:val="00E60D33"/>
    <w:rsid w:val="00E61C1B"/>
    <w:rsid w:val="00E73E29"/>
    <w:rsid w:val="00E76AC4"/>
    <w:rsid w:val="00E8308C"/>
    <w:rsid w:val="00E90B02"/>
    <w:rsid w:val="00E94B14"/>
    <w:rsid w:val="00E94D8A"/>
    <w:rsid w:val="00EA1123"/>
    <w:rsid w:val="00EB0C9B"/>
    <w:rsid w:val="00EC5518"/>
    <w:rsid w:val="00ED1290"/>
    <w:rsid w:val="00ED66CD"/>
    <w:rsid w:val="00F24049"/>
    <w:rsid w:val="00F30AE0"/>
    <w:rsid w:val="00F44B2D"/>
    <w:rsid w:val="00F54B50"/>
    <w:rsid w:val="00F766A3"/>
    <w:rsid w:val="00F77BFC"/>
    <w:rsid w:val="00F90E1C"/>
    <w:rsid w:val="00F942FF"/>
    <w:rsid w:val="00FA43F7"/>
    <w:rsid w:val="00FC25BC"/>
    <w:rsid w:val="00FD47FE"/>
    <w:rsid w:val="00FD5A07"/>
    <w:rsid w:val="00FD788A"/>
    <w:rsid w:val="00FE21EA"/>
    <w:rsid w:val="46221B22"/>
    <w:rsid w:val="5E3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CB19"/>
  <w15:chartTrackingRefBased/>
  <w15:docId w15:val="{9BA05D6F-157C-4D75-B1F9-57D62D88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00"/>
    <w:pPr>
      <w:spacing w:before="120" w:after="120" w:line="280" w:lineRule="atLeast"/>
      <w:jc w:val="both"/>
    </w:pPr>
    <w:rPr>
      <w:rFonts w:ascii="Calibri" w:eastAsia="Times New Roman" w:hAnsi="Calibri" w:cs="Times New Roman"/>
      <w:kern w:val="0"/>
      <w:sz w:val="22"/>
      <w:szCs w:val="22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60C41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="DengXian Light" w:hAnsi="Georgia"/>
      <w:b/>
      <w:bCs/>
      <w:color w:val="1B556B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70100"/>
    <w:rPr>
      <w:rFonts w:ascii="Georgia" w:eastAsia="DengXian Light" w:hAnsi="Georgia" w:cs="Times New Roman"/>
      <w:b/>
      <w:bCs/>
      <w:color w:val="1B556B"/>
      <w:kern w:val="0"/>
      <w:sz w:val="36"/>
      <w:szCs w:val="36"/>
      <w:lang w:eastAsia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70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67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670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10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670100"/>
    <w:pPr>
      <w:jc w:val="left"/>
    </w:pPr>
  </w:style>
  <w:style w:type="character" w:customStyle="1" w:styleId="BodyTextChar">
    <w:name w:val="Body Text Char"/>
    <w:basedOn w:val="DefaultParagraphFont"/>
    <w:link w:val="BodyText"/>
    <w:rsid w:val="00670100"/>
    <w:rPr>
      <w:rFonts w:ascii="Calibri" w:eastAsia="Times New Roman" w:hAnsi="Calibri" w:cs="Times New Roman"/>
      <w:kern w:val="0"/>
      <w:sz w:val="22"/>
      <w:szCs w:val="22"/>
      <w:lang w:eastAsia="en-NZ"/>
      <w14:ligatures w14:val="none"/>
    </w:rPr>
  </w:style>
  <w:style w:type="paragraph" w:customStyle="1" w:styleId="Boxbullet">
    <w:name w:val="Box bullet"/>
    <w:basedOn w:val="Normal"/>
    <w:uiPriority w:val="1"/>
    <w:qFormat/>
    <w:rsid w:val="00670100"/>
    <w:pPr>
      <w:numPr>
        <w:numId w:val="2"/>
      </w:numPr>
      <w:tabs>
        <w:tab w:val="left" w:pos="680"/>
      </w:tabs>
      <w:spacing w:before="0" w:line="260" w:lineRule="atLeast"/>
      <w:ind w:right="284"/>
      <w:jc w:val="left"/>
    </w:pPr>
    <w:rPr>
      <w:rFonts w:eastAsiaTheme="minorEastAsia"/>
      <w:color w:val="1B556B"/>
      <w:sz w:val="20"/>
      <w:szCs w:val="20"/>
    </w:rPr>
  </w:style>
  <w:style w:type="paragraph" w:customStyle="1" w:styleId="Bullet">
    <w:name w:val="Bullet"/>
    <w:basedOn w:val="Normal"/>
    <w:link w:val="BulletChar"/>
    <w:qFormat/>
    <w:rsid w:val="00670100"/>
    <w:pPr>
      <w:numPr>
        <w:numId w:val="1"/>
      </w:numPr>
      <w:tabs>
        <w:tab w:val="left" w:pos="397"/>
      </w:tabs>
      <w:spacing w:before="0"/>
      <w:jc w:val="left"/>
    </w:pPr>
    <w:rPr>
      <w:szCs w:val="20"/>
    </w:rPr>
  </w:style>
  <w:style w:type="paragraph" w:styleId="Footer">
    <w:name w:val="footer"/>
    <w:basedOn w:val="Normal"/>
    <w:link w:val="FooterChar"/>
    <w:semiHidden/>
    <w:rsid w:val="00670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70100"/>
    <w:rPr>
      <w:rFonts w:ascii="Calibri" w:eastAsia="Times New Roman" w:hAnsi="Calibri" w:cs="Times New Roman"/>
      <w:kern w:val="0"/>
      <w:sz w:val="22"/>
      <w:szCs w:val="22"/>
      <w:lang w:eastAsia="en-NZ"/>
      <w14:ligatures w14:val="none"/>
    </w:rPr>
  </w:style>
  <w:style w:type="character" w:styleId="Hyperlink">
    <w:name w:val="Hyperlink"/>
    <w:uiPriority w:val="99"/>
    <w:qFormat/>
    <w:rsid w:val="00670100"/>
    <w:rPr>
      <w:color w:val="32809C"/>
      <w:u w:val="none"/>
    </w:rPr>
  </w:style>
  <w:style w:type="paragraph" w:customStyle="1" w:styleId="TableText">
    <w:name w:val="TableText"/>
    <w:basedOn w:val="Normal"/>
    <w:qFormat/>
    <w:rsid w:val="00670100"/>
    <w:pPr>
      <w:spacing w:before="60" w:after="60" w:line="240" w:lineRule="atLeast"/>
      <w:jc w:val="left"/>
    </w:pPr>
    <w:rPr>
      <w:sz w:val="18"/>
    </w:rPr>
  </w:style>
  <w:style w:type="paragraph" w:customStyle="1" w:styleId="Footerodd">
    <w:name w:val="Footer odd"/>
    <w:basedOn w:val="Normal"/>
    <w:uiPriority w:val="1"/>
    <w:rsid w:val="00670100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670100"/>
    <w:pPr>
      <w:tabs>
        <w:tab w:val="left" w:pos="567"/>
      </w:tabs>
    </w:pPr>
    <w:rPr>
      <w:sz w:val="16"/>
    </w:rPr>
  </w:style>
  <w:style w:type="character" w:customStyle="1" w:styleId="BulletChar">
    <w:name w:val="Bullet Char"/>
    <w:link w:val="Bullet"/>
    <w:locked/>
    <w:rsid w:val="00670100"/>
    <w:rPr>
      <w:rFonts w:ascii="Calibri" w:eastAsia="Times New Roman" w:hAnsi="Calibri" w:cs="Times New Roman"/>
      <w:kern w:val="0"/>
      <w:sz w:val="22"/>
      <w:szCs w:val="20"/>
      <w:lang w:eastAsia="en-NZ"/>
      <w14:ligatures w14:val="none"/>
    </w:rPr>
  </w:style>
  <w:style w:type="table" w:styleId="TableGrid3">
    <w:name w:val="Table Grid 3"/>
    <w:basedOn w:val="TableNormal"/>
    <w:uiPriority w:val="99"/>
    <w:semiHidden/>
    <w:unhideWhenUsed/>
    <w:rsid w:val="00670100"/>
    <w:pPr>
      <w:spacing w:before="120" w:after="120" w:line="280" w:lineRule="atLeast"/>
      <w:jc w:val="both"/>
    </w:pPr>
    <w:rPr>
      <w:rFonts w:ascii="Calibri" w:eastAsia="Calibri" w:hAnsi="Calibri" w:cs="Times New Roman"/>
      <w:kern w:val="0"/>
      <w:sz w:val="20"/>
      <w:szCs w:val="20"/>
      <w:lang w:eastAsia="en-NZ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">
    <w:name w:val="Intro"/>
    <w:basedOn w:val="BodyText"/>
    <w:qFormat/>
    <w:rsid w:val="00670100"/>
    <w:pPr>
      <w:spacing w:line="360" w:lineRule="atLeast"/>
    </w:pPr>
    <w:rPr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42C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CF5"/>
    <w:rPr>
      <w:rFonts w:ascii="Calibri" w:eastAsia="Times New Roman" w:hAnsi="Calibri" w:cs="Times New Roman"/>
      <w:kern w:val="0"/>
      <w:sz w:val="22"/>
      <w:szCs w:val="22"/>
      <w:lang w:eastAsia="en-NZ"/>
      <w14:ligatures w14:val="none"/>
    </w:rPr>
  </w:style>
  <w:style w:type="paragraph" w:styleId="Revision">
    <w:name w:val="Revision"/>
    <w:hidden/>
    <w:uiPriority w:val="99"/>
    <w:semiHidden/>
    <w:rsid w:val="00EC5518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9B0"/>
    <w:rPr>
      <w:rFonts w:ascii="Calibri" w:eastAsia="Times New Roman" w:hAnsi="Calibri" w:cs="Times New Roman"/>
      <w:kern w:val="0"/>
      <w:sz w:val="20"/>
      <w:szCs w:val="20"/>
      <w:lang w:eastAsia="en-N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B0"/>
    <w:rPr>
      <w:rFonts w:ascii="Calibri" w:eastAsia="Times New Roman" w:hAnsi="Calibri" w:cs="Times New Roman"/>
      <w:b/>
      <w:bCs/>
      <w:kern w:val="0"/>
      <w:sz w:val="20"/>
      <w:szCs w:val="20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vironment.govt.nz/acts-and-regulations/acts/rm-amendment-act-20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9dc2005b20d56036c81c753ec4deb06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d3deb967fb0a95f2300b930d9bfe20e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ECM-1122293896-126903</_dlc_DocId>
    <_dlc_DocIdUrl xmlns="58a6f171-52cb-4404-b47d-af1c8daf8fd1">
      <Url>https://ministryforenvironment.sharepoint.com/sites/ECM-ER-Comms/_layouts/15/DocIdRedir.aspx?ID=ECM-1122293896-126903</Url>
      <Description>ECM-1122293896-126903</Description>
    </_dlc_DocIdUrl>
  </documentManagement>
</p:properties>
</file>

<file path=customXml/itemProps1.xml><?xml version="1.0" encoding="utf-8"?>
<ds:datastoreItem xmlns:ds="http://schemas.openxmlformats.org/officeDocument/2006/customXml" ds:itemID="{2C0B6C97-1D15-4855-ABF8-1B6CF17E10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0EDF1F-C572-49A2-81E4-1F57AC8B9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3B6C1-3C49-4E93-9CA8-E8C998ED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C3598-75C0-45B1-BDDE-BA8C6C60F385}">
  <ds:schemaRefs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a5b0190-e301-4766-933d-448c7c363fce"/>
    <ds:schemaRef ds:uri="http://www.w3.org/XML/1998/namespace"/>
    <ds:schemaRef ds:uri="http://schemas.microsoft.com/office/2006/documentManagement/types"/>
    <ds:schemaRef ds:uri="http://schemas.microsoft.com/sharepoint/v4"/>
    <ds:schemaRef ds:uri="4a94300e-a927-4b92-9d3a-682523035cb6"/>
    <ds:schemaRef ds:uri="58a6f171-52cb-4404-b47d-af1c8daf8fd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Law</dc:creator>
  <cp:keywords/>
  <dc:description/>
  <cp:lastModifiedBy>Stephen Minchin</cp:lastModifiedBy>
  <cp:revision>2</cp:revision>
  <dcterms:created xsi:type="dcterms:W3CDTF">2025-08-20T01:39:00Z</dcterms:created>
  <dcterms:modified xsi:type="dcterms:W3CDTF">2025-08-20T01:39:00Z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2025-08-14T02:07:53Z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683229d9-dcf7-4352-8405-d8fe451f6f45</vt:lpwstr>
  </property>
  <property fmtid="{D5CDD505-2E9C-101B-9397-08002B2CF9AE}" pid="8" name="MSIP_Label_52dda6cc-d61d-4fd2-bf18-9b3017d931cc_ContentBits">
    <vt:lpwstr>0</vt:lpwstr>
  </property>
  <property fmtid="{D5CDD505-2E9C-101B-9397-08002B2CF9AE}" pid="9" name="MSIP_Label_52dda6cc-d61d-4fd2-bf18-9b3017d931cc_Tag">
    <vt:lpwstr>10, 0, 1, 1</vt:lpwstr>
  </property>
  <property fmtid="{D5CDD505-2E9C-101B-9397-08002B2CF9AE}" pid="10" name="ContentTypeId">
    <vt:lpwstr>0x010100EA5FB0BEBF7DE54D9F252D8A06C053F7</vt:lpwstr>
  </property>
  <property fmtid="{D5CDD505-2E9C-101B-9397-08002B2CF9AE}" pid="11" name="MediaServiceImageTags">
    <vt:lpwstr/>
  </property>
  <property fmtid="{D5CDD505-2E9C-101B-9397-08002B2CF9AE}" pid="12" name="Order">
    <vt:r8>193600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_dlc_DocIdItemGuid">
    <vt:lpwstr>2fa359a1-f014-4258-a732-1b1a2ae590ea</vt:lpwstr>
  </property>
</Properties>
</file>