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E96F" w14:textId="77777777" w:rsidR="008A2F17" w:rsidRPr="008A2F17" w:rsidRDefault="008A2F17" w:rsidP="008A2F17">
      <w:pPr>
        <w:spacing w:line="360" w:lineRule="auto"/>
        <w:jc w:val="center"/>
        <w:rPr>
          <w:rFonts w:ascii="Georgia" w:hAnsi="Georgia"/>
          <w:b/>
          <w:color w:val="17556C"/>
          <w:sz w:val="56"/>
          <w:szCs w:val="56"/>
        </w:rPr>
      </w:pPr>
      <w:bookmarkStart w:id="0" w:name="_Toc345760336"/>
      <w:r w:rsidRPr="008A2F17">
        <w:rPr>
          <w:b/>
          <w:noProof/>
          <w:sz w:val="52"/>
        </w:rPr>
        <w:drawing>
          <wp:anchor distT="0" distB="0" distL="114300" distR="114300" simplePos="0" relativeHeight="251658240" behindDoc="0" locked="0" layoutInCell="1" allowOverlap="1" wp14:anchorId="4133FE48" wp14:editId="02AEDA1D">
            <wp:simplePos x="0" y="0"/>
            <wp:positionH relativeFrom="column">
              <wp:posOffset>-917363</wp:posOffset>
            </wp:positionH>
            <wp:positionV relativeFrom="paragraph">
              <wp:posOffset>-3600450</wp:posOffset>
            </wp:positionV>
            <wp:extent cx="7609025" cy="10752667"/>
            <wp:effectExtent l="0" t="0" r="0" b="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5749" cy="10762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F17">
        <w:rPr>
          <w:rFonts w:ascii="Georgia" w:hAnsi="Georgia"/>
          <w:b/>
          <w:color w:val="1B556B"/>
          <w:sz w:val="56"/>
          <w:szCs w:val="56"/>
        </w:rPr>
        <w:t>Planned Methodological Improvements for Aotearoa New Zealand’s Greenhouse Gas Inventory 1990-2020</w:t>
      </w:r>
    </w:p>
    <w:p w14:paraId="196C1AA6" w14:textId="77777777" w:rsidR="008A2F17" w:rsidRPr="008A2F17" w:rsidRDefault="008A2F17" w:rsidP="008A2F17">
      <w:pPr>
        <w:jc w:val="left"/>
      </w:pPr>
    </w:p>
    <w:p w14:paraId="6347052E" w14:textId="77777777" w:rsidR="008A2F17" w:rsidRPr="008A2F17" w:rsidRDefault="008A2F17" w:rsidP="008A2F17">
      <w:pPr>
        <w:jc w:val="left"/>
      </w:pPr>
    </w:p>
    <w:p w14:paraId="369E9C5D" w14:textId="77777777" w:rsidR="008A2F17" w:rsidRPr="008A2F17" w:rsidRDefault="008A2F17" w:rsidP="008A2F17">
      <w:pPr>
        <w:jc w:val="left"/>
        <w:rPr>
          <w:color w:val="FF0000"/>
        </w:rPr>
        <w:sectPr w:rsidR="008A2F17" w:rsidRPr="008A2F17" w:rsidSect="008A2F17">
          <w:headerReference w:type="default" r:id="rId13"/>
          <w:footerReference w:type="default" r:id="rId14"/>
          <w:pgSz w:w="11907" w:h="16840" w:code="9"/>
          <w:pgMar w:top="5670" w:right="1418" w:bottom="1701" w:left="1418" w:header="567" w:footer="685" w:gutter="0"/>
          <w:cols w:space="720"/>
        </w:sectPr>
      </w:pPr>
    </w:p>
    <w:p w14:paraId="7DE16FC7" w14:textId="77777777" w:rsidR="008A2F17" w:rsidRPr="008A2F17" w:rsidRDefault="008A2F17" w:rsidP="008A2F17">
      <w:pPr>
        <w:spacing w:before="0" w:after="0"/>
        <w:jc w:val="left"/>
        <w:rPr>
          <w:b/>
        </w:rPr>
      </w:pPr>
    </w:p>
    <w:p w14:paraId="4C8A16E2" w14:textId="77777777" w:rsidR="008A2F17" w:rsidRPr="008A2F17" w:rsidRDefault="008A2F17" w:rsidP="008A2F17">
      <w:pPr>
        <w:spacing w:before="0" w:after="0"/>
        <w:jc w:val="left"/>
        <w:rPr>
          <w:b/>
        </w:rPr>
      </w:pPr>
    </w:p>
    <w:p w14:paraId="689CC406" w14:textId="77777777" w:rsidR="008A2F17" w:rsidRPr="008A2F17" w:rsidRDefault="008A2F17" w:rsidP="008A2F17">
      <w:pPr>
        <w:spacing w:before="0" w:after="0"/>
        <w:jc w:val="left"/>
        <w:rPr>
          <w:b/>
        </w:rPr>
      </w:pPr>
    </w:p>
    <w:p w14:paraId="611917E8" w14:textId="77777777" w:rsidR="008A2F17" w:rsidRPr="008A2F17" w:rsidRDefault="008A2F17" w:rsidP="008A2F17">
      <w:pPr>
        <w:spacing w:before="0" w:after="0"/>
        <w:jc w:val="left"/>
        <w:rPr>
          <w:b/>
        </w:rPr>
      </w:pPr>
    </w:p>
    <w:p w14:paraId="1AB7178B" w14:textId="77777777" w:rsidR="008A2F17" w:rsidRPr="008A2F17" w:rsidRDefault="008A2F17" w:rsidP="008A2F17">
      <w:pPr>
        <w:spacing w:before="0" w:after="0"/>
        <w:jc w:val="left"/>
        <w:rPr>
          <w:b/>
        </w:rPr>
      </w:pPr>
    </w:p>
    <w:p w14:paraId="7D0EF76D" w14:textId="77777777" w:rsidR="008A2F17" w:rsidRPr="008A2F17" w:rsidRDefault="008A2F17" w:rsidP="008A2F17">
      <w:pPr>
        <w:spacing w:before="0" w:after="0"/>
        <w:jc w:val="left"/>
        <w:rPr>
          <w:b/>
        </w:rPr>
      </w:pPr>
    </w:p>
    <w:p w14:paraId="4236F8D3" w14:textId="77777777" w:rsidR="008A2F17" w:rsidRPr="008A2F17" w:rsidRDefault="008A2F17" w:rsidP="008A2F17">
      <w:pPr>
        <w:spacing w:before="0" w:after="0"/>
        <w:jc w:val="left"/>
        <w:rPr>
          <w:b/>
        </w:rPr>
      </w:pPr>
    </w:p>
    <w:p w14:paraId="51F4839A" w14:textId="77777777" w:rsidR="008A2F17" w:rsidRPr="008A2F17" w:rsidRDefault="008A2F17" w:rsidP="008A2F17">
      <w:pPr>
        <w:spacing w:before="0" w:after="0"/>
        <w:jc w:val="left"/>
        <w:rPr>
          <w:b/>
        </w:rPr>
      </w:pPr>
    </w:p>
    <w:p w14:paraId="2C6999B1" w14:textId="77777777" w:rsidR="008A2F17" w:rsidRPr="008A2F17" w:rsidRDefault="008A2F17" w:rsidP="008A2F17">
      <w:pPr>
        <w:spacing w:before="0" w:after="0"/>
        <w:jc w:val="left"/>
        <w:rPr>
          <w:b/>
        </w:rPr>
      </w:pPr>
    </w:p>
    <w:p w14:paraId="6A39E09B" w14:textId="77777777" w:rsidR="008A2F17" w:rsidRPr="008A2F17" w:rsidRDefault="008A2F17" w:rsidP="008A2F17">
      <w:pPr>
        <w:spacing w:before="0" w:after="0"/>
        <w:jc w:val="left"/>
        <w:rPr>
          <w:b/>
        </w:rPr>
      </w:pPr>
    </w:p>
    <w:p w14:paraId="496A9B2F" w14:textId="77777777" w:rsidR="008A2F17" w:rsidRPr="008A2F17" w:rsidRDefault="008A2F17" w:rsidP="008A2F17">
      <w:pPr>
        <w:spacing w:before="0" w:after="0"/>
        <w:jc w:val="left"/>
        <w:rPr>
          <w:b/>
        </w:rPr>
      </w:pPr>
    </w:p>
    <w:p w14:paraId="19D0441A" w14:textId="77777777" w:rsidR="008A2F17" w:rsidRPr="008A2F17" w:rsidRDefault="008A2F17" w:rsidP="008A2F17">
      <w:pPr>
        <w:spacing w:before="0" w:after="0"/>
        <w:jc w:val="left"/>
        <w:rPr>
          <w:b/>
        </w:rPr>
      </w:pPr>
    </w:p>
    <w:p w14:paraId="65D14DBE" w14:textId="77777777" w:rsidR="008A2F17" w:rsidRPr="008A2F17" w:rsidRDefault="008A2F17" w:rsidP="008A2F17">
      <w:pPr>
        <w:spacing w:before="0" w:after="0"/>
        <w:jc w:val="left"/>
        <w:rPr>
          <w:b/>
        </w:rPr>
      </w:pPr>
    </w:p>
    <w:p w14:paraId="29A069FC" w14:textId="77777777" w:rsidR="008A2F17" w:rsidRPr="008A2F17" w:rsidRDefault="008A2F17" w:rsidP="008A2F17">
      <w:pPr>
        <w:spacing w:before="0" w:after="0"/>
        <w:jc w:val="left"/>
        <w:rPr>
          <w:b/>
        </w:rPr>
      </w:pPr>
    </w:p>
    <w:p w14:paraId="0A0EBAF9" w14:textId="77777777" w:rsidR="008A2F17" w:rsidRPr="008A2F17" w:rsidRDefault="008A2F17" w:rsidP="008A2F17">
      <w:pPr>
        <w:spacing w:before="0" w:after="0"/>
        <w:jc w:val="left"/>
        <w:rPr>
          <w:b/>
        </w:rPr>
      </w:pPr>
    </w:p>
    <w:p w14:paraId="72278E70" w14:textId="77777777" w:rsidR="008A2F17" w:rsidRPr="008A2F17" w:rsidRDefault="008A2F17" w:rsidP="008A2F17">
      <w:pPr>
        <w:spacing w:before="0" w:after="0"/>
        <w:jc w:val="left"/>
        <w:rPr>
          <w:b/>
        </w:rPr>
      </w:pPr>
      <w:r w:rsidRPr="008A2F17">
        <w:rPr>
          <w:b/>
        </w:rPr>
        <w:lastRenderedPageBreak/>
        <w:t>Disclaimer</w:t>
      </w:r>
    </w:p>
    <w:p w14:paraId="7290506D" w14:textId="77777777" w:rsidR="008A2F17" w:rsidRPr="008A2F17" w:rsidRDefault="008A2F17" w:rsidP="008A2F17">
      <w:pPr>
        <w:jc w:val="left"/>
      </w:pPr>
      <w:r w:rsidRPr="008A2F17">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256A5B9D" w14:textId="77777777" w:rsidR="008A2F17" w:rsidRPr="008A2F17" w:rsidRDefault="008A2F17" w:rsidP="00B56001">
      <w:pPr>
        <w:numPr>
          <w:ilvl w:val="0"/>
          <w:numId w:val="14"/>
        </w:numPr>
        <w:tabs>
          <w:tab w:val="clear" w:pos="397"/>
          <w:tab w:val="num" w:pos="360"/>
        </w:tabs>
        <w:spacing w:before="0" w:line="280" w:lineRule="exact"/>
        <w:ind w:left="0" w:firstLine="0"/>
        <w:jc w:val="left"/>
        <w:rPr>
          <w:szCs w:val="20"/>
        </w:rPr>
      </w:pPr>
      <w:r w:rsidRPr="008A2F17">
        <w:rPr>
          <w:szCs w:val="20"/>
        </w:rPr>
        <w:t>The information does not alter the laws of New Zealand, other official guidelines, or requirements.</w:t>
      </w:r>
    </w:p>
    <w:p w14:paraId="7C494CCE" w14:textId="77777777" w:rsidR="008A2F17" w:rsidRPr="008A2F17" w:rsidRDefault="008A2F17" w:rsidP="00B56001">
      <w:pPr>
        <w:numPr>
          <w:ilvl w:val="0"/>
          <w:numId w:val="14"/>
        </w:numPr>
        <w:tabs>
          <w:tab w:val="clear" w:pos="397"/>
          <w:tab w:val="num" w:pos="360"/>
        </w:tabs>
        <w:spacing w:before="0" w:line="280" w:lineRule="exact"/>
        <w:ind w:left="0" w:firstLine="0"/>
        <w:jc w:val="left"/>
        <w:rPr>
          <w:szCs w:val="20"/>
        </w:rPr>
      </w:pPr>
      <w:r w:rsidRPr="008A2F17">
        <w:rPr>
          <w:szCs w:val="20"/>
        </w:rPr>
        <w:t>It does not constitute legal advice, and users should take specific advice from qualified professionals before taking any action based on information in this publication.</w:t>
      </w:r>
    </w:p>
    <w:p w14:paraId="23147293" w14:textId="77777777" w:rsidR="008A2F17" w:rsidRPr="008A2F17" w:rsidRDefault="008A2F17" w:rsidP="00B56001">
      <w:pPr>
        <w:numPr>
          <w:ilvl w:val="0"/>
          <w:numId w:val="14"/>
        </w:numPr>
        <w:tabs>
          <w:tab w:val="clear" w:pos="397"/>
          <w:tab w:val="num" w:pos="360"/>
        </w:tabs>
        <w:spacing w:before="0" w:line="280" w:lineRule="exact"/>
        <w:ind w:left="0" w:firstLine="0"/>
        <w:jc w:val="left"/>
        <w:rPr>
          <w:szCs w:val="20"/>
        </w:rPr>
      </w:pPr>
      <w:r w:rsidRPr="008A2F17">
        <w:rPr>
          <w:szCs w:val="20"/>
        </w:rPr>
        <w:t xml:space="preserve">The Ministry does not accept any responsibility or liability whatsoever whether in contract, tort, equity, or otherwise for any action taken </w:t>
      </w:r>
      <w:proofErr w:type="gramStart"/>
      <w:r w:rsidRPr="008A2F17">
        <w:rPr>
          <w:szCs w:val="20"/>
        </w:rPr>
        <w:t>as a result of</w:t>
      </w:r>
      <w:proofErr w:type="gramEnd"/>
      <w:r w:rsidRPr="008A2F17">
        <w:rPr>
          <w:szCs w:val="20"/>
        </w:rPr>
        <w:t xml:space="preserve"> reading, or reliance placed on this publication because of having read any part, or all, of the information in this publication or for any error, or inadequacy, deficiency, flaw in, or omission from the information in this publication.</w:t>
      </w:r>
    </w:p>
    <w:p w14:paraId="627C2F11" w14:textId="77777777" w:rsidR="008A2F17" w:rsidRPr="008A2F17" w:rsidRDefault="008A2F17" w:rsidP="00B56001">
      <w:pPr>
        <w:numPr>
          <w:ilvl w:val="0"/>
          <w:numId w:val="14"/>
        </w:numPr>
        <w:tabs>
          <w:tab w:val="clear" w:pos="397"/>
          <w:tab w:val="num" w:pos="360"/>
        </w:tabs>
        <w:spacing w:before="0" w:line="280" w:lineRule="exact"/>
        <w:ind w:left="0" w:firstLine="0"/>
        <w:jc w:val="left"/>
        <w:rPr>
          <w:szCs w:val="20"/>
        </w:rPr>
      </w:pPr>
      <w:r w:rsidRPr="008A2F17">
        <w:rPr>
          <w:szCs w:val="20"/>
        </w:rPr>
        <w:t xml:space="preserve">All references to websites, </w:t>
      </w:r>
      <w:proofErr w:type="gramStart"/>
      <w:r w:rsidRPr="008A2F17">
        <w:rPr>
          <w:szCs w:val="20"/>
        </w:rPr>
        <w:t>organisations</w:t>
      </w:r>
      <w:proofErr w:type="gramEnd"/>
      <w:r w:rsidRPr="008A2F17">
        <w:rPr>
          <w:szCs w:val="20"/>
        </w:rPr>
        <w:t xml:space="preserve"> or people not within the Ministry are for convenience only and should not be taken as endorsement of those websites or information contained in those websites nor of organisations or people referred to.</w:t>
      </w:r>
    </w:p>
    <w:p w14:paraId="51268BD2" w14:textId="77777777" w:rsidR="008A2F17" w:rsidRPr="008A2F17" w:rsidRDefault="008A2F17" w:rsidP="008A2F17">
      <w:pPr>
        <w:spacing w:before="0" w:line="280" w:lineRule="exact"/>
        <w:ind w:left="397"/>
        <w:jc w:val="left"/>
        <w:rPr>
          <w:szCs w:val="20"/>
        </w:rPr>
      </w:pPr>
    </w:p>
    <w:p w14:paraId="4ECEDFAA" w14:textId="77777777" w:rsidR="008A2F17" w:rsidRPr="008A2F17" w:rsidRDefault="008A2F17" w:rsidP="008A2F17">
      <w:pPr>
        <w:jc w:val="left"/>
      </w:pPr>
    </w:p>
    <w:p w14:paraId="71675791" w14:textId="77777777" w:rsidR="008A2F17" w:rsidRPr="008A2F17" w:rsidRDefault="008A2F17" w:rsidP="008A2F17">
      <w:pPr>
        <w:jc w:val="left"/>
      </w:pPr>
    </w:p>
    <w:p w14:paraId="24975B93" w14:textId="77777777" w:rsidR="008A2F17" w:rsidRPr="008A2F17" w:rsidRDefault="008A2F17" w:rsidP="008A2F17">
      <w:pPr>
        <w:jc w:val="left"/>
      </w:pPr>
      <w:r w:rsidRPr="008A2F17">
        <w:t xml:space="preserve">This document may be cited as: Ministry for the Environment. 2022. </w:t>
      </w:r>
      <w:r w:rsidRPr="008A2F17">
        <w:rPr>
          <w:i/>
        </w:rPr>
        <w:t>Planned methodological improvements for Aotearoa New Zealand’s Greenhouse Gas Inventory 1990–2020</w:t>
      </w:r>
      <w:r w:rsidRPr="008A2F17">
        <w:t>. Wellington: Ministry for the Environment.</w:t>
      </w:r>
    </w:p>
    <w:p w14:paraId="5DA0E0A8" w14:textId="77777777" w:rsidR="008A2F17" w:rsidRPr="008A2F17" w:rsidRDefault="008A2F17" w:rsidP="008A2F17">
      <w:pPr>
        <w:jc w:val="left"/>
      </w:pPr>
    </w:p>
    <w:p w14:paraId="7FD76717" w14:textId="77777777" w:rsidR="008A2F17" w:rsidRPr="008A2F17" w:rsidRDefault="008A2F17" w:rsidP="008A2F17">
      <w:pPr>
        <w:jc w:val="left"/>
      </w:pPr>
    </w:p>
    <w:p w14:paraId="059AEA4D" w14:textId="77777777" w:rsidR="008A2F17" w:rsidRPr="008A2F17" w:rsidRDefault="008A2F17" w:rsidP="008A2F17">
      <w:pPr>
        <w:jc w:val="left"/>
      </w:pPr>
    </w:p>
    <w:p w14:paraId="231B32B6" w14:textId="77777777" w:rsidR="008A2F17" w:rsidRPr="008A2F17" w:rsidRDefault="008A2F17" w:rsidP="008A2F17">
      <w:pPr>
        <w:jc w:val="left"/>
      </w:pPr>
    </w:p>
    <w:p w14:paraId="6575466F" w14:textId="7EE56F74" w:rsidR="008A2F17" w:rsidRDefault="008A2F17" w:rsidP="008A2F17">
      <w:pPr>
        <w:jc w:val="left"/>
      </w:pPr>
    </w:p>
    <w:p w14:paraId="321A0A5E" w14:textId="77777777" w:rsidR="00C9562A" w:rsidRPr="008A2F17" w:rsidRDefault="00C9562A" w:rsidP="008A2F17">
      <w:pPr>
        <w:jc w:val="left"/>
      </w:pPr>
    </w:p>
    <w:p w14:paraId="5F1BF3C1" w14:textId="77777777" w:rsidR="008A2F17" w:rsidRPr="008A2F17" w:rsidRDefault="008A2F17" w:rsidP="008A2F17">
      <w:pPr>
        <w:jc w:val="left"/>
      </w:pPr>
    </w:p>
    <w:p w14:paraId="4E630E60" w14:textId="3ED921CF" w:rsidR="008A2F17" w:rsidRPr="008A2F17" w:rsidRDefault="008A2F17" w:rsidP="008A2F17">
      <w:pPr>
        <w:jc w:val="left"/>
      </w:pPr>
      <w:r w:rsidRPr="008A2F17">
        <w:t xml:space="preserve">Published in </w:t>
      </w:r>
      <w:r w:rsidR="00C73873">
        <w:t>March</w:t>
      </w:r>
      <w:r w:rsidRPr="008A2F17">
        <w:t xml:space="preserve"> 2022 by the</w:t>
      </w:r>
      <w:r w:rsidRPr="008A2F17">
        <w:br/>
        <w:t xml:space="preserve">Ministry for the Environment </w:t>
      </w:r>
      <w:r w:rsidRPr="008A2F17">
        <w:br/>
      </w:r>
      <w:proofErr w:type="spellStart"/>
      <w:r w:rsidRPr="008A2F17">
        <w:t>Manatū</w:t>
      </w:r>
      <w:proofErr w:type="spellEnd"/>
      <w:r w:rsidRPr="008A2F17">
        <w:t xml:space="preserve"> </w:t>
      </w:r>
      <w:proofErr w:type="spellStart"/>
      <w:r w:rsidRPr="008A2F17">
        <w:t>Mō</w:t>
      </w:r>
      <w:proofErr w:type="spellEnd"/>
      <w:r w:rsidRPr="008A2F17">
        <w:t xml:space="preserve"> </w:t>
      </w:r>
      <w:proofErr w:type="spellStart"/>
      <w:r w:rsidRPr="008A2F17">
        <w:t>Te</w:t>
      </w:r>
      <w:proofErr w:type="spellEnd"/>
      <w:r w:rsidRPr="008A2F17">
        <w:t xml:space="preserve"> </w:t>
      </w:r>
      <w:proofErr w:type="spellStart"/>
      <w:r w:rsidRPr="008A2F17">
        <w:t>Taiao</w:t>
      </w:r>
      <w:proofErr w:type="spellEnd"/>
      <w:r w:rsidRPr="008A2F17">
        <w:br/>
        <w:t>PO Box 10362, Wellington 6143, New Zealand</w:t>
      </w:r>
    </w:p>
    <w:p w14:paraId="492B5BDB" w14:textId="77777777" w:rsidR="008A2F17" w:rsidRPr="008A2F17" w:rsidRDefault="008A2F17" w:rsidP="008A2F17">
      <w:pPr>
        <w:tabs>
          <w:tab w:val="left" w:pos="720"/>
        </w:tabs>
        <w:ind w:left="720" w:hanging="720"/>
        <w:jc w:val="left"/>
      </w:pPr>
      <w:r w:rsidRPr="008A2F17">
        <w:t>ISBN: 978-1-99-102510-4</w:t>
      </w:r>
    </w:p>
    <w:p w14:paraId="1F6FB860" w14:textId="77777777" w:rsidR="008A2F17" w:rsidRPr="008A2F17" w:rsidRDefault="008A2F17" w:rsidP="008A2F17">
      <w:pPr>
        <w:ind w:left="720" w:hanging="720"/>
        <w:jc w:val="left"/>
      </w:pPr>
      <w:r w:rsidRPr="008A2F17">
        <w:t>Publication number: ME 1623</w:t>
      </w:r>
    </w:p>
    <w:p w14:paraId="1C011039" w14:textId="77777777" w:rsidR="008A2F17" w:rsidRPr="008A2F17" w:rsidRDefault="008A2F17" w:rsidP="008A2F17">
      <w:pPr>
        <w:spacing w:after="80"/>
        <w:jc w:val="left"/>
      </w:pPr>
      <w:r w:rsidRPr="008A2F17">
        <w:t>© Crown copyright New Zealand 2022</w:t>
      </w:r>
    </w:p>
    <w:p w14:paraId="6FD809E9" w14:textId="77777777" w:rsidR="008A2F17" w:rsidRPr="008A2F17" w:rsidRDefault="008A2F17" w:rsidP="008A2F17">
      <w:pPr>
        <w:spacing w:before="240" w:after="0"/>
        <w:jc w:val="left"/>
        <w:sectPr w:rsidR="008A2F17" w:rsidRPr="008A2F17" w:rsidSect="00E84E20">
          <w:headerReference w:type="even" r:id="rId15"/>
          <w:headerReference w:type="default" r:id="rId16"/>
          <w:footerReference w:type="even" r:id="rId17"/>
          <w:footerReference w:type="default" r:id="rId18"/>
          <w:type w:val="continuous"/>
          <w:pgSz w:w="11907" w:h="16840" w:code="9"/>
          <w:pgMar w:top="1134" w:right="1418" w:bottom="1134" w:left="1418" w:header="567" w:footer="567" w:gutter="0"/>
          <w:pgNumType w:fmt="lowerRoman"/>
          <w:cols w:space="720"/>
        </w:sectPr>
      </w:pPr>
      <w:r w:rsidRPr="008A2F17">
        <w:t xml:space="preserve">This document is available on the Ministry for the Environment website: </w:t>
      </w:r>
      <w:hyperlink r:id="rId19" w:history="1">
        <w:r w:rsidRPr="008A2F17">
          <w:rPr>
            <w:color w:val="32809C"/>
          </w:rPr>
          <w:t>environment.govt.nz</w:t>
        </w:r>
      </w:hyperlink>
      <w:r w:rsidRPr="008A2F17">
        <w:t>.</w:t>
      </w:r>
    </w:p>
    <w:p w14:paraId="4E011A1E" w14:textId="77777777" w:rsidR="008A2F17" w:rsidRPr="008A2F17" w:rsidRDefault="008A2F17" w:rsidP="00C73873">
      <w:pPr>
        <w:pStyle w:val="Heading1"/>
      </w:pPr>
      <w:bookmarkStart w:id="1" w:name="_Toc96523594"/>
      <w:r w:rsidRPr="008A2F17">
        <w:lastRenderedPageBreak/>
        <w:t>Contents</w:t>
      </w:r>
      <w:bookmarkEnd w:id="1"/>
    </w:p>
    <w:p w14:paraId="7277B95A" w14:textId="2B56152E" w:rsidR="00FB3AFF" w:rsidRDefault="008A2F17">
      <w:pPr>
        <w:pStyle w:val="TOC1"/>
        <w:rPr>
          <w:rFonts w:asciiTheme="minorHAnsi" w:eastAsiaTheme="minorEastAsia" w:hAnsiTheme="minorHAnsi" w:cstheme="minorBidi"/>
          <w:noProof/>
        </w:rPr>
      </w:pPr>
      <w:r w:rsidRPr="008A2F17">
        <w:rPr>
          <w:color w:val="0092CF"/>
        </w:rPr>
        <w:fldChar w:fldCharType="begin"/>
      </w:r>
      <w:r w:rsidRPr="008A2F17">
        <w:rPr>
          <w:color w:val="0092CF"/>
        </w:rPr>
        <w:instrText xml:space="preserve"> TOC \h \z \t "Heading 1,1,Heading 2,2" </w:instrText>
      </w:r>
      <w:r w:rsidRPr="008A2F17">
        <w:rPr>
          <w:color w:val="0092CF"/>
        </w:rPr>
        <w:fldChar w:fldCharType="separate"/>
      </w:r>
      <w:hyperlink w:anchor="_Toc96523594" w:history="1">
        <w:r w:rsidR="00FB3AFF" w:rsidRPr="00E66A9C">
          <w:rPr>
            <w:rStyle w:val="Hyperlink"/>
            <w:noProof/>
          </w:rPr>
          <w:t>Contents</w:t>
        </w:r>
        <w:r w:rsidR="00FB3AFF">
          <w:rPr>
            <w:noProof/>
            <w:webHidden/>
          </w:rPr>
          <w:tab/>
        </w:r>
        <w:r w:rsidR="00FB3AFF">
          <w:rPr>
            <w:noProof/>
            <w:webHidden/>
          </w:rPr>
          <w:fldChar w:fldCharType="begin"/>
        </w:r>
        <w:r w:rsidR="00FB3AFF">
          <w:rPr>
            <w:noProof/>
            <w:webHidden/>
          </w:rPr>
          <w:instrText xml:space="preserve"> PAGEREF _Toc96523594 \h </w:instrText>
        </w:r>
        <w:r w:rsidR="00FB3AFF">
          <w:rPr>
            <w:noProof/>
            <w:webHidden/>
          </w:rPr>
        </w:r>
        <w:r w:rsidR="00FB3AFF">
          <w:rPr>
            <w:noProof/>
            <w:webHidden/>
          </w:rPr>
          <w:fldChar w:fldCharType="separate"/>
        </w:r>
        <w:r w:rsidR="00FB3AFF">
          <w:rPr>
            <w:noProof/>
            <w:webHidden/>
          </w:rPr>
          <w:t>3</w:t>
        </w:r>
        <w:r w:rsidR="00FB3AFF">
          <w:rPr>
            <w:noProof/>
            <w:webHidden/>
          </w:rPr>
          <w:fldChar w:fldCharType="end"/>
        </w:r>
      </w:hyperlink>
    </w:p>
    <w:p w14:paraId="760EAAA0" w14:textId="11D89DA4" w:rsidR="00FB3AFF" w:rsidRDefault="00FB3AFF">
      <w:pPr>
        <w:pStyle w:val="TOC1"/>
        <w:rPr>
          <w:rFonts w:asciiTheme="minorHAnsi" w:eastAsiaTheme="minorEastAsia" w:hAnsiTheme="minorHAnsi" w:cstheme="minorBidi"/>
          <w:noProof/>
        </w:rPr>
      </w:pPr>
      <w:hyperlink w:anchor="_Toc96523595" w:history="1">
        <w:r w:rsidRPr="00E66A9C">
          <w:rPr>
            <w:rStyle w:val="Hyperlink"/>
            <w:noProof/>
          </w:rPr>
          <w:t>Tables</w:t>
        </w:r>
        <w:r>
          <w:rPr>
            <w:noProof/>
            <w:webHidden/>
          </w:rPr>
          <w:tab/>
        </w:r>
        <w:r>
          <w:rPr>
            <w:noProof/>
            <w:webHidden/>
          </w:rPr>
          <w:fldChar w:fldCharType="begin"/>
        </w:r>
        <w:r>
          <w:rPr>
            <w:noProof/>
            <w:webHidden/>
          </w:rPr>
          <w:instrText xml:space="preserve"> PAGEREF _Toc96523595 \h </w:instrText>
        </w:r>
        <w:r>
          <w:rPr>
            <w:noProof/>
            <w:webHidden/>
          </w:rPr>
        </w:r>
        <w:r>
          <w:rPr>
            <w:noProof/>
            <w:webHidden/>
          </w:rPr>
          <w:fldChar w:fldCharType="separate"/>
        </w:r>
        <w:r>
          <w:rPr>
            <w:noProof/>
            <w:webHidden/>
          </w:rPr>
          <w:t>4</w:t>
        </w:r>
        <w:r>
          <w:rPr>
            <w:noProof/>
            <w:webHidden/>
          </w:rPr>
          <w:fldChar w:fldCharType="end"/>
        </w:r>
      </w:hyperlink>
    </w:p>
    <w:p w14:paraId="2BB4C2EC" w14:textId="2F7E40E7" w:rsidR="00FB3AFF" w:rsidRDefault="00FB3AFF">
      <w:pPr>
        <w:pStyle w:val="TOC1"/>
        <w:rPr>
          <w:rFonts w:asciiTheme="minorHAnsi" w:eastAsiaTheme="minorEastAsia" w:hAnsiTheme="minorHAnsi" w:cstheme="minorBidi"/>
          <w:noProof/>
        </w:rPr>
      </w:pPr>
      <w:hyperlink w:anchor="_Toc96523596" w:history="1">
        <w:r w:rsidRPr="00E66A9C">
          <w:rPr>
            <w:rStyle w:val="Hyperlink"/>
            <w:noProof/>
          </w:rPr>
          <w:t>Introduction</w:t>
        </w:r>
        <w:r>
          <w:rPr>
            <w:noProof/>
            <w:webHidden/>
          </w:rPr>
          <w:tab/>
        </w:r>
        <w:r>
          <w:rPr>
            <w:noProof/>
            <w:webHidden/>
          </w:rPr>
          <w:fldChar w:fldCharType="begin"/>
        </w:r>
        <w:r>
          <w:rPr>
            <w:noProof/>
            <w:webHidden/>
          </w:rPr>
          <w:instrText xml:space="preserve"> PAGEREF _Toc96523596 \h </w:instrText>
        </w:r>
        <w:r>
          <w:rPr>
            <w:noProof/>
            <w:webHidden/>
          </w:rPr>
        </w:r>
        <w:r>
          <w:rPr>
            <w:noProof/>
            <w:webHidden/>
          </w:rPr>
          <w:fldChar w:fldCharType="separate"/>
        </w:r>
        <w:r>
          <w:rPr>
            <w:noProof/>
            <w:webHidden/>
          </w:rPr>
          <w:t>5</w:t>
        </w:r>
        <w:r>
          <w:rPr>
            <w:noProof/>
            <w:webHidden/>
          </w:rPr>
          <w:fldChar w:fldCharType="end"/>
        </w:r>
      </w:hyperlink>
    </w:p>
    <w:p w14:paraId="50A6A8E2" w14:textId="23B23877" w:rsidR="00FB3AFF" w:rsidRDefault="00FB3AFF">
      <w:pPr>
        <w:pStyle w:val="TOC1"/>
        <w:rPr>
          <w:rFonts w:asciiTheme="minorHAnsi" w:eastAsiaTheme="minorEastAsia" w:hAnsiTheme="minorHAnsi" w:cstheme="minorBidi"/>
          <w:noProof/>
        </w:rPr>
      </w:pPr>
      <w:hyperlink w:anchor="_Toc96523597" w:history="1">
        <w:r w:rsidRPr="00E66A9C">
          <w:rPr>
            <w:rStyle w:val="Hyperlink"/>
            <w:noProof/>
          </w:rPr>
          <w:t>Impacts of Improvements</w:t>
        </w:r>
        <w:r>
          <w:rPr>
            <w:noProof/>
            <w:webHidden/>
          </w:rPr>
          <w:tab/>
        </w:r>
        <w:r>
          <w:rPr>
            <w:noProof/>
            <w:webHidden/>
          </w:rPr>
          <w:fldChar w:fldCharType="begin"/>
        </w:r>
        <w:r>
          <w:rPr>
            <w:noProof/>
            <w:webHidden/>
          </w:rPr>
          <w:instrText xml:space="preserve"> PAGEREF _Toc96523597 \h </w:instrText>
        </w:r>
        <w:r>
          <w:rPr>
            <w:noProof/>
            <w:webHidden/>
          </w:rPr>
        </w:r>
        <w:r>
          <w:rPr>
            <w:noProof/>
            <w:webHidden/>
          </w:rPr>
          <w:fldChar w:fldCharType="separate"/>
        </w:r>
        <w:r>
          <w:rPr>
            <w:noProof/>
            <w:webHidden/>
          </w:rPr>
          <w:t>6</w:t>
        </w:r>
        <w:r>
          <w:rPr>
            <w:noProof/>
            <w:webHidden/>
          </w:rPr>
          <w:fldChar w:fldCharType="end"/>
        </w:r>
      </w:hyperlink>
    </w:p>
    <w:p w14:paraId="24A9B514" w14:textId="7543C312" w:rsidR="00FB3AFF" w:rsidRDefault="00FB3AFF">
      <w:pPr>
        <w:pStyle w:val="TOC1"/>
        <w:rPr>
          <w:rFonts w:asciiTheme="minorHAnsi" w:eastAsiaTheme="minorEastAsia" w:hAnsiTheme="minorHAnsi" w:cstheme="minorBidi"/>
          <w:noProof/>
        </w:rPr>
      </w:pPr>
      <w:hyperlink w:anchor="_Toc96523598" w:history="1">
        <w:r w:rsidRPr="00E66A9C">
          <w:rPr>
            <w:rStyle w:val="Hyperlink"/>
            <w:noProof/>
          </w:rPr>
          <w:t>Overall impact on emissions</w:t>
        </w:r>
        <w:r>
          <w:rPr>
            <w:noProof/>
            <w:webHidden/>
          </w:rPr>
          <w:tab/>
        </w:r>
        <w:r>
          <w:rPr>
            <w:noProof/>
            <w:webHidden/>
          </w:rPr>
          <w:fldChar w:fldCharType="begin"/>
        </w:r>
        <w:r>
          <w:rPr>
            <w:noProof/>
            <w:webHidden/>
          </w:rPr>
          <w:instrText xml:space="preserve"> PAGEREF _Toc96523598 \h </w:instrText>
        </w:r>
        <w:r>
          <w:rPr>
            <w:noProof/>
            <w:webHidden/>
          </w:rPr>
        </w:r>
        <w:r>
          <w:rPr>
            <w:noProof/>
            <w:webHidden/>
          </w:rPr>
          <w:fldChar w:fldCharType="separate"/>
        </w:r>
        <w:r>
          <w:rPr>
            <w:noProof/>
            <w:webHidden/>
          </w:rPr>
          <w:t>8</w:t>
        </w:r>
        <w:r>
          <w:rPr>
            <w:noProof/>
            <w:webHidden/>
          </w:rPr>
          <w:fldChar w:fldCharType="end"/>
        </w:r>
      </w:hyperlink>
    </w:p>
    <w:p w14:paraId="1D9484FA" w14:textId="56C473C1" w:rsidR="00FB3AFF" w:rsidRDefault="00FB3AFF">
      <w:pPr>
        <w:pStyle w:val="TOC1"/>
        <w:rPr>
          <w:rFonts w:asciiTheme="minorHAnsi" w:eastAsiaTheme="minorEastAsia" w:hAnsiTheme="minorHAnsi" w:cstheme="minorBidi"/>
          <w:noProof/>
        </w:rPr>
      </w:pPr>
      <w:hyperlink w:anchor="_Toc96523599" w:history="1">
        <w:r w:rsidRPr="00E66A9C">
          <w:rPr>
            <w:rStyle w:val="Hyperlink"/>
            <w:noProof/>
          </w:rPr>
          <w:t>Summary of Improvements by Inventory Sector</w:t>
        </w:r>
        <w:r>
          <w:rPr>
            <w:noProof/>
            <w:webHidden/>
          </w:rPr>
          <w:tab/>
        </w:r>
        <w:r>
          <w:rPr>
            <w:noProof/>
            <w:webHidden/>
          </w:rPr>
          <w:fldChar w:fldCharType="begin"/>
        </w:r>
        <w:r>
          <w:rPr>
            <w:noProof/>
            <w:webHidden/>
          </w:rPr>
          <w:instrText xml:space="preserve"> PAGEREF _Toc96523599 \h </w:instrText>
        </w:r>
        <w:r>
          <w:rPr>
            <w:noProof/>
            <w:webHidden/>
          </w:rPr>
        </w:r>
        <w:r>
          <w:rPr>
            <w:noProof/>
            <w:webHidden/>
          </w:rPr>
          <w:fldChar w:fldCharType="separate"/>
        </w:r>
        <w:r>
          <w:rPr>
            <w:noProof/>
            <w:webHidden/>
          </w:rPr>
          <w:t>9</w:t>
        </w:r>
        <w:r>
          <w:rPr>
            <w:noProof/>
            <w:webHidden/>
          </w:rPr>
          <w:fldChar w:fldCharType="end"/>
        </w:r>
      </w:hyperlink>
    </w:p>
    <w:p w14:paraId="65BE33F3" w14:textId="3F122D2D" w:rsidR="00FB3AFF" w:rsidRDefault="00FB3AFF">
      <w:pPr>
        <w:pStyle w:val="TOC2"/>
        <w:rPr>
          <w:rFonts w:asciiTheme="minorHAnsi" w:eastAsiaTheme="minorEastAsia" w:hAnsiTheme="minorHAnsi" w:cstheme="minorBidi"/>
          <w:noProof/>
        </w:rPr>
      </w:pPr>
      <w:hyperlink w:anchor="_Toc96523600" w:history="1">
        <w:r w:rsidRPr="00E66A9C">
          <w:rPr>
            <w:rStyle w:val="Hyperlink"/>
            <w:noProof/>
          </w:rPr>
          <w:t>Energy</w:t>
        </w:r>
        <w:r>
          <w:rPr>
            <w:noProof/>
            <w:webHidden/>
          </w:rPr>
          <w:tab/>
        </w:r>
        <w:r>
          <w:rPr>
            <w:noProof/>
            <w:webHidden/>
          </w:rPr>
          <w:fldChar w:fldCharType="begin"/>
        </w:r>
        <w:r>
          <w:rPr>
            <w:noProof/>
            <w:webHidden/>
          </w:rPr>
          <w:instrText xml:space="preserve"> PAGEREF _Toc96523600 \h </w:instrText>
        </w:r>
        <w:r>
          <w:rPr>
            <w:noProof/>
            <w:webHidden/>
          </w:rPr>
        </w:r>
        <w:r>
          <w:rPr>
            <w:noProof/>
            <w:webHidden/>
          </w:rPr>
          <w:fldChar w:fldCharType="separate"/>
        </w:r>
        <w:r>
          <w:rPr>
            <w:noProof/>
            <w:webHidden/>
          </w:rPr>
          <w:t>9</w:t>
        </w:r>
        <w:r>
          <w:rPr>
            <w:noProof/>
            <w:webHidden/>
          </w:rPr>
          <w:fldChar w:fldCharType="end"/>
        </w:r>
      </w:hyperlink>
    </w:p>
    <w:p w14:paraId="4CDBD5E8" w14:textId="7D0CD02A" w:rsidR="00FB3AFF" w:rsidRDefault="00FB3AFF">
      <w:pPr>
        <w:pStyle w:val="TOC2"/>
        <w:rPr>
          <w:rFonts w:asciiTheme="minorHAnsi" w:eastAsiaTheme="minorEastAsia" w:hAnsiTheme="minorHAnsi" w:cstheme="minorBidi"/>
          <w:noProof/>
        </w:rPr>
      </w:pPr>
      <w:hyperlink w:anchor="_Toc96523601" w:history="1">
        <w:r w:rsidRPr="00E66A9C">
          <w:rPr>
            <w:rStyle w:val="Hyperlink"/>
            <w:noProof/>
          </w:rPr>
          <w:t>Agriculture</w:t>
        </w:r>
        <w:r>
          <w:rPr>
            <w:noProof/>
            <w:webHidden/>
          </w:rPr>
          <w:tab/>
        </w:r>
        <w:r>
          <w:rPr>
            <w:noProof/>
            <w:webHidden/>
          </w:rPr>
          <w:fldChar w:fldCharType="begin"/>
        </w:r>
        <w:r>
          <w:rPr>
            <w:noProof/>
            <w:webHidden/>
          </w:rPr>
          <w:instrText xml:space="preserve"> PAGEREF _Toc96523601 \h </w:instrText>
        </w:r>
        <w:r>
          <w:rPr>
            <w:noProof/>
            <w:webHidden/>
          </w:rPr>
        </w:r>
        <w:r>
          <w:rPr>
            <w:noProof/>
            <w:webHidden/>
          </w:rPr>
          <w:fldChar w:fldCharType="separate"/>
        </w:r>
        <w:r>
          <w:rPr>
            <w:noProof/>
            <w:webHidden/>
          </w:rPr>
          <w:t>9</w:t>
        </w:r>
        <w:r>
          <w:rPr>
            <w:noProof/>
            <w:webHidden/>
          </w:rPr>
          <w:fldChar w:fldCharType="end"/>
        </w:r>
      </w:hyperlink>
    </w:p>
    <w:p w14:paraId="28A9FCF3" w14:textId="3E0F6486" w:rsidR="00FB3AFF" w:rsidRDefault="00FB3AFF">
      <w:pPr>
        <w:pStyle w:val="TOC2"/>
        <w:rPr>
          <w:rFonts w:asciiTheme="minorHAnsi" w:eastAsiaTheme="minorEastAsia" w:hAnsiTheme="minorHAnsi" w:cstheme="minorBidi"/>
          <w:noProof/>
        </w:rPr>
      </w:pPr>
      <w:hyperlink w:anchor="_Toc96523602" w:history="1">
        <w:r w:rsidRPr="00E66A9C">
          <w:rPr>
            <w:rStyle w:val="Hyperlink"/>
            <w:noProof/>
          </w:rPr>
          <w:t>Waste</w:t>
        </w:r>
        <w:r>
          <w:rPr>
            <w:noProof/>
            <w:webHidden/>
          </w:rPr>
          <w:tab/>
        </w:r>
        <w:r>
          <w:rPr>
            <w:noProof/>
            <w:webHidden/>
          </w:rPr>
          <w:fldChar w:fldCharType="begin"/>
        </w:r>
        <w:r>
          <w:rPr>
            <w:noProof/>
            <w:webHidden/>
          </w:rPr>
          <w:instrText xml:space="preserve"> PAGEREF _Toc96523602 \h </w:instrText>
        </w:r>
        <w:r>
          <w:rPr>
            <w:noProof/>
            <w:webHidden/>
          </w:rPr>
        </w:r>
        <w:r>
          <w:rPr>
            <w:noProof/>
            <w:webHidden/>
          </w:rPr>
          <w:fldChar w:fldCharType="separate"/>
        </w:r>
        <w:r>
          <w:rPr>
            <w:noProof/>
            <w:webHidden/>
          </w:rPr>
          <w:t>11</w:t>
        </w:r>
        <w:r>
          <w:rPr>
            <w:noProof/>
            <w:webHidden/>
          </w:rPr>
          <w:fldChar w:fldCharType="end"/>
        </w:r>
      </w:hyperlink>
    </w:p>
    <w:p w14:paraId="1C59BDB0" w14:textId="0BC03D65" w:rsidR="00FB3AFF" w:rsidRDefault="00FB3AFF">
      <w:pPr>
        <w:pStyle w:val="TOC2"/>
        <w:rPr>
          <w:rFonts w:asciiTheme="minorHAnsi" w:eastAsiaTheme="minorEastAsia" w:hAnsiTheme="minorHAnsi" w:cstheme="minorBidi"/>
          <w:noProof/>
        </w:rPr>
      </w:pPr>
      <w:hyperlink w:anchor="_Toc96523603" w:history="1">
        <w:r w:rsidRPr="00E66A9C">
          <w:rPr>
            <w:rStyle w:val="Hyperlink"/>
            <w:noProof/>
          </w:rPr>
          <w:t>Land Use, Land-Use Change and Forestry (LULUCF)</w:t>
        </w:r>
        <w:r>
          <w:rPr>
            <w:noProof/>
            <w:webHidden/>
          </w:rPr>
          <w:tab/>
        </w:r>
        <w:r>
          <w:rPr>
            <w:noProof/>
            <w:webHidden/>
          </w:rPr>
          <w:fldChar w:fldCharType="begin"/>
        </w:r>
        <w:r>
          <w:rPr>
            <w:noProof/>
            <w:webHidden/>
          </w:rPr>
          <w:instrText xml:space="preserve"> PAGEREF _Toc96523603 \h </w:instrText>
        </w:r>
        <w:r>
          <w:rPr>
            <w:noProof/>
            <w:webHidden/>
          </w:rPr>
        </w:r>
        <w:r>
          <w:rPr>
            <w:noProof/>
            <w:webHidden/>
          </w:rPr>
          <w:fldChar w:fldCharType="separate"/>
        </w:r>
        <w:r>
          <w:rPr>
            <w:noProof/>
            <w:webHidden/>
          </w:rPr>
          <w:t>11</w:t>
        </w:r>
        <w:r>
          <w:rPr>
            <w:noProof/>
            <w:webHidden/>
          </w:rPr>
          <w:fldChar w:fldCharType="end"/>
        </w:r>
      </w:hyperlink>
    </w:p>
    <w:p w14:paraId="7CF41077" w14:textId="39CEC063" w:rsidR="008A2F17" w:rsidRPr="008A2F17" w:rsidRDefault="008A2F17" w:rsidP="008A2F17">
      <w:pPr>
        <w:tabs>
          <w:tab w:val="left" w:pos="2835"/>
        </w:tabs>
        <w:spacing w:after="0"/>
        <w:jc w:val="left"/>
      </w:pPr>
      <w:r w:rsidRPr="008A2F17">
        <w:rPr>
          <w:color w:val="0092CF"/>
        </w:rPr>
        <w:fldChar w:fldCharType="end"/>
      </w:r>
      <w:r w:rsidRPr="008A2F17">
        <w:br w:type="page"/>
      </w:r>
    </w:p>
    <w:p w14:paraId="3A289EB1" w14:textId="77777777" w:rsidR="008A2F17" w:rsidRPr="008A2F17" w:rsidRDefault="008A2F17" w:rsidP="00C73873">
      <w:pPr>
        <w:pStyle w:val="Heading1"/>
      </w:pPr>
      <w:bookmarkStart w:id="2" w:name="_Toc215561202"/>
      <w:bookmarkStart w:id="3" w:name="_Toc96523595"/>
      <w:r w:rsidRPr="008A2F17">
        <w:lastRenderedPageBreak/>
        <w:t>Tables</w:t>
      </w:r>
      <w:bookmarkEnd w:id="3"/>
    </w:p>
    <w:p w14:paraId="3118A112" w14:textId="6E4E3470" w:rsidR="00FB3AFF" w:rsidRDefault="008A2F17">
      <w:pPr>
        <w:pStyle w:val="TableofFigures"/>
        <w:tabs>
          <w:tab w:val="right" w:pos="9061"/>
        </w:tabs>
        <w:rPr>
          <w:rFonts w:asciiTheme="minorHAnsi" w:eastAsiaTheme="minorEastAsia" w:hAnsiTheme="minorHAnsi" w:cstheme="minorBidi"/>
          <w:noProof/>
        </w:rPr>
      </w:pPr>
      <w:r w:rsidRPr="00C9562A">
        <w:fldChar w:fldCharType="begin"/>
      </w:r>
      <w:r w:rsidRPr="00C9562A">
        <w:instrText xml:space="preserve"> TOC \h \z \t "Table heading,1" \c "Table" </w:instrText>
      </w:r>
      <w:r w:rsidRPr="00C9562A">
        <w:fldChar w:fldCharType="separate"/>
      </w:r>
      <w:hyperlink w:anchor="_Toc96523587" w:history="1">
        <w:r w:rsidR="00FB3AFF" w:rsidRPr="00BB503B">
          <w:rPr>
            <w:rStyle w:val="Hyperlink"/>
            <w:noProof/>
          </w:rPr>
          <w:t>Table 1:</w:t>
        </w:r>
        <w:r w:rsidR="00FB3AFF">
          <w:rPr>
            <w:rFonts w:asciiTheme="minorHAnsi" w:eastAsiaTheme="minorEastAsia" w:hAnsiTheme="minorHAnsi" w:cstheme="minorBidi"/>
            <w:noProof/>
          </w:rPr>
          <w:tab/>
        </w:r>
        <w:r w:rsidR="00FB3AFF" w:rsidRPr="00BB503B">
          <w:rPr>
            <w:rStyle w:val="Hyperlink"/>
            <w:noProof/>
          </w:rPr>
          <w:t>Provisional effect of proposed methodological improvements</w:t>
        </w:r>
        <w:r w:rsidR="00FB3AFF">
          <w:rPr>
            <w:noProof/>
            <w:webHidden/>
          </w:rPr>
          <w:tab/>
        </w:r>
        <w:r w:rsidR="00FB3AFF">
          <w:rPr>
            <w:noProof/>
            <w:webHidden/>
          </w:rPr>
          <w:fldChar w:fldCharType="begin"/>
        </w:r>
        <w:r w:rsidR="00FB3AFF">
          <w:rPr>
            <w:noProof/>
            <w:webHidden/>
          </w:rPr>
          <w:instrText xml:space="preserve"> PAGEREF _Toc96523587 \h </w:instrText>
        </w:r>
        <w:r w:rsidR="00FB3AFF">
          <w:rPr>
            <w:noProof/>
            <w:webHidden/>
          </w:rPr>
        </w:r>
        <w:r w:rsidR="00FB3AFF">
          <w:rPr>
            <w:noProof/>
            <w:webHidden/>
          </w:rPr>
          <w:fldChar w:fldCharType="separate"/>
        </w:r>
        <w:r w:rsidR="00FB3AFF">
          <w:rPr>
            <w:noProof/>
            <w:webHidden/>
          </w:rPr>
          <w:t>6</w:t>
        </w:r>
        <w:r w:rsidR="00FB3AFF">
          <w:rPr>
            <w:noProof/>
            <w:webHidden/>
          </w:rPr>
          <w:fldChar w:fldCharType="end"/>
        </w:r>
      </w:hyperlink>
    </w:p>
    <w:p w14:paraId="18E8094E" w14:textId="7AD1592C" w:rsidR="00FB3AFF" w:rsidRDefault="00FB3AFF">
      <w:pPr>
        <w:pStyle w:val="TableofFigures"/>
        <w:tabs>
          <w:tab w:val="right" w:pos="9061"/>
        </w:tabs>
        <w:rPr>
          <w:rFonts w:asciiTheme="minorHAnsi" w:eastAsiaTheme="minorEastAsia" w:hAnsiTheme="minorHAnsi" w:cstheme="minorBidi"/>
          <w:noProof/>
        </w:rPr>
      </w:pPr>
      <w:hyperlink w:anchor="_Toc96523588" w:history="1">
        <w:r w:rsidRPr="00BB503B">
          <w:rPr>
            <w:rStyle w:val="Hyperlink"/>
            <w:noProof/>
          </w:rPr>
          <w:t xml:space="preserve">Table 2: </w:t>
        </w:r>
        <w:r>
          <w:rPr>
            <w:rFonts w:asciiTheme="minorHAnsi" w:eastAsiaTheme="minorEastAsia" w:hAnsiTheme="minorHAnsi" w:cstheme="minorBidi"/>
            <w:noProof/>
          </w:rPr>
          <w:tab/>
        </w:r>
        <w:r w:rsidRPr="00BB503B">
          <w:rPr>
            <w:rStyle w:val="Hyperlink"/>
            <w:noProof/>
          </w:rPr>
          <w:t>Comparison of total agricultural emissions estimates before and after incorporation of proposed FracLEACH values for 1990 and 2019</w:t>
        </w:r>
        <w:r>
          <w:rPr>
            <w:noProof/>
            <w:webHidden/>
          </w:rPr>
          <w:tab/>
        </w:r>
        <w:r>
          <w:rPr>
            <w:noProof/>
            <w:webHidden/>
          </w:rPr>
          <w:fldChar w:fldCharType="begin"/>
        </w:r>
        <w:r>
          <w:rPr>
            <w:noProof/>
            <w:webHidden/>
          </w:rPr>
          <w:instrText xml:space="preserve"> PAGEREF _Toc96523588 \h </w:instrText>
        </w:r>
        <w:r>
          <w:rPr>
            <w:noProof/>
            <w:webHidden/>
          </w:rPr>
        </w:r>
        <w:r>
          <w:rPr>
            <w:noProof/>
            <w:webHidden/>
          </w:rPr>
          <w:fldChar w:fldCharType="separate"/>
        </w:r>
        <w:r>
          <w:rPr>
            <w:noProof/>
            <w:webHidden/>
          </w:rPr>
          <w:t>10</w:t>
        </w:r>
        <w:r>
          <w:rPr>
            <w:noProof/>
            <w:webHidden/>
          </w:rPr>
          <w:fldChar w:fldCharType="end"/>
        </w:r>
      </w:hyperlink>
    </w:p>
    <w:p w14:paraId="18B9C00B" w14:textId="2D24FC49" w:rsidR="00FB3AFF" w:rsidRDefault="00FB3AFF">
      <w:pPr>
        <w:pStyle w:val="TableofFigures"/>
        <w:tabs>
          <w:tab w:val="right" w:pos="9061"/>
        </w:tabs>
        <w:rPr>
          <w:rFonts w:asciiTheme="minorHAnsi" w:eastAsiaTheme="minorEastAsia" w:hAnsiTheme="minorHAnsi" w:cstheme="minorBidi"/>
          <w:noProof/>
        </w:rPr>
      </w:pPr>
      <w:hyperlink w:anchor="_Toc96523589" w:history="1">
        <w:r w:rsidRPr="00BB503B">
          <w:rPr>
            <w:rStyle w:val="Hyperlink"/>
            <w:noProof/>
          </w:rPr>
          <w:t xml:space="preserve">Table 3: </w:t>
        </w:r>
        <w:r>
          <w:rPr>
            <w:rFonts w:asciiTheme="minorHAnsi" w:eastAsiaTheme="minorEastAsia" w:hAnsiTheme="minorHAnsi" w:cstheme="minorBidi"/>
            <w:noProof/>
          </w:rPr>
          <w:tab/>
        </w:r>
        <w:r w:rsidRPr="00BB503B">
          <w:rPr>
            <w:rStyle w:val="Hyperlink"/>
            <w:noProof/>
          </w:rPr>
          <w:t>Comparison of total agricultural emissions estimates before and after incorporation of proposed lime purity values, 1990 and 2019</w:t>
        </w:r>
        <w:r>
          <w:rPr>
            <w:noProof/>
            <w:webHidden/>
          </w:rPr>
          <w:tab/>
        </w:r>
        <w:r>
          <w:rPr>
            <w:noProof/>
            <w:webHidden/>
          </w:rPr>
          <w:fldChar w:fldCharType="begin"/>
        </w:r>
        <w:r>
          <w:rPr>
            <w:noProof/>
            <w:webHidden/>
          </w:rPr>
          <w:instrText xml:space="preserve"> PAGEREF _Toc96523589 \h </w:instrText>
        </w:r>
        <w:r>
          <w:rPr>
            <w:noProof/>
            <w:webHidden/>
          </w:rPr>
        </w:r>
        <w:r>
          <w:rPr>
            <w:noProof/>
            <w:webHidden/>
          </w:rPr>
          <w:fldChar w:fldCharType="separate"/>
        </w:r>
        <w:r>
          <w:rPr>
            <w:noProof/>
            <w:webHidden/>
          </w:rPr>
          <w:t>10</w:t>
        </w:r>
        <w:r>
          <w:rPr>
            <w:noProof/>
            <w:webHidden/>
          </w:rPr>
          <w:fldChar w:fldCharType="end"/>
        </w:r>
      </w:hyperlink>
    </w:p>
    <w:p w14:paraId="7233A04F" w14:textId="29091D25" w:rsidR="008A2F17" w:rsidRPr="008A2F17" w:rsidRDefault="008A2F17" w:rsidP="008A2F17">
      <w:r w:rsidRPr="00C9562A">
        <w:fldChar w:fldCharType="end"/>
      </w:r>
    </w:p>
    <w:p w14:paraId="4199F28E" w14:textId="5BE40220" w:rsidR="008A2F17" w:rsidRPr="008A2F17" w:rsidRDefault="008A2F17" w:rsidP="008A2F17">
      <w:pPr>
        <w:spacing w:before="0" w:after="0" w:line="240" w:lineRule="auto"/>
        <w:jc w:val="left"/>
      </w:pPr>
      <w:r w:rsidRPr="008A2F17">
        <w:br w:type="page"/>
      </w:r>
    </w:p>
    <w:p w14:paraId="49FB152A" w14:textId="3BC00BAA" w:rsidR="008A2F17" w:rsidRPr="008A2F17" w:rsidRDefault="008A2F17" w:rsidP="00C9562A">
      <w:pPr>
        <w:pStyle w:val="Heading1"/>
      </w:pPr>
      <w:bookmarkStart w:id="4" w:name="_Toc96523596"/>
      <w:bookmarkEnd w:id="2"/>
      <w:r w:rsidRPr="008A2F17">
        <w:lastRenderedPageBreak/>
        <w:t>Introduction</w:t>
      </w:r>
      <w:bookmarkEnd w:id="4"/>
    </w:p>
    <w:p w14:paraId="4067D575" w14:textId="77777777" w:rsidR="008A2F17" w:rsidRPr="008A2F17" w:rsidRDefault="008A2F17" w:rsidP="00C9562A">
      <w:pPr>
        <w:pStyle w:val="BodyText"/>
      </w:pPr>
      <w:r w:rsidRPr="008A2F17">
        <w:t xml:space="preserve">Aotearoa New Zealand’s National Greenhouse Gas Inventory (the “Inventory”) is the official annual report of all anthropogenic (human induced) emissions of greenhouse gases in New Zealand. The next Inventory will be published on 12 April 2022 as part of New Zealand’s obligations under the United Nations Framework Convention on Climate Change (UNFCCC) and Kyoto Protocol. </w:t>
      </w:r>
    </w:p>
    <w:p w14:paraId="6A74C43D" w14:textId="77777777" w:rsidR="008A2F17" w:rsidRPr="008A2F17" w:rsidRDefault="008A2F17" w:rsidP="00C9562A">
      <w:pPr>
        <w:pStyle w:val="BodyText"/>
      </w:pPr>
      <w:r w:rsidRPr="008A2F17">
        <w:t xml:space="preserve">Every year, methodological improvements are made to the way emissions are estimated. This follows the Intergovernmental Panel on Climate Change (IPCC)’s guidelines for the preparation and continuous improvement of national greenhouse gas inventories. </w:t>
      </w:r>
    </w:p>
    <w:p w14:paraId="1C995717" w14:textId="77777777" w:rsidR="008A2F17" w:rsidRPr="008A2F17" w:rsidRDefault="008A2F17" w:rsidP="00C9562A">
      <w:pPr>
        <w:pStyle w:val="BodyText"/>
      </w:pPr>
      <w:r w:rsidRPr="008A2F17">
        <w:t xml:space="preserve">In anticipation of the next Inventory, this report sets out the methodological changes that have been made this year and their estimated impact on emissions. The aim of this publication is to provide greater transparency around the improvement process and the changes that can be expected in the next Inventory due to them. We present a summary of the improvements and their impacts on emissions by sector. </w:t>
      </w:r>
    </w:p>
    <w:p w14:paraId="41AEDBA8" w14:textId="77777777" w:rsidR="008A2F17" w:rsidRPr="008A2F17" w:rsidRDefault="008A2F17" w:rsidP="00C9562A">
      <w:pPr>
        <w:pStyle w:val="BodyText"/>
      </w:pPr>
      <w:r w:rsidRPr="008A2F17">
        <w:t xml:space="preserve">Reasons for methodological improvements include </w:t>
      </w:r>
      <w:bookmarkStart w:id="5" w:name="_Hlk96087895"/>
      <w:r w:rsidRPr="008A2F17">
        <w:t>–</w:t>
      </w:r>
      <w:bookmarkEnd w:id="5"/>
      <w:r w:rsidRPr="008A2F17">
        <w:t xml:space="preserve"> but are not limited to – meeting UNFCCC reporting requirements, aligning with IPCC methodologies, or in response to factors such as internal or external reviews. The figures presented in this report are provisional and exclude Tokelau</w:t>
      </w:r>
      <w:r w:rsidRPr="008A2F17">
        <w:rPr>
          <w:color w:val="183C47"/>
          <w:vertAlign w:val="superscript"/>
        </w:rPr>
        <w:footnoteReference w:id="2"/>
      </w:r>
      <w:r w:rsidRPr="008A2F17">
        <w:t>.</w:t>
      </w:r>
    </w:p>
    <w:p w14:paraId="6C2D8EC0" w14:textId="77777777" w:rsidR="008A2F17" w:rsidRPr="008A2F17" w:rsidRDefault="008A2F17" w:rsidP="00C9562A">
      <w:pPr>
        <w:pStyle w:val="BodyText"/>
      </w:pPr>
      <w:r w:rsidRPr="008A2F17">
        <w:t xml:space="preserve">The impacts of each methodological improvement on the 2019 emissions totals and the 1990 baseline year are given in Table 1. Estimated emissions are expressed in </w:t>
      </w:r>
      <w:proofErr w:type="spellStart"/>
      <w:r w:rsidRPr="008A2F17">
        <w:t>kilotonnes</w:t>
      </w:r>
      <w:proofErr w:type="spellEnd"/>
      <w:r w:rsidRPr="008A2F17">
        <w:t xml:space="preserve"> of carbon dioxide equivalents (kt CO</w:t>
      </w:r>
      <w:r w:rsidRPr="008A2F17">
        <w:rPr>
          <w:vertAlign w:val="subscript"/>
        </w:rPr>
        <w:t>2</w:t>
      </w:r>
      <w:r w:rsidRPr="008A2F17">
        <w:t xml:space="preserve">-e) and represent the change to the total emissions estimates made in relation to last year’s Inventory estimates. </w:t>
      </w:r>
    </w:p>
    <w:p w14:paraId="2ACA49F9" w14:textId="77777777" w:rsidR="008A2F17" w:rsidRPr="008A2F17" w:rsidRDefault="008A2F17" w:rsidP="00C9562A">
      <w:pPr>
        <w:pStyle w:val="BodyText"/>
      </w:pPr>
      <w:r w:rsidRPr="008A2F17">
        <w:t>Each Inventory submission includes revised estimates across the time series back to 1990. This practice ensures consistency, and that the data series reflects the current trends in New Zealand’s greenhouse gas emissions. Year-on-year comparisons can only be made within an annual submission. Trends cannot be compared between or among submissions because methods used to estimate greenhouse gas emissions are continually improving. This report, therefore, outlines the improvements that will be introduced to the next Inventory submission, covering the years 1990–2020.</w:t>
      </w:r>
      <w:bookmarkStart w:id="6" w:name="_Impacts_of_Improvements"/>
      <w:bookmarkEnd w:id="6"/>
    </w:p>
    <w:p w14:paraId="2D84906D" w14:textId="77777777" w:rsidR="008A2F17" w:rsidRPr="008A2F17" w:rsidRDefault="008A2F17" w:rsidP="008A2F17">
      <w:pPr>
        <w:spacing w:before="0" w:after="0" w:line="240" w:lineRule="auto"/>
        <w:jc w:val="left"/>
        <w:sectPr w:rsidR="008A2F17" w:rsidRPr="008A2F17" w:rsidSect="00E84E20">
          <w:footerReference w:type="even" r:id="rId20"/>
          <w:footerReference w:type="default" r:id="rId21"/>
          <w:type w:val="continuous"/>
          <w:pgSz w:w="11907" w:h="16840" w:code="9"/>
          <w:pgMar w:top="1134" w:right="1418" w:bottom="1134" w:left="1418" w:header="567" w:footer="567" w:gutter="0"/>
          <w:cols w:space="720"/>
          <w:docGrid w:linePitch="299"/>
        </w:sectPr>
      </w:pPr>
    </w:p>
    <w:p w14:paraId="51A57D90" w14:textId="6D659DEF" w:rsidR="008A2F17" w:rsidRPr="008A2F17" w:rsidRDefault="008A2F17" w:rsidP="00C9562A">
      <w:pPr>
        <w:pStyle w:val="Heading1"/>
      </w:pPr>
      <w:bookmarkStart w:id="8" w:name="_Toc96523597"/>
      <w:r w:rsidRPr="008A2F17">
        <w:lastRenderedPageBreak/>
        <w:t>Impacts of Improvements</w:t>
      </w:r>
      <w:bookmarkEnd w:id="8"/>
    </w:p>
    <w:p w14:paraId="54CEE097" w14:textId="77777777" w:rsidR="008A2F17" w:rsidRPr="008A2F17" w:rsidRDefault="008A2F17" w:rsidP="008A2F17">
      <w:pPr>
        <w:jc w:val="left"/>
      </w:pPr>
      <w:r w:rsidRPr="00C9562A">
        <w:rPr>
          <w:rStyle w:val="BodyTextChar"/>
        </w:rPr>
        <w:t>Table 1 shows the impact of methodological improvements being introduced in the next Inventory.</w:t>
      </w:r>
      <w:r w:rsidRPr="008A2F17">
        <w:rPr>
          <w:color w:val="183C47"/>
          <w:vertAlign w:val="superscript"/>
        </w:rPr>
        <w:footnoteReference w:id="3"/>
      </w:r>
    </w:p>
    <w:p w14:paraId="1F8AF48C" w14:textId="77777777" w:rsidR="008A2F17" w:rsidRPr="008A2F17" w:rsidRDefault="008A2F17" w:rsidP="00BA4B64">
      <w:pPr>
        <w:pStyle w:val="Tableheading"/>
      </w:pPr>
      <w:bookmarkStart w:id="9" w:name="_Toc96523587"/>
      <w:r w:rsidRPr="008A2F17">
        <w:t xml:space="preserve">Table </w:t>
      </w:r>
      <w:fldSimple w:instr=" SEQ Table \* ARABIC ">
        <w:r w:rsidRPr="008A2F17">
          <w:rPr>
            <w:noProof/>
          </w:rPr>
          <w:t>1</w:t>
        </w:r>
      </w:fldSimple>
      <w:r w:rsidRPr="008A2F17">
        <w:t>:</w:t>
      </w:r>
      <w:r w:rsidRPr="008A2F17">
        <w:tab/>
        <w:t>Provisional effect of proposed methodological improvements</w:t>
      </w:r>
      <w:bookmarkEnd w:id="9"/>
    </w:p>
    <w:tbl>
      <w:tblPr>
        <w:tblW w:w="14377" w:type="dxa"/>
        <w:tblBorders>
          <w:bottom w:val="single" w:sz="4" w:space="0" w:color="1B556B" w:themeColor="text2"/>
          <w:insideH w:val="single" w:sz="4" w:space="0" w:color="1B556B" w:themeColor="text2"/>
          <w:insideV w:val="single" w:sz="4" w:space="0" w:color="1B556B" w:themeColor="text2"/>
        </w:tblBorders>
        <w:tblLook w:val="04A0" w:firstRow="1" w:lastRow="0" w:firstColumn="1" w:lastColumn="0" w:noHBand="0" w:noVBand="1"/>
      </w:tblPr>
      <w:tblGrid>
        <w:gridCol w:w="1108"/>
        <w:gridCol w:w="2948"/>
        <w:gridCol w:w="2665"/>
        <w:gridCol w:w="1276"/>
        <w:gridCol w:w="1276"/>
        <w:gridCol w:w="1276"/>
        <w:gridCol w:w="1276"/>
        <w:gridCol w:w="1276"/>
        <w:gridCol w:w="1276"/>
      </w:tblGrid>
      <w:tr w:rsidR="008A2F17" w:rsidRPr="008A2F17" w14:paraId="4CF116A1" w14:textId="77777777" w:rsidTr="00B60712">
        <w:trPr>
          <w:trHeight w:val="705"/>
          <w:tblHeader/>
        </w:trPr>
        <w:tc>
          <w:tcPr>
            <w:tcW w:w="1108" w:type="dxa"/>
            <w:shd w:val="clear" w:color="auto" w:fill="1B556B"/>
            <w:vAlign w:val="center"/>
          </w:tcPr>
          <w:p w14:paraId="30D463B8" w14:textId="77777777" w:rsidR="008A2F17" w:rsidRPr="008A2F17" w:rsidRDefault="008A2F17" w:rsidP="008A2F17">
            <w:pPr>
              <w:spacing w:before="60" w:after="60" w:line="240" w:lineRule="atLeast"/>
              <w:jc w:val="left"/>
              <w:rPr>
                <w:b/>
                <w:color w:val="FFFFFF"/>
                <w:sz w:val="18"/>
                <w:szCs w:val="20"/>
              </w:rPr>
            </w:pPr>
            <w:r w:rsidRPr="008A2F17">
              <w:rPr>
                <w:b/>
                <w:color w:val="FFFFFF"/>
                <w:sz w:val="18"/>
                <w:szCs w:val="20"/>
              </w:rPr>
              <w:t>Sector</w:t>
            </w:r>
          </w:p>
        </w:tc>
        <w:tc>
          <w:tcPr>
            <w:tcW w:w="2948" w:type="dxa"/>
            <w:shd w:val="clear" w:color="auto" w:fill="1B556B"/>
            <w:vAlign w:val="center"/>
          </w:tcPr>
          <w:p w14:paraId="5F0260E9" w14:textId="77777777" w:rsidR="008A2F17" w:rsidRPr="008A2F17" w:rsidRDefault="008A2F17" w:rsidP="008A2F17">
            <w:pPr>
              <w:spacing w:before="60" w:after="60" w:line="240" w:lineRule="atLeast"/>
              <w:jc w:val="left"/>
              <w:rPr>
                <w:b/>
                <w:color w:val="FFFFFF"/>
                <w:sz w:val="18"/>
                <w:szCs w:val="20"/>
              </w:rPr>
            </w:pPr>
            <w:r w:rsidRPr="008A2F17">
              <w:rPr>
                <w:b/>
                <w:color w:val="FFFFFF"/>
                <w:sz w:val="18"/>
                <w:szCs w:val="20"/>
              </w:rPr>
              <w:t>Improvement</w:t>
            </w:r>
          </w:p>
        </w:tc>
        <w:tc>
          <w:tcPr>
            <w:tcW w:w="2665" w:type="dxa"/>
            <w:shd w:val="clear" w:color="auto" w:fill="1B556B"/>
            <w:vAlign w:val="center"/>
          </w:tcPr>
          <w:p w14:paraId="794CA707" w14:textId="77777777" w:rsidR="008A2F17" w:rsidRPr="008A2F17" w:rsidRDefault="008A2F17" w:rsidP="008A2F17">
            <w:pPr>
              <w:spacing w:before="60" w:after="60" w:line="240" w:lineRule="atLeast"/>
              <w:jc w:val="left"/>
              <w:rPr>
                <w:b/>
                <w:color w:val="FFFFFF"/>
                <w:sz w:val="18"/>
                <w:szCs w:val="20"/>
              </w:rPr>
            </w:pPr>
            <w:r w:rsidRPr="008A2F17">
              <w:rPr>
                <w:b/>
                <w:color w:val="FFFFFF"/>
                <w:sz w:val="18"/>
                <w:szCs w:val="20"/>
              </w:rPr>
              <w:t>Reason for improvement</w:t>
            </w:r>
          </w:p>
        </w:tc>
        <w:tc>
          <w:tcPr>
            <w:tcW w:w="2552" w:type="dxa"/>
            <w:gridSpan w:val="2"/>
            <w:shd w:val="clear" w:color="auto" w:fill="1B556B"/>
            <w:vAlign w:val="center"/>
          </w:tcPr>
          <w:p w14:paraId="0CB0B653" w14:textId="77777777" w:rsidR="008A2F17" w:rsidRPr="008A2F17" w:rsidRDefault="008A2F17" w:rsidP="00BA4B64">
            <w:pPr>
              <w:spacing w:before="60" w:after="60" w:line="240" w:lineRule="atLeast"/>
              <w:jc w:val="center"/>
              <w:rPr>
                <w:b/>
                <w:color w:val="FFFFFF"/>
                <w:sz w:val="18"/>
                <w:szCs w:val="20"/>
              </w:rPr>
            </w:pPr>
            <w:r w:rsidRPr="008A2F17">
              <w:rPr>
                <w:b/>
                <w:color w:val="FFFFFF"/>
                <w:sz w:val="18"/>
                <w:szCs w:val="20"/>
              </w:rPr>
              <w:t>Change in emissions (kt CO</w:t>
            </w:r>
            <w:r w:rsidRPr="008A2F17">
              <w:rPr>
                <w:b/>
                <w:color w:val="FFFFFF"/>
                <w:sz w:val="18"/>
                <w:szCs w:val="20"/>
                <w:vertAlign w:val="subscript"/>
              </w:rPr>
              <w:t>2</w:t>
            </w:r>
            <w:r w:rsidRPr="008A2F17">
              <w:rPr>
                <w:b/>
                <w:color w:val="FFFFFF"/>
                <w:sz w:val="18"/>
                <w:szCs w:val="20"/>
              </w:rPr>
              <w:t>-e)</w:t>
            </w:r>
          </w:p>
        </w:tc>
        <w:tc>
          <w:tcPr>
            <w:tcW w:w="2552" w:type="dxa"/>
            <w:gridSpan w:val="2"/>
            <w:shd w:val="clear" w:color="auto" w:fill="1B556B"/>
            <w:vAlign w:val="center"/>
          </w:tcPr>
          <w:p w14:paraId="724F4E83" w14:textId="77777777" w:rsidR="008A2F17" w:rsidRPr="008A2F17" w:rsidRDefault="008A2F17" w:rsidP="00BA4B64">
            <w:pPr>
              <w:spacing w:before="60" w:after="60" w:line="240" w:lineRule="atLeast"/>
              <w:jc w:val="center"/>
              <w:rPr>
                <w:b/>
                <w:color w:val="FFFFFF"/>
                <w:sz w:val="18"/>
                <w:szCs w:val="20"/>
              </w:rPr>
            </w:pPr>
            <w:r w:rsidRPr="008A2F17">
              <w:rPr>
                <w:b/>
                <w:color w:val="FFFFFF"/>
                <w:sz w:val="18"/>
                <w:szCs w:val="20"/>
              </w:rPr>
              <w:t>Impact on gross emissions</w:t>
            </w:r>
          </w:p>
        </w:tc>
        <w:tc>
          <w:tcPr>
            <w:tcW w:w="2552" w:type="dxa"/>
            <w:gridSpan w:val="2"/>
            <w:shd w:val="clear" w:color="auto" w:fill="1B556B"/>
            <w:vAlign w:val="center"/>
          </w:tcPr>
          <w:p w14:paraId="6783F8EA" w14:textId="77777777" w:rsidR="008A2F17" w:rsidRPr="008A2F17" w:rsidRDefault="008A2F17" w:rsidP="00BA4B64">
            <w:pPr>
              <w:spacing w:before="60" w:after="60" w:line="240" w:lineRule="atLeast"/>
              <w:jc w:val="center"/>
              <w:rPr>
                <w:b/>
                <w:color w:val="FFFFFF"/>
                <w:sz w:val="18"/>
                <w:szCs w:val="20"/>
              </w:rPr>
            </w:pPr>
            <w:r w:rsidRPr="008A2F17">
              <w:rPr>
                <w:b/>
                <w:color w:val="FFFFFF"/>
                <w:sz w:val="18"/>
                <w:szCs w:val="20"/>
              </w:rPr>
              <w:t>Impact on net emissions</w:t>
            </w:r>
          </w:p>
        </w:tc>
      </w:tr>
      <w:tr w:rsidR="008A2F17" w:rsidRPr="008A2F17" w14:paraId="6DFD3A76" w14:textId="77777777" w:rsidTr="00B60712">
        <w:trPr>
          <w:trHeight w:val="393"/>
          <w:tblHeader/>
        </w:trPr>
        <w:tc>
          <w:tcPr>
            <w:tcW w:w="1108" w:type="dxa"/>
            <w:shd w:val="clear" w:color="auto" w:fill="1B556B"/>
            <w:vAlign w:val="center"/>
          </w:tcPr>
          <w:p w14:paraId="57FDEE5C" w14:textId="77777777" w:rsidR="008A2F17" w:rsidRPr="008A2F17" w:rsidRDefault="008A2F17" w:rsidP="008A2F17">
            <w:pPr>
              <w:spacing w:before="60" w:after="60" w:line="240" w:lineRule="atLeast"/>
              <w:jc w:val="left"/>
              <w:rPr>
                <w:b/>
                <w:color w:val="FFFFFF"/>
                <w:sz w:val="18"/>
                <w:szCs w:val="20"/>
              </w:rPr>
            </w:pPr>
          </w:p>
        </w:tc>
        <w:tc>
          <w:tcPr>
            <w:tcW w:w="2948" w:type="dxa"/>
            <w:shd w:val="clear" w:color="auto" w:fill="1B556B"/>
            <w:vAlign w:val="center"/>
          </w:tcPr>
          <w:p w14:paraId="43AE3163" w14:textId="77777777" w:rsidR="008A2F17" w:rsidRPr="008A2F17" w:rsidRDefault="008A2F17" w:rsidP="008A2F17">
            <w:pPr>
              <w:spacing w:before="60" w:after="60" w:line="240" w:lineRule="atLeast"/>
              <w:jc w:val="left"/>
              <w:rPr>
                <w:b/>
                <w:color w:val="FFFFFF"/>
                <w:sz w:val="18"/>
                <w:szCs w:val="20"/>
              </w:rPr>
            </w:pPr>
          </w:p>
        </w:tc>
        <w:tc>
          <w:tcPr>
            <w:tcW w:w="2665" w:type="dxa"/>
            <w:shd w:val="clear" w:color="auto" w:fill="1B556B"/>
            <w:vAlign w:val="center"/>
          </w:tcPr>
          <w:p w14:paraId="0CA9875F" w14:textId="77777777" w:rsidR="008A2F17" w:rsidRPr="008A2F17" w:rsidRDefault="008A2F17" w:rsidP="008A2F17">
            <w:pPr>
              <w:spacing w:before="60" w:after="60" w:line="240" w:lineRule="atLeast"/>
              <w:jc w:val="left"/>
              <w:rPr>
                <w:b/>
                <w:color w:val="FFFFFF"/>
                <w:sz w:val="18"/>
                <w:szCs w:val="20"/>
              </w:rPr>
            </w:pPr>
          </w:p>
        </w:tc>
        <w:tc>
          <w:tcPr>
            <w:tcW w:w="1276" w:type="dxa"/>
            <w:shd w:val="clear" w:color="auto" w:fill="1B556B"/>
            <w:vAlign w:val="center"/>
          </w:tcPr>
          <w:p w14:paraId="5EBB0A45" w14:textId="77777777" w:rsidR="008A2F17" w:rsidRPr="008A2F17" w:rsidRDefault="008A2F17" w:rsidP="008A2F17">
            <w:pPr>
              <w:spacing w:before="60" w:after="60" w:line="240" w:lineRule="atLeast"/>
              <w:jc w:val="center"/>
              <w:rPr>
                <w:b/>
                <w:color w:val="FFFFFF"/>
                <w:sz w:val="18"/>
                <w:szCs w:val="20"/>
              </w:rPr>
            </w:pPr>
            <w:r w:rsidRPr="008A2F17">
              <w:rPr>
                <w:b/>
                <w:color w:val="FFFFFF"/>
                <w:sz w:val="18"/>
                <w:szCs w:val="20"/>
              </w:rPr>
              <w:t xml:space="preserve">1990 </w:t>
            </w:r>
          </w:p>
        </w:tc>
        <w:tc>
          <w:tcPr>
            <w:tcW w:w="1276" w:type="dxa"/>
            <w:shd w:val="clear" w:color="auto" w:fill="1B556B"/>
            <w:vAlign w:val="center"/>
          </w:tcPr>
          <w:p w14:paraId="4885F333" w14:textId="77777777" w:rsidR="008A2F17" w:rsidRPr="008A2F17" w:rsidRDefault="008A2F17" w:rsidP="008A2F17">
            <w:pPr>
              <w:spacing w:before="60" w:after="60" w:line="240" w:lineRule="atLeast"/>
              <w:jc w:val="center"/>
              <w:rPr>
                <w:b/>
                <w:color w:val="FFFFFF"/>
                <w:sz w:val="18"/>
                <w:szCs w:val="20"/>
              </w:rPr>
            </w:pPr>
            <w:r w:rsidRPr="008A2F17">
              <w:rPr>
                <w:b/>
                <w:color w:val="FFFFFF"/>
                <w:sz w:val="18"/>
                <w:szCs w:val="20"/>
              </w:rPr>
              <w:t>2019</w:t>
            </w:r>
          </w:p>
        </w:tc>
        <w:tc>
          <w:tcPr>
            <w:tcW w:w="1276" w:type="dxa"/>
            <w:shd w:val="clear" w:color="auto" w:fill="1B556B"/>
          </w:tcPr>
          <w:p w14:paraId="55CFC836" w14:textId="77777777" w:rsidR="008A2F17" w:rsidRPr="008A2F17" w:rsidRDefault="008A2F17" w:rsidP="008A2F17">
            <w:pPr>
              <w:spacing w:before="60" w:after="60" w:line="240" w:lineRule="atLeast"/>
              <w:jc w:val="center"/>
              <w:rPr>
                <w:b/>
                <w:color w:val="FFFFFF"/>
                <w:sz w:val="18"/>
                <w:szCs w:val="20"/>
              </w:rPr>
            </w:pPr>
            <w:r w:rsidRPr="008A2F17">
              <w:rPr>
                <w:b/>
                <w:color w:val="FFFFFF"/>
                <w:sz w:val="18"/>
                <w:szCs w:val="20"/>
              </w:rPr>
              <w:t>1990</w:t>
            </w:r>
          </w:p>
        </w:tc>
        <w:tc>
          <w:tcPr>
            <w:tcW w:w="1276" w:type="dxa"/>
            <w:shd w:val="clear" w:color="auto" w:fill="1B556B"/>
          </w:tcPr>
          <w:p w14:paraId="1F40B3E9" w14:textId="77777777" w:rsidR="008A2F17" w:rsidRPr="008A2F17" w:rsidRDefault="008A2F17" w:rsidP="008A2F17">
            <w:pPr>
              <w:spacing w:before="60" w:after="60" w:line="240" w:lineRule="atLeast"/>
              <w:jc w:val="center"/>
              <w:rPr>
                <w:b/>
                <w:color w:val="FFFFFF"/>
                <w:sz w:val="18"/>
                <w:szCs w:val="20"/>
              </w:rPr>
            </w:pPr>
            <w:r w:rsidRPr="008A2F17">
              <w:rPr>
                <w:b/>
                <w:color w:val="FFFFFF"/>
                <w:sz w:val="18"/>
                <w:szCs w:val="20"/>
              </w:rPr>
              <w:t>2019</w:t>
            </w:r>
          </w:p>
        </w:tc>
        <w:tc>
          <w:tcPr>
            <w:tcW w:w="1276" w:type="dxa"/>
            <w:shd w:val="clear" w:color="auto" w:fill="1B556B"/>
          </w:tcPr>
          <w:p w14:paraId="1042A187" w14:textId="77777777" w:rsidR="008A2F17" w:rsidRPr="008A2F17" w:rsidRDefault="008A2F17" w:rsidP="008A2F17">
            <w:pPr>
              <w:spacing w:before="60" w:after="60" w:line="240" w:lineRule="atLeast"/>
              <w:jc w:val="center"/>
              <w:rPr>
                <w:b/>
                <w:color w:val="FFFFFF"/>
                <w:sz w:val="18"/>
                <w:szCs w:val="20"/>
              </w:rPr>
            </w:pPr>
            <w:r w:rsidRPr="008A2F17">
              <w:rPr>
                <w:b/>
                <w:color w:val="FFFFFF"/>
                <w:sz w:val="18"/>
                <w:szCs w:val="20"/>
              </w:rPr>
              <w:t>1990</w:t>
            </w:r>
          </w:p>
        </w:tc>
        <w:tc>
          <w:tcPr>
            <w:tcW w:w="1276" w:type="dxa"/>
            <w:shd w:val="clear" w:color="auto" w:fill="1B556B"/>
          </w:tcPr>
          <w:p w14:paraId="673B6E24" w14:textId="77777777" w:rsidR="008A2F17" w:rsidRPr="008A2F17" w:rsidRDefault="008A2F17" w:rsidP="008A2F17">
            <w:pPr>
              <w:spacing w:before="60" w:after="60" w:line="240" w:lineRule="atLeast"/>
              <w:jc w:val="center"/>
              <w:rPr>
                <w:b/>
                <w:color w:val="FFFFFF"/>
                <w:sz w:val="18"/>
                <w:szCs w:val="20"/>
              </w:rPr>
            </w:pPr>
            <w:r w:rsidRPr="008A2F17">
              <w:rPr>
                <w:b/>
                <w:color w:val="FFFFFF"/>
                <w:sz w:val="18"/>
                <w:szCs w:val="20"/>
              </w:rPr>
              <w:t>2019</w:t>
            </w:r>
          </w:p>
        </w:tc>
      </w:tr>
      <w:tr w:rsidR="008A2F17" w:rsidRPr="008A2F17" w14:paraId="6CA59E75" w14:textId="77777777" w:rsidTr="00B60712">
        <w:trPr>
          <w:trHeight w:val="510"/>
        </w:trPr>
        <w:tc>
          <w:tcPr>
            <w:tcW w:w="1108" w:type="dxa"/>
            <w:shd w:val="clear" w:color="auto" w:fill="auto"/>
            <w:vAlign w:val="center"/>
          </w:tcPr>
          <w:p w14:paraId="26B8A37A" w14:textId="77777777" w:rsidR="008A2F17" w:rsidRPr="008A2F17" w:rsidRDefault="008A2F17" w:rsidP="008A2F17">
            <w:pPr>
              <w:spacing w:before="60" w:after="60" w:line="240" w:lineRule="atLeast"/>
              <w:jc w:val="left"/>
              <w:rPr>
                <w:b/>
                <w:bCs/>
                <w:sz w:val="18"/>
                <w:szCs w:val="18"/>
              </w:rPr>
            </w:pPr>
            <w:r w:rsidRPr="008A2F17">
              <w:rPr>
                <w:b/>
                <w:bCs/>
                <w:sz w:val="18"/>
                <w:szCs w:val="18"/>
              </w:rPr>
              <w:t>Energy</w:t>
            </w:r>
          </w:p>
        </w:tc>
        <w:tc>
          <w:tcPr>
            <w:tcW w:w="2948" w:type="dxa"/>
            <w:shd w:val="clear" w:color="auto" w:fill="auto"/>
            <w:vAlign w:val="center"/>
          </w:tcPr>
          <w:p w14:paraId="1464344C" w14:textId="77777777" w:rsidR="008A2F17" w:rsidRPr="008A2F17" w:rsidRDefault="008A2F17" w:rsidP="008A2F17">
            <w:pPr>
              <w:spacing w:before="60" w:after="60" w:line="240" w:lineRule="atLeast"/>
              <w:jc w:val="left"/>
              <w:rPr>
                <w:sz w:val="18"/>
                <w:szCs w:val="20"/>
              </w:rPr>
            </w:pPr>
            <w:r w:rsidRPr="008A2F17">
              <w:rPr>
                <w:sz w:val="18"/>
                <w:szCs w:val="20"/>
              </w:rPr>
              <w:t>Reporting emissions from fireworks</w:t>
            </w:r>
          </w:p>
        </w:tc>
        <w:tc>
          <w:tcPr>
            <w:tcW w:w="2665" w:type="dxa"/>
            <w:vAlign w:val="center"/>
          </w:tcPr>
          <w:p w14:paraId="63370B31" w14:textId="77777777" w:rsidR="008A2F17" w:rsidRPr="008A2F17" w:rsidRDefault="008A2F17" w:rsidP="008A2F17">
            <w:pPr>
              <w:spacing w:before="60" w:after="60" w:line="240" w:lineRule="atLeast"/>
              <w:jc w:val="left"/>
              <w:rPr>
                <w:sz w:val="18"/>
                <w:szCs w:val="20"/>
              </w:rPr>
            </w:pPr>
            <w:r w:rsidRPr="008A2F17">
              <w:rPr>
                <w:sz w:val="18"/>
                <w:szCs w:val="20"/>
              </w:rPr>
              <w:t>Improve completeness and comparability to other countries</w:t>
            </w:r>
          </w:p>
        </w:tc>
        <w:tc>
          <w:tcPr>
            <w:tcW w:w="1276" w:type="dxa"/>
            <w:shd w:val="clear" w:color="auto" w:fill="auto"/>
            <w:vAlign w:val="center"/>
          </w:tcPr>
          <w:p w14:paraId="51B550DC" w14:textId="77777777" w:rsidR="008A2F17" w:rsidRPr="008A2F17" w:rsidRDefault="008A2F17" w:rsidP="008A2F17">
            <w:pPr>
              <w:spacing w:before="60" w:after="60" w:line="240" w:lineRule="atLeast"/>
              <w:jc w:val="right"/>
              <w:rPr>
                <w:sz w:val="18"/>
                <w:szCs w:val="20"/>
              </w:rPr>
            </w:pPr>
            <w:r w:rsidRPr="008A2F17">
              <w:rPr>
                <w:sz w:val="18"/>
              </w:rPr>
              <w:t>0.2</w:t>
            </w:r>
          </w:p>
        </w:tc>
        <w:tc>
          <w:tcPr>
            <w:tcW w:w="1276" w:type="dxa"/>
            <w:vAlign w:val="center"/>
          </w:tcPr>
          <w:p w14:paraId="33EBDDA4" w14:textId="77777777" w:rsidR="008A2F17" w:rsidRPr="008A2F17" w:rsidRDefault="008A2F17" w:rsidP="008A2F17">
            <w:pPr>
              <w:spacing w:before="60" w:after="60" w:line="240" w:lineRule="atLeast"/>
              <w:jc w:val="right"/>
              <w:rPr>
                <w:sz w:val="18"/>
                <w:szCs w:val="20"/>
              </w:rPr>
            </w:pPr>
            <w:r w:rsidRPr="008A2F17">
              <w:rPr>
                <w:sz w:val="18"/>
              </w:rPr>
              <w:t>0.4</w:t>
            </w:r>
          </w:p>
        </w:tc>
        <w:tc>
          <w:tcPr>
            <w:tcW w:w="1276" w:type="dxa"/>
            <w:shd w:val="clear" w:color="auto" w:fill="auto"/>
            <w:vAlign w:val="center"/>
          </w:tcPr>
          <w:p w14:paraId="7AA2AE9F"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c>
          <w:tcPr>
            <w:tcW w:w="1276" w:type="dxa"/>
            <w:shd w:val="clear" w:color="auto" w:fill="auto"/>
            <w:vAlign w:val="center"/>
          </w:tcPr>
          <w:p w14:paraId="4E1205FE"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c>
          <w:tcPr>
            <w:tcW w:w="1276" w:type="dxa"/>
            <w:vAlign w:val="center"/>
          </w:tcPr>
          <w:p w14:paraId="247CC169"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c>
          <w:tcPr>
            <w:tcW w:w="1276" w:type="dxa"/>
            <w:vAlign w:val="center"/>
          </w:tcPr>
          <w:p w14:paraId="61148E58"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r>
      <w:tr w:rsidR="008A2F17" w:rsidRPr="008A2F17" w14:paraId="33B89217" w14:textId="77777777" w:rsidTr="00B60712">
        <w:trPr>
          <w:trHeight w:val="680"/>
        </w:trPr>
        <w:tc>
          <w:tcPr>
            <w:tcW w:w="1108" w:type="dxa"/>
            <w:vMerge w:val="restart"/>
          </w:tcPr>
          <w:p w14:paraId="28BCDC33" w14:textId="77777777" w:rsidR="008A2F17" w:rsidRPr="008A2F17" w:rsidRDefault="008A2F17" w:rsidP="008A2F17">
            <w:pPr>
              <w:spacing w:before="60" w:after="60" w:line="240" w:lineRule="atLeast"/>
              <w:jc w:val="left"/>
              <w:rPr>
                <w:sz w:val="18"/>
                <w:szCs w:val="18"/>
              </w:rPr>
            </w:pPr>
            <w:r w:rsidRPr="008A2F17">
              <w:rPr>
                <w:b/>
                <w:bCs/>
                <w:sz w:val="18"/>
                <w:szCs w:val="18"/>
              </w:rPr>
              <w:t xml:space="preserve">Agriculture </w:t>
            </w:r>
          </w:p>
        </w:tc>
        <w:tc>
          <w:tcPr>
            <w:tcW w:w="2948" w:type="dxa"/>
            <w:shd w:val="clear" w:color="auto" w:fill="auto"/>
          </w:tcPr>
          <w:p w14:paraId="7058675E" w14:textId="77777777" w:rsidR="008A2F17" w:rsidRPr="008A2F17" w:rsidRDefault="008A2F17" w:rsidP="008A2F17">
            <w:pPr>
              <w:spacing w:before="60" w:after="60" w:line="240" w:lineRule="atLeast"/>
              <w:jc w:val="left"/>
              <w:rPr>
                <w:sz w:val="18"/>
                <w:szCs w:val="20"/>
              </w:rPr>
            </w:pPr>
            <w:r w:rsidRPr="008A2F17">
              <w:rPr>
                <w:sz w:val="18"/>
                <w:szCs w:val="20"/>
              </w:rPr>
              <w:t xml:space="preserve">Adoption of updated </w:t>
            </w:r>
            <w:proofErr w:type="spellStart"/>
            <w:r w:rsidRPr="008A2F17">
              <w:rPr>
                <w:sz w:val="18"/>
                <w:szCs w:val="20"/>
              </w:rPr>
              <w:t>Frac</w:t>
            </w:r>
            <w:r w:rsidRPr="008A2F17">
              <w:rPr>
                <w:sz w:val="18"/>
                <w:szCs w:val="20"/>
                <w:vertAlign w:val="subscript"/>
              </w:rPr>
              <w:t>LEACH</w:t>
            </w:r>
            <w:proofErr w:type="spellEnd"/>
            <w:r w:rsidRPr="008A2F17">
              <w:rPr>
                <w:sz w:val="18"/>
                <w:szCs w:val="20"/>
              </w:rPr>
              <w:t xml:space="preserve"> values for cropping and grazing systems</w:t>
            </w:r>
          </w:p>
        </w:tc>
        <w:tc>
          <w:tcPr>
            <w:tcW w:w="2665" w:type="dxa"/>
          </w:tcPr>
          <w:p w14:paraId="0A826EFF" w14:textId="77777777" w:rsidR="008A2F17" w:rsidRPr="008A2F17" w:rsidRDefault="008A2F17" w:rsidP="008A2F17">
            <w:pPr>
              <w:spacing w:before="60" w:after="60" w:line="240" w:lineRule="atLeast"/>
              <w:jc w:val="left"/>
              <w:rPr>
                <w:sz w:val="18"/>
                <w:szCs w:val="20"/>
              </w:rPr>
            </w:pPr>
            <w:r w:rsidRPr="008A2F17">
              <w:rPr>
                <w:sz w:val="18"/>
                <w:szCs w:val="20"/>
              </w:rPr>
              <w:t>Apply the results of new research and modelling, and align with IPCC guidelines</w:t>
            </w:r>
          </w:p>
        </w:tc>
        <w:tc>
          <w:tcPr>
            <w:tcW w:w="1276" w:type="dxa"/>
            <w:shd w:val="clear" w:color="auto" w:fill="auto"/>
            <w:vAlign w:val="center"/>
          </w:tcPr>
          <w:p w14:paraId="48E8EB34" w14:textId="77777777" w:rsidR="008A2F17" w:rsidRPr="008A2F17" w:rsidRDefault="008A2F17" w:rsidP="008A2F17">
            <w:pPr>
              <w:spacing w:before="60" w:after="60" w:line="240" w:lineRule="atLeast"/>
              <w:jc w:val="right"/>
              <w:rPr>
                <w:sz w:val="18"/>
                <w:szCs w:val="20"/>
              </w:rPr>
            </w:pPr>
            <w:r w:rsidRPr="008A2F17">
              <w:rPr>
                <w:sz w:val="18"/>
              </w:rPr>
              <w:t>1.3</w:t>
            </w:r>
          </w:p>
        </w:tc>
        <w:tc>
          <w:tcPr>
            <w:tcW w:w="1276" w:type="dxa"/>
            <w:vAlign w:val="center"/>
          </w:tcPr>
          <w:p w14:paraId="2A93F712" w14:textId="77777777" w:rsidR="008A2F17" w:rsidRPr="008A2F17" w:rsidRDefault="008A2F17" w:rsidP="008A2F17">
            <w:pPr>
              <w:spacing w:before="60" w:after="60" w:line="240" w:lineRule="atLeast"/>
              <w:jc w:val="right"/>
              <w:rPr>
                <w:sz w:val="18"/>
                <w:szCs w:val="20"/>
              </w:rPr>
            </w:pPr>
            <w:r w:rsidRPr="008A2F17">
              <w:rPr>
                <w:sz w:val="18"/>
              </w:rPr>
              <w:t>1.8</w:t>
            </w:r>
          </w:p>
        </w:tc>
        <w:tc>
          <w:tcPr>
            <w:tcW w:w="1276" w:type="dxa"/>
            <w:shd w:val="clear" w:color="auto" w:fill="auto"/>
            <w:vAlign w:val="center"/>
          </w:tcPr>
          <w:p w14:paraId="097A2477"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c>
          <w:tcPr>
            <w:tcW w:w="1276" w:type="dxa"/>
            <w:shd w:val="clear" w:color="auto" w:fill="auto"/>
            <w:vAlign w:val="center"/>
          </w:tcPr>
          <w:p w14:paraId="2DD5A22D"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c>
          <w:tcPr>
            <w:tcW w:w="1276" w:type="dxa"/>
            <w:vAlign w:val="center"/>
          </w:tcPr>
          <w:p w14:paraId="77BB73FB"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c>
          <w:tcPr>
            <w:tcW w:w="1276" w:type="dxa"/>
            <w:vAlign w:val="center"/>
          </w:tcPr>
          <w:p w14:paraId="6D5D6A01"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r>
      <w:tr w:rsidR="008A2F17" w:rsidRPr="008A2F17" w14:paraId="41089A3D" w14:textId="77777777" w:rsidTr="00B60712">
        <w:trPr>
          <w:trHeight w:val="680"/>
        </w:trPr>
        <w:tc>
          <w:tcPr>
            <w:tcW w:w="1108" w:type="dxa"/>
            <w:vMerge/>
          </w:tcPr>
          <w:p w14:paraId="4AC93B38" w14:textId="77777777" w:rsidR="008A2F17" w:rsidRPr="008A2F17" w:rsidRDefault="008A2F17" w:rsidP="008A2F17">
            <w:pPr>
              <w:spacing w:before="60" w:after="60" w:line="240" w:lineRule="atLeast"/>
              <w:jc w:val="left"/>
              <w:rPr>
                <w:sz w:val="18"/>
                <w:szCs w:val="18"/>
              </w:rPr>
            </w:pPr>
          </w:p>
        </w:tc>
        <w:tc>
          <w:tcPr>
            <w:tcW w:w="2948" w:type="dxa"/>
            <w:shd w:val="clear" w:color="auto" w:fill="auto"/>
          </w:tcPr>
          <w:p w14:paraId="24F1BC65" w14:textId="77777777" w:rsidR="008A2F17" w:rsidRPr="008A2F17" w:rsidRDefault="008A2F17" w:rsidP="008A2F17">
            <w:pPr>
              <w:spacing w:before="60" w:after="60" w:line="240" w:lineRule="atLeast"/>
              <w:jc w:val="left"/>
              <w:rPr>
                <w:sz w:val="18"/>
                <w:szCs w:val="20"/>
              </w:rPr>
            </w:pPr>
            <w:r w:rsidRPr="008A2F17">
              <w:rPr>
                <w:sz w:val="18"/>
                <w:szCs w:val="20"/>
              </w:rPr>
              <w:t>Purity of agricultural lime assumption updated</w:t>
            </w:r>
          </w:p>
        </w:tc>
        <w:tc>
          <w:tcPr>
            <w:tcW w:w="2665" w:type="dxa"/>
          </w:tcPr>
          <w:p w14:paraId="68D53B7E" w14:textId="77777777" w:rsidR="008A2F17" w:rsidRPr="008A2F17" w:rsidRDefault="008A2F17" w:rsidP="008A2F17">
            <w:pPr>
              <w:spacing w:before="60" w:after="60" w:line="240" w:lineRule="atLeast"/>
              <w:jc w:val="left"/>
              <w:rPr>
                <w:sz w:val="18"/>
                <w:szCs w:val="20"/>
              </w:rPr>
            </w:pPr>
            <w:r w:rsidRPr="008A2F17">
              <w:rPr>
                <w:sz w:val="18"/>
                <w:szCs w:val="20"/>
              </w:rPr>
              <w:t>Align with IPCC guidelines</w:t>
            </w:r>
          </w:p>
        </w:tc>
        <w:tc>
          <w:tcPr>
            <w:tcW w:w="1276" w:type="dxa"/>
            <w:shd w:val="clear" w:color="auto" w:fill="auto"/>
            <w:vAlign w:val="center"/>
          </w:tcPr>
          <w:p w14:paraId="57583194" w14:textId="77777777" w:rsidR="008A2F17" w:rsidRPr="008A2F17" w:rsidRDefault="008A2F17" w:rsidP="008A2F17">
            <w:pPr>
              <w:spacing w:before="60" w:after="60" w:line="240" w:lineRule="atLeast"/>
              <w:jc w:val="right"/>
              <w:rPr>
                <w:sz w:val="18"/>
                <w:szCs w:val="20"/>
              </w:rPr>
            </w:pPr>
            <w:r w:rsidRPr="008A2F17">
              <w:rPr>
                <w:sz w:val="18"/>
                <w:szCs w:val="20"/>
              </w:rPr>
              <w:t>-</w:t>
            </w:r>
            <w:r w:rsidRPr="008A2F17">
              <w:rPr>
                <w:sz w:val="18"/>
              </w:rPr>
              <w:t>63.0</w:t>
            </w:r>
          </w:p>
        </w:tc>
        <w:tc>
          <w:tcPr>
            <w:tcW w:w="1276" w:type="dxa"/>
            <w:vAlign w:val="center"/>
          </w:tcPr>
          <w:p w14:paraId="6D72EEAD" w14:textId="77777777" w:rsidR="008A2F17" w:rsidRPr="008A2F17" w:rsidRDefault="008A2F17" w:rsidP="008A2F17">
            <w:pPr>
              <w:spacing w:before="60" w:after="60" w:line="240" w:lineRule="atLeast"/>
              <w:jc w:val="right"/>
              <w:rPr>
                <w:sz w:val="18"/>
                <w:szCs w:val="20"/>
              </w:rPr>
            </w:pPr>
            <w:r w:rsidRPr="008A2F17">
              <w:rPr>
                <w:sz w:val="18"/>
                <w:szCs w:val="20"/>
              </w:rPr>
              <w:t>-</w:t>
            </w:r>
            <w:r w:rsidRPr="008A2F17">
              <w:rPr>
                <w:sz w:val="18"/>
              </w:rPr>
              <w:t>96.0</w:t>
            </w:r>
          </w:p>
        </w:tc>
        <w:tc>
          <w:tcPr>
            <w:tcW w:w="1276" w:type="dxa"/>
            <w:shd w:val="clear" w:color="auto" w:fill="auto"/>
            <w:vAlign w:val="center"/>
          </w:tcPr>
          <w:p w14:paraId="6D3B62F9"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-0.1%</w:t>
            </w:r>
          </w:p>
        </w:tc>
        <w:tc>
          <w:tcPr>
            <w:tcW w:w="1276" w:type="dxa"/>
            <w:shd w:val="clear" w:color="auto" w:fill="auto"/>
            <w:vAlign w:val="center"/>
          </w:tcPr>
          <w:p w14:paraId="1A50DBAD"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-0.1%</w:t>
            </w:r>
          </w:p>
        </w:tc>
        <w:tc>
          <w:tcPr>
            <w:tcW w:w="1276" w:type="dxa"/>
            <w:vAlign w:val="center"/>
          </w:tcPr>
          <w:p w14:paraId="2B084102"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-0.2%</w:t>
            </w:r>
          </w:p>
        </w:tc>
        <w:tc>
          <w:tcPr>
            <w:tcW w:w="1276" w:type="dxa"/>
            <w:vAlign w:val="center"/>
          </w:tcPr>
          <w:p w14:paraId="76B2B64D"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-0.2%</w:t>
            </w:r>
          </w:p>
        </w:tc>
      </w:tr>
      <w:tr w:rsidR="008A2F17" w:rsidRPr="008A2F17" w14:paraId="65F52912" w14:textId="77777777" w:rsidTr="00B60712">
        <w:trPr>
          <w:trHeight w:val="680"/>
        </w:trPr>
        <w:tc>
          <w:tcPr>
            <w:tcW w:w="1108" w:type="dxa"/>
          </w:tcPr>
          <w:p w14:paraId="0211F027" w14:textId="77777777" w:rsidR="008A2F17" w:rsidRPr="008A2F17" w:rsidRDefault="008A2F17" w:rsidP="008A2F17">
            <w:pPr>
              <w:spacing w:before="60" w:after="60" w:line="240" w:lineRule="atLeast"/>
              <w:jc w:val="left"/>
              <w:rPr>
                <w:sz w:val="18"/>
                <w:szCs w:val="18"/>
              </w:rPr>
            </w:pPr>
            <w:r w:rsidRPr="008A2F17">
              <w:rPr>
                <w:b/>
                <w:bCs/>
                <w:sz w:val="18"/>
                <w:szCs w:val="18"/>
              </w:rPr>
              <w:t>Waste</w:t>
            </w:r>
          </w:p>
        </w:tc>
        <w:tc>
          <w:tcPr>
            <w:tcW w:w="2948" w:type="dxa"/>
            <w:shd w:val="clear" w:color="auto" w:fill="auto"/>
          </w:tcPr>
          <w:p w14:paraId="0536C16B" w14:textId="77777777" w:rsidR="008A2F17" w:rsidRPr="008A2F17" w:rsidRDefault="008A2F17" w:rsidP="008A2F17">
            <w:pPr>
              <w:spacing w:before="60" w:after="60" w:line="240" w:lineRule="atLeast"/>
              <w:jc w:val="left"/>
              <w:rPr>
                <w:sz w:val="18"/>
                <w:szCs w:val="20"/>
              </w:rPr>
            </w:pPr>
            <w:r w:rsidRPr="008A2F17">
              <w:rPr>
                <w:sz w:val="18"/>
                <w:szCs w:val="20"/>
              </w:rPr>
              <w:t xml:space="preserve">Revised method for deriving activity data for non-municipal landfills </w:t>
            </w:r>
          </w:p>
        </w:tc>
        <w:tc>
          <w:tcPr>
            <w:tcW w:w="2665" w:type="dxa"/>
          </w:tcPr>
          <w:p w14:paraId="20A6D0A9" w14:textId="77777777" w:rsidR="008A2F17" w:rsidRPr="008A2F17" w:rsidRDefault="008A2F17" w:rsidP="008A2F17">
            <w:pPr>
              <w:spacing w:before="60" w:after="60" w:line="240" w:lineRule="atLeast"/>
              <w:jc w:val="left"/>
              <w:rPr>
                <w:sz w:val="18"/>
                <w:szCs w:val="20"/>
              </w:rPr>
            </w:pPr>
            <w:r w:rsidRPr="008A2F17">
              <w:rPr>
                <w:sz w:val="18"/>
                <w:szCs w:val="20"/>
              </w:rPr>
              <w:t>Improve transparency</w:t>
            </w:r>
          </w:p>
        </w:tc>
        <w:tc>
          <w:tcPr>
            <w:tcW w:w="1276" w:type="dxa"/>
            <w:shd w:val="clear" w:color="auto" w:fill="auto"/>
            <w:vAlign w:val="center"/>
          </w:tcPr>
          <w:p w14:paraId="3A9FA300" w14:textId="77777777" w:rsidR="008A2F17" w:rsidRPr="008A2F17" w:rsidRDefault="008A2F17" w:rsidP="008A2F17">
            <w:pPr>
              <w:spacing w:before="60" w:after="60" w:line="240" w:lineRule="atLeast"/>
              <w:jc w:val="right"/>
              <w:rPr>
                <w:sz w:val="18"/>
                <w:szCs w:val="20"/>
              </w:rPr>
            </w:pPr>
            <w:r w:rsidRPr="008A2F17">
              <w:rPr>
                <w:sz w:val="18"/>
                <w:szCs w:val="20"/>
              </w:rPr>
              <w:t>-19.6</w:t>
            </w:r>
          </w:p>
        </w:tc>
        <w:tc>
          <w:tcPr>
            <w:tcW w:w="1276" w:type="dxa"/>
            <w:vAlign w:val="center"/>
          </w:tcPr>
          <w:p w14:paraId="193D09C3" w14:textId="77777777" w:rsidR="008A2F17" w:rsidRPr="008A2F17" w:rsidRDefault="008A2F17" w:rsidP="008A2F17">
            <w:pPr>
              <w:spacing w:before="60" w:after="60" w:line="240" w:lineRule="atLeast"/>
              <w:jc w:val="right"/>
              <w:rPr>
                <w:sz w:val="18"/>
                <w:szCs w:val="20"/>
              </w:rPr>
            </w:pPr>
            <w:r w:rsidRPr="008A2F17">
              <w:rPr>
                <w:sz w:val="18"/>
                <w:szCs w:val="20"/>
              </w:rPr>
              <w:t>-6.8</w:t>
            </w:r>
          </w:p>
        </w:tc>
        <w:tc>
          <w:tcPr>
            <w:tcW w:w="1276" w:type="dxa"/>
            <w:shd w:val="clear" w:color="auto" w:fill="auto"/>
            <w:vAlign w:val="center"/>
          </w:tcPr>
          <w:p w14:paraId="55AC3609" w14:textId="77777777" w:rsidR="008A2F17" w:rsidRPr="008A2F17" w:rsidRDefault="008A2F17" w:rsidP="008A2F17">
            <w:pPr>
              <w:spacing w:before="60" w:after="60" w:line="240" w:lineRule="atLeast"/>
              <w:jc w:val="right"/>
              <w:rPr>
                <w:sz w:val="18"/>
                <w:szCs w:val="20"/>
              </w:rPr>
            </w:pPr>
            <w:r w:rsidRPr="008A2F17">
              <w:rPr>
                <w:rFonts w:cs="Calibri"/>
                <w:color w:val="000000"/>
                <w:sz w:val="18"/>
                <w:szCs w:val="18"/>
              </w:rPr>
              <w:t>~0.0%</w:t>
            </w:r>
          </w:p>
        </w:tc>
        <w:tc>
          <w:tcPr>
            <w:tcW w:w="1276" w:type="dxa"/>
            <w:shd w:val="clear" w:color="auto" w:fill="auto"/>
            <w:vAlign w:val="center"/>
          </w:tcPr>
          <w:p w14:paraId="4AA1D9F3" w14:textId="77777777" w:rsidR="008A2F17" w:rsidRPr="008A2F17" w:rsidRDefault="008A2F17" w:rsidP="008A2F17">
            <w:pPr>
              <w:spacing w:before="60" w:after="60" w:line="240" w:lineRule="atLeast"/>
              <w:jc w:val="right"/>
              <w:rPr>
                <w:sz w:val="18"/>
                <w:szCs w:val="20"/>
              </w:rPr>
            </w:pPr>
            <w:r w:rsidRPr="008A2F17">
              <w:rPr>
                <w:rFonts w:cs="Calibri"/>
                <w:color w:val="000000"/>
                <w:sz w:val="18"/>
                <w:szCs w:val="18"/>
              </w:rPr>
              <w:t>~0.0%</w:t>
            </w:r>
          </w:p>
        </w:tc>
        <w:tc>
          <w:tcPr>
            <w:tcW w:w="1276" w:type="dxa"/>
            <w:vAlign w:val="center"/>
          </w:tcPr>
          <w:p w14:paraId="3E332195" w14:textId="77777777" w:rsidR="008A2F17" w:rsidRPr="008A2F17" w:rsidRDefault="008A2F17" w:rsidP="008A2F17">
            <w:pPr>
              <w:spacing w:before="60" w:after="60" w:line="240" w:lineRule="atLeast"/>
              <w:jc w:val="right"/>
              <w:rPr>
                <w:sz w:val="18"/>
                <w:szCs w:val="20"/>
              </w:rPr>
            </w:pPr>
            <w:r w:rsidRPr="008A2F17">
              <w:rPr>
                <w:rFonts w:cs="Calibri"/>
                <w:color w:val="000000"/>
                <w:sz w:val="18"/>
                <w:szCs w:val="18"/>
              </w:rPr>
              <w:t>~0.0%</w:t>
            </w:r>
          </w:p>
        </w:tc>
        <w:tc>
          <w:tcPr>
            <w:tcW w:w="1276" w:type="dxa"/>
            <w:vAlign w:val="center"/>
          </w:tcPr>
          <w:p w14:paraId="4A9C36F5" w14:textId="77777777" w:rsidR="008A2F17" w:rsidRPr="008A2F17" w:rsidRDefault="008A2F17" w:rsidP="008A2F17">
            <w:pPr>
              <w:spacing w:before="60" w:after="60" w:line="240" w:lineRule="atLeast"/>
              <w:jc w:val="right"/>
              <w:rPr>
                <w:sz w:val="18"/>
                <w:szCs w:val="20"/>
              </w:rPr>
            </w:pPr>
            <w:r w:rsidRPr="008A2F17">
              <w:rPr>
                <w:rFonts w:cs="Calibri"/>
                <w:color w:val="000000"/>
                <w:sz w:val="18"/>
                <w:szCs w:val="18"/>
              </w:rPr>
              <w:t>~0.0%</w:t>
            </w:r>
          </w:p>
        </w:tc>
      </w:tr>
      <w:tr w:rsidR="008A2F17" w:rsidRPr="008A2F17" w14:paraId="5778C3F5" w14:textId="77777777" w:rsidTr="00B60712">
        <w:trPr>
          <w:trHeight w:val="680"/>
        </w:trPr>
        <w:tc>
          <w:tcPr>
            <w:tcW w:w="1108" w:type="dxa"/>
            <w:vMerge w:val="restart"/>
          </w:tcPr>
          <w:p w14:paraId="0935901A" w14:textId="77777777" w:rsidR="008A2F17" w:rsidRPr="008A2F17" w:rsidDel="00A766E9" w:rsidRDefault="008A2F17" w:rsidP="008A2F17">
            <w:pPr>
              <w:spacing w:before="60" w:after="60" w:line="240" w:lineRule="atLeast"/>
              <w:jc w:val="left"/>
              <w:rPr>
                <w:b/>
                <w:bCs/>
                <w:sz w:val="18"/>
                <w:szCs w:val="18"/>
              </w:rPr>
            </w:pPr>
            <w:r w:rsidRPr="008A2F17">
              <w:rPr>
                <w:b/>
                <w:bCs/>
                <w:sz w:val="18"/>
                <w:szCs w:val="18"/>
              </w:rPr>
              <w:t xml:space="preserve">Land Use, Land-Use Change and Forestry </w:t>
            </w:r>
          </w:p>
        </w:tc>
        <w:tc>
          <w:tcPr>
            <w:tcW w:w="2948" w:type="dxa"/>
            <w:shd w:val="clear" w:color="auto" w:fill="auto"/>
          </w:tcPr>
          <w:p w14:paraId="66E5F2E2" w14:textId="77777777" w:rsidR="008A2F17" w:rsidRPr="008A2F17" w:rsidRDefault="008A2F17" w:rsidP="008A2F17">
            <w:pPr>
              <w:spacing w:before="60" w:after="60" w:line="240" w:lineRule="atLeast"/>
              <w:jc w:val="left"/>
              <w:rPr>
                <w:sz w:val="18"/>
                <w:szCs w:val="20"/>
              </w:rPr>
            </w:pPr>
            <w:r w:rsidRPr="008A2F17">
              <w:rPr>
                <w:sz w:val="18"/>
                <w:szCs w:val="20"/>
              </w:rPr>
              <w:t>Revised method to classify tall and regenerating pre-1990 natural forest</w:t>
            </w:r>
          </w:p>
        </w:tc>
        <w:tc>
          <w:tcPr>
            <w:tcW w:w="2665" w:type="dxa"/>
            <w:vMerge w:val="restart"/>
          </w:tcPr>
          <w:p w14:paraId="1EA3C635" w14:textId="77777777" w:rsidR="008A2F17" w:rsidRPr="008A2F17" w:rsidDel="00A6436F" w:rsidRDefault="008A2F17" w:rsidP="008A2F17">
            <w:pPr>
              <w:spacing w:before="60" w:after="60" w:line="240" w:lineRule="atLeast"/>
              <w:jc w:val="left"/>
              <w:rPr>
                <w:sz w:val="18"/>
                <w:szCs w:val="20"/>
              </w:rPr>
            </w:pPr>
            <w:r w:rsidRPr="008A2F17">
              <w:rPr>
                <w:sz w:val="18"/>
                <w:szCs w:val="20"/>
              </w:rPr>
              <w:t xml:space="preserve">Increase accuracy of pre-1990 natural forest estimates </w:t>
            </w:r>
          </w:p>
        </w:tc>
        <w:tc>
          <w:tcPr>
            <w:tcW w:w="1276" w:type="dxa"/>
            <w:shd w:val="clear" w:color="auto" w:fill="auto"/>
            <w:vAlign w:val="center"/>
          </w:tcPr>
          <w:p w14:paraId="0BF7ADA2" w14:textId="77777777" w:rsidR="008A2F17" w:rsidRPr="008A2F17" w:rsidRDefault="008A2F17" w:rsidP="008A2F17">
            <w:pPr>
              <w:spacing w:before="60" w:after="60" w:line="240" w:lineRule="atLeast"/>
              <w:jc w:val="right"/>
              <w:rPr>
                <w:sz w:val="18"/>
              </w:rPr>
            </w:pPr>
            <w:r w:rsidRPr="008A2F17">
              <w:rPr>
                <w:sz w:val="18"/>
              </w:rPr>
              <w:t>973</w:t>
            </w:r>
          </w:p>
        </w:tc>
        <w:tc>
          <w:tcPr>
            <w:tcW w:w="1276" w:type="dxa"/>
            <w:vAlign w:val="center"/>
          </w:tcPr>
          <w:p w14:paraId="37CCD32E" w14:textId="77777777" w:rsidR="008A2F17" w:rsidRPr="008A2F17" w:rsidRDefault="008A2F17" w:rsidP="008A2F17">
            <w:pPr>
              <w:spacing w:before="60" w:after="60" w:line="240" w:lineRule="atLeast"/>
              <w:jc w:val="right"/>
              <w:rPr>
                <w:sz w:val="18"/>
              </w:rPr>
            </w:pPr>
            <w:r w:rsidRPr="008A2F17">
              <w:rPr>
                <w:sz w:val="18"/>
              </w:rPr>
              <w:t>973</w:t>
            </w:r>
          </w:p>
        </w:tc>
        <w:tc>
          <w:tcPr>
            <w:tcW w:w="1276" w:type="dxa"/>
            <w:shd w:val="clear" w:color="auto" w:fill="auto"/>
            <w:vAlign w:val="center"/>
          </w:tcPr>
          <w:p w14:paraId="47CE4F72" w14:textId="77777777" w:rsidR="008A2F17" w:rsidRPr="008A2F17" w:rsidRDefault="008A2F17" w:rsidP="008A2F17">
            <w:pPr>
              <w:spacing w:before="60" w:after="60" w:line="240" w:lineRule="atLeast"/>
              <w:jc w:val="center"/>
              <w:rPr>
                <w:sz w:val="18"/>
              </w:rPr>
            </w:pPr>
            <w:r w:rsidRPr="008A2F17">
              <w:rPr>
                <w:sz w:val="18"/>
              </w:rPr>
              <w:t>-</w:t>
            </w:r>
          </w:p>
        </w:tc>
        <w:tc>
          <w:tcPr>
            <w:tcW w:w="1276" w:type="dxa"/>
            <w:shd w:val="clear" w:color="auto" w:fill="auto"/>
            <w:vAlign w:val="center"/>
          </w:tcPr>
          <w:p w14:paraId="50CAAA0C" w14:textId="77777777" w:rsidR="008A2F17" w:rsidRPr="008A2F17" w:rsidRDefault="008A2F17" w:rsidP="008A2F17">
            <w:pPr>
              <w:spacing w:before="60" w:after="60" w:line="240" w:lineRule="atLeast"/>
              <w:jc w:val="center"/>
              <w:rPr>
                <w:sz w:val="18"/>
              </w:rPr>
            </w:pPr>
            <w:r w:rsidRPr="008A2F17">
              <w:rPr>
                <w:sz w:val="18"/>
              </w:rPr>
              <w:t>-</w:t>
            </w:r>
          </w:p>
        </w:tc>
        <w:tc>
          <w:tcPr>
            <w:tcW w:w="1276" w:type="dxa"/>
            <w:vAlign w:val="center"/>
          </w:tcPr>
          <w:p w14:paraId="09EA5BD7"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2.4%</w:t>
            </w:r>
          </w:p>
        </w:tc>
        <w:tc>
          <w:tcPr>
            <w:tcW w:w="1276" w:type="dxa"/>
            <w:vAlign w:val="center"/>
          </w:tcPr>
          <w:p w14:paraId="7ED1F389"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1.8%</w:t>
            </w:r>
          </w:p>
        </w:tc>
      </w:tr>
      <w:tr w:rsidR="008A2F17" w:rsidRPr="008A2F17" w14:paraId="4A026E23" w14:textId="77777777" w:rsidTr="00B60712">
        <w:trPr>
          <w:trHeight w:val="680"/>
        </w:trPr>
        <w:tc>
          <w:tcPr>
            <w:tcW w:w="1108" w:type="dxa"/>
            <w:vMerge/>
          </w:tcPr>
          <w:p w14:paraId="4F026B24" w14:textId="77777777" w:rsidR="008A2F17" w:rsidRPr="008A2F17" w:rsidDel="00A766E9" w:rsidRDefault="008A2F17" w:rsidP="008A2F17">
            <w:pPr>
              <w:spacing w:before="60" w:after="60" w:line="240" w:lineRule="atLeast"/>
              <w:jc w:val="left"/>
              <w:rPr>
                <w:b/>
                <w:bCs/>
                <w:i/>
                <w:iCs/>
                <w:sz w:val="18"/>
                <w:szCs w:val="18"/>
              </w:rPr>
            </w:pPr>
          </w:p>
        </w:tc>
        <w:tc>
          <w:tcPr>
            <w:tcW w:w="2948" w:type="dxa"/>
            <w:shd w:val="clear" w:color="auto" w:fill="auto"/>
          </w:tcPr>
          <w:p w14:paraId="2AD51574" w14:textId="77777777" w:rsidR="008A2F17" w:rsidRPr="008A2F17" w:rsidRDefault="008A2F17" w:rsidP="008A2F17">
            <w:pPr>
              <w:spacing w:before="60" w:after="60" w:line="240" w:lineRule="atLeast"/>
              <w:jc w:val="left"/>
              <w:rPr>
                <w:sz w:val="18"/>
                <w:szCs w:val="20"/>
              </w:rPr>
            </w:pPr>
            <w:r w:rsidRPr="008A2F17">
              <w:rPr>
                <w:sz w:val="18"/>
                <w:szCs w:val="20"/>
              </w:rPr>
              <w:t>Revised method to report on annual net carbon stock change in tall pre-1990 natural forest</w:t>
            </w:r>
          </w:p>
        </w:tc>
        <w:tc>
          <w:tcPr>
            <w:tcW w:w="2665" w:type="dxa"/>
            <w:vMerge/>
          </w:tcPr>
          <w:p w14:paraId="4BA4C0A8" w14:textId="77777777" w:rsidR="008A2F17" w:rsidRPr="008A2F17" w:rsidDel="00A6436F" w:rsidRDefault="008A2F17" w:rsidP="008A2F17">
            <w:pPr>
              <w:spacing w:before="60" w:after="60" w:line="240" w:lineRule="atLeast"/>
              <w:jc w:val="left"/>
              <w:rPr>
                <w:sz w:val="18"/>
                <w:szCs w:val="20"/>
              </w:rPr>
            </w:pPr>
          </w:p>
        </w:tc>
        <w:tc>
          <w:tcPr>
            <w:tcW w:w="1276" w:type="dxa"/>
            <w:shd w:val="clear" w:color="auto" w:fill="auto"/>
            <w:vAlign w:val="center"/>
          </w:tcPr>
          <w:p w14:paraId="0A7FCBBF" w14:textId="77777777" w:rsidR="008A2F17" w:rsidRPr="008A2F17" w:rsidRDefault="008A2F17" w:rsidP="008A2F17">
            <w:pPr>
              <w:spacing w:before="60" w:after="60" w:line="240" w:lineRule="atLeast"/>
              <w:jc w:val="right"/>
              <w:rPr>
                <w:sz w:val="18"/>
                <w:szCs w:val="20"/>
              </w:rPr>
            </w:pPr>
            <w:r w:rsidRPr="008A2F17">
              <w:rPr>
                <w:sz w:val="18"/>
                <w:szCs w:val="20"/>
              </w:rPr>
              <w:t>282.4</w:t>
            </w:r>
          </w:p>
        </w:tc>
        <w:tc>
          <w:tcPr>
            <w:tcW w:w="1276" w:type="dxa"/>
            <w:vAlign w:val="center"/>
          </w:tcPr>
          <w:p w14:paraId="63B80247" w14:textId="77777777" w:rsidR="008A2F17" w:rsidRPr="008A2F17" w:rsidRDefault="008A2F17" w:rsidP="008A2F17">
            <w:pPr>
              <w:spacing w:before="60" w:after="60" w:line="240" w:lineRule="atLeast"/>
              <w:jc w:val="right"/>
              <w:rPr>
                <w:sz w:val="18"/>
                <w:szCs w:val="20"/>
              </w:rPr>
            </w:pPr>
            <w:r w:rsidRPr="008A2F17">
              <w:rPr>
                <w:sz w:val="18"/>
                <w:szCs w:val="20"/>
              </w:rPr>
              <w:t>282.4</w:t>
            </w:r>
          </w:p>
        </w:tc>
        <w:tc>
          <w:tcPr>
            <w:tcW w:w="1276" w:type="dxa"/>
            <w:shd w:val="clear" w:color="auto" w:fill="auto"/>
            <w:vAlign w:val="center"/>
          </w:tcPr>
          <w:p w14:paraId="253C37DC" w14:textId="77777777" w:rsidR="008A2F17" w:rsidRPr="008A2F17" w:rsidRDefault="008A2F17" w:rsidP="008A2F17">
            <w:pPr>
              <w:spacing w:before="60" w:after="60" w:line="240" w:lineRule="atLeast"/>
              <w:jc w:val="center"/>
              <w:rPr>
                <w:sz w:val="18"/>
                <w:szCs w:val="20"/>
              </w:rPr>
            </w:pPr>
            <w:r w:rsidRPr="008A2F17">
              <w:rPr>
                <w:sz w:val="18"/>
                <w:szCs w:val="20"/>
              </w:rPr>
              <w:t>-</w:t>
            </w:r>
          </w:p>
        </w:tc>
        <w:tc>
          <w:tcPr>
            <w:tcW w:w="1276" w:type="dxa"/>
            <w:shd w:val="clear" w:color="auto" w:fill="auto"/>
            <w:vAlign w:val="center"/>
          </w:tcPr>
          <w:p w14:paraId="1237B323" w14:textId="77777777" w:rsidR="008A2F17" w:rsidRPr="008A2F17" w:rsidRDefault="008A2F17" w:rsidP="008A2F17">
            <w:pPr>
              <w:spacing w:before="60" w:after="60" w:line="240" w:lineRule="atLeast"/>
              <w:jc w:val="center"/>
              <w:rPr>
                <w:sz w:val="18"/>
                <w:szCs w:val="20"/>
              </w:rPr>
            </w:pPr>
            <w:r w:rsidRPr="008A2F17">
              <w:rPr>
                <w:sz w:val="18"/>
                <w:szCs w:val="20"/>
              </w:rPr>
              <w:t>-</w:t>
            </w:r>
          </w:p>
        </w:tc>
        <w:tc>
          <w:tcPr>
            <w:tcW w:w="1276" w:type="dxa"/>
            <w:vAlign w:val="center"/>
          </w:tcPr>
          <w:p w14:paraId="7DE012BD" w14:textId="77777777" w:rsidR="008A2F17" w:rsidRPr="008A2F17" w:rsidRDefault="008A2F17" w:rsidP="008A2F17">
            <w:pPr>
              <w:spacing w:before="60" w:after="60" w:line="240" w:lineRule="atLeast"/>
              <w:jc w:val="right"/>
              <w:rPr>
                <w:sz w:val="18"/>
                <w:szCs w:val="20"/>
              </w:rPr>
            </w:pPr>
            <w:r w:rsidRPr="008A2F17">
              <w:rPr>
                <w:rFonts w:cs="Calibri"/>
                <w:color w:val="000000"/>
                <w:sz w:val="18"/>
                <w:szCs w:val="18"/>
              </w:rPr>
              <w:t>0.7%</w:t>
            </w:r>
          </w:p>
        </w:tc>
        <w:tc>
          <w:tcPr>
            <w:tcW w:w="1276" w:type="dxa"/>
            <w:vAlign w:val="center"/>
          </w:tcPr>
          <w:p w14:paraId="183BD260" w14:textId="77777777" w:rsidR="008A2F17" w:rsidRPr="008A2F17" w:rsidRDefault="008A2F17" w:rsidP="008A2F17">
            <w:pPr>
              <w:spacing w:before="60" w:after="60" w:line="240" w:lineRule="atLeast"/>
              <w:jc w:val="right"/>
              <w:rPr>
                <w:sz w:val="18"/>
                <w:szCs w:val="20"/>
              </w:rPr>
            </w:pPr>
            <w:r w:rsidRPr="008A2F17">
              <w:rPr>
                <w:rFonts w:cs="Calibri"/>
                <w:color w:val="000000"/>
                <w:sz w:val="18"/>
                <w:szCs w:val="18"/>
              </w:rPr>
              <w:t>0.5%</w:t>
            </w:r>
          </w:p>
        </w:tc>
      </w:tr>
      <w:tr w:rsidR="008A2F17" w:rsidRPr="008A2F17" w14:paraId="5DE463CC" w14:textId="77777777" w:rsidTr="00B60712">
        <w:trPr>
          <w:trHeight w:val="680"/>
        </w:trPr>
        <w:tc>
          <w:tcPr>
            <w:tcW w:w="1108" w:type="dxa"/>
            <w:vMerge/>
          </w:tcPr>
          <w:p w14:paraId="5A481692" w14:textId="77777777" w:rsidR="008A2F17" w:rsidRPr="008A2F17" w:rsidDel="00A766E9" w:rsidRDefault="008A2F17" w:rsidP="008A2F17">
            <w:pPr>
              <w:spacing w:before="60" w:after="60" w:line="240" w:lineRule="atLeast"/>
              <w:jc w:val="left"/>
              <w:rPr>
                <w:b/>
                <w:bCs/>
                <w:i/>
                <w:iCs/>
                <w:sz w:val="18"/>
                <w:szCs w:val="18"/>
              </w:rPr>
            </w:pPr>
          </w:p>
        </w:tc>
        <w:tc>
          <w:tcPr>
            <w:tcW w:w="2948" w:type="dxa"/>
            <w:shd w:val="clear" w:color="auto" w:fill="auto"/>
          </w:tcPr>
          <w:p w14:paraId="1A96C16C" w14:textId="77777777" w:rsidR="008A2F17" w:rsidRPr="008A2F17" w:rsidRDefault="008A2F17" w:rsidP="008A2F17">
            <w:pPr>
              <w:spacing w:before="60" w:after="60" w:line="240" w:lineRule="atLeast"/>
              <w:jc w:val="left"/>
              <w:rPr>
                <w:sz w:val="18"/>
                <w:szCs w:val="20"/>
              </w:rPr>
            </w:pPr>
            <w:r w:rsidRPr="008A2F17">
              <w:rPr>
                <w:sz w:val="18"/>
                <w:szCs w:val="20"/>
              </w:rPr>
              <w:t>Updated post-1989 and pre-1990 planted forest yield tables and application methods</w:t>
            </w:r>
          </w:p>
        </w:tc>
        <w:tc>
          <w:tcPr>
            <w:tcW w:w="2665" w:type="dxa"/>
          </w:tcPr>
          <w:p w14:paraId="248712AB" w14:textId="77777777" w:rsidR="008A2F17" w:rsidRPr="008A2F17" w:rsidDel="00A6436F" w:rsidRDefault="008A2F17" w:rsidP="008A2F17">
            <w:pPr>
              <w:spacing w:before="60" w:after="60" w:line="240" w:lineRule="atLeast"/>
              <w:jc w:val="left"/>
              <w:rPr>
                <w:sz w:val="18"/>
                <w:szCs w:val="20"/>
              </w:rPr>
            </w:pPr>
            <w:r w:rsidRPr="008A2F17">
              <w:rPr>
                <w:sz w:val="18"/>
                <w:szCs w:val="20"/>
              </w:rPr>
              <w:t xml:space="preserve">Increase accuracy of planted forest estimates </w:t>
            </w:r>
          </w:p>
        </w:tc>
        <w:tc>
          <w:tcPr>
            <w:tcW w:w="1276" w:type="dxa"/>
            <w:shd w:val="clear" w:color="auto" w:fill="auto"/>
            <w:vAlign w:val="center"/>
          </w:tcPr>
          <w:p w14:paraId="6CE3FA11" w14:textId="77777777" w:rsidR="008A2F17" w:rsidRPr="008A2F17" w:rsidRDefault="008A2F17" w:rsidP="008A2F17">
            <w:pPr>
              <w:spacing w:before="60" w:after="60" w:line="240" w:lineRule="atLeast"/>
              <w:jc w:val="right"/>
              <w:rPr>
                <w:sz w:val="18"/>
              </w:rPr>
            </w:pPr>
            <w:r w:rsidRPr="008A2F17">
              <w:rPr>
                <w:sz w:val="18"/>
              </w:rPr>
              <w:t>-115</w:t>
            </w:r>
          </w:p>
        </w:tc>
        <w:tc>
          <w:tcPr>
            <w:tcW w:w="1276" w:type="dxa"/>
            <w:vAlign w:val="center"/>
          </w:tcPr>
          <w:p w14:paraId="00FD571D" w14:textId="77777777" w:rsidR="008A2F17" w:rsidRPr="008A2F17" w:rsidRDefault="008A2F17" w:rsidP="008A2F17">
            <w:pPr>
              <w:spacing w:before="60" w:after="60" w:line="240" w:lineRule="atLeast"/>
              <w:jc w:val="right"/>
              <w:rPr>
                <w:sz w:val="18"/>
              </w:rPr>
            </w:pPr>
            <w:r w:rsidRPr="008A2F17">
              <w:rPr>
                <w:sz w:val="18"/>
              </w:rPr>
              <w:t>1,460</w:t>
            </w:r>
          </w:p>
        </w:tc>
        <w:tc>
          <w:tcPr>
            <w:tcW w:w="1276" w:type="dxa"/>
            <w:shd w:val="clear" w:color="auto" w:fill="auto"/>
            <w:vAlign w:val="center"/>
          </w:tcPr>
          <w:p w14:paraId="1203AD9C" w14:textId="77777777" w:rsidR="008A2F17" w:rsidRPr="008A2F17" w:rsidRDefault="008A2F17" w:rsidP="008A2F17">
            <w:pPr>
              <w:spacing w:before="60" w:after="60" w:line="240" w:lineRule="atLeast"/>
              <w:jc w:val="center"/>
              <w:rPr>
                <w:sz w:val="18"/>
              </w:rPr>
            </w:pPr>
            <w:r w:rsidRPr="008A2F17">
              <w:rPr>
                <w:sz w:val="18"/>
              </w:rPr>
              <w:t>-</w:t>
            </w:r>
          </w:p>
        </w:tc>
        <w:tc>
          <w:tcPr>
            <w:tcW w:w="1276" w:type="dxa"/>
            <w:shd w:val="clear" w:color="auto" w:fill="auto"/>
            <w:vAlign w:val="center"/>
          </w:tcPr>
          <w:p w14:paraId="3227E462" w14:textId="77777777" w:rsidR="008A2F17" w:rsidRPr="008A2F17" w:rsidRDefault="008A2F17" w:rsidP="008A2F17">
            <w:pPr>
              <w:spacing w:before="60" w:after="60" w:line="240" w:lineRule="atLeast"/>
              <w:jc w:val="center"/>
              <w:rPr>
                <w:sz w:val="18"/>
              </w:rPr>
            </w:pPr>
            <w:r w:rsidRPr="008A2F17">
              <w:rPr>
                <w:sz w:val="18"/>
              </w:rPr>
              <w:t>-</w:t>
            </w:r>
          </w:p>
        </w:tc>
        <w:tc>
          <w:tcPr>
            <w:tcW w:w="1276" w:type="dxa"/>
            <w:vAlign w:val="center"/>
          </w:tcPr>
          <w:p w14:paraId="3F71571C"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-0.3%</w:t>
            </w:r>
          </w:p>
        </w:tc>
        <w:tc>
          <w:tcPr>
            <w:tcW w:w="1276" w:type="dxa"/>
            <w:vAlign w:val="center"/>
          </w:tcPr>
          <w:p w14:paraId="7A27A4A6"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2.7%</w:t>
            </w:r>
          </w:p>
        </w:tc>
      </w:tr>
      <w:tr w:rsidR="008A2F17" w:rsidRPr="008A2F17" w14:paraId="3604C928" w14:textId="77777777" w:rsidTr="00B60712">
        <w:trPr>
          <w:trHeight w:val="540"/>
        </w:trPr>
        <w:tc>
          <w:tcPr>
            <w:tcW w:w="1108" w:type="dxa"/>
            <w:vMerge/>
          </w:tcPr>
          <w:p w14:paraId="1DD56DBE" w14:textId="77777777" w:rsidR="008A2F17" w:rsidRPr="008A2F17" w:rsidDel="00A766E9" w:rsidRDefault="008A2F17" w:rsidP="008A2F17">
            <w:pPr>
              <w:spacing w:before="60" w:after="60" w:line="240" w:lineRule="atLeast"/>
              <w:jc w:val="left"/>
              <w:rPr>
                <w:b/>
                <w:bCs/>
                <w:i/>
                <w:iCs/>
                <w:sz w:val="18"/>
                <w:szCs w:val="18"/>
              </w:rPr>
            </w:pPr>
          </w:p>
        </w:tc>
        <w:tc>
          <w:tcPr>
            <w:tcW w:w="2948" w:type="dxa"/>
            <w:shd w:val="clear" w:color="auto" w:fill="auto"/>
          </w:tcPr>
          <w:p w14:paraId="1FDFC354" w14:textId="77777777" w:rsidR="008A2F17" w:rsidRPr="008A2F17" w:rsidRDefault="008A2F17" w:rsidP="008A2F17">
            <w:pPr>
              <w:spacing w:before="0" w:after="0" w:line="240" w:lineRule="auto"/>
              <w:jc w:val="left"/>
              <w:rPr>
                <w:sz w:val="18"/>
                <w:szCs w:val="20"/>
              </w:rPr>
            </w:pPr>
            <w:r w:rsidRPr="008A2F17">
              <w:rPr>
                <w:sz w:val="18"/>
                <w:szCs w:val="20"/>
              </w:rPr>
              <w:t>Enabled average harvest age to change through time and expanded range</w:t>
            </w:r>
          </w:p>
        </w:tc>
        <w:tc>
          <w:tcPr>
            <w:tcW w:w="2665" w:type="dxa"/>
            <w:vMerge w:val="restart"/>
          </w:tcPr>
          <w:p w14:paraId="665534EC" w14:textId="77777777" w:rsidR="008A2F17" w:rsidRPr="008A2F17" w:rsidDel="00A6436F" w:rsidRDefault="008A2F17" w:rsidP="008A2F17">
            <w:pPr>
              <w:spacing w:before="0" w:after="0" w:line="240" w:lineRule="auto"/>
              <w:jc w:val="left"/>
              <w:rPr>
                <w:sz w:val="18"/>
                <w:szCs w:val="20"/>
              </w:rPr>
            </w:pPr>
            <w:r w:rsidRPr="008A2F17">
              <w:rPr>
                <w:sz w:val="18"/>
                <w:szCs w:val="20"/>
              </w:rPr>
              <w:t>Increase accuracy of harvest and deforestation age class profiles and activity data</w:t>
            </w:r>
          </w:p>
        </w:tc>
        <w:tc>
          <w:tcPr>
            <w:tcW w:w="1276" w:type="dxa"/>
            <w:vMerge w:val="restart"/>
            <w:shd w:val="clear" w:color="auto" w:fill="auto"/>
            <w:vAlign w:val="center"/>
          </w:tcPr>
          <w:p w14:paraId="6DDC1F8B" w14:textId="77777777" w:rsidR="008A2F17" w:rsidRPr="008A2F17" w:rsidRDefault="008A2F17" w:rsidP="008A2F17">
            <w:pPr>
              <w:spacing w:before="60" w:after="60" w:line="240" w:lineRule="atLeast"/>
              <w:jc w:val="right"/>
              <w:rPr>
                <w:sz w:val="18"/>
              </w:rPr>
            </w:pPr>
            <w:r w:rsidRPr="008A2F17">
              <w:rPr>
                <w:sz w:val="18"/>
              </w:rPr>
              <w:t>1,700</w:t>
            </w:r>
          </w:p>
        </w:tc>
        <w:tc>
          <w:tcPr>
            <w:tcW w:w="1276" w:type="dxa"/>
            <w:vMerge w:val="restart"/>
            <w:vAlign w:val="center"/>
          </w:tcPr>
          <w:p w14:paraId="30B30139" w14:textId="77777777" w:rsidR="008A2F17" w:rsidRPr="008A2F17" w:rsidRDefault="008A2F17" w:rsidP="008A2F17">
            <w:pPr>
              <w:spacing w:before="60" w:after="60" w:line="240" w:lineRule="atLeast"/>
              <w:jc w:val="right"/>
              <w:rPr>
                <w:sz w:val="18"/>
              </w:rPr>
            </w:pPr>
            <w:r w:rsidRPr="008A2F17">
              <w:rPr>
                <w:sz w:val="18"/>
              </w:rPr>
              <w:t>100</w:t>
            </w:r>
          </w:p>
        </w:tc>
        <w:tc>
          <w:tcPr>
            <w:tcW w:w="1276" w:type="dxa"/>
            <w:vMerge w:val="restart"/>
            <w:shd w:val="clear" w:color="auto" w:fill="auto"/>
            <w:vAlign w:val="center"/>
          </w:tcPr>
          <w:p w14:paraId="5E42A692" w14:textId="77777777" w:rsidR="008A2F17" w:rsidRPr="008A2F17" w:rsidRDefault="008A2F17" w:rsidP="008A2F17">
            <w:pPr>
              <w:spacing w:before="60" w:after="60" w:line="240" w:lineRule="atLeast"/>
              <w:jc w:val="center"/>
              <w:rPr>
                <w:sz w:val="18"/>
              </w:rPr>
            </w:pPr>
            <w:r w:rsidRPr="008A2F17">
              <w:rPr>
                <w:sz w:val="18"/>
              </w:rPr>
              <w:t>-</w:t>
            </w:r>
          </w:p>
        </w:tc>
        <w:tc>
          <w:tcPr>
            <w:tcW w:w="1276" w:type="dxa"/>
            <w:vMerge w:val="restart"/>
            <w:shd w:val="clear" w:color="auto" w:fill="auto"/>
            <w:vAlign w:val="center"/>
          </w:tcPr>
          <w:p w14:paraId="3DFD1817" w14:textId="77777777" w:rsidR="008A2F17" w:rsidRPr="008A2F17" w:rsidRDefault="008A2F17" w:rsidP="008A2F17">
            <w:pPr>
              <w:spacing w:before="60" w:after="60" w:line="240" w:lineRule="atLeast"/>
              <w:jc w:val="center"/>
              <w:rPr>
                <w:sz w:val="18"/>
              </w:rPr>
            </w:pPr>
            <w:r w:rsidRPr="008A2F17">
              <w:rPr>
                <w:sz w:val="18"/>
              </w:rPr>
              <w:t>-</w:t>
            </w:r>
          </w:p>
        </w:tc>
        <w:tc>
          <w:tcPr>
            <w:tcW w:w="1276" w:type="dxa"/>
            <w:vMerge w:val="restart"/>
            <w:vAlign w:val="center"/>
          </w:tcPr>
          <w:p w14:paraId="3191F728"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4.1%</w:t>
            </w:r>
          </w:p>
        </w:tc>
        <w:tc>
          <w:tcPr>
            <w:tcW w:w="1276" w:type="dxa"/>
            <w:vMerge w:val="restart"/>
            <w:vAlign w:val="center"/>
          </w:tcPr>
          <w:p w14:paraId="47C39A57"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0.2%</w:t>
            </w:r>
          </w:p>
        </w:tc>
      </w:tr>
      <w:tr w:rsidR="008A2F17" w:rsidRPr="008A2F17" w14:paraId="09AD54EB" w14:textId="77777777" w:rsidTr="00B60712">
        <w:trPr>
          <w:trHeight w:val="540"/>
        </w:trPr>
        <w:tc>
          <w:tcPr>
            <w:tcW w:w="1108" w:type="dxa"/>
            <w:vMerge/>
          </w:tcPr>
          <w:p w14:paraId="70A5DD4B" w14:textId="77777777" w:rsidR="008A2F17" w:rsidRPr="008A2F17" w:rsidDel="00A766E9" w:rsidRDefault="008A2F17" w:rsidP="008A2F17">
            <w:pPr>
              <w:spacing w:before="60" w:after="60" w:line="240" w:lineRule="atLeast"/>
              <w:jc w:val="left"/>
              <w:rPr>
                <w:b/>
                <w:bCs/>
                <w:i/>
                <w:iCs/>
                <w:sz w:val="18"/>
                <w:szCs w:val="18"/>
              </w:rPr>
            </w:pPr>
          </w:p>
        </w:tc>
        <w:tc>
          <w:tcPr>
            <w:tcW w:w="2948" w:type="dxa"/>
            <w:shd w:val="clear" w:color="auto" w:fill="auto"/>
          </w:tcPr>
          <w:p w14:paraId="26277751" w14:textId="77777777" w:rsidR="008A2F17" w:rsidRPr="008A2F17" w:rsidRDefault="008A2F17" w:rsidP="008A2F17">
            <w:pPr>
              <w:spacing w:before="0" w:after="0" w:line="240" w:lineRule="auto"/>
              <w:jc w:val="left"/>
              <w:rPr>
                <w:sz w:val="18"/>
                <w:szCs w:val="20"/>
              </w:rPr>
            </w:pPr>
            <w:r w:rsidRPr="008A2F17">
              <w:rPr>
                <w:sz w:val="18"/>
                <w:szCs w:val="20"/>
              </w:rPr>
              <w:t>Improved method to determine planted forest harvest area from 2017 onwards</w:t>
            </w:r>
          </w:p>
        </w:tc>
        <w:tc>
          <w:tcPr>
            <w:tcW w:w="2665" w:type="dxa"/>
            <w:vMerge/>
          </w:tcPr>
          <w:p w14:paraId="531915A6" w14:textId="77777777" w:rsidR="008A2F17" w:rsidRPr="008A2F17" w:rsidRDefault="008A2F17" w:rsidP="008A2F17">
            <w:pPr>
              <w:spacing w:before="0" w:after="0" w:line="240" w:lineRule="auto"/>
              <w:jc w:val="left"/>
              <w:rPr>
                <w:sz w:val="18"/>
                <w:szCs w:val="20"/>
              </w:rPr>
            </w:pPr>
          </w:p>
        </w:tc>
        <w:tc>
          <w:tcPr>
            <w:tcW w:w="1276" w:type="dxa"/>
            <w:vMerge/>
            <w:shd w:val="clear" w:color="auto" w:fill="auto"/>
            <w:vAlign w:val="center"/>
          </w:tcPr>
          <w:p w14:paraId="04605621" w14:textId="77777777" w:rsidR="008A2F17" w:rsidRPr="008A2F17" w:rsidRDefault="008A2F17" w:rsidP="008A2F17">
            <w:pPr>
              <w:spacing w:before="60" w:after="60" w:line="240" w:lineRule="atLeast"/>
              <w:jc w:val="right"/>
              <w:rPr>
                <w:sz w:val="18"/>
              </w:rPr>
            </w:pPr>
          </w:p>
        </w:tc>
        <w:tc>
          <w:tcPr>
            <w:tcW w:w="1276" w:type="dxa"/>
            <w:vMerge/>
            <w:vAlign w:val="center"/>
          </w:tcPr>
          <w:p w14:paraId="7ED4D4C6" w14:textId="77777777" w:rsidR="008A2F17" w:rsidRPr="008A2F17" w:rsidRDefault="008A2F17" w:rsidP="008A2F17">
            <w:pPr>
              <w:spacing w:before="60" w:after="60" w:line="240" w:lineRule="atLeast"/>
              <w:jc w:val="right"/>
              <w:rPr>
                <w:sz w:val="18"/>
              </w:rPr>
            </w:pPr>
          </w:p>
        </w:tc>
        <w:tc>
          <w:tcPr>
            <w:tcW w:w="1276" w:type="dxa"/>
            <w:vMerge/>
            <w:shd w:val="clear" w:color="auto" w:fill="auto"/>
            <w:vAlign w:val="center"/>
          </w:tcPr>
          <w:p w14:paraId="45F3B740" w14:textId="77777777" w:rsidR="008A2F17" w:rsidRPr="008A2F17" w:rsidRDefault="008A2F17" w:rsidP="008A2F17">
            <w:pPr>
              <w:spacing w:before="60" w:after="60" w:line="240" w:lineRule="atLeast"/>
              <w:jc w:val="center"/>
              <w:rPr>
                <w:sz w:val="18"/>
              </w:rPr>
            </w:pPr>
          </w:p>
        </w:tc>
        <w:tc>
          <w:tcPr>
            <w:tcW w:w="1276" w:type="dxa"/>
            <w:vMerge/>
            <w:shd w:val="clear" w:color="auto" w:fill="auto"/>
            <w:vAlign w:val="center"/>
          </w:tcPr>
          <w:p w14:paraId="31C9EDE3" w14:textId="77777777" w:rsidR="008A2F17" w:rsidRPr="008A2F17" w:rsidRDefault="008A2F17" w:rsidP="008A2F17">
            <w:pPr>
              <w:spacing w:before="60" w:after="60" w:line="240" w:lineRule="atLeast"/>
              <w:jc w:val="center"/>
              <w:rPr>
                <w:sz w:val="18"/>
              </w:rPr>
            </w:pPr>
          </w:p>
        </w:tc>
        <w:tc>
          <w:tcPr>
            <w:tcW w:w="1276" w:type="dxa"/>
            <w:vMerge/>
            <w:vAlign w:val="center"/>
          </w:tcPr>
          <w:p w14:paraId="2AB7FCED" w14:textId="77777777" w:rsidR="008A2F17" w:rsidRPr="008A2F17" w:rsidRDefault="008A2F17" w:rsidP="008A2F17">
            <w:pPr>
              <w:spacing w:before="60" w:after="60" w:line="240" w:lineRule="atLeast"/>
              <w:jc w:val="right"/>
              <w:rPr>
                <w:sz w:val="18"/>
              </w:rPr>
            </w:pPr>
          </w:p>
        </w:tc>
        <w:tc>
          <w:tcPr>
            <w:tcW w:w="1276" w:type="dxa"/>
            <w:vMerge/>
            <w:vAlign w:val="center"/>
          </w:tcPr>
          <w:p w14:paraId="6F6ED34E" w14:textId="77777777" w:rsidR="008A2F17" w:rsidRPr="008A2F17" w:rsidRDefault="008A2F17" w:rsidP="008A2F17">
            <w:pPr>
              <w:spacing w:before="60" w:after="60" w:line="240" w:lineRule="atLeast"/>
              <w:jc w:val="right"/>
              <w:rPr>
                <w:sz w:val="18"/>
              </w:rPr>
            </w:pPr>
          </w:p>
        </w:tc>
      </w:tr>
      <w:tr w:rsidR="008A2F17" w:rsidRPr="008A2F17" w14:paraId="1743337A" w14:textId="77777777" w:rsidTr="00B60712">
        <w:trPr>
          <w:trHeight w:val="540"/>
        </w:trPr>
        <w:tc>
          <w:tcPr>
            <w:tcW w:w="1108" w:type="dxa"/>
            <w:vMerge/>
          </w:tcPr>
          <w:p w14:paraId="599F7F54" w14:textId="77777777" w:rsidR="008A2F17" w:rsidRPr="008A2F17" w:rsidDel="00A766E9" w:rsidRDefault="008A2F17" w:rsidP="008A2F17">
            <w:pPr>
              <w:spacing w:before="60" w:after="60" w:line="240" w:lineRule="atLeast"/>
              <w:jc w:val="left"/>
              <w:rPr>
                <w:b/>
                <w:bCs/>
                <w:i/>
                <w:iCs/>
                <w:sz w:val="18"/>
                <w:szCs w:val="18"/>
              </w:rPr>
            </w:pPr>
          </w:p>
        </w:tc>
        <w:tc>
          <w:tcPr>
            <w:tcW w:w="2948" w:type="dxa"/>
            <w:shd w:val="clear" w:color="auto" w:fill="auto"/>
          </w:tcPr>
          <w:p w14:paraId="56E4B00D" w14:textId="77777777" w:rsidR="008A2F17" w:rsidRPr="008A2F17" w:rsidRDefault="008A2F17" w:rsidP="008A2F17">
            <w:pPr>
              <w:spacing w:before="0" w:after="0" w:line="240" w:lineRule="auto"/>
              <w:jc w:val="left"/>
              <w:rPr>
                <w:sz w:val="18"/>
                <w:szCs w:val="20"/>
              </w:rPr>
            </w:pPr>
            <w:r w:rsidRPr="008A2F17">
              <w:rPr>
                <w:sz w:val="18"/>
              </w:rPr>
              <w:t>Improved deforestation age class profile for planted forest estate</w:t>
            </w:r>
          </w:p>
        </w:tc>
        <w:tc>
          <w:tcPr>
            <w:tcW w:w="2665" w:type="dxa"/>
            <w:vMerge/>
          </w:tcPr>
          <w:p w14:paraId="1E42CA33" w14:textId="77777777" w:rsidR="008A2F17" w:rsidRPr="008A2F17" w:rsidRDefault="008A2F17" w:rsidP="008A2F17">
            <w:pPr>
              <w:spacing w:before="0" w:after="0" w:line="240" w:lineRule="auto"/>
              <w:jc w:val="left"/>
              <w:rPr>
                <w:sz w:val="18"/>
                <w:szCs w:val="20"/>
              </w:rPr>
            </w:pPr>
          </w:p>
        </w:tc>
        <w:tc>
          <w:tcPr>
            <w:tcW w:w="1276" w:type="dxa"/>
            <w:vMerge/>
            <w:shd w:val="clear" w:color="auto" w:fill="auto"/>
            <w:vAlign w:val="center"/>
          </w:tcPr>
          <w:p w14:paraId="0353DA73" w14:textId="77777777" w:rsidR="008A2F17" w:rsidRPr="008A2F17" w:rsidRDefault="008A2F17" w:rsidP="008A2F17">
            <w:pPr>
              <w:spacing w:before="60" w:after="60" w:line="240" w:lineRule="atLeast"/>
              <w:jc w:val="right"/>
              <w:rPr>
                <w:sz w:val="18"/>
              </w:rPr>
            </w:pPr>
          </w:p>
        </w:tc>
        <w:tc>
          <w:tcPr>
            <w:tcW w:w="1276" w:type="dxa"/>
            <w:vMerge/>
            <w:vAlign w:val="center"/>
          </w:tcPr>
          <w:p w14:paraId="42F0320A" w14:textId="77777777" w:rsidR="008A2F17" w:rsidRPr="008A2F17" w:rsidRDefault="008A2F17" w:rsidP="008A2F17">
            <w:pPr>
              <w:spacing w:before="60" w:after="60" w:line="240" w:lineRule="atLeast"/>
              <w:jc w:val="right"/>
              <w:rPr>
                <w:sz w:val="18"/>
              </w:rPr>
            </w:pPr>
          </w:p>
        </w:tc>
        <w:tc>
          <w:tcPr>
            <w:tcW w:w="1276" w:type="dxa"/>
            <w:vMerge/>
            <w:shd w:val="clear" w:color="auto" w:fill="auto"/>
            <w:vAlign w:val="center"/>
          </w:tcPr>
          <w:p w14:paraId="13BC6F52" w14:textId="77777777" w:rsidR="008A2F17" w:rsidRPr="008A2F17" w:rsidRDefault="008A2F17" w:rsidP="008A2F17">
            <w:pPr>
              <w:spacing w:before="60" w:after="60" w:line="240" w:lineRule="atLeast"/>
              <w:jc w:val="center"/>
              <w:rPr>
                <w:sz w:val="18"/>
              </w:rPr>
            </w:pPr>
          </w:p>
        </w:tc>
        <w:tc>
          <w:tcPr>
            <w:tcW w:w="1276" w:type="dxa"/>
            <w:vMerge/>
            <w:shd w:val="clear" w:color="auto" w:fill="auto"/>
            <w:vAlign w:val="center"/>
          </w:tcPr>
          <w:p w14:paraId="3F07646C" w14:textId="77777777" w:rsidR="008A2F17" w:rsidRPr="008A2F17" w:rsidRDefault="008A2F17" w:rsidP="008A2F17">
            <w:pPr>
              <w:spacing w:before="60" w:after="60" w:line="240" w:lineRule="atLeast"/>
              <w:jc w:val="center"/>
              <w:rPr>
                <w:sz w:val="18"/>
              </w:rPr>
            </w:pPr>
          </w:p>
        </w:tc>
        <w:tc>
          <w:tcPr>
            <w:tcW w:w="1276" w:type="dxa"/>
            <w:vMerge/>
            <w:vAlign w:val="center"/>
          </w:tcPr>
          <w:p w14:paraId="19A44F97" w14:textId="77777777" w:rsidR="008A2F17" w:rsidRPr="008A2F17" w:rsidRDefault="008A2F17" w:rsidP="008A2F17">
            <w:pPr>
              <w:spacing w:before="60" w:after="60" w:line="240" w:lineRule="atLeast"/>
              <w:jc w:val="right"/>
              <w:rPr>
                <w:sz w:val="18"/>
              </w:rPr>
            </w:pPr>
          </w:p>
        </w:tc>
        <w:tc>
          <w:tcPr>
            <w:tcW w:w="1276" w:type="dxa"/>
            <w:vMerge/>
            <w:vAlign w:val="center"/>
          </w:tcPr>
          <w:p w14:paraId="4F8E0ADA" w14:textId="77777777" w:rsidR="008A2F17" w:rsidRPr="008A2F17" w:rsidRDefault="008A2F17" w:rsidP="008A2F17">
            <w:pPr>
              <w:spacing w:before="60" w:after="60" w:line="240" w:lineRule="atLeast"/>
              <w:jc w:val="right"/>
              <w:rPr>
                <w:sz w:val="18"/>
              </w:rPr>
            </w:pPr>
          </w:p>
        </w:tc>
      </w:tr>
      <w:tr w:rsidR="008A2F17" w:rsidRPr="008A2F17" w14:paraId="7207F32A" w14:textId="77777777" w:rsidTr="00B60712">
        <w:trPr>
          <w:trHeight w:val="540"/>
        </w:trPr>
        <w:tc>
          <w:tcPr>
            <w:tcW w:w="1108" w:type="dxa"/>
            <w:vMerge/>
          </w:tcPr>
          <w:p w14:paraId="081A807A" w14:textId="77777777" w:rsidR="008A2F17" w:rsidRPr="008A2F17" w:rsidDel="00A766E9" w:rsidRDefault="008A2F17" w:rsidP="008A2F17">
            <w:pPr>
              <w:spacing w:before="60" w:after="60" w:line="240" w:lineRule="atLeast"/>
              <w:jc w:val="left"/>
              <w:rPr>
                <w:b/>
                <w:bCs/>
                <w:i/>
                <w:iCs/>
                <w:sz w:val="18"/>
                <w:szCs w:val="18"/>
              </w:rPr>
            </w:pPr>
          </w:p>
        </w:tc>
        <w:tc>
          <w:tcPr>
            <w:tcW w:w="2948" w:type="dxa"/>
            <w:shd w:val="clear" w:color="auto" w:fill="auto"/>
          </w:tcPr>
          <w:p w14:paraId="7BBF81C9" w14:textId="77777777" w:rsidR="008A2F17" w:rsidRPr="008A2F17" w:rsidRDefault="008A2F17" w:rsidP="008A2F17">
            <w:pPr>
              <w:spacing w:before="0" w:after="0" w:line="240" w:lineRule="auto"/>
              <w:jc w:val="left"/>
              <w:rPr>
                <w:sz w:val="18"/>
              </w:rPr>
            </w:pPr>
            <w:r w:rsidRPr="008A2F17">
              <w:rPr>
                <w:sz w:val="18"/>
              </w:rPr>
              <w:t>Applying a consistent average harvest age across the planted forest estate</w:t>
            </w:r>
          </w:p>
        </w:tc>
        <w:tc>
          <w:tcPr>
            <w:tcW w:w="2665" w:type="dxa"/>
            <w:vMerge/>
          </w:tcPr>
          <w:p w14:paraId="7CE3086F" w14:textId="77777777" w:rsidR="008A2F17" w:rsidRPr="008A2F17" w:rsidRDefault="008A2F17" w:rsidP="008A2F17">
            <w:pPr>
              <w:spacing w:before="0" w:after="0" w:line="240" w:lineRule="auto"/>
              <w:jc w:val="left"/>
              <w:rPr>
                <w:sz w:val="18"/>
                <w:szCs w:val="20"/>
              </w:rPr>
            </w:pPr>
          </w:p>
        </w:tc>
        <w:tc>
          <w:tcPr>
            <w:tcW w:w="1276" w:type="dxa"/>
            <w:vMerge/>
            <w:shd w:val="clear" w:color="auto" w:fill="auto"/>
            <w:vAlign w:val="center"/>
          </w:tcPr>
          <w:p w14:paraId="2CC77373" w14:textId="77777777" w:rsidR="008A2F17" w:rsidRPr="008A2F17" w:rsidRDefault="008A2F17" w:rsidP="008A2F17">
            <w:pPr>
              <w:spacing w:before="60" w:after="60" w:line="240" w:lineRule="atLeast"/>
              <w:jc w:val="right"/>
              <w:rPr>
                <w:sz w:val="18"/>
              </w:rPr>
            </w:pPr>
          </w:p>
        </w:tc>
        <w:tc>
          <w:tcPr>
            <w:tcW w:w="1276" w:type="dxa"/>
            <w:vMerge/>
            <w:vAlign w:val="center"/>
          </w:tcPr>
          <w:p w14:paraId="7AA4D69E" w14:textId="77777777" w:rsidR="008A2F17" w:rsidRPr="008A2F17" w:rsidRDefault="008A2F17" w:rsidP="008A2F17">
            <w:pPr>
              <w:spacing w:before="60" w:after="60" w:line="240" w:lineRule="atLeast"/>
              <w:jc w:val="right"/>
              <w:rPr>
                <w:sz w:val="18"/>
              </w:rPr>
            </w:pPr>
          </w:p>
        </w:tc>
        <w:tc>
          <w:tcPr>
            <w:tcW w:w="1276" w:type="dxa"/>
            <w:vMerge/>
            <w:shd w:val="clear" w:color="auto" w:fill="auto"/>
            <w:vAlign w:val="center"/>
          </w:tcPr>
          <w:p w14:paraId="20CA756B" w14:textId="77777777" w:rsidR="008A2F17" w:rsidRPr="008A2F17" w:rsidRDefault="008A2F17" w:rsidP="008A2F17">
            <w:pPr>
              <w:spacing w:before="60" w:after="60" w:line="240" w:lineRule="atLeast"/>
              <w:jc w:val="center"/>
              <w:rPr>
                <w:sz w:val="18"/>
              </w:rPr>
            </w:pPr>
          </w:p>
        </w:tc>
        <w:tc>
          <w:tcPr>
            <w:tcW w:w="1276" w:type="dxa"/>
            <w:vMerge/>
            <w:shd w:val="clear" w:color="auto" w:fill="auto"/>
            <w:vAlign w:val="center"/>
          </w:tcPr>
          <w:p w14:paraId="120753D4" w14:textId="77777777" w:rsidR="008A2F17" w:rsidRPr="008A2F17" w:rsidRDefault="008A2F17" w:rsidP="008A2F17">
            <w:pPr>
              <w:spacing w:before="60" w:after="60" w:line="240" w:lineRule="atLeast"/>
              <w:jc w:val="center"/>
              <w:rPr>
                <w:sz w:val="18"/>
              </w:rPr>
            </w:pPr>
          </w:p>
        </w:tc>
        <w:tc>
          <w:tcPr>
            <w:tcW w:w="1276" w:type="dxa"/>
            <w:vMerge/>
            <w:vAlign w:val="center"/>
          </w:tcPr>
          <w:p w14:paraId="3E27AA35" w14:textId="77777777" w:rsidR="008A2F17" w:rsidRPr="008A2F17" w:rsidRDefault="008A2F17" w:rsidP="008A2F17">
            <w:pPr>
              <w:spacing w:before="60" w:after="60" w:line="240" w:lineRule="atLeast"/>
              <w:jc w:val="right"/>
              <w:rPr>
                <w:sz w:val="18"/>
              </w:rPr>
            </w:pPr>
          </w:p>
        </w:tc>
        <w:tc>
          <w:tcPr>
            <w:tcW w:w="1276" w:type="dxa"/>
            <w:vMerge/>
            <w:vAlign w:val="center"/>
          </w:tcPr>
          <w:p w14:paraId="12B983F4" w14:textId="77777777" w:rsidR="008A2F17" w:rsidRPr="008A2F17" w:rsidRDefault="008A2F17" w:rsidP="008A2F17">
            <w:pPr>
              <w:spacing w:before="60" w:after="60" w:line="240" w:lineRule="atLeast"/>
              <w:jc w:val="right"/>
              <w:rPr>
                <w:sz w:val="18"/>
              </w:rPr>
            </w:pPr>
          </w:p>
        </w:tc>
      </w:tr>
      <w:tr w:rsidR="008A2F17" w:rsidRPr="008A2F17" w14:paraId="350B6130" w14:textId="77777777" w:rsidTr="00B60712">
        <w:trPr>
          <w:trHeight w:val="680"/>
        </w:trPr>
        <w:tc>
          <w:tcPr>
            <w:tcW w:w="1108" w:type="dxa"/>
            <w:vMerge/>
          </w:tcPr>
          <w:p w14:paraId="3608960F" w14:textId="77777777" w:rsidR="008A2F17" w:rsidRPr="008A2F17" w:rsidRDefault="008A2F17" w:rsidP="008A2F17">
            <w:pPr>
              <w:spacing w:before="60" w:after="60" w:line="240" w:lineRule="atLeast"/>
              <w:jc w:val="left"/>
              <w:rPr>
                <w:sz w:val="18"/>
                <w:szCs w:val="18"/>
              </w:rPr>
            </w:pPr>
          </w:p>
        </w:tc>
        <w:tc>
          <w:tcPr>
            <w:tcW w:w="2948" w:type="dxa"/>
            <w:shd w:val="clear" w:color="auto" w:fill="auto"/>
          </w:tcPr>
          <w:p w14:paraId="02718469" w14:textId="77777777" w:rsidR="008A2F17" w:rsidRPr="008A2F17" w:rsidRDefault="008A2F17" w:rsidP="008A2F17">
            <w:pPr>
              <w:spacing w:before="60" w:after="60" w:line="240" w:lineRule="atLeast"/>
              <w:jc w:val="left"/>
              <w:rPr>
                <w:sz w:val="18"/>
                <w:szCs w:val="20"/>
              </w:rPr>
            </w:pPr>
            <w:r w:rsidRPr="008A2F17">
              <w:rPr>
                <w:sz w:val="18"/>
                <w:szCs w:val="20"/>
              </w:rPr>
              <w:t>Reporting N</w:t>
            </w:r>
            <w:r w:rsidRPr="008A2F17">
              <w:rPr>
                <w:sz w:val="18"/>
                <w:szCs w:val="20"/>
                <w:vertAlign w:val="subscript"/>
              </w:rPr>
              <w:t>2</w:t>
            </w:r>
            <w:r w:rsidRPr="008A2F17">
              <w:rPr>
                <w:sz w:val="18"/>
                <w:szCs w:val="20"/>
              </w:rPr>
              <w:t xml:space="preserve">O emissions estimates from drained organic soils in </w:t>
            </w:r>
            <w:r w:rsidRPr="008A2F17">
              <w:rPr>
                <w:i/>
                <w:iCs/>
                <w:sz w:val="18"/>
                <w:szCs w:val="20"/>
              </w:rPr>
              <w:t>Forest Land</w:t>
            </w:r>
          </w:p>
        </w:tc>
        <w:tc>
          <w:tcPr>
            <w:tcW w:w="2665" w:type="dxa"/>
            <w:vMerge w:val="restart"/>
          </w:tcPr>
          <w:p w14:paraId="57F16425" w14:textId="77777777" w:rsidR="008A2F17" w:rsidRPr="008A2F17" w:rsidRDefault="008A2F17" w:rsidP="008A2F17">
            <w:pPr>
              <w:spacing w:before="60" w:after="60" w:line="240" w:lineRule="atLeast"/>
              <w:jc w:val="left"/>
              <w:rPr>
                <w:sz w:val="18"/>
                <w:szCs w:val="20"/>
              </w:rPr>
            </w:pPr>
            <w:r w:rsidRPr="008A2F17">
              <w:rPr>
                <w:sz w:val="18"/>
                <w:szCs w:val="20"/>
              </w:rPr>
              <w:t>Improve completeness and align with IPCC guidelines</w:t>
            </w:r>
          </w:p>
        </w:tc>
        <w:tc>
          <w:tcPr>
            <w:tcW w:w="1276" w:type="dxa"/>
            <w:shd w:val="clear" w:color="auto" w:fill="auto"/>
            <w:vAlign w:val="center"/>
          </w:tcPr>
          <w:p w14:paraId="629BBB87" w14:textId="77777777" w:rsidR="008A2F17" w:rsidRPr="008A2F17" w:rsidRDefault="008A2F17" w:rsidP="008A2F17">
            <w:pPr>
              <w:spacing w:before="60" w:after="60" w:line="240" w:lineRule="atLeast"/>
              <w:jc w:val="right"/>
              <w:rPr>
                <w:sz w:val="18"/>
                <w:szCs w:val="20"/>
              </w:rPr>
            </w:pPr>
            <w:r w:rsidRPr="008A2F17">
              <w:rPr>
                <w:sz w:val="18"/>
              </w:rPr>
              <w:t>78.0</w:t>
            </w:r>
          </w:p>
        </w:tc>
        <w:tc>
          <w:tcPr>
            <w:tcW w:w="1276" w:type="dxa"/>
            <w:vAlign w:val="center"/>
          </w:tcPr>
          <w:p w14:paraId="0B7623F4" w14:textId="77777777" w:rsidR="008A2F17" w:rsidRPr="008A2F17" w:rsidRDefault="008A2F17" w:rsidP="008A2F17">
            <w:pPr>
              <w:spacing w:before="60" w:after="60" w:line="240" w:lineRule="atLeast"/>
              <w:jc w:val="right"/>
              <w:rPr>
                <w:sz w:val="18"/>
                <w:szCs w:val="20"/>
              </w:rPr>
            </w:pPr>
            <w:r w:rsidRPr="008A2F17">
              <w:rPr>
                <w:sz w:val="18"/>
              </w:rPr>
              <w:t>121.7</w:t>
            </w:r>
          </w:p>
        </w:tc>
        <w:tc>
          <w:tcPr>
            <w:tcW w:w="1276" w:type="dxa"/>
            <w:shd w:val="clear" w:color="auto" w:fill="auto"/>
            <w:vAlign w:val="center"/>
          </w:tcPr>
          <w:p w14:paraId="4E4E0F6C" w14:textId="77777777" w:rsidR="008A2F17" w:rsidRPr="008A2F17" w:rsidRDefault="008A2F17" w:rsidP="008A2F17">
            <w:pPr>
              <w:spacing w:before="60" w:after="60" w:line="240" w:lineRule="atLeast"/>
              <w:jc w:val="center"/>
              <w:rPr>
                <w:sz w:val="18"/>
              </w:rPr>
            </w:pPr>
            <w:r w:rsidRPr="008A2F17">
              <w:rPr>
                <w:sz w:val="18"/>
              </w:rPr>
              <w:t>-</w:t>
            </w:r>
          </w:p>
        </w:tc>
        <w:tc>
          <w:tcPr>
            <w:tcW w:w="1276" w:type="dxa"/>
            <w:shd w:val="clear" w:color="auto" w:fill="auto"/>
            <w:vAlign w:val="center"/>
          </w:tcPr>
          <w:p w14:paraId="23B27C86" w14:textId="77777777" w:rsidR="008A2F17" w:rsidRPr="008A2F17" w:rsidRDefault="008A2F17" w:rsidP="008A2F17">
            <w:pPr>
              <w:spacing w:before="60" w:after="60" w:line="240" w:lineRule="atLeast"/>
              <w:jc w:val="center"/>
              <w:rPr>
                <w:sz w:val="18"/>
              </w:rPr>
            </w:pPr>
            <w:r w:rsidRPr="008A2F17">
              <w:rPr>
                <w:sz w:val="18"/>
              </w:rPr>
              <w:t>-</w:t>
            </w:r>
          </w:p>
        </w:tc>
        <w:tc>
          <w:tcPr>
            <w:tcW w:w="1276" w:type="dxa"/>
            <w:vAlign w:val="center"/>
          </w:tcPr>
          <w:p w14:paraId="115FF5CD"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0.2%</w:t>
            </w:r>
          </w:p>
        </w:tc>
        <w:tc>
          <w:tcPr>
            <w:tcW w:w="1276" w:type="dxa"/>
            <w:vAlign w:val="center"/>
          </w:tcPr>
          <w:p w14:paraId="29657A23"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0.2%</w:t>
            </w:r>
          </w:p>
        </w:tc>
      </w:tr>
      <w:tr w:rsidR="008A2F17" w:rsidRPr="008A2F17" w14:paraId="16B45350" w14:textId="77777777" w:rsidTr="00B60712">
        <w:trPr>
          <w:trHeight w:val="680"/>
        </w:trPr>
        <w:tc>
          <w:tcPr>
            <w:tcW w:w="1108" w:type="dxa"/>
            <w:vMerge/>
          </w:tcPr>
          <w:p w14:paraId="109C4B6D" w14:textId="77777777" w:rsidR="008A2F17" w:rsidRPr="008A2F17" w:rsidRDefault="008A2F17" w:rsidP="008A2F17">
            <w:pPr>
              <w:spacing w:before="60" w:after="60" w:line="240" w:lineRule="atLeast"/>
              <w:jc w:val="left"/>
              <w:rPr>
                <w:sz w:val="18"/>
                <w:szCs w:val="18"/>
              </w:rPr>
            </w:pPr>
          </w:p>
        </w:tc>
        <w:tc>
          <w:tcPr>
            <w:tcW w:w="2948" w:type="dxa"/>
            <w:shd w:val="clear" w:color="auto" w:fill="auto"/>
          </w:tcPr>
          <w:p w14:paraId="57065808" w14:textId="77777777" w:rsidR="008A2F17" w:rsidRPr="008A2F17" w:rsidRDefault="008A2F17" w:rsidP="008A2F17">
            <w:pPr>
              <w:spacing w:before="60" w:after="60" w:line="240" w:lineRule="atLeast"/>
              <w:jc w:val="left"/>
              <w:rPr>
                <w:sz w:val="18"/>
                <w:szCs w:val="20"/>
              </w:rPr>
            </w:pPr>
            <w:r w:rsidRPr="008A2F17">
              <w:rPr>
                <w:sz w:val="18"/>
                <w:szCs w:val="20"/>
              </w:rPr>
              <w:t>Reporting indirect N</w:t>
            </w:r>
            <w:r w:rsidRPr="008A2F17">
              <w:rPr>
                <w:sz w:val="18"/>
                <w:szCs w:val="20"/>
                <w:vertAlign w:val="subscript"/>
              </w:rPr>
              <w:t>2</w:t>
            </w:r>
            <w:r w:rsidRPr="008A2F17">
              <w:rPr>
                <w:sz w:val="18"/>
                <w:szCs w:val="20"/>
              </w:rPr>
              <w:t>O emissions estimates from runoff and leaching</w:t>
            </w:r>
          </w:p>
        </w:tc>
        <w:tc>
          <w:tcPr>
            <w:tcW w:w="2665" w:type="dxa"/>
            <w:vMerge/>
          </w:tcPr>
          <w:p w14:paraId="296C1708" w14:textId="77777777" w:rsidR="008A2F17" w:rsidRPr="008A2F17" w:rsidRDefault="008A2F17" w:rsidP="008A2F17">
            <w:pPr>
              <w:spacing w:before="60" w:after="60" w:line="240" w:lineRule="atLeast"/>
              <w:jc w:val="left"/>
              <w:rPr>
                <w:sz w:val="18"/>
                <w:szCs w:val="20"/>
              </w:rPr>
            </w:pPr>
          </w:p>
        </w:tc>
        <w:tc>
          <w:tcPr>
            <w:tcW w:w="1276" w:type="dxa"/>
            <w:shd w:val="clear" w:color="auto" w:fill="auto"/>
            <w:vAlign w:val="center"/>
          </w:tcPr>
          <w:p w14:paraId="32BC4581" w14:textId="77777777" w:rsidR="008A2F17" w:rsidRPr="008A2F17" w:rsidRDefault="008A2F17" w:rsidP="008A2F17">
            <w:pPr>
              <w:spacing w:before="60" w:after="60" w:line="240" w:lineRule="atLeast"/>
              <w:jc w:val="right"/>
              <w:rPr>
                <w:sz w:val="18"/>
                <w:szCs w:val="20"/>
              </w:rPr>
            </w:pPr>
            <w:r w:rsidRPr="008A2F17">
              <w:rPr>
                <w:sz w:val="18"/>
              </w:rPr>
              <w:t xml:space="preserve">40.8 </w:t>
            </w:r>
          </w:p>
        </w:tc>
        <w:tc>
          <w:tcPr>
            <w:tcW w:w="1276" w:type="dxa"/>
            <w:vAlign w:val="center"/>
          </w:tcPr>
          <w:p w14:paraId="7BC33728" w14:textId="77777777" w:rsidR="008A2F17" w:rsidRPr="008A2F17" w:rsidRDefault="008A2F17" w:rsidP="008A2F17">
            <w:pPr>
              <w:spacing w:before="60" w:after="60" w:line="240" w:lineRule="atLeast"/>
              <w:jc w:val="right"/>
              <w:rPr>
                <w:sz w:val="18"/>
                <w:szCs w:val="20"/>
              </w:rPr>
            </w:pPr>
            <w:r w:rsidRPr="008A2F17">
              <w:rPr>
                <w:sz w:val="18"/>
              </w:rPr>
              <w:t xml:space="preserve">17.6 </w:t>
            </w:r>
          </w:p>
        </w:tc>
        <w:tc>
          <w:tcPr>
            <w:tcW w:w="1276" w:type="dxa"/>
            <w:shd w:val="clear" w:color="auto" w:fill="auto"/>
            <w:vAlign w:val="center"/>
          </w:tcPr>
          <w:p w14:paraId="0B27FCCF" w14:textId="77777777" w:rsidR="008A2F17" w:rsidRPr="008A2F17" w:rsidRDefault="008A2F17" w:rsidP="008A2F17">
            <w:pPr>
              <w:spacing w:before="60" w:after="60" w:line="240" w:lineRule="atLeast"/>
              <w:jc w:val="center"/>
              <w:rPr>
                <w:sz w:val="18"/>
              </w:rPr>
            </w:pPr>
            <w:r w:rsidRPr="008A2F17">
              <w:rPr>
                <w:sz w:val="18"/>
              </w:rPr>
              <w:t>-</w:t>
            </w:r>
          </w:p>
        </w:tc>
        <w:tc>
          <w:tcPr>
            <w:tcW w:w="1276" w:type="dxa"/>
            <w:shd w:val="clear" w:color="auto" w:fill="auto"/>
            <w:vAlign w:val="center"/>
          </w:tcPr>
          <w:p w14:paraId="181A4DAB" w14:textId="77777777" w:rsidR="008A2F17" w:rsidRPr="008A2F17" w:rsidRDefault="008A2F17" w:rsidP="008A2F17">
            <w:pPr>
              <w:spacing w:before="60" w:after="60" w:line="240" w:lineRule="atLeast"/>
              <w:jc w:val="center"/>
              <w:rPr>
                <w:sz w:val="18"/>
              </w:rPr>
            </w:pPr>
            <w:r w:rsidRPr="008A2F17">
              <w:rPr>
                <w:sz w:val="18"/>
              </w:rPr>
              <w:t>-</w:t>
            </w:r>
          </w:p>
        </w:tc>
        <w:tc>
          <w:tcPr>
            <w:tcW w:w="1276" w:type="dxa"/>
            <w:vAlign w:val="center"/>
          </w:tcPr>
          <w:p w14:paraId="44226300"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0.1%</w:t>
            </w:r>
          </w:p>
        </w:tc>
        <w:tc>
          <w:tcPr>
            <w:tcW w:w="1276" w:type="dxa"/>
            <w:vAlign w:val="center"/>
          </w:tcPr>
          <w:p w14:paraId="763CD495" w14:textId="77777777" w:rsidR="008A2F17" w:rsidRPr="008A2F17" w:rsidRDefault="008A2F17" w:rsidP="008A2F17">
            <w:pPr>
              <w:spacing w:before="60" w:after="60" w:line="240" w:lineRule="atLeast"/>
              <w:jc w:val="right"/>
              <w:rPr>
                <w:sz w:val="18"/>
              </w:rPr>
            </w:pPr>
            <w:r w:rsidRPr="008A2F17">
              <w:rPr>
                <w:rFonts w:cs="Calibri"/>
                <w:color w:val="000000"/>
                <w:sz w:val="18"/>
                <w:szCs w:val="18"/>
              </w:rPr>
              <w:t>~0.0%</w:t>
            </w:r>
          </w:p>
        </w:tc>
      </w:tr>
      <w:tr w:rsidR="008A2F17" w:rsidRPr="008A2F17" w14:paraId="256A75D8" w14:textId="77777777" w:rsidTr="00B60712">
        <w:trPr>
          <w:trHeight w:val="680"/>
        </w:trPr>
        <w:tc>
          <w:tcPr>
            <w:tcW w:w="1108" w:type="dxa"/>
            <w:vAlign w:val="center"/>
          </w:tcPr>
          <w:p w14:paraId="1EECEF38" w14:textId="77777777" w:rsidR="008A2F17" w:rsidRPr="008A2F17" w:rsidRDefault="008A2F17" w:rsidP="008A2F17">
            <w:pPr>
              <w:spacing w:before="60" w:after="60" w:line="240" w:lineRule="atLeast"/>
              <w:jc w:val="left"/>
              <w:rPr>
                <w:b/>
                <w:bCs/>
                <w:sz w:val="18"/>
                <w:szCs w:val="18"/>
              </w:rPr>
            </w:pPr>
            <w:r w:rsidRPr="008A2F17">
              <w:rPr>
                <w:b/>
                <w:bCs/>
                <w:sz w:val="18"/>
                <w:szCs w:val="18"/>
              </w:rPr>
              <w:t>Impact on gross emissions</w:t>
            </w:r>
            <w:r w:rsidRPr="008A2F17">
              <w:rPr>
                <w:b/>
                <w:bCs/>
                <w:color w:val="183C47"/>
                <w:szCs w:val="18"/>
                <w:vertAlign w:val="superscript"/>
              </w:rPr>
              <w:footnoteReference w:id="4"/>
            </w:r>
          </w:p>
        </w:tc>
        <w:tc>
          <w:tcPr>
            <w:tcW w:w="2948" w:type="dxa"/>
            <w:shd w:val="clear" w:color="auto" w:fill="auto"/>
          </w:tcPr>
          <w:p w14:paraId="02A1F1F1" w14:textId="77777777" w:rsidR="008A2F17" w:rsidRPr="008A2F17" w:rsidRDefault="008A2F17" w:rsidP="008A2F17">
            <w:pPr>
              <w:spacing w:before="60" w:after="60" w:line="240" w:lineRule="atLeast"/>
              <w:jc w:val="left"/>
              <w:rPr>
                <w:sz w:val="18"/>
                <w:szCs w:val="20"/>
              </w:rPr>
            </w:pPr>
          </w:p>
        </w:tc>
        <w:tc>
          <w:tcPr>
            <w:tcW w:w="2665" w:type="dxa"/>
          </w:tcPr>
          <w:p w14:paraId="19CB5FAD" w14:textId="77777777" w:rsidR="008A2F17" w:rsidRPr="008A2F17" w:rsidRDefault="008A2F17" w:rsidP="008A2F17">
            <w:pPr>
              <w:spacing w:before="60" w:after="60" w:line="240" w:lineRule="atLeast"/>
              <w:jc w:val="left"/>
              <w:rPr>
                <w:sz w:val="18"/>
                <w:szCs w:val="20"/>
              </w:rPr>
            </w:pPr>
          </w:p>
        </w:tc>
        <w:tc>
          <w:tcPr>
            <w:tcW w:w="1276" w:type="dxa"/>
            <w:shd w:val="clear" w:color="auto" w:fill="auto"/>
            <w:vAlign w:val="center"/>
          </w:tcPr>
          <w:p w14:paraId="2A224160" w14:textId="77777777" w:rsidR="008A2F17" w:rsidRPr="008A2F17" w:rsidRDefault="008A2F17" w:rsidP="008A2F17">
            <w:pPr>
              <w:spacing w:before="60" w:after="60" w:line="240" w:lineRule="atLeast"/>
              <w:jc w:val="right"/>
              <w:rPr>
                <w:b/>
                <w:bCs/>
                <w:sz w:val="18"/>
              </w:rPr>
            </w:pPr>
            <w:r w:rsidRPr="008A2F17">
              <w:rPr>
                <w:b/>
                <w:bCs/>
                <w:sz w:val="18"/>
              </w:rPr>
              <w:t>-81.1</w:t>
            </w:r>
          </w:p>
        </w:tc>
        <w:tc>
          <w:tcPr>
            <w:tcW w:w="1276" w:type="dxa"/>
            <w:vAlign w:val="center"/>
          </w:tcPr>
          <w:p w14:paraId="7F32BBF7" w14:textId="77777777" w:rsidR="008A2F17" w:rsidRPr="008A2F17" w:rsidRDefault="008A2F17" w:rsidP="008A2F17">
            <w:pPr>
              <w:spacing w:before="60" w:after="60" w:line="240" w:lineRule="atLeast"/>
              <w:jc w:val="right"/>
              <w:rPr>
                <w:b/>
                <w:bCs/>
                <w:sz w:val="18"/>
              </w:rPr>
            </w:pPr>
            <w:r w:rsidRPr="008A2F17">
              <w:rPr>
                <w:b/>
                <w:bCs/>
                <w:sz w:val="18"/>
              </w:rPr>
              <w:t>-100.6</w:t>
            </w:r>
          </w:p>
        </w:tc>
        <w:tc>
          <w:tcPr>
            <w:tcW w:w="1276" w:type="dxa"/>
            <w:shd w:val="clear" w:color="auto" w:fill="auto"/>
            <w:vAlign w:val="center"/>
          </w:tcPr>
          <w:p w14:paraId="5861E67E" w14:textId="77777777" w:rsidR="008A2F17" w:rsidRPr="008A2F17" w:rsidRDefault="008A2F17" w:rsidP="008A2F17">
            <w:pPr>
              <w:spacing w:before="60" w:after="60" w:line="240" w:lineRule="atLeast"/>
              <w:jc w:val="right"/>
              <w:rPr>
                <w:rFonts w:cs="Calibri"/>
                <w:b/>
                <w:bCs/>
                <w:color w:val="000000"/>
                <w:sz w:val="18"/>
                <w:szCs w:val="18"/>
              </w:rPr>
            </w:pPr>
            <w:r w:rsidRPr="008A2F17">
              <w:rPr>
                <w:rFonts w:cs="Calibri"/>
                <w:b/>
                <w:bCs/>
                <w:color w:val="000000"/>
                <w:sz w:val="18"/>
                <w:szCs w:val="18"/>
              </w:rPr>
              <w:t>-0.1%</w:t>
            </w:r>
          </w:p>
        </w:tc>
        <w:tc>
          <w:tcPr>
            <w:tcW w:w="1276" w:type="dxa"/>
            <w:shd w:val="clear" w:color="auto" w:fill="auto"/>
            <w:vAlign w:val="center"/>
          </w:tcPr>
          <w:p w14:paraId="3ED4620A" w14:textId="77777777" w:rsidR="008A2F17" w:rsidRPr="008A2F17" w:rsidRDefault="008A2F17" w:rsidP="008A2F17">
            <w:pPr>
              <w:spacing w:before="60" w:after="60" w:line="240" w:lineRule="atLeast"/>
              <w:jc w:val="right"/>
              <w:rPr>
                <w:rFonts w:cs="Calibri"/>
                <w:b/>
                <w:bCs/>
                <w:color w:val="000000"/>
                <w:sz w:val="18"/>
                <w:szCs w:val="18"/>
              </w:rPr>
            </w:pPr>
            <w:r w:rsidRPr="008A2F17">
              <w:rPr>
                <w:rFonts w:cs="Calibri"/>
                <w:b/>
                <w:bCs/>
                <w:color w:val="000000"/>
                <w:sz w:val="18"/>
                <w:szCs w:val="18"/>
              </w:rPr>
              <w:t>-0.1%</w:t>
            </w:r>
          </w:p>
        </w:tc>
        <w:tc>
          <w:tcPr>
            <w:tcW w:w="1276" w:type="dxa"/>
            <w:vAlign w:val="center"/>
          </w:tcPr>
          <w:p w14:paraId="74C1F38B" w14:textId="77777777" w:rsidR="008A2F17" w:rsidRPr="008A2F17" w:rsidRDefault="008A2F17" w:rsidP="008A2F17">
            <w:pPr>
              <w:spacing w:before="60" w:after="60" w:line="240" w:lineRule="atLeast"/>
              <w:jc w:val="center"/>
              <w:rPr>
                <w:rFonts w:cs="Calibri"/>
                <w:b/>
                <w:bCs/>
                <w:color w:val="000000"/>
                <w:sz w:val="18"/>
                <w:szCs w:val="18"/>
              </w:rPr>
            </w:pPr>
            <w:r w:rsidRPr="008A2F17">
              <w:rPr>
                <w:rFonts w:cs="Calibri"/>
                <w:b/>
                <w:bCs/>
                <w:color w:val="000000"/>
                <w:sz w:val="18"/>
                <w:szCs w:val="18"/>
              </w:rPr>
              <w:t>-</w:t>
            </w:r>
          </w:p>
        </w:tc>
        <w:tc>
          <w:tcPr>
            <w:tcW w:w="1276" w:type="dxa"/>
            <w:vAlign w:val="center"/>
          </w:tcPr>
          <w:p w14:paraId="4FA91A80" w14:textId="77777777" w:rsidR="008A2F17" w:rsidRPr="008A2F17" w:rsidRDefault="008A2F17" w:rsidP="008A2F17">
            <w:pPr>
              <w:spacing w:before="60" w:after="60" w:line="240" w:lineRule="atLeast"/>
              <w:jc w:val="center"/>
              <w:rPr>
                <w:rFonts w:cs="Calibri"/>
                <w:b/>
                <w:bCs/>
                <w:color w:val="000000"/>
                <w:sz w:val="18"/>
                <w:szCs w:val="18"/>
              </w:rPr>
            </w:pPr>
            <w:r w:rsidRPr="008A2F17">
              <w:rPr>
                <w:rFonts w:cs="Calibri"/>
                <w:b/>
                <w:bCs/>
                <w:color w:val="000000"/>
                <w:sz w:val="18"/>
                <w:szCs w:val="18"/>
              </w:rPr>
              <w:t>-</w:t>
            </w:r>
          </w:p>
        </w:tc>
      </w:tr>
      <w:tr w:rsidR="008A2F17" w:rsidRPr="008A2F17" w14:paraId="3EEB9F03" w14:textId="77777777" w:rsidTr="00B60712">
        <w:trPr>
          <w:trHeight w:val="680"/>
        </w:trPr>
        <w:tc>
          <w:tcPr>
            <w:tcW w:w="1108" w:type="dxa"/>
            <w:vAlign w:val="center"/>
          </w:tcPr>
          <w:p w14:paraId="0037B50B" w14:textId="77777777" w:rsidR="008A2F17" w:rsidRPr="008A2F17" w:rsidRDefault="008A2F17" w:rsidP="008A2F17">
            <w:pPr>
              <w:spacing w:before="60" w:after="60" w:line="240" w:lineRule="atLeast"/>
              <w:jc w:val="left"/>
              <w:rPr>
                <w:b/>
                <w:bCs/>
                <w:sz w:val="18"/>
                <w:szCs w:val="18"/>
                <w:vertAlign w:val="superscript"/>
              </w:rPr>
            </w:pPr>
            <w:r w:rsidRPr="008A2F17">
              <w:rPr>
                <w:b/>
                <w:bCs/>
                <w:sz w:val="18"/>
                <w:szCs w:val="18"/>
              </w:rPr>
              <w:t>Impact on net emissions</w:t>
            </w:r>
            <w:r w:rsidRPr="008A2F17">
              <w:rPr>
                <w:b/>
                <w:bCs/>
                <w:color w:val="183C47"/>
                <w:szCs w:val="18"/>
                <w:vertAlign w:val="superscript"/>
              </w:rPr>
              <w:footnoteReference w:id="5"/>
            </w:r>
          </w:p>
        </w:tc>
        <w:tc>
          <w:tcPr>
            <w:tcW w:w="2948" w:type="dxa"/>
            <w:shd w:val="clear" w:color="auto" w:fill="auto"/>
          </w:tcPr>
          <w:p w14:paraId="742904BD" w14:textId="77777777" w:rsidR="008A2F17" w:rsidRPr="008A2F17" w:rsidRDefault="008A2F17" w:rsidP="008A2F17">
            <w:pPr>
              <w:spacing w:before="60" w:after="60" w:line="240" w:lineRule="atLeast"/>
              <w:jc w:val="left"/>
              <w:rPr>
                <w:sz w:val="18"/>
                <w:szCs w:val="20"/>
              </w:rPr>
            </w:pPr>
          </w:p>
        </w:tc>
        <w:tc>
          <w:tcPr>
            <w:tcW w:w="2665" w:type="dxa"/>
          </w:tcPr>
          <w:p w14:paraId="64A7CB22" w14:textId="77777777" w:rsidR="008A2F17" w:rsidRPr="008A2F17" w:rsidRDefault="008A2F17" w:rsidP="008A2F17">
            <w:pPr>
              <w:spacing w:before="60" w:after="60" w:line="240" w:lineRule="atLeast"/>
              <w:jc w:val="left"/>
              <w:rPr>
                <w:sz w:val="18"/>
                <w:szCs w:val="20"/>
              </w:rPr>
            </w:pPr>
          </w:p>
        </w:tc>
        <w:tc>
          <w:tcPr>
            <w:tcW w:w="1276" w:type="dxa"/>
            <w:shd w:val="clear" w:color="auto" w:fill="auto"/>
            <w:vAlign w:val="center"/>
          </w:tcPr>
          <w:p w14:paraId="1428C4FA" w14:textId="77777777" w:rsidR="008A2F17" w:rsidRPr="008A2F17" w:rsidRDefault="008A2F17" w:rsidP="008A2F17">
            <w:pPr>
              <w:spacing w:before="60" w:after="60" w:line="240" w:lineRule="atLeast"/>
              <w:jc w:val="right"/>
              <w:rPr>
                <w:b/>
                <w:bCs/>
                <w:sz w:val="18"/>
              </w:rPr>
            </w:pPr>
            <w:r w:rsidRPr="008A2F17">
              <w:rPr>
                <w:b/>
                <w:bCs/>
                <w:sz w:val="18"/>
              </w:rPr>
              <w:t>2,878.1</w:t>
            </w:r>
          </w:p>
        </w:tc>
        <w:tc>
          <w:tcPr>
            <w:tcW w:w="1276" w:type="dxa"/>
            <w:vAlign w:val="center"/>
          </w:tcPr>
          <w:p w14:paraId="7B195454" w14:textId="77777777" w:rsidR="008A2F17" w:rsidRPr="008A2F17" w:rsidRDefault="008A2F17" w:rsidP="008A2F17">
            <w:pPr>
              <w:spacing w:before="60" w:after="60" w:line="240" w:lineRule="atLeast"/>
              <w:jc w:val="right"/>
              <w:rPr>
                <w:b/>
                <w:bCs/>
                <w:sz w:val="18"/>
              </w:rPr>
            </w:pPr>
            <w:r w:rsidRPr="008A2F17">
              <w:rPr>
                <w:b/>
                <w:bCs/>
                <w:sz w:val="18"/>
              </w:rPr>
              <w:t>2,854.1</w:t>
            </w:r>
          </w:p>
        </w:tc>
        <w:tc>
          <w:tcPr>
            <w:tcW w:w="1276" w:type="dxa"/>
            <w:shd w:val="clear" w:color="auto" w:fill="auto"/>
            <w:vAlign w:val="center"/>
          </w:tcPr>
          <w:p w14:paraId="15C50C7C" w14:textId="77777777" w:rsidR="008A2F17" w:rsidRPr="008A2F17" w:rsidRDefault="008A2F17" w:rsidP="008A2F17">
            <w:pPr>
              <w:spacing w:before="60" w:after="60" w:line="240" w:lineRule="atLeast"/>
              <w:jc w:val="center"/>
              <w:rPr>
                <w:rFonts w:cs="Calibri"/>
                <w:b/>
                <w:bCs/>
                <w:color w:val="000000"/>
                <w:sz w:val="18"/>
                <w:szCs w:val="18"/>
              </w:rPr>
            </w:pPr>
            <w:r w:rsidRPr="008A2F17">
              <w:rPr>
                <w:rFonts w:cs="Calibri"/>
                <w:b/>
                <w:bCs/>
                <w:color w:val="000000"/>
                <w:sz w:val="18"/>
                <w:szCs w:val="18"/>
              </w:rPr>
              <w:t>-</w:t>
            </w:r>
          </w:p>
        </w:tc>
        <w:tc>
          <w:tcPr>
            <w:tcW w:w="1276" w:type="dxa"/>
            <w:shd w:val="clear" w:color="auto" w:fill="auto"/>
            <w:vAlign w:val="center"/>
          </w:tcPr>
          <w:p w14:paraId="437CAF2A" w14:textId="77777777" w:rsidR="008A2F17" w:rsidRPr="008A2F17" w:rsidRDefault="008A2F17" w:rsidP="008A2F17">
            <w:pPr>
              <w:spacing w:before="60" w:after="60" w:line="240" w:lineRule="atLeast"/>
              <w:jc w:val="center"/>
              <w:rPr>
                <w:rFonts w:cs="Calibri"/>
                <w:b/>
                <w:bCs/>
                <w:color w:val="000000"/>
                <w:sz w:val="18"/>
                <w:szCs w:val="18"/>
              </w:rPr>
            </w:pPr>
            <w:r w:rsidRPr="008A2F17">
              <w:rPr>
                <w:rFonts w:cs="Calibri"/>
                <w:b/>
                <w:bCs/>
                <w:color w:val="000000"/>
                <w:sz w:val="18"/>
                <w:szCs w:val="18"/>
              </w:rPr>
              <w:t>-</w:t>
            </w:r>
          </w:p>
        </w:tc>
        <w:tc>
          <w:tcPr>
            <w:tcW w:w="1276" w:type="dxa"/>
            <w:vAlign w:val="center"/>
          </w:tcPr>
          <w:p w14:paraId="2158A7FD" w14:textId="77777777" w:rsidR="008A2F17" w:rsidRPr="008A2F17" w:rsidRDefault="008A2F17" w:rsidP="008A2F17">
            <w:pPr>
              <w:spacing w:before="60" w:after="60" w:line="240" w:lineRule="atLeast"/>
              <w:jc w:val="right"/>
              <w:rPr>
                <w:rFonts w:cs="Calibri"/>
                <w:b/>
                <w:bCs/>
                <w:color w:val="000000"/>
                <w:sz w:val="18"/>
                <w:szCs w:val="18"/>
              </w:rPr>
            </w:pPr>
            <w:r w:rsidRPr="008A2F17">
              <w:rPr>
                <w:rFonts w:cs="Calibri"/>
                <w:b/>
                <w:bCs/>
                <w:color w:val="000000"/>
                <w:sz w:val="18"/>
                <w:szCs w:val="18"/>
              </w:rPr>
              <w:t>7.0%</w:t>
            </w:r>
          </w:p>
        </w:tc>
        <w:tc>
          <w:tcPr>
            <w:tcW w:w="1276" w:type="dxa"/>
            <w:vAlign w:val="center"/>
          </w:tcPr>
          <w:p w14:paraId="6131648F" w14:textId="77777777" w:rsidR="008A2F17" w:rsidRPr="008A2F17" w:rsidRDefault="008A2F17" w:rsidP="008A2F17">
            <w:pPr>
              <w:spacing w:before="60" w:after="60" w:line="240" w:lineRule="atLeast"/>
              <w:jc w:val="right"/>
              <w:rPr>
                <w:rFonts w:cs="Calibri"/>
                <w:b/>
                <w:bCs/>
                <w:color w:val="000000"/>
                <w:sz w:val="18"/>
                <w:szCs w:val="18"/>
              </w:rPr>
            </w:pPr>
            <w:r w:rsidRPr="008A2F17">
              <w:rPr>
                <w:rFonts w:cs="Calibri"/>
                <w:b/>
                <w:bCs/>
                <w:color w:val="000000"/>
                <w:sz w:val="18"/>
                <w:szCs w:val="18"/>
              </w:rPr>
              <w:t>5.2%</w:t>
            </w:r>
          </w:p>
        </w:tc>
      </w:tr>
    </w:tbl>
    <w:p w14:paraId="7040007E" w14:textId="77777777" w:rsidR="008A2F17" w:rsidRPr="008A2F17" w:rsidRDefault="008A2F17" w:rsidP="008A2F17">
      <w:pPr>
        <w:spacing w:before="0" w:after="0" w:line="240" w:lineRule="auto"/>
        <w:jc w:val="left"/>
        <w:rPr>
          <w:rFonts w:ascii="Georgia" w:hAnsi="Georgia"/>
          <w:b/>
          <w:bCs/>
          <w:color w:val="1C556C"/>
          <w:sz w:val="48"/>
          <w:szCs w:val="28"/>
        </w:rPr>
        <w:sectPr w:rsidR="008A2F17" w:rsidRPr="008A2F17" w:rsidSect="00056F4C">
          <w:pgSz w:w="16840" w:h="11907" w:orient="landscape" w:code="9"/>
          <w:pgMar w:top="1418" w:right="1134" w:bottom="1418" w:left="1134" w:header="567" w:footer="567" w:gutter="0"/>
          <w:cols w:space="720"/>
          <w:docGrid w:linePitch="299"/>
        </w:sectPr>
      </w:pPr>
    </w:p>
    <w:p w14:paraId="625FC9C6" w14:textId="4067E59A" w:rsidR="008A2F17" w:rsidRPr="008A2F17" w:rsidRDefault="008A2F17" w:rsidP="00C9562A">
      <w:pPr>
        <w:pStyle w:val="Heading1"/>
      </w:pPr>
      <w:bookmarkStart w:id="10" w:name="_Toc96523598"/>
      <w:r w:rsidRPr="008A2F17">
        <w:lastRenderedPageBreak/>
        <w:t>Overall impact on emissions</w:t>
      </w:r>
      <w:bookmarkEnd w:id="10"/>
    </w:p>
    <w:p w14:paraId="0FCC8F45" w14:textId="77777777" w:rsidR="008A2F17" w:rsidRPr="008A2F17" w:rsidRDefault="008A2F17" w:rsidP="00C9562A">
      <w:pPr>
        <w:pStyle w:val="BodyText"/>
      </w:pPr>
      <w:r w:rsidRPr="008A2F17">
        <w:t>In total, the changes made to the methods that will be introduced in the 1990–2020 Inventory will decrease gross emissions in 1990 by 81.1 kt CO</w:t>
      </w:r>
      <w:r w:rsidRPr="008A2F17">
        <w:rPr>
          <w:vertAlign w:val="subscript"/>
        </w:rPr>
        <w:t>2</w:t>
      </w:r>
      <w:r w:rsidRPr="008A2F17">
        <w:t>e and 100.6 kt CO</w:t>
      </w:r>
      <w:r w:rsidRPr="008A2F17">
        <w:rPr>
          <w:vertAlign w:val="subscript"/>
        </w:rPr>
        <w:t>2</w:t>
      </w:r>
      <w:r w:rsidRPr="008A2F17">
        <w:t>e in 2019. The changes made will increase net emissions in 1990 by 2,878.1 kt CO</w:t>
      </w:r>
      <w:r w:rsidRPr="008A2F17">
        <w:rPr>
          <w:vertAlign w:val="subscript"/>
        </w:rPr>
        <w:t>2</w:t>
      </w:r>
      <w:r w:rsidRPr="008A2F17">
        <w:t>e and 2,854.1 kt CO</w:t>
      </w:r>
      <w:r w:rsidRPr="008A2F17">
        <w:rPr>
          <w:vertAlign w:val="subscript"/>
        </w:rPr>
        <w:t>2</w:t>
      </w:r>
      <w:r w:rsidRPr="008A2F17">
        <w:t xml:space="preserve">e in 2019. This is not an indication of the revisions to the </w:t>
      </w:r>
      <w:proofErr w:type="gramStart"/>
      <w:r w:rsidRPr="008A2F17">
        <w:t>figures as a whole, as</w:t>
      </w:r>
      <w:proofErr w:type="gramEnd"/>
      <w:r w:rsidRPr="008A2F17">
        <w:t xml:space="preserve"> it does not include annual variations in New Zealand’s emitting activities, for example national fuel use or forest harvest rate.</w:t>
      </w:r>
    </w:p>
    <w:p w14:paraId="35A0F17B" w14:textId="77777777" w:rsidR="008A2F17" w:rsidRPr="008A2F17" w:rsidRDefault="008A2F17" w:rsidP="008A2F17">
      <w:pPr>
        <w:spacing w:before="0" w:after="0" w:line="240" w:lineRule="auto"/>
        <w:jc w:val="left"/>
      </w:pPr>
      <w:r w:rsidRPr="008A2F17">
        <w:br w:type="page"/>
      </w:r>
    </w:p>
    <w:p w14:paraId="7A5CC3FC" w14:textId="57627872" w:rsidR="008A2F17" w:rsidRPr="008A2F17" w:rsidRDefault="008A2F17" w:rsidP="00C9562A">
      <w:pPr>
        <w:pStyle w:val="Heading1"/>
      </w:pPr>
      <w:bookmarkStart w:id="11" w:name="_Toc96523599"/>
      <w:r w:rsidRPr="008A2F17">
        <w:lastRenderedPageBreak/>
        <w:t>Summary of Improvements by Inventory Sector</w:t>
      </w:r>
      <w:bookmarkEnd w:id="11"/>
    </w:p>
    <w:p w14:paraId="53D7A59D" w14:textId="0D71C262" w:rsidR="008A2F17" w:rsidRPr="008A2F17" w:rsidRDefault="008A2F17" w:rsidP="00C9562A">
      <w:pPr>
        <w:pStyle w:val="Heading2"/>
      </w:pPr>
      <w:bookmarkStart w:id="12" w:name="_Toc96523600"/>
      <w:r w:rsidRPr="008A2F17">
        <w:t>Energy</w:t>
      </w:r>
      <w:bookmarkEnd w:id="12"/>
    </w:p>
    <w:p w14:paraId="12F956AC" w14:textId="77777777" w:rsidR="008A2F17" w:rsidRPr="008A2F17" w:rsidRDefault="008A2F17" w:rsidP="00C9562A">
      <w:pPr>
        <w:pStyle w:val="Heading3"/>
      </w:pPr>
      <w:r w:rsidRPr="008A2F17">
        <w:t>Emissions from fireworks</w:t>
      </w:r>
    </w:p>
    <w:p w14:paraId="027EC7C6" w14:textId="41ED254E" w:rsidR="008A2F17" w:rsidRPr="008A2F17" w:rsidRDefault="008A2F17" w:rsidP="00C9562A">
      <w:pPr>
        <w:pStyle w:val="BodyText"/>
      </w:pPr>
      <w:r w:rsidRPr="008A2F17">
        <w:t xml:space="preserve">Emissions estimates from the combustion of solid fuels in fireworks will be included in the next Inventory for the first time. Fossil fuels in fireworks are combusted to provide energy for propulsion, </w:t>
      </w:r>
      <w:proofErr w:type="gramStart"/>
      <w:r w:rsidRPr="008A2F17">
        <w:t>light</w:t>
      </w:r>
      <w:proofErr w:type="gramEnd"/>
      <w:r w:rsidRPr="008A2F17">
        <w:t xml:space="preserve"> and sound</w:t>
      </w:r>
      <w:r w:rsidR="00815590">
        <w:t>. B</w:t>
      </w:r>
      <w:r w:rsidRPr="008A2F17">
        <w:t xml:space="preserve">lack carbon, coal, </w:t>
      </w:r>
      <w:proofErr w:type="spellStart"/>
      <w:r w:rsidRPr="008A2F17">
        <w:t>asphaltum</w:t>
      </w:r>
      <w:proofErr w:type="spellEnd"/>
      <w:r w:rsidRPr="008A2F17">
        <w:t xml:space="preserve"> and </w:t>
      </w:r>
      <w:proofErr w:type="spellStart"/>
      <w:r w:rsidRPr="008A2F17">
        <w:t>gilsonite</w:t>
      </w:r>
      <w:proofErr w:type="spellEnd"/>
      <w:r w:rsidRPr="008A2F17">
        <w:t xml:space="preserve"> are among these fossil fuels. </w:t>
      </w:r>
    </w:p>
    <w:p w14:paraId="54C2AEC0" w14:textId="77777777" w:rsidR="008A2F17" w:rsidRPr="008A2F17" w:rsidRDefault="008A2F17" w:rsidP="00C9562A">
      <w:pPr>
        <w:pStyle w:val="BodyText"/>
      </w:pPr>
      <w:r w:rsidRPr="008A2F17">
        <w:t>Emissions factors for CO</w:t>
      </w:r>
      <w:r w:rsidRPr="008A2F17">
        <w:rPr>
          <w:vertAlign w:val="subscript"/>
        </w:rPr>
        <w:t>2</w:t>
      </w:r>
      <w:r w:rsidRPr="008A2F17">
        <w:t>, CH</w:t>
      </w:r>
      <w:r w:rsidRPr="008A2F17">
        <w:rPr>
          <w:vertAlign w:val="subscript"/>
        </w:rPr>
        <w:t>4</w:t>
      </w:r>
      <w:r w:rsidRPr="008A2F17">
        <w:t xml:space="preserve"> and N</w:t>
      </w:r>
      <w:r w:rsidRPr="008A2F17">
        <w:rPr>
          <w:vertAlign w:val="subscript"/>
        </w:rPr>
        <w:t>2</w:t>
      </w:r>
      <w:r w:rsidRPr="008A2F17">
        <w:t xml:space="preserve">O (kg/t fireworks) have been sourced from Denmark’s National Inventory Report, and data on the gross weight of fireworks imported have been sourced from New Zealand’s official data agency (Stats NZ). The emissions estimates from fireworks are low, but importantly, their inclusion improves reporting completeness, and comparability to other countries. </w:t>
      </w:r>
    </w:p>
    <w:p w14:paraId="4BB6E1F4" w14:textId="77777777" w:rsidR="008A2F17" w:rsidRPr="008A2F17" w:rsidRDefault="008A2F17" w:rsidP="00C9562A">
      <w:pPr>
        <w:pStyle w:val="BodyText"/>
      </w:pPr>
      <w:r w:rsidRPr="008A2F17">
        <w:t>Applying this improvement to historical emissions years, the sector notes the level of emissions will increase by 0.23 kt CO</w:t>
      </w:r>
      <w:r w:rsidRPr="008A2F17">
        <w:rPr>
          <w:vertAlign w:val="subscript"/>
        </w:rPr>
        <w:t>2</w:t>
      </w:r>
      <w:r w:rsidRPr="008A2F17">
        <w:t>-e in 1990 and 0.42 kt CO</w:t>
      </w:r>
      <w:r w:rsidRPr="008A2F17">
        <w:rPr>
          <w:vertAlign w:val="subscript"/>
        </w:rPr>
        <w:t>2</w:t>
      </w:r>
      <w:r w:rsidRPr="008A2F17">
        <w:t xml:space="preserve">-e in 2019. </w:t>
      </w:r>
    </w:p>
    <w:p w14:paraId="42073531" w14:textId="229D7F87" w:rsidR="008A2F17" w:rsidRPr="008A2F17" w:rsidRDefault="008A2F17" w:rsidP="00C9562A">
      <w:pPr>
        <w:pStyle w:val="Heading2"/>
      </w:pPr>
      <w:bookmarkStart w:id="13" w:name="_Toc96523601"/>
      <w:r w:rsidRPr="008A2F17">
        <w:t>Agriculture</w:t>
      </w:r>
      <w:bookmarkEnd w:id="13"/>
    </w:p>
    <w:p w14:paraId="299073B1" w14:textId="77777777" w:rsidR="008A2F17" w:rsidRPr="008A2F17" w:rsidRDefault="008A2F17" w:rsidP="00C9562A">
      <w:pPr>
        <w:pStyle w:val="Heading3"/>
      </w:pPr>
      <w:bookmarkStart w:id="14" w:name="_Adoption_of_updated"/>
      <w:bookmarkEnd w:id="14"/>
      <w:r w:rsidRPr="008A2F17">
        <w:t xml:space="preserve">Adoption of updated </w:t>
      </w:r>
      <w:proofErr w:type="spellStart"/>
      <w:r w:rsidRPr="008A2F17">
        <w:t>Frac</w:t>
      </w:r>
      <w:r w:rsidRPr="008A2F17">
        <w:rPr>
          <w:vertAlign w:val="subscript"/>
        </w:rPr>
        <w:t>LEACH</w:t>
      </w:r>
      <w:proofErr w:type="spellEnd"/>
      <w:r w:rsidRPr="008A2F17">
        <w:t xml:space="preserve"> values for cropping and grazing systems</w:t>
      </w:r>
    </w:p>
    <w:p w14:paraId="25B30D71" w14:textId="77777777" w:rsidR="008A2F17" w:rsidRPr="008A2F17" w:rsidRDefault="008A2F17" w:rsidP="00C9562A">
      <w:pPr>
        <w:pStyle w:val="BodyText"/>
      </w:pPr>
      <w:proofErr w:type="spellStart"/>
      <w:r w:rsidRPr="008A2F17">
        <w:t>Frac</w:t>
      </w:r>
      <w:r w:rsidRPr="008A2F17">
        <w:rPr>
          <w:vertAlign w:val="subscript"/>
        </w:rPr>
        <w:t>LEACH</w:t>
      </w:r>
      <w:proofErr w:type="spellEnd"/>
      <w:r w:rsidRPr="008A2F17">
        <w:t xml:space="preserve"> values determine the amount of nitrogen (N) that is lost through leaching and runoff when applied to </w:t>
      </w:r>
      <w:proofErr w:type="gramStart"/>
      <w:r w:rsidRPr="008A2F17">
        <w:t>soils, and</w:t>
      </w:r>
      <w:proofErr w:type="gramEnd"/>
      <w:r w:rsidRPr="008A2F17">
        <w:t xml:space="preserve"> enable indirect N</w:t>
      </w:r>
      <w:r w:rsidRPr="008A2F17">
        <w:rPr>
          <w:vertAlign w:val="subscript"/>
        </w:rPr>
        <w:t>2</w:t>
      </w:r>
      <w:r w:rsidRPr="008A2F17">
        <w:t xml:space="preserve">0 emissions to be calculated. Previous estimates did not include organic matter and crop residues as nitrogen inputs, and a uniform value of 0.07 had been assumed across cropping and grazing systems. New </w:t>
      </w:r>
      <w:proofErr w:type="spellStart"/>
      <w:r w:rsidRPr="008A2F17">
        <w:t>Frac</w:t>
      </w:r>
      <w:r w:rsidRPr="008A2F17">
        <w:rPr>
          <w:vertAlign w:val="subscript"/>
        </w:rPr>
        <w:t>LEACH</w:t>
      </w:r>
      <w:proofErr w:type="spellEnd"/>
      <w:r w:rsidRPr="008A2F17">
        <w:t xml:space="preserve"> values aligning with IPCC guidelines and modelling using OVERSEER software</w:t>
      </w:r>
      <w:r w:rsidRPr="008A2F17">
        <w:rPr>
          <w:color w:val="183C47"/>
          <w:vertAlign w:val="superscript"/>
        </w:rPr>
        <w:footnoteReference w:id="6"/>
      </w:r>
      <w:r w:rsidRPr="008A2F17">
        <w:t xml:space="preserve"> have been developed. We will now apply a </w:t>
      </w:r>
      <w:proofErr w:type="spellStart"/>
      <w:r w:rsidRPr="008A2F17">
        <w:t>Frac</w:t>
      </w:r>
      <w:r w:rsidRPr="008A2F17">
        <w:rPr>
          <w:vertAlign w:val="subscript"/>
        </w:rPr>
        <w:t>LEACH</w:t>
      </w:r>
      <w:proofErr w:type="spellEnd"/>
      <w:r w:rsidRPr="008A2F17">
        <w:t xml:space="preserve"> value of 0.10 to cropping systems while retaining a </w:t>
      </w:r>
      <w:proofErr w:type="spellStart"/>
      <w:r w:rsidRPr="008A2F17">
        <w:t>Frac</w:t>
      </w:r>
      <w:r w:rsidRPr="008A2F17">
        <w:rPr>
          <w:vertAlign w:val="subscript"/>
        </w:rPr>
        <w:t>LEACH</w:t>
      </w:r>
      <w:proofErr w:type="spellEnd"/>
      <w:r w:rsidRPr="008A2F17">
        <w:t xml:space="preserve"> value of 0.07 for grazing systems. While the research suggested a </w:t>
      </w:r>
      <w:proofErr w:type="spellStart"/>
      <w:r w:rsidRPr="008A2F17">
        <w:t>Frac</w:t>
      </w:r>
      <w:r w:rsidRPr="008A2F17">
        <w:rPr>
          <w:vertAlign w:val="subscript"/>
        </w:rPr>
        <w:t>LEACH</w:t>
      </w:r>
      <w:proofErr w:type="spellEnd"/>
      <w:r w:rsidRPr="008A2F17">
        <w:t xml:space="preserve"> of 0.08 for grazing systems, further analysis of the underlying assumptions is required before it is adopted within the inventory.</w:t>
      </w:r>
    </w:p>
    <w:p w14:paraId="61176E1B" w14:textId="77777777" w:rsidR="008A2F17" w:rsidRPr="008A2F17" w:rsidRDefault="008A2F17" w:rsidP="00C9562A">
      <w:pPr>
        <w:pStyle w:val="BodyText"/>
      </w:pPr>
      <w:r w:rsidRPr="008A2F17">
        <w:t>Applying this improvement to historical emissions years, agricultural emissions will increase 1.3 kt CO</w:t>
      </w:r>
      <w:r w:rsidRPr="008A2F17">
        <w:rPr>
          <w:vertAlign w:val="subscript"/>
        </w:rPr>
        <w:t>2</w:t>
      </w:r>
      <w:r w:rsidRPr="008A2F17">
        <w:t>-e in 1990 and 1.8 kt CO</w:t>
      </w:r>
      <w:r w:rsidRPr="008A2F17">
        <w:rPr>
          <w:vertAlign w:val="subscript"/>
        </w:rPr>
        <w:t>2</w:t>
      </w:r>
      <w:r w:rsidRPr="008A2F17">
        <w:t>-e in 2019, or 0.38 per cent and 0.45 per cent respectively. The change in emission outputs (+0.5 kt CO</w:t>
      </w:r>
      <w:r w:rsidRPr="008A2F17">
        <w:rPr>
          <w:vertAlign w:val="subscript"/>
        </w:rPr>
        <w:t>2</w:t>
      </w:r>
      <w:r w:rsidRPr="008A2F17">
        <w:t xml:space="preserve">-e) between 1990 and 2019 demonstrates the applied improvements are reasonably consistent when backdated. </w:t>
      </w:r>
    </w:p>
    <w:p w14:paraId="5AE7FBA4" w14:textId="77777777" w:rsidR="008A2F17" w:rsidRPr="008A2F17" w:rsidRDefault="008A2F17" w:rsidP="00BA4B64">
      <w:pPr>
        <w:pStyle w:val="Tableheading"/>
      </w:pPr>
      <w:bookmarkStart w:id="15" w:name="_Toc96523588"/>
      <w:r w:rsidRPr="008A2F17">
        <w:lastRenderedPageBreak/>
        <w:t xml:space="preserve">Table </w:t>
      </w:r>
      <w:fldSimple w:instr=" SEQ Table \* ARABIC ">
        <w:r w:rsidRPr="008A2F17">
          <w:rPr>
            <w:noProof/>
          </w:rPr>
          <w:t>2</w:t>
        </w:r>
      </w:fldSimple>
      <w:r w:rsidRPr="008A2F17">
        <w:t xml:space="preserve">: </w:t>
      </w:r>
      <w:r w:rsidRPr="008A2F17">
        <w:tab/>
        <w:t xml:space="preserve">Comparison of total agricultural emissions estimates before and after incorporation of proposed </w:t>
      </w:r>
      <w:proofErr w:type="spellStart"/>
      <w:r w:rsidRPr="008A2F17">
        <w:t>FracLEACH</w:t>
      </w:r>
      <w:proofErr w:type="spellEnd"/>
      <w:r w:rsidRPr="008A2F17">
        <w:t xml:space="preserve"> values for 1990 and 2019</w:t>
      </w:r>
      <w:bookmarkEnd w:id="15"/>
    </w:p>
    <w:tbl>
      <w:tblPr>
        <w:tblStyle w:val="LightList-Accent11"/>
        <w:tblpPr w:leftFromText="180" w:rightFromText="180" w:vertAnchor="text" w:horzAnchor="margin" w:tblpXSpec="center" w:tblpY="16"/>
        <w:tblW w:w="9036" w:type="dxa"/>
        <w:tblBorders>
          <w:top w:val="none" w:sz="0" w:space="0" w:color="auto"/>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3086"/>
        <w:gridCol w:w="995"/>
        <w:gridCol w:w="995"/>
        <w:gridCol w:w="2244"/>
        <w:gridCol w:w="1716"/>
      </w:tblGrid>
      <w:tr w:rsidR="008A2F17" w:rsidRPr="008A2F17" w14:paraId="5B7CFABC" w14:textId="77777777" w:rsidTr="00764B02">
        <w:trPr>
          <w:cnfStyle w:val="100000000000" w:firstRow="1" w:lastRow="0" w:firstColumn="0" w:lastColumn="0" w:oddVBand="0" w:evenVBand="0" w:oddHBand="0"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0" w:type="auto"/>
            <w:hideMark/>
          </w:tcPr>
          <w:p w14:paraId="10ADA9C2" w14:textId="77777777" w:rsidR="008A2F17" w:rsidRPr="008A2F17" w:rsidRDefault="008A2F17" w:rsidP="008A2F17">
            <w:pPr>
              <w:spacing w:before="60" w:after="60" w:line="240" w:lineRule="atLeast"/>
              <w:jc w:val="left"/>
              <w:rPr>
                <w:bCs w:val="0"/>
                <w:sz w:val="18"/>
                <w:szCs w:val="20"/>
              </w:rPr>
            </w:pPr>
            <w:bookmarkStart w:id="16" w:name="_Hlk93051057"/>
            <w:r w:rsidRPr="008A2F17">
              <w:rPr>
                <w:bCs w:val="0"/>
                <w:sz w:val="18"/>
                <w:szCs w:val="20"/>
              </w:rPr>
              <w:t>  Improvement impact</w:t>
            </w:r>
          </w:p>
        </w:tc>
        <w:tc>
          <w:tcPr>
            <w:tcW w:w="995" w:type="dxa"/>
            <w:hideMark/>
          </w:tcPr>
          <w:p w14:paraId="71562F85" w14:textId="77777777" w:rsidR="008A2F17" w:rsidRPr="008A2F17" w:rsidRDefault="008A2F17" w:rsidP="008A2F17">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b w:val="0"/>
                <w:sz w:val="18"/>
                <w:szCs w:val="20"/>
              </w:rPr>
            </w:pPr>
            <w:r w:rsidRPr="008A2F17">
              <w:rPr>
                <w:bCs w:val="0"/>
                <w:sz w:val="18"/>
                <w:szCs w:val="20"/>
              </w:rPr>
              <w:t>1990 </w:t>
            </w:r>
          </w:p>
          <w:p w14:paraId="1269FC6D" w14:textId="77777777" w:rsidR="008A2F17" w:rsidRPr="008A2F17" w:rsidRDefault="008A2F17" w:rsidP="008A2F17">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bCs w:val="0"/>
                <w:sz w:val="18"/>
                <w:szCs w:val="20"/>
              </w:rPr>
            </w:pPr>
            <w:r w:rsidRPr="008A2F17">
              <w:rPr>
                <w:bCs w:val="0"/>
                <w:color w:val="FFFFFF" w:themeColor="background1"/>
                <w:sz w:val="18"/>
                <w:szCs w:val="20"/>
              </w:rPr>
              <w:t>(</w:t>
            </w:r>
            <w:proofErr w:type="gramStart"/>
            <w:r w:rsidRPr="008A2F17">
              <w:rPr>
                <w:bCs w:val="0"/>
                <w:color w:val="FFFFFF" w:themeColor="background1"/>
                <w:sz w:val="18"/>
                <w:szCs w:val="20"/>
              </w:rPr>
              <w:t>kt</w:t>
            </w:r>
            <w:proofErr w:type="gramEnd"/>
            <w:r w:rsidRPr="008A2F17">
              <w:rPr>
                <w:bCs w:val="0"/>
                <w:color w:val="FFFFFF" w:themeColor="background1"/>
                <w:sz w:val="18"/>
                <w:szCs w:val="20"/>
              </w:rPr>
              <w:t xml:space="preserve"> CO</w:t>
            </w:r>
            <w:r w:rsidRPr="008A2F17">
              <w:rPr>
                <w:b w:val="0"/>
                <w:color w:val="FFFFFF" w:themeColor="background1"/>
                <w:sz w:val="18"/>
                <w:szCs w:val="20"/>
                <w:vertAlign w:val="subscript"/>
              </w:rPr>
              <w:t>2</w:t>
            </w:r>
            <w:r w:rsidRPr="008A2F17">
              <w:rPr>
                <w:bCs w:val="0"/>
                <w:color w:val="FFFFFF" w:themeColor="background1"/>
                <w:sz w:val="18"/>
                <w:szCs w:val="20"/>
              </w:rPr>
              <w:t>-e) </w:t>
            </w:r>
          </w:p>
        </w:tc>
        <w:tc>
          <w:tcPr>
            <w:tcW w:w="995" w:type="dxa"/>
            <w:hideMark/>
          </w:tcPr>
          <w:p w14:paraId="0705A5DC" w14:textId="77777777" w:rsidR="008A2F17" w:rsidRPr="008A2F17" w:rsidRDefault="008A2F17" w:rsidP="008A2F17">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b w:val="0"/>
                <w:sz w:val="18"/>
                <w:szCs w:val="20"/>
              </w:rPr>
            </w:pPr>
            <w:r w:rsidRPr="008A2F17">
              <w:rPr>
                <w:bCs w:val="0"/>
                <w:sz w:val="18"/>
                <w:szCs w:val="20"/>
              </w:rPr>
              <w:t>2019 </w:t>
            </w:r>
          </w:p>
          <w:p w14:paraId="7EB8AE9A" w14:textId="77777777" w:rsidR="008A2F17" w:rsidRPr="008A2F17" w:rsidRDefault="008A2F17" w:rsidP="008A2F17">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bCs w:val="0"/>
                <w:sz w:val="18"/>
                <w:szCs w:val="20"/>
              </w:rPr>
            </w:pPr>
            <w:r w:rsidRPr="008A2F17">
              <w:rPr>
                <w:bCs w:val="0"/>
                <w:color w:val="FFFFFF" w:themeColor="background1"/>
                <w:sz w:val="18"/>
                <w:szCs w:val="20"/>
              </w:rPr>
              <w:t>(</w:t>
            </w:r>
            <w:proofErr w:type="gramStart"/>
            <w:r w:rsidRPr="008A2F17">
              <w:rPr>
                <w:bCs w:val="0"/>
                <w:color w:val="FFFFFF" w:themeColor="background1"/>
                <w:sz w:val="18"/>
                <w:szCs w:val="20"/>
              </w:rPr>
              <w:t>kt</w:t>
            </w:r>
            <w:proofErr w:type="gramEnd"/>
            <w:r w:rsidRPr="008A2F17">
              <w:rPr>
                <w:bCs w:val="0"/>
                <w:color w:val="FFFFFF" w:themeColor="background1"/>
                <w:sz w:val="18"/>
                <w:szCs w:val="20"/>
              </w:rPr>
              <w:t xml:space="preserve"> CO</w:t>
            </w:r>
            <w:r w:rsidRPr="008A2F17">
              <w:rPr>
                <w:b w:val="0"/>
                <w:color w:val="FFFFFF" w:themeColor="background1"/>
                <w:sz w:val="18"/>
                <w:szCs w:val="20"/>
                <w:vertAlign w:val="subscript"/>
              </w:rPr>
              <w:t>2</w:t>
            </w:r>
            <w:r w:rsidRPr="008A2F17">
              <w:rPr>
                <w:bCs w:val="0"/>
                <w:color w:val="FFFFFF" w:themeColor="background1"/>
                <w:sz w:val="18"/>
                <w:szCs w:val="20"/>
              </w:rPr>
              <w:t>-e) </w:t>
            </w:r>
          </w:p>
        </w:tc>
        <w:tc>
          <w:tcPr>
            <w:tcW w:w="0" w:type="auto"/>
            <w:hideMark/>
          </w:tcPr>
          <w:p w14:paraId="0E0F474E" w14:textId="77777777" w:rsidR="008A2F17" w:rsidRPr="008A2F17" w:rsidRDefault="008A2F17" w:rsidP="008A2F17">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bCs w:val="0"/>
                <w:sz w:val="18"/>
                <w:szCs w:val="20"/>
              </w:rPr>
            </w:pPr>
            <w:r w:rsidRPr="008A2F17">
              <w:rPr>
                <w:bCs w:val="0"/>
                <w:sz w:val="18"/>
                <w:szCs w:val="20"/>
              </w:rPr>
              <w:t>Change in emission outputs between 1990 and 2019 (kt CO2-e)  </w:t>
            </w:r>
          </w:p>
        </w:tc>
        <w:tc>
          <w:tcPr>
            <w:tcW w:w="1716" w:type="dxa"/>
            <w:hideMark/>
          </w:tcPr>
          <w:p w14:paraId="7B2F2A76" w14:textId="77777777" w:rsidR="008A2F17" w:rsidRPr="008A2F17" w:rsidRDefault="008A2F17" w:rsidP="008A2F17">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bCs w:val="0"/>
                <w:sz w:val="18"/>
                <w:szCs w:val="20"/>
              </w:rPr>
            </w:pPr>
            <w:r w:rsidRPr="008A2F17">
              <w:rPr>
                <w:bCs w:val="0"/>
                <w:sz w:val="18"/>
                <w:szCs w:val="20"/>
              </w:rPr>
              <w:t>Percentage change in emission outputs between 1990 and 2019 </w:t>
            </w:r>
          </w:p>
        </w:tc>
      </w:tr>
      <w:tr w:rsidR="008A2F17" w:rsidRPr="008A2F17" w14:paraId="3AB406EE" w14:textId="77777777" w:rsidTr="00764B02">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64ABE087" w14:textId="77777777" w:rsidR="008A2F17" w:rsidRPr="008A2F17" w:rsidRDefault="008A2F17" w:rsidP="008A2F17">
            <w:pPr>
              <w:spacing w:before="60" w:after="60" w:line="240" w:lineRule="atLeast"/>
              <w:jc w:val="left"/>
              <w:rPr>
                <w:b w:val="0"/>
                <w:bCs w:val="0"/>
                <w:sz w:val="18"/>
                <w:szCs w:val="20"/>
              </w:rPr>
            </w:pPr>
            <w:r w:rsidRPr="008A2F17">
              <w:rPr>
                <w:b w:val="0"/>
                <w:bCs w:val="0"/>
                <w:sz w:val="18"/>
                <w:szCs w:val="20"/>
              </w:rPr>
              <w:t>2021 (1990-2019) emissions estimate with current </w:t>
            </w:r>
            <w:proofErr w:type="spellStart"/>
            <w:r w:rsidRPr="008A2F17">
              <w:rPr>
                <w:b w:val="0"/>
                <w:bCs w:val="0"/>
                <w:sz w:val="18"/>
                <w:szCs w:val="20"/>
              </w:rPr>
              <w:t>Frac</w:t>
            </w:r>
            <w:r w:rsidRPr="008A2F17">
              <w:rPr>
                <w:b w:val="0"/>
                <w:bCs w:val="0"/>
                <w:sz w:val="18"/>
                <w:szCs w:val="20"/>
                <w:vertAlign w:val="subscript"/>
              </w:rPr>
              <w:t>LEACH</w:t>
            </w:r>
            <w:proofErr w:type="spellEnd"/>
            <w:r w:rsidRPr="008A2F17">
              <w:rPr>
                <w:b w:val="0"/>
                <w:bCs w:val="0"/>
                <w:sz w:val="18"/>
                <w:szCs w:val="20"/>
              </w:rPr>
              <w:t> values  </w:t>
            </w:r>
          </w:p>
        </w:tc>
        <w:tc>
          <w:tcPr>
            <w:tcW w:w="995" w:type="dxa"/>
            <w:tcBorders>
              <w:top w:val="none" w:sz="0" w:space="0" w:color="auto"/>
              <w:bottom w:val="none" w:sz="0" w:space="0" w:color="auto"/>
            </w:tcBorders>
            <w:hideMark/>
          </w:tcPr>
          <w:p w14:paraId="30D179E7"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33,840.3 </w:t>
            </w:r>
          </w:p>
        </w:tc>
        <w:tc>
          <w:tcPr>
            <w:tcW w:w="995" w:type="dxa"/>
            <w:tcBorders>
              <w:top w:val="none" w:sz="0" w:space="0" w:color="auto"/>
              <w:bottom w:val="none" w:sz="0" w:space="0" w:color="auto"/>
            </w:tcBorders>
            <w:hideMark/>
          </w:tcPr>
          <w:p w14:paraId="6F3E6B1B"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39,617.7 </w:t>
            </w:r>
          </w:p>
        </w:tc>
        <w:tc>
          <w:tcPr>
            <w:tcW w:w="0" w:type="auto"/>
            <w:tcBorders>
              <w:top w:val="none" w:sz="0" w:space="0" w:color="auto"/>
              <w:bottom w:val="none" w:sz="0" w:space="0" w:color="auto"/>
            </w:tcBorders>
            <w:hideMark/>
          </w:tcPr>
          <w:p w14:paraId="489FE2FE"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5,777.4 </w:t>
            </w:r>
          </w:p>
        </w:tc>
        <w:tc>
          <w:tcPr>
            <w:tcW w:w="1716" w:type="dxa"/>
            <w:tcBorders>
              <w:top w:val="none" w:sz="0" w:space="0" w:color="auto"/>
              <w:bottom w:val="none" w:sz="0" w:space="0" w:color="auto"/>
              <w:right w:val="none" w:sz="0" w:space="0" w:color="auto"/>
            </w:tcBorders>
            <w:hideMark/>
          </w:tcPr>
          <w:p w14:paraId="38D4119A"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17.07% </w:t>
            </w:r>
          </w:p>
        </w:tc>
      </w:tr>
      <w:tr w:rsidR="008A2F17" w:rsidRPr="008A2F17" w14:paraId="6B1F0CF1" w14:textId="77777777" w:rsidTr="00764B02">
        <w:trPr>
          <w:trHeight w:val="848"/>
        </w:trPr>
        <w:tc>
          <w:tcPr>
            <w:cnfStyle w:val="001000000000" w:firstRow="0" w:lastRow="0" w:firstColumn="1" w:lastColumn="0" w:oddVBand="0" w:evenVBand="0" w:oddHBand="0" w:evenHBand="0" w:firstRowFirstColumn="0" w:firstRowLastColumn="0" w:lastRowFirstColumn="0" w:lastRowLastColumn="0"/>
            <w:tcW w:w="0" w:type="auto"/>
            <w:hideMark/>
          </w:tcPr>
          <w:p w14:paraId="277AA4F7" w14:textId="77777777" w:rsidR="008A2F17" w:rsidRPr="008A2F17" w:rsidRDefault="008A2F17" w:rsidP="008A2F17">
            <w:pPr>
              <w:spacing w:before="60" w:after="60" w:line="240" w:lineRule="atLeast"/>
              <w:jc w:val="left"/>
              <w:rPr>
                <w:b w:val="0"/>
                <w:bCs w:val="0"/>
                <w:sz w:val="18"/>
                <w:szCs w:val="20"/>
              </w:rPr>
            </w:pPr>
            <w:r w:rsidRPr="008A2F17">
              <w:rPr>
                <w:b w:val="0"/>
                <w:bCs w:val="0"/>
                <w:sz w:val="18"/>
                <w:szCs w:val="20"/>
              </w:rPr>
              <w:t xml:space="preserve">2021 (1990-2019) emissions estimate with proposed </w:t>
            </w:r>
            <w:proofErr w:type="spellStart"/>
            <w:r w:rsidRPr="008A2F17">
              <w:rPr>
                <w:b w:val="0"/>
                <w:bCs w:val="0"/>
                <w:sz w:val="18"/>
                <w:szCs w:val="20"/>
              </w:rPr>
              <w:t>Frac</w:t>
            </w:r>
            <w:r w:rsidRPr="008A2F17">
              <w:rPr>
                <w:b w:val="0"/>
                <w:bCs w:val="0"/>
                <w:sz w:val="18"/>
                <w:szCs w:val="20"/>
                <w:vertAlign w:val="subscript"/>
              </w:rPr>
              <w:t>LEACH</w:t>
            </w:r>
            <w:proofErr w:type="spellEnd"/>
            <w:r w:rsidRPr="008A2F17">
              <w:rPr>
                <w:b w:val="0"/>
                <w:bCs w:val="0"/>
                <w:sz w:val="18"/>
                <w:szCs w:val="20"/>
                <w:vertAlign w:val="subscript"/>
              </w:rPr>
              <w:t xml:space="preserve"> </w:t>
            </w:r>
            <w:r w:rsidRPr="008A2F17">
              <w:rPr>
                <w:b w:val="0"/>
                <w:bCs w:val="0"/>
                <w:sz w:val="18"/>
                <w:szCs w:val="20"/>
              </w:rPr>
              <w:t>values </w:t>
            </w:r>
          </w:p>
        </w:tc>
        <w:tc>
          <w:tcPr>
            <w:tcW w:w="995" w:type="dxa"/>
            <w:hideMark/>
          </w:tcPr>
          <w:p w14:paraId="27175CAB"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33,841.6 </w:t>
            </w:r>
          </w:p>
        </w:tc>
        <w:tc>
          <w:tcPr>
            <w:tcW w:w="995" w:type="dxa"/>
            <w:hideMark/>
          </w:tcPr>
          <w:p w14:paraId="464AC3CB"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39,619.5 </w:t>
            </w:r>
          </w:p>
        </w:tc>
        <w:tc>
          <w:tcPr>
            <w:tcW w:w="0" w:type="auto"/>
            <w:hideMark/>
          </w:tcPr>
          <w:p w14:paraId="3D461B03"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5,777.9 </w:t>
            </w:r>
          </w:p>
        </w:tc>
        <w:tc>
          <w:tcPr>
            <w:tcW w:w="1716" w:type="dxa"/>
            <w:hideMark/>
          </w:tcPr>
          <w:p w14:paraId="45871AE1"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17.07% </w:t>
            </w:r>
          </w:p>
        </w:tc>
      </w:tr>
      <w:tr w:rsidR="008A2F17" w:rsidRPr="008A2F17" w14:paraId="40694C60" w14:textId="77777777" w:rsidTr="00764B0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21406646" w14:textId="77777777" w:rsidR="008A2F17" w:rsidRPr="008A2F17" w:rsidRDefault="008A2F17" w:rsidP="008A2F17">
            <w:pPr>
              <w:spacing w:before="60" w:after="60" w:line="240" w:lineRule="atLeast"/>
              <w:jc w:val="left"/>
              <w:rPr>
                <w:b w:val="0"/>
                <w:bCs w:val="0"/>
                <w:sz w:val="18"/>
                <w:szCs w:val="20"/>
              </w:rPr>
            </w:pPr>
            <w:r w:rsidRPr="008A2F17">
              <w:rPr>
                <w:b w:val="0"/>
                <w:bCs w:val="0"/>
                <w:sz w:val="18"/>
                <w:szCs w:val="20"/>
              </w:rPr>
              <w:t xml:space="preserve">Difference in emission estimates </w:t>
            </w:r>
          </w:p>
        </w:tc>
        <w:tc>
          <w:tcPr>
            <w:tcW w:w="995" w:type="dxa"/>
            <w:tcBorders>
              <w:top w:val="none" w:sz="0" w:space="0" w:color="auto"/>
              <w:bottom w:val="none" w:sz="0" w:space="0" w:color="auto"/>
            </w:tcBorders>
            <w:hideMark/>
          </w:tcPr>
          <w:p w14:paraId="3EA0547C"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1.3 </w:t>
            </w:r>
          </w:p>
        </w:tc>
        <w:tc>
          <w:tcPr>
            <w:tcW w:w="995" w:type="dxa"/>
            <w:tcBorders>
              <w:top w:val="none" w:sz="0" w:space="0" w:color="auto"/>
              <w:bottom w:val="none" w:sz="0" w:space="0" w:color="auto"/>
            </w:tcBorders>
            <w:hideMark/>
          </w:tcPr>
          <w:p w14:paraId="27D5F6B6"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1.8 </w:t>
            </w:r>
          </w:p>
        </w:tc>
        <w:tc>
          <w:tcPr>
            <w:tcW w:w="0" w:type="auto"/>
            <w:tcBorders>
              <w:top w:val="none" w:sz="0" w:space="0" w:color="auto"/>
              <w:bottom w:val="none" w:sz="0" w:space="0" w:color="auto"/>
            </w:tcBorders>
            <w:hideMark/>
          </w:tcPr>
          <w:p w14:paraId="5666598A"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0.5 </w:t>
            </w:r>
          </w:p>
        </w:tc>
        <w:tc>
          <w:tcPr>
            <w:tcW w:w="1716" w:type="dxa"/>
            <w:tcBorders>
              <w:top w:val="none" w:sz="0" w:space="0" w:color="auto"/>
              <w:bottom w:val="none" w:sz="0" w:space="0" w:color="auto"/>
              <w:right w:val="none" w:sz="0" w:space="0" w:color="auto"/>
            </w:tcBorders>
            <w:hideMark/>
          </w:tcPr>
          <w:p w14:paraId="2F85F088" w14:textId="77777777" w:rsidR="008A2F17" w:rsidRPr="008A2F17" w:rsidRDefault="008A2F17" w:rsidP="008A2F17">
            <w:pPr>
              <w:spacing w:before="60" w:after="60" w:line="240" w:lineRule="atLeast"/>
              <w:jc w:val="right"/>
              <w:cnfStyle w:val="000000100000" w:firstRow="0" w:lastRow="0" w:firstColumn="0" w:lastColumn="0" w:oddVBand="0" w:evenVBand="0" w:oddHBand="1" w:evenHBand="0" w:firstRowFirstColumn="0" w:firstRowLastColumn="0" w:lastRowFirstColumn="0" w:lastRowLastColumn="0"/>
              <w:rPr>
                <w:sz w:val="18"/>
                <w:szCs w:val="20"/>
              </w:rPr>
            </w:pPr>
            <w:r w:rsidRPr="008A2F17">
              <w:rPr>
                <w:sz w:val="18"/>
                <w:szCs w:val="20"/>
              </w:rPr>
              <w:t>  </w:t>
            </w:r>
          </w:p>
        </w:tc>
      </w:tr>
      <w:tr w:rsidR="008A2F17" w:rsidRPr="008A2F17" w14:paraId="7709EA0E" w14:textId="77777777" w:rsidTr="00764B02">
        <w:trPr>
          <w:trHeight w:val="569"/>
        </w:trPr>
        <w:tc>
          <w:tcPr>
            <w:cnfStyle w:val="001000000000" w:firstRow="0" w:lastRow="0" w:firstColumn="1" w:lastColumn="0" w:oddVBand="0" w:evenVBand="0" w:oddHBand="0" w:evenHBand="0" w:firstRowFirstColumn="0" w:firstRowLastColumn="0" w:lastRowFirstColumn="0" w:lastRowLastColumn="0"/>
            <w:tcW w:w="0" w:type="auto"/>
            <w:hideMark/>
          </w:tcPr>
          <w:p w14:paraId="22A3D6D8" w14:textId="77777777" w:rsidR="008A2F17" w:rsidRPr="008A2F17" w:rsidRDefault="008A2F17" w:rsidP="008A2F17">
            <w:pPr>
              <w:spacing w:before="60" w:after="60" w:line="240" w:lineRule="atLeast"/>
              <w:jc w:val="left"/>
              <w:rPr>
                <w:b w:val="0"/>
                <w:bCs w:val="0"/>
                <w:sz w:val="18"/>
                <w:szCs w:val="20"/>
              </w:rPr>
            </w:pPr>
            <w:r w:rsidRPr="008A2F17">
              <w:rPr>
                <w:b w:val="0"/>
                <w:bCs w:val="0"/>
                <w:sz w:val="18"/>
                <w:szCs w:val="20"/>
              </w:rPr>
              <w:t>Percentage difference in emission estimates</w:t>
            </w:r>
          </w:p>
        </w:tc>
        <w:tc>
          <w:tcPr>
            <w:tcW w:w="995" w:type="dxa"/>
            <w:hideMark/>
          </w:tcPr>
          <w:p w14:paraId="0275D964"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0.38% </w:t>
            </w:r>
          </w:p>
        </w:tc>
        <w:tc>
          <w:tcPr>
            <w:tcW w:w="995" w:type="dxa"/>
            <w:hideMark/>
          </w:tcPr>
          <w:p w14:paraId="7E21784A"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0.45% </w:t>
            </w:r>
          </w:p>
        </w:tc>
        <w:tc>
          <w:tcPr>
            <w:tcW w:w="0" w:type="auto"/>
            <w:hideMark/>
          </w:tcPr>
          <w:p w14:paraId="65109A1B"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  </w:t>
            </w:r>
          </w:p>
        </w:tc>
        <w:tc>
          <w:tcPr>
            <w:tcW w:w="1716" w:type="dxa"/>
            <w:hideMark/>
          </w:tcPr>
          <w:p w14:paraId="48F4EBE1" w14:textId="77777777" w:rsidR="008A2F17" w:rsidRPr="008A2F17" w:rsidRDefault="008A2F17" w:rsidP="008A2F17">
            <w:pPr>
              <w:spacing w:before="60" w:after="60" w:line="240" w:lineRule="atLeast"/>
              <w:jc w:val="right"/>
              <w:cnfStyle w:val="000000000000" w:firstRow="0" w:lastRow="0" w:firstColumn="0" w:lastColumn="0" w:oddVBand="0" w:evenVBand="0" w:oddHBand="0" w:evenHBand="0" w:firstRowFirstColumn="0" w:firstRowLastColumn="0" w:lastRowFirstColumn="0" w:lastRowLastColumn="0"/>
              <w:rPr>
                <w:sz w:val="18"/>
                <w:szCs w:val="20"/>
              </w:rPr>
            </w:pPr>
            <w:r w:rsidRPr="008A2F17">
              <w:rPr>
                <w:sz w:val="18"/>
                <w:szCs w:val="20"/>
              </w:rPr>
              <w:t>  </w:t>
            </w:r>
          </w:p>
        </w:tc>
      </w:tr>
    </w:tbl>
    <w:p w14:paraId="52651AB0" w14:textId="77777777" w:rsidR="008A2F17" w:rsidRPr="008A2F17" w:rsidRDefault="008A2F17" w:rsidP="00C9562A">
      <w:pPr>
        <w:pStyle w:val="Heading3"/>
      </w:pPr>
      <w:bookmarkStart w:id="17" w:name="_Updated_assumption_applied"/>
      <w:bookmarkEnd w:id="16"/>
      <w:bookmarkEnd w:id="17"/>
      <w:r w:rsidRPr="008A2F17">
        <w:t>Updated assumption applied to purity of agricultural lime</w:t>
      </w:r>
    </w:p>
    <w:p w14:paraId="0BBDB8AB" w14:textId="77777777" w:rsidR="008A2F17" w:rsidRPr="008A2F17" w:rsidRDefault="008A2F17" w:rsidP="00C73873">
      <w:pPr>
        <w:pStyle w:val="BodyText"/>
      </w:pPr>
      <w:r w:rsidRPr="008A2F17">
        <w:t xml:space="preserve">Liming is used throughout Aotearoa New Zealand to neutralise soil acidity. When soils are too acidic, they impact the solubility and availability of nutrients and result in poorer pasture production. </w:t>
      </w:r>
    </w:p>
    <w:p w14:paraId="08622CB9" w14:textId="77777777" w:rsidR="008A2F17" w:rsidRPr="008A2F17" w:rsidRDefault="008A2F17" w:rsidP="00C73873">
      <w:pPr>
        <w:pStyle w:val="BodyText"/>
      </w:pPr>
      <w:r w:rsidRPr="008A2F17">
        <w:t>Previously it was assumed that agricultural lime was comprised of 100% calcium carbonate (CaCO</w:t>
      </w:r>
      <w:r w:rsidRPr="008A2F17">
        <w:rPr>
          <w:vertAlign w:val="subscript"/>
        </w:rPr>
        <w:t>3</w:t>
      </w:r>
      <w:r w:rsidRPr="008A2F17">
        <w:t>). Recent research findings have updated this assumption to better reflect the impurity of agricultural lime and additionally, moisture content, given that the method to estimate emissions is based on dry weight. A correction factor of 82 per cent is now being applied to the total tonnage of agricultural lime used on soils.</w:t>
      </w:r>
    </w:p>
    <w:p w14:paraId="395A7C51" w14:textId="77777777" w:rsidR="008A2F17" w:rsidRPr="008A2F17" w:rsidRDefault="008A2F17" w:rsidP="00C73873">
      <w:pPr>
        <w:pStyle w:val="BodyText"/>
      </w:pPr>
      <w:r w:rsidRPr="008A2F17">
        <w:t>Applying this improvement across the entire time series results in a decrease in agricultural emissions of 63 kt CO</w:t>
      </w:r>
      <w:r w:rsidRPr="008A2F17">
        <w:rPr>
          <w:vertAlign w:val="subscript"/>
        </w:rPr>
        <w:t>2</w:t>
      </w:r>
      <w:r w:rsidRPr="008A2F17">
        <w:t>-e in 1990 and 96 kt CO</w:t>
      </w:r>
      <w:r w:rsidRPr="008A2F17">
        <w:rPr>
          <w:vertAlign w:val="subscript"/>
        </w:rPr>
        <w:t>2</w:t>
      </w:r>
      <w:r w:rsidRPr="008A2F17">
        <w:t>-e in 2019, or 0.19 per cent and 0.24 per cent respectively. The change in emission outputs (-33 kt CO</w:t>
      </w:r>
      <w:r w:rsidRPr="008A2F17">
        <w:rPr>
          <w:vertAlign w:val="subscript"/>
        </w:rPr>
        <w:t>2</w:t>
      </w:r>
      <w:r w:rsidRPr="008A2F17">
        <w:t>-e) between 1990 and 2019 demonstrates the applied improvements are reasonably consistent over time.</w:t>
      </w:r>
    </w:p>
    <w:p w14:paraId="5F5FF15C" w14:textId="77777777" w:rsidR="008A2F17" w:rsidRPr="008A2F17" w:rsidRDefault="008A2F17" w:rsidP="00BA4B64">
      <w:pPr>
        <w:pStyle w:val="Tableheading"/>
      </w:pPr>
      <w:bookmarkStart w:id="18" w:name="_Toc96523589"/>
      <w:r w:rsidRPr="008A2F17">
        <w:t xml:space="preserve">Table </w:t>
      </w:r>
      <w:fldSimple w:instr=" SEQ Table \* ARABIC ">
        <w:r w:rsidRPr="008A2F17">
          <w:rPr>
            <w:noProof/>
          </w:rPr>
          <w:t>3</w:t>
        </w:r>
      </w:fldSimple>
      <w:r w:rsidRPr="008A2F17">
        <w:t xml:space="preserve">: </w:t>
      </w:r>
      <w:r w:rsidRPr="008A2F17">
        <w:tab/>
        <w:t>Comparison of total agricultural emissions estimates before and after incorporation of proposed lime purity values, 1990 and 2019</w:t>
      </w:r>
      <w:bookmarkEnd w:id="18"/>
    </w:p>
    <w:tbl>
      <w:tblPr>
        <w:tblpPr w:leftFromText="170" w:rightFromText="170" w:vertAnchor="text" w:horzAnchor="margin" w:tblpXSpec="right" w:tblpY="18"/>
        <w:tblW w:w="4990" w:type="pct"/>
        <w:tblBorders>
          <w:bottom w:val="single" w:sz="4" w:space="0" w:color="1B556B" w:themeColor="text2"/>
          <w:insideH w:val="single" w:sz="4" w:space="0" w:color="1B556B" w:themeColor="text2"/>
          <w:insideV w:val="single" w:sz="4" w:space="0" w:color="1B556B" w:themeColor="text2"/>
        </w:tblBorders>
        <w:tblCellMar>
          <w:left w:w="0" w:type="dxa"/>
          <w:right w:w="0" w:type="dxa"/>
        </w:tblCellMar>
        <w:tblLook w:val="04A0" w:firstRow="1" w:lastRow="0" w:firstColumn="1" w:lastColumn="0" w:noHBand="0" w:noVBand="1"/>
      </w:tblPr>
      <w:tblGrid>
        <w:gridCol w:w="3164"/>
        <w:gridCol w:w="999"/>
        <w:gridCol w:w="999"/>
        <w:gridCol w:w="2225"/>
        <w:gridCol w:w="1666"/>
      </w:tblGrid>
      <w:tr w:rsidR="008A2F17" w:rsidRPr="008A2F17" w14:paraId="24DD4C12" w14:textId="77777777" w:rsidTr="00B60712">
        <w:trPr>
          <w:trHeight w:val="300"/>
        </w:trPr>
        <w:tc>
          <w:tcPr>
            <w:tcW w:w="1747" w:type="pct"/>
            <w:vMerge w:val="restart"/>
            <w:shd w:val="clear" w:color="auto" w:fill="1B556B" w:themeFill="accent2"/>
            <w:hideMark/>
          </w:tcPr>
          <w:p w14:paraId="7EBB50A0" w14:textId="77777777" w:rsidR="008A2F17" w:rsidRPr="008A2F17" w:rsidRDefault="008A2F17" w:rsidP="008A2F17">
            <w:pPr>
              <w:spacing w:before="60" w:after="60" w:line="240" w:lineRule="atLeast"/>
              <w:jc w:val="left"/>
              <w:rPr>
                <w:b/>
                <w:bCs/>
                <w:color w:val="FFFFFF" w:themeColor="background1"/>
                <w:sz w:val="18"/>
                <w:szCs w:val="20"/>
              </w:rPr>
            </w:pPr>
            <w:r w:rsidRPr="008A2F17">
              <w:rPr>
                <w:b/>
                <w:bCs/>
                <w:color w:val="FFFFFF" w:themeColor="background1"/>
                <w:sz w:val="18"/>
                <w:szCs w:val="20"/>
              </w:rPr>
              <w:t> Improvement impact</w:t>
            </w:r>
          </w:p>
        </w:tc>
        <w:tc>
          <w:tcPr>
            <w:tcW w:w="552" w:type="pct"/>
            <w:vMerge w:val="restart"/>
            <w:shd w:val="clear" w:color="auto" w:fill="1B556B" w:themeFill="text2"/>
            <w:hideMark/>
          </w:tcPr>
          <w:p w14:paraId="73111424" w14:textId="77777777" w:rsidR="008A2F17" w:rsidRPr="008A2F17" w:rsidRDefault="008A2F17" w:rsidP="008A2F17">
            <w:pPr>
              <w:spacing w:before="60" w:after="60" w:line="240" w:lineRule="atLeast"/>
              <w:jc w:val="left"/>
              <w:rPr>
                <w:b/>
                <w:bCs/>
                <w:color w:val="FFFFFF" w:themeColor="background1"/>
                <w:sz w:val="18"/>
                <w:szCs w:val="20"/>
              </w:rPr>
            </w:pPr>
            <w:r w:rsidRPr="008A2F17">
              <w:rPr>
                <w:b/>
                <w:bCs/>
                <w:color w:val="FFFFFF" w:themeColor="background1"/>
                <w:sz w:val="18"/>
                <w:szCs w:val="20"/>
              </w:rPr>
              <w:t>1990</w:t>
            </w:r>
          </w:p>
          <w:p w14:paraId="713E9965" w14:textId="77777777" w:rsidR="008A2F17" w:rsidRPr="008A2F17" w:rsidRDefault="008A2F17" w:rsidP="008A2F17">
            <w:pPr>
              <w:spacing w:before="60" w:after="60" w:line="240" w:lineRule="atLeast"/>
              <w:jc w:val="left"/>
              <w:rPr>
                <w:b/>
                <w:bCs/>
                <w:color w:val="FFFFFF" w:themeColor="background1"/>
                <w:sz w:val="18"/>
                <w:szCs w:val="20"/>
              </w:rPr>
            </w:pPr>
            <w:r w:rsidRPr="008A2F17">
              <w:rPr>
                <w:b/>
                <w:bCs/>
                <w:color w:val="FFFFFF" w:themeColor="background1"/>
                <w:sz w:val="18"/>
                <w:szCs w:val="20"/>
              </w:rPr>
              <w:t>(</w:t>
            </w:r>
            <w:proofErr w:type="gramStart"/>
            <w:r w:rsidRPr="008A2F17">
              <w:rPr>
                <w:b/>
                <w:bCs/>
                <w:color w:val="FFFFFF" w:themeColor="background1"/>
                <w:sz w:val="18"/>
                <w:szCs w:val="20"/>
                <w:shd w:val="clear" w:color="auto" w:fill="1B556B" w:themeFill="text2"/>
              </w:rPr>
              <w:t>kt</w:t>
            </w:r>
            <w:proofErr w:type="gramEnd"/>
            <w:r w:rsidRPr="008A2F17">
              <w:rPr>
                <w:b/>
                <w:bCs/>
                <w:color w:val="FFFFFF" w:themeColor="background1"/>
                <w:sz w:val="18"/>
                <w:szCs w:val="20"/>
                <w:shd w:val="clear" w:color="auto" w:fill="1B556B" w:themeFill="text2"/>
              </w:rPr>
              <w:t xml:space="preserve"> CO</w:t>
            </w:r>
            <w:r w:rsidRPr="008A2F17">
              <w:rPr>
                <w:b/>
                <w:bCs/>
                <w:color w:val="FFFFFF" w:themeColor="background1"/>
                <w:sz w:val="18"/>
                <w:szCs w:val="20"/>
                <w:shd w:val="clear" w:color="auto" w:fill="1B556B" w:themeFill="text2"/>
                <w:vertAlign w:val="subscript"/>
              </w:rPr>
              <w:t>2</w:t>
            </w:r>
            <w:r w:rsidRPr="008A2F17">
              <w:rPr>
                <w:b/>
                <w:bCs/>
                <w:color w:val="FFFFFF" w:themeColor="background1"/>
                <w:sz w:val="18"/>
                <w:szCs w:val="20"/>
                <w:shd w:val="clear" w:color="auto" w:fill="1B556B" w:themeFill="text2"/>
              </w:rPr>
              <w:t>-e)</w:t>
            </w:r>
          </w:p>
        </w:tc>
        <w:tc>
          <w:tcPr>
            <w:tcW w:w="552" w:type="pct"/>
            <w:vMerge w:val="restart"/>
            <w:shd w:val="clear" w:color="auto" w:fill="1B556B" w:themeFill="text2"/>
            <w:hideMark/>
          </w:tcPr>
          <w:p w14:paraId="098F9C53" w14:textId="77777777" w:rsidR="008A2F17" w:rsidRPr="008A2F17" w:rsidRDefault="008A2F17" w:rsidP="008A2F17">
            <w:pPr>
              <w:spacing w:before="60" w:after="60" w:line="240" w:lineRule="atLeast"/>
              <w:jc w:val="left"/>
              <w:rPr>
                <w:b/>
                <w:bCs/>
                <w:color w:val="FFFFFF" w:themeColor="background1"/>
                <w:sz w:val="18"/>
                <w:szCs w:val="20"/>
              </w:rPr>
            </w:pPr>
            <w:r w:rsidRPr="008A2F17">
              <w:rPr>
                <w:b/>
                <w:bCs/>
                <w:color w:val="FFFFFF" w:themeColor="background1"/>
                <w:sz w:val="18"/>
                <w:szCs w:val="20"/>
              </w:rPr>
              <w:t>2019</w:t>
            </w:r>
          </w:p>
          <w:p w14:paraId="656CCD87" w14:textId="77777777" w:rsidR="008A2F17" w:rsidRPr="008A2F17" w:rsidRDefault="008A2F17" w:rsidP="008A2F17">
            <w:pPr>
              <w:spacing w:before="60" w:after="60" w:line="240" w:lineRule="atLeast"/>
              <w:jc w:val="left"/>
              <w:rPr>
                <w:b/>
                <w:bCs/>
                <w:color w:val="FFFFFF" w:themeColor="background1"/>
                <w:sz w:val="18"/>
                <w:szCs w:val="20"/>
              </w:rPr>
            </w:pPr>
            <w:r w:rsidRPr="008A2F17">
              <w:rPr>
                <w:b/>
                <w:bCs/>
                <w:color w:val="FFFFFF" w:themeColor="background1"/>
                <w:sz w:val="18"/>
                <w:szCs w:val="20"/>
              </w:rPr>
              <w:t>(</w:t>
            </w:r>
            <w:proofErr w:type="gramStart"/>
            <w:r w:rsidRPr="008A2F17">
              <w:rPr>
                <w:b/>
                <w:bCs/>
                <w:color w:val="FFFFFF" w:themeColor="background1"/>
                <w:sz w:val="18"/>
                <w:szCs w:val="20"/>
                <w:shd w:val="clear" w:color="auto" w:fill="1B556B" w:themeFill="text2"/>
              </w:rPr>
              <w:t>kt</w:t>
            </w:r>
            <w:proofErr w:type="gramEnd"/>
            <w:r w:rsidRPr="008A2F17">
              <w:rPr>
                <w:b/>
                <w:bCs/>
                <w:color w:val="FFFFFF" w:themeColor="background1"/>
                <w:sz w:val="18"/>
                <w:szCs w:val="20"/>
                <w:shd w:val="clear" w:color="auto" w:fill="1B556B" w:themeFill="text2"/>
              </w:rPr>
              <w:t xml:space="preserve"> CO</w:t>
            </w:r>
            <w:r w:rsidRPr="008A2F17">
              <w:rPr>
                <w:b/>
                <w:bCs/>
                <w:color w:val="FFFFFF" w:themeColor="background1"/>
                <w:sz w:val="18"/>
                <w:szCs w:val="20"/>
                <w:shd w:val="clear" w:color="auto" w:fill="1B556B" w:themeFill="text2"/>
                <w:vertAlign w:val="subscript"/>
              </w:rPr>
              <w:t>2</w:t>
            </w:r>
            <w:r w:rsidRPr="008A2F17">
              <w:rPr>
                <w:b/>
                <w:bCs/>
                <w:color w:val="FFFFFF" w:themeColor="background1"/>
                <w:sz w:val="18"/>
                <w:szCs w:val="20"/>
                <w:shd w:val="clear" w:color="auto" w:fill="1B556B" w:themeFill="text2"/>
              </w:rPr>
              <w:t>-e)</w:t>
            </w:r>
          </w:p>
        </w:tc>
        <w:tc>
          <w:tcPr>
            <w:tcW w:w="1229" w:type="pct"/>
            <w:vMerge w:val="restart"/>
            <w:shd w:val="clear" w:color="auto" w:fill="1B556B" w:themeFill="text2"/>
            <w:hideMark/>
          </w:tcPr>
          <w:p w14:paraId="1A15A8C9" w14:textId="77777777" w:rsidR="008A2F17" w:rsidRPr="008A2F17" w:rsidRDefault="008A2F17" w:rsidP="008A2F17">
            <w:pPr>
              <w:spacing w:before="60" w:after="60" w:line="240" w:lineRule="atLeast"/>
              <w:jc w:val="left"/>
              <w:rPr>
                <w:b/>
                <w:bCs/>
                <w:color w:val="FFFFFF" w:themeColor="background1"/>
                <w:sz w:val="18"/>
                <w:szCs w:val="20"/>
              </w:rPr>
            </w:pPr>
            <w:r w:rsidRPr="008A2F17">
              <w:rPr>
                <w:b/>
                <w:bCs/>
                <w:color w:val="FFFFFF" w:themeColor="background1"/>
                <w:sz w:val="18"/>
                <w:szCs w:val="20"/>
              </w:rPr>
              <w:t>Change in emission outputs between 1990 and 2019 (kt CO</w:t>
            </w:r>
            <w:r w:rsidRPr="008A2F17">
              <w:rPr>
                <w:b/>
                <w:bCs/>
                <w:color w:val="FFFFFF" w:themeColor="background1"/>
                <w:sz w:val="18"/>
                <w:szCs w:val="20"/>
                <w:vertAlign w:val="subscript"/>
              </w:rPr>
              <w:t>2</w:t>
            </w:r>
            <w:r w:rsidRPr="008A2F17">
              <w:rPr>
                <w:b/>
                <w:bCs/>
                <w:color w:val="FFFFFF" w:themeColor="background1"/>
                <w:sz w:val="18"/>
                <w:szCs w:val="20"/>
              </w:rPr>
              <w:t>-e)</w:t>
            </w:r>
          </w:p>
        </w:tc>
        <w:tc>
          <w:tcPr>
            <w:tcW w:w="920" w:type="pct"/>
            <w:vMerge w:val="restart"/>
            <w:shd w:val="clear" w:color="auto" w:fill="1B556B" w:themeFill="text2"/>
            <w:hideMark/>
          </w:tcPr>
          <w:p w14:paraId="4BF8DA58" w14:textId="77777777" w:rsidR="008A2F17" w:rsidRPr="008A2F17" w:rsidRDefault="008A2F17" w:rsidP="008A2F17">
            <w:pPr>
              <w:spacing w:before="60" w:after="60" w:line="240" w:lineRule="atLeast"/>
              <w:jc w:val="left"/>
              <w:rPr>
                <w:b/>
                <w:bCs/>
                <w:color w:val="FFFFFF" w:themeColor="background1"/>
                <w:sz w:val="18"/>
                <w:szCs w:val="20"/>
              </w:rPr>
            </w:pPr>
            <w:r w:rsidRPr="008A2F17">
              <w:rPr>
                <w:b/>
                <w:bCs/>
                <w:color w:val="FFFFFF" w:themeColor="background1"/>
                <w:sz w:val="18"/>
                <w:szCs w:val="20"/>
              </w:rPr>
              <w:t>Percentage change in emission outputs between 1990 and 2019</w:t>
            </w:r>
          </w:p>
        </w:tc>
      </w:tr>
      <w:tr w:rsidR="008A2F17" w:rsidRPr="008A2F17" w14:paraId="6127F0FA" w14:textId="77777777" w:rsidTr="00B60712">
        <w:trPr>
          <w:trHeight w:val="657"/>
        </w:trPr>
        <w:tc>
          <w:tcPr>
            <w:tcW w:w="1747" w:type="pct"/>
            <w:vMerge/>
            <w:shd w:val="clear" w:color="auto" w:fill="1B556B" w:themeFill="accent2"/>
            <w:vAlign w:val="center"/>
          </w:tcPr>
          <w:p w14:paraId="58BC09CE" w14:textId="77777777" w:rsidR="008A2F17" w:rsidRPr="008A2F17" w:rsidRDefault="008A2F17" w:rsidP="008A2F17">
            <w:pPr>
              <w:spacing w:before="60" w:after="60" w:line="240" w:lineRule="atLeast"/>
              <w:jc w:val="left"/>
              <w:rPr>
                <w:b/>
                <w:bCs/>
                <w:color w:val="FFFFFF" w:themeColor="background1"/>
                <w:sz w:val="18"/>
                <w:szCs w:val="20"/>
              </w:rPr>
            </w:pPr>
          </w:p>
        </w:tc>
        <w:tc>
          <w:tcPr>
            <w:tcW w:w="552" w:type="pct"/>
            <w:vMerge/>
            <w:shd w:val="clear" w:color="auto" w:fill="1B556B" w:themeFill="text2"/>
            <w:vAlign w:val="center"/>
          </w:tcPr>
          <w:p w14:paraId="40D117AD" w14:textId="77777777" w:rsidR="008A2F17" w:rsidRPr="008A2F17" w:rsidRDefault="008A2F17" w:rsidP="008A2F17">
            <w:pPr>
              <w:spacing w:before="60" w:after="60" w:line="240" w:lineRule="atLeast"/>
              <w:jc w:val="left"/>
              <w:rPr>
                <w:b/>
                <w:bCs/>
                <w:color w:val="FFFFFF" w:themeColor="background1"/>
                <w:sz w:val="18"/>
                <w:szCs w:val="20"/>
              </w:rPr>
            </w:pPr>
          </w:p>
        </w:tc>
        <w:tc>
          <w:tcPr>
            <w:tcW w:w="552" w:type="pct"/>
            <w:vMerge/>
            <w:shd w:val="clear" w:color="auto" w:fill="1B556B" w:themeFill="text2"/>
            <w:vAlign w:val="center"/>
          </w:tcPr>
          <w:p w14:paraId="30861AA5" w14:textId="77777777" w:rsidR="008A2F17" w:rsidRPr="008A2F17" w:rsidRDefault="008A2F17" w:rsidP="008A2F17">
            <w:pPr>
              <w:spacing w:before="60" w:after="60" w:line="240" w:lineRule="atLeast"/>
              <w:jc w:val="left"/>
              <w:rPr>
                <w:b/>
                <w:bCs/>
                <w:color w:val="FFFFFF" w:themeColor="background1"/>
                <w:sz w:val="18"/>
                <w:szCs w:val="20"/>
              </w:rPr>
            </w:pPr>
          </w:p>
        </w:tc>
        <w:tc>
          <w:tcPr>
            <w:tcW w:w="1229" w:type="pct"/>
            <w:vMerge/>
            <w:shd w:val="clear" w:color="auto" w:fill="1B556B" w:themeFill="text2"/>
            <w:vAlign w:val="center"/>
          </w:tcPr>
          <w:p w14:paraId="23B8FAC5" w14:textId="77777777" w:rsidR="008A2F17" w:rsidRPr="008A2F17" w:rsidRDefault="008A2F17" w:rsidP="008A2F17">
            <w:pPr>
              <w:spacing w:before="60" w:after="60" w:line="240" w:lineRule="atLeast"/>
              <w:jc w:val="left"/>
              <w:rPr>
                <w:b/>
                <w:bCs/>
                <w:color w:val="FFFFFF" w:themeColor="background1"/>
                <w:sz w:val="18"/>
                <w:szCs w:val="20"/>
              </w:rPr>
            </w:pPr>
          </w:p>
        </w:tc>
        <w:tc>
          <w:tcPr>
            <w:tcW w:w="920" w:type="pct"/>
            <w:vMerge/>
            <w:shd w:val="clear" w:color="auto" w:fill="1B556B" w:themeFill="text2"/>
            <w:vAlign w:val="center"/>
          </w:tcPr>
          <w:p w14:paraId="0A790E58" w14:textId="77777777" w:rsidR="008A2F17" w:rsidRPr="008A2F17" w:rsidRDefault="008A2F17" w:rsidP="008A2F17">
            <w:pPr>
              <w:spacing w:before="60" w:after="60" w:line="240" w:lineRule="atLeast"/>
              <w:jc w:val="left"/>
              <w:rPr>
                <w:b/>
                <w:bCs/>
                <w:color w:val="FFFFFF" w:themeColor="background1"/>
                <w:sz w:val="18"/>
                <w:szCs w:val="20"/>
              </w:rPr>
            </w:pPr>
          </w:p>
        </w:tc>
      </w:tr>
      <w:tr w:rsidR="008A2F17" w:rsidRPr="008A2F17" w14:paraId="3F7DF2AB" w14:textId="77777777" w:rsidTr="00B60712">
        <w:trPr>
          <w:trHeight w:val="269"/>
        </w:trPr>
        <w:tc>
          <w:tcPr>
            <w:tcW w:w="1747" w:type="pct"/>
            <w:vMerge/>
            <w:shd w:val="clear" w:color="auto" w:fill="1B556B" w:themeFill="accent2"/>
            <w:vAlign w:val="center"/>
            <w:hideMark/>
          </w:tcPr>
          <w:p w14:paraId="54548AB3" w14:textId="77777777" w:rsidR="008A2F17" w:rsidRPr="008A2F17" w:rsidRDefault="008A2F17" w:rsidP="008A2F17">
            <w:pPr>
              <w:spacing w:before="60" w:after="60" w:line="240" w:lineRule="atLeast"/>
              <w:jc w:val="left"/>
              <w:rPr>
                <w:sz w:val="18"/>
                <w:szCs w:val="20"/>
              </w:rPr>
            </w:pPr>
          </w:p>
        </w:tc>
        <w:tc>
          <w:tcPr>
            <w:tcW w:w="552" w:type="pct"/>
            <w:vMerge/>
            <w:shd w:val="clear" w:color="auto" w:fill="auto"/>
            <w:vAlign w:val="center"/>
            <w:hideMark/>
          </w:tcPr>
          <w:p w14:paraId="4A59D3BD" w14:textId="77777777" w:rsidR="008A2F17" w:rsidRPr="008A2F17" w:rsidRDefault="008A2F17" w:rsidP="008A2F17">
            <w:pPr>
              <w:spacing w:before="60" w:after="60" w:line="240" w:lineRule="atLeast"/>
              <w:jc w:val="left"/>
              <w:rPr>
                <w:sz w:val="18"/>
                <w:szCs w:val="20"/>
              </w:rPr>
            </w:pPr>
          </w:p>
        </w:tc>
        <w:tc>
          <w:tcPr>
            <w:tcW w:w="552" w:type="pct"/>
            <w:vMerge/>
            <w:shd w:val="clear" w:color="auto" w:fill="auto"/>
            <w:vAlign w:val="center"/>
            <w:hideMark/>
          </w:tcPr>
          <w:p w14:paraId="731CC3E9" w14:textId="77777777" w:rsidR="008A2F17" w:rsidRPr="008A2F17" w:rsidRDefault="008A2F17" w:rsidP="008A2F17">
            <w:pPr>
              <w:spacing w:before="60" w:after="60" w:line="240" w:lineRule="atLeast"/>
              <w:jc w:val="left"/>
              <w:rPr>
                <w:sz w:val="18"/>
                <w:szCs w:val="20"/>
              </w:rPr>
            </w:pPr>
          </w:p>
        </w:tc>
        <w:tc>
          <w:tcPr>
            <w:tcW w:w="1229" w:type="pct"/>
            <w:vMerge/>
            <w:shd w:val="clear" w:color="auto" w:fill="auto"/>
            <w:vAlign w:val="center"/>
            <w:hideMark/>
          </w:tcPr>
          <w:p w14:paraId="3194C213" w14:textId="77777777" w:rsidR="008A2F17" w:rsidRPr="008A2F17" w:rsidRDefault="008A2F17" w:rsidP="008A2F17">
            <w:pPr>
              <w:spacing w:before="60" w:after="60" w:line="240" w:lineRule="atLeast"/>
              <w:jc w:val="left"/>
              <w:rPr>
                <w:sz w:val="18"/>
                <w:szCs w:val="20"/>
              </w:rPr>
            </w:pPr>
          </w:p>
        </w:tc>
        <w:tc>
          <w:tcPr>
            <w:tcW w:w="920" w:type="pct"/>
            <w:vMerge/>
            <w:shd w:val="clear" w:color="auto" w:fill="auto"/>
            <w:vAlign w:val="center"/>
            <w:hideMark/>
          </w:tcPr>
          <w:p w14:paraId="32E61344" w14:textId="77777777" w:rsidR="008A2F17" w:rsidRPr="008A2F17" w:rsidRDefault="008A2F17" w:rsidP="008A2F17">
            <w:pPr>
              <w:spacing w:before="60" w:after="60" w:line="240" w:lineRule="atLeast"/>
              <w:jc w:val="left"/>
              <w:rPr>
                <w:sz w:val="18"/>
                <w:szCs w:val="20"/>
              </w:rPr>
            </w:pPr>
          </w:p>
        </w:tc>
      </w:tr>
      <w:tr w:rsidR="008A2F17" w:rsidRPr="008A2F17" w14:paraId="2ACED123" w14:textId="77777777" w:rsidTr="00B60712">
        <w:trPr>
          <w:trHeight w:val="588"/>
        </w:trPr>
        <w:tc>
          <w:tcPr>
            <w:tcW w:w="1747" w:type="pct"/>
            <w:shd w:val="clear" w:color="auto" w:fill="auto"/>
            <w:tcMar>
              <w:left w:w="108" w:type="dxa"/>
              <w:right w:w="108" w:type="dxa"/>
            </w:tcMar>
            <w:hideMark/>
          </w:tcPr>
          <w:p w14:paraId="5DD3513A" w14:textId="77777777" w:rsidR="008A2F17" w:rsidRPr="008A2F17" w:rsidRDefault="008A2F17" w:rsidP="008A2F17">
            <w:pPr>
              <w:spacing w:before="60" w:after="60" w:line="240" w:lineRule="atLeast"/>
              <w:jc w:val="left"/>
              <w:rPr>
                <w:sz w:val="18"/>
                <w:szCs w:val="20"/>
              </w:rPr>
            </w:pPr>
            <w:r w:rsidRPr="008A2F17">
              <w:rPr>
                <w:sz w:val="18"/>
                <w:szCs w:val="20"/>
              </w:rPr>
              <w:t>2021 (1990-2019) emissions estimate with current lime purity values</w:t>
            </w:r>
          </w:p>
        </w:tc>
        <w:tc>
          <w:tcPr>
            <w:tcW w:w="552" w:type="pct"/>
            <w:shd w:val="clear" w:color="auto" w:fill="auto"/>
            <w:tcMar>
              <w:left w:w="108" w:type="dxa"/>
              <w:right w:w="108" w:type="dxa"/>
            </w:tcMar>
            <w:hideMark/>
          </w:tcPr>
          <w:p w14:paraId="0EE00660" w14:textId="77777777" w:rsidR="008A2F17" w:rsidRPr="008A2F17" w:rsidRDefault="008A2F17" w:rsidP="008A2F17">
            <w:pPr>
              <w:spacing w:before="60" w:after="60" w:line="240" w:lineRule="atLeast"/>
              <w:jc w:val="right"/>
              <w:rPr>
                <w:sz w:val="18"/>
                <w:szCs w:val="20"/>
              </w:rPr>
            </w:pPr>
            <w:r w:rsidRPr="008A2F17">
              <w:rPr>
                <w:sz w:val="18"/>
                <w:szCs w:val="20"/>
              </w:rPr>
              <w:t>33,840.3</w:t>
            </w:r>
          </w:p>
        </w:tc>
        <w:tc>
          <w:tcPr>
            <w:tcW w:w="552" w:type="pct"/>
            <w:shd w:val="clear" w:color="auto" w:fill="auto"/>
            <w:tcMar>
              <w:left w:w="108" w:type="dxa"/>
              <w:right w:w="108" w:type="dxa"/>
            </w:tcMar>
            <w:hideMark/>
          </w:tcPr>
          <w:p w14:paraId="43613E5B" w14:textId="77777777" w:rsidR="008A2F17" w:rsidRPr="008A2F17" w:rsidRDefault="008A2F17" w:rsidP="008A2F17">
            <w:pPr>
              <w:spacing w:before="60" w:after="60" w:line="240" w:lineRule="atLeast"/>
              <w:jc w:val="right"/>
              <w:rPr>
                <w:sz w:val="18"/>
                <w:szCs w:val="20"/>
              </w:rPr>
            </w:pPr>
            <w:r w:rsidRPr="008A2F17">
              <w:rPr>
                <w:sz w:val="18"/>
                <w:szCs w:val="20"/>
              </w:rPr>
              <w:t>39,617.7</w:t>
            </w:r>
          </w:p>
        </w:tc>
        <w:tc>
          <w:tcPr>
            <w:tcW w:w="1229" w:type="pct"/>
            <w:shd w:val="clear" w:color="auto" w:fill="auto"/>
            <w:tcMar>
              <w:left w:w="108" w:type="dxa"/>
              <w:right w:w="108" w:type="dxa"/>
            </w:tcMar>
            <w:hideMark/>
          </w:tcPr>
          <w:p w14:paraId="04A20CB8" w14:textId="77777777" w:rsidR="008A2F17" w:rsidRPr="008A2F17" w:rsidRDefault="008A2F17" w:rsidP="008A2F17">
            <w:pPr>
              <w:spacing w:before="60" w:after="60" w:line="240" w:lineRule="atLeast"/>
              <w:jc w:val="right"/>
              <w:rPr>
                <w:sz w:val="18"/>
                <w:szCs w:val="20"/>
              </w:rPr>
            </w:pPr>
            <w:r w:rsidRPr="008A2F17">
              <w:rPr>
                <w:sz w:val="18"/>
                <w:szCs w:val="20"/>
              </w:rPr>
              <w:t>5,777.4</w:t>
            </w:r>
          </w:p>
        </w:tc>
        <w:tc>
          <w:tcPr>
            <w:tcW w:w="920" w:type="pct"/>
            <w:shd w:val="clear" w:color="auto" w:fill="auto"/>
            <w:tcMar>
              <w:left w:w="108" w:type="dxa"/>
              <w:right w:w="108" w:type="dxa"/>
            </w:tcMar>
            <w:hideMark/>
          </w:tcPr>
          <w:p w14:paraId="57CE9249" w14:textId="77777777" w:rsidR="008A2F17" w:rsidRPr="008A2F17" w:rsidRDefault="008A2F17" w:rsidP="008A2F17">
            <w:pPr>
              <w:spacing w:before="60" w:after="60" w:line="240" w:lineRule="atLeast"/>
              <w:jc w:val="right"/>
              <w:rPr>
                <w:sz w:val="18"/>
                <w:szCs w:val="20"/>
              </w:rPr>
            </w:pPr>
            <w:r w:rsidRPr="008A2F17">
              <w:rPr>
                <w:sz w:val="18"/>
                <w:szCs w:val="20"/>
              </w:rPr>
              <w:t>17.07%</w:t>
            </w:r>
          </w:p>
        </w:tc>
      </w:tr>
      <w:tr w:rsidR="008A2F17" w:rsidRPr="008A2F17" w14:paraId="5DE03E96" w14:textId="77777777" w:rsidTr="00B60712">
        <w:trPr>
          <w:trHeight w:val="554"/>
        </w:trPr>
        <w:tc>
          <w:tcPr>
            <w:tcW w:w="1747" w:type="pct"/>
            <w:shd w:val="clear" w:color="auto" w:fill="auto"/>
            <w:tcMar>
              <w:left w:w="108" w:type="dxa"/>
              <w:right w:w="108" w:type="dxa"/>
            </w:tcMar>
            <w:hideMark/>
          </w:tcPr>
          <w:p w14:paraId="5B3A04A7" w14:textId="77777777" w:rsidR="008A2F17" w:rsidRPr="008A2F17" w:rsidRDefault="008A2F17" w:rsidP="008A2F17">
            <w:pPr>
              <w:spacing w:before="60" w:after="60" w:line="240" w:lineRule="atLeast"/>
              <w:jc w:val="left"/>
              <w:rPr>
                <w:sz w:val="18"/>
                <w:szCs w:val="20"/>
              </w:rPr>
            </w:pPr>
            <w:r w:rsidRPr="008A2F17">
              <w:rPr>
                <w:sz w:val="18"/>
                <w:szCs w:val="20"/>
              </w:rPr>
              <w:t>2021 (1990-2019) emissions estimate with proposed lime purity values</w:t>
            </w:r>
          </w:p>
        </w:tc>
        <w:tc>
          <w:tcPr>
            <w:tcW w:w="552" w:type="pct"/>
            <w:shd w:val="clear" w:color="auto" w:fill="auto"/>
            <w:tcMar>
              <w:left w:w="108" w:type="dxa"/>
              <w:right w:w="108" w:type="dxa"/>
            </w:tcMar>
            <w:hideMark/>
          </w:tcPr>
          <w:p w14:paraId="5BD16BCF" w14:textId="77777777" w:rsidR="008A2F17" w:rsidRPr="008A2F17" w:rsidRDefault="008A2F17" w:rsidP="008A2F17">
            <w:pPr>
              <w:spacing w:before="60" w:after="60" w:line="240" w:lineRule="atLeast"/>
              <w:jc w:val="right"/>
              <w:rPr>
                <w:sz w:val="18"/>
                <w:szCs w:val="20"/>
              </w:rPr>
            </w:pPr>
            <w:r w:rsidRPr="008A2F17">
              <w:rPr>
                <w:sz w:val="18"/>
                <w:szCs w:val="20"/>
              </w:rPr>
              <w:t>33,841.6</w:t>
            </w:r>
          </w:p>
        </w:tc>
        <w:tc>
          <w:tcPr>
            <w:tcW w:w="552" w:type="pct"/>
            <w:shd w:val="clear" w:color="auto" w:fill="auto"/>
            <w:tcMar>
              <w:left w:w="108" w:type="dxa"/>
              <w:right w:w="108" w:type="dxa"/>
            </w:tcMar>
            <w:hideMark/>
          </w:tcPr>
          <w:p w14:paraId="0C21C8AE" w14:textId="77777777" w:rsidR="008A2F17" w:rsidRPr="008A2F17" w:rsidRDefault="008A2F17" w:rsidP="008A2F17">
            <w:pPr>
              <w:spacing w:before="60" w:after="60" w:line="240" w:lineRule="atLeast"/>
              <w:jc w:val="right"/>
              <w:rPr>
                <w:sz w:val="18"/>
                <w:szCs w:val="20"/>
              </w:rPr>
            </w:pPr>
            <w:r w:rsidRPr="008A2F17">
              <w:rPr>
                <w:sz w:val="18"/>
                <w:szCs w:val="20"/>
              </w:rPr>
              <w:t>39,619.5</w:t>
            </w:r>
          </w:p>
        </w:tc>
        <w:tc>
          <w:tcPr>
            <w:tcW w:w="1229" w:type="pct"/>
            <w:shd w:val="clear" w:color="auto" w:fill="auto"/>
            <w:tcMar>
              <w:left w:w="108" w:type="dxa"/>
              <w:right w:w="108" w:type="dxa"/>
            </w:tcMar>
            <w:hideMark/>
          </w:tcPr>
          <w:p w14:paraId="071C84F2" w14:textId="77777777" w:rsidR="008A2F17" w:rsidRPr="008A2F17" w:rsidRDefault="008A2F17" w:rsidP="008A2F17">
            <w:pPr>
              <w:spacing w:before="60" w:after="60" w:line="240" w:lineRule="atLeast"/>
              <w:jc w:val="right"/>
              <w:rPr>
                <w:sz w:val="18"/>
                <w:szCs w:val="20"/>
              </w:rPr>
            </w:pPr>
            <w:r w:rsidRPr="008A2F17">
              <w:rPr>
                <w:sz w:val="18"/>
                <w:szCs w:val="20"/>
              </w:rPr>
              <w:t>5,777.9</w:t>
            </w:r>
          </w:p>
        </w:tc>
        <w:tc>
          <w:tcPr>
            <w:tcW w:w="920" w:type="pct"/>
            <w:shd w:val="clear" w:color="auto" w:fill="auto"/>
            <w:tcMar>
              <w:left w:w="108" w:type="dxa"/>
              <w:right w:w="108" w:type="dxa"/>
            </w:tcMar>
            <w:hideMark/>
          </w:tcPr>
          <w:p w14:paraId="6C24E132" w14:textId="77777777" w:rsidR="008A2F17" w:rsidRPr="008A2F17" w:rsidRDefault="008A2F17" w:rsidP="008A2F17">
            <w:pPr>
              <w:spacing w:before="60" w:after="60" w:line="240" w:lineRule="atLeast"/>
              <w:jc w:val="right"/>
              <w:rPr>
                <w:sz w:val="18"/>
                <w:szCs w:val="20"/>
              </w:rPr>
            </w:pPr>
            <w:r w:rsidRPr="008A2F17">
              <w:rPr>
                <w:sz w:val="18"/>
                <w:szCs w:val="20"/>
              </w:rPr>
              <w:t>17.07%</w:t>
            </w:r>
          </w:p>
        </w:tc>
      </w:tr>
      <w:tr w:rsidR="008A2F17" w:rsidRPr="008A2F17" w14:paraId="0AACA14A" w14:textId="77777777" w:rsidTr="00B60712">
        <w:trPr>
          <w:trHeight w:val="365"/>
        </w:trPr>
        <w:tc>
          <w:tcPr>
            <w:tcW w:w="1747" w:type="pct"/>
            <w:shd w:val="clear" w:color="auto" w:fill="auto"/>
            <w:tcMar>
              <w:left w:w="108" w:type="dxa"/>
              <w:right w:w="108" w:type="dxa"/>
            </w:tcMar>
            <w:hideMark/>
          </w:tcPr>
          <w:p w14:paraId="7ECDF168" w14:textId="77777777" w:rsidR="008A2F17" w:rsidRPr="008A2F17" w:rsidRDefault="008A2F17" w:rsidP="008A2F17">
            <w:pPr>
              <w:spacing w:before="60" w:after="60" w:line="240" w:lineRule="atLeast"/>
              <w:jc w:val="left"/>
              <w:rPr>
                <w:sz w:val="18"/>
                <w:szCs w:val="20"/>
              </w:rPr>
            </w:pPr>
            <w:r w:rsidRPr="008A2F17">
              <w:rPr>
                <w:sz w:val="18"/>
                <w:szCs w:val="20"/>
              </w:rPr>
              <w:t xml:space="preserve">Difference in emission estimates </w:t>
            </w:r>
          </w:p>
        </w:tc>
        <w:tc>
          <w:tcPr>
            <w:tcW w:w="552" w:type="pct"/>
            <w:shd w:val="clear" w:color="auto" w:fill="auto"/>
            <w:tcMar>
              <w:left w:w="108" w:type="dxa"/>
              <w:right w:w="108" w:type="dxa"/>
            </w:tcMar>
            <w:hideMark/>
          </w:tcPr>
          <w:p w14:paraId="3DB318B8" w14:textId="77777777" w:rsidR="008A2F17" w:rsidRPr="008A2F17" w:rsidRDefault="008A2F17" w:rsidP="008A2F17">
            <w:pPr>
              <w:spacing w:before="60" w:after="60" w:line="240" w:lineRule="atLeast"/>
              <w:jc w:val="right"/>
              <w:rPr>
                <w:sz w:val="18"/>
                <w:szCs w:val="20"/>
              </w:rPr>
            </w:pPr>
            <w:r w:rsidRPr="008A2F17">
              <w:rPr>
                <w:sz w:val="18"/>
                <w:szCs w:val="20"/>
              </w:rPr>
              <w:t>1.3</w:t>
            </w:r>
          </w:p>
        </w:tc>
        <w:tc>
          <w:tcPr>
            <w:tcW w:w="552" w:type="pct"/>
            <w:shd w:val="clear" w:color="auto" w:fill="auto"/>
            <w:tcMar>
              <w:left w:w="108" w:type="dxa"/>
              <w:right w:w="108" w:type="dxa"/>
            </w:tcMar>
            <w:hideMark/>
          </w:tcPr>
          <w:p w14:paraId="1AC82117" w14:textId="77777777" w:rsidR="008A2F17" w:rsidRPr="008A2F17" w:rsidRDefault="008A2F17" w:rsidP="008A2F17">
            <w:pPr>
              <w:spacing w:before="60" w:after="60" w:line="240" w:lineRule="atLeast"/>
              <w:jc w:val="right"/>
              <w:rPr>
                <w:sz w:val="18"/>
                <w:szCs w:val="20"/>
              </w:rPr>
            </w:pPr>
            <w:r w:rsidRPr="008A2F17">
              <w:rPr>
                <w:sz w:val="18"/>
                <w:szCs w:val="20"/>
              </w:rPr>
              <w:t>1.8</w:t>
            </w:r>
          </w:p>
        </w:tc>
        <w:tc>
          <w:tcPr>
            <w:tcW w:w="1229" w:type="pct"/>
            <w:shd w:val="clear" w:color="auto" w:fill="auto"/>
            <w:tcMar>
              <w:left w:w="108" w:type="dxa"/>
              <w:right w:w="108" w:type="dxa"/>
            </w:tcMar>
            <w:hideMark/>
          </w:tcPr>
          <w:p w14:paraId="0AAA2575" w14:textId="77777777" w:rsidR="008A2F17" w:rsidRPr="008A2F17" w:rsidRDefault="008A2F17" w:rsidP="008A2F17">
            <w:pPr>
              <w:spacing w:before="60" w:after="60" w:line="240" w:lineRule="atLeast"/>
              <w:jc w:val="right"/>
              <w:rPr>
                <w:sz w:val="18"/>
                <w:szCs w:val="20"/>
              </w:rPr>
            </w:pPr>
            <w:r w:rsidRPr="008A2F17">
              <w:rPr>
                <w:sz w:val="18"/>
                <w:szCs w:val="20"/>
              </w:rPr>
              <w:t>0.5</w:t>
            </w:r>
          </w:p>
        </w:tc>
        <w:tc>
          <w:tcPr>
            <w:tcW w:w="920" w:type="pct"/>
            <w:shd w:val="clear" w:color="auto" w:fill="auto"/>
            <w:tcMar>
              <w:left w:w="108" w:type="dxa"/>
              <w:right w:w="108" w:type="dxa"/>
            </w:tcMar>
            <w:hideMark/>
          </w:tcPr>
          <w:p w14:paraId="3C6BB286" w14:textId="77777777" w:rsidR="008A2F17" w:rsidRPr="008A2F17" w:rsidRDefault="008A2F17" w:rsidP="008A2F17">
            <w:pPr>
              <w:spacing w:before="60" w:after="60" w:line="240" w:lineRule="atLeast"/>
              <w:jc w:val="right"/>
              <w:rPr>
                <w:sz w:val="18"/>
                <w:szCs w:val="20"/>
              </w:rPr>
            </w:pPr>
            <w:r w:rsidRPr="008A2F17">
              <w:rPr>
                <w:sz w:val="18"/>
                <w:szCs w:val="20"/>
              </w:rPr>
              <w:t>  </w:t>
            </w:r>
          </w:p>
        </w:tc>
      </w:tr>
      <w:tr w:rsidR="008A2F17" w:rsidRPr="008A2F17" w14:paraId="5A753932" w14:textId="77777777" w:rsidTr="00B60712">
        <w:trPr>
          <w:trHeight w:val="555"/>
        </w:trPr>
        <w:tc>
          <w:tcPr>
            <w:tcW w:w="1747" w:type="pct"/>
            <w:shd w:val="clear" w:color="auto" w:fill="auto"/>
            <w:tcMar>
              <w:left w:w="108" w:type="dxa"/>
              <w:right w:w="108" w:type="dxa"/>
            </w:tcMar>
            <w:hideMark/>
          </w:tcPr>
          <w:p w14:paraId="1BB448DC" w14:textId="77777777" w:rsidR="008A2F17" w:rsidRPr="008A2F17" w:rsidRDefault="008A2F17" w:rsidP="008A2F17">
            <w:pPr>
              <w:spacing w:before="60" w:after="60" w:line="240" w:lineRule="atLeast"/>
              <w:jc w:val="left"/>
              <w:rPr>
                <w:sz w:val="18"/>
                <w:szCs w:val="20"/>
              </w:rPr>
            </w:pPr>
            <w:r w:rsidRPr="008A2F17">
              <w:rPr>
                <w:sz w:val="18"/>
                <w:szCs w:val="20"/>
              </w:rPr>
              <w:t>Percentage difference in emission estimates</w:t>
            </w:r>
          </w:p>
        </w:tc>
        <w:tc>
          <w:tcPr>
            <w:tcW w:w="552" w:type="pct"/>
            <w:shd w:val="clear" w:color="auto" w:fill="auto"/>
            <w:tcMar>
              <w:left w:w="108" w:type="dxa"/>
              <w:right w:w="108" w:type="dxa"/>
            </w:tcMar>
            <w:hideMark/>
          </w:tcPr>
          <w:p w14:paraId="6E5BE381" w14:textId="77777777" w:rsidR="008A2F17" w:rsidRPr="008A2F17" w:rsidRDefault="008A2F17" w:rsidP="008A2F17">
            <w:pPr>
              <w:spacing w:before="60" w:after="60" w:line="240" w:lineRule="atLeast"/>
              <w:jc w:val="right"/>
              <w:rPr>
                <w:sz w:val="18"/>
                <w:szCs w:val="20"/>
              </w:rPr>
            </w:pPr>
            <w:r w:rsidRPr="008A2F17">
              <w:rPr>
                <w:sz w:val="18"/>
                <w:szCs w:val="20"/>
              </w:rPr>
              <w:t>0.38%</w:t>
            </w:r>
          </w:p>
        </w:tc>
        <w:tc>
          <w:tcPr>
            <w:tcW w:w="552" w:type="pct"/>
            <w:shd w:val="clear" w:color="auto" w:fill="auto"/>
            <w:tcMar>
              <w:left w:w="108" w:type="dxa"/>
              <w:right w:w="108" w:type="dxa"/>
            </w:tcMar>
            <w:hideMark/>
          </w:tcPr>
          <w:p w14:paraId="5633C5EC" w14:textId="77777777" w:rsidR="008A2F17" w:rsidRPr="008A2F17" w:rsidRDefault="008A2F17" w:rsidP="008A2F17">
            <w:pPr>
              <w:spacing w:before="60" w:after="60" w:line="240" w:lineRule="atLeast"/>
              <w:jc w:val="right"/>
              <w:rPr>
                <w:sz w:val="18"/>
                <w:szCs w:val="20"/>
              </w:rPr>
            </w:pPr>
            <w:r w:rsidRPr="008A2F17">
              <w:rPr>
                <w:sz w:val="18"/>
                <w:szCs w:val="20"/>
              </w:rPr>
              <w:t>0.45%</w:t>
            </w:r>
          </w:p>
        </w:tc>
        <w:tc>
          <w:tcPr>
            <w:tcW w:w="1229" w:type="pct"/>
            <w:shd w:val="clear" w:color="auto" w:fill="auto"/>
            <w:tcMar>
              <w:left w:w="108" w:type="dxa"/>
              <w:right w:w="108" w:type="dxa"/>
            </w:tcMar>
            <w:hideMark/>
          </w:tcPr>
          <w:p w14:paraId="1B3CC488" w14:textId="77777777" w:rsidR="008A2F17" w:rsidRPr="008A2F17" w:rsidRDefault="008A2F17" w:rsidP="008A2F17">
            <w:pPr>
              <w:spacing w:before="60" w:after="60" w:line="240" w:lineRule="atLeast"/>
              <w:jc w:val="right"/>
              <w:rPr>
                <w:sz w:val="18"/>
                <w:szCs w:val="20"/>
              </w:rPr>
            </w:pPr>
            <w:r w:rsidRPr="008A2F17">
              <w:rPr>
                <w:sz w:val="18"/>
                <w:szCs w:val="20"/>
              </w:rPr>
              <w:t> </w:t>
            </w:r>
          </w:p>
        </w:tc>
        <w:tc>
          <w:tcPr>
            <w:tcW w:w="920" w:type="pct"/>
            <w:shd w:val="clear" w:color="auto" w:fill="auto"/>
            <w:tcMar>
              <w:left w:w="108" w:type="dxa"/>
              <w:right w:w="108" w:type="dxa"/>
            </w:tcMar>
            <w:hideMark/>
          </w:tcPr>
          <w:p w14:paraId="054C4810" w14:textId="77777777" w:rsidR="008A2F17" w:rsidRPr="008A2F17" w:rsidRDefault="008A2F17" w:rsidP="008A2F17">
            <w:pPr>
              <w:spacing w:before="60" w:after="60" w:line="240" w:lineRule="atLeast"/>
              <w:jc w:val="right"/>
              <w:rPr>
                <w:sz w:val="18"/>
                <w:szCs w:val="20"/>
              </w:rPr>
            </w:pPr>
            <w:r w:rsidRPr="008A2F17">
              <w:rPr>
                <w:sz w:val="18"/>
                <w:szCs w:val="20"/>
              </w:rPr>
              <w:t> </w:t>
            </w:r>
          </w:p>
        </w:tc>
      </w:tr>
    </w:tbl>
    <w:p w14:paraId="5E201385" w14:textId="77777777" w:rsidR="008A2F17" w:rsidRPr="008A2F17" w:rsidRDefault="008A2F17" w:rsidP="00C73873">
      <w:pPr>
        <w:pStyle w:val="BodyText"/>
      </w:pPr>
      <w:r w:rsidRPr="008A2F17">
        <w:lastRenderedPageBreak/>
        <w:t xml:space="preserve">Improvements to </w:t>
      </w:r>
      <w:proofErr w:type="spellStart"/>
      <w:r w:rsidRPr="008A2F17">
        <w:t>Frac</w:t>
      </w:r>
      <w:r w:rsidRPr="008A2F17">
        <w:rPr>
          <w:vertAlign w:val="subscript"/>
        </w:rPr>
        <w:t>LEACH</w:t>
      </w:r>
      <w:proofErr w:type="spellEnd"/>
      <w:r w:rsidRPr="008A2F17">
        <w:t xml:space="preserve"> values for cropping systems and updated assumptions to the purity of agricultural lime will only have a minor impact on agricultural emissions. These improvements result in an overall decrease in emissions of less than 0.3 per cent based on 2019 data.</w:t>
      </w:r>
    </w:p>
    <w:p w14:paraId="0F99C5C9" w14:textId="3AF80A84" w:rsidR="008A2F17" w:rsidRPr="008A2F17" w:rsidRDefault="008A2F17" w:rsidP="00C9562A">
      <w:pPr>
        <w:pStyle w:val="Heading2"/>
      </w:pPr>
      <w:bookmarkStart w:id="19" w:name="_Toc96523602"/>
      <w:r w:rsidRPr="008A2F17">
        <w:t>Waste</w:t>
      </w:r>
      <w:bookmarkEnd w:id="19"/>
    </w:p>
    <w:p w14:paraId="19457C26" w14:textId="77777777" w:rsidR="008A2F17" w:rsidRPr="008A2F17" w:rsidRDefault="008A2F17" w:rsidP="00C9562A">
      <w:pPr>
        <w:pStyle w:val="Heading3"/>
      </w:pPr>
      <w:r w:rsidRPr="008A2F17">
        <w:t>Minor revisions to activity data method for non-municipal landfills</w:t>
      </w:r>
    </w:p>
    <w:p w14:paraId="19B88643" w14:textId="77777777" w:rsidR="008A2F17" w:rsidRPr="008A2F17" w:rsidRDefault="008A2F17" w:rsidP="00C73873">
      <w:pPr>
        <w:pStyle w:val="BodyText"/>
      </w:pPr>
      <w:r w:rsidRPr="008A2F17">
        <w:t xml:space="preserve">Previously, activity data required for estimating emissions from non-municipal landfills for 1950–2015 were derived from research and have been extrapolated out from 2016 onwards. An internal review of the research used to derive the 1950–2015 time series found there was a lack of documentation to describe the relationship between the source data and the resultant activity data that have been used to calculate emissions from this source. It also found that the methods used to extrapolate beyond 2015 were not able to be justified. </w:t>
      </w:r>
    </w:p>
    <w:p w14:paraId="5703849E" w14:textId="77777777" w:rsidR="008A2F17" w:rsidRPr="008A2F17" w:rsidRDefault="008A2F17" w:rsidP="00C73873">
      <w:pPr>
        <w:pStyle w:val="BodyText"/>
      </w:pPr>
      <w:r w:rsidRPr="008A2F17">
        <w:t xml:space="preserve">A new method, developed to quantify the relationship used to generate activity data for the 1950–2015 period, is being applied to this year’s Inventory. Activity data for 2016 onwards is being kept constant at 2015 levels. This will increase accuracy and overall transparency of emissions estimates from non-municipal landfills.  </w:t>
      </w:r>
    </w:p>
    <w:p w14:paraId="3D0377CB" w14:textId="77777777" w:rsidR="008A2F17" w:rsidRPr="008A2F17" w:rsidRDefault="008A2F17" w:rsidP="00C9562A">
      <w:pPr>
        <w:pStyle w:val="Heading2"/>
      </w:pPr>
      <w:bookmarkStart w:id="20" w:name="_Toc96523603"/>
      <w:r w:rsidRPr="008A2F17">
        <w:t>Land Use, Land-Use Change and Forestry (LULUCF)</w:t>
      </w:r>
      <w:bookmarkEnd w:id="20"/>
    </w:p>
    <w:p w14:paraId="49176AC8" w14:textId="77777777" w:rsidR="008A2F17" w:rsidRPr="008A2F17" w:rsidRDefault="008A2F17" w:rsidP="00C9562A">
      <w:pPr>
        <w:pStyle w:val="Heading3"/>
      </w:pPr>
      <w:r w:rsidRPr="008A2F17">
        <w:t xml:space="preserve">Increased accuracy of pre-1990 natural forest estimates  </w:t>
      </w:r>
    </w:p>
    <w:p w14:paraId="226851CD" w14:textId="77777777" w:rsidR="008A2F17" w:rsidRPr="008A2F17" w:rsidRDefault="008A2F17" w:rsidP="00C73873">
      <w:pPr>
        <w:pStyle w:val="BodyText"/>
      </w:pPr>
      <w:r w:rsidRPr="008A2F17">
        <w:t xml:space="preserve">Tall and regenerating pre-1990 natural forest area is currently classified using land cover data based on the Land Cover Database (LCDB). Carbon stock change, however, has been estimated using a species composition approach to classify plots. This method created a mismatch in assigning carbon stock change per hectare to this forest area. To correct this, the LCDB (for the 2008 map year) will now be used to classify the forest area as either tall or </w:t>
      </w:r>
      <w:proofErr w:type="gramStart"/>
      <w:r w:rsidRPr="008A2F17">
        <w:t>regenerating, and</w:t>
      </w:r>
      <w:proofErr w:type="gramEnd"/>
      <w:r w:rsidRPr="008A2F17">
        <w:t xml:space="preserve"> estimate the carbon stock and stock change associated with these forest types. This change will decrease the estimated CO</w:t>
      </w:r>
      <w:r w:rsidRPr="008A2F17">
        <w:rPr>
          <w:rFonts w:cs="Calibri"/>
          <w:sz w:val="24"/>
          <w:szCs w:val="24"/>
          <w:vertAlign w:val="subscript"/>
        </w:rPr>
        <w:t>2</w:t>
      </w:r>
      <w:r w:rsidRPr="008A2F17">
        <w:t xml:space="preserve"> removals from pre-1990 regenerating forest by just under 1,000 kt CO</w:t>
      </w:r>
      <w:r w:rsidRPr="008A2F17">
        <w:rPr>
          <w:rFonts w:cs="Calibri"/>
          <w:sz w:val="24"/>
          <w:szCs w:val="24"/>
          <w:vertAlign w:val="subscript"/>
        </w:rPr>
        <w:t>2</w:t>
      </w:r>
      <w:r w:rsidRPr="008A2F17">
        <w:t>-e per year. The land cover approach also allows for an adjustment to be made for estimating the regenerating forest area, which is currently under-sampled.</w:t>
      </w:r>
    </w:p>
    <w:p w14:paraId="1716E278" w14:textId="77777777" w:rsidR="008A2F17" w:rsidRPr="008A2F17" w:rsidRDefault="008A2F17" w:rsidP="00C73873">
      <w:pPr>
        <w:pStyle w:val="BodyText"/>
      </w:pPr>
      <w:r w:rsidRPr="008A2F17">
        <w:t>Tall natural forests have previously been reported as being in steady state because the analysis of annual net stock change found the change was not statistically significant for these forests at the national scale. A recent expert review finding recommends that the losses should be reported along with associated uncertainty occurring in this forest class, regardless of the statistical significance. This forest type is currently estimated to be losing carbon at a rate of 0.01 tonnes of carbon per hectare per year. This equates to an increase of emissions nationally of just under 300 kt CO</w:t>
      </w:r>
      <w:r w:rsidRPr="008A2F17">
        <w:rPr>
          <w:vertAlign w:val="subscript"/>
        </w:rPr>
        <w:t>2</w:t>
      </w:r>
      <w:r w:rsidRPr="008A2F17">
        <w:t>-e per year across the time series.</w:t>
      </w:r>
    </w:p>
    <w:p w14:paraId="63FAC386" w14:textId="77777777" w:rsidR="008A2F17" w:rsidRPr="008A2F17" w:rsidRDefault="008A2F17" w:rsidP="00C9562A">
      <w:pPr>
        <w:pStyle w:val="Heading3"/>
      </w:pPr>
      <w:r w:rsidRPr="008A2F17">
        <w:t>Increased accuracy of planted forest land estimates</w:t>
      </w:r>
    </w:p>
    <w:p w14:paraId="262BD2C8" w14:textId="77777777" w:rsidR="008A2F17" w:rsidRPr="008A2F17" w:rsidRDefault="008A2F17" w:rsidP="00C73873">
      <w:pPr>
        <w:pStyle w:val="BodyText"/>
      </w:pPr>
      <w:r w:rsidRPr="008A2F17">
        <w:t xml:space="preserve">The method applied to estimate emissions when grassland with woody biomass (GWB) is converted to post-1989 natural forest has been improved to reflect more accurately what occurs in practice for this land use conversion. A revised yield table will be introduced for these conversions. The change </w:t>
      </w:r>
      <w:r w:rsidRPr="008A2F17">
        <w:lastRenderedPageBreak/>
        <w:t>will not impact net CO</w:t>
      </w:r>
      <w:r w:rsidRPr="008A2F17">
        <w:rPr>
          <w:vertAlign w:val="subscript"/>
        </w:rPr>
        <w:t>2</w:t>
      </w:r>
      <w:r w:rsidRPr="008A2F17">
        <w:t xml:space="preserve"> removals by the time the forest reaches age 30, but will impact the year the reported emissions and removals occur in.</w:t>
      </w:r>
    </w:p>
    <w:p w14:paraId="7A421A18" w14:textId="77777777" w:rsidR="008A2F17" w:rsidRPr="008A2F17" w:rsidRDefault="008A2F17" w:rsidP="00C73873">
      <w:pPr>
        <w:pStyle w:val="BodyText"/>
      </w:pPr>
      <w:r w:rsidRPr="008A2F17">
        <w:t>Post-1989 and pre-1990 planted forest yield tables have been revised to include forest plot data collected up until 2020, along with updated uncertainties. A new method to apply different yield tables to different forest cohorts was introduced in the last submission. This method is being revised for this year’s submission, by applying two yield tables instead of three. This results in an increase in net removals reported through the time series from 1990–2017 (ranging from approximately 2 kt CO</w:t>
      </w:r>
      <w:r w:rsidRPr="008A2F17">
        <w:rPr>
          <w:vertAlign w:val="subscript"/>
        </w:rPr>
        <w:t>2</w:t>
      </w:r>
      <w:r w:rsidRPr="008A2F17">
        <w:t>-e to 2000 kt CO</w:t>
      </w:r>
      <w:r w:rsidRPr="008A2F17">
        <w:rPr>
          <w:vertAlign w:val="subscript"/>
        </w:rPr>
        <w:t>2</w:t>
      </w:r>
      <w:r w:rsidRPr="008A2F17">
        <w:t>-e). Then from 2018 onwards, net removals are reduced by approximately 700–1200 kt CO</w:t>
      </w:r>
      <w:r w:rsidRPr="008A2F17">
        <w:rPr>
          <w:vertAlign w:val="subscript"/>
        </w:rPr>
        <w:t>2</w:t>
      </w:r>
      <w:r w:rsidRPr="008A2F17">
        <w:t>-e.</w:t>
      </w:r>
    </w:p>
    <w:p w14:paraId="54F009F2" w14:textId="77777777" w:rsidR="008A2F17" w:rsidRPr="008A2F17" w:rsidRDefault="008A2F17" w:rsidP="00C9562A">
      <w:pPr>
        <w:pStyle w:val="Heading3"/>
      </w:pPr>
      <w:r w:rsidRPr="008A2F17">
        <w:t xml:space="preserve">Increased accuracy of harvest and deforestation age class profiles and activity data </w:t>
      </w:r>
    </w:p>
    <w:p w14:paraId="3AFC2141" w14:textId="77777777" w:rsidR="00C9562A" w:rsidRDefault="008A2F17" w:rsidP="00C73873">
      <w:pPr>
        <w:pStyle w:val="BodyText"/>
      </w:pPr>
      <w:r w:rsidRPr="008A2F17">
        <w:t>Methods to improve accuracy of harvest and deforestation activity data have been improved. These improvements include:</w:t>
      </w:r>
    </w:p>
    <w:p w14:paraId="66E3BB55" w14:textId="71468F80" w:rsidR="008A2F17" w:rsidRPr="00C9562A" w:rsidRDefault="008A2F17" w:rsidP="00C9562A">
      <w:pPr>
        <w:pStyle w:val="Bullet"/>
        <w:rPr>
          <w:szCs w:val="22"/>
        </w:rPr>
      </w:pPr>
      <w:r w:rsidRPr="008A2F17">
        <w:t>accounting for the change in the average harvest age through time</w:t>
      </w:r>
    </w:p>
    <w:p w14:paraId="4996935B" w14:textId="77777777" w:rsidR="008A2F17" w:rsidRPr="008A2F17" w:rsidRDefault="008A2F17" w:rsidP="00C9562A">
      <w:pPr>
        <w:pStyle w:val="Bullet"/>
      </w:pPr>
      <w:r w:rsidRPr="008A2F17">
        <w:t>expanding the harvest age profile to range from age 15–45 (previously 20–40)</w:t>
      </w:r>
    </w:p>
    <w:p w14:paraId="309FDDFB" w14:textId="77777777" w:rsidR="008A2F17" w:rsidRPr="008A2F17" w:rsidRDefault="008A2F17" w:rsidP="00C9562A">
      <w:pPr>
        <w:pStyle w:val="Bullet"/>
      </w:pPr>
      <w:r w:rsidRPr="008A2F17">
        <w:t>applying the same harvest profile and average harvest age to both post-1989 and pre-1990 forest</w:t>
      </w:r>
    </w:p>
    <w:p w14:paraId="0013AA73" w14:textId="77777777" w:rsidR="008A2F17" w:rsidRPr="008A2F17" w:rsidRDefault="008A2F17" w:rsidP="00C9562A">
      <w:pPr>
        <w:pStyle w:val="Bullet"/>
      </w:pPr>
      <w:r w:rsidRPr="008A2F17">
        <w:t>improving the calculation to determine the harvest area of post-1989 and pre-1990 planted forest from 2017 onwards</w:t>
      </w:r>
    </w:p>
    <w:p w14:paraId="0D7E9D1A" w14:textId="77777777" w:rsidR="008A2F17" w:rsidRPr="008A2F17" w:rsidRDefault="008A2F17" w:rsidP="00C9562A">
      <w:pPr>
        <w:pStyle w:val="Bullet"/>
      </w:pPr>
      <w:r w:rsidRPr="008A2F17">
        <w:t>improving the deforestation age profile for pre-1990 and post-1989 planted forest.</w:t>
      </w:r>
    </w:p>
    <w:p w14:paraId="4D5D9F13" w14:textId="77777777" w:rsidR="008A2F17" w:rsidRPr="008A2F17" w:rsidRDefault="008A2F17" w:rsidP="00C9562A">
      <w:pPr>
        <w:pStyle w:val="Heading3"/>
      </w:pPr>
      <w:r w:rsidRPr="008A2F17">
        <w:t>Inclusion of N</w:t>
      </w:r>
      <w:r w:rsidRPr="008A2F17">
        <w:rPr>
          <w:vertAlign w:val="subscript"/>
        </w:rPr>
        <w:t>2</w:t>
      </w:r>
      <w:r w:rsidRPr="008A2F17">
        <w:t xml:space="preserve">O emissions for drained organic soils in </w:t>
      </w:r>
      <w:r w:rsidRPr="008A2F17">
        <w:rPr>
          <w:i/>
          <w:iCs/>
        </w:rPr>
        <w:t>Forest land</w:t>
      </w:r>
    </w:p>
    <w:p w14:paraId="1BAC7EFB" w14:textId="77777777" w:rsidR="008A2F17" w:rsidRPr="008A2F17" w:rsidRDefault="008A2F17" w:rsidP="00C73873">
      <w:pPr>
        <w:pStyle w:val="BodyText"/>
      </w:pPr>
      <w:r w:rsidRPr="008A2F17">
        <w:t>Currently, N</w:t>
      </w:r>
      <w:r w:rsidRPr="008A2F17">
        <w:rPr>
          <w:vertAlign w:val="subscript"/>
        </w:rPr>
        <w:t>2</w:t>
      </w:r>
      <w:r w:rsidRPr="008A2F17">
        <w:t xml:space="preserve">O emissions for drained organic soils are reported for </w:t>
      </w:r>
      <w:r w:rsidRPr="008A2F17">
        <w:rPr>
          <w:i/>
          <w:iCs/>
        </w:rPr>
        <w:t xml:space="preserve">Cropland </w:t>
      </w:r>
      <w:r w:rsidRPr="008A2F17">
        <w:t xml:space="preserve">and </w:t>
      </w:r>
      <w:r w:rsidRPr="008A2F17">
        <w:rPr>
          <w:i/>
          <w:iCs/>
        </w:rPr>
        <w:t xml:space="preserve">Grassland </w:t>
      </w:r>
      <w:r w:rsidRPr="008A2F17">
        <w:t>in the Agriculture sector. The LULUCF sector will include N</w:t>
      </w:r>
      <w:r w:rsidRPr="008A2F17">
        <w:rPr>
          <w:vertAlign w:val="subscript"/>
        </w:rPr>
        <w:t>2</w:t>
      </w:r>
      <w:r w:rsidRPr="008A2F17">
        <w:t xml:space="preserve">O emissions for drained organic soils in </w:t>
      </w:r>
      <w:r w:rsidRPr="008A2F17">
        <w:rPr>
          <w:i/>
          <w:iCs/>
        </w:rPr>
        <w:t xml:space="preserve">Forest land </w:t>
      </w:r>
      <w:r w:rsidRPr="008A2F17">
        <w:t>in this year’s Inventory for the first time. An IPCC default emission factor</w:t>
      </w:r>
      <w:r w:rsidRPr="008A2F17" w:rsidDel="001A25F4">
        <w:t xml:space="preserve"> </w:t>
      </w:r>
      <w:r w:rsidRPr="008A2F17">
        <w:t xml:space="preserve">will be applied to country-specific activity data, where conversions to </w:t>
      </w:r>
      <w:r w:rsidRPr="008A2F17">
        <w:rPr>
          <w:i/>
          <w:iCs/>
        </w:rPr>
        <w:t>Forest land</w:t>
      </w:r>
      <w:r w:rsidRPr="008A2F17">
        <w:t xml:space="preserve"> have taken place on organic soils.</w:t>
      </w:r>
    </w:p>
    <w:p w14:paraId="439013BD" w14:textId="77777777" w:rsidR="008A2F17" w:rsidRPr="008A2F17" w:rsidRDefault="008A2F17" w:rsidP="00C73873">
      <w:pPr>
        <w:pStyle w:val="BodyText"/>
      </w:pPr>
      <w:r w:rsidRPr="008A2F17">
        <w:t xml:space="preserve">Applying the </w:t>
      </w:r>
      <w:r w:rsidRPr="008A2F17">
        <w:rPr>
          <w:i/>
          <w:iCs/>
        </w:rPr>
        <w:t>Forest land</w:t>
      </w:r>
      <w:r w:rsidRPr="008A2F17">
        <w:t xml:space="preserve"> improvement back through the time series, emissions from the LULUCF sector will increase 78 kt CO</w:t>
      </w:r>
      <w:r w:rsidRPr="008A2F17">
        <w:rPr>
          <w:vertAlign w:val="subscript"/>
        </w:rPr>
        <w:t>2</w:t>
      </w:r>
      <w:r w:rsidRPr="008A2F17">
        <w:t>-e in 1990 and 121.7 kt CO</w:t>
      </w:r>
      <w:r w:rsidRPr="008A2F17">
        <w:rPr>
          <w:vertAlign w:val="subscript"/>
        </w:rPr>
        <w:t>2</w:t>
      </w:r>
      <w:r w:rsidRPr="008A2F17">
        <w:t xml:space="preserve">-e in 2019. </w:t>
      </w:r>
    </w:p>
    <w:p w14:paraId="0952081D" w14:textId="77777777" w:rsidR="008A2F17" w:rsidRPr="008A2F17" w:rsidRDefault="008A2F17" w:rsidP="00C9562A">
      <w:pPr>
        <w:pStyle w:val="Heading3"/>
      </w:pPr>
      <w:r w:rsidRPr="008A2F17">
        <w:t>Inclusion of indirect N</w:t>
      </w:r>
      <w:r w:rsidRPr="008A2F17">
        <w:rPr>
          <w:vertAlign w:val="subscript"/>
        </w:rPr>
        <w:t>2</w:t>
      </w:r>
      <w:r w:rsidRPr="008A2F17">
        <w:t>O emissions for runoff and leaching</w:t>
      </w:r>
    </w:p>
    <w:p w14:paraId="2B0DFAD5" w14:textId="77777777" w:rsidR="008A2F17" w:rsidRPr="008A2F17" w:rsidRDefault="008A2F17" w:rsidP="00C73873">
      <w:pPr>
        <w:pStyle w:val="BodyText"/>
      </w:pPr>
      <w:r w:rsidRPr="008A2F17">
        <w:t>Indirect N</w:t>
      </w:r>
      <w:r w:rsidRPr="008A2F17">
        <w:rPr>
          <w:vertAlign w:val="subscript"/>
        </w:rPr>
        <w:t>2</w:t>
      </w:r>
      <w:r w:rsidRPr="008A2F17">
        <w:t xml:space="preserve">O emissions from runoff and leaching have previously only been reported for </w:t>
      </w:r>
      <w:r w:rsidRPr="008A2F17">
        <w:rPr>
          <w:i/>
          <w:iCs/>
        </w:rPr>
        <w:t xml:space="preserve">Cropland remaining Cropland </w:t>
      </w:r>
      <w:r w:rsidRPr="008A2F17">
        <w:t xml:space="preserve">in the Agriculture sector. Emissions from leaching and runoff have been estimated for all other land use categories for inclusion in this year’s Inventory for the first time. These emissions are associated with the mineralisation of N, and loss of soil carbon in mineral and organic soils which have taken place due to land-use change or management practices. </w:t>
      </w:r>
    </w:p>
    <w:p w14:paraId="55EF8AB8" w14:textId="6A27F2CE" w:rsidR="00E319AB" w:rsidRPr="00A42798" w:rsidRDefault="008A2F17" w:rsidP="00C73873">
      <w:pPr>
        <w:pStyle w:val="BodyText"/>
      </w:pPr>
      <w:r w:rsidRPr="008A2F17">
        <w:t>Applying this improvement will increase LULUCF sector emissions by 40.8 kt CO</w:t>
      </w:r>
      <w:r w:rsidRPr="008A2F17">
        <w:rPr>
          <w:vertAlign w:val="subscript"/>
        </w:rPr>
        <w:t>2</w:t>
      </w:r>
      <w:r w:rsidRPr="008A2F17">
        <w:t>-e in 1990 and 17.6 kt CO</w:t>
      </w:r>
      <w:r w:rsidRPr="008A2F17">
        <w:rPr>
          <w:vertAlign w:val="subscript"/>
        </w:rPr>
        <w:t>2</w:t>
      </w:r>
      <w:r w:rsidRPr="008A2F17">
        <w:t>-e in 2019.</w:t>
      </w:r>
      <w:bookmarkEnd w:id="0"/>
    </w:p>
    <w:sectPr w:rsidR="00E319AB" w:rsidRPr="00A42798" w:rsidSect="00056F4C">
      <w:footerReference w:type="even" r:id="rId22"/>
      <w:footerReference w:type="default" r:id="rId23"/>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C387" w14:textId="77777777" w:rsidR="00B60712" w:rsidRDefault="00B60712" w:rsidP="0080531E">
      <w:pPr>
        <w:spacing w:before="0" w:after="0" w:line="240" w:lineRule="auto"/>
      </w:pPr>
      <w:r>
        <w:separator/>
      </w:r>
    </w:p>
    <w:p w14:paraId="645EF8C5" w14:textId="77777777" w:rsidR="00B60712" w:rsidRDefault="00B60712"/>
  </w:endnote>
  <w:endnote w:type="continuationSeparator" w:id="0">
    <w:p w14:paraId="3771A062" w14:textId="77777777" w:rsidR="00B60712" w:rsidRDefault="00B60712" w:rsidP="0080531E">
      <w:pPr>
        <w:spacing w:before="0" w:after="0" w:line="240" w:lineRule="auto"/>
      </w:pPr>
      <w:r>
        <w:continuationSeparator/>
      </w:r>
    </w:p>
    <w:p w14:paraId="1D22B3C8" w14:textId="77777777" w:rsidR="00B60712" w:rsidRDefault="00B60712"/>
  </w:endnote>
  <w:endnote w:type="continuationNotice" w:id="1">
    <w:p w14:paraId="5F681882" w14:textId="77777777" w:rsidR="00B60712" w:rsidRDefault="00B607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Semi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470D" w14:textId="2F1B7BB1" w:rsidR="008A2F17" w:rsidRDefault="008A2F17" w:rsidP="00734B9A">
    <w:pPr>
      <w:spacing w:before="0" w:after="0" w:line="240" w:lineRule="auto"/>
      <w:ind w:left="-57"/>
      <w:jc w:val="left"/>
    </w:pPr>
    <w:r>
      <w:rPr>
        <w:b/>
        <w:bCs/>
        <w:noProof/>
      </w:rPr>
      <w:drawing>
        <wp:inline distT="0" distB="0" distL="0" distR="0" wp14:anchorId="05F6CD3F" wp14:editId="682C92B8">
          <wp:extent cx="2314914" cy="538911"/>
          <wp:effectExtent l="0" t="0" r="0"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013" cy="55755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6533" w14:textId="7833A677" w:rsidR="008A2F17" w:rsidRDefault="008A2F17" w:rsidP="00E65427">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564" w14:textId="70861289" w:rsidR="008A2F17" w:rsidRDefault="008A2F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DD22" w14:textId="1EEACC7E" w:rsidR="008A2F17" w:rsidRDefault="008A2F17" w:rsidP="00CD25E1">
    <w:pPr>
      <w:pStyle w:val="Footereven"/>
    </w:pPr>
    <w:r w:rsidRPr="004F458A">
      <w:rPr>
        <w:b/>
      </w:rPr>
      <w:fldChar w:fldCharType="begin"/>
    </w:r>
    <w:r w:rsidRPr="004F458A">
      <w:instrText xml:space="preserve"> PAGE </w:instrText>
    </w:r>
    <w:r w:rsidRPr="004F458A">
      <w:rPr>
        <w:b/>
      </w:rPr>
      <w:fldChar w:fldCharType="separate"/>
    </w:r>
    <w:r>
      <w:rPr>
        <w:noProof/>
      </w:rPr>
      <w:t>8</w:t>
    </w:r>
    <w:r w:rsidRPr="004F458A">
      <w:rPr>
        <w:b/>
      </w:rPr>
      <w:fldChar w:fldCharType="end"/>
    </w:r>
    <w:r>
      <w:tab/>
    </w:r>
    <w:bookmarkStart w:id="7" w:name="_Hlk96521883"/>
    <w:r w:rsidRPr="00B50A8C">
      <w:t>Planned methodological improvements for Aotearoa New Zealand’s Greenhouse Gas Inventory 1990–2020</w:t>
    </w:r>
    <w:bookmarkEnd w:id="7"/>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7944" w14:textId="30B3AE54" w:rsidR="008A2F17" w:rsidRDefault="008A2F17" w:rsidP="00B60712">
    <w:pPr>
      <w:pStyle w:val="Footerodd"/>
      <w:jc w:val="right"/>
    </w:pPr>
    <w:r>
      <w:tab/>
    </w:r>
    <w:r w:rsidR="00C9562A" w:rsidRPr="00B50A8C">
      <w:t>Planned methodological improvements for Aotearoa New Zealand’s Greenhouse Gas Inventory 1990–2020</w:t>
    </w:r>
    <w:r>
      <w:tab/>
    </w:r>
    <w:r>
      <w:fldChar w:fldCharType="begin"/>
    </w:r>
    <w:r>
      <w:instrText xml:space="preserve"> PAGE   \* MERGEFORMAT </w:instrText>
    </w:r>
    <w:r>
      <w:fldChar w:fldCharType="separate"/>
    </w:r>
    <w:r>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25D9" w14:textId="19A42305"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C9562A" w:rsidRPr="00C9562A">
      <w:t>Planned methodological improvements for Aotearoa New Zealand’s Greenhouse Gas Inventory 1990–2020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FBE" w14:textId="289899E9" w:rsidR="00E453AB" w:rsidRDefault="00E5210B" w:rsidP="00CD25E1">
    <w:pPr>
      <w:pStyle w:val="Footerodd"/>
    </w:pPr>
    <w:r>
      <w:tab/>
    </w:r>
    <w:r w:rsidR="00C9562A" w:rsidRPr="00C9562A">
      <w:t>Planned methodological improvements for Aotearoa New Zealand’s Greenhouse Gas Inventory 1990–2020</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9F9D" w14:textId="77777777" w:rsidR="00B60712" w:rsidRDefault="00B60712" w:rsidP="00CB5C5F">
      <w:pPr>
        <w:spacing w:before="0" w:after="80" w:line="240" w:lineRule="auto"/>
      </w:pPr>
      <w:r>
        <w:separator/>
      </w:r>
    </w:p>
  </w:footnote>
  <w:footnote w:type="continuationSeparator" w:id="0">
    <w:p w14:paraId="00269854" w14:textId="77777777" w:rsidR="00B60712" w:rsidRDefault="00B60712" w:rsidP="0080531E">
      <w:pPr>
        <w:spacing w:before="0" w:after="0" w:line="240" w:lineRule="auto"/>
      </w:pPr>
      <w:r>
        <w:continuationSeparator/>
      </w:r>
    </w:p>
    <w:p w14:paraId="63AE8D74" w14:textId="77777777" w:rsidR="00B60712" w:rsidRDefault="00B60712"/>
  </w:footnote>
  <w:footnote w:type="continuationNotice" w:id="1">
    <w:p w14:paraId="4A687AF6" w14:textId="77777777" w:rsidR="00B60712" w:rsidRDefault="00B60712">
      <w:pPr>
        <w:spacing w:before="0" w:after="0" w:line="240" w:lineRule="auto"/>
      </w:pPr>
    </w:p>
  </w:footnote>
  <w:footnote w:id="2">
    <w:p w14:paraId="51DCD845" w14:textId="09ED4760" w:rsidR="008A2F17" w:rsidRDefault="008A2F17" w:rsidP="008A2F17">
      <w:pPr>
        <w:pStyle w:val="FootnoteText"/>
      </w:pPr>
      <w:r>
        <w:rPr>
          <w:rStyle w:val="FootnoteReference"/>
        </w:rPr>
        <w:footnoteRef/>
      </w:r>
      <w:r>
        <w:t xml:space="preserve"> Tokelau’s greenhouse gas emissions have been included since the 1990</w:t>
      </w:r>
      <w:r w:rsidRPr="00E6680B">
        <w:t>–</w:t>
      </w:r>
      <w:r>
        <w:t>2017 Inventory</w:t>
      </w:r>
      <w:r w:rsidR="00BA4B64">
        <w:t>.</w:t>
      </w:r>
    </w:p>
  </w:footnote>
  <w:footnote w:id="3">
    <w:p w14:paraId="2061B197" w14:textId="52996EF2" w:rsidR="008A2F17" w:rsidRDefault="008A2F17" w:rsidP="008A2F17">
      <w:pPr>
        <w:pStyle w:val="FootnoteText"/>
      </w:pPr>
      <w:r>
        <w:rPr>
          <w:rStyle w:val="FootnoteReference"/>
        </w:rPr>
        <w:footnoteRef/>
      </w:r>
      <w:r>
        <w:t xml:space="preserve"> </w:t>
      </w:r>
      <w:r w:rsidRPr="00C771B7">
        <w:t>~0.0% indicates where a value is non-zero but is less than 0.05% in magnitude</w:t>
      </w:r>
      <w:r>
        <w:t>; a</w:t>
      </w:r>
      <w:r w:rsidRPr="00C771B7">
        <w:t xml:space="preserve"> positive number indicates an increase on last year’s emissions estimates; a negative number indicates a decrease</w:t>
      </w:r>
      <w:r>
        <w:t>; a</w:t>
      </w:r>
      <w:r w:rsidRPr="00C771B7">
        <w:t xml:space="preserve">ll figures have been rounded to </w:t>
      </w:r>
      <w:r>
        <w:t>one</w:t>
      </w:r>
      <w:r w:rsidRPr="00C771B7">
        <w:t xml:space="preserve"> decimal place</w:t>
      </w:r>
      <w:r w:rsidR="00BA4B64">
        <w:t>.</w:t>
      </w:r>
    </w:p>
  </w:footnote>
  <w:footnote w:id="4">
    <w:p w14:paraId="5EE6B2F0" w14:textId="634229A1" w:rsidR="008A2F17" w:rsidRDefault="008A2F17" w:rsidP="008A2F17">
      <w:pPr>
        <w:pStyle w:val="FootnoteText"/>
      </w:pPr>
      <w:r>
        <w:rPr>
          <w:rStyle w:val="FootnoteReference"/>
        </w:rPr>
        <w:footnoteRef/>
      </w:r>
      <w:r>
        <w:t xml:space="preserve"> Totals may not sum due to rounding</w:t>
      </w:r>
      <w:r w:rsidR="00BA4B64">
        <w:t>.</w:t>
      </w:r>
    </w:p>
  </w:footnote>
  <w:footnote w:id="5">
    <w:p w14:paraId="536B8D29" w14:textId="7C43FF05" w:rsidR="008A2F17" w:rsidRDefault="008A2F17" w:rsidP="008A2F17">
      <w:pPr>
        <w:pStyle w:val="FootnoteText"/>
      </w:pPr>
      <w:r>
        <w:rPr>
          <w:rStyle w:val="FootnoteReference"/>
        </w:rPr>
        <w:footnoteRef/>
      </w:r>
      <w:r>
        <w:t xml:space="preserve"> Totals may not sum due to rounding</w:t>
      </w:r>
      <w:r w:rsidR="00BA4B64">
        <w:t>.</w:t>
      </w:r>
    </w:p>
  </w:footnote>
  <w:footnote w:id="6">
    <w:p w14:paraId="60132DEB" w14:textId="77777777" w:rsidR="008A2F17" w:rsidRDefault="008A2F17" w:rsidP="008A2F17">
      <w:pPr>
        <w:pStyle w:val="FootnoteText"/>
      </w:pPr>
      <w:r>
        <w:rPr>
          <w:rStyle w:val="FootnoteReference"/>
        </w:rPr>
        <w:footnoteRef/>
      </w:r>
      <w:r>
        <w:t xml:space="preserve"> </w:t>
      </w:r>
      <w:hyperlink r:id="rId1" w:history="1">
        <w:r w:rsidRPr="006C1BDF">
          <w:rPr>
            <w:rStyle w:val="Hyperlink"/>
          </w:rPr>
          <w:t>www.overseer.org.nz/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27B6" w14:textId="426E6414" w:rsidR="008A2F17" w:rsidRPr="00DE7BF8" w:rsidRDefault="008A2F17" w:rsidP="00734B9A">
    <w:pPr>
      <w:pStyle w:val="Header"/>
      <w:ind w:left="-57"/>
      <w:jc w:val="left"/>
      <w:rPr>
        <w:rFonts w:ascii="Calibri" w:hAnsi="Calibri"/>
      </w:rPr>
    </w:pPr>
    <w:r>
      <w:rPr>
        <w:rFonts w:ascii="Calibri" w:hAnsi="Calibri"/>
        <w:noProof/>
      </w:rPr>
      <w:drawing>
        <wp:inline distT="0" distB="0" distL="0" distR="0" wp14:anchorId="13BDB5F9" wp14:editId="6FFADCD5">
          <wp:extent cx="2190750"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6253" w14:textId="4C6513DC" w:rsidR="008A2F17" w:rsidRDefault="008A2F17" w:rsidP="00361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A9C3" w14:textId="5CB7C19A" w:rsidR="008A2F17" w:rsidRDefault="008A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30B4300"/>
    <w:multiLevelType w:val="multilevel"/>
    <w:tmpl w:val="39B2F212"/>
    <w:styleLink w:val="Recommendations"/>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3"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14"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10"/>
  </w:num>
  <w:num w:numId="4">
    <w:abstractNumId w:val="7"/>
  </w:num>
  <w:num w:numId="5">
    <w:abstractNumId w:val="4"/>
  </w:num>
  <w:num w:numId="6">
    <w:abstractNumId w:val="12"/>
  </w:num>
  <w:num w:numId="7">
    <w:abstractNumId w:val="11"/>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5"/>
  </w:num>
  <w:num w:numId="14">
    <w:abstractNumId w:val="9"/>
  </w:num>
  <w:num w:numId="15">
    <w:abstractNumId w:val="3"/>
  </w:num>
  <w:num w:numId="16">
    <w:abstractNumId w:val="15"/>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2D"/>
    <w:rsid w:val="00000792"/>
    <w:rsid w:val="00000F04"/>
    <w:rsid w:val="00001120"/>
    <w:rsid w:val="000016CE"/>
    <w:rsid w:val="00001B1B"/>
    <w:rsid w:val="00003C4F"/>
    <w:rsid w:val="00004D3A"/>
    <w:rsid w:val="00004E0A"/>
    <w:rsid w:val="00004FD3"/>
    <w:rsid w:val="000066D2"/>
    <w:rsid w:val="00006DF5"/>
    <w:rsid w:val="00006F95"/>
    <w:rsid w:val="00007023"/>
    <w:rsid w:val="0000709F"/>
    <w:rsid w:val="000071D6"/>
    <w:rsid w:val="000073AC"/>
    <w:rsid w:val="00007F26"/>
    <w:rsid w:val="00007F2D"/>
    <w:rsid w:val="00007FAC"/>
    <w:rsid w:val="00010284"/>
    <w:rsid w:val="00010A9C"/>
    <w:rsid w:val="00010ABA"/>
    <w:rsid w:val="00010E15"/>
    <w:rsid w:val="00010F57"/>
    <w:rsid w:val="0001100C"/>
    <w:rsid w:val="00011188"/>
    <w:rsid w:val="00011B6E"/>
    <w:rsid w:val="00011B7E"/>
    <w:rsid w:val="00011D20"/>
    <w:rsid w:val="00011EC9"/>
    <w:rsid w:val="00012043"/>
    <w:rsid w:val="0001238C"/>
    <w:rsid w:val="00012555"/>
    <w:rsid w:val="0001418C"/>
    <w:rsid w:val="00014236"/>
    <w:rsid w:val="00014405"/>
    <w:rsid w:val="00014446"/>
    <w:rsid w:val="000148F6"/>
    <w:rsid w:val="00015217"/>
    <w:rsid w:val="000159D2"/>
    <w:rsid w:val="00015AD9"/>
    <w:rsid w:val="0001606A"/>
    <w:rsid w:val="00016159"/>
    <w:rsid w:val="00016264"/>
    <w:rsid w:val="00016993"/>
    <w:rsid w:val="00016CAB"/>
    <w:rsid w:val="00016E5B"/>
    <w:rsid w:val="000172DE"/>
    <w:rsid w:val="0001749B"/>
    <w:rsid w:val="000176EB"/>
    <w:rsid w:val="00017B67"/>
    <w:rsid w:val="00017D75"/>
    <w:rsid w:val="00017FE5"/>
    <w:rsid w:val="00020150"/>
    <w:rsid w:val="00020CE9"/>
    <w:rsid w:val="00020FC5"/>
    <w:rsid w:val="00021910"/>
    <w:rsid w:val="00021CD4"/>
    <w:rsid w:val="00022241"/>
    <w:rsid w:val="00022E8D"/>
    <w:rsid w:val="0002348A"/>
    <w:rsid w:val="000239EB"/>
    <w:rsid w:val="00024708"/>
    <w:rsid w:val="0002472A"/>
    <w:rsid w:val="00024BBB"/>
    <w:rsid w:val="00024EE7"/>
    <w:rsid w:val="0002564C"/>
    <w:rsid w:val="00025F96"/>
    <w:rsid w:val="00025FAB"/>
    <w:rsid w:val="00026E89"/>
    <w:rsid w:val="000275A3"/>
    <w:rsid w:val="00027C46"/>
    <w:rsid w:val="00030558"/>
    <w:rsid w:val="00030699"/>
    <w:rsid w:val="00030725"/>
    <w:rsid w:val="00030A26"/>
    <w:rsid w:val="00030A60"/>
    <w:rsid w:val="00030DB8"/>
    <w:rsid w:val="00031A83"/>
    <w:rsid w:val="00031E7D"/>
    <w:rsid w:val="0003213A"/>
    <w:rsid w:val="000327EA"/>
    <w:rsid w:val="000328D4"/>
    <w:rsid w:val="00032927"/>
    <w:rsid w:val="00032A81"/>
    <w:rsid w:val="00033C64"/>
    <w:rsid w:val="000340D8"/>
    <w:rsid w:val="0003427D"/>
    <w:rsid w:val="00034DFA"/>
    <w:rsid w:val="000353A5"/>
    <w:rsid w:val="000357ED"/>
    <w:rsid w:val="0003584B"/>
    <w:rsid w:val="00035E15"/>
    <w:rsid w:val="0003627D"/>
    <w:rsid w:val="000363DD"/>
    <w:rsid w:val="0003640E"/>
    <w:rsid w:val="0003688A"/>
    <w:rsid w:val="000368FC"/>
    <w:rsid w:val="00036CE5"/>
    <w:rsid w:val="00036DA3"/>
    <w:rsid w:val="00037961"/>
    <w:rsid w:val="000379BF"/>
    <w:rsid w:val="00037BEC"/>
    <w:rsid w:val="000400D9"/>
    <w:rsid w:val="00040216"/>
    <w:rsid w:val="0004035C"/>
    <w:rsid w:val="00040860"/>
    <w:rsid w:val="00040CED"/>
    <w:rsid w:val="00040EA1"/>
    <w:rsid w:val="0004205F"/>
    <w:rsid w:val="000423C6"/>
    <w:rsid w:val="00042949"/>
    <w:rsid w:val="00042EDB"/>
    <w:rsid w:val="00043AE2"/>
    <w:rsid w:val="00043C16"/>
    <w:rsid w:val="000446F7"/>
    <w:rsid w:val="00044A50"/>
    <w:rsid w:val="00044C65"/>
    <w:rsid w:val="000458C7"/>
    <w:rsid w:val="00045991"/>
    <w:rsid w:val="00045E5C"/>
    <w:rsid w:val="00046288"/>
    <w:rsid w:val="0004635B"/>
    <w:rsid w:val="00046915"/>
    <w:rsid w:val="00047360"/>
    <w:rsid w:val="00047941"/>
    <w:rsid w:val="00050159"/>
    <w:rsid w:val="00050A22"/>
    <w:rsid w:val="00050D85"/>
    <w:rsid w:val="00050E27"/>
    <w:rsid w:val="0005144F"/>
    <w:rsid w:val="00051AF1"/>
    <w:rsid w:val="00051CBC"/>
    <w:rsid w:val="00051D42"/>
    <w:rsid w:val="00052293"/>
    <w:rsid w:val="000526C5"/>
    <w:rsid w:val="000538A1"/>
    <w:rsid w:val="00053E9B"/>
    <w:rsid w:val="00054608"/>
    <w:rsid w:val="000550EF"/>
    <w:rsid w:val="00055375"/>
    <w:rsid w:val="000561E0"/>
    <w:rsid w:val="00056319"/>
    <w:rsid w:val="000564E7"/>
    <w:rsid w:val="00056770"/>
    <w:rsid w:val="00056F4C"/>
    <w:rsid w:val="00057386"/>
    <w:rsid w:val="000574DD"/>
    <w:rsid w:val="00057EEF"/>
    <w:rsid w:val="00060CDD"/>
    <w:rsid w:val="000619CB"/>
    <w:rsid w:val="00062259"/>
    <w:rsid w:val="00062387"/>
    <w:rsid w:val="000624B9"/>
    <w:rsid w:val="00063CF2"/>
    <w:rsid w:val="00063D94"/>
    <w:rsid w:val="00063F2D"/>
    <w:rsid w:val="000640F0"/>
    <w:rsid w:val="00064255"/>
    <w:rsid w:val="0006434D"/>
    <w:rsid w:val="000643A1"/>
    <w:rsid w:val="00064679"/>
    <w:rsid w:val="00064A13"/>
    <w:rsid w:val="00064AF4"/>
    <w:rsid w:val="00064DB1"/>
    <w:rsid w:val="000655AD"/>
    <w:rsid w:val="000658FE"/>
    <w:rsid w:val="00065BA3"/>
    <w:rsid w:val="00065C57"/>
    <w:rsid w:val="00065D3B"/>
    <w:rsid w:val="000667E9"/>
    <w:rsid w:val="00066A27"/>
    <w:rsid w:val="00067128"/>
    <w:rsid w:val="000675CD"/>
    <w:rsid w:val="000677F8"/>
    <w:rsid w:val="00067872"/>
    <w:rsid w:val="000678AC"/>
    <w:rsid w:val="0006790C"/>
    <w:rsid w:val="0006798C"/>
    <w:rsid w:val="000703B2"/>
    <w:rsid w:val="00070895"/>
    <w:rsid w:val="00070CD1"/>
    <w:rsid w:val="00070FBF"/>
    <w:rsid w:val="000711EE"/>
    <w:rsid w:val="00071658"/>
    <w:rsid w:val="0007180E"/>
    <w:rsid w:val="00071AE4"/>
    <w:rsid w:val="00071CB5"/>
    <w:rsid w:val="00071CCB"/>
    <w:rsid w:val="00071D03"/>
    <w:rsid w:val="0007232B"/>
    <w:rsid w:val="00072517"/>
    <w:rsid w:val="000735A2"/>
    <w:rsid w:val="00074A8A"/>
    <w:rsid w:val="0007517E"/>
    <w:rsid w:val="0007562C"/>
    <w:rsid w:val="00075882"/>
    <w:rsid w:val="00075FE1"/>
    <w:rsid w:val="00076667"/>
    <w:rsid w:val="00076C80"/>
    <w:rsid w:val="00077473"/>
    <w:rsid w:val="00077481"/>
    <w:rsid w:val="000776F9"/>
    <w:rsid w:val="00077EE0"/>
    <w:rsid w:val="000802F9"/>
    <w:rsid w:val="00080354"/>
    <w:rsid w:val="0008145A"/>
    <w:rsid w:val="0008162D"/>
    <w:rsid w:val="00081C3D"/>
    <w:rsid w:val="00081E0E"/>
    <w:rsid w:val="000831C8"/>
    <w:rsid w:val="00083F5E"/>
    <w:rsid w:val="00084FDB"/>
    <w:rsid w:val="00085030"/>
    <w:rsid w:val="0008505C"/>
    <w:rsid w:val="00085728"/>
    <w:rsid w:val="00085A54"/>
    <w:rsid w:val="00085C46"/>
    <w:rsid w:val="00085D65"/>
    <w:rsid w:val="000865A8"/>
    <w:rsid w:val="000866A2"/>
    <w:rsid w:val="0008686A"/>
    <w:rsid w:val="00087175"/>
    <w:rsid w:val="000875A0"/>
    <w:rsid w:val="00087739"/>
    <w:rsid w:val="00087D35"/>
    <w:rsid w:val="0009033B"/>
    <w:rsid w:val="00091486"/>
    <w:rsid w:val="00091796"/>
    <w:rsid w:val="000917DB"/>
    <w:rsid w:val="00091BA2"/>
    <w:rsid w:val="00091CB0"/>
    <w:rsid w:val="00091F91"/>
    <w:rsid w:val="00092025"/>
    <w:rsid w:val="00092920"/>
    <w:rsid w:val="00092AD8"/>
    <w:rsid w:val="00093A62"/>
    <w:rsid w:val="00093C11"/>
    <w:rsid w:val="00094344"/>
    <w:rsid w:val="000950F5"/>
    <w:rsid w:val="000953C6"/>
    <w:rsid w:val="000953F4"/>
    <w:rsid w:val="0009562E"/>
    <w:rsid w:val="0009590C"/>
    <w:rsid w:val="000959E7"/>
    <w:rsid w:val="00095E7D"/>
    <w:rsid w:val="0009630C"/>
    <w:rsid w:val="000964DE"/>
    <w:rsid w:val="000972AB"/>
    <w:rsid w:val="00097816"/>
    <w:rsid w:val="00097B40"/>
    <w:rsid w:val="00097D0E"/>
    <w:rsid w:val="000A06A7"/>
    <w:rsid w:val="000A09F8"/>
    <w:rsid w:val="000A121D"/>
    <w:rsid w:val="000A17EA"/>
    <w:rsid w:val="000A1C7A"/>
    <w:rsid w:val="000A1F61"/>
    <w:rsid w:val="000A2345"/>
    <w:rsid w:val="000A2394"/>
    <w:rsid w:val="000A2D5A"/>
    <w:rsid w:val="000A31C1"/>
    <w:rsid w:val="000A32C5"/>
    <w:rsid w:val="000A3411"/>
    <w:rsid w:val="000A34CA"/>
    <w:rsid w:val="000A3606"/>
    <w:rsid w:val="000A3634"/>
    <w:rsid w:val="000A3DB7"/>
    <w:rsid w:val="000A426F"/>
    <w:rsid w:val="000A4559"/>
    <w:rsid w:val="000A45FD"/>
    <w:rsid w:val="000A477B"/>
    <w:rsid w:val="000A4BEC"/>
    <w:rsid w:val="000A4EB3"/>
    <w:rsid w:val="000A558D"/>
    <w:rsid w:val="000A5611"/>
    <w:rsid w:val="000A563C"/>
    <w:rsid w:val="000A59C5"/>
    <w:rsid w:val="000A5DEA"/>
    <w:rsid w:val="000A5EBD"/>
    <w:rsid w:val="000A60BE"/>
    <w:rsid w:val="000A6B71"/>
    <w:rsid w:val="000A7658"/>
    <w:rsid w:val="000A7F0F"/>
    <w:rsid w:val="000A7F4C"/>
    <w:rsid w:val="000B0058"/>
    <w:rsid w:val="000B02BC"/>
    <w:rsid w:val="000B0498"/>
    <w:rsid w:val="000B05F7"/>
    <w:rsid w:val="000B0F36"/>
    <w:rsid w:val="000B15DF"/>
    <w:rsid w:val="000B16AF"/>
    <w:rsid w:val="000B1942"/>
    <w:rsid w:val="000B1BED"/>
    <w:rsid w:val="000B2240"/>
    <w:rsid w:val="000B2477"/>
    <w:rsid w:val="000B2600"/>
    <w:rsid w:val="000B2F1C"/>
    <w:rsid w:val="000B3202"/>
    <w:rsid w:val="000B36F9"/>
    <w:rsid w:val="000B4074"/>
    <w:rsid w:val="000B46B8"/>
    <w:rsid w:val="000B4732"/>
    <w:rsid w:val="000B4BCD"/>
    <w:rsid w:val="000B66DC"/>
    <w:rsid w:val="000B695C"/>
    <w:rsid w:val="000B6D1F"/>
    <w:rsid w:val="000B71F0"/>
    <w:rsid w:val="000C062F"/>
    <w:rsid w:val="000C0C6E"/>
    <w:rsid w:val="000C0CF2"/>
    <w:rsid w:val="000C17E7"/>
    <w:rsid w:val="000C1942"/>
    <w:rsid w:val="000C1C8B"/>
    <w:rsid w:val="000C2254"/>
    <w:rsid w:val="000C2911"/>
    <w:rsid w:val="000C3270"/>
    <w:rsid w:val="000C3DC1"/>
    <w:rsid w:val="000C4882"/>
    <w:rsid w:val="000C4B42"/>
    <w:rsid w:val="000C577E"/>
    <w:rsid w:val="000C5EAB"/>
    <w:rsid w:val="000C6262"/>
    <w:rsid w:val="000C6309"/>
    <w:rsid w:val="000C68F8"/>
    <w:rsid w:val="000C6BE2"/>
    <w:rsid w:val="000C6E0C"/>
    <w:rsid w:val="000D0012"/>
    <w:rsid w:val="000D04BA"/>
    <w:rsid w:val="000D0B6E"/>
    <w:rsid w:val="000D0C3A"/>
    <w:rsid w:val="000D0D65"/>
    <w:rsid w:val="000D12E0"/>
    <w:rsid w:val="000D1944"/>
    <w:rsid w:val="000D1DD9"/>
    <w:rsid w:val="000D2172"/>
    <w:rsid w:val="000D293C"/>
    <w:rsid w:val="000D2A33"/>
    <w:rsid w:val="000D2BC1"/>
    <w:rsid w:val="000D331B"/>
    <w:rsid w:val="000D337B"/>
    <w:rsid w:val="000D385A"/>
    <w:rsid w:val="000D38C2"/>
    <w:rsid w:val="000D3CA7"/>
    <w:rsid w:val="000D5210"/>
    <w:rsid w:val="000D5A41"/>
    <w:rsid w:val="000D5B16"/>
    <w:rsid w:val="000D5FD6"/>
    <w:rsid w:val="000D6201"/>
    <w:rsid w:val="000D6488"/>
    <w:rsid w:val="000D7088"/>
    <w:rsid w:val="000D770B"/>
    <w:rsid w:val="000D788E"/>
    <w:rsid w:val="000E12B0"/>
    <w:rsid w:val="000E1691"/>
    <w:rsid w:val="000E196A"/>
    <w:rsid w:val="000E1BC8"/>
    <w:rsid w:val="000E1D23"/>
    <w:rsid w:val="000E1D32"/>
    <w:rsid w:val="000E2321"/>
    <w:rsid w:val="000E2641"/>
    <w:rsid w:val="000E26D8"/>
    <w:rsid w:val="000E2B80"/>
    <w:rsid w:val="000E2B94"/>
    <w:rsid w:val="000E3156"/>
    <w:rsid w:val="000E33D2"/>
    <w:rsid w:val="000E35B6"/>
    <w:rsid w:val="000E3BB8"/>
    <w:rsid w:val="000E3C53"/>
    <w:rsid w:val="000E3D9B"/>
    <w:rsid w:val="000E3DFD"/>
    <w:rsid w:val="000E4261"/>
    <w:rsid w:val="000E45E5"/>
    <w:rsid w:val="000E4697"/>
    <w:rsid w:val="000E4E22"/>
    <w:rsid w:val="000E58C5"/>
    <w:rsid w:val="000E6203"/>
    <w:rsid w:val="000E64CB"/>
    <w:rsid w:val="000E6972"/>
    <w:rsid w:val="000E6F95"/>
    <w:rsid w:val="000E71AB"/>
    <w:rsid w:val="000E722C"/>
    <w:rsid w:val="000E755B"/>
    <w:rsid w:val="000E783D"/>
    <w:rsid w:val="000E786F"/>
    <w:rsid w:val="000E7DA7"/>
    <w:rsid w:val="000E7FA0"/>
    <w:rsid w:val="000F00BA"/>
    <w:rsid w:val="000F02F8"/>
    <w:rsid w:val="000F0409"/>
    <w:rsid w:val="000F049F"/>
    <w:rsid w:val="000F0642"/>
    <w:rsid w:val="000F07DF"/>
    <w:rsid w:val="000F07FA"/>
    <w:rsid w:val="000F09AD"/>
    <w:rsid w:val="000F0B5E"/>
    <w:rsid w:val="000F1D43"/>
    <w:rsid w:val="000F1FFF"/>
    <w:rsid w:val="000F20AA"/>
    <w:rsid w:val="000F2651"/>
    <w:rsid w:val="000F348D"/>
    <w:rsid w:val="000F369A"/>
    <w:rsid w:val="000F3FF3"/>
    <w:rsid w:val="000F4463"/>
    <w:rsid w:val="000F4495"/>
    <w:rsid w:val="000F4CEB"/>
    <w:rsid w:val="000F5285"/>
    <w:rsid w:val="000F52E0"/>
    <w:rsid w:val="000F53A9"/>
    <w:rsid w:val="000F5DC8"/>
    <w:rsid w:val="000F6460"/>
    <w:rsid w:val="000F6464"/>
    <w:rsid w:val="000F661C"/>
    <w:rsid w:val="000F6628"/>
    <w:rsid w:val="000F67F2"/>
    <w:rsid w:val="000F6C25"/>
    <w:rsid w:val="000F6C41"/>
    <w:rsid w:val="000F76EB"/>
    <w:rsid w:val="000F78AE"/>
    <w:rsid w:val="000F7E25"/>
    <w:rsid w:val="001007EE"/>
    <w:rsid w:val="00100C47"/>
    <w:rsid w:val="00100F76"/>
    <w:rsid w:val="00100FA3"/>
    <w:rsid w:val="0010148E"/>
    <w:rsid w:val="0010202D"/>
    <w:rsid w:val="0010253C"/>
    <w:rsid w:val="00102862"/>
    <w:rsid w:val="0010295B"/>
    <w:rsid w:val="00102BD1"/>
    <w:rsid w:val="00102D2D"/>
    <w:rsid w:val="0010486A"/>
    <w:rsid w:val="00104EED"/>
    <w:rsid w:val="00105497"/>
    <w:rsid w:val="0010553A"/>
    <w:rsid w:val="0010561C"/>
    <w:rsid w:val="00105C0F"/>
    <w:rsid w:val="00105E39"/>
    <w:rsid w:val="00105E48"/>
    <w:rsid w:val="00106561"/>
    <w:rsid w:val="001065E5"/>
    <w:rsid w:val="0010694B"/>
    <w:rsid w:val="00106B52"/>
    <w:rsid w:val="00106D63"/>
    <w:rsid w:val="00106FD5"/>
    <w:rsid w:val="001075F3"/>
    <w:rsid w:val="00107A01"/>
    <w:rsid w:val="00107C23"/>
    <w:rsid w:val="00110307"/>
    <w:rsid w:val="001107EA"/>
    <w:rsid w:val="001108C9"/>
    <w:rsid w:val="00110C7F"/>
    <w:rsid w:val="00110EE2"/>
    <w:rsid w:val="00111A88"/>
    <w:rsid w:val="0011221A"/>
    <w:rsid w:val="00112A2D"/>
    <w:rsid w:val="00113283"/>
    <w:rsid w:val="001137AE"/>
    <w:rsid w:val="00113B20"/>
    <w:rsid w:val="001147B3"/>
    <w:rsid w:val="001148F7"/>
    <w:rsid w:val="001149B2"/>
    <w:rsid w:val="00114C2D"/>
    <w:rsid w:val="00114E37"/>
    <w:rsid w:val="00115125"/>
    <w:rsid w:val="001152F2"/>
    <w:rsid w:val="001157D7"/>
    <w:rsid w:val="00115CB5"/>
    <w:rsid w:val="00115E55"/>
    <w:rsid w:val="00116382"/>
    <w:rsid w:val="00116484"/>
    <w:rsid w:val="00116ACF"/>
    <w:rsid w:val="00116D5C"/>
    <w:rsid w:val="001172B2"/>
    <w:rsid w:val="00117F9B"/>
    <w:rsid w:val="00121211"/>
    <w:rsid w:val="00121628"/>
    <w:rsid w:val="0012167D"/>
    <w:rsid w:val="001218D9"/>
    <w:rsid w:val="00121A92"/>
    <w:rsid w:val="00122189"/>
    <w:rsid w:val="00122280"/>
    <w:rsid w:val="00122D42"/>
    <w:rsid w:val="00122ECD"/>
    <w:rsid w:val="00122FB7"/>
    <w:rsid w:val="00123345"/>
    <w:rsid w:val="001235CD"/>
    <w:rsid w:val="00123C46"/>
    <w:rsid w:val="001242B6"/>
    <w:rsid w:val="0012470B"/>
    <w:rsid w:val="001255AE"/>
    <w:rsid w:val="00125C75"/>
    <w:rsid w:val="00125C7E"/>
    <w:rsid w:val="001269F6"/>
    <w:rsid w:val="00127945"/>
    <w:rsid w:val="00127C5F"/>
    <w:rsid w:val="00127D94"/>
    <w:rsid w:val="00127E01"/>
    <w:rsid w:val="00127E90"/>
    <w:rsid w:val="001302C1"/>
    <w:rsid w:val="001306D3"/>
    <w:rsid w:val="00130780"/>
    <w:rsid w:val="00130C07"/>
    <w:rsid w:val="00131040"/>
    <w:rsid w:val="001310BF"/>
    <w:rsid w:val="00131F85"/>
    <w:rsid w:val="0013254E"/>
    <w:rsid w:val="0013257D"/>
    <w:rsid w:val="00133022"/>
    <w:rsid w:val="00133270"/>
    <w:rsid w:val="00133574"/>
    <w:rsid w:val="00133925"/>
    <w:rsid w:val="00133CFA"/>
    <w:rsid w:val="00133E73"/>
    <w:rsid w:val="00133FDB"/>
    <w:rsid w:val="0013442F"/>
    <w:rsid w:val="00134600"/>
    <w:rsid w:val="00134F4A"/>
    <w:rsid w:val="00134F75"/>
    <w:rsid w:val="00135365"/>
    <w:rsid w:val="00135E4E"/>
    <w:rsid w:val="00136246"/>
    <w:rsid w:val="001364D4"/>
    <w:rsid w:val="00136775"/>
    <w:rsid w:val="001371C8"/>
    <w:rsid w:val="001372ED"/>
    <w:rsid w:val="0013741A"/>
    <w:rsid w:val="001404D1"/>
    <w:rsid w:val="001411A7"/>
    <w:rsid w:val="0014137E"/>
    <w:rsid w:val="001417C4"/>
    <w:rsid w:val="00142B50"/>
    <w:rsid w:val="00142CEA"/>
    <w:rsid w:val="00143873"/>
    <w:rsid w:val="001439E9"/>
    <w:rsid w:val="00143C55"/>
    <w:rsid w:val="0014433F"/>
    <w:rsid w:val="00144C6F"/>
    <w:rsid w:val="00144FE2"/>
    <w:rsid w:val="00145089"/>
    <w:rsid w:val="001451E7"/>
    <w:rsid w:val="00145DDD"/>
    <w:rsid w:val="001462E3"/>
    <w:rsid w:val="001465E4"/>
    <w:rsid w:val="0014720C"/>
    <w:rsid w:val="001472C2"/>
    <w:rsid w:val="00147458"/>
    <w:rsid w:val="00147E21"/>
    <w:rsid w:val="00150700"/>
    <w:rsid w:val="00150BA8"/>
    <w:rsid w:val="00150D19"/>
    <w:rsid w:val="0015181B"/>
    <w:rsid w:val="00151A9F"/>
    <w:rsid w:val="00151BE5"/>
    <w:rsid w:val="00151D95"/>
    <w:rsid w:val="00152795"/>
    <w:rsid w:val="00152899"/>
    <w:rsid w:val="00152AAE"/>
    <w:rsid w:val="00152B87"/>
    <w:rsid w:val="00152D92"/>
    <w:rsid w:val="00153601"/>
    <w:rsid w:val="001536B7"/>
    <w:rsid w:val="00153A96"/>
    <w:rsid w:val="00153BC4"/>
    <w:rsid w:val="00153C3F"/>
    <w:rsid w:val="00153D1C"/>
    <w:rsid w:val="001543E2"/>
    <w:rsid w:val="0015451A"/>
    <w:rsid w:val="0015463A"/>
    <w:rsid w:val="00155A00"/>
    <w:rsid w:val="00155B43"/>
    <w:rsid w:val="00155C53"/>
    <w:rsid w:val="00155D12"/>
    <w:rsid w:val="001563AB"/>
    <w:rsid w:val="001565A2"/>
    <w:rsid w:val="001567C3"/>
    <w:rsid w:val="00156A12"/>
    <w:rsid w:val="00157219"/>
    <w:rsid w:val="001579DA"/>
    <w:rsid w:val="00157B3F"/>
    <w:rsid w:val="00157F8A"/>
    <w:rsid w:val="00160C3D"/>
    <w:rsid w:val="00160F64"/>
    <w:rsid w:val="001613FD"/>
    <w:rsid w:val="00161459"/>
    <w:rsid w:val="001619FF"/>
    <w:rsid w:val="00161B24"/>
    <w:rsid w:val="00161C41"/>
    <w:rsid w:val="00161DD5"/>
    <w:rsid w:val="00162A2D"/>
    <w:rsid w:val="00162C37"/>
    <w:rsid w:val="00162E86"/>
    <w:rsid w:val="001633A4"/>
    <w:rsid w:val="001634D6"/>
    <w:rsid w:val="00163CC4"/>
    <w:rsid w:val="001648DD"/>
    <w:rsid w:val="00164909"/>
    <w:rsid w:val="00164CD7"/>
    <w:rsid w:val="0016527C"/>
    <w:rsid w:val="00165705"/>
    <w:rsid w:val="00165ADE"/>
    <w:rsid w:val="00165C89"/>
    <w:rsid w:val="00166389"/>
    <w:rsid w:val="00166E03"/>
    <w:rsid w:val="00167288"/>
    <w:rsid w:val="00167E4C"/>
    <w:rsid w:val="00170491"/>
    <w:rsid w:val="0017117D"/>
    <w:rsid w:val="00171449"/>
    <w:rsid w:val="0017199C"/>
    <w:rsid w:val="00171C7E"/>
    <w:rsid w:val="00171F35"/>
    <w:rsid w:val="00172552"/>
    <w:rsid w:val="00172873"/>
    <w:rsid w:val="00172B51"/>
    <w:rsid w:val="00172CF7"/>
    <w:rsid w:val="0017319E"/>
    <w:rsid w:val="00173A1F"/>
    <w:rsid w:val="00173BC3"/>
    <w:rsid w:val="00174128"/>
    <w:rsid w:val="00174D18"/>
    <w:rsid w:val="001751D9"/>
    <w:rsid w:val="00175668"/>
    <w:rsid w:val="00175861"/>
    <w:rsid w:val="00175C34"/>
    <w:rsid w:val="00175D05"/>
    <w:rsid w:val="00175F9A"/>
    <w:rsid w:val="00176E98"/>
    <w:rsid w:val="00177996"/>
    <w:rsid w:val="001802A8"/>
    <w:rsid w:val="001806AB"/>
    <w:rsid w:val="00180B3F"/>
    <w:rsid w:val="00180C83"/>
    <w:rsid w:val="00180CE5"/>
    <w:rsid w:val="0018175B"/>
    <w:rsid w:val="001820A3"/>
    <w:rsid w:val="0018332A"/>
    <w:rsid w:val="00183888"/>
    <w:rsid w:val="00183D80"/>
    <w:rsid w:val="001842C8"/>
    <w:rsid w:val="00185044"/>
    <w:rsid w:val="001850DB"/>
    <w:rsid w:val="00185801"/>
    <w:rsid w:val="0018599C"/>
    <w:rsid w:val="001869EE"/>
    <w:rsid w:val="00186D00"/>
    <w:rsid w:val="001871FB"/>
    <w:rsid w:val="0018743A"/>
    <w:rsid w:val="001876C8"/>
    <w:rsid w:val="00190501"/>
    <w:rsid w:val="00190A57"/>
    <w:rsid w:val="00190B3F"/>
    <w:rsid w:val="00190C72"/>
    <w:rsid w:val="00190C9B"/>
    <w:rsid w:val="0019122C"/>
    <w:rsid w:val="00191908"/>
    <w:rsid w:val="0019214F"/>
    <w:rsid w:val="00192DF3"/>
    <w:rsid w:val="0019301F"/>
    <w:rsid w:val="00193286"/>
    <w:rsid w:val="001937B8"/>
    <w:rsid w:val="00193D52"/>
    <w:rsid w:val="00194BB7"/>
    <w:rsid w:val="00194CC5"/>
    <w:rsid w:val="001951B2"/>
    <w:rsid w:val="0019565D"/>
    <w:rsid w:val="00197564"/>
    <w:rsid w:val="00197C1B"/>
    <w:rsid w:val="00197EC2"/>
    <w:rsid w:val="00197ECE"/>
    <w:rsid w:val="001A00FC"/>
    <w:rsid w:val="001A09FB"/>
    <w:rsid w:val="001A0B2C"/>
    <w:rsid w:val="001A1588"/>
    <w:rsid w:val="001A1CED"/>
    <w:rsid w:val="001A1EC3"/>
    <w:rsid w:val="001A2232"/>
    <w:rsid w:val="001A25F4"/>
    <w:rsid w:val="001A279B"/>
    <w:rsid w:val="001A2DC3"/>
    <w:rsid w:val="001A2E87"/>
    <w:rsid w:val="001A3239"/>
    <w:rsid w:val="001A33F6"/>
    <w:rsid w:val="001A3869"/>
    <w:rsid w:val="001A38C2"/>
    <w:rsid w:val="001A4483"/>
    <w:rsid w:val="001A4B1D"/>
    <w:rsid w:val="001A4C3A"/>
    <w:rsid w:val="001A5CB4"/>
    <w:rsid w:val="001A65C8"/>
    <w:rsid w:val="001A732E"/>
    <w:rsid w:val="001A7F30"/>
    <w:rsid w:val="001B06E2"/>
    <w:rsid w:val="001B09C8"/>
    <w:rsid w:val="001B103A"/>
    <w:rsid w:val="001B103D"/>
    <w:rsid w:val="001B1513"/>
    <w:rsid w:val="001B1767"/>
    <w:rsid w:val="001B2453"/>
    <w:rsid w:val="001B2917"/>
    <w:rsid w:val="001B3845"/>
    <w:rsid w:val="001B3D48"/>
    <w:rsid w:val="001B3F91"/>
    <w:rsid w:val="001B4FD0"/>
    <w:rsid w:val="001B5393"/>
    <w:rsid w:val="001B57E5"/>
    <w:rsid w:val="001B5AF9"/>
    <w:rsid w:val="001B6600"/>
    <w:rsid w:val="001B6774"/>
    <w:rsid w:val="001B6B9B"/>
    <w:rsid w:val="001B6C27"/>
    <w:rsid w:val="001B7144"/>
    <w:rsid w:val="001B7150"/>
    <w:rsid w:val="001B7E91"/>
    <w:rsid w:val="001C026A"/>
    <w:rsid w:val="001C054C"/>
    <w:rsid w:val="001C0E86"/>
    <w:rsid w:val="001C147E"/>
    <w:rsid w:val="001C151B"/>
    <w:rsid w:val="001C1836"/>
    <w:rsid w:val="001C19E5"/>
    <w:rsid w:val="001C1AAD"/>
    <w:rsid w:val="001C232B"/>
    <w:rsid w:val="001C2DA3"/>
    <w:rsid w:val="001C3048"/>
    <w:rsid w:val="001C324B"/>
    <w:rsid w:val="001C3800"/>
    <w:rsid w:val="001C3BEA"/>
    <w:rsid w:val="001C3C05"/>
    <w:rsid w:val="001C3C7B"/>
    <w:rsid w:val="001C3D2C"/>
    <w:rsid w:val="001C4051"/>
    <w:rsid w:val="001C5352"/>
    <w:rsid w:val="001C572D"/>
    <w:rsid w:val="001C6122"/>
    <w:rsid w:val="001C6421"/>
    <w:rsid w:val="001C6587"/>
    <w:rsid w:val="001C69BE"/>
    <w:rsid w:val="001C6A29"/>
    <w:rsid w:val="001C6DB5"/>
    <w:rsid w:val="001C71AC"/>
    <w:rsid w:val="001C7316"/>
    <w:rsid w:val="001C7E5C"/>
    <w:rsid w:val="001C7FAD"/>
    <w:rsid w:val="001D00CC"/>
    <w:rsid w:val="001D0494"/>
    <w:rsid w:val="001D07B7"/>
    <w:rsid w:val="001D0920"/>
    <w:rsid w:val="001D09BB"/>
    <w:rsid w:val="001D1719"/>
    <w:rsid w:val="001D171B"/>
    <w:rsid w:val="001D1732"/>
    <w:rsid w:val="001D1A58"/>
    <w:rsid w:val="001D1E2E"/>
    <w:rsid w:val="001D2203"/>
    <w:rsid w:val="001D2307"/>
    <w:rsid w:val="001D255C"/>
    <w:rsid w:val="001D288C"/>
    <w:rsid w:val="001D2BF3"/>
    <w:rsid w:val="001D2DEF"/>
    <w:rsid w:val="001D30BB"/>
    <w:rsid w:val="001D394C"/>
    <w:rsid w:val="001D47BA"/>
    <w:rsid w:val="001D488C"/>
    <w:rsid w:val="001D4C43"/>
    <w:rsid w:val="001D4CDF"/>
    <w:rsid w:val="001D4F88"/>
    <w:rsid w:val="001D578D"/>
    <w:rsid w:val="001D5818"/>
    <w:rsid w:val="001D653A"/>
    <w:rsid w:val="001D6894"/>
    <w:rsid w:val="001D6B70"/>
    <w:rsid w:val="001D7DEE"/>
    <w:rsid w:val="001E02BE"/>
    <w:rsid w:val="001E02CB"/>
    <w:rsid w:val="001E03DC"/>
    <w:rsid w:val="001E0553"/>
    <w:rsid w:val="001E05CE"/>
    <w:rsid w:val="001E074D"/>
    <w:rsid w:val="001E1201"/>
    <w:rsid w:val="001E14FD"/>
    <w:rsid w:val="001E15B2"/>
    <w:rsid w:val="001E180F"/>
    <w:rsid w:val="001E1C64"/>
    <w:rsid w:val="001E1CEC"/>
    <w:rsid w:val="001E1FE9"/>
    <w:rsid w:val="001E299E"/>
    <w:rsid w:val="001E2ECB"/>
    <w:rsid w:val="001E420B"/>
    <w:rsid w:val="001E4B64"/>
    <w:rsid w:val="001E4C97"/>
    <w:rsid w:val="001E51A3"/>
    <w:rsid w:val="001E52FD"/>
    <w:rsid w:val="001E552A"/>
    <w:rsid w:val="001E57B9"/>
    <w:rsid w:val="001E5A55"/>
    <w:rsid w:val="001E6E8D"/>
    <w:rsid w:val="001E7EE4"/>
    <w:rsid w:val="001E7F76"/>
    <w:rsid w:val="001F03C8"/>
    <w:rsid w:val="001F0FAF"/>
    <w:rsid w:val="001F139F"/>
    <w:rsid w:val="001F1561"/>
    <w:rsid w:val="001F193E"/>
    <w:rsid w:val="001F2140"/>
    <w:rsid w:val="001F2805"/>
    <w:rsid w:val="001F29FE"/>
    <w:rsid w:val="001F2CD5"/>
    <w:rsid w:val="001F2E79"/>
    <w:rsid w:val="001F2F07"/>
    <w:rsid w:val="001F3123"/>
    <w:rsid w:val="001F3640"/>
    <w:rsid w:val="001F376D"/>
    <w:rsid w:val="001F418C"/>
    <w:rsid w:val="001F41A7"/>
    <w:rsid w:val="001F4366"/>
    <w:rsid w:val="001F4B2D"/>
    <w:rsid w:val="001F4E64"/>
    <w:rsid w:val="001F4F40"/>
    <w:rsid w:val="001F50E0"/>
    <w:rsid w:val="001F594C"/>
    <w:rsid w:val="001F5C7F"/>
    <w:rsid w:val="001F64A8"/>
    <w:rsid w:val="001F6656"/>
    <w:rsid w:val="001F69FC"/>
    <w:rsid w:val="001F6D62"/>
    <w:rsid w:val="001F7675"/>
    <w:rsid w:val="00200FAE"/>
    <w:rsid w:val="0020102D"/>
    <w:rsid w:val="002010E2"/>
    <w:rsid w:val="00201B73"/>
    <w:rsid w:val="0020214B"/>
    <w:rsid w:val="00202517"/>
    <w:rsid w:val="00202ADB"/>
    <w:rsid w:val="00202BB7"/>
    <w:rsid w:val="0020435B"/>
    <w:rsid w:val="00204414"/>
    <w:rsid w:val="00204533"/>
    <w:rsid w:val="00204F2D"/>
    <w:rsid w:val="00205566"/>
    <w:rsid w:val="002063AA"/>
    <w:rsid w:val="002072E4"/>
    <w:rsid w:val="0020782D"/>
    <w:rsid w:val="00207FD3"/>
    <w:rsid w:val="00210549"/>
    <w:rsid w:val="0021069E"/>
    <w:rsid w:val="00210804"/>
    <w:rsid w:val="0021088F"/>
    <w:rsid w:val="002113FE"/>
    <w:rsid w:val="00211737"/>
    <w:rsid w:val="0021181B"/>
    <w:rsid w:val="0021204E"/>
    <w:rsid w:val="0021230F"/>
    <w:rsid w:val="002125B0"/>
    <w:rsid w:val="00212A82"/>
    <w:rsid w:val="00212D85"/>
    <w:rsid w:val="0021344A"/>
    <w:rsid w:val="00214EA2"/>
    <w:rsid w:val="002150BC"/>
    <w:rsid w:val="002160FA"/>
    <w:rsid w:val="002166DD"/>
    <w:rsid w:val="002168A2"/>
    <w:rsid w:val="00216FFE"/>
    <w:rsid w:val="00217411"/>
    <w:rsid w:val="00217867"/>
    <w:rsid w:val="00217C33"/>
    <w:rsid w:val="00217D5D"/>
    <w:rsid w:val="00217F5F"/>
    <w:rsid w:val="002205E4"/>
    <w:rsid w:val="00220950"/>
    <w:rsid w:val="00220D67"/>
    <w:rsid w:val="002215F8"/>
    <w:rsid w:val="0022164F"/>
    <w:rsid w:val="002219E7"/>
    <w:rsid w:val="00221F80"/>
    <w:rsid w:val="00222045"/>
    <w:rsid w:val="002223CE"/>
    <w:rsid w:val="0022273A"/>
    <w:rsid w:val="00222753"/>
    <w:rsid w:val="002229D7"/>
    <w:rsid w:val="00222AB2"/>
    <w:rsid w:val="00222D28"/>
    <w:rsid w:val="00223521"/>
    <w:rsid w:val="00223CF4"/>
    <w:rsid w:val="00224220"/>
    <w:rsid w:val="00224398"/>
    <w:rsid w:val="002244A8"/>
    <w:rsid w:val="00224712"/>
    <w:rsid w:val="00224A81"/>
    <w:rsid w:val="00224B13"/>
    <w:rsid w:val="00224E91"/>
    <w:rsid w:val="00225830"/>
    <w:rsid w:val="00225B4C"/>
    <w:rsid w:val="00225E1E"/>
    <w:rsid w:val="00226129"/>
    <w:rsid w:val="0022614D"/>
    <w:rsid w:val="00226AA2"/>
    <w:rsid w:val="00226FEB"/>
    <w:rsid w:val="00227218"/>
    <w:rsid w:val="0022770A"/>
    <w:rsid w:val="00227BEE"/>
    <w:rsid w:val="00227FB4"/>
    <w:rsid w:val="0023057E"/>
    <w:rsid w:val="002312BC"/>
    <w:rsid w:val="002337E5"/>
    <w:rsid w:val="00233C06"/>
    <w:rsid w:val="00233F24"/>
    <w:rsid w:val="00234313"/>
    <w:rsid w:val="00234BBB"/>
    <w:rsid w:val="002350D0"/>
    <w:rsid w:val="002356F4"/>
    <w:rsid w:val="00235F02"/>
    <w:rsid w:val="002365D6"/>
    <w:rsid w:val="0023690E"/>
    <w:rsid w:val="00236D28"/>
    <w:rsid w:val="00237FE4"/>
    <w:rsid w:val="00240537"/>
    <w:rsid w:val="00240656"/>
    <w:rsid w:val="00240713"/>
    <w:rsid w:val="00240A5C"/>
    <w:rsid w:val="00240E1B"/>
    <w:rsid w:val="002412B4"/>
    <w:rsid w:val="00241610"/>
    <w:rsid w:val="00241976"/>
    <w:rsid w:val="00241AED"/>
    <w:rsid w:val="002423D5"/>
    <w:rsid w:val="002426DB"/>
    <w:rsid w:val="00243182"/>
    <w:rsid w:val="00243928"/>
    <w:rsid w:val="00243946"/>
    <w:rsid w:val="00243B98"/>
    <w:rsid w:val="00243BC5"/>
    <w:rsid w:val="00243C7D"/>
    <w:rsid w:val="00243E9A"/>
    <w:rsid w:val="0024422C"/>
    <w:rsid w:val="00244371"/>
    <w:rsid w:val="00244AF8"/>
    <w:rsid w:val="00244BC5"/>
    <w:rsid w:val="00244E68"/>
    <w:rsid w:val="00245252"/>
    <w:rsid w:val="002456C5"/>
    <w:rsid w:val="00245ABE"/>
    <w:rsid w:val="00245C0B"/>
    <w:rsid w:val="0024650B"/>
    <w:rsid w:val="00246EAE"/>
    <w:rsid w:val="00247116"/>
    <w:rsid w:val="002471E5"/>
    <w:rsid w:val="0024796A"/>
    <w:rsid w:val="0025054B"/>
    <w:rsid w:val="00250F35"/>
    <w:rsid w:val="002517A8"/>
    <w:rsid w:val="00251EC6"/>
    <w:rsid w:val="00251EEE"/>
    <w:rsid w:val="00252B6E"/>
    <w:rsid w:val="00253177"/>
    <w:rsid w:val="002538B8"/>
    <w:rsid w:val="0025396F"/>
    <w:rsid w:val="00254319"/>
    <w:rsid w:val="00254381"/>
    <w:rsid w:val="002552B3"/>
    <w:rsid w:val="0025539F"/>
    <w:rsid w:val="00255579"/>
    <w:rsid w:val="00255746"/>
    <w:rsid w:val="00255D4A"/>
    <w:rsid w:val="0025624A"/>
    <w:rsid w:val="00256388"/>
    <w:rsid w:val="0025697F"/>
    <w:rsid w:val="00256E44"/>
    <w:rsid w:val="002570E4"/>
    <w:rsid w:val="00257518"/>
    <w:rsid w:val="002600AA"/>
    <w:rsid w:val="00260230"/>
    <w:rsid w:val="00260919"/>
    <w:rsid w:val="002612FD"/>
    <w:rsid w:val="002613DC"/>
    <w:rsid w:val="00261755"/>
    <w:rsid w:val="00261AAA"/>
    <w:rsid w:val="00262097"/>
    <w:rsid w:val="00262811"/>
    <w:rsid w:val="00262C92"/>
    <w:rsid w:val="00262D20"/>
    <w:rsid w:val="00262D63"/>
    <w:rsid w:val="00263013"/>
    <w:rsid w:val="002634AB"/>
    <w:rsid w:val="002638E0"/>
    <w:rsid w:val="00263C19"/>
    <w:rsid w:val="00263E9F"/>
    <w:rsid w:val="00264F03"/>
    <w:rsid w:val="00264F8F"/>
    <w:rsid w:val="002655AE"/>
    <w:rsid w:val="0026591F"/>
    <w:rsid w:val="00265A65"/>
    <w:rsid w:val="00265D60"/>
    <w:rsid w:val="002660F0"/>
    <w:rsid w:val="00266783"/>
    <w:rsid w:val="002675B6"/>
    <w:rsid w:val="00267728"/>
    <w:rsid w:val="00267A99"/>
    <w:rsid w:val="00270271"/>
    <w:rsid w:val="00271D54"/>
    <w:rsid w:val="00272174"/>
    <w:rsid w:val="002721A6"/>
    <w:rsid w:val="002722E0"/>
    <w:rsid w:val="002729CB"/>
    <w:rsid w:val="00272CB9"/>
    <w:rsid w:val="00272DFA"/>
    <w:rsid w:val="00272FAF"/>
    <w:rsid w:val="002730EC"/>
    <w:rsid w:val="00273100"/>
    <w:rsid w:val="002735CC"/>
    <w:rsid w:val="00274588"/>
    <w:rsid w:val="00274A67"/>
    <w:rsid w:val="00274AA2"/>
    <w:rsid w:val="00274BAA"/>
    <w:rsid w:val="002756EF"/>
    <w:rsid w:val="00275708"/>
    <w:rsid w:val="00275807"/>
    <w:rsid w:val="00275FD5"/>
    <w:rsid w:val="002768CF"/>
    <w:rsid w:val="00276F82"/>
    <w:rsid w:val="002805DF"/>
    <w:rsid w:val="0028092D"/>
    <w:rsid w:val="00280E42"/>
    <w:rsid w:val="002812EC"/>
    <w:rsid w:val="002815D9"/>
    <w:rsid w:val="00282317"/>
    <w:rsid w:val="0028236D"/>
    <w:rsid w:val="00282D25"/>
    <w:rsid w:val="00282DF9"/>
    <w:rsid w:val="00283A44"/>
    <w:rsid w:val="00283CC8"/>
    <w:rsid w:val="0028529F"/>
    <w:rsid w:val="002854F1"/>
    <w:rsid w:val="00285687"/>
    <w:rsid w:val="00285833"/>
    <w:rsid w:val="00285BBC"/>
    <w:rsid w:val="00286508"/>
    <w:rsid w:val="0028748E"/>
    <w:rsid w:val="00287649"/>
    <w:rsid w:val="002876F0"/>
    <w:rsid w:val="00287DAB"/>
    <w:rsid w:val="00287FB6"/>
    <w:rsid w:val="002900C5"/>
    <w:rsid w:val="002901E0"/>
    <w:rsid w:val="0029075B"/>
    <w:rsid w:val="00290BB1"/>
    <w:rsid w:val="00290D15"/>
    <w:rsid w:val="00290E9A"/>
    <w:rsid w:val="0029132B"/>
    <w:rsid w:val="00291A34"/>
    <w:rsid w:val="00291BC1"/>
    <w:rsid w:val="00292111"/>
    <w:rsid w:val="00292B35"/>
    <w:rsid w:val="002930A2"/>
    <w:rsid w:val="002933CA"/>
    <w:rsid w:val="00293A8F"/>
    <w:rsid w:val="00295155"/>
    <w:rsid w:val="00295649"/>
    <w:rsid w:val="00295D51"/>
    <w:rsid w:val="00296203"/>
    <w:rsid w:val="00296428"/>
    <w:rsid w:val="0029643D"/>
    <w:rsid w:val="0029706A"/>
    <w:rsid w:val="002972EE"/>
    <w:rsid w:val="002973B3"/>
    <w:rsid w:val="002973E9"/>
    <w:rsid w:val="00297F01"/>
    <w:rsid w:val="002A052D"/>
    <w:rsid w:val="002A0DF8"/>
    <w:rsid w:val="002A15CD"/>
    <w:rsid w:val="002A1928"/>
    <w:rsid w:val="002A1E5B"/>
    <w:rsid w:val="002A1F1F"/>
    <w:rsid w:val="002A21B5"/>
    <w:rsid w:val="002A2631"/>
    <w:rsid w:val="002A2A0C"/>
    <w:rsid w:val="002A2BB6"/>
    <w:rsid w:val="002A30E0"/>
    <w:rsid w:val="002A310C"/>
    <w:rsid w:val="002A3521"/>
    <w:rsid w:val="002A35C5"/>
    <w:rsid w:val="002A37E1"/>
    <w:rsid w:val="002A3B5D"/>
    <w:rsid w:val="002A3B61"/>
    <w:rsid w:val="002A402A"/>
    <w:rsid w:val="002A45AA"/>
    <w:rsid w:val="002A4B0B"/>
    <w:rsid w:val="002A4B6F"/>
    <w:rsid w:val="002A4FFF"/>
    <w:rsid w:val="002A533C"/>
    <w:rsid w:val="002A56E1"/>
    <w:rsid w:val="002A5890"/>
    <w:rsid w:val="002A59BD"/>
    <w:rsid w:val="002A5EA2"/>
    <w:rsid w:val="002A681C"/>
    <w:rsid w:val="002A6C20"/>
    <w:rsid w:val="002A75CA"/>
    <w:rsid w:val="002A7889"/>
    <w:rsid w:val="002A799A"/>
    <w:rsid w:val="002A7DB5"/>
    <w:rsid w:val="002B097D"/>
    <w:rsid w:val="002B0E45"/>
    <w:rsid w:val="002B11B2"/>
    <w:rsid w:val="002B18F7"/>
    <w:rsid w:val="002B2148"/>
    <w:rsid w:val="002B22A8"/>
    <w:rsid w:val="002B3ED7"/>
    <w:rsid w:val="002B4778"/>
    <w:rsid w:val="002B4B55"/>
    <w:rsid w:val="002B75B2"/>
    <w:rsid w:val="002B79B7"/>
    <w:rsid w:val="002B7D16"/>
    <w:rsid w:val="002C0193"/>
    <w:rsid w:val="002C1100"/>
    <w:rsid w:val="002C141D"/>
    <w:rsid w:val="002C19C0"/>
    <w:rsid w:val="002C2485"/>
    <w:rsid w:val="002C25E0"/>
    <w:rsid w:val="002C29CE"/>
    <w:rsid w:val="002C2A2D"/>
    <w:rsid w:val="002C36C0"/>
    <w:rsid w:val="002C3928"/>
    <w:rsid w:val="002C3B33"/>
    <w:rsid w:val="002C435E"/>
    <w:rsid w:val="002C43BB"/>
    <w:rsid w:val="002C44AB"/>
    <w:rsid w:val="002C4B8D"/>
    <w:rsid w:val="002C4C6C"/>
    <w:rsid w:val="002C592B"/>
    <w:rsid w:val="002C5C84"/>
    <w:rsid w:val="002C5E39"/>
    <w:rsid w:val="002C5FA2"/>
    <w:rsid w:val="002C6424"/>
    <w:rsid w:val="002C748F"/>
    <w:rsid w:val="002C7A02"/>
    <w:rsid w:val="002C7BD4"/>
    <w:rsid w:val="002D0107"/>
    <w:rsid w:val="002D062E"/>
    <w:rsid w:val="002D0847"/>
    <w:rsid w:val="002D0D43"/>
    <w:rsid w:val="002D0E8F"/>
    <w:rsid w:val="002D15C2"/>
    <w:rsid w:val="002D20BE"/>
    <w:rsid w:val="002D2B10"/>
    <w:rsid w:val="002D386A"/>
    <w:rsid w:val="002D4100"/>
    <w:rsid w:val="002D477F"/>
    <w:rsid w:val="002D4D0A"/>
    <w:rsid w:val="002D4F48"/>
    <w:rsid w:val="002D519B"/>
    <w:rsid w:val="002D5AF6"/>
    <w:rsid w:val="002D5CFC"/>
    <w:rsid w:val="002D5F3E"/>
    <w:rsid w:val="002D621E"/>
    <w:rsid w:val="002D66DA"/>
    <w:rsid w:val="002D7027"/>
    <w:rsid w:val="002D70DC"/>
    <w:rsid w:val="002D735A"/>
    <w:rsid w:val="002D7375"/>
    <w:rsid w:val="002D758B"/>
    <w:rsid w:val="002D79BC"/>
    <w:rsid w:val="002D7E58"/>
    <w:rsid w:val="002E0181"/>
    <w:rsid w:val="002E046E"/>
    <w:rsid w:val="002E09F5"/>
    <w:rsid w:val="002E0D31"/>
    <w:rsid w:val="002E0EFA"/>
    <w:rsid w:val="002E1073"/>
    <w:rsid w:val="002E12EC"/>
    <w:rsid w:val="002E1446"/>
    <w:rsid w:val="002E146D"/>
    <w:rsid w:val="002E1967"/>
    <w:rsid w:val="002E237E"/>
    <w:rsid w:val="002E272B"/>
    <w:rsid w:val="002E283C"/>
    <w:rsid w:val="002E29F8"/>
    <w:rsid w:val="002E2C52"/>
    <w:rsid w:val="002E342B"/>
    <w:rsid w:val="002E3B81"/>
    <w:rsid w:val="002E3D08"/>
    <w:rsid w:val="002E3E1D"/>
    <w:rsid w:val="002E3EEA"/>
    <w:rsid w:val="002E4229"/>
    <w:rsid w:val="002E4D08"/>
    <w:rsid w:val="002E4DA5"/>
    <w:rsid w:val="002E52B8"/>
    <w:rsid w:val="002E544D"/>
    <w:rsid w:val="002E5B62"/>
    <w:rsid w:val="002E5DBF"/>
    <w:rsid w:val="002E5E01"/>
    <w:rsid w:val="002E5FBC"/>
    <w:rsid w:val="002E60F5"/>
    <w:rsid w:val="002E6536"/>
    <w:rsid w:val="002E69F5"/>
    <w:rsid w:val="002E6CAA"/>
    <w:rsid w:val="002E7189"/>
    <w:rsid w:val="002E73EC"/>
    <w:rsid w:val="002F023D"/>
    <w:rsid w:val="002F10EC"/>
    <w:rsid w:val="002F1136"/>
    <w:rsid w:val="002F1231"/>
    <w:rsid w:val="002F1521"/>
    <w:rsid w:val="002F15EE"/>
    <w:rsid w:val="002F3632"/>
    <w:rsid w:val="002F3810"/>
    <w:rsid w:val="002F3AFB"/>
    <w:rsid w:val="002F3C41"/>
    <w:rsid w:val="002F44D4"/>
    <w:rsid w:val="002F4AE5"/>
    <w:rsid w:val="002F4C8E"/>
    <w:rsid w:val="002F5076"/>
    <w:rsid w:val="002F5839"/>
    <w:rsid w:val="002F64D9"/>
    <w:rsid w:val="002F651D"/>
    <w:rsid w:val="002F6648"/>
    <w:rsid w:val="002F6E44"/>
    <w:rsid w:val="002F74FD"/>
    <w:rsid w:val="002F787B"/>
    <w:rsid w:val="002F7974"/>
    <w:rsid w:val="002F7B85"/>
    <w:rsid w:val="002F7D01"/>
    <w:rsid w:val="0030005C"/>
    <w:rsid w:val="00300369"/>
    <w:rsid w:val="00300669"/>
    <w:rsid w:val="003011E6"/>
    <w:rsid w:val="00301782"/>
    <w:rsid w:val="00301D0A"/>
    <w:rsid w:val="003027B8"/>
    <w:rsid w:val="0030293F"/>
    <w:rsid w:val="00302947"/>
    <w:rsid w:val="00302C50"/>
    <w:rsid w:val="00302ED2"/>
    <w:rsid w:val="003031C2"/>
    <w:rsid w:val="00303861"/>
    <w:rsid w:val="003039CC"/>
    <w:rsid w:val="00303CEE"/>
    <w:rsid w:val="00303EDA"/>
    <w:rsid w:val="00304FFF"/>
    <w:rsid w:val="00305557"/>
    <w:rsid w:val="0030561F"/>
    <w:rsid w:val="00305A17"/>
    <w:rsid w:val="00305CA3"/>
    <w:rsid w:val="00306D5E"/>
    <w:rsid w:val="00306E5C"/>
    <w:rsid w:val="003072D0"/>
    <w:rsid w:val="003076A8"/>
    <w:rsid w:val="00307C19"/>
    <w:rsid w:val="00310347"/>
    <w:rsid w:val="0031049B"/>
    <w:rsid w:val="00310732"/>
    <w:rsid w:val="00310A68"/>
    <w:rsid w:val="00310BC9"/>
    <w:rsid w:val="00310BFC"/>
    <w:rsid w:val="00310C83"/>
    <w:rsid w:val="003112C2"/>
    <w:rsid w:val="00311762"/>
    <w:rsid w:val="00311BCE"/>
    <w:rsid w:val="00311E98"/>
    <w:rsid w:val="00312215"/>
    <w:rsid w:val="0031249C"/>
    <w:rsid w:val="003125C3"/>
    <w:rsid w:val="00312896"/>
    <w:rsid w:val="00313EAC"/>
    <w:rsid w:val="003142F4"/>
    <w:rsid w:val="0031454E"/>
    <w:rsid w:val="00314CC7"/>
    <w:rsid w:val="003156EA"/>
    <w:rsid w:val="00315868"/>
    <w:rsid w:val="0031611F"/>
    <w:rsid w:val="00316906"/>
    <w:rsid w:val="00317245"/>
    <w:rsid w:val="0031745F"/>
    <w:rsid w:val="003174E2"/>
    <w:rsid w:val="00317A33"/>
    <w:rsid w:val="00317E13"/>
    <w:rsid w:val="00320339"/>
    <w:rsid w:val="00321214"/>
    <w:rsid w:val="003213D5"/>
    <w:rsid w:val="00321861"/>
    <w:rsid w:val="00323737"/>
    <w:rsid w:val="00323AD6"/>
    <w:rsid w:val="00323F27"/>
    <w:rsid w:val="00324186"/>
    <w:rsid w:val="003242EF"/>
    <w:rsid w:val="00324699"/>
    <w:rsid w:val="00325339"/>
    <w:rsid w:val="003255AA"/>
    <w:rsid w:val="003258EC"/>
    <w:rsid w:val="003260D8"/>
    <w:rsid w:val="00326B42"/>
    <w:rsid w:val="00326CB1"/>
    <w:rsid w:val="00326D49"/>
    <w:rsid w:val="003277DA"/>
    <w:rsid w:val="003314B6"/>
    <w:rsid w:val="003315C0"/>
    <w:rsid w:val="00331836"/>
    <w:rsid w:val="00331A20"/>
    <w:rsid w:val="00331B44"/>
    <w:rsid w:val="00331E65"/>
    <w:rsid w:val="003322F2"/>
    <w:rsid w:val="00332FCB"/>
    <w:rsid w:val="00333107"/>
    <w:rsid w:val="0033343B"/>
    <w:rsid w:val="00333636"/>
    <w:rsid w:val="003336A2"/>
    <w:rsid w:val="0033393C"/>
    <w:rsid w:val="00333D76"/>
    <w:rsid w:val="003357EE"/>
    <w:rsid w:val="00335B75"/>
    <w:rsid w:val="00337368"/>
    <w:rsid w:val="00337B4D"/>
    <w:rsid w:val="003407A9"/>
    <w:rsid w:val="00340BA3"/>
    <w:rsid w:val="00340BAF"/>
    <w:rsid w:val="00340C2B"/>
    <w:rsid w:val="00340F9A"/>
    <w:rsid w:val="00341018"/>
    <w:rsid w:val="00341345"/>
    <w:rsid w:val="00341843"/>
    <w:rsid w:val="00341BCA"/>
    <w:rsid w:val="003420D9"/>
    <w:rsid w:val="003423E0"/>
    <w:rsid w:val="003424A9"/>
    <w:rsid w:val="003426DF"/>
    <w:rsid w:val="0034301A"/>
    <w:rsid w:val="003430C5"/>
    <w:rsid w:val="00343D76"/>
    <w:rsid w:val="00344DFD"/>
    <w:rsid w:val="003451D3"/>
    <w:rsid w:val="003465ED"/>
    <w:rsid w:val="00346631"/>
    <w:rsid w:val="003468FA"/>
    <w:rsid w:val="00346AAD"/>
    <w:rsid w:val="00346B4B"/>
    <w:rsid w:val="00346D96"/>
    <w:rsid w:val="0034736A"/>
    <w:rsid w:val="0034747C"/>
    <w:rsid w:val="00347B6C"/>
    <w:rsid w:val="00350611"/>
    <w:rsid w:val="003508CD"/>
    <w:rsid w:val="0035151C"/>
    <w:rsid w:val="00352254"/>
    <w:rsid w:val="003522A3"/>
    <w:rsid w:val="003522DD"/>
    <w:rsid w:val="00352716"/>
    <w:rsid w:val="00352726"/>
    <w:rsid w:val="003528A2"/>
    <w:rsid w:val="003529CD"/>
    <w:rsid w:val="00353242"/>
    <w:rsid w:val="003533AE"/>
    <w:rsid w:val="00353929"/>
    <w:rsid w:val="00353F9E"/>
    <w:rsid w:val="003540D1"/>
    <w:rsid w:val="00354582"/>
    <w:rsid w:val="0035459A"/>
    <w:rsid w:val="003545BF"/>
    <w:rsid w:val="00354668"/>
    <w:rsid w:val="00354B9A"/>
    <w:rsid w:val="00354F2B"/>
    <w:rsid w:val="00355424"/>
    <w:rsid w:val="0035586A"/>
    <w:rsid w:val="0035611A"/>
    <w:rsid w:val="00356C3D"/>
    <w:rsid w:val="00356DC4"/>
    <w:rsid w:val="0035785C"/>
    <w:rsid w:val="00357A76"/>
    <w:rsid w:val="00360321"/>
    <w:rsid w:val="00360476"/>
    <w:rsid w:val="003608A7"/>
    <w:rsid w:val="00360B75"/>
    <w:rsid w:val="0036151C"/>
    <w:rsid w:val="00361A9B"/>
    <w:rsid w:val="00361B08"/>
    <w:rsid w:val="00362470"/>
    <w:rsid w:val="00362CCF"/>
    <w:rsid w:val="003631DB"/>
    <w:rsid w:val="00364524"/>
    <w:rsid w:val="00364CD8"/>
    <w:rsid w:val="0036513A"/>
    <w:rsid w:val="00365237"/>
    <w:rsid w:val="0036559C"/>
    <w:rsid w:val="00365692"/>
    <w:rsid w:val="0036587E"/>
    <w:rsid w:val="00365C78"/>
    <w:rsid w:val="003660CD"/>
    <w:rsid w:val="0036638A"/>
    <w:rsid w:val="00366B08"/>
    <w:rsid w:val="00366E28"/>
    <w:rsid w:val="00367496"/>
    <w:rsid w:val="003678BE"/>
    <w:rsid w:val="00367C26"/>
    <w:rsid w:val="003700F8"/>
    <w:rsid w:val="00370949"/>
    <w:rsid w:val="003717B9"/>
    <w:rsid w:val="00371B08"/>
    <w:rsid w:val="00371E58"/>
    <w:rsid w:val="0037243B"/>
    <w:rsid w:val="0037251C"/>
    <w:rsid w:val="0037272C"/>
    <w:rsid w:val="00372AFF"/>
    <w:rsid w:val="00372B9A"/>
    <w:rsid w:val="003731BF"/>
    <w:rsid w:val="00373AB1"/>
    <w:rsid w:val="00375287"/>
    <w:rsid w:val="00375791"/>
    <w:rsid w:val="00375826"/>
    <w:rsid w:val="0037596B"/>
    <w:rsid w:val="00375994"/>
    <w:rsid w:val="003759C2"/>
    <w:rsid w:val="00375C59"/>
    <w:rsid w:val="00375E05"/>
    <w:rsid w:val="0037697B"/>
    <w:rsid w:val="00376BB7"/>
    <w:rsid w:val="00376EEE"/>
    <w:rsid w:val="00377BA1"/>
    <w:rsid w:val="00377FF0"/>
    <w:rsid w:val="00380616"/>
    <w:rsid w:val="00380648"/>
    <w:rsid w:val="00381022"/>
    <w:rsid w:val="003814B8"/>
    <w:rsid w:val="003818AC"/>
    <w:rsid w:val="00381E29"/>
    <w:rsid w:val="00382909"/>
    <w:rsid w:val="00382914"/>
    <w:rsid w:val="003829D0"/>
    <w:rsid w:val="00382EE1"/>
    <w:rsid w:val="0038321D"/>
    <w:rsid w:val="00383826"/>
    <w:rsid w:val="00383DB5"/>
    <w:rsid w:val="00384258"/>
    <w:rsid w:val="00384F0A"/>
    <w:rsid w:val="00385131"/>
    <w:rsid w:val="003854B5"/>
    <w:rsid w:val="0038620B"/>
    <w:rsid w:val="00386754"/>
    <w:rsid w:val="00387647"/>
    <w:rsid w:val="003878CF"/>
    <w:rsid w:val="0038791A"/>
    <w:rsid w:val="00387DD0"/>
    <w:rsid w:val="00390056"/>
    <w:rsid w:val="003902EC"/>
    <w:rsid w:val="0039055C"/>
    <w:rsid w:val="00390718"/>
    <w:rsid w:val="00390767"/>
    <w:rsid w:val="00390883"/>
    <w:rsid w:val="00391470"/>
    <w:rsid w:val="003920C4"/>
    <w:rsid w:val="00392184"/>
    <w:rsid w:val="003924D9"/>
    <w:rsid w:val="00392652"/>
    <w:rsid w:val="00392B41"/>
    <w:rsid w:val="00394188"/>
    <w:rsid w:val="0039456F"/>
    <w:rsid w:val="003945C8"/>
    <w:rsid w:val="0039480D"/>
    <w:rsid w:val="00395446"/>
    <w:rsid w:val="003954D2"/>
    <w:rsid w:val="00396725"/>
    <w:rsid w:val="00396BEA"/>
    <w:rsid w:val="00397641"/>
    <w:rsid w:val="00397A28"/>
    <w:rsid w:val="00397C88"/>
    <w:rsid w:val="00397E94"/>
    <w:rsid w:val="00397F05"/>
    <w:rsid w:val="003A018C"/>
    <w:rsid w:val="003A034C"/>
    <w:rsid w:val="003A0442"/>
    <w:rsid w:val="003A0899"/>
    <w:rsid w:val="003A0C1C"/>
    <w:rsid w:val="003A1512"/>
    <w:rsid w:val="003A1EB7"/>
    <w:rsid w:val="003A23F3"/>
    <w:rsid w:val="003A2D82"/>
    <w:rsid w:val="003A337C"/>
    <w:rsid w:val="003A36DA"/>
    <w:rsid w:val="003A37B6"/>
    <w:rsid w:val="003A38F1"/>
    <w:rsid w:val="003A3D1B"/>
    <w:rsid w:val="003A3F39"/>
    <w:rsid w:val="003A40EB"/>
    <w:rsid w:val="003A4296"/>
    <w:rsid w:val="003A4549"/>
    <w:rsid w:val="003A4737"/>
    <w:rsid w:val="003A48FC"/>
    <w:rsid w:val="003A49B3"/>
    <w:rsid w:val="003A4A6B"/>
    <w:rsid w:val="003A4E41"/>
    <w:rsid w:val="003A55B4"/>
    <w:rsid w:val="003A61B6"/>
    <w:rsid w:val="003A623F"/>
    <w:rsid w:val="003A64DE"/>
    <w:rsid w:val="003A66CD"/>
    <w:rsid w:val="003A69F9"/>
    <w:rsid w:val="003A71AD"/>
    <w:rsid w:val="003A7414"/>
    <w:rsid w:val="003A7A2B"/>
    <w:rsid w:val="003A7D1D"/>
    <w:rsid w:val="003B0543"/>
    <w:rsid w:val="003B0605"/>
    <w:rsid w:val="003B1037"/>
    <w:rsid w:val="003B1688"/>
    <w:rsid w:val="003B1EE0"/>
    <w:rsid w:val="003B1FA4"/>
    <w:rsid w:val="003B1FE6"/>
    <w:rsid w:val="003B2CC9"/>
    <w:rsid w:val="003B3106"/>
    <w:rsid w:val="003B3974"/>
    <w:rsid w:val="003B39E0"/>
    <w:rsid w:val="003B3DAB"/>
    <w:rsid w:val="003B404D"/>
    <w:rsid w:val="003B412F"/>
    <w:rsid w:val="003B446D"/>
    <w:rsid w:val="003B4B34"/>
    <w:rsid w:val="003B4BFD"/>
    <w:rsid w:val="003B4CDA"/>
    <w:rsid w:val="003B4F2D"/>
    <w:rsid w:val="003B5586"/>
    <w:rsid w:val="003B5BD9"/>
    <w:rsid w:val="003B64A3"/>
    <w:rsid w:val="003B6675"/>
    <w:rsid w:val="003B6DB8"/>
    <w:rsid w:val="003B6F6E"/>
    <w:rsid w:val="003B72B9"/>
    <w:rsid w:val="003C0887"/>
    <w:rsid w:val="003C08AF"/>
    <w:rsid w:val="003C21C9"/>
    <w:rsid w:val="003C2EDD"/>
    <w:rsid w:val="003C3220"/>
    <w:rsid w:val="003C3A47"/>
    <w:rsid w:val="003C3A79"/>
    <w:rsid w:val="003C4091"/>
    <w:rsid w:val="003C48F2"/>
    <w:rsid w:val="003C5177"/>
    <w:rsid w:val="003C5242"/>
    <w:rsid w:val="003C52B0"/>
    <w:rsid w:val="003C53FE"/>
    <w:rsid w:val="003C5911"/>
    <w:rsid w:val="003C5CDB"/>
    <w:rsid w:val="003C6262"/>
    <w:rsid w:val="003C6465"/>
    <w:rsid w:val="003C65E4"/>
    <w:rsid w:val="003C6B12"/>
    <w:rsid w:val="003C6DB0"/>
    <w:rsid w:val="003C6EEB"/>
    <w:rsid w:val="003C6FA6"/>
    <w:rsid w:val="003C7712"/>
    <w:rsid w:val="003C7862"/>
    <w:rsid w:val="003C7ECD"/>
    <w:rsid w:val="003D007D"/>
    <w:rsid w:val="003D01A1"/>
    <w:rsid w:val="003D0233"/>
    <w:rsid w:val="003D03AE"/>
    <w:rsid w:val="003D04D6"/>
    <w:rsid w:val="003D04F6"/>
    <w:rsid w:val="003D0D45"/>
    <w:rsid w:val="003D1051"/>
    <w:rsid w:val="003D18CC"/>
    <w:rsid w:val="003D3385"/>
    <w:rsid w:val="003D3583"/>
    <w:rsid w:val="003D391E"/>
    <w:rsid w:val="003D3B6F"/>
    <w:rsid w:val="003D3C68"/>
    <w:rsid w:val="003D40E8"/>
    <w:rsid w:val="003D455E"/>
    <w:rsid w:val="003D52AA"/>
    <w:rsid w:val="003D5785"/>
    <w:rsid w:val="003D5A2D"/>
    <w:rsid w:val="003D5A9D"/>
    <w:rsid w:val="003D62C0"/>
    <w:rsid w:val="003D65F6"/>
    <w:rsid w:val="003D6911"/>
    <w:rsid w:val="003D6AFE"/>
    <w:rsid w:val="003D711A"/>
    <w:rsid w:val="003D7E4B"/>
    <w:rsid w:val="003E0035"/>
    <w:rsid w:val="003E0C14"/>
    <w:rsid w:val="003E0D6F"/>
    <w:rsid w:val="003E13A3"/>
    <w:rsid w:val="003E151B"/>
    <w:rsid w:val="003E1591"/>
    <w:rsid w:val="003E1A0B"/>
    <w:rsid w:val="003E1ACF"/>
    <w:rsid w:val="003E216C"/>
    <w:rsid w:val="003E236E"/>
    <w:rsid w:val="003E2515"/>
    <w:rsid w:val="003E259D"/>
    <w:rsid w:val="003E26BA"/>
    <w:rsid w:val="003E2906"/>
    <w:rsid w:val="003E2969"/>
    <w:rsid w:val="003E2C1A"/>
    <w:rsid w:val="003E316F"/>
    <w:rsid w:val="003E330F"/>
    <w:rsid w:val="003E3478"/>
    <w:rsid w:val="003E4E74"/>
    <w:rsid w:val="003E5130"/>
    <w:rsid w:val="003E5F7D"/>
    <w:rsid w:val="003E6520"/>
    <w:rsid w:val="003E6743"/>
    <w:rsid w:val="003E67E7"/>
    <w:rsid w:val="003E6B3C"/>
    <w:rsid w:val="003E6B95"/>
    <w:rsid w:val="003E6D70"/>
    <w:rsid w:val="003E70FF"/>
    <w:rsid w:val="003E7F1B"/>
    <w:rsid w:val="003F0B41"/>
    <w:rsid w:val="003F0DD3"/>
    <w:rsid w:val="003F141D"/>
    <w:rsid w:val="003F1E39"/>
    <w:rsid w:val="003F229D"/>
    <w:rsid w:val="003F25F0"/>
    <w:rsid w:val="003F2C23"/>
    <w:rsid w:val="003F2D5B"/>
    <w:rsid w:val="003F4201"/>
    <w:rsid w:val="003F43A3"/>
    <w:rsid w:val="003F4CCF"/>
    <w:rsid w:val="003F5AD2"/>
    <w:rsid w:val="003F5CA4"/>
    <w:rsid w:val="003F6CE9"/>
    <w:rsid w:val="003F6D50"/>
    <w:rsid w:val="003F7006"/>
    <w:rsid w:val="003F7264"/>
    <w:rsid w:val="003F7507"/>
    <w:rsid w:val="003F75DA"/>
    <w:rsid w:val="003F7977"/>
    <w:rsid w:val="003F7C72"/>
    <w:rsid w:val="003F7D10"/>
    <w:rsid w:val="00400535"/>
    <w:rsid w:val="004006D9"/>
    <w:rsid w:val="00400B68"/>
    <w:rsid w:val="00401000"/>
    <w:rsid w:val="004016C6"/>
    <w:rsid w:val="0040179A"/>
    <w:rsid w:val="00401856"/>
    <w:rsid w:val="00401A71"/>
    <w:rsid w:val="00401DCE"/>
    <w:rsid w:val="004028A2"/>
    <w:rsid w:val="00402B41"/>
    <w:rsid w:val="00402FEB"/>
    <w:rsid w:val="00403012"/>
    <w:rsid w:val="00403051"/>
    <w:rsid w:val="00403344"/>
    <w:rsid w:val="00403C82"/>
    <w:rsid w:val="00403FD6"/>
    <w:rsid w:val="00404C44"/>
    <w:rsid w:val="00404E14"/>
    <w:rsid w:val="00404EE8"/>
    <w:rsid w:val="00404F97"/>
    <w:rsid w:val="0040510D"/>
    <w:rsid w:val="0040512D"/>
    <w:rsid w:val="004051D0"/>
    <w:rsid w:val="00405383"/>
    <w:rsid w:val="0040602F"/>
    <w:rsid w:val="00406AFB"/>
    <w:rsid w:val="00406B2C"/>
    <w:rsid w:val="004070F0"/>
    <w:rsid w:val="00407382"/>
    <w:rsid w:val="00407644"/>
    <w:rsid w:val="0040791B"/>
    <w:rsid w:val="00407F69"/>
    <w:rsid w:val="00410CFB"/>
    <w:rsid w:val="004112FD"/>
    <w:rsid w:val="00411350"/>
    <w:rsid w:val="00411958"/>
    <w:rsid w:val="00411B2A"/>
    <w:rsid w:val="004120C7"/>
    <w:rsid w:val="00412973"/>
    <w:rsid w:val="00412D33"/>
    <w:rsid w:val="00412D42"/>
    <w:rsid w:val="00412DA4"/>
    <w:rsid w:val="00412EB6"/>
    <w:rsid w:val="0041351F"/>
    <w:rsid w:val="00413573"/>
    <w:rsid w:val="004135EC"/>
    <w:rsid w:val="00413603"/>
    <w:rsid w:val="004137C8"/>
    <w:rsid w:val="00413B69"/>
    <w:rsid w:val="00413BF9"/>
    <w:rsid w:val="00413C25"/>
    <w:rsid w:val="0041403B"/>
    <w:rsid w:val="00414AEB"/>
    <w:rsid w:val="00415531"/>
    <w:rsid w:val="0041583B"/>
    <w:rsid w:val="00415A9B"/>
    <w:rsid w:val="00416330"/>
    <w:rsid w:val="004170EE"/>
    <w:rsid w:val="0041757C"/>
    <w:rsid w:val="004176C7"/>
    <w:rsid w:val="00417877"/>
    <w:rsid w:val="00417D9F"/>
    <w:rsid w:val="00420229"/>
    <w:rsid w:val="00420DBA"/>
    <w:rsid w:val="00421311"/>
    <w:rsid w:val="0042233A"/>
    <w:rsid w:val="00422E13"/>
    <w:rsid w:val="0042350F"/>
    <w:rsid w:val="00423599"/>
    <w:rsid w:val="0042384C"/>
    <w:rsid w:val="00423893"/>
    <w:rsid w:val="00423BC9"/>
    <w:rsid w:val="004242E5"/>
    <w:rsid w:val="00424C07"/>
    <w:rsid w:val="004255B4"/>
    <w:rsid w:val="00425BDD"/>
    <w:rsid w:val="00426766"/>
    <w:rsid w:val="004267D0"/>
    <w:rsid w:val="00427338"/>
    <w:rsid w:val="00427745"/>
    <w:rsid w:val="004279CA"/>
    <w:rsid w:val="00427A82"/>
    <w:rsid w:val="00427EA2"/>
    <w:rsid w:val="00430115"/>
    <w:rsid w:val="004305DC"/>
    <w:rsid w:val="00430A4B"/>
    <w:rsid w:val="004313B6"/>
    <w:rsid w:val="00431B92"/>
    <w:rsid w:val="00431C46"/>
    <w:rsid w:val="00432055"/>
    <w:rsid w:val="0043238E"/>
    <w:rsid w:val="00432530"/>
    <w:rsid w:val="00432757"/>
    <w:rsid w:val="004327E6"/>
    <w:rsid w:val="004329DC"/>
    <w:rsid w:val="00432A48"/>
    <w:rsid w:val="00432AC6"/>
    <w:rsid w:val="004345DF"/>
    <w:rsid w:val="00434842"/>
    <w:rsid w:val="00434C5E"/>
    <w:rsid w:val="0043502C"/>
    <w:rsid w:val="00435765"/>
    <w:rsid w:val="00435C64"/>
    <w:rsid w:val="004360B6"/>
    <w:rsid w:val="004362E5"/>
    <w:rsid w:val="00436356"/>
    <w:rsid w:val="004400D0"/>
    <w:rsid w:val="00440432"/>
    <w:rsid w:val="00440722"/>
    <w:rsid w:val="0044130C"/>
    <w:rsid w:val="00441D33"/>
    <w:rsid w:val="00441FA3"/>
    <w:rsid w:val="004425D9"/>
    <w:rsid w:val="004426F4"/>
    <w:rsid w:val="00442DC7"/>
    <w:rsid w:val="00443244"/>
    <w:rsid w:val="00443943"/>
    <w:rsid w:val="00443C0B"/>
    <w:rsid w:val="00443D4C"/>
    <w:rsid w:val="00443DBF"/>
    <w:rsid w:val="00443F5A"/>
    <w:rsid w:val="00444AF6"/>
    <w:rsid w:val="0044519D"/>
    <w:rsid w:val="00445544"/>
    <w:rsid w:val="00445C0B"/>
    <w:rsid w:val="00446195"/>
    <w:rsid w:val="00447CD0"/>
    <w:rsid w:val="00447FC2"/>
    <w:rsid w:val="0045001D"/>
    <w:rsid w:val="004502F4"/>
    <w:rsid w:val="004505CA"/>
    <w:rsid w:val="004506F4"/>
    <w:rsid w:val="004509D1"/>
    <w:rsid w:val="00450A42"/>
    <w:rsid w:val="004513A5"/>
    <w:rsid w:val="004515FD"/>
    <w:rsid w:val="00451D50"/>
    <w:rsid w:val="00452180"/>
    <w:rsid w:val="00452791"/>
    <w:rsid w:val="00452B1A"/>
    <w:rsid w:val="00452B3B"/>
    <w:rsid w:val="00452DE3"/>
    <w:rsid w:val="00452E70"/>
    <w:rsid w:val="00452EC4"/>
    <w:rsid w:val="00453340"/>
    <w:rsid w:val="0045342C"/>
    <w:rsid w:val="004535D0"/>
    <w:rsid w:val="00453775"/>
    <w:rsid w:val="00453890"/>
    <w:rsid w:val="0045390D"/>
    <w:rsid w:val="00454380"/>
    <w:rsid w:val="00454579"/>
    <w:rsid w:val="0045470C"/>
    <w:rsid w:val="004549CD"/>
    <w:rsid w:val="004552C8"/>
    <w:rsid w:val="0045536C"/>
    <w:rsid w:val="00455A07"/>
    <w:rsid w:val="00455AEB"/>
    <w:rsid w:val="00455DB5"/>
    <w:rsid w:val="00455EF6"/>
    <w:rsid w:val="0045603C"/>
    <w:rsid w:val="00456053"/>
    <w:rsid w:val="00456068"/>
    <w:rsid w:val="00456896"/>
    <w:rsid w:val="00456ADA"/>
    <w:rsid w:val="00456B0D"/>
    <w:rsid w:val="00457099"/>
    <w:rsid w:val="0045727E"/>
    <w:rsid w:val="0045770D"/>
    <w:rsid w:val="0045790F"/>
    <w:rsid w:val="00457D63"/>
    <w:rsid w:val="00457E21"/>
    <w:rsid w:val="0046007E"/>
    <w:rsid w:val="00460221"/>
    <w:rsid w:val="0046024B"/>
    <w:rsid w:val="004602BC"/>
    <w:rsid w:val="004607B6"/>
    <w:rsid w:val="00460DA2"/>
    <w:rsid w:val="00460E36"/>
    <w:rsid w:val="00461155"/>
    <w:rsid w:val="0046166B"/>
    <w:rsid w:val="0046218C"/>
    <w:rsid w:val="004623D4"/>
    <w:rsid w:val="00463944"/>
    <w:rsid w:val="00463E11"/>
    <w:rsid w:val="004647D6"/>
    <w:rsid w:val="0046512A"/>
    <w:rsid w:val="00465234"/>
    <w:rsid w:val="00465B24"/>
    <w:rsid w:val="00465E46"/>
    <w:rsid w:val="00466858"/>
    <w:rsid w:val="00466AC3"/>
    <w:rsid w:val="00466D0F"/>
    <w:rsid w:val="00467544"/>
    <w:rsid w:val="004676BA"/>
    <w:rsid w:val="0046784C"/>
    <w:rsid w:val="00467ECB"/>
    <w:rsid w:val="00470E2B"/>
    <w:rsid w:val="004710C3"/>
    <w:rsid w:val="00471459"/>
    <w:rsid w:val="00471D74"/>
    <w:rsid w:val="004720D0"/>
    <w:rsid w:val="004721BD"/>
    <w:rsid w:val="00472274"/>
    <w:rsid w:val="004722D4"/>
    <w:rsid w:val="00472D9C"/>
    <w:rsid w:val="004736E6"/>
    <w:rsid w:val="00473B60"/>
    <w:rsid w:val="004756CB"/>
    <w:rsid w:val="00475AFF"/>
    <w:rsid w:val="00475D30"/>
    <w:rsid w:val="00475F80"/>
    <w:rsid w:val="004765F4"/>
    <w:rsid w:val="004766A9"/>
    <w:rsid w:val="004769D3"/>
    <w:rsid w:val="00476B4D"/>
    <w:rsid w:val="00476CBC"/>
    <w:rsid w:val="00476E6C"/>
    <w:rsid w:val="00477282"/>
    <w:rsid w:val="004778D8"/>
    <w:rsid w:val="00477947"/>
    <w:rsid w:val="00477F59"/>
    <w:rsid w:val="004803F0"/>
    <w:rsid w:val="00480FA1"/>
    <w:rsid w:val="00481507"/>
    <w:rsid w:val="00481C9D"/>
    <w:rsid w:val="00481FD7"/>
    <w:rsid w:val="00482294"/>
    <w:rsid w:val="00482DE5"/>
    <w:rsid w:val="00482FB4"/>
    <w:rsid w:val="00483266"/>
    <w:rsid w:val="0048352E"/>
    <w:rsid w:val="00483607"/>
    <w:rsid w:val="004836A9"/>
    <w:rsid w:val="0048372F"/>
    <w:rsid w:val="00483B23"/>
    <w:rsid w:val="004840D7"/>
    <w:rsid w:val="004846F4"/>
    <w:rsid w:val="004855BA"/>
    <w:rsid w:val="00485912"/>
    <w:rsid w:val="00485C26"/>
    <w:rsid w:val="00485EC0"/>
    <w:rsid w:val="0048602A"/>
    <w:rsid w:val="004864D4"/>
    <w:rsid w:val="004875E1"/>
    <w:rsid w:val="00487740"/>
    <w:rsid w:val="00487B37"/>
    <w:rsid w:val="00490636"/>
    <w:rsid w:val="00490BA5"/>
    <w:rsid w:val="00490FF0"/>
    <w:rsid w:val="004910FE"/>
    <w:rsid w:val="00491198"/>
    <w:rsid w:val="004915DD"/>
    <w:rsid w:val="004917E0"/>
    <w:rsid w:val="00491BF6"/>
    <w:rsid w:val="00491FED"/>
    <w:rsid w:val="00492212"/>
    <w:rsid w:val="00492345"/>
    <w:rsid w:val="00492F82"/>
    <w:rsid w:val="004936DF"/>
    <w:rsid w:val="00493EE7"/>
    <w:rsid w:val="00494344"/>
    <w:rsid w:val="004943C2"/>
    <w:rsid w:val="00494918"/>
    <w:rsid w:val="00494C65"/>
    <w:rsid w:val="00494DAC"/>
    <w:rsid w:val="00494F0C"/>
    <w:rsid w:val="00495557"/>
    <w:rsid w:val="0049618D"/>
    <w:rsid w:val="004965EF"/>
    <w:rsid w:val="00496E7B"/>
    <w:rsid w:val="0049719D"/>
    <w:rsid w:val="0049730A"/>
    <w:rsid w:val="00497A9E"/>
    <w:rsid w:val="00497C93"/>
    <w:rsid w:val="00497FCD"/>
    <w:rsid w:val="004A0D1E"/>
    <w:rsid w:val="004A0E66"/>
    <w:rsid w:val="004A0EEC"/>
    <w:rsid w:val="004A130F"/>
    <w:rsid w:val="004A1354"/>
    <w:rsid w:val="004A17EF"/>
    <w:rsid w:val="004A1BDA"/>
    <w:rsid w:val="004A22DA"/>
    <w:rsid w:val="004A2648"/>
    <w:rsid w:val="004A2700"/>
    <w:rsid w:val="004A36C8"/>
    <w:rsid w:val="004A3721"/>
    <w:rsid w:val="004A3742"/>
    <w:rsid w:val="004A37B8"/>
    <w:rsid w:val="004A3948"/>
    <w:rsid w:val="004A39E9"/>
    <w:rsid w:val="004A3ED3"/>
    <w:rsid w:val="004A47BC"/>
    <w:rsid w:val="004A4806"/>
    <w:rsid w:val="004A4AC6"/>
    <w:rsid w:val="004A5F8F"/>
    <w:rsid w:val="004A69D2"/>
    <w:rsid w:val="004A7368"/>
    <w:rsid w:val="004B1199"/>
    <w:rsid w:val="004B16C4"/>
    <w:rsid w:val="004B1867"/>
    <w:rsid w:val="004B18A0"/>
    <w:rsid w:val="004B1C49"/>
    <w:rsid w:val="004B2A64"/>
    <w:rsid w:val="004B2C62"/>
    <w:rsid w:val="004B41DA"/>
    <w:rsid w:val="004B470D"/>
    <w:rsid w:val="004B4764"/>
    <w:rsid w:val="004B4846"/>
    <w:rsid w:val="004B4C5D"/>
    <w:rsid w:val="004B5394"/>
    <w:rsid w:val="004B5BDD"/>
    <w:rsid w:val="004B5E45"/>
    <w:rsid w:val="004B610E"/>
    <w:rsid w:val="004B6E9E"/>
    <w:rsid w:val="004B6F83"/>
    <w:rsid w:val="004B7B0B"/>
    <w:rsid w:val="004B7B33"/>
    <w:rsid w:val="004B7C29"/>
    <w:rsid w:val="004C06E5"/>
    <w:rsid w:val="004C089C"/>
    <w:rsid w:val="004C1B7D"/>
    <w:rsid w:val="004C1E3C"/>
    <w:rsid w:val="004C25F0"/>
    <w:rsid w:val="004C26DD"/>
    <w:rsid w:val="004C2B5D"/>
    <w:rsid w:val="004C2D68"/>
    <w:rsid w:val="004C2F56"/>
    <w:rsid w:val="004C339D"/>
    <w:rsid w:val="004C33E8"/>
    <w:rsid w:val="004C350B"/>
    <w:rsid w:val="004C3E22"/>
    <w:rsid w:val="004C4021"/>
    <w:rsid w:val="004C4291"/>
    <w:rsid w:val="004C4307"/>
    <w:rsid w:val="004C4309"/>
    <w:rsid w:val="004C49E3"/>
    <w:rsid w:val="004C4E8A"/>
    <w:rsid w:val="004C514A"/>
    <w:rsid w:val="004C6572"/>
    <w:rsid w:val="004C68E6"/>
    <w:rsid w:val="004C6D4F"/>
    <w:rsid w:val="004C7541"/>
    <w:rsid w:val="004C75F7"/>
    <w:rsid w:val="004C7CCB"/>
    <w:rsid w:val="004C7F47"/>
    <w:rsid w:val="004D1029"/>
    <w:rsid w:val="004D1B4A"/>
    <w:rsid w:val="004D1E71"/>
    <w:rsid w:val="004D2CB6"/>
    <w:rsid w:val="004D2CDF"/>
    <w:rsid w:val="004D33CE"/>
    <w:rsid w:val="004D36F6"/>
    <w:rsid w:val="004D3C0C"/>
    <w:rsid w:val="004D42BF"/>
    <w:rsid w:val="004D4486"/>
    <w:rsid w:val="004D4AAE"/>
    <w:rsid w:val="004D4F6E"/>
    <w:rsid w:val="004D5A62"/>
    <w:rsid w:val="004D70A9"/>
    <w:rsid w:val="004D71B3"/>
    <w:rsid w:val="004D71F9"/>
    <w:rsid w:val="004D741E"/>
    <w:rsid w:val="004D7847"/>
    <w:rsid w:val="004D7AA3"/>
    <w:rsid w:val="004D7C86"/>
    <w:rsid w:val="004E0197"/>
    <w:rsid w:val="004E1122"/>
    <w:rsid w:val="004E1409"/>
    <w:rsid w:val="004E1A87"/>
    <w:rsid w:val="004E1BB0"/>
    <w:rsid w:val="004E1D8C"/>
    <w:rsid w:val="004E1F99"/>
    <w:rsid w:val="004E3030"/>
    <w:rsid w:val="004E3311"/>
    <w:rsid w:val="004E38EC"/>
    <w:rsid w:val="004E3933"/>
    <w:rsid w:val="004E4549"/>
    <w:rsid w:val="004E4BC8"/>
    <w:rsid w:val="004E4C83"/>
    <w:rsid w:val="004E4D53"/>
    <w:rsid w:val="004E4D84"/>
    <w:rsid w:val="004E4EBC"/>
    <w:rsid w:val="004E5104"/>
    <w:rsid w:val="004E5B06"/>
    <w:rsid w:val="004E5EC4"/>
    <w:rsid w:val="004E5FA8"/>
    <w:rsid w:val="004E6068"/>
    <w:rsid w:val="004E633A"/>
    <w:rsid w:val="004E684C"/>
    <w:rsid w:val="004E6FF1"/>
    <w:rsid w:val="004E76DB"/>
    <w:rsid w:val="004F043D"/>
    <w:rsid w:val="004F0FDE"/>
    <w:rsid w:val="004F14D5"/>
    <w:rsid w:val="004F1F90"/>
    <w:rsid w:val="004F2401"/>
    <w:rsid w:val="004F2A44"/>
    <w:rsid w:val="004F2DAD"/>
    <w:rsid w:val="004F34F7"/>
    <w:rsid w:val="004F3EE6"/>
    <w:rsid w:val="004F4ABE"/>
    <w:rsid w:val="004F55D6"/>
    <w:rsid w:val="004F565A"/>
    <w:rsid w:val="004F571B"/>
    <w:rsid w:val="004F64EB"/>
    <w:rsid w:val="004F6735"/>
    <w:rsid w:val="004F67E5"/>
    <w:rsid w:val="004F7163"/>
    <w:rsid w:val="004F7A74"/>
    <w:rsid w:val="00500250"/>
    <w:rsid w:val="00500264"/>
    <w:rsid w:val="00500824"/>
    <w:rsid w:val="00500DAB"/>
    <w:rsid w:val="00500EB4"/>
    <w:rsid w:val="00501144"/>
    <w:rsid w:val="005013EF"/>
    <w:rsid w:val="005019B4"/>
    <w:rsid w:val="005019E0"/>
    <w:rsid w:val="005019EA"/>
    <w:rsid w:val="00502025"/>
    <w:rsid w:val="0050211F"/>
    <w:rsid w:val="005022E7"/>
    <w:rsid w:val="00502A93"/>
    <w:rsid w:val="0050347B"/>
    <w:rsid w:val="005037F9"/>
    <w:rsid w:val="0050476E"/>
    <w:rsid w:val="00504A78"/>
    <w:rsid w:val="00504B4C"/>
    <w:rsid w:val="00504B54"/>
    <w:rsid w:val="00505152"/>
    <w:rsid w:val="00505266"/>
    <w:rsid w:val="00505614"/>
    <w:rsid w:val="00505D11"/>
    <w:rsid w:val="00506083"/>
    <w:rsid w:val="0050652E"/>
    <w:rsid w:val="005068D6"/>
    <w:rsid w:val="00506B86"/>
    <w:rsid w:val="00506EEC"/>
    <w:rsid w:val="00506FD4"/>
    <w:rsid w:val="00507201"/>
    <w:rsid w:val="005107FF"/>
    <w:rsid w:val="00510CBC"/>
    <w:rsid w:val="0051102D"/>
    <w:rsid w:val="005112A5"/>
    <w:rsid w:val="00511F48"/>
    <w:rsid w:val="00512448"/>
    <w:rsid w:val="0051253A"/>
    <w:rsid w:val="0051266C"/>
    <w:rsid w:val="00512EC2"/>
    <w:rsid w:val="00513117"/>
    <w:rsid w:val="00513B72"/>
    <w:rsid w:val="00513CF4"/>
    <w:rsid w:val="00515277"/>
    <w:rsid w:val="005158C2"/>
    <w:rsid w:val="005169DE"/>
    <w:rsid w:val="00516C08"/>
    <w:rsid w:val="0051754D"/>
    <w:rsid w:val="0051785D"/>
    <w:rsid w:val="00517913"/>
    <w:rsid w:val="00517E41"/>
    <w:rsid w:val="0052005F"/>
    <w:rsid w:val="00520200"/>
    <w:rsid w:val="00520D27"/>
    <w:rsid w:val="00520E2D"/>
    <w:rsid w:val="00520F04"/>
    <w:rsid w:val="00521159"/>
    <w:rsid w:val="00521415"/>
    <w:rsid w:val="00521433"/>
    <w:rsid w:val="005216C9"/>
    <w:rsid w:val="00521700"/>
    <w:rsid w:val="00521717"/>
    <w:rsid w:val="005224B2"/>
    <w:rsid w:val="00522A49"/>
    <w:rsid w:val="00523452"/>
    <w:rsid w:val="00523B23"/>
    <w:rsid w:val="00523BE3"/>
    <w:rsid w:val="00523DFA"/>
    <w:rsid w:val="005240AF"/>
    <w:rsid w:val="005242CA"/>
    <w:rsid w:val="005254BC"/>
    <w:rsid w:val="005256FC"/>
    <w:rsid w:val="00526C27"/>
    <w:rsid w:val="00526D26"/>
    <w:rsid w:val="00526DFF"/>
    <w:rsid w:val="00527473"/>
    <w:rsid w:val="00527849"/>
    <w:rsid w:val="00527DDE"/>
    <w:rsid w:val="00527EF9"/>
    <w:rsid w:val="005305FF"/>
    <w:rsid w:val="00530C9B"/>
    <w:rsid w:val="00531AF0"/>
    <w:rsid w:val="00532334"/>
    <w:rsid w:val="005324AF"/>
    <w:rsid w:val="0053402C"/>
    <w:rsid w:val="00534090"/>
    <w:rsid w:val="00534ABA"/>
    <w:rsid w:val="0053518F"/>
    <w:rsid w:val="00535676"/>
    <w:rsid w:val="00535FFF"/>
    <w:rsid w:val="0053616F"/>
    <w:rsid w:val="005364A6"/>
    <w:rsid w:val="005368AD"/>
    <w:rsid w:val="005370BC"/>
    <w:rsid w:val="00537B35"/>
    <w:rsid w:val="00537DE7"/>
    <w:rsid w:val="00537EC4"/>
    <w:rsid w:val="00537FE4"/>
    <w:rsid w:val="0054027D"/>
    <w:rsid w:val="00541222"/>
    <w:rsid w:val="0054159B"/>
    <w:rsid w:val="00541A8D"/>
    <w:rsid w:val="00541D4D"/>
    <w:rsid w:val="00543862"/>
    <w:rsid w:val="0054456C"/>
    <w:rsid w:val="00544ABF"/>
    <w:rsid w:val="00544B1C"/>
    <w:rsid w:val="00544DA0"/>
    <w:rsid w:val="005454BD"/>
    <w:rsid w:val="0054558A"/>
    <w:rsid w:val="005457E4"/>
    <w:rsid w:val="00545C1A"/>
    <w:rsid w:val="0054635D"/>
    <w:rsid w:val="00546C49"/>
    <w:rsid w:val="00547612"/>
    <w:rsid w:val="0055010B"/>
    <w:rsid w:val="00550D59"/>
    <w:rsid w:val="0055110D"/>
    <w:rsid w:val="005511F3"/>
    <w:rsid w:val="005515C3"/>
    <w:rsid w:val="0055160E"/>
    <w:rsid w:val="00551F81"/>
    <w:rsid w:val="00552068"/>
    <w:rsid w:val="0055210F"/>
    <w:rsid w:val="00552C98"/>
    <w:rsid w:val="00552CD7"/>
    <w:rsid w:val="00552D8E"/>
    <w:rsid w:val="00552F1F"/>
    <w:rsid w:val="0055311F"/>
    <w:rsid w:val="005533BE"/>
    <w:rsid w:val="00554530"/>
    <w:rsid w:val="00554B30"/>
    <w:rsid w:val="00554FFB"/>
    <w:rsid w:val="00556403"/>
    <w:rsid w:val="005568DE"/>
    <w:rsid w:val="00556B90"/>
    <w:rsid w:val="00556C42"/>
    <w:rsid w:val="00557074"/>
    <w:rsid w:val="005577C8"/>
    <w:rsid w:val="00557C50"/>
    <w:rsid w:val="005606B6"/>
    <w:rsid w:val="005608D6"/>
    <w:rsid w:val="005608EE"/>
    <w:rsid w:val="00560F19"/>
    <w:rsid w:val="00561343"/>
    <w:rsid w:val="00561356"/>
    <w:rsid w:val="00561E6B"/>
    <w:rsid w:val="00561F42"/>
    <w:rsid w:val="005621D2"/>
    <w:rsid w:val="005621E0"/>
    <w:rsid w:val="00562D90"/>
    <w:rsid w:val="005637E0"/>
    <w:rsid w:val="00563A17"/>
    <w:rsid w:val="00563A23"/>
    <w:rsid w:val="00563A5A"/>
    <w:rsid w:val="00563C61"/>
    <w:rsid w:val="00563ECB"/>
    <w:rsid w:val="00563F47"/>
    <w:rsid w:val="005640BB"/>
    <w:rsid w:val="00564C23"/>
    <w:rsid w:val="0056503A"/>
    <w:rsid w:val="00565406"/>
    <w:rsid w:val="00565570"/>
    <w:rsid w:val="0056577E"/>
    <w:rsid w:val="005657DD"/>
    <w:rsid w:val="00565B29"/>
    <w:rsid w:val="0056646D"/>
    <w:rsid w:val="005664CC"/>
    <w:rsid w:val="0056664B"/>
    <w:rsid w:val="00566CED"/>
    <w:rsid w:val="00567588"/>
    <w:rsid w:val="00567789"/>
    <w:rsid w:val="00567992"/>
    <w:rsid w:val="005679E8"/>
    <w:rsid w:val="00567C3C"/>
    <w:rsid w:val="00567E40"/>
    <w:rsid w:val="005702F8"/>
    <w:rsid w:val="00570F42"/>
    <w:rsid w:val="00571231"/>
    <w:rsid w:val="00571767"/>
    <w:rsid w:val="00571E44"/>
    <w:rsid w:val="0057290D"/>
    <w:rsid w:val="00572B6B"/>
    <w:rsid w:val="00572F34"/>
    <w:rsid w:val="0057340B"/>
    <w:rsid w:val="00573E61"/>
    <w:rsid w:val="0057411B"/>
    <w:rsid w:val="00574384"/>
    <w:rsid w:val="00574525"/>
    <w:rsid w:val="00574778"/>
    <w:rsid w:val="00574946"/>
    <w:rsid w:val="0057498F"/>
    <w:rsid w:val="00574DE9"/>
    <w:rsid w:val="00575531"/>
    <w:rsid w:val="005758E4"/>
    <w:rsid w:val="00575DF4"/>
    <w:rsid w:val="0057765D"/>
    <w:rsid w:val="00577783"/>
    <w:rsid w:val="005777FC"/>
    <w:rsid w:val="00577984"/>
    <w:rsid w:val="005808EB"/>
    <w:rsid w:val="00580D37"/>
    <w:rsid w:val="00580F5D"/>
    <w:rsid w:val="005812D1"/>
    <w:rsid w:val="00581FA0"/>
    <w:rsid w:val="005820C1"/>
    <w:rsid w:val="00582598"/>
    <w:rsid w:val="00582B90"/>
    <w:rsid w:val="005831A7"/>
    <w:rsid w:val="00583321"/>
    <w:rsid w:val="0058341E"/>
    <w:rsid w:val="00584140"/>
    <w:rsid w:val="00584835"/>
    <w:rsid w:val="00584F3A"/>
    <w:rsid w:val="00585030"/>
    <w:rsid w:val="005851E1"/>
    <w:rsid w:val="00585372"/>
    <w:rsid w:val="0058538D"/>
    <w:rsid w:val="005853AB"/>
    <w:rsid w:val="00585595"/>
    <w:rsid w:val="00585748"/>
    <w:rsid w:val="005859C5"/>
    <w:rsid w:val="00585A6D"/>
    <w:rsid w:val="00585C79"/>
    <w:rsid w:val="00586144"/>
    <w:rsid w:val="00586810"/>
    <w:rsid w:val="00587785"/>
    <w:rsid w:val="0058788D"/>
    <w:rsid w:val="00587E29"/>
    <w:rsid w:val="00587FE6"/>
    <w:rsid w:val="005906AD"/>
    <w:rsid w:val="00590D27"/>
    <w:rsid w:val="00590E9C"/>
    <w:rsid w:val="00591698"/>
    <w:rsid w:val="005926A8"/>
    <w:rsid w:val="00593B87"/>
    <w:rsid w:val="00593C1C"/>
    <w:rsid w:val="00593E94"/>
    <w:rsid w:val="00594143"/>
    <w:rsid w:val="00594543"/>
    <w:rsid w:val="00594612"/>
    <w:rsid w:val="00594AA2"/>
    <w:rsid w:val="00595873"/>
    <w:rsid w:val="00595CDD"/>
    <w:rsid w:val="005964BB"/>
    <w:rsid w:val="005968CF"/>
    <w:rsid w:val="00596A70"/>
    <w:rsid w:val="00596BD3"/>
    <w:rsid w:val="00596BE7"/>
    <w:rsid w:val="00596C3E"/>
    <w:rsid w:val="005977DD"/>
    <w:rsid w:val="005A04BD"/>
    <w:rsid w:val="005A0A3F"/>
    <w:rsid w:val="005A1094"/>
    <w:rsid w:val="005A114F"/>
    <w:rsid w:val="005A1F49"/>
    <w:rsid w:val="005A1F90"/>
    <w:rsid w:val="005A2364"/>
    <w:rsid w:val="005A2480"/>
    <w:rsid w:val="005A2B2C"/>
    <w:rsid w:val="005A2D6B"/>
    <w:rsid w:val="005A3252"/>
    <w:rsid w:val="005A33F7"/>
    <w:rsid w:val="005A3596"/>
    <w:rsid w:val="005A40CF"/>
    <w:rsid w:val="005A43E3"/>
    <w:rsid w:val="005A4A9C"/>
    <w:rsid w:val="005A4BAE"/>
    <w:rsid w:val="005A4F39"/>
    <w:rsid w:val="005A574D"/>
    <w:rsid w:val="005A578C"/>
    <w:rsid w:val="005A5A81"/>
    <w:rsid w:val="005A5B5C"/>
    <w:rsid w:val="005A63A6"/>
    <w:rsid w:val="005A6E93"/>
    <w:rsid w:val="005A6FBC"/>
    <w:rsid w:val="005A707A"/>
    <w:rsid w:val="005A7340"/>
    <w:rsid w:val="005A749A"/>
    <w:rsid w:val="005A7F93"/>
    <w:rsid w:val="005B006E"/>
    <w:rsid w:val="005B0558"/>
    <w:rsid w:val="005B07EA"/>
    <w:rsid w:val="005B09B0"/>
    <w:rsid w:val="005B0B20"/>
    <w:rsid w:val="005B0BD6"/>
    <w:rsid w:val="005B0EFB"/>
    <w:rsid w:val="005B1060"/>
    <w:rsid w:val="005B12B9"/>
    <w:rsid w:val="005B17C1"/>
    <w:rsid w:val="005B2F11"/>
    <w:rsid w:val="005B3737"/>
    <w:rsid w:val="005B3A42"/>
    <w:rsid w:val="005B40E1"/>
    <w:rsid w:val="005B4AA6"/>
    <w:rsid w:val="005B5D40"/>
    <w:rsid w:val="005B5D7A"/>
    <w:rsid w:val="005B5EFC"/>
    <w:rsid w:val="005B6307"/>
    <w:rsid w:val="005B6412"/>
    <w:rsid w:val="005B6698"/>
    <w:rsid w:val="005B68A7"/>
    <w:rsid w:val="005B6AC3"/>
    <w:rsid w:val="005B781E"/>
    <w:rsid w:val="005C055E"/>
    <w:rsid w:val="005C0FA1"/>
    <w:rsid w:val="005C1615"/>
    <w:rsid w:val="005C190D"/>
    <w:rsid w:val="005C1D98"/>
    <w:rsid w:val="005C1DA5"/>
    <w:rsid w:val="005C1F39"/>
    <w:rsid w:val="005C2559"/>
    <w:rsid w:val="005C2873"/>
    <w:rsid w:val="005C309E"/>
    <w:rsid w:val="005C3137"/>
    <w:rsid w:val="005C34FC"/>
    <w:rsid w:val="005C3B5C"/>
    <w:rsid w:val="005C3C7F"/>
    <w:rsid w:val="005C3CC0"/>
    <w:rsid w:val="005C405A"/>
    <w:rsid w:val="005C4E7D"/>
    <w:rsid w:val="005C5143"/>
    <w:rsid w:val="005C5639"/>
    <w:rsid w:val="005C5742"/>
    <w:rsid w:val="005C581C"/>
    <w:rsid w:val="005C63D0"/>
    <w:rsid w:val="005C67B6"/>
    <w:rsid w:val="005C6B17"/>
    <w:rsid w:val="005C760E"/>
    <w:rsid w:val="005C78D4"/>
    <w:rsid w:val="005C7E9E"/>
    <w:rsid w:val="005D00A5"/>
    <w:rsid w:val="005D01B5"/>
    <w:rsid w:val="005D11CE"/>
    <w:rsid w:val="005D18C9"/>
    <w:rsid w:val="005D1B72"/>
    <w:rsid w:val="005D1DDC"/>
    <w:rsid w:val="005D2471"/>
    <w:rsid w:val="005D257A"/>
    <w:rsid w:val="005D25A3"/>
    <w:rsid w:val="005D2779"/>
    <w:rsid w:val="005D3242"/>
    <w:rsid w:val="005D4A28"/>
    <w:rsid w:val="005D4C5B"/>
    <w:rsid w:val="005D4D96"/>
    <w:rsid w:val="005D5211"/>
    <w:rsid w:val="005D610C"/>
    <w:rsid w:val="005D635C"/>
    <w:rsid w:val="005D6656"/>
    <w:rsid w:val="005D6B8A"/>
    <w:rsid w:val="005D6CA4"/>
    <w:rsid w:val="005D74E7"/>
    <w:rsid w:val="005D7CE9"/>
    <w:rsid w:val="005D7F7B"/>
    <w:rsid w:val="005E0E14"/>
    <w:rsid w:val="005E293F"/>
    <w:rsid w:val="005E3BCD"/>
    <w:rsid w:val="005E4A87"/>
    <w:rsid w:val="005E4DA5"/>
    <w:rsid w:val="005E503E"/>
    <w:rsid w:val="005E5263"/>
    <w:rsid w:val="005E59C7"/>
    <w:rsid w:val="005E5E7B"/>
    <w:rsid w:val="005E6095"/>
    <w:rsid w:val="005E6A3F"/>
    <w:rsid w:val="005E6DB8"/>
    <w:rsid w:val="005E7228"/>
    <w:rsid w:val="005E7284"/>
    <w:rsid w:val="005E7386"/>
    <w:rsid w:val="005E7468"/>
    <w:rsid w:val="005E7695"/>
    <w:rsid w:val="005E7BAC"/>
    <w:rsid w:val="005E7C9F"/>
    <w:rsid w:val="005F0CF1"/>
    <w:rsid w:val="005F0E5C"/>
    <w:rsid w:val="005F10DF"/>
    <w:rsid w:val="005F134E"/>
    <w:rsid w:val="005F1365"/>
    <w:rsid w:val="005F1445"/>
    <w:rsid w:val="005F18E8"/>
    <w:rsid w:val="005F1B92"/>
    <w:rsid w:val="005F2C1F"/>
    <w:rsid w:val="005F2E44"/>
    <w:rsid w:val="005F33E3"/>
    <w:rsid w:val="005F3690"/>
    <w:rsid w:val="005F37C7"/>
    <w:rsid w:val="005F3986"/>
    <w:rsid w:val="005F4C57"/>
    <w:rsid w:val="005F5C90"/>
    <w:rsid w:val="005F5DBB"/>
    <w:rsid w:val="005F6774"/>
    <w:rsid w:val="005F6957"/>
    <w:rsid w:val="005F69A7"/>
    <w:rsid w:val="005F7107"/>
    <w:rsid w:val="005F775A"/>
    <w:rsid w:val="005F79AA"/>
    <w:rsid w:val="0060044B"/>
    <w:rsid w:val="00600EC3"/>
    <w:rsid w:val="006013D7"/>
    <w:rsid w:val="006014DB"/>
    <w:rsid w:val="00601587"/>
    <w:rsid w:val="00602079"/>
    <w:rsid w:val="006022F3"/>
    <w:rsid w:val="00602579"/>
    <w:rsid w:val="00602BA4"/>
    <w:rsid w:val="00602DA2"/>
    <w:rsid w:val="00602FF4"/>
    <w:rsid w:val="00603228"/>
    <w:rsid w:val="00603C67"/>
    <w:rsid w:val="00604841"/>
    <w:rsid w:val="00604ACD"/>
    <w:rsid w:val="00604C15"/>
    <w:rsid w:val="00604DC2"/>
    <w:rsid w:val="00604F78"/>
    <w:rsid w:val="00605088"/>
    <w:rsid w:val="00605D86"/>
    <w:rsid w:val="006060C4"/>
    <w:rsid w:val="00606275"/>
    <w:rsid w:val="00606EBD"/>
    <w:rsid w:val="0060790A"/>
    <w:rsid w:val="00607C35"/>
    <w:rsid w:val="00607C89"/>
    <w:rsid w:val="00607E54"/>
    <w:rsid w:val="00611777"/>
    <w:rsid w:val="0061189F"/>
    <w:rsid w:val="0061219B"/>
    <w:rsid w:val="006126DB"/>
    <w:rsid w:val="00612D05"/>
    <w:rsid w:val="00612E85"/>
    <w:rsid w:val="00613FB6"/>
    <w:rsid w:val="006140C6"/>
    <w:rsid w:val="00614134"/>
    <w:rsid w:val="00614241"/>
    <w:rsid w:val="0061428D"/>
    <w:rsid w:val="00614743"/>
    <w:rsid w:val="00615411"/>
    <w:rsid w:val="0061599E"/>
    <w:rsid w:val="00615AC7"/>
    <w:rsid w:val="00615DCE"/>
    <w:rsid w:val="006162E6"/>
    <w:rsid w:val="00616532"/>
    <w:rsid w:val="00616A84"/>
    <w:rsid w:val="006171A5"/>
    <w:rsid w:val="00617740"/>
    <w:rsid w:val="00617CB5"/>
    <w:rsid w:val="006202FB"/>
    <w:rsid w:val="00620309"/>
    <w:rsid w:val="006207F2"/>
    <w:rsid w:val="00620A15"/>
    <w:rsid w:val="0062159D"/>
    <w:rsid w:val="006215E1"/>
    <w:rsid w:val="00621680"/>
    <w:rsid w:val="00621B3D"/>
    <w:rsid w:val="00621EC5"/>
    <w:rsid w:val="006223E0"/>
    <w:rsid w:val="006224D0"/>
    <w:rsid w:val="00622BCE"/>
    <w:rsid w:val="00622CF8"/>
    <w:rsid w:val="00622E29"/>
    <w:rsid w:val="00623643"/>
    <w:rsid w:val="00624018"/>
    <w:rsid w:val="006240C4"/>
    <w:rsid w:val="006241B9"/>
    <w:rsid w:val="00624733"/>
    <w:rsid w:val="00625304"/>
    <w:rsid w:val="0062581B"/>
    <w:rsid w:val="006261F4"/>
    <w:rsid w:val="00627BAE"/>
    <w:rsid w:val="00627DCE"/>
    <w:rsid w:val="00630999"/>
    <w:rsid w:val="0063164E"/>
    <w:rsid w:val="0063191D"/>
    <w:rsid w:val="00631BB1"/>
    <w:rsid w:val="00632F88"/>
    <w:rsid w:val="006330C2"/>
    <w:rsid w:val="00633488"/>
    <w:rsid w:val="00633581"/>
    <w:rsid w:val="0063394F"/>
    <w:rsid w:val="006339AF"/>
    <w:rsid w:val="00633C47"/>
    <w:rsid w:val="00633D8A"/>
    <w:rsid w:val="00634767"/>
    <w:rsid w:val="006348F7"/>
    <w:rsid w:val="00634DAB"/>
    <w:rsid w:val="0063512D"/>
    <w:rsid w:val="0063578A"/>
    <w:rsid w:val="006358FB"/>
    <w:rsid w:val="00635976"/>
    <w:rsid w:val="00635AE2"/>
    <w:rsid w:val="00635C89"/>
    <w:rsid w:val="00635E1E"/>
    <w:rsid w:val="00636184"/>
    <w:rsid w:val="006363D9"/>
    <w:rsid w:val="006365BB"/>
    <w:rsid w:val="0063677C"/>
    <w:rsid w:val="00636914"/>
    <w:rsid w:val="0063696E"/>
    <w:rsid w:val="00636972"/>
    <w:rsid w:val="00636B69"/>
    <w:rsid w:val="00636BC2"/>
    <w:rsid w:val="00636DBE"/>
    <w:rsid w:val="00636E26"/>
    <w:rsid w:val="0063762C"/>
    <w:rsid w:val="006404D1"/>
    <w:rsid w:val="00640F43"/>
    <w:rsid w:val="006412CA"/>
    <w:rsid w:val="00641488"/>
    <w:rsid w:val="006414D1"/>
    <w:rsid w:val="006420DA"/>
    <w:rsid w:val="00642A0A"/>
    <w:rsid w:val="00642B20"/>
    <w:rsid w:val="00642CF3"/>
    <w:rsid w:val="00642E32"/>
    <w:rsid w:val="00643735"/>
    <w:rsid w:val="00643AC1"/>
    <w:rsid w:val="00643D62"/>
    <w:rsid w:val="00644285"/>
    <w:rsid w:val="00644A5E"/>
    <w:rsid w:val="00644A6C"/>
    <w:rsid w:val="00644D69"/>
    <w:rsid w:val="006453A0"/>
    <w:rsid w:val="006457A8"/>
    <w:rsid w:val="00645D52"/>
    <w:rsid w:val="00645E63"/>
    <w:rsid w:val="00645EA0"/>
    <w:rsid w:val="00645F76"/>
    <w:rsid w:val="00646EB0"/>
    <w:rsid w:val="0064714D"/>
    <w:rsid w:val="0064727D"/>
    <w:rsid w:val="00647B32"/>
    <w:rsid w:val="00647C27"/>
    <w:rsid w:val="006519E6"/>
    <w:rsid w:val="00651BC5"/>
    <w:rsid w:val="00651CDE"/>
    <w:rsid w:val="006520F2"/>
    <w:rsid w:val="00652326"/>
    <w:rsid w:val="00652907"/>
    <w:rsid w:val="006529BA"/>
    <w:rsid w:val="00652E06"/>
    <w:rsid w:val="0065383F"/>
    <w:rsid w:val="00653FC4"/>
    <w:rsid w:val="0065431B"/>
    <w:rsid w:val="00654F91"/>
    <w:rsid w:val="00655361"/>
    <w:rsid w:val="00656253"/>
    <w:rsid w:val="00656799"/>
    <w:rsid w:val="00656AF0"/>
    <w:rsid w:val="00656B77"/>
    <w:rsid w:val="00656E72"/>
    <w:rsid w:val="006578A1"/>
    <w:rsid w:val="00657C5D"/>
    <w:rsid w:val="00660A11"/>
    <w:rsid w:val="00660CCE"/>
    <w:rsid w:val="00661059"/>
    <w:rsid w:val="0066137B"/>
    <w:rsid w:val="0066174E"/>
    <w:rsid w:val="00661AD7"/>
    <w:rsid w:val="00661B4A"/>
    <w:rsid w:val="00661B85"/>
    <w:rsid w:val="00661BBB"/>
    <w:rsid w:val="00661E57"/>
    <w:rsid w:val="00662227"/>
    <w:rsid w:val="006629E4"/>
    <w:rsid w:val="00662A12"/>
    <w:rsid w:val="00663783"/>
    <w:rsid w:val="00663899"/>
    <w:rsid w:val="00663E47"/>
    <w:rsid w:val="006644A7"/>
    <w:rsid w:val="00664BDE"/>
    <w:rsid w:val="00664C61"/>
    <w:rsid w:val="00664D97"/>
    <w:rsid w:val="0066565B"/>
    <w:rsid w:val="00665C44"/>
    <w:rsid w:val="00666284"/>
    <w:rsid w:val="006667F3"/>
    <w:rsid w:val="00666E53"/>
    <w:rsid w:val="00666FE6"/>
    <w:rsid w:val="00667502"/>
    <w:rsid w:val="00667AEA"/>
    <w:rsid w:val="00667C44"/>
    <w:rsid w:val="00667CC3"/>
    <w:rsid w:val="006704FA"/>
    <w:rsid w:val="00670687"/>
    <w:rsid w:val="00670DC5"/>
    <w:rsid w:val="00670F84"/>
    <w:rsid w:val="00671652"/>
    <w:rsid w:val="00671FAA"/>
    <w:rsid w:val="00672B5B"/>
    <w:rsid w:val="0067317C"/>
    <w:rsid w:val="00674172"/>
    <w:rsid w:val="006750FC"/>
    <w:rsid w:val="006756D4"/>
    <w:rsid w:val="00675BC3"/>
    <w:rsid w:val="00675DA5"/>
    <w:rsid w:val="00676464"/>
    <w:rsid w:val="0067663D"/>
    <w:rsid w:val="006772E7"/>
    <w:rsid w:val="006773DA"/>
    <w:rsid w:val="00680482"/>
    <w:rsid w:val="00680627"/>
    <w:rsid w:val="006808DC"/>
    <w:rsid w:val="00681589"/>
    <w:rsid w:val="006815FF"/>
    <w:rsid w:val="006816B6"/>
    <w:rsid w:val="00681AB3"/>
    <w:rsid w:val="006820EB"/>
    <w:rsid w:val="00682128"/>
    <w:rsid w:val="0068220C"/>
    <w:rsid w:val="00682AB1"/>
    <w:rsid w:val="00682E9F"/>
    <w:rsid w:val="00682F5D"/>
    <w:rsid w:val="00683252"/>
    <w:rsid w:val="0068343A"/>
    <w:rsid w:val="006834D4"/>
    <w:rsid w:val="006835A6"/>
    <w:rsid w:val="006838DE"/>
    <w:rsid w:val="006839A9"/>
    <w:rsid w:val="00683CB8"/>
    <w:rsid w:val="0068413D"/>
    <w:rsid w:val="006844BA"/>
    <w:rsid w:val="006845A2"/>
    <w:rsid w:val="00684BF8"/>
    <w:rsid w:val="00684D9B"/>
    <w:rsid w:val="006856D9"/>
    <w:rsid w:val="006858AA"/>
    <w:rsid w:val="00685BCF"/>
    <w:rsid w:val="00686712"/>
    <w:rsid w:val="006869E6"/>
    <w:rsid w:val="006871D0"/>
    <w:rsid w:val="0068751F"/>
    <w:rsid w:val="00687588"/>
    <w:rsid w:val="006900D1"/>
    <w:rsid w:val="00690297"/>
    <w:rsid w:val="00690358"/>
    <w:rsid w:val="0069115A"/>
    <w:rsid w:val="006912F1"/>
    <w:rsid w:val="00691387"/>
    <w:rsid w:val="006913C6"/>
    <w:rsid w:val="006918AD"/>
    <w:rsid w:val="006927F2"/>
    <w:rsid w:val="00692AB2"/>
    <w:rsid w:val="00692E60"/>
    <w:rsid w:val="006931E1"/>
    <w:rsid w:val="006937EF"/>
    <w:rsid w:val="00694310"/>
    <w:rsid w:val="00694700"/>
    <w:rsid w:val="006947FC"/>
    <w:rsid w:val="00694803"/>
    <w:rsid w:val="00694A4A"/>
    <w:rsid w:val="00694B1F"/>
    <w:rsid w:val="00694CE8"/>
    <w:rsid w:val="0069569E"/>
    <w:rsid w:val="006956C6"/>
    <w:rsid w:val="006959F2"/>
    <w:rsid w:val="00696000"/>
    <w:rsid w:val="00696616"/>
    <w:rsid w:val="00696EE3"/>
    <w:rsid w:val="0069715D"/>
    <w:rsid w:val="00697392"/>
    <w:rsid w:val="006973E5"/>
    <w:rsid w:val="00697664"/>
    <w:rsid w:val="00697681"/>
    <w:rsid w:val="0069770C"/>
    <w:rsid w:val="006A0757"/>
    <w:rsid w:val="006A08F2"/>
    <w:rsid w:val="006A10A8"/>
    <w:rsid w:val="006A151A"/>
    <w:rsid w:val="006A1E62"/>
    <w:rsid w:val="006A2A12"/>
    <w:rsid w:val="006A2E9C"/>
    <w:rsid w:val="006A30E3"/>
    <w:rsid w:val="006A35E0"/>
    <w:rsid w:val="006A377F"/>
    <w:rsid w:val="006A384A"/>
    <w:rsid w:val="006A3875"/>
    <w:rsid w:val="006A3C0E"/>
    <w:rsid w:val="006A3D40"/>
    <w:rsid w:val="006A418D"/>
    <w:rsid w:val="006A5421"/>
    <w:rsid w:val="006A561D"/>
    <w:rsid w:val="006A5A0C"/>
    <w:rsid w:val="006A5BA0"/>
    <w:rsid w:val="006A5BB1"/>
    <w:rsid w:val="006A5C27"/>
    <w:rsid w:val="006A5F88"/>
    <w:rsid w:val="006A7D95"/>
    <w:rsid w:val="006A7FA2"/>
    <w:rsid w:val="006B019B"/>
    <w:rsid w:val="006B036A"/>
    <w:rsid w:val="006B0D6D"/>
    <w:rsid w:val="006B120D"/>
    <w:rsid w:val="006B13C1"/>
    <w:rsid w:val="006B2CC7"/>
    <w:rsid w:val="006B3AF9"/>
    <w:rsid w:val="006B3D2D"/>
    <w:rsid w:val="006B44C5"/>
    <w:rsid w:val="006B4740"/>
    <w:rsid w:val="006B555F"/>
    <w:rsid w:val="006B5ECF"/>
    <w:rsid w:val="006B6242"/>
    <w:rsid w:val="006B628A"/>
    <w:rsid w:val="006B674C"/>
    <w:rsid w:val="006B6C7C"/>
    <w:rsid w:val="006B6EA4"/>
    <w:rsid w:val="006B737B"/>
    <w:rsid w:val="006B77BB"/>
    <w:rsid w:val="006B7942"/>
    <w:rsid w:val="006B7F8F"/>
    <w:rsid w:val="006B7FC5"/>
    <w:rsid w:val="006C055E"/>
    <w:rsid w:val="006C08CB"/>
    <w:rsid w:val="006C0D13"/>
    <w:rsid w:val="006C10CB"/>
    <w:rsid w:val="006C149A"/>
    <w:rsid w:val="006C14DD"/>
    <w:rsid w:val="006C187F"/>
    <w:rsid w:val="006C191D"/>
    <w:rsid w:val="006C1978"/>
    <w:rsid w:val="006C19BC"/>
    <w:rsid w:val="006C19D5"/>
    <w:rsid w:val="006C1B44"/>
    <w:rsid w:val="006C1F77"/>
    <w:rsid w:val="006C2211"/>
    <w:rsid w:val="006C27F9"/>
    <w:rsid w:val="006C29AE"/>
    <w:rsid w:val="006C3031"/>
    <w:rsid w:val="006C3607"/>
    <w:rsid w:val="006C3990"/>
    <w:rsid w:val="006C3ED2"/>
    <w:rsid w:val="006C4233"/>
    <w:rsid w:val="006C42E7"/>
    <w:rsid w:val="006C4422"/>
    <w:rsid w:val="006C54DE"/>
    <w:rsid w:val="006C5CCA"/>
    <w:rsid w:val="006C5DDD"/>
    <w:rsid w:val="006C61A2"/>
    <w:rsid w:val="006C625F"/>
    <w:rsid w:val="006C6BA9"/>
    <w:rsid w:val="006C78A6"/>
    <w:rsid w:val="006C79D0"/>
    <w:rsid w:val="006C7AB4"/>
    <w:rsid w:val="006D006B"/>
    <w:rsid w:val="006D105C"/>
    <w:rsid w:val="006D1594"/>
    <w:rsid w:val="006D16AF"/>
    <w:rsid w:val="006D2D96"/>
    <w:rsid w:val="006D2E01"/>
    <w:rsid w:val="006D30E7"/>
    <w:rsid w:val="006D48E7"/>
    <w:rsid w:val="006D4947"/>
    <w:rsid w:val="006D4F9C"/>
    <w:rsid w:val="006D5F16"/>
    <w:rsid w:val="006D63AD"/>
    <w:rsid w:val="006D672B"/>
    <w:rsid w:val="006D6764"/>
    <w:rsid w:val="006D67D9"/>
    <w:rsid w:val="006D6B2E"/>
    <w:rsid w:val="006D6C93"/>
    <w:rsid w:val="006D713F"/>
    <w:rsid w:val="006D7390"/>
    <w:rsid w:val="006D7573"/>
    <w:rsid w:val="006D7871"/>
    <w:rsid w:val="006D7CC2"/>
    <w:rsid w:val="006E0340"/>
    <w:rsid w:val="006E05EB"/>
    <w:rsid w:val="006E06F9"/>
    <w:rsid w:val="006E07A9"/>
    <w:rsid w:val="006E0D91"/>
    <w:rsid w:val="006E1445"/>
    <w:rsid w:val="006E1706"/>
    <w:rsid w:val="006E1789"/>
    <w:rsid w:val="006E2188"/>
    <w:rsid w:val="006E2473"/>
    <w:rsid w:val="006E2691"/>
    <w:rsid w:val="006E29D5"/>
    <w:rsid w:val="006E35BA"/>
    <w:rsid w:val="006E3CB2"/>
    <w:rsid w:val="006E3DA8"/>
    <w:rsid w:val="006E481D"/>
    <w:rsid w:val="006E52AE"/>
    <w:rsid w:val="006E546C"/>
    <w:rsid w:val="006E5DAA"/>
    <w:rsid w:val="006E7006"/>
    <w:rsid w:val="006E7046"/>
    <w:rsid w:val="006E79A0"/>
    <w:rsid w:val="006E7D18"/>
    <w:rsid w:val="006F00E7"/>
    <w:rsid w:val="006F03A3"/>
    <w:rsid w:val="006F0F6E"/>
    <w:rsid w:val="006F1B22"/>
    <w:rsid w:val="006F1BA4"/>
    <w:rsid w:val="006F1F0A"/>
    <w:rsid w:val="006F2259"/>
    <w:rsid w:val="006F22E7"/>
    <w:rsid w:val="006F23E1"/>
    <w:rsid w:val="006F2881"/>
    <w:rsid w:val="006F2A32"/>
    <w:rsid w:val="006F2ECA"/>
    <w:rsid w:val="006F2F8F"/>
    <w:rsid w:val="006F2FDA"/>
    <w:rsid w:val="006F2FE5"/>
    <w:rsid w:val="006F320A"/>
    <w:rsid w:val="006F3460"/>
    <w:rsid w:val="006F34FE"/>
    <w:rsid w:val="006F3615"/>
    <w:rsid w:val="006F3DCB"/>
    <w:rsid w:val="006F3F9C"/>
    <w:rsid w:val="006F3FA3"/>
    <w:rsid w:val="006F48BA"/>
    <w:rsid w:val="006F4AF9"/>
    <w:rsid w:val="006F53DC"/>
    <w:rsid w:val="006F54EB"/>
    <w:rsid w:val="006F5964"/>
    <w:rsid w:val="006F5BF3"/>
    <w:rsid w:val="006F5CC1"/>
    <w:rsid w:val="006F67A5"/>
    <w:rsid w:val="006F6E8F"/>
    <w:rsid w:val="006F762D"/>
    <w:rsid w:val="006F7C2E"/>
    <w:rsid w:val="0070019E"/>
    <w:rsid w:val="00700492"/>
    <w:rsid w:val="007009B9"/>
    <w:rsid w:val="0070167E"/>
    <w:rsid w:val="007016BE"/>
    <w:rsid w:val="00701E1B"/>
    <w:rsid w:val="00702186"/>
    <w:rsid w:val="00702475"/>
    <w:rsid w:val="00702DEE"/>
    <w:rsid w:val="00702ED0"/>
    <w:rsid w:val="00703C09"/>
    <w:rsid w:val="0070434A"/>
    <w:rsid w:val="00704629"/>
    <w:rsid w:val="007048C4"/>
    <w:rsid w:val="00704CC4"/>
    <w:rsid w:val="00704F70"/>
    <w:rsid w:val="0070521F"/>
    <w:rsid w:val="00705345"/>
    <w:rsid w:val="0070638D"/>
    <w:rsid w:val="0070689B"/>
    <w:rsid w:val="00706DBF"/>
    <w:rsid w:val="00707A59"/>
    <w:rsid w:val="00707CFD"/>
    <w:rsid w:val="0071046B"/>
    <w:rsid w:val="00710AC6"/>
    <w:rsid w:val="00710C1D"/>
    <w:rsid w:val="00710F19"/>
    <w:rsid w:val="0071106F"/>
    <w:rsid w:val="007110A3"/>
    <w:rsid w:val="00711108"/>
    <w:rsid w:val="00711213"/>
    <w:rsid w:val="007112A1"/>
    <w:rsid w:val="007116B9"/>
    <w:rsid w:val="007117C7"/>
    <w:rsid w:val="00711996"/>
    <w:rsid w:val="00711A2D"/>
    <w:rsid w:val="00711B3B"/>
    <w:rsid w:val="00711BA3"/>
    <w:rsid w:val="00711C9D"/>
    <w:rsid w:val="00712B71"/>
    <w:rsid w:val="00712D12"/>
    <w:rsid w:val="00712E55"/>
    <w:rsid w:val="00713023"/>
    <w:rsid w:val="0071322C"/>
    <w:rsid w:val="0071370E"/>
    <w:rsid w:val="00713779"/>
    <w:rsid w:val="00713989"/>
    <w:rsid w:val="00713DCF"/>
    <w:rsid w:val="00714004"/>
    <w:rsid w:val="0071458E"/>
    <w:rsid w:val="007145C9"/>
    <w:rsid w:val="00714618"/>
    <w:rsid w:val="00714631"/>
    <w:rsid w:val="00714B6E"/>
    <w:rsid w:val="0071512F"/>
    <w:rsid w:val="0071575C"/>
    <w:rsid w:val="007168E7"/>
    <w:rsid w:val="007169AC"/>
    <w:rsid w:val="007169DD"/>
    <w:rsid w:val="007173EB"/>
    <w:rsid w:val="00717679"/>
    <w:rsid w:val="00717782"/>
    <w:rsid w:val="00717B67"/>
    <w:rsid w:val="007206A2"/>
    <w:rsid w:val="00720B38"/>
    <w:rsid w:val="00720CA7"/>
    <w:rsid w:val="0072147B"/>
    <w:rsid w:val="00721766"/>
    <w:rsid w:val="0072181E"/>
    <w:rsid w:val="00721D55"/>
    <w:rsid w:val="00722267"/>
    <w:rsid w:val="0072285E"/>
    <w:rsid w:val="00722C62"/>
    <w:rsid w:val="0072321F"/>
    <w:rsid w:val="00723295"/>
    <w:rsid w:val="0072373E"/>
    <w:rsid w:val="007238E2"/>
    <w:rsid w:val="007239B4"/>
    <w:rsid w:val="00724446"/>
    <w:rsid w:val="00724584"/>
    <w:rsid w:val="00724AA1"/>
    <w:rsid w:val="00724D39"/>
    <w:rsid w:val="00725A19"/>
    <w:rsid w:val="007260E8"/>
    <w:rsid w:val="00726243"/>
    <w:rsid w:val="00726356"/>
    <w:rsid w:val="007268C7"/>
    <w:rsid w:val="0072690B"/>
    <w:rsid w:val="00726AAB"/>
    <w:rsid w:val="00726EA7"/>
    <w:rsid w:val="00727077"/>
    <w:rsid w:val="00730009"/>
    <w:rsid w:val="0073004D"/>
    <w:rsid w:val="00730170"/>
    <w:rsid w:val="00730731"/>
    <w:rsid w:val="00730AA2"/>
    <w:rsid w:val="00730C7E"/>
    <w:rsid w:val="00730EA6"/>
    <w:rsid w:val="007319D4"/>
    <w:rsid w:val="00731C15"/>
    <w:rsid w:val="00732045"/>
    <w:rsid w:val="007322A0"/>
    <w:rsid w:val="007322FC"/>
    <w:rsid w:val="007326D5"/>
    <w:rsid w:val="007328FA"/>
    <w:rsid w:val="00732C1A"/>
    <w:rsid w:val="00732FF7"/>
    <w:rsid w:val="00733CDC"/>
    <w:rsid w:val="0073444C"/>
    <w:rsid w:val="007346F6"/>
    <w:rsid w:val="00734B9A"/>
    <w:rsid w:val="00734CAA"/>
    <w:rsid w:val="0073547B"/>
    <w:rsid w:val="0073560B"/>
    <w:rsid w:val="00735695"/>
    <w:rsid w:val="0073588C"/>
    <w:rsid w:val="007360CB"/>
    <w:rsid w:val="00736682"/>
    <w:rsid w:val="00737566"/>
    <w:rsid w:val="00741BA2"/>
    <w:rsid w:val="00741C81"/>
    <w:rsid w:val="00741CF4"/>
    <w:rsid w:val="00741DCC"/>
    <w:rsid w:val="00741DE2"/>
    <w:rsid w:val="007421A1"/>
    <w:rsid w:val="007427D7"/>
    <w:rsid w:val="007427FE"/>
    <w:rsid w:val="007428FF"/>
    <w:rsid w:val="00742C51"/>
    <w:rsid w:val="00742D25"/>
    <w:rsid w:val="00742F3C"/>
    <w:rsid w:val="00743445"/>
    <w:rsid w:val="0074598E"/>
    <w:rsid w:val="00745E01"/>
    <w:rsid w:val="0074624C"/>
    <w:rsid w:val="0074666B"/>
    <w:rsid w:val="007468D6"/>
    <w:rsid w:val="00746BFF"/>
    <w:rsid w:val="007473E1"/>
    <w:rsid w:val="00747897"/>
    <w:rsid w:val="00747E47"/>
    <w:rsid w:val="00750192"/>
    <w:rsid w:val="007504E1"/>
    <w:rsid w:val="00750544"/>
    <w:rsid w:val="00750804"/>
    <w:rsid w:val="007509AB"/>
    <w:rsid w:val="00750F01"/>
    <w:rsid w:val="007510B8"/>
    <w:rsid w:val="00751246"/>
    <w:rsid w:val="00751689"/>
    <w:rsid w:val="007524AA"/>
    <w:rsid w:val="00753482"/>
    <w:rsid w:val="00753744"/>
    <w:rsid w:val="00753A93"/>
    <w:rsid w:val="00754E56"/>
    <w:rsid w:val="00755663"/>
    <w:rsid w:val="00755CD5"/>
    <w:rsid w:val="00755EEF"/>
    <w:rsid w:val="00756386"/>
    <w:rsid w:val="00756491"/>
    <w:rsid w:val="00756603"/>
    <w:rsid w:val="00756A3D"/>
    <w:rsid w:val="007571E4"/>
    <w:rsid w:val="007575C0"/>
    <w:rsid w:val="00757D2F"/>
    <w:rsid w:val="0076000E"/>
    <w:rsid w:val="00760C00"/>
    <w:rsid w:val="007610E9"/>
    <w:rsid w:val="00761728"/>
    <w:rsid w:val="00761AFC"/>
    <w:rsid w:val="00761C6C"/>
    <w:rsid w:val="00762B72"/>
    <w:rsid w:val="00762BC1"/>
    <w:rsid w:val="00763A3E"/>
    <w:rsid w:val="00763B82"/>
    <w:rsid w:val="00763BE7"/>
    <w:rsid w:val="00763CCB"/>
    <w:rsid w:val="00763DEE"/>
    <w:rsid w:val="007642B4"/>
    <w:rsid w:val="007646C9"/>
    <w:rsid w:val="0076472F"/>
    <w:rsid w:val="00764B02"/>
    <w:rsid w:val="00764C2B"/>
    <w:rsid w:val="00764C45"/>
    <w:rsid w:val="00765110"/>
    <w:rsid w:val="00765324"/>
    <w:rsid w:val="00765860"/>
    <w:rsid w:val="00766277"/>
    <w:rsid w:val="0076656A"/>
    <w:rsid w:val="00766701"/>
    <w:rsid w:val="00766911"/>
    <w:rsid w:val="00767793"/>
    <w:rsid w:val="007679D8"/>
    <w:rsid w:val="00767F74"/>
    <w:rsid w:val="007703D1"/>
    <w:rsid w:val="0077078C"/>
    <w:rsid w:val="00770803"/>
    <w:rsid w:val="00770CC4"/>
    <w:rsid w:val="00770E31"/>
    <w:rsid w:val="007712A6"/>
    <w:rsid w:val="00771319"/>
    <w:rsid w:val="007713E8"/>
    <w:rsid w:val="00771794"/>
    <w:rsid w:val="00771A6C"/>
    <w:rsid w:val="00771CCF"/>
    <w:rsid w:val="00771F7D"/>
    <w:rsid w:val="00772B36"/>
    <w:rsid w:val="00772C3E"/>
    <w:rsid w:val="00773490"/>
    <w:rsid w:val="00773604"/>
    <w:rsid w:val="007736E8"/>
    <w:rsid w:val="00774ACE"/>
    <w:rsid w:val="00775339"/>
    <w:rsid w:val="0077551F"/>
    <w:rsid w:val="00775823"/>
    <w:rsid w:val="00775B64"/>
    <w:rsid w:val="00775F57"/>
    <w:rsid w:val="00776025"/>
    <w:rsid w:val="00776584"/>
    <w:rsid w:val="00776817"/>
    <w:rsid w:val="007769EF"/>
    <w:rsid w:val="00776D4F"/>
    <w:rsid w:val="00776DDC"/>
    <w:rsid w:val="007770F9"/>
    <w:rsid w:val="00777179"/>
    <w:rsid w:val="00777945"/>
    <w:rsid w:val="00777D40"/>
    <w:rsid w:val="007800F0"/>
    <w:rsid w:val="00780B8D"/>
    <w:rsid w:val="00780B8E"/>
    <w:rsid w:val="00781649"/>
    <w:rsid w:val="00781B65"/>
    <w:rsid w:val="00781CAC"/>
    <w:rsid w:val="00781DC9"/>
    <w:rsid w:val="007820FA"/>
    <w:rsid w:val="007823D6"/>
    <w:rsid w:val="0078254E"/>
    <w:rsid w:val="00782628"/>
    <w:rsid w:val="007826AB"/>
    <w:rsid w:val="0078295D"/>
    <w:rsid w:val="00783283"/>
    <w:rsid w:val="0078407C"/>
    <w:rsid w:val="007840E2"/>
    <w:rsid w:val="0078569F"/>
    <w:rsid w:val="00785803"/>
    <w:rsid w:val="00785EB4"/>
    <w:rsid w:val="0078609A"/>
    <w:rsid w:val="00786BF5"/>
    <w:rsid w:val="00786F85"/>
    <w:rsid w:val="0078731A"/>
    <w:rsid w:val="00787487"/>
    <w:rsid w:val="0078777D"/>
    <w:rsid w:val="007906F1"/>
    <w:rsid w:val="007908C4"/>
    <w:rsid w:val="00790B8D"/>
    <w:rsid w:val="00790EDA"/>
    <w:rsid w:val="00790FB4"/>
    <w:rsid w:val="00791349"/>
    <w:rsid w:val="00791D85"/>
    <w:rsid w:val="00791DAF"/>
    <w:rsid w:val="007924CA"/>
    <w:rsid w:val="007928EC"/>
    <w:rsid w:val="00793E00"/>
    <w:rsid w:val="00794CBF"/>
    <w:rsid w:val="00795365"/>
    <w:rsid w:val="0079545A"/>
    <w:rsid w:val="0079567E"/>
    <w:rsid w:val="00795B3B"/>
    <w:rsid w:val="00795C1B"/>
    <w:rsid w:val="007961D5"/>
    <w:rsid w:val="00796A6F"/>
    <w:rsid w:val="00796C5D"/>
    <w:rsid w:val="007979A0"/>
    <w:rsid w:val="00797B06"/>
    <w:rsid w:val="00797B9C"/>
    <w:rsid w:val="007A0483"/>
    <w:rsid w:val="007A04A4"/>
    <w:rsid w:val="007A0D27"/>
    <w:rsid w:val="007A0E9A"/>
    <w:rsid w:val="007A1022"/>
    <w:rsid w:val="007A1065"/>
    <w:rsid w:val="007A12CC"/>
    <w:rsid w:val="007A1D86"/>
    <w:rsid w:val="007A242F"/>
    <w:rsid w:val="007A2A97"/>
    <w:rsid w:val="007A2CDC"/>
    <w:rsid w:val="007A2DD7"/>
    <w:rsid w:val="007A3133"/>
    <w:rsid w:val="007A31AD"/>
    <w:rsid w:val="007A371B"/>
    <w:rsid w:val="007A3832"/>
    <w:rsid w:val="007A3A0F"/>
    <w:rsid w:val="007A3E60"/>
    <w:rsid w:val="007A407D"/>
    <w:rsid w:val="007A45A9"/>
    <w:rsid w:val="007A464F"/>
    <w:rsid w:val="007A6196"/>
    <w:rsid w:val="007A63B6"/>
    <w:rsid w:val="007A63D4"/>
    <w:rsid w:val="007A63D5"/>
    <w:rsid w:val="007A67AD"/>
    <w:rsid w:val="007A689A"/>
    <w:rsid w:val="007A68EA"/>
    <w:rsid w:val="007A6B7D"/>
    <w:rsid w:val="007A7629"/>
    <w:rsid w:val="007A7FCA"/>
    <w:rsid w:val="007B06E5"/>
    <w:rsid w:val="007B0D4A"/>
    <w:rsid w:val="007B1027"/>
    <w:rsid w:val="007B11BA"/>
    <w:rsid w:val="007B1612"/>
    <w:rsid w:val="007B1691"/>
    <w:rsid w:val="007B174F"/>
    <w:rsid w:val="007B1863"/>
    <w:rsid w:val="007B22E0"/>
    <w:rsid w:val="007B23EA"/>
    <w:rsid w:val="007B28CA"/>
    <w:rsid w:val="007B358D"/>
    <w:rsid w:val="007B420F"/>
    <w:rsid w:val="007B4510"/>
    <w:rsid w:val="007B4A8A"/>
    <w:rsid w:val="007B5401"/>
    <w:rsid w:val="007B5FB4"/>
    <w:rsid w:val="007B6B2B"/>
    <w:rsid w:val="007B7209"/>
    <w:rsid w:val="007B7901"/>
    <w:rsid w:val="007B7949"/>
    <w:rsid w:val="007B7D30"/>
    <w:rsid w:val="007C0FA9"/>
    <w:rsid w:val="007C1392"/>
    <w:rsid w:val="007C2413"/>
    <w:rsid w:val="007C25AE"/>
    <w:rsid w:val="007C2987"/>
    <w:rsid w:val="007C3152"/>
    <w:rsid w:val="007C333B"/>
    <w:rsid w:val="007C34E6"/>
    <w:rsid w:val="007C3914"/>
    <w:rsid w:val="007C3CEA"/>
    <w:rsid w:val="007C3D92"/>
    <w:rsid w:val="007C3E98"/>
    <w:rsid w:val="007C4EB8"/>
    <w:rsid w:val="007C52E8"/>
    <w:rsid w:val="007C5A8F"/>
    <w:rsid w:val="007C5B38"/>
    <w:rsid w:val="007C76E8"/>
    <w:rsid w:val="007C7D50"/>
    <w:rsid w:val="007D01E6"/>
    <w:rsid w:val="007D035E"/>
    <w:rsid w:val="007D0396"/>
    <w:rsid w:val="007D0644"/>
    <w:rsid w:val="007D08AB"/>
    <w:rsid w:val="007D0AF4"/>
    <w:rsid w:val="007D0B58"/>
    <w:rsid w:val="007D17E3"/>
    <w:rsid w:val="007D1801"/>
    <w:rsid w:val="007D1D3E"/>
    <w:rsid w:val="007D1FE0"/>
    <w:rsid w:val="007D20BB"/>
    <w:rsid w:val="007D261E"/>
    <w:rsid w:val="007D2F61"/>
    <w:rsid w:val="007D3004"/>
    <w:rsid w:val="007D322E"/>
    <w:rsid w:val="007D3D0E"/>
    <w:rsid w:val="007D3D33"/>
    <w:rsid w:val="007D3FA3"/>
    <w:rsid w:val="007D41C2"/>
    <w:rsid w:val="007D462E"/>
    <w:rsid w:val="007D4F02"/>
    <w:rsid w:val="007D58F0"/>
    <w:rsid w:val="007D674C"/>
    <w:rsid w:val="007D6B7B"/>
    <w:rsid w:val="007D6CF1"/>
    <w:rsid w:val="007D7131"/>
    <w:rsid w:val="007D7263"/>
    <w:rsid w:val="007D7BEC"/>
    <w:rsid w:val="007D7CE3"/>
    <w:rsid w:val="007E051A"/>
    <w:rsid w:val="007E056A"/>
    <w:rsid w:val="007E0798"/>
    <w:rsid w:val="007E0C3F"/>
    <w:rsid w:val="007E1878"/>
    <w:rsid w:val="007E1B72"/>
    <w:rsid w:val="007E3EE3"/>
    <w:rsid w:val="007E411F"/>
    <w:rsid w:val="007E43F4"/>
    <w:rsid w:val="007E44B5"/>
    <w:rsid w:val="007E57DE"/>
    <w:rsid w:val="007E5902"/>
    <w:rsid w:val="007E602A"/>
    <w:rsid w:val="007E64AF"/>
    <w:rsid w:val="007E6719"/>
    <w:rsid w:val="007E68ED"/>
    <w:rsid w:val="007E69ED"/>
    <w:rsid w:val="007E7B2D"/>
    <w:rsid w:val="007F0221"/>
    <w:rsid w:val="007F034B"/>
    <w:rsid w:val="007F07B9"/>
    <w:rsid w:val="007F0928"/>
    <w:rsid w:val="007F146F"/>
    <w:rsid w:val="007F15CE"/>
    <w:rsid w:val="007F1E88"/>
    <w:rsid w:val="007F2CD7"/>
    <w:rsid w:val="007F3568"/>
    <w:rsid w:val="007F373B"/>
    <w:rsid w:val="007F41D4"/>
    <w:rsid w:val="007F422D"/>
    <w:rsid w:val="007F4DBA"/>
    <w:rsid w:val="007F509D"/>
    <w:rsid w:val="007F519C"/>
    <w:rsid w:val="007F5243"/>
    <w:rsid w:val="007F534D"/>
    <w:rsid w:val="007F5363"/>
    <w:rsid w:val="007F54A2"/>
    <w:rsid w:val="007F54FE"/>
    <w:rsid w:val="007F5535"/>
    <w:rsid w:val="007F5D32"/>
    <w:rsid w:val="007F62D4"/>
    <w:rsid w:val="007F6832"/>
    <w:rsid w:val="007F6CAA"/>
    <w:rsid w:val="007F70AB"/>
    <w:rsid w:val="007F72DC"/>
    <w:rsid w:val="007F795F"/>
    <w:rsid w:val="007F7C11"/>
    <w:rsid w:val="0080069C"/>
    <w:rsid w:val="008006FD"/>
    <w:rsid w:val="0080099C"/>
    <w:rsid w:val="00801101"/>
    <w:rsid w:val="0080148D"/>
    <w:rsid w:val="0080156B"/>
    <w:rsid w:val="00801A3A"/>
    <w:rsid w:val="00801D1C"/>
    <w:rsid w:val="00802A2D"/>
    <w:rsid w:val="00802B9C"/>
    <w:rsid w:val="00804114"/>
    <w:rsid w:val="00804634"/>
    <w:rsid w:val="008047E8"/>
    <w:rsid w:val="0080531E"/>
    <w:rsid w:val="0080548F"/>
    <w:rsid w:val="00805512"/>
    <w:rsid w:val="0080593D"/>
    <w:rsid w:val="00805C3D"/>
    <w:rsid w:val="008064FE"/>
    <w:rsid w:val="00806F1D"/>
    <w:rsid w:val="0080702E"/>
    <w:rsid w:val="008077ED"/>
    <w:rsid w:val="00807B6F"/>
    <w:rsid w:val="00807E93"/>
    <w:rsid w:val="008100B0"/>
    <w:rsid w:val="00810172"/>
    <w:rsid w:val="00810762"/>
    <w:rsid w:val="00810858"/>
    <w:rsid w:val="00810864"/>
    <w:rsid w:val="00810EFF"/>
    <w:rsid w:val="00811314"/>
    <w:rsid w:val="00811A39"/>
    <w:rsid w:val="00811DEA"/>
    <w:rsid w:val="0081291B"/>
    <w:rsid w:val="00813208"/>
    <w:rsid w:val="00813622"/>
    <w:rsid w:val="0081397C"/>
    <w:rsid w:val="00813DCF"/>
    <w:rsid w:val="00813FAB"/>
    <w:rsid w:val="008142BF"/>
    <w:rsid w:val="008145EB"/>
    <w:rsid w:val="0081498C"/>
    <w:rsid w:val="00814AE1"/>
    <w:rsid w:val="00815590"/>
    <w:rsid w:val="00815D31"/>
    <w:rsid w:val="0081601F"/>
    <w:rsid w:val="00816064"/>
    <w:rsid w:val="0081738D"/>
    <w:rsid w:val="008174B2"/>
    <w:rsid w:val="00817CFF"/>
    <w:rsid w:val="0082000D"/>
    <w:rsid w:val="008201EE"/>
    <w:rsid w:val="0082037E"/>
    <w:rsid w:val="00820C9C"/>
    <w:rsid w:val="00820F55"/>
    <w:rsid w:val="00821572"/>
    <w:rsid w:val="00822310"/>
    <w:rsid w:val="008232C8"/>
    <w:rsid w:val="00823794"/>
    <w:rsid w:val="008237F4"/>
    <w:rsid w:val="00823F00"/>
    <w:rsid w:val="00823F67"/>
    <w:rsid w:val="00824022"/>
    <w:rsid w:val="00824190"/>
    <w:rsid w:val="0082483A"/>
    <w:rsid w:val="00824A81"/>
    <w:rsid w:val="008257B8"/>
    <w:rsid w:val="008260ED"/>
    <w:rsid w:val="00826863"/>
    <w:rsid w:val="0082699D"/>
    <w:rsid w:val="00826E6B"/>
    <w:rsid w:val="0082737A"/>
    <w:rsid w:val="008275FD"/>
    <w:rsid w:val="008305A4"/>
    <w:rsid w:val="00830BA1"/>
    <w:rsid w:val="00830CDD"/>
    <w:rsid w:val="00830EB2"/>
    <w:rsid w:val="008310C7"/>
    <w:rsid w:val="00831474"/>
    <w:rsid w:val="00831652"/>
    <w:rsid w:val="008316BA"/>
    <w:rsid w:val="0083202E"/>
    <w:rsid w:val="0083304F"/>
    <w:rsid w:val="008334C9"/>
    <w:rsid w:val="00833FA4"/>
    <w:rsid w:val="008340D0"/>
    <w:rsid w:val="00834122"/>
    <w:rsid w:val="00834F6D"/>
    <w:rsid w:val="008352C5"/>
    <w:rsid w:val="008358A6"/>
    <w:rsid w:val="008359FB"/>
    <w:rsid w:val="00835C56"/>
    <w:rsid w:val="00835FC9"/>
    <w:rsid w:val="008360FC"/>
    <w:rsid w:val="00836B3A"/>
    <w:rsid w:val="00836E81"/>
    <w:rsid w:val="0083746F"/>
    <w:rsid w:val="008377C1"/>
    <w:rsid w:val="00837C90"/>
    <w:rsid w:val="00837EB1"/>
    <w:rsid w:val="00840296"/>
    <w:rsid w:val="0084042B"/>
    <w:rsid w:val="008409BB"/>
    <w:rsid w:val="00840BCF"/>
    <w:rsid w:val="00840CB3"/>
    <w:rsid w:val="00840DC9"/>
    <w:rsid w:val="0084184A"/>
    <w:rsid w:val="008423A7"/>
    <w:rsid w:val="008423F2"/>
    <w:rsid w:val="00842A30"/>
    <w:rsid w:val="00842CAB"/>
    <w:rsid w:val="00842F4F"/>
    <w:rsid w:val="00842F71"/>
    <w:rsid w:val="00843179"/>
    <w:rsid w:val="0084386A"/>
    <w:rsid w:val="0084396D"/>
    <w:rsid w:val="00843BB7"/>
    <w:rsid w:val="00843E0E"/>
    <w:rsid w:val="008442EA"/>
    <w:rsid w:val="00844589"/>
    <w:rsid w:val="00844794"/>
    <w:rsid w:val="00844FE7"/>
    <w:rsid w:val="0084534B"/>
    <w:rsid w:val="00845969"/>
    <w:rsid w:val="00845E2E"/>
    <w:rsid w:val="00845F37"/>
    <w:rsid w:val="00845FF5"/>
    <w:rsid w:val="00846001"/>
    <w:rsid w:val="0084615D"/>
    <w:rsid w:val="0084642A"/>
    <w:rsid w:val="008465C4"/>
    <w:rsid w:val="00846710"/>
    <w:rsid w:val="00847199"/>
    <w:rsid w:val="00847528"/>
    <w:rsid w:val="00847715"/>
    <w:rsid w:val="008478ED"/>
    <w:rsid w:val="008507E1"/>
    <w:rsid w:val="00851572"/>
    <w:rsid w:val="00851728"/>
    <w:rsid w:val="00851DFF"/>
    <w:rsid w:val="00852CE2"/>
    <w:rsid w:val="00853084"/>
    <w:rsid w:val="00853142"/>
    <w:rsid w:val="008540A6"/>
    <w:rsid w:val="00854420"/>
    <w:rsid w:val="00854481"/>
    <w:rsid w:val="00854B5A"/>
    <w:rsid w:val="008555E4"/>
    <w:rsid w:val="00857591"/>
    <w:rsid w:val="00857DE5"/>
    <w:rsid w:val="00857E88"/>
    <w:rsid w:val="00860C5A"/>
    <w:rsid w:val="008612DB"/>
    <w:rsid w:val="00861B57"/>
    <w:rsid w:val="00862AC4"/>
    <w:rsid w:val="008633AC"/>
    <w:rsid w:val="008634E3"/>
    <w:rsid w:val="00864627"/>
    <w:rsid w:val="00864635"/>
    <w:rsid w:val="00864678"/>
    <w:rsid w:val="008646BD"/>
    <w:rsid w:val="00864C1A"/>
    <w:rsid w:val="00864DBE"/>
    <w:rsid w:val="00864E5C"/>
    <w:rsid w:val="00865217"/>
    <w:rsid w:val="00865357"/>
    <w:rsid w:val="008658AA"/>
    <w:rsid w:val="00865CBD"/>
    <w:rsid w:val="0086647E"/>
    <w:rsid w:val="00866E37"/>
    <w:rsid w:val="00866E38"/>
    <w:rsid w:val="00866F9E"/>
    <w:rsid w:val="008672E2"/>
    <w:rsid w:val="008673A4"/>
    <w:rsid w:val="0086793D"/>
    <w:rsid w:val="00867B1C"/>
    <w:rsid w:val="00867F75"/>
    <w:rsid w:val="0087011F"/>
    <w:rsid w:val="00870B93"/>
    <w:rsid w:val="00870BD1"/>
    <w:rsid w:val="008713D6"/>
    <w:rsid w:val="00871643"/>
    <w:rsid w:val="0087281D"/>
    <w:rsid w:val="008732D8"/>
    <w:rsid w:val="00873377"/>
    <w:rsid w:val="00873577"/>
    <w:rsid w:val="00873D3B"/>
    <w:rsid w:val="00873F5F"/>
    <w:rsid w:val="0087409F"/>
    <w:rsid w:val="00874D58"/>
    <w:rsid w:val="008750D2"/>
    <w:rsid w:val="00875309"/>
    <w:rsid w:val="0087563C"/>
    <w:rsid w:val="00875889"/>
    <w:rsid w:val="00875AB5"/>
    <w:rsid w:val="00875C91"/>
    <w:rsid w:val="00875F85"/>
    <w:rsid w:val="00876832"/>
    <w:rsid w:val="00876C6B"/>
    <w:rsid w:val="00876D3B"/>
    <w:rsid w:val="00876DC9"/>
    <w:rsid w:val="00877125"/>
    <w:rsid w:val="008777C2"/>
    <w:rsid w:val="00880888"/>
    <w:rsid w:val="008809D4"/>
    <w:rsid w:val="00881511"/>
    <w:rsid w:val="00882448"/>
    <w:rsid w:val="0088263D"/>
    <w:rsid w:val="00882D69"/>
    <w:rsid w:val="00882F1D"/>
    <w:rsid w:val="00883A4D"/>
    <w:rsid w:val="00883B21"/>
    <w:rsid w:val="00883DA1"/>
    <w:rsid w:val="00883F8F"/>
    <w:rsid w:val="00884235"/>
    <w:rsid w:val="008845C5"/>
    <w:rsid w:val="00884B9D"/>
    <w:rsid w:val="00884DA1"/>
    <w:rsid w:val="00885285"/>
    <w:rsid w:val="00885985"/>
    <w:rsid w:val="00885BC3"/>
    <w:rsid w:val="00886699"/>
    <w:rsid w:val="00886908"/>
    <w:rsid w:val="0088709A"/>
    <w:rsid w:val="008870CF"/>
    <w:rsid w:val="0088745E"/>
    <w:rsid w:val="00890998"/>
    <w:rsid w:val="00890F6E"/>
    <w:rsid w:val="0089143C"/>
    <w:rsid w:val="0089197F"/>
    <w:rsid w:val="0089199F"/>
    <w:rsid w:val="00891C32"/>
    <w:rsid w:val="00891D7F"/>
    <w:rsid w:val="00892265"/>
    <w:rsid w:val="0089233E"/>
    <w:rsid w:val="008928E7"/>
    <w:rsid w:val="00892BB9"/>
    <w:rsid w:val="0089330E"/>
    <w:rsid w:val="00893A8E"/>
    <w:rsid w:val="00893DDB"/>
    <w:rsid w:val="00893E27"/>
    <w:rsid w:val="0089413A"/>
    <w:rsid w:val="008945F7"/>
    <w:rsid w:val="0089463D"/>
    <w:rsid w:val="00894B05"/>
    <w:rsid w:val="0089554F"/>
    <w:rsid w:val="008955E6"/>
    <w:rsid w:val="00895B5F"/>
    <w:rsid w:val="0089637C"/>
    <w:rsid w:val="0089652C"/>
    <w:rsid w:val="00896712"/>
    <w:rsid w:val="00896870"/>
    <w:rsid w:val="0089690F"/>
    <w:rsid w:val="008969BD"/>
    <w:rsid w:val="008973F4"/>
    <w:rsid w:val="008978D0"/>
    <w:rsid w:val="00897994"/>
    <w:rsid w:val="008A05A0"/>
    <w:rsid w:val="008A13BD"/>
    <w:rsid w:val="008A1522"/>
    <w:rsid w:val="008A1596"/>
    <w:rsid w:val="008A1EDF"/>
    <w:rsid w:val="008A2695"/>
    <w:rsid w:val="008A2894"/>
    <w:rsid w:val="008A2DC9"/>
    <w:rsid w:val="008A2E2F"/>
    <w:rsid w:val="008A2F17"/>
    <w:rsid w:val="008A2FF1"/>
    <w:rsid w:val="008A3106"/>
    <w:rsid w:val="008A32D4"/>
    <w:rsid w:val="008A367F"/>
    <w:rsid w:val="008A37AF"/>
    <w:rsid w:val="008A3D62"/>
    <w:rsid w:val="008A405B"/>
    <w:rsid w:val="008A448D"/>
    <w:rsid w:val="008A4A55"/>
    <w:rsid w:val="008A506F"/>
    <w:rsid w:val="008A528A"/>
    <w:rsid w:val="008A5298"/>
    <w:rsid w:val="008A535A"/>
    <w:rsid w:val="008A6A5C"/>
    <w:rsid w:val="008A6BE0"/>
    <w:rsid w:val="008A720F"/>
    <w:rsid w:val="008A7C72"/>
    <w:rsid w:val="008B04F2"/>
    <w:rsid w:val="008B05D5"/>
    <w:rsid w:val="008B08A3"/>
    <w:rsid w:val="008B0D0A"/>
    <w:rsid w:val="008B0D0E"/>
    <w:rsid w:val="008B12BB"/>
    <w:rsid w:val="008B1411"/>
    <w:rsid w:val="008B17A2"/>
    <w:rsid w:val="008B1E15"/>
    <w:rsid w:val="008B25F2"/>
    <w:rsid w:val="008B2643"/>
    <w:rsid w:val="008B2FAE"/>
    <w:rsid w:val="008B3317"/>
    <w:rsid w:val="008B414B"/>
    <w:rsid w:val="008B4344"/>
    <w:rsid w:val="008B4C47"/>
    <w:rsid w:val="008B4E0E"/>
    <w:rsid w:val="008B4FB9"/>
    <w:rsid w:val="008B53EF"/>
    <w:rsid w:val="008B5715"/>
    <w:rsid w:val="008B5A2D"/>
    <w:rsid w:val="008B5BAC"/>
    <w:rsid w:val="008B5BC2"/>
    <w:rsid w:val="008B60BB"/>
    <w:rsid w:val="008B663B"/>
    <w:rsid w:val="008B6732"/>
    <w:rsid w:val="008B68EC"/>
    <w:rsid w:val="008B6AC3"/>
    <w:rsid w:val="008B711E"/>
    <w:rsid w:val="008B7437"/>
    <w:rsid w:val="008C042F"/>
    <w:rsid w:val="008C0502"/>
    <w:rsid w:val="008C057B"/>
    <w:rsid w:val="008C0CAC"/>
    <w:rsid w:val="008C13B4"/>
    <w:rsid w:val="008C1557"/>
    <w:rsid w:val="008C1B8C"/>
    <w:rsid w:val="008C2306"/>
    <w:rsid w:val="008C26D1"/>
    <w:rsid w:val="008C2B7F"/>
    <w:rsid w:val="008C2DEF"/>
    <w:rsid w:val="008C36AC"/>
    <w:rsid w:val="008C41BF"/>
    <w:rsid w:val="008C4953"/>
    <w:rsid w:val="008C4C1A"/>
    <w:rsid w:val="008C4E44"/>
    <w:rsid w:val="008C505A"/>
    <w:rsid w:val="008C508D"/>
    <w:rsid w:val="008C5A0E"/>
    <w:rsid w:val="008C6255"/>
    <w:rsid w:val="008C684B"/>
    <w:rsid w:val="008C6ABD"/>
    <w:rsid w:val="008C6CD0"/>
    <w:rsid w:val="008C6F18"/>
    <w:rsid w:val="008C7659"/>
    <w:rsid w:val="008C7685"/>
    <w:rsid w:val="008C79FA"/>
    <w:rsid w:val="008C7E85"/>
    <w:rsid w:val="008D007A"/>
    <w:rsid w:val="008D02B3"/>
    <w:rsid w:val="008D054C"/>
    <w:rsid w:val="008D07DE"/>
    <w:rsid w:val="008D0831"/>
    <w:rsid w:val="008D0E40"/>
    <w:rsid w:val="008D1E7F"/>
    <w:rsid w:val="008D2367"/>
    <w:rsid w:val="008D427A"/>
    <w:rsid w:val="008D42A4"/>
    <w:rsid w:val="008D4C71"/>
    <w:rsid w:val="008D4DD5"/>
    <w:rsid w:val="008D530D"/>
    <w:rsid w:val="008D5657"/>
    <w:rsid w:val="008D6752"/>
    <w:rsid w:val="008D69E7"/>
    <w:rsid w:val="008D6D97"/>
    <w:rsid w:val="008D6FC1"/>
    <w:rsid w:val="008E0140"/>
    <w:rsid w:val="008E066E"/>
    <w:rsid w:val="008E0688"/>
    <w:rsid w:val="008E077A"/>
    <w:rsid w:val="008E0BEF"/>
    <w:rsid w:val="008E16C3"/>
    <w:rsid w:val="008E2403"/>
    <w:rsid w:val="008E266D"/>
    <w:rsid w:val="008E291E"/>
    <w:rsid w:val="008E2C9E"/>
    <w:rsid w:val="008E2F0C"/>
    <w:rsid w:val="008E2FB5"/>
    <w:rsid w:val="008E3D51"/>
    <w:rsid w:val="008E3E23"/>
    <w:rsid w:val="008E41F1"/>
    <w:rsid w:val="008E4D2D"/>
    <w:rsid w:val="008E52FB"/>
    <w:rsid w:val="008E547B"/>
    <w:rsid w:val="008E5DF8"/>
    <w:rsid w:val="008E603D"/>
    <w:rsid w:val="008E68B1"/>
    <w:rsid w:val="008F0250"/>
    <w:rsid w:val="008F046B"/>
    <w:rsid w:val="008F0896"/>
    <w:rsid w:val="008F08CB"/>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A00"/>
    <w:rsid w:val="008F6E6A"/>
    <w:rsid w:val="008F75FE"/>
    <w:rsid w:val="008F7AA7"/>
    <w:rsid w:val="008F7FCD"/>
    <w:rsid w:val="00900947"/>
    <w:rsid w:val="00900EB8"/>
    <w:rsid w:val="00900FBA"/>
    <w:rsid w:val="00901114"/>
    <w:rsid w:val="00901269"/>
    <w:rsid w:val="009015BA"/>
    <w:rsid w:val="009019CB"/>
    <w:rsid w:val="00902A83"/>
    <w:rsid w:val="00902E5B"/>
    <w:rsid w:val="0090348D"/>
    <w:rsid w:val="00903A02"/>
    <w:rsid w:val="00903FD9"/>
    <w:rsid w:val="00904CF5"/>
    <w:rsid w:val="00905259"/>
    <w:rsid w:val="0090556C"/>
    <w:rsid w:val="00905633"/>
    <w:rsid w:val="00905EAE"/>
    <w:rsid w:val="009060C4"/>
    <w:rsid w:val="00906C91"/>
    <w:rsid w:val="00906C95"/>
    <w:rsid w:val="00906DBE"/>
    <w:rsid w:val="00907656"/>
    <w:rsid w:val="00907E47"/>
    <w:rsid w:val="009115EF"/>
    <w:rsid w:val="009116DD"/>
    <w:rsid w:val="009122D2"/>
    <w:rsid w:val="00912433"/>
    <w:rsid w:val="00912D1C"/>
    <w:rsid w:val="00912D25"/>
    <w:rsid w:val="00913019"/>
    <w:rsid w:val="00913387"/>
    <w:rsid w:val="009139D6"/>
    <w:rsid w:val="00913D99"/>
    <w:rsid w:val="00913F1E"/>
    <w:rsid w:val="00913FB2"/>
    <w:rsid w:val="009140C4"/>
    <w:rsid w:val="009143F4"/>
    <w:rsid w:val="009144A9"/>
    <w:rsid w:val="0091468B"/>
    <w:rsid w:val="0091481F"/>
    <w:rsid w:val="00914D50"/>
    <w:rsid w:val="0091526F"/>
    <w:rsid w:val="009153D2"/>
    <w:rsid w:val="00915D9E"/>
    <w:rsid w:val="00916286"/>
    <w:rsid w:val="00916595"/>
    <w:rsid w:val="00916C47"/>
    <w:rsid w:val="009171AD"/>
    <w:rsid w:val="00917569"/>
    <w:rsid w:val="00920174"/>
    <w:rsid w:val="009202FC"/>
    <w:rsid w:val="00920C54"/>
    <w:rsid w:val="00920D3F"/>
    <w:rsid w:val="009219D2"/>
    <w:rsid w:val="00921A4E"/>
    <w:rsid w:val="00921E37"/>
    <w:rsid w:val="00922511"/>
    <w:rsid w:val="0092258F"/>
    <w:rsid w:val="00922DE7"/>
    <w:rsid w:val="00922F07"/>
    <w:rsid w:val="00923463"/>
    <w:rsid w:val="00923865"/>
    <w:rsid w:val="009241EC"/>
    <w:rsid w:val="00925238"/>
    <w:rsid w:val="00925ACF"/>
    <w:rsid w:val="00925D71"/>
    <w:rsid w:val="0092615D"/>
    <w:rsid w:val="009261E4"/>
    <w:rsid w:val="00926546"/>
    <w:rsid w:val="009265A1"/>
    <w:rsid w:val="009273D3"/>
    <w:rsid w:val="00927700"/>
    <w:rsid w:val="00927E71"/>
    <w:rsid w:val="0093036E"/>
    <w:rsid w:val="0093095E"/>
    <w:rsid w:val="00930F1A"/>
    <w:rsid w:val="00931224"/>
    <w:rsid w:val="00931F2A"/>
    <w:rsid w:val="00933391"/>
    <w:rsid w:val="009333D3"/>
    <w:rsid w:val="009339B6"/>
    <w:rsid w:val="00933B4C"/>
    <w:rsid w:val="00933DC4"/>
    <w:rsid w:val="0093431B"/>
    <w:rsid w:val="009346D6"/>
    <w:rsid w:val="00934743"/>
    <w:rsid w:val="0093487E"/>
    <w:rsid w:val="00934CD8"/>
    <w:rsid w:val="00934FFE"/>
    <w:rsid w:val="00935418"/>
    <w:rsid w:val="009360F3"/>
    <w:rsid w:val="00936405"/>
    <w:rsid w:val="00936B64"/>
    <w:rsid w:val="00936CEB"/>
    <w:rsid w:val="009379C4"/>
    <w:rsid w:val="0094041A"/>
    <w:rsid w:val="00940D32"/>
    <w:rsid w:val="00940E66"/>
    <w:rsid w:val="009417FE"/>
    <w:rsid w:val="0094190D"/>
    <w:rsid w:val="0094233B"/>
    <w:rsid w:val="00942354"/>
    <w:rsid w:val="00942681"/>
    <w:rsid w:val="00942713"/>
    <w:rsid w:val="00942CDC"/>
    <w:rsid w:val="00942D51"/>
    <w:rsid w:val="009435DD"/>
    <w:rsid w:val="00943A7E"/>
    <w:rsid w:val="00943C8A"/>
    <w:rsid w:val="00943D8B"/>
    <w:rsid w:val="00943E42"/>
    <w:rsid w:val="00943E5D"/>
    <w:rsid w:val="00943F3E"/>
    <w:rsid w:val="00944728"/>
    <w:rsid w:val="00944A37"/>
    <w:rsid w:val="009453E8"/>
    <w:rsid w:val="00945664"/>
    <w:rsid w:val="00945872"/>
    <w:rsid w:val="009459FC"/>
    <w:rsid w:val="00945AD1"/>
    <w:rsid w:val="00945D6F"/>
    <w:rsid w:val="009466F8"/>
    <w:rsid w:val="00946ECB"/>
    <w:rsid w:val="00947268"/>
    <w:rsid w:val="0094750E"/>
    <w:rsid w:val="00947C94"/>
    <w:rsid w:val="009504BA"/>
    <w:rsid w:val="009507C8"/>
    <w:rsid w:val="00950DB7"/>
    <w:rsid w:val="0095115E"/>
    <w:rsid w:val="0095118A"/>
    <w:rsid w:val="00952468"/>
    <w:rsid w:val="00952D21"/>
    <w:rsid w:val="00952E38"/>
    <w:rsid w:val="00953703"/>
    <w:rsid w:val="00954767"/>
    <w:rsid w:val="0095487A"/>
    <w:rsid w:val="009548FB"/>
    <w:rsid w:val="0095538B"/>
    <w:rsid w:val="00957053"/>
    <w:rsid w:val="00957AF7"/>
    <w:rsid w:val="00957FE0"/>
    <w:rsid w:val="00960ACA"/>
    <w:rsid w:val="00960B6F"/>
    <w:rsid w:val="00960C4F"/>
    <w:rsid w:val="009617FE"/>
    <w:rsid w:val="009619C0"/>
    <w:rsid w:val="00961B35"/>
    <w:rsid w:val="0096217C"/>
    <w:rsid w:val="0096225D"/>
    <w:rsid w:val="00962441"/>
    <w:rsid w:val="00962866"/>
    <w:rsid w:val="00962B17"/>
    <w:rsid w:val="00962C66"/>
    <w:rsid w:val="00963277"/>
    <w:rsid w:val="00963BF0"/>
    <w:rsid w:val="00963D15"/>
    <w:rsid w:val="00963E84"/>
    <w:rsid w:val="00964B53"/>
    <w:rsid w:val="00964C3F"/>
    <w:rsid w:val="00964C6C"/>
    <w:rsid w:val="00965176"/>
    <w:rsid w:val="00965240"/>
    <w:rsid w:val="00965430"/>
    <w:rsid w:val="00965847"/>
    <w:rsid w:val="00965A3E"/>
    <w:rsid w:val="00965C48"/>
    <w:rsid w:val="00966B36"/>
    <w:rsid w:val="00966D9D"/>
    <w:rsid w:val="00966DF9"/>
    <w:rsid w:val="00966E4A"/>
    <w:rsid w:val="00967041"/>
    <w:rsid w:val="0096792A"/>
    <w:rsid w:val="00970918"/>
    <w:rsid w:val="0097099E"/>
    <w:rsid w:val="009710CD"/>
    <w:rsid w:val="00971761"/>
    <w:rsid w:val="00971D53"/>
    <w:rsid w:val="00971DEE"/>
    <w:rsid w:val="00972080"/>
    <w:rsid w:val="0097216F"/>
    <w:rsid w:val="00972C3B"/>
    <w:rsid w:val="00973057"/>
    <w:rsid w:val="009731C7"/>
    <w:rsid w:val="00974B2F"/>
    <w:rsid w:val="00974D50"/>
    <w:rsid w:val="009751AF"/>
    <w:rsid w:val="00975326"/>
    <w:rsid w:val="00975DEA"/>
    <w:rsid w:val="00977CDF"/>
    <w:rsid w:val="00977E39"/>
    <w:rsid w:val="0098043A"/>
    <w:rsid w:val="0098043F"/>
    <w:rsid w:val="00981038"/>
    <w:rsid w:val="0098106E"/>
    <w:rsid w:val="0098133F"/>
    <w:rsid w:val="00981511"/>
    <w:rsid w:val="00981691"/>
    <w:rsid w:val="00981858"/>
    <w:rsid w:val="00981D1C"/>
    <w:rsid w:val="00981E1C"/>
    <w:rsid w:val="00982118"/>
    <w:rsid w:val="00982A86"/>
    <w:rsid w:val="00982C62"/>
    <w:rsid w:val="00982C91"/>
    <w:rsid w:val="00982F76"/>
    <w:rsid w:val="00982FA3"/>
    <w:rsid w:val="009838F9"/>
    <w:rsid w:val="009840FD"/>
    <w:rsid w:val="009843BB"/>
    <w:rsid w:val="00984701"/>
    <w:rsid w:val="00984731"/>
    <w:rsid w:val="00984847"/>
    <w:rsid w:val="00984BEC"/>
    <w:rsid w:val="0098544D"/>
    <w:rsid w:val="00985EB8"/>
    <w:rsid w:val="00985FB3"/>
    <w:rsid w:val="00986566"/>
    <w:rsid w:val="00986CC1"/>
    <w:rsid w:val="00986F4E"/>
    <w:rsid w:val="0098717F"/>
    <w:rsid w:val="00987191"/>
    <w:rsid w:val="00987A5A"/>
    <w:rsid w:val="00987CB4"/>
    <w:rsid w:val="0099002B"/>
    <w:rsid w:val="0099097E"/>
    <w:rsid w:val="009910C5"/>
    <w:rsid w:val="009921FC"/>
    <w:rsid w:val="0099272B"/>
    <w:rsid w:val="00992868"/>
    <w:rsid w:val="00992A0E"/>
    <w:rsid w:val="009931F1"/>
    <w:rsid w:val="0099399E"/>
    <w:rsid w:val="00993A52"/>
    <w:rsid w:val="00993DF0"/>
    <w:rsid w:val="0099413C"/>
    <w:rsid w:val="00994230"/>
    <w:rsid w:val="0099479E"/>
    <w:rsid w:val="00994863"/>
    <w:rsid w:val="009951D8"/>
    <w:rsid w:val="0099528A"/>
    <w:rsid w:val="00995355"/>
    <w:rsid w:val="009955E7"/>
    <w:rsid w:val="0099586F"/>
    <w:rsid w:val="00995891"/>
    <w:rsid w:val="0099719E"/>
    <w:rsid w:val="009972A6"/>
    <w:rsid w:val="00997D02"/>
    <w:rsid w:val="00997DA8"/>
    <w:rsid w:val="009A0169"/>
    <w:rsid w:val="009A1323"/>
    <w:rsid w:val="009A18C7"/>
    <w:rsid w:val="009A1B56"/>
    <w:rsid w:val="009A22CC"/>
    <w:rsid w:val="009A2B6E"/>
    <w:rsid w:val="009A2E68"/>
    <w:rsid w:val="009A316C"/>
    <w:rsid w:val="009A322D"/>
    <w:rsid w:val="009A3B32"/>
    <w:rsid w:val="009A3B5E"/>
    <w:rsid w:val="009A3C54"/>
    <w:rsid w:val="009A3C93"/>
    <w:rsid w:val="009A3F3A"/>
    <w:rsid w:val="009A3FD0"/>
    <w:rsid w:val="009A51C7"/>
    <w:rsid w:val="009A59EC"/>
    <w:rsid w:val="009A5C56"/>
    <w:rsid w:val="009A5CA8"/>
    <w:rsid w:val="009A6A0A"/>
    <w:rsid w:val="009A6ED0"/>
    <w:rsid w:val="009A706A"/>
    <w:rsid w:val="009A71AB"/>
    <w:rsid w:val="009A75C0"/>
    <w:rsid w:val="009A7745"/>
    <w:rsid w:val="009A7C3D"/>
    <w:rsid w:val="009A7C69"/>
    <w:rsid w:val="009B0156"/>
    <w:rsid w:val="009B0295"/>
    <w:rsid w:val="009B05BA"/>
    <w:rsid w:val="009B185D"/>
    <w:rsid w:val="009B197D"/>
    <w:rsid w:val="009B1B0E"/>
    <w:rsid w:val="009B2596"/>
    <w:rsid w:val="009B275A"/>
    <w:rsid w:val="009B42B6"/>
    <w:rsid w:val="009B42CC"/>
    <w:rsid w:val="009B43D6"/>
    <w:rsid w:val="009B4400"/>
    <w:rsid w:val="009B460C"/>
    <w:rsid w:val="009B4A7D"/>
    <w:rsid w:val="009B4AE9"/>
    <w:rsid w:val="009B503E"/>
    <w:rsid w:val="009B5081"/>
    <w:rsid w:val="009B543F"/>
    <w:rsid w:val="009B5DD7"/>
    <w:rsid w:val="009B6985"/>
    <w:rsid w:val="009B69B3"/>
    <w:rsid w:val="009B7011"/>
    <w:rsid w:val="009B71E4"/>
    <w:rsid w:val="009C04EE"/>
    <w:rsid w:val="009C0CD4"/>
    <w:rsid w:val="009C0D79"/>
    <w:rsid w:val="009C15E7"/>
    <w:rsid w:val="009C17C8"/>
    <w:rsid w:val="009C2462"/>
    <w:rsid w:val="009C2BFE"/>
    <w:rsid w:val="009C2D18"/>
    <w:rsid w:val="009C385B"/>
    <w:rsid w:val="009C3E3C"/>
    <w:rsid w:val="009C4353"/>
    <w:rsid w:val="009C49C2"/>
    <w:rsid w:val="009C4E2D"/>
    <w:rsid w:val="009C5FC9"/>
    <w:rsid w:val="009C6239"/>
    <w:rsid w:val="009C62C0"/>
    <w:rsid w:val="009C69B5"/>
    <w:rsid w:val="009C6A88"/>
    <w:rsid w:val="009C70DE"/>
    <w:rsid w:val="009C765D"/>
    <w:rsid w:val="009C7ADA"/>
    <w:rsid w:val="009D000A"/>
    <w:rsid w:val="009D01F3"/>
    <w:rsid w:val="009D13B5"/>
    <w:rsid w:val="009D18BE"/>
    <w:rsid w:val="009D1A86"/>
    <w:rsid w:val="009D1E12"/>
    <w:rsid w:val="009D2DA9"/>
    <w:rsid w:val="009D2E93"/>
    <w:rsid w:val="009D2EA9"/>
    <w:rsid w:val="009D3038"/>
    <w:rsid w:val="009D34C0"/>
    <w:rsid w:val="009D35FB"/>
    <w:rsid w:val="009D4568"/>
    <w:rsid w:val="009D4682"/>
    <w:rsid w:val="009D4BBE"/>
    <w:rsid w:val="009D4E16"/>
    <w:rsid w:val="009D5323"/>
    <w:rsid w:val="009D567E"/>
    <w:rsid w:val="009D5893"/>
    <w:rsid w:val="009D5D8B"/>
    <w:rsid w:val="009D60C8"/>
    <w:rsid w:val="009D6620"/>
    <w:rsid w:val="009D6C54"/>
    <w:rsid w:val="009D6E40"/>
    <w:rsid w:val="009D72B0"/>
    <w:rsid w:val="009D77CE"/>
    <w:rsid w:val="009D7C75"/>
    <w:rsid w:val="009D7DE3"/>
    <w:rsid w:val="009E004A"/>
    <w:rsid w:val="009E066B"/>
    <w:rsid w:val="009E10CA"/>
    <w:rsid w:val="009E1515"/>
    <w:rsid w:val="009E1B03"/>
    <w:rsid w:val="009E1CFF"/>
    <w:rsid w:val="009E1FEE"/>
    <w:rsid w:val="009E23EA"/>
    <w:rsid w:val="009E2D24"/>
    <w:rsid w:val="009E2EA0"/>
    <w:rsid w:val="009E305F"/>
    <w:rsid w:val="009E3413"/>
    <w:rsid w:val="009E363F"/>
    <w:rsid w:val="009E36FF"/>
    <w:rsid w:val="009E377A"/>
    <w:rsid w:val="009E37D3"/>
    <w:rsid w:val="009E3CA2"/>
    <w:rsid w:val="009E5028"/>
    <w:rsid w:val="009E50FB"/>
    <w:rsid w:val="009E5280"/>
    <w:rsid w:val="009E5386"/>
    <w:rsid w:val="009E5796"/>
    <w:rsid w:val="009E5897"/>
    <w:rsid w:val="009E5DD1"/>
    <w:rsid w:val="009E60AD"/>
    <w:rsid w:val="009E68C8"/>
    <w:rsid w:val="009E6AB5"/>
    <w:rsid w:val="009E6DAB"/>
    <w:rsid w:val="009E6F4B"/>
    <w:rsid w:val="009E703C"/>
    <w:rsid w:val="009E7E4C"/>
    <w:rsid w:val="009F08F5"/>
    <w:rsid w:val="009F0956"/>
    <w:rsid w:val="009F0EE5"/>
    <w:rsid w:val="009F1264"/>
    <w:rsid w:val="009F245B"/>
    <w:rsid w:val="009F24EF"/>
    <w:rsid w:val="009F25E6"/>
    <w:rsid w:val="009F2B1C"/>
    <w:rsid w:val="009F2BE8"/>
    <w:rsid w:val="009F2F09"/>
    <w:rsid w:val="009F39A7"/>
    <w:rsid w:val="009F40B7"/>
    <w:rsid w:val="009F4188"/>
    <w:rsid w:val="009F4302"/>
    <w:rsid w:val="009F4393"/>
    <w:rsid w:val="009F43CC"/>
    <w:rsid w:val="009F46AC"/>
    <w:rsid w:val="009F4BE9"/>
    <w:rsid w:val="009F4FD6"/>
    <w:rsid w:val="009F5EF1"/>
    <w:rsid w:val="009F5FDA"/>
    <w:rsid w:val="009F62D3"/>
    <w:rsid w:val="009F6C11"/>
    <w:rsid w:val="009F77B9"/>
    <w:rsid w:val="00A00112"/>
    <w:rsid w:val="00A008B5"/>
    <w:rsid w:val="00A01420"/>
    <w:rsid w:val="00A017B4"/>
    <w:rsid w:val="00A01C53"/>
    <w:rsid w:val="00A01D38"/>
    <w:rsid w:val="00A02414"/>
    <w:rsid w:val="00A024FB"/>
    <w:rsid w:val="00A025B9"/>
    <w:rsid w:val="00A0355C"/>
    <w:rsid w:val="00A03A13"/>
    <w:rsid w:val="00A03D7D"/>
    <w:rsid w:val="00A040CD"/>
    <w:rsid w:val="00A042AA"/>
    <w:rsid w:val="00A04429"/>
    <w:rsid w:val="00A05815"/>
    <w:rsid w:val="00A06446"/>
    <w:rsid w:val="00A0664E"/>
    <w:rsid w:val="00A06697"/>
    <w:rsid w:val="00A06C40"/>
    <w:rsid w:val="00A07DE9"/>
    <w:rsid w:val="00A10586"/>
    <w:rsid w:val="00A106ED"/>
    <w:rsid w:val="00A10A48"/>
    <w:rsid w:val="00A110DA"/>
    <w:rsid w:val="00A1132B"/>
    <w:rsid w:val="00A11456"/>
    <w:rsid w:val="00A11930"/>
    <w:rsid w:val="00A11B54"/>
    <w:rsid w:val="00A11CDC"/>
    <w:rsid w:val="00A1238C"/>
    <w:rsid w:val="00A1263D"/>
    <w:rsid w:val="00A12AF2"/>
    <w:rsid w:val="00A12D8A"/>
    <w:rsid w:val="00A12E6C"/>
    <w:rsid w:val="00A136D0"/>
    <w:rsid w:val="00A13D1A"/>
    <w:rsid w:val="00A14DC2"/>
    <w:rsid w:val="00A14DD6"/>
    <w:rsid w:val="00A15265"/>
    <w:rsid w:val="00A15D5E"/>
    <w:rsid w:val="00A161F8"/>
    <w:rsid w:val="00A1622B"/>
    <w:rsid w:val="00A169FA"/>
    <w:rsid w:val="00A16A3B"/>
    <w:rsid w:val="00A1766A"/>
    <w:rsid w:val="00A17CF3"/>
    <w:rsid w:val="00A200F4"/>
    <w:rsid w:val="00A2031D"/>
    <w:rsid w:val="00A206C9"/>
    <w:rsid w:val="00A20C27"/>
    <w:rsid w:val="00A20E7D"/>
    <w:rsid w:val="00A216BC"/>
    <w:rsid w:val="00A21FB6"/>
    <w:rsid w:val="00A2229D"/>
    <w:rsid w:val="00A2289E"/>
    <w:rsid w:val="00A22B04"/>
    <w:rsid w:val="00A23931"/>
    <w:rsid w:val="00A23FD6"/>
    <w:rsid w:val="00A2438B"/>
    <w:rsid w:val="00A25317"/>
    <w:rsid w:val="00A25706"/>
    <w:rsid w:val="00A25A3D"/>
    <w:rsid w:val="00A25D84"/>
    <w:rsid w:val="00A26029"/>
    <w:rsid w:val="00A262E4"/>
    <w:rsid w:val="00A266B4"/>
    <w:rsid w:val="00A268EA"/>
    <w:rsid w:val="00A26F1F"/>
    <w:rsid w:val="00A26F4A"/>
    <w:rsid w:val="00A30E1E"/>
    <w:rsid w:val="00A30F0B"/>
    <w:rsid w:val="00A31189"/>
    <w:rsid w:val="00A31CE0"/>
    <w:rsid w:val="00A31FA9"/>
    <w:rsid w:val="00A3216B"/>
    <w:rsid w:val="00A321E5"/>
    <w:rsid w:val="00A32201"/>
    <w:rsid w:val="00A32AED"/>
    <w:rsid w:val="00A32B06"/>
    <w:rsid w:val="00A333BF"/>
    <w:rsid w:val="00A33825"/>
    <w:rsid w:val="00A3398F"/>
    <w:rsid w:val="00A348E6"/>
    <w:rsid w:val="00A35583"/>
    <w:rsid w:val="00A355FA"/>
    <w:rsid w:val="00A35B3E"/>
    <w:rsid w:val="00A363EF"/>
    <w:rsid w:val="00A36641"/>
    <w:rsid w:val="00A36DFE"/>
    <w:rsid w:val="00A370FD"/>
    <w:rsid w:val="00A3710E"/>
    <w:rsid w:val="00A3798C"/>
    <w:rsid w:val="00A37B54"/>
    <w:rsid w:val="00A37BA8"/>
    <w:rsid w:val="00A37DD9"/>
    <w:rsid w:val="00A40ED7"/>
    <w:rsid w:val="00A40F83"/>
    <w:rsid w:val="00A412BA"/>
    <w:rsid w:val="00A41416"/>
    <w:rsid w:val="00A4200D"/>
    <w:rsid w:val="00A424BF"/>
    <w:rsid w:val="00A4258E"/>
    <w:rsid w:val="00A42798"/>
    <w:rsid w:val="00A42947"/>
    <w:rsid w:val="00A432D1"/>
    <w:rsid w:val="00A43716"/>
    <w:rsid w:val="00A442C5"/>
    <w:rsid w:val="00A44712"/>
    <w:rsid w:val="00A4477A"/>
    <w:rsid w:val="00A44AF5"/>
    <w:rsid w:val="00A44B8B"/>
    <w:rsid w:val="00A44F97"/>
    <w:rsid w:val="00A45EC4"/>
    <w:rsid w:val="00A4600C"/>
    <w:rsid w:val="00A468CA"/>
    <w:rsid w:val="00A47212"/>
    <w:rsid w:val="00A47321"/>
    <w:rsid w:val="00A474EA"/>
    <w:rsid w:val="00A477EA"/>
    <w:rsid w:val="00A501B2"/>
    <w:rsid w:val="00A5034A"/>
    <w:rsid w:val="00A505C9"/>
    <w:rsid w:val="00A50FFA"/>
    <w:rsid w:val="00A52654"/>
    <w:rsid w:val="00A52698"/>
    <w:rsid w:val="00A52B87"/>
    <w:rsid w:val="00A539D1"/>
    <w:rsid w:val="00A53ECE"/>
    <w:rsid w:val="00A54922"/>
    <w:rsid w:val="00A54988"/>
    <w:rsid w:val="00A54DAE"/>
    <w:rsid w:val="00A558C8"/>
    <w:rsid w:val="00A5635D"/>
    <w:rsid w:val="00A564CB"/>
    <w:rsid w:val="00A56D3B"/>
    <w:rsid w:val="00A57450"/>
    <w:rsid w:val="00A57479"/>
    <w:rsid w:val="00A57C08"/>
    <w:rsid w:val="00A57CAB"/>
    <w:rsid w:val="00A600D9"/>
    <w:rsid w:val="00A602F3"/>
    <w:rsid w:val="00A604CD"/>
    <w:rsid w:val="00A6066D"/>
    <w:rsid w:val="00A609CD"/>
    <w:rsid w:val="00A60F3B"/>
    <w:rsid w:val="00A625E1"/>
    <w:rsid w:val="00A62ED9"/>
    <w:rsid w:val="00A6341D"/>
    <w:rsid w:val="00A637A0"/>
    <w:rsid w:val="00A63ECD"/>
    <w:rsid w:val="00A64093"/>
    <w:rsid w:val="00A640EB"/>
    <w:rsid w:val="00A6436F"/>
    <w:rsid w:val="00A643B0"/>
    <w:rsid w:val="00A64815"/>
    <w:rsid w:val="00A65043"/>
    <w:rsid w:val="00A6526A"/>
    <w:rsid w:val="00A66DF9"/>
    <w:rsid w:val="00A66F2C"/>
    <w:rsid w:val="00A67967"/>
    <w:rsid w:val="00A704E4"/>
    <w:rsid w:val="00A70524"/>
    <w:rsid w:val="00A7082E"/>
    <w:rsid w:val="00A70E23"/>
    <w:rsid w:val="00A71355"/>
    <w:rsid w:val="00A7136A"/>
    <w:rsid w:val="00A71614"/>
    <w:rsid w:val="00A71C44"/>
    <w:rsid w:val="00A71C84"/>
    <w:rsid w:val="00A72296"/>
    <w:rsid w:val="00A7388E"/>
    <w:rsid w:val="00A74282"/>
    <w:rsid w:val="00A74544"/>
    <w:rsid w:val="00A74548"/>
    <w:rsid w:val="00A74DF2"/>
    <w:rsid w:val="00A74E4D"/>
    <w:rsid w:val="00A75449"/>
    <w:rsid w:val="00A75596"/>
    <w:rsid w:val="00A7592E"/>
    <w:rsid w:val="00A766E9"/>
    <w:rsid w:val="00A76C1F"/>
    <w:rsid w:val="00A77402"/>
    <w:rsid w:val="00A77ED1"/>
    <w:rsid w:val="00A803FC"/>
    <w:rsid w:val="00A8067D"/>
    <w:rsid w:val="00A8071A"/>
    <w:rsid w:val="00A80DD9"/>
    <w:rsid w:val="00A80FCA"/>
    <w:rsid w:val="00A81CBC"/>
    <w:rsid w:val="00A81E00"/>
    <w:rsid w:val="00A82506"/>
    <w:rsid w:val="00A828F8"/>
    <w:rsid w:val="00A8312B"/>
    <w:rsid w:val="00A835F6"/>
    <w:rsid w:val="00A837CE"/>
    <w:rsid w:val="00A83DB5"/>
    <w:rsid w:val="00A83FBA"/>
    <w:rsid w:val="00A84636"/>
    <w:rsid w:val="00A84CEB"/>
    <w:rsid w:val="00A84FE1"/>
    <w:rsid w:val="00A85080"/>
    <w:rsid w:val="00A86406"/>
    <w:rsid w:val="00A8640A"/>
    <w:rsid w:val="00A8675C"/>
    <w:rsid w:val="00A86853"/>
    <w:rsid w:val="00A86B75"/>
    <w:rsid w:val="00A86E75"/>
    <w:rsid w:val="00A86F33"/>
    <w:rsid w:val="00A875FB"/>
    <w:rsid w:val="00A87726"/>
    <w:rsid w:val="00A8795A"/>
    <w:rsid w:val="00A87A22"/>
    <w:rsid w:val="00A87F38"/>
    <w:rsid w:val="00A9065F"/>
    <w:rsid w:val="00A90B0E"/>
    <w:rsid w:val="00A91AA1"/>
    <w:rsid w:val="00A91C8C"/>
    <w:rsid w:val="00A91F0D"/>
    <w:rsid w:val="00A9230E"/>
    <w:rsid w:val="00A9235A"/>
    <w:rsid w:val="00A92FF7"/>
    <w:rsid w:val="00A93069"/>
    <w:rsid w:val="00A93193"/>
    <w:rsid w:val="00A93DDE"/>
    <w:rsid w:val="00A9468F"/>
    <w:rsid w:val="00A9498D"/>
    <w:rsid w:val="00A9510F"/>
    <w:rsid w:val="00A95335"/>
    <w:rsid w:val="00A9563C"/>
    <w:rsid w:val="00A9566B"/>
    <w:rsid w:val="00A95952"/>
    <w:rsid w:val="00A96219"/>
    <w:rsid w:val="00A9657F"/>
    <w:rsid w:val="00A97045"/>
    <w:rsid w:val="00A9797D"/>
    <w:rsid w:val="00AA015F"/>
    <w:rsid w:val="00AA0C3A"/>
    <w:rsid w:val="00AA0E72"/>
    <w:rsid w:val="00AA11C0"/>
    <w:rsid w:val="00AA1572"/>
    <w:rsid w:val="00AA1723"/>
    <w:rsid w:val="00AA190D"/>
    <w:rsid w:val="00AA1F65"/>
    <w:rsid w:val="00AA1FDD"/>
    <w:rsid w:val="00AA22C3"/>
    <w:rsid w:val="00AA230D"/>
    <w:rsid w:val="00AA3005"/>
    <w:rsid w:val="00AA3BBB"/>
    <w:rsid w:val="00AA4072"/>
    <w:rsid w:val="00AA4896"/>
    <w:rsid w:val="00AA4941"/>
    <w:rsid w:val="00AA49E9"/>
    <w:rsid w:val="00AA5475"/>
    <w:rsid w:val="00AA5876"/>
    <w:rsid w:val="00AA587E"/>
    <w:rsid w:val="00AA5BEF"/>
    <w:rsid w:val="00AA6311"/>
    <w:rsid w:val="00AA6A8A"/>
    <w:rsid w:val="00AA6DD8"/>
    <w:rsid w:val="00AA6FA3"/>
    <w:rsid w:val="00AA70BB"/>
    <w:rsid w:val="00AA7181"/>
    <w:rsid w:val="00AA757C"/>
    <w:rsid w:val="00AA760C"/>
    <w:rsid w:val="00AA7F10"/>
    <w:rsid w:val="00AA7F5B"/>
    <w:rsid w:val="00AB003D"/>
    <w:rsid w:val="00AB0391"/>
    <w:rsid w:val="00AB05DB"/>
    <w:rsid w:val="00AB0624"/>
    <w:rsid w:val="00AB0B9A"/>
    <w:rsid w:val="00AB0F68"/>
    <w:rsid w:val="00AB2151"/>
    <w:rsid w:val="00AB2502"/>
    <w:rsid w:val="00AB2C59"/>
    <w:rsid w:val="00AB2C8A"/>
    <w:rsid w:val="00AB2F7A"/>
    <w:rsid w:val="00AB3640"/>
    <w:rsid w:val="00AB3DF5"/>
    <w:rsid w:val="00AB42B6"/>
    <w:rsid w:val="00AB4D67"/>
    <w:rsid w:val="00AB545D"/>
    <w:rsid w:val="00AB54D7"/>
    <w:rsid w:val="00AB57D3"/>
    <w:rsid w:val="00AB6687"/>
    <w:rsid w:val="00AB6886"/>
    <w:rsid w:val="00AB6AE4"/>
    <w:rsid w:val="00AB6E00"/>
    <w:rsid w:val="00AB6F37"/>
    <w:rsid w:val="00AB769E"/>
    <w:rsid w:val="00AB7BD9"/>
    <w:rsid w:val="00AB7D55"/>
    <w:rsid w:val="00AB7E5A"/>
    <w:rsid w:val="00AC0681"/>
    <w:rsid w:val="00AC154B"/>
    <w:rsid w:val="00AC1B72"/>
    <w:rsid w:val="00AC26FE"/>
    <w:rsid w:val="00AC350D"/>
    <w:rsid w:val="00AC3568"/>
    <w:rsid w:val="00AC3CF2"/>
    <w:rsid w:val="00AC403F"/>
    <w:rsid w:val="00AC47EC"/>
    <w:rsid w:val="00AC4E5D"/>
    <w:rsid w:val="00AC4F99"/>
    <w:rsid w:val="00AC5740"/>
    <w:rsid w:val="00AC5A73"/>
    <w:rsid w:val="00AC5CC5"/>
    <w:rsid w:val="00AC6C53"/>
    <w:rsid w:val="00AC6E85"/>
    <w:rsid w:val="00AC7284"/>
    <w:rsid w:val="00AC7CE6"/>
    <w:rsid w:val="00AD0828"/>
    <w:rsid w:val="00AD0B13"/>
    <w:rsid w:val="00AD0E69"/>
    <w:rsid w:val="00AD103D"/>
    <w:rsid w:val="00AD153B"/>
    <w:rsid w:val="00AD159C"/>
    <w:rsid w:val="00AD15C7"/>
    <w:rsid w:val="00AD17FA"/>
    <w:rsid w:val="00AD19EC"/>
    <w:rsid w:val="00AD2615"/>
    <w:rsid w:val="00AD2717"/>
    <w:rsid w:val="00AD29FD"/>
    <w:rsid w:val="00AD2B93"/>
    <w:rsid w:val="00AD3A1C"/>
    <w:rsid w:val="00AD3DC4"/>
    <w:rsid w:val="00AD3F8B"/>
    <w:rsid w:val="00AD3FB1"/>
    <w:rsid w:val="00AD41C4"/>
    <w:rsid w:val="00AD4A1C"/>
    <w:rsid w:val="00AD4FF4"/>
    <w:rsid w:val="00AD531D"/>
    <w:rsid w:val="00AD5335"/>
    <w:rsid w:val="00AD5A9F"/>
    <w:rsid w:val="00AD5B3C"/>
    <w:rsid w:val="00AD5C36"/>
    <w:rsid w:val="00AD600C"/>
    <w:rsid w:val="00AD63D6"/>
    <w:rsid w:val="00AD67BF"/>
    <w:rsid w:val="00AD6CD5"/>
    <w:rsid w:val="00AD72E7"/>
    <w:rsid w:val="00AD733B"/>
    <w:rsid w:val="00AD73DB"/>
    <w:rsid w:val="00AD7CA7"/>
    <w:rsid w:val="00AE0040"/>
    <w:rsid w:val="00AE05DE"/>
    <w:rsid w:val="00AE0A35"/>
    <w:rsid w:val="00AE0E1F"/>
    <w:rsid w:val="00AE184D"/>
    <w:rsid w:val="00AE1C03"/>
    <w:rsid w:val="00AE23E3"/>
    <w:rsid w:val="00AE2F65"/>
    <w:rsid w:val="00AE317E"/>
    <w:rsid w:val="00AE35A5"/>
    <w:rsid w:val="00AE3878"/>
    <w:rsid w:val="00AE3AE7"/>
    <w:rsid w:val="00AE40B0"/>
    <w:rsid w:val="00AE4E2A"/>
    <w:rsid w:val="00AE5CF9"/>
    <w:rsid w:val="00AE5D6B"/>
    <w:rsid w:val="00AE5DB6"/>
    <w:rsid w:val="00AE65FE"/>
    <w:rsid w:val="00AE6C3C"/>
    <w:rsid w:val="00AE702E"/>
    <w:rsid w:val="00AE7096"/>
    <w:rsid w:val="00AE73E0"/>
    <w:rsid w:val="00AF03C0"/>
    <w:rsid w:val="00AF0FFD"/>
    <w:rsid w:val="00AF166F"/>
    <w:rsid w:val="00AF1C03"/>
    <w:rsid w:val="00AF2353"/>
    <w:rsid w:val="00AF39AF"/>
    <w:rsid w:val="00AF3E3B"/>
    <w:rsid w:val="00AF3E5A"/>
    <w:rsid w:val="00AF4625"/>
    <w:rsid w:val="00AF46FE"/>
    <w:rsid w:val="00AF486F"/>
    <w:rsid w:val="00AF48F4"/>
    <w:rsid w:val="00AF4979"/>
    <w:rsid w:val="00AF5030"/>
    <w:rsid w:val="00AF548B"/>
    <w:rsid w:val="00AF55E0"/>
    <w:rsid w:val="00AF5662"/>
    <w:rsid w:val="00AF5666"/>
    <w:rsid w:val="00AF5870"/>
    <w:rsid w:val="00AF588B"/>
    <w:rsid w:val="00AF6619"/>
    <w:rsid w:val="00AF6CFD"/>
    <w:rsid w:val="00AF79C1"/>
    <w:rsid w:val="00AF7DC1"/>
    <w:rsid w:val="00B0001D"/>
    <w:rsid w:val="00B000AE"/>
    <w:rsid w:val="00B0040B"/>
    <w:rsid w:val="00B00830"/>
    <w:rsid w:val="00B00AB5"/>
    <w:rsid w:val="00B00CC0"/>
    <w:rsid w:val="00B00F5C"/>
    <w:rsid w:val="00B00F6A"/>
    <w:rsid w:val="00B018B7"/>
    <w:rsid w:val="00B019C1"/>
    <w:rsid w:val="00B0229A"/>
    <w:rsid w:val="00B0236E"/>
    <w:rsid w:val="00B024BC"/>
    <w:rsid w:val="00B02506"/>
    <w:rsid w:val="00B02ACE"/>
    <w:rsid w:val="00B02F80"/>
    <w:rsid w:val="00B030FC"/>
    <w:rsid w:val="00B0327E"/>
    <w:rsid w:val="00B03913"/>
    <w:rsid w:val="00B04CEA"/>
    <w:rsid w:val="00B05607"/>
    <w:rsid w:val="00B056B1"/>
    <w:rsid w:val="00B05A08"/>
    <w:rsid w:val="00B05DE1"/>
    <w:rsid w:val="00B05F14"/>
    <w:rsid w:val="00B06737"/>
    <w:rsid w:val="00B069D0"/>
    <w:rsid w:val="00B06EBC"/>
    <w:rsid w:val="00B06FDB"/>
    <w:rsid w:val="00B07244"/>
    <w:rsid w:val="00B0784C"/>
    <w:rsid w:val="00B07CE9"/>
    <w:rsid w:val="00B07EA2"/>
    <w:rsid w:val="00B101D5"/>
    <w:rsid w:val="00B10633"/>
    <w:rsid w:val="00B10B08"/>
    <w:rsid w:val="00B11A78"/>
    <w:rsid w:val="00B11A98"/>
    <w:rsid w:val="00B11C42"/>
    <w:rsid w:val="00B11CFB"/>
    <w:rsid w:val="00B12111"/>
    <w:rsid w:val="00B121E0"/>
    <w:rsid w:val="00B125C9"/>
    <w:rsid w:val="00B12A8E"/>
    <w:rsid w:val="00B12F46"/>
    <w:rsid w:val="00B1385E"/>
    <w:rsid w:val="00B13E18"/>
    <w:rsid w:val="00B14109"/>
    <w:rsid w:val="00B141E4"/>
    <w:rsid w:val="00B14410"/>
    <w:rsid w:val="00B146C1"/>
    <w:rsid w:val="00B1486D"/>
    <w:rsid w:val="00B150D6"/>
    <w:rsid w:val="00B15373"/>
    <w:rsid w:val="00B1560A"/>
    <w:rsid w:val="00B15639"/>
    <w:rsid w:val="00B1595D"/>
    <w:rsid w:val="00B15B95"/>
    <w:rsid w:val="00B15D15"/>
    <w:rsid w:val="00B15E42"/>
    <w:rsid w:val="00B15EEE"/>
    <w:rsid w:val="00B15FDB"/>
    <w:rsid w:val="00B16198"/>
    <w:rsid w:val="00B16313"/>
    <w:rsid w:val="00B1673B"/>
    <w:rsid w:val="00B16A2C"/>
    <w:rsid w:val="00B16FB6"/>
    <w:rsid w:val="00B17022"/>
    <w:rsid w:val="00B17CC5"/>
    <w:rsid w:val="00B2046B"/>
    <w:rsid w:val="00B210E2"/>
    <w:rsid w:val="00B21736"/>
    <w:rsid w:val="00B218B1"/>
    <w:rsid w:val="00B21A33"/>
    <w:rsid w:val="00B2217C"/>
    <w:rsid w:val="00B224AA"/>
    <w:rsid w:val="00B22998"/>
    <w:rsid w:val="00B229FE"/>
    <w:rsid w:val="00B2302B"/>
    <w:rsid w:val="00B235D9"/>
    <w:rsid w:val="00B24363"/>
    <w:rsid w:val="00B2456E"/>
    <w:rsid w:val="00B24979"/>
    <w:rsid w:val="00B24D16"/>
    <w:rsid w:val="00B250A5"/>
    <w:rsid w:val="00B25651"/>
    <w:rsid w:val="00B26914"/>
    <w:rsid w:val="00B26937"/>
    <w:rsid w:val="00B26DD1"/>
    <w:rsid w:val="00B30243"/>
    <w:rsid w:val="00B30421"/>
    <w:rsid w:val="00B30888"/>
    <w:rsid w:val="00B30DC8"/>
    <w:rsid w:val="00B315BB"/>
    <w:rsid w:val="00B31635"/>
    <w:rsid w:val="00B31977"/>
    <w:rsid w:val="00B31A8E"/>
    <w:rsid w:val="00B3235A"/>
    <w:rsid w:val="00B32B1C"/>
    <w:rsid w:val="00B33382"/>
    <w:rsid w:val="00B333FE"/>
    <w:rsid w:val="00B336F3"/>
    <w:rsid w:val="00B3382B"/>
    <w:rsid w:val="00B345C2"/>
    <w:rsid w:val="00B34801"/>
    <w:rsid w:val="00B34DFC"/>
    <w:rsid w:val="00B35094"/>
    <w:rsid w:val="00B350F0"/>
    <w:rsid w:val="00B357AC"/>
    <w:rsid w:val="00B35992"/>
    <w:rsid w:val="00B35E4B"/>
    <w:rsid w:val="00B35FCC"/>
    <w:rsid w:val="00B3642A"/>
    <w:rsid w:val="00B36518"/>
    <w:rsid w:val="00B36918"/>
    <w:rsid w:val="00B378CC"/>
    <w:rsid w:val="00B37ABC"/>
    <w:rsid w:val="00B40552"/>
    <w:rsid w:val="00B41615"/>
    <w:rsid w:val="00B41FD8"/>
    <w:rsid w:val="00B420DF"/>
    <w:rsid w:val="00B4212D"/>
    <w:rsid w:val="00B422B1"/>
    <w:rsid w:val="00B4235A"/>
    <w:rsid w:val="00B428E2"/>
    <w:rsid w:val="00B42A2C"/>
    <w:rsid w:val="00B42A5C"/>
    <w:rsid w:val="00B42A98"/>
    <w:rsid w:val="00B42C64"/>
    <w:rsid w:val="00B43147"/>
    <w:rsid w:val="00B448EF"/>
    <w:rsid w:val="00B4523A"/>
    <w:rsid w:val="00B46A36"/>
    <w:rsid w:val="00B4707A"/>
    <w:rsid w:val="00B47493"/>
    <w:rsid w:val="00B474C8"/>
    <w:rsid w:val="00B474DF"/>
    <w:rsid w:val="00B47915"/>
    <w:rsid w:val="00B47AC5"/>
    <w:rsid w:val="00B47F91"/>
    <w:rsid w:val="00B50E18"/>
    <w:rsid w:val="00B51395"/>
    <w:rsid w:val="00B513A9"/>
    <w:rsid w:val="00B513E1"/>
    <w:rsid w:val="00B51568"/>
    <w:rsid w:val="00B51610"/>
    <w:rsid w:val="00B5167B"/>
    <w:rsid w:val="00B51BD4"/>
    <w:rsid w:val="00B520E3"/>
    <w:rsid w:val="00B52336"/>
    <w:rsid w:val="00B53213"/>
    <w:rsid w:val="00B5388C"/>
    <w:rsid w:val="00B554CA"/>
    <w:rsid w:val="00B55CED"/>
    <w:rsid w:val="00B55D57"/>
    <w:rsid w:val="00B55F80"/>
    <w:rsid w:val="00B56001"/>
    <w:rsid w:val="00B56480"/>
    <w:rsid w:val="00B565D6"/>
    <w:rsid w:val="00B576A4"/>
    <w:rsid w:val="00B57998"/>
    <w:rsid w:val="00B57CD0"/>
    <w:rsid w:val="00B57DA9"/>
    <w:rsid w:val="00B60177"/>
    <w:rsid w:val="00B60639"/>
    <w:rsid w:val="00B60712"/>
    <w:rsid w:val="00B60DA2"/>
    <w:rsid w:val="00B6213D"/>
    <w:rsid w:val="00B62BF4"/>
    <w:rsid w:val="00B62E92"/>
    <w:rsid w:val="00B6308E"/>
    <w:rsid w:val="00B63926"/>
    <w:rsid w:val="00B63D58"/>
    <w:rsid w:val="00B64598"/>
    <w:rsid w:val="00B64872"/>
    <w:rsid w:val="00B64E8A"/>
    <w:rsid w:val="00B65588"/>
    <w:rsid w:val="00B658D1"/>
    <w:rsid w:val="00B6592E"/>
    <w:rsid w:val="00B65B4C"/>
    <w:rsid w:val="00B66064"/>
    <w:rsid w:val="00B66995"/>
    <w:rsid w:val="00B671A1"/>
    <w:rsid w:val="00B675A6"/>
    <w:rsid w:val="00B677A6"/>
    <w:rsid w:val="00B6794D"/>
    <w:rsid w:val="00B67B55"/>
    <w:rsid w:val="00B67C6C"/>
    <w:rsid w:val="00B70C61"/>
    <w:rsid w:val="00B70E5A"/>
    <w:rsid w:val="00B7220D"/>
    <w:rsid w:val="00B7287F"/>
    <w:rsid w:val="00B72A73"/>
    <w:rsid w:val="00B73ABB"/>
    <w:rsid w:val="00B73ECE"/>
    <w:rsid w:val="00B742BC"/>
    <w:rsid w:val="00B749B6"/>
    <w:rsid w:val="00B74FB3"/>
    <w:rsid w:val="00B74FB5"/>
    <w:rsid w:val="00B7509A"/>
    <w:rsid w:val="00B75796"/>
    <w:rsid w:val="00B75864"/>
    <w:rsid w:val="00B75C78"/>
    <w:rsid w:val="00B7613E"/>
    <w:rsid w:val="00B766C1"/>
    <w:rsid w:val="00B768CC"/>
    <w:rsid w:val="00B76966"/>
    <w:rsid w:val="00B76B96"/>
    <w:rsid w:val="00B76E50"/>
    <w:rsid w:val="00B76EFB"/>
    <w:rsid w:val="00B77129"/>
    <w:rsid w:val="00B77C37"/>
    <w:rsid w:val="00B77DD6"/>
    <w:rsid w:val="00B8067A"/>
    <w:rsid w:val="00B807BF"/>
    <w:rsid w:val="00B809B1"/>
    <w:rsid w:val="00B80DF0"/>
    <w:rsid w:val="00B81B8D"/>
    <w:rsid w:val="00B82240"/>
    <w:rsid w:val="00B82543"/>
    <w:rsid w:val="00B8281C"/>
    <w:rsid w:val="00B82998"/>
    <w:rsid w:val="00B82B42"/>
    <w:rsid w:val="00B834B0"/>
    <w:rsid w:val="00B837F6"/>
    <w:rsid w:val="00B83DAE"/>
    <w:rsid w:val="00B8471E"/>
    <w:rsid w:val="00B84DC7"/>
    <w:rsid w:val="00B84FB4"/>
    <w:rsid w:val="00B857E3"/>
    <w:rsid w:val="00B86341"/>
    <w:rsid w:val="00B864B3"/>
    <w:rsid w:val="00B8756E"/>
    <w:rsid w:val="00B87978"/>
    <w:rsid w:val="00B87DF9"/>
    <w:rsid w:val="00B90026"/>
    <w:rsid w:val="00B91489"/>
    <w:rsid w:val="00B91951"/>
    <w:rsid w:val="00B91A58"/>
    <w:rsid w:val="00B91EAD"/>
    <w:rsid w:val="00B920B9"/>
    <w:rsid w:val="00B92343"/>
    <w:rsid w:val="00B930D2"/>
    <w:rsid w:val="00B933A0"/>
    <w:rsid w:val="00B937CD"/>
    <w:rsid w:val="00B938BC"/>
    <w:rsid w:val="00B93997"/>
    <w:rsid w:val="00B93C98"/>
    <w:rsid w:val="00B942E9"/>
    <w:rsid w:val="00B94683"/>
    <w:rsid w:val="00B94EA6"/>
    <w:rsid w:val="00B963B0"/>
    <w:rsid w:val="00B966CC"/>
    <w:rsid w:val="00B96CF0"/>
    <w:rsid w:val="00B976BB"/>
    <w:rsid w:val="00B97D3D"/>
    <w:rsid w:val="00BA01A7"/>
    <w:rsid w:val="00BA0224"/>
    <w:rsid w:val="00BA05C8"/>
    <w:rsid w:val="00BA09AA"/>
    <w:rsid w:val="00BA0AD5"/>
    <w:rsid w:val="00BA0CA0"/>
    <w:rsid w:val="00BA0E3C"/>
    <w:rsid w:val="00BA1F74"/>
    <w:rsid w:val="00BA1FE7"/>
    <w:rsid w:val="00BA2B1D"/>
    <w:rsid w:val="00BA2C28"/>
    <w:rsid w:val="00BA3D14"/>
    <w:rsid w:val="00BA4048"/>
    <w:rsid w:val="00BA435A"/>
    <w:rsid w:val="00BA4B64"/>
    <w:rsid w:val="00BA5114"/>
    <w:rsid w:val="00BA54BA"/>
    <w:rsid w:val="00BA5603"/>
    <w:rsid w:val="00BA56D9"/>
    <w:rsid w:val="00BA6194"/>
    <w:rsid w:val="00BA621C"/>
    <w:rsid w:val="00BA7082"/>
    <w:rsid w:val="00BA75AA"/>
    <w:rsid w:val="00BA7B89"/>
    <w:rsid w:val="00BA7EEE"/>
    <w:rsid w:val="00BB02B8"/>
    <w:rsid w:val="00BB0648"/>
    <w:rsid w:val="00BB0CD9"/>
    <w:rsid w:val="00BB1035"/>
    <w:rsid w:val="00BB1D9D"/>
    <w:rsid w:val="00BB1DD7"/>
    <w:rsid w:val="00BB2008"/>
    <w:rsid w:val="00BB22A7"/>
    <w:rsid w:val="00BB2713"/>
    <w:rsid w:val="00BB29DF"/>
    <w:rsid w:val="00BB2CFC"/>
    <w:rsid w:val="00BB3416"/>
    <w:rsid w:val="00BB34DC"/>
    <w:rsid w:val="00BB35D0"/>
    <w:rsid w:val="00BB37DC"/>
    <w:rsid w:val="00BB3987"/>
    <w:rsid w:val="00BB3AC4"/>
    <w:rsid w:val="00BB3BB3"/>
    <w:rsid w:val="00BB47A9"/>
    <w:rsid w:val="00BB4999"/>
    <w:rsid w:val="00BB4BCD"/>
    <w:rsid w:val="00BB4E55"/>
    <w:rsid w:val="00BB4FB2"/>
    <w:rsid w:val="00BB5405"/>
    <w:rsid w:val="00BB56C7"/>
    <w:rsid w:val="00BB5B62"/>
    <w:rsid w:val="00BB6502"/>
    <w:rsid w:val="00BB6BCD"/>
    <w:rsid w:val="00BB70F9"/>
    <w:rsid w:val="00BB782F"/>
    <w:rsid w:val="00BB7C9B"/>
    <w:rsid w:val="00BB7CE3"/>
    <w:rsid w:val="00BC1527"/>
    <w:rsid w:val="00BC2306"/>
    <w:rsid w:val="00BC294C"/>
    <w:rsid w:val="00BC2F31"/>
    <w:rsid w:val="00BC4036"/>
    <w:rsid w:val="00BC489C"/>
    <w:rsid w:val="00BC4F0A"/>
    <w:rsid w:val="00BC5079"/>
    <w:rsid w:val="00BC509F"/>
    <w:rsid w:val="00BC51D2"/>
    <w:rsid w:val="00BC5A0A"/>
    <w:rsid w:val="00BC5B25"/>
    <w:rsid w:val="00BC5C36"/>
    <w:rsid w:val="00BC64BE"/>
    <w:rsid w:val="00BC6DF4"/>
    <w:rsid w:val="00BC7155"/>
    <w:rsid w:val="00BC7550"/>
    <w:rsid w:val="00BD0177"/>
    <w:rsid w:val="00BD054E"/>
    <w:rsid w:val="00BD0B72"/>
    <w:rsid w:val="00BD2668"/>
    <w:rsid w:val="00BD3924"/>
    <w:rsid w:val="00BD3AAC"/>
    <w:rsid w:val="00BD3F96"/>
    <w:rsid w:val="00BD44EF"/>
    <w:rsid w:val="00BD450F"/>
    <w:rsid w:val="00BD4512"/>
    <w:rsid w:val="00BD4585"/>
    <w:rsid w:val="00BD52AA"/>
    <w:rsid w:val="00BD5FE4"/>
    <w:rsid w:val="00BD60E5"/>
    <w:rsid w:val="00BD77CD"/>
    <w:rsid w:val="00BD7B9A"/>
    <w:rsid w:val="00BE1061"/>
    <w:rsid w:val="00BE10DE"/>
    <w:rsid w:val="00BE1321"/>
    <w:rsid w:val="00BE2893"/>
    <w:rsid w:val="00BE2B54"/>
    <w:rsid w:val="00BE2EB4"/>
    <w:rsid w:val="00BE2F5A"/>
    <w:rsid w:val="00BE3078"/>
    <w:rsid w:val="00BE37D3"/>
    <w:rsid w:val="00BE46B7"/>
    <w:rsid w:val="00BE4970"/>
    <w:rsid w:val="00BE522A"/>
    <w:rsid w:val="00BE57B5"/>
    <w:rsid w:val="00BE5EB1"/>
    <w:rsid w:val="00BE6982"/>
    <w:rsid w:val="00BE712F"/>
    <w:rsid w:val="00BE7A7C"/>
    <w:rsid w:val="00BF0354"/>
    <w:rsid w:val="00BF0A2D"/>
    <w:rsid w:val="00BF0A44"/>
    <w:rsid w:val="00BF0CEC"/>
    <w:rsid w:val="00BF1264"/>
    <w:rsid w:val="00BF1A44"/>
    <w:rsid w:val="00BF1EDF"/>
    <w:rsid w:val="00BF1FED"/>
    <w:rsid w:val="00BF43DE"/>
    <w:rsid w:val="00BF4D3D"/>
    <w:rsid w:val="00BF52A7"/>
    <w:rsid w:val="00BF540C"/>
    <w:rsid w:val="00BF5B8C"/>
    <w:rsid w:val="00BF66B7"/>
    <w:rsid w:val="00BF6A68"/>
    <w:rsid w:val="00BF7152"/>
    <w:rsid w:val="00BF716F"/>
    <w:rsid w:val="00BF73F0"/>
    <w:rsid w:val="00BF75B1"/>
    <w:rsid w:val="00BF75C9"/>
    <w:rsid w:val="00BF7BD3"/>
    <w:rsid w:val="00C00352"/>
    <w:rsid w:val="00C007CE"/>
    <w:rsid w:val="00C00A22"/>
    <w:rsid w:val="00C00F18"/>
    <w:rsid w:val="00C0123E"/>
    <w:rsid w:val="00C01D39"/>
    <w:rsid w:val="00C0200C"/>
    <w:rsid w:val="00C020A8"/>
    <w:rsid w:val="00C034A4"/>
    <w:rsid w:val="00C03838"/>
    <w:rsid w:val="00C03DD0"/>
    <w:rsid w:val="00C04445"/>
    <w:rsid w:val="00C04705"/>
    <w:rsid w:val="00C04A7F"/>
    <w:rsid w:val="00C04D5F"/>
    <w:rsid w:val="00C04E2B"/>
    <w:rsid w:val="00C051AA"/>
    <w:rsid w:val="00C05C76"/>
    <w:rsid w:val="00C060A0"/>
    <w:rsid w:val="00C06632"/>
    <w:rsid w:val="00C07187"/>
    <w:rsid w:val="00C07280"/>
    <w:rsid w:val="00C07514"/>
    <w:rsid w:val="00C075C9"/>
    <w:rsid w:val="00C077C9"/>
    <w:rsid w:val="00C07E6F"/>
    <w:rsid w:val="00C07F3B"/>
    <w:rsid w:val="00C07FAD"/>
    <w:rsid w:val="00C10098"/>
    <w:rsid w:val="00C106C4"/>
    <w:rsid w:val="00C111EA"/>
    <w:rsid w:val="00C113B6"/>
    <w:rsid w:val="00C11538"/>
    <w:rsid w:val="00C119AD"/>
    <w:rsid w:val="00C11C9B"/>
    <w:rsid w:val="00C1228D"/>
    <w:rsid w:val="00C137B0"/>
    <w:rsid w:val="00C13FED"/>
    <w:rsid w:val="00C143A6"/>
    <w:rsid w:val="00C14451"/>
    <w:rsid w:val="00C14E7D"/>
    <w:rsid w:val="00C15026"/>
    <w:rsid w:val="00C152BC"/>
    <w:rsid w:val="00C15722"/>
    <w:rsid w:val="00C16339"/>
    <w:rsid w:val="00C1678D"/>
    <w:rsid w:val="00C16897"/>
    <w:rsid w:val="00C16B25"/>
    <w:rsid w:val="00C1719C"/>
    <w:rsid w:val="00C1778A"/>
    <w:rsid w:val="00C17873"/>
    <w:rsid w:val="00C200C9"/>
    <w:rsid w:val="00C20915"/>
    <w:rsid w:val="00C20C77"/>
    <w:rsid w:val="00C2122D"/>
    <w:rsid w:val="00C21D8E"/>
    <w:rsid w:val="00C2206E"/>
    <w:rsid w:val="00C22525"/>
    <w:rsid w:val="00C22AE4"/>
    <w:rsid w:val="00C22C9C"/>
    <w:rsid w:val="00C22D89"/>
    <w:rsid w:val="00C23C9B"/>
    <w:rsid w:val="00C23DBB"/>
    <w:rsid w:val="00C23FE1"/>
    <w:rsid w:val="00C2410D"/>
    <w:rsid w:val="00C24A82"/>
    <w:rsid w:val="00C24BAF"/>
    <w:rsid w:val="00C25F8B"/>
    <w:rsid w:val="00C26551"/>
    <w:rsid w:val="00C265C0"/>
    <w:rsid w:val="00C26B9E"/>
    <w:rsid w:val="00C272EF"/>
    <w:rsid w:val="00C2732B"/>
    <w:rsid w:val="00C273C4"/>
    <w:rsid w:val="00C27513"/>
    <w:rsid w:val="00C2753F"/>
    <w:rsid w:val="00C276A8"/>
    <w:rsid w:val="00C27975"/>
    <w:rsid w:val="00C300BC"/>
    <w:rsid w:val="00C303F1"/>
    <w:rsid w:val="00C3052C"/>
    <w:rsid w:val="00C318F7"/>
    <w:rsid w:val="00C319D2"/>
    <w:rsid w:val="00C31F85"/>
    <w:rsid w:val="00C32228"/>
    <w:rsid w:val="00C32534"/>
    <w:rsid w:val="00C326EE"/>
    <w:rsid w:val="00C32951"/>
    <w:rsid w:val="00C32C02"/>
    <w:rsid w:val="00C32D20"/>
    <w:rsid w:val="00C33235"/>
    <w:rsid w:val="00C3341F"/>
    <w:rsid w:val="00C33573"/>
    <w:rsid w:val="00C33677"/>
    <w:rsid w:val="00C34137"/>
    <w:rsid w:val="00C3476B"/>
    <w:rsid w:val="00C35240"/>
    <w:rsid w:val="00C3580D"/>
    <w:rsid w:val="00C35B43"/>
    <w:rsid w:val="00C35CA2"/>
    <w:rsid w:val="00C368B3"/>
    <w:rsid w:val="00C36F07"/>
    <w:rsid w:val="00C37128"/>
    <w:rsid w:val="00C37214"/>
    <w:rsid w:val="00C372E8"/>
    <w:rsid w:val="00C37822"/>
    <w:rsid w:val="00C37889"/>
    <w:rsid w:val="00C37A43"/>
    <w:rsid w:val="00C37B45"/>
    <w:rsid w:val="00C404CE"/>
    <w:rsid w:val="00C409DC"/>
    <w:rsid w:val="00C40B1B"/>
    <w:rsid w:val="00C40E88"/>
    <w:rsid w:val="00C416A3"/>
    <w:rsid w:val="00C41785"/>
    <w:rsid w:val="00C41A97"/>
    <w:rsid w:val="00C41FC1"/>
    <w:rsid w:val="00C42BC8"/>
    <w:rsid w:val="00C434C2"/>
    <w:rsid w:val="00C43940"/>
    <w:rsid w:val="00C44342"/>
    <w:rsid w:val="00C44694"/>
    <w:rsid w:val="00C44744"/>
    <w:rsid w:val="00C449EE"/>
    <w:rsid w:val="00C457C1"/>
    <w:rsid w:val="00C45D8F"/>
    <w:rsid w:val="00C4619E"/>
    <w:rsid w:val="00C46625"/>
    <w:rsid w:val="00C46870"/>
    <w:rsid w:val="00C46A66"/>
    <w:rsid w:val="00C46C0D"/>
    <w:rsid w:val="00C47545"/>
    <w:rsid w:val="00C47593"/>
    <w:rsid w:val="00C5044B"/>
    <w:rsid w:val="00C506BD"/>
    <w:rsid w:val="00C50E55"/>
    <w:rsid w:val="00C51199"/>
    <w:rsid w:val="00C512E5"/>
    <w:rsid w:val="00C51426"/>
    <w:rsid w:val="00C51622"/>
    <w:rsid w:val="00C51CA1"/>
    <w:rsid w:val="00C51FB3"/>
    <w:rsid w:val="00C5223C"/>
    <w:rsid w:val="00C52999"/>
    <w:rsid w:val="00C52A35"/>
    <w:rsid w:val="00C530C0"/>
    <w:rsid w:val="00C53213"/>
    <w:rsid w:val="00C53917"/>
    <w:rsid w:val="00C541DE"/>
    <w:rsid w:val="00C546D3"/>
    <w:rsid w:val="00C54C11"/>
    <w:rsid w:val="00C54C67"/>
    <w:rsid w:val="00C54E65"/>
    <w:rsid w:val="00C55298"/>
    <w:rsid w:val="00C56324"/>
    <w:rsid w:val="00C5653B"/>
    <w:rsid w:val="00C565A3"/>
    <w:rsid w:val="00C5726A"/>
    <w:rsid w:val="00C57793"/>
    <w:rsid w:val="00C577F7"/>
    <w:rsid w:val="00C60667"/>
    <w:rsid w:val="00C6169A"/>
    <w:rsid w:val="00C61AB9"/>
    <w:rsid w:val="00C61F84"/>
    <w:rsid w:val="00C62062"/>
    <w:rsid w:val="00C6234E"/>
    <w:rsid w:val="00C629E9"/>
    <w:rsid w:val="00C62FF7"/>
    <w:rsid w:val="00C63067"/>
    <w:rsid w:val="00C63135"/>
    <w:rsid w:val="00C637DC"/>
    <w:rsid w:val="00C63EE8"/>
    <w:rsid w:val="00C6432E"/>
    <w:rsid w:val="00C652C3"/>
    <w:rsid w:val="00C65718"/>
    <w:rsid w:val="00C65C81"/>
    <w:rsid w:val="00C66772"/>
    <w:rsid w:val="00C668DA"/>
    <w:rsid w:val="00C66D2B"/>
    <w:rsid w:val="00C6750F"/>
    <w:rsid w:val="00C67580"/>
    <w:rsid w:val="00C6759A"/>
    <w:rsid w:val="00C6781C"/>
    <w:rsid w:val="00C67EA1"/>
    <w:rsid w:val="00C7068B"/>
    <w:rsid w:val="00C70AEE"/>
    <w:rsid w:val="00C71D15"/>
    <w:rsid w:val="00C71FB8"/>
    <w:rsid w:val="00C7234D"/>
    <w:rsid w:val="00C7244E"/>
    <w:rsid w:val="00C726C9"/>
    <w:rsid w:val="00C72801"/>
    <w:rsid w:val="00C72C0A"/>
    <w:rsid w:val="00C73873"/>
    <w:rsid w:val="00C73E67"/>
    <w:rsid w:val="00C73FAD"/>
    <w:rsid w:val="00C7437F"/>
    <w:rsid w:val="00C74AE1"/>
    <w:rsid w:val="00C750D5"/>
    <w:rsid w:val="00C757B8"/>
    <w:rsid w:val="00C762E3"/>
    <w:rsid w:val="00C76397"/>
    <w:rsid w:val="00C765E8"/>
    <w:rsid w:val="00C76906"/>
    <w:rsid w:val="00C76B7C"/>
    <w:rsid w:val="00C76CAB"/>
    <w:rsid w:val="00C76CC7"/>
    <w:rsid w:val="00C76CDE"/>
    <w:rsid w:val="00C76F81"/>
    <w:rsid w:val="00C77207"/>
    <w:rsid w:val="00C776A4"/>
    <w:rsid w:val="00C77C65"/>
    <w:rsid w:val="00C800DD"/>
    <w:rsid w:val="00C806D2"/>
    <w:rsid w:val="00C80920"/>
    <w:rsid w:val="00C80B03"/>
    <w:rsid w:val="00C81CC0"/>
    <w:rsid w:val="00C81DF6"/>
    <w:rsid w:val="00C8243F"/>
    <w:rsid w:val="00C8289B"/>
    <w:rsid w:val="00C82D54"/>
    <w:rsid w:val="00C82DC7"/>
    <w:rsid w:val="00C82F3B"/>
    <w:rsid w:val="00C837C4"/>
    <w:rsid w:val="00C83829"/>
    <w:rsid w:val="00C83EA1"/>
    <w:rsid w:val="00C83EDD"/>
    <w:rsid w:val="00C84676"/>
    <w:rsid w:val="00C84BF1"/>
    <w:rsid w:val="00C84CA2"/>
    <w:rsid w:val="00C8548F"/>
    <w:rsid w:val="00C85A36"/>
    <w:rsid w:val="00C85CD1"/>
    <w:rsid w:val="00C86C36"/>
    <w:rsid w:val="00C86C56"/>
    <w:rsid w:val="00C87419"/>
    <w:rsid w:val="00C8773E"/>
    <w:rsid w:val="00C87B15"/>
    <w:rsid w:val="00C90601"/>
    <w:rsid w:val="00C90D16"/>
    <w:rsid w:val="00C9116A"/>
    <w:rsid w:val="00C91D5B"/>
    <w:rsid w:val="00C9265D"/>
    <w:rsid w:val="00C92824"/>
    <w:rsid w:val="00C937BA"/>
    <w:rsid w:val="00C93BF0"/>
    <w:rsid w:val="00C93E1D"/>
    <w:rsid w:val="00C94228"/>
    <w:rsid w:val="00C94496"/>
    <w:rsid w:val="00C949FC"/>
    <w:rsid w:val="00C9562A"/>
    <w:rsid w:val="00C960CF"/>
    <w:rsid w:val="00C96672"/>
    <w:rsid w:val="00C96678"/>
    <w:rsid w:val="00C96772"/>
    <w:rsid w:val="00C96B78"/>
    <w:rsid w:val="00C96CFA"/>
    <w:rsid w:val="00C96E5A"/>
    <w:rsid w:val="00C96EB5"/>
    <w:rsid w:val="00C978F4"/>
    <w:rsid w:val="00CA0257"/>
    <w:rsid w:val="00CA0917"/>
    <w:rsid w:val="00CA102B"/>
    <w:rsid w:val="00CA1760"/>
    <w:rsid w:val="00CA2236"/>
    <w:rsid w:val="00CA283D"/>
    <w:rsid w:val="00CA29D1"/>
    <w:rsid w:val="00CA2DD6"/>
    <w:rsid w:val="00CA3247"/>
    <w:rsid w:val="00CA3752"/>
    <w:rsid w:val="00CA3812"/>
    <w:rsid w:val="00CA3999"/>
    <w:rsid w:val="00CA39C0"/>
    <w:rsid w:val="00CA5AD3"/>
    <w:rsid w:val="00CA62DD"/>
    <w:rsid w:val="00CA69BA"/>
    <w:rsid w:val="00CA7DE6"/>
    <w:rsid w:val="00CB0339"/>
    <w:rsid w:val="00CB0965"/>
    <w:rsid w:val="00CB110E"/>
    <w:rsid w:val="00CB11F8"/>
    <w:rsid w:val="00CB12EB"/>
    <w:rsid w:val="00CB1543"/>
    <w:rsid w:val="00CB1DB4"/>
    <w:rsid w:val="00CB225B"/>
    <w:rsid w:val="00CB28E4"/>
    <w:rsid w:val="00CB2B55"/>
    <w:rsid w:val="00CB2EF5"/>
    <w:rsid w:val="00CB33E4"/>
    <w:rsid w:val="00CB3B51"/>
    <w:rsid w:val="00CB4230"/>
    <w:rsid w:val="00CB4250"/>
    <w:rsid w:val="00CB431B"/>
    <w:rsid w:val="00CB4A77"/>
    <w:rsid w:val="00CB4EA5"/>
    <w:rsid w:val="00CB557F"/>
    <w:rsid w:val="00CB592B"/>
    <w:rsid w:val="00CB5C5F"/>
    <w:rsid w:val="00CB5D75"/>
    <w:rsid w:val="00CB5E58"/>
    <w:rsid w:val="00CB600E"/>
    <w:rsid w:val="00CB63B7"/>
    <w:rsid w:val="00CB65B8"/>
    <w:rsid w:val="00CB6CDF"/>
    <w:rsid w:val="00CB6FF8"/>
    <w:rsid w:val="00CB7264"/>
    <w:rsid w:val="00CB730F"/>
    <w:rsid w:val="00CB759E"/>
    <w:rsid w:val="00CB761C"/>
    <w:rsid w:val="00CB761E"/>
    <w:rsid w:val="00CB76B5"/>
    <w:rsid w:val="00CB7AD6"/>
    <w:rsid w:val="00CC02CB"/>
    <w:rsid w:val="00CC0495"/>
    <w:rsid w:val="00CC078D"/>
    <w:rsid w:val="00CC110F"/>
    <w:rsid w:val="00CC11B8"/>
    <w:rsid w:val="00CC163C"/>
    <w:rsid w:val="00CC1AF9"/>
    <w:rsid w:val="00CC1FCC"/>
    <w:rsid w:val="00CC20E0"/>
    <w:rsid w:val="00CC25C5"/>
    <w:rsid w:val="00CC2618"/>
    <w:rsid w:val="00CC26B4"/>
    <w:rsid w:val="00CC26EE"/>
    <w:rsid w:val="00CC2818"/>
    <w:rsid w:val="00CC2F7A"/>
    <w:rsid w:val="00CC389C"/>
    <w:rsid w:val="00CC3A70"/>
    <w:rsid w:val="00CC4033"/>
    <w:rsid w:val="00CC40B8"/>
    <w:rsid w:val="00CC45F8"/>
    <w:rsid w:val="00CC4CDE"/>
    <w:rsid w:val="00CC4ED4"/>
    <w:rsid w:val="00CC5444"/>
    <w:rsid w:val="00CC5631"/>
    <w:rsid w:val="00CC5BBB"/>
    <w:rsid w:val="00CC62A6"/>
    <w:rsid w:val="00CC66AA"/>
    <w:rsid w:val="00CC676C"/>
    <w:rsid w:val="00CC7168"/>
    <w:rsid w:val="00CC7A11"/>
    <w:rsid w:val="00CD037F"/>
    <w:rsid w:val="00CD04A8"/>
    <w:rsid w:val="00CD051B"/>
    <w:rsid w:val="00CD08A9"/>
    <w:rsid w:val="00CD1439"/>
    <w:rsid w:val="00CD173D"/>
    <w:rsid w:val="00CD1C81"/>
    <w:rsid w:val="00CD1DB1"/>
    <w:rsid w:val="00CD22B5"/>
    <w:rsid w:val="00CD22F4"/>
    <w:rsid w:val="00CD25E1"/>
    <w:rsid w:val="00CD2A34"/>
    <w:rsid w:val="00CD2B61"/>
    <w:rsid w:val="00CD2D8F"/>
    <w:rsid w:val="00CD31EF"/>
    <w:rsid w:val="00CD367C"/>
    <w:rsid w:val="00CD454A"/>
    <w:rsid w:val="00CD4626"/>
    <w:rsid w:val="00CD4F54"/>
    <w:rsid w:val="00CD4FFE"/>
    <w:rsid w:val="00CD51C4"/>
    <w:rsid w:val="00CD54FB"/>
    <w:rsid w:val="00CD57FA"/>
    <w:rsid w:val="00CD5A6E"/>
    <w:rsid w:val="00CD5CF2"/>
    <w:rsid w:val="00CD711F"/>
    <w:rsid w:val="00CD74A7"/>
    <w:rsid w:val="00CD79B2"/>
    <w:rsid w:val="00CD7B49"/>
    <w:rsid w:val="00CE0FD0"/>
    <w:rsid w:val="00CE157C"/>
    <w:rsid w:val="00CE1A7D"/>
    <w:rsid w:val="00CE1AF6"/>
    <w:rsid w:val="00CE2298"/>
    <w:rsid w:val="00CE2334"/>
    <w:rsid w:val="00CE2FB9"/>
    <w:rsid w:val="00CE3064"/>
    <w:rsid w:val="00CE3408"/>
    <w:rsid w:val="00CE398C"/>
    <w:rsid w:val="00CE399E"/>
    <w:rsid w:val="00CE39E4"/>
    <w:rsid w:val="00CE3CDE"/>
    <w:rsid w:val="00CE4282"/>
    <w:rsid w:val="00CE515E"/>
    <w:rsid w:val="00CE54E1"/>
    <w:rsid w:val="00CE55B6"/>
    <w:rsid w:val="00CE57D0"/>
    <w:rsid w:val="00CE5856"/>
    <w:rsid w:val="00CE5AA0"/>
    <w:rsid w:val="00CE5BDE"/>
    <w:rsid w:val="00CE5D95"/>
    <w:rsid w:val="00CE64A4"/>
    <w:rsid w:val="00CE65FB"/>
    <w:rsid w:val="00CE6A6D"/>
    <w:rsid w:val="00CE7432"/>
    <w:rsid w:val="00CE75C5"/>
    <w:rsid w:val="00CE774C"/>
    <w:rsid w:val="00CE7934"/>
    <w:rsid w:val="00CF012E"/>
    <w:rsid w:val="00CF04D4"/>
    <w:rsid w:val="00CF091F"/>
    <w:rsid w:val="00CF0AFA"/>
    <w:rsid w:val="00CF0B4C"/>
    <w:rsid w:val="00CF1174"/>
    <w:rsid w:val="00CF1680"/>
    <w:rsid w:val="00CF1BD7"/>
    <w:rsid w:val="00CF21A5"/>
    <w:rsid w:val="00CF2518"/>
    <w:rsid w:val="00CF2805"/>
    <w:rsid w:val="00CF2DDE"/>
    <w:rsid w:val="00CF344A"/>
    <w:rsid w:val="00CF39A0"/>
    <w:rsid w:val="00CF3D1C"/>
    <w:rsid w:val="00CF4713"/>
    <w:rsid w:val="00CF4B12"/>
    <w:rsid w:val="00CF4F70"/>
    <w:rsid w:val="00CF5510"/>
    <w:rsid w:val="00CF58FE"/>
    <w:rsid w:val="00CF5C82"/>
    <w:rsid w:val="00CF5EBE"/>
    <w:rsid w:val="00CF62C1"/>
    <w:rsid w:val="00CF65A9"/>
    <w:rsid w:val="00CF66B7"/>
    <w:rsid w:val="00CF7291"/>
    <w:rsid w:val="00CF783B"/>
    <w:rsid w:val="00CF7D97"/>
    <w:rsid w:val="00CF7EEC"/>
    <w:rsid w:val="00D001C2"/>
    <w:rsid w:val="00D00779"/>
    <w:rsid w:val="00D009D8"/>
    <w:rsid w:val="00D012E1"/>
    <w:rsid w:val="00D01318"/>
    <w:rsid w:val="00D01665"/>
    <w:rsid w:val="00D01B5D"/>
    <w:rsid w:val="00D01D1E"/>
    <w:rsid w:val="00D02580"/>
    <w:rsid w:val="00D03BF7"/>
    <w:rsid w:val="00D03F1E"/>
    <w:rsid w:val="00D0428E"/>
    <w:rsid w:val="00D04426"/>
    <w:rsid w:val="00D0482F"/>
    <w:rsid w:val="00D04A33"/>
    <w:rsid w:val="00D05417"/>
    <w:rsid w:val="00D05781"/>
    <w:rsid w:val="00D05892"/>
    <w:rsid w:val="00D064F2"/>
    <w:rsid w:val="00D06823"/>
    <w:rsid w:val="00D06824"/>
    <w:rsid w:val="00D06C03"/>
    <w:rsid w:val="00D1037A"/>
    <w:rsid w:val="00D10D09"/>
    <w:rsid w:val="00D115FB"/>
    <w:rsid w:val="00D1163E"/>
    <w:rsid w:val="00D119B1"/>
    <w:rsid w:val="00D11CF5"/>
    <w:rsid w:val="00D12362"/>
    <w:rsid w:val="00D12A4F"/>
    <w:rsid w:val="00D12ABC"/>
    <w:rsid w:val="00D1301B"/>
    <w:rsid w:val="00D13373"/>
    <w:rsid w:val="00D14C15"/>
    <w:rsid w:val="00D1597B"/>
    <w:rsid w:val="00D15CB3"/>
    <w:rsid w:val="00D15F51"/>
    <w:rsid w:val="00D164FB"/>
    <w:rsid w:val="00D16705"/>
    <w:rsid w:val="00D16BE5"/>
    <w:rsid w:val="00D16ED5"/>
    <w:rsid w:val="00D171B3"/>
    <w:rsid w:val="00D17FA6"/>
    <w:rsid w:val="00D2018D"/>
    <w:rsid w:val="00D202B1"/>
    <w:rsid w:val="00D20662"/>
    <w:rsid w:val="00D206D4"/>
    <w:rsid w:val="00D20FBF"/>
    <w:rsid w:val="00D21291"/>
    <w:rsid w:val="00D21C8A"/>
    <w:rsid w:val="00D2297E"/>
    <w:rsid w:val="00D22A2A"/>
    <w:rsid w:val="00D22B3C"/>
    <w:rsid w:val="00D22DE5"/>
    <w:rsid w:val="00D233BD"/>
    <w:rsid w:val="00D233D7"/>
    <w:rsid w:val="00D236BE"/>
    <w:rsid w:val="00D23CBB"/>
    <w:rsid w:val="00D24AF3"/>
    <w:rsid w:val="00D25806"/>
    <w:rsid w:val="00D25E9D"/>
    <w:rsid w:val="00D25F1C"/>
    <w:rsid w:val="00D26DE6"/>
    <w:rsid w:val="00D26EE7"/>
    <w:rsid w:val="00D30386"/>
    <w:rsid w:val="00D30718"/>
    <w:rsid w:val="00D307FC"/>
    <w:rsid w:val="00D30E0A"/>
    <w:rsid w:val="00D310FB"/>
    <w:rsid w:val="00D312CF"/>
    <w:rsid w:val="00D322FB"/>
    <w:rsid w:val="00D32475"/>
    <w:rsid w:val="00D32ED2"/>
    <w:rsid w:val="00D32EF4"/>
    <w:rsid w:val="00D33425"/>
    <w:rsid w:val="00D33F81"/>
    <w:rsid w:val="00D34850"/>
    <w:rsid w:val="00D34C9C"/>
    <w:rsid w:val="00D35060"/>
    <w:rsid w:val="00D35650"/>
    <w:rsid w:val="00D35A4E"/>
    <w:rsid w:val="00D35D04"/>
    <w:rsid w:val="00D369D4"/>
    <w:rsid w:val="00D36AD7"/>
    <w:rsid w:val="00D36E54"/>
    <w:rsid w:val="00D373E9"/>
    <w:rsid w:val="00D377FF"/>
    <w:rsid w:val="00D37965"/>
    <w:rsid w:val="00D37C61"/>
    <w:rsid w:val="00D40032"/>
    <w:rsid w:val="00D401D9"/>
    <w:rsid w:val="00D403FF"/>
    <w:rsid w:val="00D404C4"/>
    <w:rsid w:val="00D4082D"/>
    <w:rsid w:val="00D40C04"/>
    <w:rsid w:val="00D40CE9"/>
    <w:rsid w:val="00D42115"/>
    <w:rsid w:val="00D42EFD"/>
    <w:rsid w:val="00D43084"/>
    <w:rsid w:val="00D4458F"/>
    <w:rsid w:val="00D44B7C"/>
    <w:rsid w:val="00D457D1"/>
    <w:rsid w:val="00D458AA"/>
    <w:rsid w:val="00D46338"/>
    <w:rsid w:val="00D46BA2"/>
    <w:rsid w:val="00D47234"/>
    <w:rsid w:val="00D47281"/>
    <w:rsid w:val="00D47581"/>
    <w:rsid w:val="00D47B9A"/>
    <w:rsid w:val="00D50295"/>
    <w:rsid w:val="00D504AA"/>
    <w:rsid w:val="00D5069A"/>
    <w:rsid w:val="00D50E43"/>
    <w:rsid w:val="00D50EDB"/>
    <w:rsid w:val="00D51137"/>
    <w:rsid w:val="00D51266"/>
    <w:rsid w:val="00D51469"/>
    <w:rsid w:val="00D51EAD"/>
    <w:rsid w:val="00D52152"/>
    <w:rsid w:val="00D5220D"/>
    <w:rsid w:val="00D52B45"/>
    <w:rsid w:val="00D530EB"/>
    <w:rsid w:val="00D53393"/>
    <w:rsid w:val="00D535B6"/>
    <w:rsid w:val="00D54F02"/>
    <w:rsid w:val="00D55235"/>
    <w:rsid w:val="00D5553A"/>
    <w:rsid w:val="00D55D78"/>
    <w:rsid w:val="00D572B2"/>
    <w:rsid w:val="00D57F53"/>
    <w:rsid w:val="00D60CAB"/>
    <w:rsid w:val="00D610FD"/>
    <w:rsid w:val="00D612AF"/>
    <w:rsid w:val="00D6166D"/>
    <w:rsid w:val="00D619F3"/>
    <w:rsid w:val="00D61FBA"/>
    <w:rsid w:val="00D621E5"/>
    <w:rsid w:val="00D62731"/>
    <w:rsid w:val="00D62A5B"/>
    <w:rsid w:val="00D62B43"/>
    <w:rsid w:val="00D62ECD"/>
    <w:rsid w:val="00D63748"/>
    <w:rsid w:val="00D639F0"/>
    <w:rsid w:val="00D63C1B"/>
    <w:rsid w:val="00D63D76"/>
    <w:rsid w:val="00D645B0"/>
    <w:rsid w:val="00D64BFF"/>
    <w:rsid w:val="00D64DE1"/>
    <w:rsid w:val="00D64E3F"/>
    <w:rsid w:val="00D653D0"/>
    <w:rsid w:val="00D657E5"/>
    <w:rsid w:val="00D66018"/>
    <w:rsid w:val="00D6692A"/>
    <w:rsid w:val="00D66BF9"/>
    <w:rsid w:val="00D66E55"/>
    <w:rsid w:val="00D66F40"/>
    <w:rsid w:val="00D670A7"/>
    <w:rsid w:val="00D67472"/>
    <w:rsid w:val="00D674E9"/>
    <w:rsid w:val="00D676E2"/>
    <w:rsid w:val="00D6799A"/>
    <w:rsid w:val="00D7009C"/>
    <w:rsid w:val="00D70C14"/>
    <w:rsid w:val="00D70F17"/>
    <w:rsid w:val="00D71025"/>
    <w:rsid w:val="00D710EF"/>
    <w:rsid w:val="00D712DA"/>
    <w:rsid w:val="00D719EF"/>
    <w:rsid w:val="00D71FB2"/>
    <w:rsid w:val="00D72327"/>
    <w:rsid w:val="00D7258F"/>
    <w:rsid w:val="00D727E0"/>
    <w:rsid w:val="00D72B87"/>
    <w:rsid w:val="00D72C72"/>
    <w:rsid w:val="00D73697"/>
    <w:rsid w:val="00D74160"/>
    <w:rsid w:val="00D7470B"/>
    <w:rsid w:val="00D74B70"/>
    <w:rsid w:val="00D75D22"/>
    <w:rsid w:val="00D75DA5"/>
    <w:rsid w:val="00D76C58"/>
    <w:rsid w:val="00D76CF2"/>
    <w:rsid w:val="00D76E7C"/>
    <w:rsid w:val="00D77DEB"/>
    <w:rsid w:val="00D80369"/>
    <w:rsid w:val="00D80B40"/>
    <w:rsid w:val="00D8155B"/>
    <w:rsid w:val="00D81E79"/>
    <w:rsid w:val="00D81ED6"/>
    <w:rsid w:val="00D825A5"/>
    <w:rsid w:val="00D825B7"/>
    <w:rsid w:val="00D8290E"/>
    <w:rsid w:val="00D82AD1"/>
    <w:rsid w:val="00D82DA4"/>
    <w:rsid w:val="00D82E6E"/>
    <w:rsid w:val="00D83040"/>
    <w:rsid w:val="00D8323B"/>
    <w:rsid w:val="00D83489"/>
    <w:rsid w:val="00D83D13"/>
    <w:rsid w:val="00D83F85"/>
    <w:rsid w:val="00D841AC"/>
    <w:rsid w:val="00D84A53"/>
    <w:rsid w:val="00D8589D"/>
    <w:rsid w:val="00D85981"/>
    <w:rsid w:val="00D85A81"/>
    <w:rsid w:val="00D86466"/>
    <w:rsid w:val="00D86C71"/>
    <w:rsid w:val="00D870E8"/>
    <w:rsid w:val="00D87423"/>
    <w:rsid w:val="00D87452"/>
    <w:rsid w:val="00D87485"/>
    <w:rsid w:val="00D87C08"/>
    <w:rsid w:val="00D907CB"/>
    <w:rsid w:val="00D9164B"/>
    <w:rsid w:val="00D91BF2"/>
    <w:rsid w:val="00D924F4"/>
    <w:rsid w:val="00D925A8"/>
    <w:rsid w:val="00D926D1"/>
    <w:rsid w:val="00D93C1C"/>
    <w:rsid w:val="00D94026"/>
    <w:rsid w:val="00D94120"/>
    <w:rsid w:val="00D945ED"/>
    <w:rsid w:val="00D947FE"/>
    <w:rsid w:val="00D9517E"/>
    <w:rsid w:val="00D951DD"/>
    <w:rsid w:val="00D952ED"/>
    <w:rsid w:val="00D957FA"/>
    <w:rsid w:val="00D95A39"/>
    <w:rsid w:val="00D9664C"/>
    <w:rsid w:val="00D968F1"/>
    <w:rsid w:val="00D97404"/>
    <w:rsid w:val="00D975A3"/>
    <w:rsid w:val="00D979D0"/>
    <w:rsid w:val="00DA0000"/>
    <w:rsid w:val="00DA0847"/>
    <w:rsid w:val="00DA08CA"/>
    <w:rsid w:val="00DA0F37"/>
    <w:rsid w:val="00DA101A"/>
    <w:rsid w:val="00DA1079"/>
    <w:rsid w:val="00DA122C"/>
    <w:rsid w:val="00DA12ED"/>
    <w:rsid w:val="00DA1C53"/>
    <w:rsid w:val="00DA2048"/>
    <w:rsid w:val="00DA24E5"/>
    <w:rsid w:val="00DA2793"/>
    <w:rsid w:val="00DA2FD5"/>
    <w:rsid w:val="00DA3838"/>
    <w:rsid w:val="00DA4115"/>
    <w:rsid w:val="00DA43A2"/>
    <w:rsid w:val="00DA4838"/>
    <w:rsid w:val="00DA4989"/>
    <w:rsid w:val="00DA5721"/>
    <w:rsid w:val="00DA580E"/>
    <w:rsid w:val="00DA6173"/>
    <w:rsid w:val="00DA67D8"/>
    <w:rsid w:val="00DA7477"/>
    <w:rsid w:val="00DA7573"/>
    <w:rsid w:val="00DA7B8B"/>
    <w:rsid w:val="00DA7BD4"/>
    <w:rsid w:val="00DB0191"/>
    <w:rsid w:val="00DB0359"/>
    <w:rsid w:val="00DB099C"/>
    <w:rsid w:val="00DB0EF6"/>
    <w:rsid w:val="00DB0F8A"/>
    <w:rsid w:val="00DB1324"/>
    <w:rsid w:val="00DB249C"/>
    <w:rsid w:val="00DB26A8"/>
    <w:rsid w:val="00DB27CF"/>
    <w:rsid w:val="00DB324C"/>
    <w:rsid w:val="00DB3FD3"/>
    <w:rsid w:val="00DB41D0"/>
    <w:rsid w:val="00DB4612"/>
    <w:rsid w:val="00DB5749"/>
    <w:rsid w:val="00DB5C84"/>
    <w:rsid w:val="00DB5F2A"/>
    <w:rsid w:val="00DB6F45"/>
    <w:rsid w:val="00DB72B7"/>
    <w:rsid w:val="00DB7546"/>
    <w:rsid w:val="00DB7AA5"/>
    <w:rsid w:val="00DC0624"/>
    <w:rsid w:val="00DC0FC3"/>
    <w:rsid w:val="00DC1A25"/>
    <w:rsid w:val="00DC1A58"/>
    <w:rsid w:val="00DC1AC0"/>
    <w:rsid w:val="00DC1CDD"/>
    <w:rsid w:val="00DC1D8E"/>
    <w:rsid w:val="00DC1FEB"/>
    <w:rsid w:val="00DC20C3"/>
    <w:rsid w:val="00DC20E2"/>
    <w:rsid w:val="00DC227A"/>
    <w:rsid w:val="00DC2360"/>
    <w:rsid w:val="00DC25CD"/>
    <w:rsid w:val="00DC26E4"/>
    <w:rsid w:val="00DC2BAE"/>
    <w:rsid w:val="00DC2CEE"/>
    <w:rsid w:val="00DC3257"/>
    <w:rsid w:val="00DC3279"/>
    <w:rsid w:val="00DC3A53"/>
    <w:rsid w:val="00DC3BF1"/>
    <w:rsid w:val="00DC3DC2"/>
    <w:rsid w:val="00DC4692"/>
    <w:rsid w:val="00DC4D1D"/>
    <w:rsid w:val="00DC4D68"/>
    <w:rsid w:val="00DC4D87"/>
    <w:rsid w:val="00DC54EB"/>
    <w:rsid w:val="00DC580A"/>
    <w:rsid w:val="00DC5B50"/>
    <w:rsid w:val="00DC66BC"/>
    <w:rsid w:val="00DC6D70"/>
    <w:rsid w:val="00DC701C"/>
    <w:rsid w:val="00DC727F"/>
    <w:rsid w:val="00DC7E78"/>
    <w:rsid w:val="00DD00B1"/>
    <w:rsid w:val="00DD0493"/>
    <w:rsid w:val="00DD0924"/>
    <w:rsid w:val="00DD0CBF"/>
    <w:rsid w:val="00DD1071"/>
    <w:rsid w:val="00DD12FD"/>
    <w:rsid w:val="00DD1576"/>
    <w:rsid w:val="00DD1911"/>
    <w:rsid w:val="00DD1F64"/>
    <w:rsid w:val="00DD2893"/>
    <w:rsid w:val="00DD42D4"/>
    <w:rsid w:val="00DD435E"/>
    <w:rsid w:val="00DD4717"/>
    <w:rsid w:val="00DD4872"/>
    <w:rsid w:val="00DD4A17"/>
    <w:rsid w:val="00DD4F74"/>
    <w:rsid w:val="00DD531F"/>
    <w:rsid w:val="00DD53D4"/>
    <w:rsid w:val="00DD556C"/>
    <w:rsid w:val="00DD5737"/>
    <w:rsid w:val="00DD5E81"/>
    <w:rsid w:val="00DD6BBB"/>
    <w:rsid w:val="00DD6C46"/>
    <w:rsid w:val="00DD6C7A"/>
    <w:rsid w:val="00DD6F44"/>
    <w:rsid w:val="00DD7CCA"/>
    <w:rsid w:val="00DE060B"/>
    <w:rsid w:val="00DE0BDE"/>
    <w:rsid w:val="00DE10CF"/>
    <w:rsid w:val="00DE1270"/>
    <w:rsid w:val="00DE1B7F"/>
    <w:rsid w:val="00DE1E1E"/>
    <w:rsid w:val="00DE223E"/>
    <w:rsid w:val="00DE2D33"/>
    <w:rsid w:val="00DE34EB"/>
    <w:rsid w:val="00DE3592"/>
    <w:rsid w:val="00DE37C3"/>
    <w:rsid w:val="00DE3E78"/>
    <w:rsid w:val="00DE41F8"/>
    <w:rsid w:val="00DE42DE"/>
    <w:rsid w:val="00DE4318"/>
    <w:rsid w:val="00DE4B9D"/>
    <w:rsid w:val="00DE50EA"/>
    <w:rsid w:val="00DE545C"/>
    <w:rsid w:val="00DE5C9F"/>
    <w:rsid w:val="00DE5ED8"/>
    <w:rsid w:val="00DE728B"/>
    <w:rsid w:val="00DE734E"/>
    <w:rsid w:val="00DE7442"/>
    <w:rsid w:val="00DE7887"/>
    <w:rsid w:val="00DE7BF8"/>
    <w:rsid w:val="00DF0DC3"/>
    <w:rsid w:val="00DF14F9"/>
    <w:rsid w:val="00DF166A"/>
    <w:rsid w:val="00DF1C2D"/>
    <w:rsid w:val="00DF1FAE"/>
    <w:rsid w:val="00DF2486"/>
    <w:rsid w:val="00DF2AD9"/>
    <w:rsid w:val="00DF32CD"/>
    <w:rsid w:val="00DF33AC"/>
    <w:rsid w:val="00DF386B"/>
    <w:rsid w:val="00DF392E"/>
    <w:rsid w:val="00DF47A6"/>
    <w:rsid w:val="00DF4861"/>
    <w:rsid w:val="00DF4A35"/>
    <w:rsid w:val="00DF4BF4"/>
    <w:rsid w:val="00DF4D2C"/>
    <w:rsid w:val="00DF54D0"/>
    <w:rsid w:val="00DF580C"/>
    <w:rsid w:val="00DF5C1A"/>
    <w:rsid w:val="00DF619C"/>
    <w:rsid w:val="00DF61F7"/>
    <w:rsid w:val="00DF668D"/>
    <w:rsid w:val="00DF6BCB"/>
    <w:rsid w:val="00DF6D45"/>
    <w:rsid w:val="00DF7042"/>
    <w:rsid w:val="00DF78FD"/>
    <w:rsid w:val="00DF7EFE"/>
    <w:rsid w:val="00E00E15"/>
    <w:rsid w:val="00E00F63"/>
    <w:rsid w:val="00E010D7"/>
    <w:rsid w:val="00E01210"/>
    <w:rsid w:val="00E0131C"/>
    <w:rsid w:val="00E01D50"/>
    <w:rsid w:val="00E02664"/>
    <w:rsid w:val="00E02C4D"/>
    <w:rsid w:val="00E031A5"/>
    <w:rsid w:val="00E0341B"/>
    <w:rsid w:val="00E0348F"/>
    <w:rsid w:val="00E035A6"/>
    <w:rsid w:val="00E038F5"/>
    <w:rsid w:val="00E03D67"/>
    <w:rsid w:val="00E04510"/>
    <w:rsid w:val="00E04784"/>
    <w:rsid w:val="00E048E5"/>
    <w:rsid w:val="00E04CF2"/>
    <w:rsid w:val="00E05569"/>
    <w:rsid w:val="00E0574B"/>
    <w:rsid w:val="00E05A6C"/>
    <w:rsid w:val="00E05F38"/>
    <w:rsid w:val="00E05F59"/>
    <w:rsid w:val="00E0655D"/>
    <w:rsid w:val="00E0693F"/>
    <w:rsid w:val="00E06948"/>
    <w:rsid w:val="00E1024A"/>
    <w:rsid w:val="00E10B17"/>
    <w:rsid w:val="00E10B67"/>
    <w:rsid w:val="00E12742"/>
    <w:rsid w:val="00E12975"/>
    <w:rsid w:val="00E12AB9"/>
    <w:rsid w:val="00E12B67"/>
    <w:rsid w:val="00E141D3"/>
    <w:rsid w:val="00E14608"/>
    <w:rsid w:val="00E14743"/>
    <w:rsid w:val="00E14941"/>
    <w:rsid w:val="00E1506F"/>
    <w:rsid w:val="00E1526B"/>
    <w:rsid w:val="00E1534B"/>
    <w:rsid w:val="00E15408"/>
    <w:rsid w:val="00E15743"/>
    <w:rsid w:val="00E15C52"/>
    <w:rsid w:val="00E15EDA"/>
    <w:rsid w:val="00E15F0B"/>
    <w:rsid w:val="00E160E8"/>
    <w:rsid w:val="00E16199"/>
    <w:rsid w:val="00E16311"/>
    <w:rsid w:val="00E166F6"/>
    <w:rsid w:val="00E1702C"/>
    <w:rsid w:val="00E17C16"/>
    <w:rsid w:val="00E20140"/>
    <w:rsid w:val="00E20CC5"/>
    <w:rsid w:val="00E21ACA"/>
    <w:rsid w:val="00E21D95"/>
    <w:rsid w:val="00E21EFC"/>
    <w:rsid w:val="00E22B80"/>
    <w:rsid w:val="00E22C0E"/>
    <w:rsid w:val="00E22CFF"/>
    <w:rsid w:val="00E22F9A"/>
    <w:rsid w:val="00E231CD"/>
    <w:rsid w:val="00E231E1"/>
    <w:rsid w:val="00E23253"/>
    <w:rsid w:val="00E23888"/>
    <w:rsid w:val="00E23B9C"/>
    <w:rsid w:val="00E23CCE"/>
    <w:rsid w:val="00E23CE3"/>
    <w:rsid w:val="00E23CF7"/>
    <w:rsid w:val="00E23E76"/>
    <w:rsid w:val="00E2442A"/>
    <w:rsid w:val="00E245BA"/>
    <w:rsid w:val="00E249DB"/>
    <w:rsid w:val="00E253A3"/>
    <w:rsid w:val="00E25402"/>
    <w:rsid w:val="00E254DA"/>
    <w:rsid w:val="00E259B0"/>
    <w:rsid w:val="00E25AF8"/>
    <w:rsid w:val="00E26AEC"/>
    <w:rsid w:val="00E26B4B"/>
    <w:rsid w:val="00E2757B"/>
    <w:rsid w:val="00E2792D"/>
    <w:rsid w:val="00E27B35"/>
    <w:rsid w:val="00E30828"/>
    <w:rsid w:val="00E30B37"/>
    <w:rsid w:val="00E3109C"/>
    <w:rsid w:val="00E311D1"/>
    <w:rsid w:val="00E3174C"/>
    <w:rsid w:val="00E319AB"/>
    <w:rsid w:val="00E31C2D"/>
    <w:rsid w:val="00E32432"/>
    <w:rsid w:val="00E338FA"/>
    <w:rsid w:val="00E33B1E"/>
    <w:rsid w:val="00E33E83"/>
    <w:rsid w:val="00E34258"/>
    <w:rsid w:val="00E34277"/>
    <w:rsid w:val="00E34A2F"/>
    <w:rsid w:val="00E35E84"/>
    <w:rsid w:val="00E3621B"/>
    <w:rsid w:val="00E36F43"/>
    <w:rsid w:val="00E37F0C"/>
    <w:rsid w:val="00E40A55"/>
    <w:rsid w:val="00E40ADF"/>
    <w:rsid w:val="00E418E3"/>
    <w:rsid w:val="00E41B53"/>
    <w:rsid w:val="00E423DE"/>
    <w:rsid w:val="00E42EDD"/>
    <w:rsid w:val="00E42F07"/>
    <w:rsid w:val="00E4370F"/>
    <w:rsid w:val="00E4441D"/>
    <w:rsid w:val="00E453AB"/>
    <w:rsid w:val="00E45E31"/>
    <w:rsid w:val="00E462E6"/>
    <w:rsid w:val="00E463A0"/>
    <w:rsid w:val="00E46FE3"/>
    <w:rsid w:val="00E4765F"/>
    <w:rsid w:val="00E47839"/>
    <w:rsid w:val="00E47D33"/>
    <w:rsid w:val="00E5042A"/>
    <w:rsid w:val="00E50A6C"/>
    <w:rsid w:val="00E50B07"/>
    <w:rsid w:val="00E51CDE"/>
    <w:rsid w:val="00E5210B"/>
    <w:rsid w:val="00E52E03"/>
    <w:rsid w:val="00E5304A"/>
    <w:rsid w:val="00E53631"/>
    <w:rsid w:val="00E53774"/>
    <w:rsid w:val="00E5388F"/>
    <w:rsid w:val="00E53BF4"/>
    <w:rsid w:val="00E53E80"/>
    <w:rsid w:val="00E541CE"/>
    <w:rsid w:val="00E54239"/>
    <w:rsid w:val="00E54272"/>
    <w:rsid w:val="00E542BC"/>
    <w:rsid w:val="00E54521"/>
    <w:rsid w:val="00E54617"/>
    <w:rsid w:val="00E5484B"/>
    <w:rsid w:val="00E55C3A"/>
    <w:rsid w:val="00E56023"/>
    <w:rsid w:val="00E56D6E"/>
    <w:rsid w:val="00E56FEF"/>
    <w:rsid w:val="00E57154"/>
    <w:rsid w:val="00E57629"/>
    <w:rsid w:val="00E577F9"/>
    <w:rsid w:val="00E57808"/>
    <w:rsid w:val="00E57FB5"/>
    <w:rsid w:val="00E6073E"/>
    <w:rsid w:val="00E60D5B"/>
    <w:rsid w:val="00E60F14"/>
    <w:rsid w:val="00E612F4"/>
    <w:rsid w:val="00E61B23"/>
    <w:rsid w:val="00E625BE"/>
    <w:rsid w:val="00E6284B"/>
    <w:rsid w:val="00E62D07"/>
    <w:rsid w:val="00E62DF6"/>
    <w:rsid w:val="00E62EA8"/>
    <w:rsid w:val="00E63266"/>
    <w:rsid w:val="00E637A6"/>
    <w:rsid w:val="00E63A22"/>
    <w:rsid w:val="00E63B8F"/>
    <w:rsid w:val="00E646B5"/>
    <w:rsid w:val="00E64974"/>
    <w:rsid w:val="00E65427"/>
    <w:rsid w:val="00E6543F"/>
    <w:rsid w:val="00E65600"/>
    <w:rsid w:val="00E6601A"/>
    <w:rsid w:val="00E661C0"/>
    <w:rsid w:val="00E663F5"/>
    <w:rsid w:val="00E6687F"/>
    <w:rsid w:val="00E66E97"/>
    <w:rsid w:val="00E67197"/>
    <w:rsid w:val="00E67273"/>
    <w:rsid w:val="00E672DF"/>
    <w:rsid w:val="00E67507"/>
    <w:rsid w:val="00E677E6"/>
    <w:rsid w:val="00E67BF1"/>
    <w:rsid w:val="00E7057E"/>
    <w:rsid w:val="00E7095C"/>
    <w:rsid w:val="00E70BD6"/>
    <w:rsid w:val="00E71159"/>
    <w:rsid w:val="00E71305"/>
    <w:rsid w:val="00E71F55"/>
    <w:rsid w:val="00E71F7A"/>
    <w:rsid w:val="00E72383"/>
    <w:rsid w:val="00E724D2"/>
    <w:rsid w:val="00E72D9F"/>
    <w:rsid w:val="00E73C41"/>
    <w:rsid w:val="00E74933"/>
    <w:rsid w:val="00E74EDC"/>
    <w:rsid w:val="00E75737"/>
    <w:rsid w:val="00E75875"/>
    <w:rsid w:val="00E75886"/>
    <w:rsid w:val="00E75D6E"/>
    <w:rsid w:val="00E76007"/>
    <w:rsid w:val="00E76181"/>
    <w:rsid w:val="00E770F2"/>
    <w:rsid w:val="00E77B1F"/>
    <w:rsid w:val="00E77EAC"/>
    <w:rsid w:val="00E801BD"/>
    <w:rsid w:val="00E81069"/>
    <w:rsid w:val="00E81093"/>
    <w:rsid w:val="00E812F8"/>
    <w:rsid w:val="00E817AD"/>
    <w:rsid w:val="00E817EF"/>
    <w:rsid w:val="00E8184F"/>
    <w:rsid w:val="00E82273"/>
    <w:rsid w:val="00E827C5"/>
    <w:rsid w:val="00E828D5"/>
    <w:rsid w:val="00E82D81"/>
    <w:rsid w:val="00E83259"/>
    <w:rsid w:val="00E839BE"/>
    <w:rsid w:val="00E83BA2"/>
    <w:rsid w:val="00E83CAC"/>
    <w:rsid w:val="00E84549"/>
    <w:rsid w:val="00E8488C"/>
    <w:rsid w:val="00E84945"/>
    <w:rsid w:val="00E84C89"/>
    <w:rsid w:val="00E84E20"/>
    <w:rsid w:val="00E859ED"/>
    <w:rsid w:val="00E85AE4"/>
    <w:rsid w:val="00E85E56"/>
    <w:rsid w:val="00E85F96"/>
    <w:rsid w:val="00E860DD"/>
    <w:rsid w:val="00E86175"/>
    <w:rsid w:val="00E86ACB"/>
    <w:rsid w:val="00E86F7C"/>
    <w:rsid w:val="00E8713D"/>
    <w:rsid w:val="00E8785C"/>
    <w:rsid w:val="00E87BF3"/>
    <w:rsid w:val="00E90329"/>
    <w:rsid w:val="00E9055C"/>
    <w:rsid w:val="00E90D9B"/>
    <w:rsid w:val="00E910D5"/>
    <w:rsid w:val="00E911D0"/>
    <w:rsid w:val="00E91D20"/>
    <w:rsid w:val="00E922C4"/>
    <w:rsid w:val="00E93006"/>
    <w:rsid w:val="00E943AE"/>
    <w:rsid w:val="00E943DD"/>
    <w:rsid w:val="00E947B0"/>
    <w:rsid w:val="00E955C8"/>
    <w:rsid w:val="00E95D82"/>
    <w:rsid w:val="00E95F21"/>
    <w:rsid w:val="00E96273"/>
    <w:rsid w:val="00E96E97"/>
    <w:rsid w:val="00E97D49"/>
    <w:rsid w:val="00EA0251"/>
    <w:rsid w:val="00EA0325"/>
    <w:rsid w:val="00EA06C5"/>
    <w:rsid w:val="00EA0E2D"/>
    <w:rsid w:val="00EA1065"/>
    <w:rsid w:val="00EA1434"/>
    <w:rsid w:val="00EA1E10"/>
    <w:rsid w:val="00EA234A"/>
    <w:rsid w:val="00EA3181"/>
    <w:rsid w:val="00EA3366"/>
    <w:rsid w:val="00EA3980"/>
    <w:rsid w:val="00EA3C3E"/>
    <w:rsid w:val="00EA3E5C"/>
    <w:rsid w:val="00EA4694"/>
    <w:rsid w:val="00EA48D3"/>
    <w:rsid w:val="00EA546B"/>
    <w:rsid w:val="00EA57C5"/>
    <w:rsid w:val="00EA5B66"/>
    <w:rsid w:val="00EA5D7E"/>
    <w:rsid w:val="00EA5E39"/>
    <w:rsid w:val="00EA5F31"/>
    <w:rsid w:val="00EA5F92"/>
    <w:rsid w:val="00EA6033"/>
    <w:rsid w:val="00EA64B4"/>
    <w:rsid w:val="00EA65F1"/>
    <w:rsid w:val="00EA6665"/>
    <w:rsid w:val="00EA6935"/>
    <w:rsid w:val="00EA6967"/>
    <w:rsid w:val="00EA6F44"/>
    <w:rsid w:val="00EA7613"/>
    <w:rsid w:val="00EA793B"/>
    <w:rsid w:val="00EA7A7E"/>
    <w:rsid w:val="00EA7B3A"/>
    <w:rsid w:val="00EA7CBC"/>
    <w:rsid w:val="00EB02E0"/>
    <w:rsid w:val="00EB05DA"/>
    <w:rsid w:val="00EB0DE4"/>
    <w:rsid w:val="00EB0EF6"/>
    <w:rsid w:val="00EB0F69"/>
    <w:rsid w:val="00EB14C2"/>
    <w:rsid w:val="00EB190F"/>
    <w:rsid w:val="00EB235B"/>
    <w:rsid w:val="00EB2B6C"/>
    <w:rsid w:val="00EB2D42"/>
    <w:rsid w:val="00EB31A3"/>
    <w:rsid w:val="00EB325B"/>
    <w:rsid w:val="00EB34CB"/>
    <w:rsid w:val="00EB3655"/>
    <w:rsid w:val="00EB3C6C"/>
    <w:rsid w:val="00EB3CB8"/>
    <w:rsid w:val="00EB3E22"/>
    <w:rsid w:val="00EB40CF"/>
    <w:rsid w:val="00EB42C6"/>
    <w:rsid w:val="00EB50C1"/>
    <w:rsid w:val="00EB598D"/>
    <w:rsid w:val="00EB5FAF"/>
    <w:rsid w:val="00EB6507"/>
    <w:rsid w:val="00EB670D"/>
    <w:rsid w:val="00EB6885"/>
    <w:rsid w:val="00EB693B"/>
    <w:rsid w:val="00EB6DFD"/>
    <w:rsid w:val="00EB6EA3"/>
    <w:rsid w:val="00EB7BA9"/>
    <w:rsid w:val="00EB7D75"/>
    <w:rsid w:val="00EC0A1C"/>
    <w:rsid w:val="00EC0B20"/>
    <w:rsid w:val="00EC0EE7"/>
    <w:rsid w:val="00EC1C3A"/>
    <w:rsid w:val="00EC1F51"/>
    <w:rsid w:val="00EC2B1D"/>
    <w:rsid w:val="00EC2D38"/>
    <w:rsid w:val="00EC3AE4"/>
    <w:rsid w:val="00EC3E78"/>
    <w:rsid w:val="00EC40CC"/>
    <w:rsid w:val="00EC4233"/>
    <w:rsid w:val="00EC4544"/>
    <w:rsid w:val="00EC4A85"/>
    <w:rsid w:val="00EC4AD7"/>
    <w:rsid w:val="00EC4E3B"/>
    <w:rsid w:val="00EC4E6C"/>
    <w:rsid w:val="00EC55DB"/>
    <w:rsid w:val="00EC57B2"/>
    <w:rsid w:val="00EC58F4"/>
    <w:rsid w:val="00EC5E28"/>
    <w:rsid w:val="00EC63B5"/>
    <w:rsid w:val="00EC650B"/>
    <w:rsid w:val="00EC6865"/>
    <w:rsid w:val="00EC6ECF"/>
    <w:rsid w:val="00EC7808"/>
    <w:rsid w:val="00EC7BFA"/>
    <w:rsid w:val="00EC7FCD"/>
    <w:rsid w:val="00ED042E"/>
    <w:rsid w:val="00ED0A61"/>
    <w:rsid w:val="00ED1295"/>
    <w:rsid w:val="00ED1822"/>
    <w:rsid w:val="00ED2459"/>
    <w:rsid w:val="00ED2725"/>
    <w:rsid w:val="00ED29C5"/>
    <w:rsid w:val="00ED324F"/>
    <w:rsid w:val="00ED34D1"/>
    <w:rsid w:val="00ED367F"/>
    <w:rsid w:val="00ED3860"/>
    <w:rsid w:val="00ED4206"/>
    <w:rsid w:val="00ED457E"/>
    <w:rsid w:val="00ED58A2"/>
    <w:rsid w:val="00ED58C3"/>
    <w:rsid w:val="00ED5C71"/>
    <w:rsid w:val="00ED5EEE"/>
    <w:rsid w:val="00ED667C"/>
    <w:rsid w:val="00ED7966"/>
    <w:rsid w:val="00EE006C"/>
    <w:rsid w:val="00EE01CC"/>
    <w:rsid w:val="00EE04EE"/>
    <w:rsid w:val="00EE0AA8"/>
    <w:rsid w:val="00EE0E9E"/>
    <w:rsid w:val="00EE1760"/>
    <w:rsid w:val="00EE2450"/>
    <w:rsid w:val="00EE287D"/>
    <w:rsid w:val="00EE3779"/>
    <w:rsid w:val="00EE3B32"/>
    <w:rsid w:val="00EE3CFF"/>
    <w:rsid w:val="00EE3F39"/>
    <w:rsid w:val="00EE414C"/>
    <w:rsid w:val="00EE4388"/>
    <w:rsid w:val="00EE44FE"/>
    <w:rsid w:val="00EE47DA"/>
    <w:rsid w:val="00EE4AE7"/>
    <w:rsid w:val="00EE507C"/>
    <w:rsid w:val="00EE5406"/>
    <w:rsid w:val="00EE5EF8"/>
    <w:rsid w:val="00EE6386"/>
    <w:rsid w:val="00EE63BD"/>
    <w:rsid w:val="00EE6964"/>
    <w:rsid w:val="00EE6A1D"/>
    <w:rsid w:val="00EE6D18"/>
    <w:rsid w:val="00EE7647"/>
    <w:rsid w:val="00EE7E7A"/>
    <w:rsid w:val="00EF0159"/>
    <w:rsid w:val="00EF0269"/>
    <w:rsid w:val="00EF0C15"/>
    <w:rsid w:val="00EF1230"/>
    <w:rsid w:val="00EF14C5"/>
    <w:rsid w:val="00EF1960"/>
    <w:rsid w:val="00EF223B"/>
    <w:rsid w:val="00EF267E"/>
    <w:rsid w:val="00EF27F6"/>
    <w:rsid w:val="00EF29DE"/>
    <w:rsid w:val="00EF3849"/>
    <w:rsid w:val="00EF3978"/>
    <w:rsid w:val="00EF3AAC"/>
    <w:rsid w:val="00EF4796"/>
    <w:rsid w:val="00EF4D42"/>
    <w:rsid w:val="00EF4E31"/>
    <w:rsid w:val="00EF4E5D"/>
    <w:rsid w:val="00EF4FD1"/>
    <w:rsid w:val="00EF5318"/>
    <w:rsid w:val="00EF55B6"/>
    <w:rsid w:val="00EF5E0C"/>
    <w:rsid w:val="00EF708A"/>
    <w:rsid w:val="00EF72C3"/>
    <w:rsid w:val="00EF79CE"/>
    <w:rsid w:val="00F00152"/>
    <w:rsid w:val="00F00352"/>
    <w:rsid w:val="00F004D5"/>
    <w:rsid w:val="00F00519"/>
    <w:rsid w:val="00F00945"/>
    <w:rsid w:val="00F00B1B"/>
    <w:rsid w:val="00F00E37"/>
    <w:rsid w:val="00F010EE"/>
    <w:rsid w:val="00F01383"/>
    <w:rsid w:val="00F0167D"/>
    <w:rsid w:val="00F0177A"/>
    <w:rsid w:val="00F019D5"/>
    <w:rsid w:val="00F02500"/>
    <w:rsid w:val="00F02E1C"/>
    <w:rsid w:val="00F03261"/>
    <w:rsid w:val="00F032E2"/>
    <w:rsid w:val="00F03621"/>
    <w:rsid w:val="00F037E3"/>
    <w:rsid w:val="00F03FF2"/>
    <w:rsid w:val="00F04F9E"/>
    <w:rsid w:val="00F0638C"/>
    <w:rsid w:val="00F06A47"/>
    <w:rsid w:val="00F06C8A"/>
    <w:rsid w:val="00F06F76"/>
    <w:rsid w:val="00F0713E"/>
    <w:rsid w:val="00F0717F"/>
    <w:rsid w:val="00F0747A"/>
    <w:rsid w:val="00F07849"/>
    <w:rsid w:val="00F07882"/>
    <w:rsid w:val="00F07883"/>
    <w:rsid w:val="00F07C49"/>
    <w:rsid w:val="00F10177"/>
    <w:rsid w:val="00F10D83"/>
    <w:rsid w:val="00F1148D"/>
    <w:rsid w:val="00F1155B"/>
    <w:rsid w:val="00F1196B"/>
    <w:rsid w:val="00F11A6A"/>
    <w:rsid w:val="00F11FE6"/>
    <w:rsid w:val="00F126BD"/>
    <w:rsid w:val="00F128E4"/>
    <w:rsid w:val="00F12BCC"/>
    <w:rsid w:val="00F12BCF"/>
    <w:rsid w:val="00F12F18"/>
    <w:rsid w:val="00F132C3"/>
    <w:rsid w:val="00F13433"/>
    <w:rsid w:val="00F13452"/>
    <w:rsid w:val="00F134FC"/>
    <w:rsid w:val="00F1350E"/>
    <w:rsid w:val="00F14419"/>
    <w:rsid w:val="00F1470E"/>
    <w:rsid w:val="00F147A5"/>
    <w:rsid w:val="00F14AA7"/>
    <w:rsid w:val="00F156DF"/>
    <w:rsid w:val="00F15884"/>
    <w:rsid w:val="00F15B8E"/>
    <w:rsid w:val="00F15C76"/>
    <w:rsid w:val="00F15D09"/>
    <w:rsid w:val="00F1655F"/>
    <w:rsid w:val="00F16665"/>
    <w:rsid w:val="00F168E9"/>
    <w:rsid w:val="00F16AC2"/>
    <w:rsid w:val="00F16FB0"/>
    <w:rsid w:val="00F1733B"/>
    <w:rsid w:val="00F17474"/>
    <w:rsid w:val="00F1778D"/>
    <w:rsid w:val="00F201CC"/>
    <w:rsid w:val="00F20487"/>
    <w:rsid w:val="00F209C4"/>
    <w:rsid w:val="00F20E34"/>
    <w:rsid w:val="00F20F65"/>
    <w:rsid w:val="00F20FC4"/>
    <w:rsid w:val="00F2106D"/>
    <w:rsid w:val="00F222B4"/>
    <w:rsid w:val="00F22337"/>
    <w:rsid w:val="00F22D65"/>
    <w:rsid w:val="00F23175"/>
    <w:rsid w:val="00F23462"/>
    <w:rsid w:val="00F23FB0"/>
    <w:rsid w:val="00F2480A"/>
    <w:rsid w:val="00F24891"/>
    <w:rsid w:val="00F24B9F"/>
    <w:rsid w:val="00F24CA6"/>
    <w:rsid w:val="00F24CF5"/>
    <w:rsid w:val="00F254C7"/>
    <w:rsid w:val="00F256AE"/>
    <w:rsid w:val="00F25773"/>
    <w:rsid w:val="00F257FA"/>
    <w:rsid w:val="00F25CFB"/>
    <w:rsid w:val="00F26004"/>
    <w:rsid w:val="00F26817"/>
    <w:rsid w:val="00F270E8"/>
    <w:rsid w:val="00F27A30"/>
    <w:rsid w:val="00F27EF5"/>
    <w:rsid w:val="00F27FDB"/>
    <w:rsid w:val="00F30251"/>
    <w:rsid w:val="00F305CC"/>
    <w:rsid w:val="00F30921"/>
    <w:rsid w:val="00F30C70"/>
    <w:rsid w:val="00F3179A"/>
    <w:rsid w:val="00F31D54"/>
    <w:rsid w:val="00F32357"/>
    <w:rsid w:val="00F3236B"/>
    <w:rsid w:val="00F3271C"/>
    <w:rsid w:val="00F32C70"/>
    <w:rsid w:val="00F33D3B"/>
    <w:rsid w:val="00F34E02"/>
    <w:rsid w:val="00F351E4"/>
    <w:rsid w:val="00F3549E"/>
    <w:rsid w:val="00F365A7"/>
    <w:rsid w:val="00F3681C"/>
    <w:rsid w:val="00F374A2"/>
    <w:rsid w:val="00F374AA"/>
    <w:rsid w:val="00F37697"/>
    <w:rsid w:val="00F3769D"/>
    <w:rsid w:val="00F379D8"/>
    <w:rsid w:val="00F40367"/>
    <w:rsid w:val="00F404F4"/>
    <w:rsid w:val="00F40C16"/>
    <w:rsid w:val="00F40F13"/>
    <w:rsid w:val="00F4143E"/>
    <w:rsid w:val="00F41CC5"/>
    <w:rsid w:val="00F41D1C"/>
    <w:rsid w:val="00F41D25"/>
    <w:rsid w:val="00F421A2"/>
    <w:rsid w:val="00F423C2"/>
    <w:rsid w:val="00F433F8"/>
    <w:rsid w:val="00F433FE"/>
    <w:rsid w:val="00F43627"/>
    <w:rsid w:val="00F43781"/>
    <w:rsid w:val="00F438B5"/>
    <w:rsid w:val="00F4463C"/>
    <w:rsid w:val="00F44892"/>
    <w:rsid w:val="00F45DD4"/>
    <w:rsid w:val="00F46F3D"/>
    <w:rsid w:val="00F473A5"/>
    <w:rsid w:val="00F473F3"/>
    <w:rsid w:val="00F474B8"/>
    <w:rsid w:val="00F4785C"/>
    <w:rsid w:val="00F478CA"/>
    <w:rsid w:val="00F47C36"/>
    <w:rsid w:val="00F47C94"/>
    <w:rsid w:val="00F47CE2"/>
    <w:rsid w:val="00F501F3"/>
    <w:rsid w:val="00F50A98"/>
    <w:rsid w:val="00F50E5F"/>
    <w:rsid w:val="00F51460"/>
    <w:rsid w:val="00F51667"/>
    <w:rsid w:val="00F516A9"/>
    <w:rsid w:val="00F51E4F"/>
    <w:rsid w:val="00F521DC"/>
    <w:rsid w:val="00F527EF"/>
    <w:rsid w:val="00F53199"/>
    <w:rsid w:val="00F53B05"/>
    <w:rsid w:val="00F53DB9"/>
    <w:rsid w:val="00F53FC3"/>
    <w:rsid w:val="00F541A1"/>
    <w:rsid w:val="00F5433B"/>
    <w:rsid w:val="00F543E0"/>
    <w:rsid w:val="00F54B09"/>
    <w:rsid w:val="00F54BEA"/>
    <w:rsid w:val="00F54E8A"/>
    <w:rsid w:val="00F55651"/>
    <w:rsid w:val="00F559A8"/>
    <w:rsid w:val="00F55C21"/>
    <w:rsid w:val="00F55E5F"/>
    <w:rsid w:val="00F55F6D"/>
    <w:rsid w:val="00F56A3C"/>
    <w:rsid w:val="00F5736B"/>
    <w:rsid w:val="00F57880"/>
    <w:rsid w:val="00F57AF7"/>
    <w:rsid w:val="00F605E7"/>
    <w:rsid w:val="00F608AB"/>
    <w:rsid w:val="00F60BE7"/>
    <w:rsid w:val="00F6159C"/>
    <w:rsid w:val="00F61714"/>
    <w:rsid w:val="00F6238F"/>
    <w:rsid w:val="00F63E59"/>
    <w:rsid w:val="00F64BE0"/>
    <w:rsid w:val="00F655CB"/>
    <w:rsid w:val="00F6589D"/>
    <w:rsid w:val="00F65B68"/>
    <w:rsid w:val="00F66529"/>
    <w:rsid w:val="00F666D1"/>
    <w:rsid w:val="00F66AAE"/>
    <w:rsid w:val="00F67846"/>
    <w:rsid w:val="00F67B42"/>
    <w:rsid w:val="00F7089D"/>
    <w:rsid w:val="00F70A43"/>
    <w:rsid w:val="00F70B72"/>
    <w:rsid w:val="00F70C10"/>
    <w:rsid w:val="00F70DEF"/>
    <w:rsid w:val="00F70EA3"/>
    <w:rsid w:val="00F71296"/>
    <w:rsid w:val="00F71398"/>
    <w:rsid w:val="00F72234"/>
    <w:rsid w:val="00F7294C"/>
    <w:rsid w:val="00F72C5F"/>
    <w:rsid w:val="00F72D20"/>
    <w:rsid w:val="00F73549"/>
    <w:rsid w:val="00F73E60"/>
    <w:rsid w:val="00F74353"/>
    <w:rsid w:val="00F74CF9"/>
    <w:rsid w:val="00F754DB"/>
    <w:rsid w:val="00F75782"/>
    <w:rsid w:val="00F76327"/>
    <w:rsid w:val="00F76D38"/>
    <w:rsid w:val="00F773BE"/>
    <w:rsid w:val="00F77539"/>
    <w:rsid w:val="00F77B5F"/>
    <w:rsid w:val="00F8019F"/>
    <w:rsid w:val="00F80C1D"/>
    <w:rsid w:val="00F81130"/>
    <w:rsid w:val="00F818F7"/>
    <w:rsid w:val="00F8325D"/>
    <w:rsid w:val="00F832A9"/>
    <w:rsid w:val="00F832B0"/>
    <w:rsid w:val="00F83307"/>
    <w:rsid w:val="00F833A5"/>
    <w:rsid w:val="00F83765"/>
    <w:rsid w:val="00F844D3"/>
    <w:rsid w:val="00F845F9"/>
    <w:rsid w:val="00F84629"/>
    <w:rsid w:val="00F84B71"/>
    <w:rsid w:val="00F84D0A"/>
    <w:rsid w:val="00F84F0E"/>
    <w:rsid w:val="00F8515A"/>
    <w:rsid w:val="00F8519E"/>
    <w:rsid w:val="00F851F5"/>
    <w:rsid w:val="00F85345"/>
    <w:rsid w:val="00F85FF5"/>
    <w:rsid w:val="00F866EB"/>
    <w:rsid w:val="00F86BB4"/>
    <w:rsid w:val="00F87094"/>
    <w:rsid w:val="00F870F5"/>
    <w:rsid w:val="00F87344"/>
    <w:rsid w:val="00F90271"/>
    <w:rsid w:val="00F902D2"/>
    <w:rsid w:val="00F906C9"/>
    <w:rsid w:val="00F90B12"/>
    <w:rsid w:val="00F90BF3"/>
    <w:rsid w:val="00F90CBD"/>
    <w:rsid w:val="00F90E76"/>
    <w:rsid w:val="00F9109E"/>
    <w:rsid w:val="00F9159B"/>
    <w:rsid w:val="00F9177E"/>
    <w:rsid w:val="00F917FC"/>
    <w:rsid w:val="00F91E4F"/>
    <w:rsid w:val="00F91FDF"/>
    <w:rsid w:val="00F92187"/>
    <w:rsid w:val="00F92AA1"/>
    <w:rsid w:val="00F92FDC"/>
    <w:rsid w:val="00F931D2"/>
    <w:rsid w:val="00F93431"/>
    <w:rsid w:val="00F93A4A"/>
    <w:rsid w:val="00F93D27"/>
    <w:rsid w:val="00F93FC8"/>
    <w:rsid w:val="00F94195"/>
    <w:rsid w:val="00F94C77"/>
    <w:rsid w:val="00F94D03"/>
    <w:rsid w:val="00F9516D"/>
    <w:rsid w:val="00F95DD6"/>
    <w:rsid w:val="00F96192"/>
    <w:rsid w:val="00F962F3"/>
    <w:rsid w:val="00F96370"/>
    <w:rsid w:val="00F97837"/>
    <w:rsid w:val="00F97940"/>
    <w:rsid w:val="00F97BA3"/>
    <w:rsid w:val="00F97EA2"/>
    <w:rsid w:val="00F97F0D"/>
    <w:rsid w:val="00FA018E"/>
    <w:rsid w:val="00FA07B2"/>
    <w:rsid w:val="00FA0B0A"/>
    <w:rsid w:val="00FA1205"/>
    <w:rsid w:val="00FA121C"/>
    <w:rsid w:val="00FA13CF"/>
    <w:rsid w:val="00FA1407"/>
    <w:rsid w:val="00FA1A68"/>
    <w:rsid w:val="00FA1B1A"/>
    <w:rsid w:val="00FA2747"/>
    <w:rsid w:val="00FA2A33"/>
    <w:rsid w:val="00FA2C8F"/>
    <w:rsid w:val="00FA2CF7"/>
    <w:rsid w:val="00FA307B"/>
    <w:rsid w:val="00FA3410"/>
    <w:rsid w:val="00FA360B"/>
    <w:rsid w:val="00FA3860"/>
    <w:rsid w:val="00FA3A50"/>
    <w:rsid w:val="00FA4763"/>
    <w:rsid w:val="00FA4830"/>
    <w:rsid w:val="00FA4DBF"/>
    <w:rsid w:val="00FA5032"/>
    <w:rsid w:val="00FA5982"/>
    <w:rsid w:val="00FA6980"/>
    <w:rsid w:val="00FA6CDF"/>
    <w:rsid w:val="00FA6F85"/>
    <w:rsid w:val="00FA7BB5"/>
    <w:rsid w:val="00FA7C85"/>
    <w:rsid w:val="00FB12D8"/>
    <w:rsid w:val="00FB176A"/>
    <w:rsid w:val="00FB1CC0"/>
    <w:rsid w:val="00FB1CDC"/>
    <w:rsid w:val="00FB238A"/>
    <w:rsid w:val="00FB2446"/>
    <w:rsid w:val="00FB2C81"/>
    <w:rsid w:val="00FB3169"/>
    <w:rsid w:val="00FB3AFF"/>
    <w:rsid w:val="00FB3BC4"/>
    <w:rsid w:val="00FB3F9C"/>
    <w:rsid w:val="00FB3FDE"/>
    <w:rsid w:val="00FB4676"/>
    <w:rsid w:val="00FB54E4"/>
    <w:rsid w:val="00FB5552"/>
    <w:rsid w:val="00FB5789"/>
    <w:rsid w:val="00FB5F3A"/>
    <w:rsid w:val="00FB6AA9"/>
    <w:rsid w:val="00FB6AD4"/>
    <w:rsid w:val="00FB6B63"/>
    <w:rsid w:val="00FB6EFF"/>
    <w:rsid w:val="00FB75B6"/>
    <w:rsid w:val="00FB7F22"/>
    <w:rsid w:val="00FC00F3"/>
    <w:rsid w:val="00FC035F"/>
    <w:rsid w:val="00FC0A33"/>
    <w:rsid w:val="00FC11F9"/>
    <w:rsid w:val="00FC1416"/>
    <w:rsid w:val="00FC14B2"/>
    <w:rsid w:val="00FC1823"/>
    <w:rsid w:val="00FC1CD4"/>
    <w:rsid w:val="00FC2198"/>
    <w:rsid w:val="00FC2502"/>
    <w:rsid w:val="00FC26A4"/>
    <w:rsid w:val="00FC26DE"/>
    <w:rsid w:val="00FC2C93"/>
    <w:rsid w:val="00FC325A"/>
    <w:rsid w:val="00FC33ED"/>
    <w:rsid w:val="00FC42B2"/>
    <w:rsid w:val="00FC43AD"/>
    <w:rsid w:val="00FC4515"/>
    <w:rsid w:val="00FC46D5"/>
    <w:rsid w:val="00FC4D92"/>
    <w:rsid w:val="00FC52EF"/>
    <w:rsid w:val="00FC547B"/>
    <w:rsid w:val="00FC5876"/>
    <w:rsid w:val="00FC611B"/>
    <w:rsid w:val="00FC62F5"/>
    <w:rsid w:val="00FC731E"/>
    <w:rsid w:val="00FD018D"/>
    <w:rsid w:val="00FD035A"/>
    <w:rsid w:val="00FD1607"/>
    <w:rsid w:val="00FD19F1"/>
    <w:rsid w:val="00FD1A7E"/>
    <w:rsid w:val="00FD1E1E"/>
    <w:rsid w:val="00FD2CC3"/>
    <w:rsid w:val="00FD2D10"/>
    <w:rsid w:val="00FD31BF"/>
    <w:rsid w:val="00FD377C"/>
    <w:rsid w:val="00FD3CC7"/>
    <w:rsid w:val="00FD4148"/>
    <w:rsid w:val="00FD4292"/>
    <w:rsid w:val="00FD4427"/>
    <w:rsid w:val="00FD445C"/>
    <w:rsid w:val="00FD4D5B"/>
    <w:rsid w:val="00FD6453"/>
    <w:rsid w:val="00FD65D8"/>
    <w:rsid w:val="00FD67FD"/>
    <w:rsid w:val="00FD6AB8"/>
    <w:rsid w:val="00FD7385"/>
    <w:rsid w:val="00FD7CB2"/>
    <w:rsid w:val="00FD7D46"/>
    <w:rsid w:val="00FD7D8B"/>
    <w:rsid w:val="00FD7DBF"/>
    <w:rsid w:val="00FE0A3D"/>
    <w:rsid w:val="00FE0AF2"/>
    <w:rsid w:val="00FE0C9D"/>
    <w:rsid w:val="00FE1456"/>
    <w:rsid w:val="00FE1C47"/>
    <w:rsid w:val="00FE1D9E"/>
    <w:rsid w:val="00FE22DD"/>
    <w:rsid w:val="00FE2684"/>
    <w:rsid w:val="00FE2CFB"/>
    <w:rsid w:val="00FE2D40"/>
    <w:rsid w:val="00FE2F2C"/>
    <w:rsid w:val="00FE2FDC"/>
    <w:rsid w:val="00FE3948"/>
    <w:rsid w:val="00FE44B1"/>
    <w:rsid w:val="00FE4A60"/>
    <w:rsid w:val="00FE53CA"/>
    <w:rsid w:val="00FE54E0"/>
    <w:rsid w:val="00FE55F0"/>
    <w:rsid w:val="00FE5AB3"/>
    <w:rsid w:val="00FE5C4B"/>
    <w:rsid w:val="00FE61B0"/>
    <w:rsid w:val="00FE6331"/>
    <w:rsid w:val="00FE63BC"/>
    <w:rsid w:val="00FE64EA"/>
    <w:rsid w:val="00FE685B"/>
    <w:rsid w:val="00FE6C12"/>
    <w:rsid w:val="00FE7894"/>
    <w:rsid w:val="00FE7E57"/>
    <w:rsid w:val="00FF00D8"/>
    <w:rsid w:val="00FF01FA"/>
    <w:rsid w:val="00FF037B"/>
    <w:rsid w:val="00FF21B5"/>
    <w:rsid w:val="00FF21C3"/>
    <w:rsid w:val="00FF2A11"/>
    <w:rsid w:val="00FF2AA0"/>
    <w:rsid w:val="00FF3B1C"/>
    <w:rsid w:val="00FF3F6C"/>
    <w:rsid w:val="00FF420D"/>
    <w:rsid w:val="00FF4603"/>
    <w:rsid w:val="00FF4912"/>
    <w:rsid w:val="00FF497E"/>
    <w:rsid w:val="00FF4B07"/>
    <w:rsid w:val="00FF4BFC"/>
    <w:rsid w:val="00FF4C11"/>
    <w:rsid w:val="00FF50EF"/>
    <w:rsid w:val="00FF554E"/>
    <w:rsid w:val="00FF56B9"/>
    <w:rsid w:val="00FF57E8"/>
    <w:rsid w:val="00FF58C0"/>
    <w:rsid w:val="00FF5948"/>
    <w:rsid w:val="00FF5A54"/>
    <w:rsid w:val="00FF5B4F"/>
    <w:rsid w:val="00FF6B71"/>
    <w:rsid w:val="00FF6C0B"/>
    <w:rsid w:val="00FF6DD9"/>
    <w:rsid w:val="00FF6EDF"/>
    <w:rsid w:val="00FF6EEA"/>
    <w:rsid w:val="00FF7726"/>
    <w:rsid w:val="00FF77DF"/>
    <w:rsid w:val="00FF7A76"/>
    <w:rsid w:val="00FF7ABB"/>
    <w:rsid w:val="00FF7B99"/>
    <w:rsid w:val="00FF7C6F"/>
    <w:rsid w:val="00FF7F2E"/>
    <w:rsid w:val="3BBAD73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D7299"/>
  <w15:docId w15:val="{7F87997C-5B01-46DC-B1DA-308B92DA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uiPriority w:val="9"/>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Yu Gothic UI Semilight" w:eastAsia="Times New Roman" w:hAnsi="@Yu Gothic UI Semi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Yu Gothic UI Semilight" w:eastAsia="Times New Roman" w:hAnsi="@Yu Gothic UI Semi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Yu Gothic UI Semilight" w:eastAsia="Times New Roman" w:hAnsi="@Yu Gothic UI Semilight" w:cs="Times New Roman"/>
        <w:b/>
        <w:bCs/>
      </w:rPr>
    </w:tblStylePr>
    <w:tblStylePr w:type="lastCol">
      <w:rPr>
        <w:rFonts w:ascii="@Yu Gothic UI Semilight" w:eastAsia="Times New Roman" w:hAnsi="@Yu Gothic UI Semi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Yu Gothic UI Semilight" w:eastAsia="Times New Roman" w:hAnsi="@Yu Gothic UI Semilight"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Yu Gothic UI Semilight" w:eastAsia="Times New Roman" w:hAnsi="@Yu Gothic UI Semilight"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Yu Gothic UI Semilight" w:eastAsia="Times New Roman" w:hAnsi="@Yu Gothic UI Semilight" w:cs="Times New Roman"/>
        <w:b/>
        <w:bCs/>
      </w:rPr>
    </w:tblStylePr>
    <w:tblStylePr w:type="lastCol">
      <w:rPr>
        <w:rFonts w:ascii="@Yu Gothic UI Semilight" w:eastAsia="Times New Roman" w:hAnsi="@Yu Gothic UI Semi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imes New Roman" w:hAnsi="Arial"/>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eastAsia="Times New Roman"/>
      <w:sz w:val="22"/>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15"/>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16"/>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customStyle="1" w:styleId="paragraph">
    <w:name w:val="paragraph"/>
    <w:basedOn w:val="Normal"/>
    <w:rsid w:val="00367C26"/>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367C26"/>
  </w:style>
  <w:style w:type="character" w:customStyle="1" w:styleId="eop">
    <w:name w:val="eop"/>
    <w:basedOn w:val="DefaultParagraphFont"/>
    <w:rsid w:val="00367C26"/>
  </w:style>
  <w:style w:type="paragraph" w:styleId="CommentText">
    <w:name w:val="annotation text"/>
    <w:basedOn w:val="Normal"/>
    <w:link w:val="CommentTextChar"/>
    <w:uiPriority w:val="99"/>
    <w:semiHidden/>
    <w:rsid w:val="004F14D5"/>
    <w:pPr>
      <w:spacing w:line="240" w:lineRule="auto"/>
    </w:pPr>
    <w:rPr>
      <w:sz w:val="20"/>
      <w:szCs w:val="20"/>
    </w:rPr>
  </w:style>
  <w:style w:type="character" w:customStyle="1" w:styleId="CommentTextChar">
    <w:name w:val="Comment Text Char"/>
    <w:basedOn w:val="DefaultParagraphFont"/>
    <w:link w:val="CommentText"/>
    <w:uiPriority w:val="99"/>
    <w:semiHidden/>
    <w:rsid w:val="004F14D5"/>
    <w:rPr>
      <w:rFonts w:eastAsia="Times New Roman"/>
    </w:rPr>
  </w:style>
  <w:style w:type="character" w:styleId="PlaceholderText">
    <w:name w:val="Placeholder Text"/>
    <w:basedOn w:val="DefaultParagraphFont"/>
    <w:uiPriority w:val="99"/>
    <w:semiHidden/>
    <w:rsid w:val="008D4C71"/>
    <w:rPr>
      <w:color w:val="808080"/>
    </w:rPr>
  </w:style>
  <w:style w:type="paragraph" w:styleId="Bibliography">
    <w:name w:val="Bibliography"/>
    <w:basedOn w:val="Normal"/>
    <w:next w:val="Normal"/>
    <w:uiPriority w:val="37"/>
    <w:unhideWhenUsed/>
    <w:rsid w:val="000073AC"/>
  </w:style>
  <w:style w:type="numbering" w:customStyle="1" w:styleId="Recommendations">
    <w:name w:val="Recommendations"/>
    <w:rsid w:val="008A2F1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53">
      <w:bodyDiv w:val="1"/>
      <w:marLeft w:val="0"/>
      <w:marRight w:val="0"/>
      <w:marTop w:val="0"/>
      <w:marBottom w:val="0"/>
      <w:divBdr>
        <w:top w:val="none" w:sz="0" w:space="0" w:color="auto"/>
        <w:left w:val="none" w:sz="0" w:space="0" w:color="auto"/>
        <w:bottom w:val="none" w:sz="0" w:space="0" w:color="auto"/>
        <w:right w:val="none" w:sz="0" w:space="0" w:color="auto"/>
      </w:divBdr>
    </w:div>
    <w:div w:id="15012360">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355742483">
      <w:bodyDiv w:val="1"/>
      <w:marLeft w:val="0"/>
      <w:marRight w:val="0"/>
      <w:marTop w:val="0"/>
      <w:marBottom w:val="0"/>
      <w:divBdr>
        <w:top w:val="none" w:sz="0" w:space="0" w:color="auto"/>
        <w:left w:val="none" w:sz="0" w:space="0" w:color="auto"/>
        <w:bottom w:val="none" w:sz="0" w:space="0" w:color="auto"/>
        <w:right w:val="none" w:sz="0" w:space="0" w:color="auto"/>
      </w:divBdr>
      <w:divsChild>
        <w:div w:id="173804376">
          <w:marLeft w:val="0"/>
          <w:marRight w:val="0"/>
          <w:marTop w:val="0"/>
          <w:marBottom w:val="0"/>
          <w:divBdr>
            <w:top w:val="none" w:sz="0" w:space="0" w:color="auto"/>
            <w:left w:val="none" w:sz="0" w:space="0" w:color="auto"/>
            <w:bottom w:val="none" w:sz="0" w:space="0" w:color="auto"/>
            <w:right w:val="none" w:sz="0" w:space="0" w:color="auto"/>
          </w:divBdr>
          <w:divsChild>
            <w:div w:id="116804917">
              <w:marLeft w:val="0"/>
              <w:marRight w:val="0"/>
              <w:marTop w:val="0"/>
              <w:marBottom w:val="0"/>
              <w:divBdr>
                <w:top w:val="none" w:sz="0" w:space="0" w:color="auto"/>
                <w:left w:val="none" w:sz="0" w:space="0" w:color="auto"/>
                <w:bottom w:val="none" w:sz="0" w:space="0" w:color="auto"/>
                <w:right w:val="none" w:sz="0" w:space="0" w:color="auto"/>
              </w:divBdr>
            </w:div>
          </w:divsChild>
        </w:div>
        <w:div w:id="255676758">
          <w:marLeft w:val="0"/>
          <w:marRight w:val="0"/>
          <w:marTop w:val="0"/>
          <w:marBottom w:val="0"/>
          <w:divBdr>
            <w:top w:val="none" w:sz="0" w:space="0" w:color="auto"/>
            <w:left w:val="none" w:sz="0" w:space="0" w:color="auto"/>
            <w:bottom w:val="none" w:sz="0" w:space="0" w:color="auto"/>
            <w:right w:val="none" w:sz="0" w:space="0" w:color="auto"/>
          </w:divBdr>
          <w:divsChild>
            <w:div w:id="42609230">
              <w:marLeft w:val="0"/>
              <w:marRight w:val="0"/>
              <w:marTop w:val="0"/>
              <w:marBottom w:val="0"/>
              <w:divBdr>
                <w:top w:val="none" w:sz="0" w:space="0" w:color="auto"/>
                <w:left w:val="none" w:sz="0" w:space="0" w:color="auto"/>
                <w:bottom w:val="none" w:sz="0" w:space="0" w:color="auto"/>
                <w:right w:val="none" w:sz="0" w:space="0" w:color="auto"/>
              </w:divBdr>
            </w:div>
          </w:divsChild>
        </w:div>
        <w:div w:id="257638590">
          <w:marLeft w:val="0"/>
          <w:marRight w:val="0"/>
          <w:marTop w:val="0"/>
          <w:marBottom w:val="0"/>
          <w:divBdr>
            <w:top w:val="none" w:sz="0" w:space="0" w:color="auto"/>
            <w:left w:val="none" w:sz="0" w:space="0" w:color="auto"/>
            <w:bottom w:val="none" w:sz="0" w:space="0" w:color="auto"/>
            <w:right w:val="none" w:sz="0" w:space="0" w:color="auto"/>
          </w:divBdr>
          <w:divsChild>
            <w:div w:id="1218276053">
              <w:marLeft w:val="0"/>
              <w:marRight w:val="0"/>
              <w:marTop w:val="0"/>
              <w:marBottom w:val="0"/>
              <w:divBdr>
                <w:top w:val="none" w:sz="0" w:space="0" w:color="auto"/>
                <w:left w:val="none" w:sz="0" w:space="0" w:color="auto"/>
                <w:bottom w:val="none" w:sz="0" w:space="0" w:color="auto"/>
                <w:right w:val="none" w:sz="0" w:space="0" w:color="auto"/>
              </w:divBdr>
            </w:div>
          </w:divsChild>
        </w:div>
        <w:div w:id="300691394">
          <w:marLeft w:val="0"/>
          <w:marRight w:val="0"/>
          <w:marTop w:val="0"/>
          <w:marBottom w:val="0"/>
          <w:divBdr>
            <w:top w:val="none" w:sz="0" w:space="0" w:color="auto"/>
            <w:left w:val="none" w:sz="0" w:space="0" w:color="auto"/>
            <w:bottom w:val="none" w:sz="0" w:space="0" w:color="auto"/>
            <w:right w:val="none" w:sz="0" w:space="0" w:color="auto"/>
          </w:divBdr>
          <w:divsChild>
            <w:div w:id="554439828">
              <w:marLeft w:val="0"/>
              <w:marRight w:val="0"/>
              <w:marTop w:val="0"/>
              <w:marBottom w:val="0"/>
              <w:divBdr>
                <w:top w:val="none" w:sz="0" w:space="0" w:color="auto"/>
                <w:left w:val="none" w:sz="0" w:space="0" w:color="auto"/>
                <w:bottom w:val="none" w:sz="0" w:space="0" w:color="auto"/>
                <w:right w:val="none" w:sz="0" w:space="0" w:color="auto"/>
              </w:divBdr>
            </w:div>
          </w:divsChild>
        </w:div>
        <w:div w:id="388116838">
          <w:marLeft w:val="0"/>
          <w:marRight w:val="0"/>
          <w:marTop w:val="0"/>
          <w:marBottom w:val="0"/>
          <w:divBdr>
            <w:top w:val="none" w:sz="0" w:space="0" w:color="auto"/>
            <w:left w:val="none" w:sz="0" w:space="0" w:color="auto"/>
            <w:bottom w:val="none" w:sz="0" w:space="0" w:color="auto"/>
            <w:right w:val="none" w:sz="0" w:space="0" w:color="auto"/>
          </w:divBdr>
          <w:divsChild>
            <w:div w:id="1919634051">
              <w:marLeft w:val="0"/>
              <w:marRight w:val="0"/>
              <w:marTop w:val="0"/>
              <w:marBottom w:val="0"/>
              <w:divBdr>
                <w:top w:val="none" w:sz="0" w:space="0" w:color="auto"/>
                <w:left w:val="none" w:sz="0" w:space="0" w:color="auto"/>
                <w:bottom w:val="none" w:sz="0" w:space="0" w:color="auto"/>
                <w:right w:val="none" w:sz="0" w:space="0" w:color="auto"/>
              </w:divBdr>
            </w:div>
          </w:divsChild>
        </w:div>
        <w:div w:id="419906611">
          <w:marLeft w:val="0"/>
          <w:marRight w:val="0"/>
          <w:marTop w:val="0"/>
          <w:marBottom w:val="0"/>
          <w:divBdr>
            <w:top w:val="none" w:sz="0" w:space="0" w:color="auto"/>
            <w:left w:val="none" w:sz="0" w:space="0" w:color="auto"/>
            <w:bottom w:val="none" w:sz="0" w:space="0" w:color="auto"/>
            <w:right w:val="none" w:sz="0" w:space="0" w:color="auto"/>
          </w:divBdr>
          <w:divsChild>
            <w:div w:id="785465953">
              <w:marLeft w:val="0"/>
              <w:marRight w:val="0"/>
              <w:marTop w:val="0"/>
              <w:marBottom w:val="0"/>
              <w:divBdr>
                <w:top w:val="none" w:sz="0" w:space="0" w:color="auto"/>
                <w:left w:val="none" w:sz="0" w:space="0" w:color="auto"/>
                <w:bottom w:val="none" w:sz="0" w:space="0" w:color="auto"/>
                <w:right w:val="none" w:sz="0" w:space="0" w:color="auto"/>
              </w:divBdr>
            </w:div>
          </w:divsChild>
        </w:div>
        <w:div w:id="493911782">
          <w:marLeft w:val="0"/>
          <w:marRight w:val="0"/>
          <w:marTop w:val="0"/>
          <w:marBottom w:val="0"/>
          <w:divBdr>
            <w:top w:val="none" w:sz="0" w:space="0" w:color="auto"/>
            <w:left w:val="none" w:sz="0" w:space="0" w:color="auto"/>
            <w:bottom w:val="none" w:sz="0" w:space="0" w:color="auto"/>
            <w:right w:val="none" w:sz="0" w:space="0" w:color="auto"/>
          </w:divBdr>
          <w:divsChild>
            <w:div w:id="1935547775">
              <w:marLeft w:val="0"/>
              <w:marRight w:val="0"/>
              <w:marTop w:val="0"/>
              <w:marBottom w:val="0"/>
              <w:divBdr>
                <w:top w:val="none" w:sz="0" w:space="0" w:color="auto"/>
                <w:left w:val="none" w:sz="0" w:space="0" w:color="auto"/>
                <w:bottom w:val="none" w:sz="0" w:space="0" w:color="auto"/>
                <w:right w:val="none" w:sz="0" w:space="0" w:color="auto"/>
              </w:divBdr>
            </w:div>
          </w:divsChild>
        </w:div>
        <w:div w:id="571038647">
          <w:marLeft w:val="0"/>
          <w:marRight w:val="0"/>
          <w:marTop w:val="0"/>
          <w:marBottom w:val="0"/>
          <w:divBdr>
            <w:top w:val="none" w:sz="0" w:space="0" w:color="auto"/>
            <w:left w:val="none" w:sz="0" w:space="0" w:color="auto"/>
            <w:bottom w:val="none" w:sz="0" w:space="0" w:color="auto"/>
            <w:right w:val="none" w:sz="0" w:space="0" w:color="auto"/>
          </w:divBdr>
          <w:divsChild>
            <w:div w:id="107354815">
              <w:marLeft w:val="0"/>
              <w:marRight w:val="0"/>
              <w:marTop w:val="0"/>
              <w:marBottom w:val="0"/>
              <w:divBdr>
                <w:top w:val="none" w:sz="0" w:space="0" w:color="auto"/>
                <w:left w:val="none" w:sz="0" w:space="0" w:color="auto"/>
                <w:bottom w:val="none" w:sz="0" w:space="0" w:color="auto"/>
                <w:right w:val="none" w:sz="0" w:space="0" w:color="auto"/>
              </w:divBdr>
            </w:div>
          </w:divsChild>
        </w:div>
        <w:div w:id="627736385">
          <w:marLeft w:val="0"/>
          <w:marRight w:val="0"/>
          <w:marTop w:val="0"/>
          <w:marBottom w:val="0"/>
          <w:divBdr>
            <w:top w:val="none" w:sz="0" w:space="0" w:color="auto"/>
            <w:left w:val="none" w:sz="0" w:space="0" w:color="auto"/>
            <w:bottom w:val="none" w:sz="0" w:space="0" w:color="auto"/>
            <w:right w:val="none" w:sz="0" w:space="0" w:color="auto"/>
          </w:divBdr>
          <w:divsChild>
            <w:div w:id="1653489729">
              <w:marLeft w:val="0"/>
              <w:marRight w:val="0"/>
              <w:marTop w:val="0"/>
              <w:marBottom w:val="0"/>
              <w:divBdr>
                <w:top w:val="none" w:sz="0" w:space="0" w:color="auto"/>
                <w:left w:val="none" w:sz="0" w:space="0" w:color="auto"/>
                <w:bottom w:val="none" w:sz="0" w:space="0" w:color="auto"/>
                <w:right w:val="none" w:sz="0" w:space="0" w:color="auto"/>
              </w:divBdr>
            </w:div>
          </w:divsChild>
        </w:div>
        <w:div w:id="872813486">
          <w:marLeft w:val="0"/>
          <w:marRight w:val="0"/>
          <w:marTop w:val="0"/>
          <w:marBottom w:val="0"/>
          <w:divBdr>
            <w:top w:val="none" w:sz="0" w:space="0" w:color="auto"/>
            <w:left w:val="none" w:sz="0" w:space="0" w:color="auto"/>
            <w:bottom w:val="none" w:sz="0" w:space="0" w:color="auto"/>
            <w:right w:val="none" w:sz="0" w:space="0" w:color="auto"/>
          </w:divBdr>
          <w:divsChild>
            <w:div w:id="1552110889">
              <w:marLeft w:val="0"/>
              <w:marRight w:val="0"/>
              <w:marTop w:val="0"/>
              <w:marBottom w:val="0"/>
              <w:divBdr>
                <w:top w:val="none" w:sz="0" w:space="0" w:color="auto"/>
                <w:left w:val="none" w:sz="0" w:space="0" w:color="auto"/>
                <w:bottom w:val="none" w:sz="0" w:space="0" w:color="auto"/>
                <w:right w:val="none" w:sz="0" w:space="0" w:color="auto"/>
              </w:divBdr>
            </w:div>
          </w:divsChild>
        </w:div>
        <w:div w:id="920408890">
          <w:marLeft w:val="0"/>
          <w:marRight w:val="0"/>
          <w:marTop w:val="0"/>
          <w:marBottom w:val="0"/>
          <w:divBdr>
            <w:top w:val="none" w:sz="0" w:space="0" w:color="auto"/>
            <w:left w:val="none" w:sz="0" w:space="0" w:color="auto"/>
            <w:bottom w:val="none" w:sz="0" w:space="0" w:color="auto"/>
            <w:right w:val="none" w:sz="0" w:space="0" w:color="auto"/>
          </w:divBdr>
          <w:divsChild>
            <w:div w:id="386072651">
              <w:marLeft w:val="0"/>
              <w:marRight w:val="0"/>
              <w:marTop w:val="0"/>
              <w:marBottom w:val="0"/>
              <w:divBdr>
                <w:top w:val="none" w:sz="0" w:space="0" w:color="auto"/>
                <w:left w:val="none" w:sz="0" w:space="0" w:color="auto"/>
                <w:bottom w:val="none" w:sz="0" w:space="0" w:color="auto"/>
                <w:right w:val="none" w:sz="0" w:space="0" w:color="auto"/>
              </w:divBdr>
            </w:div>
          </w:divsChild>
        </w:div>
        <w:div w:id="1136412414">
          <w:marLeft w:val="0"/>
          <w:marRight w:val="0"/>
          <w:marTop w:val="0"/>
          <w:marBottom w:val="0"/>
          <w:divBdr>
            <w:top w:val="none" w:sz="0" w:space="0" w:color="auto"/>
            <w:left w:val="none" w:sz="0" w:space="0" w:color="auto"/>
            <w:bottom w:val="none" w:sz="0" w:space="0" w:color="auto"/>
            <w:right w:val="none" w:sz="0" w:space="0" w:color="auto"/>
          </w:divBdr>
          <w:divsChild>
            <w:div w:id="1671831376">
              <w:marLeft w:val="0"/>
              <w:marRight w:val="0"/>
              <w:marTop w:val="0"/>
              <w:marBottom w:val="0"/>
              <w:divBdr>
                <w:top w:val="none" w:sz="0" w:space="0" w:color="auto"/>
                <w:left w:val="none" w:sz="0" w:space="0" w:color="auto"/>
                <w:bottom w:val="none" w:sz="0" w:space="0" w:color="auto"/>
                <w:right w:val="none" w:sz="0" w:space="0" w:color="auto"/>
              </w:divBdr>
            </w:div>
          </w:divsChild>
        </w:div>
        <w:div w:id="1142431299">
          <w:marLeft w:val="0"/>
          <w:marRight w:val="0"/>
          <w:marTop w:val="0"/>
          <w:marBottom w:val="0"/>
          <w:divBdr>
            <w:top w:val="none" w:sz="0" w:space="0" w:color="auto"/>
            <w:left w:val="none" w:sz="0" w:space="0" w:color="auto"/>
            <w:bottom w:val="none" w:sz="0" w:space="0" w:color="auto"/>
            <w:right w:val="none" w:sz="0" w:space="0" w:color="auto"/>
          </w:divBdr>
          <w:divsChild>
            <w:div w:id="196891572">
              <w:marLeft w:val="0"/>
              <w:marRight w:val="0"/>
              <w:marTop w:val="0"/>
              <w:marBottom w:val="0"/>
              <w:divBdr>
                <w:top w:val="none" w:sz="0" w:space="0" w:color="auto"/>
                <w:left w:val="none" w:sz="0" w:space="0" w:color="auto"/>
                <w:bottom w:val="none" w:sz="0" w:space="0" w:color="auto"/>
                <w:right w:val="none" w:sz="0" w:space="0" w:color="auto"/>
              </w:divBdr>
            </w:div>
          </w:divsChild>
        </w:div>
        <w:div w:id="1167162834">
          <w:marLeft w:val="0"/>
          <w:marRight w:val="0"/>
          <w:marTop w:val="0"/>
          <w:marBottom w:val="0"/>
          <w:divBdr>
            <w:top w:val="none" w:sz="0" w:space="0" w:color="auto"/>
            <w:left w:val="none" w:sz="0" w:space="0" w:color="auto"/>
            <w:bottom w:val="none" w:sz="0" w:space="0" w:color="auto"/>
            <w:right w:val="none" w:sz="0" w:space="0" w:color="auto"/>
          </w:divBdr>
          <w:divsChild>
            <w:div w:id="327488985">
              <w:marLeft w:val="0"/>
              <w:marRight w:val="0"/>
              <w:marTop w:val="0"/>
              <w:marBottom w:val="0"/>
              <w:divBdr>
                <w:top w:val="none" w:sz="0" w:space="0" w:color="auto"/>
                <w:left w:val="none" w:sz="0" w:space="0" w:color="auto"/>
                <w:bottom w:val="none" w:sz="0" w:space="0" w:color="auto"/>
                <w:right w:val="none" w:sz="0" w:space="0" w:color="auto"/>
              </w:divBdr>
            </w:div>
          </w:divsChild>
        </w:div>
        <w:div w:id="1225918688">
          <w:marLeft w:val="0"/>
          <w:marRight w:val="0"/>
          <w:marTop w:val="0"/>
          <w:marBottom w:val="0"/>
          <w:divBdr>
            <w:top w:val="none" w:sz="0" w:space="0" w:color="auto"/>
            <w:left w:val="none" w:sz="0" w:space="0" w:color="auto"/>
            <w:bottom w:val="none" w:sz="0" w:space="0" w:color="auto"/>
            <w:right w:val="none" w:sz="0" w:space="0" w:color="auto"/>
          </w:divBdr>
          <w:divsChild>
            <w:div w:id="1384136857">
              <w:marLeft w:val="0"/>
              <w:marRight w:val="0"/>
              <w:marTop w:val="0"/>
              <w:marBottom w:val="0"/>
              <w:divBdr>
                <w:top w:val="none" w:sz="0" w:space="0" w:color="auto"/>
                <w:left w:val="none" w:sz="0" w:space="0" w:color="auto"/>
                <w:bottom w:val="none" w:sz="0" w:space="0" w:color="auto"/>
                <w:right w:val="none" w:sz="0" w:space="0" w:color="auto"/>
              </w:divBdr>
            </w:div>
          </w:divsChild>
        </w:div>
        <w:div w:id="1242564774">
          <w:marLeft w:val="0"/>
          <w:marRight w:val="0"/>
          <w:marTop w:val="0"/>
          <w:marBottom w:val="0"/>
          <w:divBdr>
            <w:top w:val="none" w:sz="0" w:space="0" w:color="auto"/>
            <w:left w:val="none" w:sz="0" w:space="0" w:color="auto"/>
            <w:bottom w:val="none" w:sz="0" w:space="0" w:color="auto"/>
            <w:right w:val="none" w:sz="0" w:space="0" w:color="auto"/>
          </w:divBdr>
          <w:divsChild>
            <w:div w:id="438573957">
              <w:marLeft w:val="0"/>
              <w:marRight w:val="0"/>
              <w:marTop w:val="0"/>
              <w:marBottom w:val="0"/>
              <w:divBdr>
                <w:top w:val="none" w:sz="0" w:space="0" w:color="auto"/>
                <w:left w:val="none" w:sz="0" w:space="0" w:color="auto"/>
                <w:bottom w:val="none" w:sz="0" w:space="0" w:color="auto"/>
                <w:right w:val="none" w:sz="0" w:space="0" w:color="auto"/>
              </w:divBdr>
            </w:div>
          </w:divsChild>
        </w:div>
        <w:div w:id="1299729045">
          <w:marLeft w:val="0"/>
          <w:marRight w:val="0"/>
          <w:marTop w:val="0"/>
          <w:marBottom w:val="0"/>
          <w:divBdr>
            <w:top w:val="none" w:sz="0" w:space="0" w:color="auto"/>
            <w:left w:val="none" w:sz="0" w:space="0" w:color="auto"/>
            <w:bottom w:val="none" w:sz="0" w:space="0" w:color="auto"/>
            <w:right w:val="none" w:sz="0" w:space="0" w:color="auto"/>
          </w:divBdr>
          <w:divsChild>
            <w:div w:id="1907451453">
              <w:marLeft w:val="0"/>
              <w:marRight w:val="0"/>
              <w:marTop w:val="0"/>
              <w:marBottom w:val="0"/>
              <w:divBdr>
                <w:top w:val="none" w:sz="0" w:space="0" w:color="auto"/>
                <w:left w:val="none" w:sz="0" w:space="0" w:color="auto"/>
                <w:bottom w:val="none" w:sz="0" w:space="0" w:color="auto"/>
                <w:right w:val="none" w:sz="0" w:space="0" w:color="auto"/>
              </w:divBdr>
            </w:div>
          </w:divsChild>
        </w:div>
        <w:div w:id="1342706468">
          <w:marLeft w:val="0"/>
          <w:marRight w:val="0"/>
          <w:marTop w:val="0"/>
          <w:marBottom w:val="0"/>
          <w:divBdr>
            <w:top w:val="none" w:sz="0" w:space="0" w:color="auto"/>
            <w:left w:val="none" w:sz="0" w:space="0" w:color="auto"/>
            <w:bottom w:val="none" w:sz="0" w:space="0" w:color="auto"/>
            <w:right w:val="none" w:sz="0" w:space="0" w:color="auto"/>
          </w:divBdr>
          <w:divsChild>
            <w:div w:id="462046612">
              <w:marLeft w:val="0"/>
              <w:marRight w:val="0"/>
              <w:marTop w:val="0"/>
              <w:marBottom w:val="0"/>
              <w:divBdr>
                <w:top w:val="none" w:sz="0" w:space="0" w:color="auto"/>
                <w:left w:val="none" w:sz="0" w:space="0" w:color="auto"/>
                <w:bottom w:val="none" w:sz="0" w:space="0" w:color="auto"/>
                <w:right w:val="none" w:sz="0" w:space="0" w:color="auto"/>
              </w:divBdr>
            </w:div>
          </w:divsChild>
        </w:div>
        <w:div w:id="1395080774">
          <w:marLeft w:val="0"/>
          <w:marRight w:val="0"/>
          <w:marTop w:val="0"/>
          <w:marBottom w:val="0"/>
          <w:divBdr>
            <w:top w:val="none" w:sz="0" w:space="0" w:color="auto"/>
            <w:left w:val="none" w:sz="0" w:space="0" w:color="auto"/>
            <w:bottom w:val="none" w:sz="0" w:space="0" w:color="auto"/>
            <w:right w:val="none" w:sz="0" w:space="0" w:color="auto"/>
          </w:divBdr>
          <w:divsChild>
            <w:div w:id="1329480410">
              <w:marLeft w:val="0"/>
              <w:marRight w:val="0"/>
              <w:marTop w:val="0"/>
              <w:marBottom w:val="0"/>
              <w:divBdr>
                <w:top w:val="none" w:sz="0" w:space="0" w:color="auto"/>
                <w:left w:val="none" w:sz="0" w:space="0" w:color="auto"/>
                <w:bottom w:val="none" w:sz="0" w:space="0" w:color="auto"/>
                <w:right w:val="none" w:sz="0" w:space="0" w:color="auto"/>
              </w:divBdr>
            </w:div>
          </w:divsChild>
        </w:div>
        <w:div w:id="1403598065">
          <w:marLeft w:val="0"/>
          <w:marRight w:val="0"/>
          <w:marTop w:val="0"/>
          <w:marBottom w:val="0"/>
          <w:divBdr>
            <w:top w:val="none" w:sz="0" w:space="0" w:color="auto"/>
            <w:left w:val="none" w:sz="0" w:space="0" w:color="auto"/>
            <w:bottom w:val="none" w:sz="0" w:space="0" w:color="auto"/>
            <w:right w:val="none" w:sz="0" w:space="0" w:color="auto"/>
          </w:divBdr>
          <w:divsChild>
            <w:div w:id="338774413">
              <w:marLeft w:val="0"/>
              <w:marRight w:val="0"/>
              <w:marTop w:val="0"/>
              <w:marBottom w:val="0"/>
              <w:divBdr>
                <w:top w:val="none" w:sz="0" w:space="0" w:color="auto"/>
                <w:left w:val="none" w:sz="0" w:space="0" w:color="auto"/>
                <w:bottom w:val="none" w:sz="0" w:space="0" w:color="auto"/>
                <w:right w:val="none" w:sz="0" w:space="0" w:color="auto"/>
              </w:divBdr>
            </w:div>
          </w:divsChild>
        </w:div>
        <w:div w:id="1462071250">
          <w:marLeft w:val="0"/>
          <w:marRight w:val="0"/>
          <w:marTop w:val="0"/>
          <w:marBottom w:val="0"/>
          <w:divBdr>
            <w:top w:val="none" w:sz="0" w:space="0" w:color="auto"/>
            <w:left w:val="none" w:sz="0" w:space="0" w:color="auto"/>
            <w:bottom w:val="none" w:sz="0" w:space="0" w:color="auto"/>
            <w:right w:val="none" w:sz="0" w:space="0" w:color="auto"/>
          </w:divBdr>
          <w:divsChild>
            <w:div w:id="167333585">
              <w:marLeft w:val="0"/>
              <w:marRight w:val="0"/>
              <w:marTop w:val="0"/>
              <w:marBottom w:val="0"/>
              <w:divBdr>
                <w:top w:val="none" w:sz="0" w:space="0" w:color="auto"/>
                <w:left w:val="none" w:sz="0" w:space="0" w:color="auto"/>
                <w:bottom w:val="none" w:sz="0" w:space="0" w:color="auto"/>
                <w:right w:val="none" w:sz="0" w:space="0" w:color="auto"/>
              </w:divBdr>
            </w:div>
          </w:divsChild>
        </w:div>
        <w:div w:id="1780220164">
          <w:marLeft w:val="0"/>
          <w:marRight w:val="0"/>
          <w:marTop w:val="0"/>
          <w:marBottom w:val="0"/>
          <w:divBdr>
            <w:top w:val="none" w:sz="0" w:space="0" w:color="auto"/>
            <w:left w:val="none" w:sz="0" w:space="0" w:color="auto"/>
            <w:bottom w:val="none" w:sz="0" w:space="0" w:color="auto"/>
            <w:right w:val="none" w:sz="0" w:space="0" w:color="auto"/>
          </w:divBdr>
          <w:divsChild>
            <w:div w:id="2077124548">
              <w:marLeft w:val="0"/>
              <w:marRight w:val="0"/>
              <w:marTop w:val="0"/>
              <w:marBottom w:val="0"/>
              <w:divBdr>
                <w:top w:val="none" w:sz="0" w:space="0" w:color="auto"/>
                <w:left w:val="none" w:sz="0" w:space="0" w:color="auto"/>
                <w:bottom w:val="none" w:sz="0" w:space="0" w:color="auto"/>
                <w:right w:val="none" w:sz="0" w:space="0" w:color="auto"/>
              </w:divBdr>
            </w:div>
          </w:divsChild>
        </w:div>
        <w:div w:id="1797026022">
          <w:marLeft w:val="0"/>
          <w:marRight w:val="0"/>
          <w:marTop w:val="0"/>
          <w:marBottom w:val="0"/>
          <w:divBdr>
            <w:top w:val="none" w:sz="0" w:space="0" w:color="auto"/>
            <w:left w:val="none" w:sz="0" w:space="0" w:color="auto"/>
            <w:bottom w:val="none" w:sz="0" w:space="0" w:color="auto"/>
            <w:right w:val="none" w:sz="0" w:space="0" w:color="auto"/>
          </w:divBdr>
          <w:divsChild>
            <w:div w:id="882520534">
              <w:marLeft w:val="0"/>
              <w:marRight w:val="0"/>
              <w:marTop w:val="0"/>
              <w:marBottom w:val="0"/>
              <w:divBdr>
                <w:top w:val="none" w:sz="0" w:space="0" w:color="auto"/>
                <w:left w:val="none" w:sz="0" w:space="0" w:color="auto"/>
                <w:bottom w:val="none" w:sz="0" w:space="0" w:color="auto"/>
                <w:right w:val="none" w:sz="0" w:space="0" w:color="auto"/>
              </w:divBdr>
            </w:div>
          </w:divsChild>
        </w:div>
        <w:div w:id="1817716895">
          <w:marLeft w:val="0"/>
          <w:marRight w:val="0"/>
          <w:marTop w:val="0"/>
          <w:marBottom w:val="0"/>
          <w:divBdr>
            <w:top w:val="none" w:sz="0" w:space="0" w:color="auto"/>
            <w:left w:val="none" w:sz="0" w:space="0" w:color="auto"/>
            <w:bottom w:val="none" w:sz="0" w:space="0" w:color="auto"/>
            <w:right w:val="none" w:sz="0" w:space="0" w:color="auto"/>
          </w:divBdr>
          <w:divsChild>
            <w:div w:id="1391267530">
              <w:marLeft w:val="0"/>
              <w:marRight w:val="0"/>
              <w:marTop w:val="0"/>
              <w:marBottom w:val="0"/>
              <w:divBdr>
                <w:top w:val="none" w:sz="0" w:space="0" w:color="auto"/>
                <w:left w:val="none" w:sz="0" w:space="0" w:color="auto"/>
                <w:bottom w:val="none" w:sz="0" w:space="0" w:color="auto"/>
                <w:right w:val="none" w:sz="0" w:space="0" w:color="auto"/>
              </w:divBdr>
            </w:div>
          </w:divsChild>
        </w:div>
        <w:div w:id="1819305310">
          <w:marLeft w:val="0"/>
          <w:marRight w:val="0"/>
          <w:marTop w:val="0"/>
          <w:marBottom w:val="0"/>
          <w:divBdr>
            <w:top w:val="none" w:sz="0" w:space="0" w:color="auto"/>
            <w:left w:val="none" w:sz="0" w:space="0" w:color="auto"/>
            <w:bottom w:val="none" w:sz="0" w:space="0" w:color="auto"/>
            <w:right w:val="none" w:sz="0" w:space="0" w:color="auto"/>
          </w:divBdr>
          <w:divsChild>
            <w:div w:id="10685430">
              <w:marLeft w:val="0"/>
              <w:marRight w:val="0"/>
              <w:marTop w:val="0"/>
              <w:marBottom w:val="0"/>
              <w:divBdr>
                <w:top w:val="none" w:sz="0" w:space="0" w:color="auto"/>
                <w:left w:val="none" w:sz="0" w:space="0" w:color="auto"/>
                <w:bottom w:val="none" w:sz="0" w:space="0" w:color="auto"/>
                <w:right w:val="none" w:sz="0" w:space="0" w:color="auto"/>
              </w:divBdr>
            </w:div>
          </w:divsChild>
        </w:div>
        <w:div w:id="1850750203">
          <w:marLeft w:val="0"/>
          <w:marRight w:val="0"/>
          <w:marTop w:val="0"/>
          <w:marBottom w:val="0"/>
          <w:divBdr>
            <w:top w:val="none" w:sz="0" w:space="0" w:color="auto"/>
            <w:left w:val="none" w:sz="0" w:space="0" w:color="auto"/>
            <w:bottom w:val="none" w:sz="0" w:space="0" w:color="auto"/>
            <w:right w:val="none" w:sz="0" w:space="0" w:color="auto"/>
          </w:divBdr>
          <w:divsChild>
            <w:div w:id="1213346593">
              <w:marLeft w:val="0"/>
              <w:marRight w:val="0"/>
              <w:marTop w:val="0"/>
              <w:marBottom w:val="0"/>
              <w:divBdr>
                <w:top w:val="none" w:sz="0" w:space="0" w:color="auto"/>
                <w:left w:val="none" w:sz="0" w:space="0" w:color="auto"/>
                <w:bottom w:val="none" w:sz="0" w:space="0" w:color="auto"/>
                <w:right w:val="none" w:sz="0" w:space="0" w:color="auto"/>
              </w:divBdr>
            </w:div>
            <w:div w:id="2128504889">
              <w:marLeft w:val="0"/>
              <w:marRight w:val="0"/>
              <w:marTop w:val="0"/>
              <w:marBottom w:val="0"/>
              <w:divBdr>
                <w:top w:val="none" w:sz="0" w:space="0" w:color="auto"/>
                <w:left w:val="none" w:sz="0" w:space="0" w:color="auto"/>
                <w:bottom w:val="none" w:sz="0" w:space="0" w:color="auto"/>
                <w:right w:val="none" w:sz="0" w:space="0" w:color="auto"/>
              </w:divBdr>
            </w:div>
          </w:divsChild>
        </w:div>
        <w:div w:id="1850949060">
          <w:marLeft w:val="0"/>
          <w:marRight w:val="0"/>
          <w:marTop w:val="0"/>
          <w:marBottom w:val="0"/>
          <w:divBdr>
            <w:top w:val="none" w:sz="0" w:space="0" w:color="auto"/>
            <w:left w:val="none" w:sz="0" w:space="0" w:color="auto"/>
            <w:bottom w:val="none" w:sz="0" w:space="0" w:color="auto"/>
            <w:right w:val="none" w:sz="0" w:space="0" w:color="auto"/>
          </w:divBdr>
          <w:divsChild>
            <w:div w:id="1909917059">
              <w:marLeft w:val="0"/>
              <w:marRight w:val="0"/>
              <w:marTop w:val="0"/>
              <w:marBottom w:val="0"/>
              <w:divBdr>
                <w:top w:val="none" w:sz="0" w:space="0" w:color="auto"/>
                <w:left w:val="none" w:sz="0" w:space="0" w:color="auto"/>
                <w:bottom w:val="none" w:sz="0" w:space="0" w:color="auto"/>
                <w:right w:val="none" w:sz="0" w:space="0" w:color="auto"/>
              </w:divBdr>
            </w:div>
          </w:divsChild>
        </w:div>
        <w:div w:id="1951812408">
          <w:marLeft w:val="0"/>
          <w:marRight w:val="0"/>
          <w:marTop w:val="0"/>
          <w:marBottom w:val="0"/>
          <w:divBdr>
            <w:top w:val="none" w:sz="0" w:space="0" w:color="auto"/>
            <w:left w:val="none" w:sz="0" w:space="0" w:color="auto"/>
            <w:bottom w:val="none" w:sz="0" w:space="0" w:color="auto"/>
            <w:right w:val="none" w:sz="0" w:space="0" w:color="auto"/>
          </w:divBdr>
          <w:divsChild>
            <w:div w:id="2069263184">
              <w:marLeft w:val="0"/>
              <w:marRight w:val="0"/>
              <w:marTop w:val="0"/>
              <w:marBottom w:val="0"/>
              <w:divBdr>
                <w:top w:val="none" w:sz="0" w:space="0" w:color="auto"/>
                <w:left w:val="none" w:sz="0" w:space="0" w:color="auto"/>
                <w:bottom w:val="none" w:sz="0" w:space="0" w:color="auto"/>
                <w:right w:val="none" w:sz="0" w:space="0" w:color="auto"/>
              </w:divBdr>
            </w:div>
          </w:divsChild>
        </w:div>
        <w:div w:id="1963342851">
          <w:marLeft w:val="0"/>
          <w:marRight w:val="0"/>
          <w:marTop w:val="0"/>
          <w:marBottom w:val="0"/>
          <w:divBdr>
            <w:top w:val="none" w:sz="0" w:space="0" w:color="auto"/>
            <w:left w:val="none" w:sz="0" w:space="0" w:color="auto"/>
            <w:bottom w:val="none" w:sz="0" w:space="0" w:color="auto"/>
            <w:right w:val="none" w:sz="0" w:space="0" w:color="auto"/>
          </w:divBdr>
          <w:divsChild>
            <w:div w:id="17870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9424">
      <w:bodyDiv w:val="1"/>
      <w:marLeft w:val="0"/>
      <w:marRight w:val="0"/>
      <w:marTop w:val="0"/>
      <w:marBottom w:val="0"/>
      <w:divBdr>
        <w:top w:val="none" w:sz="0" w:space="0" w:color="auto"/>
        <w:left w:val="none" w:sz="0" w:space="0" w:color="auto"/>
        <w:bottom w:val="none" w:sz="0" w:space="0" w:color="auto"/>
        <w:right w:val="none" w:sz="0" w:space="0" w:color="auto"/>
      </w:divBdr>
    </w:div>
    <w:div w:id="443773124">
      <w:bodyDiv w:val="1"/>
      <w:marLeft w:val="0"/>
      <w:marRight w:val="0"/>
      <w:marTop w:val="0"/>
      <w:marBottom w:val="0"/>
      <w:divBdr>
        <w:top w:val="none" w:sz="0" w:space="0" w:color="auto"/>
        <w:left w:val="none" w:sz="0" w:space="0" w:color="auto"/>
        <w:bottom w:val="none" w:sz="0" w:space="0" w:color="auto"/>
        <w:right w:val="none" w:sz="0" w:space="0" w:color="auto"/>
      </w:divBdr>
    </w:div>
    <w:div w:id="504246554">
      <w:bodyDiv w:val="1"/>
      <w:marLeft w:val="0"/>
      <w:marRight w:val="0"/>
      <w:marTop w:val="0"/>
      <w:marBottom w:val="0"/>
      <w:divBdr>
        <w:top w:val="none" w:sz="0" w:space="0" w:color="auto"/>
        <w:left w:val="none" w:sz="0" w:space="0" w:color="auto"/>
        <w:bottom w:val="none" w:sz="0" w:space="0" w:color="auto"/>
        <w:right w:val="none" w:sz="0" w:space="0" w:color="auto"/>
      </w:divBdr>
    </w:div>
    <w:div w:id="642858479">
      <w:bodyDiv w:val="1"/>
      <w:marLeft w:val="0"/>
      <w:marRight w:val="0"/>
      <w:marTop w:val="0"/>
      <w:marBottom w:val="0"/>
      <w:divBdr>
        <w:top w:val="none" w:sz="0" w:space="0" w:color="auto"/>
        <w:left w:val="none" w:sz="0" w:space="0" w:color="auto"/>
        <w:bottom w:val="none" w:sz="0" w:space="0" w:color="auto"/>
        <w:right w:val="none" w:sz="0" w:space="0" w:color="auto"/>
      </w:divBdr>
      <w:divsChild>
        <w:div w:id="12923870">
          <w:marLeft w:val="0"/>
          <w:marRight w:val="0"/>
          <w:marTop w:val="0"/>
          <w:marBottom w:val="0"/>
          <w:divBdr>
            <w:top w:val="none" w:sz="0" w:space="0" w:color="auto"/>
            <w:left w:val="none" w:sz="0" w:space="0" w:color="auto"/>
            <w:bottom w:val="none" w:sz="0" w:space="0" w:color="auto"/>
            <w:right w:val="none" w:sz="0" w:space="0" w:color="auto"/>
          </w:divBdr>
          <w:divsChild>
            <w:div w:id="404687979">
              <w:marLeft w:val="0"/>
              <w:marRight w:val="0"/>
              <w:marTop w:val="0"/>
              <w:marBottom w:val="0"/>
              <w:divBdr>
                <w:top w:val="none" w:sz="0" w:space="0" w:color="auto"/>
                <w:left w:val="none" w:sz="0" w:space="0" w:color="auto"/>
                <w:bottom w:val="none" w:sz="0" w:space="0" w:color="auto"/>
                <w:right w:val="none" w:sz="0" w:space="0" w:color="auto"/>
              </w:divBdr>
            </w:div>
          </w:divsChild>
        </w:div>
        <w:div w:id="24647499">
          <w:marLeft w:val="0"/>
          <w:marRight w:val="0"/>
          <w:marTop w:val="0"/>
          <w:marBottom w:val="0"/>
          <w:divBdr>
            <w:top w:val="none" w:sz="0" w:space="0" w:color="auto"/>
            <w:left w:val="none" w:sz="0" w:space="0" w:color="auto"/>
            <w:bottom w:val="none" w:sz="0" w:space="0" w:color="auto"/>
            <w:right w:val="none" w:sz="0" w:space="0" w:color="auto"/>
          </w:divBdr>
          <w:divsChild>
            <w:div w:id="1012997185">
              <w:marLeft w:val="0"/>
              <w:marRight w:val="0"/>
              <w:marTop w:val="0"/>
              <w:marBottom w:val="0"/>
              <w:divBdr>
                <w:top w:val="none" w:sz="0" w:space="0" w:color="auto"/>
                <w:left w:val="none" w:sz="0" w:space="0" w:color="auto"/>
                <w:bottom w:val="none" w:sz="0" w:space="0" w:color="auto"/>
                <w:right w:val="none" w:sz="0" w:space="0" w:color="auto"/>
              </w:divBdr>
            </w:div>
          </w:divsChild>
        </w:div>
        <w:div w:id="40253617">
          <w:marLeft w:val="0"/>
          <w:marRight w:val="0"/>
          <w:marTop w:val="0"/>
          <w:marBottom w:val="0"/>
          <w:divBdr>
            <w:top w:val="none" w:sz="0" w:space="0" w:color="auto"/>
            <w:left w:val="none" w:sz="0" w:space="0" w:color="auto"/>
            <w:bottom w:val="none" w:sz="0" w:space="0" w:color="auto"/>
            <w:right w:val="none" w:sz="0" w:space="0" w:color="auto"/>
          </w:divBdr>
          <w:divsChild>
            <w:div w:id="1506092158">
              <w:marLeft w:val="0"/>
              <w:marRight w:val="0"/>
              <w:marTop w:val="0"/>
              <w:marBottom w:val="0"/>
              <w:divBdr>
                <w:top w:val="none" w:sz="0" w:space="0" w:color="auto"/>
                <w:left w:val="none" w:sz="0" w:space="0" w:color="auto"/>
                <w:bottom w:val="none" w:sz="0" w:space="0" w:color="auto"/>
                <w:right w:val="none" w:sz="0" w:space="0" w:color="auto"/>
              </w:divBdr>
            </w:div>
          </w:divsChild>
        </w:div>
        <w:div w:id="88932756">
          <w:marLeft w:val="0"/>
          <w:marRight w:val="0"/>
          <w:marTop w:val="0"/>
          <w:marBottom w:val="0"/>
          <w:divBdr>
            <w:top w:val="none" w:sz="0" w:space="0" w:color="auto"/>
            <w:left w:val="none" w:sz="0" w:space="0" w:color="auto"/>
            <w:bottom w:val="none" w:sz="0" w:space="0" w:color="auto"/>
            <w:right w:val="none" w:sz="0" w:space="0" w:color="auto"/>
          </w:divBdr>
          <w:divsChild>
            <w:div w:id="829637567">
              <w:marLeft w:val="0"/>
              <w:marRight w:val="0"/>
              <w:marTop w:val="0"/>
              <w:marBottom w:val="0"/>
              <w:divBdr>
                <w:top w:val="none" w:sz="0" w:space="0" w:color="auto"/>
                <w:left w:val="none" w:sz="0" w:space="0" w:color="auto"/>
                <w:bottom w:val="none" w:sz="0" w:space="0" w:color="auto"/>
                <w:right w:val="none" w:sz="0" w:space="0" w:color="auto"/>
              </w:divBdr>
            </w:div>
          </w:divsChild>
        </w:div>
        <w:div w:id="177548424">
          <w:marLeft w:val="0"/>
          <w:marRight w:val="0"/>
          <w:marTop w:val="0"/>
          <w:marBottom w:val="0"/>
          <w:divBdr>
            <w:top w:val="none" w:sz="0" w:space="0" w:color="auto"/>
            <w:left w:val="none" w:sz="0" w:space="0" w:color="auto"/>
            <w:bottom w:val="none" w:sz="0" w:space="0" w:color="auto"/>
            <w:right w:val="none" w:sz="0" w:space="0" w:color="auto"/>
          </w:divBdr>
          <w:divsChild>
            <w:div w:id="386998571">
              <w:marLeft w:val="0"/>
              <w:marRight w:val="0"/>
              <w:marTop w:val="0"/>
              <w:marBottom w:val="0"/>
              <w:divBdr>
                <w:top w:val="none" w:sz="0" w:space="0" w:color="auto"/>
                <w:left w:val="none" w:sz="0" w:space="0" w:color="auto"/>
                <w:bottom w:val="none" w:sz="0" w:space="0" w:color="auto"/>
                <w:right w:val="none" w:sz="0" w:space="0" w:color="auto"/>
              </w:divBdr>
            </w:div>
          </w:divsChild>
        </w:div>
        <w:div w:id="178351280">
          <w:marLeft w:val="0"/>
          <w:marRight w:val="0"/>
          <w:marTop w:val="0"/>
          <w:marBottom w:val="0"/>
          <w:divBdr>
            <w:top w:val="none" w:sz="0" w:space="0" w:color="auto"/>
            <w:left w:val="none" w:sz="0" w:space="0" w:color="auto"/>
            <w:bottom w:val="none" w:sz="0" w:space="0" w:color="auto"/>
            <w:right w:val="none" w:sz="0" w:space="0" w:color="auto"/>
          </w:divBdr>
          <w:divsChild>
            <w:div w:id="1694498866">
              <w:marLeft w:val="0"/>
              <w:marRight w:val="0"/>
              <w:marTop w:val="0"/>
              <w:marBottom w:val="0"/>
              <w:divBdr>
                <w:top w:val="none" w:sz="0" w:space="0" w:color="auto"/>
                <w:left w:val="none" w:sz="0" w:space="0" w:color="auto"/>
                <w:bottom w:val="none" w:sz="0" w:space="0" w:color="auto"/>
                <w:right w:val="none" w:sz="0" w:space="0" w:color="auto"/>
              </w:divBdr>
            </w:div>
          </w:divsChild>
        </w:div>
        <w:div w:id="604848889">
          <w:marLeft w:val="0"/>
          <w:marRight w:val="0"/>
          <w:marTop w:val="0"/>
          <w:marBottom w:val="0"/>
          <w:divBdr>
            <w:top w:val="none" w:sz="0" w:space="0" w:color="auto"/>
            <w:left w:val="none" w:sz="0" w:space="0" w:color="auto"/>
            <w:bottom w:val="none" w:sz="0" w:space="0" w:color="auto"/>
            <w:right w:val="none" w:sz="0" w:space="0" w:color="auto"/>
          </w:divBdr>
          <w:divsChild>
            <w:div w:id="1446189709">
              <w:marLeft w:val="0"/>
              <w:marRight w:val="0"/>
              <w:marTop w:val="0"/>
              <w:marBottom w:val="0"/>
              <w:divBdr>
                <w:top w:val="none" w:sz="0" w:space="0" w:color="auto"/>
                <w:left w:val="none" w:sz="0" w:space="0" w:color="auto"/>
                <w:bottom w:val="none" w:sz="0" w:space="0" w:color="auto"/>
                <w:right w:val="none" w:sz="0" w:space="0" w:color="auto"/>
              </w:divBdr>
            </w:div>
          </w:divsChild>
        </w:div>
        <w:div w:id="716003718">
          <w:marLeft w:val="0"/>
          <w:marRight w:val="0"/>
          <w:marTop w:val="0"/>
          <w:marBottom w:val="0"/>
          <w:divBdr>
            <w:top w:val="none" w:sz="0" w:space="0" w:color="auto"/>
            <w:left w:val="none" w:sz="0" w:space="0" w:color="auto"/>
            <w:bottom w:val="none" w:sz="0" w:space="0" w:color="auto"/>
            <w:right w:val="none" w:sz="0" w:space="0" w:color="auto"/>
          </w:divBdr>
          <w:divsChild>
            <w:div w:id="876821569">
              <w:marLeft w:val="0"/>
              <w:marRight w:val="0"/>
              <w:marTop w:val="0"/>
              <w:marBottom w:val="0"/>
              <w:divBdr>
                <w:top w:val="none" w:sz="0" w:space="0" w:color="auto"/>
                <w:left w:val="none" w:sz="0" w:space="0" w:color="auto"/>
                <w:bottom w:val="none" w:sz="0" w:space="0" w:color="auto"/>
                <w:right w:val="none" w:sz="0" w:space="0" w:color="auto"/>
              </w:divBdr>
            </w:div>
          </w:divsChild>
        </w:div>
        <w:div w:id="728185162">
          <w:marLeft w:val="0"/>
          <w:marRight w:val="0"/>
          <w:marTop w:val="0"/>
          <w:marBottom w:val="0"/>
          <w:divBdr>
            <w:top w:val="none" w:sz="0" w:space="0" w:color="auto"/>
            <w:left w:val="none" w:sz="0" w:space="0" w:color="auto"/>
            <w:bottom w:val="none" w:sz="0" w:space="0" w:color="auto"/>
            <w:right w:val="none" w:sz="0" w:space="0" w:color="auto"/>
          </w:divBdr>
          <w:divsChild>
            <w:div w:id="781609886">
              <w:marLeft w:val="0"/>
              <w:marRight w:val="0"/>
              <w:marTop w:val="0"/>
              <w:marBottom w:val="0"/>
              <w:divBdr>
                <w:top w:val="none" w:sz="0" w:space="0" w:color="auto"/>
                <w:left w:val="none" w:sz="0" w:space="0" w:color="auto"/>
                <w:bottom w:val="none" w:sz="0" w:space="0" w:color="auto"/>
                <w:right w:val="none" w:sz="0" w:space="0" w:color="auto"/>
              </w:divBdr>
            </w:div>
          </w:divsChild>
        </w:div>
        <w:div w:id="801964275">
          <w:marLeft w:val="0"/>
          <w:marRight w:val="0"/>
          <w:marTop w:val="0"/>
          <w:marBottom w:val="0"/>
          <w:divBdr>
            <w:top w:val="none" w:sz="0" w:space="0" w:color="auto"/>
            <w:left w:val="none" w:sz="0" w:space="0" w:color="auto"/>
            <w:bottom w:val="none" w:sz="0" w:space="0" w:color="auto"/>
            <w:right w:val="none" w:sz="0" w:space="0" w:color="auto"/>
          </w:divBdr>
          <w:divsChild>
            <w:div w:id="1814906973">
              <w:marLeft w:val="0"/>
              <w:marRight w:val="0"/>
              <w:marTop w:val="0"/>
              <w:marBottom w:val="0"/>
              <w:divBdr>
                <w:top w:val="none" w:sz="0" w:space="0" w:color="auto"/>
                <w:left w:val="none" w:sz="0" w:space="0" w:color="auto"/>
                <w:bottom w:val="none" w:sz="0" w:space="0" w:color="auto"/>
                <w:right w:val="none" w:sz="0" w:space="0" w:color="auto"/>
              </w:divBdr>
            </w:div>
          </w:divsChild>
        </w:div>
        <w:div w:id="803625084">
          <w:marLeft w:val="0"/>
          <w:marRight w:val="0"/>
          <w:marTop w:val="0"/>
          <w:marBottom w:val="0"/>
          <w:divBdr>
            <w:top w:val="none" w:sz="0" w:space="0" w:color="auto"/>
            <w:left w:val="none" w:sz="0" w:space="0" w:color="auto"/>
            <w:bottom w:val="none" w:sz="0" w:space="0" w:color="auto"/>
            <w:right w:val="none" w:sz="0" w:space="0" w:color="auto"/>
          </w:divBdr>
          <w:divsChild>
            <w:div w:id="1161772277">
              <w:marLeft w:val="0"/>
              <w:marRight w:val="0"/>
              <w:marTop w:val="0"/>
              <w:marBottom w:val="0"/>
              <w:divBdr>
                <w:top w:val="none" w:sz="0" w:space="0" w:color="auto"/>
                <w:left w:val="none" w:sz="0" w:space="0" w:color="auto"/>
                <w:bottom w:val="none" w:sz="0" w:space="0" w:color="auto"/>
                <w:right w:val="none" w:sz="0" w:space="0" w:color="auto"/>
              </w:divBdr>
            </w:div>
          </w:divsChild>
        </w:div>
        <w:div w:id="861865168">
          <w:marLeft w:val="0"/>
          <w:marRight w:val="0"/>
          <w:marTop w:val="0"/>
          <w:marBottom w:val="0"/>
          <w:divBdr>
            <w:top w:val="none" w:sz="0" w:space="0" w:color="auto"/>
            <w:left w:val="none" w:sz="0" w:space="0" w:color="auto"/>
            <w:bottom w:val="none" w:sz="0" w:space="0" w:color="auto"/>
            <w:right w:val="none" w:sz="0" w:space="0" w:color="auto"/>
          </w:divBdr>
          <w:divsChild>
            <w:div w:id="1451316601">
              <w:marLeft w:val="0"/>
              <w:marRight w:val="0"/>
              <w:marTop w:val="0"/>
              <w:marBottom w:val="0"/>
              <w:divBdr>
                <w:top w:val="none" w:sz="0" w:space="0" w:color="auto"/>
                <w:left w:val="none" w:sz="0" w:space="0" w:color="auto"/>
                <w:bottom w:val="none" w:sz="0" w:space="0" w:color="auto"/>
                <w:right w:val="none" w:sz="0" w:space="0" w:color="auto"/>
              </w:divBdr>
            </w:div>
          </w:divsChild>
        </w:div>
        <w:div w:id="990409171">
          <w:marLeft w:val="0"/>
          <w:marRight w:val="0"/>
          <w:marTop w:val="0"/>
          <w:marBottom w:val="0"/>
          <w:divBdr>
            <w:top w:val="none" w:sz="0" w:space="0" w:color="auto"/>
            <w:left w:val="none" w:sz="0" w:space="0" w:color="auto"/>
            <w:bottom w:val="none" w:sz="0" w:space="0" w:color="auto"/>
            <w:right w:val="none" w:sz="0" w:space="0" w:color="auto"/>
          </w:divBdr>
          <w:divsChild>
            <w:div w:id="1355497708">
              <w:marLeft w:val="0"/>
              <w:marRight w:val="0"/>
              <w:marTop w:val="0"/>
              <w:marBottom w:val="0"/>
              <w:divBdr>
                <w:top w:val="none" w:sz="0" w:space="0" w:color="auto"/>
                <w:left w:val="none" w:sz="0" w:space="0" w:color="auto"/>
                <w:bottom w:val="none" w:sz="0" w:space="0" w:color="auto"/>
                <w:right w:val="none" w:sz="0" w:space="0" w:color="auto"/>
              </w:divBdr>
            </w:div>
          </w:divsChild>
        </w:div>
        <w:div w:id="1052735317">
          <w:marLeft w:val="0"/>
          <w:marRight w:val="0"/>
          <w:marTop w:val="0"/>
          <w:marBottom w:val="0"/>
          <w:divBdr>
            <w:top w:val="none" w:sz="0" w:space="0" w:color="auto"/>
            <w:left w:val="none" w:sz="0" w:space="0" w:color="auto"/>
            <w:bottom w:val="none" w:sz="0" w:space="0" w:color="auto"/>
            <w:right w:val="none" w:sz="0" w:space="0" w:color="auto"/>
          </w:divBdr>
          <w:divsChild>
            <w:div w:id="415327077">
              <w:marLeft w:val="0"/>
              <w:marRight w:val="0"/>
              <w:marTop w:val="0"/>
              <w:marBottom w:val="0"/>
              <w:divBdr>
                <w:top w:val="none" w:sz="0" w:space="0" w:color="auto"/>
                <w:left w:val="none" w:sz="0" w:space="0" w:color="auto"/>
                <w:bottom w:val="none" w:sz="0" w:space="0" w:color="auto"/>
                <w:right w:val="none" w:sz="0" w:space="0" w:color="auto"/>
              </w:divBdr>
            </w:div>
          </w:divsChild>
        </w:div>
        <w:div w:id="1158810256">
          <w:marLeft w:val="0"/>
          <w:marRight w:val="0"/>
          <w:marTop w:val="0"/>
          <w:marBottom w:val="0"/>
          <w:divBdr>
            <w:top w:val="none" w:sz="0" w:space="0" w:color="auto"/>
            <w:left w:val="none" w:sz="0" w:space="0" w:color="auto"/>
            <w:bottom w:val="none" w:sz="0" w:space="0" w:color="auto"/>
            <w:right w:val="none" w:sz="0" w:space="0" w:color="auto"/>
          </w:divBdr>
          <w:divsChild>
            <w:div w:id="698549460">
              <w:marLeft w:val="0"/>
              <w:marRight w:val="0"/>
              <w:marTop w:val="0"/>
              <w:marBottom w:val="0"/>
              <w:divBdr>
                <w:top w:val="none" w:sz="0" w:space="0" w:color="auto"/>
                <w:left w:val="none" w:sz="0" w:space="0" w:color="auto"/>
                <w:bottom w:val="none" w:sz="0" w:space="0" w:color="auto"/>
                <w:right w:val="none" w:sz="0" w:space="0" w:color="auto"/>
              </w:divBdr>
            </w:div>
          </w:divsChild>
        </w:div>
        <w:div w:id="1183010910">
          <w:marLeft w:val="0"/>
          <w:marRight w:val="0"/>
          <w:marTop w:val="0"/>
          <w:marBottom w:val="0"/>
          <w:divBdr>
            <w:top w:val="none" w:sz="0" w:space="0" w:color="auto"/>
            <w:left w:val="none" w:sz="0" w:space="0" w:color="auto"/>
            <w:bottom w:val="none" w:sz="0" w:space="0" w:color="auto"/>
            <w:right w:val="none" w:sz="0" w:space="0" w:color="auto"/>
          </w:divBdr>
          <w:divsChild>
            <w:div w:id="738477933">
              <w:marLeft w:val="0"/>
              <w:marRight w:val="0"/>
              <w:marTop w:val="0"/>
              <w:marBottom w:val="0"/>
              <w:divBdr>
                <w:top w:val="none" w:sz="0" w:space="0" w:color="auto"/>
                <w:left w:val="none" w:sz="0" w:space="0" w:color="auto"/>
                <w:bottom w:val="none" w:sz="0" w:space="0" w:color="auto"/>
                <w:right w:val="none" w:sz="0" w:space="0" w:color="auto"/>
              </w:divBdr>
            </w:div>
          </w:divsChild>
        </w:div>
        <w:div w:id="1188059660">
          <w:marLeft w:val="0"/>
          <w:marRight w:val="0"/>
          <w:marTop w:val="0"/>
          <w:marBottom w:val="0"/>
          <w:divBdr>
            <w:top w:val="none" w:sz="0" w:space="0" w:color="auto"/>
            <w:left w:val="none" w:sz="0" w:space="0" w:color="auto"/>
            <w:bottom w:val="none" w:sz="0" w:space="0" w:color="auto"/>
            <w:right w:val="none" w:sz="0" w:space="0" w:color="auto"/>
          </w:divBdr>
          <w:divsChild>
            <w:div w:id="1663124550">
              <w:marLeft w:val="0"/>
              <w:marRight w:val="0"/>
              <w:marTop w:val="0"/>
              <w:marBottom w:val="0"/>
              <w:divBdr>
                <w:top w:val="none" w:sz="0" w:space="0" w:color="auto"/>
                <w:left w:val="none" w:sz="0" w:space="0" w:color="auto"/>
                <w:bottom w:val="none" w:sz="0" w:space="0" w:color="auto"/>
                <w:right w:val="none" w:sz="0" w:space="0" w:color="auto"/>
              </w:divBdr>
            </w:div>
          </w:divsChild>
        </w:div>
        <w:div w:id="1314677469">
          <w:marLeft w:val="0"/>
          <w:marRight w:val="0"/>
          <w:marTop w:val="0"/>
          <w:marBottom w:val="0"/>
          <w:divBdr>
            <w:top w:val="none" w:sz="0" w:space="0" w:color="auto"/>
            <w:left w:val="none" w:sz="0" w:space="0" w:color="auto"/>
            <w:bottom w:val="none" w:sz="0" w:space="0" w:color="auto"/>
            <w:right w:val="none" w:sz="0" w:space="0" w:color="auto"/>
          </w:divBdr>
          <w:divsChild>
            <w:div w:id="2047099714">
              <w:marLeft w:val="0"/>
              <w:marRight w:val="0"/>
              <w:marTop w:val="0"/>
              <w:marBottom w:val="0"/>
              <w:divBdr>
                <w:top w:val="none" w:sz="0" w:space="0" w:color="auto"/>
                <w:left w:val="none" w:sz="0" w:space="0" w:color="auto"/>
                <w:bottom w:val="none" w:sz="0" w:space="0" w:color="auto"/>
                <w:right w:val="none" w:sz="0" w:space="0" w:color="auto"/>
              </w:divBdr>
            </w:div>
          </w:divsChild>
        </w:div>
        <w:div w:id="1330913143">
          <w:marLeft w:val="0"/>
          <w:marRight w:val="0"/>
          <w:marTop w:val="0"/>
          <w:marBottom w:val="0"/>
          <w:divBdr>
            <w:top w:val="none" w:sz="0" w:space="0" w:color="auto"/>
            <w:left w:val="none" w:sz="0" w:space="0" w:color="auto"/>
            <w:bottom w:val="none" w:sz="0" w:space="0" w:color="auto"/>
            <w:right w:val="none" w:sz="0" w:space="0" w:color="auto"/>
          </w:divBdr>
          <w:divsChild>
            <w:div w:id="692878937">
              <w:marLeft w:val="0"/>
              <w:marRight w:val="0"/>
              <w:marTop w:val="0"/>
              <w:marBottom w:val="0"/>
              <w:divBdr>
                <w:top w:val="none" w:sz="0" w:space="0" w:color="auto"/>
                <w:left w:val="none" w:sz="0" w:space="0" w:color="auto"/>
                <w:bottom w:val="none" w:sz="0" w:space="0" w:color="auto"/>
                <w:right w:val="none" w:sz="0" w:space="0" w:color="auto"/>
              </w:divBdr>
            </w:div>
          </w:divsChild>
        </w:div>
        <w:div w:id="1334532359">
          <w:marLeft w:val="0"/>
          <w:marRight w:val="0"/>
          <w:marTop w:val="0"/>
          <w:marBottom w:val="0"/>
          <w:divBdr>
            <w:top w:val="none" w:sz="0" w:space="0" w:color="auto"/>
            <w:left w:val="none" w:sz="0" w:space="0" w:color="auto"/>
            <w:bottom w:val="none" w:sz="0" w:space="0" w:color="auto"/>
            <w:right w:val="none" w:sz="0" w:space="0" w:color="auto"/>
          </w:divBdr>
          <w:divsChild>
            <w:div w:id="1763721406">
              <w:marLeft w:val="0"/>
              <w:marRight w:val="0"/>
              <w:marTop w:val="0"/>
              <w:marBottom w:val="0"/>
              <w:divBdr>
                <w:top w:val="none" w:sz="0" w:space="0" w:color="auto"/>
                <w:left w:val="none" w:sz="0" w:space="0" w:color="auto"/>
                <w:bottom w:val="none" w:sz="0" w:space="0" w:color="auto"/>
                <w:right w:val="none" w:sz="0" w:space="0" w:color="auto"/>
              </w:divBdr>
            </w:div>
          </w:divsChild>
        </w:div>
        <w:div w:id="1343358464">
          <w:marLeft w:val="0"/>
          <w:marRight w:val="0"/>
          <w:marTop w:val="0"/>
          <w:marBottom w:val="0"/>
          <w:divBdr>
            <w:top w:val="none" w:sz="0" w:space="0" w:color="auto"/>
            <w:left w:val="none" w:sz="0" w:space="0" w:color="auto"/>
            <w:bottom w:val="none" w:sz="0" w:space="0" w:color="auto"/>
            <w:right w:val="none" w:sz="0" w:space="0" w:color="auto"/>
          </w:divBdr>
          <w:divsChild>
            <w:div w:id="2012679231">
              <w:marLeft w:val="0"/>
              <w:marRight w:val="0"/>
              <w:marTop w:val="0"/>
              <w:marBottom w:val="0"/>
              <w:divBdr>
                <w:top w:val="none" w:sz="0" w:space="0" w:color="auto"/>
                <w:left w:val="none" w:sz="0" w:space="0" w:color="auto"/>
                <w:bottom w:val="none" w:sz="0" w:space="0" w:color="auto"/>
                <w:right w:val="none" w:sz="0" w:space="0" w:color="auto"/>
              </w:divBdr>
            </w:div>
          </w:divsChild>
        </w:div>
        <w:div w:id="1372151800">
          <w:marLeft w:val="0"/>
          <w:marRight w:val="0"/>
          <w:marTop w:val="0"/>
          <w:marBottom w:val="0"/>
          <w:divBdr>
            <w:top w:val="none" w:sz="0" w:space="0" w:color="auto"/>
            <w:left w:val="none" w:sz="0" w:space="0" w:color="auto"/>
            <w:bottom w:val="none" w:sz="0" w:space="0" w:color="auto"/>
            <w:right w:val="none" w:sz="0" w:space="0" w:color="auto"/>
          </w:divBdr>
          <w:divsChild>
            <w:div w:id="1607689632">
              <w:marLeft w:val="0"/>
              <w:marRight w:val="0"/>
              <w:marTop w:val="0"/>
              <w:marBottom w:val="0"/>
              <w:divBdr>
                <w:top w:val="none" w:sz="0" w:space="0" w:color="auto"/>
                <w:left w:val="none" w:sz="0" w:space="0" w:color="auto"/>
                <w:bottom w:val="none" w:sz="0" w:space="0" w:color="auto"/>
                <w:right w:val="none" w:sz="0" w:space="0" w:color="auto"/>
              </w:divBdr>
            </w:div>
          </w:divsChild>
        </w:div>
        <w:div w:id="1377899377">
          <w:marLeft w:val="0"/>
          <w:marRight w:val="0"/>
          <w:marTop w:val="0"/>
          <w:marBottom w:val="0"/>
          <w:divBdr>
            <w:top w:val="none" w:sz="0" w:space="0" w:color="auto"/>
            <w:left w:val="none" w:sz="0" w:space="0" w:color="auto"/>
            <w:bottom w:val="none" w:sz="0" w:space="0" w:color="auto"/>
            <w:right w:val="none" w:sz="0" w:space="0" w:color="auto"/>
          </w:divBdr>
          <w:divsChild>
            <w:div w:id="328411047">
              <w:marLeft w:val="0"/>
              <w:marRight w:val="0"/>
              <w:marTop w:val="0"/>
              <w:marBottom w:val="0"/>
              <w:divBdr>
                <w:top w:val="none" w:sz="0" w:space="0" w:color="auto"/>
                <w:left w:val="none" w:sz="0" w:space="0" w:color="auto"/>
                <w:bottom w:val="none" w:sz="0" w:space="0" w:color="auto"/>
                <w:right w:val="none" w:sz="0" w:space="0" w:color="auto"/>
              </w:divBdr>
            </w:div>
          </w:divsChild>
        </w:div>
        <w:div w:id="1383212964">
          <w:marLeft w:val="0"/>
          <w:marRight w:val="0"/>
          <w:marTop w:val="0"/>
          <w:marBottom w:val="0"/>
          <w:divBdr>
            <w:top w:val="none" w:sz="0" w:space="0" w:color="auto"/>
            <w:left w:val="none" w:sz="0" w:space="0" w:color="auto"/>
            <w:bottom w:val="none" w:sz="0" w:space="0" w:color="auto"/>
            <w:right w:val="none" w:sz="0" w:space="0" w:color="auto"/>
          </w:divBdr>
          <w:divsChild>
            <w:div w:id="2130851245">
              <w:marLeft w:val="0"/>
              <w:marRight w:val="0"/>
              <w:marTop w:val="0"/>
              <w:marBottom w:val="0"/>
              <w:divBdr>
                <w:top w:val="none" w:sz="0" w:space="0" w:color="auto"/>
                <w:left w:val="none" w:sz="0" w:space="0" w:color="auto"/>
                <w:bottom w:val="none" w:sz="0" w:space="0" w:color="auto"/>
                <w:right w:val="none" w:sz="0" w:space="0" w:color="auto"/>
              </w:divBdr>
            </w:div>
          </w:divsChild>
        </w:div>
        <w:div w:id="1449470240">
          <w:marLeft w:val="0"/>
          <w:marRight w:val="0"/>
          <w:marTop w:val="0"/>
          <w:marBottom w:val="0"/>
          <w:divBdr>
            <w:top w:val="none" w:sz="0" w:space="0" w:color="auto"/>
            <w:left w:val="none" w:sz="0" w:space="0" w:color="auto"/>
            <w:bottom w:val="none" w:sz="0" w:space="0" w:color="auto"/>
            <w:right w:val="none" w:sz="0" w:space="0" w:color="auto"/>
          </w:divBdr>
          <w:divsChild>
            <w:div w:id="879560563">
              <w:marLeft w:val="0"/>
              <w:marRight w:val="0"/>
              <w:marTop w:val="0"/>
              <w:marBottom w:val="0"/>
              <w:divBdr>
                <w:top w:val="none" w:sz="0" w:space="0" w:color="auto"/>
                <w:left w:val="none" w:sz="0" w:space="0" w:color="auto"/>
                <w:bottom w:val="none" w:sz="0" w:space="0" w:color="auto"/>
                <w:right w:val="none" w:sz="0" w:space="0" w:color="auto"/>
              </w:divBdr>
            </w:div>
          </w:divsChild>
        </w:div>
        <w:div w:id="1511993064">
          <w:marLeft w:val="0"/>
          <w:marRight w:val="0"/>
          <w:marTop w:val="0"/>
          <w:marBottom w:val="0"/>
          <w:divBdr>
            <w:top w:val="none" w:sz="0" w:space="0" w:color="auto"/>
            <w:left w:val="none" w:sz="0" w:space="0" w:color="auto"/>
            <w:bottom w:val="none" w:sz="0" w:space="0" w:color="auto"/>
            <w:right w:val="none" w:sz="0" w:space="0" w:color="auto"/>
          </w:divBdr>
          <w:divsChild>
            <w:div w:id="1349454300">
              <w:marLeft w:val="0"/>
              <w:marRight w:val="0"/>
              <w:marTop w:val="0"/>
              <w:marBottom w:val="0"/>
              <w:divBdr>
                <w:top w:val="none" w:sz="0" w:space="0" w:color="auto"/>
                <w:left w:val="none" w:sz="0" w:space="0" w:color="auto"/>
                <w:bottom w:val="none" w:sz="0" w:space="0" w:color="auto"/>
                <w:right w:val="none" w:sz="0" w:space="0" w:color="auto"/>
              </w:divBdr>
            </w:div>
          </w:divsChild>
        </w:div>
        <w:div w:id="1520853880">
          <w:marLeft w:val="0"/>
          <w:marRight w:val="0"/>
          <w:marTop w:val="0"/>
          <w:marBottom w:val="0"/>
          <w:divBdr>
            <w:top w:val="none" w:sz="0" w:space="0" w:color="auto"/>
            <w:left w:val="none" w:sz="0" w:space="0" w:color="auto"/>
            <w:bottom w:val="none" w:sz="0" w:space="0" w:color="auto"/>
            <w:right w:val="none" w:sz="0" w:space="0" w:color="auto"/>
          </w:divBdr>
          <w:divsChild>
            <w:div w:id="65961011">
              <w:marLeft w:val="0"/>
              <w:marRight w:val="0"/>
              <w:marTop w:val="0"/>
              <w:marBottom w:val="0"/>
              <w:divBdr>
                <w:top w:val="none" w:sz="0" w:space="0" w:color="auto"/>
                <w:left w:val="none" w:sz="0" w:space="0" w:color="auto"/>
                <w:bottom w:val="none" w:sz="0" w:space="0" w:color="auto"/>
                <w:right w:val="none" w:sz="0" w:space="0" w:color="auto"/>
              </w:divBdr>
            </w:div>
          </w:divsChild>
        </w:div>
        <w:div w:id="1569153031">
          <w:marLeft w:val="0"/>
          <w:marRight w:val="0"/>
          <w:marTop w:val="0"/>
          <w:marBottom w:val="0"/>
          <w:divBdr>
            <w:top w:val="none" w:sz="0" w:space="0" w:color="auto"/>
            <w:left w:val="none" w:sz="0" w:space="0" w:color="auto"/>
            <w:bottom w:val="none" w:sz="0" w:space="0" w:color="auto"/>
            <w:right w:val="none" w:sz="0" w:space="0" w:color="auto"/>
          </w:divBdr>
          <w:divsChild>
            <w:div w:id="1468662893">
              <w:marLeft w:val="0"/>
              <w:marRight w:val="0"/>
              <w:marTop w:val="0"/>
              <w:marBottom w:val="0"/>
              <w:divBdr>
                <w:top w:val="none" w:sz="0" w:space="0" w:color="auto"/>
                <w:left w:val="none" w:sz="0" w:space="0" w:color="auto"/>
                <w:bottom w:val="none" w:sz="0" w:space="0" w:color="auto"/>
                <w:right w:val="none" w:sz="0" w:space="0" w:color="auto"/>
              </w:divBdr>
            </w:div>
          </w:divsChild>
        </w:div>
        <w:div w:id="1616407418">
          <w:marLeft w:val="0"/>
          <w:marRight w:val="0"/>
          <w:marTop w:val="0"/>
          <w:marBottom w:val="0"/>
          <w:divBdr>
            <w:top w:val="none" w:sz="0" w:space="0" w:color="auto"/>
            <w:left w:val="none" w:sz="0" w:space="0" w:color="auto"/>
            <w:bottom w:val="none" w:sz="0" w:space="0" w:color="auto"/>
            <w:right w:val="none" w:sz="0" w:space="0" w:color="auto"/>
          </w:divBdr>
          <w:divsChild>
            <w:div w:id="399867422">
              <w:marLeft w:val="0"/>
              <w:marRight w:val="0"/>
              <w:marTop w:val="0"/>
              <w:marBottom w:val="0"/>
              <w:divBdr>
                <w:top w:val="none" w:sz="0" w:space="0" w:color="auto"/>
                <w:left w:val="none" w:sz="0" w:space="0" w:color="auto"/>
                <w:bottom w:val="none" w:sz="0" w:space="0" w:color="auto"/>
                <w:right w:val="none" w:sz="0" w:space="0" w:color="auto"/>
              </w:divBdr>
            </w:div>
          </w:divsChild>
        </w:div>
        <w:div w:id="1851676976">
          <w:marLeft w:val="0"/>
          <w:marRight w:val="0"/>
          <w:marTop w:val="0"/>
          <w:marBottom w:val="0"/>
          <w:divBdr>
            <w:top w:val="none" w:sz="0" w:space="0" w:color="auto"/>
            <w:left w:val="none" w:sz="0" w:space="0" w:color="auto"/>
            <w:bottom w:val="none" w:sz="0" w:space="0" w:color="auto"/>
            <w:right w:val="none" w:sz="0" w:space="0" w:color="auto"/>
          </w:divBdr>
          <w:divsChild>
            <w:div w:id="985007327">
              <w:marLeft w:val="0"/>
              <w:marRight w:val="0"/>
              <w:marTop w:val="0"/>
              <w:marBottom w:val="0"/>
              <w:divBdr>
                <w:top w:val="none" w:sz="0" w:space="0" w:color="auto"/>
                <w:left w:val="none" w:sz="0" w:space="0" w:color="auto"/>
                <w:bottom w:val="none" w:sz="0" w:space="0" w:color="auto"/>
                <w:right w:val="none" w:sz="0" w:space="0" w:color="auto"/>
              </w:divBdr>
            </w:div>
          </w:divsChild>
        </w:div>
        <w:div w:id="2077317080">
          <w:marLeft w:val="0"/>
          <w:marRight w:val="0"/>
          <w:marTop w:val="0"/>
          <w:marBottom w:val="0"/>
          <w:divBdr>
            <w:top w:val="none" w:sz="0" w:space="0" w:color="auto"/>
            <w:left w:val="none" w:sz="0" w:space="0" w:color="auto"/>
            <w:bottom w:val="none" w:sz="0" w:space="0" w:color="auto"/>
            <w:right w:val="none" w:sz="0" w:space="0" w:color="auto"/>
          </w:divBdr>
          <w:divsChild>
            <w:div w:id="6557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345">
      <w:bodyDiv w:val="1"/>
      <w:marLeft w:val="0"/>
      <w:marRight w:val="0"/>
      <w:marTop w:val="0"/>
      <w:marBottom w:val="0"/>
      <w:divBdr>
        <w:top w:val="none" w:sz="0" w:space="0" w:color="auto"/>
        <w:left w:val="none" w:sz="0" w:space="0" w:color="auto"/>
        <w:bottom w:val="none" w:sz="0" w:space="0" w:color="auto"/>
        <w:right w:val="none" w:sz="0" w:space="0" w:color="auto"/>
      </w:divBdr>
    </w:div>
    <w:div w:id="996374819">
      <w:bodyDiv w:val="1"/>
      <w:marLeft w:val="0"/>
      <w:marRight w:val="0"/>
      <w:marTop w:val="0"/>
      <w:marBottom w:val="0"/>
      <w:divBdr>
        <w:top w:val="none" w:sz="0" w:space="0" w:color="auto"/>
        <w:left w:val="none" w:sz="0" w:space="0" w:color="auto"/>
        <w:bottom w:val="none" w:sz="0" w:space="0" w:color="auto"/>
        <w:right w:val="none" w:sz="0" w:space="0" w:color="auto"/>
      </w:divBdr>
    </w:div>
    <w:div w:id="1393390515">
      <w:bodyDiv w:val="1"/>
      <w:marLeft w:val="0"/>
      <w:marRight w:val="0"/>
      <w:marTop w:val="0"/>
      <w:marBottom w:val="0"/>
      <w:divBdr>
        <w:top w:val="none" w:sz="0" w:space="0" w:color="auto"/>
        <w:left w:val="none" w:sz="0" w:space="0" w:color="auto"/>
        <w:bottom w:val="none" w:sz="0" w:space="0" w:color="auto"/>
        <w:right w:val="none" w:sz="0" w:space="0" w:color="auto"/>
      </w:divBdr>
    </w:div>
    <w:div w:id="1493644716">
      <w:bodyDiv w:val="1"/>
      <w:marLeft w:val="0"/>
      <w:marRight w:val="0"/>
      <w:marTop w:val="0"/>
      <w:marBottom w:val="0"/>
      <w:divBdr>
        <w:top w:val="none" w:sz="0" w:space="0" w:color="auto"/>
        <w:left w:val="none" w:sz="0" w:space="0" w:color="auto"/>
        <w:bottom w:val="none" w:sz="0" w:space="0" w:color="auto"/>
        <w:right w:val="none" w:sz="0" w:space="0" w:color="auto"/>
      </w:divBdr>
      <w:divsChild>
        <w:div w:id="26411247">
          <w:marLeft w:val="0"/>
          <w:marRight w:val="0"/>
          <w:marTop w:val="0"/>
          <w:marBottom w:val="0"/>
          <w:divBdr>
            <w:top w:val="none" w:sz="0" w:space="0" w:color="auto"/>
            <w:left w:val="none" w:sz="0" w:space="0" w:color="auto"/>
            <w:bottom w:val="none" w:sz="0" w:space="0" w:color="auto"/>
            <w:right w:val="none" w:sz="0" w:space="0" w:color="auto"/>
          </w:divBdr>
        </w:div>
        <w:div w:id="1612008319">
          <w:marLeft w:val="0"/>
          <w:marRight w:val="0"/>
          <w:marTop w:val="0"/>
          <w:marBottom w:val="0"/>
          <w:divBdr>
            <w:top w:val="none" w:sz="0" w:space="0" w:color="auto"/>
            <w:left w:val="none" w:sz="0" w:space="0" w:color="auto"/>
            <w:bottom w:val="none" w:sz="0" w:space="0" w:color="auto"/>
            <w:right w:val="none" w:sz="0" w:space="0" w:color="auto"/>
          </w:divBdr>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94839585">
      <w:bodyDiv w:val="1"/>
      <w:marLeft w:val="0"/>
      <w:marRight w:val="0"/>
      <w:marTop w:val="0"/>
      <w:marBottom w:val="0"/>
      <w:divBdr>
        <w:top w:val="none" w:sz="0" w:space="0" w:color="auto"/>
        <w:left w:val="none" w:sz="0" w:space="0" w:color="auto"/>
        <w:bottom w:val="none" w:sz="0" w:space="0" w:color="auto"/>
        <w:right w:val="none" w:sz="0" w:space="0" w:color="auto"/>
      </w:divBdr>
    </w:div>
    <w:div w:id="1785347133">
      <w:bodyDiv w:val="1"/>
      <w:marLeft w:val="0"/>
      <w:marRight w:val="0"/>
      <w:marTop w:val="0"/>
      <w:marBottom w:val="0"/>
      <w:divBdr>
        <w:top w:val="none" w:sz="0" w:space="0" w:color="auto"/>
        <w:left w:val="none" w:sz="0" w:space="0" w:color="auto"/>
        <w:bottom w:val="none" w:sz="0" w:space="0" w:color="auto"/>
        <w:right w:val="none" w:sz="0" w:space="0" w:color="auto"/>
      </w:divBdr>
    </w:div>
    <w:div w:id="1793554555">
      <w:bodyDiv w:val="1"/>
      <w:marLeft w:val="0"/>
      <w:marRight w:val="0"/>
      <w:marTop w:val="0"/>
      <w:marBottom w:val="0"/>
      <w:divBdr>
        <w:top w:val="none" w:sz="0" w:space="0" w:color="auto"/>
        <w:left w:val="none" w:sz="0" w:space="0" w:color="auto"/>
        <w:bottom w:val="none" w:sz="0" w:space="0" w:color="auto"/>
        <w:right w:val="none" w:sz="0" w:space="0" w:color="auto"/>
      </w:divBdr>
    </w:div>
    <w:div w:id="1802335436">
      <w:bodyDiv w:val="1"/>
      <w:marLeft w:val="0"/>
      <w:marRight w:val="0"/>
      <w:marTop w:val="0"/>
      <w:marBottom w:val="0"/>
      <w:divBdr>
        <w:top w:val="none" w:sz="0" w:space="0" w:color="auto"/>
        <w:left w:val="none" w:sz="0" w:space="0" w:color="auto"/>
        <w:bottom w:val="none" w:sz="0" w:space="0" w:color="auto"/>
        <w:right w:val="none" w:sz="0" w:space="0" w:color="auto"/>
      </w:divBdr>
    </w:div>
    <w:div w:id="1849440773">
      <w:bodyDiv w:val="1"/>
      <w:marLeft w:val="0"/>
      <w:marRight w:val="0"/>
      <w:marTop w:val="0"/>
      <w:marBottom w:val="0"/>
      <w:divBdr>
        <w:top w:val="none" w:sz="0" w:space="0" w:color="auto"/>
        <w:left w:val="none" w:sz="0" w:space="0" w:color="auto"/>
        <w:bottom w:val="none" w:sz="0" w:space="0" w:color="auto"/>
        <w:right w:val="none" w:sz="0" w:space="0" w:color="auto"/>
      </w:divBdr>
    </w:div>
    <w:div w:id="2108310661">
      <w:bodyDiv w:val="1"/>
      <w:marLeft w:val="0"/>
      <w:marRight w:val="0"/>
      <w:marTop w:val="0"/>
      <w:marBottom w:val="0"/>
      <w:divBdr>
        <w:top w:val="none" w:sz="0" w:space="0" w:color="auto"/>
        <w:left w:val="none" w:sz="0" w:space="0" w:color="auto"/>
        <w:bottom w:val="none" w:sz="0" w:space="0" w:color="auto"/>
        <w:right w:val="none" w:sz="0" w:space="0" w:color="auto"/>
      </w:divBdr>
    </w:div>
    <w:div w:id="21425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www.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overseer.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1" ma:contentTypeDescription="Create a new document." ma:contentTypeScope="" ma:versionID="acf2e1af86ed1d599efcef0bc911c95f">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14cf380599442799caa6ee845124bab7"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Contract_x0020_Number"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Other_x0020_Details_2" minOccurs="0"/>
                <xsd:element ref="ns3:Other_x0020_Details_3" minOccurs="0"/>
                <xsd:element ref="ns3:Supplemental_x0020_Markings" minOccurs="0"/>
                <xsd:element ref="ns3:MediaServiceAutoTags" minOccurs="0"/>
                <xsd:element ref="ns3:MediaServiceGenerationTime" minOccurs="0"/>
                <xsd:element ref="ns3:MediaServiceEventHashCode" minOccurs="0"/>
                <xsd:element ref="ns3:MediaServiceOCR" minOccurs="0"/>
                <xsd:element ref="ns3:MTS_x0020_Type" minOccurs="0"/>
                <xsd:element ref="ns3:MTS_x0020_ID" minOccurs="0"/>
                <xsd:element ref="ns3:MediaServiceDateTaken"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Library" ma:index="19" nillable="true" ma:displayName="Library" ma:default="" ma:description="" ma:internalName="Library">
      <xsd:simpleType>
        <xsd:restriction base="dms:Text">
          <xsd:maxLength value="255"/>
        </xsd:restriction>
      </xsd:simpleType>
    </xsd:element>
    <xsd:element name="Legacy_x0020_DocID" ma:index="20" nillable="true" ma:displayName="Legacy DocID" ma:decimals="-1" ma:default="" ma:description="" ma:internalName="Legacy_x0020_DocID">
      <xsd:simpleType>
        <xsd:restriction base="dms:Number"/>
      </xsd:simpleType>
    </xsd:element>
    <xsd:element name="Legacy_x0020_Version" ma:index="21" nillable="true" ma:displayName="Legacy Version" ma:default="" ma:description="" ma:internalName="Legacy_x0020_Version">
      <xsd:simpleType>
        <xsd:restriction base="dms:Text">
          <xsd:maxLength value="255"/>
        </xsd:restriction>
      </xsd:simpleType>
    </xsd:element>
    <xsd:element name="Class" ma:index="22" nillable="true" ma:displayName="Class" ma:default="" ma:description="" ma:internalName="Class">
      <xsd:simpleType>
        <xsd:restriction base="dms:Text">
          <xsd:maxLength value="255"/>
        </xsd:restriction>
      </xsd:simpleType>
    </xsd:element>
    <xsd:element name="Author0" ma:index="23" nillable="true" ma:displayName="Author" ma:default="" ma:description="" ma:internalName="Author0">
      <xsd:simpleType>
        <xsd:restriction base="dms:Text">
          <xsd:maxLength value="255"/>
        </xsd:restriction>
      </xsd:simpleType>
    </xsd:element>
    <xsd:element name="Status" ma:index="24" nillable="true" ma:displayName="Status" ma:default="" ma:description="" ma:internalName="Status">
      <xsd:simpleType>
        <xsd:restriction base="dms:Text">
          <xsd:maxLength value="255"/>
        </xsd:restriction>
      </xsd:simpleType>
    </xsd:element>
    <xsd:element name="Year" ma:index="25" nillable="true" ma:displayName="Year" ma:default="" ma:description="" ma:internalName="Year">
      <xsd:simpleType>
        <xsd:restriction base="dms:Text">
          <xsd:maxLength value="255"/>
        </xsd:restriction>
      </xsd:simpleType>
    </xsd:element>
    <xsd:element name="Other_x0020_Details" ma:index="26" nillable="true" ma:displayName="Other Details" ma:default="" ma:description="" ma:internalName="Other_x0020_Details">
      <xsd:simpleType>
        <xsd:restriction base="dms:Text">
          <xsd:maxLength value="255"/>
        </xsd:restriction>
      </xsd:simpleType>
    </xsd:element>
    <xsd:element name="Contract_x0020_Number" ma:index="27" nillable="true" ma:displayName="Contract Number" ma:default="" ma:description="" ma:internalName="Contract_x0020_Number">
      <xsd:simpleType>
        <xsd:restriction base="dms:Text">
          <xsd:maxLength value="255"/>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To" ma:index="32" nillable="true" ma:displayName="To" ma:default="" ma:description="" ma:internalName="To">
      <xsd:simpleType>
        <xsd:restriction base="dms:Note">
          <xsd:maxLength value="255"/>
        </xsd:restriction>
      </xsd:simpleType>
    </xsd:element>
    <xsd:element name="From" ma:index="33" nillable="true" ma:displayName="From" ma:default="" ma:description="" ma:internalName="From">
      <xsd:simpleType>
        <xsd:restriction base="dms:Text">
          <xsd:maxLength value="255"/>
        </xsd:restriction>
      </xsd:simpleType>
    </xsd:element>
    <xsd:element name="Sent_x002f_Received" ma:index="34" nillable="true" ma:displayName="Sent/Received" ma:default="" ma:description="" ma:internalName="Sent_x002f_Received">
      <xsd:simpleType>
        <xsd:restriction base="dms:Text">
          <xsd:maxLength value="255"/>
        </xsd:restriction>
      </xsd:simpleType>
    </xsd:element>
    <xsd:element name="Other_x0020_Details_2" ma:index="35" nillable="true" ma:displayName="Other Details_2" ma:description="" ma:internalName="Other_x0020_Details_2">
      <xsd:simpleType>
        <xsd:restriction base="dms:Text">
          <xsd:maxLength value="255"/>
        </xsd:restriction>
      </xsd:simpleType>
    </xsd:element>
    <xsd:element name="Other_x0020_Details_3" ma:index="36" nillable="true" ma:displayName="Other Details_3" ma:description="" ma:internalName="Other_x0020_Details_3">
      <xsd:simpleType>
        <xsd:restriction base="dms:Text">
          <xsd:maxLength value="255"/>
        </xsd:restriction>
      </xsd:simpleType>
    </xsd:element>
    <xsd:element name="Supplemental_x0020_Markings" ma:index="37" nillable="true" ma:displayName="Supplemental Markings" ma:description="" ma:internalName="Supplemental_x0020_Markings">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Fra18</b:Tag>
    <b:SourceType>Report</b:SourceType>
    <b:Guid>{7A5B9BD9-31B5-4E44-B4CC-B1ECE42C0677}</b:Guid>
    <b:Title>Report on the individual review of the annual submission of New Zealand submitted in 2017</b:Title>
    <b:Year>2018</b:Year>
    <b:Publisher>United Nations</b:Publisher>
    <b:Author>
      <b:Author>
        <b:Corporate>Framework Convention on Climate Change</b:Corporate>
      </b:Author>
    </b:Author>
    <b:RefOrder>1</b:RefOrder>
  </b:Source>
  <b:Source>
    <b:Tag>Fra20</b:Tag>
    <b:SourceType>Report</b:SourceType>
    <b:Guid>{F25C5738-7648-456F-BEFF-9A9DE96348AF}</b:Guid>
    <b:Author>
      <b:Author>
        <b:Corporate>Framework Convention on Climate Change</b:Corporate>
      </b:Author>
    </b:Author>
    <b:Title>Report on the individual review of the annual submission of New Zealand submitted in 2019</b:Title>
    <b:Year>2020</b:Year>
    <b:Publisher>United Nations</b:Publisher>
    <b:RefOrder>2</b:RefOrder>
  </b:Source>
  <b:Source>
    <b:Tag>Ene21</b:Tag>
    <b:SourceType>Report</b:SourceType>
    <b:Guid>{C8DF497D-3521-4913-8824-A6AB9A98D91D}</b:Guid>
    <b:Author>
      <b:Author>
        <b:Corporate>Energy Efficiency and Conservation Authority</b:Corporate>
      </b:Author>
    </b:Author>
    <b:Title>Off-road liquid fuel insights - Quantifying off-road petrol and diesel use in New Zealand</b:Title>
    <b:Year>2021</b:Year>
    <b:Publisher>Energy Efficiency and Conservation Authority</b:Publisher>
    <b:RefOrder>3</b:RefOrder>
  </b:Source>
  <b:Source>
    <b:Tag>The07</b:Tag>
    <b:SourceType>Report</b:SourceType>
    <b:Guid>{10958A01-D1CA-4C65-86C7-53D575133975}</b:Guid>
    <b:Author>
      <b:Author>
        <b:Corporate>The Official Statistics System</b:Corporate>
      </b:Author>
    </b:Author>
    <b:Title>Principles and Protocols for producers of Tier 1 statistics</b:Title>
    <b:Year>2007</b:Year>
    <b:Publisher>The Official Statistics System</b:Publisher>
    <b:RefOrder>4</b:RefOrder>
  </b:Source>
  <b:Source>
    <b:Tag>Int06</b:Tag>
    <b:SourceType>Book</b:SourceType>
    <b:Guid>{99EA5FAB-02BA-4391-89CA-018E457344B4}</b:Guid>
    <b:Title>2006 Guidelines for National Greehouse Gas Inventories</b:Title>
    <b:Year>2006</b:Year>
    <b:Author>
      <b:Author>
        <b:Corporate>Intergovernmental Panel on Climate Change (IPCC)</b:Corporate>
      </b:Author>
    </b:Author>
    <b:RefOrder>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ECM-1898536736-168839</_dlc_DocId>
    <_dlc_DocIdUrl xmlns="58a6f171-52cb-4404-b47d-af1c8daf8fd1">
      <Url>https://ministryforenvironment.sharepoint.com/sites/ECM-EM-ER/_layouts/15/DocIdRedir.aspx?ID=ECM-1898536736-168839</Url>
      <Description>ECM-1898536736-168839</Description>
    </_dlc_DocIdUrl>
    <Supplemental_x0020_Markings xmlns="4a94300e-a927-4b92-9d3a-682523035cb6" xsi:nil="true"/>
    <IconOverlay xmlns="http://schemas.microsoft.com/sharepoint/v4" xsi:nil="true"/>
    <Contract_x0020_Number xmlns="4a94300e-a927-4b92-9d3a-682523035cb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33F037-D6E5-4086-9249-1D19D80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5448B-8825-4ABA-89DA-C3C55D959C25}">
  <ds:schemaRefs>
    <ds:schemaRef ds:uri="http://schemas.microsoft.com/sharepoint/v3/contenttype/forms"/>
  </ds:schemaRefs>
</ds:datastoreItem>
</file>

<file path=customXml/itemProps3.xml><?xml version="1.0" encoding="utf-8"?>
<ds:datastoreItem xmlns:ds="http://schemas.openxmlformats.org/officeDocument/2006/customXml" ds:itemID="{6E4347B1-B1A7-406B-B397-3F26907FA7F6}">
  <ds:schemaRefs>
    <ds:schemaRef ds:uri="http://schemas.openxmlformats.org/officeDocument/2006/bibliography"/>
  </ds:schemaRefs>
</ds:datastoreItem>
</file>

<file path=customXml/itemProps4.xml><?xml version="1.0" encoding="utf-8"?>
<ds:datastoreItem xmlns:ds="http://schemas.openxmlformats.org/officeDocument/2006/customXml" ds:itemID="{6F8783D4-912C-441D-BAD5-F7C2602BB184}">
  <ds:schemaRefs>
    <ds:schemaRef ds:uri="http://purl.org/dc/dcmitype/"/>
    <ds:schemaRef ds:uri="http://schemas.microsoft.com/sharepoint/v3"/>
    <ds:schemaRef ds:uri="http://purl.org/dc/terms/"/>
    <ds:schemaRef ds:uri="http://schemas.microsoft.com/sharepoint/v4"/>
    <ds:schemaRef ds:uri="http://schemas.microsoft.com/office/infopath/2007/PartnerControls"/>
    <ds:schemaRef ds:uri="http://purl.org/dc/elements/1.1/"/>
    <ds:schemaRef ds:uri="0a5b0190-e301-4766-933d-448c7c363fce"/>
    <ds:schemaRef ds:uri="http://schemas.openxmlformats.org/package/2006/metadata/core-properties"/>
    <ds:schemaRef ds:uri="http://schemas.microsoft.com/office/2006/metadata/properties"/>
    <ds:schemaRef ds:uri="http://schemas.microsoft.com/office/2006/documentManagement/types"/>
    <ds:schemaRef ds:uri="4a94300e-a927-4b92-9d3a-682523035cb6"/>
    <ds:schemaRef ds:uri="58a6f171-52cb-4404-b47d-af1c8daf8fd1"/>
    <ds:schemaRef ds:uri="http://www.w3.org/XML/1998/namespace"/>
  </ds:schemaRefs>
</ds:datastoreItem>
</file>

<file path=customXml/itemProps5.xml><?xml version="1.0" encoding="utf-8"?>
<ds:datastoreItem xmlns:ds="http://schemas.openxmlformats.org/officeDocument/2006/customXml" ds:itemID="{13DB9FFE-89FE-4C07-ADC1-3AC10D9CFA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BrillH</dc:creator>
  <cp:keywords/>
  <cp:lastModifiedBy>Daisy Smith</cp:lastModifiedBy>
  <cp:revision>4</cp:revision>
  <dcterms:created xsi:type="dcterms:W3CDTF">2022-02-23T00:35:00Z</dcterms:created>
  <dcterms:modified xsi:type="dcterms:W3CDTF">2022-02-23T02:46:00Z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c1c4f9cf-8a99-49e7-85dc-d49125b25efb</vt:lpwstr>
  </property>
  <property fmtid="{D5CDD505-2E9C-101B-9397-08002B2CF9AE}" pid="4" name="MSIP_Label_52dda6cc-d61d-4fd2-bf18-9b3017d931cc_Enabled">
    <vt:lpwstr>true</vt:lpwstr>
  </property>
  <property fmtid="{D5CDD505-2E9C-101B-9397-08002B2CF9AE}" pid="5" name="MSIP_Label_52dda6cc-d61d-4fd2-bf18-9b3017d931cc_SetDate">
    <vt:lpwstr>2022-02-23T02:15:44Z</vt:lpwstr>
  </property>
  <property fmtid="{D5CDD505-2E9C-101B-9397-08002B2CF9AE}" pid="6" name="MSIP_Label_52dda6cc-d61d-4fd2-bf18-9b3017d931cc_Method">
    <vt:lpwstr>Privileged</vt:lpwstr>
  </property>
  <property fmtid="{D5CDD505-2E9C-101B-9397-08002B2CF9AE}" pid="7" name="MSIP_Label_52dda6cc-d61d-4fd2-bf18-9b3017d931cc_Name">
    <vt:lpwstr>[UNCLASSIFIED]</vt:lpwstr>
  </property>
  <property fmtid="{D5CDD505-2E9C-101B-9397-08002B2CF9AE}" pid="8" name="MSIP_Label_52dda6cc-d61d-4fd2-bf18-9b3017d931cc_SiteId">
    <vt:lpwstr>761dd003-d4ff-4049-8a72-8549b20fcbb1</vt:lpwstr>
  </property>
  <property fmtid="{D5CDD505-2E9C-101B-9397-08002B2CF9AE}" pid="9" name="MSIP_Label_52dda6cc-d61d-4fd2-bf18-9b3017d931cc_ActionId">
    <vt:lpwstr>49150592-dd6e-497d-879a-e488fe258402</vt:lpwstr>
  </property>
  <property fmtid="{D5CDD505-2E9C-101B-9397-08002B2CF9AE}" pid="10" name="MSIP_Label_52dda6cc-d61d-4fd2-bf18-9b3017d931cc_ContentBits">
    <vt:lpwstr>0</vt:lpwstr>
  </property>
</Properties>
</file>