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FE73D" w14:textId="43D1A8FA" w:rsidR="0003640E" w:rsidRPr="006B77BB" w:rsidRDefault="00AB2EEF" w:rsidP="0003640E">
      <w:pPr>
        <w:pStyle w:val="BodyText"/>
      </w:pPr>
      <w:r>
        <w:rPr>
          <w:noProof/>
          <w:color w:val="156082"/>
          <w:szCs w:val="48"/>
        </w:rPr>
        <w:drawing>
          <wp:anchor distT="0" distB="0" distL="114300" distR="114300" simplePos="0" relativeHeight="251658240" behindDoc="0" locked="0" layoutInCell="1" allowOverlap="1" wp14:anchorId="39AF2DC3" wp14:editId="7FDAA661">
            <wp:simplePos x="0" y="0"/>
            <wp:positionH relativeFrom="column">
              <wp:posOffset>-1079571</wp:posOffset>
            </wp:positionH>
            <wp:positionV relativeFrom="paragraph">
              <wp:posOffset>-3622605</wp:posOffset>
            </wp:positionV>
            <wp:extent cx="7572375" cy="10711506"/>
            <wp:effectExtent l="0" t="0" r="0" b="0"/>
            <wp:wrapNone/>
            <wp:docPr id="1252513479" name="Picture 19"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52732" name="Picture 19" descr="A blue and white background&#10;&#10;Description automatically generated"/>
                    <pic:cNvPicPr/>
                  </pic:nvPicPr>
                  <pic:blipFill>
                    <a:blip r:embed="rId12"/>
                    <a:stretch>
                      <a:fillRect/>
                    </a:stretch>
                  </pic:blipFill>
                  <pic:spPr>
                    <a:xfrm>
                      <a:off x="0" y="0"/>
                      <a:ext cx="7572375" cy="10711506"/>
                    </a:xfrm>
                    <a:prstGeom prst="rect">
                      <a:avLst/>
                    </a:prstGeom>
                  </pic:spPr>
                </pic:pic>
              </a:graphicData>
            </a:graphic>
            <wp14:sizeRelH relativeFrom="page">
              <wp14:pctWidth>0</wp14:pctWidth>
            </wp14:sizeRelH>
            <wp14:sizeRelV relativeFrom="page">
              <wp14:pctHeight>0</wp14:pctHeight>
            </wp14:sizeRelV>
          </wp:anchor>
        </w:drawing>
      </w:r>
    </w:p>
    <w:p w14:paraId="03F6C8A2" w14:textId="77777777" w:rsidR="0003640E" w:rsidRPr="006B77BB" w:rsidRDefault="0003640E" w:rsidP="0080531E">
      <w:pPr>
        <w:jc w:val="left"/>
        <w:rPr>
          <w:color w:val="FF0000"/>
        </w:rPr>
        <w:sectPr w:rsidR="0003640E" w:rsidRPr="006B77BB" w:rsidSect="00B86F2A">
          <w:headerReference w:type="even" r:id="rId13"/>
          <w:headerReference w:type="default" r:id="rId14"/>
          <w:footerReference w:type="even" r:id="rId15"/>
          <w:footerReference w:type="default" r:id="rId16"/>
          <w:headerReference w:type="first" r:id="rId17"/>
          <w:footerReference w:type="first" r:id="rId18"/>
          <w:pgSz w:w="11907" w:h="16840" w:code="9"/>
          <w:pgMar w:top="5670" w:right="1701" w:bottom="1701" w:left="1701" w:header="567" w:footer="1134" w:gutter="0"/>
          <w:cols w:space="720"/>
        </w:sectPr>
      </w:pPr>
    </w:p>
    <w:p w14:paraId="2D7BAE8B" w14:textId="4C7A7A04" w:rsidR="00452EC4" w:rsidRPr="006B77BB" w:rsidRDefault="001F0921" w:rsidP="00775F57">
      <w:pPr>
        <w:pStyle w:val="Imprint"/>
        <w:spacing w:before="0" w:after="0"/>
        <w:rPr>
          <w:b/>
        </w:rPr>
      </w:pPr>
      <w:r w:rsidRPr="006B77BB">
        <w:rPr>
          <w:b/>
        </w:rPr>
        <w:lastRenderedPageBreak/>
        <w:t xml:space="preserve"> </w:t>
      </w:r>
      <w:r w:rsidR="00452EC4" w:rsidRPr="006B77BB">
        <w:rPr>
          <w:b/>
        </w:rPr>
        <w:t>Disclaimer</w:t>
      </w:r>
    </w:p>
    <w:p w14:paraId="4A407101" w14:textId="77777777" w:rsidR="0059040D" w:rsidRDefault="0059040D" w:rsidP="0059040D">
      <w:pPr>
        <w:pStyle w:val="Imprint"/>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253C184B" w14:textId="77777777" w:rsidR="0059040D" w:rsidRDefault="0059040D" w:rsidP="00D01DD6">
      <w:pPr>
        <w:pStyle w:val="Bullet"/>
      </w:pPr>
      <w:r>
        <w:t xml:space="preserve">the information does not alter the laws of New Zealand, other official guidelines, or requirements </w:t>
      </w:r>
    </w:p>
    <w:p w14:paraId="0D7CC26D" w14:textId="77777777" w:rsidR="0059040D" w:rsidRDefault="0059040D" w:rsidP="00D01DD6">
      <w:pPr>
        <w:pStyle w:val="Bullet"/>
      </w:pPr>
      <w:r>
        <w:t xml:space="preserve">it does not constitute legal advice, and users should take specific advice from qualified professionals before taking any action based on information in this publication </w:t>
      </w:r>
    </w:p>
    <w:p w14:paraId="063B8686" w14:textId="77777777" w:rsidR="0059040D" w:rsidRDefault="0059040D" w:rsidP="00D01DD6">
      <w:pPr>
        <w:pStyle w:val="Bullet"/>
      </w:pPr>
      <w:r>
        <w:t xml:space="preserve">the Ministry does not accept any responsibility or liability whatsoever whether in contract, tort, equity, or otherwise for any action taken </w:t>
      </w:r>
      <w:proofErr w:type="gramStart"/>
      <w:r>
        <w:t>as a result of</w:t>
      </w:r>
      <w:proofErr w:type="gramEnd"/>
      <w:r>
        <w:t xml:space="preserve"> reading, or reliance placed on this publication because of having read any part, or all, of the information in this publication or for any error, or inadequacy, deficiency, flaw in, or omission from the information in this publication </w:t>
      </w:r>
    </w:p>
    <w:p w14:paraId="34A47BA0" w14:textId="77777777" w:rsidR="00452EC4" w:rsidRPr="006B77BB" w:rsidRDefault="0059040D" w:rsidP="00D01DD6">
      <w:pPr>
        <w:pStyle w:val="Bullet"/>
      </w:pPr>
      <w:r>
        <w:t>all references to websites, organisations or people not within the Ministry are for convenience only and should not be taken as endorsement of those websites or information contained in those websites nor of organisations or people referred to.</w:t>
      </w:r>
    </w:p>
    <w:p w14:paraId="0D6DA930" w14:textId="77777777" w:rsidR="00452EC4" w:rsidRPr="006B77BB" w:rsidRDefault="00452EC4" w:rsidP="00452EC4">
      <w:pPr>
        <w:pStyle w:val="Imprint"/>
      </w:pPr>
    </w:p>
    <w:p w14:paraId="4300475E" w14:textId="68E99C70" w:rsidR="00452EC4" w:rsidRPr="006B77BB" w:rsidRDefault="00452EC4" w:rsidP="00452EC4">
      <w:pPr>
        <w:pStyle w:val="Imprint"/>
      </w:pPr>
      <w:r w:rsidRPr="006B77BB">
        <w:t xml:space="preserve">This </w:t>
      </w:r>
      <w:r w:rsidR="00775F57" w:rsidRPr="006B77BB">
        <w:t>document</w:t>
      </w:r>
      <w:r w:rsidRPr="006B77BB">
        <w:t xml:space="preserve"> may be cited as:</w:t>
      </w:r>
      <w:r w:rsidR="00775F57" w:rsidRPr="006B77BB">
        <w:t xml:space="preserve"> Ministry for the Environment. </w:t>
      </w:r>
      <w:r w:rsidR="00CE7378">
        <w:t>2025</w:t>
      </w:r>
      <w:r w:rsidR="00775F57" w:rsidRPr="006B77BB">
        <w:t>.</w:t>
      </w:r>
      <w:r w:rsidR="00775F57" w:rsidRPr="00CE7378">
        <w:rPr>
          <w:i/>
          <w:iCs/>
        </w:rPr>
        <w:t xml:space="preserve"> </w:t>
      </w:r>
      <w:bookmarkStart w:id="0" w:name="_Hlk187761494"/>
      <w:r w:rsidR="00CE7378" w:rsidRPr="00CE7378">
        <w:rPr>
          <w:i/>
          <w:iCs/>
        </w:rPr>
        <w:t>Diversity, equity and inclusion: Kia Toipoto and Papa Pounamu combined report</w:t>
      </w:r>
      <w:bookmarkEnd w:id="0"/>
      <w:r w:rsidR="00CE7378" w:rsidRPr="00CE7378">
        <w:rPr>
          <w:i/>
          <w:iCs/>
        </w:rPr>
        <w:t>.</w:t>
      </w:r>
      <w:r w:rsidR="00CE7378">
        <w:t xml:space="preserve"> </w:t>
      </w:r>
      <w:r w:rsidR="00775F57" w:rsidRPr="006B77BB">
        <w:t>Wellington: Ministry for the Environment.</w:t>
      </w:r>
    </w:p>
    <w:p w14:paraId="7CBEAC13" w14:textId="77777777" w:rsidR="00760C00" w:rsidRDefault="00760C00" w:rsidP="0080531E">
      <w:pPr>
        <w:pStyle w:val="Imprint"/>
      </w:pPr>
    </w:p>
    <w:p w14:paraId="39DC4752" w14:textId="77777777" w:rsidR="00457135" w:rsidRDefault="00457135" w:rsidP="0080531E">
      <w:pPr>
        <w:pStyle w:val="Imprint"/>
      </w:pPr>
    </w:p>
    <w:p w14:paraId="52A8D65A" w14:textId="77777777" w:rsidR="00563317" w:rsidRDefault="00563317" w:rsidP="0080531E">
      <w:pPr>
        <w:pStyle w:val="Imprint"/>
      </w:pPr>
    </w:p>
    <w:p w14:paraId="32341210" w14:textId="77777777" w:rsidR="00130A41" w:rsidRDefault="00130A41" w:rsidP="0080531E">
      <w:pPr>
        <w:pStyle w:val="Imprint"/>
      </w:pPr>
    </w:p>
    <w:p w14:paraId="54DE5D27" w14:textId="77777777" w:rsidR="00CE7378" w:rsidRDefault="00CE7378" w:rsidP="0080531E">
      <w:pPr>
        <w:pStyle w:val="Imprint"/>
      </w:pPr>
    </w:p>
    <w:p w14:paraId="697DB6A3" w14:textId="77777777" w:rsidR="00CE7378" w:rsidRDefault="00CE7378" w:rsidP="0080531E">
      <w:pPr>
        <w:pStyle w:val="Imprint"/>
      </w:pPr>
    </w:p>
    <w:p w14:paraId="12A5C1B6" w14:textId="77777777" w:rsidR="00130A41" w:rsidRDefault="00130A41" w:rsidP="0080531E">
      <w:pPr>
        <w:pStyle w:val="Imprint"/>
      </w:pPr>
    </w:p>
    <w:p w14:paraId="7C052B0C" w14:textId="77777777" w:rsidR="00457135" w:rsidRDefault="00457135" w:rsidP="0080531E">
      <w:pPr>
        <w:pStyle w:val="Imprint"/>
      </w:pPr>
    </w:p>
    <w:p w14:paraId="74C7048E" w14:textId="77777777" w:rsidR="001C0357" w:rsidRPr="006B77BB" w:rsidRDefault="001C0357" w:rsidP="0080531E">
      <w:pPr>
        <w:pStyle w:val="Imprint"/>
      </w:pPr>
    </w:p>
    <w:p w14:paraId="6D515395" w14:textId="6E3DA662" w:rsidR="0080531E" w:rsidRPr="006B77BB" w:rsidRDefault="0080531E" w:rsidP="0080531E">
      <w:pPr>
        <w:pStyle w:val="Imprint"/>
      </w:pPr>
      <w:r w:rsidRPr="006B77BB">
        <w:t xml:space="preserve">Published in </w:t>
      </w:r>
      <w:r w:rsidR="00F7222B">
        <w:t>January</w:t>
      </w:r>
      <w:r w:rsidR="00775F57" w:rsidRPr="00663783">
        <w:t xml:space="preserve"> </w:t>
      </w:r>
      <w:r w:rsidR="00CE7378">
        <w:t>2025</w:t>
      </w:r>
      <w:r w:rsidRPr="006B77BB">
        <w:t xml:space="preserve"> by the</w:t>
      </w:r>
      <w:r w:rsidRPr="006B77BB">
        <w:br/>
        <w:t xml:space="preserve">Ministry for the Environment </w:t>
      </w:r>
      <w:r w:rsidRPr="006B77BB">
        <w:br/>
        <w:t xml:space="preserve">Manatū </w:t>
      </w:r>
      <w:r w:rsidR="001201AD">
        <w:t>m</w:t>
      </w:r>
      <w:r w:rsidRPr="006B77BB">
        <w:t xml:space="preserve">ō </w:t>
      </w:r>
      <w:r w:rsidR="001201AD">
        <w:t>t</w:t>
      </w:r>
      <w:r w:rsidRPr="006B77BB">
        <w:t>e Taiao</w:t>
      </w:r>
      <w:r w:rsidRPr="006B77BB">
        <w:br/>
        <w:t>PO Box 10362, Wellington 6143, New Zealand</w:t>
      </w:r>
      <w:r w:rsidR="00F27E5C">
        <w:br/>
      </w:r>
      <w:hyperlink r:id="rId19" w:history="1">
        <w:r w:rsidR="00F27E5C" w:rsidRPr="005A5193">
          <w:rPr>
            <w:rStyle w:val="Hyperlink"/>
          </w:rPr>
          <w:t>environment.govt.nz</w:t>
        </w:r>
      </w:hyperlink>
    </w:p>
    <w:p w14:paraId="64006E71" w14:textId="4E24EB5F" w:rsidR="0080531E" w:rsidRPr="00D80091" w:rsidRDefault="0080531E" w:rsidP="0080531E">
      <w:pPr>
        <w:pStyle w:val="Imprint"/>
        <w:tabs>
          <w:tab w:val="left" w:pos="720"/>
        </w:tabs>
        <w:ind w:left="720" w:hanging="720"/>
      </w:pPr>
      <w:r w:rsidRPr="006B77BB">
        <w:t xml:space="preserve">ISBN: </w:t>
      </w:r>
      <w:r w:rsidRPr="006B77BB">
        <w:tab/>
      </w:r>
      <w:r w:rsidR="00D80091" w:rsidRPr="00D80091">
        <w:rPr>
          <w:lang w:val="en-US"/>
        </w:rPr>
        <w:t>978-1-991140-63-0</w:t>
      </w:r>
      <w:r w:rsidR="00D80091" w:rsidRPr="00D80091">
        <w:t> </w:t>
      </w:r>
      <w:r w:rsidRPr="00D80091">
        <w:t>(</w:t>
      </w:r>
      <w:r w:rsidR="00775F57" w:rsidRPr="00D80091">
        <w:t>online</w:t>
      </w:r>
      <w:r w:rsidRPr="00D80091">
        <w:t>)</w:t>
      </w:r>
    </w:p>
    <w:p w14:paraId="7F99D3DE" w14:textId="1AAED411" w:rsidR="0080531E" w:rsidRPr="006B77BB" w:rsidRDefault="0080531E" w:rsidP="0080531E">
      <w:pPr>
        <w:pStyle w:val="Imprint"/>
        <w:ind w:left="720" w:hanging="720"/>
      </w:pPr>
      <w:r w:rsidRPr="00D80091">
        <w:t xml:space="preserve">Publication number: </w:t>
      </w:r>
      <w:r w:rsidRPr="00F61D15">
        <w:t xml:space="preserve">ME </w:t>
      </w:r>
      <w:r w:rsidR="00B1587A" w:rsidRPr="00D80091">
        <w:t>1871</w:t>
      </w:r>
    </w:p>
    <w:p w14:paraId="4B61DE4A" w14:textId="400A62AC" w:rsidR="0080531E" w:rsidRPr="006B77BB" w:rsidRDefault="0080531E" w:rsidP="00593E94">
      <w:pPr>
        <w:pStyle w:val="Imprint"/>
        <w:spacing w:after="80"/>
      </w:pPr>
      <w:r w:rsidRPr="006B77BB">
        <w:t xml:space="preserve">© Crown copyright New Zealand </w:t>
      </w:r>
      <w:r w:rsidR="00B1587A">
        <w:t>2025</w:t>
      </w:r>
    </w:p>
    <w:p w14:paraId="0499936E" w14:textId="77777777" w:rsidR="0080531E" w:rsidRPr="00A84FE1" w:rsidRDefault="0080531E" w:rsidP="00A84FE1">
      <w:pPr>
        <w:sectPr w:rsidR="0080531E" w:rsidRPr="00A84FE1" w:rsidSect="008A7498">
          <w:headerReference w:type="even" r:id="rId20"/>
          <w:headerReference w:type="default" r:id="rId21"/>
          <w:footerReference w:type="even" r:id="rId22"/>
          <w:footerReference w:type="default" r:id="rId23"/>
          <w:pgSz w:w="11907" w:h="16840" w:code="9"/>
          <w:pgMar w:top="1134" w:right="1701" w:bottom="1134" w:left="1701" w:header="567" w:footer="567" w:gutter="0"/>
          <w:pgNumType w:fmt="lowerRoman"/>
          <w:cols w:space="720"/>
        </w:sectPr>
      </w:pPr>
    </w:p>
    <w:p w14:paraId="12B98E93" w14:textId="77777777" w:rsidR="0080531E" w:rsidRPr="00F06E0B" w:rsidRDefault="0080531E" w:rsidP="00585FD0">
      <w:pPr>
        <w:pStyle w:val="Heading"/>
      </w:pPr>
      <w:r w:rsidRPr="00F06E0B">
        <w:lastRenderedPageBreak/>
        <w:t>Contents</w:t>
      </w:r>
    </w:p>
    <w:p w14:paraId="323030CA" w14:textId="62C4E46D" w:rsidR="004D42BF" w:rsidRDefault="00775F57">
      <w:pPr>
        <w:pStyle w:val="TOC1"/>
        <w:rPr>
          <w:rFonts w:asciiTheme="minorHAnsi" w:hAnsiTheme="minorHAnsi"/>
          <w:noProof/>
          <w:kern w:val="2"/>
          <w:sz w:val="24"/>
          <w:szCs w:val="24"/>
          <w14:ligatures w14:val="standardContextual"/>
        </w:rPr>
      </w:pPr>
      <w:r w:rsidRPr="006B77BB">
        <w:rPr>
          <w:color w:val="0092CF"/>
        </w:rPr>
        <w:fldChar w:fldCharType="begin"/>
      </w:r>
      <w:r w:rsidRPr="006B77BB">
        <w:rPr>
          <w:color w:val="0092CF"/>
        </w:rPr>
        <w:instrText xml:space="preserve"> TOC \h \z \t "Heading 1,1,Heading 2,2" </w:instrText>
      </w:r>
      <w:r w:rsidRPr="006B77BB">
        <w:rPr>
          <w:color w:val="0092CF"/>
        </w:rPr>
        <w:fldChar w:fldCharType="separate"/>
      </w:r>
      <w:hyperlink w:anchor="_Toc188532226" w:history="1">
        <w:r w:rsidR="004D42BF" w:rsidRPr="004B67E6">
          <w:rPr>
            <w:rStyle w:val="Hyperlink"/>
            <w:noProof/>
          </w:rPr>
          <w:t>Introduction</w:t>
        </w:r>
        <w:r w:rsidR="004D42BF">
          <w:rPr>
            <w:noProof/>
            <w:webHidden/>
          </w:rPr>
          <w:tab/>
        </w:r>
        <w:r w:rsidR="004D42BF">
          <w:rPr>
            <w:noProof/>
            <w:webHidden/>
          </w:rPr>
          <w:fldChar w:fldCharType="begin"/>
        </w:r>
        <w:r w:rsidR="004D42BF">
          <w:rPr>
            <w:noProof/>
            <w:webHidden/>
          </w:rPr>
          <w:instrText xml:space="preserve"> PAGEREF _Toc188532226 \h </w:instrText>
        </w:r>
        <w:r w:rsidR="004D42BF">
          <w:rPr>
            <w:noProof/>
            <w:webHidden/>
          </w:rPr>
        </w:r>
        <w:r w:rsidR="004D42BF">
          <w:rPr>
            <w:noProof/>
            <w:webHidden/>
          </w:rPr>
          <w:fldChar w:fldCharType="separate"/>
        </w:r>
        <w:r w:rsidR="00640FA6">
          <w:rPr>
            <w:noProof/>
            <w:webHidden/>
          </w:rPr>
          <w:t>5</w:t>
        </w:r>
        <w:r w:rsidR="004D42BF">
          <w:rPr>
            <w:noProof/>
            <w:webHidden/>
          </w:rPr>
          <w:fldChar w:fldCharType="end"/>
        </w:r>
      </w:hyperlink>
    </w:p>
    <w:p w14:paraId="7DCC8015" w14:textId="2C1AC0F0" w:rsidR="004D42BF" w:rsidRDefault="004D42BF">
      <w:pPr>
        <w:pStyle w:val="TOC2"/>
        <w:rPr>
          <w:rFonts w:asciiTheme="minorHAnsi" w:hAnsiTheme="minorHAnsi"/>
          <w:noProof/>
          <w:kern w:val="2"/>
          <w:sz w:val="24"/>
          <w:szCs w:val="24"/>
          <w14:ligatures w14:val="standardContextual"/>
        </w:rPr>
      </w:pPr>
      <w:hyperlink w:anchor="_Toc188532227" w:history="1">
        <w:r w:rsidRPr="004B67E6">
          <w:rPr>
            <w:rStyle w:val="Hyperlink"/>
            <w:noProof/>
          </w:rPr>
          <w:t>Our vision</w:t>
        </w:r>
        <w:r>
          <w:rPr>
            <w:noProof/>
            <w:webHidden/>
          </w:rPr>
          <w:tab/>
        </w:r>
        <w:r>
          <w:rPr>
            <w:noProof/>
            <w:webHidden/>
          </w:rPr>
          <w:fldChar w:fldCharType="begin"/>
        </w:r>
        <w:r>
          <w:rPr>
            <w:noProof/>
            <w:webHidden/>
          </w:rPr>
          <w:instrText xml:space="preserve"> PAGEREF _Toc188532227 \h </w:instrText>
        </w:r>
        <w:r>
          <w:rPr>
            <w:noProof/>
            <w:webHidden/>
          </w:rPr>
        </w:r>
        <w:r>
          <w:rPr>
            <w:noProof/>
            <w:webHidden/>
          </w:rPr>
          <w:fldChar w:fldCharType="separate"/>
        </w:r>
        <w:r w:rsidR="00640FA6">
          <w:rPr>
            <w:noProof/>
            <w:webHidden/>
          </w:rPr>
          <w:t>5</w:t>
        </w:r>
        <w:r>
          <w:rPr>
            <w:noProof/>
            <w:webHidden/>
          </w:rPr>
          <w:fldChar w:fldCharType="end"/>
        </w:r>
      </w:hyperlink>
    </w:p>
    <w:p w14:paraId="295AA981" w14:textId="5A48D9F5" w:rsidR="004D42BF" w:rsidRDefault="004D42BF">
      <w:pPr>
        <w:pStyle w:val="TOC2"/>
        <w:rPr>
          <w:rFonts w:asciiTheme="minorHAnsi" w:hAnsiTheme="minorHAnsi"/>
          <w:noProof/>
          <w:kern w:val="2"/>
          <w:sz w:val="24"/>
          <w:szCs w:val="24"/>
          <w14:ligatures w14:val="standardContextual"/>
        </w:rPr>
      </w:pPr>
      <w:hyperlink w:anchor="_Toc188532228" w:history="1">
        <w:r w:rsidRPr="004B67E6">
          <w:rPr>
            <w:rStyle w:val="Hyperlink"/>
            <w:noProof/>
          </w:rPr>
          <w:t>Our commitment</w:t>
        </w:r>
        <w:r>
          <w:rPr>
            <w:noProof/>
            <w:webHidden/>
          </w:rPr>
          <w:tab/>
        </w:r>
        <w:r>
          <w:rPr>
            <w:noProof/>
            <w:webHidden/>
          </w:rPr>
          <w:fldChar w:fldCharType="begin"/>
        </w:r>
        <w:r>
          <w:rPr>
            <w:noProof/>
            <w:webHidden/>
          </w:rPr>
          <w:instrText xml:space="preserve"> PAGEREF _Toc188532228 \h </w:instrText>
        </w:r>
        <w:r>
          <w:rPr>
            <w:noProof/>
            <w:webHidden/>
          </w:rPr>
        </w:r>
        <w:r>
          <w:rPr>
            <w:noProof/>
            <w:webHidden/>
          </w:rPr>
          <w:fldChar w:fldCharType="separate"/>
        </w:r>
        <w:r w:rsidR="00640FA6">
          <w:rPr>
            <w:noProof/>
            <w:webHidden/>
          </w:rPr>
          <w:t>5</w:t>
        </w:r>
        <w:r>
          <w:rPr>
            <w:noProof/>
            <w:webHidden/>
          </w:rPr>
          <w:fldChar w:fldCharType="end"/>
        </w:r>
      </w:hyperlink>
    </w:p>
    <w:p w14:paraId="162587B7" w14:textId="6B4ED19F" w:rsidR="004D42BF" w:rsidRDefault="004D42BF">
      <w:pPr>
        <w:pStyle w:val="TOC2"/>
        <w:rPr>
          <w:rFonts w:asciiTheme="minorHAnsi" w:hAnsiTheme="minorHAnsi"/>
          <w:noProof/>
          <w:kern w:val="2"/>
          <w:sz w:val="24"/>
          <w:szCs w:val="24"/>
          <w14:ligatures w14:val="standardContextual"/>
        </w:rPr>
      </w:pPr>
      <w:hyperlink w:anchor="_Toc188532229" w:history="1">
        <w:r w:rsidRPr="004B67E6">
          <w:rPr>
            <w:rStyle w:val="Hyperlink"/>
            <w:noProof/>
          </w:rPr>
          <w:t>Our people</w:t>
        </w:r>
        <w:r>
          <w:rPr>
            <w:noProof/>
            <w:webHidden/>
          </w:rPr>
          <w:tab/>
        </w:r>
        <w:r>
          <w:rPr>
            <w:noProof/>
            <w:webHidden/>
          </w:rPr>
          <w:fldChar w:fldCharType="begin"/>
        </w:r>
        <w:r>
          <w:rPr>
            <w:noProof/>
            <w:webHidden/>
          </w:rPr>
          <w:instrText xml:space="preserve"> PAGEREF _Toc188532229 \h </w:instrText>
        </w:r>
        <w:r>
          <w:rPr>
            <w:noProof/>
            <w:webHidden/>
          </w:rPr>
        </w:r>
        <w:r>
          <w:rPr>
            <w:noProof/>
            <w:webHidden/>
          </w:rPr>
          <w:fldChar w:fldCharType="separate"/>
        </w:r>
        <w:r w:rsidR="00640FA6">
          <w:rPr>
            <w:noProof/>
            <w:webHidden/>
          </w:rPr>
          <w:t>5</w:t>
        </w:r>
        <w:r>
          <w:rPr>
            <w:noProof/>
            <w:webHidden/>
          </w:rPr>
          <w:fldChar w:fldCharType="end"/>
        </w:r>
      </w:hyperlink>
    </w:p>
    <w:p w14:paraId="38D446C1" w14:textId="49E3913A" w:rsidR="004D42BF" w:rsidRDefault="004D42BF">
      <w:pPr>
        <w:pStyle w:val="TOC2"/>
        <w:rPr>
          <w:rFonts w:asciiTheme="minorHAnsi" w:hAnsiTheme="minorHAnsi"/>
          <w:noProof/>
          <w:kern w:val="2"/>
          <w:sz w:val="24"/>
          <w:szCs w:val="24"/>
          <w14:ligatures w14:val="standardContextual"/>
        </w:rPr>
      </w:pPr>
      <w:hyperlink w:anchor="_Toc188532230" w:history="1">
        <w:r w:rsidRPr="004B67E6">
          <w:rPr>
            <w:rStyle w:val="Hyperlink"/>
            <w:noProof/>
          </w:rPr>
          <w:t>Our approach</w:t>
        </w:r>
        <w:r>
          <w:rPr>
            <w:noProof/>
            <w:webHidden/>
          </w:rPr>
          <w:tab/>
        </w:r>
        <w:r>
          <w:rPr>
            <w:noProof/>
            <w:webHidden/>
          </w:rPr>
          <w:fldChar w:fldCharType="begin"/>
        </w:r>
        <w:r>
          <w:rPr>
            <w:noProof/>
            <w:webHidden/>
          </w:rPr>
          <w:instrText xml:space="preserve"> PAGEREF _Toc188532230 \h </w:instrText>
        </w:r>
        <w:r>
          <w:rPr>
            <w:noProof/>
            <w:webHidden/>
          </w:rPr>
        </w:r>
        <w:r>
          <w:rPr>
            <w:noProof/>
            <w:webHidden/>
          </w:rPr>
          <w:fldChar w:fldCharType="separate"/>
        </w:r>
        <w:r w:rsidR="00640FA6">
          <w:rPr>
            <w:noProof/>
            <w:webHidden/>
          </w:rPr>
          <w:t>5</w:t>
        </w:r>
        <w:r>
          <w:rPr>
            <w:noProof/>
            <w:webHidden/>
          </w:rPr>
          <w:fldChar w:fldCharType="end"/>
        </w:r>
      </w:hyperlink>
    </w:p>
    <w:p w14:paraId="42AB3AB2" w14:textId="5810A4A3" w:rsidR="004D42BF" w:rsidRDefault="004D42BF">
      <w:pPr>
        <w:pStyle w:val="TOC1"/>
        <w:rPr>
          <w:rFonts w:asciiTheme="minorHAnsi" w:hAnsiTheme="minorHAnsi"/>
          <w:noProof/>
          <w:kern w:val="2"/>
          <w:sz w:val="24"/>
          <w:szCs w:val="24"/>
          <w14:ligatures w14:val="standardContextual"/>
        </w:rPr>
      </w:pPr>
      <w:hyperlink w:anchor="_Toc188532231" w:history="1">
        <w:r w:rsidRPr="004B67E6">
          <w:rPr>
            <w:rStyle w:val="Hyperlink"/>
            <w:noProof/>
          </w:rPr>
          <w:t>Key initiatives</w:t>
        </w:r>
        <w:r>
          <w:rPr>
            <w:noProof/>
            <w:webHidden/>
          </w:rPr>
          <w:tab/>
        </w:r>
        <w:r>
          <w:rPr>
            <w:noProof/>
            <w:webHidden/>
          </w:rPr>
          <w:fldChar w:fldCharType="begin"/>
        </w:r>
        <w:r>
          <w:rPr>
            <w:noProof/>
            <w:webHidden/>
          </w:rPr>
          <w:instrText xml:space="preserve"> PAGEREF _Toc188532231 \h </w:instrText>
        </w:r>
        <w:r>
          <w:rPr>
            <w:noProof/>
            <w:webHidden/>
          </w:rPr>
        </w:r>
        <w:r>
          <w:rPr>
            <w:noProof/>
            <w:webHidden/>
          </w:rPr>
          <w:fldChar w:fldCharType="separate"/>
        </w:r>
        <w:r w:rsidR="00640FA6">
          <w:rPr>
            <w:noProof/>
            <w:webHidden/>
          </w:rPr>
          <w:t>6</w:t>
        </w:r>
        <w:r>
          <w:rPr>
            <w:noProof/>
            <w:webHidden/>
          </w:rPr>
          <w:fldChar w:fldCharType="end"/>
        </w:r>
      </w:hyperlink>
    </w:p>
    <w:p w14:paraId="3DF79DAC" w14:textId="4A961644" w:rsidR="004D42BF" w:rsidRDefault="004D42BF">
      <w:pPr>
        <w:pStyle w:val="TOC1"/>
        <w:rPr>
          <w:rFonts w:asciiTheme="minorHAnsi" w:hAnsiTheme="minorHAnsi"/>
          <w:noProof/>
          <w:kern w:val="2"/>
          <w:sz w:val="24"/>
          <w:szCs w:val="24"/>
          <w14:ligatures w14:val="standardContextual"/>
        </w:rPr>
      </w:pPr>
      <w:hyperlink w:anchor="_Toc188532232" w:history="1">
        <w:r w:rsidRPr="004B67E6">
          <w:rPr>
            <w:rStyle w:val="Hyperlink"/>
            <w:rFonts w:eastAsia="Yu Gothic Light"/>
            <w:noProof/>
          </w:rPr>
          <w:t>Data</w:t>
        </w:r>
        <w:r>
          <w:rPr>
            <w:noProof/>
            <w:webHidden/>
          </w:rPr>
          <w:tab/>
        </w:r>
        <w:r>
          <w:rPr>
            <w:noProof/>
            <w:webHidden/>
          </w:rPr>
          <w:tab/>
        </w:r>
        <w:r>
          <w:rPr>
            <w:noProof/>
            <w:webHidden/>
          </w:rPr>
          <w:fldChar w:fldCharType="begin"/>
        </w:r>
        <w:r>
          <w:rPr>
            <w:noProof/>
            <w:webHidden/>
          </w:rPr>
          <w:instrText xml:space="preserve"> PAGEREF _Toc188532232 \h </w:instrText>
        </w:r>
        <w:r>
          <w:rPr>
            <w:noProof/>
            <w:webHidden/>
          </w:rPr>
        </w:r>
        <w:r>
          <w:rPr>
            <w:noProof/>
            <w:webHidden/>
          </w:rPr>
          <w:fldChar w:fldCharType="separate"/>
        </w:r>
        <w:r w:rsidR="00640FA6">
          <w:rPr>
            <w:noProof/>
            <w:webHidden/>
          </w:rPr>
          <w:t>8</w:t>
        </w:r>
        <w:r>
          <w:rPr>
            <w:noProof/>
            <w:webHidden/>
          </w:rPr>
          <w:fldChar w:fldCharType="end"/>
        </w:r>
      </w:hyperlink>
    </w:p>
    <w:p w14:paraId="5F68B59C" w14:textId="2692E85A" w:rsidR="004D42BF" w:rsidRDefault="004D42BF">
      <w:pPr>
        <w:pStyle w:val="TOC2"/>
        <w:rPr>
          <w:rFonts w:asciiTheme="minorHAnsi" w:hAnsiTheme="minorHAnsi"/>
          <w:noProof/>
          <w:kern w:val="2"/>
          <w:sz w:val="24"/>
          <w:szCs w:val="24"/>
          <w14:ligatures w14:val="standardContextual"/>
        </w:rPr>
      </w:pPr>
      <w:hyperlink w:anchor="_Toc188532233" w:history="1">
        <w:r w:rsidRPr="004B67E6">
          <w:rPr>
            <w:rStyle w:val="Hyperlink"/>
            <w:noProof/>
          </w:rPr>
          <w:t>Representation</w:t>
        </w:r>
        <w:r>
          <w:rPr>
            <w:noProof/>
            <w:webHidden/>
          </w:rPr>
          <w:tab/>
        </w:r>
        <w:r>
          <w:rPr>
            <w:noProof/>
            <w:webHidden/>
          </w:rPr>
          <w:fldChar w:fldCharType="begin"/>
        </w:r>
        <w:r>
          <w:rPr>
            <w:noProof/>
            <w:webHidden/>
          </w:rPr>
          <w:instrText xml:space="preserve"> PAGEREF _Toc188532233 \h </w:instrText>
        </w:r>
        <w:r>
          <w:rPr>
            <w:noProof/>
            <w:webHidden/>
          </w:rPr>
        </w:r>
        <w:r>
          <w:rPr>
            <w:noProof/>
            <w:webHidden/>
          </w:rPr>
          <w:fldChar w:fldCharType="separate"/>
        </w:r>
        <w:r w:rsidR="00640FA6">
          <w:rPr>
            <w:noProof/>
            <w:webHidden/>
          </w:rPr>
          <w:t>8</w:t>
        </w:r>
        <w:r>
          <w:rPr>
            <w:noProof/>
            <w:webHidden/>
          </w:rPr>
          <w:fldChar w:fldCharType="end"/>
        </w:r>
      </w:hyperlink>
    </w:p>
    <w:p w14:paraId="4F0C119D" w14:textId="2E3CF750" w:rsidR="004D42BF" w:rsidRDefault="004D42BF">
      <w:pPr>
        <w:pStyle w:val="TOC2"/>
        <w:rPr>
          <w:rFonts w:asciiTheme="minorHAnsi" w:hAnsiTheme="minorHAnsi"/>
          <w:noProof/>
          <w:kern w:val="2"/>
          <w:sz w:val="24"/>
          <w:szCs w:val="24"/>
          <w14:ligatures w14:val="standardContextual"/>
        </w:rPr>
      </w:pPr>
      <w:hyperlink w:anchor="_Toc188532234" w:history="1">
        <w:r w:rsidRPr="004B67E6">
          <w:rPr>
            <w:rStyle w:val="Hyperlink"/>
            <w:noProof/>
          </w:rPr>
          <w:t>Pay gaps</w:t>
        </w:r>
        <w:r>
          <w:rPr>
            <w:noProof/>
            <w:webHidden/>
          </w:rPr>
          <w:tab/>
        </w:r>
        <w:r>
          <w:rPr>
            <w:noProof/>
            <w:webHidden/>
          </w:rPr>
          <w:fldChar w:fldCharType="begin"/>
        </w:r>
        <w:r>
          <w:rPr>
            <w:noProof/>
            <w:webHidden/>
          </w:rPr>
          <w:instrText xml:space="preserve"> PAGEREF _Toc188532234 \h </w:instrText>
        </w:r>
        <w:r>
          <w:rPr>
            <w:noProof/>
            <w:webHidden/>
          </w:rPr>
        </w:r>
        <w:r>
          <w:rPr>
            <w:noProof/>
            <w:webHidden/>
          </w:rPr>
          <w:fldChar w:fldCharType="separate"/>
        </w:r>
        <w:r w:rsidR="00640FA6">
          <w:rPr>
            <w:noProof/>
            <w:webHidden/>
          </w:rPr>
          <w:t>8</w:t>
        </w:r>
        <w:r>
          <w:rPr>
            <w:noProof/>
            <w:webHidden/>
          </w:rPr>
          <w:fldChar w:fldCharType="end"/>
        </w:r>
      </w:hyperlink>
    </w:p>
    <w:p w14:paraId="1D0C9C1D" w14:textId="38BCC46C" w:rsidR="004D42BF" w:rsidRDefault="004D42BF">
      <w:pPr>
        <w:pStyle w:val="TOC2"/>
        <w:rPr>
          <w:rFonts w:asciiTheme="minorHAnsi" w:hAnsiTheme="minorHAnsi"/>
          <w:noProof/>
          <w:kern w:val="2"/>
          <w:sz w:val="24"/>
          <w:szCs w:val="24"/>
          <w14:ligatures w14:val="standardContextual"/>
        </w:rPr>
      </w:pPr>
      <w:hyperlink w:anchor="_Toc188532235" w:history="1">
        <w:r w:rsidRPr="004B67E6">
          <w:rPr>
            <w:rStyle w:val="Hyperlink"/>
            <w:noProof/>
          </w:rPr>
          <w:t>The numbers</w:t>
        </w:r>
        <w:r>
          <w:rPr>
            <w:noProof/>
            <w:webHidden/>
          </w:rPr>
          <w:tab/>
        </w:r>
        <w:r>
          <w:rPr>
            <w:noProof/>
            <w:webHidden/>
          </w:rPr>
          <w:fldChar w:fldCharType="begin"/>
        </w:r>
        <w:r>
          <w:rPr>
            <w:noProof/>
            <w:webHidden/>
          </w:rPr>
          <w:instrText xml:space="preserve"> PAGEREF _Toc188532235 \h </w:instrText>
        </w:r>
        <w:r>
          <w:rPr>
            <w:noProof/>
            <w:webHidden/>
          </w:rPr>
        </w:r>
        <w:r>
          <w:rPr>
            <w:noProof/>
            <w:webHidden/>
          </w:rPr>
          <w:fldChar w:fldCharType="separate"/>
        </w:r>
        <w:r w:rsidR="00640FA6">
          <w:rPr>
            <w:noProof/>
            <w:webHidden/>
          </w:rPr>
          <w:t>9</w:t>
        </w:r>
        <w:r>
          <w:rPr>
            <w:noProof/>
            <w:webHidden/>
          </w:rPr>
          <w:fldChar w:fldCharType="end"/>
        </w:r>
      </w:hyperlink>
    </w:p>
    <w:p w14:paraId="07CDC37B" w14:textId="694ECE66" w:rsidR="004D42BF" w:rsidRDefault="004D42BF">
      <w:pPr>
        <w:pStyle w:val="TOC1"/>
        <w:rPr>
          <w:rFonts w:asciiTheme="minorHAnsi" w:hAnsiTheme="minorHAnsi"/>
          <w:noProof/>
          <w:kern w:val="2"/>
          <w:sz w:val="24"/>
          <w:szCs w:val="24"/>
          <w14:ligatures w14:val="standardContextual"/>
        </w:rPr>
      </w:pPr>
      <w:hyperlink w:anchor="_Toc188532236" w:history="1">
        <w:r w:rsidRPr="004B67E6">
          <w:rPr>
            <w:rStyle w:val="Hyperlink"/>
            <w:noProof/>
          </w:rPr>
          <w:t>Kia Toipoto – Public Service Pay Gaps Action Plan 2021–24 progress and plan</w:t>
        </w:r>
        <w:r>
          <w:rPr>
            <w:noProof/>
            <w:webHidden/>
          </w:rPr>
          <w:tab/>
        </w:r>
        <w:r>
          <w:rPr>
            <w:noProof/>
            <w:webHidden/>
          </w:rPr>
          <w:fldChar w:fldCharType="begin"/>
        </w:r>
        <w:r>
          <w:rPr>
            <w:noProof/>
            <w:webHidden/>
          </w:rPr>
          <w:instrText xml:space="preserve"> PAGEREF _Toc188532236 \h </w:instrText>
        </w:r>
        <w:r>
          <w:rPr>
            <w:noProof/>
            <w:webHidden/>
          </w:rPr>
        </w:r>
        <w:r>
          <w:rPr>
            <w:noProof/>
            <w:webHidden/>
          </w:rPr>
          <w:fldChar w:fldCharType="separate"/>
        </w:r>
        <w:r w:rsidR="00640FA6">
          <w:rPr>
            <w:noProof/>
            <w:webHidden/>
          </w:rPr>
          <w:t>12</w:t>
        </w:r>
        <w:r>
          <w:rPr>
            <w:noProof/>
            <w:webHidden/>
          </w:rPr>
          <w:fldChar w:fldCharType="end"/>
        </w:r>
      </w:hyperlink>
    </w:p>
    <w:p w14:paraId="7BD0E8F9" w14:textId="3462CD15" w:rsidR="004D42BF" w:rsidRDefault="004D42BF">
      <w:pPr>
        <w:pStyle w:val="TOC1"/>
        <w:rPr>
          <w:rFonts w:asciiTheme="minorHAnsi" w:hAnsiTheme="minorHAnsi"/>
          <w:noProof/>
          <w:kern w:val="2"/>
          <w:sz w:val="24"/>
          <w:szCs w:val="24"/>
          <w14:ligatures w14:val="standardContextual"/>
        </w:rPr>
      </w:pPr>
      <w:hyperlink w:anchor="_Toc188532237" w:history="1">
        <w:r w:rsidRPr="004B67E6">
          <w:rPr>
            <w:rStyle w:val="Hyperlink"/>
            <w:rFonts w:eastAsia="Yu Gothic Light"/>
            <w:noProof/>
          </w:rPr>
          <w:t>Papa Pounamu Public Service work programme progress and plan</w:t>
        </w:r>
        <w:r>
          <w:rPr>
            <w:noProof/>
            <w:webHidden/>
          </w:rPr>
          <w:tab/>
        </w:r>
        <w:r>
          <w:rPr>
            <w:noProof/>
            <w:webHidden/>
          </w:rPr>
          <w:fldChar w:fldCharType="begin"/>
        </w:r>
        <w:r>
          <w:rPr>
            <w:noProof/>
            <w:webHidden/>
          </w:rPr>
          <w:instrText xml:space="preserve"> PAGEREF _Toc188532237 \h </w:instrText>
        </w:r>
        <w:r>
          <w:rPr>
            <w:noProof/>
            <w:webHidden/>
          </w:rPr>
        </w:r>
        <w:r>
          <w:rPr>
            <w:noProof/>
            <w:webHidden/>
          </w:rPr>
          <w:fldChar w:fldCharType="separate"/>
        </w:r>
        <w:r w:rsidR="00640FA6">
          <w:rPr>
            <w:noProof/>
            <w:webHidden/>
          </w:rPr>
          <w:t>15</w:t>
        </w:r>
        <w:r>
          <w:rPr>
            <w:noProof/>
            <w:webHidden/>
          </w:rPr>
          <w:fldChar w:fldCharType="end"/>
        </w:r>
      </w:hyperlink>
    </w:p>
    <w:p w14:paraId="18868781" w14:textId="557AE7DA" w:rsidR="004D42BF" w:rsidRDefault="004D42BF">
      <w:pPr>
        <w:pStyle w:val="TOC1"/>
        <w:rPr>
          <w:rFonts w:asciiTheme="minorHAnsi" w:hAnsiTheme="minorHAnsi"/>
          <w:noProof/>
          <w:kern w:val="2"/>
          <w:sz w:val="24"/>
          <w:szCs w:val="24"/>
          <w14:ligatures w14:val="standardContextual"/>
        </w:rPr>
      </w:pPr>
      <w:hyperlink w:anchor="_Toc188532238" w:history="1">
        <w:r w:rsidRPr="004B67E6">
          <w:rPr>
            <w:rStyle w:val="Hyperlink"/>
            <w:rFonts w:eastAsia="Yu Gothic Light"/>
            <w:noProof/>
          </w:rPr>
          <w:t>Planning for 2025–27</w:t>
        </w:r>
        <w:r>
          <w:rPr>
            <w:noProof/>
            <w:webHidden/>
          </w:rPr>
          <w:tab/>
        </w:r>
        <w:r>
          <w:rPr>
            <w:noProof/>
            <w:webHidden/>
          </w:rPr>
          <w:fldChar w:fldCharType="begin"/>
        </w:r>
        <w:r>
          <w:rPr>
            <w:noProof/>
            <w:webHidden/>
          </w:rPr>
          <w:instrText xml:space="preserve"> PAGEREF _Toc188532238 \h </w:instrText>
        </w:r>
        <w:r>
          <w:rPr>
            <w:noProof/>
            <w:webHidden/>
          </w:rPr>
        </w:r>
        <w:r>
          <w:rPr>
            <w:noProof/>
            <w:webHidden/>
          </w:rPr>
          <w:fldChar w:fldCharType="separate"/>
        </w:r>
        <w:r w:rsidR="00640FA6">
          <w:rPr>
            <w:noProof/>
            <w:webHidden/>
          </w:rPr>
          <w:t>17</w:t>
        </w:r>
        <w:r>
          <w:rPr>
            <w:noProof/>
            <w:webHidden/>
          </w:rPr>
          <w:fldChar w:fldCharType="end"/>
        </w:r>
      </w:hyperlink>
    </w:p>
    <w:p w14:paraId="7BD50983" w14:textId="72E235CD" w:rsidR="0080531E" w:rsidRPr="006B77BB" w:rsidRDefault="00775F57" w:rsidP="002B4778">
      <w:pPr>
        <w:pStyle w:val="Glossary"/>
      </w:pPr>
      <w:r w:rsidRPr="006B77BB">
        <w:rPr>
          <w:color w:val="0092CF"/>
        </w:rPr>
        <w:fldChar w:fldCharType="end"/>
      </w:r>
    </w:p>
    <w:p w14:paraId="36DAE8F7" w14:textId="77777777" w:rsidR="00796A6F" w:rsidRPr="00554B30" w:rsidRDefault="00796A6F" w:rsidP="00554B30">
      <w:r w:rsidRPr="00554B30">
        <w:br w:type="page"/>
      </w:r>
    </w:p>
    <w:p w14:paraId="072827AC" w14:textId="1947EC02" w:rsidR="00532334" w:rsidRPr="006B77BB" w:rsidRDefault="00532334" w:rsidP="00585FD0">
      <w:pPr>
        <w:pStyle w:val="Heading"/>
      </w:pPr>
      <w:r w:rsidRPr="006B77BB">
        <w:lastRenderedPageBreak/>
        <w:t>Table</w:t>
      </w:r>
    </w:p>
    <w:p w14:paraId="187FFEAA" w14:textId="550E28D2" w:rsidR="004D42BF" w:rsidRDefault="004943C2">
      <w:pPr>
        <w:pStyle w:val="TableofFigures"/>
        <w:tabs>
          <w:tab w:val="right" w:pos="8495"/>
        </w:tabs>
        <w:rPr>
          <w:rFonts w:asciiTheme="minorHAnsi" w:hAnsiTheme="minorHAnsi"/>
          <w:noProof/>
          <w:kern w:val="2"/>
          <w:sz w:val="24"/>
          <w:szCs w:val="24"/>
          <w14:ligatures w14:val="standardContextual"/>
        </w:rPr>
      </w:pPr>
      <w:r w:rsidRPr="006B77BB">
        <w:fldChar w:fldCharType="begin"/>
      </w:r>
      <w:r w:rsidRPr="006B77BB">
        <w:instrText xml:space="preserve"> TOC \h \z \t "Table heading" \c </w:instrText>
      </w:r>
      <w:r w:rsidRPr="006B77BB">
        <w:fldChar w:fldCharType="separate"/>
      </w:r>
      <w:hyperlink w:anchor="_Toc188532249" w:history="1">
        <w:r w:rsidR="004D42BF" w:rsidRPr="008451E7">
          <w:rPr>
            <w:rStyle w:val="Hyperlink"/>
            <w:noProof/>
          </w:rPr>
          <w:t xml:space="preserve">Table 1: </w:t>
        </w:r>
        <w:r w:rsidR="004D42BF">
          <w:rPr>
            <w:rFonts w:asciiTheme="minorHAnsi" w:hAnsiTheme="minorHAnsi"/>
            <w:noProof/>
            <w:kern w:val="2"/>
            <w:sz w:val="24"/>
            <w:szCs w:val="24"/>
            <w14:ligatures w14:val="standardContextual"/>
          </w:rPr>
          <w:tab/>
        </w:r>
        <w:r w:rsidR="004D42BF" w:rsidRPr="008451E7">
          <w:rPr>
            <w:rStyle w:val="Hyperlink"/>
            <w:noProof/>
          </w:rPr>
          <w:t>Ministry for the Environment workforce and leadership representation by gender and ethnicity as at 30 June 2024</w:t>
        </w:r>
        <w:r w:rsidR="004D42BF">
          <w:rPr>
            <w:noProof/>
            <w:webHidden/>
          </w:rPr>
          <w:tab/>
        </w:r>
        <w:r w:rsidR="004D42BF">
          <w:rPr>
            <w:noProof/>
            <w:webHidden/>
          </w:rPr>
          <w:fldChar w:fldCharType="begin"/>
        </w:r>
        <w:r w:rsidR="004D42BF">
          <w:rPr>
            <w:noProof/>
            <w:webHidden/>
          </w:rPr>
          <w:instrText xml:space="preserve"> PAGEREF _Toc188532249 \h </w:instrText>
        </w:r>
        <w:r w:rsidR="004D42BF">
          <w:rPr>
            <w:noProof/>
            <w:webHidden/>
          </w:rPr>
        </w:r>
        <w:r w:rsidR="004D42BF">
          <w:rPr>
            <w:noProof/>
            <w:webHidden/>
          </w:rPr>
          <w:fldChar w:fldCharType="separate"/>
        </w:r>
        <w:r w:rsidR="00640FA6">
          <w:rPr>
            <w:noProof/>
            <w:webHidden/>
          </w:rPr>
          <w:t>9</w:t>
        </w:r>
        <w:r w:rsidR="004D42BF">
          <w:rPr>
            <w:noProof/>
            <w:webHidden/>
          </w:rPr>
          <w:fldChar w:fldCharType="end"/>
        </w:r>
      </w:hyperlink>
    </w:p>
    <w:p w14:paraId="01596D18" w14:textId="22A68E08" w:rsidR="004D42BF" w:rsidRDefault="004D42BF">
      <w:pPr>
        <w:pStyle w:val="TableofFigures"/>
        <w:tabs>
          <w:tab w:val="right" w:pos="8495"/>
        </w:tabs>
        <w:rPr>
          <w:rFonts w:asciiTheme="minorHAnsi" w:hAnsiTheme="minorHAnsi"/>
          <w:noProof/>
          <w:kern w:val="2"/>
          <w:sz w:val="24"/>
          <w:szCs w:val="24"/>
          <w14:ligatures w14:val="standardContextual"/>
        </w:rPr>
      </w:pPr>
      <w:hyperlink w:anchor="_Toc188532250" w:history="1">
        <w:r w:rsidRPr="008451E7">
          <w:rPr>
            <w:rStyle w:val="Hyperlink"/>
            <w:noProof/>
          </w:rPr>
          <w:t xml:space="preserve">Table 2: </w:t>
        </w:r>
        <w:r>
          <w:rPr>
            <w:rFonts w:asciiTheme="minorHAnsi" w:hAnsiTheme="minorHAnsi"/>
            <w:noProof/>
            <w:kern w:val="2"/>
            <w:sz w:val="24"/>
            <w:szCs w:val="24"/>
            <w14:ligatures w14:val="standardContextual"/>
          </w:rPr>
          <w:tab/>
        </w:r>
        <w:r w:rsidRPr="008451E7">
          <w:rPr>
            <w:rStyle w:val="Hyperlink"/>
            <w:noProof/>
          </w:rPr>
          <w:t>Ministry for the Environment Kia Toipoto progress as at 30 June 2024</w:t>
        </w:r>
        <w:r>
          <w:rPr>
            <w:noProof/>
            <w:webHidden/>
          </w:rPr>
          <w:tab/>
        </w:r>
        <w:r>
          <w:rPr>
            <w:noProof/>
            <w:webHidden/>
          </w:rPr>
          <w:fldChar w:fldCharType="begin"/>
        </w:r>
        <w:r>
          <w:rPr>
            <w:noProof/>
            <w:webHidden/>
          </w:rPr>
          <w:instrText xml:space="preserve"> PAGEREF _Toc188532250 \h </w:instrText>
        </w:r>
        <w:r>
          <w:rPr>
            <w:noProof/>
            <w:webHidden/>
          </w:rPr>
        </w:r>
        <w:r>
          <w:rPr>
            <w:noProof/>
            <w:webHidden/>
          </w:rPr>
          <w:fldChar w:fldCharType="separate"/>
        </w:r>
        <w:r w:rsidR="00640FA6">
          <w:rPr>
            <w:noProof/>
            <w:webHidden/>
          </w:rPr>
          <w:t>12</w:t>
        </w:r>
        <w:r>
          <w:rPr>
            <w:noProof/>
            <w:webHidden/>
          </w:rPr>
          <w:fldChar w:fldCharType="end"/>
        </w:r>
      </w:hyperlink>
    </w:p>
    <w:p w14:paraId="5EBAE112" w14:textId="20A4C236" w:rsidR="004D42BF" w:rsidRDefault="004D42BF">
      <w:pPr>
        <w:pStyle w:val="TableofFigures"/>
        <w:tabs>
          <w:tab w:val="right" w:pos="8495"/>
        </w:tabs>
        <w:rPr>
          <w:rFonts w:asciiTheme="minorHAnsi" w:hAnsiTheme="minorHAnsi"/>
          <w:noProof/>
          <w:kern w:val="2"/>
          <w:sz w:val="24"/>
          <w:szCs w:val="24"/>
          <w14:ligatures w14:val="standardContextual"/>
        </w:rPr>
      </w:pPr>
      <w:hyperlink w:anchor="_Toc188532251" w:history="1">
        <w:r w:rsidRPr="008451E7">
          <w:rPr>
            <w:rStyle w:val="Hyperlink"/>
            <w:noProof/>
          </w:rPr>
          <w:t xml:space="preserve">Table 3: </w:t>
        </w:r>
        <w:r>
          <w:rPr>
            <w:rFonts w:asciiTheme="minorHAnsi" w:hAnsiTheme="minorHAnsi"/>
            <w:noProof/>
            <w:kern w:val="2"/>
            <w:sz w:val="24"/>
            <w:szCs w:val="24"/>
            <w14:ligatures w14:val="standardContextual"/>
          </w:rPr>
          <w:tab/>
        </w:r>
        <w:r w:rsidRPr="008451E7">
          <w:rPr>
            <w:rStyle w:val="Hyperlink"/>
            <w:noProof/>
          </w:rPr>
          <w:t>Ministry for the Environment Papa Pounamu progress as at 30 June 2024</w:t>
        </w:r>
        <w:r>
          <w:rPr>
            <w:noProof/>
            <w:webHidden/>
          </w:rPr>
          <w:tab/>
        </w:r>
        <w:r>
          <w:rPr>
            <w:noProof/>
            <w:webHidden/>
          </w:rPr>
          <w:fldChar w:fldCharType="begin"/>
        </w:r>
        <w:r>
          <w:rPr>
            <w:noProof/>
            <w:webHidden/>
          </w:rPr>
          <w:instrText xml:space="preserve"> PAGEREF _Toc188532251 \h </w:instrText>
        </w:r>
        <w:r>
          <w:rPr>
            <w:noProof/>
            <w:webHidden/>
          </w:rPr>
        </w:r>
        <w:r>
          <w:rPr>
            <w:noProof/>
            <w:webHidden/>
          </w:rPr>
          <w:fldChar w:fldCharType="separate"/>
        </w:r>
        <w:r w:rsidR="00640FA6">
          <w:rPr>
            <w:noProof/>
            <w:webHidden/>
          </w:rPr>
          <w:t>15</w:t>
        </w:r>
        <w:r>
          <w:rPr>
            <w:noProof/>
            <w:webHidden/>
          </w:rPr>
          <w:fldChar w:fldCharType="end"/>
        </w:r>
      </w:hyperlink>
    </w:p>
    <w:p w14:paraId="09B86B73" w14:textId="7806C445" w:rsidR="00532334" w:rsidRPr="006B77BB" w:rsidRDefault="004943C2" w:rsidP="00D51469">
      <w:pPr>
        <w:pStyle w:val="BodyText"/>
      </w:pPr>
      <w:r w:rsidRPr="006B77BB">
        <w:fldChar w:fldCharType="end"/>
      </w:r>
    </w:p>
    <w:p w14:paraId="02FECD22" w14:textId="77777777" w:rsidR="00532334" w:rsidRPr="006B77BB" w:rsidRDefault="00532334" w:rsidP="004B5BDD"/>
    <w:p w14:paraId="0410473B" w14:textId="77777777" w:rsidR="00532334" w:rsidRPr="006B77BB" w:rsidRDefault="00B51610" w:rsidP="00585FD0">
      <w:pPr>
        <w:pStyle w:val="Heading"/>
      </w:pPr>
      <w:r w:rsidRPr="006B77BB">
        <w:t>Figure</w:t>
      </w:r>
      <w:r w:rsidR="00532334" w:rsidRPr="006B77BB">
        <w:t>s</w:t>
      </w:r>
    </w:p>
    <w:p w14:paraId="2B5B9795" w14:textId="0B958D0A" w:rsidR="004D42BF" w:rsidRDefault="004943C2">
      <w:pPr>
        <w:pStyle w:val="TableofFigures"/>
        <w:tabs>
          <w:tab w:val="right" w:pos="8495"/>
        </w:tabs>
        <w:rPr>
          <w:rFonts w:asciiTheme="minorHAnsi" w:hAnsiTheme="minorHAnsi"/>
          <w:noProof/>
          <w:kern w:val="2"/>
          <w:sz w:val="24"/>
          <w:szCs w:val="24"/>
          <w14:ligatures w14:val="standardContextual"/>
        </w:rPr>
      </w:pPr>
      <w:r w:rsidRPr="006B77BB">
        <w:fldChar w:fldCharType="begin"/>
      </w:r>
      <w:r w:rsidRPr="006B77BB">
        <w:instrText xml:space="preserve"> TOC \h \z \t "Figure heading" \c </w:instrText>
      </w:r>
      <w:r w:rsidRPr="006B77BB">
        <w:fldChar w:fldCharType="separate"/>
      </w:r>
      <w:hyperlink w:anchor="_Toc188532255" w:history="1">
        <w:r w:rsidR="004D42BF" w:rsidRPr="00B26321">
          <w:rPr>
            <w:rStyle w:val="Hyperlink"/>
            <w:noProof/>
          </w:rPr>
          <w:t>Figure 1:</w:t>
        </w:r>
        <w:r w:rsidR="004D42BF">
          <w:rPr>
            <w:rFonts w:asciiTheme="minorHAnsi" w:hAnsiTheme="minorHAnsi"/>
            <w:noProof/>
            <w:kern w:val="2"/>
            <w:sz w:val="24"/>
            <w:szCs w:val="24"/>
            <w14:ligatures w14:val="standardContextual"/>
          </w:rPr>
          <w:tab/>
        </w:r>
        <w:r w:rsidR="004D42BF" w:rsidRPr="00B26321">
          <w:rPr>
            <w:rStyle w:val="Hyperlink"/>
            <w:noProof/>
          </w:rPr>
          <w:t>Ministry for the Environment overall gender pay gap</w:t>
        </w:r>
        <w:r w:rsidR="004D42BF">
          <w:rPr>
            <w:noProof/>
            <w:webHidden/>
          </w:rPr>
          <w:tab/>
        </w:r>
        <w:r w:rsidR="004D42BF">
          <w:rPr>
            <w:noProof/>
            <w:webHidden/>
          </w:rPr>
          <w:fldChar w:fldCharType="begin"/>
        </w:r>
        <w:r w:rsidR="004D42BF">
          <w:rPr>
            <w:noProof/>
            <w:webHidden/>
          </w:rPr>
          <w:instrText xml:space="preserve"> PAGEREF _Toc188532255 \h </w:instrText>
        </w:r>
        <w:r w:rsidR="004D42BF">
          <w:rPr>
            <w:noProof/>
            <w:webHidden/>
          </w:rPr>
        </w:r>
        <w:r w:rsidR="004D42BF">
          <w:rPr>
            <w:noProof/>
            <w:webHidden/>
          </w:rPr>
          <w:fldChar w:fldCharType="separate"/>
        </w:r>
        <w:r w:rsidR="00640FA6">
          <w:rPr>
            <w:noProof/>
            <w:webHidden/>
          </w:rPr>
          <w:t>10</w:t>
        </w:r>
        <w:r w:rsidR="004D42BF">
          <w:rPr>
            <w:noProof/>
            <w:webHidden/>
          </w:rPr>
          <w:fldChar w:fldCharType="end"/>
        </w:r>
      </w:hyperlink>
    </w:p>
    <w:p w14:paraId="73D3066B" w14:textId="3FB1FB72" w:rsidR="004D42BF" w:rsidRDefault="004D42BF">
      <w:pPr>
        <w:pStyle w:val="TableofFigures"/>
        <w:tabs>
          <w:tab w:val="right" w:pos="8495"/>
        </w:tabs>
        <w:rPr>
          <w:rFonts w:asciiTheme="minorHAnsi" w:hAnsiTheme="minorHAnsi"/>
          <w:noProof/>
          <w:kern w:val="2"/>
          <w:sz w:val="24"/>
          <w:szCs w:val="24"/>
          <w14:ligatures w14:val="standardContextual"/>
        </w:rPr>
      </w:pPr>
      <w:hyperlink w:anchor="_Toc188532256" w:history="1">
        <w:r w:rsidRPr="00B26321">
          <w:rPr>
            <w:rStyle w:val="Hyperlink"/>
            <w:noProof/>
          </w:rPr>
          <w:t xml:space="preserve">Figure 2: </w:t>
        </w:r>
        <w:r>
          <w:rPr>
            <w:rFonts w:asciiTheme="minorHAnsi" w:hAnsiTheme="minorHAnsi"/>
            <w:noProof/>
            <w:kern w:val="2"/>
            <w:sz w:val="24"/>
            <w:szCs w:val="24"/>
            <w14:ligatures w14:val="standardContextual"/>
          </w:rPr>
          <w:tab/>
        </w:r>
        <w:r w:rsidRPr="00B26321">
          <w:rPr>
            <w:rStyle w:val="Hyperlink"/>
            <w:noProof/>
          </w:rPr>
          <w:t>Average Ministry for the Environment salaries by gender and ethnicity</w:t>
        </w:r>
        <w:r>
          <w:rPr>
            <w:noProof/>
            <w:webHidden/>
          </w:rPr>
          <w:tab/>
        </w:r>
        <w:r>
          <w:rPr>
            <w:noProof/>
            <w:webHidden/>
          </w:rPr>
          <w:fldChar w:fldCharType="begin"/>
        </w:r>
        <w:r>
          <w:rPr>
            <w:noProof/>
            <w:webHidden/>
          </w:rPr>
          <w:instrText xml:space="preserve"> PAGEREF _Toc188532256 \h </w:instrText>
        </w:r>
        <w:r>
          <w:rPr>
            <w:noProof/>
            <w:webHidden/>
          </w:rPr>
        </w:r>
        <w:r>
          <w:rPr>
            <w:noProof/>
            <w:webHidden/>
          </w:rPr>
          <w:fldChar w:fldCharType="separate"/>
        </w:r>
        <w:r w:rsidR="00640FA6">
          <w:rPr>
            <w:noProof/>
            <w:webHidden/>
          </w:rPr>
          <w:t>11</w:t>
        </w:r>
        <w:r>
          <w:rPr>
            <w:noProof/>
            <w:webHidden/>
          </w:rPr>
          <w:fldChar w:fldCharType="end"/>
        </w:r>
      </w:hyperlink>
    </w:p>
    <w:p w14:paraId="01AA282B" w14:textId="166BF60C" w:rsidR="004D42BF" w:rsidRDefault="004D42BF">
      <w:pPr>
        <w:pStyle w:val="TableofFigures"/>
        <w:tabs>
          <w:tab w:val="right" w:pos="8495"/>
        </w:tabs>
        <w:rPr>
          <w:rFonts w:asciiTheme="minorHAnsi" w:hAnsiTheme="minorHAnsi"/>
          <w:noProof/>
          <w:kern w:val="2"/>
          <w:sz w:val="24"/>
          <w:szCs w:val="24"/>
          <w14:ligatures w14:val="standardContextual"/>
        </w:rPr>
      </w:pPr>
      <w:hyperlink w:anchor="_Toc188532257" w:history="1">
        <w:r w:rsidRPr="00B26321">
          <w:rPr>
            <w:rStyle w:val="Hyperlink"/>
            <w:noProof/>
          </w:rPr>
          <w:t xml:space="preserve">Figure 3: </w:t>
        </w:r>
        <w:r>
          <w:rPr>
            <w:rFonts w:asciiTheme="minorHAnsi" w:hAnsiTheme="minorHAnsi"/>
            <w:noProof/>
            <w:kern w:val="2"/>
            <w:sz w:val="24"/>
            <w:szCs w:val="24"/>
            <w14:ligatures w14:val="standardContextual"/>
          </w:rPr>
          <w:tab/>
        </w:r>
        <w:r w:rsidRPr="00B26321">
          <w:rPr>
            <w:rStyle w:val="Hyperlink"/>
            <w:noProof/>
          </w:rPr>
          <w:t xml:space="preserve">Ethnic pay gaps compared to the public sector average </w:t>
        </w:r>
        <w:r>
          <w:rPr>
            <w:noProof/>
            <w:webHidden/>
          </w:rPr>
          <w:tab/>
        </w:r>
        <w:r>
          <w:rPr>
            <w:noProof/>
            <w:webHidden/>
          </w:rPr>
          <w:fldChar w:fldCharType="begin"/>
        </w:r>
        <w:r>
          <w:rPr>
            <w:noProof/>
            <w:webHidden/>
          </w:rPr>
          <w:instrText xml:space="preserve"> PAGEREF _Toc188532257 \h </w:instrText>
        </w:r>
        <w:r>
          <w:rPr>
            <w:noProof/>
            <w:webHidden/>
          </w:rPr>
        </w:r>
        <w:r>
          <w:rPr>
            <w:noProof/>
            <w:webHidden/>
          </w:rPr>
          <w:fldChar w:fldCharType="separate"/>
        </w:r>
        <w:r w:rsidR="00640FA6">
          <w:rPr>
            <w:noProof/>
            <w:webHidden/>
          </w:rPr>
          <w:t>11</w:t>
        </w:r>
        <w:r>
          <w:rPr>
            <w:noProof/>
            <w:webHidden/>
          </w:rPr>
          <w:fldChar w:fldCharType="end"/>
        </w:r>
      </w:hyperlink>
    </w:p>
    <w:p w14:paraId="50646ED2" w14:textId="4FE370ED" w:rsidR="008A2FF1" w:rsidRPr="006B77BB" w:rsidRDefault="004943C2" w:rsidP="00D51469">
      <w:pPr>
        <w:pStyle w:val="BodyText"/>
      </w:pPr>
      <w:r w:rsidRPr="006B77BB">
        <w:fldChar w:fldCharType="end"/>
      </w:r>
    </w:p>
    <w:p w14:paraId="37FC56AA" w14:textId="77777777" w:rsidR="00796A6F" w:rsidRPr="00554B30" w:rsidRDefault="00796A6F" w:rsidP="00554B30">
      <w:bookmarkStart w:id="1" w:name="_Toc215561202"/>
      <w:r w:rsidRPr="00554B30">
        <w:br w:type="page"/>
      </w:r>
    </w:p>
    <w:p w14:paraId="2212AB5F" w14:textId="0F15D225" w:rsidR="00E142DC" w:rsidRPr="00103A2C" w:rsidRDefault="00E142DC" w:rsidP="00E142DC">
      <w:pPr>
        <w:pStyle w:val="Heading1"/>
        <w:rPr>
          <w:rStyle w:val="Heading1Char"/>
          <w:b/>
          <w:bCs/>
        </w:rPr>
      </w:pPr>
      <w:bookmarkStart w:id="2" w:name="_Toc153181750"/>
      <w:bookmarkStart w:id="3" w:name="_Toc188532226"/>
      <w:bookmarkEnd w:id="1"/>
      <w:r w:rsidRPr="00103A2C">
        <w:rPr>
          <w:rStyle w:val="Heading1Char"/>
          <w:b/>
          <w:bCs/>
        </w:rPr>
        <w:lastRenderedPageBreak/>
        <w:t>Introduction</w:t>
      </w:r>
      <w:bookmarkEnd w:id="2"/>
      <w:bookmarkEnd w:id="3"/>
    </w:p>
    <w:p w14:paraId="41451881" w14:textId="6CC6BF86" w:rsidR="00E142DC" w:rsidRPr="00D84233" w:rsidRDefault="00E142DC" w:rsidP="00441AB7">
      <w:pPr>
        <w:pStyle w:val="Heading2"/>
      </w:pPr>
      <w:bookmarkStart w:id="4" w:name="_Toc188532227"/>
      <w:r w:rsidRPr="00D84233">
        <w:t xml:space="preserve">Our </w:t>
      </w:r>
      <w:r w:rsidR="000737A2">
        <w:t>v</w:t>
      </w:r>
      <w:r w:rsidRPr="00D84233">
        <w:t>ision</w:t>
      </w:r>
      <w:bookmarkEnd w:id="4"/>
    </w:p>
    <w:p w14:paraId="12C9E129" w14:textId="4325A535" w:rsidR="00E142DC" w:rsidRDefault="00236727" w:rsidP="00E142DC">
      <w:pPr>
        <w:pStyle w:val="BodyText"/>
      </w:pPr>
      <w:r>
        <w:t xml:space="preserve">This Ministry for the Environment’s </w:t>
      </w:r>
      <w:r w:rsidR="00E142DC">
        <w:t xml:space="preserve">vision is to provide an inclusive and equitable work environment, one that lifts our organisational capability and performance to deliver better outcomes for all New Zealanders and allow a diverse workforce to flourish. </w:t>
      </w:r>
    </w:p>
    <w:p w14:paraId="65CFA2A1" w14:textId="77777777" w:rsidR="00E142DC" w:rsidRDefault="00E142DC" w:rsidP="00E142DC">
      <w:pPr>
        <w:pStyle w:val="BodyText"/>
      </w:pPr>
      <w:r>
        <w:t>We have four broad organisational goals we strive to achieve:</w:t>
      </w:r>
    </w:p>
    <w:p w14:paraId="601E7C45" w14:textId="163FC6A9" w:rsidR="00A818EC" w:rsidRDefault="00E142DC" w:rsidP="00A818EC">
      <w:pPr>
        <w:pStyle w:val="Bullet"/>
        <w:numPr>
          <w:ilvl w:val="0"/>
          <w:numId w:val="42"/>
        </w:numPr>
      </w:pPr>
      <w:r w:rsidRPr="00C52848">
        <w:rPr>
          <w:b/>
          <w:bCs/>
        </w:rPr>
        <w:t>Embed organisational practices that make the most of our diverse talents</w:t>
      </w:r>
      <w:r w:rsidR="00881F71">
        <w:t xml:space="preserve">. </w:t>
      </w:r>
      <w:r>
        <w:t xml:space="preserve">Our policies, practices and processes are fair, free from discrimination, and enable us to attract and retain a more diverse workforce. </w:t>
      </w:r>
    </w:p>
    <w:p w14:paraId="45DB109D" w14:textId="27B50428" w:rsidR="00A818EC" w:rsidRDefault="00E142DC" w:rsidP="00A818EC">
      <w:pPr>
        <w:pStyle w:val="Bullet"/>
        <w:numPr>
          <w:ilvl w:val="0"/>
          <w:numId w:val="42"/>
        </w:numPr>
      </w:pPr>
      <w:r w:rsidRPr="00A818EC">
        <w:rPr>
          <w:b/>
          <w:bCs/>
        </w:rPr>
        <w:t>Harness diversity of thinking</w:t>
      </w:r>
      <w:r w:rsidR="00881F71">
        <w:t xml:space="preserve">. </w:t>
      </w:r>
      <w:r>
        <w:t xml:space="preserve">We’re skilled at seeking out and incorporating diverse </w:t>
      </w:r>
      <w:proofErr w:type="gramStart"/>
      <w:r>
        <w:t>perspectives</w:t>
      </w:r>
      <w:r w:rsidR="004E5297">
        <w:t>,</w:t>
      </w:r>
      <w:r>
        <w:t xml:space="preserve"> and</w:t>
      </w:r>
      <w:proofErr w:type="gramEnd"/>
      <w:r>
        <w:t xml:space="preserve"> managing the healthy and robust discussion that can come with this. This enables us to develop innovative solutions and take people with us. </w:t>
      </w:r>
    </w:p>
    <w:p w14:paraId="1A7D3418" w14:textId="666D464D" w:rsidR="00A818EC" w:rsidRDefault="00E142DC" w:rsidP="00A818EC">
      <w:pPr>
        <w:pStyle w:val="Bullet"/>
        <w:numPr>
          <w:ilvl w:val="0"/>
          <w:numId w:val="42"/>
        </w:numPr>
      </w:pPr>
      <w:r w:rsidRPr="00A818EC">
        <w:rPr>
          <w:b/>
          <w:bCs/>
        </w:rPr>
        <w:t>Create an inclusive culture</w:t>
      </w:r>
      <w:r w:rsidR="00881F71">
        <w:t xml:space="preserve">. </w:t>
      </w:r>
      <w:r>
        <w:t xml:space="preserve">All our people feel valued for their perspectives and as </w:t>
      </w:r>
      <w:proofErr w:type="gramStart"/>
      <w:r>
        <w:t>people</w:t>
      </w:r>
      <w:r w:rsidR="004712D0">
        <w:t>,</w:t>
      </w:r>
      <w:r>
        <w:t xml:space="preserve"> and</w:t>
      </w:r>
      <w:proofErr w:type="gramEnd"/>
      <w:r>
        <w:t xml:space="preserve"> can bring their whole selves to work. We have strong cultural capability, particularly in te ao Māori. We support and enable our employee-led networks to thrive. </w:t>
      </w:r>
    </w:p>
    <w:p w14:paraId="1C7B6292" w14:textId="092ED4AA" w:rsidR="00E142DC" w:rsidRDefault="00E142DC" w:rsidP="00A818EC">
      <w:pPr>
        <w:pStyle w:val="Bullet"/>
        <w:numPr>
          <w:ilvl w:val="0"/>
          <w:numId w:val="42"/>
        </w:numPr>
      </w:pPr>
      <w:r w:rsidRPr="00A818EC">
        <w:rPr>
          <w:b/>
          <w:bCs/>
        </w:rPr>
        <w:t>Demonstrate inclusive leadership</w:t>
      </w:r>
      <w:r w:rsidR="00881F71">
        <w:t xml:space="preserve">. </w:t>
      </w:r>
      <w:r>
        <w:t xml:space="preserve">Our leaders are skilled at working with diverse teams, managing conflict, and creating an inclusive culture that surfaces and builds on diverse thinking to create better outcomes. </w:t>
      </w:r>
    </w:p>
    <w:p w14:paraId="44814465" w14:textId="2BADD9F3" w:rsidR="00E142DC" w:rsidRPr="00D84233" w:rsidRDefault="00E142DC" w:rsidP="00EC16F9">
      <w:pPr>
        <w:pStyle w:val="Heading2"/>
      </w:pPr>
      <w:bookmarkStart w:id="5" w:name="_Toc188532228"/>
      <w:r>
        <w:t xml:space="preserve">Our </w:t>
      </w:r>
      <w:r w:rsidR="00EC16F9">
        <w:t>c</w:t>
      </w:r>
      <w:r>
        <w:t>ommitment</w:t>
      </w:r>
      <w:bookmarkEnd w:id="5"/>
    </w:p>
    <w:p w14:paraId="2E29A9DD" w14:textId="52137481" w:rsidR="00E142DC" w:rsidRDefault="00E142DC" w:rsidP="00E142DC">
      <w:pPr>
        <w:pStyle w:val="BodyText"/>
      </w:pPr>
      <w:r>
        <w:t xml:space="preserve">The Ministry is committed to delivering on our </w:t>
      </w:r>
      <w:r w:rsidR="008A07B8">
        <w:t xml:space="preserve">diversity, equity and inclusion (DEI) </w:t>
      </w:r>
      <w:r>
        <w:t>goals. We invest in diversity and inclusion</w:t>
      </w:r>
      <w:r w:rsidR="0063144C">
        <w:t>,</w:t>
      </w:r>
      <w:r>
        <w:t xml:space="preserve"> and for the past five years</w:t>
      </w:r>
      <w:r w:rsidR="0063144C">
        <w:t xml:space="preserve"> </w:t>
      </w:r>
      <w:r>
        <w:t xml:space="preserve">have been working to </w:t>
      </w:r>
      <w:r w:rsidR="004E5347">
        <w:t>Tui Raumata, our</w:t>
      </w:r>
      <w:r>
        <w:t xml:space="preserve"> </w:t>
      </w:r>
      <w:r w:rsidR="00AB2EEF" w:rsidRPr="00AB2EEF">
        <w:t>Diversity, Equity and Inclusion Strategy</w:t>
      </w:r>
      <w:r>
        <w:t>. We are proud of the progress we’ve made since this strategy was put in place. Following our operating model review and organisational changes</w:t>
      </w:r>
      <w:r w:rsidR="004217BA">
        <w:t>,</w:t>
      </w:r>
      <w:r>
        <w:t xml:space="preserve"> we will shortly commence the process of reviewing and redeveloping a DEI strategy for the coming </w:t>
      </w:r>
      <w:r w:rsidR="004217BA">
        <w:t xml:space="preserve">three </w:t>
      </w:r>
      <w:r>
        <w:t xml:space="preserve">years.  </w:t>
      </w:r>
    </w:p>
    <w:p w14:paraId="0F664E97" w14:textId="7E8E20A5" w:rsidR="00E142DC" w:rsidRDefault="00E142DC" w:rsidP="00A818EC">
      <w:pPr>
        <w:pStyle w:val="Heading2"/>
      </w:pPr>
      <w:bookmarkStart w:id="6" w:name="_Toc188532229"/>
      <w:r>
        <w:t xml:space="preserve">Our </w:t>
      </w:r>
      <w:r w:rsidR="000737A2">
        <w:t>p</w:t>
      </w:r>
      <w:r>
        <w:t>eople</w:t>
      </w:r>
      <w:bookmarkEnd w:id="6"/>
    </w:p>
    <w:p w14:paraId="62E1BF62" w14:textId="12A6D702" w:rsidR="00E142DC" w:rsidRPr="00D84233" w:rsidRDefault="00E142DC" w:rsidP="00E142DC">
      <w:pPr>
        <w:pStyle w:val="BodyText"/>
      </w:pPr>
      <w:r>
        <w:t xml:space="preserve">As </w:t>
      </w:r>
      <w:proofErr w:type="gramStart"/>
      <w:r>
        <w:t>at</w:t>
      </w:r>
      <w:proofErr w:type="gramEnd"/>
      <w:r>
        <w:t xml:space="preserve"> 30 June 2024, the Ministry had a total of 938.9 </w:t>
      </w:r>
      <w:r w:rsidR="007133BA">
        <w:t>full time equivalents (FTEs)</w:t>
      </w:r>
      <w:r>
        <w:t>. 58</w:t>
      </w:r>
      <w:r w:rsidR="00A848D4">
        <w:t xml:space="preserve"> per cent</w:t>
      </w:r>
      <w:r>
        <w:t xml:space="preserve"> of our workforce is based in Te Whanganui-a-Tara </w:t>
      </w:r>
      <w:r w:rsidR="00417662">
        <w:rPr>
          <w:rFonts w:cs="Calibri"/>
        </w:rPr>
        <w:t>–</w:t>
      </w:r>
      <w:r w:rsidR="00417662">
        <w:t xml:space="preserve"> </w:t>
      </w:r>
      <w:r>
        <w:t>Wellington, 10</w:t>
      </w:r>
      <w:r w:rsidR="00A848D4">
        <w:t xml:space="preserve"> per cent </w:t>
      </w:r>
      <w:r>
        <w:t>in Tāmaki Makaurau</w:t>
      </w:r>
      <w:r w:rsidR="00417662">
        <w:t xml:space="preserve"> </w:t>
      </w:r>
      <w:r w:rsidR="00417662">
        <w:rPr>
          <w:rFonts w:cs="Calibri"/>
        </w:rPr>
        <w:t>–</w:t>
      </w:r>
      <w:r w:rsidR="00417662">
        <w:t xml:space="preserve"> </w:t>
      </w:r>
      <w:r>
        <w:t>Auckland, 12</w:t>
      </w:r>
      <w:r w:rsidR="00A848D4">
        <w:t xml:space="preserve"> per cent </w:t>
      </w:r>
      <w:r>
        <w:t>in Ōtautahi</w:t>
      </w:r>
      <w:r w:rsidR="00417662">
        <w:t xml:space="preserve"> </w:t>
      </w:r>
      <w:r w:rsidR="00417662">
        <w:rPr>
          <w:rFonts w:cs="Calibri"/>
        </w:rPr>
        <w:t>–</w:t>
      </w:r>
      <w:r w:rsidR="00417662">
        <w:t xml:space="preserve"> </w:t>
      </w:r>
      <w:r>
        <w:t>Christchurch, with the remaining 20% based remotely across the motu. Working flexibly-by-default has been a key policy that has allowed the Ministry to access a diverse range of talent from across the country.</w:t>
      </w:r>
    </w:p>
    <w:p w14:paraId="09780C37" w14:textId="77777777" w:rsidR="00E142DC" w:rsidRDefault="00E142DC" w:rsidP="00A818EC">
      <w:pPr>
        <w:pStyle w:val="Heading2"/>
      </w:pPr>
      <w:bookmarkStart w:id="7" w:name="_Toc188532230"/>
      <w:r>
        <w:t>Our approach</w:t>
      </w:r>
      <w:bookmarkEnd w:id="7"/>
    </w:p>
    <w:p w14:paraId="5D7945E3" w14:textId="27D076CB" w:rsidR="00E142DC" w:rsidRDefault="00E142DC" w:rsidP="00E142DC">
      <w:pPr>
        <w:pStyle w:val="BodyText"/>
      </w:pPr>
      <w:r>
        <w:t xml:space="preserve">Tui Raumata, our Diversity, Equity and Inclusion </w:t>
      </w:r>
      <w:r w:rsidR="00F0155F">
        <w:t>Strategy</w:t>
      </w:r>
      <w:r>
        <w:t xml:space="preserve">, represents the tapestry of the Ministry, woven from the threads of our </w:t>
      </w:r>
      <w:r w:rsidRPr="00886C3B">
        <w:t>kaimahi</w:t>
      </w:r>
      <w:r w:rsidR="00A41EB9">
        <w:t>,</w:t>
      </w:r>
      <w:r w:rsidRPr="00886C3B">
        <w:t xml:space="preserve"> who </w:t>
      </w:r>
      <w:r>
        <w:t xml:space="preserve">collectively </w:t>
      </w:r>
      <w:r w:rsidRPr="00886C3B">
        <w:t xml:space="preserve">bring </w:t>
      </w:r>
      <w:r>
        <w:t xml:space="preserve">a diverse array of </w:t>
      </w:r>
      <w:r w:rsidRPr="00886C3B">
        <w:t>backgrounds, perspectives and worldviews</w:t>
      </w:r>
      <w:r>
        <w:t>. The strategy references the whakatauk</w:t>
      </w:r>
      <w:r w:rsidR="00D8043C" w:rsidRPr="00D8043C">
        <w:t>ī</w:t>
      </w:r>
      <w:r>
        <w:t xml:space="preserve">: “Nā tō </w:t>
      </w:r>
      <w:r>
        <w:lastRenderedPageBreak/>
        <w:t>rourou, nā taku rourou ka ora ai te iwi</w:t>
      </w:r>
      <w:r w:rsidR="004048F7">
        <w:t xml:space="preserve"> </w:t>
      </w:r>
      <w:r w:rsidR="004048F7">
        <w:rPr>
          <w:rFonts w:cs="Calibri"/>
        </w:rPr>
        <w:t>–</w:t>
      </w:r>
      <w:r w:rsidR="004048F7">
        <w:t xml:space="preserve"> </w:t>
      </w:r>
      <w:r w:rsidR="00FC2A23">
        <w:t xml:space="preserve">With </w:t>
      </w:r>
      <w:r>
        <w:t>your food basket and with mine</w:t>
      </w:r>
      <w:r w:rsidR="00FC2A23">
        <w:t>,</w:t>
      </w:r>
      <w:r>
        <w:t xml:space="preserve"> the people will thrive</w:t>
      </w:r>
      <w:r w:rsidR="00363577">
        <w:t>.</w:t>
      </w:r>
      <w:r>
        <w:t>”</w:t>
      </w:r>
    </w:p>
    <w:p w14:paraId="107B003E" w14:textId="0DC9FD04" w:rsidR="00E142DC" w:rsidRDefault="00E142DC" w:rsidP="00E142DC">
      <w:pPr>
        <w:pStyle w:val="BodyText"/>
      </w:pPr>
      <w:r w:rsidRPr="00103A2C">
        <w:t xml:space="preserve">Over the </w:t>
      </w:r>
      <w:r>
        <w:t>last 18 months</w:t>
      </w:r>
      <w:r w:rsidRPr="00103A2C">
        <w:t xml:space="preserve">, the Ministry has undergone </w:t>
      </w:r>
      <w:r>
        <w:t xml:space="preserve">significant change, including an operating model review and organisational reset, </w:t>
      </w:r>
      <w:r w:rsidR="00DC69B2">
        <w:t xml:space="preserve">and </w:t>
      </w:r>
      <w:r>
        <w:t xml:space="preserve">changes to our size and structure. A key principle </w:t>
      </w:r>
      <w:r w:rsidR="003E1E81">
        <w:t xml:space="preserve">of </w:t>
      </w:r>
      <w:r>
        <w:t>the change process was ensu</w:t>
      </w:r>
      <w:r w:rsidR="003E1E81">
        <w:t>ring</w:t>
      </w:r>
      <w:r>
        <w:t xml:space="preserve"> all decisions follow a kaimahi-centric approach. That meant designing a process that was respectful and transparent, and that showed manaakitanga (care for others) and arohatanga (compassion and empathy) to all our people. Tui Raumata has played an important role in the change process, ensuring that people remain at the centre of leaders’ decisions. </w:t>
      </w:r>
    </w:p>
    <w:p w14:paraId="2CB35C22" w14:textId="6873185F" w:rsidR="00637B88" w:rsidRPr="00103A2C" w:rsidRDefault="00E142DC" w:rsidP="000E234D">
      <w:pPr>
        <w:pStyle w:val="BodyText"/>
      </w:pPr>
      <w:r>
        <w:t>The Ministry’s</w:t>
      </w:r>
      <w:r w:rsidR="00D9347A">
        <w:rPr>
          <w:rStyle w:val="Hyperlink"/>
        </w:rPr>
        <w:t xml:space="preserve"> </w:t>
      </w:r>
      <w:hyperlink r:id="rId24" w:history="1">
        <w:r w:rsidRPr="00D9347A">
          <w:rPr>
            <w:rStyle w:val="Hyperlink"/>
          </w:rPr>
          <w:t>Papa Pounamu</w:t>
        </w:r>
      </w:hyperlink>
      <w:r>
        <w:t xml:space="preserve"> and </w:t>
      </w:r>
      <w:hyperlink r:id="rId25" w:history="1">
        <w:r w:rsidRPr="00D9347A">
          <w:rPr>
            <w:rStyle w:val="Hyperlink"/>
          </w:rPr>
          <w:t xml:space="preserve">Kia </w:t>
        </w:r>
        <w:proofErr w:type="spellStart"/>
        <w:r w:rsidRPr="00D9347A">
          <w:rPr>
            <w:rStyle w:val="Hyperlink"/>
          </w:rPr>
          <w:t>Toipoto</w:t>
        </w:r>
        <w:proofErr w:type="spellEnd"/>
      </w:hyperlink>
      <w:r>
        <w:t xml:space="preserve"> action plan have been updated to reflect the Ministry’s progress and broad goals for diversity, equity </w:t>
      </w:r>
      <w:r w:rsidRPr="000E234D">
        <w:t>and</w:t>
      </w:r>
      <w:r>
        <w:t xml:space="preserve"> inclusion, and</w:t>
      </w:r>
      <w:r w:rsidR="00C25A66">
        <w:t xml:space="preserve"> for</w:t>
      </w:r>
      <w:r>
        <w:t xml:space="preserve"> closing pay gaps in the context of our reset environment, which are outlined in this document. </w:t>
      </w:r>
    </w:p>
    <w:p w14:paraId="0231A5F4" w14:textId="6A7592F5" w:rsidR="00E142DC" w:rsidRPr="005E744D" w:rsidRDefault="006A13E9" w:rsidP="000E234D">
      <w:pPr>
        <w:pStyle w:val="Heading1"/>
      </w:pPr>
      <w:bookmarkStart w:id="8" w:name="_Toc153181751"/>
      <w:r w:rsidRPr="005E744D">
        <w:br/>
      </w:r>
      <w:bookmarkStart w:id="9" w:name="_Toc188532231"/>
      <w:r w:rsidR="00E142DC" w:rsidRPr="005E744D">
        <w:t xml:space="preserve">Key </w:t>
      </w:r>
      <w:r w:rsidR="000737A2" w:rsidRPr="005E744D">
        <w:t>i</w:t>
      </w:r>
      <w:r w:rsidR="00E142DC" w:rsidRPr="005E744D">
        <w:t>nitiatives</w:t>
      </w:r>
      <w:bookmarkEnd w:id="9"/>
    </w:p>
    <w:p w14:paraId="45B830EC" w14:textId="4F54929F" w:rsidR="00E142DC" w:rsidRDefault="00E142DC" w:rsidP="00E142DC">
      <w:pPr>
        <w:pStyle w:val="BodyText"/>
      </w:pPr>
      <w:r>
        <w:t>In 2023, the Ministry embarked on an operating model redesign process. This work provided the Ministry with a clear pathway forward that led to significant change process at the start of 2024. A key principle to the change process was to deliver a kaimahi-centric approach. As such, the Ministry implemented key initiatives that ensured we put our people first throughout the change process</w:t>
      </w:r>
      <w:r w:rsidR="001E4DD2">
        <w:t>.</w:t>
      </w:r>
    </w:p>
    <w:p w14:paraId="463998D1" w14:textId="71F77D52" w:rsidR="00E142DC" w:rsidRPr="00103A2C" w:rsidRDefault="00E142DC" w:rsidP="000737A2">
      <w:pPr>
        <w:pStyle w:val="Bullet"/>
      </w:pPr>
      <w:r w:rsidRPr="00381638">
        <w:rPr>
          <w:b/>
          <w:bCs/>
        </w:rPr>
        <w:t>Implementing recruitment controls</w:t>
      </w:r>
      <w:r>
        <w:t xml:space="preserve"> </w:t>
      </w:r>
      <w:r w:rsidRPr="00381638">
        <w:rPr>
          <w:b/>
          <w:bCs/>
        </w:rPr>
        <w:t xml:space="preserve">at the commencement of the operating model </w:t>
      </w:r>
      <w:r>
        <w:rPr>
          <w:b/>
          <w:bCs/>
        </w:rPr>
        <w:t xml:space="preserve">redesign </w:t>
      </w:r>
      <w:r w:rsidRPr="00381638">
        <w:rPr>
          <w:b/>
          <w:bCs/>
        </w:rPr>
        <w:t>process.</w:t>
      </w:r>
      <w:r w:rsidRPr="00103A2C">
        <w:t xml:space="preserve"> </w:t>
      </w:r>
      <w:r>
        <w:t>Targeted financial savings expected to be delivered over the next three years required the Ministry</w:t>
      </w:r>
      <w:r w:rsidR="00F07F6F">
        <w:t xml:space="preserve"> to</w:t>
      </w:r>
      <w:r>
        <w:t xml:space="preserve"> put in place controls on recruitment. The decision to do this ensured the Ministry could enter the change process with the aim to retain as many of our kaimahi as possible. R</w:t>
      </w:r>
      <w:r w:rsidRPr="00103A2C">
        <w:t>estrictin</w:t>
      </w:r>
      <w:r>
        <w:t>g</w:t>
      </w:r>
      <w:r w:rsidRPr="00103A2C">
        <w:t xml:space="preserve"> external recruitment </w:t>
      </w:r>
      <w:r>
        <w:t xml:space="preserve">encouraged </w:t>
      </w:r>
      <w:r w:rsidRPr="00103A2C">
        <w:t>leaders to prioriti</w:t>
      </w:r>
      <w:r>
        <w:t>s</w:t>
      </w:r>
      <w:r w:rsidRPr="00103A2C">
        <w:t>e work</w:t>
      </w:r>
      <w:r>
        <w:t>,</w:t>
      </w:r>
      <w:r w:rsidRPr="00103A2C">
        <w:t xml:space="preserve"> as well as utilis</w:t>
      </w:r>
      <w:r>
        <w:t xml:space="preserve">e the existing workforce </w:t>
      </w:r>
      <w:r w:rsidRPr="00103A2C">
        <w:t>– including permanent and fixed term employees.</w:t>
      </w:r>
      <w:r>
        <w:t xml:space="preserve"> </w:t>
      </w:r>
    </w:p>
    <w:p w14:paraId="2AA8548E" w14:textId="197EDC79" w:rsidR="00E142DC" w:rsidRDefault="00E142DC" w:rsidP="000737A2">
      <w:pPr>
        <w:pStyle w:val="Bullet"/>
      </w:pPr>
      <w:r w:rsidRPr="00784345">
        <w:rPr>
          <w:b/>
          <w:bCs/>
        </w:rPr>
        <w:t xml:space="preserve">Engaging </w:t>
      </w:r>
      <w:r>
        <w:rPr>
          <w:b/>
          <w:bCs/>
        </w:rPr>
        <w:t xml:space="preserve">with </w:t>
      </w:r>
      <w:r w:rsidRPr="00784345">
        <w:rPr>
          <w:b/>
          <w:bCs/>
        </w:rPr>
        <w:t xml:space="preserve">and </w:t>
      </w:r>
      <w:r>
        <w:rPr>
          <w:b/>
          <w:bCs/>
        </w:rPr>
        <w:t>s</w:t>
      </w:r>
      <w:r w:rsidRPr="00784345">
        <w:rPr>
          <w:b/>
          <w:bCs/>
        </w:rPr>
        <w:t xml:space="preserve">eeking feedback </w:t>
      </w:r>
      <w:r>
        <w:rPr>
          <w:b/>
          <w:bCs/>
        </w:rPr>
        <w:t>from</w:t>
      </w:r>
      <w:r w:rsidRPr="00784345">
        <w:rPr>
          <w:b/>
          <w:bCs/>
        </w:rPr>
        <w:t xml:space="preserve"> all stakeholders</w:t>
      </w:r>
      <w:r w:rsidR="0015191D">
        <w:rPr>
          <w:b/>
          <w:bCs/>
        </w:rPr>
        <w:t>.</w:t>
      </w:r>
      <w:r>
        <w:t xml:space="preserve"> Throughout the operating model redesign and organisational reset process, we regularly engaged with key stakeholder groups including: </w:t>
      </w:r>
    </w:p>
    <w:p w14:paraId="16C0A222" w14:textId="77777777" w:rsidR="00E142DC" w:rsidRDefault="00E142DC" w:rsidP="00A20D5B">
      <w:pPr>
        <w:pStyle w:val="Sub-list"/>
      </w:pPr>
      <w:r>
        <w:t>the PSA</w:t>
      </w:r>
    </w:p>
    <w:p w14:paraId="77189DF5" w14:textId="00DE4D25" w:rsidR="00E142DC" w:rsidRDefault="004D1A48" w:rsidP="00A20D5B">
      <w:pPr>
        <w:pStyle w:val="Sub-list"/>
      </w:pPr>
      <w:r>
        <w:t>our e</w:t>
      </w:r>
      <w:r w:rsidR="00E142DC">
        <w:t xml:space="preserve">mployee-led </w:t>
      </w:r>
      <w:r>
        <w:t>n</w:t>
      </w:r>
      <w:r w:rsidR="00E142DC">
        <w:t xml:space="preserve">etworks </w:t>
      </w:r>
    </w:p>
    <w:p w14:paraId="0670B545" w14:textId="573F40D2" w:rsidR="00E142DC" w:rsidRDefault="004D1A48" w:rsidP="00A20D5B">
      <w:pPr>
        <w:pStyle w:val="Sub-list"/>
      </w:pPr>
      <w:r>
        <w:t>o</w:t>
      </w:r>
      <w:r w:rsidR="00E142DC">
        <w:t>ur whole employee</w:t>
      </w:r>
      <w:r>
        <w:t xml:space="preserve"> </w:t>
      </w:r>
      <w:r w:rsidR="00E142DC">
        <w:t xml:space="preserve">base via an email address where kaimahi were invited to “Have </w:t>
      </w:r>
      <w:r w:rsidR="002C1394">
        <w:t xml:space="preserve">your </w:t>
      </w:r>
      <w:r w:rsidR="00E142DC">
        <w:t xml:space="preserve">say”. </w:t>
      </w:r>
    </w:p>
    <w:p w14:paraId="2CE6D5E2" w14:textId="77777777" w:rsidR="00E142DC" w:rsidRDefault="00E142DC" w:rsidP="000737A2">
      <w:pPr>
        <w:pStyle w:val="BodyText"/>
        <w:ind w:left="360"/>
      </w:pPr>
      <w:r>
        <w:t xml:space="preserve">These touchpoints allowed our kaimahi and their representatives to provide feedback during the </w:t>
      </w:r>
      <w:r w:rsidRPr="000737A2">
        <w:t>consultation</w:t>
      </w:r>
      <w:r>
        <w:t xml:space="preserve"> period, to ask questions and make suggestions, and to access guidance at various stages of the process. </w:t>
      </w:r>
    </w:p>
    <w:p w14:paraId="2EA81353" w14:textId="30A69EDE" w:rsidR="00E142DC" w:rsidRDefault="00E142DC" w:rsidP="00401ED3">
      <w:pPr>
        <w:pStyle w:val="Bullet"/>
      </w:pPr>
      <w:r>
        <w:t xml:space="preserve">At the </w:t>
      </w:r>
      <w:r w:rsidRPr="00401ED3">
        <w:t>commencement</w:t>
      </w:r>
      <w:r>
        <w:t xml:space="preserve"> of the selection process</w:t>
      </w:r>
      <w:r w:rsidR="00412A34">
        <w:t>,</w:t>
      </w:r>
      <w:r>
        <w:t xml:space="preserve"> where kaimahi were applying for roles in our reset structure, all leaders and </w:t>
      </w:r>
      <w:proofErr w:type="spellStart"/>
      <w:r w:rsidR="001105F0">
        <w:t>kaimahi</w:t>
      </w:r>
      <w:proofErr w:type="spellEnd"/>
      <w:r w:rsidR="001105F0">
        <w:t xml:space="preserve"> </w:t>
      </w:r>
      <w:r>
        <w:t>were supported in the following ways:</w:t>
      </w:r>
    </w:p>
    <w:p w14:paraId="00FA10ED" w14:textId="68E0F732" w:rsidR="00E142DC" w:rsidRDefault="00E142DC" w:rsidP="00946D5A">
      <w:pPr>
        <w:pStyle w:val="Sub-list"/>
      </w:pPr>
      <w:r>
        <w:t xml:space="preserve">Interview applicants were invited to bring along a support person to their interviews. </w:t>
      </w:r>
    </w:p>
    <w:p w14:paraId="1468094D" w14:textId="77777777" w:rsidR="00E142DC" w:rsidRDefault="00E142DC" w:rsidP="00946D5A">
      <w:pPr>
        <w:pStyle w:val="Sub-list"/>
      </w:pPr>
      <w:r>
        <w:t>Interview pātai (questions) were provided to all interviewees. This gave kaimahi the best opportunity to prepare before attending interviews.</w:t>
      </w:r>
    </w:p>
    <w:p w14:paraId="76398119" w14:textId="651F5C4A" w:rsidR="00E142DC" w:rsidRDefault="00E142DC" w:rsidP="00946D5A">
      <w:pPr>
        <w:pStyle w:val="Sub-list"/>
      </w:pPr>
      <w:r>
        <w:lastRenderedPageBreak/>
        <w:t>We reflected on the whakatauk</w:t>
      </w:r>
      <w:r w:rsidR="00B018EC" w:rsidRPr="00D8043C">
        <w:t>ī</w:t>
      </w:r>
      <w:r w:rsidR="004048F7">
        <w:t>:</w:t>
      </w:r>
      <w:r>
        <w:t xml:space="preserve"> “Kaore te kumara e kōrero mō tōna ake reka - </w:t>
      </w:r>
      <w:r w:rsidR="004048F7">
        <w:t>T</w:t>
      </w:r>
      <w:r>
        <w:t>he kumara does not speak of its own sweetness</w:t>
      </w:r>
      <w:r w:rsidR="006A3599">
        <w:t>.</w:t>
      </w:r>
      <w:r>
        <w:t>” The Ministry supported Māori and Pasifika staff with training on effective ways they can promote themselves,</w:t>
      </w:r>
      <w:r w:rsidR="00ED41CA">
        <w:t xml:space="preserve"> </w:t>
      </w:r>
      <w:r>
        <w:t xml:space="preserve">their personal brand, and provided tips and techniques </w:t>
      </w:r>
      <w:r w:rsidR="00F44712">
        <w:t xml:space="preserve">for </w:t>
      </w:r>
      <w:r>
        <w:t>putting their best foot forward.</w:t>
      </w:r>
    </w:p>
    <w:p w14:paraId="171A9548" w14:textId="31FD2BC2" w:rsidR="00E142DC" w:rsidRDefault="00E142DC" w:rsidP="00946D5A">
      <w:pPr>
        <w:pStyle w:val="Sub-list"/>
      </w:pPr>
      <w:r>
        <w:t>CV, cover letter and interview workshops were provided to staff</w:t>
      </w:r>
      <w:r w:rsidR="001105F0">
        <w:t>. P</w:t>
      </w:r>
      <w:r>
        <w:t xml:space="preserve">ersonalised </w:t>
      </w:r>
      <w:r w:rsidR="00F44712">
        <w:t>one-on-one</w:t>
      </w:r>
      <w:r>
        <w:t xml:space="preserve"> review of staff CVs were offered at staff request. </w:t>
      </w:r>
    </w:p>
    <w:p w14:paraId="71DDAA51" w14:textId="1736224E" w:rsidR="00E142DC" w:rsidRDefault="00E142DC" w:rsidP="00946D5A">
      <w:pPr>
        <w:pStyle w:val="Sub-list"/>
      </w:pPr>
      <w:r>
        <w:t xml:space="preserve">Refresher workshops in </w:t>
      </w:r>
      <w:r w:rsidR="00313298">
        <w:t>u</w:t>
      </w:r>
      <w:r>
        <w:t xml:space="preserve">nconscious </w:t>
      </w:r>
      <w:r w:rsidR="00313298">
        <w:t>b</w:t>
      </w:r>
      <w:r>
        <w:t>ias were delivered for all people leaders and managers to attend. The workshop focused on supporting leaders to have stronger awareness of the biases they may have, and provided effective tools that would ensure the fairest evaluation of staff</w:t>
      </w:r>
      <w:r w:rsidR="00E6538E">
        <w:t xml:space="preserve"> during the reset process</w:t>
      </w:r>
      <w:r>
        <w:t xml:space="preserve">. </w:t>
      </w:r>
    </w:p>
    <w:p w14:paraId="5FDBEA59" w14:textId="239360DC" w:rsidR="00E142DC" w:rsidRDefault="00E142DC" w:rsidP="00946D5A">
      <w:pPr>
        <w:pStyle w:val="Sub-list"/>
      </w:pPr>
      <w:r>
        <w:t>Workshops on the selection process, including CV and interview support</w:t>
      </w:r>
      <w:r w:rsidR="00E6538E">
        <w:t>,</w:t>
      </w:r>
      <w:r>
        <w:t xml:space="preserve"> </w:t>
      </w:r>
      <w:r w:rsidR="00E6538E">
        <w:t xml:space="preserve">were </w:t>
      </w:r>
      <w:r>
        <w:t>offered through the neurodivers</w:t>
      </w:r>
      <w:r w:rsidR="00E6538E">
        <w:t>ity</w:t>
      </w:r>
      <w:r>
        <w:t xml:space="preserve"> network and provided on request. </w:t>
      </w:r>
    </w:p>
    <w:p w14:paraId="12BA3B2A" w14:textId="67F7AF96" w:rsidR="00E142DC" w:rsidRDefault="00E142DC" w:rsidP="00E142DC">
      <w:pPr>
        <w:pStyle w:val="BodyText"/>
      </w:pPr>
      <w:r>
        <w:t>While the major focus for the last 18 months has been delivering on the operating model review and organisational reset process, the Ministry has made progress in several other areas</w:t>
      </w:r>
      <w:r w:rsidR="007171A5">
        <w:t>.</w:t>
      </w:r>
    </w:p>
    <w:p w14:paraId="0D7C8424" w14:textId="60670FCF" w:rsidR="00E142DC" w:rsidRDefault="00E142DC" w:rsidP="00401ED3">
      <w:pPr>
        <w:pStyle w:val="Bullet"/>
      </w:pPr>
      <w:r w:rsidRPr="00F368FE">
        <w:rPr>
          <w:b/>
          <w:bCs/>
        </w:rPr>
        <w:t>Te Ao Hurihuri</w:t>
      </w:r>
      <w:r w:rsidR="00F368FE" w:rsidRPr="00F368FE">
        <w:rPr>
          <w:b/>
          <w:bCs/>
        </w:rPr>
        <w:t>,</w:t>
      </w:r>
      <w:r w:rsidRPr="00F61D15">
        <w:rPr>
          <w:b/>
          <w:bCs/>
        </w:rPr>
        <w:t xml:space="preserve"> our te ao Māori capability strategy</w:t>
      </w:r>
      <w:r w:rsidR="00881F71">
        <w:t>. T</w:t>
      </w:r>
      <w:r>
        <w:t>his strategy leverages the Whāinga Amorangi capability framework. The Ministry’s aim is to bring Te Tiriti</w:t>
      </w:r>
      <w:r w:rsidR="004B140C">
        <w:t xml:space="preserve"> o Waitangi</w:t>
      </w:r>
      <w:r>
        <w:t xml:space="preserve"> and </w:t>
      </w:r>
      <w:r w:rsidR="004A47A0">
        <w:t>t</w:t>
      </w:r>
      <w:r>
        <w:t xml:space="preserve">e </w:t>
      </w:r>
      <w:r w:rsidR="004A47A0">
        <w:t xml:space="preserve">ao </w:t>
      </w:r>
      <w:r>
        <w:t>Māori into the workplace every day. Achievements have included:</w:t>
      </w:r>
    </w:p>
    <w:p w14:paraId="7CE6104C" w14:textId="10690AFD" w:rsidR="00E142DC" w:rsidRDefault="00E142DC" w:rsidP="00AF7942">
      <w:pPr>
        <w:pStyle w:val="Sub-list"/>
      </w:pPr>
      <w:r w:rsidRPr="00C9606D">
        <w:rPr>
          <w:b/>
          <w:bCs/>
        </w:rPr>
        <w:t xml:space="preserve">Continued </w:t>
      </w:r>
      <w:r>
        <w:rPr>
          <w:b/>
          <w:bCs/>
        </w:rPr>
        <w:t xml:space="preserve">rollout and </w:t>
      </w:r>
      <w:r w:rsidRPr="00C9606D">
        <w:rPr>
          <w:b/>
          <w:bCs/>
        </w:rPr>
        <w:t xml:space="preserve">delivery of </w:t>
      </w:r>
      <w:r w:rsidRPr="00F61D15">
        <w:rPr>
          <w:b/>
          <w:bCs/>
        </w:rPr>
        <w:t>Tōnui</w:t>
      </w:r>
      <w:r w:rsidRPr="00C9606D">
        <w:rPr>
          <w:b/>
          <w:bCs/>
        </w:rPr>
        <w:t xml:space="preserve"> to all kaimahi</w:t>
      </w:r>
      <w:r w:rsidR="00841C69">
        <w:t>.</w:t>
      </w:r>
      <w:r>
        <w:t xml:space="preserve"> </w:t>
      </w:r>
      <w:r w:rsidR="00964A12">
        <w:t>This is t</w:t>
      </w:r>
      <w:r>
        <w:t>he Ministry’s baseline capability workshop for all staff</w:t>
      </w:r>
      <w:r w:rsidR="00964A12">
        <w:t>,</w:t>
      </w:r>
      <w:r>
        <w:t xml:space="preserve"> to increase their knowledge and understanding of New Zealand’s history, </w:t>
      </w:r>
      <w:r w:rsidR="00331BDC">
        <w:t xml:space="preserve">te ao </w:t>
      </w:r>
      <w:r>
        <w:t xml:space="preserve">Māori, Te Tiriti, discrimination and cultural safety. </w:t>
      </w:r>
    </w:p>
    <w:p w14:paraId="210C2ECB" w14:textId="338CE6E8" w:rsidR="00E142DC" w:rsidRDefault="00A24C08" w:rsidP="00AF7942">
      <w:pPr>
        <w:pStyle w:val="Sub-list"/>
      </w:pPr>
      <w:r>
        <w:rPr>
          <w:b/>
          <w:bCs/>
        </w:rPr>
        <w:t>Incorporation of</w:t>
      </w:r>
      <w:r w:rsidRPr="00C9606D">
        <w:rPr>
          <w:b/>
          <w:bCs/>
        </w:rPr>
        <w:t xml:space="preserve"> </w:t>
      </w:r>
      <w:r w:rsidR="00E142DC" w:rsidRPr="00C9606D">
        <w:rPr>
          <w:b/>
          <w:bCs/>
        </w:rPr>
        <w:t xml:space="preserve">Rongoā Māori </w:t>
      </w:r>
      <w:r w:rsidR="00FE2BEE">
        <w:rPr>
          <w:b/>
          <w:bCs/>
        </w:rPr>
        <w:t xml:space="preserve">into </w:t>
      </w:r>
      <w:r w:rsidR="00E142DC" w:rsidRPr="00C9606D">
        <w:rPr>
          <w:b/>
          <w:bCs/>
        </w:rPr>
        <w:t>the Ministry</w:t>
      </w:r>
      <w:r w:rsidR="00E142DC">
        <w:rPr>
          <w:b/>
          <w:bCs/>
        </w:rPr>
        <w:t>’s</w:t>
      </w:r>
      <w:r w:rsidR="00E142DC" w:rsidRPr="00C9606D">
        <w:rPr>
          <w:b/>
          <w:bCs/>
        </w:rPr>
        <w:t xml:space="preserve"> </w:t>
      </w:r>
      <w:r w:rsidR="00FE2BEE">
        <w:rPr>
          <w:b/>
          <w:bCs/>
        </w:rPr>
        <w:t>Employee Assistance Programme (EAP)</w:t>
      </w:r>
      <w:r w:rsidR="00FE2BEE" w:rsidRPr="00C9606D">
        <w:rPr>
          <w:b/>
          <w:bCs/>
        </w:rPr>
        <w:t xml:space="preserve"> </w:t>
      </w:r>
      <w:r w:rsidR="00E142DC">
        <w:rPr>
          <w:b/>
          <w:bCs/>
        </w:rPr>
        <w:t>provision</w:t>
      </w:r>
      <w:r w:rsidR="00FE2BEE">
        <w:t xml:space="preserve">. </w:t>
      </w:r>
      <w:r w:rsidR="00E142DC">
        <w:t xml:space="preserve">Rongoā is </w:t>
      </w:r>
      <w:r w:rsidR="00E142DC" w:rsidRPr="00F02924">
        <w:t>a holistic and cultural healing practice that incorporates deep, personal connections with the natural environment.</w:t>
      </w:r>
      <w:r w:rsidR="00E142DC">
        <w:t xml:space="preserve"> </w:t>
      </w:r>
      <w:r w:rsidR="005E7CC7">
        <w:t xml:space="preserve">It </w:t>
      </w:r>
      <w:r w:rsidR="00E142DC">
        <w:t xml:space="preserve">was introduced </w:t>
      </w:r>
      <w:r w:rsidR="005E7CC7">
        <w:t xml:space="preserve">to EAP </w:t>
      </w:r>
      <w:r w:rsidR="00E142DC">
        <w:t xml:space="preserve">following consistent feedback received in our Tō Reo (employee engagement) survey that a more </w:t>
      </w:r>
      <w:proofErr w:type="gramStart"/>
      <w:r w:rsidR="00E142DC">
        <w:t>culturally-aligned</w:t>
      </w:r>
      <w:proofErr w:type="gramEnd"/>
      <w:r w:rsidR="00E142DC">
        <w:t xml:space="preserve"> service was needed for our kaimahi Māori. The service is accessed confidentially in the same way counselling services are accessed through our EAP provider. </w:t>
      </w:r>
    </w:p>
    <w:p w14:paraId="6B6BECE6" w14:textId="57850FE7" w:rsidR="00E142DC" w:rsidRDefault="00E142DC" w:rsidP="00AF7942">
      <w:pPr>
        <w:pStyle w:val="Sub-list"/>
      </w:pPr>
      <w:r w:rsidRPr="00F61D15">
        <w:rPr>
          <w:b/>
          <w:bCs/>
        </w:rPr>
        <w:t xml:space="preserve">Te </w:t>
      </w:r>
      <w:r w:rsidR="0018260E" w:rsidRPr="00F61D15">
        <w:rPr>
          <w:b/>
          <w:bCs/>
        </w:rPr>
        <w:t xml:space="preserve">reo Māori </w:t>
      </w:r>
      <w:r w:rsidRPr="00F61D15">
        <w:rPr>
          <w:b/>
          <w:bCs/>
        </w:rPr>
        <w:t xml:space="preserve">and </w:t>
      </w:r>
      <w:r w:rsidR="0018260E" w:rsidRPr="00F61D15">
        <w:rPr>
          <w:b/>
          <w:bCs/>
        </w:rPr>
        <w:t xml:space="preserve">te ao </w:t>
      </w:r>
      <w:r w:rsidRPr="00F61D15">
        <w:rPr>
          <w:b/>
          <w:bCs/>
        </w:rPr>
        <w:t>Māori resources and learning</w:t>
      </w:r>
      <w:r w:rsidR="0018260E">
        <w:t>. These</w:t>
      </w:r>
      <w:r>
        <w:t xml:space="preserve"> are available through our intranet</w:t>
      </w:r>
      <w:r w:rsidR="0018260E">
        <w:t>,</w:t>
      </w:r>
      <w:r>
        <w:t xml:space="preserve"> Te Taiao. Karakia for starting and closing meetings is encouraged, and staff are supported with resources to help with pronunciation. The Ministry perform</w:t>
      </w:r>
      <w:r w:rsidR="0018260E">
        <w:t>s</w:t>
      </w:r>
      <w:r>
        <w:t xml:space="preserve"> pōwhiri and mihi whakatau for manuhiri and guests</w:t>
      </w:r>
      <w:r w:rsidR="00E77A13">
        <w:t>,</w:t>
      </w:r>
      <w:r>
        <w:t xml:space="preserve"> and</w:t>
      </w:r>
      <w:r w:rsidR="0018260E">
        <w:t>,</w:t>
      </w:r>
      <w:r>
        <w:t xml:space="preserve"> prior to the change process</w:t>
      </w:r>
      <w:r w:rsidR="0018260E">
        <w:t>,</w:t>
      </w:r>
      <w:r>
        <w:t xml:space="preserve"> ran quarterly mihi whakatau for new kaimahi. This will be reinstated as the Ministry moves out of our reset.  </w:t>
      </w:r>
    </w:p>
    <w:p w14:paraId="266C1484" w14:textId="14A3DE71" w:rsidR="00E142DC" w:rsidRDefault="00E142DC" w:rsidP="00B12CFE">
      <w:pPr>
        <w:pStyle w:val="Bullet"/>
      </w:pPr>
      <w:r>
        <w:rPr>
          <w:b/>
          <w:bCs/>
        </w:rPr>
        <w:t>Recruitment</w:t>
      </w:r>
      <w:r w:rsidR="00E77A13">
        <w:t>. W</w:t>
      </w:r>
      <w:r>
        <w:t>e have continued to enhance our recruitment practices, including using gender-neutral language, advertising jobs</w:t>
      </w:r>
      <w:r w:rsidR="001D225E">
        <w:t xml:space="preserve"> titles in both</w:t>
      </w:r>
      <w:r>
        <w:t xml:space="preserve"> te reo</w:t>
      </w:r>
      <w:r w:rsidR="00A0038E">
        <w:t xml:space="preserve"> Māori</w:t>
      </w:r>
      <w:r w:rsidR="005F75F0">
        <w:t xml:space="preserve"> </w:t>
      </w:r>
      <w:r w:rsidR="001D225E">
        <w:t>and English</w:t>
      </w:r>
      <w:r w:rsidR="00DE5EC1">
        <w:t>,</w:t>
      </w:r>
      <w:r>
        <w:t xml:space="preserve"> and a flexible-by-default location, and advertising all roles with transparent salary ranges. In addition, we promote the use of diverse interview panels and the provision of interview questions to candidates prior to interview.  </w:t>
      </w:r>
    </w:p>
    <w:p w14:paraId="1B5BC13B" w14:textId="2B6C4122" w:rsidR="00E142DC" w:rsidRDefault="00E142DC" w:rsidP="00B12CFE">
      <w:pPr>
        <w:pStyle w:val="BodyText"/>
        <w:ind w:left="397"/>
      </w:pPr>
      <w:r w:rsidRPr="006B7822">
        <w:t xml:space="preserve">For any roles that </w:t>
      </w:r>
      <w:r>
        <w:t>a</w:t>
      </w:r>
      <w:r w:rsidRPr="006B7822">
        <w:t xml:space="preserve">re externally </w:t>
      </w:r>
      <w:r w:rsidRPr="00B12CFE">
        <w:t>advertised</w:t>
      </w:r>
      <w:r>
        <w:t>, all adverts contain the following statement</w:t>
      </w:r>
      <w:r w:rsidR="002F3929">
        <w:t xml:space="preserve">: </w:t>
      </w:r>
      <w:r w:rsidRPr="00381638">
        <w:t xml:space="preserve">“We embrace diversity and inclusion and are committed to equal opportunities. </w:t>
      </w:r>
      <w:r w:rsidR="000A6BD0" w:rsidRPr="00381638">
        <w:t>What</w:t>
      </w:r>
      <w:r w:rsidR="000A6BD0">
        <w:t>’</w:t>
      </w:r>
      <w:r w:rsidR="000A6BD0" w:rsidRPr="00381638">
        <w:t xml:space="preserve">s </w:t>
      </w:r>
      <w:r w:rsidRPr="00381638">
        <w:t xml:space="preserve">important to us is ‘he rau kotahi </w:t>
      </w:r>
      <w:r w:rsidR="000A6BD0" w:rsidRPr="00381638">
        <w:t>tangata</w:t>
      </w:r>
      <w:r w:rsidR="000A6BD0">
        <w:t xml:space="preserve">’ </w:t>
      </w:r>
      <w:r w:rsidRPr="00381638">
        <w:t>– embracing our multiple talents – by harnessing our diversity and being inclusive. We actively encourage applications from all backgrounds</w:t>
      </w:r>
      <w:r>
        <w:t>.”</w:t>
      </w:r>
    </w:p>
    <w:p w14:paraId="2A10AD88" w14:textId="6EE2411E" w:rsidR="00E142DC" w:rsidRDefault="00E142DC" w:rsidP="00B12CFE">
      <w:pPr>
        <w:pStyle w:val="Bullet"/>
      </w:pPr>
      <w:r>
        <w:rPr>
          <w:b/>
          <w:bCs/>
        </w:rPr>
        <w:lastRenderedPageBreak/>
        <w:t xml:space="preserve">Flexible </w:t>
      </w:r>
      <w:r w:rsidRPr="00627B20">
        <w:rPr>
          <w:b/>
          <w:bCs/>
        </w:rPr>
        <w:t>work</w:t>
      </w:r>
      <w:r w:rsidR="00334859">
        <w:t>.</w:t>
      </w:r>
      <w:r>
        <w:t xml:space="preserve"> </w:t>
      </w:r>
      <w:r w:rsidR="00334859">
        <w:t>O</w:t>
      </w:r>
      <w:r>
        <w:t xml:space="preserve">ur </w:t>
      </w:r>
      <w:r w:rsidRPr="006B7822">
        <w:t>sector</w:t>
      </w:r>
      <w:r>
        <w:t>-leading ‘flexible</w:t>
      </w:r>
      <w:r w:rsidR="00334859">
        <w:t>-</w:t>
      </w:r>
      <w:r>
        <w:t>by</w:t>
      </w:r>
      <w:r w:rsidR="00334859">
        <w:t>-</w:t>
      </w:r>
      <w:r>
        <w:t>default’ way of working has embedded and normalised flexible working at the Ministry</w:t>
      </w:r>
      <w:r w:rsidR="00A34B7B">
        <w:t xml:space="preserve">; it </w:t>
      </w:r>
      <w:r>
        <w:t xml:space="preserve">has helped to increase our diversity as an organisation by allowing us to tap into candidate pools anywhere across </w:t>
      </w:r>
      <w:proofErr w:type="gramStart"/>
      <w:r>
        <w:t>Aotearoa, and</w:t>
      </w:r>
      <w:proofErr w:type="gramEnd"/>
      <w:r>
        <w:t xml:space="preserve"> reduce barriers to entry for those who have care or community responsibilities. Our trust-based system is modelled by leaders and highly valued by our workforce. It allows people outside of the urban centres to access opportunities to work at the Ministry while maintaining connections to whenua, whānau and community. </w:t>
      </w:r>
    </w:p>
    <w:p w14:paraId="5CDDFD9E" w14:textId="77777777" w:rsidR="00E142DC" w:rsidRDefault="00E142DC" w:rsidP="00B12CFE">
      <w:pPr>
        <w:pStyle w:val="Bullet"/>
      </w:pPr>
      <w:r w:rsidRPr="00627B20">
        <w:rPr>
          <w:b/>
          <w:bCs/>
        </w:rPr>
        <w:t>Regular ‘deep dive’ reporting into our diversity and inclusion landscape</w:t>
      </w:r>
      <w:r w:rsidRPr="00F61D15">
        <w:rPr>
          <w:b/>
          <w:bCs/>
        </w:rPr>
        <w:t>, including pay gaps.</w:t>
      </w:r>
      <w:r>
        <w:t xml:space="preserve"> Sharing this information with our leaders has helped to build awareness of our current state and reinforced our focus on building a workplace free from bias and discrimination</w:t>
      </w:r>
    </w:p>
    <w:p w14:paraId="096A1DD9" w14:textId="42089E4A" w:rsidR="00E142DC" w:rsidRDefault="00E142DC" w:rsidP="00E142DC">
      <w:pPr>
        <w:pStyle w:val="Bullet"/>
      </w:pPr>
      <w:r w:rsidRPr="00627B20">
        <w:rPr>
          <w:b/>
          <w:bCs/>
        </w:rPr>
        <w:t xml:space="preserve">Continued progress </w:t>
      </w:r>
      <w:r w:rsidRPr="001766C9">
        <w:rPr>
          <w:b/>
          <w:bCs/>
        </w:rPr>
        <w:t xml:space="preserve">against </w:t>
      </w:r>
      <w:r w:rsidR="001766C9" w:rsidRPr="00F61D15">
        <w:rPr>
          <w:b/>
          <w:bCs/>
        </w:rPr>
        <w:t>Tui Raumata, our Diversity, Equity and Inclusion Strategy</w:t>
      </w:r>
      <w:r w:rsidR="001766C9">
        <w:rPr>
          <w:b/>
          <w:bCs/>
        </w:rPr>
        <w:t>,</w:t>
      </w:r>
      <w:r w:rsidR="001766C9" w:rsidRPr="001766C9">
        <w:rPr>
          <w:b/>
          <w:bCs/>
        </w:rPr>
        <w:t xml:space="preserve"> </w:t>
      </w:r>
      <w:r w:rsidRPr="001766C9">
        <w:rPr>
          <w:b/>
          <w:bCs/>
        </w:rPr>
        <w:t xml:space="preserve">and </w:t>
      </w:r>
      <w:r w:rsidR="001766C9" w:rsidRPr="001766C9">
        <w:rPr>
          <w:b/>
          <w:bCs/>
        </w:rPr>
        <w:t xml:space="preserve">Tangata Ora, our </w:t>
      </w:r>
      <w:r w:rsidRPr="001766C9">
        <w:rPr>
          <w:b/>
          <w:bCs/>
        </w:rPr>
        <w:t>People Strategy</w:t>
      </w:r>
      <w:r w:rsidR="001766C9" w:rsidRPr="00F61D15">
        <w:t xml:space="preserve">. This </w:t>
      </w:r>
      <w:r w:rsidR="001766C9" w:rsidRPr="001766C9">
        <w:t>includes</w:t>
      </w:r>
      <w:r w:rsidR="001766C9">
        <w:t xml:space="preserve"> </w:t>
      </w:r>
      <w:r>
        <w:t>participating in external accreditation processes to ensure continuous improvements to our practices and systems, strengthening support for employee-led networks, delivery of cultural capability uplift for leaders and teams, and building the foundations of a career</w:t>
      </w:r>
      <w:r w:rsidR="0076514B">
        <w:t>-</w:t>
      </w:r>
      <w:r>
        <w:t>development framework.</w:t>
      </w:r>
    </w:p>
    <w:p w14:paraId="5A870786" w14:textId="77777777" w:rsidR="009C2613" w:rsidRDefault="009C2613" w:rsidP="009C2613">
      <w:pPr>
        <w:pStyle w:val="Bullet"/>
        <w:numPr>
          <w:ilvl w:val="0"/>
          <w:numId w:val="0"/>
        </w:numPr>
        <w:ind w:left="397"/>
      </w:pPr>
    </w:p>
    <w:p w14:paraId="4707C953" w14:textId="77777777" w:rsidR="00E142DC" w:rsidRPr="00241176" w:rsidRDefault="00E142DC" w:rsidP="005E744D">
      <w:pPr>
        <w:pStyle w:val="Heading1"/>
        <w:spacing w:before="320" w:after="120"/>
        <w:rPr>
          <w:rFonts w:eastAsia="Yu Gothic Light"/>
        </w:rPr>
      </w:pPr>
      <w:bookmarkStart w:id="10" w:name="_Toc188532232"/>
      <w:r w:rsidRPr="00241176">
        <w:rPr>
          <w:rFonts w:eastAsia="Yu Gothic Light"/>
        </w:rPr>
        <w:t>Data</w:t>
      </w:r>
      <w:bookmarkEnd w:id="10"/>
    </w:p>
    <w:p w14:paraId="10C35789" w14:textId="77777777" w:rsidR="00E142DC" w:rsidRDefault="00E142DC" w:rsidP="009C2613">
      <w:pPr>
        <w:pStyle w:val="Heading2"/>
      </w:pPr>
      <w:bookmarkStart w:id="11" w:name="_Toc188532233"/>
      <w:r>
        <w:t>Representation</w:t>
      </w:r>
      <w:bookmarkEnd w:id="11"/>
      <w:r>
        <w:t xml:space="preserve"> </w:t>
      </w:r>
    </w:p>
    <w:p w14:paraId="3101E934" w14:textId="5FAD4796" w:rsidR="00E142DC" w:rsidRDefault="00E142DC" w:rsidP="00E142DC">
      <w:pPr>
        <w:pStyle w:val="BodyText"/>
      </w:pPr>
      <w:r>
        <w:t xml:space="preserve">As </w:t>
      </w:r>
      <w:proofErr w:type="gramStart"/>
      <w:r>
        <w:t>at</w:t>
      </w:r>
      <w:proofErr w:type="gramEnd"/>
      <w:r>
        <w:t xml:space="preserve"> 30 June 2024, the Ministry had a total of 938.9 FTE</w:t>
      </w:r>
      <w:r w:rsidR="0076514B">
        <w:t>s</w:t>
      </w:r>
      <w:r>
        <w:t>, having reduced from 1068 FTE</w:t>
      </w:r>
      <w:r w:rsidR="0076514B">
        <w:t>s</w:t>
      </w:r>
      <w:r>
        <w:t xml:space="preserve"> at the peak of our growth in November 2023. The reduction in our kaimahi numbers is largely due to the operating model change and organisational reset process</w:t>
      </w:r>
      <w:r w:rsidR="002A0459">
        <w:t>,</w:t>
      </w:r>
      <w:r>
        <w:t xml:space="preserve"> which commenced with voluntary redundancies and strong recruitment controls. FTE reduction has continued through the change process</w:t>
      </w:r>
      <w:r w:rsidR="002A0459">
        <w:t>,</w:t>
      </w:r>
      <w:r>
        <w:t xml:space="preserve"> with the new organisation structure being effective from 1 November 2024. </w:t>
      </w:r>
    </w:p>
    <w:p w14:paraId="315C3FD7" w14:textId="72641C58" w:rsidR="00E142DC" w:rsidRDefault="00E142DC" w:rsidP="00E142DC">
      <w:pPr>
        <w:pStyle w:val="BodyText"/>
      </w:pPr>
      <w:r>
        <w:t xml:space="preserve">As </w:t>
      </w:r>
      <w:proofErr w:type="gramStart"/>
      <w:r>
        <w:t>at</w:t>
      </w:r>
      <w:proofErr w:type="gramEnd"/>
      <w:r>
        <w:t xml:space="preserve"> 30 June 2024, females made up 67</w:t>
      </w:r>
      <w:r w:rsidR="00A848D4">
        <w:t xml:space="preserve"> per cent</w:t>
      </w:r>
      <w:r>
        <w:t xml:space="preserve"> of the Ministry’s workforce, 32</w:t>
      </w:r>
      <w:r w:rsidR="00A848D4">
        <w:t xml:space="preserve"> per cent</w:t>
      </w:r>
      <w:r w:rsidR="003E16BC">
        <w:t xml:space="preserve"> </w:t>
      </w:r>
      <w:r>
        <w:t>were male and 1</w:t>
      </w:r>
      <w:r w:rsidR="003E16BC">
        <w:t xml:space="preserve"> per cent </w:t>
      </w:r>
      <w:r>
        <w:t xml:space="preserve">were </w:t>
      </w:r>
      <w:r w:rsidR="00FA6BE0">
        <w:t>‘</w:t>
      </w:r>
      <w:r>
        <w:t>a</w:t>
      </w:r>
      <w:r w:rsidRPr="00851008">
        <w:t>nother gender/</w:t>
      </w:r>
      <w:r>
        <w:t>p</w:t>
      </w:r>
      <w:r w:rsidRPr="00851008">
        <w:t>refer not to say</w:t>
      </w:r>
      <w:r w:rsidR="00FA6BE0">
        <w:t>’</w:t>
      </w:r>
      <w:r>
        <w:t>. These numbers have held consistently over the past 12 months and throughout the change process. In Tier 2 and Tier 3 leadership (</w:t>
      </w:r>
      <w:r w:rsidR="00343821">
        <w:t>d</w:t>
      </w:r>
      <w:r>
        <w:t xml:space="preserve">eputy </w:t>
      </w:r>
      <w:r w:rsidR="00343821">
        <w:t>s</w:t>
      </w:r>
      <w:r>
        <w:t xml:space="preserve">ecretaries and </w:t>
      </w:r>
      <w:r w:rsidR="00343821">
        <w:t>g</w:t>
      </w:r>
      <w:r>
        <w:t xml:space="preserve">eneral </w:t>
      </w:r>
      <w:r w:rsidR="00343821">
        <w:t>m</w:t>
      </w:r>
      <w:r>
        <w:t>anagers), females were strongly represented at 58</w:t>
      </w:r>
      <w:r w:rsidR="00343821">
        <w:t xml:space="preserve"> per cent</w:t>
      </w:r>
      <w:r>
        <w:t>, with males making up the remaining 42</w:t>
      </w:r>
      <w:r w:rsidR="00343821">
        <w:t xml:space="preserve"> per cent</w:t>
      </w:r>
      <w:r>
        <w:t xml:space="preserve">. As with the overall workforce statistics, these numbers have been consistent across the last 12 months. </w:t>
      </w:r>
    </w:p>
    <w:p w14:paraId="3B09EDAD" w14:textId="70CC7A75" w:rsidR="00E142DC" w:rsidRDefault="00E142DC" w:rsidP="00E142DC">
      <w:pPr>
        <w:pStyle w:val="BodyText"/>
      </w:pPr>
      <w:r>
        <w:t>In terms of ethnicity, Europeans are the highest represented in both overall workforce and in Tier 2 and Tier 3 leadership roles</w:t>
      </w:r>
      <w:r w:rsidR="007D289C">
        <w:t>,</w:t>
      </w:r>
      <w:r>
        <w:t xml:space="preserve"> at 73</w:t>
      </w:r>
      <w:r w:rsidR="007D289C">
        <w:t xml:space="preserve"> per cent </w:t>
      </w:r>
      <w:r>
        <w:t>and 68</w:t>
      </w:r>
      <w:r w:rsidR="007D289C">
        <w:t xml:space="preserve"> per cent</w:t>
      </w:r>
      <w:r>
        <w:t xml:space="preserve"> respectively. </w:t>
      </w:r>
    </w:p>
    <w:p w14:paraId="06EFE622" w14:textId="4A83E746" w:rsidR="00E142DC" w:rsidRDefault="00E142DC" w:rsidP="009C2613">
      <w:pPr>
        <w:pStyle w:val="Heading2"/>
      </w:pPr>
      <w:bookmarkStart w:id="12" w:name="_Toc188532234"/>
      <w:r>
        <w:t xml:space="preserve">Pay </w:t>
      </w:r>
      <w:r w:rsidR="00EE02A2">
        <w:t>g</w:t>
      </w:r>
      <w:r>
        <w:t>aps</w:t>
      </w:r>
      <w:bookmarkEnd w:id="12"/>
    </w:p>
    <w:bookmarkEnd w:id="8"/>
    <w:p w14:paraId="3C5C697D" w14:textId="34C839F3" w:rsidR="00E142DC" w:rsidRDefault="00E142DC" w:rsidP="00E142DC">
      <w:pPr>
        <w:pStyle w:val="BodyText"/>
      </w:pPr>
      <w:r>
        <w:t>The Ministry’s overall gender pay gap has held its position over the past two financial years at 8.8</w:t>
      </w:r>
      <w:r w:rsidR="00DB36BA">
        <w:t xml:space="preserve"> per cent</w:t>
      </w:r>
      <w:r>
        <w:t xml:space="preserve">. In part, this is due to the recruitment controls that have been in place for the past year. There has been very little external recruitment activity and minimal internal movement. </w:t>
      </w:r>
    </w:p>
    <w:p w14:paraId="4047B0A9" w14:textId="161F4829" w:rsidR="00E142DC" w:rsidRDefault="00E142DC" w:rsidP="00E142DC">
      <w:pPr>
        <w:pStyle w:val="BodyText"/>
      </w:pPr>
      <w:r>
        <w:t xml:space="preserve">The Ministry’s gender pay gap continues to be largely driven by a higher proportion of females than males in lower paid roles at the Ministry. The Ministry has good female leadership representation at all </w:t>
      </w:r>
      <w:proofErr w:type="gramStart"/>
      <w:r>
        <w:t>levels</w:t>
      </w:r>
      <w:proofErr w:type="gramEnd"/>
      <w:r>
        <w:t xml:space="preserve"> and this is a likely advantage when it comes to attracting a strong </w:t>
      </w:r>
      <w:r>
        <w:lastRenderedPageBreak/>
        <w:t>female talent pool to entry</w:t>
      </w:r>
      <w:r w:rsidR="0086385B">
        <w:t>-</w:t>
      </w:r>
      <w:r>
        <w:t xml:space="preserve">level roles. The higher representation of females at the entry level (Support, Advisor and Analyst roles) is a result of this strong female talent pool </w:t>
      </w:r>
      <w:r w:rsidR="002B26F3">
        <w:t xml:space="preserve">that </w:t>
      </w:r>
      <w:r>
        <w:t xml:space="preserve">we attract. </w:t>
      </w:r>
    </w:p>
    <w:p w14:paraId="19510B7A" w14:textId="1BB31A1A" w:rsidR="00E142DC" w:rsidRDefault="00E142DC" w:rsidP="00E142DC">
      <w:pPr>
        <w:pStyle w:val="BodyText"/>
      </w:pPr>
      <w:r>
        <w:t>Continuing to build our development frameworks</w:t>
      </w:r>
      <w:r w:rsidR="002B26F3">
        <w:t>,</w:t>
      </w:r>
      <w:r>
        <w:t xml:space="preserve"> including identifying future-critical skills that the Ministry will need to achieve its organisational goals</w:t>
      </w:r>
      <w:r w:rsidR="00CC6037">
        <w:t xml:space="preserve">. </w:t>
      </w:r>
      <w:r w:rsidR="00A827F3">
        <w:t>The process of</w:t>
      </w:r>
      <w:r>
        <w:t xml:space="preserve"> mapping </w:t>
      </w:r>
      <w:r w:rsidR="00ED4F1A">
        <w:t xml:space="preserve">both </w:t>
      </w:r>
      <w:r>
        <w:t xml:space="preserve">core capabilities and career pathways will help to ensure we are supporting female employees in entry-level roles to grow and progress their careers.  </w:t>
      </w:r>
    </w:p>
    <w:p w14:paraId="5532171E" w14:textId="6C84537F" w:rsidR="00E142DC" w:rsidRDefault="00E142DC" w:rsidP="00E142DC">
      <w:pPr>
        <w:pStyle w:val="BodyText"/>
      </w:pPr>
      <w:r>
        <w:t>The Ministry has made good progress in increasing Māori representation across all levels, and this is reflected in our Māori pay gap data</w:t>
      </w:r>
      <w:r w:rsidR="00EC75BB">
        <w:t xml:space="preserve">. This shows </w:t>
      </w:r>
      <w:r>
        <w:t>that</w:t>
      </w:r>
      <w:r w:rsidR="00EC75BB">
        <w:t>,</w:t>
      </w:r>
      <w:r>
        <w:t xml:space="preserve"> at an overall level, Māori are paid slightly more on average than Europeans. </w:t>
      </w:r>
    </w:p>
    <w:p w14:paraId="7DADC4E5" w14:textId="1396C177" w:rsidR="00E142DC" w:rsidRDefault="00E142DC" w:rsidP="00E142DC">
      <w:pPr>
        <w:pStyle w:val="BodyText"/>
      </w:pPr>
      <w:r>
        <w:t>The Ministry’s overall ethnic pay gap has reduced year-on-year for the last five years, and the European pay gap is smaller than the public</w:t>
      </w:r>
      <w:r w:rsidR="007770FF">
        <w:t>-</w:t>
      </w:r>
      <w:r>
        <w:t>service average</w:t>
      </w:r>
      <w:r w:rsidR="007770FF">
        <w:t xml:space="preserve">. This </w:t>
      </w:r>
      <w:r>
        <w:t>mean</w:t>
      </w:r>
      <w:r w:rsidR="007770FF">
        <w:t>s</w:t>
      </w:r>
      <w:r>
        <w:t xml:space="preserve"> that</w:t>
      </w:r>
      <w:r w:rsidR="007770FF">
        <w:t>,</w:t>
      </w:r>
      <w:r>
        <w:t xml:space="preserve"> overall, the gap between European and non-European ethnicities combined is smaller than for the public sector overall.  </w:t>
      </w:r>
    </w:p>
    <w:p w14:paraId="0E676DB8" w14:textId="0DF6163F" w:rsidR="00E142DC" w:rsidRDefault="00E142DC" w:rsidP="00E142DC">
      <w:pPr>
        <w:pStyle w:val="BodyText"/>
      </w:pPr>
      <w:r>
        <w:t xml:space="preserve">For </w:t>
      </w:r>
      <w:r w:rsidR="001C540A">
        <w:t xml:space="preserve">Pasifika </w:t>
      </w:r>
      <w:r>
        <w:t>Peoples and Middle Eastern, Latin American and African (MELAA) employees,</w:t>
      </w:r>
      <w:r w:rsidDel="00287697">
        <w:t xml:space="preserve"> </w:t>
      </w:r>
      <w:r>
        <w:t xml:space="preserve">it should be noted that the data is volatile due to low numbers in these groupings. </w:t>
      </w:r>
    </w:p>
    <w:p w14:paraId="30E8EE4E" w14:textId="77777777" w:rsidR="00E142DC" w:rsidRDefault="00E142DC" w:rsidP="00E142DC">
      <w:pPr>
        <w:pStyle w:val="BodyText"/>
      </w:pPr>
      <w:r>
        <w:t xml:space="preserve">Similarly, in the case of the Asian pay gap, a lack of representation at leadership drives a larger pay gap, though the Ministry’s mid- and senior-level bands have reasonably healthy Asian representation. </w:t>
      </w:r>
    </w:p>
    <w:p w14:paraId="730B0498" w14:textId="568996D7" w:rsidR="00E142DC" w:rsidRDefault="00E142DC" w:rsidP="00E142DC">
      <w:pPr>
        <w:pStyle w:val="BodyText"/>
      </w:pPr>
      <w:r>
        <w:t xml:space="preserve">In addition to improving the diversity of our workforce across all levels through hiring, the Ministry is focused on supporting the career development of an ethnically diverse talent pool internally, alongside building cultural capability and inclusive leadership to support a more diverse team. Actions towards these goals are outlined at a high level in this report, and in detail in Tui Raumata, our Diversity, Equity and Inclusion </w:t>
      </w:r>
      <w:r w:rsidR="008166D3">
        <w:t>Strategy</w:t>
      </w:r>
      <w:r>
        <w:t xml:space="preserve">. </w:t>
      </w:r>
    </w:p>
    <w:p w14:paraId="08BC2865" w14:textId="26073DB2" w:rsidR="00E142DC" w:rsidRPr="00627B20" w:rsidRDefault="00E142DC" w:rsidP="009C2613">
      <w:pPr>
        <w:pStyle w:val="Heading2"/>
      </w:pPr>
      <w:bookmarkStart w:id="13" w:name="_Toc188532235"/>
      <w:r w:rsidRPr="00627B20">
        <w:t xml:space="preserve">The </w:t>
      </w:r>
      <w:r w:rsidR="00EE02A2">
        <w:t>n</w:t>
      </w:r>
      <w:r w:rsidRPr="00627B20">
        <w:t>umbers</w:t>
      </w:r>
      <w:bookmarkEnd w:id="13"/>
    </w:p>
    <w:p w14:paraId="356650D5" w14:textId="77777777" w:rsidR="00E142DC" w:rsidRPr="00103A2C" w:rsidRDefault="00E142DC" w:rsidP="00E142DC">
      <w:pPr>
        <w:pStyle w:val="BodyText"/>
      </w:pPr>
      <w:r w:rsidRPr="00103A2C">
        <w:t xml:space="preserve">This section provides an overview of the key workforce data relating to our gender and ethnic pay gaps, including the pay gaps themselves, and how different genders and ethnicities are distributed across our workforce. </w:t>
      </w:r>
    </w:p>
    <w:p w14:paraId="3137C050" w14:textId="1AD9088B" w:rsidR="00E142DC" w:rsidRPr="00103A2C" w:rsidRDefault="00E142DC" w:rsidP="00E142DC">
      <w:pPr>
        <w:pStyle w:val="BodyText"/>
      </w:pPr>
      <w:r>
        <w:t>All data</w:t>
      </w:r>
      <w:r w:rsidR="00524F9C">
        <w:t xml:space="preserve"> is</w:t>
      </w:r>
      <w:r>
        <w:t xml:space="preserve"> as </w:t>
      </w:r>
      <w:proofErr w:type="gramStart"/>
      <w:r>
        <w:t>at</w:t>
      </w:r>
      <w:proofErr w:type="gramEnd"/>
      <w:r>
        <w:t xml:space="preserve"> 30 June 2024. </w:t>
      </w:r>
    </w:p>
    <w:p w14:paraId="42D99B19" w14:textId="776C9855" w:rsidR="00E142DC" w:rsidRPr="00103A2C" w:rsidRDefault="00E142DC" w:rsidP="00E142DC">
      <w:pPr>
        <w:pStyle w:val="Tableheading"/>
      </w:pPr>
      <w:bookmarkStart w:id="14" w:name="_Toc118454233"/>
      <w:bookmarkStart w:id="15" w:name="_Toc188532249"/>
      <w:r w:rsidRPr="00103A2C">
        <w:t>Table</w:t>
      </w:r>
      <w:r>
        <w:t xml:space="preserve"> 1</w:t>
      </w:r>
      <w:r w:rsidRPr="00103A2C">
        <w:t xml:space="preserve">: </w:t>
      </w:r>
      <w:r w:rsidRPr="00103A2C">
        <w:tab/>
      </w:r>
      <w:r w:rsidR="00F307C2" w:rsidRPr="00103A2C">
        <w:t xml:space="preserve">Ministry for the Environment </w:t>
      </w:r>
      <w:r w:rsidR="00F307C2">
        <w:t>w</w:t>
      </w:r>
      <w:r w:rsidRPr="00103A2C">
        <w:t>orkforce and leadership representation by gender and ethnicity</w:t>
      </w:r>
      <w:bookmarkEnd w:id="14"/>
      <w:r w:rsidR="00313081">
        <w:t xml:space="preserve"> as </w:t>
      </w:r>
      <w:proofErr w:type="gramStart"/>
      <w:r w:rsidR="00313081">
        <w:t>at</w:t>
      </w:r>
      <w:proofErr w:type="gramEnd"/>
      <w:r w:rsidR="00313081">
        <w:t xml:space="preserve"> 30 June 2024</w:t>
      </w:r>
      <w:bookmarkEnd w:id="15"/>
      <w:r w:rsidRPr="00103A2C">
        <w:t xml:space="preserve"> </w:t>
      </w:r>
    </w:p>
    <w:tbl>
      <w:tblPr>
        <w:tblW w:w="5000" w:type="pct"/>
        <w:tblBorders>
          <w:top w:val="single" w:sz="4" w:space="0" w:color="1B556B"/>
          <w:bottom w:val="single" w:sz="4" w:space="0" w:color="1B556B"/>
          <w:insideH w:val="single" w:sz="4" w:space="0" w:color="1B556B"/>
          <w:insideV w:val="single" w:sz="4" w:space="0" w:color="1B556B"/>
        </w:tblBorders>
        <w:tblLook w:val="04A0" w:firstRow="1" w:lastRow="0" w:firstColumn="1" w:lastColumn="0" w:noHBand="0" w:noVBand="1"/>
      </w:tblPr>
      <w:tblGrid>
        <w:gridCol w:w="2127"/>
        <w:gridCol w:w="2126"/>
        <w:gridCol w:w="2126"/>
        <w:gridCol w:w="2126"/>
      </w:tblGrid>
      <w:tr w:rsidR="00E142DC" w:rsidRPr="00241176" w14:paraId="19FEEFA0" w14:textId="77777777" w:rsidTr="005E744D">
        <w:trPr>
          <w:tblHeader/>
        </w:trPr>
        <w:tc>
          <w:tcPr>
            <w:tcW w:w="1250" w:type="pct"/>
            <w:shd w:val="clear" w:color="auto" w:fill="1B556B"/>
          </w:tcPr>
          <w:p w14:paraId="311FE659" w14:textId="77777777" w:rsidR="00E142DC" w:rsidRPr="00241176" w:rsidRDefault="00E142DC">
            <w:pPr>
              <w:pStyle w:val="TableTextbold"/>
              <w:rPr>
                <w:rFonts w:eastAsia="Times New Roman"/>
                <w:color w:val="FFFFFF"/>
              </w:rPr>
            </w:pPr>
          </w:p>
        </w:tc>
        <w:tc>
          <w:tcPr>
            <w:tcW w:w="1250" w:type="pct"/>
            <w:shd w:val="clear" w:color="auto" w:fill="1B556B"/>
          </w:tcPr>
          <w:p w14:paraId="2FD4BD20" w14:textId="77777777" w:rsidR="00E142DC" w:rsidRPr="00241176" w:rsidRDefault="00E142DC">
            <w:pPr>
              <w:pStyle w:val="TableTextbold"/>
              <w:rPr>
                <w:rFonts w:eastAsia="Times New Roman"/>
                <w:color w:val="FFFFFF"/>
              </w:rPr>
            </w:pPr>
            <w:r w:rsidRPr="00241176">
              <w:rPr>
                <w:rFonts w:eastAsia="Times New Roman"/>
                <w:color w:val="FFFFFF"/>
              </w:rPr>
              <w:t>Overall workforce representation</w:t>
            </w:r>
          </w:p>
        </w:tc>
        <w:tc>
          <w:tcPr>
            <w:tcW w:w="1250" w:type="pct"/>
            <w:shd w:val="clear" w:color="auto" w:fill="1B556B"/>
          </w:tcPr>
          <w:p w14:paraId="0F683178" w14:textId="48EBD775" w:rsidR="00E142DC" w:rsidRPr="00241176" w:rsidRDefault="00E142DC">
            <w:pPr>
              <w:pStyle w:val="TableTextbold"/>
              <w:rPr>
                <w:rFonts w:eastAsia="Times New Roman"/>
                <w:color w:val="FFFFFF"/>
              </w:rPr>
            </w:pPr>
            <w:r w:rsidRPr="00241176">
              <w:rPr>
                <w:rFonts w:eastAsia="Times New Roman"/>
                <w:color w:val="FFFFFF"/>
              </w:rPr>
              <w:t xml:space="preserve">All </w:t>
            </w:r>
            <w:r w:rsidR="00693A96">
              <w:rPr>
                <w:rFonts w:eastAsia="Times New Roman"/>
                <w:color w:val="FFFFFF"/>
              </w:rPr>
              <w:t>m</w:t>
            </w:r>
            <w:r w:rsidR="00693A96" w:rsidRPr="00241176">
              <w:rPr>
                <w:rFonts w:eastAsia="Times New Roman"/>
                <w:color w:val="FFFFFF"/>
              </w:rPr>
              <w:t>anagers</w:t>
            </w:r>
            <w:r w:rsidR="00693A96">
              <w:rPr>
                <w:rFonts w:eastAsia="Times New Roman"/>
                <w:color w:val="FFFFFF"/>
              </w:rPr>
              <w:t>,</w:t>
            </w:r>
            <w:r w:rsidR="00693A96" w:rsidRPr="00241176">
              <w:rPr>
                <w:rFonts w:eastAsia="Times New Roman"/>
                <w:color w:val="FFFFFF"/>
              </w:rPr>
              <w:t xml:space="preserve"> </w:t>
            </w:r>
            <w:r w:rsidRPr="00241176">
              <w:rPr>
                <w:rFonts w:eastAsia="Times New Roman"/>
                <w:color w:val="FFFFFF"/>
              </w:rPr>
              <w:t xml:space="preserve">including </w:t>
            </w:r>
            <w:r w:rsidR="00693A96">
              <w:rPr>
                <w:rFonts w:eastAsia="Times New Roman"/>
                <w:color w:val="FFFFFF"/>
              </w:rPr>
              <w:t>s</w:t>
            </w:r>
            <w:r w:rsidR="00693A96" w:rsidRPr="00241176">
              <w:rPr>
                <w:rFonts w:eastAsia="Times New Roman"/>
                <w:color w:val="FFFFFF"/>
              </w:rPr>
              <w:t xml:space="preserve">enior </w:t>
            </w:r>
            <w:r w:rsidR="00693A96">
              <w:rPr>
                <w:rFonts w:eastAsia="Times New Roman"/>
                <w:color w:val="FFFFFF"/>
              </w:rPr>
              <w:t>l</w:t>
            </w:r>
            <w:r w:rsidR="00693A96" w:rsidRPr="00241176">
              <w:rPr>
                <w:rFonts w:eastAsia="Times New Roman"/>
                <w:color w:val="FFFFFF"/>
              </w:rPr>
              <w:t xml:space="preserve">eaders </w:t>
            </w:r>
          </w:p>
        </w:tc>
        <w:tc>
          <w:tcPr>
            <w:tcW w:w="1250" w:type="pct"/>
            <w:shd w:val="clear" w:color="auto" w:fill="1B556B"/>
          </w:tcPr>
          <w:p w14:paraId="2B3E8EF4" w14:textId="40C71CEF" w:rsidR="00E142DC" w:rsidRPr="00241176" w:rsidRDefault="00E142DC">
            <w:pPr>
              <w:pStyle w:val="TableTextbold"/>
              <w:rPr>
                <w:rFonts w:eastAsia="Times New Roman"/>
                <w:color w:val="FFFFFF"/>
              </w:rPr>
            </w:pPr>
            <w:r w:rsidRPr="00241176">
              <w:rPr>
                <w:rFonts w:eastAsia="Times New Roman"/>
                <w:color w:val="FFFFFF"/>
              </w:rPr>
              <w:t xml:space="preserve">Senior </w:t>
            </w:r>
            <w:r w:rsidR="00693A96">
              <w:rPr>
                <w:rFonts w:eastAsia="Times New Roman"/>
                <w:color w:val="FFFFFF"/>
              </w:rPr>
              <w:t>l</w:t>
            </w:r>
            <w:r w:rsidR="00693A96" w:rsidRPr="00241176">
              <w:rPr>
                <w:rFonts w:eastAsia="Times New Roman"/>
                <w:color w:val="FFFFFF"/>
              </w:rPr>
              <w:t>eaders</w:t>
            </w:r>
            <w:r w:rsidR="00693A96">
              <w:rPr>
                <w:rFonts w:eastAsia="Times New Roman"/>
                <w:color w:val="FFFFFF"/>
              </w:rPr>
              <w:t>,</w:t>
            </w:r>
            <w:r w:rsidRPr="00241176">
              <w:rPr>
                <w:rFonts w:eastAsia="Times New Roman"/>
                <w:color w:val="FFFFFF"/>
              </w:rPr>
              <w:br/>
              <w:t>Tier 2</w:t>
            </w:r>
            <w:r w:rsidR="0008593F">
              <w:rPr>
                <w:rFonts w:eastAsia="Times New Roman"/>
                <w:color w:val="FFFFFF"/>
              </w:rPr>
              <w:t xml:space="preserve"> and Tier </w:t>
            </w:r>
            <w:r w:rsidRPr="00241176">
              <w:rPr>
                <w:rFonts w:eastAsia="Times New Roman"/>
                <w:color w:val="FFFFFF"/>
              </w:rPr>
              <w:t>3</w:t>
            </w:r>
          </w:p>
        </w:tc>
      </w:tr>
      <w:tr w:rsidR="00E142DC" w:rsidRPr="00241176" w14:paraId="1F82ECEE" w14:textId="77777777" w:rsidTr="00F61D15">
        <w:tc>
          <w:tcPr>
            <w:tcW w:w="1250" w:type="pct"/>
            <w:shd w:val="clear" w:color="auto" w:fill="D2DDE2"/>
          </w:tcPr>
          <w:p w14:paraId="643B7D74" w14:textId="77777777" w:rsidR="00E142DC" w:rsidRPr="00241176" w:rsidRDefault="00E142DC">
            <w:pPr>
              <w:pStyle w:val="TableTextbold"/>
              <w:rPr>
                <w:rFonts w:eastAsia="Times New Roman"/>
                <w:color w:val="FFFFFF"/>
              </w:rPr>
            </w:pPr>
            <w:r w:rsidRPr="00241176">
              <w:rPr>
                <w:rFonts w:eastAsia="Times New Roman"/>
              </w:rPr>
              <w:t>Gender</w:t>
            </w:r>
          </w:p>
        </w:tc>
        <w:tc>
          <w:tcPr>
            <w:tcW w:w="1250" w:type="pct"/>
            <w:shd w:val="clear" w:color="auto" w:fill="D2DDE2"/>
          </w:tcPr>
          <w:p w14:paraId="5948AB0C" w14:textId="77777777" w:rsidR="00E142DC" w:rsidRPr="00241176" w:rsidRDefault="00E142DC">
            <w:pPr>
              <w:pStyle w:val="TableTextbold"/>
              <w:rPr>
                <w:rFonts w:eastAsia="Times New Roman"/>
                <w:color w:val="FFFFFF"/>
              </w:rPr>
            </w:pPr>
          </w:p>
        </w:tc>
        <w:tc>
          <w:tcPr>
            <w:tcW w:w="1250" w:type="pct"/>
            <w:shd w:val="clear" w:color="auto" w:fill="D2DDE2"/>
          </w:tcPr>
          <w:p w14:paraId="53D6D861" w14:textId="77777777" w:rsidR="00E142DC" w:rsidRPr="00241176" w:rsidRDefault="00E142DC">
            <w:pPr>
              <w:pStyle w:val="TableTextbold"/>
              <w:rPr>
                <w:rFonts w:eastAsia="Times New Roman"/>
                <w:color w:val="FFFFFF"/>
              </w:rPr>
            </w:pPr>
          </w:p>
        </w:tc>
        <w:tc>
          <w:tcPr>
            <w:tcW w:w="1250" w:type="pct"/>
            <w:shd w:val="clear" w:color="auto" w:fill="D2DDE2"/>
          </w:tcPr>
          <w:p w14:paraId="7437E617" w14:textId="77777777" w:rsidR="00E142DC" w:rsidRPr="00241176" w:rsidRDefault="00E142DC">
            <w:pPr>
              <w:pStyle w:val="TableTextbold"/>
              <w:rPr>
                <w:rFonts w:eastAsia="Times New Roman"/>
                <w:color w:val="FFFFFF"/>
              </w:rPr>
            </w:pPr>
          </w:p>
        </w:tc>
      </w:tr>
      <w:tr w:rsidR="00E142DC" w:rsidRPr="00241176" w14:paraId="5C36DB45" w14:textId="77777777">
        <w:tc>
          <w:tcPr>
            <w:tcW w:w="1250" w:type="pct"/>
            <w:shd w:val="clear" w:color="auto" w:fill="auto"/>
            <w:vAlign w:val="bottom"/>
          </w:tcPr>
          <w:p w14:paraId="7CC82193" w14:textId="77777777" w:rsidR="00E142DC" w:rsidRPr="00241176" w:rsidRDefault="00E142DC">
            <w:pPr>
              <w:pStyle w:val="TableText"/>
              <w:rPr>
                <w:rFonts w:eastAsia="Times New Roman"/>
              </w:rPr>
            </w:pPr>
            <w:r w:rsidRPr="00241176">
              <w:rPr>
                <w:rFonts w:eastAsia="Times New Roman" w:cs="Calibri"/>
                <w:color w:val="000000"/>
              </w:rPr>
              <w:t>Female</w:t>
            </w:r>
          </w:p>
        </w:tc>
        <w:tc>
          <w:tcPr>
            <w:tcW w:w="1250" w:type="pct"/>
            <w:shd w:val="clear" w:color="auto" w:fill="auto"/>
            <w:vAlign w:val="bottom"/>
          </w:tcPr>
          <w:p w14:paraId="24BD10AC" w14:textId="77777777" w:rsidR="00E142DC" w:rsidRPr="00241176" w:rsidRDefault="00E142DC">
            <w:pPr>
              <w:pStyle w:val="TableText"/>
              <w:rPr>
                <w:rFonts w:eastAsia="Times New Roman"/>
              </w:rPr>
            </w:pPr>
            <w:r w:rsidRPr="00241176">
              <w:rPr>
                <w:rFonts w:eastAsia="Times New Roman" w:cs="Calibri"/>
                <w:color w:val="000000"/>
              </w:rPr>
              <w:t>67%</w:t>
            </w:r>
          </w:p>
        </w:tc>
        <w:tc>
          <w:tcPr>
            <w:tcW w:w="1250" w:type="pct"/>
            <w:shd w:val="clear" w:color="auto" w:fill="auto"/>
            <w:vAlign w:val="bottom"/>
          </w:tcPr>
          <w:p w14:paraId="04354B2A" w14:textId="77777777" w:rsidR="00E142DC" w:rsidRPr="00241176" w:rsidRDefault="00E142DC">
            <w:pPr>
              <w:pStyle w:val="TableText"/>
              <w:rPr>
                <w:rFonts w:eastAsia="Times New Roman"/>
              </w:rPr>
            </w:pPr>
            <w:r w:rsidRPr="00241176">
              <w:rPr>
                <w:rFonts w:eastAsia="Times New Roman" w:cs="Calibri"/>
                <w:color w:val="000000"/>
              </w:rPr>
              <w:t>67%</w:t>
            </w:r>
          </w:p>
        </w:tc>
        <w:tc>
          <w:tcPr>
            <w:tcW w:w="1250" w:type="pct"/>
            <w:shd w:val="clear" w:color="auto" w:fill="auto"/>
            <w:vAlign w:val="bottom"/>
          </w:tcPr>
          <w:p w14:paraId="0B9131F9" w14:textId="77777777" w:rsidR="00E142DC" w:rsidRPr="00241176" w:rsidRDefault="00E142DC">
            <w:pPr>
              <w:pStyle w:val="TableText"/>
              <w:rPr>
                <w:rFonts w:eastAsia="Times New Roman"/>
              </w:rPr>
            </w:pPr>
            <w:r w:rsidRPr="00241176">
              <w:rPr>
                <w:rFonts w:eastAsia="Times New Roman" w:cs="Calibri"/>
                <w:color w:val="000000"/>
              </w:rPr>
              <w:t>58%</w:t>
            </w:r>
          </w:p>
        </w:tc>
      </w:tr>
      <w:tr w:rsidR="00E142DC" w:rsidRPr="00241176" w14:paraId="361CF75B" w14:textId="77777777">
        <w:tc>
          <w:tcPr>
            <w:tcW w:w="1250" w:type="pct"/>
            <w:shd w:val="clear" w:color="auto" w:fill="auto"/>
            <w:vAlign w:val="bottom"/>
          </w:tcPr>
          <w:p w14:paraId="3F86E0A6" w14:textId="77777777" w:rsidR="00E142DC" w:rsidRPr="00241176" w:rsidRDefault="00E142DC">
            <w:pPr>
              <w:pStyle w:val="TableText"/>
              <w:rPr>
                <w:rFonts w:eastAsia="Times New Roman"/>
              </w:rPr>
            </w:pPr>
            <w:r w:rsidRPr="00241176">
              <w:rPr>
                <w:rFonts w:eastAsia="Times New Roman" w:cs="Calibri"/>
                <w:color w:val="000000"/>
              </w:rPr>
              <w:t>Male</w:t>
            </w:r>
          </w:p>
        </w:tc>
        <w:tc>
          <w:tcPr>
            <w:tcW w:w="1250" w:type="pct"/>
            <w:shd w:val="clear" w:color="auto" w:fill="auto"/>
            <w:vAlign w:val="bottom"/>
          </w:tcPr>
          <w:p w14:paraId="34652070" w14:textId="77777777" w:rsidR="00E142DC" w:rsidRPr="00241176" w:rsidRDefault="00E142DC">
            <w:pPr>
              <w:pStyle w:val="TableText"/>
              <w:rPr>
                <w:rFonts w:eastAsia="Times New Roman"/>
              </w:rPr>
            </w:pPr>
            <w:r w:rsidRPr="00241176">
              <w:rPr>
                <w:rFonts w:eastAsia="Times New Roman" w:cs="Calibri"/>
                <w:color w:val="000000"/>
              </w:rPr>
              <w:t>32%</w:t>
            </w:r>
          </w:p>
        </w:tc>
        <w:tc>
          <w:tcPr>
            <w:tcW w:w="1250" w:type="pct"/>
            <w:shd w:val="clear" w:color="auto" w:fill="auto"/>
            <w:vAlign w:val="bottom"/>
          </w:tcPr>
          <w:p w14:paraId="269A4440" w14:textId="77777777" w:rsidR="00E142DC" w:rsidRPr="00241176" w:rsidRDefault="00E142DC">
            <w:pPr>
              <w:pStyle w:val="TableText"/>
              <w:rPr>
                <w:rFonts w:eastAsia="Times New Roman"/>
              </w:rPr>
            </w:pPr>
            <w:r w:rsidRPr="00241176">
              <w:rPr>
                <w:rFonts w:eastAsia="Times New Roman" w:cs="Calibri"/>
                <w:color w:val="000000"/>
              </w:rPr>
              <w:t>33%</w:t>
            </w:r>
          </w:p>
        </w:tc>
        <w:tc>
          <w:tcPr>
            <w:tcW w:w="1250" w:type="pct"/>
            <w:shd w:val="clear" w:color="auto" w:fill="auto"/>
            <w:vAlign w:val="bottom"/>
          </w:tcPr>
          <w:p w14:paraId="073923BE" w14:textId="77777777" w:rsidR="00E142DC" w:rsidRPr="00241176" w:rsidRDefault="00E142DC">
            <w:pPr>
              <w:pStyle w:val="TableText"/>
              <w:rPr>
                <w:rFonts w:eastAsia="Times New Roman"/>
              </w:rPr>
            </w:pPr>
            <w:r w:rsidRPr="00241176">
              <w:rPr>
                <w:rFonts w:eastAsia="Times New Roman" w:cs="Calibri"/>
                <w:color w:val="000000"/>
              </w:rPr>
              <w:t>42%</w:t>
            </w:r>
          </w:p>
        </w:tc>
      </w:tr>
      <w:tr w:rsidR="00E142DC" w:rsidRPr="00241176" w14:paraId="4007D4B6" w14:textId="77777777">
        <w:tc>
          <w:tcPr>
            <w:tcW w:w="1250" w:type="pct"/>
            <w:shd w:val="clear" w:color="auto" w:fill="auto"/>
            <w:vAlign w:val="bottom"/>
          </w:tcPr>
          <w:p w14:paraId="104A34E7" w14:textId="77777777" w:rsidR="00E142DC" w:rsidRPr="00241176" w:rsidRDefault="00E142DC">
            <w:pPr>
              <w:pStyle w:val="TableText"/>
              <w:rPr>
                <w:rFonts w:eastAsia="Times New Roman" w:cs="Calibri"/>
                <w:color w:val="000000"/>
              </w:rPr>
            </w:pPr>
            <w:r w:rsidRPr="00241176">
              <w:rPr>
                <w:rFonts w:eastAsia="Times New Roman" w:cs="Calibri"/>
                <w:color w:val="000000"/>
              </w:rPr>
              <w:t>Another gender/Prefer not to say</w:t>
            </w:r>
          </w:p>
        </w:tc>
        <w:tc>
          <w:tcPr>
            <w:tcW w:w="1250" w:type="pct"/>
            <w:shd w:val="clear" w:color="auto" w:fill="auto"/>
            <w:vAlign w:val="bottom"/>
          </w:tcPr>
          <w:p w14:paraId="09DC4967" w14:textId="77777777" w:rsidR="00E142DC" w:rsidRPr="00241176" w:rsidRDefault="00E142DC">
            <w:pPr>
              <w:pStyle w:val="TableText"/>
              <w:rPr>
                <w:rFonts w:eastAsia="Times New Roman" w:cs="Calibri"/>
                <w:color w:val="000000"/>
              </w:rPr>
            </w:pPr>
            <w:r w:rsidRPr="00241176">
              <w:rPr>
                <w:rFonts w:eastAsia="Times New Roman" w:cs="Calibri"/>
                <w:color w:val="000000"/>
              </w:rPr>
              <w:t>1%</w:t>
            </w:r>
          </w:p>
        </w:tc>
        <w:tc>
          <w:tcPr>
            <w:tcW w:w="1250" w:type="pct"/>
            <w:shd w:val="clear" w:color="auto" w:fill="auto"/>
            <w:vAlign w:val="bottom"/>
          </w:tcPr>
          <w:p w14:paraId="62F8B2D5" w14:textId="77777777" w:rsidR="00E142DC" w:rsidRPr="00241176" w:rsidRDefault="00E142DC">
            <w:pPr>
              <w:pStyle w:val="TableText"/>
              <w:rPr>
                <w:rFonts w:eastAsia="Times New Roman" w:cs="Calibri"/>
                <w:color w:val="000000"/>
              </w:rPr>
            </w:pPr>
            <w:r w:rsidRPr="00241176">
              <w:rPr>
                <w:rFonts w:eastAsia="Times New Roman" w:cs="Calibri"/>
                <w:color w:val="000000"/>
              </w:rPr>
              <w:t>0%</w:t>
            </w:r>
          </w:p>
        </w:tc>
        <w:tc>
          <w:tcPr>
            <w:tcW w:w="1250" w:type="pct"/>
            <w:shd w:val="clear" w:color="auto" w:fill="auto"/>
            <w:vAlign w:val="bottom"/>
          </w:tcPr>
          <w:p w14:paraId="79F17AFA" w14:textId="77777777" w:rsidR="00E142DC" w:rsidRPr="00241176" w:rsidRDefault="00E142DC">
            <w:pPr>
              <w:pStyle w:val="TableText"/>
              <w:rPr>
                <w:rFonts w:eastAsia="Times New Roman" w:cs="Calibri"/>
                <w:color w:val="000000"/>
              </w:rPr>
            </w:pPr>
            <w:r w:rsidRPr="00241176">
              <w:rPr>
                <w:rFonts w:eastAsia="Times New Roman" w:cs="Calibri"/>
                <w:color w:val="000000"/>
              </w:rPr>
              <w:t>0%</w:t>
            </w:r>
          </w:p>
        </w:tc>
      </w:tr>
      <w:tr w:rsidR="00E142DC" w:rsidRPr="00241176" w14:paraId="305B79BB" w14:textId="77777777">
        <w:trPr>
          <w:tblHeader/>
        </w:trPr>
        <w:tc>
          <w:tcPr>
            <w:tcW w:w="1250" w:type="pct"/>
            <w:shd w:val="clear" w:color="auto" w:fill="D2DDE2"/>
          </w:tcPr>
          <w:p w14:paraId="4113E4D5" w14:textId="77777777" w:rsidR="00E142DC" w:rsidRPr="00241176" w:rsidRDefault="00E142DC">
            <w:pPr>
              <w:pStyle w:val="TableTextbold"/>
              <w:rPr>
                <w:rFonts w:eastAsia="Times New Roman"/>
                <w:color w:val="FFFFFF"/>
              </w:rPr>
            </w:pPr>
            <w:r w:rsidRPr="00241176">
              <w:rPr>
                <w:rFonts w:eastAsia="Times New Roman"/>
              </w:rPr>
              <w:t>Ethnicity</w:t>
            </w:r>
          </w:p>
        </w:tc>
        <w:tc>
          <w:tcPr>
            <w:tcW w:w="1250" w:type="pct"/>
            <w:shd w:val="clear" w:color="auto" w:fill="D2DDE2"/>
          </w:tcPr>
          <w:p w14:paraId="333EA50F" w14:textId="77777777" w:rsidR="00E142DC" w:rsidRPr="00241176" w:rsidRDefault="00E142DC">
            <w:pPr>
              <w:pStyle w:val="TableTextbold"/>
              <w:rPr>
                <w:rFonts w:eastAsia="Times New Roman"/>
                <w:color w:val="FFFFFF"/>
              </w:rPr>
            </w:pPr>
          </w:p>
        </w:tc>
        <w:tc>
          <w:tcPr>
            <w:tcW w:w="1250" w:type="pct"/>
            <w:shd w:val="clear" w:color="auto" w:fill="D2DDE2"/>
          </w:tcPr>
          <w:p w14:paraId="054EF696" w14:textId="77777777" w:rsidR="00E142DC" w:rsidRPr="00241176" w:rsidRDefault="00E142DC">
            <w:pPr>
              <w:pStyle w:val="TableTextbold"/>
              <w:rPr>
                <w:rFonts w:eastAsia="Times New Roman"/>
                <w:color w:val="FFFFFF"/>
              </w:rPr>
            </w:pPr>
          </w:p>
        </w:tc>
        <w:tc>
          <w:tcPr>
            <w:tcW w:w="1250" w:type="pct"/>
            <w:shd w:val="clear" w:color="auto" w:fill="D2DDE2"/>
          </w:tcPr>
          <w:p w14:paraId="41568C91" w14:textId="77777777" w:rsidR="00E142DC" w:rsidRPr="00241176" w:rsidRDefault="00E142DC">
            <w:pPr>
              <w:pStyle w:val="TableTextbold"/>
              <w:rPr>
                <w:rFonts w:eastAsia="Times New Roman"/>
                <w:color w:val="FFFFFF"/>
              </w:rPr>
            </w:pPr>
          </w:p>
        </w:tc>
      </w:tr>
      <w:tr w:rsidR="00E142DC" w:rsidRPr="00241176" w14:paraId="0F7E34B4" w14:textId="77777777">
        <w:tc>
          <w:tcPr>
            <w:tcW w:w="1250" w:type="pct"/>
            <w:shd w:val="clear" w:color="auto" w:fill="auto"/>
            <w:vAlign w:val="bottom"/>
          </w:tcPr>
          <w:p w14:paraId="4059D9B8" w14:textId="77777777" w:rsidR="00E142DC" w:rsidRPr="00241176" w:rsidRDefault="00E142DC">
            <w:pPr>
              <w:pStyle w:val="TableText"/>
              <w:rPr>
                <w:rFonts w:eastAsia="Times New Roman" w:cs="Calibri"/>
                <w:color w:val="000000"/>
              </w:rPr>
            </w:pPr>
            <w:r w:rsidRPr="00241176">
              <w:rPr>
                <w:rFonts w:eastAsia="Times New Roman" w:cs="Calibri"/>
                <w:color w:val="000000"/>
              </w:rPr>
              <w:t>European</w:t>
            </w:r>
          </w:p>
        </w:tc>
        <w:tc>
          <w:tcPr>
            <w:tcW w:w="1250" w:type="pct"/>
            <w:shd w:val="clear" w:color="auto" w:fill="auto"/>
            <w:vAlign w:val="bottom"/>
          </w:tcPr>
          <w:p w14:paraId="52023911" w14:textId="77777777" w:rsidR="00E142DC" w:rsidRPr="00241176" w:rsidRDefault="00E142DC">
            <w:pPr>
              <w:pStyle w:val="TableText"/>
              <w:rPr>
                <w:rFonts w:eastAsia="Times New Roman" w:cs="Calibri"/>
                <w:color w:val="000000"/>
              </w:rPr>
            </w:pPr>
            <w:r w:rsidRPr="00241176">
              <w:rPr>
                <w:rFonts w:eastAsia="Times New Roman" w:cs="Calibri"/>
                <w:color w:val="000000"/>
              </w:rPr>
              <w:t>73%</w:t>
            </w:r>
          </w:p>
        </w:tc>
        <w:tc>
          <w:tcPr>
            <w:tcW w:w="1250" w:type="pct"/>
            <w:shd w:val="clear" w:color="auto" w:fill="auto"/>
            <w:vAlign w:val="bottom"/>
          </w:tcPr>
          <w:p w14:paraId="3A54171F" w14:textId="77777777" w:rsidR="00E142DC" w:rsidRPr="00241176" w:rsidRDefault="00E142DC">
            <w:pPr>
              <w:pStyle w:val="TableText"/>
              <w:rPr>
                <w:rFonts w:eastAsia="Times New Roman" w:cs="Calibri"/>
                <w:color w:val="000000"/>
              </w:rPr>
            </w:pPr>
            <w:r w:rsidRPr="00241176">
              <w:rPr>
                <w:rFonts w:eastAsia="Times New Roman" w:cs="Calibri"/>
                <w:color w:val="000000"/>
              </w:rPr>
              <w:t>79%</w:t>
            </w:r>
          </w:p>
        </w:tc>
        <w:tc>
          <w:tcPr>
            <w:tcW w:w="1250" w:type="pct"/>
            <w:shd w:val="clear" w:color="auto" w:fill="auto"/>
            <w:vAlign w:val="bottom"/>
          </w:tcPr>
          <w:p w14:paraId="4707C0DA" w14:textId="77777777" w:rsidR="00E142DC" w:rsidRPr="00241176" w:rsidRDefault="00E142DC">
            <w:pPr>
              <w:pStyle w:val="TableText"/>
              <w:rPr>
                <w:rFonts w:eastAsia="Times New Roman" w:cs="Calibri"/>
                <w:color w:val="000000"/>
              </w:rPr>
            </w:pPr>
            <w:r w:rsidRPr="00241176">
              <w:rPr>
                <w:rFonts w:eastAsia="Times New Roman" w:cs="Calibri"/>
                <w:color w:val="000000"/>
              </w:rPr>
              <w:t>68%</w:t>
            </w:r>
          </w:p>
        </w:tc>
      </w:tr>
      <w:tr w:rsidR="00E142DC" w:rsidRPr="00241176" w14:paraId="6C46CA7E" w14:textId="77777777">
        <w:tc>
          <w:tcPr>
            <w:tcW w:w="1250" w:type="pct"/>
            <w:shd w:val="clear" w:color="auto" w:fill="auto"/>
            <w:vAlign w:val="bottom"/>
          </w:tcPr>
          <w:p w14:paraId="77B89822" w14:textId="77777777" w:rsidR="00E142DC" w:rsidRPr="00241176" w:rsidRDefault="00E142DC">
            <w:pPr>
              <w:pStyle w:val="TableText"/>
              <w:rPr>
                <w:rFonts w:eastAsia="Times New Roman" w:cs="Calibri"/>
                <w:color w:val="000000"/>
              </w:rPr>
            </w:pPr>
            <w:r w:rsidRPr="00241176">
              <w:rPr>
                <w:rFonts w:eastAsia="Times New Roman" w:cs="Calibri"/>
                <w:color w:val="000000"/>
              </w:rPr>
              <w:lastRenderedPageBreak/>
              <w:t>Māori</w:t>
            </w:r>
          </w:p>
        </w:tc>
        <w:tc>
          <w:tcPr>
            <w:tcW w:w="1250" w:type="pct"/>
            <w:shd w:val="clear" w:color="auto" w:fill="auto"/>
            <w:vAlign w:val="bottom"/>
          </w:tcPr>
          <w:p w14:paraId="7FB139C6" w14:textId="77777777" w:rsidR="00E142DC" w:rsidRPr="00241176" w:rsidRDefault="00E142DC">
            <w:pPr>
              <w:pStyle w:val="TableText"/>
              <w:rPr>
                <w:rFonts w:eastAsia="Times New Roman" w:cs="Calibri"/>
                <w:color w:val="000000"/>
              </w:rPr>
            </w:pPr>
            <w:r w:rsidRPr="00241176">
              <w:rPr>
                <w:rFonts w:eastAsia="Times New Roman" w:cs="Calibri"/>
                <w:color w:val="000000"/>
              </w:rPr>
              <w:t>13%</w:t>
            </w:r>
          </w:p>
        </w:tc>
        <w:tc>
          <w:tcPr>
            <w:tcW w:w="1250" w:type="pct"/>
            <w:shd w:val="clear" w:color="auto" w:fill="auto"/>
            <w:vAlign w:val="bottom"/>
          </w:tcPr>
          <w:p w14:paraId="4D0250A6" w14:textId="77777777" w:rsidR="00E142DC" w:rsidRPr="00241176" w:rsidRDefault="00E142DC">
            <w:pPr>
              <w:pStyle w:val="TableText"/>
              <w:rPr>
                <w:rFonts w:eastAsia="Times New Roman" w:cs="Calibri"/>
                <w:color w:val="000000"/>
              </w:rPr>
            </w:pPr>
            <w:r w:rsidRPr="00241176">
              <w:rPr>
                <w:rFonts w:eastAsia="Times New Roman" w:cs="Calibri"/>
                <w:color w:val="000000"/>
              </w:rPr>
              <w:t>14%</w:t>
            </w:r>
          </w:p>
        </w:tc>
        <w:tc>
          <w:tcPr>
            <w:tcW w:w="1250" w:type="pct"/>
            <w:shd w:val="clear" w:color="auto" w:fill="auto"/>
            <w:vAlign w:val="bottom"/>
          </w:tcPr>
          <w:p w14:paraId="6CDCC38C" w14:textId="77777777" w:rsidR="00E142DC" w:rsidRPr="00241176" w:rsidRDefault="00E142DC">
            <w:pPr>
              <w:pStyle w:val="TableText"/>
              <w:rPr>
                <w:rFonts w:eastAsia="Times New Roman" w:cs="Calibri"/>
                <w:color w:val="000000"/>
              </w:rPr>
            </w:pPr>
            <w:r w:rsidRPr="00241176">
              <w:rPr>
                <w:rFonts w:eastAsia="Times New Roman" w:cs="Calibri"/>
                <w:color w:val="000000"/>
              </w:rPr>
              <w:t>20%</w:t>
            </w:r>
          </w:p>
        </w:tc>
      </w:tr>
      <w:tr w:rsidR="00E142DC" w:rsidRPr="00241176" w14:paraId="628C3119" w14:textId="77777777">
        <w:tc>
          <w:tcPr>
            <w:tcW w:w="1250" w:type="pct"/>
            <w:shd w:val="clear" w:color="auto" w:fill="auto"/>
            <w:vAlign w:val="bottom"/>
          </w:tcPr>
          <w:p w14:paraId="72D32EB1" w14:textId="77777777" w:rsidR="00E142DC" w:rsidRPr="00241176" w:rsidRDefault="00E142DC">
            <w:pPr>
              <w:pStyle w:val="TableText"/>
              <w:rPr>
                <w:rFonts w:eastAsia="Times New Roman" w:cs="Calibri"/>
                <w:color w:val="000000"/>
              </w:rPr>
            </w:pPr>
            <w:r w:rsidRPr="00241176">
              <w:rPr>
                <w:rFonts w:eastAsia="Times New Roman" w:cs="Calibri"/>
                <w:color w:val="000000"/>
              </w:rPr>
              <w:t>Asian</w:t>
            </w:r>
          </w:p>
        </w:tc>
        <w:tc>
          <w:tcPr>
            <w:tcW w:w="1250" w:type="pct"/>
            <w:shd w:val="clear" w:color="auto" w:fill="auto"/>
            <w:vAlign w:val="bottom"/>
          </w:tcPr>
          <w:p w14:paraId="2AB3444C" w14:textId="77777777" w:rsidR="00E142DC" w:rsidRPr="00241176" w:rsidRDefault="00E142DC">
            <w:pPr>
              <w:pStyle w:val="TableText"/>
              <w:rPr>
                <w:rFonts w:eastAsia="Times New Roman" w:cs="Calibri"/>
                <w:color w:val="000000"/>
              </w:rPr>
            </w:pPr>
            <w:r w:rsidRPr="00241176">
              <w:rPr>
                <w:rFonts w:eastAsia="Times New Roman" w:cs="Calibri"/>
                <w:color w:val="000000"/>
              </w:rPr>
              <w:t>7%</w:t>
            </w:r>
          </w:p>
        </w:tc>
        <w:tc>
          <w:tcPr>
            <w:tcW w:w="1250" w:type="pct"/>
            <w:shd w:val="clear" w:color="auto" w:fill="auto"/>
            <w:vAlign w:val="bottom"/>
          </w:tcPr>
          <w:p w14:paraId="3A4FE529" w14:textId="77777777" w:rsidR="00E142DC" w:rsidRPr="00241176" w:rsidRDefault="00E142DC">
            <w:pPr>
              <w:pStyle w:val="TableText"/>
              <w:rPr>
                <w:rFonts w:eastAsia="Times New Roman" w:cs="Calibri"/>
                <w:color w:val="000000"/>
              </w:rPr>
            </w:pPr>
            <w:r w:rsidRPr="00241176">
              <w:rPr>
                <w:rFonts w:eastAsia="Times New Roman" w:cs="Calibri"/>
                <w:color w:val="000000"/>
              </w:rPr>
              <w:t>3%</w:t>
            </w:r>
          </w:p>
        </w:tc>
        <w:tc>
          <w:tcPr>
            <w:tcW w:w="1250" w:type="pct"/>
            <w:shd w:val="clear" w:color="auto" w:fill="auto"/>
            <w:vAlign w:val="bottom"/>
          </w:tcPr>
          <w:p w14:paraId="26172FA9" w14:textId="77777777" w:rsidR="00E142DC" w:rsidRPr="00241176" w:rsidRDefault="00E142DC">
            <w:pPr>
              <w:pStyle w:val="TableText"/>
              <w:rPr>
                <w:rFonts w:eastAsia="Times New Roman" w:cs="Calibri"/>
                <w:color w:val="000000"/>
              </w:rPr>
            </w:pPr>
            <w:r w:rsidRPr="00241176">
              <w:rPr>
                <w:rFonts w:eastAsia="Times New Roman" w:cs="Calibri"/>
                <w:color w:val="000000"/>
              </w:rPr>
              <w:t>4%</w:t>
            </w:r>
          </w:p>
        </w:tc>
      </w:tr>
      <w:tr w:rsidR="00E142DC" w:rsidRPr="00241176" w14:paraId="5C76B186" w14:textId="77777777">
        <w:tc>
          <w:tcPr>
            <w:tcW w:w="1250" w:type="pct"/>
            <w:shd w:val="clear" w:color="auto" w:fill="auto"/>
            <w:vAlign w:val="bottom"/>
          </w:tcPr>
          <w:p w14:paraId="37446998" w14:textId="77777777" w:rsidR="00E142DC" w:rsidRPr="00241176" w:rsidRDefault="00E142DC">
            <w:pPr>
              <w:pStyle w:val="TableText"/>
              <w:rPr>
                <w:rFonts w:eastAsia="Times New Roman" w:cs="Calibri"/>
                <w:color w:val="000000"/>
              </w:rPr>
            </w:pPr>
            <w:r w:rsidRPr="00241176">
              <w:rPr>
                <w:rFonts w:eastAsia="Times New Roman" w:cs="Calibri"/>
                <w:color w:val="000000"/>
              </w:rPr>
              <w:t>Pacific Peoples</w:t>
            </w:r>
          </w:p>
        </w:tc>
        <w:tc>
          <w:tcPr>
            <w:tcW w:w="1250" w:type="pct"/>
            <w:shd w:val="clear" w:color="auto" w:fill="auto"/>
            <w:vAlign w:val="bottom"/>
          </w:tcPr>
          <w:p w14:paraId="5693BA11" w14:textId="77777777" w:rsidR="00E142DC" w:rsidRPr="00241176" w:rsidRDefault="00E142DC">
            <w:pPr>
              <w:pStyle w:val="TableText"/>
              <w:rPr>
                <w:rFonts w:eastAsia="Times New Roman" w:cs="Calibri"/>
                <w:color w:val="000000"/>
              </w:rPr>
            </w:pPr>
            <w:r w:rsidRPr="00241176">
              <w:rPr>
                <w:rFonts w:eastAsia="Times New Roman" w:cs="Calibri"/>
                <w:color w:val="000000"/>
              </w:rPr>
              <w:t>2%</w:t>
            </w:r>
          </w:p>
        </w:tc>
        <w:tc>
          <w:tcPr>
            <w:tcW w:w="1250" w:type="pct"/>
            <w:shd w:val="clear" w:color="auto" w:fill="auto"/>
            <w:vAlign w:val="bottom"/>
          </w:tcPr>
          <w:p w14:paraId="7C5613CF" w14:textId="77777777" w:rsidR="00E142DC" w:rsidRPr="00241176" w:rsidRDefault="00E142DC">
            <w:pPr>
              <w:pStyle w:val="TableText"/>
              <w:rPr>
                <w:rFonts w:eastAsia="Times New Roman" w:cs="Calibri"/>
                <w:color w:val="000000"/>
              </w:rPr>
            </w:pPr>
            <w:r w:rsidRPr="00241176">
              <w:rPr>
                <w:rFonts w:eastAsia="Times New Roman" w:cs="Calibri"/>
                <w:color w:val="000000"/>
              </w:rPr>
              <w:t>1%</w:t>
            </w:r>
          </w:p>
        </w:tc>
        <w:tc>
          <w:tcPr>
            <w:tcW w:w="1250" w:type="pct"/>
            <w:shd w:val="clear" w:color="auto" w:fill="auto"/>
            <w:vAlign w:val="bottom"/>
          </w:tcPr>
          <w:p w14:paraId="0D42F326" w14:textId="77777777" w:rsidR="00E142DC" w:rsidRPr="00241176" w:rsidRDefault="00E142DC">
            <w:pPr>
              <w:pStyle w:val="TableText"/>
              <w:rPr>
                <w:rFonts w:eastAsia="Times New Roman" w:cs="Calibri"/>
                <w:color w:val="000000"/>
              </w:rPr>
            </w:pPr>
            <w:r w:rsidRPr="00241176">
              <w:rPr>
                <w:rFonts w:eastAsia="Times New Roman" w:cs="Calibri"/>
                <w:color w:val="000000"/>
              </w:rPr>
              <w:t>0%</w:t>
            </w:r>
          </w:p>
        </w:tc>
      </w:tr>
      <w:tr w:rsidR="00E142DC" w:rsidRPr="00241176" w14:paraId="4AA49F1D" w14:textId="77777777">
        <w:tc>
          <w:tcPr>
            <w:tcW w:w="1250" w:type="pct"/>
            <w:shd w:val="clear" w:color="auto" w:fill="auto"/>
            <w:vAlign w:val="bottom"/>
          </w:tcPr>
          <w:p w14:paraId="50854EC6" w14:textId="12FAA81A" w:rsidR="00E142DC" w:rsidRPr="00241176" w:rsidRDefault="000D0742">
            <w:pPr>
              <w:pStyle w:val="TableText"/>
              <w:rPr>
                <w:rFonts w:eastAsia="Times New Roman" w:cs="Calibri"/>
                <w:color w:val="000000"/>
              </w:rPr>
            </w:pPr>
            <w:r>
              <w:t>Middle Eastern, Latin American and African (</w:t>
            </w:r>
            <w:r w:rsidR="00E142DC" w:rsidRPr="00241176">
              <w:rPr>
                <w:rFonts w:eastAsia="Times New Roman" w:cs="Calibri"/>
                <w:color w:val="000000"/>
              </w:rPr>
              <w:t>MELAA</w:t>
            </w:r>
            <w:r>
              <w:rPr>
                <w:rFonts w:eastAsia="Times New Roman" w:cs="Calibri"/>
                <w:color w:val="000000"/>
              </w:rPr>
              <w:t>)</w:t>
            </w:r>
          </w:p>
        </w:tc>
        <w:tc>
          <w:tcPr>
            <w:tcW w:w="1250" w:type="pct"/>
            <w:shd w:val="clear" w:color="auto" w:fill="auto"/>
            <w:vAlign w:val="bottom"/>
          </w:tcPr>
          <w:p w14:paraId="252BEDC1" w14:textId="77777777" w:rsidR="00E142DC" w:rsidRPr="00241176" w:rsidRDefault="00E142DC">
            <w:pPr>
              <w:pStyle w:val="TableText"/>
              <w:rPr>
                <w:rFonts w:eastAsia="Times New Roman" w:cs="Calibri"/>
                <w:color w:val="000000"/>
              </w:rPr>
            </w:pPr>
            <w:r w:rsidRPr="00241176">
              <w:rPr>
                <w:rFonts w:eastAsia="Times New Roman" w:cs="Calibri"/>
                <w:color w:val="000000"/>
              </w:rPr>
              <w:t>2%</w:t>
            </w:r>
          </w:p>
        </w:tc>
        <w:tc>
          <w:tcPr>
            <w:tcW w:w="1250" w:type="pct"/>
            <w:shd w:val="clear" w:color="auto" w:fill="auto"/>
            <w:vAlign w:val="bottom"/>
          </w:tcPr>
          <w:p w14:paraId="214CC734" w14:textId="77777777" w:rsidR="00E142DC" w:rsidRPr="00241176" w:rsidRDefault="00E142DC">
            <w:pPr>
              <w:pStyle w:val="TableText"/>
              <w:rPr>
                <w:rFonts w:eastAsia="Times New Roman" w:cs="Calibri"/>
                <w:color w:val="000000"/>
              </w:rPr>
            </w:pPr>
            <w:r w:rsidRPr="00241176">
              <w:rPr>
                <w:rFonts w:eastAsia="Times New Roman" w:cs="Calibri"/>
                <w:color w:val="000000"/>
              </w:rPr>
              <w:t>1%</w:t>
            </w:r>
          </w:p>
        </w:tc>
        <w:tc>
          <w:tcPr>
            <w:tcW w:w="1250" w:type="pct"/>
            <w:shd w:val="clear" w:color="auto" w:fill="auto"/>
            <w:vAlign w:val="bottom"/>
          </w:tcPr>
          <w:p w14:paraId="1982D150" w14:textId="77777777" w:rsidR="00E142DC" w:rsidRPr="00241176" w:rsidRDefault="00E142DC">
            <w:pPr>
              <w:pStyle w:val="TableText"/>
              <w:rPr>
                <w:rFonts w:eastAsia="Times New Roman" w:cs="Calibri"/>
                <w:color w:val="000000"/>
              </w:rPr>
            </w:pPr>
            <w:r w:rsidRPr="00241176">
              <w:rPr>
                <w:rFonts w:eastAsia="Times New Roman" w:cs="Calibri"/>
                <w:color w:val="000000"/>
              </w:rPr>
              <w:t>0%</w:t>
            </w:r>
          </w:p>
        </w:tc>
      </w:tr>
      <w:tr w:rsidR="00E142DC" w:rsidRPr="00241176" w14:paraId="69A2A2CC" w14:textId="77777777">
        <w:tc>
          <w:tcPr>
            <w:tcW w:w="1250" w:type="pct"/>
            <w:shd w:val="clear" w:color="auto" w:fill="auto"/>
            <w:vAlign w:val="bottom"/>
          </w:tcPr>
          <w:p w14:paraId="2878E617" w14:textId="77777777" w:rsidR="00E142DC" w:rsidRPr="00241176" w:rsidRDefault="00E142DC">
            <w:pPr>
              <w:pStyle w:val="TableText"/>
              <w:rPr>
                <w:rFonts w:eastAsia="Times New Roman" w:cs="Calibri"/>
                <w:color w:val="000000"/>
              </w:rPr>
            </w:pPr>
            <w:r w:rsidRPr="00241176">
              <w:rPr>
                <w:rFonts w:eastAsia="Times New Roman" w:cs="Calibri"/>
                <w:color w:val="000000"/>
              </w:rPr>
              <w:t>Other Ethnicity</w:t>
            </w:r>
          </w:p>
        </w:tc>
        <w:tc>
          <w:tcPr>
            <w:tcW w:w="1250" w:type="pct"/>
            <w:shd w:val="clear" w:color="auto" w:fill="auto"/>
            <w:vAlign w:val="bottom"/>
          </w:tcPr>
          <w:p w14:paraId="411FCFEE" w14:textId="77777777" w:rsidR="00E142DC" w:rsidRPr="00241176" w:rsidRDefault="00E142DC">
            <w:pPr>
              <w:pStyle w:val="TableText"/>
              <w:rPr>
                <w:rFonts w:eastAsia="Times New Roman" w:cs="Calibri"/>
                <w:color w:val="000000"/>
              </w:rPr>
            </w:pPr>
            <w:r w:rsidRPr="00241176">
              <w:rPr>
                <w:rFonts w:eastAsia="Times New Roman" w:cs="Calibri"/>
                <w:color w:val="000000"/>
              </w:rPr>
              <w:t>1%</w:t>
            </w:r>
          </w:p>
        </w:tc>
        <w:tc>
          <w:tcPr>
            <w:tcW w:w="1250" w:type="pct"/>
            <w:shd w:val="clear" w:color="auto" w:fill="auto"/>
            <w:vAlign w:val="bottom"/>
          </w:tcPr>
          <w:p w14:paraId="7C78B38D" w14:textId="77777777" w:rsidR="00E142DC" w:rsidRPr="00241176" w:rsidRDefault="00E142DC">
            <w:pPr>
              <w:pStyle w:val="TableText"/>
              <w:rPr>
                <w:rFonts w:eastAsia="Times New Roman" w:cs="Calibri"/>
                <w:color w:val="000000"/>
              </w:rPr>
            </w:pPr>
            <w:r w:rsidRPr="00241176">
              <w:rPr>
                <w:rFonts w:eastAsia="Times New Roman" w:cs="Calibri"/>
                <w:color w:val="000000"/>
              </w:rPr>
              <w:t>1%</w:t>
            </w:r>
          </w:p>
        </w:tc>
        <w:tc>
          <w:tcPr>
            <w:tcW w:w="1250" w:type="pct"/>
            <w:shd w:val="clear" w:color="auto" w:fill="auto"/>
            <w:vAlign w:val="bottom"/>
          </w:tcPr>
          <w:p w14:paraId="3D8D1D1C" w14:textId="77777777" w:rsidR="00E142DC" w:rsidRPr="00241176" w:rsidRDefault="00E142DC">
            <w:pPr>
              <w:pStyle w:val="TableText"/>
              <w:rPr>
                <w:rFonts w:eastAsia="Times New Roman" w:cs="Calibri"/>
                <w:color w:val="000000"/>
              </w:rPr>
            </w:pPr>
            <w:r w:rsidRPr="00241176">
              <w:rPr>
                <w:rFonts w:eastAsia="Times New Roman" w:cs="Calibri"/>
                <w:color w:val="000000"/>
              </w:rPr>
              <w:t>2%</w:t>
            </w:r>
          </w:p>
        </w:tc>
      </w:tr>
      <w:tr w:rsidR="00E142DC" w:rsidRPr="00241176" w14:paraId="22D83392" w14:textId="77777777">
        <w:tc>
          <w:tcPr>
            <w:tcW w:w="1250" w:type="pct"/>
            <w:shd w:val="clear" w:color="auto" w:fill="auto"/>
            <w:vAlign w:val="bottom"/>
          </w:tcPr>
          <w:p w14:paraId="1F4C4DF8" w14:textId="77777777" w:rsidR="00E142DC" w:rsidRPr="00241176" w:rsidRDefault="00E142DC">
            <w:pPr>
              <w:pStyle w:val="TableText"/>
              <w:rPr>
                <w:rFonts w:eastAsia="Times New Roman" w:cs="Calibri"/>
                <w:color w:val="000000"/>
              </w:rPr>
            </w:pPr>
            <w:r w:rsidRPr="00241176">
              <w:rPr>
                <w:rFonts w:eastAsia="Times New Roman" w:cs="Calibri"/>
                <w:color w:val="000000"/>
              </w:rPr>
              <w:t>Not Declared</w:t>
            </w:r>
          </w:p>
        </w:tc>
        <w:tc>
          <w:tcPr>
            <w:tcW w:w="1250" w:type="pct"/>
            <w:shd w:val="clear" w:color="auto" w:fill="auto"/>
            <w:vAlign w:val="bottom"/>
          </w:tcPr>
          <w:p w14:paraId="4D57DF1C" w14:textId="77777777" w:rsidR="00E142DC" w:rsidRPr="00241176" w:rsidRDefault="00E142DC">
            <w:pPr>
              <w:pStyle w:val="TableText"/>
              <w:rPr>
                <w:rFonts w:eastAsia="Times New Roman" w:cs="Calibri"/>
                <w:color w:val="000000"/>
              </w:rPr>
            </w:pPr>
            <w:r w:rsidRPr="00241176">
              <w:rPr>
                <w:rFonts w:eastAsia="Times New Roman" w:cs="Calibri"/>
                <w:color w:val="000000"/>
              </w:rPr>
              <w:t>4%</w:t>
            </w:r>
          </w:p>
        </w:tc>
        <w:tc>
          <w:tcPr>
            <w:tcW w:w="1250" w:type="pct"/>
            <w:shd w:val="clear" w:color="auto" w:fill="auto"/>
            <w:vAlign w:val="bottom"/>
          </w:tcPr>
          <w:p w14:paraId="3F1721F8" w14:textId="77777777" w:rsidR="00E142DC" w:rsidRPr="00241176" w:rsidRDefault="00E142DC">
            <w:pPr>
              <w:pStyle w:val="TableText"/>
              <w:rPr>
                <w:rFonts w:eastAsia="Times New Roman" w:cs="Calibri"/>
                <w:color w:val="000000"/>
              </w:rPr>
            </w:pPr>
            <w:r w:rsidRPr="00241176">
              <w:rPr>
                <w:rFonts w:eastAsia="Times New Roman" w:cs="Calibri"/>
                <w:color w:val="000000"/>
              </w:rPr>
              <w:t>2%</w:t>
            </w:r>
          </w:p>
        </w:tc>
        <w:tc>
          <w:tcPr>
            <w:tcW w:w="1250" w:type="pct"/>
            <w:shd w:val="clear" w:color="auto" w:fill="auto"/>
            <w:vAlign w:val="bottom"/>
          </w:tcPr>
          <w:p w14:paraId="757EF70A" w14:textId="77777777" w:rsidR="00E142DC" w:rsidRPr="00241176" w:rsidRDefault="00E142DC">
            <w:pPr>
              <w:pStyle w:val="TableText"/>
              <w:rPr>
                <w:rFonts w:eastAsia="Times New Roman" w:cs="Calibri"/>
                <w:color w:val="000000"/>
              </w:rPr>
            </w:pPr>
            <w:r w:rsidRPr="00241176">
              <w:rPr>
                <w:rFonts w:eastAsia="Times New Roman" w:cs="Calibri"/>
                <w:color w:val="000000"/>
              </w:rPr>
              <w:t>6%</w:t>
            </w:r>
          </w:p>
        </w:tc>
      </w:tr>
    </w:tbl>
    <w:p w14:paraId="03BB35B2" w14:textId="77777777" w:rsidR="00BF5407" w:rsidRPr="00F61D15" w:rsidRDefault="007A688B" w:rsidP="00DC248C">
      <w:pPr>
        <w:pStyle w:val="Note"/>
      </w:pPr>
      <w:r w:rsidRPr="00F61D15">
        <w:t xml:space="preserve">Notes: </w:t>
      </w:r>
    </w:p>
    <w:p w14:paraId="156201E5" w14:textId="257D350F" w:rsidR="00E142DC" w:rsidRPr="00F61D15" w:rsidRDefault="00E142DC" w:rsidP="00DC248C">
      <w:pPr>
        <w:pStyle w:val="Note"/>
      </w:pPr>
      <w:r w:rsidRPr="00F61D15">
        <w:t>Ethnicity disclosure: 96.3</w:t>
      </w:r>
      <w:r w:rsidR="00BF5407" w:rsidRPr="00F61D15">
        <w:t xml:space="preserve"> per cent</w:t>
      </w:r>
      <w:r w:rsidRPr="00F61D15">
        <w:t xml:space="preserve"> of all staff, 94</w:t>
      </w:r>
      <w:r w:rsidR="00BF5407" w:rsidRPr="00F61D15">
        <w:t xml:space="preserve"> per cent</w:t>
      </w:r>
      <w:r w:rsidRPr="00F61D15">
        <w:t xml:space="preserve"> of </w:t>
      </w:r>
      <w:r w:rsidR="00BF5407" w:rsidRPr="00F61D15">
        <w:t>s</w:t>
      </w:r>
      <w:r w:rsidRPr="00F61D15">
        <w:t xml:space="preserve">enior </w:t>
      </w:r>
      <w:r w:rsidR="00BF5407" w:rsidRPr="00F61D15">
        <w:t>l</w:t>
      </w:r>
      <w:r w:rsidRPr="00F61D15">
        <w:t>eaders.</w:t>
      </w:r>
      <w:r w:rsidR="008D2C73" w:rsidRPr="00F61D15">
        <w:t xml:space="preserve"> </w:t>
      </w:r>
      <w:r w:rsidRPr="00F61D15">
        <w:t>Employees can declare up to three ethnicities, therefore the total can equal more than 100 per cent. Representation percentages are rounded to the nearest whole number. MELAA</w:t>
      </w:r>
      <w:r w:rsidR="000D0742" w:rsidRPr="00F61D15">
        <w:t xml:space="preserve">: </w:t>
      </w:r>
      <w:r w:rsidR="00DC248C" w:rsidRPr="00F61D15">
        <w:t xml:space="preserve">This is included </w:t>
      </w:r>
      <w:r w:rsidRPr="00F61D15">
        <w:t xml:space="preserve">as an ethnicity category to meet our reporting </w:t>
      </w:r>
      <w:proofErr w:type="gramStart"/>
      <w:r w:rsidRPr="00F61D15">
        <w:t>obligations,</w:t>
      </w:r>
      <w:proofErr w:type="gramEnd"/>
      <w:r w:rsidRPr="00F61D15">
        <w:t xml:space="preserve"> however</w:t>
      </w:r>
      <w:r w:rsidR="00ED5408">
        <w:t>,</w:t>
      </w:r>
      <w:r w:rsidRPr="00F61D15">
        <w:t xml:space="preserve"> we recognise that this grouping together of diverse ethnicities is not in line with how many of our employees would choose to identify themselves.</w:t>
      </w:r>
    </w:p>
    <w:p w14:paraId="6BEF7705" w14:textId="4F694B9A" w:rsidR="00E142DC" w:rsidRPr="00103A2C" w:rsidRDefault="00E142DC" w:rsidP="00B12CFE">
      <w:pPr>
        <w:pStyle w:val="Figureheading"/>
      </w:pPr>
      <w:bookmarkStart w:id="16" w:name="_Toc118454288"/>
      <w:bookmarkStart w:id="17" w:name="_Toc188532255"/>
      <w:r w:rsidRPr="00103A2C">
        <w:t>Figure 1:</w:t>
      </w:r>
      <w:r w:rsidRPr="00103A2C">
        <w:tab/>
      </w:r>
      <w:r w:rsidR="00F307C2" w:rsidRPr="00103A2C">
        <w:t xml:space="preserve">Ministry for the Environment </w:t>
      </w:r>
      <w:r w:rsidR="00F307C2">
        <w:t>o</w:t>
      </w:r>
      <w:r w:rsidRPr="00103A2C">
        <w:t>verall gender pay gap</w:t>
      </w:r>
      <w:bookmarkEnd w:id="16"/>
      <w:bookmarkEnd w:id="17"/>
    </w:p>
    <w:p w14:paraId="5CB5E9EF" w14:textId="0ED73786" w:rsidR="00E142DC" w:rsidRPr="00103A2C" w:rsidRDefault="008E1B42" w:rsidP="00E142DC">
      <w:pPr>
        <w:jc w:val="left"/>
      </w:pPr>
      <w:r w:rsidRPr="008E1B42">
        <w:rPr>
          <w:noProof/>
        </w:rPr>
        <w:drawing>
          <wp:inline distT="0" distB="0" distL="0" distR="0" wp14:anchorId="33B3125C" wp14:editId="7736A69F">
            <wp:extent cx="5585724" cy="2221523"/>
            <wp:effectExtent l="0" t="0" r="0" b="7620"/>
            <wp:docPr id="1548438803"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38803" name="Picture 1" descr="A graph with numbers and lines&#10;&#10;Description automatically generated"/>
                    <pic:cNvPicPr/>
                  </pic:nvPicPr>
                  <pic:blipFill rotWithShape="1">
                    <a:blip r:embed="rId26"/>
                    <a:srcRect l="1303" t="5530" r="3727" b="2816"/>
                    <a:stretch/>
                  </pic:blipFill>
                  <pic:spPr bwMode="auto">
                    <a:xfrm>
                      <a:off x="0" y="0"/>
                      <a:ext cx="5597244" cy="2226105"/>
                    </a:xfrm>
                    <a:prstGeom prst="rect">
                      <a:avLst/>
                    </a:prstGeom>
                    <a:ln>
                      <a:noFill/>
                    </a:ln>
                    <a:extLst>
                      <a:ext uri="{53640926-AAD7-44D8-BBD7-CCE9431645EC}">
                        <a14:shadowObscured xmlns:a14="http://schemas.microsoft.com/office/drawing/2010/main"/>
                      </a:ext>
                    </a:extLst>
                  </pic:spPr>
                </pic:pic>
              </a:graphicData>
            </a:graphic>
          </wp:inline>
        </w:drawing>
      </w:r>
      <w:r w:rsidR="00FE3FDC" w:rsidRPr="00FE3FDC">
        <w:t xml:space="preserve"> </w:t>
      </w:r>
    </w:p>
    <w:p w14:paraId="2610E59A" w14:textId="44DC37AE" w:rsidR="00E142DC" w:rsidRPr="00241176" w:rsidRDefault="00045863" w:rsidP="00B12CFE">
      <w:pPr>
        <w:pStyle w:val="Note"/>
      </w:pPr>
      <w:r>
        <w:t>Note:</w:t>
      </w:r>
      <w:r w:rsidR="00AC4151">
        <w:t xml:space="preserve"> </w:t>
      </w:r>
      <w:r w:rsidR="00E142DC" w:rsidRPr="00241176">
        <w:t xml:space="preserve">Gender </w:t>
      </w:r>
      <w:proofErr w:type="gramStart"/>
      <w:r w:rsidR="00E142DC" w:rsidRPr="00241176">
        <w:t>pay</w:t>
      </w:r>
      <w:proofErr w:type="gramEnd"/>
      <w:r w:rsidR="00E142DC" w:rsidRPr="00241176">
        <w:t xml:space="preserve"> gap (GPG) is measured by calculating the difference between the average salary of male and female employees. The GPG figure includes permanent, </w:t>
      </w:r>
      <w:proofErr w:type="gramStart"/>
      <w:r w:rsidR="00E142DC" w:rsidRPr="00241176">
        <w:t>fixed-term</w:t>
      </w:r>
      <w:proofErr w:type="gramEnd"/>
      <w:r w:rsidR="00E142DC" w:rsidRPr="00241176">
        <w:t xml:space="preserve"> and staff on secondment outside the Ministry.</w:t>
      </w:r>
    </w:p>
    <w:p w14:paraId="7145065B" w14:textId="77777777" w:rsidR="00E142DC" w:rsidRPr="00103A2C" w:rsidRDefault="00E142DC" w:rsidP="00E142DC">
      <w:pPr>
        <w:pStyle w:val="Bullet"/>
        <w:numPr>
          <w:ilvl w:val="0"/>
          <w:numId w:val="0"/>
        </w:numPr>
        <w:ind w:left="397"/>
      </w:pPr>
    </w:p>
    <w:p w14:paraId="0011C0DB" w14:textId="77777777" w:rsidR="00E142DC" w:rsidRPr="00103A2C" w:rsidRDefault="00E142DC" w:rsidP="00E142DC">
      <w:pPr>
        <w:pStyle w:val="Figureheading"/>
      </w:pPr>
      <w:bookmarkStart w:id="18" w:name="_Toc188532256"/>
      <w:bookmarkStart w:id="19" w:name="_Toc118454289"/>
      <w:r w:rsidRPr="00103A2C">
        <w:lastRenderedPageBreak/>
        <w:t xml:space="preserve">Figure 2: </w:t>
      </w:r>
      <w:r w:rsidRPr="00103A2C">
        <w:tab/>
        <w:t>Average Ministry for the Environment salaries by gender and ethnicity</w:t>
      </w:r>
      <w:bookmarkEnd w:id="18"/>
      <w:r w:rsidRPr="00103A2C">
        <w:rPr>
          <w:rFonts w:eastAsia="Times New Roman"/>
        </w:rPr>
        <w:t xml:space="preserve"> </w:t>
      </w:r>
      <w:bookmarkEnd w:id="19"/>
    </w:p>
    <w:p w14:paraId="44204556" w14:textId="5D44DFE5" w:rsidR="00E142DC" w:rsidRPr="00103A2C" w:rsidRDefault="002E67C5" w:rsidP="00E142DC">
      <w:pPr>
        <w:pStyle w:val="BodyText"/>
      </w:pPr>
      <w:r w:rsidRPr="002E67C5">
        <w:rPr>
          <w:noProof/>
        </w:rPr>
        <w:drawing>
          <wp:inline distT="0" distB="0" distL="0" distR="0" wp14:anchorId="36BBB6B8" wp14:editId="7AB67243">
            <wp:extent cx="5298831" cy="2385647"/>
            <wp:effectExtent l="0" t="0" r="0" b="0"/>
            <wp:docPr id="313248862"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248862" name="Picture 1" descr="A screenshot of a graph&#10;&#10;Description automatically generated"/>
                    <pic:cNvPicPr/>
                  </pic:nvPicPr>
                  <pic:blipFill rotWithShape="1">
                    <a:blip r:embed="rId27"/>
                    <a:srcRect l="651" t="2096" r="1211" b="3106"/>
                    <a:stretch/>
                  </pic:blipFill>
                  <pic:spPr bwMode="auto">
                    <a:xfrm>
                      <a:off x="0" y="0"/>
                      <a:ext cx="5300091" cy="2386214"/>
                    </a:xfrm>
                    <a:prstGeom prst="rect">
                      <a:avLst/>
                    </a:prstGeom>
                    <a:ln>
                      <a:noFill/>
                    </a:ln>
                    <a:extLst>
                      <a:ext uri="{53640926-AAD7-44D8-BBD7-CCE9431645EC}">
                        <a14:shadowObscured xmlns:a14="http://schemas.microsoft.com/office/drawing/2010/main"/>
                      </a:ext>
                    </a:extLst>
                  </pic:spPr>
                </pic:pic>
              </a:graphicData>
            </a:graphic>
          </wp:inline>
        </w:drawing>
      </w:r>
      <w:r w:rsidRPr="002E67C5">
        <w:t xml:space="preserve"> </w:t>
      </w:r>
    </w:p>
    <w:p w14:paraId="0DF31B25" w14:textId="447F880C" w:rsidR="00E142DC" w:rsidRDefault="00AC4151" w:rsidP="005D23E8">
      <w:pPr>
        <w:pStyle w:val="Source"/>
      </w:pPr>
      <w:r>
        <w:t>Note</w:t>
      </w:r>
      <w:r w:rsidR="00E142DC" w:rsidRPr="00103A2C">
        <w:t>: Pacific Peoples and MELAA have not been split out by gender due to low numbers</w:t>
      </w:r>
      <w:r w:rsidR="00E142DC">
        <w:t xml:space="preserve"> compromising confidentiality</w:t>
      </w:r>
      <w:r w:rsidR="00E142DC" w:rsidRPr="00103A2C">
        <w:t xml:space="preserve"> (2</w:t>
      </w:r>
      <w:r w:rsidR="00E75752">
        <w:t xml:space="preserve"> per cent</w:t>
      </w:r>
      <w:r w:rsidR="00E142DC" w:rsidRPr="00103A2C">
        <w:t xml:space="preserve"> share of workforce per group).</w:t>
      </w:r>
    </w:p>
    <w:p w14:paraId="27CF0A35" w14:textId="77777777" w:rsidR="008C4A36" w:rsidRPr="008C4A36" w:rsidRDefault="008C4A36" w:rsidP="005E744D"/>
    <w:p w14:paraId="4265060D" w14:textId="77777777" w:rsidR="00E142DC" w:rsidRPr="00103A2C" w:rsidRDefault="00E142DC" w:rsidP="00E142DC">
      <w:pPr>
        <w:pStyle w:val="Figureheading"/>
      </w:pPr>
      <w:bookmarkStart w:id="20" w:name="_Toc118454290"/>
      <w:bookmarkStart w:id="21" w:name="_Toc188532257"/>
      <w:r w:rsidRPr="00103A2C">
        <w:t xml:space="preserve">Figure 3: </w:t>
      </w:r>
      <w:r w:rsidRPr="00103A2C">
        <w:tab/>
        <w:t>Ethnic pay gaps compared to the public sector average</w:t>
      </w:r>
      <w:bookmarkEnd w:id="20"/>
      <w:r w:rsidRPr="00103A2C">
        <w:t xml:space="preserve"> </w:t>
      </w:r>
      <w:bookmarkEnd w:id="21"/>
    </w:p>
    <w:p w14:paraId="38A5EF9F" w14:textId="63874F9C" w:rsidR="00E142DC" w:rsidRPr="00103A2C" w:rsidRDefault="00302F23" w:rsidP="00E142DC">
      <w:pPr>
        <w:pStyle w:val="BodyText"/>
      </w:pPr>
      <w:r w:rsidRPr="00302F23">
        <w:rPr>
          <w:noProof/>
        </w:rPr>
        <w:drawing>
          <wp:inline distT="0" distB="0" distL="0" distR="0" wp14:anchorId="5E6DB524" wp14:editId="63EB5B9C">
            <wp:extent cx="5298440" cy="3136701"/>
            <wp:effectExtent l="0" t="0" r="0" b="6985"/>
            <wp:docPr id="1774024352" name="Picture 1" descr="A graph of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24352" name="Picture 1" descr="A graph of a number of people&#10;&#10;Description automatically generated"/>
                    <pic:cNvPicPr/>
                  </pic:nvPicPr>
                  <pic:blipFill>
                    <a:blip r:embed="rId28"/>
                    <a:stretch>
                      <a:fillRect/>
                    </a:stretch>
                  </pic:blipFill>
                  <pic:spPr>
                    <a:xfrm>
                      <a:off x="0" y="0"/>
                      <a:ext cx="5303496" cy="3139694"/>
                    </a:xfrm>
                    <a:prstGeom prst="rect">
                      <a:avLst/>
                    </a:prstGeom>
                  </pic:spPr>
                </pic:pic>
              </a:graphicData>
            </a:graphic>
          </wp:inline>
        </w:drawing>
      </w:r>
      <w:r w:rsidRPr="00302F23">
        <w:t xml:space="preserve"> </w:t>
      </w:r>
    </w:p>
    <w:p w14:paraId="79EAFA62" w14:textId="64962E52" w:rsidR="00E142DC" w:rsidRPr="00241176" w:rsidRDefault="00101657" w:rsidP="001C4BD9">
      <w:pPr>
        <w:pStyle w:val="Note"/>
        <w:rPr>
          <w:rFonts w:eastAsia="Yu Mincho"/>
        </w:rPr>
      </w:pPr>
      <w:r>
        <w:rPr>
          <w:rFonts w:eastAsia="Yu Mincho"/>
        </w:rPr>
        <w:t xml:space="preserve">Note: </w:t>
      </w:r>
      <w:r w:rsidR="00E142DC" w:rsidRPr="00241176">
        <w:rPr>
          <w:rFonts w:eastAsia="Yu Mincho"/>
        </w:rPr>
        <w:t>Ethnic pay gaps (EPG) are measured by calculating the difference between the average salary of European and non-European employees. The EPG is calculated using all ethnicities that an employee has declared (for example, if they have declared both Māori and European, they will contribute to the average for both ethnicities).</w:t>
      </w:r>
      <w:r>
        <w:rPr>
          <w:rFonts w:eastAsia="Yu Mincho"/>
        </w:rPr>
        <w:t xml:space="preserve"> </w:t>
      </w:r>
      <w:r w:rsidR="00E142DC" w:rsidRPr="00241176">
        <w:rPr>
          <w:rFonts w:eastAsia="Yu Mincho"/>
        </w:rPr>
        <w:t xml:space="preserve">The EPG figure includes permanent, </w:t>
      </w:r>
      <w:proofErr w:type="gramStart"/>
      <w:r w:rsidR="00E142DC" w:rsidRPr="00241176">
        <w:rPr>
          <w:rFonts w:eastAsia="Yu Mincho"/>
        </w:rPr>
        <w:t>fixed-term</w:t>
      </w:r>
      <w:proofErr w:type="gramEnd"/>
      <w:r w:rsidR="00E142DC" w:rsidRPr="00241176">
        <w:rPr>
          <w:rFonts w:eastAsia="Yu Mincho"/>
        </w:rPr>
        <w:t xml:space="preserve"> and staff on secondment outside the Ministry.</w:t>
      </w:r>
      <w:r w:rsidR="007105C2">
        <w:rPr>
          <w:rFonts w:eastAsia="Yu Mincho"/>
        </w:rPr>
        <w:t xml:space="preserve"> </w:t>
      </w:r>
      <w:r w:rsidR="00E142DC" w:rsidRPr="00241176">
        <w:rPr>
          <w:rFonts w:eastAsia="Yu Mincho"/>
        </w:rPr>
        <w:t xml:space="preserve">For Pacific Peoples’ and MELAA figures it should be noted that figures are based on low employee </w:t>
      </w:r>
      <w:proofErr w:type="gramStart"/>
      <w:r w:rsidR="00E142DC" w:rsidRPr="00241176">
        <w:rPr>
          <w:rFonts w:eastAsia="Yu Mincho"/>
        </w:rPr>
        <w:t>numbers, and</w:t>
      </w:r>
      <w:proofErr w:type="gramEnd"/>
      <w:r w:rsidR="00E142DC" w:rsidRPr="00241176">
        <w:rPr>
          <w:rFonts w:eastAsia="Yu Mincho"/>
        </w:rPr>
        <w:t xml:space="preserve"> therefore are subject to significant fluctuations based on individual movements. </w:t>
      </w:r>
    </w:p>
    <w:p w14:paraId="159C63E6" w14:textId="77777777" w:rsidR="0072578B" w:rsidRDefault="0072578B">
      <w:pPr>
        <w:spacing w:before="0" w:after="200" w:line="276" w:lineRule="auto"/>
        <w:jc w:val="left"/>
        <w:rPr>
          <w:rStyle w:val="Heading1Char"/>
        </w:rPr>
        <w:sectPr w:rsidR="0072578B" w:rsidSect="008A7498">
          <w:footerReference w:type="even" r:id="rId29"/>
          <w:footerReference w:type="default" r:id="rId30"/>
          <w:pgSz w:w="11907" w:h="16840" w:code="9"/>
          <w:pgMar w:top="1134" w:right="1701" w:bottom="1134" w:left="1701" w:header="567" w:footer="567" w:gutter="0"/>
          <w:cols w:space="720"/>
          <w:docGrid w:linePitch="299"/>
        </w:sectPr>
      </w:pPr>
    </w:p>
    <w:p w14:paraId="5690E7BF" w14:textId="707BEC35" w:rsidR="00D84E29" w:rsidRDefault="00CC3297" w:rsidP="00EE02A2">
      <w:pPr>
        <w:pStyle w:val="Heading1"/>
      </w:pPr>
      <w:bookmarkStart w:id="22" w:name="_Toc188532236"/>
      <w:r w:rsidRPr="00CC3297">
        <w:lastRenderedPageBreak/>
        <w:t xml:space="preserve">Kia Toipoto </w:t>
      </w:r>
      <w:r>
        <w:t>–</w:t>
      </w:r>
      <w:r w:rsidRPr="00CC3297">
        <w:t xml:space="preserve"> Public Service Pay Gaps Action Plan 2021–24</w:t>
      </w:r>
      <w:r w:rsidR="00D84E29">
        <w:t xml:space="preserve"> progress and plan</w:t>
      </w:r>
      <w:bookmarkEnd w:id="22"/>
    </w:p>
    <w:p w14:paraId="10175CF6" w14:textId="4B4BC1CB" w:rsidR="00D84E29" w:rsidRDefault="00D84E29" w:rsidP="007547E5">
      <w:pPr>
        <w:pStyle w:val="BodyText"/>
      </w:pPr>
      <w:r>
        <w:t>This section outlines the Ministry’s progress against our existing</w:t>
      </w:r>
      <w:hyperlink r:id="rId31" w:history="1">
        <w:r w:rsidRPr="00F61D15">
          <w:rPr>
            <w:rStyle w:val="Hyperlink"/>
            <w:i/>
            <w:iCs/>
          </w:rPr>
          <w:t xml:space="preserve"> </w:t>
        </w:r>
        <w:r w:rsidR="007547E5" w:rsidRPr="00F61D15">
          <w:rPr>
            <w:rStyle w:val="Hyperlink"/>
            <w:i/>
            <w:iCs/>
          </w:rPr>
          <w:t>Gender and ethnic pay gaps action plan</w:t>
        </w:r>
      </w:hyperlink>
      <w:r>
        <w:t xml:space="preserve">. Due to the significant demands of the organisational change process which spanned the reporting period, and the change to our structure which took effect on </w:t>
      </w:r>
      <w:r w:rsidRPr="00B13975">
        <w:t>1 November 2024</w:t>
      </w:r>
      <w:r>
        <w:t xml:space="preserve">, we have been limited in our ability to consult with our people on our </w:t>
      </w:r>
      <w:r w:rsidR="008230FE" w:rsidRPr="008230FE">
        <w:t>Gender and ethnic pay gaps action plan</w:t>
      </w:r>
      <w:r w:rsidRPr="008230FE">
        <w:t>,</w:t>
      </w:r>
      <w:r>
        <w:t xml:space="preserve"> as is our normal practice</w:t>
      </w:r>
      <w:r w:rsidRPr="00B13975">
        <w:t xml:space="preserve">. </w:t>
      </w:r>
    </w:p>
    <w:p w14:paraId="6B560349" w14:textId="4F694CC8" w:rsidR="00D84E29" w:rsidRDefault="00D84E29" w:rsidP="00EE02A2">
      <w:pPr>
        <w:pStyle w:val="BodyText"/>
      </w:pPr>
      <w:r>
        <w:t>As we move out of change, the Ministry will reset the focus</w:t>
      </w:r>
      <w:r w:rsidR="00B00260">
        <w:t xml:space="preserve"> on</w:t>
      </w:r>
      <w:r w:rsidR="009F476D">
        <w:t>to</w:t>
      </w:r>
      <w:r>
        <w:t xml:space="preserve"> </w:t>
      </w:r>
      <w:r w:rsidR="00B00260">
        <w:t xml:space="preserve">Tui Raumata, our </w:t>
      </w:r>
      <w:r w:rsidR="00366727" w:rsidRPr="00366727">
        <w:t>Diversity, Equity and Inclusion Strategy</w:t>
      </w:r>
      <w:r>
        <w:t xml:space="preserve">, in the second half of the financial year. This will involve engagement and consultation with our people, particularly our </w:t>
      </w:r>
      <w:r w:rsidR="00B00260">
        <w:t>e</w:t>
      </w:r>
      <w:r>
        <w:t>mployee-</w:t>
      </w:r>
      <w:r w:rsidR="00B00260">
        <w:t>l</w:t>
      </w:r>
      <w:r>
        <w:t xml:space="preserve">ed </w:t>
      </w:r>
      <w:r w:rsidR="00B00260">
        <w:t>n</w:t>
      </w:r>
      <w:r>
        <w:t xml:space="preserve">etworks and the PSA, and the setting of targets, actions and deliverables to address pay gaps and identified priorities to improve diversity, equity and inclusion. </w:t>
      </w:r>
      <w:r w:rsidRPr="00B13975">
        <w:t xml:space="preserve"> </w:t>
      </w:r>
    </w:p>
    <w:p w14:paraId="1F0E58C3" w14:textId="0D6C040D" w:rsidR="00375744" w:rsidRPr="00F93AC2" w:rsidRDefault="00375744" w:rsidP="00F61D15">
      <w:pPr>
        <w:pStyle w:val="Tableheading"/>
      </w:pPr>
      <w:bookmarkStart w:id="23" w:name="_Toc188532250"/>
      <w:r w:rsidRPr="00F93AC2">
        <w:t xml:space="preserve">Table 2: </w:t>
      </w:r>
      <w:r w:rsidRPr="00F93AC2">
        <w:tab/>
        <w:t xml:space="preserve">Ministry for the Environment </w:t>
      </w:r>
      <w:r w:rsidR="00C901F3" w:rsidRPr="00F93AC2">
        <w:t xml:space="preserve">Kia Toipoto progress as </w:t>
      </w:r>
      <w:proofErr w:type="gramStart"/>
      <w:r w:rsidR="00C901F3" w:rsidRPr="00F93AC2">
        <w:t>at</w:t>
      </w:r>
      <w:proofErr w:type="gramEnd"/>
      <w:r w:rsidR="00C901F3" w:rsidRPr="00F93AC2">
        <w:t xml:space="preserve"> 30 June 2024</w:t>
      </w:r>
      <w:bookmarkEnd w:id="23"/>
    </w:p>
    <w:tbl>
      <w:tblPr>
        <w:tblW w:w="5000" w:type="pct"/>
        <w:tblBorders>
          <w:top w:val="single" w:sz="4" w:space="0" w:color="1C556C" w:themeColor="accent1"/>
          <w:bottom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914"/>
        <w:gridCol w:w="5829"/>
        <w:gridCol w:w="5829"/>
      </w:tblGrid>
      <w:tr w:rsidR="008D5265" w:rsidRPr="008D5265" w14:paraId="5B4AFCC6" w14:textId="77777777" w:rsidTr="00F27E6D">
        <w:trPr>
          <w:tblHeader/>
        </w:trPr>
        <w:tc>
          <w:tcPr>
            <w:tcW w:w="1000" w:type="pct"/>
            <w:shd w:val="clear" w:color="auto" w:fill="1C556C" w:themeFill="accent1"/>
          </w:tcPr>
          <w:p w14:paraId="5DC8F104" w14:textId="77777777" w:rsidR="00D84E29" w:rsidRPr="003267E1" w:rsidRDefault="00D84E29" w:rsidP="003267E1">
            <w:pPr>
              <w:pStyle w:val="TableTextbold"/>
              <w:rPr>
                <w:color w:val="FFFFFF" w:themeColor="background1"/>
              </w:rPr>
            </w:pPr>
            <w:r w:rsidRPr="003267E1">
              <w:rPr>
                <w:color w:val="FFFFFF" w:themeColor="background1"/>
              </w:rPr>
              <w:t>Focus area</w:t>
            </w:r>
          </w:p>
        </w:tc>
        <w:tc>
          <w:tcPr>
            <w:tcW w:w="2000" w:type="pct"/>
            <w:shd w:val="clear" w:color="auto" w:fill="1C556C" w:themeFill="accent1"/>
          </w:tcPr>
          <w:p w14:paraId="00D31D12" w14:textId="77777777" w:rsidR="00D84E29" w:rsidRPr="003267E1" w:rsidRDefault="00D84E29" w:rsidP="003267E1">
            <w:pPr>
              <w:pStyle w:val="TableTextbold"/>
              <w:rPr>
                <w:color w:val="FFFFFF" w:themeColor="background1"/>
              </w:rPr>
            </w:pPr>
            <w:r w:rsidRPr="003267E1">
              <w:rPr>
                <w:color w:val="FFFFFF" w:themeColor="background1"/>
              </w:rPr>
              <w:t>Current state</w:t>
            </w:r>
          </w:p>
        </w:tc>
        <w:tc>
          <w:tcPr>
            <w:tcW w:w="2000" w:type="pct"/>
            <w:shd w:val="clear" w:color="auto" w:fill="1C556C" w:themeFill="accent1"/>
          </w:tcPr>
          <w:p w14:paraId="3E0EDD42" w14:textId="77777777" w:rsidR="00D84E29" w:rsidRPr="003267E1" w:rsidRDefault="00D84E29" w:rsidP="003267E1">
            <w:pPr>
              <w:pStyle w:val="TableTextbold"/>
              <w:rPr>
                <w:color w:val="FFFFFF" w:themeColor="background1"/>
              </w:rPr>
            </w:pPr>
            <w:r w:rsidRPr="003267E1">
              <w:rPr>
                <w:color w:val="FFFFFF" w:themeColor="background1"/>
              </w:rPr>
              <w:t>Outcomes</w:t>
            </w:r>
          </w:p>
        </w:tc>
      </w:tr>
      <w:tr w:rsidR="00D84E29" w:rsidRPr="007233E2" w14:paraId="24E48F7D" w14:textId="77777777" w:rsidTr="008D5265">
        <w:trPr>
          <w:trHeight w:val="753"/>
        </w:trPr>
        <w:tc>
          <w:tcPr>
            <w:tcW w:w="1000" w:type="pct"/>
            <w:shd w:val="clear" w:color="auto" w:fill="auto"/>
          </w:tcPr>
          <w:p w14:paraId="66D02E64" w14:textId="77777777" w:rsidR="00D84E29" w:rsidRPr="007928A2" w:rsidRDefault="00D84E29" w:rsidP="00043080">
            <w:pPr>
              <w:pStyle w:val="TableText"/>
              <w:rPr>
                <w:szCs w:val="18"/>
              </w:rPr>
            </w:pPr>
            <w:r w:rsidRPr="007928A2">
              <w:rPr>
                <w:szCs w:val="18"/>
              </w:rPr>
              <w:t>Te pono – Transparency</w:t>
            </w:r>
          </w:p>
        </w:tc>
        <w:tc>
          <w:tcPr>
            <w:tcW w:w="2000" w:type="pct"/>
            <w:shd w:val="clear" w:color="auto" w:fill="auto"/>
          </w:tcPr>
          <w:p w14:paraId="5B9092D6" w14:textId="3280F245" w:rsidR="00D84E29" w:rsidRPr="007928A2" w:rsidRDefault="00D84E29" w:rsidP="00043080">
            <w:pPr>
              <w:pStyle w:val="TableText"/>
              <w:rPr>
                <w:szCs w:val="18"/>
              </w:rPr>
            </w:pPr>
            <w:r w:rsidRPr="007928A2">
              <w:rPr>
                <w:szCs w:val="18"/>
              </w:rPr>
              <w:t xml:space="preserve">We have published a pay gaps action plan for the last three years. We included ethnicity for the first time in the 2021/22 </w:t>
            </w:r>
            <w:r w:rsidR="00AB5D9D">
              <w:rPr>
                <w:szCs w:val="18"/>
              </w:rPr>
              <w:t>p</w:t>
            </w:r>
            <w:r w:rsidR="00AB5D9D" w:rsidRPr="007928A2">
              <w:rPr>
                <w:szCs w:val="18"/>
              </w:rPr>
              <w:t>lan</w:t>
            </w:r>
            <w:r w:rsidRPr="007928A2">
              <w:rPr>
                <w:szCs w:val="18"/>
              </w:rPr>
              <w:t xml:space="preserve">. </w:t>
            </w:r>
          </w:p>
          <w:p w14:paraId="545DF3C8" w14:textId="17DB1A9C" w:rsidR="00D84E29" w:rsidRPr="007928A2" w:rsidRDefault="00D84E29" w:rsidP="00043080">
            <w:pPr>
              <w:pStyle w:val="TableText"/>
              <w:rPr>
                <w:szCs w:val="18"/>
              </w:rPr>
            </w:pPr>
            <w:r w:rsidRPr="007928A2">
              <w:rPr>
                <w:szCs w:val="18"/>
              </w:rPr>
              <w:t>Policy, guidelines and remuneration bands are published on our intranet, remuneration bands are published in the collective agreement</w:t>
            </w:r>
            <w:r w:rsidR="00C6526A">
              <w:rPr>
                <w:szCs w:val="18"/>
              </w:rPr>
              <w:t xml:space="preserve"> and</w:t>
            </w:r>
            <w:r w:rsidRPr="007928A2">
              <w:rPr>
                <w:szCs w:val="18"/>
              </w:rPr>
              <w:t xml:space="preserve"> all advertised roles have transparent salary ranges.</w:t>
            </w:r>
          </w:p>
        </w:tc>
        <w:tc>
          <w:tcPr>
            <w:tcW w:w="2000" w:type="pct"/>
            <w:shd w:val="clear" w:color="auto" w:fill="auto"/>
          </w:tcPr>
          <w:p w14:paraId="335E29E8" w14:textId="4B988878" w:rsidR="00D84E29" w:rsidRPr="007928A2" w:rsidRDefault="00D84E29" w:rsidP="00043080">
            <w:pPr>
              <w:pStyle w:val="TableText"/>
              <w:rPr>
                <w:szCs w:val="18"/>
              </w:rPr>
            </w:pPr>
            <w:r w:rsidRPr="007928A2">
              <w:rPr>
                <w:szCs w:val="18"/>
              </w:rPr>
              <w:t>Our employees and prospective employees have access to fully transparent pay</w:t>
            </w:r>
            <w:r w:rsidR="00F83924">
              <w:rPr>
                <w:szCs w:val="18"/>
              </w:rPr>
              <w:t>-</w:t>
            </w:r>
            <w:r w:rsidRPr="007928A2">
              <w:rPr>
                <w:szCs w:val="18"/>
              </w:rPr>
              <w:t>band information and visibility of pay gaps that exist</w:t>
            </w:r>
            <w:r w:rsidR="00F83924">
              <w:rPr>
                <w:szCs w:val="18"/>
              </w:rPr>
              <w:t>,</w:t>
            </w:r>
            <w:r w:rsidRPr="007928A2">
              <w:rPr>
                <w:szCs w:val="18"/>
              </w:rPr>
              <w:t xml:space="preserve"> along with information about what the organisation is doing to reduce these.</w:t>
            </w:r>
          </w:p>
          <w:p w14:paraId="3E7A727D" w14:textId="2C58F5D5" w:rsidR="00D84E29" w:rsidRPr="007928A2" w:rsidRDefault="00D84E29" w:rsidP="00043080">
            <w:pPr>
              <w:pStyle w:val="TableText"/>
              <w:rPr>
                <w:szCs w:val="18"/>
              </w:rPr>
            </w:pPr>
            <w:r w:rsidRPr="007928A2">
              <w:rPr>
                <w:szCs w:val="18"/>
              </w:rPr>
              <w:t xml:space="preserve">Our employees feel more empowered to discuss their pay with their </w:t>
            </w:r>
            <w:proofErr w:type="gramStart"/>
            <w:r w:rsidRPr="007928A2">
              <w:rPr>
                <w:szCs w:val="18"/>
              </w:rPr>
              <w:t xml:space="preserve">managers, </w:t>
            </w:r>
            <w:r w:rsidR="005123C7">
              <w:rPr>
                <w:szCs w:val="18"/>
              </w:rPr>
              <w:t>and</w:t>
            </w:r>
            <w:proofErr w:type="gramEnd"/>
            <w:r w:rsidR="005123C7">
              <w:rPr>
                <w:szCs w:val="18"/>
              </w:rPr>
              <w:t xml:space="preserve"> </w:t>
            </w:r>
            <w:r w:rsidRPr="007928A2">
              <w:rPr>
                <w:szCs w:val="18"/>
              </w:rPr>
              <w:t>understand where they sit within bands and the reasons for remuneration decisions.</w:t>
            </w:r>
          </w:p>
          <w:p w14:paraId="7A86EAA4" w14:textId="35B84D78" w:rsidR="00D84E29" w:rsidRPr="007928A2" w:rsidRDefault="00D84E29" w:rsidP="00043080">
            <w:pPr>
              <w:pStyle w:val="TableText"/>
              <w:rPr>
                <w:szCs w:val="18"/>
              </w:rPr>
            </w:pPr>
            <w:r w:rsidRPr="007928A2">
              <w:rPr>
                <w:szCs w:val="18"/>
              </w:rPr>
              <w:t>Our Tō Reo</w:t>
            </w:r>
            <w:r w:rsidR="00606487">
              <w:rPr>
                <w:szCs w:val="18"/>
              </w:rPr>
              <w:t xml:space="preserve"> </w:t>
            </w:r>
            <w:r w:rsidR="00315035">
              <w:rPr>
                <w:szCs w:val="18"/>
              </w:rPr>
              <w:t>(</w:t>
            </w:r>
            <w:r w:rsidR="0003541E">
              <w:t>employee</w:t>
            </w:r>
            <w:r w:rsidR="00315035">
              <w:t>-</w:t>
            </w:r>
            <w:r w:rsidR="0003541E">
              <w:t>engagement</w:t>
            </w:r>
            <w:r w:rsidR="00315035">
              <w:t xml:space="preserve"> </w:t>
            </w:r>
            <w:r w:rsidR="0003541E">
              <w:t>survey</w:t>
            </w:r>
            <w:r w:rsidR="00315035">
              <w:t>)</w:t>
            </w:r>
            <w:r w:rsidR="0003541E">
              <w:t xml:space="preserve"> </w:t>
            </w:r>
            <w:r w:rsidRPr="007928A2">
              <w:rPr>
                <w:szCs w:val="18"/>
              </w:rPr>
              <w:t>measures related to remuneration and reward transparency improve.</w:t>
            </w:r>
          </w:p>
        </w:tc>
      </w:tr>
      <w:tr w:rsidR="00B50462" w:rsidRPr="007233E2" w14:paraId="6F60DA4C" w14:textId="77777777" w:rsidTr="008D5265">
        <w:tc>
          <w:tcPr>
            <w:tcW w:w="1000" w:type="pct"/>
            <w:shd w:val="clear" w:color="auto" w:fill="auto"/>
          </w:tcPr>
          <w:p w14:paraId="777BEDD7" w14:textId="05248A80" w:rsidR="00B50462" w:rsidRPr="007928A2" w:rsidRDefault="00B50462" w:rsidP="00457247">
            <w:pPr>
              <w:pStyle w:val="TableText"/>
            </w:pPr>
            <w:r w:rsidRPr="007233E2">
              <w:t>Ngā hua tōkeke mō te utu – Equitable pay outcomes</w:t>
            </w:r>
          </w:p>
        </w:tc>
        <w:tc>
          <w:tcPr>
            <w:tcW w:w="2000" w:type="pct"/>
            <w:shd w:val="clear" w:color="auto" w:fill="auto"/>
          </w:tcPr>
          <w:p w14:paraId="65E2015A" w14:textId="77777777" w:rsidR="00B50462" w:rsidRPr="007233E2" w:rsidRDefault="00B50462" w:rsidP="00457247">
            <w:pPr>
              <w:pStyle w:val="TableText"/>
            </w:pPr>
            <w:r w:rsidRPr="007233E2">
              <w:t xml:space="preserve">All advertised roles include transparent salary ranges (with starting salary influenced by negotiation and internal relativities). </w:t>
            </w:r>
          </w:p>
          <w:p w14:paraId="2A5AC405" w14:textId="388540A1" w:rsidR="00B50462" w:rsidRPr="007233E2" w:rsidRDefault="00DA410C" w:rsidP="00457247">
            <w:pPr>
              <w:pStyle w:val="TableText"/>
            </w:pPr>
            <w:r>
              <w:t>We d</w:t>
            </w:r>
            <w:r w:rsidR="00B50462" w:rsidRPr="007233E2">
              <w:t xml:space="preserve">esigned </w:t>
            </w:r>
            <w:r>
              <w:t xml:space="preserve">a </w:t>
            </w:r>
            <w:r w:rsidR="00B50462" w:rsidRPr="007233E2">
              <w:t>starting</w:t>
            </w:r>
            <w:r>
              <w:t>-</w:t>
            </w:r>
            <w:r w:rsidR="00B50462" w:rsidRPr="007233E2">
              <w:t>salary calculator</w:t>
            </w:r>
            <w:r w:rsidR="00523CFB">
              <w:t>,</w:t>
            </w:r>
            <w:r w:rsidR="00B50462" w:rsidRPr="007233E2">
              <w:t xml:space="preserve"> with the intention of reducing bias at point of entry – this required further work to ensure it is properly benchmarked.</w:t>
            </w:r>
          </w:p>
          <w:p w14:paraId="771EC3FD" w14:textId="40F2E8B5" w:rsidR="00B50462" w:rsidRPr="007233E2" w:rsidRDefault="00FE6D40" w:rsidP="00457247">
            <w:pPr>
              <w:pStyle w:val="TableText"/>
            </w:pPr>
            <w:r>
              <w:lastRenderedPageBreak/>
              <w:t>We i</w:t>
            </w:r>
            <w:r w:rsidR="00B50462" w:rsidRPr="007233E2">
              <w:t xml:space="preserve">nserted </w:t>
            </w:r>
            <w:r>
              <w:t xml:space="preserve">a </w:t>
            </w:r>
            <w:r w:rsidR="00B50462" w:rsidRPr="007233E2">
              <w:t xml:space="preserve">step in </w:t>
            </w:r>
            <w:r>
              <w:t xml:space="preserve">our </w:t>
            </w:r>
            <w:r w:rsidR="00B50462" w:rsidRPr="007233E2">
              <w:t xml:space="preserve">recruitment process for </w:t>
            </w:r>
            <w:r>
              <w:t>h</w:t>
            </w:r>
            <w:r w:rsidR="00B50462" w:rsidRPr="007233E2">
              <w:t xml:space="preserve">iring </w:t>
            </w:r>
            <w:r>
              <w:t>m</w:t>
            </w:r>
            <w:r w:rsidR="00B50462" w:rsidRPr="007233E2">
              <w:t xml:space="preserve">anagers to discuss internal relativities at point of salary negotiation with </w:t>
            </w:r>
            <w:r>
              <w:t>b</w:t>
            </w:r>
            <w:r w:rsidR="00B50462" w:rsidRPr="007233E2">
              <w:t xml:space="preserve">usiness </w:t>
            </w:r>
            <w:r>
              <w:t>p</w:t>
            </w:r>
            <w:r w:rsidR="00B50462" w:rsidRPr="007233E2">
              <w:t>artners/</w:t>
            </w:r>
            <w:r>
              <w:t>a</w:t>
            </w:r>
            <w:r w:rsidR="00B50462" w:rsidRPr="007233E2">
              <w:t>dvisors</w:t>
            </w:r>
            <w:r>
              <w:t>.</w:t>
            </w:r>
          </w:p>
          <w:p w14:paraId="7251A862" w14:textId="5526244D" w:rsidR="00B50462" w:rsidRPr="007233E2" w:rsidRDefault="00B0437F" w:rsidP="00457247">
            <w:pPr>
              <w:pStyle w:val="TableText"/>
            </w:pPr>
            <w:r>
              <w:t>We have r</w:t>
            </w:r>
            <w:r w:rsidR="00B50462" w:rsidRPr="007233E2">
              <w:t xml:space="preserve">egular six-monthly reporting across bands and business groups, </w:t>
            </w:r>
            <w:r>
              <w:t>reviewed</w:t>
            </w:r>
            <w:r w:rsidRPr="007233E2">
              <w:t xml:space="preserve"> </w:t>
            </w:r>
            <w:r w:rsidR="00B50462" w:rsidRPr="007233E2">
              <w:t>annually in line with remuneration review.</w:t>
            </w:r>
          </w:p>
          <w:p w14:paraId="686046AA" w14:textId="736DDF24" w:rsidR="00B50462" w:rsidRPr="007928A2" w:rsidRDefault="00B50462" w:rsidP="00457247">
            <w:pPr>
              <w:pStyle w:val="TableText"/>
            </w:pPr>
            <w:r w:rsidRPr="007233E2">
              <w:t xml:space="preserve">Pay equity processes </w:t>
            </w:r>
            <w:r w:rsidR="00B0437F">
              <w:t xml:space="preserve">are </w:t>
            </w:r>
            <w:r w:rsidRPr="007233E2">
              <w:t>followed when a claim is made</w:t>
            </w:r>
            <w:r w:rsidR="00B0437F">
              <w:t xml:space="preserve">, </w:t>
            </w:r>
            <w:r w:rsidRPr="007233E2">
              <w:t xml:space="preserve">as outlined by </w:t>
            </w:r>
            <w:r w:rsidR="004B584F" w:rsidRPr="004B584F">
              <w:t>Te Kawa Mataaho Public Service Commission</w:t>
            </w:r>
            <w:r w:rsidRPr="007233E2">
              <w:t>.</w:t>
            </w:r>
          </w:p>
        </w:tc>
        <w:tc>
          <w:tcPr>
            <w:tcW w:w="2000" w:type="pct"/>
            <w:shd w:val="clear" w:color="auto" w:fill="auto"/>
          </w:tcPr>
          <w:p w14:paraId="7278F5AB" w14:textId="59166DF9" w:rsidR="00B50462" w:rsidRPr="007233E2" w:rsidRDefault="00B50462" w:rsidP="00457247">
            <w:pPr>
              <w:pStyle w:val="TableText"/>
            </w:pPr>
            <w:r w:rsidRPr="007233E2">
              <w:lastRenderedPageBreak/>
              <w:t xml:space="preserve">Pay gaps within bands will reduce (below </w:t>
            </w:r>
            <w:r w:rsidR="00C4680F">
              <w:t>four</w:t>
            </w:r>
            <w:r w:rsidR="00C4680F" w:rsidRPr="007233E2">
              <w:t xml:space="preserve"> </w:t>
            </w:r>
            <w:r w:rsidRPr="007233E2">
              <w:t>per cent tolerance by June 2024).</w:t>
            </w:r>
          </w:p>
          <w:p w14:paraId="25759004" w14:textId="4C85DA13" w:rsidR="00B50462" w:rsidRPr="007233E2" w:rsidRDefault="00B50462" w:rsidP="00457247">
            <w:pPr>
              <w:pStyle w:val="TableText"/>
            </w:pPr>
            <w:r w:rsidRPr="007233E2">
              <w:t xml:space="preserve">Hiring </w:t>
            </w:r>
            <w:r w:rsidR="00C4680F">
              <w:t>m</w:t>
            </w:r>
            <w:r w:rsidRPr="007233E2">
              <w:t>anagers will be supported to make remuneration decisions that are not influenced by bias.</w:t>
            </w:r>
          </w:p>
          <w:p w14:paraId="5083E7CF" w14:textId="2A22BCB3" w:rsidR="00B50462" w:rsidRPr="007928A2" w:rsidRDefault="00B50462" w:rsidP="00457247">
            <w:pPr>
              <w:pStyle w:val="TableText"/>
            </w:pPr>
            <w:r w:rsidRPr="007233E2">
              <w:t>Identified within-band pay gaps are picked up through ongoing analysis and remedial actions recommended where appropriate.</w:t>
            </w:r>
          </w:p>
        </w:tc>
      </w:tr>
      <w:tr w:rsidR="007D198B" w:rsidRPr="007233E2" w14:paraId="5B9164F0" w14:textId="77777777" w:rsidTr="008D5265">
        <w:tc>
          <w:tcPr>
            <w:tcW w:w="1000" w:type="pct"/>
            <w:shd w:val="clear" w:color="auto" w:fill="auto"/>
          </w:tcPr>
          <w:p w14:paraId="32A2034D" w14:textId="5F64D5AC" w:rsidR="007D198B" w:rsidRPr="007928A2" w:rsidRDefault="007D198B" w:rsidP="00457247">
            <w:pPr>
              <w:pStyle w:val="TableText"/>
            </w:pPr>
            <w:r w:rsidRPr="007233E2">
              <w:t>Te whai kanohi ngā taumata katoa – Leadership and representation</w:t>
            </w:r>
          </w:p>
        </w:tc>
        <w:tc>
          <w:tcPr>
            <w:tcW w:w="2000" w:type="pct"/>
            <w:shd w:val="clear" w:color="auto" w:fill="auto"/>
          </w:tcPr>
          <w:p w14:paraId="3A6612EF" w14:textId="15B37F48" w:rsidR="007D198B" w:rsidRPr="007233E2" w:rsidRDefault="007D198B" w:rsidP="00457247">
            <w:pPr>
              <w:pStyle w:val="TableText"/>
            </w:pPr>
            <w:r w:rsidRPr="007233E2">
              <w:t xml:space="preserve">We have set targets via </w:t>
            </w:r>
            <w:r w:rsidR="00ED277D">
              <w:t xml:space="preserve">Tui Raumata, our </w:t>
            </w:r>
            <w:r w:rsidR="00366727" w:rsidRPr="00366727">
              <w:t>Diversity, Equity and Inclusion Strategy</w:t>
            </w:r>
            <w:r w:rsidR="00ED277D">
              <w:t xml:space="preserve">, </w:t>
            </w:r>
            <w:r w:rsidRPr="007233E2">
              <w:t xml:space="preserve">which we are assessing progress against and reporting to leadership </w:t>
            </w:r>
            <w:r w:rsidR="00ED277D">
              <w:t xml:space="preserve">on </w:t>
            </w:r>
            <w:r w:rsidRPr="007233E2">
              <w:t xml:space="preserve">every six months. </w:t>
            </w:r>
          </w:p>
          <w:p w14:paraId="0C657E69" w14:textId="78F1376F" w:rsidR="007D198B" w:rsidRPr="007928A2" w:rsidRDefault="007D198B" w:rsidP="00457247">
            <w:pPr>
              <w:pStyle w:val="TableText"/>
            </w:pPr>
            <w:r w:rsidRPr="007233E2">
              <w:t>We have implemented a six-monthly cycle to monitor progress against targets.</w:t>
            </w:r>
          </w:p>
        </w:tc>
        <w:tc>
          <w:tcPr>
            <w:tcW w:w="2000" w:type="pct"/>
            <w:shd w:val="clear" w:color="auto" w:fill="auto"/>
          </w:tcPr>
          <w:p w14:paraId="58E88AA5" w14:textId="0BD11366" w:rsidR="007D198B" w:rsidRPr="007233E2" w:rsidRDefault="007D198B" w:rsidP="00457247">
            <w:pPr>
              <w:pStyle w:val="TableText"/>
            </w:pPr>
            <w:r w:rsidRPr="007233E2">
              <w:t>Reduced ethnic and gender pay gaps</w:t>
            </w:r>
            <w:r w:rsidR="004E7F61">
              <w:t>,</w:t>
            </w:r>
            <w:r w:rsidRPr="007233E2">
              <w:t xml:space="preserve"> due to the reduction of occupational segregation.</w:t>
            </w:r>
          </w:p>
          <w:p w14:paraId="6C1BB661" w14:textId="73B505EB" w:rsidR="007D198B" w:rsidRPr="007233E2" w:rsidRDefault="0083233C" w:rsidP="00457247">
            <w:pPr>
              <w:pStyle w:val="TableText"/>
            </w:pPr>
            <w:r>
              <w:t>S</w:t>
            </w:r>
            <w:r w:rsidR="007D198B" w:rsidRPr="007233E2">
              <w:t>trong female representation in leadership (Tiers 1</w:t>
            </w:r>
            <w:r w:rsidR="00EE5AF3">
              <w:t xml:space="preserve"> and</w:t>
            </w:r>
            <w:r>
              <w:t xml:space="preserve"> </w:t>
            </w:r>
            <w:r w:rsidR="007D198B" w:rsidRPr="007233E2">
              <w:t>4)</w:t>
            </w:r>
            <w:r>
              <w:t xml:space="preserve"> is maintained</w:t>
            </w:r>
            <w:r w:rsidR="007D198B" w:rsidRPr="007233E2">
              <w:t xml:space="preserve">. </w:t>
            </w:r>
          </w:p>
          <w:p w14:paraId="7E308A4A" w14:textId="4F3F4D6A" w:rsidR="007D198B" w:rsidRPr="007233E2" w:rsidRDefault="0083233C" w:rsidP="00457247">
            <w:pPr>
              <w:pStyle w:val="TableText"/>
            </w:pPr>
            <w:r>
              <w:t>B</w:t>
            </w:r>
            <w:r w:rsidR="007D198B" w:rsidRPr="007233E2">
              <w:t>etter representation of ethnicities across leadership</w:t>
            </w:r>
            <w:r>
              <w:t xml:space="preserve"> is built</w:t>
            </w:r>
            <w:r w:rsidR="007D198B" w:rsidRPr="007233E2">
              <w:t xml:space="preserve">. </w:t>
            </w:r>
          </w:p>
          <w:p w14:paraId="2CAF4907" w14:textId="40F91518" w:rsidR="007D198B" w:rsidRPr="007928A2" w:rsidRDefault="007D198B" w:rsidP="00457247">
            <w:pPr>
              <w:pStyle w:val="TableText"/>
            </w:pPr>
            <w:r w:rsidRPr="007233E2">
              <w:t>A clear method of identifying and supporting future leaders from diverse ethnic backgrounds to fulfil their leadership potential</w:t>
            </w:r>
            <w:r w:rsidR="00F05D20">
              <w:t xml:space="preserve"> exists</w:t>
            </w:r>
            <w:r w:rsidRPr="007233E2">
              <w:t>.</w:t>
            </w:r>
          </w:p>
        </w:tc>
      </w:tr>
      <w:tr w:rsidR="004C1517" w:rsidRPr="007233E2" w14:paraId="0FC84DED" w14:textId="77777777" w:rsidTr="008D5265">
        <w:tc>
          <w:tcPr>
            <w:tcW w:w="1000" w:type="pct"/>
            <w:shd w:val="clear" w:color="auto" w:fill="auto"/>
          </w:tcPr>
          <w:p w14:paraId="07F5233E" w14:textId="657DE889" w:rsidR="004C1517" w:rsidRPr="007928A2" w:rsidRDefault="004C1517" w:rsidP="00457247">
            <w:pPr>
              <w:pStyle w:val="TableText"/>
            </w:pPr>
            <w:r w:rsidRPr="007233E2">
              <w:t>Te whakawhanaketanga i te aramahi – Effective career and leadership development</w:t>
            </w:r>
          </w:p>
        </w:tc>
        <w:tc>
          <w:tcPr>
            <w:tcW w:w="2000" w:type="pct"/>
            <w:shd w:val="clear" w:color="auto" w:fill="auto"/>
          </w:tcPr>
          <w:p w14:paraId="2A4EC183" w14:textId="312E7D14" w:rsidR="004C1517" w:rsidRPr="007233E2" w:rsidRDefault="004C1517" w:rsidP="00457247">
            <w:pPr>
              <w:pStyle w:val="TableText"/>
            </w:pPr>
            <w:r w:rsidRPr="007233E2">
              <w:t>We have launched leadership expectations</w:t>
            </w:r>
            <w:r w:rsidR="00395FAD">
              <w:t>,</w:t>
            </w:r>
            <w:r w:rsidRPr="007233E2">
              <w:t xml:space="preserve"> which begin to set common standards for individual contributors, leaders and senior leaders.</w:t>
            </w:r>
          </w:p>
          <w:p w14:paraId="2A628E17" w14:textId="77777777" w:rsidR="004C1517" w:rsidRPr="007233E2" w:rsidRDefault="004C1517" w:rsidP="00457247">
            <w:pPr>
              <w:pStyle w:val="TableText"/>
            </w:pPr>
            <w:r w:rsidRPr="007233E2">
              <w:t>We have included a diversity lens on our selection panel for Aspiring Leaders and New People Leaders programmes.</w:t>
            </w:r>
          </w:p>
          <w:p w14:paraId="21F1D77B" w14:textId="4A89C29C" w:rsidR="004C1517" w:rsidRPr="007233E2" w:rsidRDefault="004C1517" w:rsidP="00457247">
            <w:pPr>
              <w:pStyle w:val="TableText"/>
            </w:pPr>
            <w:r w:rsidRPr="007233E2">
              <w:t xml:space="preserve">We have commenced design and implementation of a strategic workforce planning approach </w:t>
            </w:r>
            <w:r w:rsidR="00BF4497">
              <w:t>that</w:t>
            </w:r>
            <w:r w:rsidR="00BF4497" w:rsidRPr="007233E2">
              <w:t xml:space="preserve"> </w:t>
            </w:r>
            <w:r w:rsidRPr="007233E2">
              <w:t xml:space="preserve">gives us clarity around the key skills, capabilities and roles the Ministry will need into the future, thereby informing career pathways. </w:t>
            </w:r>
          </w:p>
          <w:p w14:paraId="55E45C54" w14:textId="21FBB21E" w:rsidR="004C1517" w:rsidRPr="007233E2" w:rsidRDefault="004C1517" w:rsidP="00457247">
            <w:pPr>
              <w:pStyle w:val="TableText"/>
            </w:pPr>
            <w:r w:rsidRPr="007233E2">
              <w:t>We support participation in the Te Puni Kōkiri Māori Emerging Leaders</w:t>
            </w:r>
            <w:r w:rsidR="00DE2BAB">
              <w:t xml:space="preserve"> </w:t>
            </w:r>
            <w:r w:rsidRPr="007233E2">
              <w:t xml:space="preserve">Programme. </w:t>
            </w:r>
          </w:p>
          <w:p w14:paraId="6255BBD1" w14:textId="4CA9C23A" w:rsidR="004C1517" w:rsidRPr="007928A2" w:rsidRDefault="004C1517" w:rsidP="00457247">
            <w:pPr>
              <w:pStyle w:val="TableText"/>
            </w:pPr>
            <w:r w:rsidRPr="007233E2">
              <w:t xml:space="preserve">We continue to run a Ministry summer internship programme and are involved in partnership programmes through </w:t>
            </w:r>
            <w:r w:rsidR="0029356E">
              <w:t>i</w:t>
            </w:r>
            <w:r w:rsidR="0029356E" w:rsidRPr="007233E2">
              <w:t xml:space="preserve">wi </w:t>
            </w:r>
            <w:r w:rsidRPr="007233E2">
              <w:t xml:space="preserve">and via the Ministry of Business, Innovation </w:t>
            </w:r>
            <w:r w:rsidR="008B694C">
              <w:t xml:space="preserve">and </w:t>
            </w:r>
            <w:r w:rsidRPr="007233E2">
              <w:t>Employment Tupu Tai programme</w:t>
            </w:r>
            <w:r w:rsidR="0029356E">
              <w:t>,</w:t>
            </w:r>
            <w:r w:rsidRPr="007233E2">
              <w:t xml:space="preserve"> which enables us to access a diverse early career talent pool.</w:t>
            </w:r>
          </w:p>
        </w:tc>
        <w:tc>
          <w:tcPr>
            <w:tcW w:w="2000" w:type="pct"/>
            <w:shd w:val="clear" w:color="auto" w:fill="auto"/>
          </w:tcPr>
          <w:p w14:paraId="6832E994" w14:textId="278D13AC" w:rsidR="004C1517" w:rsidRPr="007233E2" w:rsidRDefault="004C1517" w:rsidP="00457247">
            <w:pPr>
              <w:pStyle w:val="TableText"/>
            </w:pPr>
            <w:r w:rsidRPr="007233E2">
              <w:t>Data and insights relating to development, talent and career allow us to understand whether bias is at play in our career</w:t>
            </w:r>
            <w:r w:rsidR="0029356E">
              <w:t>-</w:t>
            </w:r>
            <w:r w:rsidRPr="007233E2">
              <w:t>development landscape.</w:t>
            </w:r>
          </w:p>
          <w:p w14:paraId="0437C9C1" w14:textId="77777777" w:rsidR="004C1517" w:rsidRPr="007233E2" w:rsidRDefault="004C1517" w:rsidP="00457247">
            <w:pPr>
              <w:pStyle w:val="TableText"/>
            </w:pPr>
            <w:r w:rsidRPr="007233E2">
              <w:t>The leadership cohort is significantly more diverse.</w:t>
            </w:r>
          </w:p>
          <w:p w14:paraId="0E1326E8" w14:textId="6A3876D6" w:rsidR="004C1517" w:rsidRPr="007928A2" w:rsidRDefault="004C1517" w:rsidP="00457247">
            <w:pPr>
              <w:pStyle w:val="TableText"/>
            </w:pPr>
            <w:r w:rsidRPr="007233E2">
              <w:t>Improvements</w:t>
            </w:r>
            <w:r w:rsidR="00891503">
              <w:t xml:space="preserve"> made to</w:t>
            </w:r>
            <w:r w:rsidRPr="007233E2">
              <w:t xml:space="preserve"> our Tō Reo measures relating to career and development across different ethnic populations.</w:t>
            </w:r>
          </w:p>
        </w:tc>
      </w:tr>
      <w:tr w:rsidR="007B17E6" w:rsidRPr="007233E2" w14:paraId="19E25AB2" w14:textId="77777777" w:rsidTr="008D5265">
        <w:tc>
          <w:tcPr>
            <w:tcW w:w="1000" w:type="pct"/>
            <w:shd w:val="clear" w:color="auto" w:fill="auto"/>
          </w:tcPr>
          <w:p w14:paraId="3F36CEBD" w14:textId="41ACA89C" w:rsidR="007B17E6" w:rsidRPr="007928A2" w:rsidRDefault="007B17E6" w:rsidP="00457247">
            <w:pPr>
              <w:pStyle w:val="TableText"/>
            </w:pPr>
            <w:r w:rsidRPr="007233E2">
              <w:lastRenderedPageBreak/>
              <w:t>Te whakakore i te katoa o ngā momo whakatoihara, haukume anō hoki – Eliminating all forms of bias</w:t>
            </w:r>
          </w:p>
        </w:tc>
        <w:tc>
          <w:tcPr>
            <w:tcW w:w="2000" w:type="pct"/>
            <w:shd w:val="clear" w:color="auto" w:fill="auto"/>
          </w:tcPr>
          <w:p w14:paraId="33AA9425" w14:textId="77777777" w:rsidR="00891503" w:rsidRDefault="007B17E6" w:rsidP="00457247">
            <w:pPr>
              <w:pStyle w:val="TableText"/>
            </w:pPr>
            <w:r w:rsidRPr="007233E2">
              <w:t xml:space="preserve">Recruitment process improvements: </w:t>
            </w:r>
          </w:p>
          <w:p w14:paraId="20690A43" w14:textId="2AD4CB9D" w:rsidR="003A79ED" w:rsidRDefault="003A79ED" w:rsidP="00891503">
            <w:pPr>
              <w:pStyle w:val="TableBullet"/>
            </w:pPr>
            <w:r w:rsidRPr="007233E2">
              <w:t>U</w:t>
            </w:r>
            <w:r w:rsidR="007B17E6" w:rsidRPr="007233E2">
              <w:t>nconscious</w:t>
            </w:r>
            <w:r>
              <w:t>-</w:t>
            </w:r>
            <w:r w:rsidR="007B17E6" w:rsidRPr="007233E2">
              <w:t xml:space="preserve">bias module promoted to </w:t>
            </w:r>
            <w:r>
              <w:t>h</w:t>
            </w:r>
            <w:r w:rsidR="007B17E6" w:rsidRPr="007233E2">
              <w:t xml:space="preserve">iring </w:t>
            </w:r>
            <w:r>
              <w:t>m</w:t>
            </w:r>
            <w:r w:rsidR="007B17E6" w:rsidRPr="007233E2">
              <w:t>anagers</w:t>
            </w:r>
          </w:p>
          <w:p w14:paraId="264AE81D" w14:textId="40941948" w:rsidR="003A79ED" w:rsidRDefault="007B17E6" w:rsidP="00891503">
            <w:pPr>
              <w:pStyle w:val="TableBullet"/>
            </w:pPr>
            <w:r w:rsidRPr="007233E2">
              <w:t>ethnic and gender-balanced panels</w:t>
            </w:r>
          </w:p>
          <w:p w14:paraId="73327AC6" w14:textId="755D4921" w:rsidR="003A79ED" w:rsidRDefault="007B17E6" w:rsidP="00891503">
            <w:pPr>
              <w:pStyle w:val="TableBullet"/>
            </w:pPr>
            <w:r w:rsidRPr="007233E2">
              <w:t xml:space="preserve">ensuring </w:t>
            </w:r>
            <w:r w:rsidR="003A79ED">
              <w:t>h</w:t>
            </w:r>
            <w:r w:rsidR="003A79ED" w:rsidRPr="007233E2">
              <w:t xml:space="preserve">iring </w:t>
            </w:r>
            <w:r w:rsidR="003A79ED">
              <w:t>m</w:t>
            </w:r>
            <w:r w:rsidR="003A79ED" w:rsidRPr="007233E2">
              <w:t xml:space="preserve">anagers </w:t>
            </w:r>
            <w:r w:rsidRPr="007233E2">
              <w:t>are aware of diversity landscape prior to hiring</w:t>
            </w:r>
          </w:p>
          <w:p w14:paraId="3D94C643" w14:textId="16CB6C1B" w:rsidR="003A79ED" w:rsidRDefault="007B17E6" w:rsidP="00891503">
            <w:pPr>
              <w:pStyle w:val="TableBullet"/>
            </w:pPr>
            <w:r w:rsidRPr="007233E2">
              <w:t>diversifying sourcing channels (including specialist job boards, social media)</w:t>
            </w:r>
          </w:p>
          <w:p w14:paraId="17CD2E35" w14:textId="14FEF7B1" w:rsidR="007B17E6" w:rsidRPr="007233E2" w:rsidRDefault="007B17E6" w:rsidP="00F61D15">
            <w:pPr>
              <w:pStyle w:val="TableBullet"/>
            </w:pPr>
            <w:r w:rsidRPr="007233E2">
              <w:t>ensuring interview questions are circulated in advance.</w:t>
            </w:r>
          </w:p>
          <w:p w14:paraId="3572704F" w14:textId="3FAF0275" w:rsidR="007B17E6" w:rsidRPr="007233E2" w:rsidRDefault="007B17E6" w:rsidP="00457247">
            <w:pPr>
              <w:pStyle w:val="TableText"/>
            </w:pPr>
            <w:r w:rsidRPr="007233E2">
              <w:t>Regular reporting and updates to leadership against Tui Raumata targets, Tō Reo</w:t>
            </w:r>
            <w:r w:rsidR="00700A0C">
              <w:t xml:space="preserve"> results</w:t>
            </w:r>
            <w:r w:rsidRPr="007233E2">
              <w:t>.</w:t>
            </w:r>
          </w:p>
          <w:p w14:paraId="34A5F3E4" w14:textId="30735770" w:rsidR="007B17E6" w:rsidRPr="007928A2" w:rsidRDefault="007B17E6" w:rsidP="00457247">
            <w:pPr>
              <w:pStyle w:val="TableText"/>
            </w:pPr>
            <w:r>
              <w:t>Completion</w:t>
            </w:r>
            <w:r w:rsidRPr="007233E2">
              <w:t xml:space="preserve"> of organisation-wide roll out of </w:t>
            </w:r>
            <w:r w:rsidRPr="00F61D15">
              <w:rPr>
                <w:iCs/>
              </w:rPr>
              <w:t>Tōnui</w:t>
            </w:r>
            <w:r w:rsidRPr="007233E2">
              <w:t xml:space="preserve">, inclusive leadership </w:t>
            </w:r>
            <w:r>
              <w:t xml:space="preserve">and </w:t>
            </w:r>
            <w:r w:rsidRPr="007233E2">
              <w:t>Mana Aki</w:t>
            </w:r>
            <w:r>
              <w:t xml:space="preserve"> – </w:t>
            </w:r>
            <w:r w:rsidR="00B825C0">
              <w:t>i</w:t>
            </w:r>
            <w:r w:rsidR="00873E82">
              <w:t xml:space="preserve">ntercultural </w:t>
            </w:r>
            <w:r>
              <w:t xml:space="preserve">capability programme </w:t>
            </w:r>
            <w:r w:rsidR="00651DD1">
              <w:t xml:space="preserve">is </w:t>
            </w:r>
            <w:r>
              <w:t>made available</w:t>
            </w:r>
            <w:r w:rsidRPr="007233E2">
              <w:t>.</w:t>
            </w:r>
          </w:p>
        </w:tc>
        <w:tc>
          <w:tcPr>
            <w:tcW w:w="2000" w:type="pct"/>
            <w:shd w:val="clear" w:color="auto" w:fill="auto"/>
          </w:tcPr>
          <w:p w14:paraId="2155F936" w14:textId="4CCFE370" w:rsidR="007B17E6" w:rsidRPr="007233E2" w:rsidRDefault="007B17E6" w:rsidP="00457247">
            <w:pPr>
              <w:pStyle w:val="TableText"/>
            </w:pPr>
            <w:r w:rsidRPr="007233E2">
              <w:t xml:space="preserve">We will increase our organisational capability in </w:t>
            </w:r>
            <w:r w:rsidR="00651DD1">
              <w:t>t</w:t>
            </w:r>
            <w:r w:rsidRPr="007233E2">
              <w:t xml:space="preserve">e </w:t>
            </w:r>
            <w:r w:rsidR="00651DD1">
              <w:t>a</w:t>
            </w:r>
            <w:r w:rsidRPr="007233E2">
              <w:t xml:space="preserve">o Māori and </w:t>
            </w:r>
            <w:r w:rsidR="00651DD1">
              <w:t xml:space="preserve">Te </w:t>
            </w:r>
            <w:r w:rsidRPr="007233E2">
              <w:t>Tiriti obligations from ‘unfamiliar’ to ‘comfortable’ (based on Whāinga Amorangi organisational cultural capability framework).</w:t>
            </w:r>
          </w:p>
          <w:p w14:paraId="7A4653A6" w14:textId="77777777" w:rsidR="007B17E6" w:rsidRPr="007233E2" w:rsidRDefault="007B17E6" w:rsidP="00457247">
            <w:pPr>
              <w:pStyle w:val="TableText"/>
            </w:pPr>
            <w:r w:rsidRPr="007233E2">
              <w:t>The recruitment process delivers a significant increase in diversity of new hires.</w:t>
            </w:r>
          </w:p>
          <w:p w14:paraId="7703FFA3" w14:textId="5E55224B" w:rsidR="007B17E6" w:rsidRPr="007233E2" w:rsidRDefault="007B17E6" w:rsidP="00457247">
            <w:pPr>
              <w:pStyle w:val="TableText"/>
            </w:pPr>
            <w:r w:rsidRPr="007233E2">
              <w:t>Employee</w:t>
            </w:r>
            <w:r w:rsidR="008A28A9">
              <w:t>-</w:t>
            </w:r>
            <w:r w:rsidRPr="007233E2">
              <w:t>experience gaps measured in Tō reo close.</w:t>
            </w:r>
          </w:p>
          <w:p w14:paraId="5D8A3364" w14:textId="6F7305A0" w:rsidR="007B17E6" w:rsidRPr="007928A2" w:rsidRDefault="007B17E6" w:rsidP="00457247">
            <w:pPr>
              <w:pStyle w:val="TableText"/>
            </w:pPr>
            <w:r w:rsidRPr="007233E2">
              <w:t>The Ministry maps the employee lifecycle and identifies and addresses areas where bias may exist.</w:t>
            </w:r>
          </w:p>
        </w:tc>
      </w:tr>
      <w:tr w:rsidR="00101130" w:rsidRPr="007233E2" w14:paraId="6C683C9E" w14:textId="77777777" w:rsidTr="008D5265">
        <w:tc>
          <w:tcPr>
            <w:tcW w:w="1000" w:type="pct"/>
            <w:shd w:val="clear" w:color="auto" w:fill="auto"/>
          </w:tcPr>
          <w:p w14:paraId="1675B5A6" w14:textId="74B7693D" w:rsidR="00101130" w:rsidRPr="007928A2" w:rsidRDefault="00101130" w:rsidP="00457247">
            <w:pPr>
              <w:pStyle w:val="TableText"/>
            </w:pPr>
            <w:r w:rsidRPr="007233E2">
              <w:t>Te taunoa o te mahi pīngore – Flexible work by default</w:t>
            </w:r>
          </w:p>
        </w:tc>
        <w:tc>
          <w:tcPr>
            <w:tcW w:w="2000" w:type="pct"/>
            <w:shd w:val="clear" w:color="auto" w:fill="auto"/>
          </w:tcPr>
          <w:p w14:paraId="3B4D3D13" w14:textId="77777777" w:rsidR="00101130" w:rsidRPr="007233E2" w:rsidRDefault="00101130" w:rsidP="00457247">
            <w:pPr>
              <w:pStyle w:val="TableText"/>
            </w:pPr>
            <w:r w:rsidRPr="007233E2">
              <w:t xml:space="preserve">Roles are recruited with flexible location unless there is a specific requirement for in-person engagement, such as local stakeholder engagement or support. </w:t>
            </w:r>
          </w:p>
          <w:p w14:paraId="3CC64D70" w14:textId="3F1B3BFE" w:rsidR="00101130" w:rsidRPr="007928A2" w:rsidRDefault="00101130" w:rsidP="00457247">
            <w:pPr>
              <w:pStyle w:val="TableText"/>
            </w:pPr>
            <w:r w:rsidRPr="007233E2">
              <w:t>The Ministry has published guidelines around flexible ways of working</w:t>
            </w:r>
            <w:r w:rsidR="0047123F">
              <w:t>,</w:t>
            </w:r>
            <w:r w:rsidRPr="007233E2">
              <w:t xml:space="preserve"> including guidance for leaders and guidance for managing wellbeing in a flexible working environment.</w:t>
            </w:r>
          </w:p>
        </w:tc>
        <w:tc>
          <w:tcPr>
            <w:tcW w:w="2000" w:type="pct"/>
            <w:shd w:val="clear" w:color="auto" w:fill="auto"/>
          </w:tcPr>
          <w:p w14:paraId="5CF6D9B2" w14:textId="47EC2521" w:rsidR="00101130" w:rsidRPr="007233E2" w:rsidRDefault="00101130" w:rsidP="00457247">
            <w:pPr>
              <w:pStyle w:val="TableText"/>
            </w:pPr>
            <w:r w:rsidRPr="007233E2">
              <w:t xml:space="preserve">Access to flexible-by-default ways of working </w:t>
            </w:r>
            <w:proofErr w:type="gramStart"/>
            <w:r w:rsidRPr="007233E2">
              <w:t>are</w:t>
            </w:r>
            <w:proofErr w:type="gramEnd"/>
            <w:r w:rsidRPr="007233E2">
              <w:t xml:space="preserve"> available to all</w:t>
            </w:r>
            <w:r w:rsidR="0047123F">
              <w:t>,</w:t>
            </w:r>
            <w:r w:rsidRPr="007233E2">
              <w:t xml:space="preserve"> in line with true requirements of roles.</w:t>
            </w:r>
          </w:p>
          <w:p w14:paraId="050A5B0F" w14:textId="77777777" w:rsidR="00101130" w:rsidRPr="007233E2" w:rsidRDefault="00101130" w:rsidP="00457247">
            <w:pPr>
              <w:pStyle w:val="TableText"/>
            </w:pPr>
            <w:r w:rsidRPr="007233E2">
              <w:t>We have a clear view of the impact of different types of flexible working on career progression and development and are thus able to solve for any equity issues that exist.</w:t>
            </w:r>
          </w:p>
          <w:p w14:paraId="1E959B01" w14:textId="602C38EE" w:rsidR="00101130" w:rsidRPr="007928A2" w:rsidRDefault="00101130" w:rsidP="00457247">
            <w:pPr>
              <w:pStyle w:val="TableText"/>
            </w:pPr>
            <w:r>
              <w:t>Our flexible-by-default policy continues to allow us access to a more diverse talent pool, and w</w:t>
            </w:r>
            <w:r w:rsidRPr="007233E2">
              <w:t xml:space="preserve">e have clear and effective </w:t>
            </w:r>
            <w:r>
              <w:t>support</w:t>
            </w:r>
            <w:r w:rsidRPr="007233E2">
              <w:t xml:space="preserve"> in place for developing early-in-career professionals to ensure no disadvantage to </w:t>
            </w:r>
            <w:r>
              <w:t>remote kaimahi</w:t>
            </w:r>
            <w:r w:rsidR="005B5382">
              <w:t>.</w:t>
            </w:r>
          </w:p>
        </w:tc>
      </w:tr>
    </w:tbl>
    <w:p w14:paraId="411F43C5" w14:textId="0B79CF9D" w:rsidR="002556C8" w:rsidRDefault="00D84E29" w:rsidP="002556C8">
      <w:pPr>
        <w:pStyle w:val="Heading1"/>
        <w:rPr>
          <w:rFonts w:eastAsia="Yu Gothic Light"/>
        </w:rPr>
      </w:pPr>
      <w:r w:rsidRPr="007928A2">
        <w:rPr>
          <w:szCs w:val="18"/>
        </w:rPr>
        <w:br w:type="page"/>
      </w:r>
      <w:bookmarkStart w:id="24" w:name="_Toc188532237"/>
      <w:r w:rsidRPr="003528B7">
        <w:rPr>
          <w:rFonts w:eastAsia="Yu Gothic Light"/>
        </w:rPr>
        <w:lastRenderedPageBreak/>
        <w:t>Papa Pounamu</w:t>
      </w:r>
      <w:r w:rsidR="002556C8">
        <w:rPr>
          <w:rFonts w:eastAsia="Yu Gothic Light"/>
        </w:rPr>
        <w:t xml:space="preserve"> Public Service work programme</w:t>
      </w:r>
      <w:r w:rsidRPr="003528B7">
        <w:rPr>
          <w:rFonts w:eastAsia="Yu Gothic Light"/>
        </w:rPr>
        <w:t xml:space="preserve"> progress and plan</w:t>
      </w:r>
      <w:bookmarkEnd w:id="24"/>
    </w:p>
    <w:p w14:paraId="3F91B2AC" w14:textId="39B8171B" w:rsidR="00935C32" w:rsidRDefault="00935C32" w:rsidP="00935C32">
      <w:pPr>
        <w:pStyle w:val="BodyText"/>
      </w:pPr>
      <w:r>
        <w:t>This section outlines the Ministry’s progress against our existing</w:t>
      </w:r>
      <w:r w:rsidR="00440796" w:rsidRPr="00440796">
        <w:rPr>
          <w:i/>
          <w:iCs/>
        </w:rPr>
        <w:t xml:space="preserve"> </w:t>
      </w:r>
      <w:r w:rsidR="00440796" w:rsidRPr="00440796">
        <w:t>diversity and inclusion work programme and action plan</w:t>
      </w:r>
      <w:r w:rsidRPr="00440796">
        <w:t>.</w:t>
      </w:r>
      <w:r>
        <w:t xml:space="preserve"> </w:t>
      </w:r>
    </w:p>
    <w:p w14:paraId="538046F3" w14:textId="2226B2D7" w:rsidR="00935C32" w:rsidRDefault="00935C32" w:rsidP="00935C32">
      <w:pPr>
        <w:pStyle w:val="BodyText"/>
      </w:pPr>
      <w:r>
        <w:t xml:space="preserve">As we move out of change, the Ministry will reset the focus onto Tui Raumata, our </w:t>
      </w:r>
      <w:r w:rsidR="00366727" w:rsidRPr="00366727">
        <w:t>Diversity, Equity and Inclusion Strategy</w:t>
      </w:r>
      <w:r>
        <w:t xml:space="preserve">, in the second half of the financial year. This will involve engagement and consultation with our people, particularly our employee-led networks and the PSA, and the setting of targets, actions and deliverables to address pay gaps and identified priorities to improve diversity, equity and inclusion. </w:t>
      </w:r>
      <w:r w:rsidRPr="00B13975">
        <w:t xml:space="preserve"> </w:t>
      </w:r>
    </w:p>
    <w:p w14:paraId="18489F7D" w14:textId="5CF004EF" w:rsidR="00F93AC2" w:rsidRPr="00F93AC2" w:rsidRDefault="00F93AC2" w:rsidP="00F93AC2">
      <w:pPr>
        <w:pStyle w:val="Tableheading"/>
      </w:pPr>
      <w:bookmarkStart w:id="25" w:name="_Toc188532251"/>
      <w:r w:rsidRPr="00F93AC2">
        <w:t xml:space="preserve">Table 3: </w:t>
      </w:r>
      <w:r w:rsidRPr="00F93AC2">
        <w:tab/>
        <w:t xml:space="preserve">Ministry for the Environment </w:t>
      </w:r>
      <w:r w:rsidR="00617BDE">
        <w:t>Papa Pounamu</w:t>
      </w:r>
      <w:r w:rsidRPr="00F93AC2">
        <w:t xml:space="preserve"> progress as </w:t>
      </w:r>
      <w:proofErr w:type="gramStart"/>
      <w:r w:rsidRPr="00F93AC2">
        <w:t>at</w:t>
      </w:r>
      <w:proofErr w:type="gramEnd"/>
      <w:r w:rsidRPr="00F93AC2">
        <w:t xml:space="preserve"> 30 June 2024</w:t>
      </w:r>
      <w:bookmarkEnd w:id="25"/>
    </w:p>
    <w:tbl>
      <w:tblPr>
        <w:tblpPr w:leftFromText="180" w:rightFromText="180" w:vertAnchor="text" w:horzAnchor="margin" w:tblpXSpec="center" w:tblpY="360"/>
        <w:tblW w:w="5000" w:type="pct"/>
        <w:tblBorders>
          <w:top w:val="single" w:sz="4" w:space="0" w:color="1C556C" w:themeColor="accent1"/>
          <w:bottom w:val="single" w:sz="4" w:space="0" w:color="1C556C" w:themeColor="accent1"/>
          <w:insideH w:val="single" w:sz="4" w:space="0" w:color="1C556C" w:themeColor="accent1"/>
          <w:insideV w:val="single" w:sz="4" w:space="0" w:color="1C556C" w:themeColor="accent1"/>
        </w:tblBorders>
        <w:tblLook w:val="04A0" w:firstRow="1" w:lastRow="0" w:firstColumn="1" w:lastColumn="0" w:noHBand="0" w:noVBand="1"/>
      </w:tblPr>
      <w:tblGrid>
        <w:gridCol w:w="2914"/>
        <w:gridCol w:w="5992"/>
        <w:gridCol w:w="5666"/>
      </w:tblGrid>
      <w:tr w:rsidR="00D84E29" w:rsidRPr="00241176" w14:paraId="612BE474" w14:textId="77777777" w:rsidTr="00F27E6D">
        <w:trPr>
          <w:tblHeader/>
        </w:trPr>
        <w:tc>
          <w:tcPr>
            <w:tcW w:w="1000" w:type="pct"/>
            <w:shd w:val="clear" w:color="auto" w:fill="1C556C" w:themeFill="accent1"/>
          </w:tcPr>
          <w:p w14:paraId="2CD9058E" w14:textId="77777777" w:rsidR="00D84E29" w:rsidRPr="00A84F07" w:rsidRDefault="00D84E29" w:rsidP="00A84F07">
            <w:pPr>
              <w:pStyle w:val="TableTextbold"/>
              <w:rPr>
                <w:color w:val="FFFFFF" w:themeColor="background1"/>
              </w:rPr>
            </w:pPr>
            <w:r w:rsidRPr="00A84F07">
              <w:rPr>
                <w:color w:val="FFFFFF" w:themeColor="background1"/>
              </w:rPr>
              <w:t>Focus area</w:t>
            </w:r>
          </w:p>
        </w:tc>
        <w:tc>
          <w:tcPr>
            <w:tcW w:w="2056" w:type="pct"/>
            <w:shd w:val="clear" w:color="auto" w:fill="1C556C" w:themeFill="accent1"/>
          </w:tcPr>
          <w:p w14:paraId="1CB6EDA2" w14:textId="77777777" w:rsidR="00D84E29" w:rsidRPr="00A84F07" w:rsidRDefault="00D84E29" w:rsidP="00A84F07">
            <w:pPr>
              <w:pStyle w:val="TableTextbold"/>
              <w:rPr>
                <w:color w:val="FFFFFF" w:themeColor="background1"/>
              </w:rPr>
            </w:pPr>
            <w:r w:rsidRPr="00A84F07">
              <w:rPr>
                <w:color w:val="FFFFFF" w:themeColor="background1"/>
              </w:rPr>
              <w:t>Current state</w:t>
            </w:r>
          </w:p>
        </w:tc>
        <w:tc>
          <w:tcPr>
            <w:tcW w:w="1944" w:type="pct"/>
            <w:shd w:val="clear" w:color="auto" w:fill="1C556C" w:themeFill="accent1"/>
          </w:tcPr>
          <w:p w14:paraId="30C7198C" w14:textId="77777777" w:rsidR="00D84E29" w:rsidRPr="00A84F07" w:rsidRDefault="00D84E29" w:rsidP="00A84F07">
            <w:pPr>
              <w:pStyle w:val="TableTextbold"/>
              <w:rPr>
                <w:color w:val="FFFFFF" w:themeColor="background1"/>
              </w:rPr>
            </w:pPr>
            <w:r w:rsidRPr="00A84F07">
              <w:rPr>
                <w:color w:val="FFFFFF" w:themeColor="background1"/>
              </w:rPr>
              <w:t>Outcomes</w:t>
            </w:r>
          </w:p>
        </w:tc>
      </w:tr>
      <w:tr w:rsidR="00D84E29" w:rsidRPr="00241176" w14:paraId="7F9CE228" w14:textId="77777777" w:rsidTr="008D5265">
        <w:tc>
          <w:tcPr>
            <w:tcW w:w="1000" w:type="pct"/>
            <w:shd w:val="clear" w:color="auto" w:fill="auto"/>
          </w:tcPr>
          <w:p w14:paraId="6BE812C0" w14:textId="26A2B9BF" w:rsidR="00D84E29" w:rsidRPr="00241176" w:rsidRDefault="00D84E29" w:rsidP="00605073">
            <w:pPr>
              <w:pStyle w:val="TableText"/>
            </w:pPr>
            <w:r w:rsidRPr="00241176">
              <w:t xml:space="preserve">Te Urupare i te Mariu| Addressing </w:t>
            </w:r>
            <w:r w:rsidR="002556C8">
              <w:t>b</w:t>
            </w:r>
            <w:r w:rsidRPr="00241176">
              <w:t>ias</w:t>
            </w:r>
          </w:p>
        </w:tc>
        <w:tc>
          <w:tcPr>
            <w:tcW w:w="2056" w:type="pct"/>
            <w:shd w:val="clear" w:color="auto" w:fill="auto"/>
          </w:tcPr>
          <w:p w14:paraId="41243D12" w14:textId="4BBC9EB7" w:rsidR="00D84E29" w:rsidRPr="00241176" w:rsidRDefault="00D84E29" w:rsidP="00605073">
            <w:pPr>
              <w:pStyle w:val="TableText"/>
            </w:pPr>
            <w:r w:rsidRPr="00241176">
              <w:t>Leaders attended unconscious</w:t>
            </w:r>
            <w:r w:rsidR="002556C8">
              <w:t>-</w:t>
            </w:r>
            <w:r w:rsidRPr="00241176">
              <w:t>bias training during the change process.</w:t>
            </w:r>
          </w:p>
          <w:p w14:paraId="2647B5FB" w14:textId="0F782FAA" w:rsidR="00D84E29" w:rsidRPr="00241176" w:rsidRDefault="00D84E29" w:rsidP="00605073">
            <w:pPr>
              <w:pStyle w:val="TableText"/>
            </w:pPr>
            <w:r w:rsidRPr="00F61D15">
              <w:rPr>
                <w:iCs/>
              </w:rPr>
              <w:t>Tōnui</w:t>
            </w:r>
            <w:r w:rsidRPr="00241176">
              <w:t xml:space="preserve"> is our introductory</w:t>
            </w:r>
            <w:r w:rsidR="002556C8">
              <w:t>-</w:t>
            </w:r>
            <w:r w:rsidRPr="00241176">
              <w:t>level program</w:t>
            </w:r>
            <w:r w:rsidR="002556C8">
              <w:t>me</w:t>
            </w:r>
            <w:r w:rsidRPr="00241176">
              <w:t xml:space="preserve"> </w:t>
            </w:r>
            <w:r w:rsidR="002556C8">
              <w:t>on</w:t>
            </w:r>
            <w:r w:rsidR="002556C8" w:rsidRPr="00241176">
              <w:t xml:space="preserve"> </w:t>
            </w:r>
            <w:r w:rsidRPr="00241176">
              <w:t xml:space="preserve">Te Tiriti o Waitangi and its place in our work, policy and practices at </w:t>
            </w:r>
            <w:r w:rsidR="008B6A53">
              <w:t>the Ministry</w:t>
            </w:r>
            <w:r w:rsidRPr="00241176">
              <w:t xml:space="preserve">. </w:t>
            </w:r>
            <w:r w:rsidRPr="00F61D15">
              <w:rPr>
                <w:iCs/>
              </w:rPr>
              <w:t>Tōnui</w:t>
            </w:r>
            <w:r w:rsidRPr="00241176">
              <w:t xml:space="preserve"> was designed in accordance with </w:t>
            </w:r>
            <w:hyperlink r:id="rId32" w:history="1">
              <w:proofErr w:type="spellStart"/>
              <w:r w:rsidRPr="000E6D6D">
                <w:rPr>
                  <w:rStyle w:val="Hyperlink"/>
                </w:rPr>
                <w:t>Whāinga</w:t>
              </w:r>
              <w:proofErr w:type="spellEnd"/>
              <w:r w:rsidRPr="000E6D6D">
                <w:rPr>
                  <w:rStyle w:val="Hyperlink"/>
                </w:rPr>
                <w:t xml:space="preserve"> </w:t>
              </w:r>
              <w:proofErr w:type="spellStart"/>
              <w:r w:rsidRPr="000E6D6D">
                <w:rPr>
                  <w:rStyle w:val="Hyperlink"/>
                </w:rPr>
                <w:t>Amorangi</w:t>
              </w:r>
              <w:proofErr w:type="spellEnd"/>
            </w:hyperlink>
            <w:r w:rsidRPr="00241176">
              <w:t xml:space="preserve"> in lifting our</w:t>
            </w:r>
            <w:r w:rsidR="00330AE0">
              <w:t xml:space="preserve"> </w:t>
            </w:r>
            <w:r w:rsidRPr="00241176">
              <w:t>Māori</w:t>
            </w:r>
            <w:r w:rsidR="00DF30D0">
              <w:rPr>
                <w:rFonts w:cs="Calibri"/>
              </w:rPr>
              <w:t>–</w:t>
            </w:r>
            <w:r w:rsidR="008A76F3">
              <w:t>Crown</w:t>
            </w:r>
            <w:r w:rsidRPr="00241176">
              <w:t xml:space="preserve"> relations capability. </w:t>
            </w:r>
            <w:r w:rsidR="00DF30D0">
              <w:t>A</w:t>
            </w:r>
            <w:r w:rsidRPr="00241176">
              <w:t xml:space="preserve"> segment in </w:t>
            </w:r>
            <w:r w:rsidRPr="00F61D15">
              <w:rPr>
                <w:iCs/>
              </w:rPr>
              <w:t>Tōnui</w:t>
            </w:r>
            <w:r w:rsidRPr="007928A2">
              <w:rPr>
                <w:i/>
              </w:rPr>
              <w:t xml:space="preserve"> </w:t>
            </w:r>
            <w:r w:rsidRPr="00241176">
              <w:t>explores structural discrimination and a case study is provided. The aim of the segment is to provide an awareness and a perspective of the attributes of structural discrimination</w:t>
            </w:r>
            <w:r w:rsidR="00DF30D0">
              <w:t xml:space="preserve"> and </w:t>
            </w:r>
            <w:proofErr w:type="gramStart"/>
            <w:r w:rsidRPr="00241176">
              <w:t>bias</w:t>
            </w:r>
            <w:r w:rsidR="00DF30D0">
              <w:t>,</w:t>
            </w:r>
            <w:r w:rsidRPr="00241176">
              <w:t xml:space="preserve"> and</w:t>
            </w:r>
            <w:proofErr w:type="gramEnd"/>
            <w:r w:rsidRPr="00241176">
              <w:t xml:space="preserve"> provide examples of that in context. More importantly, participants are invited to evaluate what they’ve learned and demonstrate that awareness by formulating their own individual or collective responses to structural discrimination in their work and their place of work; identifying more proactive ways </w:t>
            </w:r>
            <w:r w:rsidR="00BF116F">
              <w:t>of</w:t>
            </w:r>
            <w:r w:rsidR="00BF116F" w:rsidRPr="00241176">
              <w:t xml:space="preserve"> </w:t>
            </w:r>
            <w:r w:rsidRPr="00241176">
              <w:t>being more responsive to structural or racial discrimination and bias in real</w:t>
            </w:r>
            <w:r w:rsidR="00BF116F">
              <w:t>-</w:t>
            </w:r>
            <w:r w:rsidRPr="00241176">
              <w:t>time contexts.</w:t>
            </w:r>
          </w:p>
        </w:tc>
        <w:tc>
          <w:tcPr>
            <w:tcW w:w="1944" w:type="pct"/>
            <w:shd w:val="clear" w:color="auto" w:fill="auto"/>
          </w:tcPr>
          <w:p w14:paraId="281D1AE1" w14:textId="3459FB47" w:rsidR="00D84E29" w:rsidRPr="00241176" w:rsidRDefault="00D84E29" w:rsidP="00605073">
            <w:pPr>
              <w:pStyle w:val="TableText"/>
            </w:pPr>
            <w:r w:rsidRPr="00241176">
              <w:t xml:space="preserve">Including contractors, </w:t>
            </w:r>
            <w:proofErr w:type="gramStart"/>
            <w:r w:rsidRPr="00241176">
              <w:t>fixed</w:t>
            </w:r>
            <w:r w:rsidR="001C0CF3">
              <w:t>-</w:t>
            </w:r>
            <w:r w:rsidRPr="00241176">
              <w:t>term</w:t>
            </w:r>
            <w:proofErr w:type="gramEnd"/>
            <w:r w:rsidRPr="00241176">
              <w:t xml:space="preserve"> and permanent staff (as well as staff who have left) we had a total of 869</w:t>
            </w:r>
            <w:r w:rsidR="001C0CF3">
              <w:t xml:space="preserve"> of </w:t>
            </w:r>
            <w:r w:rsidRPr="00241176">
              <w:t xml:space="preserve">1177 staff complete the </w:t>
            </w:r>
            <w:r w:rsidRPr="00F61D15">
              <w:rPr>
                <w:iCs/>
              </w:rPr>
              <w:t>Tōnui</w:t>
            </w:r>
            <w:r w:rsidRPr="00241176">
              <w:t xml:space="preserve"> programme. </w:t>
            </w:r>
            <w:r w:rsidR="008033C2">
              <w:t xml:space="preserve">Tōnui </w:t>
            </w:r>
            <w:r w:rsidR="001432C3">
              <w:t xml:space="preserve">will continue to be delivered in 2024 and 2025. </w:t>
            </w:r>
          </w:p>
        </w:tc>
      </w:tr>
      <w:tr w:rsidR="00D84E29" w:rsidRPr="00241176" w14:paraId="61625221" w14:textId="77777777" w:rsidTr="008D5265">
        <w:tc>
          <w:tcPr>
            <w:tcW w:w="1000" w:type="pct"/>
            <w:shd w:val="clear" w:color="auto" w:fill="auto"/>
          </w:tcPr>
          <w:p w14:paraId="409D101E" w14:textId="1388022C" w:rsidR="00D84E29" w:rsidRPr="00241176" w:rsidRDefault="00D84E29" w:rsidP="00605073">
            <w:pPr>
              <w:pStyle w:val="TableText"/>
            </w:pPr>
            <w:r w:rsidRPr="00241176">
              <w:t xml:space="preserve">Te āheinga ā-ahurea | Cultural </w:t>
            </w:r>
            <w:r w:rsidR="002556C8">
              <w:t>c</w:t>
            </w:r>
            <w:r w:rsidRPr="00241176">
              <w:t>ompetence</w:t>
            </w:r>
          </w:p>
        </w:tc>
        <w:tc>
          <w:tcPr>
            <w:tcW w:w="2056" w:type="pct"/>
            <w:shd w:val="clear" w:color="auto" w:fill="auto"/>
          </w:tcPr>
          <w:p w14:paraId="648024D7" w14:textId="17D9F52C" w:rsidR="00D84E29" w:rsidRPr="00241176" w:rsidRDefault="00D84E29" w:rsidP="00605073">
            <w:pPr>
              <w:pStyle w:val="TableText"/>
            </w:pPr>
            <w:r w:rsidRPr="007928A2">
              <w:rPr>
                <w:i/>
              </w:rPr>
              <w:t>Tōnui</w:t>
            </w:r>
            <w:r w:rsidRPr="00241176">
              <w:t>, our all-employee cultural competency programme, has been the mainstay of our</w:t>
            </w:r>
            <w:r w:rsidR="002273D3" w:rsidRPr="00241176">
              <w:t xml:space="preserve"> Māori</w:t>
            </w:r>
            <w:r w:rsidR="002273D3">
              <w:rPr>
                <w:rFonts w:cs="Calibri"/>
              </w:rPr>
              <w:t>–</w:t>
            </w:r>
            <w:r w:rsidR="002273D3">
              <w:t>Crown</w:t>
            </w:r>
            <w:r w:rsidR="002273D3" w:rsidRPr="00241176" w:rsidDel="002273D3">
              <w:t xml:space="preserve"> </w:t>
            </w:r>
            <w:r w:rsidRPr="00241176">
              <w:t>relations focus</w:t>
            </w:r>
            <w:r w:rsidR="00330AE0">
              <w:t>,</w:t>
            </w:r>
            <w:r w:rsidRPr="00241176">
              <w:t xml:space="preserve"> with a specific goal of enabling </w:t>
            </w:r>
            <w:r w:rsidR="00330AE0">
              <w:t>the Ministry</w:t>
            </w:r>
            <w:r w:rsidR="00330AE0" w:rsidRPr="00241176">
              <w:t xml:space="preserve"> </w:t>
            </w:r>
            <w:r w:rsidRPr="00241176">
              <w:t xml:space="preserve">to consistently meet its obligations under Te Tiriti o Waitangi, to contribute to our society, to be a good partner and to address inequality and </w:t>
            </w:r>
            <w:r w:rsidRPr="00241176">
              <w:lastRenderedPageBreak/>
              <w:t>promote development. At a foundational level</w:t>
            </w:r>
            <w:r w:rsidR="00330AE0">
              <w:t xml:space="preserve">, </w:t>
            </w:r>
            <w:r w:rsidRPr="00F61D15">
              <w:rPr>
                <w:iCs/>
              </w:rPr>
              <w:t>Tōnui</w:t>
            </w:r>
            <w:r w:rsidRPr="00241176">
              <w:t xml:space="preserve"> offers an insight into the whakapapa of </w:t>
            </w:r>
            <w:r w:rsidR="002273D3" w:rsidRPr="00241176">
              <w:t>Māori</w:t>
            </w:r>
            <w:r w:rsidR="002273D3">
              <w:rPr>
                <w:rFonts w:cs="Calibri"/>
              </w:rPr>
              <w:t>–</w:t>
            </w:r>
            <w:r w:rsidR="002273D3">
              <w:t>Crown</w:t>
            </w:r>
            <w:r w:rsidR="002273D3" w:rsidRPr="00241176" w:rsidDel="002273D3">
              <w:t xml:space="preserve"> </w:t>
            </w:r>
            <w:r w:rsidRPr="00241176">
              <w:t>relations, the Māori worldview, the impact of Te Tiriti o Waitangi and significant legislation on</w:t>
            </w:r>
            <w:r w:rsidR="00692A21" w:rsidRPr="00241176">
              <w:t xml:space="preserve"> Māori</w:t>
            </w:r>
            <w:r w:rsidR="00692A21">
              <w:rPr>
                <w:rFonts w:cs="Calibri"/>
              </w:rPr>
              <w:t>–</w:t>
            </w:r>
            <w:r w:rsidR="00692A21">
              <w:t>Crown</w:t>
            </w:r>
            <w:r w:rsidR="00692A21" w:rsidRPr="00241176" w:rsidDel="00692A21">
              <w:t xml:space="preserve"> </w:t>
            </w:r>
            <w:r w:rsidRPr="00241176">
              <w:t>relations, and what this all means for our people in their work as public servants. Based on what they learn</w:t>
            </w:r>
            <w:r w:rsidR="00692A21">
              <w:t>,</w:t>
            </w:r>
            <w:r w:rsidRPr="00241176">
              <w:t xml:space="preserve"> participants are invited to consider how they might contribute to the improvement of </w:t>
            </w:r>
            <w:r w:rsidR="00692A21" w:rsidRPr="00241176">
              <w:t>Māori</w:t>
            </w:r>
            <w:r w:rsidR="00692A21">
              <w:rPr>
                <w:rFonts w:cs="Calibri"/>
              </w:rPr>
              <w:t>–</w:t>
            </w:r>
            <w:r w:rsidR="00692A21">
              <w:t>Crown</w:t>
            </w:r>
            <w:r w:rsidR="00692A21" w:rsidRPr="00241176" w:rsidDel="00692A21">
              <w:t xml:space="preserve"> </w:t>
            </w:r>
            <w:r w:rsidRPr="00241176">
              <w:t>relations in our roles and work. Additionally, a program</w:t>
            </w:r>
            <w:r w:rsidR="00692A21">
              <w:t>me</w:t>
            </w:r>
            <w:r w:rsidRPr="00241176">
              <w:t xml:space="preserve"> of learning that covers a period of </w:t>
            </w:r>
            <w:r w:rsidR="00692A21">
              <w:t>three</w:t>
            </w:r>
            <w:r w:rsidR="00692A21" w:rsidRPr="00241176">
              <w:t xml:space="preserve"> </w:t>
            </w:r>
            <w:r w:rsidRPr="00241176">
              <w:t>months is offered as an extension on our one</w:t>
            </w:r>
            <w:r w:rsidR="00692A21">
              <w:t>-</w:t>
            </w:r>
            <w:r w:rsidRPr="00241176">
              <w:t xml:space="preserve">day wānanga. </w:t>
            </w:r>
          </w:p>
          <w:p w14:paraId="2312330F" w14:textId="77777777" w:rsidR="00D84E29" w:rsidRPr="00241176" w:rsidRDefault="00D84E29" w:rsidP="00605073">
            <w:pPr>
              <w:pStyle w:val="TableText"/>
            </w:pPr>
            <w:r w:rsidRPr="00241176">
              <w:t xml:space="preserve">Te Ao Hurihuri – Embracing Te Ao Māori at Manutū Mō Te Taiao is our strategy to </w:t>
            </w:r>
            <w:r>
              <w:t>build the capability needed to be a good Treaty Partner</w:t>
            </w:r>
            <w:r w:rsidRPr="00241176">
              <w:t xml:space="preserve">. </w:t>
            </w:r>
            <w:r>
              <w:t xml:space="preserve">It focuses on 6 pou: </w:t>
            </w:r>
          </w:p>
          <w:p w14:paraId="0C3D8FF5" w14:textId="37D06851" w:rsidR="00D84E29" w:rsidRPr="00241176" w:rsidRDefault="00D84E29" w:rsidP="00C90D65">
            <w:pPr>
              <w:pStyle w:val="TableBullet"/>
            </w:pPr>
            <w:r w:rsidRPr="00241176">
              <w:t>Whānau Ora – Unifying our people</w:t>
            </w:r>
          </w:p>
          <w:p w14:paraId="30C864C0" w14:textId="6CDE1902" w:rsidR="00D84E29" w:rsidRPr="00241176" w:rsidRDefault="00D84E29" w:rsidP="00C90D65">
            <w:pPr>
              <w:pStyle w:val="TableBullet"/>
            </w:pPr>
            <w:r w:rsidRPr="00241176">
              <w:t>Wai Ora – Creating safe environments</w:t>
            </w:r>
          </w:p>
          <w:p w14:paraId="12CDDCD0" w14:textId="7DD10B12" w:rsidR="00D84E29" w:rsidRPr="00241176" w:rsidRDefault="00D84E29" w:rsidP="00C90D65">
            <w:pPr>
              <w:pStyle w:val="TableBullet"/>
            </w:pPr>
            <w:r w:rsidRPr="00241176">
              <w:t>Mauri Ora – Building a resilient structure</w:t>
            </w:r>
          </w:p>
          <w:p w14:paraId="7E9CE0D7" w14:textId="15DD4B1E" w:rsidR="00D84E29" w:rsidRPr="00241176" w:rsidRDefault="00D84E29" w:rsidP="00C90D65">
            <w:pPr>
              <w:pStyle w:val="TableBullet"/>
            </w:pPr>
            <w:r w:rsidRPr="00241176">
              <w:t>Kaitiaki Ora – Accessing knowledge</w:t>
            </w:r>
          </w:p>
          <w:p w14:paraId="636A8AAB" w14:textId="7FF349E0" w:rsidR="00D84E29" w:rsidRPr="00241176" w:rsidRDefault="00D84E29" w:rsidP="00C90D65">
            <w:pPr>
              <w:pStyle w:val="TableBullet"/>
            </w:pPr>
            <w:r w:rsidRPr="00241176">
              <w:t>Hau Ora – Checking our progress</w:t>
            </w:r>
          </w:p>
          <w:p w14:paraId="0956B7FD" w14:textId="7062C794" w:rsidR="00D84E29" w:rsidRPr="00241176" w:rsidRDefault="00D84E29" w:rsidP="00C90D65">
            <w:pPr>
              <w:pStyle w:val="TableBullet"/>
            </w:pPr>
            <w:r w:rsidRPr="00241176">
              <w:t>Mana Ora – Standing together</w:t>
            </w:r>
          </w:p>
        </w:tc>
        <w:tc>
          <w:tcPr>
            <w:tcW w:w="1944" w:type="pct"/>
            <w:shd w:val="clear" w:color="auto" w:fill="auto"/>
          </w:tcPr>
          <w:p w14:paraId="5EDD0DAB" w14:textId="69927CCE" w:rsidR="00D84E29" w:rsidRPr="00241176" w:rsidRDefault="00D84E29" w:rsidP="00605073">
            <w:pPr>
              <w:pStyle w:val="TableText"/>
            </w:pPr>
            <w:r w:rsidRPr="00241176">
              <w:lastRenderedPageBreak/>
              <w:t xml:space="preserve">Including contractors, </w:t>
            </w:r>
            <w:proofErr w:type="gramStart"/>
            <w:r w:rsidRPr="00241176">
              <w:t>fixed</w:t>
            </w:r>
            <w:r w:rsidR="00071DF9">
              <w:t>-</w:t>
            </w:r>
            <w:r w:rsidRPr="00241176">
              <w:t>term</w:t>
            </w:r>
            <w:proofErr w:type="gramEnd"/>
            <w:r w:rsidRPr="00241176">
              <w:t xml:space="preserve"> and permanent staff (as well as staff who have left) we had a total of 869</w:t>
            </w:r>
            <w:r w:rsidR="00071DF9">
              <w:t xml:space="preserve"> of</w:t>
            </w:r>
            <w:r w:rsidR="00071DF9" w:rsidRPr="00241176">
              <w:t xml:space="preserve"> </w:t>
            </w:r>
            <w:r w:rsidRPr="00241176">
              <w:t xml:space="preserve">1177 staff complete the </w:t>
            </w:r>
            <w:r w:rsidRPr="00F61D15">
              <w:rPr>
                <w:iCs/>
              </w:rPr>
              <w:t>Tōnui</w:t>
            </w:r>
            <w:r w:rsidRPr="00241176">
              <w:t xml:space="preserve"> programme. </w:t>
            </w:r>
            <w:r w:rsidR="001432C3">
              <w:t>Tōnui will continue to be delivered in 2024 and 2025.</w:t>
            </w:r>
          </w:p>
        </w:tc>
      </w:tr>
      <w:tr w:rsidR="00D84E29" w:rsidRPr="00241176" w14:paraId="7F314598" w14:textId="77777777" w:rsidTr="008D5265">
        <w:tc>
          <w:tcPr>
            <w:tcW w:w="1000" w:type="pct"/>
            <w:shd w:val="clear" w:color="auto" w:fill="auto"/>
          </w:tcPr>
          <w:p w14:paraId="13F5A33E" w14:textId="63D3AFA8" w:rsidR="00D84E29" w:rsidRPr="00241176" w:rsidRDefault="00D84E29" w:rsidP="00605073">
            <w:pPr>
              <w:pStyle w:val="TableText"/>
            </w:pPr>
            <w:r w:rsidRPr="00241176">
              <w:t>Ngā tūhononga e kōkiritia ana e ngā kaimahi | Employee</w:t>
            </w:r>
            <w:r w:rsidR="002556C8">
              <w:t>-l</w:t>
            </w:r>
            <w:r w:rsidRPr="00241176">
              <w:t xml:space="preserve">ed </w:t>
            </w:r>
            <w:r w:rsidR="002556C8">
              <w:t>n</w:t>
            </w:r>
            <w:r w:rsidRPr="00241176">
              <w:t>etworks</w:t>
            </w:r>
          </w:p>
        </w:tc>
        <w:tc>
          <w:tcPr>
            <w:tcW w:w="2056" w:type="pct"/>
            <w:shd w:val="clear" w:color="auto" w:fill="auto"/>
          </w:tcPr>
          <w:p w14:paraId="5184408A" w14:textId="579A4E10" w:rsidR="00D84E29" w:rsidRPr="00241176" w:rsidRDefault="00D84E29" w:rsidP="00605073">
            <w:pPr>
              <w:pStyle w:val="TableText"/>
            </w:pPr>
            <w:r w:rsidRPr="00241176">
              <w:t>Employee</w:t>
            </w:r>
            <w:r w:rsidR="00471124">
              <w:t>-</w:t>
            </w:r>
            <w:r w:rsidRPr="00241176">
              <w:t>led network (ELN)</w:t>
            </w:r>
            <w:r w:rsidR="00471124">
              <w:t xml:space="preserve"> has an</w:t>
            </w:r>
            <w:r w:rsidRPr="00241176">
              <w:t xml:space="preserve"> intranet page and </w:t>
            </w:r>
            <w:r w:rsidR="00471124">
              <w:t>in included</w:t>
            </w:r>
            <w:r w:rsidR="00471124" w:rsidRPr="00241176">
              <w:t xml:space="preserve"> </w:t>
            </w:r>
            <w:r w:rsidRPr="00241176">
              <w:t>in</w:t>
            </w:r>
            <w:r w:rsidR="00471124">
              <w:t xml:space="preserve"> our</w:t>
            </w:r>
            <w:r w:rsidRPr="00241176">
              <w:t xml:space="preserve"> induction book</w:t>
            </w:r>
          </w:p>
          <w:p w14:paraId="59ACBEC1" w14:textId="55B194E7" w:rsidR="00D84E29" w:rsidRPr="00241176" w:rsidRDefault="00471124" w:rsidP="00C90D65">
            <w:pPr>
              <w:pStyle w:val="TableText"/>
              <w:rPr>
                <w:rFonts w:eastAsia="Yu Gothic Light"/>
              </w:rPr>
            </w:pPr>
            <w:r>
              <w:rPr>
                <w:rFonts w:eastAsia="Yu Gothic Light"/>
              </w:rPr>
              <w:t>We have a s</w:t>
            </w:r>
            <w:r w:rsidR="00D84E29" w:rsidRPr="00241176">
              <w:rPr>
                <w:rFonts w:eastAsia="Yu Gothic Light"/>
              </w:rPr>
              <w:t xml:space="preserve">ector-leading resourcing model for ELN leadership, ensuring our ELN leaders are </w:t>
            </w:r>
            <w:r w:rsidR="00D84E29" w:rsidRPr="00C90D65">
              <w:t>supported</w:t>
            </w:r>
            <w:r w:rsidR="00D84E29" w:rsidRPr="00241176">
              <w:rPr>
                <w:rFonts w:eastAsia="Yu Gothic Light"/>
              </w:rPr>
              <w:t xml:space="preserve"> consistently and appropriately, and their contribution</w:t>
            </w:r>
            <w:r>
              <w:rPr>
                <w:rFonts w:eastAsia="Yu Gothic Light"/>
              </w:rPr>
              <w:t xml:space="preserve"> is</w:t>
            </w:r>
            <w:r w:rsidR="00D84E29" w:rsidRPr="00241176">
              <w:rPr>
                <w:rFonts w:eastAsia="Yu Gothic Light"/>
              </w:rPr>
              <w:t xml:space="preserve"> recognised.  </w:t>
            </w:r>
          </w:p>
        </w:tc>
        <w:tc>
          <w:tcPr>
            <w:tcW w:w="1944" w:type="pct"/>
            <w:shd w:val="clear" w:color="auto" w:fill="auto"/>
          </w:tcPr>
          <w:p w14:paraId="531EDD09" w14:textId="77777777" w:rsidR="00D84E29" w:rsidRPr="00241176" w:rsidRDefault="00D84E29" w:rsidP="00605073">
            <w:pPr>
              <w:pStyle w:val="TableText"/>
            </w:pPr>
            <w:r w:rsidRPr="00241176">
              <w:t xml:space="preserve">Two-way flow of information and support from ELNs. </w:t>
            </w:r>
          </w:p>
          <w:p w14:paraId="7B582285" w14:textId="42609B19" w:rsidR="00D84E29" w:rsidRPr="00241176" w:rsidRDefault="00D84E29" w:rsidP="00605073">
            <w:pPr>
              <w:pStyle w:val="TableText"/>
            </w:pPr>
            <w:r w:rsidRPr="00241176">
              <w:t xml:space="preserve">Sustainability of ELNs improved by ensuring support is given and contribution is recognised. </w:t>
            </w:r>
          </w:p>
        </w:tc>
      </w:tr>
      <w:tr w:rsidR="00D84E29" w:rsidRPr="00241176" w14:paraId="02A3A0EF" w14:textId="77777777" w:rsidTr="008D5265">
        <w:tc>
          <w:tcPr>
            <w:tcW w:w="1000" w:type="pct"/>
            <w:shd w:val="clear" w:color="auto" w:fill="auto"/>
          </w:tcPr>
          <w:p w14:paraId="2047CD09" w14:textId="18AA3AA3" w:rsidR="00D84E29" w:rsidRPr="00241176" w:rsidRDefault="00D84E29" w:rsidP="00605073">
            <w:pPr>
              <w:pStyle w:val="TableText"/>
            </w:pPr>
            <w:r w:rsidRPr="00241176">
              <w:t xml:space="preserve">Hautūtanga Ngākau Tuwhera | Inclusive </w:t>
            </w:r>
            <w:r w:rsidR="002556C8">
              <w:t>l</w:t>
            </w:r>
            <w:r w:rsidRPr="00241176">
              <w:t>eadership</w:t>
            </w:r>
          </w:p>
        </w:tc>
        <w:tc>
          <w:tcPr>
            <w:tcW w:w="2056" w:type="pct"/>
            <w:shd w:val="clear" w:color="auto" w:fill="auto"/>
          </w:tcPr>
          <w:p w14:paraId="7D918CA3" w14:textId="55983516" w:rsidR="00D84E29" w:rsidRPr="00241176" w:rsidRDefault="00D84E29" w:rsidP="00605073">
            <w:pPr>
              <w:pStyle w:val="TableText"/>
            </w:pPr>
            <w:r w:rsidRPr="00241176">
              <w:t>People leaders attend unconscious</w:t>
            </w:r>
            <w:r w:rsidR="00471124">
              <w:t>-</w:t>
            </w:r>
            <w:r w:rsidRPr="00241176">
              <w:t>bias training prior to the commencement of the selection process</w:t>
            </w:r>
            <w:r>
              <w:t xml:space="preserve">. </w:t>
            </w:r>
            <w:r w:rsidRPr="00241176">
              <w:rPr>
                <w:color w:val="FF0000"/>
              </w:rPr>
              <w:t xml:space="preserve"> </w:t>
            </w:r>
          </w:p>
        </w:tc>
        <w:tc>
          <w:tcPr>
            <w:tcW w:w="1944" w:type="pct"/>
            <w:shd w:val="clear" w:color="auto" w:fill="auto"/>
          </w:tcPr>
          <w:p w14:paraId="53CD3629" w14:textId="77777777" w:rsidR="00D84E29" w:rsidRPr="00241176" w:rsidRDefault="00D84E29" w:rsidP="00605073">
            <w:pPr>
              <w:pStyle w:val="TableText"/>
            </w:pPr>
            <w:r w:rsidRPr="00241176">
              <w:t xml:space="preserve">Leaders support each other during the change process and ensure they are making good, sound decisions. </w:t>
            </w:r>
          </w:p>
        </w:tc>
      </w:tr>
      <w:tr w:rsidR="00D84E29" w:rsidRPr="00241176" w14:paraId="28187D38" w14:textId="77777777" w:rsidTr="008D5265">
        <w:tc>
          <w:tcPr>
            <w:tcW w:w="1000" w:type="pct"/>
            <w:shd w:val="clear" w:color="auto" w:fill="auto"/>
          </w:tcPr>
          <w:p w14:paraId="5A61A2BA" w14:textId="4B397DD5" w:rsidR="00D84E29" w:rsidRPr="00241176" w:rsidRDefault="00D84E29" w:rsidP="00605073">
            <w:pPr>
              <w:pStyle w:val="TableText"/>
            </w:pPr>
            <w:r w:rsidRPr="00241176">
              <w:t>Te whakawhanaungatanga</w:t>
            </w:r>
            <w:r w:rsidR="002556C8">
              <w:t xml:space="preserve"> </w:t>
            </w:r>
            <w:proofErr w:type="gramStart"/>
            <w:r w:rsidR="002556C8" w:rsidRPr="00241176">
              <w:t>|  Building</w:t>
            </w:r>
            <w:proofErr w:type="gramEnd"/>
            <w:r w:rsidR="002556C8" w:rsidRPr="00241176">
              <w:t xml:space="preserve"> relationships</w:t>
            </w:r>
          </w:p>
        </w:tc>
        <w:tc>
          <w:tcPr>
            <w:tcW w:w="2056" w:type="pct"/>
            <w:shd w:val="clear" w:color="auto" w:fill="auto"/>
          </w:tcPr>
          <w:p w14:paraId="6EAC925C" w14:textId="779D4358" w:rsidR="00D84E29" w:rsidRPr="00241176" w:rsidRDefault="00D84E29" w:rsidP="00605073">
            <w:pPr>
              <w:pStyle w:val="TableText"/>
            </w:pPr>
            <w:r w:rsidRPr="00241176">
              <w:t>“Ask me anything” – leader</w:t>
            </w:r>
            <w:r w:rsidR="00471124">
              <w:t>-</w:t>
            </w:r>
            <w:r w:rsidRPr="00241176">
              <w:t xml:space="preserve">led drop-in sessions. Multiple sessions set up during the change process for staff to come together and ask questions of leaders. </w:t>
            </w:r>
          </w:p>
        </w:tc>
        <w:tc>
          <w:tcPr>
            <w:tcW w:w="1944" w:type="pct"/>
            <w:shd w:val="clear" w:color="auto" w:fill="auto"/>
          </w:tcPr>
          <w:p w14:paraId="6D77CDA1" w14:textId="58B5D402" w:rsidR="00D84E29" w:rsidRPr="00241176" w:rsidRDefault="00471124" w:rsidP="00605073">
            <w:pPr>
              <w:pStyle w:val="TableText"/>
            </w:pPr>
            <w:r>
              <w:t>K</w:t>
            </w:r>
            <w:r w:rsidR="00D84E29" w:rsidRPr="00241176">
              <w:t xml:space="preserve">aimahi to stay engaged and connected with each other and their leaders. </w:t>
            </w:r>
          </w:p>
        </w:tc>
      </w:tr>
    </w:tbl>
    <w:p w14:paraId="037C8446" w14:textId="77777777" w:rsidR="007F1B2D" w:rsidRDefault="007F1B2D" w:rsidP="00605073">
      <w:pPr>
        <w:pStyle w:val="TableText"/>
        <w:sectPr w:rsidR="007F1B2D" w:rsidSect="005E744D">
          <w:pgSz w:w="16840" w:h="11907" w:orient="landscape" w:code="9"/>
          <w:pgMar w:top="1276" w:right="1134" w:bottom="1701" w:left="1134" w:header="284" w:footer="567" w:gutter="0"/>
          <w:cols w:space="720"/>
          <w:docGrid w:linePitch="299"/>
        </w:sectPr>
      </w:pPr>
    </w:p>
    <w:p w14:paraId="4E889E31" w14:textId="77777777" w:rsidR="00D84E29" w:rsidRPr="00530248" w:rsidRDefault="00D84E29" w:rsidP="00605073">
      <w:pPr>
        <w:pStyle w:val="TableText"/>
      </w:pPr>
    </w:p>
    <w:p w14:paraId="7E557EF7" w14:textId="6A869276" w:rsidR="00AA0BB8" w:rsidRDefault="00AA0BB8" w:rsidP="00AA0BB8">
      <w:pPr>
        <w:pStyle w:val="Heading1"/>
        <w:rPr>
          <w:rFonts w:eastAsia="Yu Gothic Light"/>
        </w:rPr>
      </w:pPr>
      <w:bookmarkStart w:id="26" w:name="_Toc188532238"/>
      <w:r w:rsidRPr="00DF6001">
        <w:rPr>
          <w:rFonts w:eastAsia="Yu Gothic Light"/>
        </w:rPr>
        <w:t>Planning for 2025</w:t>
      </w:r>
      <w:r w:rsidR="00862417">
        <w:rPr>
          <w:rFonts w:eastAsia="Yu Gothic Light"/>
        </w:rPr>
        <w:t>–</w:t>
      </w:r>
      <w:r w:rsidRPr="00DF6001">
        <w:rPr>
          <w:rFonts w:eastAsia="Yu Gothic Light"/>
        </w:rPr>
        <w:t>27</w:t>
      </w:r>
      <w:bookmarkEnd w:id="26"/>
    </w:p>
    <w:p w14:paraId="30F4C0F1" w14:textId="07D6642A" w:rsidR="00AA0BB8" w:rsidRDefault="00AA0BB8" w:rsidP="007F1B2D">
      <w:pPr>
        <w:pStyle w:val="BodyText"/>
      </w:pPr>
      <w:r>
        <w:t>As we move from our organisational reset programme back into ‘</w:t>
      </w:r>
      <w:r w:rsidR="00862417">
        <w:t>b</w:t>
      </w:r>
      <w:r>
        <w:t xml:space="preserve">usiness as </w:t>
      </w:r>
      <w:r w:rsidR="00862417">
        <w:t>u</w:t>
      </w:r>
      <w:r>
        <w:t xml:space="preserve">sual’, we will be prioritising several work </w:t>
      </w:r>
      <w:r w:rsidRPr="007F1B2D">
        <w:t>programmes</w:t>
      </w:r>
      <w:r>
        <w:t xml:space="preserve"> </w:t>
      </w:r>
      <w:r w:rsidR="00862417">
        <w:t xml:space="preserve">that </w:t>
      </w:r>
      <w:r>
        <w:t>will impact on our organisation from a diversity, equity and inclusion</w:t>
      </w:r>
      <w:r w:rsidR="00862417">
        <w:t>,</w:t>
      </w:r>
      <w:r>
        <w:t xml:space="preserve"> and pay gaps perspective. These are: </w:t>
      </w:r>
    </w:p>
    <w:p w14:paraId="226EC985" w14:textId="42C1DB4D" w:rsidR="00AA0BB8" w:rsidRDefault="00AA0BB8" w:rsidP="007F1B2D">
      <w:pPr>
        <w:pStyle w:val="Bullet"/>
      </w:pPr>
      <w:r w:rsidRPr="00C90D65">
        <w:rPr>
          <w:b/>
          <w:bCs/>
        </w:rPr>
        <w:t xml:space="preserve">Reestablishing Tui Raumata, our Diversity, Equity </w:t>
      </w:r>
      <w:r w:rsidR="00862417">
        <w:rPr>
          <w:b/>
          <w:bCs/>
        </w:rPr>
        <w:t>and</w:t>
      </w:r>
      <w:r w:rsidR="00862417" w:rsidRPr="00C90D65">
        <w:rPr>
          <w:b/>
          <w:bCs/>
        </w:rPr>
        <w:t xml:space="preserve"> </w:t>
      </w:r>
      <w:r w:rsidRPr="00C90D65">
        <w:rPr>
          <w:b/>
          <w:bCs/>
        </w:rPr>
        <w:t xml:space="preserve">Inclusion </w:t>
      </w:r>
      <w:r w:rsidR="00862417">
        <w:rPr>
          <w:b/>
          <w:bCs/>
        </w:rPr>
        <w:t>S</w:t>
      </w:r>
      <w:r w:rsidR="00862417" w:rsidRPr="00C90D65">
        <w:rPr>
          <w:b/>
          <w:bCs/>
        </w:rPr>
        <w:t xml:space="preserve">trategy </w:t>
      </w:r>
      <w:r w:rsidRPr="00C90D65">
        <w:rPr>
          <w:b/>
          <w:bCs/>
        </w:rPr>
        <w:t>for 2025</w:t>
      </w:r>
      <w:r w:rsidR="00862417">
        <w:rPr>
          <w:rFonts w:cs="Calibri"/>
          <w:b/>
          <w:bCs/>
        </w:rPr>
        <w:t>–</w:t>
      </w:r>
      <w:r w:rsidRPr="00C90D65">
        <w:rPr>
          <w:b/>
          <w:bCs/>
        </w:rPr>
        <w:t>27</w:t>
      </w:r>
      <w:r w:rsidR="00C90D65">
        <w:t xml:space="preserve">. </w:t>
      </w:r>
      <w:r>
        <w:t xml:space="preserve">The lifecycle of this strategy </w:t>
      </w:r>
      <w:proofErr w:type="gramStart"/>
      <w:r>
        <w:t>drew to a close</w:t>
      </w:r>
      <w:proofErr w:type="gramEnd"/>
      <w:r>
        <w:t xml:space="preserve"> at the end of 2024, and given the context of organisational reset, we have been limited in our ability to ask our kaimahi groups to input into redesign. This project will be a key deliverable for the second half of the 2024/25 financial year. Analysing and planning for reduction of pay gaps (based on real</w:t>
      </w:r>
      <w:r w:rsidR="00824DD1">
        <w:t>-</w:t>
      </w:r>
      <w:r>
        <w:t xml:space="preserve">time data rather than </w:t>
      </w:r>
      <w:proofErr w:type="gramStart"/>
      <w:r>
        <w:t>at</w:t>
      </w:r>
      <w:proofErr w:type="gramEnd"/>
      <w:r>
        <w:t xml:space="preserve"> 1 July 2024, before our organisational change took place) will occur as part of this project and the resulting work programme will be shared with our kaimahi. </w:t>
      </w:r>
    </w:p>
    <w:p w14:paraId="1AB3AFBF" w14:textId="03945E27" w:rsidR="00AA0BB8" w:rsidRDefault="00AA0BB8" w:rsidP="00860E56">
      <w:pPr>
        <w:pStyle w:val="Bullet"/>
      </w:pPr>
      <w:r w:rsidRPr="00C90D65">
        <w:rPr>
          <w:b/>
          <w:bCs/>
        </w:rPr>
        <w:t xml:space="preserve">Introducing a Growth </w:t>
      </w:r>
      <w:r w:rsidR="00824DD1">
        <w:rPr>
          <w:b/>
          <w:bCs/>
        </w:rPr>
        <w:t>and</w:t>
      </w:r>
      <w:r w:rsidR="00824DD1" w:rsidRPr="00C90D65">
        <w:rPr>
          <w:b/>
          <w:bCs/>
        </w:rPr>
        <w:t xml:space="preserve"> </w:t>
      </w:r>
      <w:r w:rsidRPr="00C90D65">
        <w:rPr>
          <w:b/>
          <w:bCs/>
        </w:rPr>
        <w:t>Performance Framework to support performance and career development</w:t>
      </w:r>
      <w:r w:rsidR="00C90D65" w:rsidRPr="00C90D65">
        <w:rPr>
          <w:b/>
          <w:bCs/>
        </w:rPr>
        <w:t>.</w:t>
      </w:r>
      <w:r w:rsidR="00C90D65">
        <w:t xml:space="preserve"> </w:t>
      </w:r>
      <w:r>
        <w:t xml:space="preserve">As a key deliverable of our organisation’s Renew programme of work, we are in the early stages of designing a Growth </w:t>
      </w:r>
      <w:r w:rsidR="005F5051">
        <w:t xml:space="preserve">and </w:t>
      </w:r>
      <w:r>
        <w:t xml:space="preserve">Performance Framework </w:t>
      </w:r>
      <w:r w:rsidR="005F5051">
        <w:t xml:space="preserve">that </w:t>
      </w:r>
      <w:r>
        <w:t xml:space="preserve">will support our people with clarity around the Ministry’s goals and priorities, measures of success, and ensure that all kaimahi have regular opportunities to discuss their performance and development with their people leaders. All people leaders will be supported with training to ensure they have clear expectations of how they are expected to support our people effectively within this framework. </w:t>
      </w:r>
    </w:p>
    <w:p w14:paraId="4BA420F5" w14:textId="6DECBC22" w:rsidR="00AA0BB8" w:rsidRDefault="00AA0BB8" w:rsidP="00860E56">
      <w:pPr>
        <w:pStyle w:val="Bullet"/>
      </w:pPr>
      <w:r w:rsidRPr="00C90D65">
        <w:rPr>
          <w:b/>
          <w:bCs/>
        </w:rPr>
        <w:t xml:space="preserve">Resetting our </w:t>
      </w:r>
      <w:r w:rsidR="00714F50">
        <w:rPr>
          <w:b/>
          <w:bCs/>
        </w:rPr>
        <w:t>c</w:t>
      </w:r>
      <w:r w:rsidRPr="00C90D65">
        <w:rPr>
          <w:b/>
          <w:bCs/>
        </w:rPr>
        <w:t>ulture</w:t>
      </w:r>
      <w:r w:rsidR="00C90D65">
        <w:t xml:space="preserve">. </w:t>
      </w:r>
      <w:r>
        <w:t xml:space="preserve">We have commenced work on redefining our organisational culture and values to ensure that this aligns with our goals, is clear to our people, and supports the diverse and inclusive organisation we aspire to be. It’s important to us that we build an environment where all our kaimahi can thrive, and as such we will see this woven through our culture work programme. </w:t>
      </w:r>
    </w:p>
    <w:p w14:paraId="470020A8" w14:textId="467D8F6A" w:rsidR="00AA0BB8" w:rsidRPr="00C90D65" w:rsidRDefault="00AA0BB8" w:rsidP="00860E56">
      <w:pPr>
        <w:pStyle w:val="Bullet"/>
        <w:rPr>
          <w:rFonts w:eastAsiaTheme="minorEastAsia" w:cstheme="minorBidi"/>
          <w:i/>
          <w:iCs/>
          <w:szCs w:val="22"/>
        </w:rPr>
      </w:pPr>
      <w:r w:rsidRPr="00C90D65">
        <w:rPr>
          <w:b/>
          <w:bCs/>
        </w:rPr>
        <w:t>Continuing to build momentum on cultural capability</w:t>
      </w:r>
      <w:r w:rsidR="00C90D65" w:rsidRPr="00C90D65">
        <w:rPr>
          <w:rFonts w:eastAsiaTheme="minorEastAsia" w:cstheme="minorBidi"/>
          <w:szCs w:val="22"/>
        </w:rPr>
        <w:t>.</w:t>
      </w:r>
      <w:r w:rsidRPr="00C90D65">
        <w:rPr>
          <w:rFonts w:eastAsiaTheme="minorEastAsia" w:cstheme="minorBidi"/>
          <w:i/>
          <w:iCs/>
          <w:szCs w:val="22"/>
        </w:rPr>
        <w:t xml:space="preserve"> </w:t>
      </w:r>
      <w:r w:rsidRPr="00F61D15">
        <w:t>Tōnui</w:t>
      </w:r>
      <w:r>
        <w:t xml:space="preserve">, our baseline cultural capability programme has been rolled out to all kaimahi, consisting of an in-person workshop and series of self-paced modules. We are currently in the process of designing and building </w:t>
      </w:r>
      <w:r w:rsidRPr="00F61D15">
        <w:t>Tōnui 2.0</w:t>
      </w:r>
      <w:r w:rsidRPr="00B46121">
        <w:t>, which</w:t>
      </w:r>
      <w:r>
        <w:t xml:space="preserve"> is an extension programme designed for roles across the business where there is a higher degree of capability required to perform successfully. This programme is based on </w:t>
      </w:r>
      <w:hyperlink r:id="rId33" w:history="1">
        <w:r w:rsidRPr="00B46121">
          <w:rPr>
            <w:rStyle w:val="Hyperlink"/>
          </w:rPr>
          <w:t>Whāinga Amorangi</w:t>
        </w:r>
      </w:hyperlink>
      <w:r>
        <w:t xml:space="preserve"> and aims to support kaimahi to reach the ‘Capable’ level of the framework. </w:t>
      </w:r>
    </w:p>
    <w:p w14:paraId="56086EC0" w14:textId="756FC144" w:rsidR="00AA0BB8" w:rsidRPr="00C90D65" w:rsidRDefault="00AA0BB8" w:rsidP="00C90D65">
      <w:pPr>
        <w:pStyle w:val="Bullet"/>
        <w:rPr>
          <w:rFonts w:eastAsia="Yu Gothic Light"/>
          <w:b/>
          <w:bCs/>
        </w:rPr>
      </w:pPr>
      <w:r w:rsidRPr="00C90D65">
        <w:rPr>
          <w:rFonts w:eastAsia="Yu Gothic Light"/>
          <w:b/>
          <w:bCs/>
        </w:rPr>
        <w:t>Reviewing pay</w:t>
      </w:r>
      <w:r w:rsidR="00B46121">
        <w:rPr>
          <w:rFonts w:eastAsia="Yu Gothic Light"/>
          <w:b/>
          <w:bCs/>
        </w:rPr>
        <w:t>-</w:t>
      </w:r>
      <w:r w:rsidRPr="00C90D65">
        <w:rPr>
          <w:rFonts w:eastAsia="Yu Gothic Light"/>
          <w:b/>
          <w:bCs/>
        </w:rPr>
        <w:t>gap controls within our recruitment process</w:t>
      </w:r>
      <w:r w:rsidR="00C90D65">
        <w:rPr>
          <w:rFonts w:eastAsia="Yu Gothic Light"/>
          <w:b/>
          <w:bCs/>
        </w:rPr>
        <w:t xml:space="preserve">. </w:t>
      </w:r>
      <w:r w:rsidRPr="00C90D65">
        <w:rPr>
          <w:rFonts w:eastAsia="Yu Gothic Light"/>
        </w:rPr>
        <w:t xml:space="preserve">Work currently underway on our recruitment process includes the review of delegations for remuneration decisions as point-of-hire, and will seek to ensure </w:t>
      </w:r>
      <w:r w:rsidR="00DE2D31">
        <w:rPr>
          <w:rFonts w:eastAsia="Yu Gothic Light"/>
        </w:rPr>
        <w:t xml:space="preserve">that </w:t>
      </w:r>
      <w:r w:rsidRPr="00C90D65">
        <w:rPr>
          <w:rFonts w:eastAsia="Yu Gothic Light"/>
        </w:rPr>
        <w:t>good visibility of pay</w:t>
      </w:r>
      <w:r w:rsidR="00DE2D31">
        <w:rPr>
          <w:rFonts w:eastAsia="Yu Gothic Light"/>
        </w:rPr>
        <w:t>-</w:t>
      </w:r>
      <w:r w:rsidRPr="00C90D65">
        <w:rPr>
          <w:rFonts w:eastAsia="Yu Gothic Light"/>
        </w:rPr>
        <w:t xml:space="preserve">gap impacts of proposed remuneration offers is built in. </w:t>
      </w:r>
    </w:p>
    <w:p w14:paraId="24983775" w14:textId="36EDDFF2" w:rsidR="00D009D8" w:rsidRPr="006B77BB" w:rsidRDefault="00D009D8" w:rsidP="00554B30">
      <w:pPr>
        <w:pStyle w:val="References"/>
      </w:pPr>
    </w:p>
    <w:sectPr w:rsidR="00D009D8" w:rsidRPr="006B77BB" w:rsidSect="00F61D15">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2505F" w14:textId="77777777" w:rsidR="0015667B" w:rsidRDefault="0015667B" w:rsidP="0080531E">
      <w:pPr>
        <w:spacing w:before="0" w:after="0" w:line="240" w:lineRule="auto"/>
      </w:pPr>
      <w:r>
        <w:separator/>
      </w:r>
    </w:p>
    <w:p w14:paraId="3E621C9C" w14:textId="77777777" w:rsidR="0015667B" w:rsidRDefault="0015667B"/>
  </w:endnote>
  <w:endnote w:type="continuationSeparator" w:id="0">
    <w:p w14:paraId="269955C1" w14:textId="77777777" w:rsidR="0015667B" w:rsidRDefault="0015667B" w:rsidP="0080531E">
      <w:pPr>
        <w:spacing w:before="0" w:after="0" w:line="240" w:lineRule="auto"/>
      </w:pPr>
      <w:r>
        <w:continuationSeparator/>
      </w:r>
    </w:p>
    <w:p w14:paraId="637B90FF" w14:textId="77777777" w:rsidR="0015667B" w:rsidRDefault="0015667B"/>
  </w:endnote>
  <w:endnote w:type="continuationNotice" w:id="1">
    <w:p w14:paraId="59A1947D" w14:textId="77777777" w:rsidR="0015667B" w:rsidRDefault="001566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53C2" w14:textId="77777777" w:rsidR="002438E5" w:rsidRDefault="002438E5">
    <w:pPr>
      <w:pStyle w:val="Footer"/>
    </w:pPr>
  </w:p>
  <w:p w14:paraId="3EBBD7C1" w14:textId="77777777" w:rsidR="002E25E0" w:rsidRDefault="002E25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CA74" w14:textId="77777777" w:rsidR="00E5210B" w:rsidRDefault="009F1D7F" w:rsidP="009F1D7F">
    <w:pPr>
      <w:spacing w:before="0" w:after="0" w:line="240" w:lineRule="auto"/>
      <w:jc w:val="left"/>
    </w:pPr>
    <w:r>
      <w:rPr>
        <w:b/>
        <w:bCs/>
        <w:noProof/>
      </w:rPr>
      <w:drawing>
        <wp:inline distT="0" distB="0" distL="0" distR="0" wp14:anchorId="714F1C87" wp14:editId="03065E42">
          <wp:extent cx="2239911" cy="538480"/>
          <wp:effectExtent l="0" t="0" r="0" b="0"/>
          <wp:docPr id="936386589" name="Picture 93638658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319270" cy="557558"/>
                  </a:xfrm>
                  <a:prstGeom prst="rect">
                    <a:avLst/>
                  </a:prstGeom>
                  <a:noFill/>
                  <a:ln>
                    <a:noFill/>
                  </a:ln>
                  <a:extLst>
                    <a:ext uri="{53640926-AAD7-44D8-BBD7-CCE9431645EC}">
                      <a14:shadowObscured xmlns:a14="http://schemas.microsoft.com/office/drawing/2010/main"/>
                    </a:ext>
                  </a:extLst>
                </pic:spPr>
              </pic:pic>
            </a:graphicData>
          </a:graphic>
        </wp:inline>
      </w:drawing>
    </w:r>
  </w:p>
  <w:p w14:paraId="7C46A497" w14:textId="77777777" w:rsidR="002E25E0" w:rsidRDefault="002E25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95060" w14:textId="77777777" w:rsidR="002438E5" w:rsidRDefault="002438E5">
    <w:pPr>
      <w:pStyle w:val="Footer"/>
    </w:pPr>
  </w:p>
  <w:p w14:paraId="35B6FA9C" w14:textId="77777777" w:rsidR="002E25E0" w:rsidRDefault="002E25E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3115C" w14:textId="77777777" w:rsidR="00E5210B" w:rsidRDefault="00E5210B" w:rsidP="00E65427">
    <w:pPr>
      <w:spacing w:before="240"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5479" w14:textId="77777777" w:rsidR="00E5210B" w:rsidRDefault="00E5210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95217" w14:textId="1D47FFA5"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5D3242">
      <w:rPr>
        <w:noProof/>
      </w:rPr>
      <w:t>8</w:t>
    </w:r>
    <w:r w:rsidRPr="004F458A">
      <w:rPr>
        <w:b/>
      </w:rPr>
      <w:fldChar w:fldCharType="end"/>
    </w:r>
    <w:r>
      <w:tab/>
    </w:r>
    <w:r w:rsidR="00F27E6D" w:rsidRPr="00F27E6D">
      <w:t>Diversity, equity and inclusion: Kia Toipoto and Papa Pounamu combined report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5734" w14:textId="519366EA" w:rsidR="00E453AB" w:rsidRDefault="00E5210B" w:rsidP="00CD25E1">
    <w:pPr>
      <w:pStyle w:val="Footerodd"/>
    </w:pPr>
    <w:r>
      <w:tab/>
    </w:r>
    <w:r w:rsidR="00F27E6D">
      <w:tab/>
    </w:r>
    <w:r w:rsidR="00F27E6D" w:rsidRPr="00F27E6D">
      <w:t>Diversity, equity and inclusion: Kia Toipoto and Papa Pounamu combined report</w:t>
    </w:r>
    <w:r>
      <w:tab/>
    </w:r>
    <w:r w:rsidR="008540A6">
      <w:fldChar w:fldCharType="begin"/>
    </w:r>
    <w:r w:rsidR="008540A6">
      <w:instrText xml:space="preserve"> PAGE   \* MERGEFORMAT </w:instrText>
    </w:r>
    <w:r w:rsidR="008540A6">
      <w:fldChar w:fldCharType="separate"/>
    </w:r>
    <w:r w:rsidR="005D3242">
      <w:rPr>
        <w:noProof/>
      </w:rPr>
      <w:t>7</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AEF2A" w14:textId="77777777" w:rsidR="0015667B" w:rsidRDefault="0015667B" w:rsidP="00CB5C5F">
      <w:pPr>
        <w:spacing w:before="0" w:after="80" w:line="240" w:lineRule="auto"/>
      </w:pPr>
      <w:r>
        <w:separator/>
      </w:r>
    </w:p>
  </w:footnote>
  <w:footnote w:type="continuationSeparator" w:id="0">
    <w:p w14:paraId="65308AB1" w14:textId="77777777" w:rsidR="0015667B" w:rsidRDefault="0015667B" w:rsidP="0080531E">
      <w:pPr>
        <w:spacing w:before="0" w:after="0" w:line="240" w:lineRule="auto"/>
      </w:pPr>
      <w:r>
        <w:continuationSeparator/>
      </w:r>
    </w:p>
    <w:p w14:paraId="12459925" w14:textId="77777777" w:rsidR="0015667B" w:rsidRDefault="0015667B"/>
  </w:footnote>
  <w:footnote w:type="continuationNotice" w:id="1">
    <w:p w14:paraId="0AC94B94" w14:textId="77777777" w:rsidR="0015667B" w:rsidRDefault="0015667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40AB" w14:textId="77777777" w:rsidR="002438E5" w:rsidRDefault="002438E5">
    <w:pPr>
      <w:pStyle w:val="Header"/>
    </w:pPr>
  </w:p>
  <w:p w14:paraId="0FDD09E0" w14:textId="77777777" w:rsidR="002E25E0" w:rsidRDefault="002E25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A924" w14:textId="77777777" w:rsidR="00DE7BF8" w:rsidRPr="00DE7BF8" w:rsidRDefault="009F1D7F" w:rsidP="009F1D7F">
    <w:pPr>
      <w:pStyle w:val="Header"/>
      <w:jc w:val="left"/>
      <w:rPr>
        <w:rFonts w:ascii="Calibri" w:hAnsi="Calibri"/>
      </w:rPr>
    </w:pPr>
    <w:r>
      <w:rPr>
        <w:rFonts w:ascii="Calibri" w:hAnsi="Calibri"/>
        <w:noProof/>
      </w:rPr>
      <w:drawing>
        <wp:inline distT="0" distB="0" distL="0" distR="0" wp14:anchorId="52BD2EFB" wp14:editId="3EC04620">
          <wp:extent cx="2117598" cy="695325"/>
          <wp:effectExtent l="0" t="0" r="0" b="0"/>
          <wp:docPr id="994264877" name="Picture 994264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3339"/>
                  <a:stretch/>
                </pic:blipFill>
                <pic:spPr bwMode="auto">
                  <a:xfrm>
                    <a:off x="0" y="0"/>
                    <a:ext cx="2117598" cy="695325"/>
                  </a:xfrm>
                  <a:prstGeom prst="rect">
                    <a:avLst/>
                  </a:prstGeom>
                  <a:noFill/>
                  <a:ln>
                    <a:noFill/>
                  </a:ln>
                  <a:extLst>
                    <a:ext uri="{53640926-AAD7-44D8-BBD7-CCE9431645EC}">
                      <a14:shadowObscured xmlns:a14="http://schemas.microsoft.com/office/drawing/2010/main"/>
                    </a:ext>
                  </a:extLst>
                </pic:spPr>
              </pic:pic>
            </a:graphicData>
          </a:graphic>
        </wp:inline>
      </w:drawing>
    </w:r>
  </w:p>
  <w:p w14:paraId="7B018780" w14:textId="77777777" w:rsidR="002E25E0" w:rsidRDefault="002E25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E1DAE" w14:textId="77777777" w:rsidR="002438E5" w:rsidRDefault="002438E5">
    <w:pPr>
      <w:pStyle w:val="Header"/>
    </w:pPr>
  </w:p>
  <w:p w14:paraId="71330094" w14:textId="77777777" w:rsidR="002E25E0" w:rsidRDefault="002E25E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C7BC" w14:textId="77777777" w:rsidR="00E5210B" w:rsidRDefault="00E5210B" w:rsidP="0036151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F0664" w14:textId="77777777" w:rsidR="00E5210B" w:rsidRDefault="00E52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F502895"/>
    <w:multiLevelType w:val="hybridMultilevel"/>
    <w:tmpl w:val="0DEC72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2A12194"/>
    <w:multiLevelType w:val="hybridMultilevel"/>
    <w:tmpl w:val="CF28EA2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5" w15:restartNumberingAfterBreak="0">
    <w:nsid w:val="2E6F201E"/>
    <w:multiLevelType w:val="multilevel"/>
    <w:tmpl w:val="C7440BB4"/>
    <w:numStyleLink w:val="Style2"/>
  </w:abstractNum>
  <w:abstractNum w:abstractNumId="16"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7"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5"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7"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1"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42717"/>
    <w:multiLevelType w:val="multilevel"/>
    <w:tmpl w:val="DCDEB9D0"/>
    <w:numStyleLink w:val="Style1"/>
  </w:abstractNum>
  <w:abstractNum w:abstractNumId="33"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5" w15:restartNumberingAfterBreak="0">
    <w:nsid w:val="71882DB3"/>
    <w:multiLevelType w:val="hybridMultilevel"/>
    <w:tmpl w:val="2114735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FA27F4"/>
    <w:multiLevelType w:val="hybridMultilevel"/>
    <w:tmpl w:val="F3E657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CD2554E"/>
    <w:multiLevelType w:val="hybridMultilevel"/>
    <w:tmpl w:val="B85C3E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848715540">
    <w:abstractNumId w:val="16"/>
  </w:num>
  <w:num w:numId="2" w16cid:durableId="1287734805">
    <w:abstractNumId w:val="26"/>
  </w:num>
  <w:num w:numId="3" w16cid:durableId="1538541818">
    <w:abstractNumId w:val="40"/>
  </w:num>
  <w:num w:numId="4" w16cid:durableId="550508225">
    <w:abstractNumId w:val="21"/>
  </w:num>
  <w:num w:numId="5" w16cid:durableId="745567648">
    <w:abstractNumId w:val="14"/>
  </w:num>
  <w:num w:numId="6" w16cid:durableId="2076933510">
    <w:abstractNumId w:val="8"/>
  </w:num>
  <w:num w:numId="7" w16cid:durableId="1899433097">
    <w:abstractNumId w:val="24"/>
  </w:num>
  <w:num w:numId="8" w16cid:durableId="1088233813">
    <w:abstractNumId w:val="23"/>
  </w:num>
  <w:num w:numId="9" w16cid:durableId="394550804">
    <w:abstractNumId w:val="37"/>
  </w:num>
  <w:num w:numId="10" w16cid:durableId="170938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4602378">
    <w:abstractNumId w:val="1"/>
  </w:num>
  <w:num w:numId="12" w16cid:durableId="1912157551">
    <w:abstractNumId w:val="30"/>
  </w:num>
  <w:num w:numId="13" w16cid:durableId="797454537">
    <w:abstractNumId w:val="13"/>
  </w:num>
  <w:num w:numId="14" w16cid:durableId="284310654">
    <w:abstractNumId w:val="32"/>
  </w:num>
  <w:num w:numId="15" w16cid:durableId="1819420646">
    <w:abstractNumId w:val="22"/>
  </w:num>
  <w:num w:numId="16" w16cid:durableId="1770615197">
    <w:abstractNumId w:val="12"/>
  </w:num>
  <w:num w:numId="17" w16cid:durableId="1658604841">
    <w:abstractNumId w:val="31"/>
  </w:num>
  <w:num w:numId="18" w16cid:durableId="905535034">
    <w:abstractNumId w:val="27"/>
  </w:num>
  <w:num w:numId="19" w16cid:durableId="1465346826">
    <w:abstractNumId w:val="33"/>
  </w:num>
  <w:num w:numId="20" w16cid:durableId="676690097">
    <w:abstractNumId w:val="15"/>
  </w:num>
  <w:num w:numId="21" w16cid:durableId="2031447556">
    <w:abstractNumId w:val="28"/>
  </w:num>
  <w:num w:numId="22" w16cid:durableId="752623358">
    <w:abstractNumId w:val="5"/>
  </w:num>
  <w:num w:numId="23" w16cid:durableId="867841801">
    <w:abstractNumId w:val="25"/>
  </w:num>
  <w:num w:numId="24" w16cid:durableId="720790089">
    <w:abstractNumId w:val="17"/>
  </w:num>
  <w:num w:numId="25" w16cid:durableId="222520331">
    <w:abstractNumId w:val="36"/>
  </w:num>
  <w:num w:numId="26" w16cid:durableId="717584311">
    <w:abstractNumId w:val="29"/>
  </w:num>
  <w:num w:numId="27" w16cid:durableId="779765061">
    <w:abstractNumId w:val="0"/>
  </w:num>
  <w:num w:numId="28" w16cid:durableId="342437984">
    <w:abstractNumId w:val="19"/>
  </w:num>
  <w:num w:numId="29" w16cid:durableId="86079989">
    <w:abstractNumId w:val="10"/>
  </w:num>
  <w:num w:numId="30" w16cid:durableId="190724435">
    <w:abstractNumId w:val="4"/>
  </w:num>
  <w:num w:numId="31" w16cid:durableId="180439593">
    <w:abstractNumId w:val="2"/>
  </w:num>
  <w:num w:numId="32" w16cid:durableId="2007590403">
    <w:abstractNumId w:val="6"/>
  </w:num>
  <w:num w:numId="33" w16cid:durableId="1951621493">
    <w:abstractNumId w:val="11"/>
  </w:num>
  <w:num w:numId="34" w16cid:durableId="1425766684">
    <w:abstractNumId w:val="20"/>
  </w:num>
  <w:num w:numId="35" w16cid:durableId="11616712">
    <w:abstractNumId w:val="18"/>
  </w:num>
  <w:num w:numId="36" w16cid:durableId="1911882459">
    <w:abstractNumId w:val="7"/>
  </w:num>
  <w:num w:numId="37" w16cid:durableId="1044714646">
    <w:abstractNumId w:val="34"/>
  </w:num>
  <w:num w:numId="38" w16cid:durableId="19952593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05948139">
    <w:abstractNumId w:val="38"/>
  </w:num>
  <w:num w:numId="40" w16cid:durableId="730807428">
    <w:abstractNumId w:val="3"/>
  </w:num>
  <w:num w:numId="41" w16cid:durableId="1889106283">
    <w:abstractNumId w:val="39"/>
  </w:num>
  <w:num w:numId="42" w16cid:durableId="721758184">
    <w:abstractNumId w:val="9"/>
  </w:num>
  <w:num w:numId="43" w16cid:durableId="1489403181">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47"/>
    <w:rsid w:val="00000792"/>
    <w:rsid w:val="00000F04"/>
    <w:rsid w:val="00001308"/>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303C"/>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35B5"/>
    <w:rsid w:val="00023BDA"/>
    <w:rsid w:val="00024708"/>
    <w:rsid w:val="00024EE7"/>
    <w:rsid w:val="00025F96"/>
    <w:rsid w:val="00025FAB"/>
    <w:rsid w:val="00026E89"/>
    <w:rsid w:val="000275A3"/>
    <w:rsid w:val="00030558"/>
    <w:rsid w:val="00030699"/>
    <w:rsid w:val="00030725"/>
    <w:rsid w:val="00030DB8"/>
    <w:rsid w:val="00031A83"/>
    <w:rsid w:val="0003213A"/>
    <w:rsid w:val="00032A81"/>
    <w:rsid w:val="00033952"/>
    <w:rsid w:val="000340D8"/>
    <w:rsid w:val="0003427D"/>
    <w:rsid w:val="00034DFA"/>
    <w:rsid w:val="0003541E"/>
    <w:rsid w:val="000357ED"/>
    <w:rsid w:val="00035E15"/>
    <w:rsid w:val="0003640E"/>
    <w:rsid w:val="0003688A"/>
    <w:rsid w:val="000368D4"/>
    <w:rsid w:val="000368FC"/>
    <w:rsid w:val="00036A0D"/>
    <w:rsid w:val="00036DA3"/>
    <w:rsid w:val="000379BF"/>
    <w:rsid w:val="00037BEC"/>
    <w:rsid w:val="000400D9"/>
    <w:rsid w:val="0004035C"/>
    <w:rsid w:val="00040860"/>
    <w:rsid w:val="00040CED"/>
    <w:rsid w:val="00040EA1"/>
    <w:rsid w:val="0004205F"/>
    <w:rsid w:val="000423C6"/>
    <w:rsid w:val="00042EDB"/>
    <w:rsid w:val="00043080"/>
    <w:rsid w:val="00044A50"/>
    <w:rsid w:val="00044C65"/>
    <w:rsid w:val="00045863"/>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6D01"/>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D5F"/>
    <w:rsid w:val="00070FBF"/>
    <w:rsid w:val="000711EE"/>
    <w:rsid w:val="0007180E"/>
    <w:rsid w:val="00071AE4"/>
    <w:rsid w:val="00071CB5"/>
    <w:rsid w:val="00071CCB"/>
    <w:rsid w:val="00071D03"/>
    <w:rsid w:val="00071DF9"/>
    <w:rsid w:val="0007232B"/>
    <w:rsid w:val="000735A2"/>
    <w:rsid w:val="000737A2"/>
    <w:rsid w:val="0007517E"/>
    <w:rsid w:val="00075FE1"/>
    <w:rsid w:val="00076667"/>
    <w:rsid w:val="00077473"/>
    <w:rsid w:val="00077481"/>
    <w:rsid w:val="000776F9"/>
    <w:rsid w:val="00077EE0"/>
    <w:rsid w:val="000802F9"/>
    <w:rsid w:val="0008145A"/>
    <w:rsid w:val="0008162D"/>
    <w:rsid w:val="000831C8"/>
    <w:rsid w:val="000831CE"/>
    <w:rsid w:val="00083F5E"/>
    <w:rsid w:val="00084FDB"/>
    <w:rsid w:val="0008505C"/>
    <w:rsid w:val="0008593F"/>
    <w:rsid w:val="00085C46"/>
    <w:rsid w:val="0008686A"/>
    <w:rsid w:val="00087175"/>
    <w:rsid w:val="00087D35"/>
    <w:rsid w:val="0009132D"/>
    <w:rsid w:val="00091796"/>
    <w:rsid w:val="00091BA2"/>
    <w:rsid w:val="00091CB0"/>
    <w:rsid w:val="00094344"/>
    <w:rsid w:val="000953C6"/>
    <w:rsid w:val="000953F4"/>
    <w:rsid w:val="0009590C"/>
    <w:rsid w:val="000959E7"/>
    <w:rsid w:val="00095C45"/>
    <w:rsid w:val="00095E7D"/>
    <w:rsid w:val="000964DE"/>
    <w:rsid w:val="000972AB"/>
    <w:rsid w:val="0009781B"/>
    <w:rsid w:val="00097B40"/>
    <w:rsid w:val="00097D0E"/>
    <w:rsid w:val="000A0DF5"/>
    <w:rsid w:val="000A109B"/>
    <w:rsid w:val="000A17EA"/>
    <w:rsid w:val="000A1C7A"/>
    <w:rsid w:val="000A2345"/>
    <w:rsid w:val="000A2394"/>
    <w:rsid w:val="000A26D2"/>
    <w:rsid w:val="000A31C1"/>
    <w:rsid w:val="000A32C5"/>
    <w:rsid w:val="000A3411"/>
    <w:rsid w:val="000A34CA"/>
    <w:rsid w:val="000A426F"/>
    <w:rsid w:val="000A4559"/>
    <w:rsid w:val="000A45FD"/>
    <w:rsid w:val="000A477B"/>
    <w:rsid w:val="000A4B63"/>
    <w:rsid w:val="000A558D"/>
    <w:rsid w:val="000A5611"/>
    <w:rsid w:val="000A563C"/>
    <w:rsid w:val="000A5715"/>
    <w:rsid w:val="000A59C5"/>
    <w:rsid w:val="000A5DEA"/>
    <w:rsid w:val="000A5EBD"/>
    <w:rsid w:val="000A6BD0"/>
    <w:rsid w:val="000A7658"/>
    <w:rsid w:val="000A7F0F"/>
    <w:rsid w:val="000A7F4C"/>
    <w:rsid w:val="000B02BC"/>
    <w:rsid w:val="000B0498"/>
    <w:rsid w:val="000B0F36"/>
    <w:rsid w:val="000B1942"/>
    <w:rsid w:val="000B1BED"/>
    <w:rsid w:val="000B2240"/>
    <w:rsid w:val="000B2477"/>
    <w:rsid w:val="000B2600"/>
    <w:rsid w:val="000B36F9"/>
    <w:rsid w:val="000B4074"/>
    <w:rsid w:val="000B4732"/>
    <w:rsid w:val="000B4BCD"/>
    <w:rsid w:val="000B5C7C"/>
    <w:rsid w:val="000B5FB0"/>
    <w:rsid w:val="000B66DC"/>
    <w:rsid w:val="000B6D1F"/>
    <w:rsid w:val="000C062F"/>
    <w:rsid w:val="000C17E7"/>
    <w:rsid w:val="000C3270"/>
    <w:rsid w:val="000C577E"/>
    <w:rsid w:val="000D0317"/>
    <w:rsid w:val="000D04BA"/>
    <w:rsid w:val="000D056F"/>
    <w:rsid w:val="000D0742"/>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72"/>
    <w:rsid w:val="000D7088"/>
    <w:rsid w:val="000D770B"/>
    <w:rsid w:val="000D788E"/>
    <w:rsid w:val="000E12B0"/>
    <w:rsid w:val="000E1BC8"/>
    <w:rsid w:val="000E1D32"/>
    <w:rsid w:val="000E234D"/>
    <w:rsid w:val="000E26D8"/>
    <w:rsid w:val="000E2B94"/>
    <w:rsid w:val="000E2CB1"/>
    <w:rsid w:val="000E3156"/>
    <w:rsid w:val="000E35B6"/>
    <w:rsid w:val="000E3BB8"/>
    <w:rsid w:val="000E3D9B"/>
    <w:rsid w:val="000E3DFD"/>
    <w:rsid w:val="000E4261"/>
    <w:rsid w:val="000E4697"/>
    <w:rsid w:val="000E58C5"/>
    <w:rsid w:val="000E6203"/>
    <w:rsid w:val="000E64CB"/>
    <w:rsid w:val="000E6D6D"/>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0F7EB7"/>
    <w:rsid w:val="001007EE"/>
    <w:rsid w:val="00100F76"/>
    <w:rsid w:val="00101130"/>
    <w:rsid w:val="0010148E"/>
    <w:rsid w:val="00101657"/>
    <w:rsid w:val="001018BB"/>
    <w:rsid w:val="0010253C"/>
    <w:rsid w:val="00102BD1"/>
    <w:rsid w:val="0010486A"/>
    <w:rsid w:val="0010561C"/>
    <w:rsid w:val="00105C0F"/>
    <w:rsid w:val="00105E39"/>
    <w:rsid w:val="00106561"/>
    <w:rsid w:val="00106D63"/>
    <w:rsid w:val="001075F3"/>
    <w:rsid w:val="00107A01"/>
    <w:rsid w:val="00107C23"/>
    <w:rsid w:val="00110307"/>
    <w:rsid w:val="001105F0"/>
    <w:rsid w:val="00110C7F"/>
    <w:rsid w:val="00110EE2"/>
    <w:rsid w:val="00111A7A"/>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01AD"/>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0A41"/>
    <w:rsid w:val="001310BF"/>
    <w:rsid w:val="001330BA"/>
    <w:rsid w:val="00133E73"/>
    <w:rsid w:val="00133FDB"/>
    <w:rsid w:val="00134F4A"/>
    <w:rsid w:val="001351CB"/>
    <w:rsid w:val="00135A68"/>
    <w:rsid w:val="00135E4E"/>
    <w:rsid w:val="00136246"/>
    <w:rsid w:val="001364D4"/>
    <w:rsid w:val="001371C8"/>
    <w:rsid w:val="001372ED"/>
    <w:rsid w:val="0013773C"/>
    <w:rsid w:val="00140FEF"/>
    <w:rsid w:val="00142B50"/>
    <w:rsid w:val="001432C3"/>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91D"/>
    <w:rsid w:val="00151A9F"/>
    <w:rsid w:val="00152B87"/>
    <w:rsid w:val="00153A96"/>
    <w:rsid w:val="00153D1C"/>
    <w:rsid w:val="001543E2"/>
    <w:rsid w:val="00155B43"/>
    <w:rsid w:val="001565A2"/>
    <w:rsid w:val="0015667B"/>
    <w:rsid w:val="001567C3"/>
    <w:rsid w:val="00156A12"/>
    <w:rsid w:val="00157B3F"/>
    <w:rsid w:val="00157F8A"/>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2E3E"/>
    <w:rsid w:val="0017319E"/>
    <w:rsid w:val="00173A1F"/>
    <w:rsid w:val="00173BC3"/>
    <w:rsid w:val="00174128"/>
    <w:rsid w:val="0017440A"/>
    <w:rsid w:val="00175C34"/>
    <w:rsid w:val="00175F9A"/>
    <w:rsid w:val="001766C9"/>
    <w:rsid w:val="00176E98"/>
    <w:rsid w:val="00177996"/>
    <w:rsid w:val="00180B3F"/>
    <w:rsid w:val="00180C83"/>
    <w:rsid w:val="00180CE5"/>
    <w:rsid w:val="0018175B"/>
    <w:rsid w:val="001820A3"/>
    <w:rsid w:val="0018260E"/>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3E4B"/>
    <w:rsid w:val="00194BB7"/>
    <w:rsid w:val="00194CC5"/>
    <w:rsid w:val="001951B2"/>
    <w:rsid w:val="0019565D"/>
    <w:rsid w:val="00197564"/>
    <w:rsid w:val="00197EC2"/>
    <w:rsid w:val="00197ECE"/>
    <w:rsid w:val="001A0F41"/>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0357"/>
    <w:rsid w:val="001C0CF3"/>
    <w:rsid w:val="001C147E"/>
    <w:rsid w:val="001C151B"/>
    <w:rsid w:val="001C19E5"/>
    <w:rsid w:val="001C3666"/>
    <w:rsid w:val="001C3800"/>
    <w:rsid w:val="001C3C7B"/>
    <w:rsid w:val="001C4BD9"/>
    <w:rsid w:val="001C540A"/>
    <w:rsid w:val="001C6122"/>
    <w:rsid w:val="001C6587"/>
    <w:rsid w:val="001C69BE"/>
    <w:rsid w:val="001C6DB5"/>
    <w:rsid w:val="001C71AC"/>
    <w:rsid w:val="001C7316"/>
    <w:rsid w:val="001C7E5C"/>
    <w:rsid w:val="001D00CC"/>
    <w:rsid w:val="001D02B8"/>
    <w:rsid w:val="001D0494"/>
    <w:rsid w:val="001D07B7"/>
    <w:rsid w:val="001D1719"/>
    <w:rsid w:val="001D171B"/>
    <w:rsid w:val="001D1732"/>
    <w:rsid w:val="001D1E2E"/>
    <w:rsid w:val="001D2203"/>
    <w:rsid w:val="001D225E"/>
    <w:rsid w:val="001D255C"/>
    <w:rsid w:val="001D2DEF"/>
    <w:rsid w:val="001D30BB"/>
    <w:rsid w:val="001D488C"/>
    <w:rsid w:val="001D4CDF"/>
    <w:rsid w:val="001D4F88"/>
    <w:rsid w:val="001D578D"/>
    <w:rsid w:val="001D5818"/>
    <w:rsid w:val="001D653A"/>
    <w:rsid w:val="001D7DEE"/>
    <w:rsid w:val="001E02CB"/>
    <w:rsid w:val="001E0F22"/>
    <w:rsid w:val="001E14FD"/>
    <w:rsid w:val="001E180F"/>
    <w:rsid w:val="001E1C64"/>
    <w:rsid w:val="001E1CEC"/>
    <w:rsid w:val="001E2ECB"/>
    <w:rsid w:val="001E4B64"/>
    <w:rsid w:val="001E4DD2"/>
    <w:rsid w:val="001E552A"/>
    <w:rsid w:val="001E57B9"/>
    <w:rsid w:val="001E6E8D"/>
    <w:rsid w:val="001E7EE4"/>
    <w:rsid w:val="001E7F47"/>
    <w:rsid w:val="001E7F76"/>
    <w:rsid w:val="001F0921"/>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930"/>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5F6"/>
    <w:rsid w:val="00212A82"/>
    <w:rsid w:val="00214EA2"/>
    <w:rsid w:val="002160FA"/>
    <w:rsid w:val="002166DD"/>
    <w:rsid w:val="002168A2"/>
    <w:rsid w:val="00216AC3"/>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385"/>
    <w:rsid w:val="00226AA2"/>
    <w:rsid w:val="00227218"/>
    <w:rsid w:val="002273D3"/>
    <w:rsid w:val="0022770A"/>
    <w:rsid w:val="00227BEE"/>
    <w:rsid w:val="00227FB4"/>
    <w:rsid w:val="0023057E"/>
    <w:rsid w:val="002312BC"/>
    <w:rsid w:val="002337E5"/>
    <w:rsid w:val="00233C06"/>
    <w:rsid w:val="00233F24"/>
    <w:rsid w:val="00234BBB"/>
    <w:rsid w:val="002356F4"/>
    <w:rsid w:val="00235F02"/>
    <w:rsid w:val="00236727"/>
    <w:rsid w:val="00236D28"/>
    <w:rsid w:val="00237FE4"/>
    <w:rsid w:val="00240656"/>
    <w:rsid w:val="00241610"/>
    <w:rsid w:val="00241AED"/>
    <w:rsid w:val="00243182"/>
    <w:rsid w:val="002438E5"/>
    <w:rsid w:val="00243928"/>
    <w:rsid w:val="00243946"/>
    <w:rsid w:val="00243BC5"/>
    <w:rsid w:val="00243C7D"/>
    <w:rsid w:val="00243E9A"/>
    <w:rsid w:val="00244371"/>
    <w:rsid w:val="00244AF8"/>
    <w:rsid w:val="00244BC5"/>
    <w:rsid w:val="00244DC1"/>
    <w:rsid w:val="00244E68"/>
    <w:rsid w:val="002456C5"/>
    <w:rsid w:val="00245ABE"/>
    <w:rsid w:val="00245C0B"/>
    <w:rsid w:val="00246EAE"/>
    <w:rsid w:val="00247116"/>
    <w:rsid w:val="002471E5"/>
    <w:rsid w:val="002510BE"/>
    <w:rsid w:val="002517A8"/>
    <w:rsid w:val="00251EEE"/>
    <w:rsid w:val="00253177"/>
    <w:rsid w:val="002538B8"/>
    <w:rsid w:val="0025396F"/>
    <w:rsid w:val="00254319"/>
    <w:rsid w:val="002546A4"/>
    <w:rsid w:val="0025539F"/>
    <w:rsid w:val="002556C8"/>
    <w:rsid w:val="00256388"/>
    <w:rsid w:val="00256E44"/>
    <w:rsid w:val="002605BF"/>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1C8"/>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697"/>
    <w:rsid w:val="00287867"/>
    <w:rsid w:val="00287DAB"/>
    <w:rsid w:val="00287FB6"/>
    <w:rsid w:val="002900C5"/>
    <w:rsid w:val="002901E0"/>
    <w:rsid w:val="0029075B"/>
    <w:rsid w:val="00290BB1"/>
    <w:rsid w:val="00291BC1"/>
    <w:rsid w:val="002933CA"/>
    <w:rsid w:val="0029356E"/>
    <w:rsid w:val="00293A8F"/>
    <w:rsid w:val="00293B0F"/>
    <w:rsid w:val="00295155"/>
    <w:rsid w:val="00295D51"/>
    <w:rsid w:val="00296203"/>
    <w:rsid w:val="00296428"/>
    <w:rsid w:val="0029643D"/>
    <w:rsid w:val="0029706A"/>
    <w:rsid w:val="002972EE"/>
    <w:rsid w:val="00297F01"/>
    <w:rsid w:val="002A0459"/>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0F1"/>
    <w:rsid w:val="002A45AA"/>
    <w:rsid w:val="002A4B0B"/>
    <w:rsid w:val="002A4B6F"/>
    <w:rsid w:val="002A4FFF"/>
    <w:rsid w:val="002A533C"/>
    <w:rsid w:val="002A56E1"/>
    <w:rsid w:val="002A59BD"/>
    <w:rsid w:val="002A5B24"/>
    <w:rsid w:val="002A75CA"/>
    <w:rsid w:val="002A7889"/>
    <w:rsid w:val="002A799A"/>
    <w:rsid w:val="002B097D"/>
    <w:rsid w:val="002B11B2"/>
    <w:rsid w:val="002B1390"/>
    <w:rsid w:val="002B18F7"/>
    <w:rsid w:val="002B26F3"/>
    <w:rsid w:val="002B31CF"/>
    <w:rsid w:val="002B3ED7"/>
    <w:rsid w:val="002B4778"/>
    <w:rsid w:val="002B75B2"/>
    <w:rsid w:val="002B79B7"/>
    <w:rsid w:val="002C1394"/>
    <w:rsid w:val="002C141D"/>
    <w:rsid w:val="002C19C0"/>
    <w:rsid w:val="002C2485"/>
    <w:rsid w:val="002C25E0"/>
    <w:rsid w:val="002C2A2D"/>
    <w:rsid w:val="002C36C0"/>
    <w:rsid w:val="002C3928"/>
    <w:rsid w:val="002C3B33"/>
    <w:rsid w:val="002C435E"/>
    <w:rsid w:val="002C43BB"/>
    <w:rsid w:val="002C44AB"/>
    <w:rsid w:val="002C5C3D"/>
    <w:rsid w:val="002C5E39"/>
    <w:rsid w:val="002C5FA2"/>
    <w:rsid w:val="002C7A02"/>
    <w:rsid w:val="002C7BD4"/>
    <w:rsid w:val="002D0107"/>
    <w:rsid w:val="002D062E"/>
    <w:rsid w:val="002D0D43"/>
    <w:rsid w:val="002D15C2"/>
    <w:rsid w:val="002D2B10"/>
    <w:rsid w:val="002D2FE4"/>
    <w:rsid w:val="002D3842"/>
    <w:rsid w:val="002D386A"/>
    <w:rsid w:val="002D40D3"/>
    <w:rsid w:val="002D4100"/>
    <w:rsid w:val="002D477F"/>
    <w:rsid w:val="002D4F48"/>
    <w:rsid w:val="002D519B"/>
    <w:rsid w:val="002D57E3"/>
    <w:rsid w:val="002D621E"/>
    <w:rsid w:val="002D66DA"/>
    <w:rsid w:val="002D7027"/>
    <w:rsid w:val="002D70DC"/>
    <w:rsid w:val="002D758B"/>
    <w:rsid w:val="002D79BC"/>
    <w:rsid w:val="002D7E58"/>
    <w:rsid w:val="002E0BEB"/>
    <w:rsid w:val="002E0D31"/>
    <w:rsid w:val="002E0EFA"/>
    <w:rsid w:val="002E1073"/>
    <w:rsid w:val="002E12EC"/>
    <w:rsid w:val="002E146D"/>
    <w:rsid w:val="002E1803"/>
    <w:rsid w:val="002E1946"/>
    <w:rsid w:val="002E25E0"/>
    <w:rsid w:val="002E272B"/>
    <w:rsid w:val="002E29F8"/>
    <w:rsid w:val="002E2C52"/>
    <w:rsid w:val="002E342B"/>
    <w:rsid w:val="002E3B81"/>
    <w:rsid w:val="002E3D08"/>
    <w:rsid w:val="002E3E1D"/>
    <w:rsid w:val="002E3EEA"/>
    <w:rsid w:val="002E3EEB"/>
    <w:rsid w:val="002E4D08"/>
    <w:rsid w:val="002E4DA5"/>
    <w:rsid w:val="002E52B8"/>
    <w:rsid w:val="002E5DBF"/>
    <w:rsid w:val="002E5E01"/>
    <w:rsid w:val="002E60F5"/>
    <w:rsid w:val="002E6536"/>
    <w:rsid w:val="002E6687"/>
    <w:rsid w:val="002E67C5"/>
    <w:rsid w:val="002E69F5"/>
    <w:rsid w:val="002E6CAA"/>
    <w:rsid w:val="002E6DE7"/>
    <w:rsid w:val="002E732D"/>
    <w:rsid w:val="002E73EC"/>
    <w:rsid w:val="002E78B2"/>
    <w:rsid w:val="002F023D"/>
    <w:rsid w:val="002F10EC"/>
    <w:rsid w:val="002F1136"/>
    <w:rsid w:val="002F1231"/>
    <w:rsid w:val="002F1521"/>
    <w:rsid w:val="002F15EE"/>
    <w:rsid w:val="002F3632"/>
    <w:rsid w:val="002F3929"/>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8DB"/>
    <w:rsid w:val="00301D0A"/>
    <w:rsid w:val="003027B8"/>
    <w:rsid w:val="0030293F"/>
    <w:rsid w:val="00302947"/>
    <w:rsid w:val="00302C50"/>
    <w:rsid w:val="00302F23"/>
    <w:rsid w:val="003031C2"/>
    <w:rsid w:val="00303861"/>
    <w:rsid w:val="003049B1"/>
    <w:rsid w:val="00304FFF"/>
    <w:rsid w:val="00305557"/>
    <w:rsid w:val="0030561F"/>
    <w:rsid w:val="00305A78"/>
    <w:rsid w:val="00305CA3"/>
    <w:rsid w:val="00306E5C"/>
    <w:rsid w:val="00307C19"/>
    <w:rsid w:val="00310732"/>
    <w:rsid w:val="00310BC9"/>
    <w:rsid w:val="00311762"/>
    <w:rsid w:val="00311E98"/>
    <w:rsid w:val="00312215"/>
    <w:rsid w:val="0031249C"/>
    <w:rsid w:val="003125C3"/>
    <w:rsid w:val="00312896"/>
    <w:rsid w:val="00313081"/>
    <w:rsid w:val="00313298"/>
    <w:rsid w:val="00313EAC"/>
    <w:rsid w:val="003142F4"/>
    <w:rsid w:val="0031454E"/>
    <w:rsid w:val="00315035"/>
    <w:rsid w:val="0031611F"/>
    <w:rsid w:val="0031653A"/>
    <w:rsid w:val="00317A33"/>
    <w:rsid w:val="00317F86"/>
    <w:rsid w:val="00320339"/>
    <w:rsid w:val="00321214"/>
    <w:rsid w:val="003213D5"/>
    <w:rsid w:val="00323737"/>
    <w:rsid w:val="00323AD6"/>
    <w:rsid w:val="00323F27"/>
    <w:rsid w:val="003242EF"/>
    <w:rsid w:val="00325339"/>
    <w:rsid w:val="003255AA"/>
    <w:rsid w:val="003267E1"/>
    <w:rsid w:val="00330AE0"/>
    <w:rsid w:val="003314B6"/>
    <w:rsid w:val="00331A20"/>
    <w:rsid w:val="00331A23"/>
    <w:rsid w:val="00331BDC"/>
    <w:rsid w:val="00331E65"/>
    <w:rsid w:val="00333107"/>
    <w:rsid w:val="0033343B"/>
    <w:rsid w:val="0033393C"/>
    <w:rsid w:val="00334859"/>
    <w:rsid w:val="003357EE"/>
    <w:rsid w:val="00337368"/>
    <w:rsid w:val="00337B4D"/>
    <w:rsid w:val="003407A9"/>
    <w:rsid w:val="00340BA3"/>
    <w:rsid w:val="00340BAF"/>
    <w:rsid w:val="00340C2B"/>
    <w:rsid w:val="00340F9A"/>
    <w:rsid w:val="00341018"/>
    <w:rsid w:val="00341723"/>
    <w:rsid w:val="003420D9"/>
    <w:rsid w:val="003423E0"/>
    <w:rsid w:val="0034301A"/>
    <w:rsid w:val="00343821"/>
    <w:rsid w:val="00343D76"/>
    <w:rsid w:val="00344DFD"/>
    <w:rsid w:val="003451C7"/>
    <w:rsid w:val="003451D3"/>
    <w:rsid w:val="00345B64"/>
    <w:rsid w:val="00346631"/>
    <w:rsid w:val="00346AAD"/>
    <w:rsid w:val="00346D96"/>
    <w:rsid w:val="0034736A"/>
    <w:rsid w:val="0034747C"/>
    <w:rsid w:val="00347B6C"/>
    <w:rsid w:val="0035151C"/>
    <w:rsid w:val="003515DD"/>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3577"/>
    <w:rsid w:val="00364524"/>
    <w:rsid w:val="0036513A"/>
    <w:rsid w:val="00365237"/>
    <w:rsid w:val="0036559C"/>
    <w:rsid w:val="0036587E"/>
    <w:rsid w:val="003660CD"/>
    <w:rsid w:val="00366727"/>
    <w:rsid w:val="00366AC2"/>
    <w:rsid w:val="00366B08"/>
    <w:rsid w:val="00367496"/>
    <w:rsid w:val="003678BE"/>
    <w:rsid w:val="003700F8"/>
    <w:rsid w:val="00370949"/>
    <w:rsid w:val="00370A20"/>
    <w:rsid w:val="0037243B"/>
    <w:rsid w:val="0037251C"/>
    <w:rsid w:val="0037272C"/>
    <w:rsid w:val="00372B9A"/>
    <w:rsid w:val="003731BF"/>
    <w:rsid w:val="00375287"/>
    <w:rsid w:val="00375744"/>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5FAD"/>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79E"/>
    <w:rsid w:val="003A49B3"/>
    <w:rsid w:val="003A55B4"/>
    <w:rsid w:val="003A61B6"/>
    <w:rsid w:val="003A623F"/>
    <w:rsid w:val="003A71AD"/>
    <w:rsid w:val="003A79ED"/>
    <w:rsid w:val="003A7D1D"/>
    <w:rsid w:val="003B1688"/>
    <w:rsid w:val="003B1FA4"/>
    <w:rsid w:val="003B1FE6"/>
    <w:rsid w:val="003B3106"/>
    <w:rsid w:val="003B3974"/>
    <w:rsid w:val="003B39E0"/>
    <w:rsid w:val="003B3DAB"/>
    <w:rsid w:val="003B3F28"/>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3DE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6BC"/>
    <w:rsid w:val="003E1ACF"/>
    <w:rsid w:val="003E1E81"/>
    <w:rsid w:val="003E216C"/>
    <w:rsid w:val="003E236E"/>
    <w:rsid w:val="003E259D"/>
    <w:rsid w:val="003E26BA"/>
    <w:rsid w:val="003E2906"/>
    <w:rsid w:val="003E2969"/>
    <w:rsid w:val="003E2C1A"/>
    <w:rsid w:val="003E330F"/>
    <w:rsid w:val="003E3478"/>
    <w:rsid w:val="003E4E74"/>
    <w:rsid w:val="003E5F7D"/>
    <w:rsid w:val="003E6520"/>
    <w:rsid w:val="003E67E7"/>
    <w:rsid w:val="003E6B25"/>
    <w:rsid w:val="003E6B3C"/>
    <w:rsid w:val="003E6B95"/>
    <w:rsid w:val="003E70FF"/>
    <w:rsid w:val="003E7F1B"/>
    <w:rsid w:val="003F0B41"/>
    <w:rsid w:val="003F1150"/>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1ED3"/>
    <w:rsid w:val="004028A2"/>
    <w:rsid w:val="00402FEB"/>
    <w:rsid w:val="00403344"/>
    <w:rsid w:val="00403C82"/>
    <w:rsid w:val="00404157"/>
    <w:rsid w:val="004048F7"/>
    <w:rsid w:val="00404C44"/>
    <w:rsid w:val="00404EE8"/>
    <w:rsid w:val="0040510D"/>
    <w:rsid w:val="0040512D"/>
    <w:rsid w:val="0040602F"/>
    <w:rsid w:val="00406AFB"/>
    <w:rsid w:val="00407382"/>
    <w:rsid w:val="0040791B"/>
    <w:rsid w:val="00411958"/>
    <w:rsid w:val="00411B2A"/>
    <w:rsid w:val="00412973"/>
    <w:rsid w:val="00412A34"/>
    <w:rsid w:val="00412D42"/>
    <w:rsid w:val="00412DA4"/>
    <w:rsid w:val="00412EB6"/>
    <w:rsid w:val="0041351F"/>
    <w:rsid w:val="004137C8"/>
    <w:rsid w:val="00413BF9"/>
    <w:rsid w:val="00413C25"/>
    <w:rsid w:val="00415531"/>
    <w:rsid w:val="00416330"/>
    <w:rsid w:val="00417662"/>
    <w:rsid w:val="004176C7"/>
    <w:rsid w:val="00417877"/>
    <w:rsid w:val="00417D9F"/>
    <w:rsid w:val="00420229"/>
    <w:rsid w:val="00420DBA"/>
    <w:rsid w:val="00421311"/>
    <w:rsid w:val="004217BA"/>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280"/>
    <w:rsid w:val="00431C46"/>
    <w:rsid w:val="004327E6"/>
    <w:rsid w:val="004329DC"/>
    <w:rsid w:val="00432AC6"/>
    <w:rsid w:val="004341C6"/>
    <w:rsid w:val="00434C5E"/>
    <w:rsid w:val="00435765"/>
    <w:rsid w:val="004360B6"/>
    <w:rsid w:val="004362E5"/>
    <w:rsid w:val="00436356"/>
    <w:rsid w:val="00440722"/>
    <w:rsid w:val="00440796"/>
    <w:rsid w:val="00441AB7"/>
    <w:rsid w:val="004425D9"/>
    <w:rsid w:val="00443244"/>
    <w:rsid w:val="00444AF6"/>
    <w:rsid w:val="0044519D"/>
    <w:rsid w:val="00445544"/>
    <w:rsid w:val="00445C0B"/>
    <w:rsid w:val="00446195"/>
    <w:rsid w:val="00447CD0"/>
    <w:rsid w:val="00447FC2"/>
    <w:rsid w:val="004502F4"/>
    <w:rsid w:val="004506F4"/>
    <w:rsid w:val="004509D1"/>
    <w:rsid w:val="00450A42"/>
    <w:rsid w:val="00450E98"/>
    <w:rsid w:val="004513A5"/>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6E90"/>
    <w:rsid w:val="00457135"/>
    <w:rsid w:val="00457247"/>
    <w:rsid w:val="0045770D"/>
    <w:rsid w:val="0045790F"/>
    <w:rsid w:val="00457D63"/>
    <w:rsid w:val="00457E21"/>
    <w:rsid w:val="0046007E"/>
    <w:rsid w:val="0046024B"/>
    <w:rsid w:val="00460E36"/>
    <w:rsid w:val="00460E4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124"/>
    <w:rsid w:val="0047123F"/>
    <w:rsid w:val="004712D0"/>
    <w:rsid w:val="00471459"/>
    <w:rsid w:val="00472274"/>
    <w:rsid w:val="004722D4"/>
    <w:rsid w:val="00472AD0"/>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3F8B"/>
    <w:rsid w:val="004840D7"/>
    <w:rsid w:val="004846F4"/>
    <w:rsid w:val="004847C9"/>
    <w:rsid w:val="00485C26"/>
    <w:rsid w:val="00485EC0"/>
    <w:rsid w:val="00486A51"/>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95C"/>
    <w:rsid w:val="004A0D1E"/>
    <w:rsid w:val="004A0E66"/>
    <w:rsid w:val="004A0EEC"/>
    <w:rsid w:val="004A130F"/>
    <w:rsid w:val="004A17EF"/>
    <w:rsid w:val="004A1BDA"/>
    <w:rsid w:val="004A22DA"/>
    <w:rsid w:val="004A2700"/>
    <w:rsid w:val="004A36C8"/>
    <w:rsid w:val="004A3721"/>
    <w:rsid w:val="004A3742"/>
    <w:rsid w:val="004A37B8"/>
    <w:rsid w:val="004A3CC2"/>
    <w:rsid w:val="004A3ED3"/>
    <w:rsid w:val="004A47A0"/>
    <w:rsid w:val="004A47BC"/>
    <w:rsid w:val="004A4AC6"/>
    <w:rsid w:val="004B1199"/>
    <w:rsid w:val="004B140C"/>
    <w:rsid w:val="004B16C4"/>
    <w:rsid w:val="004B1867"/>
    <w:rsid w:val="004B2A64"/>
    <w:rsid w:val="004B41DA"/>
    <w:rsid w:val="004B470D"/>
    <w:rsid w:val="004B4764"/>
    <w:rsid w:val="004B4846"/>
    <w:rsid w:val="004B5394"/>
    <w:rsid w:val="004B584F"/>
    <w:rsid w:val="004B5BDD"/>
    <w:rsid w:val="004B6E9E"/>
    <w:rsid w:val="004B6F83"/>
    <w:rsid w:val="004B7C29"/>
    <w:rsid w:val="004C06E5"/>
    <w:rsid w:val="004C0B53"/>
    <w:rsid w:val="004C1517"/>
    <w:rsid w:val="004C1B7D"/>
    <w:rsid w:val="004C1E3C"/>
    <w:rsid w:val="004C25F0"/>
    <w:rsid w:val="004C26DD"/>
    <w:rsid w:val="004C2B5D"/>
    <w:rsid w:val="004C2D68"/>
    <w:rsid w:val="004C2F56"/>
    <w:rsid w:val="004C339D"/>
    <w:rsid w:val="004C33E8"/>
    <w:rsid w:val="004C4307"/>
    <w:rsid w:val="004C4309"/>
    <w:rsid w:val="004C49E3"/>
    <w:rsid w:val="004C4E8A"/>
    <w:rsid w:val="004C4F1B"/>
    <w:rsid w:val="004C514A"/>
    <w:rsid w:val="004C645A"/>
    <w:rsid w:val="004C6572"/>
    <w:rsid w:val="004C6D4F"/>
    <w:rsid w:val="004C7541"/>
    <w:rsid w:val="004D1A48"/>
    <w:rsid w:val="004D1E71"/>
    <w:rsid w:val="004D2CDF"/>
    <w:rsid w:val="004D33CE"/>
    <w:rsid w:val="004D42BF"/>
    <w:rsid w:val="004D4AAE"/>
    <w:rsid w:val="004D7C86"/>
    <w:rsid w:val="004E0197"/>
    <w:rsid w:val="004E0C99"/>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297"/>
    <w:rsid w:val="004E5347"/>
    <w:rsid w:val="004E5B06"/>
    <w:rsid w:val="004E5FA8"/>
    <w:rsid w:val="004E6829"/>
    <w:rsid w:val="004E684C"/>
    <w:rsid w:val="004E6FF1"/>
    <w:rsid w:val="004E76DB"/>
    <w:rsid w:val="004E7F61"/>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6CC"/>
    <w:rsid w:val="005019E0"/>
    <w:rsid w:val="0050211F"/>
    <w:rsid w:val="005022E7"/>
    <w:rsid w:val="00502A93"/>
    <w:rsid w:val="00506083"/>
    <w:rsid w:val="005068D6"/>
    <w:rsid w:val="00506B86"/>
    <w:rsid w:val="00506EEC"/>
    <w:rsid w:val="00506FD4"/>
    <w:rsid w:val="005107FF"/>
    <w:rsid w:val="00510CBC"/>
    <w:rsid w:val="0051102D"/>
    <w:rsid w:val="005112A5"/>
    <w:rsid w:val="00511F48"/>
    <w:rsid w:val="005123C7"/>
    <w:rsid w:val="00512448"/>
    <w:rsid w:val="0051253A"/>
    <w:rsid w:val="0051266C"/>
    <w:rsid w:val="00513B72"/>
    <w:rsid w:val="00515277"/>
    <w:rsid w:val="005158C2"/>
    <w:rsid w:val="00515F9B"/>
    <w:rsid w:val="005169DE"/>
    <w:rsid w:val="0051754D"/>
    <w:rsid w:val="0051785D"/>
    <w:rsid w:val="00517913"/>
    <w:rsid w:val="0052005F"/>
    <w:rsid w:val="00520200"/>
    <w:rsid w:val="00520E2D"/>
    <w:rsid w:val="00520F04"/>
    <w:rsid w:val="00521717"/>
    <w:rsid w:val="005224B2"/>
    <w:rsid w:val="00523B23"/>
    <w:rsid w:val="00523CFB"/>
    <w:rsid w:val="00523DFA"/>
    <w:rsid w:val="00524F9C"/>
    <w:rsid w:val="005254BC"/>
    <w:rsid w:val="005256FC"/>
    <w:rsid w:val="00525E00"/>
    <w:rsid w:val="00526C27"/>
    <w:rsid w:val="00526DFF"/>
    <w:rsid w:val="00527473"/>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B30"/>
    <w:rsid w:val="00554FFB"/>
    <w:rsid w:val="005568DE"/>
    <w:rsid w:val="00557C50"/>
    <w:rsid w:val="005606B6"/>
    <w:rsid w:val="005608D6"/>
    <w:rsid w:val="00560F19"/>
    <w:rsid w:val="00561E6B"/>
    <w:rsid w:val="005621D2"/>
    <w:rsid w:val="005621E0"/>
    <w:rsid w:val="00562D90"/>
    <w:rsid w:val="00563206"/>
    <w:rsid w:val="00563317"/>
    <w:rsid w:val="00563A23"/>
    <w:rsid w:val="00563A5A"/>
    <w:rsid w:val="00563C61"/>
    <w:rsid w:val="00563DD5"/>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134"/>
    <w:rsid w:val="005831A7"/>
    <w:rsid w:val="00583321"/>
    <w:rsid w:val="0058341E"/>
    <w:rsid w:val="00584F3A"/>
    <w:rsid w:val="005853AB"/>
    <w:rsid w:val="00585748"/>
    <w:rsid w:val="005859C5"/>
    <w:rsid w:val="00585C79"/>
    <w:rsid w:val="00585FD0"/>
    <w:rsid w:val="00586144"/>
    <w:rsid w:val="00587785"/>
    <w:rsid w:val="0058788D"/>
    <w:rsid w:val="00587E29"/>
    <w:rsid w:val="00587FE6"/>
    <w:rsid w:val="0059040D"/>
    <w:rsid w:val="00591698"/>
    <w:rsid w:val="00593B87"/>
    <w:rsid w:val="00593C1C"/>
    <w:rsid w:val="00593E94"/>
    <w:rsid w:val="00594143"/>
    <w:rsid w:val="00594543"/>
    <w:rsid w:val="00594612"/>
    <w:rsid w:val="00594D84"/>
    <w:rsid w:val="005956E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4F39"/>
    <w:rsid w:val="005A5020"/>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382"/>
    <w:rsid w:val="005B5D40"/>
    <w:rsid w:val="005B5EFC"/>
    <w:rsid w:val="005B6412"/>
    <w:rsid w:val="005B6567"/>
    <w:rsid w:val="005B6698"/>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6CA5"/>
    <w:rsid w:val="005C760E"/>
    <w:rsid w:val="005C7DE5"/>
    <w:rsid w:val="005C7E9E"/>
    <w:rsid w:val="005D18C9"/>
    <w:rsid w:val="005D1B72"/>
    <w:rsid w:val="005D23E8"/>
    <w:rsid w:val="005D2471"/>
    <w:rsid w:val="005D25A3"/>
    <w:rsid w:val="005D2779"/>
    <w:rsid w:val="005D3242"/>
    <w:rsid w:val="005D610C"/>
    <w:rsid w:val="005D74E7"/>
    <w:rsid w:val="005D7C64"/>
    <w:rsid w:val="005D7F7B"/>
    <w:rsid w:val="005E290A"/>
    <w:rsid w:val="005E3BCD"/>
    <w:rsid w:val="005E4A87"/>
    <w:rsid w:val="005E4DA5"/>
    <w:rsid w:val="005E503E"/>
    <w:rsid w:val="005E59C7"/>
    <w:rsid w:val="005E5E7B"/>
    <w:rsid w:val="005E6095"/>
    <w:rsid w:val="005E6A3F"/>
    <w:rsid w:val="005E6DB8"/>
    <w:rsid w:val="005E7228"/>
    <w:rsid w:val="005E7284"/>
    <w:rsid w:val="005E744D"/>
    <w:rsid w:val="005E7BAC"/>
    <w:rsid w:val="005E7CC7"/>
    <w:rsid w:val="005F0E5C"/>
    <w:rsid w:val="005F134E"/>
    <w:rsid w:val="005F1365"/>
    <w:rsid w:val="005F2C1F"/>
    <w:rsid w:val="005F2E44"/>
    <w:rsid w:val="005F3690"/>
    <w:rsid w:val="005F3986"/>
    <w:rsid w:val="005F4C57"/>
    <w:rsid w:val="005F4C83"/>
    <w:rsid w:val="005F5051"/>
    <w:rsid w:val="005F6774"/>
    <w:rsid w:val="005F75F0"/>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5073"/>
    <w:rsid w:val="006060C4"/>
    <w:rsid w:val="00606487"/>
    <w:rsid w:val="00607C35"/>
    <w:rsid w:val="00611777"/>
    <w:rsid w:val="0061189F"/>
    <w:rsid w:val="00611B3C"/>
    <w:rsid w:val="0061219B"/>
    <w:rsid w:val="00612D05"/>
    <w:rsid w:val="006138CF"/>
    <w:rsid w:val="00613FB6"/>
    <w:rsid w:val="006140C6"/>
    <w:rsid w:val="00614134"/>
    <w:rsid w:val="00614241"/>
    <w:rsid w:val="0061428D"/>
    <w:rsid w:val="00615411"/>
    <w:rsid w:val="0061599E"/>
    <w:rsid w:val="00615AC7"/>
    <w:rsid w:val="006162E6"/>
    <w:rsid w:val="006171A5"/>
    <w:rsid w:val="00617BDE"/>
    <w:rsid w:val="00620309"/>
    <w:rsid w:val="0062159D"/>
    <w:rsid w:val="00621680"/>
    <w:rsid w:val="00621EC5"/>
    <w:rsid w:val="006223E0"/>
    <w:rsid w:val="006224D0"/>
    <w:rsid w:val="006226A3"/>
    <w:rsid w:val="00622BCE"/>
    <w:rsid w:val="00622E29"/>
    <w:rsid w:val="00623643"/>
    <w:rsid w:val="00624018"/>
    <w:rsid w:val="006240C4"/>
    <w:rsid w:val="00624B3C"/>
    <w:rsid w:val="006252C2"/>
    <w:rsid w:val="00625304"/>
    <w:rsid w:val="0062581B"/>
    <w:rsid w:val="006261F4"/>
    <w:rsid w:val="0063144C"/>
    <w:rsid w:val="0063164E"/>
    <w:rsid w:val="0063191D"/>
    <w:rsid w:val="00633488"/>
    <w:rsid w:val="00633581"/>
    <w:rsid w:val="006339AF"/>
    <w:rsid w:val="00633C47"/>
    <w:rsid w:val="006348F7"/>
    <w:rsid w:val="0063512D"/>
    <w:rsid w:val="006358FB"/>
    <w:rsid w:val="00635AE2"/>
    <w:rsid w:val="00635E1E"/>
    <w:rsid w:val="006362F4"/>
    <w:rsid w:val="0063677C"/>
    <w:rsid w:val="00636972"/>
    <w:rsid w:val="00636B69"/>
    <w:rsid w:val="00636BC2"/>
    <w:rsid w:val="00637B88"/>
    <w:rsid w:val="006404B1"/>
    <w:rsid w:val="006404D1"/>
    <w:rsid w:val="00640F43"/>
    <w:rsid w:val="00640FA6"/>
    <w:rsid w:val="006412CA"/>
    <w:rsid w:val="006420DA"/>
    <w:rsid w:val="00642A0A"/>
    <w:rsid w:val="00643AC1"/>
    <w:rsid w:val="00643D62"/>
    <w:rsid w:val="00644A5E"/>
    <w:rsid w:val="00644A6C"/>
    <w:rsid w:val="00644D69"/>
    <w:rsid w:val="006457A8"/>
    <w:rsid w:val="00645EA0"/>
    <w:rsid w:val="00645F76"/>
    <w:rsid w:val="00646EB0"/>
    <w:rsid w:val="0064714D"/>
    <w:rsid w:val="0064727D"/>
    <w:rsid w:val="006473CE"/>
    <w:rsid w:val="00647B32"/>
    <w:rsid w:val="00647C27"/>
    <w:rsid w:val="006519E6"/>
    <w:rsid w:val="00651CDE"/>
    <w:rsid w:val="00651DD1"/>
    <w:rsid w:val="00652326"/>
    <w:rsid w:val="006524F6"/>
    <w:rsid w:val="00652907"/>
    <w:rsid w:val="00652E06"/>
    <w:rsid w:val="00653FC4"/>
    <w:rsid w:val="00654F91"/>
    <w:rsid w:val="00655361"/>
    <w:rsid w:val="00655A10"/>
    <w:rsid w:val="00656253"/>
    <w:rsid w:val="00656799"/>
    <w:rsid w:val="00656B77"/>
    <w:rsid w:val="00656E72"/>
    <w:rsid w:val="006578A1"/>
    <w:rsid w:val="0066137B"/>
    <w:rsid w:val="0066174E"/>
    <w:rsid w:val="00661BBB"/>
    <w:rsid w:val="00661E57"/>
    <w:rsid w:val="006629E4"/>
    <w:rsid w:val="0066352E"/>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482"/>
    <w:rsid w:val="006808DC"/>
    <w:rsid w:val="006816B6"/>
    <w:rsid w:val="006820EB"/>
    <w:rsid w:val="00682128"/>
    <w:rsid w:val="0068220C"/>
    <w:rsid w:val="006822E8"/>
    <w:rsid w:val="00682AB1"/>
    <w:rsid w:val="00682E9F"/>
    <w:rsid w:val="00683252"/>
    <w:rsid w:val="0068343A"/>
    <w:rsid w:val="006834D4"/>
    <w:rsid w:val="00683809"/>
    <w:rsid w:val="0068413D"/>
    <w:rsid w:val="006844BA"/>
    <w:rsid w:val="006845A2"/>
    <w:rsid w:val="00684BF8"/>
    <w:rsid w:val="00684D9B"/>
    <w:rsid w:val="006858AA"/>
    <w:rsid w:val="00685BCF"/>
    <w:rsid w:val="006871D0"/>
    <w:rsid w:val="0068751F"/>
    <w:rsid w:val="006900D1"/>
    <w:rsid w:val="00690297"/>
    <w:rsid w:val="0069115A"/>
    <w:rsid w:val="006912F1"/>
    <w:rsid w:val="00691387"/>
    <w:rsid w:val="006921C6"/>
    <w:rsid w:val="006927F2"/>
    <w:rsid w:val="00692A21"/>
    <w:rsid w:val="006931E1"/>
    <w:rsid w:val="00693A96"/>
    <w:rsid w:val="00693E3A"/>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3E9"/>
    <w:rsid w:val="006A151A"/>
    <w:rsid w:val="006A1E62"/>
    <w:rsid w:val="006A2A12"/>
    <w:rsid w:val="006A2E9C"/>
    <w:rsid w:val="006A3599"/>
    <w:rsid w:val="006A35E0"/>
    <w:rsid w:val="006A377F"/>
    <w:rsid w:val="006A384A"/>
    <w:rsid w:val="006A3875"/>
    <w:rsid w:val="006A3D40"/>
    <w:rsid w:val="006A561D"/>
    <w:rsid w:val="006A5A0C"/>
    <w:rsid w:val="006A5BA0"/>
    <w:rsid w:val="006A5BB1"/>
    <w:rsid w:val="006A5F88"/>
    <w:rsid w:val="006A66CF"/>
    <w:rsid w:val="006A7D95"/>
    <w:rsid w:val="006B120D"/>
    <w:rsid w:val="006B13C1"/>
    <w:rsid w:val="006B2CC7"/>
    <w:rsid w:val="006B3AF9"/>
    <w:rsid w:val="006B44C5"/>
    <w:rsid w:val="006B4530"/>
    <w:rsid w:val="006B473F"/>
    <w:rsid w:val="006B555F"/>
    <w:rsid w:val="006B5A60"/>
    <w:rsid w:val="006B6242"/>
    <w:rsid w:val="006B62B8"/>
    <w:rsid w:val="006B6C7C"/>
    <w:rsid w:val="006B6D97"/>
    <w:rsid w:val="006B6EA4"/>
    <w:rsid w:val="006B77BB"/>
    <w:rsid w:val="006B7F8F"/>
    <w:rsid w:val="006B7FC5"/>
    <w:rsid w:val="006C055E"/>
    <w:rsid w:val="006C0D13"/>
    <w:rsid w:val="006C133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247F"/>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6F32"/>
    <w:rsid w:val="006F762D"/>
    <w:rsid w:val="00700492"/>
    <w:rsid w:val="007009AC"/>
    <w:rsid w:val="00700A0C"/>
    <w:rsid w:val="0070167E"/>
    <w:rsid w:val="00701E1B"/>
    <w:rsid w:val="00702ED0"/>
    <w:rsid w:val="00703C09"/>
    <w:rsid w:val="0070434A"/>
    <w:rsid w:val="007048C4"/>
    <w:rsid w:val="00704CC4"/>
    <w:rsid w:val="00705345"/>
    <w:rsid w:val="0070638D"/>
    <w:rsid w:val="00706DBF"/>
    <w:rsid w:val="00707A59"/>
    <w:rsid w:val="0071046B"/>
    <w:rsid w:val="007105C2"/>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3BA"/>
    <w:rsid w:val="00713779"/>
    <w:rsid w:val="00713989"/>
    <w:rsid w:val="00713DCF"/>
    <w:rsid w:val="00714004"/>
    <w:rsid w:val="0071458E"/>
    <w:rsid w:val="007145C9"/>
    <w:rsid w:val="00714631"/>
    <w:rsid w:val="00714B6E"/>
    <w:rsid w:val="00714F50"/>
    <w:rsid w:val="0071512F"/>
    <w:rsid w:val="007167B6"/>
    <w:rsid w:val="007169AC"/>
    <w:rsid w:val="007169DD"/>
    <w:rsid w:val="007171A5"/>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78B"/>
    <w:rsid w:val="00725A19"/>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277C"/>
    <w:rsid w:val="00753744"/>
    <w:rsid w:val="00753A93"/>
    <w:rsid w:val="00754211"/>
    <w:rsid w:val="007547E5"/>
    <w:rsid w:val="00754B39"/>
    <w:rsid w:val="00755663"/>
    <w:rsid w:val="00756386"/>
    <w:rsid w:val="00756603"/>
    <w:rsid w:val="00756D49"/>
    <w:rsid w:val="00756F40"/>
    <w:rsid w:val="007575C0"/>
    <w:rsid w:val="00757D2F"/>
    <w:rsid w:val="0076000E"/>
    <w:rsid w:val="00760C00"/>
    <w:rsid w:val="007610E9"/>
    <w:rsid w:val="00761728"/>
    <w:rsid w:val="00761C6C"/>
    <w:rsid w:val="00762B72"/>
    <w:rsid w:val="00763CCB"/>
    <w:rsid w:val="007642B4"/>
    <w:rsid w:val="00764C45"/>
    <w:rsid w:val="00764C7F"/>
    <w:rsid w:val="0076514B"/>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400"/>
    <w:rsid w:val="00774ACE"/>
    <w:rsid w:val="00775823"/>
    <w:rsid w:val="00775F57"/>
    <w:rsid w:val="00776584"/>
    <w:rsid w:val="007769EF"/>
    <w:rsid w:val="00776D4F"/>
    <w:rsid w:val="00776DDC"/>
    <w:rsid w:val="007770F9"/>
    <w:rsid w:val="007770FF"/>
    <w:rsid w:val="00777179"/>
    <w:rsid w:val="00777945"/>
    <w:rsid w:val="00777D40"/>
    <w:rsid w:val="00780B8D"/>
    <w:rsid w:val="00780B8E"/>
    <w:rsid w:val="00781649"/>
    <w:rsid w:val="0078183F"/>
    <w:rsid w:val="007823D6"/>
    <w:rsid w:val="0078254E"/>
    <w:rsid w:val="00782628"/>
    <w:rsid w:val="007826AB"/>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2C3"/>
    <w:rsid w:val="007A464F"/>
    <w:rsid w:val="007A6196"/>
    <w:rsid w:val="007A63D5"/>
    <w:rsid w:val="007A688B"/>
    <w:rsid w:val="007A689A"/>
    <w:rsid w:val="007A68EA"/>
    <w:rsid w:val="007A6B7D"/>
    <w:rsid w:val="007A7629"/>
    <w:rsid w:val="007B1027"/>
    <w:rsid w:val="007B1691"/>
    <w:rsid w:val="007B174F"/>
    <w:rsid w:val="007B17E6"/>
    <w:rsid w:val="007B1863"/>
    <w:rsid w:val="007B22E0"/>
    <w:rsid w:val="007B28CA"/>
    <w:rsid w:val="007B358D"/>
    <w:rsid w:val="007B5401"/>
    <w:rsid w:val="007B5C63"/>
    <w:rsid w:val="007B5FB4"/>
    <w:rsid w:val="007B6B2B"/>
    <w:rsid w:val="007B7949"/>
    <w:rsid w:val="007B7D30"/>
    <w:rsid w:val="007C0FA9"/>
    <w:rsid w:val="007C2413"/>
    <w:rsid w:val="007C25AE"/>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98B"/>
    <w:rsid w:val="007D1E17"/>
    <w:rsid w:val="007D1FE0"/>
    <w:rsid w:val="007D20BB"/>
    <w:rsid w:val="007D261E"/>
    <w:rsid w:val="007D289C"/>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B2D"/>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33C2"/>
    <w:rsid w:val="00804114"/>
    <w:rsid w:val="00804634"/>
    <w:rsid w:val="008047E8"/>
    <w:rsid w:val="0080531E"/>
    <w:rsid w:val="00805A63"/>
    <w:rsid w:val="00805C3D"/>
    <w:rsid w:val="00806E9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66D3"/>
    <w:rsid w:val="008174B2"/>
    <w:rsid w:val="00817CFF"/>
    <w:rsid w:val="0082000D"/>
    <w:rsid w:val="0082037E"/>
    <w:rsid w:val="00820C9C"/>
    <w:rsid w:val="00820F55"/>
    <w:rsid w:val="00821572"/>
    <w:rsid w:val="00822310"/>
    <w:rsid w:val="008230FE"/>
    <w:rsid w:val="00823794"/>
    <w:rsid w:val="008237F4"/>
    <w:rsid w:val="00823F67"/>
    <w:rsid w:val="00824022"/>
    <w:rsid w:val="0082483A"/>
    <w:rsid w:val="00824A81"/>
    <w:rsid w:val="00824DD1"/>
    <w:rsid w:val="008257B8"/>
    <w:rsid w:val="008260ED"/>
    <w:rsid w:val="0082699D"/>
    <w:rsid w:val="00826E6B"/>
    <w:rsid w:val="008275FD"/>
    <w:rsid w:val="00830BA1"/>
    <w:rsid w:val="00830EB2"/>
    <w:rsid w:val="00831652"/>
    <w:rsid w:val="0083202E"/>
    <w:rsid w:val="0083233C"/>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034"/>
    <w:rsid w:val="0084184A"/>
    <w:rsid w:val="00841C69"/>
    <w:rsid w:val="008423F2"/>
    <w:rsid w:val="00842A30"/>
    <w:rsid w:val="00842F71"/>
    <w:rsid w:val="00843179"/>
    <w:rsid w:val="0084386A"/>
    <w:rsid w:val="00843E0E"/>
    <w:rsid w:val="008442EA"/>
    <w:rsid w:val="00844589"/>
    <w:rsid w:val="00844794"/>
    <w:rsid w:val="00844FE7"/>
    <w:rsid w:val="00845103"/>
    <w:rsid w:val="00845969"/>
    <w:rsid w:val="00845F37"/>
    <w:rsid w:val="00845FF5"/>
    <w:rsid w:val="00846001"/>
    <w:rsid w:val="0084615D"/>
    <w:rsid w:val="0084642A"/>
    <w:rsid w:val="008465C4"/>
    <w:rsid w:val="00846710"/>
    <w:rsid w:val="008478ED"/>
    <w:rsid w:val="0085087F"/>
    <w:rsid w:val="00851728"/>
    <w:rsid w:val="00851DFF"/>
    <w:rsid w:val="00853084"/>
    <w:rsid w:val="00853142"/>
    <w:rsid w:val="008540A6"/>
    <w:rsid w:val="00854420"/>
    <w:rsid w:val="00854481"/>
    <w:rsid w:val="008555EF"/>
    <w:rsid w:val="00856AB4"/>
    <w:rsid w:val="00857591"/>
    <w:rsid w:val="00857E88"/>
    <w:rsid w:val="00860E56"/>
    <w:rsid w:val="008612DB"/>
    <w:rsid w:val="00861B57"/>
    <w:rsid w:val="00862417"/>
    <w:rsid w:val="00862AC4"/>
    <w:rsid w:val="008633AC"/>
    <w:rsid w:val="008634E3"/>
    <w:rsid w:val="0086385B"/>
    <w:rsid w:val="00864627"/>
    <w:rsid w:val="00864635"/>
    <w:rsid w:val="00864678"/>
    <w:rsid w:val="00864C1A"/>
    <w:rsid w:val="00865217"/>
    <w:rsid w:val="008658AA"/>
    <w:rsid w:val="00865CBD"/>
    <w:rsid w:val="00866E37"/>
    <w:rsid w:val="00866F9E"/>
    <w:rsid w:val="008672E2"/>
    <w:rsid w:val="00867879"/>
    <w:rsid w:val="0086793D"/>
    <w:rsid w:val="00867B1C"/>
    <w:rsid w:val="008713D6"/>
    <w:rsid w:val="00871643"/>
    <w:rsid w:val="0087281D"/>
    <w:rsid w:val="008732D8"/>
    <w:rsid w:val="00873377"/>
    <w:rsid w:val="00873577"/>
    <w:rsid w:val="00873E82"/>
    <w:rsid w:val="0087409F"/>
    <w:rsid w:val="00874D58"/>
    <w:rsid w:val="008750D2"/>
    <w:rsid w:val="00875AB5"/>
    <w:rsid w:val="00875C91"/>
    <w:rsid w:val="00875F85"/>
    <w:rsid w:val="00876C6B"/>
    <w:rsid w:val="00876DC9"/>
    <w:rsid w:val="00877125"/>
    <w:rsid w:val="008777C2"/>
    <w:rsid w:val="0088063B"/>
    <w:rsid w:val="00881277"/>
    <w:rsid w:val="00881511"/>
    <w:rsid w:val="00881F71"/>
    <w:rsid w:val="00882448"/>
    <w:rsid w:val="00882F1D"/>
    <w:rsid w:val="00883A4D"/>
    <w:rsid w:val="00883B21"/>
    <w:rsid w:val="00883F8F"/>
    <w:rsid w:val="00884235"/>
    <w:rsid w:val="008846BC"/>
    <w:rsid w:val="00885285"/>
    <w:rsid w:val="00885985"/>
    <w:rsid w:val="00886699"/>
    <w:rsid w:val="0088709A"/>
    <w:rsid w:val="00891503"/>
    <w:rsid w:val="0089199F"/>
    <w:rsid w:val="00891C32"/>
    <w:rsid w:val="00891D7F"/>
    <w:rsid w:val="00892265"/>
    <w:rsid w:val="0089233E"/>
    <w:rsid w:val="0089330E"/>
    <w:rsid w:val="00893A8E"/>
    <w:rsid w:val="00893B3E"/>
    <w:rsid w:val="00893E27"/>
    <w:rsid w:val="008945F7"/>
    <w:rsid w:val="0089463D"/>
    <w:rsid w:val="0089554F"/>
    <w:rsid w:val="008955E6"/>
    <w:rsid w:val="00895B5F"/>
    <w:rsid w:val="0089637C"/>
    <w:rsid w:val="00896712"/>
    <w:rsid w:val="00896870"/>
    <w:rsid w:val="008969BD"/>
    <w:rsid w:val="008A07B8"/>
    <w:rsid w:val="008A13BD"/>
    <w:rsid w:val="008A1596"/>
    <w:rsid w:val="008A1EDF"/>
    <w:rsid w:val="008A2695"/>
    <w:rsid w:val="008A2873"/>
    <w:rsid w:val="008A28A9"/>
    <w:rsid w:val="008A2DC9"/>
    <w:rsid w:val="008A2FF1"/>
    <w:rsid w:val="008A32D4"/>
    <w:rsid w:val="008A367F"/>
    <w:rsid w:val="008A37AF"/>
    <w:rsid w:val="008A3D62"/>
    <w:rsid w:val="008A448D"/>
    <w:rsid w:val="008A4A55"/>
    <w:rsid w:val="008A506F"/>
    <w:rsid w:val="008A528A"/>
    <w:rsid w:val="008A5298"/>
    <w:rsid w:val="008A535A"/>
    <w:rsid w:val="008A720F"/>
    <w:rsid w:val="008A7498"/>
    <w:rsid w:val="008A76F3"/>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5E54"/>
    <w:rsid w:val="008B60BB"/>
    <w:rsid w:val="008B6732"/>
    <w:rsid w:val="008B68EC"/>
    <w:rsid w:val="008B694C"/>
    <w:rsid w:val="008B6A53"/>
    <w:rsid w:val="008B711E"/>
    <w:rsid w:val="008C042F"/>
    <w:rsid w:val="008C057B"/>
    <w:rsid w:val="008C0CAC"/>
    <w:rsid w:val="008C13B4"/>
    <w:rsid w:val="008C1557"/>
    <w:rsid w:val="008C1B8C"/>
    <w:rsid w:val="008C2306"/>
    <w:rsid w:val="008C26D1"/>
    <w:rsid w:val="008C2B7F"/>
    <w:rsid w:val="008C36AC"/>
    <w:rsid w:val="008C4953"/>
    <w:rsid w:val="008C4A36"/>
    <w:rsid w:val="008C4E44"/>
    <w:rsid w:val="008C6255"/>
    <w:rsid w:val="008C684B"/>
    <w:rsid w:val="008C6ABD"/>
    <w:rsid w:val="008C6F18"/>
    <w:rsid w:val="008C7685"/>
    <w:rsid w:val="008D007A"/>
    <w:rsid w:val="008D07DE"/>
    <w:rsid w:val="008D0831"/>
    <w:rsid w:val="008D0E40"/>
    <w:rsid w:val="008D1D4F"/>
    <w:rsid w:val="008D1E7F"/>
    <w:rsid w:val="008D2367"/>
    <w:rsid w:val="008D2C73"/>
    <w:rsid w:val="008D427A"/>
    <w:rsid w:val="008D4DD5"/>
    <w:rsid w:val="008D5265"/>
    <w:rsid w:val="008D5657"/>
    <w:rsid w:val="008D6752"/>
    <w:rsid w:val="008D69E7"/>
    <w:rsid w:val="008D6FC1"/>
    <w:rsid w:val="008E0140"/>
    <w:rsid w:val="008E0688"/>
    <w:rsid w:val="008E0BEF"/>
    <w:rsid w:val="008E103C"/>
    <w:rsid w:val="008E1B42"/>
    <w:rsid w:val="008E266D"/>
    <w:rsid w:val="008E2F0C"/>
    <w:rsid w:val="008E3E23"/>
    <w:rsid w:val="008E547B"/>
    <w:rsid w:val="008E5DF8"/>
    <w:rsid w:val="008F0250"/>
    <w:rsid w:val="008F0A07"/>
    <w:rsid w:val="008F11F4"/>
    <w:rsid w:val="008F1952"/>
    <w:rsid w:val="008F254D"/>
    <w:rsid w:val="008F2699"/>
    <w:rsid w:val="008F310B"/>
    <w:rsid w:val="008F322B"/>
    <w:rsid w:val="008F34CB"/>
    <w:rsid w:val="008F3519"/>
    <w:rsid w:val="008F3AD3"/>
    <w:rsid w:val="008F3CA7"/>
    <w:rsid w:val="008F4314"/>
    <w:rsid w:val="008F443F"/>
    <w:rsid w:val="008F5DE5"/>
    <w:rsid w:val="008F5E42"/>
    <w:rsid w:val="008F63B1"/>
    <w:rsid w:val="008F6973"/>
    <w:rsid w:val="008F6E6A"/>
    <w:rsid w:val="008F7AA7"/>
    <w:rsid w:val="008F7F94"/>
    <w:rsid w:val="00900947"/>
    <w:rsid w:val="00900EB8"/>
    <w:rsid w:val="00900FBA"/>
    <w:rsid w:val="0090240E"/>
    <w:rsid w:val="009027D1"/>
    <w:rsid w:val="00902E5B"/>
    <w:rsid w:val="00903FD9"/>
    <w:rsid w:val="00904CF5"/>
    <w:rsid w:val="00905259"/>
    <w:rsid w:val="0090556C"/>
    <w:rsid w:val="00905633"/>
    <w:rsid w:val="00905EAE"/>
    <w:rsid w:val="009060C4"/>
    <w:rsid w:val="00906C91"/>
    <w:rsid w:val="00906C95"/>
    <w:rsid w:val="00907656"/>
    <w:rsid w:val="00907814"/>
    <w:rsid w:val="00907E47"/>
    <w:rsid w:val="0091034E"/>
    <w:rsid w:val="009115EF"/>
    <w:rsid w:val="009116DD"/>
    <w:rsid w:val="00912D1C"/>
    <w:rsid w:val="00913019"/>
    <w:rsid w:val="00913F1E"/>
    <w:rsid w:val="00913FB2"/>
    <w:rsid w:val="009140C4"/>
    <w:rsid w:val="009144A9"/>
    <w:rsid w:val="0091468B"/>
    <w:rsid w:val="00915250"/>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264C"/>
    <w:rsid w:val="009333D3"/>
    <w:rsid w:val="009339B6"/>
    <w:rsid w:val="00933B4C"/>
    <w:rsid w:val="00933DC4"/>
    <w:rsid w:val="0093431B"/>
    <w:rsid w:val="009346D6"/>
    <w:rsid w:val="00934743"/>
    <w:rsid w:val="0093487E"/>
    <w:rsid w:val="00934CE3"/>
    <w:rsid w:val="00934EBB"/>
    <w:rsid w:val="00934FFE"/>
    <w:rsid w:val="00935C32"/>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5AD1"/>
    <w:rsid w:val="00946D5A"/>
    <w:rsid w:val="00946ECB"/>
    <w:rsid w:val="00947268"/>
    <w:rsid w:val="0094750E"/>
    <w:rsid w:val="00947C94"/>
    <w:rsid w:val="009507C8"/>
    <w:rsid w:val="0095115E"/>
    <w:rsid w:val="0095118A"/>
    <w:rsid w:val="00952468"/>
    <w:rsid w:val="00954767"/>
    <w:rsid w:val="0095487A"/>
    <w:rsid w:val="009548FB"/>
    <w:rsid w:val="0095538B"/>
    <w:rsid w:val="009575B9"/>
    <w:rsid w:val="00957AF7"/>
    <w:rsid w:val="00960ACA"/>
    <w:rsid w:val="00960ADA"/>
    <w:rsid w:val="00960C4F"/>
    <w:rsid w:val="00961A97"/>
    <w:rsid w:val="0096217C"/>
    <w:rsid w:val="00962441"/>
    <w:rsid w:val="00963277"/>
    <w:rsid w:val="00964311"/>
    <w:rsid w:val="00964A12"/>
    <w:rsid w:val="00964B53"/>
    <w:rsid w:val="00964C3F"/>
    <w:rsid w:val="00964C6C"/>
    <w:rsid w:val="00965176"/>
    <w:rsid w:val="00965240"/>
    <w:rsid w:val="00965847"/>
    <w:rsid w:val="00965A3E"/>
    <w:rsid w:val="00965C48"/>
    <w:rsid w:val="00966D9D"/>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4E7"/>
    <w:rsid w:val="00982C62"/>
    <w:rsid w:val="00982C91"/>
    <w:rsid w:val="00982F76"/>
    <w:rsid w:val="00982FA3"/>
    <w:rsid w:val="00983B69"/>
    <w:rsid w:val="009840FD"/>
    <w:rsid w:val="00984701"/>
    <w:rsid w:val="00984847"/>
    <w:rsid w:val="00984BEC"/>
    <w:rsid w:val="00985577"/>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6CB5"/>
    <w:rsid w:val="0099719E"/>
    <w:rsid w:val="009979C7"/>
    <w:rsid w:val="009A0169"/>
    <w:rsid w:val="009A0DAD"/>
    <w:rsid w:val="009A1B56"/>
    <w:rsid w:val="009A2A8A"/>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6D3A"/>
    <w:rsid w:val="009B7011"/>
    <w:rsid w:val="009B71E4"/>
    <w:rsid w:val="009C04EE"/>
    <w:rsid w:val="009C0CD4"/>
    <w:rsid w:val="009C15E7"/>
    <w:rsid w:val="009C17C8"/>
    <w:rsid w:val="009C2613"/>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CA5"/>
    <w:rsid w:val="009D7DE3"/>
    <w:rsid w:val="009E004A"/>
    <w:rsid w:val="009E066B"/>
    <w:rsid w:val="009E084D"/>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1D7F"/>
    <w:rsid w:val="009F245B"/>
    <w:rsid w:val="009F25E6"/>
    <w:rsid w:val="009F2BE8"/>
    <w:rsid w:val="009F2F09"/>
    <w:rsid w:val="009F39A7"/>
    <w:rsid w:val="009F40B7"/>
    <w:rsid w:val="009F4188"/>
    <w:rsid w:val="009F4302"/>
    <w:rsid w:val="009F4393"/>
    <w:rsid w:val="009F476D"/>
    <w:rsid w:val="009F4BE9"/>
    <w:rsid w:val="009F62D3"/>
    <w:rsid w:val="00A00112"/>
    <w:rsid w:val="00A0038E"/>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63D"/>
    <w:rsid w:val="00A12AF2"/>
    <w:rsid w:val="00A12D8A"/>
    <w:rsid w:val="00A12E6C"/>
    <w:rsid w:val="00A136D0"/>
    <w:rsid w:val="00A13D1A"/>
    <w:rsid w:val="00A14A4D"/>
    <w:rsid w:val="00A14DC2"/>
    <w:rsid w:val="00A14DD6"/>
    <w:rsid w:val="00A15D5E"/>
    <w:rsid w:val="00A161F8"/>
    <w:rsid w:val="00A169FA"/>
    <w:rsid w:val="00A1766A"/>
    <w:rsid w:val="00A200F4"/>
    <w:rsid w:val="00A206C9"/>
    <w:rsid w:val="00A20C27"/>
    <w:rsid w:val="00A20D5B"/>
    <w:rsid w:val="00A20E7D"/>
    <w:rsid w:val="00A216BC"/>
    <w:rsid w:val="00A23931"/>
    <w:rsid w:val="00A23FD6"/>
    <w:rsid w:val="00A24C08"/>
    <w:rsid w:val="00A25317"/>
    <w:rsid w:val="00A25706"/>
    <w:rsid w:val="00A25D84"/>
    <w:rsid w:val="00A26029"/>
    <w:rsid w:val="00A262E4"/>
    <w:rsid w:val="00A268EA"/>
    <w:rsid w:val="00A31CE0"/>
    <w:rsid w:val="00A31FA9"/>
    <w:rsid w:val="00A333BF"/>
    <w:rsid w:val="00A33825"/>
    <w:rsid w:val="00A3398F"/>
    <w:rsid w:val="00A34B7B"/>
    <w:rsid w:val="00A35583"/>
    <w:rsid w:val="00A363EF"/>
    <w:rsid w:val="00A36596"/>
    <w:rsid w:val="00A36DFE"/>
    <w:rsid w:val="00A370FD"/>
    <w:rsid w:val="00A3798C"/>
    <w:rsid w:val="00A37DD9"/>
    <w:rsid w:val="00A40ED7"/>
    <w:rsid w:val="00A40F83"/>
    <w:rsid w:val="00A412BA"/>
    <w:rsid w:val="00A41416"/>
    <w:rsid w:val="00A41EB9"/>
    <w:rsid w:val="00A4200D"/>
    <w:rsid w:val="00A424BF"/>
    <w:rsid w:val="00A4258E"/>
    <w:rsid w:val="00A432D1"/>
    <w:rsid w:val="00A43716"/>
    <w:rsid w:val="00A442C5"/>
    <w:rsid w:val="00A44712"/>
    <w:rsid w:val="00A4495C"/>
    <w:rsid w:val="00A44AF5"/>
    <w:rsid w:val="00A44B8B"/>
    <w:rsid w:val="00A45050"/>
    <w:rsid w:val="00A45E2A"/>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4"/>
    <w:rsid w:val="00A74548"/>
    <w:rsid w:val="00A74DF2"/>
    <w:rsid w:val="00A74E4D"/>
    <w:rsid w:val="00A75633"/>
    <w:rsid w:val="00A7592E"/>
    <w:rsid w:val="00A76C1F"/>
    <w:rsid w:val="00A803FC"/>
    <w:rsid w:val="00A8071A"/>
    <w:rsid w:val="00A80DD9"/>
    <w:rsid w:val="00A80FCA"/>
    <w:rsid w:val="00A818EC"/>
    <w:rsid w:val="00A81CBC"/>
    <w:rsid w:val="00A82506"/>
    <w:rsid w:val="00A827F3"/>
    <w:rsid w:val="00A837CE"/>
    <w:rsid w:val="00A83DB5"/>
    <w:rsid w:val="00A83FBA"/>
    <w:rsid w:val="00A84636"/>
    <w:rsid w:val="00A848D4"/>
    <w:rsid w:val="00A84F07"/>
    <w:rsid w:val="00A84FE1"/>
    <w:rsid w:val="00A85080"/>
    <w:rsid w:val="00A85337"/>
    <w:rsid w:val="00A8626D"/>
    <w:rsid w:val="00A86406"/>
    <w:rsid w:val="00A86853"/>
    <w:rsid w:val="00A86B75"/>
    <w:rsid w:val="00A86E75"/>
    <w:rsid w:val="00A86F33"/>
    <w:rsid w:val="00A87371"/>
    <w:rsid w:val="00A87AF0"/>
    <w:rsid w:val="00A9065F"/>
    <w:rsid w:val="00A90B0E"/>
    <w:rsid w:val="00A91AA1"/>
    <w:rsid w:val="00A91C8C"/>
    <w:rsid w:val="00A91F0D"/>
    <w:rsid w:val="00A91F2F"/>
    <w:rsid w:val="00A9235A"/>
    <w:rsid w:val="00A92FF7"/>
    <w:rsid w:val="00A93069"/>
    <w:rsid w:val="00A9468F"/>
    <w:rsid w:val="00A9498D"/>
    <w:rsid w:val="00A95335"/>
    <w:rsid w:val="00A9566B"/>
    <w:rsid w:val="00A9657F"/>
    <w:rsid w:val="00A97244"/>
    <w:rsid w:val="00A9797D"/>
    <w:rsid w:val="00AA015F"/>
    <w:rsid w:val="00AA0BB8"/>
    <w:rsid w:val="00AA0C3A"/>
    <w:rsid w:val="00AA1723"/>
    <w:rsid w:val="00AA190D"/>
    <w:rsid w:val="00AA1FDD"/>
    <w:rsid w:val="00AA22C3"/>
    <w:rsid w:val="00AA230D"/>
    <w:rsid w:val="00AA2D3F"/>
    <w:rsid w:val="00AA4941"/>
    <w:rsid w:val="00AA49E9"/>
    <w:rsid w:val="00AA5475"/>
    <w:rsid w:val="00AA5876"/>
    <w:rsid w:val="00AA6A8A"/>
    <w:rsid w:val="00AA6BC8"/>
    <w:rsid w:val="00AA6DD8"/>
    <w:rsid w:val="00AA6FA3"/>
    <w:rsid w:val="00AA70BB"/>
    <w:rsid w:val="00AA757C"/>
    <w:rsid w:val="00AA7F10"/>
    <w:rsid w:val="00AB0391"/>
    <w:rsid w:val="00AB1A8A"/>
    <w:rsid w:val="00AB2151"/>
    <w:rsid w:val="00AB2C59"/>
    <w:rsid w:val="00AB2C8A"/>
    <w:rsid w:val="00AB2EEF"/>
    <w:rsid w:val="00AB383B"/>
    <w:rsid w:val="00AB42B6"/>
    <w:rsid w:val="00AB4D67"/>
    <w:rsid w:val="00AB545D"/>
    <w:rsid w:val="00AB54D7"/>
    <w:rsid w:val="00AB57D3"/>
    <w:rsid w:val="00AB5D9D"/>
    <w:rsid w:val="00AB6886"/>
    <w:rsid w:val="00AB6AE4"/>
    <w:rsid w:val="00AB6E00"/>
    <w:rsid w:val="00AB6F37"/>
    <w:rsid w:val="00AB769E"/>
    <w:rsid w:val="00AB7D55"/>
    <w:rsid w:val="00AC0681"/>
    <w:rsid w:val="00AC154B"/>
    <w:rsid w:val="00AC1B72"/>
    <w:rsid w:val="00AC26FE"/>
    <w:rsid w:val="00AC350D"/>
    <w:rsid w:val="00AC3568"/>
    <w:rsid w:val="00AC3CF2"/>
    <w:rsid w:val="00AC3F07"/>
    <w:rsid w:val="00AC4151"/>
    <w:rsid w:val="00AC47EC"/>
    <w:rsid w:val="00AC4E5D"/>
    <w:rsid w:val="00AC6C53"/>
    <w:rsid w:val="00AC6E85"/>
    <w:rsid w:val="00AC7284"/>
    <w:rsid w:val="00AC7CE6"/>
    <w:rsid w:val="00AD0828"/>
    <w:rsid w:val="00AD0B13"/>
    <w:rsid w:val="00AD0E69"/>
    <w:rsid w:val="00AD103D"/>
    <w:rsid w:val="00AD159C"/>
    <w:rsid w:val="00AD17FA"/>
    <w:rsid w:val="00AD19EC"/>
    <w:rsid w:val="00AD1A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942"/>
    <w:rsid w:val="00AF7DC1"/>
    <w:rsid w:val="00B000AE"/>
    <w:rsid w:val="00B00260"/>
    <w:rsid w:val="00B0040B"/>
    <w:rsid w:val="00B00830"/>
    <w:rsid w:val="00B00AB5"/>
    <w:rsid w:val="00B00CC0"/>
    <w:rsid w:val="00B00F5C"/>
    <w:rsid w:val="00B018EC"/>
    <w:rsid w:val="00B019C1"/>
    <w:rsid w:val="00B0236E"/>
    <w:rsid w:val="00B02506"/>
    <w:rsid w:val="00B02ACE"/>
    <w:rsid w:val="00B03913"/>
    <w:rsid w:val="00B0437F"/>
    <w:rsid w:val="00B04CEA"/>
    <w:rsid w:val="00B05607"/>
    <w:rsid w:val="00B05A08"/>
    <w:rsid w:val="00B05F14"/>
    <w:rsid w:val="00B06737"/>
    <w:rsid w:val="00B06936"/>
    <w:rsid w:val="00B0784C"/>
    <w:rsid w:val="00B07CE9"/>
    <w:rsid w:val="00B101D5"/>
    <w:rsid w:val="00B10633"/>
    <w:rsid w:val="00B10B08"/>
    <w:rsid w:val="00B11A78"/>
    <w:rsid w:val="00B11CFB"/>
    <w:rsid w:val="00B12111"/>
    <w:rsid w:val="00B12CFE"/>
    <w:rsid w:val="00B13E18"/>
    <w:rsid w:val="00B14109"/>
    <w:rsid w:val="00B14410"/>
    <w:rsid w:val="00B1486D"/>
    <w:rsid w:val="00B150D6"/>
    <w:rsid w:val="00B15373"/>
    <w:rsid w:val="00B15639"/>
    <w:rsid w:val="00B1587A"/>
    <w:rsid w:val="00B15D15"/>
    <w:rsid w:val="00B15E42"/>
    <w:rsid w:val="00B15EEE"/>
    <w:rsid w:val="00B16198"/>
    <w:rsid w:val="00B16A2C"/>
    <w:rsid w:val="00B16FB6"/>
    <w:rsid w:val="00B17022"/>
    <w:rsid w:val="00B21736"/>
    <w:rsid w:val="00B218B1"/>
    <w:rsid w:val="00B21A33"/>
    <w:rsid w:val="00B22272"/>
    <w:rsid w:val="00B224AA"/>
    <w:rsid w:val="00B22998"/>
    <w:rsid w:val="00B229FE"/>
    <w:rsid w:val="00B2302B"/>
    <w:rsid w:val="00B24363"/>
    <w:rsid w:val="00B2456E"/>
    <w:rsid w:val="00B24979"/>
    <w:rsid w:val="00B250A5"/>
    <w:rsid w:val="00B25651"/>
    <w:rsid w:val="00B26309"/>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A2D"/>
    <w:rsid w:val="00B41D70"/>
    <w:rsid w:val="00B41FD8"/>
    <w:rsid w:val="00B420DF"/>
    <w:rsid w:val="00B428E2"/>
    <w:rsid w:val="00B42A2C"/>
    <w:rsid w:val="00B42A5C"/>
    <w:rsid w:val="00B42A98"/>
    <w:rsid w:val="00B42C64"/>
    <w:rsid w:val="00B448EF"/>
    <w:rsid w:val="00B46121"/>
    <w:rsid w:val="00B47493"/>
    <w:rsid w:val="00B474C8"/>
    <w:rsid w:val="00B474DF"/>
    <w:rsid w:val="00B47915"/>
    <w:rsid w:val="00B50462"/>
    <w:rsid w:val="00B50E18"/>
    <w:rsid w:val="00B513A9"/>
    <w:rsid w:val="00B51568"/>
    <w:rsid w:val="00B51610"/>
    <w:rsid w:val="00B5167B"/>
    <w:rsid w:val="00B520E3"/>
    <w:rsid w:val="00B52336"/>
    <w:rsid w:val="00B5388C"/>
    <w:rsid w:val="00B55CED"/>
    <w:rsid w:val="00B55D57"/>
    <w:rsid w:val="00B55E9D"/>
    <w:rsid w:val="00B55F80"/>
    <w:rsid w:val="00B5602C"/>
    <w:rsid w:val="00B56480"/>
    <w:rsid w:val="00B565D6"/>
    <w:rsid w:val="00B576A4"/>
    <w:rsid w:val="00B57998"/>
    <w:rsid w:val="00B57CD0"/>
    <w:rsid w:val="00B57DA9"/>
    <w:rsid w:val="00B60177"/>
    <w:rsid w:val="00B60639"/>
    <w:rsid w:val="00B61988"/>
    <w:rsid w:val="00B6308E"/>
    <w:rsid w:val="00B631A2"/>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5C0"/>
    <w:rsid w:val="00B82998"/>
    <w:rsid w:val="00B834B0"/>
    <w:rsid w:val="00B837F6"/>
    <w:rsid w:val="00B83DAE"/>
    <w:rsid w:val="00B8492E"/>
    <w:rsid w:val="00B84FB4"/>
    <w:rsid w:val="00B86F2A"/>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2C79"/>
    <w:rsid w:val="00BA3D14"/>
    <w:rsid w:val="00BA435A"/>
    <w:rsid w:val="00BA54BA"/>
    <w:rsid w:val="00BA5603"/>
    <w:rsid w:val="00BA56D9"/>
    <w:rsid w:val="00BA6194"/>
    <w:rsid w:val="00BA62C6"/>
    <w:rsid w:val="00BA7EEE"/>
    <w:rsid w:val="00BB2008"/>
    <w:rsid w:val="00BB29DF"/>
    <w:rsid w:val="00BB2CFC"/>
    <w:rsid w:val="00BB34DC"/>
    <w:rsid w:val="00BB35D0"/>
    <w:rsid w:val="00BB3AC4"/>
    <w:rsid w:val="00BB4999"/>
    <w:rsid w:val="00BB4BCD"/>
    <w:rsid w:val="00BB52EB"/>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110D"/>
    <w:rsid w:val="00BD2668"/>
    <w:rsid w:val="00BD3924"/>
    <w:rsid w:val="00BD450F"/>
    <w:rsid w:val="00BD4512"/>
    <w:rsid w:val="00BD52AA"/>
    <w:rsid w:val="00BE1061"/>
    <w:rsid w:val="00BE1321"/>
    <w:rsid w:val="00BE1AAB"/>
    <w:rsid w:val="00BE2893"/>
    <w:rsid w:val="00BE2EB4"/>
    <w:rsid w:val="00BE2F5A"/>
    <w:rsid w:val="00BE37D3"/>
    <w:rsid w:val="00BE522A"/>
    <w:rsid w:val="00BE57B5"/>
    <w:rsid w:val="00BE7A7C"/>
    <w:rsid w:val="00BF0A44"/>
    <w:rsid w:val="00BF0CEC"/>
    <w:rsid w:val="00BF116F"/>
    <w:rsid w:val="00BF1A44"/>
    <w:rsid w:val="00BF1EDF"/>
    <w:rsid w:val="00BF4497"/>
    <w:rsid w:val="00BF487A"/>
    <w:rsid w:val="00BF4D3D"/>
    <w:rsid w:val="00BF5407"/>
    <w:rsid w:val="00BF5B8C"/>
    <w:rsid w:val="00BF66B7"/>
    <w:rsid w:val="00BF6A68"/>
    <w:rsid w:val="00BF6FC6"/>
    <w:rsid w:val="00BF7152"/>
    <w:rsid w:val="00BF73F0"/>
    <w:rsid w:val="00BF75B1"/>
    <w:rsid w:val="00BF75C9"/>
    <w:rsid w:val="00BF7BD3"/>
    <w:rsid w:val="00C00352"/>
    <w:rsid w:val="00C007CE"/>
    <w:rsid w:val="00C00A22"/>
    <w:rsid w:val="00C00F18"/>
    <w:rsid w:val="00C01D39"/>
    <w:rsid w:val="00C0200C"/>
    <w:rsid w:val="00C020A8"/>
    <w:rsid w:val="00C034A4"/>
    <w:rsid w:val="00C03DD0"/>
    <w:rsid w:val="00C04445"/>
    <w:rsid w:val="00C04705"/>
    <w:rsid w:val="00C04A7F"/>
    <w:rsid w:val="00C04E2B"/>
    <w:rsid w:val="00C051AA"/>
    <w:rsid w:val="00C060A0"/>
    <w:rsid w:val="00C07187"/>
    <w:rsid w:val="00C075C9"/>
    <w:rsid w:val="00C07FAD"/>
    <w:rsid w:val="00C106C4"/>
    <w:rsid w:val="00C111EA"/>
    <w:rsid w:val="00C119AD"/>
    <w:rsid w:val="00C1228D"/>
    <w:rsid w:val="00C136C4"/>
    <w:rsid w:val="00C13FED"/>
    <w:rsid w:val="00C14E7D"/>
    <w:rsid w:val="00C15722"/>
    <w:rsid w:val="00C16897"/>
    <w:rsid w:val="00C200C9"/>
    <w:rsid w:val="00C20970"/>
    <w:rsid w:val="00C218FD"/>
    <w:rsid w:val="00C21D8E"/>
    <w:rsid w:val="00C22525"/>
    <w:rsid w:val="00C23DBB"/>
    <w:rsid w:val="00C23FE1"/>
    <w:rsid w:val="00C2410D"/>
    <w:rsid w:val="00C24BAF"/>
    <w:rsid w:val="00C25A66"/>
    <w:rsid w:val="00C25F8B"/>
    <w:rsid w:val="00C25FB5"/>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509"/>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21E7"/>
    <w:rsid w:val="00C434C2"/>
    <w:rsid w:val="00C43940"/>
    <w:rsid w:val="00C44342"/>
    <w:rsid w:val="00C44694"/>
    <w:rsid w:val="00C44744"/>
    <w:rsid w:val="00C457C1"/>
    <w:rsid w:val="00C46625"/>
    <w:rsid w:val="00C4680F"/>
    <w:rsid w:val="00C46870"/>
    <w:rsid w:val="00C47545"/>
    <w:rsid w:val="00C47593"/>
    <w:rsid w:val="00C47748"/>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6DEF"/>
    <w:rsid w:val="00C577F7"/>
    <w:rsid w:val="00C60667"/>
    <w:rsid w:val="00C61AB9"/>
    <w:rsid w:val="00C61F84"/>
    <w:rsid w:val="00C62FF7"/>
    <w:rsid w:val="00C63135"/>
    <w:rsid w:val="00C637DC"/>
    <w:rsid w:val="00C63EE8"/>
    <w:rsid w:val="00C6432E"/>
    <w:rsid w:val="00C6526A"/>
    <w:rsid w:val="00C65718"/>
    <w:rsid w:val="00C65C81"/>
    <w:rsid w:val="00C666DE"/>
    <w:rsid w:val="00C66772"/>
    <w:rsid w:val="00C66CBE"/>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77800"/>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87EDA"/>
    <w:rsid w:val="00C901F3"/>
    <w:rsid w:val="00C90601"/>
    <w:rsid w:val="00C90D16"/>
    <w:rsid w:val="00C90D65"/>
    <w:rsid w:val="00C9116A"/>
    <w:rsid w:val="00C9265D"/>
    <w:rsid w:val="00C92824"/>
    <w:rsid w:val="00C937BA"/>
    <w:rsid w:val="00C949FC"/>
    <w:rsid w:val="00C960CF"/>
    <w:rsid w:val="00C96672"/>
    <w:rsid w:val="00C96678"/>
    <w:rsid w:val="00C96772"/>
    <w:rsid w:val="00C96CFA"/>
    <w:rsid w:val="00C96E5A"/>
    <w:rsid w:val="00C96EB5"/>
    <w:rsid w:val="00C97913"/>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297"/>
    <w:rsid w:val="00CC3A70"/>
    <w:rsid w:val="00CC4033"/>
    <w:rsid w:val="00CC40B8"/>
    <w:rsid w:val="00CC5444"/>
    <w:rsid w:val="00CC5631"/>
    <w:rsid w:val="00CC6037"/>
    <w:rsid w:val="00CC62A6"/>
    <w:rsid w:val="00CC676C"/>
    <w:rsid w:val="00CC7A11"/>
    <w:rsid w:val="00CD04A8"/>
    <w:rsid w:val="00CD051B"/>
    <w:rsid w:val="00CD1DB1"/>
    <w:rsid w:val="00CD22B5"/>
    <w:rsid w:val="00CD22F4"/>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378"/>
    <w:rsid w:val="00CE774C"/>
    <w:rsid w:val="00CF012E"/>
    <w:rsid w:val="00CF04D4"/>
    <w:rsid w:val="00CF0B4C"/>
    <w:rsid w:val="00CF1680"/>
    <w:rsid w:val="00CF1BD7"/>
    <w:rsid w:val="00CF21A5"/>
    <w:rsid w:val="00CF24AB"/>
    <w:rsid w:val="00CF2518"/>
    <w:rsid w:val="00CF2DDE"/>
    <w:rsid w:val="00CF344A"/>
    <w:rsid w:val="00CF39A0"/>
    <w:rsid w:val="00CF3D1C"/>
    <w:rsid w:val="00CF4713"/>
    <w:rsid w:val="00CF4B12"/>
    <w:rsid w:val="00CF58FE"/>
    <w:rsid w:val="00CF5EBE"/>
    <w:rsid w:val="00CF5F00"/>
    <w:rsid w:val="00CF783B"/>
    <w:rsid w:val="00CF7D97"/>
    <w:rsid w:val="00CF7EEC"/>
    <w:rsid w:val="00D001C2"/>
    <w:rsid w:val="00D00779"/>
    <w:rsid w:val="00D009D8"/>
    <w:rsid w:val="00D012E1"/>
    <w:rsid w:val="00D01318"/>
    <w:rsid w:val="00D01665"/>
    <w:rsid w:val="00D01D1E"/>
    <w:rsid w:val="00D01DD6"/>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27215"/>
    <w:rsid w:val="00D27B1E"/>
    <w:rsid w:val="00D30718"/>
    <w:rsid w:val="00D31564"/>
    <w:rsid w:val="00D322FB"/>
    <w:rsid w:val="00D32475"/>
    <w:rsid w:val="00D32EF4"/>
    <w:rsid w:val="00D33F81"/>
    <w:rsid w:val="00D34850"/>
    <w:rsid w:val="00D35060"/>
    <w:rsid w:val="00D369D4"/>
    <w:rsid w:val="00D36AD7"/>
    <w:rsid w:val="00D373E9"/>
    <w:rsid w:val="00D37518"/>
    <w:rsid w:val="00D37C61"/>
    <w:rsid w:val="00D403FF"/>
    <w:rsid w:val="00D404C4"/>
    <w:rsid w:val="00D40C02"/>
    <w:rsid w:val="00D40C15"/>
    <w:rsid w:val="00D40CE9"/>
    <w:rsid w:val="00D41301"/>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6916"/>
    <w:rsid w:val="00D572B2"/>
    <w:rsid w:val="00D57F53"/>
    <w:rsid w:val="00D60CAB"/>
    <w:rsid w:val="00D610FD"/>
    <w:rsid w:val="00D612AF"/>
    <w:rsid w:val="00D619F3"/>
    <w:rsid w:val="00D62A0A"/>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3382"/>
    <w:rsid w:val="00D74160"/>
    <w:rsid w:val="00D75D22"/>
    <w:rsid w:val="00D75DA5"/>
    <w:rsid w:val="00D76C58"/>
    <w:rsid w:val="00D76CF2"/>
    <w:rsid w:val="00D76E7C"/>
    <w:rsid w:val="00D80091"/>
    <w:rsid w:val="00D8043C"/>
    <w:rsid w:val="00D80B40"/>
    <w:rsid w:val="00D8155B"/>
    <w:rsid w:val="00D816D5"/>
    <w:rsid w:val="00D81E79"/>
    <w:rsid w:val="00D81FEA"/>
    <w:rsid w:val="00D825A5"/>
    <w:rsid w:val="00D825B7"/>
    <w:rsid w:val="00D8290E"/>
    <w:rsid w:val="00D82AD1"/>
    <w:rsid w:val="00D82E6E"/>
    <w:rsid w:val="00D83040"/>
    <w:rsid w:val="00D8323B"/>
    <w:rsid w:val="00D83489"/>
    <w:rsid w:val="00D83D13"/>
    <w:rsid w:val="00D841AC"/>
    <w:rsid w:val="00D84E29"/>
    <w:rsid w:val="00D8589D"/>
    <w:rsid w:val="00D85A81"/>
    <w:rsid w:val="00D86466"/>
    <w:rsid w:val="00D86997"/>
    <w:rsid w:val="00D870E8"/>
    <w:rsid w:val="00D87423"/>
    <w:rsid w:val="00D87452"/>
    <w:rsid w:val="00D87485"/>
    <w:rsid w:val="00D907CB"/>
    <w:rsid w:val="00D91BF2"/>
    <w:rsid w:val="00D93322"/>
    <w:rsid w:val="00D9347A"/>
    <w:rsid w:val="00D93C1C"/>
    <w:rsid w:val="00D94026"/>
    <w:rsid w:val="00D94120"/>
    <w:rsid w:val="00D951DD"/>
    <w:rsid w:val="00D952ED"/>
    <w:rsid w:val="00D957FA"/>
    <w:rsid w:val="00D9664C"/>
    <w:rsid w:val="00D97404"/>
    <w:rsid w:val="00D975A3"/>
    <w:rsid w:val="00D979D0"/>
    <w:rsid w:val="00DA0592"/>
    <w:rsid w:val="00DA08CA"/>
    <w:rsid w:val="00DA0F37"/>
    <w:rsid w:val="00DA101A"/>
    <w:rsid w:val="00DA122C"/>
    <w:rsid w:val="00DA1A06"/>
    <w:rsid w:val="00DA2FD5"/>
    <w:rsid w:val="00DA410C"/>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6BA"/>
    <w:rsid w:val="00DB3FD3"/>
    <w:rsid w:val="00DB5F2A"/>
    <w:rsid w:val="00DB6A2B"/>
    <w:rsid w:val="00DB6F45"/>
    <w:rsid w:val="00DB72B7"/>
    <w:rsid w:val="00DB7546"/>
    <w:rsid w:val="00DB782D"/>
    <w:rsid w:val="00DC0624"/>
    <w:rsid w:val="00DC0FC3"/>
    <w:rsid w:val="00DC1A58"/>
    <w:rsid w:val="00DC1AC0"/>
    <w:rsid w:val="00DC1CDD"/>
    <w:rsid w:val="00DC1D8E"/>
    <w:rsid w:val="00DC20C3"/>
    <w:rsid w:val="00DC227A"/>
    <w:rsid w:val="00DC2360"/>
    <w:rsid w:val="00DC248C"/>
    <w:rsid w:val="00DC26E4"/>
    <w:rsid w:val="00DC2BAE"/>
    <w:rsid w:val="00DC2CEE"/>
    <w:rsid w:val="00DC3257"/>
    <w:rsid w:val="00DC3279"/>
    <w:rsid w:val="00DC3BF1"/>
    <w:rsid w:val="00DC3CFC"/>
    <w:rsid w:val="00DC4D1D"/>
    <w:rsid w:val="00DC4D87"/>
    <w:rsid w:val="00DC54EB"/>
    <w:rsid w:val="00DC580A"/>
    <w:rsid w:val="00DC5B50"/>
    <w:rsid w:val="00DC66BC"/>
    <w:rsid w:val="00DC69B2"/>
    <w:rsid w:val="00DC727F"/>
    <w:rsid w:val="00DC7E78"/>
    <w:rsid w:val="00DD0493"/>
    <w:rsid w:val="00DD0924"/>
    <w:rsid w:val="00DD0CBF"/>
    <w:rsid w:val="00DD0DA0"/>
    <w:rsid w:val="00DD1071"/>
    <w:rsid w:val="00DD12FD"/>
    <w:rsid w:val="00DD1576"/>
    <w:rsid w:val="00DD1D31"/>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BAB"/>
    <w:rsid w:val="00DE2D31"/>
    <w:rsid w:val="00DE2D33"/>
    <w:rsid w:val="00DE34EB"/>
    <w:rsid w:val="00DE3592"/>
    <w:rsid w:val="00DE3E78"/>
    <w:rsid w:val="00DE3F93"/>
    <w:rsid w:val="00DE41F8"/>
    <w:rsid w:val="00DE4B9D"/>
    <w:rsid w:val="00DE50EA"/>
    <w:rsid w:val="00DE545C"/>
    <w:rsid w:val="00DE5C9F"/>
    <w:rsid w:val="00DE5EC1"/>
    <w:rsid w:val="00DE734E"/>
    <w:rsid w:val="00DE7887"/>
    <w:rsid w:val="00DE7BF8"/>
    <w:rsid w:val="00DF0D08"/>
    <w:rsid w:val="00DF0DC3"/>
    <w:rsid w:val="00DF14F9"/>
    <w:rsid w:val="00DF1BDF"/>
    <w:rsid w:val="00DF1C2D"/>
    <w:rsid w:val="00DF1FAE"/>
    <w:rsid w:val="00DF2AD9"/>
    <w:rsid w:val="00DF30D0"/>
    <w:rsid w:val="00DF54D0"/>
    <w:rsid w:val="00DF580C"/>
    <w:rsid w:val="00DF5C1A"/>
    <w:rsid w:val="00DF6BCB"/>
    <w:rsid w:val="00DF6D45"/>
    <w:rsid w:val="00DF7042"/>
    <w:rsid w:val="00DF78FD"/>
    <w:rsid w:val="00DF7AC4"/>
    <w:rsid w:val="00DF7EFE"/>
    <w:rsid w:val="00E00E15"/>
    <w:rsid w:val="00E00F63"/>
    <w:rsid w:val="00E01210"/>
    <w:rsid w:val="00E01811"/>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2DC"/>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6EE"/>
    <w:rsid w:val="00E2792D"/>
    <w:rsid w:val="00E30828"/>
    <w:rsid w:val="00E30B37"/>
    <w:rsid w:val="00E3109C"/>
    <w:rsid w:val="00E311D1"/>
    <w:rsid w:val="00E31C2D"/>
    <w:rsid w:val="00E32432"/>
    <w:rsid w:val="00E33B1E"/>
    <w:rsid w:val="00E34277"/>
    <w:rsid w:val="00E3621B"/>
    <w:rsid w:val="00E36F43"/>
    <w:rsid w:val="00E37044"/>
    <w:rsid w:val="00E37F0C"/>
    <w:rsid w:val="00E40ADF"/>
    <w:rsid w:val="00E418E3"/>
    <w:rsid w:val="00E423DE"/>
    <w:rsid w:val="00E42F07"/>
    <w:rsid w:val="00E4370F"/>
    <w:rsid w:val="00E4441D"/>
    <w:rsid w:val="00E453AB"/>
    <w:rsid w:val="00E45B94"/>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46B5"/>
    <w:rsid w:val="00E6538E"/>
    <w:rsid w:val="00E65427"/>
    <w:rsid w:val="00E6543F"/>
    <w:rsid w:val="00E661C0"/>
    <w:rsid w:val="00E663F5"/>
    <w:rsid w:val="00E66E97"/>
    <w:rsid w:val="00E70BD6"/>
    <w:rsid w:val="00E71305"/>
    <w:rsid w:val="00E72383"/>
    <w:rsid w:val="00E724D2"/>
    <w:rsid w:val="00E72D9F"/>
    <w:rsid w:val="00E73C41"/>
    <w:rsid w:val="00E74933"/>
    <w:rsid w:val="00E74EDC"/>
    <w:rsid w:val="00E75737"/>
    <w:rsid w:val="00E75752"/>
    <w:rsid w:val="00E75875"/>
    <w:rsid w:val="00E75886"/>
    <w:rsid w:val="00E75D6E"/>
    <w:rsid w:val="00E76007"/>
    <w:rsid w:val="00E76181"/>
    <w:rsid w:val="00E770F2"/>
    <w:rsid w:val="00E77A13"/>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0FB8"/>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7BA9"/>
    <w:rsid w:val="00EB7D75"/>
    <w:rsid w:val="00EC0B20"/>
    <w:rsid w:val="00EC0EE7"/>
    <w:rsid w:val="00EC16F9"/>
    <w:rsid w:val="00EC1C3A"/>
    <w:rsid w:val="00EC1F51"/>
    <w:rsid w:val="00EC2B1D"/>
    <w:rsid w:val="00EC4233"/>
    <w:rsid w:val="00EC4544"/>
    <w:rsid w:val="00EC4A85"/>
    <w:rsid w:val="00EC57B2"/>
    <w:rsid w:val="00EC58F4"/>
    <w:rsid w:val="00EC650B"/>
    <w:rsid w:val="00EC75BB"/>
    <w:rsid w:val="00EC7808"/>
    <w:rsid w:val="00EC7BFA"/>
    <w:rsid w:val="00ED042E"/>
    <w:rsid w:val="00ED065B"/>
    <w:rsid w:val="00ED1295"/>
    <w:rsid w:val="00ED2725"/>
    <w:rsid w:val="00ED277D"/>
    <w:rsid w:val="00ED34D1"/>
    <w:rsid w:val="00ED367F"/>
    <w:rsid w:val="00ED4051"/>
    <w:rsid w:val="00ED41CA"/>
    <w:rsid w:val="00ED4206"/>
    <w:rsid w:val="00ED4F1A"/>
    <w:rsid w:val="00ED5408"/>
    <w:rsid w:val="00ED58A2"/>
    <w:rsid w:val="00ED58C3"/>
    <w:rsid w:val="00ED5C71"/>
    <w:rsid w:val="00ED5EEE"/>
    <w:rsid w:val="00ED667C"/>
    <w:rsid w:val="00ED6AFF"/>
    <w:rsid w:val="00ED74DB"/>
    <w:rsid w:val="00ED76F4"/>
    <w:rsid w:val="00ED7966"/>
    <w:rsid w:val="00EE01CC"/>
    <w:rsid w:val="00EE02A2"/>
    <w:rsid w:val="00EE04EE"/>
    <w:rsid w:val="00EE1760"/>
    <w:rsid w:val="00EE287D"/>
    <w:rsid w:val="00EE3B32"/>
    <w:rsid w:val="00EE3CFF"/>
    <w:rsid w:val="00EE3F39"/>
    <w:rsid w:val="00EE414C"/>
    <w:rsid w:val="00EE44FE"/>
    <w:rsid w:val="00EE4806"/>
    <w:rsid w:val="00EE5406"/>
    <w:rsid w:val="00EE5AF3"/>
    <w:rsid w:val="00EE5EF8"/>
    <w:rsid w:val="00EE6964"/>
    <w:rsid w:val="00EE6A1D"/>
    <w:rsid w:val="00EE6D18"/>
    <w:rsid w:val="00EE7E7A"/>
    <w:rsid w:val="00EF0520"/>
    <w:rsid w:val="00EF1230"/>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55F"/>
    <w:rsid w:val="00F0167D"/>
    <w:rsid w:val="00F0177A"/>
    <w:rsid w:val="00F019D5"/>
    <w:rsid w:val="00F02500"/>
    <w:rsid w:val="00F032E2"/>
    <w:rsid w:val="00F037E3"/>
    <w:rsid w:val="00F03FF2"/>
    <w:rsid w:val="00F04F9E"/>
    <w:rsid w:val="00F05D20"/>
    <w:rsid w:val="00F06A47"/>
    <w:rsid w:val="00F06E0B"/>
    <w:rsid w:val="00F0717F"/>
    <w:rsid w:val="00F0747A"/>
    <w:rsid w:val="00F07849"/>
    <w:rsid w:val="00F07882"/>
    <w:rsid w:val="00F07883"/>
    <w:rsid w:val="00F07F6F"/>
    <w:rsid w:val="00F10177"/>
    <w:rsid w:val="00F10D83"/>
    <w:rsid w:val="00F1196B"/>
    <w:rsid w:val="00F11A6A"/>
    <w:rsid w:val="00F126BD"/>
    <w:rsid w:val="00F13433"/>
    <w:rsid w:val="00F134FC"/>
    <w:rsid w:val="00F1350E"/>
    <w:rsid w:val="00F13DC2"/>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1F6F"/>
    <w:rsid w:val="00F22337"/>
    <w:rsid w:val="00F22D65"/>
    <w:rsid w:val="00F23175"/>
    <w:rsid w:val="00F23FB0"/>
    <w:rsid w:val="00F2480A"/>
    <w:rsid w:val="00F24891"/>
    <w:rsid w:val="00F24B9F"/>
    <w:rsid w:val="00F24CA6"/>
    <w:rsid w:val="00F256AE"/>
    <w:rsid w:val="00F25773"/>
    <w:rsid w:val="00F257FA"/>
    <w:rsid w:val="00F26004"/>
    <w:rsid w:val="00F270E8"/>
    <w:rsid w:val="00F27E5C"/>
    <w:rsid w:val="00F27E6D"/>
    <w:rsid w:val="00F27EF5"/>
    <w:rsid w:val="00F27FDB"/>
    <w:rsid w:val="00F30251"/>
    <w:rsid w:val="00F305CC"/>
    <w:rsid w:val="00F307C2"/>
    <w:rsid w:val="00F3179A"/>
    <w:rsid w:val="00F31D54"/>
    <w:rsid w:val="00F32357"/>
    <w:rsid w:val="00F32C70"/>
    <w:rsid w:val="00F34E02"/>
    <w:rsid w:val="00F3549E"/>
    <w:rsid w:val="00F365A7"/>
    <w:rsid w:val="00F3681C"/>
    <w:rsid w:val="00F368FE"/>
    <w:rsid w:val="00F3769D"/>
    <w:rsid w:val="00F401DB"/>
    <w:rsid w:val="00F404F4"/>
    <w:rsid w:val="00F4143E"/>
    <w:rsid w:val="00F41CC5"/>
    <w:rsid w:val="00F41D25"/>
    <w:rsid w:val="00F42307"/>
    <w:rsid w:val="00F423C2"/>
    <w:rsid w:val="00F433F8"/>
    <w:rsid w:val="00F433FE"/>
    <w:rsid w:val="00F435CE"/>
    <w:rsid w:val="00F43627"/>
    <w:rsid w:val="00F43781"/>
    <w:rsid w:val="00F4463C"/>
    <w:rsid w:val="00F44712"/>
    <w:rsid w:val="00F473A5"/>
    <w:rsid w:val="00F473F3"/>
    <w:rsid w:val="00F474B8"/>
    <w:rsid w:val="00F478CA"/>
    <w:rsid w:val="00F47CE2"/>
    <w:rsid w:val="00F501F3"/>
    <w:rsid w:val="00F50A98"/>
    <w:rsid w:val="00F50E5F"/>
    <w:rsid w:val="00F51460"/>
    <w:rsid w:val="00F51667"/>
    <w:rsid w:val="00F521DC"/>
    <w:rsid w:val="00F53199"/>
    <w:rsid w:val="00F541A1"/>
    <w:rsid w:val="00F5466D"/>
    <w:rsid w:val="00F54B09"/>
    <w:rsid w:val="00F54BEA"/>
    <w:rsid w:val="00F54E8A"/>
    <w:rsid w:val="00F559A8"/>
    <w:rsid w:val="00F55C21"/>
    <w:rsid w:val="00F55E5F"/>
    <w:rsid w:val="00F55F6D"/>
    <w:rsid w:val="00F5736B"/>
    <w:rsid w:val="00F57880"/>
    <w:rsid w:val="00F608AB"/>
    <w:rsid w:val="00F60BE7"/>
    <w:rsid w:val="00F6159C"/>
    <w:rsid w:val="00F61714"/>
    <w:rsid w:val="00F61D15"/>
    <w:rsid w:val="00F6238F"/>
    <w:rsid w:val="00F63264"/>
    <w:rsid w:val="00F63E59"/>
    <w:rsid w:val="00F64BE0"/>
    <w:rsid w:val="00F65A3B"/>
    <w:rsid w:val="00F65B68"/>
    <w:rsid w:val="00F665F6"/>
    <w:rsid w:val="00F67846"/>
    <w:rsid w:val="00F67B42"/>
    <w:rsid w:val="00F70B72"/>
    <w:rsid w:val="00F70DEF"/>
    <w:rsid w:val="00F70EA3"/>
    <w:rsid w:val="00F71398"/>
    <w:rsid w:val="00F7166B"/>
    <w:rsid w:val="00F7222B"/>
    <w:rsid w:val="00F7294C"/>
    <w:rsid w:val="00F72C5F"/>
    <w:rsid w:val="00F72E53"/>
    <w:rsid w:val="00F73549"/>
    <w:rsid w:val="00F75782"/>
    <w:rsid w:val="00F80C1D"/>
    <w:rsid w:val="00F81130"/>
    <w:rsid w:val="00F818F7"/>
    <w:rsid w:val="00F81C5F"/>
    <w:rsid w:val="00F8325D"/>
    <w:rsid w:val="00F832A9"/>
    <w:rsid w:val="00F832B0"/>
    <w:rsid w:val="00F83307"/>
    <w:rsid w:val="00F833A5"/>
    <w:rsid w:val="00F83924"/>
    <w:rsid w:val="00F83AC9"/>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AC2"/>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BE0"/>
    <w:rsid w:val="00FA6CDF"/>
    <w:rsid w:val="00FA7192"/>
    <w:rsid w:val="00FA7699"/>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382"/>
    <w:rsid w:val="00FB6AA9"/>
    <w:rsid w:val="00FB6AD4"/>
    <w:rsid w:val="00FB7F22"/>
    <w:rsid w:val="00FC00F3"/>
    <w:rsid w:val="00FC0A33"/>
    <w:rsid w:val="00FC1416"/>
    <w:rsid w:val="00FC14B2"/>
    <w:rsid w:val="00FC1823"/>
    <w:rsid w:val="00FC2198"/>
    <w:rsid w:val="00FC26A4"/>
    <w:rsid w:val="00FC271E"/>
    <w:rsid w:val="00FC2A23"/>
    <w:rsid w:val="00FC2C93"/>
    <w:rsid w:val="00FC325A"/>
    <w:rsid w:val="00FC33ED"/>
    <w:rsid w:val="00FC43AD"/>
    <w:rsid w:val="00FC5876"/>
    <w:rsid w:val="00FC62F5"/>
    <w:rsid w:val="00FC731E"/>
    <w:rsid w:val="00FC76AB"/>
    <w:rsid w:val="00FC7895"/>
    <w:rsid w:val="00FD035A"/>
    <w:rsid w:val="00FD19F1"/>
    <w:rsid w:val="00FD1A7E"/>
    <w:rsid w:val="00FD2CC3"/>
    <w:rsid w:val="00FD31BF"/>
    <w:rsid w:val="00FD3CC7"/>
    <w:rsid w:val="00FD4148"/>
    <w:rsid w:val="00FD4D5B"/>
    <w:rsid w:val="00FD6453"/>
    <w:rsid w:val="00FD67FD"/>
    <w:rsid w:val="00FD7CB2"/>
    <w:rsid w:val="00FD7D46"/>
    <w:rsid w:val="00FD7D8B"/>
    <w:rsid w:val="00FE0491"/>
    <w:rsid w:val="00FE0AF2"/>
    <w:rsid w:val="00FE1C47"/>
    <w:rsid w:val="00FE22DD"/>
    <w:rsid w:val="00FE2BEE"/>
    <w:rsid w:val="00FE2CFB"/>
    <w:rsid w:val="00FE3FDC"/>
    <w:rsid w:val="00FE4A60"/>
    <w:rsid w:val="00FE54E0"/>
    <w:rsid w:val="00FE55F0"/>
    <w:rsid w:val="00FE6331"/>
    <w:rsid w:val="00FE685B"/>
    <w:rsid w:val="00FE6C12"/>
    <w:rsid w:val="00FE6D40"/>
    <w:rsid w:val="00FE7894"/>
    <w:rsid w:val="00FF01FA"/>
    <w:rsid w:val="00FF21B5"/>
    <w:rsid w:val="00FF21C3"/>
    <w:rsid w:val="00FF2A11"/>
    <w:rsid w:val="00FF2AA0"/>
    <w:rsid w:val="00FF3F6C"/>
    <w:rsid w:val="00FF4603"/>
    <w:rsid w:val="00FF4AA5"/>
    <w:rsid w:val="00FF4B07"/>
    <w:rsid w:val="00FF4BFC"/>
    <w:rsid w:val="00FF4C11"/>
    <w:rsid w:val="00FF5426"/>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1FEA4C"/>
  <w14:defaultImageDpi w14:val="330"/>
  <w15:docId w15:val="{03BB7980-A364-4E53-A2B2-58077452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585FD0"/>
    <w:pPr>
      <w:keepNext/>
      <w:tabs>
        <w:tab w:val="left" w:pos="851"/>
      </w:tabs>
      <w:spacing w:before="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66352E"/>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9A2A8A"/>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FD0"/>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66352E"/>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qFormat/>
    <w:rsid w:val="000A109B"/>
    <w:pPr>
      <w:numPr>
        <w:numId w:val="34"/>
      </w:numPr>
      <w:tabs>
        <w:tab w:val="left" w:pos="397"/>
      </w:tabs>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4A3CC2"/>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4A3CC2"/>
    <w:rPr>
      <w:rFonts w:ascii="Georgia" w:eastAsiaTheme="minorEastAsia" w:hAnsi="Georgia"/>
      <w:b/>
      <w:color w:val="1B556B"/>
      <w:sz w:val="56"/>
      <w:lang w:eastAsia="en-NZ"/>
    </w:rPr>
  </w:style>
  <w:style w:type="paragraph" w:styleId="Subtitle">
    <w:name w:val="Subtitle"/>
    <w:basedOn w:val="Title"/>
    <w:link w:val="SubtitleChar"/>
    <w:uiPriority w:val="2"/>
    <w:rsid w:val="004A3CC2"/>
    <w:pPr>
      <w:spacing w:before="600" w:line="240" w:lineRule="auto"/>
    </w:pPr>
    <w:rPr>
      <w:sz w:val="36"/>
      <w:szCs w:val="36"/>
    </w:rPr>
  </w:style>
  <w:style w:type="character" w:customStyle="1" w:styleId="SubtitleChar">
    <w:name w:val="Subtitle Char"/>
    <w:basedOn w:val="DefaultParagraphFont"/>
    <w:link w:val="Subtitle"/>
    <w:uiPriority w:val="2"/>
    <w:rsid w:val="004A3CC2"/>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33"/>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CommentText">
    <w:name w:val="annotation text"/>
    <w:basedOn w:val="Normal"/>
    <w:link w:val="CommentTextChar"/>
    <w:uiPriority w:val="99"/>
    <w:semiHidden/>
    <w:rsid w:val="00456E90"/>
    <w:pPr>
      <w:spacing w:line="240" w:lineRule="auto"/>
    </w:pPr>
    <w:rPr>
      <w:sz w:val="20"/>
      <w:szCs w:val="20"/>
    </w:rPr>
  </w:style>
  <w:style w:type="character" w:customStyle="1" w:styleId="CommentTextChar">
    <w:name w:val="Comment Text Char"/>
    <w:basedOn w:val="DefaultParagraphFont"/>
    <w:link w:val="CommentText"/>
    <w:uiPriority w:val="99"/>
    <w:semiHidden/>
    <w:rsid w:val="00456E90"/>
    <w:rPr>
      <w:rFonts w:ascii="Calibri" w:eastAsiaTheme="minorEastAsia" w:hAnsi="Calibri"/>
      <w:sz w:val="20"/>
      <w:szCs w:val="20"/>
      <w:lang w:eastAsia="en-NZ"/>
    </w:rPr>
  </w:style>
  <w:style w:type="character" w:styleId="Mention">
    <w:name w:val="Mention"/>
    <w:basedOn w:val="DefaultParagraphFont"/>
    <w:uiPriority w:val="99"/>
    <w:unhideWhenUsed/>
    <w:rsid w:val="00D413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466435418">
      <w:bodyDiv w:val="1"/>
      <w:marLeft w:val="0"/>
      <w:marRight w:val="0"/>
      <w:marTop w:val="0"/>
      <w:marBottom w:val="0"/>
      <w:divBdr>
        <w:top w:val="none" w:sz="0" w:space="0" w:color="auto"/>
        <w:left w:val="none" w:sz="0" w:space="0" w:color="auto"/>
        <w:bottom w:val="none" w:sz="0" w:space="0" w:color="auto"/>
        <w:right w:val="none" w:sz="0" w:space="0" w:color="auto"/>
      </w:divBdr>
    </w:div>
    <w:div w:id="566257754">
      <w:bodyDiv w:val="1"/>
      <w:marLeft w:val="0"/>
      <w:marRight w:val="0"/>
      <w:marTop w:val="0"/>
      <w:marBottom w:val="0"/>
      <w:divBdr>
        <w:top w:val="none" w:sz="0" w:space="0" w:color="auto"/>
        <w:left w:val="none" w:sz="0" w:space="0" w:color="auto"/>
        <w:bottom w:val="none" w:sz="0" w:space="0" w:color="auto"/>
        <w:right w:val="none" w:sz="0" w:space="0" w:color="auto"/>
      </w:divBdr>
    </w:div>
    <w:div w:id="595673480">
      <w:bodyDiv w:val="1"/>
      <w:marLeft w:val="0"/>
      <w:marRight w:val="0"/>
      <w:marTop w:val="0"/>
      <w:marBottom w:val="0"/>
      <w:divBdr>
        <w:top w:val="none" w:sz="0" w:space="0" w:color="auto"/>
        <w:left w:val="none" w:sz="0" w:space="0" w:color="auto"/>
        <w:bottom w:val="none" w:sz="0" w:space="0" w:color="auto"/>
        <w:right w:val="none" w:sz="0" w:space="0" w:color="auto"/>
      </w:divBdr>
    </w:div>
    <w:div w:id="687028602">
      <w:bodyDiv w:val="1"/>
      <w:marLeft w:val="0"/>
      <w:marRight w:val="0"/>
      <w:marTop w:val="0"/>
      <w:marBottom w:val="0"/>
      <w:divBdr>
        <w:top w:val="none" w:sz="0" w:space="0" w:color="auto"/>
        <w:left w:val="none" w:sz="0" w:space="0" w:color="auto"/>
        <w:bottom w:val="none" w:sz="0" w:space="0" w:color="auto"/>
        <w:right w:val="none" w:sz="0" w:space="0" w:color="auto"/>
      </w:divBdr>
    </w:div>
    <w:div w:id="1346059569">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760901858">
      <w:bodyDiv w:val="1"/>
      <w:marLeft w:val="0"/>
      <w:marRight w:val="0"/>
      <w:marTop w:val="0"/>
      <w:marBottom w:val="0"/>
      <w:divBdr>
        <w:top w:val="none" w:sz="0" w:space="0" w:color="auto"/>
        <w:left w:val="none" w:sz="0" w:space="0" w:color="auto"/>
        <w:bottom w:val="none" w:sz="0" w:space="0" w:color="auto"/>
        <w:right w:val="none" w:sz="0" w:space="0" w:color="auto"/>
      </w:divBdr>
    </w:div>
    <w:div w:id="1802964830">
      <w:bodyDiv w:val="1"/>
      <w:marLeft w:val="0"/>
      <w:marRight w:val="0"/>
      <w:marTop w:val="0"/>
      <w:marBottom w:val="0"/>
      <w:divBdr>
        <w:top w:val="none" w:sz="0" w:space="0" w:color="auto"/>
        <w:left w:val="none" w:sz="0" w:space="0" w:color="auto"/>
        <w:bottom w:val="none" w:sz="0" w:space="0" w:color="auto"/>
        <w:right w:val="none" w:sz="0" w:space="0" w:color="auto"/>
      </w:divBdr>
    </w:div>
    <w:div w:id="2009021074">
      <w:bodyDiv w:val="1"/>
      <w:marLeft w:val="0"/>
      <w:marRight w:val="0"/>
      <w:marTop w:val="0"/>
      <w:marBottom w:val="0"/>
      <w:divBdr>
        <w:top w:val="none" w:sz="0" w:space="0" w:color="auto"/>
        <w:left w:val="none" w:sz="0" w:space="0" w:color="auto"/>
        <w:bottom w:val="none" w:sz="0" w:space="0" w:color="auto"/>
        <w:right w:val="none" w:sz="0" w:space="0" w:color="auto"/>
      </w:divBdr>
    </w:div>
    <w:div w:id="210286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yperlink" Target="https://www.publicservice.govt.nz/system/public-service-people/pay-gaps-and-pay-equity/kia-toipoto" TargetMode="External"/><Relationship Id="rId33" Type="http://schemas.openxmlformats.org/officeDocument/2006/relationships/hyperlink" Target="https://www.publicservice.govt.nz/role-and-purpose/maori-crown-relationships/maori-crown-capabilit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ublicservice.govt.nz/guidance/papa-pounamu" TargetMode="External"/><Relationship Id="rId32" Type="http://schemas.openxmlformats.org/officeDocument/2006/relationships/hyperlink" Target="https://www.publicservice.govt.nz/role-and-purpose/maori-crown-relationships/maori-crown-capability"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hyperlink" Target="http://www.environment.govt.nz" TargetMode="External"/><Relationship Id="rId31" Type="http://schemas.openxmlformats.org/officeDocument/2006/relationships/hyperlink" Target="https://environment.govt.nz/publications/gender-and-ethnic-pay-gaps-action-pla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image" Target="media/image5.png"/><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Publication%20template.dotx" TargetMode="External"/></Relationship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ECM-1122293896-124600</_dlc_DocId>
    <_dlc_DocIdUrl xmlns="58a6f171-52cb-4404-b47d-af1c8daf8fd1">
      <Url>https://ministryforenvironment.sharepoint.com/sites/ECM-ER-Comms/_layouts/15/DocIdRedir.aspx?ID=ECM-1122293896-124600</Url>
      <Description>ECM-1122293896-124600</Description>
    </_dlc_DocIdUrl>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a9fc1f031f880e754432f1b8c8ae5595">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120c695b11737ea56ee1a9c34dff7b4"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BE385-CC81-41C6-A3F2-1BC9449571F7}">
  <ds:schemaRefs>
    <ds:schemaRef ds:uri="http://schemas.microsoft.com/office/2006/metadata/properties"/>
    <ds:schemaRef ds:uri="http://schemas.microsoft.com/office/infopath/2007/PartnerControls"/>
    <ds:schemaRef ds:uri="4a94300e-a927-4b92-9d3a-682523035cb6"/>
    <ds:schemaRef ds:uri="http://schemas.microsoft.com/sharepoint/v3"/>
    <ds:schemaRef ds:uri="http://schemas.microsoft.com/sharepoint/v4"/>
    <ds:schemaRef ds:uri="58a6f171-52cb-4404-b47d-af1c8daf8fd1"/>
  </ds:schemaRefs>
</ds:datastoreItem>
</file>

<file path=customXml/itemProps2.xml><?xml version="1.0" encoding="utf-8"?>
<ds:datastoreItem xmlns:ds="http://schemas.openxmlformats.org/officeDocument/2006/customXml" ds:itemID="{E915373F-630C-45C1-9D1D-0033FB98D60B}">
  <ds:schemaRefs>
    <ds:schemaRef ds:uri="http://schemas.microsoft.com/sharepoint/events"/>
  </ds:schemaRefs>
</ds:datastoreItem>
</file>

<file path=customXml/itemProps3.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customXml/itemProps4.xml><?xml version="1.0" encoding="utf-8"?>
<ds:datastoreItem xmlns:ds="http://schemas.openxmlformats.org/officeDocument/2006/customXml" ds:itemID="{4D0CDAC4-0417-4665-BFBD-38D6177B7AAE}">
  <ds:schemaRefs>
    <ds:schemaRef ds:uri="http://schemas.microsoft.com/sharepoint/v3/contenttype/forms"/>
  </ds:schemaRefs>
</ds:datastoreItem>
</file>

<file path=customXml/itemProps5.xml><?xml version="1.0" encoding="utf-8"?>
<ds:datastoreItem xmlns:ds="http://schemas.openxmlformats.org/officeDocument/2006/customXml" ds:itemID="{C861A5AF-4B5D-4939-B33F-233EF7928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MfE Publication template.dotx</Template>
  <TotalTime>3</TotalTime>
  <Pages>17</Pages>
  <Words>5137</Words>
  <Characters>29282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34351</CharactersWithSpaces>
  <SharedDoc>false</SharedDoc>
  <HLinks>
    <vt:vector size="162" baseType="variant">
      <vt:variant>
        <vt:i4>3407982</vt:i4>
      </vt:variant>
      <vt:variant>
        <vt:i4>138</vt:i4>
      </vt:variant>
      <vt:variant>
        <vt:i4>0</vt:i4>
      </vt:variant>
      <vt:variant>
        <vt:i4>5</vt:i4>
      </vt:variant>
      <vt:variant>
        <vt:lpwstr>https://www.publicservice.govt.nz/role-and-purpose/maori-crown-relationships/maori-crown-capability</vt:lpwstr>
      </vt:variant>
      <vt:variant>
        <vt:lpwstr/>
      </vt:variant>
      <vt:variant>
        <vt:i4>3407982</vt:i4>
      </vt:variant>
      <vt:variant>
        <vt:i4>135</vt:i4>
      </vt:variant>
      <vt:variant>
        <vt:i4>0</vt:i4>
      </vt:variant>
      <vt:variant>
        <vt:i4>5</vt:i4>
      </vt:variant>
      <vt:variant>
        <vt:lpwstr>https://www.publicservice.govt.nz/role-and-purpose/maori-crown-relationships/maori-crown-capability</vt:lpwstr>
      </vt:variant>
      <vt:variant>
        <vt:lpwstr/>
      </vt:variant>
      <vt:variant>
        <vt:i4>917533</vt:i4>
      </vt:variant>
      <vt:variant>
        <vt:i4>132</vt:i4>
      </vt:variant>
      <vt:variant>
        <vt:i4>0</vt:i4>
      </vt:variant>
      <vt:variant>
        <vt:i4>5</vt:i4>
      </vt:variant>
      <vt:variant>
        <vt:lpwstr>https://environment.govt.nz/publications/gender-and-ethnic-pay-gaps-action-plan/</vt:lpwstr>
      </vt:variant>
      <vt:variant>
        <vt:lpwstr/>
      </vt:variant>
      <vt:variant>
        <vt:i4>6750244</vt:i4>
      </vt:variant>
      <vt:variant>
        <vt:i4>129</vt:i4>
      </vt:variant>
      <vt:variant>
        <vt:i4>0</vt:i4>
      </vt:variant>
      <vt:variant>
        <vt:i4>5</vt:i4>
      </vt:variant>
      <vt:variant>
        <vt:lpwstr>https://www.publicservice.govt.nz/system/public-service-people/pay-gaps-and-pay-equity/kia-toipoto</vt:lpwstr>
      </vt:variant>
      <vt:variant>
        <vt:lpwstr/>
      </vt:variant>
      <vt:variant>
        <vt:i4>7143476</vt:i4>
      </vt:variant>
      <vt:variant>
        <vt:i4>126</vt:i4>
      </vt:variant>
      <vt:variant>
        <vt:i4>0</vt:i4>
      </vt:variant>
      <vt:variant>
        <vt:i4>5</vt:i4>
      </vt:variant>
      <vt:variant>
        <vt:lpwstr>https://www.publicservice.govt.nz/guidance/papa-pounamu</vt:lpwstr>
      </vt:variant>
      <vt:variant>
        <vt:lpwstr/>
      </vt:variant>
      <vt:variant>
        <vt:i4>1900600</vt:i4>
      </vt:variant>
      <vt:variant>
        <vt:i4>119</vt:i4>
      </vt:variant>
      <vt:variant>
        <vt:i4>0</vt:i4>
      </vt:variant>
      <vt:variant>
        <vt:i4>5</vt:i4>
      </vt:variant>
      <vt:variant>
        <vt:lpwstr/>
      </vt:variant>
      <vt:variant>
        <vt:lpwstr>_Toc188532257</vt:lpwstr>
      </vt:variant>
      <vt:variant>
        <vt:i4>1900600</vt:i4>
      </vt:variant>
      <vt:variant>
        <vt:i4>113</vt:i4>
      </vt:variant>
      <vt:variant>
        <vt:i4>0</vt:i4>
      </vt:variant>
      <vt:variant>
        <vt:i4>5</vt:i4>
      </vt:variant>
      <vt:variant>
        <vt:lpwstr/>
      </vt:variant>
      <vt:variant>
        <vt:lpwstr>_Toc188532256</vt:lpwstr>
      </vt:variant>
      <vt:variant>
        <vt:i4>1900600</vt:i4>
      </vt:variant>
      <vt:variant>
        <vt:i4>107</vt:i4>
      </vt:variant>
      <vt:variant>
        <vt:i4>0</vt:i4>
      </vt:variant>
      <vt:variant>
        <vt:i4>5</vt:i4>
      </vt:variant>
      <vt:variant>
        <vt:lpwstr/>
      </vt:variant>
      <vt:variant>
        <vt:lpwstr>_Toc188532255</vt:lpwstr>
      </vt:variant>
      <vt:variant>
        <vt:i4>1900600</vt:i4>
      </vt:variant>
      <vt:variant>
        <vt:i4>98</vt:i4>
      </vt:variant>
      <vt:variant>
        <vt:i4>0</vt:i4>
      </vt:variant>
      <vt:variant>
        <vt:i4>5</vt:i4>
      </vt:variant>
      <vt:variant>
        <vt:lpwstr/>
      </vt:variant>
      <vt:variant>
        <vt:lpwstr>_Toc188532251</vt:lpwstr>
      </vt:variant>
      <vt:variant>
        <vt:i4>1900600</vt:i4>
      </vt:variant>
      <vt:variant>
        <vt:i4>92</vt:i4>
      </vt:variant>
      <vt:variant>
        <vt:i4>0</vt:i4>
      </vt:variant>
      <vt:variant>
        <vt:i4>5</vt:i4>
      </vt:variant>
      <vt:variant>
        <vt:lpwstr/>
      </vt:variant>
      <vt:variant>
        <vt:lpwstr>_Toc188532250</vt:lpwstr>
      </vt:variant>
      <vt:variant>
        <vt:i4>1835064</vt:i4>
      </vt:variant>
      <vt:variant>
        <vt:i4>86</vt:i4>
      </vt:variant>
      <vt:variant>
        <vt:i4>0</vt:i4>
      </vt:variant>
      <vt:variant>
        <vt:i4>5</vt:i4>
      </vt:variant>
      <vt:variant>
        <vt:lpwstr/>
      </vt:variant>
      <vt:variant>
        <vt:lpwstr>_Toc188532249</vt:lpwstr>
      </vt:variant>
      <vt:variant>
        <vt:i4>1769528</vt:i4>
      </vt:variant>
      <vt:variant>
        <vt:i4>77</vt:i4>
      </vt:variant>
      <vt:variant>
        <vt:i4>0</vt:i4>
      </vt:variant>
      <vt:variant>
        <vt:i4>5</vt:i4>
      </vt:variant>
      <vt:variant>
        <vt:lpwstr/>
      </vt:variant>
      <vt:variant>
        <vt:lpwstr>_Toc188532238</vt:lpwstr>
      </vt:variant>
      <vt:variant>
        <vt:i4>1769528</vt:i4>
      </vt:variant>
      <vt:variant>
        <vt:i4>71</vt:i4>
      </vt:variant>
      <vt:variant>
        <vt:i4>0</vt:i4>
      </vt:variant>
      <vt:variant>
        <vt:i4>5</vt:i4>
      </vt:variant>
      <vt:variant>
        <vt:lpwstr/>
      </vt:variant>
      <vt:variant>
        <vt:lpwstr>_Toc188532237</vt:lpwstr>
      </vt:variant>
      <vt:variant>
        <vt:i4>1769528</vt:i4>
      </vt:variant>
      <vt:variant>
        <vt:i4>65</vt:i4>
      </vt:variant>
      <vt:variant>
        <vt:i4>0</vt:i4>
      </vt:variant>
      <vt:variant>
        <vt:i4>5</vt:i4>
      </vt:variant>
      <vt:variant>
        <vt:lpwstr/>
      </vt:variant>
      <vt:variant>
        <vt:lpwstr>_Toc188532236</vt:lpwstr>
      </vt:variant>
      <vt:variant>
        <vt:i4>1769528</vt:i4>
      </vt:variant>
      <vt:variant>
        <vt:i4>59</vt:i4>
      </vt:variant>
      <vt:variant>
        <vt:i4>0</vt:i4>
      </vt:variant>
      <vt:variant>
        <vt:i4>5</vt:i4>
      </vt:variant>
      <vt:variant>
        <vt:lpwstr/>
      </vt:variant>
      <vt:variant>
        <vt:lpwstr>_Toc188532235</vt:lpwstr>
      </vt:variant>
      <vt:variant>
        <vt:i4>1769528</vt:i4>
      </vt:variant>
      <vt:variant>
        <vt:i4>53</vt:i4>
      </vt:variant>
      <vt:variant>
        <vt:i4>0</vt:i4>
      </vt:variant>
      <vt:variant>
        <vt:i4>5</vt:i4>
      </vt:variant>
      <vt:variant>
        <vt:lpwstr/>
      </vt:variant>
      <vt:variant>
        <vt:lpwstr>_Toc188532234</vt:lpwstr>
      </vt:variant>
      <vt:variant>
        <vt:i4>1769528</vt:i4>
      </vt:variant>
      <vt:variant>
        <vt:i4>47</vt:i4>
      </vt:variant>
      <vt:variant>
        <vt:i4>0</vt:i4>
      </vt:variant>
      <vt:variant>
        <vt:i4>5</vt:i4>
      </vt:variant>
      <vt:variant>
        <vt:lpwstr/>
      </vt:variant>
      <vt:variant>
        <vt:lpwstr>_Toc188532233</vt:lpwstr>
      </vt:variant>
      <vt:variant>
        <vt:i4>1769528</vt:i4>
      </vt:variant>
      <vt:variant>
        <vt:i4>41</vt:i4>
      </vt:variant>
      <vt:variant>
        <vt:i4>0</vt:i4>
      </vt:variant>
      <vt:variant>
        <vt:i4>5</vt:i4>
      </vt:variant>
      <vt:variant>
        <vt:lpwstr/>
      </vt:variant>
      <vt:variant>
        <vt:lpwstr>_Toc188532232</vt:lpwstr>
      </vt:variant>
      <vt:variant>
        <vt:i4>1769528</vt:i4>
      </vt:variant>
      <vt:variant>
        <vt:i4>35</vt:i4>
      </vt:variant>
      <vt:variant>
        <vt:i4>0</vt:i4>
      </vt:variant>
      <vt:variant>
        <vt:i4>5</vt:i4>
      </vt:variant>
      <vt:variant>
        <vt:lpwstr/>
      </vt:variant>
      <vt:variant>
        <vt:lpwstr>_Toc188532231</vt:lpwstr>
      </vt:variant>
      <vt:variant>
        <vt:i4>1769528</vt:i4>
      </vt:variant>
      <vt:variant>
        <vt:i4>29</vt:i4>
      </vt:variant>
      <vt:variant>
        <vt:i4>0</vt:i4>
      </vt:variant>
      <vt:variant>
        <vt:i4>5</vt:i4>
      </vt:variant>
      <vt:variant>
        <vt:lpwstr/>
      </vt:variant>
      <vt:variant>
        <vt:lpwstr>_Toc188532230</vt:lpwstr>
      </vt:variant>
      <vt:variant>
        <vt:i4>1703992</vt:i4>
      </vt:variant>
      <vt:variant>
        <vt:i4>23</vt:i4>
      </vt:variant>
      <vt:variant>
        <vt:i4>0</vt:i4>
      </vt:variant>
      <vt:variant>
        <vt:i4>5</vt:i4>
      </vt:variant>
      <vt:variant>
        <vt:lpwstr/>
      </vt:variant>
      <vt:variant>
        <vt:lpwstr>_Toc188532229</vt:lpwstr>
      </vt:variant>
      <vt:variant>
        <vt:i4>1703992</vt:i4>
      </vt:variant>
      <vt:variant>
        <vt:i4>17</vt:i4>
      </vt:variant>
      <vt:variant>
        <vt:i4>0</vt:i4>
      </vt:variant>
      <vt:variant>
        <vt:i4>5</vt:i4>
      </vt:variant>
      <vt:variant>
        <vt:lpwstr/>
      </vt:variant>
      <vt:variant>
        <vt:lpwstr>_Toc188532228</vt:lpwstr>
      </vt:variant>
      <vt:variant>
        <vt:i4>1703992</vt:i4>
      </vt:variant>
      <vt:variant>
        <vt:i4>11</vt:i4>
      </vt:variant>
      <vt:variant>
        <vt:i4>0</vt:i4>
      </vt:variant>
      <vt:variant>
        <vt:i4>5</vt:i4>
      </vt:variant>
      <vt:variant>
        <vt:lpwstr/>
      </vt:variant>
      <vt:variant>
        <vt:lpwstr>_Toc188532227</vt:lpwstr>
      </vt:variant>
      <vt:variant>
        <vt:i4>1703992</vt:i4>
      </vt:variant>
      <vt:variant>
        <vt:i4>5</vt:i4>
      </vt:variant>
      <vt:variant>
        <vt:i4>0</vt:i4>
      </vt:variant>
      <vt:variant>
        <vt:i4>5</vt:i4>
      </vt:variant>
      <vt:variant>
        <vt:lpwstr/>
      </vt:variant>
      <vt:variant>
        <vt:lpwstr>_Toc188532226</vt:lpwstr>
      </vt:variant>
      <vt:variant>
        <vt:i4>7340128</vt:i4>
      </vt:variant>
      <vt:variant>
        <vt:i4>0</vt:i4>
      </vt:variant>
      <vt:variant>
        <vt:i4>0</vt:i4>
      </vt:variant>
      <vt:variant>
        <vt:i4>5</vt:i4>
      </vt:variant>
      <vt:variant>
        <vt:lpwstr>http://www.environment.govt.nz/</vt:lpwstr>
      </vt:variant>
      <vt:variant>
        <vt:lpwstr/>
      </vt:variant>
      <vt:variant>
        <vt:i4>2293857</vt:i4>
      </vt:variant>
      <vt:variant>
        <vt:i4>3</vt:i4>
      </vt:variant>
      <vt:variant>
        <vt:i4>0</vt:i4>
      </vt:variant>
      <vt:variant>
        <vt:i4>5</vt:i4>
      </vt:variant>
      <vt:variant>
        <vt:lpwstr>https://ministryforenvironment.sharepoint.com/sites/Te-Taiao-People/SitePages/Mana-Aki.aspx</vt:lpwstr>
      </vt:variant>
      <vt:variant>
        <vt:lpwstr/>
      </vt:variant>
      <vt:variant>
        <vt:i4>6291481</vt:i4>
      </vt:variant>
      <vt:variant>
        <vt:i4>0</vt:i4>
      </vt:variant>
      <vt:variant>
        <vt:i4>0</vt:i4>
      </vt:variant>
      <vt:variant>
        <vt:i4>5</vt:i4>
      </vt:variant>
      <vt:variant>
        <vt:lpwstr>mailto:Lisette.DuPlessis1@mfe.govt.nz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DuplessisLi</dc:creator>
  <cp:keywords/>
  <cp:lastModifiedBy>Lisette Du Plessis</cp:lastModifiedBy>
  <cp:revision>4</cp:revision>
  <cp:lastPrinted>2025-01-23T21:34:00Z</cp:lastPrinted>
  <dcterms:created xsi:type="dcterms:W3CDTF">2025-01-23T21:29:00Z</dcterms:created>
  <dcterms:modified xsi:type="dcterms:W3CDTF">2025-01-23T21:34:00Z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MSIP_Label_52dda6cc-d61d-4fd2-bf18-9b3017d931cc_Enabled">
    <vt:lpwstr>true</vt:lpwstr>
  </property>
  <property fmtid="{D5CDD505-2E9C-101B-9397-08002B2CF9AE}" pid="4" name="MSIP_Label_52dda6cc-d61d-4fd2-bf18-9b3017d931cc_SetDate">
    <vt:lpwstr>2022-01-16T22:14:40Z</vt:lpwstr>
  </property>
  <property fmtid="{D5CDD505-2E9C-101B-9397-08002B2CF9AE}" pid="5" name="MSIP_Label_52dda6cc-d61d-4fd2-bf18-9b3017d931cc_Method">
    <vt:lpwstr>Privileged</vt:lpwstr>
  </property>
  <property fmtid="{D5CDD505-2E9C-101B-9397-08002B2CF9AE}" pid="6" name="MSIP_Label_52dda6cc-d61d-4fd2-bf18-9b3017d931cc_Name">
    <vt:lpwstr>[UNCLASSIFIED]</vt:lpwstr>
  </property>
  <property fmtid="{D5CDD505-2E9C-101B-9397-08002B2CF9AE}" pid="7" name="MSIP_Label_52dda6cc-d61d-4fd2-bf18-9b3017d931cc_SiteId">
    <vt:lpwstr>761dd003-d4ff-4049-8a72-8549b20fcbb1</vt:lpwstr>
  </property>
  <property fmtid="{D5CDD505-2E9C-101B-9397-08002B2CF9AE}" pid="8" name="MSIP_Label_52dda6cc-d61d-4fd2-bf18-9b3017d931cc_ActionId">
    <vt:lpwstr>9adb5016-2886-4e41-9a13-e62dbe13137f</vt:lpwstr>
  </property>
  <property fmtid="{D5CDD505-2E9C-101B-9397-08002B2CF9AE}" pid="9" name="MSIP_Label_52dda6cc-d61d-4fd2-bf18-9b3017d931cc_ContentBits">
    <vt:lpwstr>0</vt:lpwstr>
  </property>
  <property fmtid="{D5CDD505-2E9C-101B-9397-08002B2CF9AE}" pid="10" name="MediaServiceImageTags">
    <vt:lpwstr/>
  </property>
  <property fmtid="{D5CDD505-2E9C-101B-9397-08002B2CF9AE}" pid="11" name="_dlc_DocIdItemGuid">
    <vt:lpwstr>1c786563-1964-4da5-83df-6f480cff3a6d</vt:lpwstr>
  </property>
</Properties>
</file>