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F25" w14:textId="172CD5DB" w:rsidR="00B30A89" w:rsidRDefault="00331B3B" w:rsidP="00524D5E">
      <w:pPr>
        <w:pStyle w:val="BodyText"/>
        <w:spacing w:after="5000"/>
      </w:pPr>
      <w:r>
        <w:rPr>
          <w:noProof/>
        </w:rPr>
        <mc:AlternateContent>
          <mc:Choice Requires="wps">
            <w:drawing>
              <wp:anchor distT="0" distB="0" distL="114300" distR="114300" simplePos="0" relativeHeight="251658240" behindDoc="0" locked="0" layoutInCell="1" allowOverlap="1" wp14:anchorId="1F22EFDB" wp14:editId="48D1C85A">
                <wp:simplePos x="0" y="0"/>
                <wp:positionH relativeFrom="margin">
                  <wp:align>left</wp:align>
                </wp:positionH>
                <wp:positionV relativeFrom="paragraph">
                  <wp:posOffset>575310</wp:posOffset>
                </wp:positionV>
                <wp:extent cx="5939790" cy="16490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939790" cy="1649095"/>
                        </a:xfrm>
                        <a:prstGeom prst="rect">
                          <a:avLst/>
                        </a:prstGeom>
                        <a:noFill/>
                        <a:ln w="6350">
                          <a:noFill/>
                        </a:ln>
                      </wps:spPr>
                      <wps:txbx>
                        <w:txbxContent>
                          <w:p w14:paraId="35AA8C63" w14:textId="083F24E9" w:rsidR="00AD3644" w:rsidRPr="00177432" w:rsidRDefault="0006716D" w:rsidP="00FE4110">
                            <w:pPr>
                              <w:pStyle w:val="Title"/>
                              <w:spacing w:line="560" w:lineRule="atLeast"/>
                            </w:pPr>
                            <w:r>
                              <w:t>National Policy Statement for Highly Productive Land</w:t>
                            </w:r>
                          </w:p>
                          <w:p w14:paraId="6AD87313" w14:textId="25855213" w:rsidR="00B349E3" w:rsidRPr="00AD3644" w:rsidRDefault="001F35D3" w:rsidP="00F77079">
                            <w:pPr>
                              <w:pStyle w:val="Subtitle"/>
                              <w:spacing w:before="240" w:line="440" w:lineRule="atLeast"/>
                            </w:pPr>
                            <w:r>
                              <w:t>I</w:t>
                            </w:r>
                            <w:r w:rsidR="0006716D">
                              <w:t xml:space="preserve">nformation on </w:t>
                            </w:r>
                            <w:r w:rsidR="00331B3B">
                              <w:t xml:space="preserve">changing the status of </w:t>
                            </w:r>
                            <w:r w:rsidR="0006716D" w:rsidRPr="0006716D">
                              <w:t xml:space="preserve">Māori </w:t>
                            </w:r>
                            <w:r w:rsidR="000C2F60">
                              <w:t xml:space="preserve">land </w:t>
                            </w:r>
                            <w:r w:rsidR="0006716D" w:rsidRPr="0006716D">
                              <w:t xml:space="preserve">and </w:t>
                            </w:r>
                            <w:r w:rsidR="00331B3B">
                              <w:t xml:space="preserve">rezoning land to </w:t>
                            </w:r>
                            <w:r w:rsidR="00331B3B" w:rsidRPr="0006716D">
                              <w:t xml:space="preserve">Māori </w:t>
                            </w:r>
                            <w:r w:rsidR="001E6916">
                              <w:t>p</w:t>
                            </w:r>
                            <w:r w:rsidR="00331B3B">
                              <w:t xml:space="preserve">urpose </w:t>
                            </w:r>
                            <w:r w:rsidR="001E6916">
                              <w:t>z</w:t>
                            </w:r>
                            <w:r w:rsidR="00331B3B">
                              <w:t>one</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22EFDB" id="_x0000_t202" coordsize="21600,21600" o:spt="202" path="m,l,21600r21600,l21600,xe">
                <v:stroke joinstyle="miter"/>
                <v:path gradientshapeok="t" o:connecttype="rect"/>
              </v:shapetype>
              <v:shape id="Text Box 6" o:spid="_x0000_s1026" type="#_x0000_t202" style="position:absolute;margin-left:0;margin-top:45.3pt;width:467.7pt;height:129.8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EmHAIAACkEAAAOAAAAZHJzL2Uyb0RvYy54bWysU99v2jAQfp+0/8Hy+0gohY6IULFWTJNQ&#10;W4lOfTaOTSLZPs82JOyv39kJMHV7mvbi3Pku9+P7Pi/uO63IUTjfgCnpeJRTIgyHqjH7kn5/XX/6&#10;TIkPzFRMgRElPQlP75cfPyxaW4gbqEFVwhEsYnzR2pLWIdgiyzyvhWZ+BFYYDEpwmgV03T6rHGux&#10;ulbZTZ7PshZcZR1w4T3ePvZBukz1pRQ8PEvpRSCqpDhbSKdL5y6e2XLBir1jtm74MAb7hyk0aww2&#10;vZR6ZIGRg2v+KKUb7sCDDCMOOgMpGy7SDrjNOH+3zbZmVqRdEBxvLzD5/1eWPx239sWR0H2BDgmM&#10;gLTWFx4v4z6ddDp+cVKCcYTwdIFNdIFwvJzOJ/O7OYY4xsaz23k+n8Y62fV363z4KkCTaJTUIS8J&#10;Lnbc+NCnnlNiNwPrRqnEjTKkLelsMs3TD5cIFlcGe1yHjVbodt2wwQ6qEy7moOfcW75usPmG+fDC&#10;HJKMA6NwwzMeUgE2gcGipAb382/3MR+xxyglLYqmpP7HgTlBifpmkJXJLM+jypJzh/pExyUHjV0y&#10;bqd4T4k56AdATY7xeViezJgb1NmUDvQbansVO2KIGY59SxrO5kPoZYxvg4vVKiWhpiwLG7O1PJaO&#10;UEZYX7s35uyAfUDanuAsLVa8o6DPjX96uzoEJCLxE8HtER0wRz0mhoe3EwX/u5+yri98+QsAAP//&#10;AwBQSwMEFAAGAAgAAAAhAGbeJy3dAAAABwEAAA8AAABkcnMvZG93bnJldi54bWxMj8FOwzAQRO9I&#10;/IO1SNyoTUMiGuJUqKgSF0BN4W7H2yQiXke224a/x5zocTSjmTfVerYjO6EPgyMJ9wsBDKl1ZqBO&#10;wud+e/cILERFRo2OUMIPBljX11eVKo070w5PTexYKqFQKgl9jFPJeWh7tCos3ISUvIPzVsUkfceN&#10;V+dUbke+FKLgVg2UFno14abH9rs5Wgmb5fvHIW/169uu0Xo7T3tffL1IeXszPz8BizjH/zD84Sd0&#10;qBOTdkcygY0S0pEoYSUKYMldZfkDMC0hy0UGvK74JX/9CwAA//8DAFBLAQItABQABgAIAAAAIQC2&#10;gziS/gAAAOEBAAATAAAAAAAAAAAAAAAAAAAAAABbQ29udGVudF9UeXBlc10ueG1sUEsBAi0AFAAG&#10;AAgAAAAhADj9If/WAAAAlAEAAAsAAAAAAAAAAAAAAAAALwEAAF9yZWxzLy5yZWxzUEsBAi0AFAAG&#10;AAgAAAAhABc1gSYcAgAAKQQAAA4AAAAAAAAAAAAAAAAALgIAAGRycy9lMm9Eb2MueG1sUEsBAi0A&#10;FAAGAAgAAAAhAGbeJy3dAAAABwEAAA8AAAAAAAAAAAAAAAAAdgQAAGRycy9kb3ducmV2LnhtbFBL&#10;BQYAAAAABAAEAPMAAACABQAAAAA=&#10;" filled="f" stroked="f" strokeweight=".5pt">
                <v:textbox style="mso-fit-shape-to-text:t" inset="1mm,2mm,0">
                  <w:txbxContent>
                    <w:p w14:paraId="35AA8C63" w14:textId="083F24E9" w:rsidR="00AD3644" w:rsidRPr="00177432" w:rsidRDefault="0006716D" w:rsidP="00FE4110">
                      <w:pPr>
                        <w:pStyle w:val="Title"/>
                        <w:spacing w:line="560" w:lineRule="atLeast"/>
                      </w:pPr>
                      <w:r>
                        <w:t>National Policy Statement for Highly Productive Land</w:t>
                      </w:r>
                    </w:p>
                    <w:p w14:paraId="6AD87313" w14:textId="25855213" w:rsidR="00B349E3" w:rsidRPr="00AD3644" w:rsidRDefault="001F35D3" w:rsidP="00F77079">
                      <w:pPr>
                        <w:pStyle w:val="Subtitle"/>
                        <w:spacing w:before="240" w:line="440" w:lineRule="atLeast"/>
                      </w:pPr>
                      <w:r>
                        <w:t>I</w:t>
                      </w:r>
                      <w:r w:rsidR="0006716D">
                        <w:t xml:space="preserve">nformation on </w:t>
                      </w:r>
                      <w:r w:rsidR="00331B3B">
                        <w:t xml:space="preserve">changing the status of </w:t>
                      </w:r>
                      <w:r w:rsidR="0006716D" w:rsidRPr="0006716D">
                        <w:t xml:space="preserve">Māori </w:t>
                      </w:r>
                      <w:r w:rsidR="000C2F60">
                        <w:t xml:space="preserve">land </w:t>
                      </w:r>
                      <w:r w:rsidR="0006716D" w:rsidRPr="0006716D">
                        <w:t xml:space="preserve">and </w:t>
                      </w:r>
                      <w:r w:rsidR="00331B3B">
                        <w:t xml:space="preserve">rezoning land to </w:t>
                      </w:r>
                      <w:r w:rsidR="00331B3B" w:rsidRPr="0006716D">
                        <w:t xml:space="preserve">Māori </w:t>
                      </w:r>
                      <w:r w:rsidR="001E6916">
                        <w:t>p</w:t>
                      </w:r>
                      <w:r w:rsidR="00331B3B">
                        <w:t xml:space="preserve">urpose </w:t>
                      </w:r>
                      <w:r w:rsidR="001E6916">
                        <w:t>z</w:t>
                      </w:r>
                      <w:r w:rsidR="00331B3B">
                        <w:t>one</w:t>
                      </w:r>
                    </w:p>
                  </w:txbxContent>
                </v:textbox>
                <w10:wrap anchorx="margin"/>
              </v:shape>
            </w:pict>
          </mc:Fallback>
        </mc:AlternateContent>
      </w:r>
      <w:r w:rsidR="00EC6283">
        <w:rPr>
          <w:noProof/>
        </w:rPr>
        <w:drawing>
          <wp:anchor distT="0" distB="0" distL="114300" distR="114300" simplePos="0" relativeHeight="251658244" behindDoc="1" locked="0" layoutInCell="1" allowOverlap="1" wp14:anchorId="57113307" wp14:editId="140C7202">
            <wp:simplePos x="0" y="0"/>
            <wp:positionH relativeFrom="page">
              <wp:align>left</wp:align>
            </wp:positionH>
            <wp:positionV relativeFrom="paragraph">
              <wp:posOffset>-724535</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F97CFB">
        <w:rPr>
          <w:noProof/>
        </w:rPr>
        <w:drawing>
          <wp:anchor distT="0" distB="0" distL="114300" distR="114300" simplePos="0" relativeHeight="251658242" behindDoc="0" locked="0" layoutInCell="1" allowOverlap="1" wp14:anchorId="3188E300" wp14:editId="598B0B0A">
            <wp:simplePos x="0" y="0"/>
            <wp:positionH relativeFrom="margin">
              <wp:posOffset>3585845</wp:posOffset>
            </wp:positionH>
            <wp:positionV relativeFrom="margin">
              <wp:posOffset>-234315</wp:posOffset>
            </wp:positionV>
            <wp:extent cx="2178050" cy="529590"/>
            <wp:effectExtent l="0" t="0" r="0" b="381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50" cy="529590"/>
                    </a:xfrm>
                    <a:prstGeom prst="rect">
                      <a:avLst/>
                    </a:prstGeom>
                  </pic:spPr>
                </pic:pic>
              </a:graphicData>
            </a:graphic>
            <wp14:sizeRelH relativeFrom="page">
              <wp14:pctWidth>0</wp14:pctWidth>
            </wp14:sizeRelH>
            <wp14:sizeRelV relativeFrom="page">
              <wp14:pctHeight>0</wp14:pctHeight>
            </wp14:sizeRelV>
          </wp:anchor>
        </w:drawing>
      </w:r>
    </w:p>
    <w:p w14:paraId="36D4FEB1" w14:textId="15F725B2" w:rsidR="00331B3B" w:rsidRDefault="00630A3E" w:rsidP="00331B3B">
      <w:pPr>
        <w:pStyle w:val="BodyText"/>
      </w:pPr>
      <w:r w:rsidRPr="00FB6EA3">
        <w:rPr>
          <w:sz w:val="24"/>
          <w:szCs w:val="24"/>
        </w:rPr>
        <w:t>This</w:t>
      </w:r>
      <w:r w:rsidRPr="5C9A0115">
        <w:rPr>
          <w:sz w:val="24"/>
          <w:szCs w:val="24"/>
        </w:rPr>
        <w:t xml:space="preserve"> information sheet should be read together with</w:t>
      </w:r>
      <w:r w:rsidR="00331B3B" w:rsidRPr="5C9A0115">
        <w:rPr>
          <w:sz w:val="24"/>
          <w:szCs w:val="24"/>
        </w:rPr>
        <w:t xml:space="preserve"> t</w:t>
      </w:r>
      <w:r w:rsidRPr="5C9A0115">
        <w:rPr>
          <w:sz w:val="24"/>
          <w:szCs w:val="24"/>
        </w:rPr>
        <w:t>he</w:t>
      </w:r>
      <w:r w:rsidR="00331B3B" w:rsidRPr="5C9A0115">
        <w:rPr>
          <w:sz w:val="24"/>
          <w:szCs w:val="24"/>
        </w:rPr>
        <w:t xml:space="preserve"> </w:t>
      </w:r>
      <w:hyperlink r:id="rId13">
        <w:r w:rsidR="00331B3B" w:rsidRPr="5C9A0115">
          <w:rPr>
            <w:rStyle w:val="Hyperlink"/>
            <w:sz w:val="24"/>
            <w:szCs w:val="24"/>
          </w:rPr>
          <w:t>general information sheet on what the NPS-HPL means for Māori and Māori land</w:t>
        </w:r>
      </w:hyperlink>
      <w:r w:rsidR="00331B3B">
        <w:t>.</w:t>
      </w:r>
    </w:p>
    <w:p w14:paraId="6E878C4D" w14:textId="317550E2" w:rsidR="00331B3B" w:rsidRPr="001F7070" w:rsidRDefault="00331B3B" w:rsidP="00331B3B">
      <w:pPr>
        <w:pStyle w:val="Heading3"/>
        <w:rPr>
          <w:sz w:val="36"/>
          <w:szCs w:val="36"/>
        </w:rPr>
      </w:pPr>
      <w:r w:rsidRPr="006B5199">
        <w:rPr>
          <w:sz w:val="36"/>
          <w:szCs w:val="36"/>
        </w:rPr>
        <w:t xml:space="preserve">Changing land status and rezoning </w:t>
      </w:r>
    </w:p>
    <w:p w14:paraId="611E66FF" w14:textId="1AAFCF99" w:rsidR="00331B3B" w:rsidRPr="00331B3B" w:rsidRDefault="00331B3B" w:rsidP="00331B3B">
      <w:pPr>
        <w:pStyle w:val="BodyText"/>
      </w:pPr>
      <w:r w:rsidRPr="00331B3B">
        <w:rPr>
          <w:rStyle w:val="cf01"/>
          <w:rFonts w:ascii="Calibri" w:hAnsi="Calibri" w:cs="Times New Roman"/>
          <w:sz w:val="22"/>
          <w:szCs w:val="22"/>
        </w:rPr>
        <w:t xml:space="preserve">The NPS-HPL restrictions on use and development </w:t>
      </w:r>
      <w:r w:rsidR="00DD3B28">
        <w:rPr>
          <w:rStyle w:val="cf01"/>
          <w:rFonts w:ascii="Calibri" w:hAnsi="Calibri" w:cs="Times New Roman"/>
          <w:sz w:val="22"/>
          <w:szCs w:val="22"/>
        </w:rPr>
        <w:t xml:space="preserve">are likely to </w:t>
      </w:r>
      <w:r w:rsidRPr="00331B3B">
        <w:rPr>
          <w:rStyle w:val="cf01"/>
          <w:rFonts w:ascii="Calibri" w:hAnsi="Calibri" w:cs="Times New Roman"/>
          <w:sz w:val="22"/>
          <w:szCs w:val="22"/>
        </w:rPr>
        <w:t>apply to general land owned by Māori</w:t>
      </w:r>
      <w:r w:rsidR="00190900">
        <w:rPr>
          <w:rStyle w:val="cf01"/>
          <w:rFonts w:ascii="Calibri" w:hAnsi="Calibri" w:cs="Times New Roman"/>
          <w:sz w:val="22"/>
          <w:szCs w:val="22"/>
        </w:rPr>
        <w:t xml:space="preserve"> (refer to </w:t>
      </w:r>
      <w:r w:rsidR="0083097E">
        <w:rPr>
          <w:rStyle w:val="cf01"/>
          <w:rFonts w:ascii="Calibri" w:hAnsi="Calibri" w:cs="Times New Roman"/>
          <w:sz w:val="22"/>
          <w:szCs w:val="22"/>
        </w:rPr>
        <w:t xml:space="preserve">the </w:t>
      </w:r>
      <w:hyperlink r:id="rId14">
        <w:r w:rsidR="0083097E" w:rsidRPr="5C9A0115">
          <w:rPr>
            <w:rStyle w:val="Hyperlink"/>
            <w:sz w:val="24"/>
            <w:szCs w:val="24"/>
          </w:rPr>
          <w:t>general information sheet on what the NPS-HPL means for Māori and Māori land</w:t>
        </w:r>
      </w:hyperlink>
      <w:r w:rsidR="0083097E">
        <w:t>)</w:t>
      </w:r>
      <w:r w:rsidRPr="00331B3B">
        <w:rPr>
          <w:rStyle w:val="cf01"/>
          <w:rFonts w:ascii="Calibri" w:hAnsi="Calibri" w:cs="Times New Roman"/>
          <w:sz w:val="22"/>
          <w:szCs w:val="22"/>
        </w:rPr>
        <w:t>, unless the owners complete one of two processes:</w:t>
      </w:r>
    </w:p>
    <w:p w14:paraId="66623CBF" w14:textId="62EDFDE8" w:rsidR="00331B3B" w:rsidRPr="00331B3B" w:rsidRDefault="00331B3B" w:rsidP="00E81514">
      <w:pPr>
        <w:pStyle w:val="Bullet"/>
        <w:numPr>
          <w:ilvl w:val="0"/>
          <w:numId w:val="17"/>
        </w:numPr>
      </w:pPr>
      <w:r w:rsidRPr="00331B3B">
        <w:rPr>
          <w:rStyle w:val="cf01"/>
          <w:rFonts w:asciiTheme="minorHAnsi" w:hAnsiTheme="minorHAnsi" w:cstheme="minorHAnsi"/>
          <w:sz w:val="22"/>
          <w:szCs w:val="22"/>
        </w:rPr>
        <w:t xml:space="preserve">an application is made under s 133 of </w:t>
      </w:r>
      <w:proofErr w:type="spellStart"/>
      <w:r w:rsidRPr="00331B3B">
        <w:rPr>
          <w:rStyle w:val="cf01"/>
          <w:rFonts w:asciiTheme="minorHAnsi" w:hAnsiTheme="minorHAnsi" w:cstheme="minorHAnsi"/>
          <w:sz w:val="22"/>
          <w:szCs w:val="22"/>
        </w:rPr>
        <w:t>Te</w:t>
      </w:r>
      <w:proofErr w:type="spellEnd"/>
      <w:r w:rsidRPr="00331B3B">
        <w:rPr>
          <w:rStyle w:val="cf01"/>
          <w:rFonts w:asciiTheme="minorHAnsi" w:hAnsiTheme="minorHAnsi" w:cstheme="minorHAnsi"/>
          <w:sz w:val="22"/>
          <w:szCs w:val="22"/>
        </w:rPr>
        <w:t xml:space="preserve"> Ture Whenua Māori Act 1993 to </w:t>
      </w:r>
      <w:r w:rsidRPr="00331B3B">
        <w:rPr>
          <w:rStyle w:val="cf01"/>
          <w:rFonts w:asciiTheme="minorHAnsi" w:hAnsiTheme="minorHAnsi" w:cstheme="minorHAnsi"/>
          <w:b/>
          <w:bCs/>
          <w:sz w:val="22"/>
          <w:szCs w:val="22"/>
        </w:rPr>
        <w:t>change the status of land to Māori freehold land</w:t>
      </w:r>
      <w:r w:rsidRPr="00331B3B">
        <w:rPr>
          <w:rStyle w:val="cf01"/>
          <w:rFonts w:asciiTheme="minorHAnsi" w:hAnsiTheme="minorHAnsi" w:cstheme="minorHAnsi"/>
          <w:sz w:val="22"/>
          <w:szCs w:val="22"/>
        </w:rPr>
        <w:t>, and the land status is changed by an order of the Māori Land Court</w:t>
      </w:r>
      <w:r w:rsidR="00CA3A5C">
        <w:rPr>
          <w:rStyle w:val="cf01"/>
          <w:rFonts w:asciiTheme="minorHAnsi" w:hAnsiTheme="minorHAnsi" w:cstheme="minorHAnsi"/>
          <w:sz w:val="22"/>
          <w:szCs w:val="22"/>
        </w:rPr>
        <w:t>,</w:t>
      </w:r>
      <w:r w:rsidRPr="00331B3B">
        <w:rPr>
          <w:rStyle w:val="cf01"/>
          <w:rFonts w:asciiTheme="minorHAnsi" w:hAnsiTheme="minorHAnsi" w:cstheme="minorHAnsi"/>
          <w:sz w:val="22"/>
          <w:szCs w:val="22"/>
        </w:rPr>
        <w:t xml:space="preserve"> or</w:t>
      </w:r>
    </w:p>
    <w:p w14:paraId="61C14BBE" w14:textId="71BE475A" w:rsidR="00331B3B" w:rsidRPr="00331B3B" w:rsidRDefault="00331B3B" w:rsidP="00E81514">
      <w:pPr>
        <w:pStyle w:val="Bullet"/>
        <w:numPr>
          <w:ilvl w:val="0"/>
          <w:numId w:val="17"/>
        </w:numPr>
      </w:pPr>
      <w:r w:rsidRPr="00331B3B">
        <w:rPr>
          <w:rStyle w:val="cf01"/>
          <w:rFonts w:asciiTheme="minorHAnsi" w:hAnsiTheme="minorHAnsi" w:cstheme="minorHAnsi"/>
          <w:sz w:val="22"/>
          <w:szCs w:val="22"/>
        </w:rPr>
        <w:t xml:space="preserve">an application is made to the relevant local authority to </w:t>
      </w:r>
      <w:r w:rsidRPr="00331B3B">
        <w:rPr>
          <w:rStyle w:val="cf01"/>
          <w:rFonts w:asciiTheme="minorHAnsi" w:hAnsiTheme="minorHAnsi" w:cstheme="minorHAnsi"/>
          <w:b/>
          <w:bCs/>
          <w:sz w:val="22"/>
          <w:szCs w:val="22"/>
        </w:rPr>
        <w:t>rezone the land to a Māori purpose zone</w:t>
      </w:r>
      <w:r w:rsidRPr="00331B3B">
        <w:rPr>
          <w:rStyle w:val="cf01"/>
          <w:rFonts w:asciiTheme="minorHAnsi" w:hAnsiTheme="minorHAnsi" w:cstheme="minorHAnsi"/>
          <w:sz w:val="22"/>
          <w:szCs w:val="22"/>
        </w:rPr>
        <w:t xml:space="preserve"> (as defined under the </w:t>
      </w:r>
      <w:hyperlink r:id="rId15" w:history="1">
        <w:r w:rsidRPr="00331B3B">
          <w:rPr>
            <w:rStyle w:val="Hyperlink"/>
            <w:rFonts w:asciiTheme="minorHAnsi" w:hAnsiTheme="minorHAnsi" w:cstheme="minorHAnsi"/>
            <w:szCs w:val="22"/>
          </w:rPr>
          <w:t>National Planning Standards</w:t>
        </w:r>
      </w:hyperlink>
      <w:r w:rsidRPr="00331B3B">
        <w:rPr>
          <w:rStyle w:val="cf01"/>
          <w:rFonts w:asciiTheme="minorHAnsi" w:hAnsiTheme="minorHAnsi" w:cstheme="minorHAnsi"/>
          <w:sz w:val="22"/>
          <w:szCs w:val="22"/>
        </w:rPr>
        <w:t>), and the local authority notifies the rezoning in a plan or proposed plan.</w:t>
      </w:r>
    </w:p>
    <w:p w14:paraId="4F83A87D" w14:textId="579C8D3C" w:rsidR="00331B3B" w:rsidRDefault="00970C68" w:rsidP="00331B3B">
      <w:pPr>
        <w:pStyle w:val="BodyText"/>
      </w:pPr>
      <w:r>
        <w:rPr>
          <w:noProof/>
        </w:rPr>
        <mc:AlternateContent>
          <mc:Choice Requires="wps">
            <w:drawing>
              <wp:anchor distT="45720" distB="45720" distL="180340" distR="114300" simplePos="0" relativeHeight="251658245" behindDoc="0" locked="0" layoutInCell="1" allowOverlap="1" wp14:anchorId="61BA3E02" wp14:editId="37367BF2">
                <wp:simplePos x="0" y="0"/>
                <wp:positionH relativeFrom="margin">
                  <wp:posOffset>-6350</wp:posOffset>
                </wp:positionH>
                <wp:positionV relativeFrom="paragraph">
                  <wp:posOffset>949325</wp:posOffset>
                </wp:positionV>
                <wp:extent cx="5362575" cy="1771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71650"/>
                        </a:xfrm>
                        <a:prstGeom prst="rect">
                          <a:avLst/>
                        </a:prstGeom>
                        <a:solidFill>
                          <a:srgbClr val="D2DDE2"/>
                        </a:solidFill>
                        <a:ln w="9525">
                          <a:noFill/>
                          <a:miter lim="800000"/>
                          <a:headEnd/>
                          <a:tailEnd/>
                        </a:ln>
                      </wps:spPr>
                      <wps:txbx>
                        <w:txbxContent>
                          <w:p w14:paraId="7E103BDE" w14:textId="77777777" w:rsidR="001F7070" w:rsidRPr="00D51DE4" w:rsidRDefault="001F7070" w:rsidP="00970C68">
                            <w:pPr>
                              <w:pStyle w:val="Boxtext"/>
                            </w:pPr>
                            <w:r w:rsidRPr="00970C68">
                              <w:rPr>
                                <w:b/>
                                <w:bCs/>
                              </w:rPr>
                              <w:t>Note: Resource management reform</w:t>
                            </w:r>
                          </w:p>
                          <w:p w14:paraId="4FD5BDBE" w14:textId="77777777" w:rsidR="001F7070" w:rsidRDefault="001F7070" w:rsidP="00970C68">
                            <w:pPr>
                              <w:pStyle w:val="Boxtext"/>
                            </w:pPr>
                            <w:r w:rsidRPr="00B47D29">
                              <w:t xml:space="preserve">Work is underway to replace the Resource Management Act with a Natural and Built Environment Act (NBE), Strategic Planning Act (SPA) and Climate Adaptation Act (CAA). </w:t>
                            </w:r>
                          </w:p>
                          <w:p w14:paraId="55DCF2DF" w14:textId="77777777" w:rsidR="001F7070" w:rsidRDefault="001F7070" w:rsidP="00970C68">
                            <w:pPr>
                              <w:pStyle w:val="Boxtext"/>
                            </w:pPr>
                            <w:r w:rsidRPr="00B47D29">
                              <w:t xml:space="preserve">Decisions on the current </w:t>
                            </w:r>
                            <w:hyperlink r:id="rId16" w:history="1">
                              <w:r w:rsidRPr="00B47D29">
                                <w:rPr>
                                  <w:rStyle w:val="Hyperlink"/>
                                  <w:color w:val="auto"/>
                                </w:rPr>
                                <w:t>Natural and Built Environment (NBE) Bill</w:t>
                              </w:r>
                            </w:hyperlink>
                            <w:r w:rsidRPr="00B47D29">
                              <w:t xml:space="preserve"> are before Parliament. These will affect how the NPS-HPL will be integrated into a National Planning Framework under the NBE</w:t>
                            </w:r>
                            <w:r>
                              <w:t xml:space="preserve"> and may influence landowners decisions on whether to undertake a status change or rezoning</w:t>
                            </w:r>
                            <w:r w:rsidRPr="00B47D29">
                              <w:t>.</w:t>
                            </w:r>
                          </w:p>
                          <w:p w14:paraId="55E1B79F" w14:textId="77777777" w:rsidR="001F7070" w:rsidRDefault="001F7070" w:rsidP="001F7070">
                            <w:pPr>
                              <w:pStyle w:val="Boxbullet"/>
                              <w:numPr>
                                <w:ilvl w:val="0"/>
                                <w:numId w:val="0"/>
                              </w:num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3E02" id="Text Box 2" o:spid="_x0000_s1027" type="#_x0000_t202" style="position:absolute;margin-left:-.5pt;margin-top:74.75pt;width:422.25pt;height:139.5pt;z-index:251658245;visibility:visible;mso-wrap-style:square;mso-width-percent:0;mso-height-percent:0;mso-wrap-distance-left:14.2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D7FQIAAP4DAAAOAAAAZHJzL2Uyb0RvYy54bWysk99u2yAUxu8n7R0Q94tjL05aK07VJe00&#10;qfsjtXsAjHGMhjkMSOzs6XfAbhp1d9V8gTgGPs75nY/1zdApchTWSdAlTWdzSoTmUEu9L+nPp/sP&#10;V5Q4z3TNFGhR0pNw9Gbz/t26N4XIoAVVC0tQRLuiNyVtvTdFkjjeio65GRihcbEB2zGPod0ntWU9&#10;qncqyebzZdKDrY0FLpzDv7txkW6iftMI7r83jROeqJJibj6ONo5VGJPNmhV7y0wr+ZQGe0MWHZMa&#10;Lz1L7Zhn5GDlP1Kd5BYcNH7GoUugaSQXsQasJp2/quaxZUbEWhCOM2dM7v/J8m/HR/PDEj98ggEb&#10;GItw5gH4L0c0bFum9+LWWuhbwWq8OA3Ikt64YjoaULvCBZGq/wo1NpkdPEShobFdoIJ1ElTHBpzO&#10;0MXgCcef+cdllq9ySjiupatVusxjWxJWPB831vnPAjoSJiW12NUoz44Pzod0WPG8JdzmQMn6XioV&#10;A7uvtsqSI0MH7LLd7i6LFbzapjTpS3qdZ3lU1hDOR3N00qNDlexKejUP3+iZgONO13GLZ1KNc8xE&#10;6YlPQDLC8UM1EFlP8AKuCuoTArMwGhIfEE5asH8o6dGMJXW/D8wKStQXjdCv08UiuDcGi3yVYWAv&#10;V6rLFaY5SpXUUzJOtz46PuDQcIvNaWTE9pLJlDKaLNKcHkRw8WUcd708281fAAAA//8DAFBLAwQU&#10;AAYACAAAACEAlD2YruIAAAAKAQAADwAAAGRycy9kb3ducmV2LnhtbEyPQU/DMAyF70j8h8hI3La0&#10;o2OlNJ0mEAfQhMSoxDVtvLZa45Qm2wq/HnOCm+339Py9fD3ZXpxw9J0jBfE8AoFUO9NRo6B8f5ql&#10;IHzQZHTvCBV8oYd1cXmR68y4M73haRcawSHkM62gDWHIpPR1i1b7uRuQWNu70erA69hIM+ozh9te&#10;LqLoVlrdEX9o9YAPLdaH3dEqqD70YbOdov1rXD6/lJ+rx5UZvpW6vpo29yACTuHPDL/4jA4FM1Xu&#10;SMaLXsEs5iqB78ndEgQb0uSGh0pBskiXIItc/q9Q/AAAAP//AwBQSwECLQAUAAYACAAAACEAtoM4&#10;kv4AAADhAQAAEwAAAAAAAAAAAAAAAAAAAAAAW0NvbnRlbnRfVHlwZXNdLnhtbFBLAQItABQABgAI&#10;AAAAIQA4/SH/1gAAAJQBAAALAAAAAAAAAAAAAAAAAC8BAABfcmVscy8ucmVsc1BLAQItABQABgAI&#10;AAAAIQB9vrD7FQIAAP4DAAAOAAAAAAAAAAAAAAAAAC4CAABkcnMvZTJvRG9jLnhtbFBLAQItABQA&#10;BgAIAAAAIQCUPZiu4gAAAAoBAAAPAAAAAAAAAAAAAAAAAG8EAABkcnMvZG93bnJldi54bWxQSwUG&#10;AAAAAAQABADzAAAAfgUAAAAA&#10;" fillcolor="#d2dde2" stroked="f">
                <v:textbox>
                  <w:txbxContent>
                    <w:p w14:paraId="7E103BDE" w14:textId="77777777" w:rsidR="001F7070" w:rsidRPr="00D51DE4" w:rsidRDefault="001F7070" w:rsidP="00970C68">
                      <w:pPr>
                        <w:pStyle w:val="Boxtext"/>
                      </w:pPr>
                      <w:r w:rsidRPr="00970C68">
                        <w:rPr>
                          <w:b/>
                          <w:bCs/>
                        </w:rPr>
                        <w:t>Note: Resource management reform</w:t>
                      </w:r>
                    </w:p>
                    <w:p w14:paraId="4FD5BDBE" w14:textId="77777777" w:rsidR="001F7070" w:rsidRDefault="001F7070" w:rsidP="00970C68">
                      <w:pPr>
                        <w:pStyle w:val="Boxtext"/>
                      </w:pPr>
                      <w:r w:rsidRPr="00B47D29">
                        <w:t xml:space="preserve">Work is underway to replace the Resource Management Act with a Natural and Built Environment Act (NBE), Strategic Planning Act (SPA) and Climate Adaptation Act (CAA). </w:t>
                      </w:r>
                    </w:p>
                    <w:p w14:paraId="55DCF2DF" w14:textId="77777777" w:rsidR="001F7070" w:rsidRDefault="001F7070" w:rsidP="00970C68">
                      <w:pPr>
                        <w:pStyle w:val="Boxtext"/>
                      </w:pPr>
                      <w:r w:rsidRPr="00B47D29">
                        <w:t xml:space="preserve">Decisions on the current </w:t>
                      </w:r>
                      <w:hyperlink r:id="rId17" w:history="1">
                        <w:r w:rsidRPr="00B47D29">
                          <w:rPr>
                            <w:rStyle w:val="Hyperlink"/>
                            <w:color w:val="auto"/>
                          </w:rPr>
                          <w:t>Natural and Built Environment (NBE) Bill</w:t>
                        </w:r>
                      </w:hyperlink>
                      <w:r w:rsidRPr="00B47D29">
                        <w:t xml:space="preserve"> are before Parliament. These will affect how the NPS-HPL will be integrated into a National Planning Framework under the NBE</w:t>
                      </w:r>
                      <w:r>
                        <w:t xml:space="preserve"> and may influence landowners decisions on whether to undertake a status change or rezoning</w:t>
                      </w:r>
                      <w:r w:rsidRPr="00B47D29">
                        <w:t>.</w:t>
                      </w:r>
                    </w:p>
                    <w:p w14:paraId="55E1B79F" w14:textId="77777777" w:rsidR="001F7070" w:rsidRDefault="001F7070" w:rsidP="001F7070">
                      <w:pPr>
                        <w:pStyle w:val="Boxbullet"/>
                        <w:numPr>
                          <w:ilvl w:val="0"/>
                          <w:numId w:val="0"/>
                        </w:numPr>
                        <w:ind w:left="284"/>
                      </w:pPr>
                    </w:p>
                  </w:txbxContent>
                </v:textbox>
                <w10:wrap type="square" anchorx="margin"/>
              </v:shape>
            </w:pict>
          </mc:Fallback>
        </mc:AlternateContent>
      </w:r>
      <w:r w:rsidR="00326DD3">
        <w:t xml:space="preserve">Information about </w:t>
      </w:r>
      <w:r w:rsidR="00331B3B">
        <w:t xml:space="preserve">both of these </w:t>
      </w:r>
      <w:r w:rsidR="00331B3B" w:rsidRPr="00FF56D2">
        <w:t xml:space="preserve">processes and </w:t>
      </w:r>
      <w:r w:rsidR="00331B3B">
        <w:t xml:space="preserve">how the </w:t>
      </w:r>
      <w:r w:rsidR="00331B3B" w:rsidRPr="00FF56D2">
        <w:t xml:space="preserve">NPS-HPL </w:t>
      </w:r>
      <w:r w:rsidR="00331B3B">
        <w:t>applies to them</w:t>
      </w:r>
      <w:r w:rsidR="00326DD3">
        <w:t xml:space="preserve"> is provided below</w:t>
      </w:r>
      <w:r w:rsidR="00331B3B">
        <w:t>.</w:t>
      </w:r>
    </w:p>
    <w:p w14:paraId="5D9E1E40" w14:textId="6F6D8537" w:rsidR="005B1BF0" w:rsidRPr="00B47D29" w:rsidRDefault="00BB0C56" w:rsidP="00970C68">
      <w:pPr>
        <w:pStyle w:val="Heading3"/>
        <w:ind w:left="567" w:hanging="567"/>
      </w:pPr>
      <w:r>
        <w:lastRenderedPageBreak/>
        <w:t xml:space="preserve">1. </w:t>
      </w:r>
      <w:r w:rsidR="00E81514">
        <w:tab/>
      </w:r>
      <w:r w:rsidR="005B1BF0" w:rsidRPr="00B47D29">
        <w:t>Changing the status of ‘general land owned by Māori’ (as defined under TTWMA) to Māori</w:t>
      </w:r>
      <w:r w:rsidR="005B1BF0">
        <w:t xml:space="preserve"> </w:t>
      </w:r>
      <w:r w:rsidR="005B1BF0" w:rsidRPr="00B47D29">
        <w:t>freehold land</w:t>
      </w:r>
    </w:p>
    <w:p w14:paraId="15FB5272" w14:textId="77777777" w:rsidR="005B1BF0" w:rsidRPr="00B47D29" w:rsidRDefault="005B1BF0" w:rsidP="00656C09">
      <w:pPr>
        <w:pStyle w:val="Heading4"/>
      </w:pPr>
      <w:r w:rsidRPr="00B47D29">
        <w:t>NPS-HPL implications</w:t>
      </w:r>
    </w:p>
    <w:p w14:paraId="6596A70B" w14:textId="77777777" w:rsidR="005B1BF0" w:rsidRPr="00A0495D" w:rsidRDefault="005B1BF0" w:rsidP="001946A7">
      <w:pPr>
        <w:pStyle w:val="BodyText"/>
        <w:rPr>
          <w:b/>
          <w:bCs/>
        </w:rPr>
      </w:pPr>
      <w:r>
        <w:t xml:space="preserve">This change would mean that general land owned by Māori identified as highly productive in the NPS-HPL could be covered by the definition of specified Māori land. </w:t>
      </w:r>
    </w:p>
    <w:p w14:paraId="0DBD3638" w14:textId="619D8BE4" w:rsidR="001F7070" w:rsidRDefault="005B1BF0" w:rsidP="001F7070">
      <w:pPr>
        <w:pStyle w:val="BodyText"/>
        <w:rPr>
          <w:b/>
          <w:bCs/>
        </w:rPr>
      </w:pPr>
      <w:r>
        <w:rPr>
          <w:b/>
          <w:bCs/>
        </w:rPr>
        <w:t xml:space="preserve">Once this change is made do </w:t>
      </w:r>
      <w:r w:rsidRPr="008C7C50">
        <w:rPr>
          <w:b/>
          <w:bCs/>
        </w:rPr>
        <w:t>NPS-HPL restrictions</w:t>
      </w:r>
      <w:r>
        <w:rPr>
          <w:b/>
          <w:bCs/>
        </w:rPr>
        <w:t xml:space="preserve"> apply?</w:t>
      </w:r>
    </w:p>
    <w:p w14:paraId="5F9343B6" w14:textId="479A83C0" w:rsidR="005B1BF0" w:rsidRDefault="005B1BF0" w:rsidP="001F7070">
      <w:pPr>
        <w:pStyle w:val="BodyText"/>
      </w:pPr>
      <w:r>
        <w:rPr>
          <w:b/>
          <w:bCs/>
        </w:rPr>
        <w:t xml:space="preserve">No — </w:t>
      </w:r>
      <w:r>
        <w:t>t</w:t>
      </w:r>
      <w:r w:rsidRPr="008C7C50">
        <w:t xml:space="preserve">he restrictions </w:t>
      </w:r>
      <w:r w:rsidRPr="005300A4">
        <w:t>on the activities permitted on this land would not apply</w:t>
      </w:r>
      <w:r w:rsidR="00EC104F">
        <w:t xml:space="preserve"> as this land will then be captured by the definition of specified infrastructure</w:t>
      </w:r>
      <w:r w:rsidRPr="005300A4">
        <w:t>.</w:t>
      </w:r>
      <w:r>
        <w:t xml:space="preserve"> </w:t>
      </w:r>
    </w:p>
    <w:p w14:paraId="2F997A7B" w14:textId="77777777" w:rsidR="005B1BF0" w:rsidRPr="00B47D29" w:rsidRDefault="005B1BF0" w:rsidP="001946A7">
      <w:pPr>
        <w:pStyle w:val="Heading4"/>
      </w:pPr>
      <w:r w:rsidRPr="00B47D29">
        <w:t>Process requirements</w:t>
      </w:r>
    </w:p>
    <w:p w14:paraId="2DFC8099" w14:textId="7BD1B4B7" w:rsidR="005B1BF0" w:rsidRPr="00763603" w:rsidRDefault="005B1BF0" w:rsidP="001946A7">
      <w:pPr>
        <w:pStyle w:val="BodyText"/>
      </w:pPr>
      <w:r w:rsidRPr="00763603">
        <w:t xml:space="preserve">Changing the status of this land </w:t>
      </w:r>
      <w:r>
        <w:t>must comply</w:t>
      </w:r>
      <w:r w:rsidRPr="00763603">
        <w:t xml:space="preserve"> with </w:t>
      </w:r>
      <w:r>
        <w:t xml:space="preserve">s </w:t>
      </w:r>
      <w:r w:rsidRPr="00763603">
        <w:t xml:space="preserve">133 of </w:t>
      </w:r>
      <w:hyperlink r:id="rId18" w:history="1">
        <w:proofErr w:type="spellStart"/>
        <w:r w:rsidRPr="001F7070">
          <w:rPr>
            <w:rStyle w:val="Hyperlink"/>
          </w:rPr>
          <w:t>Te</w:t>
        </w:r>
        <w:proofErr w:type="spellEnd"/>
        <w:r w:rsidRPr="001F7070">
          <w:rPr>
            <w:rStyle w:val="Hyperlink"/>
          </w:rPr>
          <w:t xml:space="preserve"> Ture Whenua Māori Act</w:t>
        </w:r>
      </w:hyperlink>
      <w:r w:rsidRPr="00763603">
        <w:t xml:space="preserve"> and go through the Māori </w:t>
      </w:r>
      <w:r>
        <w:t>L</w:t>
      </w:r>
      <w:r w:rsidRPr="00763603">
        <w:t xml:space="preserve">and </w:t>
      </w:r>
      <w:r>
        <w:t>C</w:t>
      </w:r>
      <w:r w:rsidRPr="00763603">
        <w:t xml:space="preserve">ourt. </w:t>
      </w:r>
    </w:p>
    <w:p w14:paraId="4ADE4519" w14:textId="37353EF5" w:rsidR="005B1BF0" w:rsidRPr="00763603" w:rsidRDefault="00635A3E" w:rsidP="001946A7">
      <w:pPr>
        <w:pStyle w:val="BodyText"/>
      </w:pPr>
      <w:r>
        <w:t>Under s</w:t>
      </w:r>
      <w:r w:rsidR="001F7070">
        <w:t xml:space="preserve"> </w:t>
      </w:r>
      <w:r>
        <w:t>133, p</w:t>
      </w:r>
      <w:r w:rsidR="005B1BF0">
        <w:t>eople applying</w:t>
      </w:r>
      <w:r w:rsidR="005B1BF0" w:rsidRPr="00763603">
        <w:t xml:space="preserve"> to the Māori </w:t>
      </w:r>
      <w:r w:rsidR="005B1BF0">
        <w:t>L</w:t>
      </w:r>
      <w:r w:rsidR="005B1BF0" w:rsidRPr="00763603">
        <w:t xml:space="preserve">and </w:t>
      </w:r>
      <w:r w:rsidR="005B1BF0">
        <w:t>C</w:t>
      </w:r>
      <w:r w:rsidR="005B1BF0" w:rsidRPr="00763603">
        <w:t xml:space="preserve">ourt to change the status of general land </w:t>
      </w:r>
      <w:r w:rsidR="005B1BF0">
        <w:t>(</w:t>
      </w:r>
      <w:r w:rsidR="005B1BF0" w:rsidRPr="00763603">
        <w:t>owned by Māori</w:t>
      </w:r>
      <w:r w:rsidR="005B1BF0">
        <w:t>)</w:t>
      </w:r>
      <w:r w:rsidR="005B1BF0" w:rsidRPr="00763603">
        <w:t xml:space="preserve"> to Māori freehold land must demonstrate:</w:t>
      </w:r>
    </w:p>
    <w:p w14:paraId="4C0DAFEA" w14:textId="636709FD" w:rsidR="005B1BF0" w:rsidRPr="008879C7" w:rsidRDefault="005B1BF0" w:rsidP="008879C7">
      <w:pPr>
        <w:pStyle w:val="Bullet"/>
        <w:numPr>
          <w:ilvl w:val="0"/>
          <w:numId w:val="30"/>
        </w:numPr>
        <w:tabs>
          <w:tab w:val="clear" w:pos="397"/>
          <w:tab w:val="num" w:pos="1134"/>
        </w:tabs>
        <w:ind w:left="993" w:hanging="426"/>
        <w:rPr>
          <w:i/>
          <w:iCs/>
        </w:rPr>
      </w:pPr>
      <w:r w:rsidRPr="008879C7">
        <w:rPr>
          <w:i/>
          <w:iCs/>
        </w:rPr>
        <w:t>the land is beneficially owned by one or more Māori</w:t>
      </w:r>
      <w:r w:rsidR="00260101" w:rsidRPr="008879C7">
        <w:rPr>
          <w:i/>
          <w:iCs/>
        </w:rPr>
        <w:t>;</w:t>
      </w:r>
      <w:r w:rsidRPr="008879C7">
        <w:rPr>
          <w:i/>
          <w:iCs/>
        </w:rPr>
        <w:t xml:space="preserve"> and</w:t>
      </w:r>
    </w:p>
    <w:p w14:paraId="44228A0F" w14:textId="02F71F4F" w:rsidR="005B1BF0" w:rsidRPr="008879C7" w:rsidRDefault="005B1BF0" w:rsidP="008879C7">
      <w:pPr>
        <w:pStyle w:val="Bullet"/>
        <w:numPr>
          <w:ilvl w:val="0"/>
          <w:numId w:val="30"/>
        </w:numPr>
        <w:tabs>
          <w:tab w:val="clear" w:pos="397"/>
          <w:tab w:val="num" w:pos="1134"/>
        </w:tabs>
        <w:ind w:left="993" w:hanging="426"/>
        <w:rPr>
          <w:i/>
          <w:iCs/>
        </w:rPr>
      </w:pPr>
      <w:r w:rsidRPr="008879C7">
        <w:rPr>
          <w:i/>
          <w:iCs/>
        </w:rPr>
        <w:t>the owners have had adequate opportunity to consider the proposed change of status</w:t>
      </w:r>
      <w:r w:rsidR="00A44E17" w:rsidRPr="008879C7">
        <w:rPr>
          <w:i/>
          <w:iCs/>
        </w:rPr>
        <w:t>;</w:t>
      </w:r>
      <w:r w:rsidRPr="008879C7">
        <w:rPr>
          <w:i/>
          <w:iCs/>
        </w:rPr>
        <w:t xml:space="preserve"> and</w:t>
      </w:r>
    </w:p>
    <w:p w14:paraId="15C657D9" w14:textId="77777777" w:rsidR="004E5554" w:rsidRPr="008879C7" w:rsidRDefault="005B1BF0" w:rsidP="008879C7">
      <w:pPr>
        <w:pStyle w:val="Bullet"/>
        <w:numPr>
          <w:ilvl w:val="0"/>
          <w:numId w:val="30"/>
        </w:numPr>
        <w:tabs>
          <w:tab w:val="clear" w:pos="397"/>
          <w:tab w:val="num" w:pos="1134"/>
        </w:tabs>
        <w:ind w:left="993" w:hanging="426"/>
        <w:rPr>
          <w:i/>
          <w:iCs/>
        </w:rPr>
      </w:pPr>
      <w:r w:rsidRPr="008879C7">
        <w:rPr>
          <w:i/>
          <w:iCs/>
        </w:rPr>
        <w:t>either—</w:t>
      </w:r>
    </w:p>
    <w:p w14:paraId="6FDD0208" w14:textId="7C9416B3" w:rsidR="007978E0" w:rsidRPr="008879C7" w:rsidRDefault="005B1BF0" w:rsidP="008879C7">
      <w:pPr>
        <w:pStyle w:val="Sub-list"/>
        <w:numPr>
          <w:ilvl w:val="0"/>
          <w:numId w:val="35"/>
        </w:numPr>
        <w:tabs>
          <w:tab w:val="clear" w:pos="397"/>
          <w:tab w:val="clear" w:pos="794"/>
          <w:tab w:val="num" w:pos="1418"/>
          <w:tab w:val="left" w:pos="1701"/>
        </w:tabs>
        <w:ind w:left="1418" w:hanging="425"/>
        <w:rPr>
          <w:i/>
          <w:iCs/>
        </w:rPr>
      </w:pPr>
      <w:r w:rsidRPr="008879C7">
        <w:rPr>
          <w:i/>
          <w:iCs/>
        </w:rPr>
        <w:t>all the owners agree to the proposed change of status</w:t>
      </w:r>
      <w:r w:rsidR="001946A7" w:rsidRPr="008879C7">
        <w:rPr>
          <w:i/>
          <w:iCs/>
        </w:rPr>
        <w:t>;</w:t>
      </w:r>
      <w:r w:rsidRPr="008879C7">
        <w:rPr>
          <w:i/>
          <w:iCs/>
        </w:rPr>
        <w:t xml:space="preserve">  or</w:t>
      </w:r>
    </w:p>
    <w:p w14:paraId="1C9D49E4" w14:textId="5837D99F" w:rsidR="005B1BF0" w:rsidRPr="008879C7" w:rsidRDefault="005B1BF0" w:rsidP="008879C7">
      <w:pPr>
        <w:pStyle w:val="Sub-list"/>
        <w:numPr>
          <w:ilvl w:val="0"/>
          <w:numId w:val="35"/>
        </w:numPr>
        <w:tabs>
          <w:tab w:val="clear" w:pos="397"/>
          <w:tab w:val="clear" w:pos="794"/>
          <w:tab w:val="num" w:pos="1418"/>
          <w:tab w:val="left" w:pos="1701"/>
        </w:tabs>
        <w:ind w:left="1418" w:hanging="425"/>
        <w:rPr>
          <w:i/>
          <w:iCs/>
        </w:rPr>
      </w:pPr>
      <w:r w:rsidRPr="008879C7">
        <w:rPr>
          <w:i/>
          <w:iCs/>
        </w:rPr>
        <w:t>the land can be managed or used effectively as Māori freehold land and a sufficient proportion of the owners agree to the proposed change of status</w:t>
      </w:r>
      <w:r w:rsidR="001946A7" w:rsidRPr="008879C7">
        <w:rPr>
          <w:i/>
          <w:iCs/>
        </w:rPr>
        <w:t>;</w:t>
      </w:r>
      <w:r w:rsidRPr="008879C7">
        <w:rPr>
          <w:i/>
          <w:iCs/>
        </w:rPr>
        <w:t xml:space="preserve"> and</w:t>
      </w:r>
    </w:p>
    <w:p w14:paraId="59287D01" w14:textId="65991934" w:rsidR="005B1BF0" w:rsidRPr="008879C7" w:rsidRDefault="005B1BF0" w:rsidP="008879C7">
      <w:pPr>
        <w:pStyle w:val="Bullet"/>
        <w:numPr>
          <w:ilvl w:val="0"/>
          <w:numId w:val="30"/>
        </w:numPr>
        <w:tabs>
          <w:tab w:val="clear" w:pos="397"/>
          <w:tab w:val="num" w:pos="1134"/>
        </w:tabs>
        <w:ind w:left="993" w:hanging="426"/>
        <w:rPr>
          <w:rStyle w:val="CommentReference"/>
          <w:i/>
          <w:iCs/>
        </w:rPr>
      </w:pPr>
      <w:r w:rsidRPr="008879C7">
        <w:rPr>
          <w:i/>
          <w:iCs/>
        </w:rPr>
        <w:t>it is desirable the land become Māori freehold land having regard to both the history of the land and the identity of the owners and their personal association with the land.</w:t>
      </w:r>
    </w:p>
    <w:p w14:paraId="01506CA7" w14:textId="77777777" w:rsidR="005B1BF0" w:rsidRPr="00E31CE7" w:rsidRDefault="005B1BF0" w:rsidP="00C95454">
      <w:pPr>
        <w:pStyle w:val="Heading4"/>
      </w:pPr>
      <w:r w:rsidRPr="00E31CE7">
        <w:t xml:space="preserve">Resource and financial costs </w:t>
      </w:r>
    </w:p>
    <w:p w14:paraId="0564FB9E" w14:textId="77777777" w:rsidR="005B1BF0" w:rsidRPr="00E31CE7" w:rsidRDefault="005B1BF0" w:rsidP="00970C68">
      <w:pPr>
        <w:pStyle w:val="BodyText"/>
      </w:pPr>
      <w:r w:rsidRPr="00E31CE7">
        <w:t>The application fee to the Māori Land Court is $20.</w:t>
      </w:r>
    </w:p>
    <w:p w14:paraId="0E1591AD" w14:textId="77777777" w:rsidR="005B1BF0" w:rsidRPr="00E31CE7" w:rsidRDefault="005B1BF0" w:rsidP="00970C68">
      <w:pPr>
        <w:pStyle w:val="BodyText"/>
        <w:rPr>
          <w:highlight w:val="yellow"/>
        </w:rPr>
      </w:pPr>
      <w:r w:rsidRPr="00E31CE7">
        <w:t xml:space="preserve">Other resource and financial costs are likely to include time to reach agreement between owners, and fees for professional and/or legal advice. </w:t>
      </w:r>
    </w:p>
    <w:p w14:paraId="6C825E70" w14:textId="77777777" w:rsidR="005B1BF0" w:rsidRPr="00E31CE7" w:rsidRDefault="005B1BF0" w:rsidP="00970C68">
      <w:pPr>
        <w:pStyle w:val="Heading4"/>
      </w:pPr>
      <w:r w:rsidRPr="00E31CE7">
        <w:t>Timeframes</w:t>
      </w:r>
    </w:p>
    <w:p w14:paraId="606DDF49" w14:textId="77777777" w:rsidR="005B1BF0" w:rsidRPr="00E31CE7" w:rsidRDefault="005B1BF0" w:rsidP="00970C68">
      <w:pPr>
        <w:pStyle w:val="BodyText"/>
      </w:pPr>
      <w:r w:rsidRPr="00E31CE7">
        <w:t>Three to six months from submission of application.</w:t>
      </w:r>
    </w:p>
    <w:p w14:paraId="721BD573" w14:textId="77777777" w:rsidR="005B1BF0" w:rsidRPr="008F165C" w:rsidRDefault="005B1BF0" w:rsidP="00C95454">
      <w:pPr>
        <w:pStyle w:val="Heading4"/>
      </w:pPr>
      <w:r w:rsidRPr="008F165C">
        <w:t>Further information and support</w:t>
      </w:r>
    </w:p>
    <w:p w14:paraId="30D88621" w14:textId="77777777" w:rsidR="005B1BF0" w:rsidRPr="00970C68" w:rsidRDefault="005B1BF0" w:rsidP="00C95454">
      <w:pPr>
        <w:pStyle w:val="BodyText"/>
      </w:pPr>
      <w:r w:rsidRPr="00970C68">
        <w:t>Guidance on the application process in the Māori Land Court:</w:t>
      </w:r>
    </w:p>
    <w:p w14:paraId="4A73C9D0" w14:textId="536F9BFD" w:rsidR="00E15025" w:rsidRPr="00E31CE7" w:rsidRDefault="008879C7" w:rsidP="00B47D29">
      <w:pPr>
        <w:pStyle w:val="TableBullet"/>
        <w:rPr>
          <w:sz w:val="22"/>
          <w:szCs w:val="22"/>
        </w:rPr>
      </w:pPr>
      <w:hyperlink r:id="rId19" w:history="1">
        <w:r w:rsidR="00E15025" w:rsidRPr="00E93E1A">
          <w:rPr>
            <w:rStyle w:val="Hyperlink"/>
            <w:rFonts w:eastAsiaTheme="majorEastAsia"/>
            <w:sz w:val="22"/>
            <w:szCs w:val="22"/>
          </w:rPr>
          <w:t xml:space="preserve">Applications: </w:t>
        </w:r>
        <w:proofErr w:type="spellStart"/>
        <w:r w:rsidR="00E15025" w:rsidRPr="00E93E1A">
          <w:rPr>
            <w:rStyle w:val="Hyperlink"/>
            <w:rFonts w:eastAsiaTheme="majorEastAsia"/>
            <w:sz w:val="22"/>
            <w:szCs w:val="22"/>
          </w:rPr>
          <w:t>Te</w:t>
        </w:r>
        <w:proofErr w:type="spellEnd"/>
        <w:r w:rsidR="00E15025" w:rsidRPr="00E93E1A">
          <w:rPr>
            <w:rStyle w:val="Hyperlink"/>
            <w:rFonts w:eastAsiaTheme="majorEastAsia"/>
            <w:sz w:val="22"/>
            <w:szCs w:val="22"/>
          </w:rPr>
          <w:t xml:space="preserve"> Ture Whenua </w:t>
        </w:r>
        <w:r w:rsidR="00E93E1A" w:rsidRPr="00E93E1A">
          <w:rPr>
            <w:rStyle w:val="Hyperlink"/>
            <w:sz w:val="22"/>
            <w:szCs w:val="22"/>
          </w:rPr>
          <w:t xml:space="preserve">Māori </w:t>
        </w:r>
        <w:r w:rsidR="00E15025" w:rsidRPr="00E93E1A">
          <w:rPr>
            <w:rStyle w:val="Hyperlink"/>
            <w:rFonts w:eastAsiaTheme="majorEastAsia"/>
            <w:sz w:val="22"/>
            <w:szCs w:val="22"/>
          </w:rPr>
          <w:t>Act 1993</w:t>
        </w:r>
      </w:hyperlink>
    </w:p>
    <w:p w14:paraId="68EE2358" w14:textId="73A79E71" w:rsidR="00D37236" w:rsidRPr="00D37236" w:rsidRDefault="008879C7" w:rsidP="00B47D29">
      <w:pPr>
        <w:pStyle w:val="TableBullet"/>
        <w:rPr>
          <w:rFonts w:ascii="Arial" w:hAnsi="Arial"/>
          <w:color w:val="000000"/>
          <w:sz w:val="22"/>
          <w:szCs w:val="22"/>
          <w:shd w:val="clear" w:color="auto" w:fill="FFFFFF"/>
        </w:rPr>
      </w:pPr>
      <w:hyperlink r:id="rId20" w:history="1">
        <w:proofErr w:type="spellStart"/>
        <w:r w:rsidR="00D37236" w:rsidRPr="00D37236">
          <w:rPr>
            <w:rStyle w:val="Hyperlink"/>
            <w:sz w:val="22"/>
            <w:szCs w:val="22"/>
          </w:rPr>
          <w:t>Ngā</w:t>
        </w:r>
        <w:proofErr w:type="spellEnd"/>
        <w:r w:rsidR="00D37236" w:rsidRPr="00D37236">
          <w:rPr>
            <w:rStyle w:val="Hyperlink"/>
            <w:sz w:val="22"/>
            <w:szCs w:val="22"/>
          </w:rPr>
          <w:t xml:space="preserve"> </w:t>
        </w:r>
        <w:proofErr w:type="spellStart"/>
        <w:r w:rsidR="00D37236" w:rsidRPr="00D37236">
          <w:rPr>
            <w:rStyle w:val="Hyperlink"/>
            <w:sz w:val="22"/>
            <w:szCs w:val="22"/>
          </w:rPr>
          <w:t>tono</w:t>
        </w:r>
        <w:proofErr w:type="spellEnd"/>
        <w:r w:rsidR="00D37236" w:rsidRPr="00D37236">
          <w:rPr>
            <w:rStyle w:val="Hyperlink"/>
            <w:sz w:val="22"/>
            <w:szCs w:val="22"/>
          </w:rPr>
          <w:t xml:space="preserve">: </w:t>
        </w:r>
        <w:proofErr w:type="spellStart"/>
        <w:r w:rsidR="00D37236" w:rsidRPr="00D37236">
          <w:rPr>
            <w:rStyle w:val="Hyperlink"/>
            <w:sz w:val="22"/>
            <w:szCs w:val="22"/>
          </w:rPr>
          <w:t>Te</w:t>
        </w:r>
        <w:proofErr w:type="spellEnd"/>
        <w:r w:rsidR="00D37236" w:rsidRPr="00D37236">
          <w:rPr>
            <w:rStyle w:val="Hyperlink"/>
            <w:sz w:val="22"/>
            <w:szCs w:val="22"/>
          </w:rPr>
          <w:t xml:space="preserve"> Ture Whenua Māori Act 1993</w:t>
        </w:r>
      </w:hyperlink>
    </w:p>
    <w:p w14:paraId="1A8EAA98" w14:textId="77777777" w:rsidR="005B1BF0" w:rsidRPr="00970C68" w:rsidRDefault="005B1BF0" w:rsidP="00C95454">
      <w:pPr>
        <w:pStyle w:val="BodyText"/>
      </w:pPr>
      <w:r w:rsidRPr="00970C68">
        <w:t>Confirming or changing land status:</w:t>
      </w:r>
    </w:p>
    <w:p w14:paraId="6E333D37" w14:textId="77777777" w:rsidR="005B1BF0" w:rsidRPr="00E31CE7" w:rsidRDefault="008879C7" w:rsidP="00B47D29">
      <w:pPr>
        <w:pStyle w:val="TableBullet"/>
        <w:rPr>
          <w:sz w:val="22"/>
          <w:szCs w:val="22"/>
        </w:rPr>
      </w:pPr>
      <w:hyperlink r:id="rId21" w:history="1">
        <w:r w:rsidR="005B1BF0" w:rsidRPr="00E31CE7">
          <w:rPr>
            <w:rStyle w:val="Hyperlink"/>
            <w:rFonts w:eastAsiaTheme="majorEastAsia"/>
            <w:sz w:val="22"/>
            <w:szCs w:val="22"/>
          </w:rPr>
          <w:t>Confirming or changing land status | Māori Land Court (maorilandcourt.govt.nz)</w:t>
        </w:r>
      </w:hyperlink>
    </w:p>
    <w:p w14:paraId="3EC0696E" w14:textId="77777777" w:rsidR="005B1BF0" w:rsidRPr="00970C68" w:rsidRDefault="005B1BF0" w:rsidP="00C95454">
      <w:pPr>
        <w:pStyle w:val="BodyText"/>
      </w:pPr>
      <w:r w:rsidRPr="00970C68">
        <w:t>Guidance on Ahu Whenua Trusts:</w:t>
      </w:r>
    </w:p>
    <w:p w14:paraId="769983F0" w14:textId="33F7690E" w:rsidR="005B1BF0" w:rsidRPr="00454225" w:rsidRDefault="00454225" w:rsidP="00B47D29">
      <w:pPr>
        <w:pStyle w:val="TableBullet"/>
        <w:rPr>
          <w:rStyle w:val="Hyperlink"/>
          <w:sz w:val="22"/>
          <w:szCs w:val="22"/>
        </w:rPr>
      </w:pPr>
      <w:r>
        <w:rPr>
          <w:sz w:val="22"/>
          <w:szCs w:val="22"/>
        </w:rPr>
        <w:fldChar w:fldCharType="begin"/>
      </w:r>
      <w:r>
        <w:rPr>
          <w:sz w:val="22"/>
          <w:szCs w:val="22"/>
        </w:rPr>
        <w:instrText xml:space="preserve"> HYPERLINK "https://www.maorilandcourt.govt.nz/assets/Documents/Publications/MOJ0217.1E-OCT21-Maori-Land-Trusts.pdf" </w:instrText>
      </w:r>
      <w:r>
        <w:rPr>
          <w:sz w:val="22"/>
          <w:szCs w:val="22"/>
        </w:rPr>
      </w:r>
      <w:r>
        <w:rPr>
          <w:sz w:val="22"/>
          <w:szCs w:val="22"/>
        </w:rPr>
        <w:fldChar w:fldCharType="separate"/>
      </w:r>
      <w:r w:rsidRPr="00454225">
        <w:rPr>
          <w:rStyle w:val="Hyperlink"/>
          <w:sz w:val="22"/>
          <w:szCs w:val="22"/>
        </w:rPr>
        <w:t xml:space="preserve">Māori -Land-Trusts: </w:t>
      </w:r>
      <w:proofErr w:type="spellStart"/>
      <w:r w:rsidRPr="00454225">
        <w:rPr>
          <w:rStyle w:val="Hyperlink"/>
          <w:sz w:val="22"/>
          <w:szCs w:val="22"/>
        </w:rPr>
        <w:t>Te</w:t>
      </w:r>
      <w:proofErr w:type="spellEnd"/>
      <w:r w:rsidRPr="00454225">
        <w:rPr>
          <w:rStyle w:val="Hyperlink"/>
          <w:sz w:val="22"/>
          <w:szCs w:val="22"/>
        </w:rPr>
        <w:t xml:space="preserve"> </w:t>
      </w:r>
      <w:proofErr w:type="spellStart"/>
      <w:r w:rsidRPr="00454225">
        <w:rPr>
          <w:rStyle w:val="Hyperlink"/>
          <w:sz w:val="22"/>
          <w:szCs w:val="22"/>
        </w:rPr>
        <w:t>Kooti</w:t>
      </w:r>
      <w:proofErr w:type="spellEnd"/>
      <w:r w:rsidRPr="00454225">
        <w:rPr>
          <w:rStyle w:val="Hyperlink"/>
          <w:sz w:val="22"/>
          <w:szCs w:val="22"/>
        </w:rPr>
        <w:t xml:space="preserve"> Whenua Māori – Māori Land Court</w:t>
      </w:r>
      <w:r w:rsidR="00D146A6">
        <w:rPr>
          <w:rStyle w:val="Hyperlink"/>
          <w:sz w:val="22"/>
          <w:szCs w:val="22"/>
        </w:rPr>
        <w:t xml:space="preserve"> </w:t>
      </w:r>
      <w:r w:rsidR="00D146A6" w:rsidRPr="00D146A6">
        <w:rPr>
          <w:rStyle w:val="BodyTextChar"/>
          <w:sz w:val="22"/>
          <w:szCs w:val="22"/>
        </w:rPr>
        <w:t>(October 21)</w:t>
      </w:r>
    </w:p>
    <w:p w14:paraId="764175C3" w14:textId="1DDE6891" w:rsidR="00770E5F" w:rsidRPr="00770E5F" w:rsidRDefault="00454225" w:rsidP="00770E5F">
      <w:pPr>
        <w:pStyle w:val="TableBullet"/>
        <w:rPr>
          <w:sz w:val="22"/>
          <w:szCs w:val="22"/>
        </w:rPr>
      </w:pPr>
      <w:r>
        <w:rPr>
          <w:sz w:val="22"/>
          <w:szCs w:val="22"/>
        </w:rPr>
        <w:fldChar w:fldCharType="end"/>
      </w:r>
      <w:hyperlink r:id="rId22" w:history="1">
        <w:r w:rsidR="00770E5F" w:rsidRPr="00D146A6">
          <w:rPr>
            <w:rStyle w:val="Hyperlink"/>
            <w:sz w:val="22"/>
            <w:szCs w:val="22"/>
          </w:rPr>
          <w:t xml:space="preserve">Māori -Land-Trusts: </w:t>
        </w:r>
        <w:proofErr w:type="spellStart"/>
        <w:r w:rsidR="00770E5F" w:rsidRPr="00D146A6">
          <w:rPr>
            <w:rStyle w:val="Hyperlink"/>
            <w:sz w:val="22"/>
            <w:szCs w:val="22"/>
          </w:rPr>
          <w:t>Te</w:t>
        </w:r>
        <w:proofErr w:type="spellEnd"/>
        <w:r w:rsidR="00770E5F" w:rsidRPr="00D146A6">
          <w:rPr>
            <w:rStyle w:val="Hyperlink"/>
            <w:sz w:val="22"/>
            <w:szCs w:val="22"/>
          </w:rPr>
          <w:t xml:space="preserve"> </w:t>
        </w:r>
        <w:proofErr w:type="spellStart"/>
        <w:r w:rsidR="00770E5F" w:rsidRPr="00D146A6">
          <w:rPr>
            <w:rStyle w:val="Hyperlink"/>
            <w:sz w:val="22"/>
            <w:szCs w:val="22"/>
          </w:rPr>
          <w:t>Kooti</w:t>
        </w:r>
        <w:proofErr w:type="spellEnd"/>
        <w:r w:rsidR="00770E5F" w:rsidRPr="00D146A6">
          <w:rPr>
            <w:rStyle w:val="Hyperlink"/>
            <w:sz w:val="22"/>
            <w:szCs w:val="22"/>
          </w:rPr>
          <w:t xml:space="preserve"> Whenua Māori – Māori Land Court</w:t>
        </w:r>
      </w:hyperlink>
      <w:r w:rsidR="00D146A6">
        <w:rPr>
          <w:sz w:val="22"/>
          <w:szCs w:val="22"/>
        </w:rPr>
        <w:t xml:space="preserve"> </w:t>
      </w:r>
      <w:r w:rsidR="00D146A6" w:rsidRPr="00D146A6">
        <w:rPr>
          <w:rStyle w:val="BodyTextChar"/>
          <w:sz w:val="22"/>
          <w:szCs w:val="22"/>
        </w:rPr>
        <w:t>(May 19)</w:t>
      </w:r>
    </w:p>
    <w:p w14:paraId="33E41893" w14:textId="77777777" w:rsidR="0039406E" w:rsidRDefault="008879C7" w:rsidP="00B47D29">
      <w:pPr>
        <w:pStyle w:val="TableBullet"/>
        <w:rPr>
          <w:sz w:val="22"/>
          <w:szCs w:val="22"/>
        </w:rPr>
      </w:pPr>
      <w:hyperlink r:id="rId23" w:history="1">
        <w:r w:rsidR="006F0580" w:rsidRPr="004B4784">
          <w:rPr>
            <w:rStyle w:val="Hyperlink"/>
            <w:sz w:val="22"/>
            <w:szCs w:val="22"/>
          </w:rPr>
          <w:t xml:space="preserve">Trustees’ role and duties: </w:t>
        </w:r>
        <w:proofErr w:type="spellStart"/>
        <w:r w:rsidR="006F0580" w:rsidRPr="004B4784">
          <w:rPr>
            <w:rStyle w:val="Hyperlink"/>
            <w:sz w:val="22"/>
            <w:szCs w:val="22"/>
          </w:rPr>
          <w:t>Te</w:t>
        </w:r>
        <w:proofErr w:type="spellEnd"/>
        <w:r w:rsidR="006F0580" w:rsidRPr="004B4784">
          <w:rPr>
            <w:rStyle w:val="Hyperlink"/>
            <w:sz w:val="22"/>
            <w:szCs w:val="22"/>
          </w:rPr>
          <w:t xml:space="preserve"> </w:t>
        </w:r>
        <w:proofErr w:type="spellStart"/>
        <w:r w:rsidR="006F0580" w:rsidRPr="004B4784">
          <w:rPr>
            <w:rStyle w:val="Hyperlink"/>
            <w:sz w:val="22"/>
            <w:szCs w:val="22"/>
          </w:rPr>
          <w:t>Kooti</w:t>
        </w:r>
        <w:proofErr w:type="spellEnd"/>
        <w:r w:rsidR="006F0580" w:rsidRPr="004B4784">
          <w:rPr>
            <w:rStyle w:val="Hyperlink"/>
            <w:sz w:val="22"/>
            <w:szCs w:val="22"/>
          </w:rPr>
          <w:t xml:space="preserve"> Whenua Māori – Māori Land Court</w:t>
        </w:r>
      </w:hyperlink>
    </w:p>
    <w:p w14:paraId="7180C77D" w14:textId="3125DC88" w:rsidR="005B1BF0" w:rsidRPr="00E31CE7" w:rsidRDefault="008879C7" w:rsidP="00B47D29">
      <w:pPr>
        <w:pStyle w:val="TableBullet"/>
        <w:rPr>
          <w:sz w:val="22"/>
          <w:szCs w:val="22"/>
        </w:rPr>
      </w:pPr>
      <w:hyperlink r:id="rId24" w:history="1">
        <w:r w:rsidR="0039406E" w:rsidRPr="00F65E92">
          <w:rPr>
            <w:rStyle w:val="Hyperlink"/>
            <w:sz w:val="22"/>
            <w:szCs w:val="22"/>
          </w:rPr>
          <w:t>Legislative changes affecting trusts</w:t>
        </w:r>
      </w:hyperlink>
      <w:r w:rsidR="00676DDC" w:rsidRPr="00E31CE7">
        <w:rPr>
          <w:sz w:val="22"/>
          <w:szCs w:val="22"/>
        </w:rPr>
        <w:t xml:space="preserve"> </w:t>
      </w:r>
    </w:p>
    <w:p w14:paraId="54D38E06" w14:textId="2A869332" w:rsidR="005B1BF0" w:rsidRPr="00970C68" w:rsidRDefault="005B1BF0" w:rsidP="00C95454">
      <w:pPr>
        <w:pStyle w:val="BodyText"/>
      </w:pPr>
      <w:r w:rsidRPr="00970C68">
        <w:t>Guidance on incorporations:</w:t>
      </w:r>
    </w:p>
    <w:p w14:paraId="368DA8A6" w14:textId="46906D99" w:rsidR="00AC7CF5" w:rsidRDefault="008879C7" w:rsidP="00B47D29">
      <w:pPr>
        <w:pStyle w:val="TableBullet"/>
        <w:rPr>
          <w:sz w:val="22"/>
          <w:szCs w:val="22"/>
        </w:rPr>
      </w:pPr>
      <w:hyperlink r:id="rId25" w:history="1">
        <w:r w:rsidR="00AC7CF5" w:rsidRPr="00A71EC4">
          <w:rPr>
            <w:rStyle w:val="Hyperlink"/>
            <w:sz w:val="22"/>
            <w:szCs w:val="22"/>
          </w:rPr>
          <w:t xml:space="preserve">Māori </w:t>
        </w:r>
        <w:r w:rsidR="0004492E" w:rsidRPr="00A71EC4">
          <w:rPr>
            <w:rStyle w:val="Hyperlink"/>
            <w:sz w:val="22"/>
            <w:szCs w:val="22"/>
          </w:rPr>
          <w:t>incorporations</w:t>
        </w:r>
        <w:r w:rsidR="00AC7CF5" w:rsidRPr="00A71EC4">
          <w:rPr>
            <w:rStyle w:val="Hyperlink"/>
            <w:sz w:val="22"/>
            <w:szCs w:val="22"/>
          </w:rPr>
          <w:t xml:space="preserve">: </w:t>
        </w:r>
        <w:proofErr w:type="spellStart"/>
        <w:r w:rsidR="00AC7CF5" w:rsidRPr="00A71EC4">
          <w:rPr>
            <w:rStyle w:val="Hyperlink"/>
            <w:sz w:val="22"/>
            <w:szCs w:val="22"/>
          </w:rPr>
          <w:t>Te</w:t>
        </w:r>
        <w:proofErr w:type="spellEnd"/>
        <w:r w:rsidR="00AC7CF5" w:rsidRPr="00A71EC4">
          <w:rPr>
            <w:rStyle w:val="Hyperlink"/>
            <w:sz w:val="22"/>
            <w:szCs w:val="22"/>
          </w:rPr>
          <w:t xml:space="preserve"> Ture Whenua Māori Act 1993</w:t>
        </w:r>
      </w:hyperlink>
    </w:p>
    <w:p w14:paraId="3690C313" w14:textId="2D0A3E7A" w:rsidR="005B1BF0" w:rsidRPr="00E31CE7" w:rsidRDefault="008879C7" w:rsidP="00B47D29">
      <w:pPr>
        <w:pStyle w:val="TableBullet"/>
        <w:rPr>
          <w:sz w:val="22"/>
          <w:szCs w:val="22"/>
        </w:rPr>
      </w:pPr>
      <w:hyperlink r:id="rId26" w:history="1">
        <w:r w:rsidR="00A71EC4" w:rsidRPr="00C33B71">
          <w:rPr>
            <w:rStyle w:val="Hyperlink"/>
            <w:sz w:val="22"/>
            <w:szCs w:val="22"/>
          </w:rPr>
          <w:t>Legislative changes affecting incorporations</w:t>
        </w:r>
      </w:hyperlink>
      <w:r w:rsidR="005B1BF0" w:rsidRPr="00E31CE7">
        <w:rPr>
          <w:sz w:val="22"/>
          <w:szCs w:val="22"/>
        </w:rPr>
        <w:t xml:space="preserve"> </w:t>
      </w:r>
    </w:p>
    <w:p w14:paraId="6A987D4D" w14:textId="77777777" w:rsidR="005B1BF0" w:rsidRPr="00970C68" w:rsidRDefault="005B1BF0" w:rsidP="00AE70BE">
      <w:pPr>
        <w:pStyle w:val="BodyText"/>
      </w:pPr>
      <w:r w:rsidRPr="00970C68">
        <w:rPr>
          <w:rStyle w:val="BodyTextChar"/>
        </w:rPr>
        <w:t xml:space="preserve">Guidance on </w:t>
      </w:r>
      <w:proofErr w:type="spellStart"/>
      <w:r w:rsidRPr="00970C68">
        <w:rPr>
          <w:rStyle w:val="BodyTextChar"/>
        </w:rPr>
        <w:t>Papakāinga</w:t>
      </w:r>
      <w:proofErr w:type="spellEnd"/>
      <w:r w:rsidRPr="00970C68">
        <w:rPr>
          <w:rStyle w:val="BodyTextChar"/>
        </w:rPr>
        <w:t xml:space="preserve"> development</w:t>
      </w:r>
      <w:r w:rsidRPr="00970C68">
        <w:t>:</w:t>
      </w:r>
    </w:p>
    <w:p w14:paraId="770BE529" w14:textId="6093F0C7" w:rsidR="005B1BF0" w:rsidRPr="00B22884" w:rsidRDefault="00B22884" w:rsidP="00E81514">
      <w:pPr>
        <w:pStyle w:val="Bullet"/>
        <w:rPr>
          <w:rStyle w:val="Hyperlink"/>
        </w:rPr>
      </w:pPr>
      <w:r>
        <w:rPr>
          <w:rFonts w:eastAsiaTheme="majorEastAsia"/>
        </w:rPr>
        <w:fldChar w:fldCharType="begin"/>
      </w:r>
      <w:r>
        <w:rPr>
          <w:rFonts w:eastAsiaTheme="majorEastAsia"/>
        </w:rPr>
        <w:instrText xml:space="preserve"> HYPERLINK "https://www.tematapihi.org.nz/papakainga" </w:instrText>
      </w:r>
      <w:r>
        <w:rPr>
          <w:rFonts w:eastAsiaTheme="majorEastAsia"/>
        </w:rPr>
      </w:r>
      <w:r>
        <w:rPr>
          <w:rFonts w:eastAsiaTheme="majorEastAsia"/>
        </w:rPr>
        <w:fldChar w:fldCharType="separate"/>
      </w:r>
      <w:proofErr w:type="spellStart"/>
      <w:r w:rsidR="00E96DD7" w:rsidRPr="00B22884">
        <w:rPr>
          <w:rStyle w:val="Hyperlink"/>
          <w:rFonts w:eastAsiaTheme="majorEastAsia"/>
          <w:szCs w:val="22"/>
        </w:rPr>
        <w:t>Papakainga</w:t>
      </w:r>
      <w:proofErr w:type="spellEnd"/>
      <w:r w:rsidR="00E96DD7" w:rsidRPr="00B22884">
        <w:rPr>
          <w:rStyle w:val="Hyperlink"/>
          <w:rFonts w:eastAsiaTheme="majorEastAsia"/>
          <w:szCs w:val="22"/>
        </w:rPr>
        <w:t xml:space="preserve"> housing toolkits</w:t>
      </w:r>
    </w:p>
    <w:p w14:paraId="1E634F35" w14:textId="58724959" w:rsidR="005B1BF0" w:rsidRPr="00E31CE7" w:rsidRDefault="00B22884" w:rsidP="00E81514">
      <w:pPr>
        <w:pStyle w:val="Bullet"/>
        <w:rPr>
          <w:rStyle w:val="Hyperlink"/>
          <w:color w:val="auto"/>
          <w:szCs w:val="22"/>
        </w:rPr>
      </w:pPr>
      <w:r>
        <w:rPr>
          <w:rFonts w:eastAsiaTheme="majorEastAsia"/>
        </w:rPr>
        <w:fldChar w:fldCharType="end"/>
      </w:r>
      <w:hyperlink r:id="rId27" w:history="1">
        <w:r w:rsidR="00C80042" w:rsidRPr="000A0418">
          <w:rPr>
            <w:rStyle w:val="Hyperlink"/>
            <w:rFonts w:cs="Arial"/>
            <w:szCs w:val="22"/>
          </w:rPr>
          <w:t xml:space="preserve">Māori </w:t>
        </w:r>
        <w:r w:rsidR="00C80042" w:rsidRPr="000A0418">
          <w:rPr>
            <w:rStyle w:val="Hyperlink"/>
            <w:szCs w:val="22"/>
          </w:rPr>
          <w:t>housing</w:t>
        </w:r>
        <w:r w:rsidR="000A0418" w:rsidRPr="000A0418">
          <w:rPr>
            <w:rStyle w:val="Hyperlink"/>
            <w:szCs w:val="22"/>
          </w:rPr>
          <w:t xml:space="preserve"> support</w:t>
        </w:r>
      </w:hyperlink>
    </w:p>
    <w:p w14:paraId="20BF6D6F" w14:textId="4A278082" w:rsidR="005B1BF0" w:rsidRPr="00B47D29" w:rsidRDefault="005B1BF0" w:rsidP="00970C68">
      <w:pPr>
        <w:pStyle w:val="Heading3"/>
        <w:numPr>
          <w:ilvl w:val="0"/>
          <w:numId w:val="36"/>
        </w:numPr>
        <w:tabs>
          <w:tab w:val="clear" w:pos="851"/>
          <w:tab w:val="left" w:pos="567"/>
        </w:tabs>
        <w:ind w:left="567" w:hanging="567"/>
      </w:pPr>
      <w:r w:rsidRPr="00B47D29">
        <w:t>Rezoning land that is HPL to a Māori purpose zone</w:t>
      </w:r>
    </w:p>
    <w:p w14:paraId="6AD60953" w14:textId="77777777" w:rsidR="005B1BF0" w:rsidRPr="00E31CE7" w:rsidRDefault="005B1BF0" w:rsidP="00696E01">
      <w:pPr>
        <w:pStyle w:val="Heading4"/>
      </w:pPr>
      <w:r w:rsidRPr="00E31CE7">
        <w:t xml:space="preserve">NPS-HPL implications </w:t>
      </w:r>
    </w:p>
    <w:p w14:paraId="3030925D" w14:textId="77777777" w:rsidR="005B1BF0" w:rsidRPr="00E31CE7" w:rsidRDefault="005B1BF0" w:rsidP="00970C68">
      <w:pPr>
        <w:pStyle w:val="BodyText"/>
      </w:pPr>
      <w:r w:rsidRPr="00E31CE7">
        <w:t xml:space="preserve">Māori purpose zones are defined in the </w:t>
      </w:r>
      <w:hyperlink r:id="rId28">
        <w:r w:rsidRPr="00E31CE7">
          <w:rPr>
            <w:rStyle w:val="Hyperlink"/>
          </w:rPr>
          <w:t>National Planning Standards</w:t>
        </w:r>
      </w:hyperlink>
      <w:r w:rsidRPr="00E31CE7">
        <w:t xml:space="preserve"> as:</w:t>
      </w:r>
    </w:p>
    <w:p w14:paraId="526BD220" w14:textId="3E887865" w:rsidR="005B1BF0" w:rsidRPr="00E31CE7" w:rsidRDefault="005B1BF0" w:rsidP="00970C68">
      <w:pPr>
        <w:pStyle w:val="Quote"/>
      </w:pPr>
      <w:r w:rsidRPr="00E31CE7">
        <w:t>Areas used predominantly for a range of activities that specifically meet Māori cultural needs including but not limited to residential and commercial activities.</w:t>
      </w:r>
    </w:p>
    <w:p w14:paraId="0D68F563" w14:textId="77777777" w:rsidR="005B1BF0" w:rsidRPr="00E31CE7" w:rsidRDefault="005B1BF0" w:rsidP="00970C68">
      <w:pPr>
        <w:pStyle w:val="BodyText"/>
        <w:rPr>
          <w:rStyle w:val="cf01"/>
          <w:rFonts w:ascii="Calibri" w:eastAsiaTheme="majorEastAsia" w:hAnsi="Calibri" w:cs="Times New Roman"/>
          <w:sz w:val="22"/>
          <w:szCs w:val="22"/>
        </w:rPr>
      </w:pPr>
      <w:r w:rsidRPr="00E31CE7">
        <w:rPr>
          <w:rStyle w:val="cf01"/>
          <w:rFonts w:ascii="Calibri" w:eastAsiaTheme="majorEastAsia" w:hAnsi="Calibri" w:cs="Times New Roman"/>
          <w:sz w:val="22"/>
          <w:szCs w:val="22"/>
        </w:rPr>
        <w:t xml:space="preserve">A Māori purpose zone is exempt from the definition of an urban zone in the NPS-HPL (along with Open Space Zone) and therefore clause 3.6 requiring rezoning to meet specific tests does not apply to an application to rezone land to a Māori purpose zone. </w:t>
      </w:r>
    </w:p>
    <w:p w14:paraId="1D3FDB10" w14:textId="77777777" w:rsidR="00E81514" w:rsidRDefault="005B1BF0" w:rsidP="00E81514">
      <w:pPr>
        <w:pStyle w:val="BodyText"/>
      </w:pPr>
      <w:r w:rsidRPr="00E31CE7">
        <w:rPr>
          <w:rStyle w:val="cf01"/>
          <w:rFonts w:ascii="Calibri" w:eastAsiaTheme="majorEastAsia" w:hAnsi="Calibri" w:cs="Times New Roman"/>
          <w:sz w:val="22"/>
          <w:szCs w:val="22"/>
        </w:rPr>
        <w:t xml:space="preserve">The NPS-HPL does not include a specific clause relating to the rezoning of land to a Māori purpose zone, however, </w:t>
      </w:r>
      <w:r w:rsidRPr="00E31CE7">
        <w:t xml:space="preserve">clause 3.3 (involvement of </w:t>
      </w:r>
      <w:proofErr w:type="spellStart"/>
      <w:r w:rsidRPr="00E31CE7">
        <w:t>tangata</w:t>
      </w:r>
      <w:proofErr w:type="spellEnd"/>
      <w:r w:rsidRPr="00E31CE7">
        <w:t xml:space="preserve"> whenua) will be a relevant consideration and recognises the need to enable Māori to be involved in the appropriate management of HPL. </w:t>
      </w:r>
    </w:p>
    <w:p w14:paraId="0E9A8FB0" w14:textId="5B2E60AE" w:rsidR="005B1BF0" w:rsidRPr="00E31CE7" w:rsidRDefault="005B1BF0" w:rsidP="00970C68">
      <w:pPr>
        <w:pStyle w:val="BodyText"/>
        <w:rPr>
          <w:rStyle w:val="cf01"/>
          <w:rFonts w:ascii="Calibri" w:eastAsiaTheme="majorEastAsia" w:hAnsi="Calibri" w:cs="Times New Roman"/>
          <w:sz w:val="22"/>
          <w:szCs w:val="22"/>
        </w:rPr>
      </w:pPr>
      <w:r w:rsidRPr="00E31CE7">
        <w:t>A</w:t>
      </w:r>
      <w:r w:rsidRPr="00E31CE7">
        <w:rPr>
          <w:rStyle w:val="cf01"/>
          <w:rFonts w:ascii="Calibri" w:eastAsiaTheme="majorEastAsia" w:hAnsi="Calibri" w:cs="Times New Roman"/>
          <w:sz w:val="22"/>
          <w:szCs w:val="22"/>
        </w:rPr>
        <w:t>n application to rezone Māori land to Māori purpose zone will be determined by the council. Relevant considerations may include:</w:t>
      </w:r>
    </w:p>
    <w:p w14:paraId="5A8719AB" w14:textId="77777777" w:rsidR="005B1BF0" w:rsidRPr="00E81514" w:rsidRDefault="005B1BF0" w:rsidP="00E81514">
      <w:pPr>
        <w:pStyle w:val="Bullet"/>
      </w:pPr>
      <w:r w:rsidRPr="00E81514">
        <w:t>Treaty settlement legislation</w:t>
      </w:r>
    </w:p>
    <w:p w14:paraId="0BF0A0F2" w14:textId="77777777" w:rsidR="005B1BF0" w:rsidRPr="00E81514" w:rsidRDefault="005B1BF0" w:rsidP="00E81514">
      <w:pPr>
        <w:pStyle w:val="Bullet"/>
        <w:rPr>
          <w:rStyle w:val="cf01"/>
          <w:rFonts w:ascii="Calibri" w:hAnsi="Calibri" w:cs="Times New Roman"/>
          <w:sz w:val="22"/>
          <w:szCs w:val="20"/>
        </w:rPr>
      </w:pPr>
      <w:r w:rsidRPr="00E81514">
        <w:t xml:space="preserve">iwi and </w:t>
      </w:r>
      <w:proofErr w:type="spellStart"/>
      <w:r w:rsidRPr="00E81514">
        <w:t>hapū</w:t>
      </w:r>
      <w:proofErr w:type="spellEnd"/>
      <w:r w:rsidRPr="00E81514">
        <w:t xml:space="preserve"> planning documents</w:t>
      </w:r>
    </w:p>
    <w:p w14:paraId="295B2601" w14:textId="77777777" w:rsidR="005B1BF0" w:rsidRPr="00E81514" w:rsidRDefault="005B1BF0" w:rsidP="00E81514">
      <w:pPr>
        <w:pStyle w:val="Bullet"/>
        <w:rPr>
          <w:rStyle w:val="cf01"/>
          <w:rFonts w:ascii="Calibri" w:hAnsi="Calibri" w:cs="Times New Roman"/>
          <w:sz w:val="22"/>
          <w:szCs w:val="20"/>
        </w:rPr>
      </w:pPr>
      <w:r w:rsidRPr="00E81514">
        <w:rPr>
          <w:rStyle w:val="cf01"/>
          <w:rFonts w:ascii="Calibri" w:eastAsiaTheme="majorEastAsia" w:hAnsi="Calibri" w:cs="Times New Roman"/>
          <w:sz w:val="22"/>
          <w:szCs w:val="20"/>
        </w:rPr>
        <w:t xml:space="preserve">how the proposed rezoning provides for ‘the relationship of Māori and their culture and traditions with their ancestral lands, water, sites, </w:t>
      </w:r>
      <w:proofErr w:type="spellStart"/>
      <w:r w:rsidRPr="00E81514">
        <w:rPr>
          <w:rStyle w:val="cf01"/>
          <w:rFonts w:ascii="Calibri" w:eastAsiaTheme="majorEastAsia" w:hAnsi="Calibri" w:cs="Times New Roman"/>
          <w:sz w:val="22"/>
          <w:szCs w:val="20"/>
        </w:rPr>
        <w:t>waahi</w:t>
      </w:r>
      <w:proofErr w:type="spellEnd"/>
      <w:r w:rsidRPr="00E81514">
        <w:rPr>
          <w:rStyle w:val="cf01"/>
          <w:rFonts w:ascii="Calibri" w:eastAsiaTheme="majorEastAsia" w:hAnsi="Calibri" w:cs="Times New Roman"/>
          <w:sz w:val="22"/>
          <w:szCs w:val="20"/>
        </w:rPr>
        <w:t xml:space="preserve"> </w:t>
      </w:r>
      <w:proofErr w:type="spellStart"/>
      <w:r w:rsidRPr="00E81514">
        <w:rPr>
          <w:rStyle w:val="cf01"/>
          <w:rFonts w:ascii="Calibri" w:eastAsiaTheme="majorEastAsia" w:hAnsi="Calibri" w:cs="Times New Roman"/>
          <w:sz w:val="22"/>
          <w:szCs w:val="20"/>
        </w:rPr>
        <w:t>tapu</w:t>
      </w:r>
      <w:proofErr w:type="spellEnd"/>
      <w:r w:rsidRPr="00E81514">
        <w:rPr>
          <w:rStyle w:val="cf01"/>
          <w:rFonts w:ascii="Calibri" w:eastAsiaTheme="majorEastAsia" w:hAnsi="Calibri" w:cs="Times New Roman"/>
          <w:sz w:val="22"/>
          <w:szCs w:val="20"/>
        </w:rPr>
        <w:t>, and other taonga’ in accordance with s 6(e) of the RMA</w:t>
      </w:r>
    </w:p>
    <w:p w14:paraId="28CDAFC8" w14:textId="77777777" w:rsidR="005B1BF0" w:rsidRPr="00E81514" w:rsidRDefault="005B1BF0" w:rsidP="00E81514">
      <w:pPr>
        <w:pStyle w:val="Bullet"/>
        <w:rPr>
          <w:rStyle w:val="cf01"/>
          <w:rFonts w:ascii="Calibri" w:hAnsi="Calibri" w:cs="Times New Roman"/>
          <w:sz w:val="22"/>
          <w:szCs w:val="20"/>
        </w:rPr>
      </w:pPr>
      <w:r w:rsidRPr="00E81514">
        <w:rPr>
          <w:rStyle w:val="cf01"/>
          <w:rFonts w:ascii="Calibri" w:eastAsiaTheme="majorEastAsia" w:hAnsi="Calibri" w:cs="Times New Roman"/>
          <w:sz w:val="22"/>
          <w:szCs w:val="20"/>
        </w:rPr>
        <w:t>how other matters of national importance are addressed</w:t>
      </w:r>
    </w:p>
    <w:p w14:paraId="75DD6711" w14:textId="77777777" w:rsidR="005B1BF0" w:rsidRPr="00E81514" w:rsidRDefault="005B1BF0" w:rsidP="00E81514">
      <w:pPr>
        <w:pStyle w:val="Bullet"/>
        <w:rPr>
          <w:rStyle w:val="cf01"/>
          <w:rFonts w:ascii="Calibri" w:hAnsi="Calibri" w:cs="Times New Roman"/>
          <w:sz w:val="22"/>
          <w:szCs w:val="20"/>
        </w:rPr>
      </w:pPr>
      <w:r w:rsidRPr="00E81514">
        <w:rPr>
          <w:rStyle w:val="cf01"/>
          <w:rFonts w:ascii="Calibri" w:eastAsiaTheme="majorEastAsia" w:hAnsi="Calibri" w:cs="Times New Roman"/>
          <w:sz w:val="22"/>
          <w:szCs w:val="20"/>
        </w:rPr>
        <w:t>how cross-boundary effects are managed, including reverse sensitivity</w:t>
      </w:r>
    </w:p>
    <w:p w14:paraId="49C7E818" w14:textId="77777777" w:rsidR="005B1BF0" w:rsidRPr="00970C68" w:rsidRDefault="005B1BF0" w:rsidP="00E81514">
      <w:pPr>
        <w:pStyle w:val="Bullet"/>
      </w:pPr>
      <w:r w:rsidRPr="00E81514">
        <w:rPr>
          <w:rStyle w:val="cf01"/>
          <w:rFonts w:ascii="Calibri" w:eastAsiaTheme="majorEastAsia" w:hAnsi="Calibri" w:cs="Times New Roman"/>
          <w:sz w:val="22"/>
          <w:szCs w:val="20"/>
        </w:rPr>
        <w:lastRenderedPageBreak/>
        <w:t>the extent to which the use of land for land-based primary production is retained</w:t>
      </w:r>
      <w:r w:rsidRPr="00970C68">
        <w:rPr>
          <w:rStyle w:val="cf01"/>
          <w:rFonts w:ascii="Calibri" w:eastAsiaTheme="majorEastAsia" w:hAnsi="Calibri" w:cs="Times New Roman"/>
          <w:sz w:val="22"/>
          <w:szCs w:val="20"/>
        </w:rPr>
        <w:t xml:space="preserve">. </w:t>
      </w:r>
    </w:p>
    <w:p w14:paraId="151FB05F" w14:textId="5369395C" w:rsidR="005B1BF0" w:rsidRPr="00696E01" w:rsidRDefault="005B1BF0" w:rsidP="00696E01">
      <w:pPr>
        <w:pStyle w:val="BodyText"/>
        <w:rPr>
          <w:rFonts w:eastAsiaTheme="majorEastAsia"/>
          <w:b/>
          <w:bCs/>
        </w:rPr>
      </w:pPr>
      <w:r w:rsidRPr="00696E01">
        <w:rPr>
          <w:b/>
          <w:bCs/>
        </w:rPr>
        <w:t>Should a plan change to rezone to Māori purpose zone be approved</w:t>
      </w:r>
      <w:r w:rsidR="005E0A85">
        <w:rPr>
          <w:b/>
          <w:bCs/>
        </w:rPr>
        <w:t>,</w:t>
      </w:r>
      <w:r w:rsidRPr="00696E01">
        <w:rPr>
          <w:b/>
          <w:bCs/>
        </w:rPr>
        <w:t xml:space="preserve"> </w:t>
      </w:r>
      <w:r w:rsidRPr="00696E01">
        <w:rPr>
          <w:rFonts w:eastAsiaTheme="majorEastAsia"/>
          <w:b/>
          <w:bCs/>
        </w:rPr>
        <w:t>do NPS-HPL restrictions apply?</w:t>
      </w:r>
    </w:p>
    <w:p w14:paraId="7BBDE335" w14:textId="77777777" w:rsidR="005B1BF0" w:rsidRPr="00E31CE7" w:rsidRDefault="005B1BF0" w:rsidP="00696E01">
      <w:pPr>
        <w:pStyle w:val="BodyText"/>
        <w:rPr>
          <w:rStyle w:val="cf01"/>
          <w:rFonts w:ascii="Calibri" w:eastAsiaTheme="majorEastAsia" w:hAnsi="Calibri" w:cs="Times New Roman"/>
          <w:sz w:val="22"/>
          <w:szCs w:val="22"/>
        </w:rPr>
      </w:pPr>
      <w:r w:rsidRPr="00E31CE7">
        <w:rPr>
          <w:rStyle w:val="cf01"/>
          <w:rFonts w:ascii="Calibri" w:eastAsiaTheme="majorEastAsia" w:hAnsi="Calibri" w:cs="Times New Roman"/>
          <w:b/>
          <w:bCs/>
          <w:sz w:val="22"/>
          <w:szCs w:val="22"/>
        </w:rPr>
        <w:t>No</w:t>
      </w:r>
      <w:r w:rsidRPr="00E31CE7">
        <w:rPr>
          <w:rStyle w:val="cf01"/>
          <w:rFonts w:ascii="Calibri" w:eastAsiaTheme="majorEastAsia" w:hAnsi="Calibri" w:cs="Times New Roman"/>
          <w:sz w:val="22"/>
          <w:szCs w:val="22"/>
        </w:rPr>
        <w:t xml:space="preserve"> </w:t>
      </w:r>
      <w:r w:rsidRPr="00E31CE7">
        <w:rPr>
          <w:b/>
          <w:bCs/>
        </w:rPr>
        <w:t xml:space="preserve">— </w:t>
      </w:r>
      <w:r w:rsidRPr="00E31CE7">
        <w:t xml:space="preserve">the restrictions on the activities permitted on this land would not apply. </w:t>
      </w:r>
    </w:p>
    <w:p w14:paraId="3EC25905" w14:textId="77777777" w:rsidR="005B1BF0" w:rsidRPr="00E31CE7" w:rsidRDefault="005B1BF0" w:rsidP="00E81514">
      <w:pPr>
        <w:pStyle w:val="Bullet"/>
        <w:rPr>
          <w:rStyle w:val="cf01"/>
          <w:rFonts w:ascii="Calibri" w:eastAsiaTheme="majorEastAsia" w:hAnsi="Calibri" w:cs="Arial"/>
          <w:sz w:val="22"/>
          <w:szCs w:val="22"/>
        </w:rPr>
      </w:pPr>
      <w:r w:rsidRPr="00E31CE7">
        <w:rPr>
          <w:rStyle w:val="cf01"/>
          <w:rFonts w:ascii="Calibri" w:eastAsiaTheme="majorEastAsia" w:hAnsi="Calibri" w:cs="Arial"/>
          <w:sz w:val="22"/>
          <w:szCs w:val="22"/>
        </w:rPr>
        <w:t xml:space="preserve">Rezoning general land identified as highly productive (either under the transitional definition or once mapped) to a Māori purpose zone would remove the NPS-HPL restrictions on use and development. </w:t>
      </w:r>
    </w:p>
    <w:p w14:paraId="40DDFCE4" w14:textId="77777777" w:rsidR="005B1BF0" w:rsidRPr="00E31CE7" w:rsidRDefault="005B1BF0" w:rsidP="00E81514">
      <w:pPr>
        <w:pStyle w:val="Bullet"/>
      </w:pPr>
      <w:r w:rsidRPr="00E31CE7">
        <w:rPr>
          <w:rStyle w:val="cf01"/>
          <w:rFonts w:ascii="Calibri" w:eastAsiaTheme="majorEastAsia" w:hAnsi="Calibri" w:cs="Arial"/>
          <w:sz w:val="22"/>
          <w:szCs w:val="22"/>
        </w:rPr>
        <w:t>Māori freehold land can also be rezoned as a Māori purpose zone. However, land with this status is already excluded from NPS-HPL subdivision, use and development restrictions, as it is captured by the definition of ‘specified Māori land’.</w:t>
      </w:r>
    </w:p>
    <w:p w14:paraId="1F3B9C22" w14:textId="77777777" w:rsidR="005B1BF0" w:rsidRPr="00E31CE7" w:rsidRDefault="005B1BF0" w:rsidP="00696E01">
      <w:pPr>
        <w:pStyle w:val="BodyText"/>
      </w:pPr>
      <w:r w:rsidRPr="00E31CE7">
        <w:t>The intention of Māori purpose zones is not to limit the use of Māori land to just one zone. Applicants can seek to rezone their land to any zone or overlay. Methods to reduce historic development imbalances imposed on Māori land can also be incorporated in other zones and overlays. For example, a rural zone could include a precinct with a broader range of development opportunities for a specific area of Māori land.</w:t>
      </w:r>
    </w:p>
    <w:p w14:paraId="4CE18E01" w14:textId="77777777" w:rsidR="005B1BF0" w:rsidRPr="00E31CE7" w:rsidRDefault="005B1BF0" w:rsidP="00E93602">
      <w:pPr>
        <w:pStyle w:val="Heading4"/>
      </w:pPr>
      <w:r w:rsidRPr="00E31CE7">
        <w:t>Process requirements</w:t>
      </w:r>
    </w:p>
    <w:p w14:paraId="208AF527" w14:textId="77777777" w:rsidR="007971AC" w:rsidRDefault="005B1BF0" w:rsidP="00E93602">
      <w:pPr>
        <w:pStyle w:val="BodyText"/>
      </w:pPr>
      <w:r w:rsidRPr="00E31CE7">
        <w:t xml:space="preserve">There are two pathways for rezoning or modifying land zoning: </w:t>
      </w:r>
    </w:p>
    <w:p w14:paraId="5FB60DF5" w14:textId="605BC759" w:rsidR="007971AC" w:rsidRDefault="005B1BF0" w:rsidP="008879C7">
      <w:pPr>
        <w:pStyle w:val="BodyText"/>
        <w:numPr>
          <w:ilvl w:val="0"/>
          <w:numId w:val="37"/>
        </w:numPr>
        <w:spacing w:before="60" w:after="60"/>
        <w:ind w:left="714" w:hanging="357"/>
      </w:pPr>
      <w:r w:rsidRPr="00E31CE7">
        <w:t>a private plan change</w:t>
      </w:r>
      <w:r w:rsidR="008879C7">
        <w:t>,</w:t>
      </w:r>
      <w:r w:rsidR="007971AC">
        <w:t xml:space="preserve"> or</w:t>
      </w:r>
    </w:p>
    <w:p w14:paraId="4740698A" w14:textId="1185BD2A" w:rsidR="007971AC" w:rsidRDefault="008879C7" w:rsidP="008879C7">
      <w:pPr>
        <w:pStyle w:val="BodyText"/>
        <w:numPr>
          <w:ilvl w:val="0"/>
          <w:numId w:val="37"/>
        </w:numPr>
        <w:spacing w:before="60" w:after="60"/>
        <w:ind w:left="714" w:hanging="357"/>
      </w:pPr>
      <w:r>
        <w:t xml:space="preserve">a </w:t>
      </w:r>
      <w:r w:rsidR="007971AC" w:rsidRPr="00E31CE7">
        <w:t>council-led plan change</w:t>
      </w:r>
      <w:r w:rsidR="007971AC">
        <w:t>.</w:t>
      </w:r>
    </w:p>
    <w:p w14:paraId="0A167401" w14:textId="74DC339D" w:rsidR="005B1BF0" w:rsidRPr="00E31CE7" w:rsidRDefault="005B1BF0" w:rsidP="00C15D87">
      <w:pPr>
        <w:pStyle w:val="BodyText"/>
      </w:pPr>
      <w:r w:rsidRPr="00E31CE7">
        <w:t>Choosing the approach depends on</w:t>
      </w:r>
      <w:r w:rsidR="007971AC">
        <w:t xml:space="preserve"> </w:t>
      </w:r>
      <w:r w:rsidRPr="00E31CE7">
        <w:t>whether the council is already undergoing a plan change or plan review</w:t>
      </w:r>
      <w:r w:rsidR="007971AC">
        <w:t xml:space="preserve"> </w:t>
      </w:r>
      <w:r w:rsidR="00C15D87">
        <w:t>or w</w:t>
      </w:r>
      <w:r w:rsidRPr="00E31CE7">
        <w:t xml:space="preserve">hether the rezoning is within scope of the council-led plan change. </w:t>
      </w:r>
    </w:p>
    <w:p w14:paraId="1A6CF095" w14:textId="09BA0603" w:rsidR="005B1BF0" w:rsidRPr="00E31CE7" w:rsidRDefault="005B1BF0" w:rsidP="000D4DBD">
      <w:pPr>
        <w:pStyle w:val="Heading4"/>
      </w:pPr>
      <w:r w:rsidRPr="00E31CE7">
        <w:t>Private plan change</w:t>
      </w:r>
    </w:p>
    <w:p w14:paraId="6056380B" w14:textId="78923693" w:rsidR="005B1BF0" w:rsidRPr="00E31CE7" w:rsidRDefault="005B1BF0" w:rsidP="008C3B0C">
      <w:pPr>
        <w:pStyle w:val="BodyText"/>
        <w:rPr>
          <w:rFonts w:asciiTheme="minorHAnsi" w:hAnsiTheme="minorHAnsi" w:cstheme="minorHAnsi"/>
        </w:rPr>
      </w:pPr>
      <w:r w:rsidRPr="00E31CE7">
        <w:t xml:space="preserve">If no council plan change or review is underway or it is outside of scope, a private plan change is the only option. </w:t>
      </w:r>
      <w:r w:rsidRPr="00E93602">
        <w:t>The</w:t>
      </w:r>
      <w:r w:rsidRPr="00E31CE7">
        <w:rPr>
          <w:rFonts w:asciiTheme="minorHAnsi" w:hAnsiTheme="minorHAnsi" w:cstheme="minorHAnsi"/>
          <w:color w:val="00304B"/>
          <w:shd w:val="clear" w:color="auto" w:fill="FFFFFF"/>
        </w:rPr>
        <w:t> </w:t>
      </w:r>
      <w:hyperlink r:id="rId29" w:tgtFrame="_blank" w:tooltip="Link will open in new tab." w:history="1">
        <w:r w:rsidRPr="00E93602">
          <w:rPr>
            <w:rStyle w:val="Hyperlink"/>
          </w:rPr>
          <w:t>Quality Planning resource</w:t>
        </w:r>
      </w:hyperlink>
      <w:r w:rsidRPr="00E93602">
        <w:t xml:space="preserve"> gives information on this process.</w:t>
      </w:r>
      <w:r w:rsidRPr="00E31CE7">
        <w:rPr>
          <w:rFonts w:asciiTheme="minorHAnsi" w:hAnsiTheme="minorHAnsi" w:cstheme="minorHAnsi"/>
          <w:color w:val="00304B"/>
          <w:shd w:val="clear" w:color="auto" w:fill="FFFFFF"/>
        </w:rPr>
        <w:t xml:space="preserve"> </w:t>
      </w:r>
      <w:r w:rsidRPr="00E31CE7">
        <w:rPr>
          <w:rFonts w:asciiTheme="minorHAnsi" w:hAnsiTheme="minorHAnsi" w:cstheme="minorHAnsi"/>
          <w:color w:val="000000" w:themeColor="text1"/>
          <w:shd w:val="clear" w:color="auto" w:fill="FFFFFF"/>
        </w:rPr>
        <w:t>The key steps are:</w:t>
      </w:r>
    </w:p>
    <w:p w14:paraId="66B0EA3A" w14:textId="77777777" w:rsidR="005B1BF0" w:rsidRPr="00E31CE7" w:rsidRDefault="005B1BF0" w:rsidP="00970C68">
      <w:pPr>
        <w:pStyle w:val="Bullet"/>
        <w:numPr>
          <w:ilvl w:val="0"/>
          <w:numId w:val="32"/>
        </w:numPr>
      </w:pPr>
      <w:r w:rsidRPr="00E31CE7">
        <w:t>The applicant lodges a private plan change request with the district or regional council.</w:t>
      </w:r>
    </w:p>
    <w:p w14:paraId="2C16AEB4" w14:textId="77777777" w:rsidR="005B1BF0" w:rsidRPr="00E31CE7" w:rsidRDefault="005B1BF0" w:rsidP="00970C68">
      <w:pPr>
        <w:pStyle w:val="Bullet"/>
        <w:numPr>
          <w:ilvl w:val="0"/>
          <w:numId w:val="32"/>
        </w:numPr>
      </w:pPr>
      <w:r w:rsidRPr="00E31CE7">
        <w:t>The council processes the request and can request more information and commission reports.</w:t>
      </w:r>
    </w:p>
    <w:p w14:paraId="7D38FDFD" w14:textId="77777777" w:rsidR="005B1BF0" w:rsidRPr="00E31CE7" w:rsidRDefault="005B1BF0" w:rsidP="00970C68">
      <w:pPr>
        <w:pStyle w:val="Bullet"/>
        <w:numPr>
          <w:ilvl w:val="0"/>
          <w:numId w:val="32"/>
        </w:numPr>
      </w:pPr>
      <w:r w:rsidRPr="00E31CE7">
        <w:t>The council may modify the request with the applicant’s permission.</w:t>
      </w:r>
    </w:p>
    <w:p w14:paraId="0E74C182" w14:textId="77777777" w:rsidR="005B1BF0" w:rsidRPr="00E31CE7" w:rsidRDefault="005B1BF0" w:rsidP="00970C68">
      <w:pPr>
        <w:pStyle w:val="Bullet"/>
        <w:numPr>
          <w:ilvl w:val="0"/>
          <w:numId w:val="32"/>
        </w:numPr>
      </w:pPr>
      <w:r w:rsidRPr="00E31CE7">
        <w:t>The council decides whether to adopt, accept or reject the request, or convert the request to a resource consent.</w:t>
      </w:r>
    </w:p>
    <w:p w14:paraId="30304F9A" w14:textId="77777777" w:rsidR="005B1BF0" w:rsidRPr="00E31CE7" w:rsidRDefault="005B1BF0" w:rsidP="00970C68">
      <w:pPr>
        <w:pStyle w:val="Bullet"/>
        <w:numPr>
          <w:ilvl w:val="0"/>
          <w:numId w:val="32"/>
        </w:numPr>
      </w:pPr>
      <w:r w:rsidRPr="00E31CE7">
        <w:t>The council publicly notifies a request that it has adopted or accepted. This allows submissions and further submissions to be made.</w:t>
      </w:r>
    </w:p>
    <w:p w14:paraId="486A8356" w14:textId="77777777" w:rsidR="005B1BF0" w:rsidRPr="00E31CE7" w:rsidRDefault="005B1BF0" w:rsidP="00970C68">
      <w:pPr>
        <w:pStyle w:val="Bullet"/>
        <w:numPr>
          <w:ilvl w:val="0"/>
          <w:numId w:val="32"/>
        </w:numPr>
      </w:pPr>
      <w:r w:rsidRPr="00E31CE7">
        <w:t>The council holds a hearing to assess the request and submissions, and issues a decision on the request.</w:t>
      </w:r>
    </w:p>
    <w:p w14:paraId="393D6384" w14:textId="77777777" w:rsidR="005B1BF0" w:rsidRPr="00E31CE7" w:rsidRDefault="005B1BF0" w:rsidP="00970C68">
      <w:pPr>
        <w:pStyle w:val="Bullet"/>
        <w:numPr>
          <w:ilvl w:val="0"/>
          <w:numId w:val="32"/>
        </w:numPr>
      </w:pPr>
      <w:r w:rsidRPr="00E31CE7">
        <w:t>The council decision is open to appeal to the Environment Court.</w:t>
      </w:r>
    </w:p>
    <w:p w14:paraId="031FA0AA" w14:textId="77777777" w:rsidR="005B1BF0" w:rsidRPr="00962E54" w:rsidRDefault="005B1BF0" w:rsidP="00962E54">
      <w:pPr>
        <w:pStyle w:val="BodyText"/>
      </w:pPr>
      <w:r w:rsidRPr="008C3B0C">
        <w:rPr>
          <w:rStyle w:val="cf01"/>
          <w:rFonts w:ascii="Calibri" w:eastAsiaTheme="majorEastAsia" w:hAnsi="Calibri" w:cs="Times New Roman"/>
          <w:sz w:val="22"/>
          <w:szCs w:val="22"/>
        </w:rPr>
        <w:lastRenderedPageBreak/>
        <w:t>For more information on how to initiate a private plan change, contact your local council.</w:t>
      </w:r>
    </w:p>
    <w:p w14:paraId="6F6347D6" w14:textId="77777777" w:rsidR="005B1BF0" w:rsidRPr="00E31CE7" w:rsidRDefault="005B1BF0" w:rsidP="00AE70BE">
      <w:pPr>
        <w:pStyle w:val="Heading4"/>
      </w:pPr>
      <w:r w:rsidRPr="00E31CE7">
        <w:t>Information requirements</w:t>
      </w:r>
    </w:p>
    <w:p w14:paraId="4EC7D1C8" w14:textId="77777777" w:rsidR="005B1BF0" w:rsidRPr="00E31CE7" w:rsidRDefault="005B1BF0" w:rsidP="00970C68">
      <w:pPr>
        <w:pStyle w:val="BodyText"/>
      </w:pPr>
      <w:r w:rsidRPr="00E31CE7">
        <w:t>These are generally the same for council-led and private plan changes. Evidence is needed to comply with s32 of the RMA, including:</w:t>
      </w:r>
    </w:p>
    <w:p w14:paraId="62C7CBEE" w14:textId="26F9A097" w:rsidR="005B1BF0" w:rsidRPr="00E31CE7" w:rsidRDefault="00BF6E70" w:rsidP="00E81514">
      <w:pPr>
        <w:pStyle w:val="Bullet"/>
      </w:pPr>
      <w:r>
        <w:rPr>
          <w:b/>
          <w:bCs/>
        </w:rPr>
        <w:t>d</w:t>
      </w:r>
      <w:r w:rsidR="005B1BF0" w:rsidRPr="00E31CE7">
        <w:rPr>
          <w:b/>
          <w:bCs/>
        </w:rPr>
        <w:t>efining the problem</w:t>
      </w:r>
      <w:r w:rsidR="005B1BF0" w:rsidRPr="00E31CE7">
        <w:t xml:space="preserve"> – </w:t>
      </w:r>
      <w:r>
        <w:t>w</w:t>
      </w:r>
      <w:r w:rsidR="005B1BF0" w:rsidRPr="00E31CE7">
        <w:t xml:space="preserve">hat is the key issue and its context, scope, scale and significance? (For guidance on drafting this, see the </w:t>
      </w:r>
      <w:hyperlink r:id="rId30" w:history="1">
        <w:r w:rsidR="005B1BF0" w:rsidRPr="00E31CE7">
          <w:rPr>
            <w:rStyle w:val="Hyperlink"/>
            <w:szCs w:val="22"/>
          </w:rPr>
          <w:t>Quality Planning</w:t>
        </w:r>
      </w:hyperlink>
      <w:r w:rsidR="005B1BF0" w:rsidRPr="00E31CE7">
        <w:t xml:space="preserve"> website.)</w:t>
      </w:r>
    </w:p>
    <w:p w14:paraId="25E76758" w14:textId="5DB87974" w:rsidR="005B1BF0" w:rsidRPr="00E31CE7" w:rsidRDefault="00BF6E70" w:rsidP="00E81514">
      <w:pPr>
        <w:pStyle w:val="Bullet"/>
      </w:pPr>
      <w:r>
        <w:t>d</w:t>
      </w:r>
      <w:r w:rsidR="005B1BF0" w:rsidRPr="00E31CE7">
        <w:t>escrib</w:t>
      </w:r>
      <w:r w:rsidR="00CB640D">
        <w:t>ing</w:t>
      </w:r>
      <w:r w:rsidR="005B1BF0" w:rsidRPr="00E31CE7">
        <w:t xml:space="preserve"> the current situation (the baseline or status quo)</w:t>
      </w:r>
    </w:p>
    <w:p w14:paraId="39745471" w14:textId="3FACD7D6" w:rsidR="005B1BF0" w:rsidRPr="00E31CE7" w:rsidRDefault="00BF6E70" w:rsidP="00E81514">
      <w:pPr>
        <w:pStyle w:val="Bullet"/>
      </w:pPr>
      <w:r>
        <w:t>i</w:t>
      </w:r>
      <w:r w:rsidR="005B1BF0" w:rsidRPr="00E31CE7">
        <w:t>ntegrat</w:t>
      </w:r>
      <w:r w:rsidR="00C2421E">
        <w:t>ing</w:t>
      </w:r>
      <w:r w:rsidR="005B1BF0" w:rsidRPr="00E31CE7">
        <w:t xml:space="preserve"> evaluation with community and iwi engagement</w:t>
      </w:r>
    </w:p>
    <w:p w14:paraId="3ED832BD" w14:textId="29E59B5C" w:rsidR="005B1BF0" w:rsidRPr="00E31CE7" w:rsidRDefault="00BF6E70" w:rsidP="00E81514">
      <w:pPr>
        <w:pStyle w:val="Bullet"/>
      </w:pPr>
      <w:r>
        <w:t>i</w:t>
      </w:r>
      <w:r w:rsidR="005B1BF0" w:rsidRPr="00E31CE7">
        <w:t>dentify</w:t>
      </w:r>
      <w:r>
        <w:t>ing</w:t>
      </w:r>
      <w:r w:rsidR="005B1BF0" w:rsidRPr="00E31CE7">
        <w:t xml:space="preserve"> and assess objectives based on clearly defined outcomes</w:t>
      </w:r>
    </w:p>
    <w:p w14:paraId="071F65A3" w14:textId="6885E632" w:rsidR="005B1BF0" w:rsidRPr="00E31CE7" w:rsidRDefault="00BF6E70" w:rsidP="00E81514">
      <w:pPr>
        <w:pStyle w:val="Bullet"/>
      </w:pPr>
      <w:r>
        <w:t>i</w:t>
      </w:r>
      <w:r w:rsidR="005B1BF0" w:rsidRPr="00E31CE7">
        <w:t>dentify</w:t>
      </w:r>
      <w:r>
        <w:t>ing</w:t>
      </w:r>
      <w:r w:rsidR="005B1BF0" w:rsidRPr="00E31CE7">
        <w:t xml:space="preserve"> and assess</w:t>
      </w:r>
      <w:r>
        <w:t>ing the</w:t>
      </w:r>
      <w:r w:rsidR="005B1BF0" w:rsidRPr="00E31CE7">
        <w:t xml:space="preserve"> response options including:</w:t>
      </w:r>
    </w:p>
    <w:p w14:paraId="5A8AE40C" w14:textId="7F8FA214" w:rsidR="005B1BF0" w:rsidRPr="00E31CE7" w:rsidRDefault="00BF6E70" w:rsidP="008C3B0C">
      <w:pPr>
        <w:pStyle w:val="TableDash"/>
        <w:numPr>
          <w:ilvl w:val="0"/>
          <w:numId w:val="22"/>
        </w:numPr>
        <w:tabs>
          <w:tab w:val="clear" w:pos="680"/>
          <w:tab w:val="num" w:pos="851"/>
        </w:tabs>
        <w:ind w:left="851" w:hanging="425"/>
        <w:rPr>
          <w:sz w:val="22"/>
          <w:szCs w:val="22"/>
        </w:rPr>
      </w:pPr>
      <w:r>
        <w:rPr>
          <w:sz w:val="22"/>
          <w:szCs w:val="22"/>
        </w:rPr>
        <w:t>i</w:t>
      </w:r>
      <w:r w:rsidR="005B1BF0" w:rsidRPr="00E31CE7">
        <w:rPr>
          <w:sz w:val="22"/>
          <w:szCs w:val="22"/>
        </w:rPr>
        <w:t>dentify</w:t>
      </w:r>
      <w:r>
        <w:rPr>
          <w:sz w:val="22"/>
          <w:szCs w:val="22"/>
        </w:rPr>
        <w:t>ing</w:t>
      </w:r>
      <w:r w:rsidR="005B1BF0" w:rsidRPr="00E31CE7">
        <w:rPr>
          <w:sz w:val="22"/>
          <w:szCs w:val="22"/>
        </w:rPr>
        <w:t xml:space="preserve"> the full range of effects </w:t>
      </w:r>
    </w:p>
    <w:p w14:paraId="1D5B854A" w14:textId="23833CF8" w:rsidR="005B1BF0" w:rsidRPr="00E31CE7" w:rsidRDefault="00BF6E70" w:rsidP="008C3B0C">
      <w:pPr>
        <w:pStyle w:val="TableDash"/>
        <w:numPr>
          <w:ilvl w:val="0"/>
          <w:numId w:val="22"/>
        </w:numPr>
        <w:tabs>
          <w:tab w:val="clear" w:pos="680"/>
          <w:tab w:val="num" w:pos="851"/>
        </w:tabs>
        <w:ind w:left="851" w:hanging="425"/>
        <w:rPr>
          <w:sz w:val="22"/>
          <w:szCs w:val="22"/>
        </w:rPr>
      </w:pPr>
      <w:r>
        <w:rPr>
          <w:sz w:val="22"/>
          <w:szCs w:val="22"/>
        </w:rPr>
        <w:t>d</w:t>
      </w:r>
      <w:r w:rsidR="005B1BF0" w:rsidRPr="00E31CE7">
        <w:rPr>
          <w:sz w:val="22"/>
          <w:szCs w:val="22"/>
        </w:rPr>
        <w:t>escrib</w:t>
      </w:r>
      <w:r>
        <w:rPr>
          <w:sz w:val="22"/>
          <w:szCs w:val="22"/>
        </w:rPr>
        <w:t>ing</w:t>
      </w:r>
      <w:r w:rsidR="005B1BF0" w:rsidRPr="00E31CE7">
        <w:rPr>
          <w:sz w:val="22"/>
          <w:szCs w:val="22"/>
        </w:rPr>
        <w:t xml:space="preserve"> the scale and significance of the effects </w:t>
      </w:r>
    </w:p>
    <w:p w14:paraId="5B15350F" w14:textId="6DA0497C" w:rsidR="005B1BF0" w:rsidRPr="00E31CE7" w:rsidRDefault="00BF6E70" w:rsidP="008C3B0C">
      <w:pPr>
        <w:pStyle w:val="TableDash"/>
        <w:numPr>
          <w:ilvl w:val="0"/>
          <w:numId w:val="22"/>
        </w:numPr>
        <w:tabs>
          <w:tab w:val="clear" w:pos="680"/>
          <w:tab w:val="num" w:pos="851"/>
        </w:tabs>
        <w:ind w:left="851" w:hanging="425"/>
        <w:rPr>
          <w:sz w:val="22"/>
          <w:szCs w:val="22"/>
        </w:rPr>
      </w:pPr>
      <w:r>
        <w:rPr>
          <w:sz w:val="22"/>
          <w:szCs w:val="22"/>
        </w:rPr>
        <w:t>q</w:t>
      </w:r>
      <w:r w:rsidR="005B1BF0" w:rsidRPr="00E31CE7">
        <w:rPr>
          <w:sz w:val="22"/>
          <w:szCs w:val="22"/>
        </w:rPr>
        <w:t>uantify</w:t>
      </w:r>
      <w:r>
        <w:rPr>
          <w:sz w:val="22"/>
          <w:szCs w:val="22"/>
        </w:rPr>
        <w:t>ing</w:t>
      </w:r>
      <w:r w:rsidR="005B1BF0" w:rsidRPr="00E31CE7">
        <w:rPr>
          <w:sz w:val="22"/>
          <w:szCs w:val="22"/>
        </w:rPr>
        <w:t xml:space="preserve"> the costs and benefits, if possible </w:t>
      </w:r>
    </w:p>
    <w:p w14:paraId="57A15DBC" w14:textId="711DE75A" w:rsidR="005B1BF0" w:rsidRPr="00E31CE7" w:rsidRDefault="00BF6E70" w:rsidP="008C3B0C">
      <w:pPr>
        <w:pStyle w:val="TableDash"/>
        <w:numPr>
          <w:ilvl w:val="0"/>
          <w:numId w:val="22"/>
        </w:numPr>
        <w:tabs>
          <w:tab w:val="clear" w:pos="680"/>
          <w:tab w:val="num" w:pos="851"/>
        </w:tabs>
        <w:ind w:left="851" w:hanging="425"/>
        <w:rPr>
          <w:sz w:val="22"/>
          <w:szCs w:val="22"/>
        </w:rPr>
      </w:pPr>
      <w:r>
        <w:rPr>
          <w:sz w:val="22"/>
          <w:szCs w:val="22"/>
        </w:rPr>
        <w:t>m</w:t>
      </w:r>
      <w:r w:rsidR="005B1BF0" w:rsidRPr="00E31CE7">
        <w:rPr>
          <w:sz w:val="22"/>
          <w:szCs w:val="22"/>
        </w:rPr>
        <w:t>onetis</w:t>
      </w:r>
      <w:r>
        <w:rPr>
          <w:sz w:val="22"/>
          <w:szCs w:val="22"/>
        </w:rPr>
        <w:t>ing</w:t>
      </w:r>
      <w:r w:rsidR="005B1BF0" w:rsidRPr="00E31CE7">
        <w:rPr>
          <w:sz w:val="22"/>
          <w:szCs w:val="22"/>
        </w:rPr>
        <w:t xml:space="preserve"> the costs and benefits, if possible </w:t>
      </w:r>
    </w:p>
    <w:p w14:paraId="6495D49B" w14:textId="58AAD53F" w:rsidR="005B1BF0" w:rsidRPr="00E31CE7" w:rsidRDefault="00BF6E70" w:rsidP="008C3B0C">
      <w:pPr>
        <w:pStyle w:val="TableDash"/>
        <w:numPr>
          <w:ilvl w:val="0"/>
          <w:numId w:val="22"/>
        </w:numPr>
        <w:tabs>
          <w:tab w:val="clear" w:pos="680"/>
          <w:tab w:val="num" w:pos="851"/>
        </w:tabs>
        <w:ind w:left="851" w:hanging="425"/>
        <w:rPr>
          <w:sz w:val="22"/>
          <w:szCs w:val="22"/>
        </w:rPr>
      </w:pPr>
      <w:r>
        <w:rPr>
          <w:sz w:val="22"/>
          <w:szCs w:val="22"/>
        </w:rPr>
        <w:t>d</w:t>
      </w:r>
      <w:r w:rsidR="005B1BF0" w:rsidRPr="00E31CE7">
        <w:rPr>
          <w:sz w:val="22"/>
          <w:szCs w:val="22"/>
        </w:rPr>
        <w:t>ecid</w:t>
      </w:r>
      <w:r>
        <w:rPr>
          <w:sz w:val="22"/>
          <w:szCs w:val="22"/>
        </w:rPr>
        <w:t>ing</w:t>
      </w:r>
      <w:r w:rsidR="005B1BF0" w:rsidRPr="00E31CE7">
        <w:rPr>
          <w:sz w:val="22"/>
          <w:szCs w:val="22"/>
        </w:rPr>
        <w:t xml:space="preserve"> on the level of information certainty or sufficiency </w:t>
      </w:r>
    </w:p>
    <w:p w14:paraId="630A19F2" w14:textId="6B4EFCD7" w:rsidR="005B1BF0" w:rsidRPr="00E31CE7" w:rsidRDefault="00BF6E70" w:rsidP="008C3B0C">
      <w:pPr>
        <w:pStyle w:val="TableDash"/>
        <w:numPr>
          <w:ilvl w:val="0"/>
          <w:numId w:val="22"/>
        </w:numPr>
        <w:tabs>
          <w:tab w:val="clear" w:pos="680"/>
          <w:tab w:val="num" w:pos="851"/>
        </w:tabs>
        <w:ind w:left="851" w:hanging="425"/>
        <w:rPr>
          <w:sz w:val="22"/>
          <w:szCs w:val="22"/>
        </w:rPr>
      </w:pPr>
      <w:r>
        <w:rPr>
          <w:sz w:val="22"/>
          <w:szCs w:val="22"/>
        </w:rPr>
        <w:t>i</w:t>
      </w:r>
      <w:r w:rsidR="005B1BF0" w:rsidRPr="00E31CE7">
        <w:rPr>
          <w:sz w:val="22"/>
          <w:szCs w:val="22"/>
        </w:rPr>
        <w:t>dentify</w:t>
      </w:r>
      <w:r>
        <w:rPr>
          <w:sz w:val="22"/>
          <w:szCs w:val="22"/>
        </w:rPr>
        <w:t>ing</w:t>
      </w:r>
      <w:r w:rsidR="005B1BF0" w:rsidRPr="00E31CE7">
        <w:rPr>
          <w:sz w:val="22"/>
          <w:szCs w:val="22"/>
        </w:rPr>
        <w:t xml:space="preserve"> the risks of the options</w:t>
      </w:r>
    </w:p>
    <w:p w14:paraId="15923860" w14:textId="452DE4B9" w:rsidR="005B1BF0" w:rsidRPr="00E31CE7" w:rsidRDefault="00BF6E70" w:rsidP="00E81514">
      <w:pPr>
        <w:pStyle w:val="Bullet"/>
      </w:pPr>
      <w:r>
        <w:t>w</w:t>
      </w:r>
      <w:r w:rsidR="005B1BF0" w:rsidRPr="00E31CE7">
        <w:t>rit</w:t>
      </w:r>
      <w:r>
        <w:t>ing</w:t>
      </w:r>
      <w:r w:rsidR="005B1BF0" w:rsidRPr="00E31CE7">
        <w:t xml:space="preserve"> an evaluation report. A local authority must consider the s32 report to be of a sufficient quality before the plan change can be notified. </w:t>
      </w:r>
    </w:p>
    <w:p w14:paraId="25897E16" w14:textId="7795229A" w:rsidR="005B1BF0" w:rsidRPr="00E31CE7" w:rsidDel="00292767" w:rsidRDefault="005B1BF0" w:rsidP="008C3B0C">
      <w:pPr>
        <w:pStyle w:val="BodyText"/>
        <w:rPr>
          <w:rFonts w:eastAsiaTheme="majorEastAsia"/>
          <w:color w:val="32809C"/>
        </w:rPr>
      </w:pPr>
      <w:r w:rsidRPr="00E31CE7">
        <w:t xml:space="preserve">See the </w:t>
      </w:r>
      <w:hyperlink r:id="rId31" w:history="1">
        <w:r w:rsidRPr="00E31CE7">
          <w:rPr>
            <w:rStyle w:val="Hyperlink"/>
          </w:rPr>
          <w:t>Ministry for the Environment s32 guide</w:t>
        </w:r>
      </w:hyperlink>
      <w:r w:rsidRPr="00E31CE7">
        <w:t xml:space="preserve"> for more information</w:t>
      </w:r>
      <w:r w:rsidR="008C3B0C">
        <w:t>.</w:t>
      </w:r>
    </w:p>
    <w:p w14:paraId="26B6E936" w14:textId="77777777" w:rsidR="005B1BF0" w:rsidRPr="00E31CE7" w:rsidRDefault="005B1BF0" w:rsidP="00BA5DA6">
      <w:pPr>
        <w:pStyle w:val="Heading4"/>
      </w:pPr>
      <w:r w:rsidRPr="00E31CE7">
        <w:t xml:space="preserve">Resource and financial costs </w:t>
      </w:r>
    </w:p>
    <w:p w14:paraId="50DA7DF0" w14:textId="77777777" w:rsidR="005B1BF0" w:rsidRPr="00E31CE7" w:rsidRDefault="005B1BF0" w:rsidP="008C3B0C">
      <w:pPr>
        <w:pStyle w:val="BodyText"/>
      </w:pPr>
      <w:r w:rsidRPr="00E31CE7">
        <w:t>Costs vary and include:</w:t>
      </w:r>
    </w:p>
    <w:p w14:paraId="691E47A9" w14:textId="77777777" w:rsidR="005B1BF0" w:rsidRPr="00E81514" w:rsidRDefault="005B1BF0" w:rsidP="008879C7">
      <w:pPr>
        <w:pStyle w:val="Bullet"/>
        <w:ind w:left="425" w:hanging="425"/>
      </w:pPr>
      <w:r w:rsidRPr="00E81514">
        <w:t xml:space="preserve">plan change request fees (may range between $10,000 and $30,000) </w:t>
      </w:r>
    </w:p>
    <w:p w14:paraId="49B018AD" w14:textId="77777777" w:rsidR="005B1BF0" w:rsidRPr="00E81514" w:rsidRDefault="005B1BF0" w:rsidP="008879C7">
      <w:pPr>
        <w:pStyle w:val="Bullet"/>
        <w:ind w:left="425" w:hanging="425"/>
      </w:pPr>
      <w:r w:rsidRPr="00E81514">
        <w:t>professional/consultant fees</w:t>
      </w:r>
    </w:p>
    <w:p w14:paraId="03AF8F7A" w14:textId="77777777" w:rsidR="005B1BF0" w:rsidRPr="00E81514" w:rsidRDefault="005B1BF0" w:rsidP="008879C7">
      <w:pPr>
        <w:pStyle w:val="Bullet"/>
        <w:ind w:left="425" w:hanging="425"/>
      </w:pPr>
      <w:r w:rsidRPr="00E81514">
        <w:t>hearing costs.</w:t>
      </w:r>
    </w:p>
    <w:p w14:paraId="011FDAA5" w14:textId="77777777" w:rsidR="005B1BF0" w:rsidRPr="00E31CE7" w:rsidRDefault="005B1BF0" w:rsidP="00BA5DA6">
      <w:pPr>
        <w:pStyle w:val="Heading4"/>
      </w:pPr>
      <w:r w:rsidRPr="00E31CE7">
        <w:t>Timeframes</w:t>
      </w:r>
    </w:p>
    <w:p w14:paraId="116A6276" w14:textId="77777777" w:rsidR="005B1BF0" w:rsidRPr="00E31CE7" w:rsidRDefault="005B1BF0" w:rsidP="008C3B0C">
      <w:pPr>
        <w:pStyle w:val="BodyText"/>
      </w:pPr>
      <w:r w:rsidRPr="00E31CE7">
        <w:t xml:space="preserve">Timeframes will depend on whether the plan change is council-led or private. Allowing for appeals, it may take up to two years or more before the rezone takes effect. </w:t>
      </w:r>
    </w:p>
    <w:p w14:paraId="39500A81" w14:textId="77777777" w:rsidR="005B1BF0" w:rsidRPr="00E31CE7" w:rsidRDefault="005B1BF0" w:rsidP="00970C68">
      <w:pPr>
        <w:pStyle w:val="Heading4"/>
        <w:spacing w:after="240"/>
      </w:pPr>
      <w:r w:rsidRPr="00E31CE7">
        <w:t>Further information and support</w:t>
      </w:r>
    </w:p>
    <w:p w14:paraId="4EAFD533" w14:textId="6B3660F0" w:rsidR="005B1BF0" w:rsidRPr="00E31CE7" w:rsidRDefault="005B1BF0" w:rsidP="008C3B0C">
      <w:pPr>
        <w:pStyle w:val="TableBullet"/>
        <w:rPr>
          <w:rStyle w:val="Hyperlink"/>
          <w:sz w:val="22"/>
          <w:szCs w:val="22"/>
        </w:rPr>
      </w:pPr>
      <w:r w:rsidRPr="00E31CE7">
        <w:rPr>
          <w:rFonts w:eastAsiaTheme="majorEastAsia"/>
        </w:rPr>
        <w:fldChar w:fldCharType="begin"/>
      </w:r>
      <w:r w:rsidRPr="00E31CE7">
        <w:rPr>
          <w:rFonts w:eastAsiaTheme="majorEastAsia"/>
        </w:rPr>
        <w:instrText xml:space="preserve"> HYPERLINK "https://environment.govt.nz/publications/whakamau-ki-nga-kaupapa-making-the-best-of-iwi-management-plans-under-the-resource-management-act-1991/" </w:instrText>
      </w:r>
      <w:r w:rsidRPr="00E31CE7">
        <w:rPr>
          <w:rFonts w:eastAsiaTheme="majorEastAsia"/>
        </w:rPr>
      </w:r>
      <w:r w:rsidRPr="00E31CE7">
        <w:rPr>
          <w:rFonts w:eastAsiaTheme="majorEastAsia"/>
        </w:rPr>
        <w:fldChar w:fldCharType="separate"/>
      </w:r>
      <w:proofErr w:type="spellStart"/>
      <w:r w:rsidRPr="00E31CE7">
        <w:rPr>
          <w:rStyle w:val="Hyperlink"/>
          <w:rFonts w:eastAsiaTheme="majorEastAsia"/>
          <w:sz w:val="22"/>
          <w:szCs w:val="22"/>
        </w:rPr>
        <w:t>Whakamau</w:t>
      </w:r>
      <w:proofErr w:type="spellEnd"/>
      <w:r w:rsidRPr="00E31CE7">
        <w:rPr>
          <w:rStyle w:val="Hyperlink"/>
          <w:rFonts w:eastAsiaTheme="majorEastAsia"/>
          <w:sz w:val="22"/>
          <w:szCs w:val="22"/>
        </w:rPr>
        <w:t xml:space="preserve"> ki Nga Kaupapa </w:t>
      </w:r>
      <w:r w:rsidR="00BA5DA6">
        <w:rPr>
          <w:rStyle w:val="Hyperlink"/>
          <w:rFonts w:eastAsiaTheme="majorEastAsia"/>
          <w:sz w:val="22"/>
          <w:szCs w:val="22"/>
        </w:rPr>
        <w:t>—</w:t>
      </w:r>
      <w:r w:rsidRPr="00E31CE7">
        <w:rPr>
          <w:rStyle w:val="Hyperlink"/>
          <w:rFonts w:eastAsiaTheme="majorEastAsia"/>
          <w:sz w:val="22"/>
          <w:szCs w:val="22"/>
        </w:rPr>
        <w:t xml:space="preserve"> Making the best of iwi management plans under the Resource Management Act 1991 | Ministry for the Environment</w:t>
      </w:r>
    </w:p>
    <w:p w14:paraId="4A92D34D" w14:textId="35F897DD" w:rsidR="005B1BF0" w:rsidRPr="00E31CE7" w:rsidRDefault="005B1BF0" w:rsidP="008C3B0C">
      <w:pPr>
        <w:pStyle w:val="TableBullet"/>
        <w:rPr>
          <w:rStyle w:val="Hyperlink"/>
          <w:rFonts w:eastAsiaTheme="majorEastAsia"/>
          <w:sz w:val="22"/>
          <w:szCs w:val="22"/>
        </w:rPr>
      </w:pPr>
      <w:r w:rsidRPr="00E31CE7">
        <w:rPr>
          <w:rFonts w:eastAsiaTheme="majorEastAsia"/>
        </w:rPr>
        <w:fldChar w:fldCharType="end"/>
      </w:r>
      <w:hyperlink r:id="rId32" w:history="1">
        <w:r w:rsidRPr="00E31CE7">
          <w:rPr>
            <w:rStyle w:val="Hyperlink"/>
            <w:rFonts w:eastAsiaTheme="majorEastAsia"/>
            <w:sz w:val="22"/>
            <w:szCs w:val="22"/>
          </w:rPr>
          <w:t>What is an iwi Management Plan? | Quality Planning</w:t>
        </w:r>
      </w:hyperlink>
    </w:p>
    <w:p w14:paraId="7DC11FA3" w14:textId="4C960C85" w:rsidR="005B1BF0" w:rsidRPr="00E31CE7" w:rsidRDefault="008879C7" w:rsidP="008C3B0C">
      <w:pPr>
        <w:pStyle w:val="TableBullet"/>
        <w:rPr>
          <w:rStyle w:val="Hyperlink"/>
          <w:rFonts w:eastAsiaTheme="majorEastAsia"/>
          <w:sz w:val="22"/>
          <w:szCs w:val="22"/>
        </w:rPr>
      </w:pPr>
      <w:hyperlink r:id="rId33" w:history="1">
        <w:r w:rsidR="005B1BF0" w:rsidRPr="00E31CE7">
          <w:rPr>
            <w:rStyle w:val="Hyperlink"/>
            <w:rFonts w:eastAsiaTheme="majorEastAsia"/>
            <w:sz w:val="22"/>
            <w:szCs w:val="22"/>
          </w:rPr>
          <w:t>Guidelines for engagement with Māori</w:t>
        </w:r>
      </w:hyperlink>
      <w:r w:rsidR="005B1BF0" w:rsidRPr="00E31CE7">
        <w:rPr>
          <w:rStyle w:val="Hyperlink"/>
          <w:rFonts w:eastAsiaTheme="majorEastAsia"/>
          <w:color w:val="auto"/>
          <w:sz w:val="22"/>
          <w:szCs w:val="22"/>
        </w:rPr>
        <w:t xml:space="preserve"> </w:t>
      </w:r>
      <w:r w:rsidR="005B1BF0" w:rsidRPr="00E31CE7">
        <w:rPr>
          <w:rStyle w:val="Hyperlink"/>
          <w:rFonts w:eastAsiaTheme="majorEastAsia"/>
          <w:sz w:val="22"/>
          <w:szCs w:val="22"/>
        </w:rPr>
        <w:t>| tearawhiti.govt.nz</w:t>
      </w:r>
    </w:p>
    <w:p w14:paraId="2AF012E2" w14:textId="34ECEED2" w:rsidR="00FA0C86" w:rsidRDefault="008879C7" w:rsidP="00D1660E">
      <w:pPr>
        <w:pStyle w:val="TableBullet"/>
      </w:pPr>
      <w:hyperlink r:id="rId34" w:history="1">
        <w:r w:rsidR="005B1BF0" w:rsidRPr="000D4DBD">
          <w:rPr>
            <w:rStyle w:val="Hyperlink"/>
            <w:rFonts w:eastAsiaTheme="majorEastAsia"/>
            <w:sz w:val="22"/>
            <w:szCs w:val="22"/>
          </w:rPr>
          <w:t>Council-Māori Participation Arrangements</w:t>
        </w:r>
      </w:hyperlink>
      <w:r w:rsidR="00ED27D8">
        <w:rPr>
          <w:noProof/>
        </w:rPr>
        <mc:AlternateContent>
          <mc:Choice Requires="wps">
            <w:drawing>
              <wp:anchor distT="0" distB="0" distL="114300" distR="114300" simplePos="0" relativeHeight="251658243" behindDoc="0" locked="1" layoutInCell="1" allowOverlap="1" wp14:anchorId="297AB05E" wp14:editId="3CCFCC59">
                <wp:simplePos x="0" y="0"/>
                <wp:positionH relativeFrom="margin">
                  <wp:align>left</wp:align>
                </wp:positionH>
                <wp:positionV relativeFrom="bottomMargin">
                  <wp:posOffset>95250</wp:posOffset>
                </wp:positionV>
                <wp:extent cx="5835650" cy="7429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835650" cy="7429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ED27D8" w14:paraId="200B7E54"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089EFEE5" w14:textId="3CC89DE1" w:rsidR="00ED27D8" w:rsidRDefault="00ED27D8" w:rsidP="003A6769">
                                  <w:pPr>
                                    <w:pStyle w:val="TableText"/>
                                  </w:pPr>
                                  <w:r w:rsidRPr="006C18C8">
                                    <w:t xml:space="preserve">Published in </w:t>
                                  </w:r>
                                  <w:r>
                                    <w:t>December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DD5B2D">
                                    <w:t>1127</w:t>
                                  </w:r>
                                </w:p>
                              </w:tc>
                              <w:tc>
                                <w:tcPr>
                                  <w:tcW w:w="3588" w:type="dxa"/>
                                  <w:shd w:val="clear" w:color="auto" w:fill="FFFFFF" w:themeFill="background1"/>
                                  <w:tcMar>
                                    <w:left w:w="0" w:type="dxa"/>
                                    <w:right w:w="0" w:type="dxa"/>
                                  </w:tcMar>
                                  <w:vAlign w:val="bottom"/>
                                </w:tcPr>
                                <w:p w14:paraId="56A5571B" w14:textId="77777777" w:rsidR="00ED27D8" w:rsidRDefault="00ED27D8" w:rsidP="00E57601">
                                  <w:pPr>
                                    <w:pStyle w:val="Footer"/>
                                    <w:jc w:val="right"/>
                                  </w:pPr>
                                  <w:r>
                                    <w:rPr>
                                      <w:noProof/>
                                    </w:rPr>
                                    <w:drawing>
                                      <wp:inline distT="0" distB="0" distL="0" distR="0" wp14:anchorId="5C2A4A99" wp14:editId="5D7CB8B4">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3FA15FC" w14:textId="77777777" w:rsidR="00ED27D8" w:rsidRPr="00C82C4B" w:rsidRDefault="00ED27D8" w:rsidP="00ED27D8">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B05E" id="Text Box 5" o:spid="_x0000_s1028" type="#_x0000_t202" style="position:absolute;left:0;text-align:left;margin-left:0;margin-top:7.5pt;width:459.5pt;height:58.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pKgIAAHMEAAAOAAAAZHJzL2Uyb0RvYy54bWysVFFv2jAQfp+0/2D5fQToYB0iVIyKaVLV&#10;VqJTn43jEEuOzzsbEvbrd3YIdF2lSdNenLPv/Pnuu+8yv2lrww4KvQab89FgyJmyEgptdzn//rT+&#10;cM2ZD8IWwoBVOT8qz28W79/NGzdTY6jAFAoZgVg/a1zOqxDcLMu8rFQt/ACcsuQsAWsRaIu7rEDR&#10;EHptsvFwOM0awMIhSOU9nd52Tr5I+GWpZHgoS68CMzmn3EJaMa3buGaLuZjtULhKy1Ma4h+yqIW2&#10;9OgZ6lYEwfao/4CqtUTwUIaBhDqDstRSpRqomtHwVTWbSjiVaiFyvDvT5P8frLw/bNwjstB+gZYa&#10;GAlpnJ95Ooz1tCXW8UuZMvIThcczbaoNTNLh5PpqMp2QS5Lv08fxZ7IJJrvcdujDVwU1i0bOkdqS&#10;2BKHOx+60D4kPubB6GKtjUmbKAW1MsgOgppoQsqRwH+LMpY1OZ9e0dN/Q9ju3kAgPGMp50vt0Qrt&#10;tmW6yPm452ULxZHoQuiU5J1ca6rpTvjwKJCkQzTQOIQHWkoDlBOcLM4qwJ9vncd46ih5OWtIijn3&#10;P/YCFWfmm6VeR932BvbGtjfsvl4BETOiQXMymXQBg+nNEqF+pilZxlfIJaykt3IeenMVuoGgKZNq&#10;uUxBpE4nwp3dOBmhI6exQ0/ts0B3amMgAdxDL1Ixe9XNLjbetLDcByh1anXktWPxRDcpO4nlNIVx&#10;dF7uU9TlX7H4BQAA//8DAFBLAwQUAAYACAAAACEAIZYlRd0AAAAHAQAADwAAAGRycy9kb3ducmV2&#10;LnhtbEyP3U7DMAyF75F4h8hI3LFkQ2ysazqhwjSkiQvGHsBr3B+tSaoma8vbY67gyvY51vHndDvZ&#10;VgzUh8Y7DfOZAkGu8KZxlYbT1+7hGUSI6Ay23pGGbwqwzW5vUkyMH90nDcdYCQ5xIUENdYxdImUo&#10;arIYZr4jx17pe4uRx76SpseRw20rF0otpcXG8YUaO8prKi7Hq9XwvtqXHyo/ve3y/WEsV3752gyo&#10;9f3d9LIBEWmKf8vwi8/okDHT2V+dCaLVwI9EVp+4sruer7k5s/C4UCCzVP7nz34AAAD//wMAUEsB&#10;Ai0AFAAGAAgAAAAhALaDOJL+AAAA4QEAABMAAAAAAAAAAAAAAAAAAAAAAFtDb250ZW50X1R5cGVz&#10;XS54bWxQSwECLQAUAAYACAAAACEAOP0h/9YAAACUAQAACwAAAAAAAAAAAAAAAAAvAQAAX3JlbHMv&#10;LnJlbHNQSwECLQAUAAYACAAAACEATKvrqSoCAABzBAAADgAAAAAAAAAAAAAAAAAuAgAAZHJzL2Uy&#10;b0RvYy54bWxQSwECLQAUAAYACAAAACEAIZYlRd0AAAAHAQAADwAAAAAAAAAAAAAAAACEBAAAZHJz&#10;L2Rvd25yZXYueG1sUEsFBgAAAAAEAAQA8wAAAI4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ED27D8" w14:paraId="200B7E54"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089EFEE5" w14:textId="3CC89DE1" w:rsidR="00ED27D8" w:rsidRDefault="00ED27D8" w:rsidP="003A6769">
                            <w:pPr>
                              <w:pStyle w:val="TableText"/>
                            </w:pPr>
                            <w:r w:rsidRPr="006C18C8">
                              <w:t xml:space="preserve">Published in </w:t>
                            </w:r>
                            <w:r>
                              <w:t>December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DD5B2D">
                              <w:t>1127</w:t>
                            </w:r>
                          </w:p>
                        </w:tc>
                        <w:tc>
                          <w:tcPr>
                            <w:tcW w:w="3588" w:type="dxa"/>
                            <w:shd w:val="clear" w:color="auto" w:fill="FFFFFF" w:themeFill="background1"/>
                            <w:tcMar>
                              <w:left w:w="0" w:type="dxa"/>
                              <w:right w:w="0" w:type="dxa"/>
                            </w:tcMar>
                            <w:vAlign w:val="bottom"/>
                          </w:tcPr>
                          <w:p w14:paraId="56A5571B" w14:textId="77777777" w:rsidR="00ED27D8" w:rsidRDefault="00ED27D8" w:rsidP="00E57601">
                            <w:pPr>
                              <w:pStyle w:val="Footer"/>
                              <w:jc w:val="right"/>
                            </w:pPr>
                            <w:r>
                              <w:rPr>
                                <w:noProof/>
                              </w:rPr>
                              <w:drawing>
                                <wp:inline distT="0" distB="0" distL="0" distR="0" wp14:anchorId="5C2A4A99" wp14:editId="5D7CB8B4">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3FA15FC" w14:textId="77777777" w:rsidR="00ED27D8" w:rsidRPr="00C82C4B" w:rsidRDefault="00ED27D8" w:rsidP="00ED27D8">
                      <w:pPr>
                        <w:pStyle w:val="BodyText"/>
                        <w:spacing w:before="0" w:after="0" w:line="240" w:lineRule="auto"/>
                        <w:rPr>
                          <w:sz w:val="16"/>
                          <w:szCs w:val="16"/>
                        </w:rPr>
                      </w:pPr>
                    </w:p>
                  </w:txbxContent>
                </v:textbox>
                <w10:wrap anchorx="margin" anchory="margin"/>
                <w10:anchorlock/>
              </v:shape>
            </w:pict>
          </mc:Fallback>
        </mc:AlternateContent>
      </w:r>
      <w:r w:rsidR="006239DF">
        <w:rPr>
          <w:noProof/>
        </w:rPr>
        <mc:AlternateContent>
          <mc:Choice Requires="wps">
            <w:drawing>
              <wp:anchor distT="0" distB="0" distL="114300" distR="114300" simplePos="0" relativeHeight="251658241" behindDoc="0" locked="1" layoutInCell="1" allowOverlap="1" wp14:anchorId="5329EA0B" wp14:editId="20C2A3F3">
                <wp:simplePos x="0" y="0"/>
                <wp:positionH relativeFrom="margin">
                  <wp:align>left</wp:align>
                </wp:positionH>
                <wp:positionV relativeFrom="bottomMargin">
                  <wp:posOffset>1209675</wp:posOffset>
                </wp:positionV>
                <wp:extent cx="5835650" cy="7429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835650" cy="7429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2DD65C6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0C8B41C" w14:textId="7211C58D" w:rsidR="006239DF" w:rsidRDefault="006239DF" w:rsidP="003A6769">
                                  <w:pPr>
                                    <w:pStyle w:val="TableText"/>
                                  </w:pPr>
                                  <w:r w:rsidRPr="006C18C8">
                                    <w:t xml:space="preserve">Published in </w:t>
                                  </w:r>
                                  <w:r w:rsidR="00F97CFB">
                                    <w:t>September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F97CFB">
                                    <w:t>1093</w:t>
                                  </w:r>
                                </w:p>
                              </w:tc>
                              <w:tc>
                                <w:tcPr>
                                  <w:tcW w:w="3588" w:type="dxa"/>
                                  <w:shd w:val="clear" w:color="auto" w:fill="FFFFFF" w:themeFill="background1"/>
                                  <w:tcMar>
                                    <w:left w:w="0" w:type="dxa"/>
                                    <w:right w:w="0" w:type="dxa"/>
                                  </w:tcMar>
                                  <w:vAlign w:val="bottom"/>
                                </w:tcPr>
                                <w:p w14:paraId="4EB26B97" w14:textId="77777777" w:rsidR="006239DF" w:rsidRDefault="006239DF" w:rsidP="00E57601">
                                  <w:pPr>
                                    <w:pStyle w:val="Footer"/>
                                    <w:jc w:val="right"/>
                                  </w:pPr>
                                  <w:r>
                                    <w:rPr>
                                      <w:noProof/>
                                    </w:rPr>
                                    <w:drawing>
                                      <wp:inline distT="0" distB="0" distL="0" distR="0" wp14:anchorId="7848704D" wp14:editId="0E091F8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A34EAF"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EA0B" id="Text Box 1" o:spid="_x0000_s1029" type="#_x0000_t202" style="position:absolute;left:0;text-align:left;margin-left:0;margin-top:95.25pt;width:459.5pt;height:5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MKwIAAHMEAAAOAAAAZHJzL2Uyb0RvYy54bWysVN9v2yAQfp+0/wHxvjg/lqyz4lRZqkyT&#10;orZSOvWZYIiRMMeAxM7++h04Trqu0qRpL/jgjo+7777z/LatNTkK5xWYgo4GQ0qE4VAqsy/o96f1&#10;hxtKfGCmZBqMKOhJeHq7eP9u3thcjKECXQpHEMT4vLEFrUKweZZ5Xoma+QFYYdApwdUs4Nbts9Kx&#10;BtFrnY2Hw1nWgCutAy68x9O7zkkXCV9KwcODlF4EoguKuYW0urTu4pot5izfO2Yrxc9psH/IombK&#10;4KMXqDsWGDk49QdUrbgDDzIMONQZSKm4SDVgNaPhq2q2FbMi1YLkeHuhyf8/WH5/3NpHR0L7BVps&#10;YCSksT73eBjraaWr4xczJehHCk8X2kQbCMfD6c1kOpuii6Pv08fxZ7QRJrvets6HrwJqEo2COmxL&#10;YosdNz50oX1IfMyDVuVaaZ02UQpipR05MmyiDilHBP8tShvSFHQ2waf/hrDbv4GAeNpgztfaoxXa&#10;XUtUWdBJz8sOyhPS5aBTkrd8rbCmDfPhkTmUDtKA4xAecJEaMCc4W5RU4H6+dR7jsaPopaRBKRbU&#10;/zgwJyjR3wz2Ouq2N1xv7HrDHOoVIDEjHDTLk4kXXNC9KR3Uzzgly/gKupjh+FZBQ2+uQjcQOGVc&#10;LJcpCNVpWdiYreUROnIaO/TUPjNnz20MKIB76EXK8lfd7GLjTQPLQwCpUqsjrx2LZ7pR2Uks5ymM&#10;o/Nyn6Ku/4rFLwAAAP//AwBQSwMEFAAGAAgAAAAhAOdjdTfeAAAACAEAAA8AAABkcnMvZG93bnJl&#10;di54bWxMj81OwzAQhO9IvIO1SNyoDagNTeNUKFAVCXGg7QNs482PiO0odpPw9iwnuO3ujGa/ybaz&#10;7cRIQ2i903C/UCDIld60rtZwOu7unkCEiM5g5x1p+KYA2/z6KsPU+Ml90niIteAQF1LU0MTYp1KG&#10;siGLYeF7cqxVfrAYeR1qaQacONx28kGplbTYOv7QYE9FQ+XX4WI1vCX76kMVp9ddsX+fqsSvXtoR&#10;tb69mZ83ICLN8c8Mv/iMDjkznf3FmSA6DVwk8nWtliBYXvME4qzhUSVLkHkm/xfIfwAAAP//AwBQ&#10;SwECLQAUAAYACAAAACEAtoM4kv4AAADhAQAAEwAAAAAAAAAAAAAAAAAAAAAAW0NvbnRlbnRfVHlw&#10;ZXNdLnhtbFBLAQItABQABgAIAAAAIQA4/SH/1gAAAJQBAAALAAAAAAAAAAAAAAAAAC8BAABfcmVs&#10;cy8ucmVsc1BLAQItABQABgAIAAAAIQDNDM+MKwIAAHMEAAAOAAAAAAAAAAAAAAAAAC4CAABkcnMv&#10;ZTJvRG9jLnhtbFBLAQItABQABgAIAAAAIQDnY3U33gAAAAgBAAAPAAAAAAAAAAAAAAAAAIU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2DD65C6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0C8B41C" w14:textId="7211C58D" w:rsidR="006239DF" w:rsidRDefault="006239DF" w:rsidP="003A6769">
                            <w:pPr>
                              <w:pStyle w:val="TableText"/>
                            </w:pPr>
                            <w:r w:rsidRPr="006C18C8">
                              <w:t xml:space="preserve">Published in </w:t>
                            </w:r>
                            <w:r w:rsidR="00F97CFB">
                              <w:t>September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F97CFB">
                              <w:t>1093</w:t>
                            </w:r>
                          </w:p>
                        </w:tc>
                        <w:tc>
                          <w:tcPr>
                            <w:tcW w:w="3588" w:type="dxa"/>
                            <w:shd w:val="clear" w:color="auto" w:fill="FFFFFF" w:themeFill="background1"/>
                            <w:tcMar>
                              <w:left w:w="0" w:type="dxa"/>
                              <w:right w:w="0" w:type="dxa"/>
                            </w:tcMar>
                            <w:vAlign w:val="bottom"/>
                          </w:tcPr>
                          <w:p w14:paraId="4EB26B97" w14:textId="77777777" w:rsidR="006239DF" w:rsidRDefault="006239DF" w:rsidP="00E57601">
                            <w:pPr>
                              <w:pStyle w:val="Footer"/>
                              <w:jc w:val="right"/>
                            </w:pPr>
                            <w:r>
                              <w:rPr>
                                <w:noProof/>
                              </w:rPr>
                              <w:drawing>
                                <wp:inline distT="0" distB="0" distL="0" distR="0" wp14:anchorId="7848704D" wp14:editId="0E091F8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A34EAF" w14:textId="77777777" w:rsidR="006239DF" w:rsidRPr="00C82C4B" w:rsidRDefault="006239DF" w:rsidP="006239DF">
                      <w:pPr>
                        <w:pStyle w:val="BodyText"/>
                        <w:spacing w:before="0" w:after="0" w:line="240" w:lineRule="auto"/>
                        <w:rPr>
                          <w:sz w:val="16"/>
                          <w:szCs w:val="16"/>
                        </w:rPr>
                      </w:pPr>
                    </w:p>
                  </w:txbxContent>
                </v:textbox>
                <w10:wrap anchorx="margin" anchory="margin"/>
                <w10:anchorlock/>
              </v:shape>
            </w:pict>
          </mc:Fallback>
        </mc:AlternateContent>
      </w:r>
    </w:p>
    <w:sectPr w:rsidR="00FA0C86" w:rsidSect="009A65CD">
      <w:footerReference w:type="even" r:id="rId36"/>
      <w:footerReference w:type="default" r:id="rId37"/>
      <w:footerReference w:type="first" r:id="rId38"/>
      <w:pgSz w:w="11907" w:h="16840" w:code="9"/>
      <w:pgMar w:top="1134" w:right="1588" w:bottom="1701" w:left="158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190C" w14:textId="77777777" w:rsidR="00032DD2" w:rsidRDefault="00032DD2" w:rsidP="0080531E">
      <w:pPr>
        <w:spacing w:before="0" w:after="0" w:line="240" w:lineRule="auto"/>
      </w:pPr>
      <w:r>
        <w:separator/>
      </w:r>
    </w:p>
    <w:p w14:paraId="6257B0A2" w14:textId="77777777" w:rsidR="00032DD2" w:rsidRDefault="00032DD2"/>
  </w:endnote>
  <w:endnote w:type="continuationSeparator" w:id="0">
    <w:p w14:paraId="3F2FDC55" w14:textId="77777777" w:rsidR="00032DD2" w:rsidRDefault="00032DD2" w:rsidP="0080531E">
      <w:pPr>
        <w:spacing w:before="0" w:after="0" w:line="240" w:lineRule="auto"/>
      </w:pPr>
      <w:r>
        <w:continuationSeparator/>
      </w:r>
    </w:p>
    <w:p w14:paraId="2A248F02" w14:textId="77777777" w:rsidR="00032DD2" w:rsidRDefault="00032DD2"/>
  </w:endnote>
  <w:endnote w:type="continuationNotice" w:id="1">
    <w:p w14:paraId="2564DD6A" w14:textId="77777777" w:rsidR="00032DD2" w:rsidRDefault="00032D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F9C7" w14:textId="4B04B307" w:rsidR="00872828" w:rsidRPr="00BE4098" w:rsidRDefault="00872828" w:rsidP="00BE2C0F">
    <w:pPr>
      <w:pStyle w:val="Footereven"/>
      <w:ind w:left="567" w:hanging="567"/>
    </w:pPr>
    <w:r>
      <w:fldChar w:fldCharType="begin"/>
    </w:r>
    <w:r>
      <w:instrText xml:space="preserve"> PAGE   \* MERGEFORMAT </w:instrText>
    </w:r>
    <w:r>
      <w:fldChar w:fldCharType="separate"/>
    </w:r>
    <w:r>
      <w:rPr>
        <w:noProof/>
      </w:rPr>
      <w:t>1</w:t>
    </w:r>
    <w:r>
      <w:rPr>
        <w:noProof/>
      </w:rPr>
      <w:fldChar w:fldCharType="end"/>
    </w:r>
    <w:r>
      <w:rPr>
        <w:noProof/>
      </w:rPr>
      <w:tab/>
    </w:r>
    <w:r w:rsidR="00BE2C0F">
      <w:t xml:space="preserve">NPS-HPL: </w:t>
    </w:r>
    <w:r w:rsidR="0030695B">
      <w:t>Information</w:t>
    </w:r>
    <w:r w:rsidR="00BE2C0F">
      <w:t xml:space="preserve"> on changing the status of Māori and rezoning </w:t>
    </w:r>
    <w:r w:rsidR="00E25BC1">
      <w:t xml:space="preserve">land </w:t>
    </w:r>
    <w:r w:rsidR="00BE2C0F">
      <w:t xml:space="preserve">to Māori </w:t>
    </w:r>
    <w:r w:rsidR="00E25BC1">
      <w:t>purpose zone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398" w14:textId="77777777" w:rsidR="009D6B41" w:rsidRDefault="009D6B41" w:rsidP="009D6B41">
    <w:pPr>
      <w:pStyle w:val="Footerodd"/>
    </w:pPr>
    <w:r>
      <w:tab/>
    </w:r>
    <w:r>
      <w:tab/>
    </w:r>
  </w:p>
  <w:p w14:paraId="2AB8F89D" w14:textId="0E5503B7" w:rsidR="006C18C8" w:rsidRPr="003A6769" w:rsidRDefault="00BE2C0F" w:rsidP="00BE2C0F">
    <w:pPr>
      <w:pStyle w:val="Footereven"/>
      <w:ind w:left="567" w:hanging="567"/>
    </w:pPr>
    <w:r>
      <w:fldChar w:fldCharType="begin"/>
    </w:r>
    <w:r>
      <w:instrText xml:space="preserve"> PAGE   \* MERGEFORMAT </w:instrText>
    </w:r>
    <w:r>
      <w:fldChar w:fldCharType="separate"/>
    </w:r>
    <w:r>
      <w:t>2</w:t>
    </w:r>
    <w:r>
      <w:rPr>
        <w:noProof/>
      </w:rPr>
      <w:fldChar w:fldCharType="end"/>
    </w:r>
    <w:r>
      <w:rPr>
        <w:noProof/>
      </w:rPr>
      <w:tab/>
    </w:r>
    <w:r>
      <w:t xml:space="preserve">NPS-HPL: </w:t>
    </w:r>
    <w:r w:rsidR="0030695B">
      <w:t>Information</w:t>
    </w:r>
    <w:r>
      <w:t xml:space="preserve"> on changing the status of Māori and rezoning </w:t>
    </w:r>
    <w:r w:rsidR="00E25BC1">
      <w:t xml:space="preserve">land </w:t>
    </w:r>
    <w:r>
      <w:t xml:space="preserve">to Māori </w:t>
    </w:r>
    <w:r w:rsidR="00E25BC1">
      <w:t>purpose zone</w:t>
    </w:r>
    <w:r w:rsidR="009D6B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E130" w14:textId="6E7C33BB" w:rsidR="0085118C" w:rsidRDefault="0085118C" w:rsidP="00BE2C0F">
    <w:pPr>
      <w:pStyle w:val="Footereven"/>
      <w:ind w:left="794" w:hanging="794"/>
    </w:pPr>
    <w:r>
      <w:tab/>
    </w:r>
    <w:r w:rsidR="00BE2C0F">
      <w:fldChar w:fldCharType="begin"/>
    </w:r>
    <w:r w:rsidR="00BE2C0F">
      <w:instrText xml:space="preserve"> PAGE   \* MERGEFORMAT </w:instrText>
    </w:r>
    <w:r w:rsidR="00BE2C0F">
      <w:fldChar w:fldCharType="separate"/>
    </w:r>
    <w:r w:rsidR="00BE2C0F">
      <w:t>2</w:t>
    </w:r>
    <w:r w:rsidR="00BE2C0F">
      <w:rPr>
        <w:noProof/>
      </w:rPr>
      <w:fldChar w:fldCharType="end"/>
    </w:r>
    <w:r w:rsidR="00BE2C0F">
      <w:rPr>
        <w:noProof/>
      </w:rPr>
      <w:tab/>
    </w:r>
    <w:r w:rsidR="00BE2C0F">
      <w:t xml:space="preserve">NPS-HPL: </w:t>
    </w:r>
    <w:r w:rsidR="0030695B">
      <w:t>Information</w:t>
    </w:r>
    <w:r w:rsidR="00BE2C0F">
      <w:t xml:space="preserve"> on changing the status of Māori </w:t>
    </w:r>
    <w:r w:rsidR="000E4FA6">
      <w:t xml:space="preserve">land </w:t>
    </w:r>
    <w:r w:rsidR="00BE2C0F">
      <w:t xml:space="preserve">and rezoning land to Māori </w:t>
    </w:r>
    <w:r w:rsidR="001E6916">
      <w:t>p</w:t>
    </w:r>
    <w:r w:rsidR="00BE2C0F">
      <w:t xml:space="preserve">urpose </w:t>
    </w:r>
    <w:r w:rsidR="001E6916">
      <w:t>z</w:t>
    </w:r>
    <w:r w:rsidR="00BE2C0F">
      <w:t>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B32E" w14:textId="77777777" w:rsidR="00032DD2" w:rsidRDefault="00032DD2" w:rsidP="00CB5C5F">
      <w:pPr>
        <w:spacing w:before="0" w:after="80" w:line="240" w:lineRule="auto"/>
      </w:pPr>
      <w:bookmarkStart w:id="0" w:name="_Hlk86912439"/>
      <w:bookmarkEnd w:id="0"/>
      <w:r>
        <w:separator/>
      </w:r>
    </w:p>
  </w:footnote>
  <w:footnote w:type="continuationSeparator" w:id="0">
    <w:p w14:paraId="2A637681" w14:textId="77777777" w:rsidR="00032DD2" w:rsidRDefault="00032DD2" w:rsidP="0080531E">
      <w:pPr>
        <w:spacing w:before="0" w:after="0" w:line="240" w:lineRule="auto"/>
      </w:pPr>
      <w:r>
        <w:continuationSeparator/>
      </w:r>
    </w:p>
    <w:p w14:paraId="44C5F134" w14:textId="77777777" w:rsidR="00032DD2" w:rsidRDefault="00032DD2"/>
  </w:footnote>
  <w:footnote w:type="continuationNotice" w:id="1">
    <w:p w14:paraId="740F9C53" w14:textId="77777777" w:rsidR="00032DD2" w:rsidRDefault="00032DD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49C"/>
    <w:multiLevelType w:val="hybridMultilevel"/>
    <w:tmpl w:val="C1EAC396"/>
    <w:lvl w:ilvl="0" w:tplc="F83E09DA">
      <w:start w:val="100"/>
      <w:numFmt w:val="lowerRoman"/>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DBF0FA8"/>
    <w:multiLevelType w:val="multilevel"/>
    <w:tmpl w:val="7F6CE2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Subclauselisti"/>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F107F4"/>
    <w:multiLevelType w:val="hybridMultilevel"/>
    <w:tmpl w:val="4DD2D1B4"/>
    <w:lvl w:ilvl="0" w:tplc="1409000F">
      <w:start w:val="1"/>
      <w:numFmt w:val="decimal"/>
      <w:lvlText w:val="%1."/>
      <w:lvlJc w:val="left"/>
      <w:pPr>
        <w:tabs>
          <w:tab w:val="num" w:pos="284"/>
        </w:tabs>
        <w:ind w:left="284" w:hanging="284"/>
      </w:pPr>
      <w:rPr>
        <w:rFonts w:hint="default"/>
        <w:sz w:val="16"/>
        <w:szCs w:val="16"/>
      </w:rPr>
    </w:lvl>
    <w:lvl w:ilvl="1" w:tplc="FFFFFFFF">
      <w:numFmt w:val="bullet"/>
      <w:lvlText w:val="-"/>
      <w:lvlJc w:val="left"/>
      <w:pPr>
        <w:ind w:left="1440" w:hanging="360"/>
      </w:pPr>
      <w:rPr>
        <w:rFonts w:ascii="Calibri" w:eastAsia="Times New Roman" w:hAnsi="Calibri"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915A6"/>
    <w:multiLevelType w:val="hybridMultilevel"/>
    <w:tmpl w:val="48123BEA"/>
    <w:lvl w:ilvl="0" w:tplc="7F765B6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3C59F7"/>
    <w:multiLevelType w:val="hybridMultilevel"/>
    <w:tmpl w:val="23049520"/>
    <w:lvl w:ilvl="0" w:tplc="D89A15FE">
      <w:start w:val="500"/>
      <w:numFmt w:val="lowerRoman"/>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127EDC7A"/>
    <w:lvl w:ilvl="0">
      <w:start w:val="1"/>
      <w:numFmt w:val="lowerLetter"/>
      <w:pStyle w:val="Numberedparagraph"/>
      <w:lvlText w:val="%1)"/>
      <w:lvlJc w:val="left"/>
      <w:pPr>
        <w:ind w:left="0" w:firstLine="397"/>
      </w:pPr>
      <w:rPr>
        <w:rFonts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926016"/>
    <w:multiLevelType w:val="multilevel"/>
    <w:tmpl w:val="C6AA1AEE"/>
    <w:lvl w:ilvl="0">
      <w:start w:val="1"/>
      <w:numFmt w:val="decimal"/>
      <w:lvlText w:val="%1."/>
      <w:lvlJc w:val="left"/>
      <w:pPr>
        <w:tabs>
          <w:tab w:val="num" w:pos="794"/>
        </w:tabs>
        <w:ind w:left="794" w:hanging="397"/>
      </w:pPr>
      <w:rPr>
        <w:rFonts w:hint="default"/>
        <w:color w:val="auto"/>
        <w:sz w:val="22"/>
        <w:szCs w:val="22"/>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3" w15:restartNumberingAfterBreak="0">
    <w:nsid w:val="2EFB22AB"/>
    <w:multiLevelType w:val="hybridMultilevel"/>
    <w:tmpl w:val="ACCC990E"/>
    <w:lvl w:ilvl="0" w:tplc="23BC3FB2">
      <w:start w:val="1"/>
      <w:numFmt w:val="decimal"/>
      <w:lvlText w:val="%1."/>
      <w:lvlJc w:val="left"/>
      <w:pPr>
        <w:tabs>
          <w:tab w:val="num" w:pos="680"/>
        </w:tabs>
        <w:ind w:left="680" w:hanging="283"/>
      </w:pPr>
      <w:rPr>
        <w:rFonts w:hint="default"/>
        <w:color w:val="auto"/>
        <w:sz w:val="22"/>
        <w:szCs w:val="22"/>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cs="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cs="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B5E52F1"/>
    <w:multiLevelType w:val="multilevel"/>
    <w:tmpl w:val="2A160DFE"/>
    <w:lvl w:ilvl="0">
      <w:start w:val="1"/>
      <w:numFmt w:val="decimal"/>
      <w:lvlText w:val="%1."/>
      <w:lvlJc w:val="left"/>
      <w:pPr>
        <w:tabs>
          <w:tab w:val="num" w:pos="397"/>
        </w:tabs>
        <w:ind w:left="397" w:hanging="397"/>
      </w:pPr>
      <w:rPr>
        <w:rFonts w:hint="default"/>
        <w:color w:val="auto"/>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465A16"/>
    <w:multiLevelType w:val="multilevel"/>
    <w:tmpl w:val="73C27538"/>
    <w:lvl w:ilvl="0">
      <w:start w:val="1"/>
      <w:numFmt w:val="bullet"/>
      <w:pStyle w:val="Bullet"/>
      <w:lvlText w:val=""/>
      <w:lvlJc w:val="left"/>
      <w:pPr>
        <w:tabs>
          <w:tab w:val="num" w:pos="794"/>
        </w:tabs>
        <w:ind w:left="794" w:hanging="397"/>
      </w:pPr>
      <w:rPr>
        <w:rFonts w:ascii="Symbol" w:hAnsi="Symbol"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B17DC"/>
    <w:multiLevelType w:val="hybridMultilevel"/>
    <w:tmpl w:val="8F08B82A"/>
    <w:lvl w:ilvl="0" w:tplc="CAAA8C76">
      <w:start w:val="1"/>
      <w:numFmt w:val="bullet"/>
      <w:pStyle w:val="TableBullet"/>
      <w:lvlText w:val=""/>
      <w:lvlJc w:val="left"/>
      <w:pPr>
        <w:tabs>
          <w:tab w:val="num" w:pos="284"/>
        </w:tabs>
        <w:ind w:left="284" w:hanging="284"/>
      </w:pPr>
      <w:rPr>
        <w:rFonts w:ascii="Symbol" w:hAnsi="Symbol" w:hint="default"/>
        <w:color w:val="auto"/>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0" w15:restartNumberingAfterBreak="0">
    <w:nsid w:val="4A5D236C"/>
    <w:multiLevelType w:val="hybridMultilevel"/>
    <w:tmpl w:val="B6A42C2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2" w15:restartNumberingAfterBreak="0">
    <w:nsid w:val="5BA05BE1"/>
    <w:multiLevelType w:val="hybridMultilevel"/>
    <w:tmpl w:val="498E3CBE"/>
    <w:lvl w:ilvl="0" w:tplc="EF1804F0">
      <w:start w:val="1"/>
      <w:numFmt w:val="lowerRoman"/>
      <w:lvlText w:val="(%1)"/>
      <w:lvlJc w:val="left"/>
      <w:pPr>
        <w:tabs>
          <w:tab w:val="num" w:pos="397"/>
        </w:tabs>
        <w:ind w:left="397" w:firstLine="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EB5DE2"/>
    <w:multiLevelType w:val="hybridMultilevel"/>
    <w:tmpl w:val="C4D251CC"/>
    <w:lvl w:ilvl="0" w:tplc="EF1804F0">
      <w:start w:val="1"/>
      <w:numFmt w:val="lowerRoman"/>
      <w:lvlText w:val="(%1)"/>
      <w:lvlJc w:val="left"/>
      <w:pPr>
        <w:ind w:left="1117" w:hanging="360"/>
      </w:pPr>
      <w:rPr>
        <w:rFonts w:hint="default"/>
      </w:rPr>
    </w:lvl>
    <w:lvl w:ilvl="1" w:tplc="14090019" w:tentative="1">
      <w:start w:val="1"/>
      <w:numFmt w:val="lowerLetter"/>
      <w:lvlText w:val="%2."/>
      <w:lvlJc w:val="left"/>
      <w:pPr>
        <w:ind w:left="1837" w:hanging="360"/>
      </w:pPr>
    </w:lvl>
    <w:lvl w:ilvl="2" w:tplc="1409001B" w:tentative="1">
      <w:start w:val="1"/>
      <w:numFmt w:val="lowerRoman"/>
      <w:lvlText w:val="%3."/>
      <w:lvlJc w:val="right"/>
      <w:pPr>
        <w:ind w:left="2557" w:hanging="180"/>
      </w:pPr>
    </w:lvl>
    <w:lvl w:ilvl="3" w:tplc="1409000F">
      <w:start w:val="1"/>
      <w:numFmt w:val="decimal"/>
      <w:lvlText w:val="%4."/>
      <w:lvlJc w:val="left"/>
      <w:pPr>
        <w:ind w:left="3277" w:hanging="360"/>
      </w:pPr>
    </w:lvl>
    <w:lvl w:ilvl="4" w:tplc="14090019" w:tentative="1">
      <w:start w:val="1"/>
      <w:numFmt w:val="lowerLetter"/>
      <w:lvlText w:val="%5."/>
      <w:lvlJc w:val="left"/>
      <w:pPr>
        <w:ind w:left="3997" w:hanging="360"/>
      </w:pPr>
    </w:lvl>
    <w:lvl w:ilvl="5" w:tplc="1409001B" w:tentative="1">
      <w:start w:val="1"/>
      <w:numFmt w:val="lowerRoman"/>
      <w:lvlText w:val="%6."/>
      <w:lvlJc w:val="right"/>
      <w:pPr>
        <w:ind w:left="4717" w:hanging="180"/>
      </w:pPr>
    </w:lvl>
    <w:lvl w:ilvl="6" w:tplc="1409000F" w:tentative="1">
      <w:start w:val="1"/>
      <w:numFmt w:val="decimal"/>
      <w:lvlText w:val="%7."/>
      <w:lvlJc w:val="left"/>
      <w:pPr>
        <w:ind w:left="5437" w:hanging="360"/>
      </w:pPr>
    </w:lvl>
    <w:lvl w:ilvl="7" w:tplc="14090019" w:tentative="1">
      <w:start w:val="1"/>
      <w:numFmt w:val="lowerLetter"/>
      <w:lvlText w:val="%8."/>
      <w:lvlJc w:val="left"/>
      <w:pPr>
        <w:ind w:left="6157" w:hanging="360"/>
      </w:pPr>
    </w:lvl>
    <w:lvl w:ilvl="8" w:tplc="1409001B" w:tentative="1">
      <w:start w:val="1"/>
      <w:numFmt w:val="lowerRoman"/>
      <w:lvlText w:val="%9."/>
      <w:lvlJc w:val="right"/>
      <w:pPr>
        <w:ind w:left="6877" w:hanging="180"/>
      </w:pPr>
    </w:lvl>
  </w:abstractNum>
  <w:abstractNum w:abstractNumId="24" w15:restartNumberingAfterBreak="0">
    <w:nsid w:val="69256C4C"/>
    <w:multiLevelType w:val="hybridMultilevel"/>
    <w:tmpl w:val="276A5470"/>
    <w:lvl w:ilvl="0" w:tplc="A874EAC6">
      <w:start w:val="1"/>
      <w:numFmt w:val="lowerLetter"/>
      <w:lvlText w:val="(%1)"/>
      <w:lvlJc w:val="left"/>
      <w:pPr>
        <w:tabs>
          <w:tab w:val="num" w:pos="284"/>
        </w:tabs>
        <w:ind w:left="284" w:hanging="284"/>
      </w:pPr>
      <w:rPr>
        <w:rFonts w:hint="default"/>
        <w:sz w:val="18"/>
        <w:szCs w:val="18"/>
      </w:rPr>
    </w:lvl>
    <w:lvl w:ilvl="1" w:tplc="FFFFFFFF">
      <w:numFmt w:val="bullet"/>
      <w:lvlText w:val="-"/>
      <w:lvlJc w:val="left"/>
      <w:pPr>
        <w:ind w:left="1440" w:hanging="360"/>
      </w:pPr>
      <w:rPr>
        <w:rFonts w:ascii="Calibri" w:eastAsia="Times New Roman" w:hAnsi="Calibri"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A35B4"/>
    <w:multiLevelType w:val="hybridMultilevel"/>
    <w:tmpl w:val="D942616E"/>
    <w:lvl w:ilvl="0" w:tplc="EF1804F0">
      <w:start w:val="1"/>
      <w:numFmt w:val="lowerRoman"/>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B8250E"/>
    <w:multiLevelType w:val="hybridMultilevel"/>
    <w:tmpl w:val="39721276"/>
    <w:lvl w:ilvl="0" w:tplc="2F42794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73A006B3"/>
    <w:multiLevelType w:val="hybridMultilevel"/>
    <w:tmpl w:val="7C2E588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B0B27"/>
    <w:multiLevelType w:val="multilevel"/>
    <w:tmpl w:val="F336E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
      <w:lvlText w:val="(%5)"/>
      <w:lvlJc w:val="left"/>
      <w:pPr>
        <w:tabs>
          <w:tab w:val="num" w:pos="1134"/>
        </w:tabs>
        <w:ind w:left="1134" w:hanging="56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530309"/>
    <w:multiLevelType w:val="multilevel"/>
    <w:tmpl w:val="926A822C"/>
    <w:lvl w:ilvl="0">
      <w:start w:val="1"/>
      <w:numFmt w:val="lowerLetter"/>
      <w:lvlText w:val="(%1)"/>
      <w:lvlJc w:val="left"/>
      <w:pPr>
        <w:tabs>
          <w:tab w:val="num" w:pos="397"/>
        </w:tabs>
        <w:ind w:left="397" w:hanging="397"/>
      </w:pPr>
      <w:rPr>
        <w:rFonts w:hint="default"/>
        <w:i/>
        <w:iCs/>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385CF9"/>
    <w:multiLevelType w:val="multilevel"/>
    <w:tmpl w:val="99B64F1C"/>
    <w:lvl w:ilvl="0">
      <w:start w:val="1"/>
      <w:numFmt w:val="lowerRoman"/>
      <w:lvlText w:val="%1."/>
      <w:lvlJc w:val="right"/>
      <w:pPr>
        <w:tabs>
          <w:tab w:val="num" w:pos="1191"/>
        </w:tabs>
        <w:ind w:left="1191" w:hanging="397"/>
      </w:pPr>
      <w:rPr>
        <w:rFonts w:hint="default"/>
        <w:color w:val="auto"/>
        <w:sz w:val="18"/>
        <w:szCs w:val="2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num w:numId="1" w16cid:durableId="76250859">
    <w:abstractNumId w:val="14"/>
  </w:num>
  <w:num w:numId="2" w16cid:durableId="1123236271">
    <w:abstractNumId w:val="21"/>
  </w:num>
  <w:num w:numId="3" w16cid:durableId="2014985729">
    <w:abstractNumId w:val="17"/>
  </w:num>
  <w:num w:numId="4" w16cid:durableId="1411806523">
    <w:abstractNumId w:val="11"/>
  </w:num>
  <w:num w:numId="5" w16cid:durableId="1005592639">
    <w:abstractNumId w:val="7"/>
  </w:num>
  <w:num w:numId="6" w16cid:durableId="46032999">
    <w:abstractNumId w:val="19"/>
  </w:num>
  <w:num w:numId="7" w16cid:durableId="1490514302">
    <w:abstractNumId w:val="18"/>
  </w:num>
  <w:num w:numId="8" w16cid:durableId="502942192">
    <w:abstractNumId w:val="30"/>
  </w:num>
  <w:num w:numId="9" w16cid:durableId="2015495200">
    <w:abstractNumId w:val="1"/>
  </w:num>
  <w:num w:numId="10" w16cid:durableId="633565894">
    <w:abstractNumId w:val="10"/>
  </w:num>
  <w:num w:numId="11" w16cid:durableId="617681988">
    <w:abstractNumId w:val="27"/>
  </w:num>
  <w:num w:numId="12" w16cid:durableId="1829177045">
    <w:abstractNumId w:val="2"/>
  </w:num>
  <w:num w:numId="13" w16cid:durableId="54396197">
    <w:abstractNumId w:val="8"/>
  </w:num>
  <w:num w:numId="14" w16cid:durableId="1030183716">
    <w:abstractNumId w:val="16"/>
  </w:num>
  <w:num w:numId="15" w16cid:durableId="919947779">
    <w:abstractNumId w:val="6"/>
  </w:num>
  <w:num w:numId="16" w16cid:durableId="803040511">
    <w:abstractNumId w:val="28"/>
  </w:num>
  <w:num w:numId="17" w16cid:durableId="968974513">
    <w:abstractNumId w:val="15"/>
  </w:num>
  <w:num w:numId="18" w16cid:durableId="1098063906">
    <w:abstractNumId w:val="25"/>
  </w:num>
  <w:num w:numId="19" w16cid:durableId="1814129094">
    <w:abstractNumId w:val="24"/>
  </w:num>
  <w:num w:numId="20" w16cid:durableId="973944895">
    <w:abstractNumId w:val="0"/>
  </w:num>
  <w:num w:numId="21" w16cid:durableId="1252738603">
    <w:abstractNumId w:val="4"/>
  </w:num>
  <w:num w:numId="22" w16cid:durableId="1006248135">
    <w:abstractNumId w:val="13"/>
  </w:num>
  <w:num w:numId="23" w16cid:durableId="14673535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06716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2984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53000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8106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5401240">
    <w:abstractNumId w:val="18"/>
  </w:num>
  <w:num w:numId="29" w16cid:durableId="2019191932">
    <w:abstractNumId w:val="9"/>
  </w:num>
  <w:num w:numId="30" w16cid:durableId="904991374">
    <w:abstractNumId w:val="32"/>
  </w:num>
  <w:num w:numId="31" w16cid:durableId="1919096647">
    <w:abstractNumId w:val="33"/>
  </w:num>
  <w:num w:numId="32" w16cid:durableId="585771162">
    <w:abstractNumId w:val="12"/>
  </w:num>
  <w:num w:numId="33" w16cid:durableId="1435904938">
    <w:abstractNumId w:val="23"/>
  </w:num>
  <w:num w:numId="34" w16cid:durableId="1643659147">
    <w:abstractNumId w:val="5"/>
  </w:num>
  <w:num w:numId="35" w16cid:durableId="1876387927">
    <w:abstractNumId w:val="22"/>
  </w:num>
  <w:num w:numId="36" w16cid:durableId="999190487">
    <w:abstractNumId w:val="26"/>
  </w:num>
  <w:num w:numId="37" w16cid:durableId="220487852">
    <w:abstractNumId w:val="29"/>
  </w:num>
  <w:num w:numId="38" w16cid:durableId="1243516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6D"/>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9FB"/>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2DD2"/>
    <w:rsid w:val="000340D8"/>
    <w:rsid w:val="0003427D"/>
    <w:rsid w:val="00034DFA"/>
    <w:rsid w:val="000357ED"/>
    <w:rsid w:val="00035E15"/>
    <w:rsid w:val="0003640E"/>
    <w:rsid w:val="00036801"/>
    <w:rsid w:val="0003688A"/>
    <w:rsid w:val="000368FC"/>
    <w:rsid w:val="00036DA3"/>
    <w:rsid w:val="000375A8"/>
    <w:rsid w:val="000379BF"/>
    <w:rsid w:val="00037BEC"/>
    <w:rsid w:val="000400D9"/>
    <w:rsid w:val="0004035C"/>
    <w:rsid w:val="00040860"/>
    <w:rsid w:val="00040CED"/>
    <w:rsid w:val="00040EA1"/>
    <w:rsid w:val="0004205F"/>
    <w:rsid w:val="000423C6"/>
    <w:rsid w:val="00042EDB"/>
    <w:rsid w:val="0004492E"/>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039E"/>
    <w:rsid w:val="000611DA"/>
    <w:rsid w:val="0006130F"/>
    <w:rsid w:val="000619CB"/>
    <w:rsid w:val="00061AC4"/>
    <w:rsid w:val="00062387"/>
    <w:rsid w:val="000633A0"/>
    <w:rsid w:val="000640F0"/>
    <w:rsid w:val="0006434D"/>
    <w:rsid w:val="000643A1"/>
    <w:rsid w:val="00064679"/>
    <w:rsid w:val="00064A13"/>
    <w:rsid w:val="00064AF4"/>
    <w:rsid w:val="00064DB1"/>
    <w:rsid w:val="00065BA3"/>
    <w:rsid w:val="00065D3B"/>
    <w:rsid w:val="000667E9"/>
    <w:rsid w:val="00067128"/>
    <w:rsid w:val="0006716D"/>
    <w:rsid w:val="000675CD"/>
    <w:rsid w:val="00067872"/>
    <w:rsid w:val="000678AC"/>
    <w:rsid w:val="000703B2"/>
    <w:rsid w:val="00070E5B"/>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C0A"/>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1E8C"/>
    <w:rsid w:val="00092D7C"/>
    <w:rsid w:val="00094344"/>
    <w:rsid w:val="000953C6"/>
    <w:rsid w:val="000953F4"/>
    <w:rsid w:val="0009590C"/>
    <w:rsid w:val="000959E7"/>
    <w:rsid w:val="00095E7D"/>
    <w:rsid w:val="000964DE"/>
    <w:rsid w:val="000972AB"/>
    <w:rsid w:val="00097771"/>
    <w:rsid w:val="00097B40"/>
    <w:rsid w:val="00097D0E"/>
    <w:rsid w:val="000A0418"/>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2F60"/>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4DBD"/>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4FA6"/>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230A"/>
    <w:rsid w:val="00133E73"/>
    <w:rsid w:val="00133FDB"/>
    <w:rsid w:val="00134C79"/>
    <w:rsid w:val="00134F4A"/>
    <w:rsid w:val="00135E4E"/>
    <w:rsid w:val="00136246"/>
    <w:rsid w:val="001362A1"/>
    <w:rsid w:val="001364D4"/>
    <w:rsid w:val="001371C8"/>
    <w:rsid w:val="001372ED"/>
    <w:rsid w:val="00137754"/>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3C73"/>
    <w:rsid w:val="001648DD"/>
    <w:rsid w:val="00165705"/>
    <w:rsid w:val="00165C38"/>
    <w:rsid w:val="00166389"/>
    <w:rsid w:val="00166662"/>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900"/>
    <w:rsid w:val="00190A57"/>
    <w:rsid w:val="00190B3F"/>
    <w:rsid w:val="0019122C"/>
    <w:rsid w:val="00191908"/>
    <w:rsid w:val="00192DF3"/>
    <w:rsid w:val="0019301F"/>
    <w:rsid w:val="00193286"/>
    <w:rsid w:val="001937B8"/>
    <w:rsid w:val="00193936"/>
    <w:rsid w:val="001946A7"/>
    <w:rsid w:val="00194BB7"/>
    <w:rsid w:val="00194CC5"/>
    <w:rsid w:val="001951B2"/>
    <w:rsid w:val="0019529F"/>
    <w:rsid w:val="0019565D"/>
    <w:rsid w:val="00197564"/>
    <w:rsid w:val="00197EC2"/>
    <w:rsid w:val="00197ECE"/>
    <w:rsid w:val="001A10ED"/>
    <w:rsid w:val="001A1CED"/>
    <w:rsid w:val="001A279B"/>
    <w:rsid w:val="001A2DC3"/>
    <w:rsid w:val="001A2E87"/>
    <w:rsid w:val="001A3869"/>
    <w:rsid w:val="001A38C2"/>
    <w:rsid w:val="001A4581"/>
    <w:rsid w:val="001A65C8"/>
    <w:rsid w:val="001A6602"/>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4E69"/>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20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916"/>
    <w:rsid w:val="001E6E8D"/>
    <w:rsid w:val="001E7EE4"/>
    <w:rsid w:val="001E7F76"/>
    <w:rsid w:val="001F0FAF"/>
    <w:rsid w:val="001F139F"/>
    <w:rsid w:val="001F2805"/>
    <w:rsid w:val="001F2ACA"/>
    <w:rsid w:val="001F2E79"/>
    <w:rsid w:val="001F2F07"/>
    <w:rsid w:val="001F3123"/>
    <w:rsid w:val="001F35D3"/>
    <w:rsid w:val="001F376D"/>
    <w:rsid w:val="001F418C"/>
    <w:rsid w:val="001F4B2D"/>
    <w:rsid w:val="001F4F40"/>
    <w:rsid w:val="001F50E0"/>
    <w:rsid w:val="001F594C"/>
    <w:rsid w:val="001F69FC"/>
    <w:rsid w:val="001F6D62"/>
    <w:rsid w:val="001F7070"/>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2EB"/>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0BC9"/>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0CA"/>
    <w:rsid w:val="00260101"/>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2AEE"/>
    <w:rsid w:val="002730EC"/>
    <w:rsid w:val="00273100"/>
    <w:rsid w:val="002735CC"/>
    <w:rsid w:val="00274588"/>
    <w:rsid w:val="00274A67"/>
    <w:rsid w:val="00274AA2"/>
    <w:rsid w:val="002756EF"/>
    <w:rsid w:val="00275708"/>
    <w:rsid w:val="00275EE8"/>
    <w:rsid w:val="002768CF"/>
    <w:rsid w:val="00276F82"/>
    <w:rsid w:val="00277B54"/>
    <w:rsid w:val="002805DF"/>
    <w:rsid w:val="0028092D"/>
    <w:rsid w:val="002815D9"/>
    <w:rsid w:val="00281ACC"/>
    <w:rsid w:val="00282317"/>
    <w:rsid w:val="00282BD6"/>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EAC"/>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5F0"/>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D6F"/>
    <w:rsid w:val="00304FFF"/>
    <w:rsid w:val="003053E4"/>
    <w:rsid w:val="00305557"/>
    <w:rsid w:val="0030561F"/>
    <w:rsid w:val="00305CA3"/>
    <w:rsid w:val="0030695B"/>
    <w:rsid w:val="00306E5C"/>
    <w:rsid w:val="00307C19"/>
    <w:rsid w:val="00310732"/>
    <w:rsid w:val="00310BC9"/>
    <w:rsid w:val="00311762"/>
    <w:rsid w:val="00311E98"/>
    <w:rsid w:val="00312215"/>
    <w:rsid w:val="0031249C"/>
    <w:rsid w:val="003125C3"/>
    <w:rsid w:val="00312896"/>
    <w:rsid w:val="00312FF9"/>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D3"/>
    <w:rsid w:val="00326DF3"/>
    <w:rsid w:val="00327E5D"/>
    <w:rsid w:val="003314B6"/>
    <w:rsid w:val="00331A20"/>
    <w:rsid w:val="00331B3B"/>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2EFB"/>
    <w:rsid w:val="003731BF"/>
    <w:rsid w:val="003742E6"/>
    <w:rsid w:val="00375287"/>
    <w:rsid w:val="00375791"/>
    <w:rsid w:val="00375826"/>
    <w:rsid w:val="00375994"/>
    <w:rsid w:val="00375C59"/>
    <w:rsid w:val="00375E05"/>
    <w:rsid w:val="00376BB7"/>
    <w:rsid w:val="00376E5B"/>
    <w:rsid w:val="00376EEE"/>
    <w:rsid w:val="00376FED"/>
    <w:rsid w:val="00377BA1"/>
    <w:rsid w:val="00377FF0"/>
    <w:rsid w:val="00380616"/>
    <w:rsid w:val="00381022"/>
    <w:rsid w:val="003814B8"/>
    <w:rsid w:val="00382909"/>
    <w:rsid w:val="00382EE1"/>
    <w:rsid w:val="003841C3"/>
    <w:rsid w:val="00384258"/>
    <w:rsid w:val="00385131"/>
    <w:rsid w:val="00385986"/>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06E"/>
    <w:rsid w:val="00394201"/>
    <w:rsid w:val="0039456F"/>
    <w:rsid w:val="003945C8"/>
    <w:rsid w:val="0039480D"/>
    <w:rsid w:val="00395446"/>
    <w:rsid w:val="00396725"/>
    <w:rsid w:val="003974D1"/>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37B"/>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291"/>
    <w:rsid w:val="003F07A6"/>
    <w:rsid w:val="003F0B41"/>
    <w:rsid w:val="003F1E39"/>
    <w:rsid w:val="003F229D"/>
    <w:rsid w:val="003F25F0"/>
    <w:rsid w:val="003F2D5B"/>
    <w:rsid w:val="003F513E"/>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09D"/>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6B06"/>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6C6B"/>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225"/>
    <w:rsid w:val="00454380"/>
    <w:rsid w:val="0045470C"/>
    <w:rsid w:val="00454D0B"/>
    <w:rsid w:val="004552C8"/>
    <w:rsid w:val="0045536C"/>
    <w:rsid w:val="00455A07"/>
    <w:rsid w:val="00455AEB"/>
    <w:rsid w:val="0045603C"/>
    <w:rsid w:val="00456053"/>
    <w:rsid w:val="00456068"/>
    <w:rsid w:val="00456896"/>
    <w:rsid w:val="00456ADA"/>
    <w:rsid w:val="00456B0D"/>
    <w:rsid w:val="00456DD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3E9"/>
    <w:rsid w:val="00467544"/>
    <w:rsid w:val="004676BA"/>
    <w:rsid w:val="0046784C"/>
    <w:rsid w:val="00467ECB"/>
    <w:rsid w:val="00470865"/>
    <w:rsid w:val="004710C3"/>
    <w:rsid w:val="00471459"/>
    <w:rsid w:val="00472274"/>
    <w:rsid w:val="004722D4"/>
    <w:rsid w:val="00472D9C"/>
    <w:rsid w:val="00473B60"/>
    <w:rsid w:val="00474EA7"/>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3C8D"/>
    <w:rsid w:val="004943C2"/>
    <w:rsid w:val="00494594"/>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78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120"/>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5A2"/>
    <w:rsid w:val="004E4C83"/>
    <w:rsid w:val="004E4D53"/>
    <w:rsid w:val="004E4D84"/>
    <w:rsid w:val="004E4EBC"/>
    <w:rsid w:val="004E5104"/>
    <w:rsid w:val="004E5554"/>
    <w:rsid w:val="004E5B06"/>
    <w:rsid w:val="004E5C48"/>
    <w:rsid w:val="004E5FA8"/>
    <w:rsid w:val="004E684C"/>
    <w:rsid w:val="004E6FF1"/>
    <w:rsid w:val="004E767D"/>
    <w:rsid w:val="004E76DB"/>
    <w:rsid w:val="004F1F90"/>
    <w:rsid w:val="004F2401"/>
    <w:rsid w:val="004F2A44"/>
    <w:rsid w:val="004F2DAD"/>
    <w:rsid w:val="004F34F7"/>
    <w:rsid w:val="004F55D6"/>
    <w:rsid w:val="004F565A"/>
    <w:rsid w:val="004F571B"/>
    <w:rsid w:val="004F626A"/>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347D"/>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8A"/>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1BF0"/>
    <w:rsid w:val="005B316B"/>
    <w:rsid w:val="005B3737"/>
    <w:rsid w:val="005B3814"/>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3DE3"/>
    <w:rsid w:val="005D610C"/>
    <w:rsid w:val="005D74E7"/>
    <w:rsid w:val="005D7F7B"/>
    <w:rsid w:val="005E0A85"/>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59BE"/>
    <w:rsid w:val="005F6774"/>
    <w:rsid w:val="005F79AA"/>
    <w:rsid w:val="0060044B"/>
    <w:rsid w:val="006013D7"/>
    <w:rsid w:val="006014DB"/>
    <w:rsid w:val="00601587"/>
    <w:rsid w:val="006015F9"/>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631E"/>
    <w:rsid w:val="00607C35"/>
    <w:rsid w:val="00611777"/>
    <w:rsid w:val="0061189F"/>
    <w:rsid w:val="00611A91"/>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0A3E"/>
    <w:rsid w:val="0063164E"/>
    <w:rsid w:val="0063191D"/>
    <w:rsid w:val="00632650"/>
    <w:rsid w:val="00633488"/>
    <w:rsid w:val="00633581"/>
    <w:rsid w:val="006339AF"/>
    <w:rsid w:val="00633C47"/>
    <w:rsid w:val="00633E7B"/>
    <w:rsid w:val="006348F7"/>
    <w:rsid w:val="00634B91"/>
    <w:rsid w:val="0063512D"/>
    <w:rsid w:val="006358FB"/>
    <w:rsid w:val="00635A3E"/>
    <w:rsid w:val="00635AE2"/>
    <w:rsid w:val="00635E1E"/>
    <w:rsid w:val="0063613D"/>
    <w:rsid w:val="0063677C"/>
    <w:rsid w:val="00636972"/>
    <w:rsid w:val="00636B69"/>
    <w:rsid w:val="00636BC2"/>
    <w:rsid w:val="006404D1"/>
    <w:rsid w:val="00640F43"/>
    <w:rsid w:val="006412CA"/>
    <w:rsid w:val="00641718"/>
    <w:rsid w:val="006420DA"/>
    <w:rsid w:val="0064261A"/>
    <w:rsid w:val="00642A0A"/>
    <w:rsid w:val="00643360"/>
    <w:rsid w:val="00643AC1"/>
    <w:rsid w:val="00643D62"/>
    <w:rsid w:val="00643E37"/>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8A1"/>
    <w:rsid w:val="00653FC4"/>
    <w:rsid w:val="00654699"/>
    <w:rsid w:val="00654DC6"/>
    <w:rsid w:val="00654F91"/>
    <w:rsid w:val="00655361"/>
    <w:rsid w:val="00656253"/>
    <w:rsid w:val="00656364"/>
    <w:rsid w:val="00656799"/>
    <w:rsid w:val="00656B77"/>
    <w:rsid w:val="00656C09"/>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450E"/>
    <w:rsid w:val="006759B7"/>
    <w:rsid w:val="00675DA5"/>
    <w:rsid w:val="00676DDC"/>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4ED3"/>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01"/>
    <w:rsid w:val="00696EE3"/>
    <w:rsid w:val="0069715D"/>
    <w:rsid w:val="00697392"/>
    <w:rsid w:val="006973E5"/>
    <w:rsid w:val="00697664"/>
    <w:rsid w:val="00697681"/>
    <w:rsid w:val="0069770C"/>
    <w:rsid w:val="00697F03"/>
    <w:rsid w:val="006A08F2"/>
    <w:rsid w:val="006A151A"/>
    <w:rsid w:val="006A1E62"/>
    <w:rsid w:val="006A2A12"/>
    <w:rsid w:val="006A2E9C"/>
    <w:rsid w:val="006A35E0"/>
    <w:rsid w:val="006A377F"/>
    <w:rsid w:val="006A384A"/>
    <w:rsid w:val="006A3875"/>
    <w:rsid w:val="006A390F"/>
    <w:rsid w:val="006A3D40"/>
    <w:rsid w:val="006A561D"/>
    <w:rsid w:val="006A5A0C"/>
    <w:rsid w:val="006A5BA0"/>
    <w:rsid w:val="006A5BB1"/>
    <w:rsid w:val="006A5F88"/>
    <w:rsid w:val="006A6B91"/>
    <w:rsid w:val="006A7D95"/>
    <w:rsid w:val="006B120D"/>
    <w:rsid w:val="006B13C1"/>
    <w:rsid w:val="006B2CC7"/>
    <w:rsid w:val="006B3AF9"/>
    <w:rsid w:val="006B4158"/>
    <w:rsid w:val="006B44C5"/>
    <w:rsid w:val="006B5199"/>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0871"/>
    <w:rsid w:val="006D105C"/>
    <w:rsid w:val="006D293E"/>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580"/>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3E90"/>
    <w:rsid w:val="00755663"/>
    <w:rsid w:val="00755964"/>
    <w:rsid w:val="00756386"/>
    <w:rsid w:val="00756603"/>
    <w:rsid w:val="007575C0"/>
    <w:rsid w:val="00757D2F"/>
    <w:rsid w:val="0076000E"/>
    <w:rsid w:val="00760C00"/>
    <w:rsid w:val="007610E9"/>
    <w:rsid w:val="00761728"/>
    <w:rsid w:val="00761C6C"/>
    <w:rsid w:val="007626F9"/>
    <w:rsid w:val="00762B72"/>
    <w:rsid w:val="00763CCB"/>
    <w:rsid w:val="007642B4"/>
    <w:rsid w:val="00764C45"/>
    <w:rsid w:val="00764DA8"/>
    <w:rsid w:val="00765A07"/>
    <w:rsid w:val="00766277"/>
    <w:rsid w:val="0076656A"/>
    <w:rsid w:val="00766701"/>
    <w:rsid w:val="00766911"/>
    <w:rsid w:val="00767793"/>
    <w:rsid w:val="007679D8"/>
    <w:rsid w:val="00770803"/>
    <w:rsid w:val="00770E5F"/>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72"/>
    <w:rsid w:val="00791D85"/>
    <w:rsid w:val="00791DAF"/>
    <w:rsid w:val="007924CA"/>
    <w:rsid w:val="007928C0"/>
    <w:rsid w:val="00794CBF"/>
    <w:rsid w:val="00795365"/>
    <w:rsid w:val="0079567E"/>
    <w:rsid w:val="007961D5"/>
    <w:rsid w:val="00796A6F"/>
    <w:rsid w:val="00796C5D"/>
    <w:rsid w:val="007971AC"/>
    <w:rsid w:val="007978E0"/>
    <w:rsid w:val="00797B06"/>
    <w:rsid w:val="00797B9C"/>
    <w:rsid w:val="007A0483"/>
    <w:rsid w:val="007A1065"/>
    <w:rsid w:val="007A1D86"/>
    <w:rsid w:val="007A2A97"/>
    <w:rsid w:val="007A2CDC"/>
    <w:rsid w:val="007A371B"/>
    <w:rsid w:val="007A3832"/>
    <w:rsid w:val="007A3A0F"/>
    <w:rsid w:val="007A3E60"/>
    <w:rsid w:val="007A407D"/>
    <w:rsid w:val="007A464F"/>
    <w:rsid w:val="007A4EC7"/>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3DC"/>
    <w:rsid w:val="007C2413"/>
    <w:rsid w:val="007C25AE"/>
    <w:rsid w:val="007C3152"/>
    <w:rsid w:val="007C333B"/>
    <w:rsid w:val="007C3914"/>
    <w:rsid w:val="007C3CEA"/>
    <w:rsid w:val="007C3D92"/>
    <w:rsid w:val="007C3E6F"/>
    <w:rsid w:val="007C3E98"/>
    <w:rsid w:val="007C525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52D6"/>
    <w:rsid w:val="007D674C"/>
    <w:rsid w:val="007D6B7B"/>
    <w:rsid w:val="007D6CF1"/>
    <w:rsid w:val="007D7131"/>
    <w:rsid w:val="007D7BEC"/>
    <w:rsid w:val="007D7CE3"/>
    <w:rsid w:val="007D7DB9"/>
    <w:rsid w:val="007D7F89"/>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97E"/>
    <w:rsid w:val="0083098C"/>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2A2"/>
    <w:rsid w:val="0086665C"/>
    <w:rsid w:val="00866E37"/>
    <w:rsid w:val="00866F9E"/>
    <w:rsid w:val="008672E2"/>
    <w:rsid w:val="0086793D"/>
    <w:rsid w:val="00867B1C"/>
    <w:rsid w:val="00870977"/>
    <w:rsid w:val="008713D6"/>
    <w:rsid w:val="00871643"/>
    <w:rsid w:val="0087281D"/>
    <w:rsid w:val="00872828"/>
    <w:rsid w:val="008732D8"/>
    <w:rsid w:val="00873377"/>
    <w:rsid w:val="00873577"/>
    <w:rsid w:val="0087409F"/>
    <w:rsid w:val="00874206"/>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728"/>
    <w:rsid w:val="00883A4D"/>
    <w:rsid w:val="00883B21"/>
    <w:rsid w:val="00883F8F"/>
    <w:rsid w:val="00884235"/>
    <w:rsid w:val="00885285"/>
    <w:rsid w:val="00885985"/>
    <w:rsid w:val="00886699"/>
    <w:rsid w:val="00886A21"/>
    <w:rsid w:val="0088709A"/>
    <w:rsid w:val="008879C7"/>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5C50"/>
    <w:rsid w:val="008B5FAB"/>
    <w:rsid w:val="008B60BB"/>
    <w:rsid w:val="008B6732"/>
    <w:rsid w:val="008B68EC"/>
    <w:rsid w:val="008B711E"/>
    <w:rsid w:val="008B7A75"/>
    <w:rsid w:val="008C042F"/>
    <w:rsid w:val="008C057B"/>
    <w:rsid w:val="008C0CAC"/>
    <w:rsid w:val="008C13B4"/>
    <w:rsid w:val="008C1557"/>
    <w:rsid w:val="008C1B8C"/>
    <w:rsid w:val="008C2306"/>
    <w:rsid w:val="008C26D1"/>
    <w:rsid w:val="008C2B7F"/>
    <w:rsid w:val="008C36AC"/>
    <w:rsid w:val="008C3B0C"/>
    <w:rsid w:val="008C4953"/>
    <w:rsid w:val="008C4E44"/>
    <w:rsid w:val="008C6255"/>
    <w:rsid w:val="008C684B"/>
    <w:rsid w:val="008C69E1"/>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65C"/>
    <w:rsid w:val="008F1952"/>
    <w:rsid w:val="008F1EF5"/>
    <w:rsid w:val="008F221A"/>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12E1"/>
    <w:rsid w:val="009331B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0CE"/>
    <w:rsid w:val="00942354"/>
    <w:rsid w:val="00942681"/>
    <w:rsid w:val="00943A7E"/>
    <w:rsid w:val="00943E42"/>
    <w:rsid w:val="00943E5D"/>
    <w:rsid w:val="00944728"/>
    <w:rsid w:val="009453E8"/>
    <w:rsid w:val="009454FB"/>
    <w:rsid w:val="00945664"/>
    <w:rsid w:val="00945AD1"/>
    <w:rsid w:val="009462AF"/>
    <w:rsid w:val="00946ECB"/>
    <w:rsid w:val="00947069"/>
    <w:rsid w:val="00947268"/>
    <w:rsid w:val="0094750E"/>
    <w:rsid w:val="00947C94"/>
    <w:rsid w:val="009507C8"/>
    <w:rsid w:val="0095115E"/>
    <w:rsid w:val="0095118A"/>
    <w:rsid w:val="00952468"/>
    <w:rsid w:val="00952FA4"/>
    <w:rsid w:val="00954767"/>
    <w:rsid w:val="0095487A"/>
    <w:rsid w:val="009548FB"/>
    <w:rsid w:val="0095538B"/>
    <w:rsid w:val="0095695D"/>
    <w:rsid w:val="00957AF7"/>
    <w:rsid w:val="00960ACA"/>
    <w:rsid w:val="00960C4F"/>
    <w:rsid w:val="00961F6E"/>
    <w:rsid w:val="0096217C"/>
    <w:rsid w:val="00962441"/>
    <w:rsid w:val="00962E54"/>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0C68"/>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34E"/>
    <w:rsid w:val="009A59EC"/>
    <w:rsid w:val="009A5C56"/>
    <w:rsid w:val="009A5CA8"/>
    <w:rsid w:val="009A65CD"/>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4E38"/>
    <w:rsid w:val="009B5081"/>
    <w:rsid w:val="009B6985"/>
    <w:rsid w:val="009B69B3"/>
    <w:rsid w:val="009B7011"/>
    <w:rsid w:val="009B71E4"/>
    <w:rsid w:val="009C0467"/>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B41"/>
    <w:rsid w:val="009D6C54"/>
    <w:rsid w:val="009D72B0"/>
    <w:rsid w:val="009D77CE"/>
    <w:rsid w:val="009D7DE3"/>
    <w:rsid w:val="009E004A"/>
    <w:rsid w:val="009E066B"/>
    <w:rsid w:val="009E1035"/>
    <w:rsid w:val="009E1515"/>
    <w:rsid w:val="009E1CFF"/>
    <w:rsid w:val="009E1FEE"/>
    <w:rsid w:val="009E23EA"/>
    <w:rsid w:val="009E2B34"/>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99E"/>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211"/>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27DF"/>
    <w:rsid w:val="00A23931"/>
    <w:rsid w:val="00A23FD6"/>
    <w:rsid w:val="00A25317"/>
    <w:rsid w:val="00A25706"/>
    <w:rsid w:val="00A25C26"/>
    <w:rsid w:val="00A25D84"/>
    <w:rsid w:val="00A26029"/>
    <w:rsid w:val="00A262E4"/>
    <w:rsid w:val="00A267C2"/>
    <w:rsid w:val="00A268EA"/>
    <w:rsid w:val="00A2703A"/>
    <w:rsid w:val="00A30A7E"/>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4E17"/>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0A19"/>
    <w:rsid w:val="00A637A0"/>
    <w:rsid w:val="00A63ECD"/>
    <w:rsid w:val="00A64093"/>
    <w:rsid w:val="00A640EB"/>
    <w:rsid w:val="00A6412F"/>
    <w:rsid w:val="00A64815"/>
    <w:rsid w:val="00A65043"/>
    <w:rsid w:val="00A66DF9"/>
    <w:rsid w:val="00A704E4"/>
    <w:rsid w:val="00A706FC"/>
    <w:rsid w:val="00A70BD2"/>
    <w:rsid w:val="00A7136A"/>
    <w:rsid w:val="00A71C44"/>
    <w:rsid w:val="00A71EC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29D5"/>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5864"/>
    <w:rsid w:val="00AB5F64"/>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C7CF5"/>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0BE"/>
    <w:rsid w:val="00AE73E0"/>
    <w:rsid w:val="00AF03C0"/>
    <w:rsid w:val="00AF166F"/>
    <w:rsid w:val="00AF1C03"/>
    <w:rsid w:val="00AF2845"/>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07E9B"/>
    <w:rsid w:val="00B101D5"/>
    <w:rsid w:val="00B10633"/>
    <w:rsid w:val="00B10754"/>
    <w:rsid w:val="00B10B08"/>
    <w:rsid w:val="00B10CDC"/>
    <w:rsid w:val="00B11A78"/>
    <w:rsid w:val="00B11CFB"/>
    <w:rsid w:val="00B12111"/>
    <w:rsid w:val="00B12804"/>
    <w:rsid w:val="00B1280A"/>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17A4E"/>
    <w:rsid w:val="00B203E7"/>
    <w:rsid w:val="00B20FD1"/>
    <w:rsid w:val="00B21736"/>
    <w:rsid w:val="00B218B1"/>
    <w:rsid w:val="00B21A33"/>
    <w:rsid w:val="00B224AA"/>
    <w:rsid w:val="00B22884"/>
    <w:rsid w:val="00B22998"/>
    <w:rsid w:val="00B229FE"/>
    <w:rsid w:val="00B2302B"/>
    <w:rsid w:val="00B24363"/>
    <w:rsid w:val="00B2456E"/>
    <w:rsid w:val="00B24979"/>
    <w:rsid w:val="00B250A5"/>
    <w:rsid w:val="00B25651"/>
    <w:rsid w:val="00B26937"/>
    <w:rsid w:val="00B26D56"/>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37D80"/>
    <w:rsid w:val="00B405C1"/>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47D29"/>
    <w:rsid w:val="00B50E18"/>
    <w:rsid w:val="00B513A9"/>
    <w:rsid w:val="00B51568"/>
    <w:rsid w:val="00B51610"/>
    <w:rsid w:val="00B5167B"/>
    <w:rsid w:val="00B520E3"/>
    <w:rsid w:val="00B52336"/>
    <w:rsid w:val="00B5388C"/>
    <w:rsid w:val="00B54716"/>
    <w:rsid w:val="00B55CED"/>
    <w:rsid w:val="00B55D57"/>
    <w:rsid w:val="00B55F80"/>
    <w:rsid w:val="00B56480"/>
    <w:rsid w:val="00B565D6"/>
    <w:rsid w:val="00B576A4"/>
    <w:rsid w:val="00B57998"/>
    <w:rsid w:val="00B57CD0"/>
    <w:rsid w:val="00B57DA9"/>
    <w:rsid w:val="00B60177"/>
    <w:rsid w:val="00B60639"/>
    <w:rsid w:val="00B60CDB"/>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1629"/>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78B"/>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289"/>
    <w:rsid w:val="00BA1F74"/>
    <w:rsid w:val="00BA1FE7"/>
    <w:rsid w:val="00BA2B1D"/>
    <w:rsid w:val="00BA386F"/>
    <w:rsid w:val="00BA3D14"/>
    <w:rsid w:val="00BA435A"/>
    <w:rsid w:val="00BA54BA"/>
    <w:rsid w:val="00BA5603"/>
    <w:rsid w:val="00BA56D9"/>
    <w:rsid w:val="00BA5DA6"/>
    <w:rsid w:val="00BA6194"/>
    <w:rsid w:val="00BA6CE3"/>
    <w:rsid w:val="00BA7EEE"/>
    <w:rsid w:val="00BB0C56"/>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1AE4"/>
    <w:rsid w:val="00BD2668"/>
    <w:rsid w:val="00BD383D"/>
    <w:rsid w:val="00BD3924"/>
    <w:rsid w:val="00BD3C33"/>
    <w:rsid w:val="00BD450F"/>
    <w:rsid w:val="00BD4512"/>
    <w:rsid w:val="00BD52AA"/>
    <w:rsid w:val="00BD7FF4"/>
    <w:rsid w:val="00BE1061"/>
    <w:rsid w:val="00BE1321"/>
    <w:rsid w:val="00BE2893"/>
    <w:rsid w:val="00BE2C0F"/>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6E70"/>
    <w:rsid w:val="00BF7152"/>
    <w:rsid w:val="00BF73F0"/>
    <w:rsid w:val="00BF75B1"/>
    <w:rsid w:val="00BF75C9"/>
    <w:rsid w:val="00BF7BD3"/>
    <w:rsid w:val="00C001B6"/>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CD1"/>
    <w:rsid w:val="00C14E7D"/>
    <w:rsid w:val="00C15722"/>
    <w:rsid w:val="00C15D87"/>
    <w:rsid w:val="00C16103"/>
    <w:rsid w:val="00C16897"/>
    <w:rsid w:val="00C17E76"/>
    <w:rsid w:val="00C200C9"/>
    <w:rsid w:val="00C21D8E"/>
    <w:rsid w:val="00C22525"/>
    <w:rsid w:val="00C22CA6"/>
    <w:rsid w:val="00C23DBB"/>
    <w:rsid w:val="00C23FE1"/>
    <w:rsid w:val="00C2410D"/>
    <w:rsid w:val="00C2421E"/>
    <w:rsid w:val="00C24BAF"/>
    <w:rsid w:val="00C25F8B"/>
    <w:rsid w:val="00C265C0"/>
    <w:rsid w:val="00C26B9E"/>
    <w:rsid w:val="00C2703E"/>
    <w:rsid w:val="00C272EF"/>
    <w:rsid w:val="00C2732B"/>
    <w:rsid w:val="00C2753F"/>
    <w:rsid w:val="00C276A8"/>
    <w:rsid w:val="00C27963"/>
    <w:rsid w:val="00C27975"/>
    <w:rsid w:val="00C300BC"/>
    <w:rsid w:val="00C3185C"/>
    <w:rsid w:val="00C318F7"/>
    <w:rsid w:val="00C319D2"/>
    <w:rsid w:val="00C31F85"/>
    <w:rsid w:val="00C32534"/>
    <w:rsid w:val="00C326EE"/>
    <w:rsid w:val="00C32951"/>
    <w:rsid w:val="00C32C02"/>
    <w:rsid w:val="00C33235"/>
    <w:rsid w:val="00C33677"/>
    <w:rsid w:val="00C33B71"/>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4F21"/>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0EB"/>
    <w:rsid w:val="00C765E8"/>
    <w:rsid w:val="00C76906"/>
    <w:rsid w:val="00C76B7C"/>
    <w:rsid w:val="00C76CC7"/>
    <w:rsid w:val="00C76F81"/>
    <w:rsid w:val="00C776A4"/>
    <w:rsid w:val="00C80042"/>
    <w:rsid w:val="00C800DD"/>
    <w:rsid w:val="00C80920"/>
    <w:rsid w:val="00C80B03"/>
    <w:rsid w:val="00C8122D"/>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5454"/>
    <w:rsid w:val="00C960CF"/>
    <w:rsid w:val="00C96672"/>
    <w:rsid w:val="00C96678"/>
    <w:rsid w:val="00C96772"/>
    <w:rsid w:val="00C96CFA"/>
    <w:rsid w:val="00C96E5A"/>
    <w:rsid w:val="00C96EB5"/>
    <w:rsid w:val="00C97827"/>
    <w:rsid w:val="00CA0257"/>
    <w:rsid w:val="00CA0917"/>
    <w:rsid w:val="00CA102B"/>
    <w:rsid w:val="00CA283D"/>
    <w:rsid w:val="00CA29D1"/>
    <w:rsid w:val="00CA2DD6"/>
    <w:rsid w:val="00CA3247"/>
    <w:rsid w:val="00CA3752"/>
    <w:rsid w:val="00CA3999"/>
    <w:rsid w:val="00CA39C0"/>
    <w:rsid w:val="00CA3A5C"/>
    <w:rsid w:val="00CA5AD3"/>
    <w:rsid w:val="00CA62DD"/>
    <w:rsid w:val="00CA6494"/>
    <w:rsid w:val="00CA69BA"/>
    <w:rsid w:val="00CA791C"/>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40D"/>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5F83"/>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151"/>
    <w:rsid w:val="00CE63C0"/>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6A6"/>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7B7"/>
    <w:rsid w:val="00D367BD"/>
    <w:rsid w:val="00D369D4"/>
    <w:rsid w:val="00D36AD7"/>
    <w:rsid w:val="00D37236"/>
    <w:rsid w:val="00D373E9"/>
    <w:rsid w:val="00D37C61"/>
    <w:rsid w:val="00D403FF"/>
    <w:rsid w:val="00D404C4"/>
    <w:rsid w:val="00D40CE9"/>
    <w:rsid w:val="00D40D0B"/>
    <w:rsid w:val="00D42052"/>
    <w:rsid w:val="00D42115"/>
    <w:rsid w:val="00D424EC"/>
    <w:rsid w:val="00D42EFD"/>
    <w:rsid w:val="00D457D1"/>
    <w:rsid w:val="00D458AA"/>
    <w:rsid w:val="00D45A0D"/>
    <w:rsid w:val="00D46009"/>
    <w:rsid w:val="00D46338"/>
    <w:rsid w:val="00D46BA2"/>
    <w:rsid w:val="00D47234"/>
    <w:rsid w:val="00D47281"/>
    <w:rsid w:val="00D47581"/>
    <w:rsid w:val="00D50295"/>
    <w:rsid w:val="00D5069A"/>
    <w:rsid w:val="00D50E43"/>
    <w:rsid w:val="00D51469"/>
    <w:rsid w:val="00D51DE4"/>
    <w:rsid w:val="00D52B45"/>
    <w:rsid w:val="00D530EB"/>
    <w:rsid w:val="00D53393"/>
    <w:rsid w:val="00D535B6"/>
    <w:rsid w:val="00D544A1"/>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512"/>
    <w:rsid w:val="00D64B44"/>
    <w:rsid w:val="00D64BFF"/>
    <w:rsid w:val="00D64DE1"/>
    <w:rsid w:val="00D64E3F"/>
    <w:rsid w:val="00D653D0"/>
    <w:rsid w:val="00D668F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3F6"/>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0A2"/>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3B28"/>
    <w:rsid w:val="00DD4717"/>
    <w:rsid w:val="00DD4F74"/>
    <w:rsid w:val="00DD531F"/>
    <w:rsid w:val="00DD556C"/>
    <w:rsid w:val="00DD5737"/>
    <w:rsid w:val="00DD5B2D"/>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265"/>
    <w:rsid w:val="00DF2AD9"/>
    <w:rsid w:val="00DF456D"/>
    <w:rsid w:val="00DF527E"/>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025"/>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3F31"/>
    <w:rsid w:val="00E249DB"/>
    <w:rsid w:val="00E253A3"/>
    <w:rsid w:val="00E25402"/>
    <w:rsid w:val="00E259B0"/>
    <w:rsid w:val="00E25AF8"/>
    <w:rsid w:val="00E25BC1"/>
    <w:rsid w:val="00E26AEC"/>
    <w:rsid w:val="00E2757B"/>
    <w:rsid w:val="00E2792D"/>
    <w:rsid w:val="00E30828"/>
    <w:rsid w:val="00E30A78"/>
    <w:rsid w:val="00E30B37"/>
    <w:rsid w:val="00E3109C"/>
    <w:rsid w:val="00E311D1"/>
    <w:rsid w:val="00E319FF"/>
    <w:rsid w:val="00E31C2D"/>
    <w:rsid w:val="00E31CE7"/>
    <w:rsid w:val="00E32432"/>
    <w:rsid w:val="00E336ED"/>
    <w:rsid w:val="00E33B1E"/>
    <w:rsid w:val="00E34277"/>
    <w:rsid w:val="00E35C6C"/>
    <w:rsid w:val="00E3621B"/>
    <w:rsid w:val="00E36D6F"/>
    <w:rsid w:val="00E36F43"/>
    <w:rsid w:val="00E37F0C"/>
    <w:rsid w:val="00E40ADF"/>
    <w:rsid w:val="00E41653"/>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514"/>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3602"/>
    <w:rsid w:val="00E93E1A"/>
    <w:rsid w:val="00E943AE"/>
    <w:rsid w:val="00E947B0"/>
    <w:rsid w:val="00E95D82"/>
    <w:rsid w:val="00E95F21"/>
    <w:rsid w:val="00E96273"/>
    <w:rsid w:val="00E96DD7"/>
    <w:rsid w:val="00E96E97"/>
    <w:rsid w:val="00E97D49"/>
    <w:rsid w:val="00EA0251"/>
    <w:rsid w:val="00EA1065"/>
    <w:rsid w:val="00EA1434"/>
    <w:rsid w:val="00EA3C3E"/>
    <w:rsid w:val="00EA4694"/>
    <w:rsid w:val="00EA47C9"/>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CBE"/>
    <w:rsid w:val="00EB7D75"/>
    <w:rsid w:val="00EC0B20"/>
    <w:rsid w:val="00EC0EE7"/>
    <w:rsid w:val="00EC104F"/>
    <w:rsid w:val="00EC1C3A"/>
    <w:rsid w:val="00EC1F51"/>
    <w:rsid w:val="00EC2B1D"/>
    <w:rsid w:val="00EC36FC"/>
    <w:rsid w:val="00EC4233"/>
    <w:rsid w:val="00EC4544"/>
    <w:rsid w:val="00EC4A85"/>
    <w:rsid w:val="00EC57B2"/>
    <w:rsid w:val="00EC58F4"/>
    <w:rsid w:val="00EC6283"/>
    <w:rsid w:val="00EC650B"/>
    <w:rsid w:val="00EC7808"/>
    <w:rsid w:val="00EC7BFA"/>
    <w:rsid w:val="00ED042E"/>
    <w:rsid w:val="00ED1295"/>
    <w:rsid w:val="00ED2725"/>
    <w:rsid w:val="00ED27D8"/>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5C1"/>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32"/>
    <w:rsid w:val="00F11A6A"/>
    <w:rsid w:val="00F126BD"/>
    <w:rsid w:val="00F13433"/>
    <w:rsid w:val="00F134FC"/>
    <w:rsid w:val="00F1350E"/>
    <w:rsid w:val="00F14419"/>
    <w:rsid w:val="00F1470E"/>
    <w:rsid w:val="00F147A5"/>
    <w:rsid w:val="00F14AA7"/>
    <w:rsid w:val="00F15884"/>
    <w:rsid w:val="00F15B8E"/>
    <w:rsid w:val="00F16665"/>
    <w:rsid w:val="00F16B82"/>
    <w:rsid w:val="00F16FB0"/>
    <w:rsid w:val="00F17111"/>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5C"/>
    <w:rsid w:val="00F608AB"/>
    <w:rsid w:val="00F60BE7"/>
    <w:rsid w:val="00F6150C"/>
    <w:rsid w:val="00F6159C"/>
    <w:rsid w:val="00F61714"/>
    <w:rsid w:val="00F6238F"/>
    <w:rsid w:val="00F63E59"/>
    <w:rsid w:val="00F64915"/>
    <w:rsid w:val="00F64BE0"/>
    <w:rsid w:val="00F65B68"/>
    <w:rsid w:val="00F65E92"/>
    <w:rsid w:val="00F67846"/>
    <w:rsid w:val="00F67B42"/>
    <w:rsid w:val="00F70B72"/>
    <w:rsid w:val="00F70DEF"/>
    <w:rsid w:val="00F70EA3"/>
    <w:rsid w:val="00F70FBF"/>
    <w:rsid w:val="00F71398"/>
    <w:rsid w:val="00F7294C"/>
    <w:rsid w:val="00F72C5F"/>
    <w:rsid w:val="00F73549"/>
    <w:rsid w:val="00F75782"/>
    <w:rsid w:val="00F76ADF"/>
    <w:rsid w:val="00F77079"/>
    <w:rsid w:val="00F80C1D"/>
    <w:rsid w:val="00F81130"/>
    <w:rsid w:val="00F818F7"/>
    <w:rsid w:val="00F820DC"/>
    <w:rsid w:val="00F8325D"/>
    <w:rsid w:val="00F832A9"/>
    <w:rsid w:val="00F832B0"/>
    <w:rsid w:val="00F83307"/>
    <w:rsid w:val="00F833A5"/>
    <w:rsid w:val="00F844D3"/>
    <w:rsid w:val="00F84629"/>
    <w:rsid w:val="00F84B71"/>
    <w:rsid w:val="00F84F0E"/>
    <w:rsid w:val="00F8519E"/>
    <w:rsid w:val="00F85FF5"/>
    <w:rsid w:val="00F8681B"/>
    <w:rsid w:val="00F86BB4"/>
    <w:rsid w:val="00F86E69"/>
    <w:rsid w:val="00F870F5"/>
    <w:rsid w:val="00F902D2"/>
    <w:rsid w:val="00F90B12"/>
    <w:rsid w:val="00F90CBD"/>
    <w:rsid w:val="00F9109E"/>
    <w:rsid w:val="00F9177E"/>
    <w:rsid w:val="00F91E4F"/>
    <w:rsid w:val="00F91FDF"/>
    <w:rsid w:val="00F92AA1"/>
    <w:rsid w:val="00F92FDC"/>
    <w:rsid w:val="00F93006"/>
    <w:rsid w:val="00F931D2"/>
    <w:rsid w:val="00F93431"/>
    <w:rsid w:val="00F93A4A"/>
    <w:rsid w:val="00F93D27"/>
    <w:rsid w:val="00F949F1"/>
    <w:rsid w:val="00F95DD6"/>
    <w:rsid w:val="00F96370"/>
    <w:rsid w:val="00F97940"/>
    <w:rsid w:val="00F97BA3"/>
    <w:rsid w:val="00F97CFB"/>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6EA3"/>
    <w:rsid w:val="00FB700A"/>
    <w:rsid w:val="00FB71A2"/>
    <w:rsid w:val="00FB7F22"/>
    <w:rsid w:val="00FC00F3"/>
    <w:rsid w:val="00FC091F"/>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110"/>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6DB912B"/>
    <w:rsid w:val="07DC8B1B"/>
    <w:rsid w:val="0A0F0350"/>
    <w:rsid w:val="10BB7777"/>
    <w:rsid w:val="133BDD19"/>
    <w:rsid w:val="155F87D7"/>
    <w:rsid w:val="1738CFFB"/>
    <w:rsid w:val="1935BBE5"/>
    <w:rsid w:val="1B9B3FFB"/>
    <w:rsid w:val="1F1ED073"/>
    <w:rsid w:val="1F80CB03"/>
    <w:rsid w:val="24A1655B"/>
    <w:rsid w:val="282A3763"/>
    <w:rsid w:val="2AAAD27D"/>
    <w:rsid w:val="2D881394"/>
    <w:rsid w:val="35B2C9B3"/>
    <w:rsid w:val="458D6613"/>
    <w:rsid w:val="462A5B1E"/>
    <w:rsid w:val="4749DF01"/>
    <w:rsid w:val="4DE81740"/>
    <w:rsid w:val="4F6ACE3C"/>
    <w:rsid w:val="50B32F5E"/>
    <w:rsid w:val="596B17A1"/>
    <w:rsid w:val="5C9A0115"/>
    <w:rsid w:val="5D4C8933"/>
    <w:rsid w:val="5D6A11B9"/>
    <w:rsid w:val="606BD9D6"/>
    <w:rsid w:val="66ACEA6B"/>
    <w:rsid w:val="6B08AD93"/>
    <w:rsid w:val="71B3A99C"/>
    <w:rsid w:val="73DAD794"/>
    <w:rsid w:val="74B5B050"/>
    <w:rsid w:val="77C4DA3C"/>
    <w:rsid w:val="79B51786"/>
    <w:rsid w:val="7CA8AE8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1201"/>
  <w15:docId w15:val="{12781750-E22C-402A-BC54-976D61E6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331B3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FE4110"/>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B3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FE4110"/>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E81514"/>
    <w:pPr>
      <w:numPr>
        <w:numId w:val="14"/>
      </w:numPr>
      <w:tabs>
        <w:tab w:val="clear" w:pos="794"/>
      </w:tabs>
      <w:spacing w:before="0"/>
      <w:ind w:left="426" w:hanging="426"/>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3"/>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B47D29"/>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282BD6"/>
    <w:pPr>
      <w:spacing w:before="60" w:after="60" w:line="240" w:lineRule="atLeast"/>
      <w:jc w:val="left"/>
    </w:pPr>
    <w:rPr>
      <w:sz w:val="20"/>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jc w:val="left"/>
    </w:pPr>
  </w:style>
  <w:style w:type="paragraph" w:customStyle="1" w:styleId="Sub-lista">
    <w:name w:val="Sub-list a"/>
    <w:aliases w:val="b"/>
    <w:basedOn w:val="Normal"/>
    <w:uiPriority w:val="2"/>
    <w:rsid w:val="00E21ACA"/>
    <w:pPr>
      <w:numPr>
        <w:numId w:val="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282BD6"/>
    <w:pPr>
      <w:numPr>
        <w:numId w:val="7"/>
      </w:numPr>
      <w:spacing w:before="0" w:after="60" w:line="240" w:lineRule="atLeast"/>
      <w:jc w:val="left"/>
    </w:pPr>
    <w:rPr>
      <w:rFonts w:cs="Arial"/>
      <w:sz w:val="20"/>
      <w:szCs w:val="16"/>
    </w:rPr>
  </w:style>
  <w:style w:type="paragraph" w:customStyle="1" w:styleId="TableDash">
    <w:name w:val="TableDash"/>
    <w:basedOn w:val="TableBullet"/>
    <w:qFormat/>
    <w:rsid w:val="005E3BCD"/>
    <w:pPr>
      <w:numPr>
        <w:numId w:val="8"/>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Wingdings 3" w:eastAsia="Times New Roman" w:hAnsi="Wingdings 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Wingdings 3" w:eastAsia="Times New Roman" w:hAnsi="Wingdings 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Wingdings 3" w:eastAsia="Times New Roman" w:hAnsi="Wingdings 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E81514"/>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6"/>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5"/>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FE4110"/>
  </w:style>
  <w:style w:type="paragraph" w:customStyle="1" w:styleId="pf0">
    <w:name w:val="pf0"/>
    <w:basedOn w:val="Normal"/>
    <w:rsid w:val="00331B3B"/>
    <w:pPr>
      <w:spacing w:before="100" w:beforeAutospacing="1" w:after="100" w:afterAutospacing="1" w:line="240" w:lineRule="auto"/>
      <w:jc w:val="left"/>
    </w:pPr>
    <w:rPr>
      <w:rFonts w:ascii="Times New Roman" w:hAnsi="Times New Roman"/>
      <w:sz w:val="24"/>
      <w:szCs w:val="24"/>
    </w:rPr>
  </w:style>
  <w:style w:type="character" w:customStyle="1" w:styleId="cf01">
    <w:name w:val="cf01"/>
    <w:basedOn w:val="DefaultParagraphFont"/>
    <w:rsid w:val="00331B3B"/>
    <w:rPr>
      <w:rFonts w:ascii="Segoe UI" w:hAnsi="Segoe UI" w:cs="Segoe UI" w:hint="default"/>
      <w:sz w:val="18"/>
      <w:szCs w:val="18"/>
    </w:rPr>
  </w:style>
  <w:style w:type="character" w:customStyle="1" w:styleId="ms-rtestyle-acexternallink">
    <w:name w:val="ms-rtestyle-acexternallink"/>
    <w:basedOn w:val="DefaultParagraphFont"/>
    <w:rsid w:val="00331B3B"/>
  </w:style>
  <w:style w:type="paragraph" w:customStyle="1" w:styleId="Subclauselista">
    <w:name w:val="Subclause list (a)"/>
    <w:basedOn w:val="Normal"/>
    <w:uiPriority w:val="2"/>
    <w:qFormat/>
    <w:rsid w:val="00CA3A5C"/>
    <w:pPr>
      <w:numPr>
        <w:ilvl w:val="4"/>
        <w:numId w:val="23"/>
      </w:numPr>
      <w:spacing w:before="0"/>
      <w:jc w:val="left"/>
    </w:pPr>
    <w:rPr>
      <w:rFonts w:eastAsiaTheme="minorEastAsia" w:cstheme="minorBidi"/>
      <w:lang w:eastAsia="en-US"/>
    </w:rPr>
  </w:style>
  <w:style w:type="paragraph" w:customStyle="1" w:styleId="Subclauselisti">
    <w:name w:val="Subclause list (i)"/>
    <w:aliases w:val="(ii)"/>
    <w:basedOn w:val="BodyText"/>
    <w:uiPriority w:val="2"/>
    <w:qFormat/>
    <w:rsid w:val="00CA3A5C"/>
    <w:pPr>
      <w:numPr>
        <w:ilvl w:val="5"/>
        <w:numId w:val="25"/>
      </w:numPr>
      <w:spacing w:before="0"/>
    </w:pPr>
    <w:rPr>
      <w:rFonts w:eastAsiaTheme="minorEastAsia" w:cstheme="minorBidi"/>
      <w:lang w:eastAsia="en-US"/>
    </w:rPr>
  </w:style>
  <w:style w:type="character" w:styleId="Mention">
    <w:name w:val="Mention"/>
    <w:basedOn w:val="DefaultParagraphFont"/>
    <w:uiPriority w:val="99"/>
    <w:unhideWhenUsed/>
    <w:rsid w:val="008309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ment.govt.nz/assets/publications/NPS-highly-productive-land-information-for-Maori-v2.pdf" TargetMode="External"/><Relationship Id="rId18" Type="http://schemas.openxmlformats.org/officeDocument/2006/relationships/hyperlink" Target="https://www.legislation.govt.nz/act/public/1993/0004/latest/DLM291294.html" TargetMode="External"/><Relationship Id="rId26" Type="http://schemas.openxmlformats.org/officeDocument/2006/relationships/hyperlink" Target="https://www.maorilandcourt.govt.nz/assets/Documents/Publications/Factsheet-Legislative-changes-affecting-incorporations-web-version.pdf" TargetMode="External"/><Relationship Id="rId39" Type="http://schemas.openxmlformats.org/officeDocument/2006/relationships/fontTable" Target="fontTable.xml"/><Relationship Id="rId21" Type="http://schemas.openxmlformats.org/officeDocument/2006/relationships/hyperlink" Target="https://www.maorilandcourt.govt.nz/your-maori-land/maori-land-titles-status-and-linz/confirm-or-change-land-status/" TargetMode="External"/><Relationship Id="rId34" Type="http://schemas.openxmlformats.org/officeDocument/2006/relationships/hyperlink" Target="https://www.lgnz.co.nz/assets/Uploads/2dac054577/44335-LGNZ-Council-Maori-Participation-June-2017.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govt.nz/bill/government/2022/0186/latest/LMS501892.html" TargetMode="External"/><Relationship Id="rId25" Type="http://schemas.openxmlformats.org/officeDocument/2006/relationships/hyperlink" Target="https://www.maorilandcourt.govt.nz/assets/Documents/Publications/MLC-incorporations-english.pdf" TargetMode="External"/><Relationship Id="rId33" Type="http://schemas.openxmlformats.org/officeDocument/2006/relationships/hyperlink" Target="https://tearawhiti.govt.nz/assets/Maori-Crown-Relations-Roopu/6b46d994f8/Engagement-Guidelines-1-Oct-18.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t.nz/bill/government/2022/0186/latest/LMS501892.html" TargetMode="External"/><Relationship Id="rId20" Type="http://schemas.openxmlformats.org/officeDocument/2006/relationships/hyperlink" Target="https://ministryforenvironment.sharepoint.com/sites/MFE-EXT-NPS-HPLDevelopment/Shared%20Documents/General/Implementation%20plan/Technical%20guidance/Pre-final%20versions%20of%20the%20guide%20edited%20and%20reviewed/&#8226;%09https:/www.maorilandcourt.govt.nz/assets/Documents/Publications/MLC-applications-tereo.pdf" TargetMode="External"/><Relationship Id="rId29" Type="http://schemas.openxmlformats.org/officeDocument/2006/relationships/hyperlink" Target="https://www.qualityplanning.org.nz/index.php/node/2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orilandcourt.govt.nz/assets/Documents/Publications/Factsheet-Legislative-changes-affecting-trusts.pdf" TargetMode="External"/><Relationship Id="rId32" Type="http://schemas.openxmlformats.org/officeDocument/2006/relationships/hyperlink" Target="https://www.qualityplanning.org.nz/node/1006"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vironment.govt.nz/publications/national-planning-standards/" TargetMode="External"/><Relationship Id="rId23" Type="http://schemas.openxmlformats.org/officeDocument/2006/relationships/hyperlink" Target="https://www.maorilandcourt.govt.nz/assets/Documents/Publications/20210715-Trustees-Role-and-Duties.pdf" TargetMode="External"/><Relationship Id="rId28" Type="http://schemas.openxmlformats.org/officeDocument/2006/relationships/hyperlink" Target="https://environment.govt.nz/assets/publications/national-planning-standards-november-2019-updated-2022.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nistryforenvironment.sharepoint.com/sites/MFE-EXT-NPS-HPLDevelopment/Shared%20Documents/General/Implementation%20plan/Technical%20guidance/Pre-final%20versions%20of%20the%20guide%20edited%20and%20reviewed/&#8226;%09https:/www.maorilandcourt.govt.nz/assets/Documents/Publications/MLC-applications-english.pdf" TargetMode="External"/><Relationship Id="rId31" Type="http://schemas.openxmlformats.org/officeDocument/2006/relationships/hyperlink" Target="https://environment.govt.nz/assets/Publications/Files/guide-to-section-32-of-resource-manangemnt-amendment-act-199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nment.govt.nz/assets/publications/NPS-highly-productive-land-information-for-Maori-v2.pdf" TargetMode="External"/><Relationship Id="rId22" Type="http://schemas.openxmlformats.org/officeDocument/2006/relationships/hyperlink" Target="https://www.maorilandcourt.govt.nz/assets/Documents/Publications/MOJ0217.1E-Maori-Land-Trusts-May19-v2-WEB.pdf" TargetMode="External"/><Relationship Id="rId27" Type="http://schemas.openxmlformats.org/officeDocument/2006/relationships/hyperlink" Target="https://www.tpk.govt.nz/en/nga-putea-me-nga-ratonga/maori-housing-support" TargetMode="External"/><Relationship Id="rId30" Type="http://schemas.openxmlformats.org/officeDocument/2006/relationships/hyperlink" Target="https://www.qualityplanning.org.nz/index.php/node/202"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BB0206047EBCC4080AA3B274E4C5C1B" ma:contentTypeVersion="14" ma:contentTypeDescription="Create a new document." ma:contentTypeScope="" ma:versionID="8e41021d2386959fb47eaa52535f9efc">
  <xsd:schema xmlns:xsd="http://www.w3.org/2001/XMLSchema" xmlns:xs="http://www.w3.org/2001/XMLSchema" xmlns:p="http://schemas.microsoft.com/office/2006/metadata/properties" xmlns:ns1="http://schemas.microsoft.com/sharepoint/v3" xmlns:ns2="d11b0c65-51f5-4bcb-a1d2-6c4bf03132a0" xmlns:ns3="bade1068-dfe6-48cd-966a-d3d968d2ddc3" xmlns:ns4="58a6f171-52cb-4404-b47d-af1c8daf8fd1" targetNamespace="http://schemas.microsoft.com/office/2006/metadata/properties" ma:root="true" ma:fieldsID="403d62e585e9cf12fbd50055afe7cb4d" ns1:_="" ns2:_="" ns3:_="" ns4:_="">
    <xsd:import namespace="http://schemas.microsoft.com/sharepoint/v3"/>
    <xsd:import namespace="d11b0c65-51f5-4bcb-a1d2-6c4bf03132a0"/>
    <xsd:import namespace="bade1068-dfe6-48cd-966a-d3d968d2ddc3"/>
    <xsd:import namespace="58a6f171-52cb-4404-b47d-af1c8daf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b0c65-51f5-4bcb-a1d2-6c4bf031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e1068-dfe6-48cd-966a-d3d968d2dd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bafb46-41fe-4eae-ac61-25eee4fd2d7b}" ma:internalName="TaxCatchAll" ma:showField="CatchAllData" ma:web="bade1068-dfe6-48cd-966a-d3d968d2d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8a6f171-52cb-4404-b47d-af1c8daf8fd1" xsi:nil="true"/>
    <lcf76f155ced4ddcb4097134ff3c332f xmlns="d11b0c65-51f5-4bcb-a1d2-6c4bf03132a0">
      <Terms xmlns="http://schemas.microsoft.com/office/infopath/2007/PartnerControls"/>
    </lcf76f155ced4ddcb4097134ff3c332f>
    <SharedWithUsers xmlns="bade1068-dfe6-48cd-966a-d3d968d2ddc3">
      <UserInfo>
        <DisplayName>Hamiora Milne</DisplayName>
        <AccountId>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4C04F202-9DDA-4A4D-839C-782F5DE5B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1b0c65-51f5-4bcb-a1d2-6c4bf03132a0"/>
    <ds:schemaRef ds:uri="bade1068-dfe6-48cd-966a-d3d968d2ddc3"/>
    <ds:schemaRef ds:uri="58a6f171-52cb-4404-b47d-af1c8daf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2A9D-DC48-4629-895C-D762F7C3ACF5}">
  <ds:schemaRefs>
    <ds:schemaRef ds:uri="bade1068-dfe6-48cd-966a-d3d968d2ddc3"/>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microsoft.com/sharepoint/v3"/>
    <ds:schemaRef ds:uri="http://schemas.openxmlformats.org/package/2006/metadata/core-properties"/>
    <ds:schemaRef ds:uri="58a6f171-52cb-4404-b47d-af1c8daf8fd1"/>
    <ds:schemaRef ds:uri="d11b0c65-51f5-4bcb-a1d2-6c4bf03132a0"/>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1957</Words>
  <Characters>9908</Characters>
  <Application>Microsoft Office Word</Application>
  <DocSecurity>0</DocSecurity>
  <Lines>173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WarringDe</dc:creator>
  <cp:keywords/>
  <cp:lastModifiedBy>Dee Warring</cp:lastModifiedBy>
  <cp:revision>3</cp:revision>
  <dcterms:created xsi:type="dcterms:W3CDTF">2022-12-14T21:51:00Z</dcterms:created>
  <dcterms:modified xsi:type="dcterms:W3CDTF">2022-12-14T21:55:00Z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_dlc_DocIdItemGuid">
    <vt:lpwstr>422b97b2-8362-480b-9128-c075666ba58c</vt:lpwstr>
  </property>
  <property fmtid="{D5CDD505-2E9C-101B-9397-08002B2CF9AE}" pid="10" name="ContentTypeId">
    <vt:lpwstr>0x0101002BB0206047EBCC4080AA3B274E4C5C1B</vt:lpwstr>
  </property>
  <property fmtid="{D5CDD505-2E9C-101B-9397-08002B2CF9AE}" pid="11" name="MediaServiceImageTags">
    <vt:lpwstr/>
  </property>
</Properties>
</file>